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88C" w:rsidRPr="00EF4617" w:rsidRDefault="0063488C" w:rsidP="00EF4617">
      <w:pPr>
        <w:spacing w:line="240" w:lineRule="auto"/>
        <w:rPr>
          <w:rFonts w:ascii="Arial" w:hAnsi="Arial" w:cs="Arial"/>
          <w:b/>
          <w:sz w:val="24"/>
          <w:szCs w:val="24"/>
        </w:rPr>
      </w:pPr>
      <w:bookmarkStart w:id="0" w:name="_GoBack"/>
      <w:bookmarkEnd w:id="0"/>
      <w:r w:rsidRPr="00EF4617">
        <w:rPr>
          <w:rFonts w:ascii="Arial" w:hAnsi="Arial" w:cs="Arial"/>
          <w:b/>
          <w:sz w:val="24"/>
          <w:szCs w:val="24"/>
        </w:rPr>
        <w:t>Title</w:t>
      </w:r>
    </w:p>
    <w:p w:rsidR="0063488C" w:rsidRPr="00EF4617" w:rsidRDefault="00EF4617" w:rsidP="00EF4617">
      <w:pPr>
        <w:spacing w:line="240" w:lineRule="auto"/>
        <w:rPr>
          <w:rFonts w:ascii="Arial" w:hAnsi="Arial" w:cs="Arial"/>
          <w:color w:val="FF0000"/>
          <w:sz w:val="24"/>
          <w:szCs w:val="24"/>
        </w:rPr>
      </w:pPr>
      <w:r w:rsidRPr="00EF4617">
        <w:rPr>
          <w:rFonts w:ascii="Arial" w:hAnsi="Arial" w:cs="Arial"/>
          <w:sz w:val="24"/>
          <w:szCs w:val="24"/>
        </w:rPr>
        <w:t>A clinical</w:t>
      </w:r>
      <w:r w:rsidR="00280BC4" w:rsidRPr="00EF4617">
        <w:rPr>
          <w:rFonts w:ascii="Arial" w:hAnsi="Arial" w:cs="Arial"/>
          <w:sz w:val="24"/>
          <w:szCs w:val="24"/>
        </w:rPr>
        <w:t xml:space="preserve"> audit of the </w:t>
      </w:r>
      <w:r w:rsidR="00AA71D4" w:rsidRPr="00EF4617">
        <w:rPr>
          <w:rFonts w:ascii="Arial" w:hAnsi="Arial" w:cs="Arial"/>
          <w:sz w:val="24"/>
          <w:szCs w:val="24"/>
        </w:rPr>
        <w:t>electronic data capture of dementia in ambulance service patient records</w:t>
      </w:r>
    </w:p>
    <w:p w:rsidR="005A3735" w:rsidRPr="00EF4617" w:rsidRDefault="00376BA7" w:rsidP="00EF4617">
      <w:pPr>
        <w:spacing w:line="240" w:lineRule="auto"/>
        <w:rPr>
          <w:rFonts w:ascii="Arial" w:hAnsi="Arial" w:cs="Arial"/>
          <w:sz w:val="24"/>
          <w:szCs w:val="24"/>
        </w:rPr>
      </w:pPr>
      <w:r w:rsidRPr="00EF4617">
        <w:rPr>
          <w:rFonts w:ascii="Arial" w:hAnsi="Arial" w:cs="Arial"/>
          <w:b/>
          <w:sz w:val="24"/>
          <w:szCs w:val="24"/>
        </w:rPr>
        <w:t>Author information</w:t>
      </w:r>
    </w:p>
    <w:p w:rsidR="00B17509" w:rsidRPr="00EF4617" w:rsidRDefault="00E2370B" w:rsidP="00EF4617">
      <w:pPr>
        <w:spacing w:line="240" w:lineRule="auto"/>
        <w:rPr>
          <w:rFonts w:ascii="Arial" w:hAnsi="Arial" w:cs="Arial"/>
          <w:sz w:val="24"/>
          <w:szCs w:val="24"/>
          <w:vertAlign w:val="superscript"/>
        </w:rPr>
      </w:pPr>
      <w:r w:rsidRPr="00EF4617">
        <w:rPr>
          <w:rFonts w:ascii="Arial" w:hAnsi="Arial" w:cs="Arial"/>
          <w:sz w:val="24"/>
          <w:szCs w:val="24"/>
        </w:rPr>
        <w:t>Helen Pocock</w:t>
      </w:r>
      <w:r w:rsidRPr="00EF4617">
        <w:rPr>
          <w:rFonts w:ascii="Arial" w:hAnsi="Arial" w:cs="Arial"/>
          <w:sz w:val="24"/>
          <w:szCs w:val="24"/>
          <w:vertAlign w:val="superscript"/>
        </w:rPr>
        <w:t>1</w:t>
      </w:r>
      <w:r w:rsidRPr="00EF4617">
        <w:rPr>
          <w:rFonts w:ascii="Arial" w:hAnsi="Arial" w:cs="Arial"/>
          <w:sz w:val="24"/>
          <w:szCs w:val="24"/>
        </w:rPr>
        <w:t xml:space="preserve">, </w:t>
      </w:r>
      <w:r w:rsidR="00B17509" w:rsidRPr="00EF4617">
        <w:rPr>
          <w:rFonts w:ascii="Arial" w:hAnsi="Arial" w:cs="Arial"/>
          <w:sz w:val="24"/>
          <w:szCs w:val="24"/>
        </w:rPr>
        <w:t>Patryk Jadzinski</w:t>
      </w:r>
      <w:r w:rsidR="00B17509" w:rsidRPr="00EF4617">
        <w:rPr>
          <w:rFonts w:ascii="Arial" w:hAnsi="Arial" w:cs="Arial"/>
          <w:sz w:val="24"/>
          <w:szCs w:val="24"/>
          <w:vertAlign w:val="superscript"/>
        </w:rPr>
        <w:t>1,2</w:t>
      </w:r>
      <w:r w:rsidR="00B17509" w:rsidRPr="00EF4617">
        <w:rPr>
          <w:rFonts w:ascii="Arial" w:hAnsi="Arial" w:cs="Arial"/>
          <w:sz w:val="24"/>
          <w:szCs w:val="24"/>
        </w:rPr>
        <w:t xml:space="preserve">, </w:t>
      </w:r>
      <w:r w:rsidRPr="00EF4617">
        <w:rPr>
          <w:rFonts w:ascii="Arial" w:hAnsi="Arial" w:cs="Arial"/>
          <w:sz w:val="24"/>
          <w:szCs w:val="24"/>
        </w:rPr>
        <w:t>Chloe Taylor-Jones</w:t>
      </w:r>
      <w:r w:rsidRPr="00EF4617">
        <w:rPr>
          <w:rFonts w:ascii="Arial" w:hAnsi="Arial" w:cs="Arial"/>
          <w:sz w:val="24"/>
          <w:szCs w:val="24"/>
          <w:vertAlign w:val="superscript"/>
        </w:rPr>
        <w:t>1</w:t>
      </w:r>
      <w:r w:rsidRPr="00EF4617">
        <w:rPr>
          <w:rFonts w:ascii="Arial" w:hAnsi="Arial" w:cs="Arial"/>
          <w:sz w:val="24"/>
          <w:szCs w:val="24"/>
        </w:rPr>
        <w:t xml:space="preserve">, </w:t>
      </w:r>
      <w:r w:rsidR="00B17509" w:rsidRPr="00EF4617">
        <w:rPr>
          <w:rFonts w:ascii="Arial" w:hAnsi="Arial" w:cs="Arial"/>
          <w:sz w:val="24"/>
          <w:szCs w:val="24"/>
        </w:rPr>
        <w:t>Phil King</w:t>
      </w:r>
      <w:r w:rsidR="00B17509" w:rsidRPr="00EF4617">
        <w:rPr>
          <w:rFonts w:ascii="Arial" w:hAnsi="Arial" w:cs="Arial"/>
          <w:sz w:val="24"/>
          <w:szCs w:val="24"/>
          <w:vertAlign w:val="superscript"/>
        </w:rPr>
        <w:t>1</w:t>
      </w:r>
      <w:r w:rsidR="00B17509" w:rsidRPr="00EF4617">
        <w:rPr>
          <w:rFonts w:ascii="Arial" w:hAnsi="Arial" w:cs="Arial"/>
          <w:sz w:val="24"/>
          <w:szCs w:val="24"/>
        </w:rPr>
        <w:t>, Ed England</w:t>
      </w:r>
      <w:r w:rsidR="00B17509" w:rsidRPr="00EF4617">
        <w:rPr>
          <w:rFonts w:ascii="Arial" w:hAnsi="Arial" w:cs="Arial"/>
          <w:sz w:val="24"/>
          <w:szCs w:val="24"/>
          <w:vertAlign w:val="superscript"/>
        </w:rPr>
        <w:t>1</w:t>
      </w:r>
      <w:r w:rsidR="00B17509" w:rsidRPr="00EF4617">
        <w:rPr>
          <w:rFonts w:ascii="Arial" w:hAnsi="Arial" w:cs="Arial"/>
          <w:sz w:val="24"/>
          <w:szCs w:val="24"/>
        </w:rPr>
        <w:t>, Carole Fogg</w:t>
      </w:r>
      <w:r w:rsidR="00B17509" w:rsidRPr="00EF4617">
        <w:rPr>
          <w:rFonts w:ascii="Arial" w:hAnsi="Arial" w:cs="Arial"/>
          <w:sz w:val="24"/>
          <w:szCs w:val="24"/>
          <w:vertAlign w:val="superscript"/>
        </w:rPr>
        <w:t>2,3</w:t>
      </w:r>
    </w:p>
    <w:p w:rsidR="00B17509" w:rsidRPr="00EF4617" w:rsidRDefault="00B17509" w:rsidP="00EF4617">
      <w:pPr>
        <w:spacing w:line="240" w:lineRule="auto"/>
        <w:rPr>
          <w:rFonts w:ascii="Arial" w:hAnsi="Arial" w:cs="Arial"/>
          <w:sz w:val="24"/>
          <w:szCs w:val="24"/>
        </w:rPr>
      </w:pPr>
      <w:r w:rsidRPr="00EF4617">
        <w:rPr>
          <w:rFonts w:ascii="Arial" w:hAnsi="Arial" w:cs="Arial"/>
          <w:sz w:val="24"/>
          <w:szCs w:val="24"/>
          <w:vertAlign w:val="superscript"/>
        </w:rPr>
        <w:t>1</w:t>
      </w:r>
      <w:r w:rsidRPr="00EF4617">
        <w:rPr>
          <w:rFonts w:ascii="Arial" w:hAnsi="Arial" w:cs="Arial"/>
          <w:sz w:val="24"/>
          <w:szCs w:val="24"/>
        </w:rPr>
        <w:t>South Central Ambulance Service NHS Foundation Trust</w:t>
      </w:r>
    </w:p>
    <w:p w:rsidR="00B17509" w:rsidRPr="00EF4617" w:rsidRDefault="00B17509" w:rsidP="00EF4617">
      <w:pPr>
        <w:spacing w:line="240" w:lineRule="auto"/>
        <w:rPr>
          <w:rFonts w:ascii="Arial" w:hAnsi="Arial" w:cs="Arial"/>
          <w:sz w:val="24"/>
          <w:szCs w:val="24"/>
        </w:rPr>
      </w:pPr>
      <w:r w:rsidRPr="00EF4617">
        <w:rPr>
          <w:rFonts w:ascii="Arial" w:hAnsi="Arial" w:cs="Arial"/>
          <w:sz w:val="24"/>
          <w:szCs w:val="24"/>
          <w:vertAlign w:val="superscript"/>
        </w:rPr>
        <w:t>2</w:t>
      </w:r>
      <w:r w:rsidRPr="00EF4617">
        <w:rPr>
          <w:rFonts w:ascii="Arial" w:hAnsi="Arial" w:cs="Arial"/>
          <w:sz w:val="24"/>
          <w:szCs w:val="24"/>
        </w:rPr>
        <w:t>University of Portsmouth</w:t>
      </w:r>
    </w:p>
    <w:p w:rsidR="00B17509" w:rsidRPr="00EF4617" w:rsidRDefault="00B17509" w:rsidP="00EF4617">
      <w:pPr>
        <w:spacing w:line="240" w:lineRule="auto"/>
        <w:rPr>
          <w:rFonts w:ascii="Arial" w:hAnsi="Arial" w:cs="Arial"/>
          <w:sz w:val="24"/>
          <w:szCs w:val="24"/>
        </w:rPr>
      </w:pPr>
      <w:r w:rsidRPr="00EF4617">
        <w:rPr>
          <w:rFonts w:ascii="Arial" w:hAnsi="Arial" w:cs="Arial"/>
          <w:sz w:val="24"/>
          <w:szCs w:val="24"/>
          <w:vertAlign w:val="superscript"/>
        </w:rPr>
        <w:t>3</w:t>
      </w:r>
      <w:r w:rsidRPr="00EF4617">
        <w:rPr>
          <w:rFonts w:ascii="Arial" w:hAnsi="Arial" w:cs="Arial"/>
          <w:sz w:val="24"/>
          <w:szCs w:val="24"/>
        </w:rPr>
        <w:t>Portsmouth Hospitals NHS Trust</w:t>
      </w:r>
    </w:p>
    <w:p w:rsidR="00376BA7" w:rsidRPr="00863FDF" w:rsidRDefault="00376BA7" w:rsidP="00EF4617">
      <w:pPr>
        <w:spacing w:line="240" w:lineRule="auto"/>
        <w:rPr>
          <w:rFonts w:ascii="Arial" w:hAnsi="Arial" w:cs="Arial"/>
          <w:sz w:val="28"/>
          <w:szCs w:val="24"/>
        </w:rPr>
      </w:pPr>
      <w:r w:rsidRPr="00EF4617">
        <w:rPr>
          <w:rFonts w:ascii="Arial" w:hAnsi="Arial" w:cs="Arial"/>
          <w:b/>
          <w:sz w:val="24"/>
          <w:szCs w:val="24"/>
        </w:rPr>
        <w:t>Corresponding author:</w:t>
      </w:r>
      <w:r w:rsidRPr="00EF4617">
        <w:rPr>
          <w:rFonts w:ascii="Arial" w:hAnsi="Arial" w:cs="Arial"/>
          <w:sz w:val="24"/>
          <w:szCs w:val="24"/>
        </w:rPr>
        <w:t xml:space="preserve"> Helen Pocock, </w:t>
      </w:r>
      <w:r w:rsidR="00863FDF">
        <w:rPr>
          <w:rFonts w:ascii="Arial" w:hAnsi="Arial" w:cs="Arial"/>
          <w:sz w:val="24"/>
          <w:szCs w:val="24"/>
        </w:rPr>
        <w:t xml:space="preserve">Bracknell Ambulance Station, Old Bracknell Lane West, Bracknell, RG12 7AE.  </w:t>
      </w:r>
      <w:hyperlink r:id="rId8" w:history="1">
        <w:r w:rsidR="00863FDF" w:rsidRPr="00483BB7">
          <w:rPr>
            <w:rStyle w:val="Hyperlink"/>
            <w:rFonts w:ascii="Arial" w:hAnsi="Arial" w:cs="Arial"/>
            <w:sz w:val="24"/>
            <w:szCs w:val="24"/>
          </w:rPr>
          <w:t>Helen.pocock@scas.nhs.uk</w:t>
        </w:r>
      </w:hyperlink>
      <w:r w:rsidR="00863FDF">
        <w:rPr>
          <w:rFonts w:ascii="Arial" w:hAnsi="Arial" w:cs="Arial"/>
          <w:sz w:val="24"/>
          <w:szCs w:val="24"/>
        </w:rPr>
        <w:t xml:space="preserve"> ORCID: </w:t>
      </w:r>
      <w:r w:rsidR="00863FDF" w:rsidRPr="00863FDF">
        <w:rPr>
          <w:rFonts w:ascii="Arial" w:hAnsi="Arial" w:cs="Arial"/>
          <w:sz w:val="24"/>
        </w:rPr>
        <w:t>0000-0001-7648-5313</w:t>
      </w:r>
      <w:r w:rsidR="00863FDF">
        <w:rPr>
          <w:rFonts w:ascii="Arial" w:hAnsi="Arial" w:cs="Arial"/>
          <w:sz w:val="24"/>
        </w:rPr>
        <w:t>. (07789) 923465.</w:t>
      </w:r>
    </w:p>
    <w:p w:rsidR="00376BA7" w:rsidRPr="00EF4617" w:rsidRDefault="00376BA7" w:rsidP="00EF4617">
      <w:pPr>
        <w:spacing w:line="240" w:lineRule="auto"/>
        <w:rPr>
          <w:rFonts w:ascii="Arial" w:hAnsi="Arial" w:cs="Arial"/>
          <w:sz w:val="24"/>
          <w:szCs w:val="24"/>
        </w:rPr>
      </w:pPr>
      <w:r w:rsidRPr="00EF4617">
        <w:rPr>
          <w:rFonts w:ascii="Arial" w:hAnsi="Arial" w:cs="Arial"/>
          <w:sz w:val="24"/>
          <w:szCs w:val="24"/>
        </w:rPr>
        <w:t xml:space="preserve">Patryk Jadzinski, School of Health Sciences and Social Work, James Watson West, King Richard I Road, Portsmouth. PO1 2FR. </w:t>
      </w:r>
      <w:hyperlink r:id="rId9" w:history="1">
        <w:r w:rsidRPr="00EF4617">
          <w:rPr>
            <w:rStyle w:val="Hyperlink"/>
            <w:rFonts w:ascii="Arial" w:hAnsi="Arial" w:cs="Arial"/>
            <w:sz w:val="24"/>
            <w:szCs w:val="24"/>
          </w:rPr>
          <w:t>Patryk.Jadzinski@port.ac.uk</w:t>
        </w:r>
      </w:hyperlink>
      <w:r w:rsidR="002575B3" w:rsidRPr="002575B3">
        <w:rPr>
          <w:rFonts w:ascii="Arial" w:hAnsi="Arial" w:cs="Arial"/>
          <w:sz w:val="24"/>
          <w:szCs w:val="24"/>
        </w:rPr>
        <w:t xml:space="preserve"> </w:t>
      </w:r>
      <w:r w:rsidR="002575B3" w:rsidRPr="00E217A0">
        <w:rPr>
          <w:rFonts w:ascii="Arial" w:hAnsi="Arial" w:cs="Arial"/>
          <w:sz w:val="24"/>
          <w:szCs w:val="24"/>
        </w:rPr>
        <w:t>ORCID:</w:t>
      </w:r>
      <w:r w:rsidR="00E217A0" w:rsidRPr="00E217A0">
        <w:rPr>
          <w:rFonts w:ascii="Arial" w:hAnsi="Arial" w:cs="Arial"/>
          <w:sz w:val="24"/>
          <w:szCs w:val="24"/>
        </w:rPr>
        <w:t xml:space="preserve"> 0000-0002-6752-0807</w:t>
      </w:r>
    </w:p>
    <w:p w:rsidR="00376BA7" w:rsidRPr="002575B3" w:rsidRDefault="00376BA7" w:rsidP="00EF4617">
      <w:pPr>
        <w:spacing w:line="240" w:lineRule="auto"/>
        <w:rPr>
          <w:rFonts w:ascii="Arial" w:hAnsi="Arial" w:cs="Arial"/>
          <w:sz w:val="24"/>
          <w:szCs w:val="24"/>
        </w:rPr>
      </w:pPr>
      <w:r w:rsidRPr="00EF4617">
        <w:rPr>
          <w:rFonts w:ascii="Arial" w:hAnsi="Arial" w:cs="Arial"/>
          <w:sz w:val="24"/>
          <w:szCs w:val="24"/>
        </w:rPr>
        <w:t xml:space="preserve">Chloe Taylor-Jones, South Central Ambulance Service NHS Foundation Trust, </w:t>
      </w:r>
      <w:r w:rsidR="00FF04F4">
        <w:rPr>
          <w:rFonts w:ascii="Arial" w:hAnsi="Arial" w:cs="Arial"/>
          <w:sz w:val="24"/>
          <w:szCs w:val="24"/>
        </w:rPr>
        <w:t xml:space="preserve">Bracknell Ambulance Station, Old Bracknell Lane West, Bracknell, RG12 7AE. </w:t>
      </w:r>
      <w:hyperlink r:id="rId10" w:history="1">
        <w:r w:rsidR="00FF04F4" w:rsidRPr="003B1120">
          <w:rPr>
            <w:rStyle w:val="Hyperlink"/>
            <w:rFonts w:ascii="Arial" w:hAnsi="Arial" w:cs="Arial"/>
            <w:sz w:val="24"/>
            <w:szCs w:val="24"/>
          </w:rPr>
          <w:t>Chloe.Taylor-Jones@scas.nhs.uk</w:t>
        </w:r>
      </w:hyperlink>
      <w:r w:rsidR="00FF04F4">
        <w:rPr>
          <w:rFonts w:ascii="Arial" w:hAnsi="Arial" w:cs="Arial"/>
          <w:sz w:val="24"/>
          <w:szCs w:val="24"/>
        </w:rPr>
        <w:t xml:space="preserve"> </w:t>
      </w:r>
      <w:r w:rsidR="002575B3">
        <w:rPr>
          <w:rFonts w:ascii="Arial" w:hAnsi="Arial" w:cs="Arial"/>
          <w:sz w:val="24"/>
          <w:szCs w:val="24"/>
        </w:rPr>
        <w:t xml:space="preserve">ORCID: </w:t>
      </w:r>
      <w:r w:rsidR="002575B3" w:rsidRPr="002575B3">
        <w:rPr>
          <w:rStyle w:val="m621762465428007346orcid-id"/>
          <w:rFonts w:ascii="Arial" w:hAnsi="Arial" w:cs="Arial"/>
          <w:sz w:val="24"/>
          <w:szCs w:val="24"/>
        </w:rPr>
        <w:t>0000-0001-8118-3934</w:t>
      </w:r>
    </w:p>
    <w:p w:rsidR="00376BA7" w:rsidRPr="00FF04F4" w:rsidRDefault="00376BA7" w:rsidP="00EF4617">
      <w:pPr>
        <w:spacing w:line="240" w:lineRule="auto"/>
        <w:rPr>
          <w:rFonts w:ascii="Arial" w:hAnsi="Arial" w:cs="Arial"/>
          <w:sz w:val="24"/>
          <w:szCs w:val="24"/>
        </w:rPr>
      </w:pPr>
      <w:r w:rsidRPr="00EF4617">
        <w:rPr>
          <w:rFonts w:ascii="Arial" w:hAnsi="Arial" w:cs="Arial"/>
          <w:sz w:val="24"/>
          <w:szCs w:val="24"/>
        </w:rPr>
        <w:t>Phil King, South Central Ambulance Service NHS Foundation Trust</w:t>
      </w:r>
      <w:r w:rsidR="00FF04F4">
        <w:rPr>
          <w:rFonts w:ascii="Arial" w:hAnsi="Arial" w:cs="Arial"/>
          <w:sz w:val="24"/>
          <w:szCs w:val="24"/>
        </w:rPr>
        <w:t xml:space="preserve">, </w:t>
      </w:r>
      <w:r w:rsidR="00FF04F4" w:rsidRPr="00FF04F4">
        <w:rPr>
          <w:rStyle w:val="st"/>
          <w:rFonts w:ascii="Arial" w:hAnsi="Arial" w:cs="Arial"/>
          <w:sz w:val="24"/>
          <w:szCs w:val="24"/>
        </w:rPr>
        <w:t xml:space="preserve">Unit 3, </w:t>
      </w:r>
      <w:proofErr w:type="spellStart"/>
      <w:r w:rsidR="00FF04F4" w:rsidRPr="00FF04F4">
        <w:rPr>
          <w:rStyle w:val="st"/>
          <w:rFonts w:ascii="Arial" w:hAnsi="Arial" w:cs="Arial"/>
          <w:sz w:val="24"/>
          <w:szCs w:val="24"/>
        </w:rPr>
        <w:t>Berrywood</w:t>
      </w:r>
      <w:proofErr w:type="spellEnd"/>
      <w:r w:rsidR="00FF04F4" w:rsidRPr="00FF04F4">
        <w:rPr>
          <w:rStyle w:val="st"/>
          <w:rFonts w:ascii="Arial" w:hAnsi="Arial" w:cs="Arial"/>
          <w:sz w:val="24"/>
          <w:szCs w:val="24"/>
        </w:rPr>
        <w:t xml:space="preserve"> Business Village, Tollbar Way, </w:t>
      </w:r>
      <w:r w:rsidR="00FF04F4" w:rsidRPr="00FF04F4">
        <w:rPr>
          <w:rStyle w:val="Emphasis"/>
          <w:rFonts w:ascii="Arial" w:hAnsi="Arial" w:cs="Arial"/>
          <w:i w:val="0"/>
          <w:sz w:val="24"/>
          <w:szCs w:val="24"/>
        </w:rPr>
        <w:t>Hedge End</w:t>
      </w:r>
      <w:r w:rsidR="00FF04F4" w:rsidRPr="00FF04F4">
        <w:rPr>
          <w:rStyle w:val="st"/>
          <w:rFonts w:ascii="Arial" w:hAnsi="Arial" w:cs="Arial"/>
          <w:i/>
          <w:sz w:val="24"/>
          <w:szCs w:val="24"/>
        </w:rPr>
        <w:t>,</w:t>
      </w:r>
      <w:r w:rsidR="00FF04F4" w:rsidRPr="00FF04F4">
        <w:rPr>
          <w:rStyle w:val="st"/>
          <w:rFonts w:ascii="Arial" w:hAnsi="Arial" w:cs="Arial"/>
          <w:sz w:val="24"/>
          <w:szCs w:val="24"/>
        </w:rPr>
        <w:t xml:space="preserve"> </w:t>
      </w:r>
      <w:r w:rsidR="00FF04F4">
        <w:rPr>
          <w:rStyle w:val="st"/>
          <w:rFonts w:ascii="Arial" w:hAnsi="Arial" w:cs="Arial"/>
          <w:sz w:val="24"/>
          <w:szCs w:val="24"/>
        </w:rPr>
        <w:t>Southampton</w:t>
      </w:r>
      <w:r w:rsidR="00FF04F4" w:rsidRPr="00FF04F4">
        <w:rPr>
          <w:rStyle w:val="st"/>
          <w:rFonts w:ascii="Arial" w:hAnsi="Arial" w:cs="Arial"/>
          <w:sz w:val="24"/>
          <w:szCs w:val="24"/>
        </w:rPr>
        <w:t>, SO30 2UN</w:t>
      </w:r>
      <w:r w:rsidR="00FF04F4">
        <w:rPr>
          <w:rStyle w:val="st"/>
          <w:rFonts w:ascii="Arial" w:hAnsi="Arial" w:cs="Arial"/>
          <w:sz w:val="24"/>
          <w:szCs w:val="24"/>
        </w:rPr>
        <w:t xml:space="preserve">. </w:t>
      </w:r>
      <w:hyperlink r:id="rId11" w:history="1">
        <w:r w:rsidR="00FF04F4" w:rsidRPr="003B1120">
          <w:rPr>
            <w:rStyle w:val="Hyperlink"/>
            <w:rFonts w:ascii="Arial" w:hAnsi="Arial" w:cs="Arial"/>
            <w:sz w:val="24"/>
            <w:szCs w:val="24"/>
          </w:rPr>
          <w:t>Philip.King@scas.nhs.uk</w:t>
        </w:r>
      </w:hyperlink>
      <w:r w:rsidR="001D4BB5">
        <w:rPr>
          <w:rStyle w:val="st"/>
          <w:rFonts w:ascii="Arial" w:hAnsi="Arial" w:cs="Arial"/>
          <w:sz w:val="24"/>
          <w:szCs w:val="24"/>
        </w:rPr>
        <w:t xml:space="preserve"> </w:t>
      </w:r>
      <w:r w:rsidR="002575B3">
        <w:rPr>
          <w:rFonts w:ascii="Arial" w:hAnsi="Arial" w:cs="Arial"/>
          <w:sz w:val="24"/>
          <w:szCs w:val="24"/>
        </w:rPr>
        <w:t xml:space="preserve">ORCID: </w:t>
      </w:r>
      <w:r w:rsidR="001D4BB5">
        <w:rPr>
          <w:rStyle w:val="st"/>
          <w:rFonts w:ascii="Arial" w:hAnsi="Arial" w:cs="Arial"/>
          <w:sz w:val="24"/>
          <w:szCs w:val="24"/>
        </w:rPr>
        <w:t xml:space="preserve">0000-0001-7736-7183 </w:t>
      </w:r>
    </w:p>
    <w:p w:rsidR="00376BA7" w:rsidRPr="00FF04F4" w:rsidRDefault="00376BA7" w:rsidP="00EF4617">
      <w:pPr>
        <w:spacing w:line="240" w:lineRule="auto"/>
        <w:rPr>
          <w:rFonts w:ascii="Arial" w:hAnsi="Arial" w:cs="Arial"/>
          <w:sz w:val="24"/>
          <w:szCs w:val="24"/>
        </w:rPr>
      </w:pPr>
      <w:r w:rsidRPr="00EF4617">
        <w:rPr>
          <w:rFonts w:ascii="Arial" w:hAnsi="Arial" w:cs="Arial"/>
          <w:sz w:val="24"/>
          <w:szCs w:val="24"/>
        </w:rPr>
        <w:t>Ed England, South Central Ambulance Service NHS Foundation Trust</w:t>
      </w:r>
      <w:r w:rsidR="00FF04F4">
        <w:rPr>
          <w:rFonts w:ascii="Arial" w:hAnsi="Arial" w:cs="Arial"/>
          <w:sz w:val="24"/>
          <w:szCs w:val="24"/>
        </w:rPr>
        <w:t xml:space="preserve">, </w:t>
      </w:r>
      <w:r w:rsidR="00FF04F4" w:rsidRPr="00FF04F4">
        <w:rPr>
          <w:rStyle w:val="xbe"/>
          <w:rFonts w:ascii="Arial" w:hAnsi="Arial" w:cs="Arial"/>
          <w:sz w:val="24"/>
          <w:szCs w:val="24"/>
        </w:rPr>
        <w:t xml:space="preserve">North Wing Southern House, </w:t>
      </w:r>
      <w:proofErr w:type="spellStart"/>
      <w:r w:rsidR="00FF04F4" w:rsidRPr="00FF04F4">
        <w:rPr>
          <w:rStyle w:val="xbe"/>
          <w:rFonts w:ascii="Arial" w:hAnsi="Arial" w:cs="Arial"/>
          <w:sz w:val="24"/>
          <w:szCs w:val="24"/>
        </w:rPr>
        <w:t>Sparrowgrove</w:t>
      </w:r>
      <w:proofErr w:type="spellEnd"/>
      <w:r w:rsidR="00FF04F4" w:rsidRPr="00FF04F4">
        <w:rPr>
          <w:rStyle w:val="xbe"/>
          <w:rFonts w:ascii="Arial" w:hAnsi="Arial" w:cs="Arial"/>
          <w:sz w:val="24"/>
          <w:szCs w:val="24"/>
        </w:rPr>
        <w:t>, Winchester SO21 2RU</w:t>
      </w:r>
      <w:r w:rsidR="00FF04F4">
        <w:rPr>
          <w:rStyle w:val="xbe"/>
          <w:rFonts w:ascii="Arial" w:hAnsi="Arial" w:cs="Arial"/>
          <w:sz w:val="24"/>
          <w:szCs w:val="24"/>
        </w:rPr>
        <w:t xml:space="preserve"> </w:t>
      </w:r>
      <w:hyperlink r:id="rId12" w:history="1">
        <w:r w:rsidR="00FF04F4" w:rsidRPr="003B1120">
          <w:rPr>
            <w:rStyle w:val="Hyperlink"/>
            <w:rFonts w:ascii="Arial" w:hAnsi="Arial" w:cs="Arial"/>
            <w:sz w:val="24"/>
            <w:szCs w:val="24"/>
          </w:rPr>
          <w:t>Ed.England@scas.nhs.uk</w:t>
        </w:r>
      </w:hyperlink>
      <w:r w:rsidR="00FF04F4">
        <w:rPr>
          <w:rStyle w:val="xbe"/>
          <w:rFonts w:ascii="Arial" w:hAnsi="Arial" w:cs="Arial"/>
          <w:sz w:val="24"/>
          <w:szCs w:val="24"/>
        </w:rPr>
        <w:t xml:space="preserve"> </w:t>
      </w:r>
      <w:r w:rsidR="002575B3">
        <w:rPr>
          <w:rStyle w:val="xbe"/>
          <w:rFonts w:ascii="Arial" w:hAnsi="Arial" w:cs="Arial"/>
          <w:sz w:val="24"/>
          <w:szCs w:val="24"/>
        </w:rPr>
        <w:t xml:space="preserve"> </w:t>
      </w:r>
      <w:r w:rsidR="002575B3" w:rsidRPr="00E217A0">
        <w:rPr>
          <w:rFonts w:ascii="Arial" w:hAnsi="Arial" w:cs="Arial"/>
          <w:sz w:val="24"/>
          <w:szCs w:val="24"/>
        </w:rPr>
        <w:t xml:space="preserve">ORCID: </w:t>
      </w:r>
      <w:r w:rsidR="00E217A0" w:rsidRPr="00E217A0">
        <w:rPr>
          <w:rFonts w:ascii="Arial" w:hAnsi="Arial" w:cs="Arial"/>
          <w:sz w:val="24"/>
          <w:szCs w:val="24"/>
        </w:rPr>
        <w:t>0000</w:t>
      </w:r>
      <w:r w:rsidR="00E217A0">
        <w:rPr>
          <w:rFonts w:ascii="Arial" w:hAnsi="Arial" w:cs="Arial"/>
          <w:sz w:val="24"/>
          <w:szCs w:val="24"/>
        </w:rPr>
        <w:t>-0002-8009-2843</w:t>
      </w:r>
    </w:p>
    <w:p w:rsidR="00376BA7" w:rsidRPr="00EF4617" w:rsidRDefault="00376BA7" w:rsidP="00EF4617">
      <w:pPr>
        <w:spacing w:line="240" w:lineRule="auto"/>
        <w:rPr>
          <w:rFonts w:ascii="Arial" w:hAnsi="Arial" w:cs="Arial"/>
          <w:sz w:val="24"/>
          <w:szCs w:val="24"/>
        </w:rPr>
      </w:pPr>
      <w:r w:rsidRPr="00EF4617">
        <w:rPr>
          <w:rFonts w:ascii="Arial" w:hAnsi="Arial" w:cs="Arial"/>
          <w:sz w:val="24"/>
          <w:szCs w:val="24"/>
        </w:rPr>
        <w:t xml:space="preserve">Carole Fogg, School of Health Sciences and Social Work, James Watson West, King Richard I Road, Portsmouth. PO1 2FR. </w:t>
      </w:r>
      <w:hyperlink r:id="rId13" w:history="1">
        <w:r w:rsidRPr="00EF4617">
          <w:rPr>
            <w:rStyle w:val="Hyperlink"/>
            <w:rFonts w:ascii="Arial" w:hAnsi="Arial" w:cs="Arial"/>
            <w:sz w:val="24"/>
            <w:szCs w:val="24"/>
          </w:rPr>
          <w:t>Carole.Fogg@port.ac.uk</w:t>
        </w:r>
      </w:hyperlink>
      <w:r w:rsidRPr="00EF4617">
        <w:rPr>
          <w:rFonts w:ascii="Arial" w:hAnsi="Arial" w:cs="Arial"/>
          <w:sz w:val="24"/>
          <w:szCs w:val="24"/>
        </w:rPr>
        <w:t xml:space="preserve">   ORCID: </w:t>
      </w:r>
      <w:r w:rsidR="003E7C80" w:rsidRPr="00EF4617">
        <w:rPr>
          <w:rFonts w:ascii="Arial" w:hAnsi="Arial" w:cs="Arial"/>
          <w:sz w:val="24"/>
          <w:szCs w:val="24"/>
        </w:rPr>
        <w:t>0000-0002-3000-6185</w:t>
      </w:r>
    </w:p>
    <w:p w:rsidR="00376BA7" w:rsidRDefault="00376BA7" w:rsidP="00EF4617">
      <w:pPr>
        <w:spacing w:line="240" w:lineRule="auto"/>
        <w:rPr>
          <w:rFonts w:ascii="Arial" w:hAnsi="Arial" w:cs="Arial"/>
          <w:sz w:val="24"/>
          <w:szCs w:val="24"/>
        </w:rPr>
      </w:pPr>
    </w:p>
    <w:p w:rsidR="005E3EB3" w:rsidRDefault="002D7978" w:rsidP="00EF4617">
      <w:pPr>
        <w:spacing w:line="240" w:lineRule="auto"/>
        <w:rPr>
          <w:rFonts w:ascii="Arial" w:hAnsi="Arial" w:cs="Arial"/>
          <w:sz w:val="24"/>
          <w:szCs w:val="24"/>
        </w:rPr>
      </w:pPr>
      <w:r>
        <w:rPr>
          <w:rFonts w:ascii="Arial" w:hAnsi="Arial" w:cs="Arial"/>
          <w:sz w:val="24"/>
          <w:szCs w:val="24"/>
        </w:rPr>
        <w:t xml:space="preserve">All authors were involved in the design of the audit. PK </w:t>
      </w:r>
      <w:r w:rsidR="003459B7">
        <w:rPr>
          <w:rFonts w:ascii="Arial" w:hAnsi="Arial" w:cs="Arial"/>
          <w:sz w:val="24"/>
          <w:szCs w:val="24"/>
        </w:rPr>
        <w:t xml:space="preserve">extracted the data and PK </w:t>
      </w:r>
      <w:r>
        <w:rPr>
          <w:rFonts w:ascii="Arial" w:hAnsi="Arial" w:cs="Arial"/>
          <w:sz w:val="24"/>
          <w:szCs w:val="24"/>
        </w:rPr>
        <w:t xml:space="preserve">and CF performed data analysis. </w:t>
      </w:r>
      <w:r w:rsidR="005E3EB3">
        <w:rPr>
          <w:rFonts w:ascii="Arial" w:hAnsi="Arial" w:cs="Arial"/>
          <w:sz w:val="24"/>
          <w:szCs w:val="24"/>
        </w:rPr>
        <w:t>All authors were involved in interpretation</w:t>
      </w:r>
      <w:r>
        <w:rPr>
          <w:rFonts w:ascii="Arial" w:hAnsi="Arial" w:cs="Arial"/>
          <w:sz w:val="24"/>
          <w:szCs w:val="24"/>
        </w:rPr>
        <w:t xml:space="preserve"> of data, and in the writing of the manuscript. All authors have approved the final manuscript. </w:t>
      </w:r>
    </w:p>
    <w:p w:rsidR="002D7978" w:rsidRDefault="002D7978" w:rsidP="00EF4617">
      <w:pPr>
        <w:spacing w:line="240" w:lineRule="auto"/>
        <w:rPr>
          <w:rFonts w:ascii="Arial" w:hAnsi="Arial" w:cs="Arial"/>
          <w:sz w:val="24"/>
          <w:szCs w:val="24"/>
        </w:rPr>
      </w:pPr>
    </w:p>
    <w:p w:rsidR="00891494" w:rsidRPr="00EF4617" w:rsidRDefault="00376BA7" w:rsidP="00EF4617">
      <w:pPr>
        <w:spacing w:line="240" w:lineRule="auto"/>
        <w:rPr>
          <w:rFonts w:ascii="Arial" w:hAnsi="Arial" w:cs="Arial"/>
          <w:sz w:val="24"/>
          <w:szCs w:val="24"/>
        </w:rPr>
      </w:pPr>
      <w:r w:rsidRPr="00EF4617">
        <w:rPr>
          <w:rFonts w:ascii="Arial" w:hAnsi="Arial" w:cs="Arial"/>
          <w:b/>
          <w:sz w:val="24"/>
          <w:szCs w:val="24"/>
        </w:rPr>
        <w:t xml:space="preserve">Keywords: </w:t>
      </w:r>
      <w:r w:rsidRPr="00EF4617">
        <w:rPr>
          <w:rFonts w:ascii="Arial" w:hAnsi="Arial" w:cs="Arial"/>
          <w:sz w:val="24"/>
          <w:szCs w:val="24"/>
        </w:rPr>
        <w:t xml:space="preserve">Dementia, </w:t>
      </w:r>
      <w:r w:rsidR="003F747B">
        <w:rPr>
          <w:rFonts w:ascii="Arial" w:hAnsi="Arial" w:cs="Arial"/>
          <w:sz w:val="24"/>
          <w:szCs w:val="24"/>
        </w:rPr>
        <w:t>emergency medical services</w:t>
      </w:r>
      <w:r w:rsidRPr="00EF4617">
        <w:rPr>
          <w:rFonts w:ascii="Arial" w:hAnsi="Arial" w:cs="Arial"/>
          <w:sz w:val="24"/>
          <w:szCs w:val="24"/>
        </w:rPr>
        <w:t xml:space="preserve">, </w:t>
      </w:r>
      <w:r w:rsidR="003E7C80" w:rsidRPr="00EF4617">
        <w:rPr>
          <w:rFonts w:ascii="Arial" w:hAnsi="Arial" w:cs="Arial"/>
          <w:sz w:val="24"/>
          <w:szCs w:val="24"/>
        </w:rPr>
        <w:t xml:space="preserve">clinical </w:t>
      </w:r>
      <w:r w:rsidRPr="00EF4617">
        <w:rPr>
          <w:rFonts w:ascii="Arial" w:hAnsi="Arial" w:cs="Arial"/>
          <w:sz w:val="24"/>
          <w:szCs w:val="24"/>
        </w:rPr>
        <w:t>audit</w:t>
      </w:r>
    </w:p>
    <w:p w:rsidR="00376BA7" w:rsidRPr="00EF4617" w:rsidRDefault="00376BA7" w:rsidP="00EF4617">
      <w:pPr>
        <w:spacing w:line="240" w:lineRule="auto"/>
        <w:rPr>
          <w:rFonts w:ascii="Arial" w:hAnsi="Arial" w:cs="Arial"/>
          <w:sz w:val="24"/>
          <w:szCs w:val="24"/>
        </w:rPr>
      </w:pPr>
      <w:r w:rsidRPr="00890754">
        <w:rPr>
          <w:rFonts w:ascii="Arial" w:hAnsi="Arial" w:cs="Arial"/>
          <w:b/>
          <w:sz w:val="24"/>
          <w:szCs w:val="24"/>
        </w:rPr>
        <w:t>Word count:</w:t>
      </w:r>
      <w:r w:rsidRPr="00890754">
        <w:rPr>
          <w:rFonts w:ascii="Arial" w:hAnsi="Arial" w:cs="Arial"/>
          <w:sz w:val="24"/>
          <w:szCs w:val="24"/>
        </w:rPr>
        <w:t xml:space="preserve"> </w:t>
      </w:r>
      <w:r w:rsidR="00B248CB">
        <w:rPr>
          <w:rFonts w:ascii="Arial" w:hAnsi="Arial" w:cs="Arial"/>
          <w:sz w:val="24"/>
          <w:szCs w:val="24"/>
        </w:rPr>
        <w:t>30</w:t>
      </w:r>
      <w:r w:rsidR="00FF65DE">
        <w:rPr>
          <w:rFonts w:ascii="Arial" w:hAnsi="Arial" w:cs="Arial"/>
          <w:sz w:val="24"/>
          <w:szCs w:val="24"/>
        </w:rPr>
        <w:t>00</w:t>
      </w:r>
    </w:p>
    <w:p w:rsidR="00376BA7" w:rsidRPr="00EF4617" w:rsidRDefault="00376BA7" w:rsidP="00EF4617">
      <w:pPr>
        <w:spacing w:line="240" w:lineRule="auto"/>
        <w:rPr>
          <w:rFonts w:ascii="Arial" w:hAnsi="Arial" w:cs="Arial"/>
          <w:b/>
          <w:sz w:val="24"/>
          <w:szCs w:val="24"/>
        </w:rPr>
      </w:pPr>
      <w:r w:rsidRPr="00EF4617">
        <w:rPr>
          <w:rFonts w:ascii="Arial" w:hAnsi="Arial" w:cs="Arial"/>
          <w:b/>
          <w:sz w:val="24"/>
          <w:szCs w:val="24"/>
        </w:rPr>
        <w:br w:type="page"/>
      </w:r>
    </w:p>
    <w:p w:rsidR="00891494" w:rsidRPr="00EF4617" w:rsidRDefault="00891494" w:rsidP="00EF4617">
      <w:pPr>
        <w:spacing w:line="240" w:lineRule="auto"/>
        <w:rPr>
          <w:rFonts w:ascii="Arial" w:hAnsi="Arial" w:cs="Arial"/>
          <w:b/>
          <w:sz w:val="24"/>
          <w:szCs w:val="24"/>
        </w:rPr>
      </w:pPr>
      <w:r w:rsidRPr="00EF4617">
        <w:rPr>
          <w:rFonts w:ascii="Arial" w:hAnsi="Arial" w:cs="Arial"/>
          <w:b/>
          <w:sz w:val="24"/>
          <w:szCs w:val="24"/>
        </w:rPr>
        <w:lastRenderedPageBreak/>
        <w:t>Abstract</w:t>
      </w:r>
      <w:r w:rsidR="00AE47C6" w:rsidRPr="00EF4617">
        <w:rPr>
          <w:rFonts w:ascii="Arial" w:hAnsi="Arial" w:cs="Arial"/>
          <w:b/>
          <w:sz w:val="24"/>
          <w:szCs w:val="24"/>
        </w:rPr>
        <w:t xml:space="preserve"> </w:t>
      </w:r>
    </w:p>
    <w:p w:rsidR="00AE47C6" w:rsidRPr="00EF4617" w:rsidRDefault="00AE47C6" w:rsidP="00EF4617">
      <w:pPr>
        <w:spacing w:line="240" w:lineRule="auto"/>
        <w:rPr>
          <w:rFonts w:ascii="Arial" w:hAnsi="Arial" w:cs="Arial"/>
          <w:sz w:val="24"/>
          <w:szCs w:val="24"/>
        </w:rPr>
      </w:pPr>
      <w:r w:rsidRPr="00EF4617">
        <w:rPr>
          <w:rFonts w:ascii="Arial" w:hAnsi="Arial" w:cs="Arial"/>
          <w:b/>
          <w:sz w:val="24"/>
          <w:szCs w:val="24"/>
        </w:rPr>
        <w:t xml:space="preserve">Background: </w:t>
      </w:r>
      <w:r w:rsidR="00D644C0" w:rsidRPr="00EF4617">
        <w:rPr>
          <w:rFonts w:ascii="Arial" w:hAnsi="Arial" w:cs="Arial"/>
          <w:sz w:val="24"/>
          <w:szCs w:val="24"/>
        </w:rPr>
        <w:t>Dementia is a common diagnosis in older people</w:t>
      </w:r>
      <w:r w:rsidR="00561EF9" w:rsidRPr="00EF4617">
        <w:rPr>
          <w:rFonts w:ascii="Arial" w:hAnsi="Arial" w:cs="Arial"/>
          <w:sz w:val="24"/>
          <w:szCs w:val="24"/>
        </w:rPr>
        <w:t>. It is</w:t>
      </w:r>
      <w:r w:rsidR="00D644C0" w:rsidRPr="00EF4617">
        <w:rPr>
          <w:rFonts w:ascii="Arial" w:hAnsi="Arial" w:cs="Arial"/>
          <w:sz w:val="24"/>
          <w:szCs w:val="24"/>
        </w:rPr>
        <w:t xml:space="preserve"> important to identify </w:t>
      </w:r>
      <w:r w:rsidRPr="00EF4617">
        <w:rPr>
          <w:rFonts w:ascii="Arial" w:hAnsi="Arial" w:cs="Arial"/>
          <w:sz w:val="24"/>
          <w:szCs w:val="24"/>
        </w:rPr>
        <w:t xml:space="preserve">and record </w:t>
      </w:r>
      <w:r w:rsidR="00561EF9" w:rsidRPr="00EF4617">
        <w:rPr>
          <w:rFonts w:ascii="Arial" w:hAnsi="Arial" w:cs="Arial"/>
          <w:sz w:val="24"/>
          <w:szCs w:val="24"/>
        </w:rPr>
        <w:t xml:space="preserve">dementia </w:t>
      </w:r>
      <w:r w:rsidR="00D644C0" w:rsidRPr="00EF4617">
        <w:rPr>
          <w:rFonts w:ascii="Arial" w:hAnsi="Arial" w:cs="Arial"/>
          <w:sz w:val="24"/>
          <w:szCs w:val="24"/>
        </w:rPr>
        <w:t>on emergency call-outs</w:t>
      </w:r>
      <w:r w:rsidR="00561EF9" w:rsidRPr="00EF4617">
        <w:rPr>
          <w:rFonts w:ascii="Arial" w:hAnsi="Arial" w:cs="Arial"/>
          <w:sz w:val="24"/>
          <w:szCs w:val="24"/>
        </w:rPr>
        <w:t>,</w:t>
      </w:r>
      <w:r w:rsidR="00D644C0" w:rsidRPr="00EF4617">
        <w:rPr>
          <w:rFonts w:ascii="Arial" w:hAnsi="Arial" w:cs="Arial"/>
          <w:sz w:val="24"/>
          <w:szCs w:val="24"/>
        </w:rPr>
        <w:t xml:space="preserve"> as it impact</w:t>
      </w:r>
      <w:r w:rsidR="00561EF9" w:rsidRPr="00EF4617">
        <w:rPr>
          <w:rFonts w:ascii="Arial" w:hAnsi="Arial" w:cs="Arial"/>
          <w:sz w:val="24"/>
          <w:szCs w:val="24"/>
        </w:rPr>
        <w:t>s</w:t>
      </w:r>
      <w:r w:rsidR="00D644C0" w:rsidRPr="00EF4617">
        <w:rPr>
          <w:rFonts w:ascii="Arial" w:hAnsi="Arial" w:cs="Arial"/>
          <w:sz w:val="24"/>
          <w:szCs w:val="24"/>
        </w:rPr>
        <w:t xml:space="preserve"> on subsequent </w:t>
      </w:r>
      <w:r w:rsidR="00561EF9" w:rsidRPr="00EF4617">
        <w:rPr>
          <w:rFonts w:ascii="Arial" w:hAnsi="Arial" w:cs="Arial"/>
          <w:sz w:val="24"/>
          <w:szCs w:val="24"/>
        </w:rPr>
        <w:t xml:space="preserve">care </w:t>
      </w:r>
      <w:r w:rsidR="00D644C0" w:rsidRPr="00EF4617">
        <w:rPr>
          <w:rFonts w:ascii="Arial" w:hAnsi="Arial" w:cs="Arial"/>
          <w:sz w:val="24"/>
          <w:szCs w:val="24"/>
        </w:rPr>
        <w:t xml:space="preserve">decisions. </w:t>
      </w:r>
      <w:r w:rsidRPr="00EF4617">
        <w:rPr>
          <w:rFonts w:ascii="Arial" w:hAnsi="Arial" w:cs="Arial"/>
          <w:sz w:val="24"/>
          <w:szCs w:val="24"/>
        </w:rPr>
        <w:t>A</w:t>
      </w:r>
      <w:r w:rsidR="007F779C" w:rsidRPr="00EF4617">
        <w:rPr>
          <w:rFonts w:ascii="Arial" w:hAnsi="Arial" w:cs="Arial"/>
          <w:sz w:val="24"/>
          <w:szCs w:val="24"/>
        </w:rPr>
        <w:t xml:space="preserve">mbulance services </w:t>
      </w:r>
      <w:r w:rsidRPr="00EF4617">
        <w:rPr>
          <w:rFonts w:ascii="Arial" w:hAnsi="Arial" w:cs="Arial"/>
          <w:sz w:val="24"/>
          <w:szCs w:val="24"/>
        </w:rPr>
        <w:t xml:space="preserve">are changing </w:t>
      </w:r>
      <w:r w:rsidR="007F779C" w:rsidRPr="00EF4617">
        <w:rPr>
          <w:rFonts w:ascii="Arial" w:hAnsi="Arial" w:cs="Arial"/>
          <w:sz w:val="24"/>
          <w:szCs w:val="24"/>
        </w:rPr>
        <w:t xml:space="preserve">from paper to electronic </w:t>
      </w:r>
      <w:r w:rsidRPr="00EF4617">
        <w:rPr>
          <w:rFonts w:ascii="Arial" w:hAnsi="Arial" w:cs="Arial"/>
          <w:sz w:val="24"/>
          <w:szCs w:val="24"/>
        </w:rPr>
        <w:t xml:space="preserve">patient </w:t>
      </w:r>
      <w:r w:rsidR="007F779C" w:rsidRPr="00EF4617">
        <w:rPr>
          <w:rFonts w:ascii="Arial" w:hAnsi="Arial" w:cs="Arial"/>
          <w:sz w:val="24"/>
          <w:szCs w:val="24"/>
        </w:rPr>
        <w:t>records</w:t>
      </w:r>
      <w:r w:rsidRPr="00EF4617">
        <w:rPr>
          <w:rFonts w:ascii="Arial" w:hAnsi="Arial" w:cs="Arial"/>
          <w:sz w:val="24"/>
          <w:szCs w:val="24"/>
        </w:rPr>
        <w:t xml:space="preserve"> (</w:t>
      </w:r>
      <w:r w:rsidR="00C67C67" w:rsidRPr="00EF4617">
        <w:rPr>
          <w:rFonts w:ascii="Arial" w:hAnsi="Arial" w:cs="Arial"/>
          <w:sz w:val="24"/>
          <w:szCs w:val="24"/>
        </w:rPr>
        <w:t>EPR</w:t>
      </w:r>
      <w:r w:rsidR="00664E02" w:rsidRPr="00EF4617">
        <w:rPr>
          <w:rFonts w:ascii="Arial" w:hAnsi="Arial" w:cs="Arial"/>
          <w:sz w:val="24"/>
          <w:szCs w:val="24"/>
        </w:rPr>
        <w:t>s</w:t>
      </w:r>
      <w:r w:rsidRPr="00EF4617">
        <w:rPr>
          <w:rFonts w:ascii="Arial" w:hAnsi="Arial" w:cs="Arial"/>
          <w:sz w:val="24"/>
          <w:szCs w:val="24"/>
        </w:rPr>
        <w:t xml:space="preserve">), but there is limited data on how frequently and in which sections of the </w:t>
      </w:r>
      <w:r w:rsidR="00C67C67" w:rsidRPr="00EF4617">
        <w:rPr>
          <w:rFonts w:ascii="Arial" w:hAnsi="Arial" w:cs="Arial"/>
          <w:sz w:val="24"/>
          <w:szCs w:val="24"/>
        </w:rPr>
        <w:t>EPR</w:t>
      </w:r>
      <w:r w:rsidRPr="00EF4617">
        <w:rPr>
          <w:rFonts w:ascii="Arial" w:hAnsi="Arial" w:cs="Arial"/>
          <w:sz w:val="24"/>
          <w:szCs w:val="24"/>
        </w:rPr>
        <w:t xml:space="preserve"> dementia is being recorded.</w:t>
      </w:r>
      <w:r w:rsidR="00E66D2A" w:rsidRPr="00EF4617">
        <w:rPr>
          <w:rFonts w:ascii="Arial" w:hAnsi="Arial" w:cs="Arial"/>
          <w:sz w:val="24"/>
          <w:szCs w:val="24"/>
        </w:rPr>
        <w:t xml:space="preserve"> </w:t>
      </w:r>
    </w:p>
    <w:p w:rsidR="00D644C0" w:rsidRPr="00EF4617" w:rsidRDefault="00AE47C6" w:rsidP="00EF4617">
      <w:pPr>
        <w:spacing w:line="240" w:lineRule="auto"/>
        <w:rPr>
          <w:rFonts w:ascii="Arial" w:hAnsi="Arial" w:cs="Arial"/>
          <w:sz w:val="24"/>
          <w:szCs w:val="24"/>
        </w:rPr>
      </w:pPr>
      <w:r w:rsidRPr="00EF4617">
        <w:rPr>
          <w:rFonts w:ascii="Arial" w:hAnsi="Arial" w:cs="Arial"/>
          <w:b/>
          <w:sz w:val="24"/>
          <w:szCs w:val="24"/>
        </w:rPr>
        <w:t>Aims:</w:t>
      </w:r>
      <w:r w:rsidRPr="00EF4617">
        <w:rPr>
          <w:rFonts w:ascii="Arial" w:hAnsi="Arial" w:cs="Arial"/>
          <w:sz w:val="24"/>
          <w:szCs w:val="24"/>
        </w:rPr>
        <w:t xml:space="preserve"> </w:t>
      </w:r>
      <w:r w:rsidR="00D644C0" w:rsidRPr="00EF4617">
        <w:rPr>
          <w:rFonts w:ascii="Arial" w:hAnsi="Arial" w:cs="Arial"/>
          <w:sz w:val="24"/>
          <w:szCs w:val="24"/>
        </w:rPr>
        <w:t xml:space="preserve"> </w:t>
      </w:r>
      <w:r w:rsidRPr="00EF4617">
        <w:rPr>
          <w:rFonts w:ascii="Arial" w:hAnsi="Arial" w:cs="Arial"/>
          <w:sz w:val="24"/>
          <w:szCs w:val="24"/>
        </w:rPr>
        <w:t xml:space="preserve">To audit the proportion of ambulance </w:t>
      </w:r>
      <w:r w:rsidR="00C67C67" w:rsidRPr="00EF4617">
        <w:rPr>
          <w:rFonts w:ascii="Arial" w:hAnsi="Arial" w:cs="Arial"/>
          <w:sz w:val="24"/>
          <w:szCs w:val="24"/>
        </w:rPr>
        <w:t>EPR</w:t>
      </w:r>
      <w:r w:rsidRPr="00EF4617">
        <w:rPr>
          <w:rFonts w:ascii="Arial" w:hAnsi="Arial" w:cs="Arial"/>
          <w:sz w:val="24"/>
          <w:szCs w:val="24"/>
        </w:rPr>
        <w:t xml:space="preserve">s where dementia is recorded for patients aged (i) 65 and above; (ii) 75 and above, and to describe the </w:t>
      </w:r>
      <w:r w:rsidR="00401C20" w:rsidRPr="00EF4617">
        <w:rPr>
          <w:rFonts w:ascii="Arial" w:hAnsi="Arial" w:cs="Arial"/>
          <w:sz w:val="24"/>
          <w:szCs w:val="24"/>
        </w:rPr>
        <w:t>sections</w:t>
      </w:r>
      <w:r w:rsidRPr="00EF4617">
        <w:rPr>
          <w:rFonts w:ascii="Arial" w:hAnsi="Arial" w:cs="Arial"/>
          <w:sz w:val="24"/>
          <w:szCs w:val="24"/>
        </w:rPr>
        <w:t xml:space="preserve"> in the </w:t>
      </w:r>
      <w:r w:rsidR="00C67C67" w:rsidRPr="00EF4617">
        <w:rPr>
          <w:rFonts w:ascii="Arial" w:hAnsi="Arial" w:cs="Arial"/>
          <w:sz w:val="24"/>
          <w:szCs w:val="24"/>
        </w:rPr>
        <w:t>EPR</w:t>
      </w:r>
      <w:r w:rsidRPr="00EF4617">
        <w:rPr>
          <w:rFonts w:ascii="Arial" w:hAnsi="Arial" w:cs="Arial"/>
          <w:sz w:val="24"/>
          <w:szCs w:val="24"/>
        </w:rPr>
        <w:t xml:space="preserve"> in which dementia is recorded</w:t>
      </w:r>
      <w:r w:rsidR="00E66D2A" w:rsidRPr="00EF4617">
        <w:rPr>
          <w:rFonts w:ascii="Arial" w:hAnsi="Arial" w:cs="Arial"/>
          <w:sz w:val="24"/>
          <w:szCs w:val="24"/>
        </w:rPr>
        <w:t>, as there is currently no standardised button or field available to be used</w:t>
      </w:r>
      <w:r w:rsidRPr="00EF4617">
        <w:rPr>
          <w:rFonts w:ascii="Arial" w:hAnsi="Arial" w:cs="Arial"/>
          <w:sz w:val="24"/>
          <w:szCs w:val="24"/>
        </w:rPr>
        <w:t>.</w:t>
      </w:r>
    </w:p>
    <w:p w:rsidR="00AE47C6" w:rsidRPr="00EF4617" w:rsidRDefault="00AE47C6" w:rsidP="00EF4617">
      <w:pPr>
        <w:spacing w:line="240" w:lineRule="auto"/>
        <w:rPr>
          <w:rFonts w:ascii="Arial" w:hAnsi="Arial" w:cs="Arial"/>
          <w:sz w:val="24"/>
          <w:szCs w:val="24"/>
        </w:rPr>
      </w:pPr>
      <w:r w:rsidRPr="00EF4617">
        <w:rPr>
          <w:rFonts w:ascii="Arial" w:hAnsi="Arial" w:cs="Arial"/>
          <w:b/>
          <w:sz w:val="24"/>
          <w:szCs w:val="24"/>
        </w:rPr>
        <w:t xml:space="preserve">Results: </w:t>
      </w:r>
      <w:r w:rsidR="00561EF9" w:rsidRPr="00EF4617">
        <w:rPr>
          <w:rFonts w:ascii="Arial" w:hAnsi="Arial" w:cs="Arial"/>
          <w:sz w:val="24"/>
          <w:szCs w:val="24"/>
        </w:rPr>
        <w:t xml:space="preserve">A total of </w:t>
      </w:r>
      <w:r w:rsidR="004C4217" w:rsidRPr="00EF4617">
        <w:rPr>
          <w:rFonts w:ascii="Arial" w:hAnsi="Arial" w:cs="Arial"/>
          <w:sz w:val="24"/>
          <w:szCs w:val="24"/>
        </w:rPr>
        <w:t>314,786</w:t>
      </w:r>
      <w:r w:rsidR="00561EF9" w:rsidRPr="00EF4617">
        <w:rPr>
          <w:rFonts w:ascii="Arial" w:hAnsi="Arial" w:cs="Arial"/>
          <w:sz w:val="24"/>
          <w:szCs w:val="24"/>
        </w:rPr>
        <w:t xml:space="preserve"> </w:t>
      </w:r>
      <w:r w:rsidR="00C67C67" w:rsidRPr="00EF4617">
        <w:rPr>
          <w:rFonts w:ascii="Arial" w:hAnsi="Arial" w:cs="Arial"/>
          <w:sz w:val="24"/>
          <w:szCs w:val="24"/>
        </w:rPr>
        <w:t>EPR</w:t>
      </w:r>
      <w:r w:rsidR="00561EF9" w:rsidRPr="00EF4617">
        <w:rPr>
          <w:rFonts w:ascii="Arial" w:hAnsi="Arial" w:cs="Arial"/>
          <w:sz w:val="24"/>
          <w:szCs w:val="24"/>
        </w:rPr>
        <w:t xml:space="preserve">s were included in the audit, over </w:t>
      </w:r>
      <w:r w:rsidR="00664E02" w:rsidRPr="00EF4617">
        <w:rPr>
          <w:rFonts w:ascii="Arial" w:hAnsi="Arial" w:cs="Arial"/>
          <w:sz w:val="24"/>
          <w:szCs w:val="24"/>
        </w:rPr>
        <w:t xml:space="preserve">a </w:t>
      </w:r>
      <w:r w:rsidR="00561EF9" w:rsidRPr="00EF4617">
        <w:rPr>
          <w:rFonts w:ascii="Arial" w:hAnsi="Arial" w:cs="Arial"/>
          <w:sz w:val="24"/>
          <w:szCs w:val="24"/>
        </w:rPr>
        <w:t>one year</w:t>
      </w:r>
      <w:r w:rsidR="00664E02" w:rsidRPr="00EF4617">
        <w:rPr>
          <w:rFonts w:ascii="Arial" w:hAnsi="Arial" w:cs="Arial"/>
          <w:sz w:val="24"/>
          <w:szCs w:val="24"/>
        </w:rPr>
        <w:t xml:space="preserve"> period</w:t>
      </w:r>
      <w:r w:rsidR="00561EF9" w:rsidRPr="00EF4617">
        <w:rPr>
          <w:rFonts w:ascii="Arial" w:hAnsi="Arial" w:cs="Arial"/>
          <w:sz w:val="24"/>
          <w:szCs w:val="24"/>
        </w:rPr>
        <w:t xml:space="preserve">. </w:t>
      </w:r>
      <w:r w:rsidR="00E66D2A" w:rsidRPr="00EF4617">
        <w:rPr>
          <w:rFonts w:ascii="Arial" w:hAnsi="Arial" w:cs="Arial"/>
          <w:sz w:val="24"/>
          <w:szCs w:val="24"/>
        </w:rPr>
        <w:t xml:space="preserve">The proportion of attended calls with ‘dementia’ recorded in the </w:t>
      </w:r>
      <w:r w:rsidR="00C67C67" w:rsidRPr="00EF4617">
        <w:rPr>
          <w:rFonts w:ascii="Arial" w:hAnsi="Arial" w:cs="Arial"/>
          <w:sz w:val="24"/>
          <w:szCs w:val="24"/>
        </w:rPr>
        <w:t>EPR</w:t>
      </w:r>
      <w:r w:rsidR="00E66D2A" w:rsidRPr="00EF4617">
        <w:rPr>
          <w:rFonts w:ascii="Arial" w:hAnsi="Arial" w:cs="Arial"/>
          <w:sz w:val="24"/>
          <w:szCs w:val="24"/>
        </w:rPr>
        <w:t xml:space="preserve"> in patients 65</w:t>
      </w:r>
      <w:r w:rsidR="00664E02" w:rsidRPr="00EF4617">
        <w:rPr>
          <w:rFonts w:ascii="Arial" w:hAnsi="Arial" w:cs="Arial"/>
          <w:sz w:val="24"/>
          <w:szCs w:val="24"/>
        </w:rPr>
        <w:t>+</w:t>
      </w:r>
      <w:r w:rsidR="00E66D2A" w:rsidRPr="00EF4617">
        <w:rPr>
          <w:rFonts w:ascii="Arial" w:hAnsi="Arial" w:cs="Arial"/>
          <w:sz w:val="24"/>
          <w:szCs w:val="24"/>
        </w:rPr>
        <w:t xml:space="preserve"> was </w:t>
      </w:r>
      <w:r w:rsidR="004C4217" w:rsidRPr="00EF4617">
        <w:rPr>
          <w:rFonts w:ascii="Arial" w:hAnsi="Arial" w:cs="Arial"/>
          <w:sz w:val="24"/>
          <w:szCs w:val="24"/>
        </w:rPr>
        <w:t>13.5</w:t>
      </w:r>
      <w:r w:rsidR="00E66D2A" w:rsidRPr="00EF4617">
        <w:rPr>
          <w:rFonts w:ascii="Arial" w:hAnsi="Arial" w:cs="Arial"/>
          <w:sz w:val="24"/>
          <w:szCs w:val="24"/>
        </w:rPr>
        <w:t xml:space="preserve">%, increasing to </w:t>
      </w:r>
      <w:r w:rsidR="004C4217" w:rsidRPr="00EF4617">
        <w:rPr>
          <w:rFonts w:ascii="Arial" w:hAnsi="Arial" w:cs="Arial"/>
          <w:sz w:val="24"/>
          <w:szCs w:val="24"/>
        </w:rPr>
        <w:t>16.5</w:t>
      </w:r>
      <w:r w:rsidR="00E66D2A" w:rsidRPr="00EF4617">
        <w:rPr>
          <w:rFonts w:ascii="Arial" w:hAnsi="Arial" w:cs="Arial"/>
          <w:sz w:val="24"/>
          <w:szCs w:val="24"/>
        </w:rPr>
        <w:t>% in patients aged 75</w:t>
      </w:r>
      <w:r w:rsidR="00664E02" w:rsidRPr="00EF4617">
        <w:rPr>
          <w:rFonts w:ascii="Arial" w:hAnsi="Arial" w:cs="Arial"/>
          <w:sz w:val="24"/>
          <w:szCs w:val="24"/>
        </w:rPr>
        <w:t>+</w:t>
      </w:r>
      <w:r w:rsidR="00E66D2A" w:rsidRPr="00EF4617">
        <w:rPr>
          <w:rFonts w:ascii="Arial" w:hAnsi="Arial" w:cs="Arial"/>
          <w:sz w:val="24"/>
          <w:szCs w:val="24"/>
        </w:rPr>
        <w:t>, which is similar to that recorded in previous literature. For patients aged 75</w:t>
      </w:r>
      <w:r w:rsidR="00664E02" w:rsidRPr="00EF4617">
        <w:rPr>
          <w:rFonts w:ascii="Arial" w:hAnsi="Arial" w:cs="Arial"/>
          <w:sz w:val="24"/>
          <w:szCs w:val="24"/>
        </w:rPr>
        <w:t xml:space="preserve">+ </w:t>
      </w:r>
      <w:r w:rsidR="00E66D2A" w:rsidRPr="00EF4617">
        <w:rPr>
          <w:rFonts w:ascii="Arial" w:hAnsi="Arial" w:cs="Arial"/>
          <w:sz w:val="24"/>
          <w:szCs w:val="24"/>
        </w:rPr>
        <w:t xml:space="preserve">conveyed to hospital, </w:t>
      </w:r>
      <w:r w:rsidR="00FC68CE" w:rsidRPr="00EF4617">
        <w:rPr>
          <w:rFonts w:ascii="Arial" w:hAnsi="Arial" w:cs="Arial"/>
          <w:sz w:val="24"/>
          <w:szCs w:val="24"/>
        </w:rPr>
        <w:t>15.2%</w:t>
      </w:r>
      <w:r w:rsidR="00E66D2A" w:rsidRPr="00EF4617">
        <w:rPr>
          <w:rFonts w:ascii="Arial" w:hAnsi="Arial" w:cs="Arial"/>
          <w:sz w:val="24"/>
          <w:szCs w:val="24"/>
        </w:rPr>
        <w:t xml:space="preserve"> had ‘dementia’ recorded in the </w:t>
      </w:r>
      <w:r w:rsidR="00C67C67" w:rsidRPr="00EF4617">
        <w:rPr>
          <w:rFonts w:ascii="Arial" w:hAnsi="Arial" w:cs="Arial"/>
          <w:sz w:val="24"/>
          <w:szCs w:val="24"/>
        </w:rPr>
        <w:t>EPR</w:t>
      </w:r>
      <w:r w:rsidR="00E66D2A" w:rsidRPr="00EF4617">
        <w:rPr>
          <w:rFonts w:ascii="Arial" w:hAnsi="Arial" w:cs="Arial"/>
          <w:sz w:val="24"/>
          <w:szCs w:val="24"/>
        </w:rPr>
        <w:t xml:space="preserve">, which may indicate under-recording. </w:t>
      </w:r>
      <w:r w:rsidR="00FC68CE" w:rsidRPr="00EF4617">
        <w:rPr>
          <w:rFonts w:ascii="Arial" w:hAnsi="Arial" w:cs="Arial"/>
          <w:sz w:val="24"/>
          <w:szCs w:val="24"/>
        </w:rPr>
        <w:t>R</w:t>
      </w:r>
      <w:r w:rsidR="00E66D2A" w:rsidRPr="00EF4617">
        <w:rPr>
          <w:rFonts w:ascii="Arial" w:hAnsi="Arial" w:cs="Arial"/>
          <w:sz w:val="24"/>
          <w:szCs w:val="24"/>
        </w:rPr>
        <w:t>ecording of dementia between Clinical Commissioning Group</w:t>
      </w:r>
      <w:r w:rsidR="00664E02" w:rsidRPr="00EF4617">
        <w:rPr>
          <w:rFonts w:ascii="Arial" w:hAnsi="Arial" w:cs="Arial"/>
          <w:sz w:val="24"/>
          <w:szCs w:val="24"/>
        </w:rPr>
        <w:t>s</w:t>
      </w:r>
      <w:r w:rsidR="00E66D2A" w:rsidRPr="00EF4617">
        <w:rPr>
          <w:rFonts w:ascii="Arial" w:hAnsi="Arial" w:cs="Arial"/>
          <w:sz w:val="24"/>
          <w:szCs w:val="24"/>
        </w:rPr>
        <w:t xml:space="preserve"> </w:t>
      </w:r>
      <w:r w:rsidR="00FC68CE" w:rsidRPr="00EF4617">
        <w:rPr>
          <w:rFonts w:ascii="Arial" w:hAnsi="Arial" w:cs="Arial"/>
          <w:sz w:val="24"/>
          <w:szCs w:val="24"/>
        </w:rPr>
        <w:t>varied between 11.0%</w:t>
      </w:r>
      <w:r w:rsidR="00E66D2A" w:rsidRPr="00EF4617">
        <w:rPr>
          <w:rFonts w:ascii="Arial" w:hAnsi="Arial" w:cs="Arial"/>
          <w:sz w:val="24"/>
          <w:szCs w:val="24"/>
        </w:rPr>
        <w:t xml:space="preserve"> </w:t>
      </w:r>
      <w:r w:rsidR="00863FDF">
        <w:rPr>
          <w:rFonts w:ascii="Arial" w:hAnsi="Arial" w:cs="Arial"/>
          <w:sz w:val="24"/>
          <w:szCs w:val="24"/>
        </w:rPr>
        <w:t>and</w:t>
      </w:r>
      <w:r w:rsidR="00E66D2A" w:rsidRPr="00EF4617">
        <w:rPr>
          <w:rFonts w:ascii="Arial" w:hAnsi="Arial" w:cs="Arial"/>
          <w:sz w:val="24"/>
          <w:szCs w:val="24"/>
        </w:rPr>
        <w:t xml:space="preserve"> </w:t>
      </w:r>
      <w:r w:rsidR="00FC68CE" w:rsidRPr="00EF4617">
        <w:rPr>
          <w:rFonts w:ascii="Arial" w:hAnsi="Arial" w:cs="Arial"/>
          <w:sz w:val="24"/>
          <w:szCs w:val="24"/>
        </w:rPr>
        <w:t>15.3%</w:t>
      </w:r>
      <w:r w:rsidR="00E66D2A" w:rsidRPr="00EF4617">
        <w:rPr>
          <w:rFonts w:ascii="Arial" w:hAnsi="Arial" w:cs="Arial"/>
          <w:sz w:val="24"/>
          <w:szCs w:val="24"/>
        </w:rPr>
        <w:t xml:space="preserve">. Dementia was recorded in </w:t>
      </w:r>
      <w:r w:rsidR="00BF1818" w:rsidRPr="00EF4617">
        <w:rPr>
          <w:rFonts w:ascii="Arial" w:hAnsi="Arial" w:cs="Arial"/>
          <w:sz w:val="24"/>
          <w:szCs w:val="24"/>
        </w:rPr>
        <w:t>16</w:t>
      </w:r>
      <w:r w:rsidR="00E66D2A" w:rsidRPr="00EF4617">
        <w:rPr>
          <w:rFonts w:ascii="Arial" w:hAnsi="Arial" w:cs="Arial"/>
          <w:sz w:val="24"/>
          <w:szCs w:val="24"/>
        </w:rPr>
        <w:t xml:space="preserve"> different free-text fields, and </w:t>
      </w:r>
      <w:r w:rsidR="00BF1818" w:rsidRPr="00EF4617">
        <w:rPr>
          <w:rFonts w:ascii="Arial" w:hAnsi="Arial" w:cs="Arial"/>
          <w:sz w:val="24"/>
          <w:szCs w:val="24"/>
        </w:rPr>
        <w:t>38.4% of</w:t>
      </w:r>
      <w:r w:rsidR="00E66D2A" w:rsidRPr="00EF4617">
        <w:rPr>
          <w:rFonts w:ascii="Arial" w:hAnsi="Arial" w:cs="Arial"/>
          <w:sz w:val="24"/>
          <w:szCs w:val="24"/>
        </w:rPr>
        <w:t xml:space="preserve"> records had dementia recorded in more than one field.</w:t>
      </w:r>
    </w:p>
    <w:p w:rsidR="00D644C0" w:rsidRPr="00EF4617" w:rsidRDefault="00AE47C6" w:rsidP="00EF4617">
      <w:pPr>
        <w:spacing w:line="240" w:lineRule="auto"/>
        <w:rPr>
          <w:rFonts w:ascii="Arial" w:hAnsi="Arial" w:cs="Arial"/>
          <w:sz w:val="24"/>
          <w:szCs w:val="24"/>
        </w:rPr>
      </w:pPr>
      <w:r w:rsidRPr="00EF4617">
        <w:rPr>
          <w:rFonts w:ascii="Arial" w:hAnsi="Arial" w:cs="Arial"/>
          <w:b/>
          <w:sz w:val="24"/>
          <w:szCs w:val="24"/>
        </w:rPr>
        <w:t>Conclusion:</w:t>
      </w:r>
      <w:r w:rsidR="00E66D2A" w:rsidRPr="00EF4617">
        <w:rPr>
          <w:rFonts w:ascii="Arial" w:hAnsi="Arial" w:cs="Arial"/>
          <w:sz w:val="24"/>
          <w:szCs w:val="24"/>
        </w:rPr>
        <w:t xml:space="preserve"> </w:t>
      </w:r>
      <w:r w:rsidR="008C0F96" w:rsidRPr="00EF4617">
        <w:rPr>
          <w:rFonts w:ascii="Arial" w:hAnsi="Arial" w:cs="Arial"/>
          <w:sz w:val="24"/>
          <w:szCs w:val="24"/>
        </w:rPr>
        <w:t xml:space="preserve">This audit demonstrates high variability in both the frequency of recording dementia and also the location in the </w:t>
      </w:r>
      <w:r w:rsidR="00C67C67" w:rsidRPr="00EF4617">
        <w:rPr>
          <w:rFonts w:ascii="Arial" w:hAnsi="Arial" w:cs="Arial"/>
          <w:sz w:val="24"/>
          <w:szCs w:val="24"/>
        </w:rPr>
        <w:t>EPR</w:t>
      </w:r>
      <w:r w:rsidR="008C0F96" w:rsidRPr="00EF4617">
        <w:rPr>
          <w:rFonts w:ascii="Arial" w:hAnsi="Arial" w:cs="Arial"/>
          <w:sz w:val="24"/>
          <w:szCs w:val="24"/>
        </w:rPr>
        <w:t xml:space="preserve">. To ensure consistent recording and ease of retrieval to inform patient care and handover, we propose the </w:t>
      </w:r>
      <w:r w:rsidR="00C67C67" w:rsidRPr="00EF4617">
        <w:rPr>
          <w:rFonts w:ascii="Arial" w:hAnsi="Arial" w:cs="Arial"/>
          <w:sz w:val="24"/>
          <w:szCs w:val="24"/>
        </w:rPr>
        <w:t>EPR</w:t>
      </w:r>
      <w:r w:rsidR="008C0F96" w:rsidRPr="00EF4617">
        <w:rPr>
          <w:rFonts w:ascii="Arial" w:hAnsi="Arial" w:cs="Arial"/>
          <w:sz w:val="24"/>
          <w:szCs w:val="24"/>
        </w:rPr>
        <w:t xml:space="preserve"> should be modified </w:t>
      </w:r>
      <w:r w:rsidR="00664E02" w:rsidRPr="00EF4617">
        <w:rPr>
          <w:rFonts w:ascii="Arial" w:hAnsi="Arial" w:cs="Arial"/>
          <w:sz w:val="24"/>
          <w:szCs w:val="24"/>
        </w:rPr>
        <w:t>to</w:t>
      </w:r>
      <w:r w:rsidR="008C0F96" w:rsidRPr="00EF4617">
        <w:rPr>
          <w:rFonts w:ascii="Arial" w:hAnsi="Arial" w:cs="Arial"/>
          <w:sz w:val="24"/>
          <w:szCs w:val="24"/>
        </w:rPr>
        <w:t xml:space="preserve"> reflect paramedic</w:t>
      </w:r>
      <w:r w:rsidR="00664E02" w:rsidRPr="00EF4617">
        <w:rPr>
          <w:rFonts w:ascii="Arial" w:hAnsi="Arial" w:cs="Arial"/>
          <w:sz w:val="24"/>
          <w:szCs w:val="24"/>
        </w:rPr>
        <w:t>s</w:t>
      </w:r>
      <w:r w:rsidR="00863FDF">
        <w:rPr>
          <w:rFonts w:ascii="Arial" w:hAnsi="Arial" w:cs="Arial"/>
          <w:sz w:val="24"/>
          <w:szCs w:val="24"/>
        </w:rPr>
        <w:t>’</w:t>
      </w:r>
      <w:r w:rsidR="008C0F96" w:rsidRPr="00EF4617">
        <w:rPr>
          <w:rFonts w:ascii="Arial" w:hAnsi="Arial" w:cs="Arial"/>
          <w:sz w:val="24"/>
          <w:szCs w:val="24"/>
        </w:rPr>
        <w:t xml:space="preserve"> needs, and those of the healthcare staff who receive and act on the report. Enhanced training for paramedics in the importance </w:t>
      </w:r>
      <w:r w:rsidR="00664E02" w:rsidRPr="00EF4617">
        <w:rPr>
          <w:rFonts w:ascii="Arial" w:hAnsi="Arial" w:cs="Arial"/>
          <w:sz w:val="24"/>
          <w:szCs w:val="24"/>
        </w:rPr>
        <w:t xml:space="preserve">and method </w:t>
      </w:r>
      <w:r w:rsidR="008C0F96" w:rsidRPr="00EF4617">
        <w:rPr>
          <w:rFonts w:ascii="Arial" w:hAnsi="Arial" w:cs="Arial"/>
          <w:sz w:val="24"/>
          <w:szCs w:val="24"/>
        </w:rPr>
        <w:t xml:space="preserve">of recording dementia is required. Future data </w:t>
      </w:r>
      <w:r w:rsidR="00664E02" w:rsidRPr="00EF4617">
        <w:rPr>
          <w:rFonts w:ascii="Arial" w:hAnsi="Arial" w:cs="Arial"/>
          <w:sz w:val="24"/>
          <w:szCs w:val="24"/>
        </w:rPr>
        <w:t>will enable</w:t>
      </w:r>
      <w:r w:rsidR="008C0F96" w:rsidRPr="00EF4617">
        <w:rPr>
          <w:rFonts w:ascii="Arial" w:hAnsi="Arial" w:cs="Arial"/>
          <w:sz w:val="24"/>
          <w:szCs w:val="24"/>
        </w:rPr>
        <w:t xml:space="preserve"> accurate monitoring of trends in conveyance</w:t>
      </w:r>
      <w:r w:rsidR="00664E02" w:rsidRPr="00EF4617">
        <w:rPr>
          <w:rFonts w:ascii="Arial" w:hAnsi="Arial" w:cs="Arial"/>
          <w:sz w:val="24"/>
          <w:szCs w:val="24"/>
        </w:rPr>
        <w:t>,</w:t>
      </w:r>
      <w:r w:rsidR="008C0F96" w:rsidRPr="00EF4617">
        <w:rPr>
          <w:rFonts w:ascii="Arial" w:hAnsi="Arial" w:cs="Arial"/>
          <w:sz w:val="24"/>
          <w:szCs w:val="24"/>
        </w:rPr>
        <w:t xml:space="preserve"> and </w:t>
      </w:r>
      <w:r w:rsidR="00664E02" w:rsidRPr="00EF4617">
        <w:rPr>
          <w:rFonts w:ascii="Arial" w:hAnsi="Arial" w:cs="Arial"/>
          <w:sz w:val="24"/>
          <w:szCs w:val="24"/>
        </w:rPr>
        <w:t>inform justifications for alternative services and</w:t>
      </w:r>
      <w:r w:rsidR="008C0F96" w:rsidRPr="00EF4617">
        <w:rPr>
          <w:rFonts w:ascii="Arial" w:hAnsi="Arial" w:cs="Arial"/>
          <w:sz w:val="24"/>
          <w:szCs w:val="24"/>
        </w:rPr>
        <w:t xml:space="preserve"> </w:t>
      </w:r>
      <w:r w:rsidR="00664E02" w:rsidRPr="00EF4617">
        <w:rPr>
          <w:rFonts w:ascii="Arial" w:hAnsi="Arial" w:cs="Arial"/>
          <w:sz w:val="24"/>
          <w:szCs w:val="24"/>
        </w:rPr>
        <w:t xml:space="preserve">novel </w:t>
      </w:r>
      <w:r w:rsidR="008C0F96" w:rsidRPr="00EF4617">
        <w:rPr>
          <w:rFonts w:ascii="Arial" w:hAnsi="Arial" w:cs="Arial"/>
          <w:sz w:val="24"/>
          <w:szCs w:val="24"/>
        </w:rPr>
        <w:t>referral pathways.</w:t>
      </w:r>
      <w:r w:rsidR="00664E02" w:rsidRPr="00EF4617">
        <w:rPr>
          <w:rFonts w:ascii="Arial" w:hAnsi="Arial" w:cs="Arial"/>
          <w:sz w:val="24"/>
          <w:szCs w:val="24"/>
        </w:rPr>
        <w:t xml:space="preserve"> </w:t>
      </w:r>
    </w:p>
    <w:p w:rsidR="00E316BE" w:rsidRPr="00EF4617" w:rsidRDefault="00E316BE" w:rsidP="00EF4617">
      <w:pPr>
        <w:spacing w:line="240" w:lineRule="auto"/>
        <w:rPr>
          <w:rFonts w:ascii="Arial" w:hAnsi="Arial" w:cs="Arial"/>
          <w:b/>
          <w:sz w:val="24"/>
          <w:szCs w:val="24"/>
        </w:rPr>
      </w:pPr>
      <w:r w:rsidRPr="00EF4617">
        <w:rPr>
          <w:rFonts w:ascii="Arial" w:hAnsi="Arial" w:cs="Arial"/>
          <w:b/>
          <w:sz w:val="24"/>
          <w:szCs w:val="24"/>
        </w:rPr>
        <w:br w:type="page"/>
      </w:r>
    </w:p>
    <w:p w:rsidR="00AE47C6" w:rsidRPr="00EF4617" w:rsidRDefault="00AE47C6" w:rsidP="00EF4617">
      <w:pPr>
        <w:spacing w:line="240" w:lineRule="auto"/>
        <w:rPr>
          <w:rFonts w:ascii="Arial" w:hAnsi="Arial" w:cs="Arial"/>
          <w:b/>
          <w:sz w:val="24"/>
          <w:szCs w:val="24"/>
        </w:rPr>
      </w:pPr>
    </w:p>
    <w:p w:rsidR="00993FEF" w:rsidRPr="00EF4617" w:rsidRDefault="00993FEF" w:rsidP="00EF4617">
      <w:pPr>
        <w:spacing w:line="240" w:lineRule="auto"/>
        <w:rPr>
          <w:rFonts w:ascii="Arial" w:hAnsi="Arial" w:cs="Arial"/>
          <w:b/>
          <w:sz w:val="24"/>
          <w:szCs w:val="24"/>
        </w:rPr>
      </w:pPr>
      <w:r w:rsidRPr="00EF4617">
        <w:rPr>
          <w:rFonts w:ascii="Arial" w:hAnsi="Arial" w:cs="Arial"/>
          <w:b/>
          <w:sz w:val="24"/>
          <w:szCs w:val="24"/>
        </w:rPr>
        <w:t>Background</w:t>
      </w:r>
    </w:p>
    <w:p w:rsidR="00B23CC2" w:rsidRDefault="00664E02" w:rsidP="00EF4617">
      <w:pPr>
        <w:spacing w:line="240" w:lineRule="auto"/>
        <w:rPr>
          <w:rFonts w:ascii="Arial" w:hAnsi="Arial" w:cs="Arial"/>
          <w:sz w:val="24"/>
          <w:szCs w:val="24"/>
        </w:rPr>
      </w:pPr>
      <w:r w:rsidRPr="00EF4617">
        <w:rPr>
          <w:rFonts w:ascii="Arial" w:hAnsi="Arial" w:cs="Arial"/>
          <w:sz w:val="24"/>
          <w:szCs w:val="24"/>
        </w:rPr>
        <w:t>T</w:t>
      </w:r>
      <w:r w:rsidR="00B17509" w:rsidRPr="00EF4617">
        <w:rPr>
          <w:rFonts w:ascii="Arial" w:hAnsi="Arial" w:cs="Arial"/>
          <w:sz w:val="24"/>
          <w:szCs w:val="24"/>
        </w:rPr>
        <w:t>he number of people living with dementia is incre</w:t>
      </w:r>
      <w:r w:rsidR="00B23CC2">
        <w:rPr>
          <w:rFonts w:ascii="Arial" w:hAnsi="Arial" w:cs="Arial"/>
          <w:sz w:val="24"/>
          <w:szCs w:val="24"/>
        </w:rPr>
        <w:t>asing as the UK population ages</w:t>
      </w:r>
      <w:r w:rsidR="00424733">
        <w:rPr>
          <w:rFonts w:ascii="Arial" w:hAnsi="Arial" w:cs="Arial"/>
          <w:sz w:val="24"/>
          <w:szCs w:val="24"/>
        </w:rPr>
        <w:t xml:space="preserve"> </w:t>
      </w:r>
      <w:r w:rsidR="00424733">
        <w:rPr>
          <w:rFonts w:ascii="Arial" w:hAnsi="Arial" w:cs="Arial"/>
          <w:sz w:val="24"/>
          <w:szCs w:val="24"/>
        </w:rPr>
        <w:fldChar w:fldCharType="begin"/>
      </w:r>
      <w:r w:rsidR="0062017E">
        <w:rPr>
          <w:rFonts w:ascii="Arial" w:hAnsi="Arial" w:cs="Arial"/>
          <w:sz w:val="24"/>
          <w:szCs w:val="24"/>
        </w:rPr>
        <w:instrText xml:space="preserve"> ADDIN EN.CITE &lt;EndNote&gt;&lt;Cite&gt;&lt;Author&gt;Alzheimer&amp;apos;s Society&lt;/Author&gt;&lt;Year&gt;2017&lt;/Year&gt;&lt;RecNum&gt;2166&lt;/RecNum&gt;&lt;DisplayText&gt;(Alzheimer&amp;apos;s Society, 2017)&lt;/DisplayText&gt;&lt;record&gt;&lt;rec-number&gt;2166&lt;/rec-number&gt;&lt;foreign-keys&gt;&lt;key app="EN" db-id="0zpzrevtzfzvfeed0d7pxpeer5zaxet0zrpv"&gt;2166&lt;/key&gt;&lt;/foreign-keys&gt;&lt;ref-type name="Pamphlet"&gt;24&lt;/ref-type&gt;&lt;contributors&gt;&lt;authors&gt;&lt;author&gt;Alzheimer&amp;apos;s Society,&lt;/author&gt;&lt;/authors&gt;&lt;/contributors&gt;&lt;titles&gt;&lt;title&gt;What is dementia?&lt;/title&gt;&lt;/titles&gt;&lt;volume&gt;Factsheet 400LP&lt;/volume&gt;&lt;dates&gt;&lt;year&gt;2017&lt;/year&gt;&lt;/dates&gt;&lt;urls&gt;&lt;/urls&gt;&lt;/record&gt;&lt;/Cite&gt;&lt;/EndNote&gt;</w:instrText>
      </w:r>
      <w:r w:rsidR="00424733">
        <w:rPr>
          <w:rFonts w:ascii="Arial" w:hAnsi="Arial" w:cs="Arial"/>
          <w:sz w:val="24"/>
          <w:szCs w:val="24"/>
        </w:rPr>
        <w:fldChar w:fldCharType="separate"/>
      </w:r>
      <w:r w:rsidR="0062017E">
        <w:rPr>
          <w:rFonts w:ascii="Arial" w:hAnsi="Arial" w:cs="Arial"/>
          <w:noProof/>
          <w:sz w:val="24"/>
          <w:szCs w:val="24"/>
        </w:rPr>
        <w:t>(</w:t>
      </w:r>
      <w:hyperlink w:anchor="_ENREF_1" w:tooltip="Alzheimer's Society, 2017 #2166" w:history="1">
        <w:r w:rsidR="0062017E">
          <w:rPr>
            <w:rFonts w:ascii="Arial" w:hAnsi="Arial" w:cs="Arial"/>
            <w:noProof/>
            <w:sz w:val="24"/>
            <w:szCs w:val="24"/>
          </w:rPr>
          <w:t>Alzheimer's Society, 2017</w:t>
        </w:r>
      </w:hyperlink>
      <w:r w:rsidR="0062017E">
        <w:rPr>
          <w:rFonts w:ascii="Arial" w:hAnsi="Arial" w:cs="Arial"/>
          <w:noProof/>
          <w:sz w:val="24"/>
          <w:szCs w:val="24"/>
        </w:rPr>
        <w:t>)</w:t>
      </w:r>
      <w:r w:rsidR="00424733">
        <w:rPr>
          <w:rFonts w:ascii="Arial" w:hAnsi="Arial" w:cs="Arial"/>
          <w:sz w:val="24"/>
          <w:szCs w:val="24"/>
        </w:rPr>
        <w:fldChar w:fldCharType="end"/>
      </w:r>
      <w:r w:rsidR="00B23CC2">
        <w:rPr>
          <w:rFonts w:ascii="Arial" w:hAnsi="Arial" w:cs="Arial"/>
          <w:sz w:val="24"/>
          <w:szCs w:val="24"/>
        </w:rPr>
        <w:t>.</w:t>
      </w:r>
      <w:r w:rsidR="00424733">
        <w:rPr>
          <w:rFonts w:ascii="Arial" w:hAnsi="Arial" w:cs="Arial"/>
          <w:sz w:val="24"/>
          <w:szCs w:val="24"/>
        </w:rPr>
        <w:t xml:space="preserve"> </w:t>
      </w:r>
      <w:r w:rsidR="00DA0931">
        <w:rPr>
          <w:rFonts w:ascii="Arial" w:hAnsi="Arial" w:cs="Arial"/>
          <w:sz w:val="24"/>
          <w:szCs w:val="24"/>
        </w:rPr>
        <w:t>An</w:t>
      </w:r>
      <w:r w:rsidR="00667E5E">
        <w:rPr>
          <w:rFonts w:ascii="Arial" w:hAnsi="Arial" w:cs="Arial"/>
          <w:sz w:val="24"/>
          <w:szCs w:val="24"/>
        </w:rPr>
        <w:t xml:space="preserve"> estimated </w:t>
      </w:r>
      <w:r w:rsidR="00B17509" w:rsidRPr="00EF4617">
        <w:rPr>
          <w:rFonts w:ascii="Arial" w:hAnsi="Arial" w:cs="Arial"/>
          <w:sz w:val="24"/>
          <w:szCs w:val="24"/>
        </w:rPr>
        <w:t xml:space="preserve">1 in </w:t>
      </w:r>
      <w:r w:rsidR="003671A4">
        <w:rPr>
          <w:rFonts w:ascii="Arial" w:hAnsi="Arial" w:cs="Arial"/>
          <w:sz w:val="24"/>
          <w:szCs w:val="24"/>
        </w:rPr>
        <w:t>23</w:t>
      </w:r>
      <w:r w:rsidR="00B17509" w:rsidRPr="00EF4617">
        <w:rPr>
          <w:rFonts w:ascii="Arial" w:hAnsi="Arial" w:cs="Arial"/>
          <w:sz w:val="24"/>
          <w:szCs w:val="24"/>
        </w:rPr>
        <w:t xml:space="preserve"> </w:t>
      </w:r>
      <w:r w:rsidR="00667E5E" w:rsidRPr="00EF4617">
        <w:rPr>
          <w:rFonts w:ascii="Arial" w:hAnsi="Arial" w:cs="Arial"/>
          <w:sz w:val="24"/>
          <w:szCs w:val="24"/>
        </w:rPr>
        <w:t xml:space="preserve">people </w:t>
      </w:r>
      <w:r w:rsidR="00FC5F9E">
        <w:rPr>
          <w:rFonts w:ascii="Arial" w:hAnsi="Arial" w:cs="Arial"/>
          <w:sz w:val="24"/>
          <w:szCs w:val="24"/>
        </w:rPr>
        <w:t>aged 65 years and above</w:t>
      </w:r>
      <w:r w:rsidR="00667E5E" w:rsidRPr="00EF4617">
        <w:rPr>
          <w:rFonts w:ascii="Arial" w:hAnsi="Arial" w:cs="Arial"/>
          <w:sz w:val="24"/>
          <w:szCs w:val="24"/>
        </w:rPr>
        <w:t xml:space="preserve"> </w:t>
      </w:r>
      <w:r w:rsidR="00FC5F9E">
        <w:rPr>
          <w:rFonts w:ascii="Arial" w:hAnsi="Arial" w:cs="Arial"/>
          <w:sz w:val="24"/>
          <w:szCs w:val="24"/>
        </w:rPr>
        <w:t xml:space="preserve">(65+) </w:t>
      </w:r>
      <w:r w:rsidR="00667E5E">
        <w:rPr>
          <w:rFonts w:ascii="Arial" w:hAnsi="Arial" w:cs="Arial"/>
          <w:sz w:val="24"/>
          <w:szCs w:val="24"/>
        </w:rPr>
        <w:t>ha</w:t>
      </w:r>
      <w:r w:rsidR="00DA0931">
        <w:rPr>
          <w:rFonts w:ascii="Arial" w:hAnsi="Arial" w:cs="Arial"/>
          <w:sz w:val="24"/>
          <w:szCs w:val="24"/>
        </w:rPr>
        <w:t>ve</w:t>
      </w:r>
      <w:r w:rsidR="00B17509" w:rsidRPr="00EF4617">
        <w:rPr>
          <w:rFonts w:ascii="Arial" w:hAnsi="Arial" w:cs="Arial"/>
          <w:sz w:val="24"/>
          <w:szCs w:val="24"/>
        </w:rPr>
        <w:t xml:space="preserve"> dementia</w:t>
      </w:r>
      <w:r w:rsidR="003671A4">
        <w:rPr>
          <w:rFonts w:ascii="Arial" w:hAnsi="Arial" w:cs="Arial"/>
          <w:sz w:val="24"/>
          <w:szCs w:val="24"/>
        </w:rPr>
        <w:t xml:space="preserve"> (NHS Digital, 2017)</w:t>
      </w:r>
      <w:r w:rsidR="00B23CC2">
        <w:rPr>
          <w:rFonts w:ascii="Arial" w:hAnsi="Arial" w:cs="Arial"/>
          <w:sz w:val="24"/>
          <w:szCs w:val="24"/>
        </w:rPr>
        <w:t>.</w:t>
      </w:r>
      <w:r w:rsidR="00667E5E">
        <w:rPr>
          <w:rFonts w:ascii="Arial" w:hAnsi="Arial" w:cs="Arial"/>
          <w:sz w:val="24"/>
          <w:szCs w:val="24"/>
        </w:rPr>
        <w:t xml:space="preserve"> </w:t>
      </w:r>
    </w:p>
    <w:p w:rsidR="000067CA" w:rsidRDefault="00405A96" w:rsidP="00EF4617">
      <w:pPr>
        <w:spacing w:line="240" w:lineRule="auto"/>
        <w:rPr>
          <w:rFonts w:ascii="Arial" w:hAnsi="Arial" w:cs="Arial"/>
          <w:sz w:val="24"/>
          <w:szCs w:val="24"/>
        </w:rPr>
      </w:pPr>
      <w:r w:rsidRPr="00EF4617">
        <w:rPr>
          <w:rFonts w:ascii="Arial" w:hAnsi="Arial" w:cs="Arial"/>
          <w:sz w:val="24"/>
          <w:szCs w:val="24"/>
        </w:rPr>
        <w:t xml:space="preserve">People with dementia </w:t>
      </w:r>
      <w:r w:rsidR="00AC0122" w:rsidRPr="00EF4617">
        <w:rPr>
          <w:rFonts w:ascii="Arial" w:hAnsi="Arial" w:cs="Arial"/>
          <w:sz w:val="24"/>
          <w:szCs w:val="24"/>
        </w:rPr>
        <w:t xml:space="preserve">with ambulatory-care sensitive conditions and acute episodes of illness </w:t>
      </w:r>
      <w:r w:rsidRPr="00EF4617">
        <w:rPr>
          <w:rFonts w:ascii="Arial" w:hAnsi="Arial" w:cs="Arial"/>
          <w:sz w:val="24"/>
          <w:szCs w:val="24"/>
        </w:rPr>
        <w:t>are more li</w:t>
      </w:r>
      <w:r w:rsidR="00AC0122" w:rsidRPr="00EF4617">
        <w:rPr>
          <w:rFonts w:ascii="Arial" w:hAnsi="Arial" w:cs="Arial"/>
          <w:sz w:val="24"/>
          <w:szCs w:val="24"/>
        </w:rPr>
        <w:t>kely to be admitted to hospital than people without dementia</w:t>
      </w:r>
      <w:r w:rsidR="00B23CC2">
        <w:rPr>
          <w:rFonts w:ascii="Arial" w:hAnsi="Arial" w:cs="Arial"/>
          <w:sz w:val="24"/>
          <w:szCs w:val="24"/>
        </w:rPr>
        <w:t xml:space="preserve"> </w:t>
      </w:r>
      <w:r w:rsidR="00AC0122" w:rsidRPr="00EF4617">
        <w:rPr>
          <w:rFonts w:ascii="Arial" w:hAnsi="Arial" w:cs="Arial"/>
          <w:sz w:val="24"/>
          <w:szCs w:val="24"/>
        </w:rPr>
        <w:fldChar w:fldCharType="begin">
          <w:fldData xml:space="preserve">PEVuZE5vdGU+PENpdGU+PEF1dGhvcj5QaGVsYW48L0F1dGhvcj48WWVhcj4yMDEyPC9ZZWFyPjxS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</w:fldData>
        </w:fldChar>
      </w:r>
      <w:r w:rsidR="0062017E">
        <w:rPr>
          <w:rFonts w:ascii="Arial" w:hAnsi="Arial" w:cs="Arial"/>
          <w:sz w:val="24"/>
          <w:szCs w:val="24"/>
        </w:rPr>
        <w:instrText xml:space="preserve"> ADDIN EN.CITE </w:instrText>
      </w:r>
      <w:r w:rsidR="0062017E">
        <w:rPr>
          <w:rFonts w:ascii="Arial" w:hAnsi="Arial" w:cs="Arial"/>
          <w:sz w:val="24"/>
          <w:szCs w:val="24"/>
        </w:rPr>
        <w:fldChar w:fldCharType="begin">
          <w:fldData xml:space="preserve">PEVuZE5vdGU+PENpdGU+PEF1dGhvcj5QaGVsYW48L0F1dGhvcj48WWVhcj4yMDEyPC9ZZWFyPjxS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</w:fldData>
        </w:fldChar>
      </w:r>
      <w:r w:rsidR="0062017E">
        <w:rPr>
          <w:rFonts w:ascii="Arial" w:hAnsi="Arial" w:cs="Arial"/>
          <w:sz w:val="24"/>
          <w:szCs w:val="24"/>
        </w:rPr>
        <w:instrText xml:space="preserve"> ADDIN EN.CITE.DATA </w:instrText>
      </w:r>
      <w:r w:rsidR="0062017E">
        <w:rPr>
          <w:rFonts w:ascii="Arial" w:hAnsi="Arial" w:cs="Arial"/>
          <w:sz w:val="24"/>
          <w:szCs w:val="24"/>
        </w:rPr>
      </w:r>
      <w:r w:rsidR="0062017E">
        <w:rPr>
          <w:rFonts w:ascii="Arial" w:hAnsi="Arial" w:cs="Arial"/>
          <w:sz w:val="24"/>
          <w:szCs w:val="24"/>
        </w:rPr>
        <w:fldChar w:fldCharType="end"/>
      </w:r>
      <w:r w:rsidR="00AC0122" w:rsidRPr="00EF4617">
        <w:rPr>
          <w:rFonts w:ascii="Arial" w:hAnsi="Arial" w:cs="Arial"/>
          <w:sz w:val="24"/>
          <w:szCs w:val="24"/>
        </w:rPr>
      </w:r>
      <w:r w:rsidR="00AC0122" w:rsidRPr="00EF4617">
        <w:rPr>
          <w:rFonts w:ascii="Arial" w:hAnsi="Arial" w:cs="Arial"/>
          <w:sz w:val="24"/>
          <w:szCs w:val="24"/>
        </w:rPr>
        <w:fldChar w:fldCharType="separate"/>
      </w:r>
      <w:r w:rsidR="0062017E">
        <w:rPr>
          <w:rFonts w:ascii="Arial" w:hAnsi="Arial" w:cs="Arial"/>
          <w:noProof/>
          <w:sz w:val="24"/>
          <w:szCs w:val="24"/>
        </w:rPr>
        <w:t>(</w:t>
      </w:r>
      <w:hyperlink w:anchor="_ENREF_10" w:tooltip="Phelan, 2012 #1544" w:history="1">
        <w:r w:rsidR="00B23CC2">
          <w:rPr>
            <w:rFonts w:ascii="Arial" w:hAnsi="Arial" w:cs="Arial"/>
            <w:noProof/>
            <w:sz w:val="24"/>
            <w:szCs w:val="24"/>
          </w:rPr>
          <w:t>Phelan et al</w:t>
        </w:r>
        <w:r w:rsidR="0062017E">
          <w:rPr>
            <w:rFonts w:ascii="Arial" w:hAnsi="Arial" w:cs="Arial"/>
            <w:noProof/>
            <w:sz w:val="24"/>
            <w:szCs w:val="24"/>
          </w:rPr>
          <w:t>, 2012</w:t>
        </w:r>
      </w:hyperlink>
      <w:r w:rsidR="0062017E">
        <w:rPr>
          <w:rFonts w:ascii="Arial" w:hAnsi="Arial" w:cs="Arial"/>
          <w:noProof/>
          <w:sz w:val="24"/>
          <w:szCs w:val="24"/>
        </w:rPr>
        <w:t>)</w:t>
      </w:r>
      <w:r w:rsidR="00AC0122" w:rsidRPr="00EF4617">
        <w:rPr>
          <w:rFonts w:ascii="Arial" w:hAnsi="Arial" w:cs="Arial"/>
          <w:sz w:val="24"/>
          <w:szCs w:val="24"/>
        </w:rPr>
        <w:fldChar w:fldCharType="end"/>
      </w:r>
      <w:r w:rsidR="00B23CC2">
        <w:rPr>
          <w:rFonts w:ascii="Arial" w:hAnsi="Arial" w:cs="Arial"/>
          <w:sz w:val="24"/>
          <w:szCs w:val="24"/>
        </w:rPr>
        <w:t>.</w:t>
      </w:r>
      <w:r w:rsidR="00AC0122" w:rsidRPr="00EF4617">
        <w:rPr>
          <w:rFonts w:ascii="Arial" w:hAnsi="Arial" w:cs="Arial"/>
          <w:sz w:val="24"/>
          <w:szCs w:val="24"/>
        </w:rPr>
        <w:t xml:space="preserve"> </w:t>
      </w:r>
      <w:r w:rsidR="00664E02" w:rsidRPr="00EF4617">
        <w:rPr>
          <w:rFonts w:ascii="Arial" w:hAnsi="Arial" w:cs="Arial"/>
          <w:sz w:val="24"/>
          <w:szCs w:val="24"/>
        </w:rPr>
        <w:t xml:space="preserve">In 2016, </w:t>
      </w:r>
      <w:r w:rsidR="00B17509" w:rsidRPr="00EF4617">
        <w:rPr>
          <w:rFonts w:ascii="Arial" w:hAnsi="Arial" w:cs="Arial"/>
          <w:sz w:val="24"/>
          <w:szCs w:val="24"/>
        </w:rPr>
        <w:t xml:space="preserve">207,797 patients with a diagnosis of dementia </w:t>
      </w:r>
      <w:r w:rsidR="00FC5F9E">
        <w:rPr>
          <w:rFonts w:ascii="Arial" w:hAnsi="Arial" w:cs="Arial"/>
          <w:sz w:val="24"/>
          <w:szCs w:val="24"/>
        </w:rPr>
        <w:t xml:space="preserve">aged 65+ </w:t>
      </w:r>
      <w:r w:rsidR="00DA0931">
        <w:rPr>
          <w:rFonts w:ascii="Arial" w:hAnsi="Arial" w:cs="Arial"/>
          <w:sz w:val="24"/>
          <w:szCs w:val="24"/>
        </w:rPr>
        <w:t xml:space="preserve">were </w:t>
      </w:r>
      <w:r w:rsidR="00B17509" w:rsidRPr="00EF4617">
        <w:rPr>
          <w:rFonts w:ascii="Arial" w:hAnsi="Arial" w:cs="Arial"/>
          <w:sz w:val="24"/>
          <w:szCs w:val="24"/>
        </w:rPr>
        <w:t xml:space="preserve">admitted to hospital in an emergency </w:t>
      </w:r>
      <w:r w:rsidR="00587933" w:rsidRPr="00EF4617">
        <w:rPr>
          <w:rFonts w:ascii="Arial" w:hAnsi="Arial" w:cs="Arial"/>
          <w:sz w:val="24"/>
          <w:szCs w:val="24"/>
        </w:rPr>
        <w:t>in the UK</w:t>
      </w:r>
      <w:r w:rsidR="00B23CC2">
        <w:rPr>
          <w:rFonts w:ascii="Arial" w:hAnsi="Arial" w:cs="Arial"/>
          <w:sz w:val="24"/>
          <w:szCs w:val="24"/>
        </w:rPr>
        <w:t xml:space="preserve"> </w:t>
      </w:r>
      <w:r w:rsidR="00117D11" w:rsidRPr="00EF4617">
        <w:rPr>
          <w:rFonts w:ascii="Arial" w:hAnsi="Arial" w:cs="Arial"/>
          <w:sz w:val="24"/>
          <w:szCs w:val="24"/>
        </w:rPr>
        <w:fldChar w:fldCharType="begin"/>
      </w:r>
      <w:r w:rsidR="0062017E">
        <w:rPr>
          <w:rFonts w:ascii="Arial" w:hAnsi="Arial" w:cs="Arial"/>
          <w:sz w:val="24"/>
          <w:szCs w:val="24"/>
        </w:rPr>
        <w:instrText xml:space="preserve"> ADDIN EN.CITE &lt;EndNote&gt;&lt;Cite&gt;&lt;Author&gt;Digital&lt;/Author&gt;&lt;Year&gt;2017&lt;/Year&gt;&lt;RecNum&gt;2145&lt;/RecNum&gt;&lt;DisplayText&gt;(NHS Digital, 2017)&lt;/DisplayText&gt;&lt;record&gt;&lt;rec-number&gt;2145&lt;/rec-number&gt;&lt;foreign-keys&gt;&lt;key app="EN" db-id="0zpzrevtzfzvfeed0d7pxpeer5zaxet0zrpv"&gt;2145&lt;/key&gt;&lt;/foreign-keys&gt;&lt;ref-type name="Web Page"&gt;12&lt;/ref-type&gt;&lt;contributors&gt;&lt;authors&gt;&lt;author&gt;NHS Digital,&lt;/author&gt;&lt;/authors&gt;&lt;/contributors&gt;&lt;titles&gt;&lt;title&gt;Recorded dementia diagnoses June 2017&lt;/title&gt;&lt;/titles&gt;&lt;number&gt;18/07/2017&lt;/number&gt;&lt;dates&gt;&lt;year&gt;2017&lt;/year&gt;&lt;/dates&gt;&lt;urls&gt;&lt;related-urls&gt;&lt;url&gt;https://digital.nhs.uk/catalogue/PUB30029 &lt;/url&gt;&lt;/related-urls&gt;&lt;/urls&gt;&lt;/record&gt;&lt;/Cite&gt;&lt;/EndNote&gt;</w:instrText>
      </w:r>
      <w:r w:rsidR="00117D11" w:rsidRPr="00EF4617">
        <w:rPr>
          <w:rFonts w:ascii="Arial" w:hAnsi="Arial" w:cs="Arial"/>
          <w:sz w:val="24"/>
          <w:szCs w:val="24"/>
        </w:rPr>
        <w:fldChar w:fldCharType="separate"/>
      </w:r>
      <w:r w:rsidR="0062017E">
        <w:rPr>
          <w:rFonts w:ascii="Arial" w:hAnsi="Arial" w:cs="Arial"/>
          <w:noProof/>
          <w:sz w:val="24"/>
          <w:szCs w:val="24"/>
        </w:rPr>
        <w:t>(</w:t>
      </w:r>
      <w:hyperlink w:anchor="_ENREF_8" w:tooltip="NHS Digital, 2017 #2145" w:history="1">
        <w:r w:rsidR="0062017E">
          <w:rPr>
            <w:rFonts w:ascii="Arial" w:hAnsi="Arial" w:cs="Arial"/>
            <w:noProof/>
            <w:sz w:val="24"/>
            <w:szCs w:val="24"/>
          </w:rPr>
          <w:t>NHS Digital, 2017</w:t>
        </w:r>
      </w:hyperlink>
      <w:r w:rsidR="0062017E">
        <w:rPr>
          <w:rFonts w:ascii="Arial" w:hAnsi="Arial" w:cs="Arial"/>
          <w:noProof/>
          <w:sz w:val="24"/>
          <w:szCs w:val="24"/>
        </w:rPr>
        <w:t>)</w:t>
      </w:r>
      <w:r w:rsidR="00117D11" w:rsidRPr="00EF4617">
        <w:rPr>
          <w:rFonts w:ascii="Arial" w:hAnsi="Arial" w:cs="Arial"/>
          <w:sz w:val="24"/>
          <w:szCs w:val="24"/>
        </w:rPr>
        <w:fldChar w:fldCharType="end"/>
      </w:r>
      <w:r w:rsidR="00B23CC2">
        <w:rPr>
          <w:rFonts w:ascii="Arial" w:hAnsi="Arial" w:cs="Arial"/>
          <w:sz w:val="24"/>
          <w:szCs w:val="24"/>
        </w:rPr>
        <w:t>.</w:t>
      </w:r>
      <w:r w:rsidR="00B17509" w:rsidRPr="00EF4617">
        <w:rPr>
          <w:rFonts w:ascii="Arial" w:hAnsi="Arial" w:cs="Arial"/>
          <w:sz w:val="24"/>
          <w:szCs w:val="24"/>
        </w:rPr>
        <w:t xml:space="preserve"> A recent </w:t>
      </w:r>
      <w:r w:rsidR="003B239A" w:rsidRPr="00EF4617">
        <w:rPr>
          <w:rFonts w:ascii="Arial" w:hAnsi="Arial" w:cs="Arial"/>
          <w:sz w:val="24"/>
          <w:szCs w:val="24"/>
        </w:rPr>
        <w:t>analysis of 19,269</w:t>
      </w:r>
      <w:r w:rsidR="00B17509" w:rsidRPr="00EF4617">
        <w:rPr>
          <w:rFonts w:ascii="Arial" w:hAnsi="Arial" w:cs="Arial"/>
          <w:sz w:val="24"/>
          <w:szCs w:val="24"/>
        </w:rPr>
        <w:t xml:space="preserve"> </w:t>
      </w:r>
      <w:r w:rsidR="003B239A" w:rsidRPr="00EF4617">
        <w:rPr>
          <w:rFonts w:ascii="Arial" w:hAnsi="Arial" w:cs="Arial"/>
          <w:sz w:val="24"/>
          <w:szCs w:val="24"/>
        </w:rPr>
        <w:t xml:space="preserve">of patients aged 75 </w:t>
      </w:r>
      <w:r w:rsidR="00FC5F9E">
        <w:rPr>
          <w:rFonts w:ascii="Arial" w:hAnsi="Arial" w:cs="Arial"/>
          <w:sz w:val="24"/>
          <w:szCs w:val="24"/>
        </w:rPr>
        <w:t xml:space="preserve">years </w:t>
      </w:r>
      <w:r w:rsidR="003B239A" w:rsidRPr="00EF4617">
        <w:rPr>
          <w:rFonts w:ascii="Arial" w:hAnsi="Arial" w:cs="Arial"/>
          <w:sz w:val="24"/>
          <w:szCs w:val="24"/>
        </w:rPr>
        <w:t>and above</w:t>
      </w:r>
      <w:r w:rsidR="00B17509" w:rsidRPr="00EF4617">
        <w:rPr>
          <w:rFonts w:ascii="Arial" w:hAnsi="Arial" w:cs="Arial"/>
          <w:sz w:val="24"/>
          <w:szCs w:val="24"/>
        </w:rPr>
        <w:t xml:space="preserve"> </w:t>
      </w:r>
      <w:r w:rsidR="00FC5F9E">
        <w:rPr>
          <w:rFonts w:ascii="Arial" w:hAnsi="Arial" w:cs="Arial"/>
          <w:sz w:val="24"/>
          <w:szCs w:val="24"/>
        </w:rPr>
        <w:t xml:space="preserve">(75+) </w:t>
      </w:r>
      <w:r w:rsidR="003B239A" w:rsidRPr="00EF4617">
        <w:rPr>
          <w:rFonts w:ascii="Arial" w:hAnsi="Arial" w:cs="Arial"/>
          <w:sz w:val="24"/>
          <w:szCs w:val="24"/>
        </w:rPr>
        <w:t xml:space="preserve">screened for dementia at </w:t>
      </w:r>
      <w:r w:rsidR="007B2EC4">
        <w:rPr>
          <w:rFonts w:ascii="Arial" w:hAnsi="Arial" w:cs="Arial"/>
          <w:sz w:val="24"/>
          <w:szCs w:val="24"/>
        </w:rPr>
        <w:t xml:space="preserve">hospital </w:t>
      </w:r>
      <w:r w:rsidR="003B239A" w:rsidRPr="00EF4617">
        <w:rPr>
          <w:rFonts w:ascii="Arial" w:hAnsi="Arial" w:cs="Arial"/>
          <w:sz w:val="24"/>
          <w:szCs w:val="24"/>
        </w:rPr>
        <w:t xml:space="preserve">admission, </w:t>
      </w:r>
      <w:r w:rsidR="00B17509" w:rsidRPr="00EF4617">
        <w:rPr>
          <w:rFonts w:ascii="Arial" w:hAnsi="Arial" w:cs="Arial"/>
          <w:sz w:val="24"/>
          <w:szCs w:val="24"/>
        </w:rPr>
        <w:t xml:space="preserve">revealed 19.8% of patients had a dementia diagnosis, </w:t>
      </w:r>
      <w:r w:rsidR="003B239A" w:rsidRPr="00EF4617">
        <w:rPr>
          <w:rFonts w:ascii="Arial" w:hAnsi="Arial" w:cs="Arial"/>
          <w:sz w:val="24"/>
          <w:szCs w:val="24"/>
        </w:rPr>
        <w:t xml:space="preserve">and an additional </w:t>
      </w:r>
      <w:r w:rsidR="00B17509" w:rsidRPr="00EF4617">
        <w:rPr>
          <w:rFonts w:ascii="Arial" w:hAnsi="Arial" w:cs="Arial"/>
          <w:sz w:val="24"/>
          <w:szCs w:val="24"/>
        </w:rPr>
        <w:t xml:space="preserve">11.6% </w:t>
      </w:r>
      <w:r w:rsidR="003B239A" w:rsidRPr="00EF4617">
        <w:rPr>
          <w:rFonts w:ascii="Arial" w:hAnsi="Arial" w:cs="Arial"/>
          <w:sz w:val="24"/>
          <w:szCs w:val="24"/>
        </w:rPr>
        <w:t xml:space="preserve">of patients had </w:t>
      </w:r>
      <w:r w:rsidR="00B17509" w:rsidRPr="00EF4617">
        <w:rPr>
          <w:rFonts w:ascii="Arial" w:hAnsi="Arial" w:cs="Arial"/>
          <w:sz w:val="24"/>
          <w:szCs w:val="24"/>
        </w:rPr>
        <w:t>cogni</w:t>
      </w:r>
      <w:r w:rsidR="003B239A" w:rsidRPr="00EF4617">
        <w:rPr>
          <w:rFonts w:ascii="Arial" w:hAnsi="Arial" w:cs="Arial"/>
          <w:sz w:val="24"/>
          <w:szCs w:val="24"/>
        </w:rPr>
        <w:t>tive impairment,</w:t>
      </w:r>
      <w:r w:rsidR="00B17509" w:rsidRPr="00EF4617">
        <w:rPr>
          <w:rFonts w:ascii="Arial" w:hAnsi="Arial" w:cs="Arial"/>
          <w:sz w:val="24"/>
          <w:szCs w:val="24"/>
        </w:rPr>
        <w:t xml:space="preserve"> which may </w:t>
      </w:r>
      <w:r w:rsidR="003B239A" w:rsidRPr="00EF4617">
        <w:rPr>
          <w:rFonts w:ascii="Arial" w:hAnsi="Arial" w:cs="Arial"/>
          <w:sz w:val="24"/>
          <w:szCs w:val="24"/>
        </w:rPr>
        <w:t>include</w:t>
      </w:r>
      <w:r w:rsidR="00B17509" w:rsidRPr="00EF4617">
        <w:rPr>
          <w:rFonts w:ascii="Arial" w:hAnsi="Arial" w:cs="Arial"/>
          <w:sz w:val="24"/>
          <w:szCs w:val="24"/>
        </w:rPr>
        <w:t xml:space="preserve"> undiagnosed </w:t>
      </w:r>
      <w:r w:rsidR="003B239A" w:rsidRPr="00EF4617">
        <w:rPr>
          <w:rFonts w:ascii="Arial" w:hAnsi="Arial" w:cs="Arial"/>
          <w:sz w:val="24"/>
          <w:szCs w:val="24"/>
        </w:rPr>
        <w:t>or unreporte</w:t>
      </w:r>
      <w:r w:rsidR="00025C84">
        <w:rPr>
          <w:rFonts w:ascii="Arial" w:hAnsi="Arial" w:cs="Arial"/>
          <w:sz w:val="24"/>
          <w:szCs w:val="24"/>
        </w:rPr>
        <w:t>d dementia</w:t>
      </w:r>
      <w:r w:rsidR="00B23CC2">
        <w:rPr>
          <w:rFonts w:ascii="Arial" w:hAnsi="Arial" w:cs="Arial"/>
          <w:sz w:val="24"/>
          <w:szCs w:val="24"/>
        </w:rPr>
        <w:t xml:space="preserve"> </w:t>
      </w:r>
      <w:r w:rsidR="003459B7">
        <w:rPr>
          <w:rFonts w:ascii="Arial" w:hAnsi="Arial" w:cs="Arial"/>
          <w:sz w:val="24"/>
          <w:szCs w:val="24"/>
        </w:rPr>
        <w:fldChar w:fldCharType="begin"/>
      </w:r>
      <w:r w:rsidR="0062017E">
        <w:rPr>
          <w:rFonts w:ascii="Arial" w:hAnsi="Arial" w:cs="Arial"/>
          <w:sz w:val="24"/>
          <w:szCs w:val="24"/>
        </w:rPr>
        <w:instrText xml:space="preserve"> ADDIN EN.CITE &lt;EndNote&gt;&lt;Cite&gt;&lt;Author&gt;Fogg&lt;/Author&gt;&lt;Year&gt;2017&lt;/Year&gt;&lt;RecNum&gt;314&lt;/RecNum&gt;&lt;DisplayText&gt;(Fogg, Meredith, Bridges, Gould, &amp;amp; Griffiths, 2017)&lt;/DisplayText&gt;&lt;record&gt;&lt;rec-number&gt;314&lt;/rec-number&gt;&lt;foreign-keys&gt;&lt;key app="EN" db-id="0zpzrevtzfzvfeed0d7pxpeer5zaxet0zrpv"&gt;314&lt;/key&gt;&lt;/foreign-keys&gt;&lt;ref-type name="Journal Article"&gt;17&lt;/ref-type&gt;&lt;contributors&gt;&lt;authors&gt;&lt;author&gt;Fogg, C.&lt;/author&gt;&lt;author&gt;Meredith, P.&lt;/author&gt;&lt;author&gt;Bridges, J.&lt;/author&gt;&lt;author&gt;Gould, G.&lt;/author&gt;&lt;author&gt;Griffiths, P.&lt;/author&gt;&lt;/authors&gt;&lt;/contributors&gt;&lt;titles&gt;&lt;title&gt;The relationship between cognitive impairment, mortality and discharge characteristics in a large cohort of older adults with unscheduled admissions to an acute hospital: a retrospective observational study&lt;/title&gt;&lt;secondary-title&gt;Age and Ageing &lt;/secondary-title&gt;&lt;/titles&gt;&lt;periodical&gt;&lt;full-title&gt;Age and Ageing&lt;/full-title&gt;&lt;/periodical&gt;&lt;pages&gt;6&lt;/pages&gt;&lt;volume&gt;46&lt;/volume&gt;&lt;edition&gt;25th February 2017&lt;/edition&gt;&lt;section&gt;794&lt;/section&gt;&lt;dates&gt;&lt;year&gt;2017&lt;/year&gt;&lt;/dates&gt;&lt;urls&gt;&lt;/urls&gt;&lt;/record&gt;&lt;/Cite&gt;&lt;/EndNote&gt;</w:instrText>
      </w:r>
      <w:r w:rsidR="003459B7">
        <w:rPr>
          <w:rFonts w:ascii="Arial" w:hAnsi="Arial" w:cs="Arial"/>
          <w:sz w:val="24"/>
          <w:szCs w:val="24"/>
        </w:rPr>
        <w:fldChar w:fldCharType="separate"/>
      </w:r>
      <w:r w:rsidR="0062017E">
        <w:rPr>
          <w:rFonts w:ascii="Arial" w:hAnsi="Arial" w:cs="Arial"/>
          <w:noProof/>
          <w:sz w:val="24"/>
          <w:szCs w:val="24"/>
        </w:rPr>
        <w:t>(</w:t>
      </w:r>
      <w:hyperlink w:anchor="_ENREF_6" w:tooltip="Fogg, 2017 #314" w:history="1">
        <w:r w:rsidR="0062017E">
          <w:rPr>
            <w:rFonts w:ascii="Arial" w:hAnsi="Arial" w:cs="Arial"/>
            <w:noProof/>
            <w:sz w:val="24"/>
            <w:szCs w:val="24"/>
          </w:rPr>
          <w:t>Fogg</w:t>
        </w:r>
        <w:r w:rsidR="00B23CC2">
          <w:rPr>
            <w:rFonts w:ascii="Arial" w:hAnsi="Arial" w:cs="Arial"/>
            <w:noProof/>
            <w:sz w:val="24"/>
            <w:szCs w:val="24"/>
          </w:rPr>
          <w:t xml:space="preserve"> et al</w:t>
        </w:r>
        <w:r w:rsidR="0062017E">
          <w:rPr>
            <w:rFonts w:ascii="Arial" w:hAnsi="Arial" w:cs="Arial"/>
            <w:noProof/>
            <w:sz w:val="24"/>
            <w:szCs w:val="24"/>
          </w:rPr>
          <w:t>, 2017</w:t>
        </w:r>
      </w:hyperlink>
      <w:r w:rsidR="0062017E">
        <w:rPr>
          <w:rFonts w:ascii="Arial" w:hAnsi="Arial" w:cs="Arial"/>
          <w:noProof/>
          <w:sz w:val="24"/>
          <w:szCs w:val="24"/>
        </w:rPr>
        <w:t>)</w:t>
      </w:r>
      <w:r w:rsidR="003459B7">
        <w:rPr>
          <w:rFonts w:ascii="Arial" w:hAnsi="Arial" w:cs="Arial"/>
          <w:sz w:val="24"/>
          <w:szCs w:val="24"/>
        </w:rPr>
        <w:fldChar w:fldCharType="end"/>
      </w:r>
      <w:r w:rsidR="00B23CC2">
        <w:rPr>
          <w:rFonts w:ascii="Arial" w:hAnsi="Arial" w:cs="Arial"/>
          <w:sz w:val="24"/>
          <w:szCs w:val="24"/>
        </w:rPr>
        <w:t>.</w:t>
      </w:r>
      <w:r w:rsidR="00B17509" w:rsidRPr="00EF4617">
        <w:rPr>
          <w:rFonts w:ascii="Arial" w:hAnsi="Arial" w:cs="Arial"/>
          <w:sz w:val="24"/>
          <w:szCs w:val="24"/>
        </w:rPr>
        <w:t xml:space="preserve">  </w:t>
      </w:r>
      <w:r w:rsidR="000067CA" w:rsidRPr="000067CA">
        <w:rPr>
          <w:rFonts w:ascii="Arial" w:hAnsi="Arial" w:cs="Arial"/>
          <w:sz w:val="24"/>
          <w:szCs w:val="24"/>
        </w:rPr>
        <w:t>Around 5.5% of patients initially treated on scene by EMS subsequently re-contact 999 within 24 hours (HSCIC, 2015), suggesting an initial incomplete assessment of needs.</w:t>
      </w:r>
      <w:r w:rsidR="000067CA">
        <w:rPr>
          <w:rFonts w:ascii="Arial" w:hAnsi="Arial" w:cs="Arial"/>
          <w:sz w:val="24"/>
          <w:szCs w:val="24"/>
        </w:rPr>
        <w:t xml:space="preserve">  </w:t>
      </w:r>
      <w:r w:rsidR="003B239A" w:rsidRPr="00EF4617">
        <w:rPr>
          <w:rFonts w:ascii="Arial" w:hAnsi="Arial" w:cs="Arial"/>
          <w:sz w:val="24"/>
          <w:szCs w:val="24"/>
        </w:rPr>
        <w:t xml:space="preserve">Knowledge of the presence of dementia is important so that appropriate </w:t>
      </w:r>
      <w:r w:rsidR="003210BF">
        <w:rPr>
          <w:rFonts w:ascii="Arial" w:hAnsi="Arial" w:cs="Arial"/>
          <w:sz w:val="24"/>
          <w:szCs w:val="24"/>
        </w:rPr>
        <w:t>care</w:t>
      </w:r>
      <w:r w:rsidR="003B239A" w:rsidRPr="00EF4617">
        <w:rPr>
          <w:rFonts w:ascii="Arial" w:hAnsi="Arial" w:cs="Arial"/>
          <w:sz w:val="24"/>
          <w:szCs w:val="24"/>
        </w:rPr>
        <w:t xml:space="preserve"> </w:t>
      </w:r>
      <w:r w:rsidR="00DF7C74">
        <w:rPr>
          <w:rFonts w:ascii="Arial" w:hAnsi="Arial" w:cs="Arial"/>
          <w:sz w:val="24"/>
          <w:szCs w:val="24"/>
        </w:rPr>
        <w:t xml:space="preserve">is </w:t>
      </w:r>
      <w:r w:rsidR="003B239A" w:rsidRPr="00EF4617">
        <w:rPr>
          <w:rFonts w:ascii="Arial" w:hAnsi="Arial" w:cs="Arial"/>
          <w:sz w:val="24"/>
          <w:szCs w:val="24"/>
        </w:rPr>
        <w:t>provided</w:t>
      </w:r>
      <w:r w:rsidR="00DF7C74">
        <w:rPr>
          <w:rFonts w:ascii="Arial" w:hAnsi="Arial" w:cs="Arial"/>
          <w:sz w:val="24"/>
          <w:szCs w:val="24"/>
        </w:rPr>
        <w:t xml:space="preserve"> </w:t>
      </w:r>
      <w:r w:rsidR="00820DDE">
        <w:rPr>
          <w:rFonts w:ascii="Arial" w:hAnsi="Arial" w:cs="Arial"/>
          <w:sz w:val="24"/>
          <w:szCs w:val="24"/>
        </w:rPr>
        <w:t>such as dementia-friendly communication</w:t>
      </w:r>
      <w:r w:rsidR="00DF7C74">
        <w:rPr>
          <w:rFonts w:ascii="Arial" w:hAnsi="Arial" w:cs="Arial"/>
          <w:sz w:val="24"/>
          <w:szCs w:val="24"/>
        </w:rPr>
        <w:t xml:space="preserve"> and</w:t>
      </w:r>
      <w:r w:rsidR="00820DDE">
        <w:rPr>
          <w:rFonts w:ascii="Arial" w:hAnsi="Arial" w:cs="Arial"/>
          <w:sz w:val="24"/>
          <w:szCs w:val="24"/>
        </w:rPr>
        <w:t xml:space="preserve"> support with food </w:t>
      </w:r>
      <w:r w:rsidR="00DF7C74">
        <w:rPr>
          <w:rFonts w:ascii="Arial" w:hAnsi="Arial" w:cs="Arial"/>
          <w:sz w:val="24"/>
          <w:szCs w:val="24"/>
        </w:rPr>
        <w:t xml:space="preserve">and fluid </w:t>
      </w:r>
      <w:r w:rsidR="00820DDE">
        <w:rPr>
          <w:rFonts w:ascii="Arial" w:hAnsi="Arial" w:cs="Arial"/>
          <w:sz w:val="24"/>
          <w:szCs w:val="24"/>
        </w:rPr>
        <w:t>intak</w:t>
      </w:r>
      <w:r w:rsidR="00DF7C74">
        <w:rPr>
          <w:rFonts w:ascii="Arial" w:hAnsi="Arial" w:cs="Arial"/>
          <w:sz w:val="24"/>
          <w:szCs w:val="24"/>
        </w:rPr>
        <w:t>e as well as referral to supportive tertiary services.</w:t>
      </w:r>
      <w:r w:rsidR="000067CA">
        <w:rPr>
          <w:rFonts w:ascii="Arial" w:hAnsi="Arial" w:cs="Arial"/>
          <w:sz w:val="24"/>
          <w:szCs w:val="24"/>
        </w:rPr>
        <w:t xml:space="preserve">  </w:t>
      </w:r>
    </w:p>
    <w:p w:rsidR="00B17509" w:rsidRPr="00EF4617" w:rsidRDefault="00B17509" w:rsidP="00EF4617">
      <w:pPr>
        <w:spacing w:line="240" w:lineRule="auto"/>
        <w:rPr>
          <w:rFonts w:ascii="Arial" w:hAnsi="Arial" w:cs="Arial"/>
          <w:sz w:val="24"/>
          <w:szCs w:val="24"/>
        </w:rPr>
      </w:pPr>
      <w:r w:rsidRPr="00EF4617">
        <w:rPr>
          <w:rFonts w:ascii="Arial" w:hAnsi="Arial" w:cs="Arial"/>
          <w:sz w:val="24"/>
          <w:szCs w:val="24"/>
        </w:rPr>
        <w:t xml:space="preserve">The increase in the number </w:t>
      </w:r>
      <w:r w:rsidR="00B23CC2">
        <w:rPr>
          <w:rFonts w:ascii="Arial" w:hAnsi="Arial" w:cs="Arial"/>
          <w:sz w:val="24"/>
          <w:szCs w:val="24"/>
        </w:rPr>
        <w:t xml:space="preserve">of </w:t>
      </w:r>
      <w:r w:rsidRPr="00EF4617">
        <w:rPr>
          <w:rFonts w:ascii="Arial" w:hAnsi="Arial" w:cs="Arial"/>
          <w:sz w:val="24"/>
          <w:szCs w:val="24"/>
        </w:rPr>
        <w:t xml:space="preserve">people living with dementia </w:t>
      </w:r>
      <w:r w:rsidR="00405A96" w:rsidRPr="00EF4617">
        <w:rPr>
          <w:rFonts w:ascii="Arial" w:hAnsi="Arial" w:cs="Arial"/>
          <w:sz w:val="24"/>
          <w:szCs w:val="24"/>
        </w:rPr>
        <w:t xml:space="preserve">also </w:t>
      </w:r>
      <w:r w:rsidRPr="00EF4617">
        <w:rPr>
          <w:rFonts w:ascii="Arial" w:hAnsi="Arial" w:cs="Arial"/>
          <w:sz w:val="24"/>
          <w:szCs w:val="24"/>
        </w:rPr>
        <w:t xml:space="preserve">impacts on </w:t>
      </w:r>
      <w:r w:rsidR="00405A96" w:rsidRPr="00EF4617">
        <w:rPr>
          <w:rFonts w:ascii="Arial" w:hAnsi="Arial" w:cs="Arial"/>
          <w:sz w:val="24"/>
          <w:szCs w:val="24"/>
        </w:rPr>
        <w:t xml:space="preserve">emergency, </w:t>
      </w:r>
      <w:r w:rsidRPr="00EF4617">
        <w:rPr>
          <w:rFonts w:ascii="Arial" w:hAnsi="Arial" w:cs="Arial"/>
          <w:sz w:val="24"/>
          <w:szCs w:val="24"/>
        </w:rPr>
        <w:t xml:space="preserve">out-of-hospital </w:t>
      </w:r>
      <w:r w:rsidR="00405A96" w:rsidRPr="00EF4617">
        <w:rPr>
          <w:rFonts w:ascii="Arial" w:hAnsi="Arial" w:cs="Arial"/>
          <w:sz w:val="24"/>
          <w:szCs w:val="24"/>
        </w:rPr>
        <w:t>care</w:t>
      </w:r>
      <w:r w:rsidRPr="00EF4617">
        <w:rPr>
          <w:rFonts w:ascii="Arial" w:hAnsi="Arial" w:cs="Arial"/>
          <w:sz w:val="24"/>
          <w:szCs w:val="24"/>
        </w:rPr>
        <w:t>.   This is reflected in the addition of a section on ‘Dementia, Alzheimer’s, Parkinson’s disease and palliative care’ in the most recent edition of the College of Paramedics’ Paramedic Curriculum Guidance</w:t>
      </w:r>
      <w:r w:rsidR="00B23CC2">
        <w:rPr>
          <w:rFonts w:ascii="Arial" w:hAnsi="Arial" w:cs="Arial"/>
          <w:sz w:val="24"/>
          <w:szCs w:val="24"/>
        </w:rPr>
        <w:t xml:space="preserve"> </w:t>
      </w:r>
      <w:r w:rsidR="00AC0122" w:rsidRPr="00EF4617">
        <w:rPr>
          <w:rFonts w:ascii="Arial" w:hAnsi="Arial" w:cs="Arial"/>
          <w:sz w:val="24"/>
          <w:szCs w:val="24"/>
        </w:rPr>
        <w:fldChar w:fldCharType="begin"/>
      </w:r>
      <w:r w:rsidR="0062017E">
        <w:rPr>
          <w:rFonts w:ascii="Arial" w:hAnsi="Arial" w:cs="Arial"/>
          <w:sz w:val="24"/>
          <w:szCs w:val="24"/>
        </w:rPr>
        <w:instrText xml:space="preserve"> ADDIN EN.CITE &lt;EndNote&gt;&lt;Cite&gt;&lt;Author&gt;Harris&lt;/Author&gt;&lt;Year&gt;2013&lt;/Year&gt;&lt;RecNum&gt;2147&lt;/RecNum&gt;&lt;DisplayText&gt;(Harris, 2013)&lt;/DisplayText&gt;&lt;record&gt;&lt;rec-number&gt;2147&lt;/rec-number&gt;&lt;foreign-keys&gt;&lt;key app="EN" db-id="0zpzrevtzfzvfeed0d7pxpeer5zaxet0zrpv"&gt;2147&lt;/key&gt;&lt;/foreign-keys&gt;&lt;ref-type name="Journal Article"&gt;17&lt;/ref-type&gt;&lt;contributors&gt;&lt;authors&gt;&lt;author&gt;Harris, Graham&lt;/author&gt;&lt;/authors&gt;&lt;/contributors&gt;&lt;titles&gt;&lt;title&gt;Publication of the new Paramedic Curriculum Guidance&lt;/title&gt;&lt;secondary-title&gt;Journal of Paramedic Practice&lt;/secondary-title&gt;&lt;/titles&gt;&lt;periodical&gt;&lt;full-title&gt;Journal of Paramedic Practice&lt;/full-title&gt;&lt;/periodical&gt;&lt;pages&gt;712-713&lt;/pages&gt;&lt;volume&gt;5&lt;/volume&gt;&lt;number&gt;12&lt;/number&gt;&lt;dates&gt;&lt;year&gt;2013&lt;/year&gt;&lt;pub-dates&gt;&lt;date&gt;2013/12/06&lt;/date&gt;&lt;/pub-dates&gt;&lt;/dates&gt;&lt;publisher&gt;Mark Allen Group&lt;/publisher&gt;&lt;isbn&gt;1759-1376&lt;/isbn&gt;&lt;urls&gt;&lt;related-urls&gt;&lt;url&gt;https://doi.org/10.12968/jpar.2013.5.12.712&lt;/url&gt;&lt;/related-urls&gt;&lt;/urls&gt;&lt;electronic-resource-num&gt;10.12968/jpar.2013.5.12.712&lt;/electronic-resource-num&gt;&lt;access-date&gt;2017/09/16&lt;/access-date&gt;&lt;/record&gt;&lt;/Cite&gt;&lt;/EndNote&gt;</w:instrText>
      </w:r>
      <w:r w:rsidR="00AC0122" w:rsidRPr="00EF4617">
        <w:rPr>
          <w:rFonts w:ascii="Arial" w:hAnsi="Arial" w:cs="Arial"/>
          <w:sz w:val="24"/>
          <w:szCs w:val="24"/>
        </w:rPr>
        <w:fldChar w:fldCharType="separate"/>
      </w:r>
      <w:r w:rsidR="0062017E">
        <w:rPr>
          <w:rFonts w:ascii="Arial" w:hAnsi="Arial" w:cs="Arial"/>
          <w:noProof/>
          <w:sz w:val="24"/>
          <w:szCs w:val="24"/>
        </w:rPr>
        <w:t>(</w:t>
      </w:r>
      <w:hyperlink w:anchor="_ENREF_7" w:tooltip="Harris, 2013 #2147" w:history="1">
        <w:r w:rsidR="0062017E">
          <w:rPr>
            <w:rFonts w:ascii="Arial" w:hAnsi="Arial" w:cs="Arial"/>
            <w:noProof/>
            <w:sz w:val="24"/>
            <w:szCs w:val="24"/>
          </w:rPr>
          <w:t>Harris, 2013</w:t>
        </w:r>
      </w:hyperlink>
      <w:r w:rsidR="0062017E">
        <w:rPr>
          <w:rFonts w:ascii="Arial" w:hAnsi="Arial" w:cs="Arial"/>
          <w:noProof/>
          <w:sz w:val="24"/>
          <w:szCs w:val="24"/>
        </w:rPr>
        <w:t>)</w:t>
      </w:r>
      <w:r w:rsidR="00AC0122" w:rsidRPr="00EF4617">
        <w:rPr>
          <w:rFonts w:ascii="Arial" w:hAnsi="Arial" w:cs="Arial"/>
          <w:sz w:val="24"/>
          <w:szCs w:val="24"/>
        </w:rPr>
        <w:fldChar w:fldCharType="end"/>
      </w:r>
      <w:r w:rsidR="00B23CC2">
        <w:rPr>
          <w:rFonts w:ascii="Arial" w:hAnsi="Arial" w:cs="Arial"/>
          <w:sz w:val="24"/>
          <w:szCs w:val="24"/>
        </w:rPr>
        <w:t>.</w:t>
      </w:r>
      <w:r w:rsidR="00405A96" w:rsidRPr="00EF4617">
        <w:rPr>
          <w:rFonts w:ascii="Arial" w:hAnsi="Arial" w:cs="Arial"/>
          <w:sz w:val="24"/>
          <w:szCs w:val="24"/>
        </w:rPr>
        <w:t xml:space="preserve"> </w:t>
      </w:r>
      <w:r w:rsidRPr="00EF4617">
        <w:rPr>
          <w:rFonts w:ascii="Arial" w:hAnsi="Arial" w:cs="Arial"/>
          <w:sz w:val="24"/>
          <w:szCs w:val="24"/>
        </w:rPr>
        <w:t>It is essential to assess the extent to which care needs of this patient group are being met</w:t>
      </w:r>
      <w:r w:rsidR="00695500" w:rsidRPr="00EF4617">
        <w:rPr>
          <w:rFonts w:ascii="Arial" w:hAnsi="Arial" w:cs="Arial"/>
          <w:sz w:val="24"/>
          <w:szCs w:val="24"/>
        </w:rPr>
        <w:t xml:space="preserve"> in pre-hospital care</w:t>
      </w:r>
      <w:r w:rsidRPr="00EF4617">
        <w:rPr>
          <w:rFonts w:ascii="Arial" w:hAnsi="Arial" w:cs="Arial"/>
          <w:sz w:val="24"/>
          <w:szCs w:val="24"/>
        </w:rPr>
        <w:t xml:space="preserve">.  </w:t>
      </w:r>
      <w:r w:rsidR="004C7F4D" w:rsidRPr="00EF4617">
        <w:rPr>
          <w:rFonts w:ascii="Arial" w:hAnsi="Arial" w:cs="Arial"/>
          <w:sz w:val="24"/>
          <w:szCs w:val="24"/>
        </w:rPr>
        <w:t>D</w:t>
      </w:r>
      <w:r w:rsidRPr="00EF4617">
        <w:rPr>
          <w:rFonts w:ascii="Arial" w:hAnsi="Arial" w:cs="Arial"/>
          <w:sz w:val="24"/>
          <w:szCs w:val="24"/>
        </w:rPr>
        <w:t xml:space="preserve">ata </w:t>
      </w:r>
      <w:r w:rsidR="004C7F4D" w:rsidRPr="00EF4617">
        <w:rPr>
          <w:rFonts w:ascii="Arial" w:hAnsi="Arial" w:cs="Arial"/>
          <w:sz w:val="24"/>
          <w:szCs w:val="24"/>
        </w:rPr>
        <w:t xml:space="preserve">from a large acute hospital within the South Central region </w:t>
      </w:r>
      <w:r w:rsidRPr="00EF4617">
        <w:rPr>
          <w:rFonts w:ascii="Arial" w:hAnsi="Arial" w:cs="Arial"/>
          <w:sz w:val="24"/>
          <w:szCs w:val="24"/>
        </w:rPr>
        <w:t xml:space="preserve">suggest that people with </w:t>
      </w:r>
      <w:r w:rsidR="004C7F4D" w:rsidRPr="00EF4617">
        <w:rPr>
          <w:rFonts w:ascii="Arial" w:hAnsi="Arial" w:cs="Arial"/>
          <w:sz w:val="24"/>
          <w:szCs w:val="24"/>
        </w:rPr>
        <w:t xml:space="preserve">identified </w:t>
      </w:r>
      <w:r w:rsidRPr="00EF4617">
        <w:rPr>
          <w:rFonts w:ascii="Arial" w:hAnsi="Arial" w:cs="Arial"/>
          <w:sz w:val="24"/>
          <w:szCs w:val="24"/>
        </w:rPr>
        <w:t>cognitive impairment may have similar enhanced care needs to those with a formal dementia diagnosis</w:t>
      </w:r>
      <w:r w:rsidR="004C7F4D" w:rsidRPr="00EF4617">
        <w:rPr>
          <w:rFonts w:ascii="Arial" w:hAnsi="Arial" w:cs="Arial"/>
          <w:sz w:val="24"/>
          <w:szCs w:val="24"/>
        </w:rPr>
        <w:t>, with an increased risk of m</w:t>
      </w:r>
      <w:r w:rsidRPr="00EF4617">
        <w:rPr>
          <w:rFonts w:ascii="Arial" w:hAnsi="Arial" w:cs="Arial"/>
          <w:sz w:val="24"/>
          <w:szCs w:val="24"/>
        </w:rPr>
        <w:t>ortality during hospital</w:t>
      </w:r>
      <w:r w:rsidR="004C7F4D" w:rsidRPr="00EF4617">
        <w:rPr>
          <w:rFonts w:ascii="Arial" w:hAnsi="Arial" w:cs="Arial"/>
          <w:sz w:val="24"/>
          <w:szCs w:val="24"/>
        </w:rPr>
        <w:t>isation</w:t>
      </w:r>
      <w:r w:rsidRPr="00EF4617">
        <w:rPr>
          <w:rFonts w:ascii="Arial" w:hAnsi="Arial" w:cs="Arial"/>
          <w:sz w:val="24"/>
          <w:szCs w:val="24"/>
        </w:rPr>
        <w:t xml:space="preserve"> amongst patients with dementia or cognitive impairment </w:t>
      </w:r>
      <w:r w:rsidR="00FC5F9E">
        <w:rPr>
          <w:rFonts w:ascii="Arial" w:hAnsi="Arial" w:cs="Arial"/>
          <w:sz w:val="24"/>
          <w:szCs w:val="24"/>
        </w:rPr>
        <w:t xml:space="preserve">aged 75+ </w:t>
      </w:r>
      <w:r w:rsidRPr="00EF4617">
        <w:rPr>
          <w:rFonts w:ascii="Arial" w:hAnsi="Arial" w:cs="Arial"/>
          <w:sz w:val="24"/>
          <w:szCs w:val="24"/>
        </w:rPr>
        <w:t>when compared to those without (10.8% and 11.8% versus 6.6%)</w:t>
      </w:r>
      <w:r w:rsidR="00B23CC2">
        <w:rPr>
          <w:rFonts w:ascii="Arial" w:hAnsi="Arial" w:cs="Arial"/>
          <w:sz w:val="24"/>
          <w:szCs w:val="24"/>
        </w:rPr>
        <w:t xml:space="preserve"> </w:t>
      </w:r>
      <w:r w:rsidR="00CD3209">
        <w:rPr>
          <w:rFonts w:ascii="Arial" w:hAnsi="Arial" w:cs="Arial"/>
          <w:sz w:val="24"/>
          <w:szCs w:val="24"/>
        </w:rPr>
        <w:fldChar w:fldCharType="begin"/>
      </w:r>
      <w:r w:rsidR="0062017E">
        <w:rPr>
          <w:rFonts w:ascii="Arial" w:hAnsi="Arial" w:cs="Arial"/>
          <w:sz w:val="24"/>
          <w:szCs w:val="24"/>
        </w:rPr>
        <w:instrText xml:space="preserve"> ADDIN EN.CITE &lt;EndNote&gt;&lt;Cite&gt;&lt;Author&gt;Fogg&lt;/Author&gt;&lt;Year&gt;2017&lt;/Year&gt;&lt;RecNum&gt;314&lt;/RecNum&gt;&lt;DisplayText&gt;(Fogg et al., 2017)&lt;/DisplayText&gt;&lt;record&gt;&lt;rec-number&gt;314&lt;/rec-number&gt;&lt;foreign-keys&gt;&lt;key app="EN" db-id="0zpzrevtzfzvfeed0d7pxpeer5zaxet0zrpv"&gt;314&lt;/key&gt;&lt;/foreign-keys&gt;&lt;ref-type name="Journal Article"&gt;17&lt;/ref-type&gt;&lt;contributors&gt;&lt;authors&gt;&lt;author&gt;Fogg, C.&lt;/author&gt;&lt;author&gt;Meredith, P.&lt;/author&gt;&lt;author&gt;Bridges, J.&lt;/author&gt;&lt;author&gt;Gould, G.&lt;/author&gt;&lt;author&gt;Griffiths, P.&lt;/author&gt;&lt;/authors&gt;&lt;/contributors&gt;&lt;titles&gt;&lt;title&gt;The relationship between cognitive impairment, mortality and discharge characteristics in a large cohort of older adults with unscheduled admissions to an acute hospital: a retrospective observational study&lt;/title&gt;&lt;secondary-title&gt;Age and Ageing &lt;/secondary-title&gt;&lt;/titles&gt;&lt;periodical&gt;&lt;full-title&gt;Age and Ageing&lt;/full-title&gt;&lt;/periodical&gt;&lt;pages&gt;6&lt;/pages&gt;&lt;volume&gt;46&lt;/volume&gt;&lt;edition&gt;25th February 2017&lt;/edition&gt;&lt;section&gt;794&lt;/section&gt;&lt;dates&gt;&lt;year&gt;2017&lt;/year&gt;&lt;/dates&gt;&lt;urls&gt;&lt;/urls&gt;&lt;/record&gt;&lt;/Cite&gt;&lt;/EndNote&gt;</w:instrText>
      </w:r>
      <w:r w:rsidR="00CD3209">
        <w:rPr>
          <w:rFonts w:ascii="Arial" w:hAnsi="Arial" w:cs="Arial"/>
          <w:sz w:val="24"/>
          <w:szCs w:val="24"/>
        </w:rPr>
        <w:fldChar w:fldCharType="separate"/>
      </w:r>
      <w:r w:rsidR="0062017E">
        <w:rPr>
          <w:rFonts w:ascii="Arial" w:hAnsi="Arial" w:cs="Arial"/>
          <w:noProof/>
          <w:sz w:val="24"/>
          <w:szCs w:val="24"/>
        </w:rPr>
        <w:t>(</w:t>
      </w:r>
      <w:hyperlink w:anchor="_ENREF_6" w:tooltip="Fogg, 2017 #314" w:history="1">
        <w:r w:rsidR="00B23CC2">
          <w:rPr>
            <w:rFonts w:ascii="Arial" w:hAnsi="Arial" w:cs="Arial"/>
            <w:noProof/>
            <w:sz w:val="24"/>
            <w:szCs w:val="24"/>
          </w:rPr>
          <w:t>Fogg et al</w:t>
        </w:r>
        <w:r w:rsidR="0062017E">
          <w:rPr>
            <w:rFonts w:ascii="Arial" w:hAnsi="Arial" w:cs="Arial"/>
            <w:noProof/>
            <w:sz w:val="24"/>
            <w:szCs w:val="24"/>
          </w:rPr>
          <w:t>, 2017</w:t>
        </w:r>
      </w:hyperlink>
      <w:r w:rsidR="0062017E">
        <w:rPr>
          <w:rFonts w:ascii="Arial" w:hAnsi="Arial" w:cs="Arial"/>
          <w:noProof/>
          <w:sz w:val="24"/>
          <w:szCs w:val="24"/>
        </w:rPr>
        <w:t>)</w:t>
      </w:r>
      <w:r w:rsidR="00CD3209">
        <w:rPr>
          <w:rFonts w:ascii="Arial" w:hAnsi="Arial" w:cs="Arial"/>
          <w:sz w:val="24"/>
          <w:szCs w:val="24"/>
        </w:rPr>
        <w:fldChar w:fldCharType="end"/>
      </w:r>
      <w:r w:rsidR="00B23CC2">
        <w:rPr>
          <w:rFonts w:ascii="Arial" w:hAnsi="Arial" w:cs="Arial"/>
          <w:sz w:val="24"/>
          <w:szCs w:val="24"/>
        </w:rPr>
        <w:t>.</w:t>
      </w:r>
      <w:r w:rsidRPr="00EF4617">
        <w:rPr>
          <w:rFonts w:ascii="Arial" w:hAnsi="Arial" w:cs="Arial"/>
          <w:sz w:val="24"/>
          <w:szCs w:val="24"/>
        </w:rPr>
        <w:t xml:space="preserve"> However, the role of the emergency medical services (EMS) in caring for older people with dementia is not clearly understood in the literature. </w:t>
      </w:r>
      <w:r w:rsidR="00AC0122" w:rsidRPr="00EF4617">
        <w:rPr>
          <w:rFonts w:ascii="Arial" w:hAnsi="Arial" w:cs="Arial"/>
          <w:sz w:val="24"/>
          <w:szCs w:val="24"/>
        </w:rPr>
        <w:t>An integrative review identified k</w:t>
      </w:r>
      <w:r w:rsidRPr="00EF4617">
        <w:rPr>
          <w:rFonts w:ascii="Arial" w:hAnsi="Arial" w:cs="Arial"/>
          <w:sz w:val="24"/>
          <w:szCs w:val="24"/>
        </w:rPr>
        <w:t xml:space="preserve">ey themes </w:t>
      </w:r>
      <w:r w:rsidR="00AC0122" w:rsidRPr="00EF4617">
        <w:rPr>
          <w:rFonts w:ascii="Arial" w:hAnsi="Arial" w:cs="Arial"/>
          <w:sz w:val="24"/>
          <w:szCs w:val="24"/>
        </w:rPr>
        <w:t>as</w:t>
      </w:r>
      <w:r w:rsidRPr="00EF4617">
        <w:rPr>
          <w:rFonts w:ascii="Arial" w:hAnsi="Arial" w:cs="Arial"/>
          <w:sz w:val="24"/>
          <w:szCs w:val="24"/>
        </w:rPr>
        <w:t xml:space="preserve"> </w:t>
      </w:r>
      <w:r w:rsidR="00AC0122" w:rsidRPr="00EF4617">
        <w:rPr>
          <w:rFonts w:ascii="Arial" w:hAnsi="Arial" w:cs="Arial"/>
          <w:sz w:val="24"/>
          <w:szCs w:val="24"/>
        </w:rPr>
        <w:t xml:space="preserve">providing emergency </w:t>
      </w:r>
      <w:r w:rsidRPr="00EF4617">
        <w:rPr>
          <w:rFonts w:ascii="Arial" w:hAnsi="Arial" w:cs="Arial"/>
          <w:sz w:val="24"/>
          <w:szCs w:val="24"/>
        </w:rPr>
        <w:t>transport, assessment and treatment</w:t>
      </w:r>
      <w:r w:rsidR="00AC0122" w:rsidRPr="00EF4617">
        <w:rPr>
          <w:rFonts w:ascii="Arial" w:hAnsi="Arial" w:cs="Arial"/>
          <w:sz w:val="24"/>
          <w:szCs w:val="24"/>
        </w:rPr>
        <w:t>,</w:t>
      </w:r>
      <w:r w:rsidRPr="00EF4617">
        <w:rPr>
          <w:rFonts w:ascii="Arial" w:hAnsi="Arial" w:cs="Arial"/>
          <w:sz w:val="24"/>
          <w:szCs w:val="24"/>
        </w:rPr>
        <w:t xml:space="preserve"> and </w:t>
      </w:r>
      <w:r w:rsidR="00AC0122" w:rsidRPr="00EF4617">
        <w:rPr>
          <w:rFonts w:ascii="Arial" w:hAnsi="Arial" w:cs="Arial"/>
          <w:sz w:val="24"/>
          <w:szCs w:val="24"/>
        </w:rPr>
        <w:t>as a ‘</w:t>
      </w:r>
      <w:r w:rsidRPr="00EF4617">
        <w:rPr>
          <w:rFonts w:ascii="Arial" w:hAnsi="Arial" w:cs="Arial"/>
          <w:sz w:val="24"/>
          <w:szCs w:val="24"/>
        </w:rPr>
        <w:t>last resort</w:t>
      </w:r>
      <w:r w:rsidR="00AC0122" w:rsidRPr="00EF4617">
        <w:rPr>
          <w:rFonts w:ascii="Arial" w:hAnsi="Arial" w:cs="Arial"/>
          <w:sz w:val="24"/>
          <w:szCs w:val="24"/>
        </w:rPr>
        <w:t>’ or safety net for providing care</w:t>
      </w:r>
      <w:r w:rsidR="00B23CC2">
        <w:rPr>
          <w:rFonts w:ascii="Arial" w:hAnsi="Arial" w:cs="Arial"/>
          <w:sz w:val="24"/>
          <w:szCs w:val="24"/>
        </w:rPr>
        <w:t xml:space="preserve"> </w:t>
      </w:r>
      <w:r w:rsidR="00483801" w:rsidRPr="00EF4617">
        <w:rPr>
          <w:rFonts w:ascii="Arial" w:hAnsi="Arial" w:cs="Arial"/>
          <w:sz w:val="24"/>
          <w:szCs w:val="24"/>
        </w:rPr>
        <w:fldChar w:fldCharType="begin">
          <w:fldData xml:space="preserve">PEVuZE5vdGU+PENpdGU+PEF1dGhvcj5CdXN3ZWxsPC9BdXRob3I+PFllYXI+MjAxNjwvWWVhcj48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</w:fldData>
        </w:fldChar>
      </w:r>
      <w:r w:rsidR="0062017E">
        <w:rPr>
          <w:rFonts w:ascii="Arial" w:hAnsi="Arial" w:cs="Arial"/>
          <w:sz w:val="24"/>
          <w:szCs w:val="24"/>
        </w:rPr>
        <w:instrText xml:space="preserve"> ADDIN EN.CITE </w:instrText>
      </w:r>
      <w:r w:rsidR="0062017E">
        <w:rPr>
          <w:rFonts w:ascii="Arial" w:hAnsi="Arial" w:cs="Arial"/>
          <w:sz w:val="24"/>
          <w:szCs w:val="24"/>
        </w:rPr>
        <w:fldChar w:fldCharType="begin">
          <w:fldData xml:space="preserve">PEVuZE5vdGU+PENpdGU+PEF1dGhvcj5CdXN3ZWxsPC9BdXRob3I+PFllYXI+MjAxNjwvWWVhcj48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</w:fldData>
        </w:fldChar>
      </w:r>
      <w:r w:rsidR="0062017E">
        <w:rPr>
          <w:rFonts w:ascii="Arial" w:hAnsi="Arial" w:cs="Arial"/>
          <w:sz w:val="24"/>
          <w:szCs w:val="24"/>
        </w:rPr>
        <w:instrText xml:space="preserve"> ADDIN EN.CITE.DATA </w:instrText>
      </w:r>
      <w:r w:rsidR="0062017E">
        <w:rPr>
          <w:rFonts w:ascii="Arial" w:hAnsi="Arial" w:cs="Arial"/>
          <w:sz w:val="24"/>
          <w:szCs w:val="24"/>
        </w:rPr>
      </w:r>
      <w:r w:rsidR="0062017E">
        <w:rPr>
          <w:rFonts w:ascii="Arial" w:hAnsi="Arial" w:cs="Arial"/>
          <w:sz w:val="24"/>
          <w:szCs w:val="24"/>
        </w:rPr>
        <w:fldChar w:fldCharType="end"/>
      </w:r>
      <w:r w:rsidR="00483801" w:rsidRPr="00EF4617">
        <w:rPr>
          <w:rFonts w:ascii="Arial" w:hAnsi="Arial" w:cs="Arial"/>
          <w:sz w:val="24"/>
          <w:szCs w:val="24"/>
        </w:rPr>
      </w:r>
      <w:r w:rsidR="00483801" w:rsidRPr="00EF4617">
        <w:rPr>
          <w:rFonts w:ascii="Arial" w:hAnsi="Arial" w:cs="Arial"/>
          <w:sz w:val="24"/>
          <w:szCs w:val="24"/>
        </w:rPr>
        <w:fldChar w:fldCharType="separate"/>
      </w:r>
      <w:r w:rsidR="0062017E">
        <w:rPr>
          <w:rFonts w:ascii="Arial" w:hAnsi="Arial" w:cs="Arial"/>
          <w:noProof/>
          <w:sz w:val="24"/>
          <w:szCs w:val="24"/>
        </w:rPr>
        <w:t>(</w:t>
      </w:r>
      <w:hyperlink w:anchor="_ENREF_4" w:tooltip="Buswell, 2016 #267" w:history="1">
        <w:r w:rsidR="00B23CC2">
          <w:rPr>
            <w:rFonts w:ascii="Arial" w:hAnsi="Arial" w:cs="Arial"/>
            <w:noProof/>
            <w:sz w:val="24"/>
            <w:szCs w:val="24"/>
          </w:rPr>
          <w:t>Buswell et al</w:t>
        </w:r>
        <w:r w:rsidR="0062017E">
          <w:rPr>
            <w:rFonts w:ascii="Arial" w:hAnsi="Arial" w:cs="Arial"/>
            <w:noProof/>
            <w:sz w:val="24"/>
            <w:szCs w:val="24"/>
          </w:rPr>
          <w:t>, 2016</w:t>
        </w:r>
      </w:hyperlink>
      <w:r w:rsidR="0062017E">
        <w:rPr>
          <w:rFonts w:ascii="Arial" w:hAnsi="Arial" w:cs="Arial"/>
          <w:noProof/>
          <w:sz w:val="24"/>
          <w:szCs w:val="24"/>
        </w:rPr>
        <w:t>)</w:t>
      </w:r>
      <w:r w:rsidR="00483801" w:rsidRPr="00EF4617">
        <w:rPr>
          <w:rFonts w:ascii="Arial" w:hAnsi="Arial" w:cs="Arial"/>
          <w:sz w:val="24"/>
          <w:szCs w:val="24"/>
        </w:rPr>
        <w:fldChar w:fldCharType="end"/>
      </w:r>
      <w:r w:rsidR="00B23CC2">
        <w:rPr>
          <w:rFonts w:ascii="Arial" w:hAnsi="Arial" w:cs="Arial"/>
          <w:sz w:val="24"/>
          <w:szCs w:val="24"/>
        </w:rPr>
        <w:t>.</w:t>
      </w:r>
      <w:r w:rsidR="00483801" w:rsidRPr="00EF4617">
        <w:rPr>
          <w:rFonts w:ascii="Arial" w:hAnsi="Arial" w:cs="Arial"/>
          <w:sz w:val="24"/>
          <w:szCs w:val="24"/>
        </w:rPr>
        <w:t xml:space="preserve"> </w:t>
      </w:r>
    </w:p>
    <w:p w:rsidR="00B23CC2" w:rsidRDefault="00B23CC2" w:rsidP="00EF4617">
      <w:pPr>
        <w:spacing w:line="240" w:lineRule="auto"/>
        <w:rPr>
          <w:rFonts w:ascii="Arial" w:hAnsi="Arial" w:cs="Arial"/>
          <w:b/>
          <w:sz w:val="24"/>
          <w:szCs w:val="24"/>
        </w:rPr>
      </w:pPr>
    </w:p>
    <w:p w:rsidR="00B23CC2" w:rsidRPr="00B23CC2" w:rsidRDefault="00B23CC2" w:rsidP="00EF4617">
      <w:pPr>
        <w:spacing w:line="240" w:lineRule="auto"/>
        <w:rPr>
          <w:rFonts w:ascii="Arial" w:hAnsi="Arial" w:cs="Arial"/>
          <w:b/>
          <w:sz w:val="24"/>
          <w:szCs w:val="24"/>
        </w:rPr>
      </w:pPr>
      <w:r w:rsidRPr="00B23CC2">
        <w:rPr>
          <w:rFonts w:ascii="Arial" w:hAnsi="Arial" w:cs="Arial"/>
          <w:b/>
          <w:sz w:val="24"/>
          <w:szCs w:val="24"/>
        </w:rPr>
        <w:t>Outline</w:t>
      </w:r>
    </w:p>
    <w:p w:rsidR="00B17509" w:rsidRPr="00EF4617" w:rsidRDefault="00B17509" w:rsidP="00EF4617">
      <w:pPr>
        <w:spacing w:line="240" w:lineRule="auto"/>
        <w:rPr>
          <w:rFonts w:ascii="Arial" w:hAnsi="Arial" w:cs="Arial"/>
          <w:sz w:val="24"/>
          <w:szCs w:val="24"/>
        </w:rPr>
      </w:pPr>
      <w:r w:rsidRPr="00EF4617">
        <w:rPr>
          <w:rFonts w:ascii="Arial" w:hAnsi="Arial" w:cs="Arial"/>
          <w:sz w:val="24"/>
          <w:szCs w:val="24"/>
        </w:rPr>
        <w:t>Little is currently known about the ability of EMS to accurately record dementia prevalence across their service users.  A</w:t>
      </w:r>
      <w:r w:rsidR="009F3256" w:rsidRPr="00EF4617">
        <w:rPr>
          <w:rFonts w:ascii="Arial" w:hAnsi="Arial" w:cs="Arial"/>
          <w:sz w:val="24"/>
          <w:szCs w:val="24"/>
        </w:rPr>
        <w:t>n</w:t>
      </w:r>
      <w:r w:rsidRPr="00EF4617">
        <w:rPr>
          <w:rFonts w:ascii="Arial" w:hAnsi="Arial" w:cs="Arial"/>
          <w:sz w:val="24"/>
          <w:szCs w:val="24"/>
        </w:rPr>
        <w:t xml:space="preserve"> analysis of 358 ambula</w:t>
      </w:r>
      <w:r w:rsidR="009F3256" w:rsidRPr="00EF4617">
        <w:rPr>
          <w:rFonts w:ascii="Arial" w:hAnsi="Arial" w:cs="Arial"/>
          <w:sz w:val="24"/>
          <w:szCs w:val="24"/>
        </w:rPr>
        <w:t xml:space="preserve">nce </w:t>
      </w:r>
      <w:r w:rsidR="004C7F4D" w:rsidRPr="00EF4617">
        <w:rPr>
          <w:rFonts w:ascii="Arial" w:hAnsi="Arial" w:cs="Arial"/>
          <w:sz w:val="24"/>
          <w:szCs w:val="24"/>
        </w:rPr>
        <w:t xml:space="preserve">paper </w:t>
      </w:r>
      <w:r w:rsidR="009F3256" w:rsidRPr="00EF4617">
        <w:rPr>
          <w:rFonts w:ascii="Arial" w:hAnsi="Arial" w:cs="Arial"/>
          <w:sz w:val="24"/>
          <w:szCs w:val="24"/>
        </w:rPr>
        <w:t xml:space="preserve">patient care records (PCRs) </w:t>
      </w:r>
      <w:r w:rsidR="00FC5F9E">
        <w:rPr>
          <w:rFonts w:ascii="Arial" w:hAnsi="Arial" w:cs="Arial"/>
          <w:sz w:val="24"/>
          <w:szCs w:val="24"/>
        </w:rPr>
        <w:t xml:space="preserve">of patients aged 75+ </w:t>
      </w:r>
      <w:r w:rsidR="009F3256" w:rsidRPr="00EF4617">
        <w:rPr>
          <w:rFonts w:ascii="Arial" w:hAnsi="Arial" w:cs="Arial"/>
          <w:sz w:val="24"/>
          <w:szCs w:val="24"/>
        </w:rPr>
        <w:t xml:space="preserve">found that ‘dementia’ was recorded in 14.5% [95% CI 10.9%-18.2%] of PCRs, </w:t>
      </w:r>
      <w:r w:rsidR="0093246B" w:rsidRPr="00EF4617">
        <w:rPr>
          <w:rFonts w:ascii="Arial" w:hAnsi="Arial" w:cs="Arial"/>
          <w:sz w:val="24"/>
          <w:szCs w:val="24"/>
        </w:rPr>
        <w:t>with</w:t>
      </w:r>
      <w:r w:rsidR="009F3256" w:rsidRPr="00EF4617">
        <w:rPr>
          <w:rFonts w:ascii="Arial" w:hAnsi="Arial" w:cs="Arial"/>
          <w:sz w:val="24"/>
          <w:szCs w:val="24"/>
        </w:rPr>
        <w:t xml:space="preserve"> a lower</w:t>
      </w:r>
      <w:r w:rsidRPr="00EF4617">
        <w:rPr>
          <w:rFonts w:ascii="Arial" w:hAnsi="Arial" w:cs="Arial"/>
          <w:sz w:val="24"/>
          <w:szCs w:val="24"/>
        </w:rPr>
        <w:t xml:space="preserve"> than expected proportion of dementia recorded for care home residents</w:t>
      </w:r>
      <w:r w:rsidR="00B23CC2">
        <w:rPr>
          <w:rFonts w:ascii="Arial" w:hAnsi="Arial" w:cs="Arial"/>
          <w:sz w:val="24"/>
          <w:szCs w:val="24"/>
        </w:rPr>
        <w:t xml:space="preserve"> </w:t>
      </w:r>
      <w:r w:rsidR="009F3256" w:rsidRPr="00EF4617">
        <w:rPr>
          <w:rFonts w:ascii="Arial" w:hAnsi="Arial" w:cs="Arial"/>
          <w:sz w:val="24"/>
          <w:szCs w:val="24"/>
        </w:rPr>
        <w:fldChar w:fldCharType="begin"/>
      </w:r>
      <w:r w:rsidR="0062017E">
        <w:rPr>
          <w:rFonts w:ascii="Arial" w:hAnsi="Arial" w:cs="Arial"/>
          <w:sz w:val="24"/>
          <w:szCs w:val="24"/>
        </w:rPr>
        <w:instrText xml:space="preserve"> ADDIN EN.CITE &lt;EndNote&gt;&lt;Cite&gt;&lt;Author&gt;Buswell&lt;/Author&gt;&lt;Year&gt;2016&lt;/Year&gt;&lt;RecNum&gt;355&lt;/RecNum&gt;&lt;DisplayText&gt;(Buswell, Lumbard, Fleming, et al., 2016)&lt;/DisplayText&gt;&lt;record&gt;&lt;rec-number&gt;355&lt;/rec-number&gt;&lt;foreign-keys&gt;&lt;key app="EN" db-id="0zpzrevtzfzvfeed0d7pxpeer5zaxet0zrpv"&gt;355&lt;/key&gt;&lt;/foreign-keys&gt;&lt;ref-type name="Journal Article"&gt;17&lt;/ref-type&gt;&lt;contributors&gt;&lt;authors&gt;&lt;author&gt;Buswell, M.&lt;/author&gt;&lt;author&gt;Lumbard, P.&lt;/author&gt;&lt;author&gt;Fleming, J.&lt;/author&gt;&lt;author&gt;Ayres, D.&lt;/author&gt;&lt;author&gt;Brayne, C.&lt;/author&gt;&lt;author&gt;Goodman, C.&lt;/author&gt;&lt;/authors&gt;&lt;/contributors&gt;&lt;titles&gt;&lt;title&gt;Using ambulance service PCRs to understand 999 call-outs to older people with dementia&lt;/title&gt;&lt;secondary-title&gt;Journal of Paramedic Practice&lt;/secondary-title&gt;&lt;/titles&gt;&lt;periodical&gt;&lt;full-title&gt;Journal of Paramedic Practice&lt;/full-title&gt;&lt;/periodical&gt;&lt;pages&gt;6&lt;/pages&gt;&lt;volume&gt;8&lt;/volume&gt;&lt;number&gt;5&lt;/number&gt;&lt;section&gt;246&lt;/section&gt;&lt;dates&gt;&lt;year&gt;2016&lt;/year&gt;&lt;/dates&gt;&lt;urls&gt;&lt;/urls&gt;&lt;/record&gt;&lt;/Cite&gt;&lt;/EndNote&gt;</w:instrText>
      </w:r>
      <w:r w:rsidR="009F3256" w:rsidRPr="00EF4617">
        <w:rPr>
          <w:rFonts w:ascii="Arial" w:hAnsi="Arial" w:cs="Arial"/>
          <w:sz w:val="24"/>
          <w:szCs w:val="24"/>
        </w:rPr>
        <w:fldChar w:fldCharType="separate"/>
      </w:r>
      <w:r w:rsidR="0062017E">
        <w:rPr>
          <w:rFonts w:ascii="Arial" w:hAnsi="Arial" w:cs="Arial"/>
          <w:noProof/>
          <w:sz w:val="24"/>
          <w:szCs w:val="24"/>
        </w:rPr>
        <w:t>(</w:t>
      </w:r>
      <w:hyperlink w:anchor="_ENREF_3" w:tooltip="Buswell, 2016 #355" w:history="1">
        <w:r w:rsidR="0062017E">
          <w:rPr>
            <w:rFonts w:ascii="Arial" w:hAnsi="Arial" w:cs="Arial"/>
            <w:noProof/>
            <w:sz w:val="24"/>
            <w:szCs w:val="24"/>
          </w:rPr>
          <w:t>Buswell</w:t>
        </w:r>
        <w:r w:rsidR="00B23CC2">
          <w:rPr>
            <w:rFonts w:ascii="Arial" w:hAnsi="Arial" w:cs="Arial"/>
            <w:noProof/>
            <w:sz w:val="24"/>
            <w:szCs w:val="24"/>
          </w:rPr>
          <w:t xml:space="preserve"> et al</w:t>
        </w:r>
        <w:r w:rsidR="0062017E">
          <w:rPr>
            <w:rFonts w:ascii="Arial" w:hAnsi="Arial" w:cs="Arial"/>
            <w:noProof/>
            <w:sz w:val="24"/>
            <w:szCs w:val="24"/>
          </w:rPr>
          <w:t>, 2016</w:t>
        </w:r>
      </w:hyperlink>
      <w:r w:rsidR="0062017E">
        <w:rPr>
          <w:rFonts w:ascii="Arial" w:hAnsi="Arial" w:cs="Arial"/>
          <w:noProof/>
          <w:sz w:val="24"/>
          <w:szCs w:val="24"/>
        </w:rPr>
        <w:t>)</w:t>
      </w:r>
      <w:r w:rsidR="009F3256" w:rsidRPr="00EF4617">
        <w:rPr>
          <w:rFonts w:ascii="Arial" w:hAnsi="Arial" w:cs="Arial"/>
          <w:sz w:val="24"/>
          <w:szCs w:val="24"/>
        </w:rPr>
        <w:fldChar w:fldCharType="end"/>
      </w:r>
      <w:r w:rsidR="00B23CC2">
        <w:rPr>
          <w:rFonts w:ascii="Arial" w:hAnsi="Arial" w:cs="Arial"/>
          <w:sz w:val="24"/>
          <w:szCs w:val="24"/>
        </w:rPr>
        <w:t>.</w:t>
      </w:r>
      <w:r w:rsidRPr="00EF4617">
        <w:rPr>
          <w:rFonts w:ascii="Arial" w:hAnsi="Arial" w:cs="Arial"/>
          <w:sz w:val="24"/>
          <w:szCs w:val="24"/>
        </w:rPr>
        <w:t xml:space="preserve"> </w:t>
      </w:r>
      <w:r w:rsidR="004C7F4D" w:rsidRPr="00EF4617">
        <w:rPr>
          <w:rFonts w:ascii="Arial" w:hAnsi="Arial" w:cs="Arial"/>
          <w:sz w:val="24"/>
          <w:szCs w:val="24"/>
        </w:rPr>
        <w:t>T</w:t>
      </w:r>
      <w:r w:rsidRPr="00EF4617">
        <w:rPr>
          <w:rFonts w:ascii="Arial" w:hAnsi="Arial" w:cs="Arial"/>
          <w:sz w:val="24"/>
          <w:szCs w:val="24"/>
        </w:rPr>
        <w:t xml:space="preserve">he </w:t>
      </w:r>
      <w:r w:rsidR="004C7F4D" w:rsidRPr="00EF4617">
        <w:rPr>
          <w:rFonts w:ascii="Arial" w:hAnsi="Arial" w:cs="Arial"/>
          <w:sz w:val="24"/>
          <w:szCs w:val="24"/>
        </w:rPr>
        <w:t xml:space="preserve">lack of </w:t>
      </w:r>
      <w:r w:rsidRPr="00EF4617">
        <w:rPr>
          <w:rFonts w:ascii="Arial" w:hAnsi="Arial" w:cs="Arial"/>
          <w:sz w:val="24"/>
          <w:szCs w:val="24"/>
        </w:rPr>
        <w:t xml:space="preserve">systematic recording of dementia </w:t>
      </w:r>
      <w:r w:rsidR="004C7F4D" w:rsidRPr="00EF4617">
        <w:rPr>
          <w:rFonts w:ascii="Arial" w:hAnsi="Arial" w:cs="Arial"/>
          <w:sz w:val="24"/>
          <w:szCs w:val="24"/>
        </w:rPr>
        <w:t xml:space="preserve">due to no specific ‘tick box’ on the form means </w:t>
      </w:r>
      <w:r w:rsidRPr="00EF4617">
        <w:rPr>
          <w:rFonts w:ascii="Arial" w:hAnsi="Arial" w:cs="Arial"/>
          <w:sz w:val="24"/>
          <w:szCs w:val="24"/>
        </w:rPr>
        <w:t xml:space="preserve">it is not possible to say whether </w:t>
      </w:r>
      <w:r w:rsidR="0093246B" w:rsidRPr="00EF4617">
        <w:rPr>
          <w:rFonts w:ascii="Arial" w:hAnsi="Arial" w:cs="Arial"/>
          <w:sz w:val="24"/>
          <w:szCs w:val="24"/>
        </w:rPr>
        <w:t>the latter</w:t>
      </w:r>
      <w:r w:rsidRPr="00EF4617">
        <w:rPr>
          <w:rFonts w:ascii="Arial" w:hAnsi="Arial" w:cs="Arial"/>
          <w:sz w:val="24"/>
          <w:szCs w:val="24"/>
        </w:rPr>
        <w:t xml:space="preserve"> was an accurate reflection of the study population or whether dementia was under-recognised or under-reported.  </w:t>
      </w:r>
      <w:r w:rsidR="004C7F4D" w:rsidRPr="00EF4617">
        <w:rPr>
          <w:rFonts w:ascii="Arial" w:hAnsi="Arial" w:cs="Arial"/>
          <w:sz w:val="24"/>
          <w:szCs w:val="24"/>
        </w:rPr>
        <w:t>D</w:t>
      </w:r>
      <w:r w:rsidRPr="00EF4617">
        <w:rPr>
          <w:rFonts w:ascii="Arial" w:hAnsi="Arial" w:cs="Arial"/>
          <w:sz w:val="24"/>
          <w:szCs w:val="24"/>
        </w:rPr>
        <w:t xml:space="preserve">ementia was recorded across a range of data fields including previous medical history, social or family history and treatment advice or notes.    </w:t>
      </w:r>
    </w:p>
    <w:p w:rsidR="0093246B" w:rsidRPr="00EF4617" w:rsidRDefault="004C7F4D" w:rsidP="00EF4617">
      <w:pPr>
        <w:spacing w:line="240" w:lineRule="auto"/>
        <w:rPr>
          <w:rFonts w:ascii="Arial" w:hAnsi="Arial" w:cs="Arial"/>
          <w:sz w:val="24"/>
          <w:szCs w:val="24"/>
        </w:rPr>
      </w:pPr>
      <w:r w:rsidRPr="00EF4617">
        <w:rPr>
          <w:rFonts w:ascii="Arial" w:hAnsi="Arial" w:cs="Arial"/>
          <w:sz w:val="24"/>
          <w:szCs w:val="24"/>
        </w:rPr>
        <w:lastRenderedPageBreak/>
        <w:t xml:space="preserve">To enable more systematised and individualised recording </w:t>
      </w:r>
      <w:r w:rsidR="0093246B" w:rsidRPr="00EF4617">
        <w:rPr>
          <w:rFonts w:ascii="Arial" w:hAnsi="Arial" w:cs="Arial"/>
          <w:sz w:val="24"/>
          <w:szCs w:val="24"/>
        </w:rPr>
        <w:t xml:space="preserve">of </w:t>
      </w:r>
      <w:r w:rsidRPr="00EF4617">
        <w:rPr>
          <w:rFonts w:ascii="Arial" w:hAnsi="Arial" w:cs="Arial"/>
          <w:sz w:val="24"/>
          <w:szCs w:val="24"/>
        </w:rPr>
        <w:t xml:space="preserve">patient data, </w:t>
      </w:r>
      <w:r w:rsidR="00B17509" w:rsidRPr="00EF4617">
        <w:rPr>
          <w:rFonts w:ascii="Arial" w:hAnsi="Arial" w:cs="Arial"/>
          <w:sz w:val="24"/>
          <w:szCs w:val="24"/>
        </w:rPr>
        <w:t>ambulance services are moving towards electronic recording</w:t>
      </w:r>
      <w:r w:rsidRPr="00EF4617">
        <w:rPr>
          <w:rFonts w:ascii="Arial" w:hAnsi="Arial" w:cs="Arial"/>
          <w:sz w:val="24"/>
          <w:szCs w:val="24"/>
        </w:rPr>
        <w:t xml:space="preserve">. This </w:t>
      </w:r>
      <w:r w:rsidR="00B17509" w:rsidRPr="00EF4617">
        <w:rPr>
          <w:rFonts w:ascii="Arial" w:hAnsi="Arial" w:cs="Arial"/>
          <w:sz w:val="24"/>
          <w:szCs w:val="24"/>
        </w:rPr>
        <w:t>provides opportunities for improvement in record keeping</w:t>
      </w:r>
      <w:r w:rsidRPr="00EF4617">
        <w:rPr>
          <w:rFonts w:ascii="Arial" w:hAnsi="Arial" w:cs="Arial"/>
          <w:sz w:val="24"/>
          <w:szCs w:val="24"/>
        </w:rPr>
        <w:t xml:space="preserve">, </w:t>
      </w:r>
      <w:r w:rsidR="00B17509" w:rsidRPr="00EF4617">
        <w:rPr>
          <w:rFonts w:ascii="Arial" w:hAnsi="Arial" w:cs="Arial"/>
          <w:sz w:val="24"/>
          <w:szCs w:val="24"/>
        </w:rPr>
        <w:t>audit</w:t>
      </w:r>
      <w:r w:rsidRPr="00EF4617">
        <w:rPr>
          <w:rFonts w:ascii="Arial" w:hAnsi="Arial" w:cs="Arial"/>
          <w:sz w:val="24"/>
          <w:szCs w:val="24"/>
        </w:rPr>
        <w:t xml:space="preserve"> and quality of handover or referral information</w:t>
      </w:r>
      <w:r w:rsidR="00B17509" w:rsidRPr="00EF4617">
        <w:rPr>
          <w:rFonts w:ascii="Arial" w:hAnsi="Arial" w:cs="Arial"/>
          <w:sz w:val="24"/>
          <w:szCs w:val="24"/>
        </w:rPr>
        <w:t xml:space="preserve">.  However, capture and storage of </w:t>
      </w:r>
      <w:r w:rsidR="00117D11" w:rsidRPr="00EF4617">
        <w:rPr>
          <w:rFonts w:ascii="Arial" w:hAnsi="Arial" w:cs="Arial"/>
          <w:sz w:val="24"/>
          <w:szCs w:val="24"/>
        </w:rPr>
        <w:t xml:space="preserve">electronic </w:t>
      </w:r>
      <w:r w:rsidR="00B17509" w:rsidRPr="00EF4617">
        <w:rPr>
          <w:rFonts w:ascii="Arial" w:hAnsi="Arial" w:cs="Arial"/>
          <w:sz w:val="24"/>
          <w:szCs w:val="24"/>
        </w:rPr>
        <w:t xml:space="preserve">patient information within ambulance services </w:t>
      </w:r>
      <w:r w:rsidR="0093246B" w:rsidRPr="00EF4617">
        <w:rPr>
          <w:rFonts w:ascii="Arial" w:hAnsi="Arial" w:cs="Arial"/>
          <w:sz w:val="24"/>
          <w:szCs w:val="24"/>
        </w:rPr>
        <w:t>presents</w:t>
      </w:r>
      <w:r w:rsidR="00B17509" w:rsidRPr="00EF4617">
        <w:rPr>
          <w:rFonts w:ascii="Arial" w:hAnsi="Arial" w:cs="Arial"/>
          <w:sz w:val="24"/>
          <w:szCs w:val="24"/>
        </w:rPr>
        <w:t xml:space="preserve"> challenges</w:t>
      </w:r>
      <w:r w:rsidR="0093246B" w:rsidRPr="00EF4617">
        <w:rPr>
          <w:rFonts w:ascii="Arial" w:hAnsi="Arial" w:cs="Arial"/>
          <w:sz w:val="24"/>
          <w:szCs w:val="24"/>
        </w:rPr>
        <w:t xml:space="preserve">, and the current usage and potential for </w:t>
      </w:r>
      <w:r w:rsidR="00B71328" w:rsidRPr="00EF4617">
        <w:rPr>
          <w:rFonts w:ascii="Arial" w:hAnsi="Arial" w:cs="Arial"/>
          <w:sz w:val="24"/>
          <w:szCs w:val="24"/>
        </w:rPr>
        <w:t xml:space="preserve">electronic patient records </w:t>
      </w:r>
      <w:r w:rsidR="00B71328">
        <w:rPr>
          <w:rFonts w:ascii="Arial" w:hAnsi="Arial" w:cs="Arial"/>
          <w:sz w:val="24"/>
          <w:szCs w:val="24"/>
        </w:rPr>
        <w:t>(</w:t>
      </w:r>
      <w:r w:rsidR="00C67C67" w:rsidRPr="00EF4617">
        <w:rPr>
          <w:rFonts w:ascii="Arial" w:hAnsi="Arial" w:cs="Arial"/>
          <w:sz w:val="24"/>
          <w:szCs w:val="24"/>
        </w:rPr>
        <w:t>EPR</w:t>
      </w:r>
      <w:r w:rsidR="0093246B" w:rsidRPr="00EF4617">
        <w:rPr>
          <w:rFonts w:ascii="Arial" w:hAnsi="Arial" w:cs="Arial"/>
          <w:sz w:val="24"/>
          <w:szCs w:val="24"/>
        </w:rPr>
        <w:t>s</w:t>
      </w:r>
      <w:r w:rsidR="00B71328">
        <w:rPr>
          <w:rFonts w:ascii="Arial" w:hAnsi="Arial" w:cs="Arial"/>
          <w:sz w:val="24"/>
          <w:szCs w:val="24"/>
        </w:rPr>
        <w:t>)</w:t>
      </w:r>
      <w:r w:rsidR="0093246B" w:rsidRPr="00EF4617">
        <w:rPr>
          <w:rFonts w:ascii="Arial" w:hAnsi="Arial" w:cs="Arial"/>
          <w:sz w:val="24"/>
          <w:szCs w:val="24"/>
        </w:rPr>
        <w:t xml:space="preserve"> to facilitate hospital avoidance are currently under study</w:t>
      </w:r>
      <w:r w:rsidR="002B2906">
        <w:rPr>
          <w:rFonts w:ascii="Arial" w:hAnsi="Arial" w:cs="Arial"/>
          <w:sz w:val="24"/>
          <w:szCs w:val="24"/>
        </w:rPr>
        <w:t xml:space="preserve"> </w:t>
      </w:r>
      <w:r w:rsidR="00CD3209">
        <w:rPr>
          <w:rFonts w:ascii="Arial" w:hAnsi="Arial" w:cs="Arial"/>
          <w:sz w:val="24"/>
          <w:szCs w:val="24"/>
        </w:rPr>
        <w:fldChar w:fldCharType="begin"/>
      </w:r>
      <w:r w:rsidR="0062017E">
        <w:rPr>
          <w:rFonts w:ascii="Arial" w:hAnsi="Arial" w:cs="Arial"/>
          <w:sz w:val="24"/>
          <w:szCs w:val="24"/>
        </w:rPr>
        <w:instrText xml:space="preserve"> ADDIN EN.CITE &lt;EndNote&gt;&lt;Cite&gt;&lt;Author&gt;Porter&lt;/Author&gt;&lt;Year&gt;2016&lt;/Year&gt;&lt;RecNum&gt;2144&lt;/RecNum&gt;&lt;DisplayText&gt;(Porter et al., 2016)&lt;/DisplayText&gt;&lt;record&gt;&lt;rec-number&gt;2144&lt;/rec-number&gt;&lt;foreign-keys&gt;&lt;key app="EN" db-id="0zpzrevtzfzvfeed0d7pxpeer5zaxet0zrpv"&gt;2144&lt;/key&gt;&lt;/foreign-keys&gt;&lt;ref-type name="Web Page"&gt;12&lt;/ref-type&gt;&lt;contributors&gt;&lt;authors&gt;&lt;author&gt;Porter, A.&lt;/author&gt;&lt;author&gt;Wells, B.&lt;/author&gt;&lt;author&gt;Potts, H.&lt;/author&gt;&lt;author&gt;Morrison, Z.&lt;/author&gt;&lt;author&gt;Whitfield, R.&lt;/author&gt;&lt;author&gt;Harris-Mayes, R.&lt;/author&gt;&lt;author&gt;Lawrenson, R.&lt;/author&gt;&lt;author&gt;Black, S.&lt;/author&gt;&lt;author&gt;Siriwardena, A.&lt;/author&gt;&lt;author&gt;Snooks, H.&lt;/author&gt;&lt;author&gt;Dale, J.&lt;/author&gt;&lt;author&gt;Lyons, R.&lt;/author&gt;&lt;author&gt;Mason, S.&lt;/author&gt;&lt;/authors&gt;&lt;/contributors&gt;&lt;titles&gt;&lt;title&gt;ERA Electronic Records in Ambulances to support the shift to out of hospital care: challenges, opportunities and workforce implications. &lt;/title&gt;&lt;secondary-title&gt;NIHR Journals Library (Health Services and Delivery Research)&lt;/secondary-title&gt;&lt;/titles&gt;&lt;number&gt;18/07/2017&lt;/number&gt;&lt;dates&gt;&lt;year&gt;2016&lt;/year&gt;&lt;/dates&gt;&lt;urls&gt;&lt;related-urls&gt;&lt;url&gt;http://www.journalslibrary.nhr.ac.uk/programmes/hsdr/144722/#/abstract&lt;/url&gt;&lt;/related-urls&gt;&lt;/urls&gt;&lt;/record&gt;&lt;/Cite&gt;&lt;/EndNote&gt;</w:instrText>
      </w:r>
      <w:r w:rsidR="00CD3209">
        <w:rPr>
          <w:rFonts w:ascii="Arial" w:hAnsi="Arial" w:cs="Arial"/>
          <w:sz w:val="24"/>
          <w:szCs w:val="24"/>
        </w:rPr>
        <w:fldChar w:fldCharType="separate"/>
      </w:r>
      <w:r w:rsidR="0062017E">
        <w:rPr>
          <w:rFonts w:ascii="Arial" w:hAnsi="Arial" w:cs="Arial"/>
          <w:noProof/>
          <w:sz w:val="24"/>
          <w:szCs w:val="24"/>
        </w:rPr>
        <w:t>(</w:t>
      </w:r>
      <w:hyperlink w:anchor="_ENREF_11" w:tooltip="Porter, 2016 #2144" w:history="1">
        <w:r w:rsidR="002B2906">
          <w:rPr>
            <w:rFonts w:ascii="Arial" w:hAnsi="Arial" w:cs="Arial"/>
            <w:noProof/>
            <w:sz w:val="24"/>
            <w:szCs w:val="24"/>
          </w:rPr>
          <w:t>Porter et al</w:t>
        </w:r>
        <w:r w:rsidR="0062017E">
          <w:rPr>
            <w:rFonts w:ascii="Arial" w:hAnsi="Arial" w:cs="Arial"/>
            <w:noProof/>
            <w:sz w:val="24"/>
            <w:szCs w:val="24"/>
          </w:rPr>
          <w:t>, 2016</w:t>
        </w:r>
      </w:hyperlink>
      <w:r w:rsidR="0062017E">
        <w:rPr>
          <w:rFonts w:ascii="Arial" w:hAnsi="Arial" w:cs="Arial"/>
          <w:noProof/>
          <w:sz w:val="24"/>
          <w:szCs w:val="24"/>
        </w:rPr>
        <w:t>)</w:t>
      </w:r>
      <w:r w:rsidR="00CD3209">
        <w:rPr>
          <w:rFonts w:ascii="Arial" w:hAnsi="Arial" w:cs="Arial"/>
          <w:sz w:val="24"/>
          <w:szCs w:val="24"/>
        </w:rPr>
        <w:fldChar w:fldCharType="end"/>
      </w:r>
      <w:r w:rsidR="002B2906">
        <w:rPr>
          <w:rFonts w:ascii="Arial" w:hAnsi="Arial" w:cs="Arial"/>
          <w:sz w:val="24"/>
          <w:szCs w:val="24"/>
        </w:rPr>
        <w:t>.</w:t>
      </w:r>
      <w:r w:rsidR="0093246B" w:rsidRPr="00EF4617">
        <w:rPr>
          <w:rFonts w:ascii="Arial" w:hAnsi="Arial" w:cs="Arial"/>
          <w:sz w:val="24"/>
          <w:szCs w:val="24"/>
        </w:rPr>
        <w:t xml:space="preserve"> There is currently </w:t>
      </w:r>
      <w:r w:rsidR="007B2EC4" w:rsidRPr="00EF4617">
        <w:rPr>
          <w:rFonts w:ascii="Arial" w:hAnsi="Arial" w:cs="Arial"/>
          <w:sz w:val="24"/>
          <w:szCs w:val="24"/>
        </w:rPr>
        <w:t xml:space="preserve">no </w:t>
      </w:r>
      <w:r w:rsidR="0093246B" w:rsidRPr="00EF4617">
        <w:rPr>
          <w:rFonts w:ascii="Arial" w:hAnsi="Arial" w:cs="Arial"/>
          <w:sz w:val="24"/>
          <w:szCs w:val="24"/>
        </w:rPr>
        <w:t xml:space="preserve">published large-scale evaluation of how frequently dementia is being recorded in the </w:t>
      </w:r>
      <w:r w:rsidR="00C67C67" w:rsidRPr="00EF4617">
        <w:rPr>
          <w:rFonts w:ascii="Arial" w:hAnsi="Arial" w:cs="Arial"/>
          <w:sz w:val="24"/>
          <w:szCs w:val="24"/>
        </w:rPr>
        <w:t>EPR</w:t>
      </w:r>
      <w:r w:rsidR="0093246B" w:rsidRPr="00EF4617">
        <w:rPr>
          <w:rFonts w:ascii="Arial" w:hAnsi="Arial" w:cs="Arial"/>
          <w:sz w:val="24"/>
          <w:szCs w:val="24"/>
        </w:rPr>
        <w:t xml:space="preserve"> within an ambulance service region, how this varies within a region, and where it is </w:t>
      </w:r>
      <w:r w:rsidR="00B71328">
        <w:rPr>
          <w:rFonts w:ascii="Arial" w:hAnsi="Arial" w:cs="Arial"/>
          <w:sz w:val="24"/>
          <w:szCs w:val="24"/>
        </w:rPr>
        <w:t>commonly</w:t>
      </w:r>
      <w:r w:rsidR="0093246B" w:rsidRPr="00EF4617">
        <w:rPr>
          <w:rFonts w:ascii="Arial" w:hAnsi="Arial" w:cs="Arial"/>
          <w:sz w:val="24"/>
          <w:szCs w:val="24"/>
        </w:rPr>
        <w:t xml:space="preserve"> recorded. This information</w:t>
      </w:r>
      <w:r w:rsidR="00B17509" w:rsidRPr="00EF4617">
        <w:rPr>
          <w:rFonts w:ascii="Arial" w:hAnsi="Arial" w:cs="Arial"/>
          <w:sz w:val="24"/>
          <w:szCs w:val="24"/>
        </w:rPr>
        <w:t xml:space="preserve"> is important to ascertain the completeness and location of dementia recording to optimise </w:t>
      </w:r>
      <w:r w:rsidR="0093246B" w:rsidRPr="00EF4617">
        <w:rPr>
          <w:rFonts w:ascii="Arial" w:hAnsi="Arial" w:cs="Arial"/>
          <w:sz w:val="24"/>
          <w:szCs w:val="24"/>
        </w:rPr>
        <w:t xml:space="preserve">the design of </w:t>
      </w:r>
      <w:r w:rsidR="00B17509" w:rsidRPr="00EF4617">
        <w:rPr>
          <w:rFonts w:ascii="Arial" w:hAnsi="Arial" w:cs="Arial"/>
          <w:sz w:val="24"/>
          <w:szCs w:val="24"/>
        </w:rPr>
        <w:t>electronic recording systems and inform staff training on their use</w:t>
      </w:r>
      <w:r w:rsidR="0093246B" w:rsidRPr="00EF4617">
        <w:rPr>
          <w:rFonts w:ascii="Arial" w:hAnsi="Arial" w:cs="Arial"/>
          <w:sz w:val="24"/>
          <w:szCs w:val="24"/>
        </w:rPr>
        <w:t xml:space="preserve">. </w:t>
      </w:r>
    </w:p>
    <w:p w:rsidR="00B71328" w:rsidRDefault="00B71328" w:rsidP="00EF4617">
      <w:pPr>
        <w:spacing w:line="240" w:lineRule="auto"/>
        <w:rPr>
          <w:rFonts w:ascii="Arial" w:hAnsi="Arial" w:cs="Arial"/>
          <w:b/>
          <w:sz w:val="24"/>
          <w:szCs w:val="24"/>
        </w:rPr>
      </w:pPr>
    </w:p>
    <w:p w:rsidR="00B71328" w:rsidRPr="00B71328" w:rsidRDefault="00B71328" w:rsidP="00EF4617">
      <w:pPr>
        <w:spacing w:line="240" w:lineRule="auto"/>
        <w:rPr>
          <w:rFonts w:ascii="Arial" w:hAnsi="Arial" w:cs="Arial"/>
          <w:b/>
          <w:sz w:val="24"/>
          <w:szCs w:val="24"/>
        </w:rPr>
      </w:pPr>
      <w:r w:rsidRPr="00B71328">
        <w:rPr>
          <w:rFonts w:ascii="Arial" w:hAnsi="Arial" w:cs="Arial"/>
          <w:b/>
          <w:sz w:val="24"/>
          <w:szCs w:val="24"/>
        </w:rPr>
        <w:t>Aim</w:t>
      </w:r>
    </w:p>
    <w:p w:rsidR="00B47DF5" w:rsidRPr="00EF4617" w:rsidRDefault="00B17509" w:rsidP="00EF4617">
      <w:pPr>
        <w:spacing w:line="240" w:lineRule="auto"/>
        <w:rPr>
          <w:rFonts w:ascii="Arial" w:hAnsi="Arial" w:cs="Arial"/>
          <w:sz w:val="24"/>
          <w:szCs w:val="24"/>
        </w:rPr>
      </w:pPr>
      <w:r w:rsidRPr="00EF4617">
        <w:rPr>
          <w:rFonts w:ascii="Arial" w:hAnsi="Arial" w:cs="Arial"/>
          <w:sz w:val="24"/>
          <w:szCs w:val="24"/>
        </w:rPr>
        <w:t xml:space="preserve">This audit aims to report the proportion of ambulance </w:t>
      </w:r>
      <w:r w:rsidR="00B71328">
        <w:rPr>
          <w:rFonts w:ascii="Arial" w:hAnsi="Arial" w:cs="Arial"/>
          <w:sz w:val="24"/>
          <w:szCs w:val="24"/>
        </w:rPr>
        <w:t>EPRs</w:t>
      </w:r>
      <w:r w:rsidRPr="00EF4617">
        <w:rPr>
          <w:rFonts w:ascii="Arial" w:hAnsi="Arial" w:cs="Arial"/>
          <w:sz w:val="24"/>
          <w:szCs w:val="24"/>
        </w:rPr>
        <w:t xml:space="preserve"> where dementia was recorded </w:t>
      </w:r>
      <w:r w:rsidR="00EC2F7C" w:rsidRPr="00EF4617">
        <w:rPr>
          <w:rFonts w:ascii="Arial" w:hAnsi="Arial" w:cs="Arial"/>
          <w:sz w:val="24"/>
          <w:szCs w:val="24"/>
        </w:rPr>
        <w:t>for patients aged 65</w:t>
      </w:r>
      <w:r w:rsidR="00FC5F9E">
        <w:rPr>
          <w:rFonts w:ascii="Arial" w:hAnsi="Arial" w:cs="Arial"/>
          <w:sz w:val="24"/>
          <w:szCs w:val="24"/>
        </w:rPr>
        <w:t>+</w:t>
      </w:r>
      <w:r w:rsidR="00EC2F7C" w:rsidRPr="00EF4617">
        <w:rPr>
          <w:rFonts w:ascii="Arial" w:hAnsi="Arial" w:cs="Arial"/>
          <w:sz w:val="24"/>
          <w:szCs w:val="24"/>
        </w:rPr>
        <w:t xml:space="preserve">, </w:t>
      </w:r>
      <w:r w:rsidR="007B2EC4">
        <w:rPr>
          <w:rFonts w:ascii="Arial" w:hAnsi="Arial" w:cs="Arial"/>
          <w:sz w:val="24"/>
          <w:szCs w:val="24"/>
        </w:rPr>
        <w:t>i.e. when</w:t>
      </w:r>
      <w:r w:rsidR="00EC2F7C" w:rsidRPr="00EF4617">
        <w:rPr>
          <w:rFonts w:ascii="Arial" w:hAnsi="Arial" w:cs="Arial"/>
          <w:sz w:val="24"/>
          <w:szCs w:val="24"/>
        </w:rPr>
        <w:t xml:space="preserve"> the prevalence of dementia becomes significant. It also</w:t>
      </w:r>
      <w:r w:rsidRPr="00EF4617">
        <w:rPr>
          <w:rFonts w:ascii="Arial" w:hAnsi="Arial" w:cs="Arial"/>
          <w:sz w:val="24"/>
          <w:szCs w:val="24"/>
        </w:rPr>
        <w:t xml:space="preserve"> compare</w:t>
      </w:r>
      <w:r w:rsidR="0093246B" w:rsidRPr="00EF4617">
        <w:rPr>
          <w:rFonts w:ascii="Arial" w:hAnsi="Arial" w:cs="Arial"/>
          <w:sz w:val="24"/>
          <w:szCs w:val="24"/>
        </w:rPr>
        <w:t>s</w:t>
      </w:r>
      <w:r w:rsidRPr="00EF4617">
        <w:rPr>
          <w:rFonts w:ascii="Arial" w:hAnsi="Arial" w:cs="Arial"/>
          <w:sz w:val="24"/>
          <w:szCs w:val="24"/>
        </w:rPr>
        <w:t xml:space="preserve"> </w:t>
      </w:r>
      <w:r w:rsidR="00EC2F7C" w:rsidRPr="00EF4617">
        <w:rPr>
          <w:rFonts w:ascii="Arial" w:hAnsi="Arial" w:cs="Arial"/>
          <w:sz w:val="24"/>
          <w:szCs w:val="24"/>
        </w:rPr>
        <w:t>the proportion of ambulance records wi</w:t>
      </w:r>
      <w:r w:rsidR="00FC5F9E">
        <w:rPr>
          <w:rFonts w:ascii="Arial" w:hAnsi="Arial" w:cs="Arial"/>
          <w:sz w:val="24"/>
          <w:szCs w:val="24"/>
        </w:rPr>
        <w:t xml:space="preserve">th dementia in patients aged 75+ </w:t>
      </w:r>
      <w:r w:rsidRPr="00EF4617">
        <w:rPr>
          <w:rFonts w:ascii="Arial" w:hAnsi="Arial" w:cs="Arial"/>
          <w:sz w:val="24"/>
          <w:szCs w:val="24"/>
        </w:rPr>
        <w:t>with published literature</w:t>
      </w:r>
      <w:r w:rsidR="0093246B" w:rsidRPr="00EF4617">
        <w:rPr>
          <w:rFonts w:ascii="Arial" w:hAnsi="Arial" w:cs="Arial"/>
          <w:sz w:val="24"/>
          <w:szCs w:val="24"/>
        </w:rPr>
        <w:t xml:space="preserve"> for attended ambulance calls, </w:t>
      </w:r>
      <w:r w:rsidR="00EC2F7C" w:rsidRPr="00EF4617">
        <w:rPr>
          <w:rFonts w:ascii="Arial" w:hAnsi="Arial" w:cs="Arial"/>
          <w:sz w:val="24"/>
          <w:szCs w:val="24"/>
        </w:rPr>
        <w:t>and those conveyed to hospital</w:t>
      </w:r>
      <w:r w:rsidR="0093246B" w:rsidRPr="00EF4617">
        <w:rPr>
          <w:rFonts w:ascii="Arial" w:hAnsi="Arial" w:cs="Arial"/>
          <w:sz w:val="24"/>
          <w:szCs w:val="24"/>
        </w:rPr>
        <w:t xml:space="preserve"> with estimates of dementia prevalence in hospitalised patients</w:t>
      </w:r>
      <w:r w:rsidRPr="00EF4617">
        <w:rPr>
          <w:rFonts w:ascii="Arial" w:hAnsi="Arial" w:cs="Arial"/>
          <w:sz w:val="24"/>
          <w:szCs w:val="24"/>
        </w:rPr>
        <w:t>.  The fields</w:t>
      </w:r>
      <w:r w:rsidR="00EC2F7C" w:rsidRPr="00EF4617">
        <w:rPr>
          <w:rFonts w:ascii="Arial" w:hAnsi="Arial" w:cs="Arial"/>
          <w:sz w:val="24"/>
          <w:szCs w:val="24"/>
        </w:rPr>
        <w:t xml:space="preserve"> in the </w:t>
      </w:r>
      <w:r w:rsidR="00C67C67" w:rsidRPr="00EF4617">
        <w:rPr>
          <w:rFonts w:ascii="Arial" w:hAnsi="Arial" w:cs="Arial"/>
          <w:sz w:val="24"/>
          <w:szCs w:val="24"/>
        </w:rPr>
        <w:t>EPR</w:t>
      </w:r>
      <w:r w:rsidRPr="00EF4617">
        <w:rPr>
          <w:rFonts w:ascii="Arial" w:hAnsi="Arial" w:cs="Arial"/>
          <w:sz w:val="24"/>
          <w:szCs w:val="24"/>
        </w:rPr>
        <w:t xml:space="preserve"> </w:t>
      </w:r>
      <w:r w:rsidR="007B2EC4">
        <w:rPr>
          <w:rFonts w:ascii="Arial" w:hAnsi="Arial" w:cs="Arial"/>
          <w:sz w:val="24"/>
          <w:szCs w:val="24"/>
        </w:rPr>
        <w:t>where</w:t>
      </w:r>
      <w:r w:rsidRPr="00EF4617">
        <w:rPr>
          <w:rFonts w:ascii="Arial" w:hAnsi="Arial" w:cs="Arial"/>
          <w:sz w:val="24"/>
          <w:szCs w:val="24"/>
        </w:rPr>
        <w:t xml:space="preserve"> dementia is recorded will als</w:t>
      </w:r>
      <w:r w:rsidR="00C67C67" w:rsidRPr="00EF4617">
        <w:rPr>
          <w:rFonts w:ascii="Arial" w:hAnsi="Arial" w:cs="Arial"/>
          <w:sz w:val="24"/>
          <w:szCs w:val="24"/>
        </w:rPr>
        <w:t xml:space="preserve">o be described.   </w:t>
      </w:r>
    </w:p>
    <w:p w:rsidR="00A510F1" w:rsidRPr="00EF4617" w:rsidRDefault="00A510F1" w:rsidP="00EF4617">
      <w:pPr>
        <w:spacing w:line="240" w:lineRule="auto"/>
        <w:rPr>
          <w:rFonts w:ascii="Arial" w:hAnsi="Arial" w:cs="Arial"/>
          <w:b/>
          <w:color w:val="FF0000"/>
          <w:sz w:val="24"/>
          <w:szCs w:val="24"/>
        </w:rPr>
      </w:pPr>
    </w:p>
    <w:p w:rsidR="00C67C67" w:rsidRPr="00B71328" w:rsidRDefault="00C67C67" w:rsidP="00EF4617">
      <w:pPr>
        <w:spacing w:line="240" w:lineRule="auto"/>
        <w:rPr>
          <w:rFonts w:ascii="Arial" w:hAnsi="Arial" w:cs="Arial"/>
          <w:b/>
          <w:sz w:val="24"/>
          <w:szCs w:val="24"/>
        </w:rPr>
      </w:pPr>
      <w:r w:rsidRPr="00B71328">
        <w:rPr>
          <w:rFonts w:ascii="Arial" w:hAnsi="Arial" w:cs="Arial"/>
          <w:b/>
          <w:sz w:val="24"/>
          <w:szCs w:val="24"/>
        </w:rPr>
        <w:t>Objectives of audit</w:t>
      </w:r>
    </w:p>
    <w:p w:rsidR="00C67C67" w:rsidRPr="00EF4617" w:rsidRDefault="00C67C67" w:rsidP="00EF4617">
      <w:pPr>
        <w:pStyle w:val="ListParagraph"/>
        <w:numPr>
          <w:ilvl w:val="0"/>
          <w:numId w:val="4"/>
        </w:numPr>
        <w:spacing w:line="240" w:lineRule="auto"/>
        <w:rPr>
          <w:rFonts w:ascii="Arial" w:hAnsi="Arial" w:cs="Arial"/>
          <w:sz w:val="24"/>
          <w:szCs w:val="24"/>
        </w:rPr>
      </w:pPr>
      <w:r w:rsidRPr="00EF4617">
        <w:rPr>
          <w:rFonts w:ascii="Arial" w:hAnsi="Arial" w:cs="Arial"/>
          <w:sz w:val="24"/>
          <w:szCs w:val="24"/>
        </w:rPr>
        <w:t xml:space="preserve">To describe the proportion of </w:t>
      </w:r>
      <w:r w:rsidR="00B71328">
        <w:rPr>
          <w:rFonts w:ascii="Arial" w:hAnsi="Arial" w:cs="Arial"/>
          <w:sz w:val="24"/>
          <w:szCs w:val="24"/>
        </w:rPr>
        <w:t>EPRs</w:t>
      </w:r>
      <w:r w:rsidRPr="00EF4617">
        <w:rPr>
          <w:rFonts w:ascii="Arial" w:hAnsi="Arial" w:cs="Arial"/>
          <w:sz w:val="24"/>
          <w:szCs w:val="24"/>
        </w:rPr>
        <w:t xml:space="preserve"> with ‘dementia’ recorded in </w:t>
      </w:r>
      <w:r w:rsidR="00B71328">
        <w:rPr>
          <w:rFonts w:ascii="Arial" w:hAnsi="Arial" w:cs="Arial"/>
          <w:sz w:val="24"/>
          <w:szCs w:val="24"/>
        </w:rPr>
        <w:t>EMS</w:t>
      </w:r>
      <w:r w:rsidRPr="00EF4617">
        <w:rPr>
          <w:rFonts w:ascii="Arial" w:hAnsi="Arial" w:cs="Arial"/>
          <w:sz w:val="24"/>
          <w:szCs w:val="24"/>
        </w:rPr>
        <w:t xml:space="preserve"> attenda</w:t>
      </w:r>
      <w:r w:rsidR="00FC5F9E">
        <w:rPr>
          <w:rFonts w:ascii="Arial" w:hAnsi="Arial" w:cs="Arial"/>
          <w:sz w:val="24"/>
          <w:szCs w:val="24"/>
        </w:rPr>
        <w:t>nces to people aged 65+</w:t>
      </w:r>
      <w:r w:rsidRPr="00EF4617">
        <w:rPr>
          <w:rFonts w:ascii="Arial" w:hAnsi="Arial" w:cs="Arial"/>
          <w:sz w:val="24"/>
          <w:szCs w:val="24"/>
        </w:rPr>
        <w:t>.</w:t>
      </w:r>
    </w:p>
    <w:p w:rsidR="00C67C67" w:rsidRPr="00EF4617" w:rsidRDefault="00C67C67" w:rsidP="00EF4617">
      <w:pPr>
        <w:pStyle w:val="ListParagraph"/>
        <w:numPr>
          <w:ilvl w:val="0"/>
          <w:numId w:val="4"/>
        </w:numPr>
        <w:spacing w:line="240" w:lineRule="auto"/>
        <w:rPr>
          <w:rFonts w:ascii="Arial" w:hAnsi="Arial" w:cs="Arial"/>
          <w:b/>
          <w:sz w:val="24"/>
          <w:szCs w:val="24"/>
        </w:rPr>
      </w:pPr>
      <w:r w:rsidRPr="00EF4617">
        <w:rPr>
          <w:rFonts w:ascii="Arial" w:hAnsi="Arial" w:cs="Arial"/>
          <w:sz w:val="24"/>
          <w:szCs w:val="24"/>
        </w:rPr>
        <w:t xml:space="preserve">To ascertain whether the proportion of EPRs with a record of ‘dementia’ in </w:t>
      </w:r>
      <w:r w:rsidR="00B71328">
        <w:rPr>
          <w:rFonts w:ascii="Arial" w:hAnsi="Arial" w:cs="Arial"/>
          <w:sz w:val="24"/>
          <w:szCs w:val="24"/>
        </w:rPr>
        <w:t>EMS</w:t>
      </w:r>
      <w:r w:rsidR="00FC5F9E">
        <w:rPr>
          <w:rFonts w:ascii="Arial" w:hAnsi="Arial" w:cs="Arial"/>
          <w:sz w:val="24"/>
          <w:szCs w:val="24"/>
        </w:rPr>
        <w:t xml:space="preserve"> attendances to people aged 75+ </w:t>
      </w:r>
      <w:r w:rsidRPr="00EF4617">
        <w:rPr>
          <w:rFonts w:ascii="Arial" w:hAnsi="Arial" w:cs="Arial"/>
          <w:sz w:val="24"/>
          <w:szCs w:val="24"/>
        </w:rPr>
        <w:t>is similar to that found in a paper records audit</w:t>
      </w:r>
      <w:r w:rsidR="002B2906">
        <w:rPr>
          <w:rFonts w:ascii="Arial" w:hAnsi="Arial" w:cs="Arial"/>
          <w:sz w:val="24"/>
          <w:szCs w:val="24"/>
        </w:rPr>
        <w:t xml:space="preserve"> </w:t>
      </w:r>
      <w:r w:rsidRPr="00EF4617">
        <w:rPr>
          <w:rFonts w:ascii="Arial" w:hAnsi="Arial" w:cs="Arial"/>
          <w:sz w:val="24"/>
          <w:szCs w:val="24"/>
        </w:rPr>
        <w:fldChar w:fldCharType="begin"/>
      </w:r>
      <w:r w:rsidR="0062017E">
        <w:rPr>
          <w:rFonts w:ascii="Arial" w:hAnsi="Arial" w:cs="Arial"/>
          <w:sz w:val="24"/>
          <w:szCs w:val="24"/>
        </w:rPr>
        <w:instrText xml:space="preserve"> ADDIN EN.CITE &lt;EndNote&gt;&lt;Cite&gt;&lt;Author&gt;Buswell&lt;/Author&gt;&lt;Year&gt;2016&lt;/Year&gt;&lt;RecNum&gt;355&lt;/RecNum&gt;&lt;DisplayText&gt;(Buswell, Lumbard, Fleming, et al., 2016)&lt;/DisplayText&gt;&lt;record&gt;&lt;rec-number&gt;355&lt;/rec-number&gt;&lt;foreign-keys&gt;&lt;key app="EN" db-id="0zpzrevtzfzvfeed0d7pxpeer5zaxet0zrpv"&gt;355&lt;/key&gt;&lt;/foreign-keys&gt;&lt;ref-type name="Journal Article"&gt;17&lt;/ref-type&gt;&lt;contributors&gt;&lt;authors&gt;&lt;author&gt;Buswell, M.&lt;/author&gt;&lt;author&gt;Lumbard, P.&lt;/author&gt;&lt;author&gt;Fleming, J.&lt;/author&gt;&lt;author&gt;Ayres, D.&lt;/author&gt;&lt;author&gt;Brayne, C.&lt;/author&gt;&lt;author&gt;Goodman, C.&lt;/author&gt;&lt;/authors&gt;&lt;/contributors&gt;&lt;titles&gt;&lt;title&gt;Using ambulance service PCRs to understand 999 call-outs to older people with dementia&lt;/title&gt;&lt;secondary-title&gt;Journal of Paramedic Practice&lt;/secondary-title&gt;&lt;/titles&gt;&lt;periodical&gt;&lt;full-title&gt;Journal of Paramedic Practice&lt;/full-title&gt;&lt;/periodical&gt;&lt;pages&gt;6&lt;/pages&gt;&lt;volume&gt;8&lt;/volume&gt;&lt;number&gt;5&lt;/number&gt;&lt;section&gt;246&lt;/section&gt;&lt;dates&gt;&lt;year&gt;2016&lt;/year&gt;&lt;/dates&gt;&lt;urls&gt;&lt;/urls&gt;&lt;/record&gt;&lt;/Cite&gt;&lt;/EndNote&gt;</w:instrText>
      </w:r>
      <w:r w:rsidRPr="00EF4617">
        <w:rPr>
          <w:rFonts w:ascii="Arial" w:hAnsi="Arial" w:cs="Arial"/>
          <w:sz w:val="24"/>
          <w:szCs w:val="24"/>
        </w:rPr>
        <w:fldChar w:fldCharType="separate"/>
      </w:r>
      <w:r w:rsidR="0062017E">
        <w:rPr>
          <w:rFonts w:ascii="Arial" w:hAnsi="Arial" w:cs="Arial"/>
          <w:noProof/>
          <w:sz w:val="24"/>
          <w:szCs w:val="24"/>
        </w:rPr>
        <w:t>(</w:t>
      </w:r>
      <w:hyperlink w:anchor="_ENREF_3" w:tooltip="Buswell, 2016 #355" w:history="1">
        <w:r w:rsidR="0062017E">
          <w:rPr>
            <w:rFonts w:ascii="Arial" w:hAnsi="Arial" w:cs="Arial"/>
            <w:noProof/>
            <w:sz w:val="24"/>
            <w:szCs w:val="24"/>
          </w:rPr>
          <w:t>Buswell</w:t>
        </w:r>
        <w:r w:rsidR="002B2906">
          <w:rPr>
            <w:rFonts w:ascii="Arial" w:hAnsi="Arial" w:cs="Arial"/>
            <w:noProof/>
            <w:sz w:val="24"/>
            <w:szCs w:val="24"/>
          </w:rPr>
          <w:t xml:space="preserve"> et al</w:t>
        </w:r>
        <w:r w:rsidR="0062017E">
          <w:rPr>
            <w:rFonts w:ascii="Arial" w:hAnsi="Arial" w:cs="Arial"/>
            <w:noProof/>
            <w:sz w:val="24"/>
            <w:szCs w:val="24"/>
          </w:rPr>
          <w:t>, 2016</w:t>
        </w:r>
      </w:hyperlink>
      <w:r w:rsidR="0062017E">
        <w:rPr>
          <w:rFonts w:ascii="Arial" w:hAnsi="Arial" w:cs="Arial"/>
          <w:noProof/>
          <w:sz w:val="24"/>
          <w:szCs w:val="24"/>
        </w:rPr>
        <w:t>)</w:t>
      </w:r>
      <w:r w:rsidRPr="00EF4617">
        <w:rPr>
          <w:rFonts w:ascii="Arial" w:hAnsi="Arial" w:cs="Arial"/>
          <w:sz w:val="24"/>
          <w:szCs w:val="24"/>
        </w:rPr>
        <w:fldChar w:fldCharType="end"/>
      </w:r>
      <w:r w:rsidR="002B2906">
        <w:rPr>
          <w:rFonts w:ascii="Arial" w:hAnsi="Arial" w:cs="Arial"/>
          <w:sz w:val="24"/>
          <w:szCs w:val="24"/>
        </w:rPr>
        <w:t>.</w:t>
      </w:r>
    </w:p>
    <w:p w:rsidR="00C67C67" w:rsidRPr="00EF4617" w:rsidRDefault="00C67C67" w:rsidP="00EF4617">
      <w:pPr>
        <w:pStyle w:val="ListParagraph"/>
        <w:numPr>
          <w:ilvl w:val="0"/>
          <w:numId w:val="4"/>
        </w:numPr>
        <w:spacing w:line="240" w:lineRule="auto"/>
        <w:rPr>
          <w:rFonts w:ascii="Arial" w:hAnsi="Arial" w:cs="Arial"/>
          <w:b/>
          <w:sz w:val="24"/>
          <w:szCs w:val="24"/>
        </w:rPr>
      </w:pPr>
      <w:r w:rsidRPr="00EF4617">
        <w:rPr>
          <w:rFonts w:ascii="Arial" w:hAnsi="Arial" w:cs="Arial"/>
          <w:sz w:val="24"/>
          <w:szCs w:val="24"/>
        </w:rPr>
        <w:t xml:space="preserve">To ascertain whether the proportion of EPRs with ‘dementia’ recorded in </w:t>
      </w:r>
      <w:r w:rsidR="00AA20F7">
        <w:rPr>
          <w:rFonts w:ascii="Arial" w:hAnsi="Arial" w:cs="Arial"/>
          <w:sz w:val="24"/>
          <w:szCs w:val="24"/>
        </w:rPr>
        <w:t>EMS</w:t>
      </w:r>
      <w:r w:rsidR="00FC5F9E">
        <w:rPr>
          <w:rFonts w:ascii="Arial" w:hAnsi="Arial" w:cs="Arial"/>
          <w:sz w:val="24"/>
          <w:szCs w:val="24"/>
        </w:rPr>
        <w:t xml:space="preserve"> attendances to people aged 75+ </w:t>
      </w:r>
      <w:r w:rsidRPr="00EF4617">
        <w:rPr>
          <w:rFonts w:ascii="Arial" w:hAnsi="Arial" w:cs="Arial"/>
          <w:sz w:val="24"/>
          <w:szCs w:val="24"/>
        </w:rPr>
        <w:t>who are conveyed to hospital is similar to the proportion of patients with dementia recorded via a systematic dementia screening system in a large district general hospital within the operational area</w:t>
      </w:r>
      <w:r w:rsidR="002B2906">
        <w:rPr>
          <w:rFonts w:ascii="Arial" w:hAnsi="Arial" w:cs="Arial"/>
          <w:sz w:val="24"/>
          <w:szCs w:val="24"/>
        </w:rPr>
        <w:t xml:space="preserve"> </w:t>
      </w:r>
      <w:r w:rsidRPr="00EF4617">
        <w:rPr>
          <w:rFonts w:ascii="Arial" w:hAnsi="Arial" w:cs="Arial"/>
          <w:sz w:val="24"/>
          <w:szCs w:val="24"/>
        </w:rPr>
        <w:fldChar w:fldCharType="begin"/>
      </w:r>
      <w:r w:rsidR="0062017E">
        <w:rPr>
          <w:rFonts w:ascii="Arial" w:hAnsi="Arial" w:cs="Arial"/>
          <w:sz w:val="24"/>
          <w:szCs w:val="24"/>
        </w:rPr>
        <w:instrText xml:space="preserve"> ADDIN EN.CITE &lt;EndNote&gt;&lt;Cite&gt;&lt;Author&gt;Fogg&lt;/Author&gt;&lt;Year&gt;2017&lt;/Year&gt;&lt;RecNum&gt;314&lt;/RecNum&gt;&lt;DisplayText&gt;(Fogg et al., 2017)&lt;/DisplayText&gt;&lt;record&gt;&lt;rec-number&gt;314&lt;/rec-number&gt;&lt;foreign-keys&gt;&lt;key app="EN" db-id="0zpzrevtzfzvfeed0d7pxpeer5zaxet0zrpv"&gt;314&lt;/key&gt;&lt;/foreign-keys&gt;&lt;ref-type name="Journal Article"&gt;17&lt;/ref-type&gt;&lt;contributors&gt;&lt;authors&gt;&lt;author&gt;Fogg, C.&lt;/author&gt;&lt;author&gt;Meredith, P.&lt;/author&gt;&lt;author&gt;Bridges, J.&lt;/author&gt;&lt;author&gt;Gould, G.&lt;/author&gt;&lt;author&gt;Griffiths, P.&lt;/author&gt;&lt;/authors&gt;&lt;/contributors&gt;&lt;titles&gt;&lt;title&gt;The relationship between cognitive impairment, mortality and discharge characteristics in a large cohort of older adults with unscheduled admissions to an acute hospital: a retrospective observational study&lt;/title&gt;&lt;secondary-title&gt;Age and Ageing &lt;/secondary-title&gt;&lt;/titles&gt;&lt;periodical&gt;&lt;full-title&gt;Age and Ageing&lt;/full-title&gt;&lt;/periodical&gt;&lt;pages&gt;6&lt;/pages&gt;&lt;volume&gt;46&lt;/volume&gt;&lt;edition&gt;25th February 2017&lt;/edition&gt;&lt;section&gt;794&lt;/section&gt;&lt;dates&gt;&lt;year&gt;2017&lt;/year&gt;&lt;/dates&gt;&lt;urls&gt;&lt;/urls&gt;&lt;/record&gt;&lt;/Cite&gt;&lt;/EndNote&gt;</w:instrText>
      </w:r>
      <w:r w:rsidRPr="00EF4617">
        <w:rPr>
          <w:rFonts w:ascii="Arial" w:hAnsi="Arial" w:cs="Arial"/>
          <w:sz w:val="24"/>
          <w:szCs w:val="24"/>
        </w:rPr>
        <w:fldChar w:fldCharType="separate"/>
      </w:r>
      <w:r w:rsidR="0062017E">
        <w:rPr>
          <w:rFonts w:ascii="Arial" w:hAnsi="Arial" w:cs="Arial"/>
          <w:noProof/>
          <w:sz w:val="24"/>
          <w:szCs w:val="24"/>
        </w:rPr>
        <w:t>(</w:t>
      </w:r>
      <w:hyperlink w:anchor="_ENREF_6" w:tooltip="Fogg, 2017 #314" w:history="1">
        <w:r w:rsidR="002B2906">
          <w:rPr>
            <w:rFonts w:ascii="Arial" w:hAnsi="Arial" w:cs="Arial"/>
            <w:noProof/>
            <w:sz w:val="24"/>
            <w:szCs w:val="24"/>
          </w:rPr>
          <w:t>Fogg et al</w:t>
        </w:r>
        <w:r w:rsidR="0062017E">
          <w:rPr>
            <w:rFonts w:ascii="Arial" w:hAnsi="Arial" w:cs="Arial"/>
            <w:noProof/>
            <w:sz w:val="24"/>
            <w:szCs w:val="24"/>
          </w:rPr>
          <w:t>, 2017</w:t>
        </w:r>
      </w:hyperlink>
      <w:r w:rsidR="0062017E">
        <w:rPr>
          <w:rFonts w:ascii="Arial" w:hAnsi="Arial" w:cs="Arial"/>
          <w:noProof/>
          <w:sz w:val="24"/>
          <w:szCs w:val="24"/>
        </w:rPr>
        <w:t>)</w:t>
      </w:r>
      <w:r w:rsidRPr="00EF4617">
        <w:rPr>
          <w:rFonts w:ascii="Arial" w:hAnsi="Arial" w:cs="Arial"/>
          <w:sz w:val="24"/>
          <w:szCs w:val="24"/>
        </w:rPr>
        <w:fldChar w:fldCharType="end"/>
      </w:r>
      <w:r w:rsidR="002B2906">
        <w:rPr>
          <w:rFonts w:ascii="Arial" w:hAnsi="Arial" w:cs="Arial"/>
          <w:sz w:val="24"/>
          <w:szCs w:val="24"/>
        </w:rPr>
        <w:t>.</w:t>
      </w:r>
    </w:p>
    <w:p w:rsidR="00C67C67" w:rsidRPr="00EF4617" w:rsidRDefault="00C67C67" w:rsidP="00EF4617">
      <w:pPr>
        <w:pStyle w:val="ListParagraph"/>
        <w:numPr>
          <w:ilvl w:val="0"/>
          <w:numId w:val="4"/>
        </w:numPr>
        <w:spacing w:line="240" w:lineRule="auto"/>
        <w:rPr>
          <w:rFonts w:ascii="Arial" w:hAnsi="Arial" w:cs="Arial"/>
          <w:b/>
          <w:sz w:val="24"/>
          <w:szCs w:val="24"/>
        </w:rPr>
      </w:pPr>
      <w:r w:rsidRPr="00EF4617">
        <w:rPr>
          <w:rFonts w:ascii="Arial" w:hAnsi="Arial" w:cs="Arial"/>
          <w:sz w:val="24"/>
          <w:szCs w:val="24"/>
        </w:rPr>
        <w:t>To describe the frequency and distribution of the fields of the EPR in which ‘dementia’ is being recorded.</w:t>
      </w:r>
    </w:p>
    <w:p w:rsidR="00B71328" w:rsidRDefault="00B71328" w:rsidP="00EF4617">
      <w:pPr>
        <w:spacing w:after="160" w:line="240" w:lineRule="auto"/>
        <w:rPr>
          <w:rFonts w:ascii="Arial" w:hAnsi="Arial" w:cs="Arial"/>
          <w:b/>
          <w:i/>
          <w:sz w:val="24"/>
          <w:szCs w:val="24"/>
        </w:rPr>
      </w:pPr>
    </w:p>
    <w:p w:rsidR="00AA20F7" w:rsidRDefault="00B71328" w:rsidP="00EF4617">
      <w:pPr>
        <w:spacing w:after="160" w:line="240" w:lineRule="auto"/>
        <w:rPr>
          <w:rFonts w:ascii="Arial" w:hAnsi="Arial" w:cs="Arial"/>
          <w:b/>
          <w:sz w:val="24"/>
          <w:szCs w:val="24"/>
        </w:rPr>
      </w:pPr>
      <w:r w:rsidRPr="00EF4617">
        <w:rPr>
          <w:rFonts w:ascii="Arial" w:hAnsi="Arial" w:cs="Arial"/>
          <w:b/>
          <w:sz w:val="24"/>
          <w:szCs w:val="24"/>
        </w:rPr>
        <w:t>Methods</w:t>
      </w:r>
    </w:p>
    <w:p w:rsidR="00AA20F7" w:rsidRPr="00AA20F7" w:rsidRDefault="00AA20F7" w:rsidP="00EF4617">
      <w:pPr>
        <w:spacing w:after="160" w:line="240" w:lineRule="auto"/>
        <w:rPr>
          <w:rFonts w:ascii="Arial" w:hAnsi="Arial" w:cs="Arial"/>
          <w:b/>
          <w:i/>
          <w:sz w:val="24"/>
          <w:szCs w:val="24"/>
        </w:rPr>
      </w:pPr>
      <w:r w:rsidRPr="00AA20F7">
        <w:rPr>
          <w:rFonts w:ascii="Arial" w:hAnsi="Arial" w:cs="Arial"/>
          <w:b/>
          <w:i/>
          <w:sz w:val="24"/>
          <w:szCs w:val="24"/>
        </w:rPr>
        <w:t>Standards, Guidelines and Evidence Base</w:t>
      </w:r>
    </w:p>
    <w:p w:rsidR="00B71328" w:rsidRDefault="00B71328" w:rsidP="00EF4617">
      <w:pPr>
        <w:spacing w:after="160" w:line="240" w:lineRule="auto"/>
        <w:rPr>
          <w:rFonts w:ascii="Arial" w:hAnsi="Arial" w:cs="Arial"/>
          <w:sz w:val="24"/>
          <w:szCs w:val="24"/>
        </w:rPr>
      </w:pPr>
      <w:r w:rsidRPr="00EF4617">
        <w:rPr>
          <w:rFonts w:ascii="Arial" w:hAnsi="Arial" w:cs="Arial"/>
          <w:b/>
          <w:i/>
          <w:sz w:val="24"/>
          <w:szCs w:val="24"/>
        </w:rPr>
        <w:t xml:space="preserve"> </w:t>
      </w:r>
      <w:r w:rsidR="00B248CB">
        <w:rPr>
          <w:rFonts w:ascii="Arial" w:hAnsi="Arial" w:cs="Arial"/>
          <w:sz w:val="24"/>
          <w:szCs w:val="24"/>
        </w:rPr>
        <w:t>There are currently no pre</w:t>
      </w:r>
      <w:r w:rsidR="00777A17">
        <w:rPr>
          <w:rFonts w:ascii="Arial" w:hAnsi="Arial" w:cs="Arial"/>
          <w:sz w:val="24"/>
          <w:szCs w:val="24"/>
        </w:rPr>
        <w:t>-</w:t>
      </w:r>
      <w:r w:rsidR="00B248CB">
        <w:rPr>
          <w:rFonts w:ascii="Arial" w:hAnsi="Arial" w:cs="Arial"/>
          <w:sz w:val="24"/>
          <w:szCs w:val="24"/>
        </w:rPr>
        <w:t xml:space="preserve">hospital dementia-screening guidelines or standards.  </w:t>
      </w:r>
    </w:p>
    <w:p w:rsidR="00B248CB" w:rsidRPr="00B248CB" w:rsidRDefault="00B248CB" w:rsidP="00EF4617">
      <w:pPr>
        <w:spacing w:after="160" w:line="240" w:lineRule="auto"/>
        <w:rPr>
          <w:rFonts w:ascii="Arial" w:hAnsi="Arial" w:cs="Arial"/>
          <w:sz w:val="24"/>
          <w:szCs w:val="24"/>
        </w:rPr>
      </w:pPr>
    </w:p>
    <w:p w:rsidR="007F606C" w:rsidRPr="00EF4617" w:rsidRDefault="00AA20F7" w:rsidP="00EF4617">
      <w:pPr>
        <w:spacing w:after="160" w:line="240" w:lineRule="auto"/>
        <w:rPr>
          <w:rFonts w:ascii="Arial" w:hAnsi="Arial" w:cs="Arial"/>
          <w:b/>
          <w:i/>
          <w:sz w:val="24"/>
          <w:szCs w:val="24"/>
        </w:rPr>
      </w:pPr>
      <w:r>
        <w:rPr>
          <w:rFonts w:ascii="Arial" w:hAnsi="Arial" w:cs="Arial"/>
          <w:b/>
          <w:i/>
          <w:sz w:val="24"/>
          <w:szCs w:val="24"/>
        </w:rPr>
        <w:t xml:space="preserve">Sample: </w:t>
      </w:r>
      <w:r w:rsidR="007F606C" w:rsidRPr="00EF4617">
        <w:rPr>
          <w:rFonts w:ascii="Arial" w:hAnsi="Arial" w:cs="Arial"/>
          <w:b/>
          <w:i/>
          <w:sz w:val="24"/>
          <w:szCs w:val="24"/>
        </w:rPr>
        <w:t>Patient population</w:t>
      </w:r>
      <w:r w:rsidR="00C67C67" w:rsidRPr="00EF4617">
        <w:rPr>
          <w:rFonts w:ascii="Arial" w:hAnsi="Arial" w:cs="Arial"/>
          <w:b/>
          <w:i/>
          <w:sz w:val="24"/>
          <w:szCs w:val="24"/>
        </w:rPr>
        <w:t xml:space="preserve"> and setting</w:t>
      </w:r>
    </w:p>
    <w:p w:rsidR="002D2E21" w:rsidRPr="00EF4617" w:rsidRDefault="00CD1E54" w:rsidP="00EF4617">
      <w:pPr>
        <w:spacing w:line="240" w:lineRule="auto"/>
        <w:rPr>
          <w:rFonts w:ascii="Arial" w:hAnsi="Arial" w:cs="Arial"/>
          <w:sz w:val="24"/>
          <w:szCs w:val="24"/>
        </w:rPr>
      </w:pPr>
      <w:r>
        <w:rPr>
          <w:rFonts w:ascii="Arial" w:hAnsi="Arial" w:cs="Arial"/>
          <w:sz w:val="24"/>
          <w:szCs w:val="24"/>
        </w:rPr>
        <w:lastRenderedPageBreak/>
        <w:t>Although published statistics regarding dementia include patients aged 65+</w:t>
      </w:r>
      <w:r w:rsidR="00777A17">
        <w:rPr>
          <w:rFonts w:ascii="Arial" w:hAnsi="Arial" w:cs="Arial"/>
          <w:sz w:val="24"/>
          <w:szCs w:val="24"/>
        </w:rPr>
        <w:t>,</w:t>
      </w:r>
      <w:r>
        <w:rPr>
          <w:rFonts w:ascii="Arial" w:hAnsi="Arial" w:cs="Arial"/>
          <w:sz w:val="24"/>
          <w:szCs w:val="24"/>
        </w:rPr>
        <w:t xml:space="preserve"> dementia </w:t>
      </w:r>
      <w:r w:rsidR="00777A17">
        <w:rPr>
          <w:rFonts w:ascii="Arial" w:hAnsi="Arial" w:cs="Arial"/>
          <w:sz w:val="24"/>
          <w:szCs w:val="24"/>
        </w:rPr>
        <w:t xml:space="preserve">increases in prevalence with age. </w:t>
      </w:r>
      <w:r w:rsidR="007F606C" w:rsidRPr="00EF4617">
        <w:rPr>
          <w:rFonts w:ascii="Arial" w:hAnsi="Arial" w:cs="Arial"/>
          <w:sz w:val="24"/>
          <w:szCs w:val="24"/>
        </w:rPr>
        <w:t>The popul</w:t>
      </w:r>
      <w:r w:rsidR="00E6602F" w:rsidRPr="00EF4617">
        <w:rPr>
          <w:rFonts w:ascii="Arial" w:hAnsi="Arial" w:cs="Arial"/>
          <w:sz w:val="24"/>
          <w:szCs w:val="24"/>
        </w:rPr>
        <w:t xml:space="preserve">ation of interest was </w:t>
      </w:r>
      <w:r w:rsidR="00FC5F9E">
        <w:rPr>
          <w:rFonts w:ascii="Arial" w:hAnsi="Arial" w:cs="Arial"/>
          <w:sz w:val="24"/>
          <w:szCs w:val="24"/>
        </w:rPr>
        <w:t xml:space="preserve">patients aged 65+ </w:t>
      </w:r>
      <w:r w:rsidR="00E6602F" w:rsidRPr="00EF4617">
        <w:rPr>
          <w:rFonts w:ascii="Arial" w:hAnsi="Arial" w:cs="Arial"/>
          <w:sz w:val="24"/>
          <w:szCs w:val="24"/>
        </w:rPr>
        <w:t xml:space="preserve">with </w:t>
      </w:r>
      <w:r w:rsidR="007F606C" w:rsidRPr="00EF4617">
        <w:rPr>
          <w:rFonts w:ascii="Arial" w:hAnsi="Arial" w:cs="Arial"/>
          <w:sz w:val="24"/>
          <w:szCs w:val="24"/>
        </w:rPr>
        <w:t>a</w:t>
      </w:r>
      <w:r w:rsidR="00C67C67" w:rsidRPr="00EF4617">
        <w:rPr>
          <w:rFonts w:ascii="Arial" w:hAnsi="Arial" w:cs="Arial"/>
          <w:sz w:val="24"/>
          <w:szCs w:val="24"/>
        </w:rPr>
        <w:t>n emergency call</w:t>
      </w:r>
      <w:r w:rsidR="007F606C" w:rsidRPr="00EF4617">
        <w:rPr>
          <w:rFonts w:ascii="Arial" w:hAnsi="Arial" w:cs="Arial"/>
          <w:sz w:val="24"/>
          <w:szCs w:val="24"/>
        </w:rPr>
        <w:t xml:space="preserve"> </w:t>
      </w:r>
      <w:r w:rsidR="00DA3515">
        <w:rPr>
          <w:rFonts w:ascii="Arial" w:hAnsi="Arial" w:cs="Arial"/>
          <w:sz w:val="24"/>
          <w:szCs w:val="24"/>
        </w:rPr>
        <w:t xml:space="preserve">attended by EMS </w:t>
      </w:r>
      <w:r w:rsidR="007F606C" w:rsidRPr="00EF4617">
        <w:rPr>
          <w:rFonts w:ascii="Arial" w:hAnsi="Arial" w:cs="Arial"/>
          <w:sz w:val="24"/>
          <w:szCs w:val="24"/>
        </w:rPr>
        <w:t>between 01/0</w:t>
      </w:r>
      <w:r w:rsidR="00E6602F" w:rsidRPr="00EF4617">
        <w:rPr>
          <w:rFonts w:ascii="Arial" w:hAnsi="Arial" w:cs="Arial"/>
          <w:sz w:val="24"/>
          <w:szCs w:val="24"/>
        </w:rPr>
        <w:t>4/2016 and 31/03/2017 inclusive with an EPR completed.</w:t>
      </w:r>
      <w:r>
        <w:rPr>
          <w:rFonts w:ascii="Arial" w:hAnsi="Arial" w:cs="Arial"/>
          <w:sz w:val="24"/>
          <w:szCs w:val="24"/>
        </w:rPr>
        <w:t xml:space="preserve"> </w:t>
      </w:r>
      <w:r w:rsidR="00E6602F" w:rsidRPr="00EF4617">
        <w:rPr>
          <w:rFonts w:ascii="Arial" w:hAnsi="Arial" w:cs="Arial"/>
          <w:sz w:val="24"/>
          <w:szCs w:val="24"/>
        </w:rPr>
        <w:t xml:space="preserve"> </w:t>
      </w:r>
      <w:r>
        <w:rPr>
          <w:rFonts w:ascii="Arial" w:hAnsi="Arial" w:cs="Arial"/>
          <w:sz w:val="24"/>
          <w:szCs w:val="24"/>
        </w:rPr>
        <w:t>The subset of patients aged 75+ within this population was analysed</w:t>
      </w:r>
      <w:r w:rsidR="00541EBC">
        <w:rPr>
          <w:rFonts w:ascii="Arial" w:hAnsi="Arial" w:cs="Arial"/>
          <w:sz w:val="24"/>
          <w:szCs w:val="24"/>
        </w:rPr>
        <w:t xml:space="preserve"> </w:t>
      </w:r>
      <w:r w:rsidR="00777A17">
        <w:rPr>
          <w:rFonts w:ascii="Arial" w:hAnsi="Arial" w:cs="Arial"/>
          <w:sz w:val="24"/>
          <w:szCs w:val="24"/>
        </w:rPr>
        <w:t>to enable comparison</w:t>
      </w:r>
      <w:r>
        <w:rPr>
          <w:rFonts w:ascii="Arial" w:hAnsi="Arial" w:cs="Arial"/>
          <w:sz w:val="24"/>
          <w:szCs w:val="24"/>
        </w:rPr>
        <w:t xml:space="preserve"> with published literature.  </w:t>
      </w:r>
      <w:r w:rsidR="00E6602F" w:rsidRPr="00EF4617">
        <w:rPr>
          <w:rFonts w:ascii="Arial" w:hAnsi="Arial" w:cs="Arial"/>
          <w:sz w:val="24"/>
          <w:szCs w:val="24"/>
        </w:rPr>
        <w:t xml:space="preserve">We only considered calls attended </w:t>
      </w:r>
      <w:r w:rsidR="007F606C" w:rsidRPr="00EF4617">
        <w:rPr>
          <w:rFonts w:ascii="Arial" w:hAnsi="Arial" w:cs="Arial"/>
          <w:sz w:val="24"/>
          <w:szCs w:val="24"/>
        </w:rPr>
        <w:t xml:space="preserve">within the geographical boundaries of South Central Ambulance Service </w:t>
      </w:r>
      <w:r w:rsidR="00E6602F" w:rsidRPr="00EF4617">
        <w:rPr>
          <w:rFonts w:ascii="Arial" w:hAnsi="Arial" w:cs="Arial"/>
          <w:sz w:val="24"/>
          <w:szCs w:val="24"/>
        </w:rPr>
        <w:t xml:space="preserve">(SCAS) </w:t>
      </w:r>
      <w:r w:rsidR="007F606C" w:rsidRPr="00EF4617">
        <w:rPr>
          <w:rFonts w:ascii="Arial" w:hAnsi="Arial" w:cs="Arial"/>
          <w:sz w:val="24"/>
          <w:szCs w:val="24"/>
        </w:rPr>
        <w:t>NHS Foundation Trust</w:t>
      </w:r>
      <w:r w:rsidR="00E6602F" w:rsidRPr="00EF4617">
        <w:rPr>
          <w:rFonts w:ascii="Arial" w:hAnsi="Arial" w:cs="Arial"/>
          <w:sz w:val="24"/>
          <w:szCs w:val="24"/>
        </w:rPr>
        <w:t xml:space="preserve">, </w:t>
      </w:r>
      <w:r w:rsidR="002D2E21" w:rsidRPr="00EF4617">
        <w:rPr>
          <w:rFonts w:ascii="Arial" w:hAnsi="Arial" w:cs="Arial"/>
          <w:sz w:val="24"/>
          <w:szCs w:val="24"/>
        </w:rPr>
        <w:t>(Figure 1)</w:t>
      </w:r>
      <w:r w:rsidR="00966AF0">
        <w:rPr>
          <w:rFonts w:ascii="Arial" w:hAnsi="Arial" w:cs="Arial"/>
          <w:sz w:val="24"/>
          <w:szCs w:val="24"/>
        </w:rPr>
        <w:t>.</w:t>
      </w:r>
      <w:r w:rsidR="002D2E21" w:rsidRPr="00EF4617">
        <w:rPr>
          <w:rFonts w:ascii="Arial" w:hAnsi="Arial" w:cs="Arial"/>
          <w:sz w:val="24"/>
          <w:szCs w:val="24"/>
        </w:rPr>
        <w:t xml:space="preserve"> </w:t>
      </w:r>
    </w:p>
    <w:p w:rsidR="00A510F1" w:rsidRPr="00EF4617" w:rsidRDefault="00A510F1" w:rsidP="00EF4617">
      <w:pPr>
        <w:spacing w:after="160" w:line="240" w:lineRule="auto"/>
        <w:rPr>
          <w:rFonts w:ascii="Arial" w:hAnsi="Arial" w:cs="Arial"/>
          <w:b/>
          <w:i/>
          <w:sz w:val="24"/>
          <w:szCs w:val="24"/>
        </w:rPr>
      </w:pPr>
      <w:r w:rsidRPr="00EF4617">
        <w:rPr>
          <w:rFonts w:ascii="Arial" w:hAnsi="Arial" w:cs="Arial"/>
          <w:b/>
          <w:i/>
          <w:sz w:val="24"/>
          <w:szCs w:val="24"/>
        </w:rPr>
        <w:t xml:space="preserve">Data </w:t>
      </w:r>
      <w:r w:rsidR="00966AF0">
        <w:rPr>
          <w:rFonts w:ascii="Arial" w:hAnsi="Arial" w:cs="Arial"/>
          <w:b/>
          <w:i/>
          <w:sz w:val="24"/>
          <w:szCs w:val="24"/>
        </w:rPr>
        <w:t>Source</w:t>
      </w:r>
    </w:p>
    <w:p w:rsidR="00DE3301" w:rsidRDefault="00777A17" w:rsidP="00EF4617">
      <w:pPr>
        <w:spacing w:line="240" w:lineRule="auto"/>
        <w:rPr>
          <w:rFonts w:ascii="Arial" w:hAnsi="Arial" w:cs="Arial"/>
          <w:b/>
          <w:i/>
          <w:sz w:val="24"/>
          <w:szCs w:val="24"/>
        </w:rPr>
      </w:pPr>
      <w:r>
        <w:rPr>
          <w:rFonts w:ascii="Arial" w:hAnsi="Arial" w:cs="Arial"/>
          <w:sz w:val="24"/>
          <w:szCs w:val="24"/>
        </w:rPr>
        <w:t>D</w:t>
      </w:r>
      <w:r w:rsidR="00A510F1" w:rsidRPr="00EF4617">
        <w:rPr>
          <w:rFonts w:ascii="Arial" w:hAnsi="Arial" w:cs="Arial"/>
          <w:sz w:val="24"/>
          <w:szCs w:val="24"/>
        </w:rPr>
        <w:t xml:space="preserve">ata </w:t>
      </w:r>
      <w:r w:rsidR="00D15E2E" w:rsidRPr="00EF4617">
        <w:rPr>
          <w:rFonts w:ascii="Arial" w:hAnsi="Arial" w:cs="Arial"/>
          <w:sz w:val="24"/>
          <w:szCs w:val="24"/>
        </w:rPr>
        <w:t>were</w:t>
      </w:r>
      <w:r w:rsidR="00A510F1" w:rsidRPr="00EF4617">
        <w:rPr>
          <w:rFonts w:ascii="Arial" w:hAnsi="Arial" w:cs="Arial"/>
          <w:sz w:val="24"/>
          <w:szCs w:val="24"/>
        </w:rPr>
        <w:t xml:space="preserve"> collected </w:t>
      </w:r>
      <w:r w:rsidR="00587933" w:rsidRPr="00EF4617">
        <w:rPr>
          <w:rFonts w:ascii="Arial" w:hAnsi="Arial" w:cs="Arial"/>
          <w:sz w:val="24"/>
          <w:szCs w:val="24"/>
        </w:rPr>
        <w:t xml:space="preserve">during routine care via an </w:t>
      </w:r>
      <w:r w:rsidR="00C67C67" w:rsidRPr="00EF4617">
        <w:rPr>
          <w:rFonts w:ascii="Arial" w:hAnsi="Arial" w:cs="Arial"/>
          <w:sz w:val="24"/>
          <w:szCs w:val="24"/>
        </w:rPr>
        <w:t>EPR</w:t>
      </w:r>
      <w:r w:rsidR="00587933" w:rsidRPr="00EF4617">
        <w:rPr>
          <w:rFonts w:ascii="Arial" w:hAnsi="Arial" w:cs="Arial"/>
          <w:sz w:val="24"/>
          <w:szCs w:val="24"/>
        </w:rPr>
        <w:t xml:space="preserve"> on</w:t>
      </w:r>
      <w:r w:rsidR="00A510F1" w:rsidRPr="00EF4617">
        <w:rPr>
          <w:rFonts w:ascii="Arial" w:hAnsi="Arial" w:cs="Arial"/>
          <w:sz w:val="24"/>
          <w:szCs w:val="24"/>
        </w:rPr>
        <w:t xml:space="preserve"> the </w:t>
      </w:r>
      <w:proofErr w:type="spellStart"/>
      <w:r w:rsidR="00587933" w:rsidRPr="00EF4617">
        <w:rPr>
          <w:rFonts w:ascii="Arial" w:hAnsi="Arial" w:cs="Arial"/>
          <w:sz w:val="24"/>
          <w:szCs w:val="24"/>
        </w:rPr>
        <w:t>MobiMed</w:t>
      </w:r>
      <w:proofErr w:type="spellEnd"/>
      <w:r w:rsidR="00587933" w:rsidRPr="00EF4617">
        <w:rPr>
          <w:rFonts w:ascii="Arial" w:hAnsi="Arial" w:cs="Arial"/>
          <w:sz w:val="24"/>
          <w:szCs w:val="24"/>
        </w:rPr>
        <w:t xml:space="preserve"> Smart electronic tablet (</w:t>
      </w:r>
      <w:proofErr w:type="spellStart"/>
      <w:r w:rsidR="00587933" w:rsidRPr="00EF4617">
        <w:rPr>
          <w:rFonts w:ascii="Arial" w:hAnsi="Arial" w:cs="Arial"/>
          <w:sz w:val="24"/>
          <w:szCs w:val="24"/>
        </w:rPr>
        <w:t>Ortivus</w:t>
      </w:r>
      <w:proofErr w:type="spellEnd"/>
      <w:r w:rsidR="00764187" w:rsidRPr="00EF4617">
        <w:rPr>
          <w:rFonts w:ascii="Arial" w:hAnsi="Arial" w:cs="Arial"/>
          <w:sz w:val="24"/>
          <w:szCs w:val="24"/>
        </w:rPr>
        <w:t>, Sweden</w:t>
      </w:r>
      <w:r w:rsidR="00587933" w:rsidRPr="00EF4617">
        <w:rPr>
          <w:rFonts w:ascii="Arial" w:hAnsi="Arial" w:cs="Arial"/>
          <w:sz w:val="24"/>
          <w:szCs w:val="24"/>
        </w:rPr>
        <w:t>). Each</w:t>
      </w:r>
      <w:r w:rsidR="00A510F1" w:rsidRPr="00EF4617">
        <w:rPr>
          <w:rFonts w:ascii="Arial" w:hAnsi="Arial" w:cs="Arial"/>
          <w:sz w:val="24"/>
          <w:szCs w:val="24"/>
        </w:rPr>
        <w:t xml:space="preserve"> patient attended by the emergency crew or</w:t>
      </w:r>
      <w:r w:rsidR="00587933" w:rsidRPr="00EF4617">
        <w:rPr>
          <w:rFonts w:ascii="Arial" w:hAnsi="Arial" w:cs="Arial"/>
          <w:sz w:val="24"/>
          <w:szCs w:val="24"/>
        </w:rPr>
        <w:t xml:space="preserve"> a solo responder had</w:t>
      </w:r>
      <w:r w:rsidR="00A510F1" w:rsidRPr="00EF4617">
        <w:rPr>
          <w:rFonts w:ascii="Arial" w:hAnsi="Arial" w:cs="Arial"/>
          <w:sz w:val="24"/>
          <w:szCs w:val="24"/>
        </w:rPr>
        <w:t xml:space="preserve"> a</w:t>
      </w:r>
      <w:r w:rsidR="00587933" w:rsidRPr="00EF4617">
        <w:rPr>
          <w:rFonts w:ascii="Arial" w:hAnsi="Arial" w:cs="Arial"/>
          <w:sz w:val="24"/>
          <w:szCs w:val="24"/>
        </w:rPr>
        <w:t>n</w:t>
      </w:r>
      <w:r w:rsidR="00A510F1" w:rsidRPr="00EF4617">
        <w:rPr>
          <w:rFonts w:ascii="Arial" w:hAnsi="Arial" w:cs="Arial"/>
          <w:sz w:val="24"/>
          <w:szCs w:val="24"/>
        </w:rPr>
        <w:t xml:space="preserve"> </w:t>
      </w:r>
      <w:r w:rsidR="00C67C67" w:rsidRPr="00EF4617">
        <w:rPr>
          <w:rFonts w:ascii="Arial" w:hAnsi="Arial" w:cs="Arial"/>
          <w:sz w:val="24"/>
          <w:szCs w:val="24"/>
        </w:rPr>
        <w:t>EPR</w:t>
      </w:r>
      <w:r w:rsidR="00587933" w:rsidRPr="00EF4617">
        <w:rPr>
          <w:rFonts w:ascii="Arial" w:hAnsi="Arial" w:cs="Arial"/>
          <w:sz w:val="24"/>
          <w:szCs w:val="24"/>
        </w:rPr>
        <w:t xml:space="preserve"> completed</w:t>
      </w:r>
      <w:r w:rsidR="00A510F1" w:rsidRPr="00EF4617">
        <w:rPr>
          <w:rFonts w:ascii="Arial" w:hAnsi="Arial" w:cs="Arial"/>
          <w:sz w:val="24"/>
          <w:szCs w:val="24"/>
        </w:rPr>
        <w:t xml:space="preserve"> each time they </w:t>
      </w:r>
      <w:r w:rsidR="00E6602F" w:rsidRPr="00EF4617">
        <w:rPr>
          <w:rFonts w:ascii="Arial" w:hAnsi="Arial" w:cs="Arial"/>
          <w:sz w:val="24"/>
          <w:szCs w:val="24"/>
        </w:rPr>
        <w:t>were attended</w:t>
      </w:r>
      <w:r w:rsidR="00A510F1" w:rsidRPr="00EF4617">
        <w:rPr>
          <w:rFonts w:ascii="Arial" w:hAnsi="Arial" w:cs="Arial"/>
          <w:sz w:val="24"/>
          <w:szCs w:val="24"/>
        </w:rPr>
        <w:t xml:space="preserve"> by the </w:t>
      </w:r>
      <w:r w:rsidR="00025E91">
        <w:rPr>
          <w:rFonts w:ascii="Arial" w:hAnsi="Arial" w:cs="Arial"/>
          <w:sz w:val="24"/>
          <w:szCs w:val="24"/>
        </w:rPr>
        <w:t>EMS</w:t>
      </w:r>
      <w:r w:rsidR="00A510F1" w:rsidRPr="00EF4617">
        <w:rPr>
          <w:rFonts w:ascii="Arial" w:hAnsi="Arial" w:cs="Arial"/>
          <w:sz w:val="24"/>
          <w:szCs w:val="24"/>
        </w:rPr>
        <w:t xml:space="preserve">. </w:t>
      </w:r>
      <w:r w:rsidR="00587933" w:rsidRPr="00EF4617">
        <w:rPr>
          <w:rFonts w:ascii="Arial" w:hAnsi="Arial" w:cs="Arial"/>
          <w:sz w:val="24"/>
          <w:szCs w:val="24"/>
        </w:rPr>
        <w:t xml:space="preserve">The </w:t>
      </w:r>
      <w:r w:rsidR="00C67C67" w:rsidRPr="00EF4617">
        <w:rPr>
          <w:rFonts w:ascii="Arial" w:hAnsi="Arial" w:cs="Arial"/>
          <w:sz w:val="24"/>
          <w:szCs w:val="24"/>
        </w:rPr>
        <w:t>EPR</w:t>
      </w:r>
      <w:r w:rsidR="00587933" w:rsidRPr="00EF4617">
        <w:rPr>
          <w:rFonts w:ascii="Arial" w:hAnsi="Arial" w:cs="Arial"/>
          <w:sz w:val="24"/>
          <w:szCs w:val="24"/>
        </w:rPr>
        <w:t xml:space="preserve"> is designed to collect</w:t>
      </w:r>
      <w:r w:rsidR="00A510F1" w:rsidRPr="00EF4617">
        <w:rPr>
          <w:rFonts w:ascii="Arial" w:hAnsi="Arial" w:cs="Arial"/>
          <w:sz w:val="24"/>
          <w:szCs w:val="24"/>
        </w:rPr>
        <w:t xml:space="preserve"> patient </w:t>
      </w:r>
      <w:r w:rsidR="00587933" w:rsidRPr="00EF4617">
        <w:rPr>
          <w:rFonts w:ascii="Arial" w:hAnsi="Arial" w:cs="Arial"/>
          <w:sz w:val="24"/>
          <w:szCs w:val="24"/>
        </w:rPr>
        <w:t>clinical and social history,</w:t>
      </w:r>
      <w:r w:rsidR="00A510F1" w:rsidRPr="00EF4617">
        <w:rPr>
          <w:rFonts w:ascii="Arial" w:hAnsi="Arial" w:cs="Arial"/>
          <w:sz w:val="24"/>
          <w:szCs w:val="24"/>
        </w:rPr>
        <w:t xml:space="preserve"> </w:t>
      </w:r>
      <w:r w:rsidRPr="00EF4617">
        <w:rPr>
          <w:rFonts w:ascii="Arial" w:hAnsi="Arial" w:cs="Arial"/>
          <w:sz w:val="24"/>
          <w:szCs w:val="24"/>
        </w:rPr>
        <w:t xml:space="preserve">incident </w:t>
      </w:r>
      <w:r w:rsidR="00A510F1" w:rsidRPr="00EF4617">
        <w:rPr>
          <w:rFonts w:ascii="Arial" w:hAnsi="Arial" w:cs="Arial"/>
          <w:sz w:val="24"/>
          <w:szCs w:val="24"/>
        </w:rPr>
        <w:t xml:space="preserve">details, </w:t>
      </w:r>
      <w:r w:rsidR="00587933" w:rsidRPr="00EF4617">
        <w:rPr>
          <w:rFonts w:ascii="Arial" w:hAnsi="Arial" w:cs="Arial"/>
          <w:sz w:val="24"/>
          <w:szCs w:val="24"/>
        </w:rPr>
        <w:t xml:space="preserve">and clinical information </w:t>
      </w:r>
      <w:r>
        <w:rPr>
          <w:rFonts w:ascii="Arial" w:hAnsi="Arial" w:cs="Arial"/>
          <w:sz w:val="24"/>
          <w:szCs w:val="24"/>
        </w:rPr>
        <w:t>e.g.</w:t>
      </w:r>
      <w:r w:rsidR="00A510F1" w:rsidRPr="00EF4617">
        <w:rPr>
          <w:rFonts w:ascii="Arial" w:hAnsi="Arial" w:cs="Arial"/>
          <w:sz w:val="24"/>
          <w:szCs w:val="24"/>
        </w:rPr>
        <w:t xml:space="preserve"> vital signs and clinical diagnostics</w:t>
      </w:r>
      <w:r w:rsidR="00587933" w:rsidRPr="00EF4617">
        <w:rPr>
          <w:rFonts w:ascii="Arial" w:hAnsi="Arial" w:cs="Arial"/>
          <w:sz w:val="24"/>
          <w:szCs w:val="24"/>
        </w:rPr>
        <w:t xml:space="preserve"> e.g.</w:t>
      </w:r>
      <w:r w:rsidR="00A510F1" w:rsidRPr="00EF4617">
        <w:rPr>
          <w:rFonts w:ascii="Arial" w:hAnsi="Arial" w:cs="Arial"/>
          <w:sz w:val="24"/>
          <w:szCs w:val="24"/>
        </w:rPr>
        <w:t xml:space="preserve"> </w:t>
      </w:r>
      <w:r w:rsidR="00587933" w:rsidRPr="00EF4617">
        <w:rPr>
          <w:rFonts w:ascii="Arial" w:hAnsi="Arial" w:cs="Arial"/>
          <w:sz w:val="24"/>
          <w:szCs w:val="24"/>
        </w:rPr>
        <w:t xml:space="preserve"> e</w:t>
      </w:r>
      <w:r w:rsidR="00A510F1" w:rsidRPr="00EF4617">
        <w:rPr>
          <w:rFonts w:ascii="Arial" w:hAnsi="Arial" w:cs="Arial"/>
          <w:sz w:val="24"/>
          <w:szCs w:val="24"/>
        </w:rPr>
        <w:t>lectrocardiogram (ECG)</w:t>
      </w:r>
      <w:r w:rsidR="00587933" w:rsidRPr="00EF4617">
        <w:rPr>
          <w:rFonts w:ascii="Arial" w:hAnsi="Arial" w:cs="Arial"/>
          <w:sz w:val="24"/>
          <w:szCs w:val="24"/>
        </w:rPr>
        <w:t xml:space="preserve"> data.</w:t>
      </w:r>
      <w:r w:rsidR="00A510F1" w:rsidRPr="00EF4617">
        <w:rPr>
          <w:rFonts w:ascii="Arial" w:hAnsi="Arial" w:cs="Arial"/>
          <w:sz w:val="24"/>
          <w:szCs w:val="24"/>
        </w:rPr>
        <w:t xml:space="preserve"> </w:t>
      </w:r>
      <w:r>
        <w:rPr>
          <w:rFonts w:ascii="Arial" w:hAnsi="Arial" w:cs="Arial"/>
          <w:sz w:val="24"/>
          <w:szCs w:val="24"/>
        </w:rPr>
        <w:t>D</w:t>
      </w:r>
      <w:r w:rsidR="001A1218" w:rsidRPr="00EF4617">
        <w:rPr>
          <w:rFonts w:ascii="Arial" w:hAnsi="Arial" w:cs="Arial"/>
          <w:sz w:val="24"/>
          <w:szCs w:val="24"/>
        </w:rPr>
        <w:t xml:space="preserve">ata is entered </w:t>
      </w:r>
      <w:r w:rsidR="00E6602F" w:rsidRPr="00EF4617">
        <w:rPr>
          <w:rFonts w:ascii="Arial" w:hAnsi="Arial" w:cs="Arial"/>
          <w:sz w:val="24"/>
          <w:szCs w:val="24"/>
        </w:rPr>
        <w:t xml:space="preserve">into the EPR </w:t>
      </w:r>
      <w:r w:rsidR="001A1218" w:rsidRPr="00EF4617">
        <w:rPr>
          <w:rFonts w:ascii="Arial" w:hAnsi="Arial" w:cs="Arial"/>
          <w:sz w:val="24"/>
          <w:szCs w:val="24"/>
        </w:rPr>
        <w:t xml:space="preserve">via a touchscreen on </w:t>
      </w:r>
      <w:r w:rsidR="00E6602F" w:rsidRPr="00EF4617">
        <w:rPr>
          <w:rFonts w:ascii="Arial" w:hAnsi="Arial" w:cs="Arial"/>
          <w:sz w:val="24"/>
          <w:szCs w:val="24"/>
        </w:rPr>
        <w:t>a</w:t>
      </w:r>
      <w:r w:rsidR="001A1218" w:rsidRPr="00EF4617">
        <w:rPr>
          <w:rFonts w:ascii="Arial" w:hAnsi="Arial" w:cs="Arial"/>
          <w:sz w:val="24"/>
          <w:szCs w:val="24"/>
        </w:rPr>
        <w:t xml:space="preserve"> tablet</w:t>
      </w:r>
      <w:r w:rsidR="0040315A" w:rsidRPr="00EF4617">
        <w:rPr>
          <w:rFonts w:ascii="Arial" w:hAnsi="Arial" w:cs="Arial"/>
          <w:sz w:val="24"/>
          <w:szCs w:val="24"/>
        </w:rPr>
        <w:t xml:space="preserve"> at the scene</w:t>
      </w:r>
      <w:r w:rsidR="001A1218" w:rsidRPr="00EF4617">
        <w:rPr>
          <w:rFonts w:ascii="Arial" w:hAnsi="Arial" w:cs="Arial"/>
          <w:sz w:val="24"/>
          <w:szCs w:val="24"/>
        </w:rPr>
        <w:t xml:space="preserve">, through </w:t>
      </w:r>
      <w:r w:rsidR="00E6602F" w:rsidRPr="00EF4617">
        <w:rPr>
          <w:rFonts w:ascii="Arial" w:hAnsi="Arial" w:cs="Arial"/>
          <w:sz w:val="24"/>
          <w:szCs w:val="24"/>
        </w:rPr>
        <w:t xml:space="preserve">menus and </w:t>
      </w:r>
      <w:r w:rsidR="001A1218" w:rsidRPr="00EF4617">
        <w:rPr>
          <w:rFonts w:ascii="Arial" w:hAnsi="Arial" w:cs="Arial"/>
          <w:sz w:val="24"/>
          <w:szCs w:val="24"/>
        </w:rPr>
        <w:t>interactive, self-expanding boxes as well as sections of free text</w:t>
      </w:r>
      <w:r w:rsidR="0040315A" w:rsidRPr="00EF4617">
        <w:rPr>
          <w:rFonts w:ascii="Arial" w:hAnsi="Arial" w:cs="Arial"/>
          <w:sz w:val="24"/>
          <w:szCs w:val="24"/>
        </w:rPr>
        <w:t>,</w:t>
      </w:r>
      <w:r w:rsidR="001A1218" w:rsidRPr="00EF4617">
        <w:rPr>
          <w:rFonts w:ascii="Arial" w:hAnsi="Arial" w:cs="Arial"/>
          <w:sz w:val="24"/>
          <w:szCs w:val="24"/>
        </w:rPr>
        <w:t xml:space="preserve"> </w:t>
      </w:r>
      <w:r w:rsidR="00E6602F" w:rsidRPr="00EF4617">
        <w:rPr>
          <w:rFonts w:ascii="Arial" w:hAnsi="Arial" w:cs="Arial"/>
          <w:sz w:val="24"/>
          <w:szCs w:val="24"/>
        </w:rPr>
        <w:t>where additional</w:t>
      </w:r>
      <w:r w:rsidR="001A1218" w:rsidRPr="00EF4617">
        <w:rPr>
          <w:rFonts w:ascii="Arial" w:hAnsi="Arial" w:cs="Arial"/>
          <w:sz w:val="24"/>
          <w:szCs w:val="24"/>
        </w:rPr>
        <w:t xml:space="preserve"> detail about the examination is deemed necessary. </w:t>
      </w:r>
      <w:r w:rsidR="0040315A" w:rsidRPr="00EF4617">
        <w:rPr>
          <w:rFonts w:ascii="Arial" w:hAnsi="Arial" w:cs="Arial"/>
          <w:sz w:val="24"/>
          <w:szCs w:val="24"/>
        </w:rPr>
        <w:t>Each</w:t>
      </w:r>
      <w:r w:rsidR="00A510F1" w:rsidRPr="00EF4617">
        <w:rPr>
          <w:rFonts w:ascii="Arial" w:hAnsi="Arial" w:cs="Arial"/>
          <w:sz w:val="24"/>
          <w:szCs w:val="24"/>
        </w:rPr>
        <w:t xml:space="preserve"> patient </w:t>
      </w:r>
      <w:r w:rsidR="00891494" w:rsidRPr="00EF4617">
        <w:rPr>
          <w:rFonts w:ascii="Arial" w:hAnsi="Arial" w:cs="Arial"/>
          <w:sz w:val="24"/>
          <w:szCs w:val="24"/>
        </w:rPr>
        <w:t>record</w:t>
      </w:r>
      <w:r w:rsidR="00A510F1" w:rsidRPr="00EF4617">
        <w:rPr>
          <w:rFonts w:ascii="Arial" w:hAnsi="Arial" w:cs="Arial"/>
          <w:sz w:val="24"/>
          <w:szCs w:val="24"/>
        </w:rPr>
        <w:t xml:space="preserve"> collect</w:t>
      </w:r>
      <w:r w:rsidR="0040315A" w:rsidRPr="00EF4617">
        <w:rPr>
          <w:rFonts w:ascii="Arial" w:hAnsi="Arial" w:cs="Arial"/>
          <w:sz w:val="24"/>
          <w:szCs w:val="24"/>
        </w:rPr>
        <w:t>s</w:t>
      </w:r>
      <w:r w:rsidR="00A510F1" w:rsidRPr="00EF4617">
        <w:rPr>
          <w:rFonts w:ascii="Arial" w:hAnsi="Arial" w:cs="Arial"/>
          <w:sz w:val="24"/>
          <w:szCs w:val="24"/>
        </w:rPr>
        <w:t xml:space="preserve"> the same information that the crew would have had an opportunity to document on a paper record form</w:t>
      </w:r>
      <w:r w:rsidR="0040315A" w:rsidRPr="00EF4617">
        <w:rPr>
          <w:rFonts w:ascii="Arial" w:hAnsi="Arial" w:cs="Arial"/>
          <w:sz w:val="24"/>
          <w:szCs w:val="24"/>
        </w:rPr>
        <w:t>, thus no additional paper records are required</w:t>
      </w:r>
      <w:r w:rsidR="00C43D91" w:rsidRPr="00EF4617">
        <w:rPr>
          <w:rFonts w:ascii="Arial" w:hAnsi="Arial" w:cs="Arial"/>
          <w:sz w:val="24"/>
          <w:szCs w:val="24"/>
        </w:rPr>
        <w:t xml:space="preserve"> or used by the ambulance teams</w:t>
      </w:r>
      <w:r w:rsidR="00A510F1" w:rsidRPr="00EF4617">
        <w:rPr>
          <w:rFonts w:ascii="Arial" w:hAnsi="Arial" w:cs="Arial"/>
          <w:sz w:val="24"/>
          <w:szCs w:val="24"/>
        </w:rPr>
        <w:t xml:space="preserve">. </w:t>
      </w:r>
      <w:r w:rsidR="00A510F1" w:rsidRPr="00EF4617">
        <w:rPr>
          <w:rFonts w:ascii="Arial" w:hAnsi="Arial" w:cs="Arial"/>
          <w:sz w:val="24"/>
          <w:szCs w:val="24"/>
        </w:rPr>
        <w:br/>
      </w:r>
    </w:p>
    <w:p w:rsidR="00025E91" w:rsidRDefault="00025E91" w:rsidP="00EF4617">
      <w:pPr>
        <w:spacing w:line="240" w:lineRule="auto"/>
        <w:rPr>
          <w:rFonts w:ascii="Arial" w:hAnsi="Arial" w:cs="Arial"/>
          <w:b/>
          <w:sz w:val="24"/>
          <w:szCs w:val="24"/>
        </w:rPr>
      </w:pPr>
      <w:r>
        <w:rPr>
          <w:rFonts w:ascii="Arial" w:hAnsi="Arial" w:cs="Arial"/>
          <w:b/>
          <w:sz w:val="24"/>
          <w:szCs w:val="24"/>
        </w:rPr>
        <w:t>Audit type</w:t>
      </w:r>
    </w:p>
    <w:p w:rsidR="00025E91" w:rsidRDefault="00025E91" w:rsidP="00025E91">
      <w:pPr>
        <w:spacing w:after="160" w:line="240" w:lineRule="auto"/>
        <w:rPr>
          <w:rFonts w:ascii="Arial" w:hAnsi="Arial" w:cs="Arial"/>
          <w:sz w:val="24"/>
          <w:szCs w:val="24"/>
        </w:rPr>
      </w:pPr>
      <w:r w:rsidRPr="00EF4617">
        <w:rPr>
          <w:rFonts w:ascii="Arial" w:hAnsi="Arial" w:cs="Arial"/>
          <w:sz w:val="24"/>
          <w:szCs w:val="24"/>
        </w:rPr>
        <w:t xml:space="preserve">The audit was reviewed and approved by the SCAS Clinical Review Group in </w:t>
      </w:r>
      <w:r w:rsidRPr="00FF04F4">
        <w:rPr>
          <w:rFonts w:ascii="Arial" w:hAnsi="Arial" w:cs="Arial"/>
          <w:sz w:val="24"/>
          <w:szCs w:val="24"/>
        </w:rPr>
        <w:t>Decembe</w:t>
      </w:r>
      <w:r>
        <w:rPr>
          <w:rFonts w:ascii="Arial" w:hAnsi="Arial" w:cs="Arial"/>
          <w:sz w:val="24"/>
          <w:szCs w:val="24"/>
        </w:rPr>
        <w:t>r</w:t>
      </w:r>
      <w:r w:rsidRPr="00FF04F4">
        <w:rPr>
          <w:rFonts w:ascii="Arial" w:hAnsi="Arial" w:cs="Arial"/>
          <w:sz w:val="24"/>
          <w:szCs w:val="24"/>
        </w:rPr>
        <w:t xml:space="preserve"> 2016.</w:t>
      </w:r>
    </w:p>
    <w:p w:rsidR="00025E91" w:rsidRPr="00EF4617" w:rsidRDefault="00025E91" w:rsidP="00025E91">
      <w:pPr>
        <w:spacing w:after="160" w:line="240" w:lineRule="auto"/>
        <w:rPr>
          <w:rFonts w:ascii="Arial" w:hAnsi="Arial" w:cs="Arial"/>
          <w:sz w:val="24"/>
          <w:szCs w:val="24"/>
        </w:rPr>
      </w:pPr>
    </w:p>
    <w:p w:rsidR="00025E91" w:rsidRPr="00025E91" w:rsidRDefault="00025E91" w:rsidP="00EF4617">
      <w:pPr>
        <w:spacing w:line="240" w:lineRule="auto"/>
        <w:rPr>
          <w:rFonts w:ascii="Arial" w:hAnsi="Arial" w:cs="Arial"/>
          <w:b/>
          <w:sz w:val="24"/>
          <w:szCs w:val="24"/>
        </w:rPr>
      </w:pPr>
      <w:r>
        <w:rPr>
          <w:rFonts w:ascii="Arial" w:hAnsi="Arial" w:cs="Arial"/>
          <w:b/>
          <w:sz w:val="24"/>
          <w:szCs w:val="24"/>
        </w:rPr>
        <w:t>Methodology</w:t>
      </w:r>
    </w:p>
    <w:p w:rsidR="001A1218" w:rsidRPr="00EF4617" w:rsidRDefault="001A1218" w:rsidP="00EF4617">
      <w:pPr>
        <w:spacing w:line="240" w:lineRule="auto"/>
        <w:rPr>
          <w:rFonts w:ascii="Arial" w:hAnsi="Arial" w:cs="Arial"/>
          <w:b/>
          <w:i/>
          <w:sz w:val="24"/>
          <w:szCs w:val="24"/>
        </w:rPr>
      </w:pPr>
      <w:r w:rsidRPr="00EF4617">
        <w:rPr>
          <w:rFonts w:ascii="Arial" w:hAnsi="Arial" w:cs="Arial"/>
          <w:b/>
          <w:i/>
          <w:sz w:val="24"/>
          <w:szCs w:val="24"/>
        </w:rPr>
        <w:t xml:space="preserve">Data </w:t>
      </w:r>
      <w:r w:rsidR="00D2406E" w:rsidRPr="00EF4617">
        <w:rPr>
          <w:rFonts w:ascii="Arial" w:hAnsi="Arial" w:cs="Arial"/>
          <w:b/>
          <w:i/>
          <w:sz w:val="24"/>
          <w:szCs w:val="24"/>
        </w:rPr>
        <w:t>management and extraction</w:t>
      </w:r>
    </w:p>
    <w:p w:rsidR="00D2406E" w:rsidRPr="00EF4617" w:rsidRDefault="001A1218" w:rsidP="00EF4617">
      <w:pPr>
        <w:spacing w:line="240" w:lineRule="auto"/>
        <w:rPr>
          <w:rFonts w:ascii="Arial" w:hAnsi="Arial" w:cs="Arial"/>
          <w:b/>
          <w:i/>
          <w:sz w:val="24"/>
          <w:szCs w:val="24"/>
        </w:rPr>
      </w:pPr>
      <w:r w:rsidRPr="00EF4617">
        <w:rPr>
          <w:rFonts w:ascii="Arial" w:hAnsi="Arial" w:cs="Arial"/>
          <w:sz w:val="24"/>
          <w:szCs w:val="24"/>
        </w:rPr>
        <w:t xml:space="preserve">The tablet uses the mobile network and wireless internet connection to </w:t>
      </w:r>
      <w:r w:rsidR="00A55B78" w:rsidRPr="00EF4617">
        <w:rPr>
          <w:rFonts w:ascii="Arial" w:hAnsi="Arial" w:cs="Arial"/>
          <w:sz w:val="24"/>
          <w:szCs w:val="24"/>
        </w:rPr>
        <w:t>transfer data to a data warehouse on a server located in the UK (</w:t>
      </w:r>
      <w:r w:rsidR="00C43D91" w:rsidRPr="00EF4617">
        <w:rPr>
          <w:rFonts w:ascii="Arial" w:hAnsi="Arial" w:cs="Arial"/>
          <w:sz w:val="24"/>
          <w:szCs w:val="24"/>
        </w:rPr>
        <w:t xml:space="preserve">managed by </w:t>
      </w:r>
      <w:proofErr w:type="spellStart"/>
      <w:r w:rsidR="00A55B78" w:rsidRPr="00EF4617">
        <w:rPr>
          <w:rFonts w:ascii="Arial" w:hAnsi="Arial" w:cs="Arial"/>
          <w:sz w:val="24"/>
          <w:szCs w:val="24"/>
        </w:rPr>
        <w:t>Hytek</w:t>
      </w:r>
      <w:proofErr w:type="spellEnd"/>
      <w:r w:rsidR="00A55B78" w:rsidRPr="00EF4617">
        <w:rPr>
          <w:rFonts w:ascii="Arial" w:hAnsi="Arial" w:cs="Arial"/>
          <w:sz w:val="24"/>
          <w:szCs w:val="24"/>
        </w:rPr>
        <w:t xml:space="preserve">). </w:t>
      </w:r>
      <w:r w:rsidR="00C43D91" w:rsidRPr="00EF4617">
        <w:rPr>
          <w:rFonts w:ascii="Arial" w:hAnsi="Arial" w:cs="Arial"/>
          <w:sz w:val="24"/>
          <w:szCs w:val="24"/>
        </w:rPr>
        <w:t>A copy of the</w:t>
      </w:r>
      <w:r w:rsidR="00A55B78" w:rsidRPr="00EF4617">
        <w:rPr>
          <w:rFonts w:ascii="Arial" w:hAnsi="Arial" w:cs="Arial"/>
          <w:sz w:val="24"/>
          <w:szCs w:val="24"/>
        </w:rPr>
        <w:t xml:space="preserve"> data is downloaded </w:t>
      </w:r>
      <w:r w:rsidR="00C43D91" w:rsidRPr="00EF4617">
        <w:rPr>
          <w:rFonts w:ascii="Arial" w:hAnsi="Arial" w:cs="Arial"/>
          <w:sz w:val="24"/>
          <w:szCs w:val="24"/>
        </w:rPr>
        <w:t xml:space="preserve">daily </w:t>
      </w:r>
      <w:r w:rsidR="00A55B78" w:rsidRPr="00EF4617">
        <w:rPr>
          <w:rFonts w:ascii="Arial" w:hAnsi="Arial" w:cs="Arial"/>
          <w:sz w:val="24"/>
          <w:szCs w:val="24"/>
        </w:rPr>
        <w:t>to the ambulan</w:t>
      </w:r>
      <w:r w:rsidR="00E6602F" w:rsidRPr="00EF4617">
        <w:rPr>
          <w:rFonts w:ascii="Arial" w:hAnsi="Arial" w:cs="Arial"/>
          <w:sz w:val="24"/>
          <w:szCs w:val="24"/>
        </w:rPr>
        <w:t>ce trust Business Intelligence T</w:t>
      </w:r>
      <w:r w:rsidR="00A55B78" w:rsidRPr="00EF4617">
        <w:rPr>
          <w:rFonts w:ascii="Arial" w:hAnsi="Arial" w:cs="Arial"/>
          <w:sz w:val="24"/>
          <w:szCs w:val="24"/>
        </w:rPr>
        <w:t>eam, and stored within local databases (</w:t>
      </w:r>
      <w:proofErr w:type="spellStart"/>
      <w:r w:rsidR="00A55B78" w:rsidRPr="00EF4617">
        <w:rPr>
          <w:rFonts w:ascii="Arial" w:hAnsi="Arial" w:cs="Arial"/>
          <w:sz w:val="24"/>
          <w:szCs w:val="24"/>
        </w:rPr>
        <w:t>Dochaven</w:t>
      </w:r>
      <w:proofErr w:type="spellEnd"/>
      <w:r w:rsidR="00A55B78" w:rsidRPr="00EF4617">
        <w:rPr>
          <w:rFonts w:ascii="Arial" w:hAnsi="Arial" w:cs="Arial"/>
          <w:sz w:val="24"/>
          <w:szCs w:val="24"/>
        </w:rPr>
        <w:t xml:space="preserve"> and T</w:t>
      </w:r>
      <w:r w:rsidR="00E6602F" w:rsidRPr="00EF4617">
        <w:rPr>
          <w:rFonts w:ascii="Arial" w:hAnsi="Arial" w:cs="Arial"/>
          <w:sz w:val="24"/>
          <w:szCs w:val="24"/>
        </w:rPr>
        <w:t xml:space="preserve">otal </w:t>
      </w:r>
      <w:r w:rsidR="00A55B78" w:rsidRPr="00EF4617">
        <w:rPr>
          <w:rFonts w:ascii="Arial" w:hAnsi="Arial" w:cs="Arial"/>
          <w:sz w:val="24"/>
          <w:szCs w:val="24"/>
        </w:rPr>
        <w:t>C</w:t>
      </w:r>
      <w:r w:rsidR="00E6602F" w:rsidRPr="00EF4617">
        <w:rPr>
          <w:rFonts w:ascii="Arial" w:hAnsi="Arial" w:cs="Arial"/>
          <w:sz w:val="24"/>
          <w:szCs w:val="24"/>
        </w:rPr>
        <w:t xml:space="preserve">linical </w:t>
      </w:r>
      <w:r w:rsidR="00A55B78" w:rsidRPr="00EF4617">
        <w:rPr>
          <w:rFonts w:ascii="Arial" w:hAnsi="Arial" w:cs="Arial"/>
          <w:sz w:val="24"/>
          <w:szCs w:val="24"/>
        </w:rPr>
        <w:t>M</w:t>
      </w:r>
      <w:r w:rsidR="00E6602F" w:rsidRPr="00EF4617">
        <w:rPr>
          <w:rFonts w:ascii="Arial" w:hAnsi="Arial" w:cs="Arial"/>
          <w:sz w:val="24"/>
          <w:szCs w:val="24"/>
        </w:rPr>
        <w:t xml:space="preserve">anagement </w:t>
      </w:r>
      <w:r w:rsidR="00A55B78" w:rsidRPr="00EF4617">
        <w:rPr>
          <w:rFonts w:ascii="Arial" w:hAnsi="Arial" w:cs="Arial"/>
          <w:sz w:val="24"/>
          <w:szCs w:val="24"/>
        </w:rPr>
        <w:t>P</w:t>
      </w:r>
      <w:r w:rsidR="00E6602F" w:rsidRPr="00EF4617">
        <w:rPr>
          <w:rFonts w:ascii="Arial" w:hAnsi="Arial" w:cs="Arial"/>
          <w:sz w:val="24"/>
          <w:szCs w:val="24"/>
        </w:rPr>
        <w:t xml:space="preserve">atient </w:t>
      </w:r>
      <w:r w:rsidR="00A55B78" w:rsidRPr="00EF4617">
        <w:rPr>
          <w:rFonts w:ascii="Arial" w:hAnsi="Arial" w:cs="Arial"/>
          <w:sz w:val="24"/>
          <w:szCs w:val="24"/>
        </w:rPr>
        <w:t>R</w:t>
      </w:r>
      <w:r w:rsidR="00E6602F" w:rsidRPr="00EF4617">
        <w:rPr>
          <w:rFonts w:ascii="Arial" w:hAnsi="Arial" w:cs="Arial"/>
          <w:sz w:val="24"/>
          <w:szCs w:val="24"/>
        </w:rPr>
        <w:t xml:space="preserve">eport </w:t>
      </w:r>
      <w:r w:rsidR="00A55B78" w:rsidRPr="00EF4617">
        <w:rPr>
          <w:rFonts w:ascii="Arial" w:hAnsi="Arial" w:cs="Arial"/>
          <w:sz w:val="24"/>
          <w:szCs w:val="24"/>
        </w:rPr>
        <w:t>F</w:t>
      </w:r>
      <w:r w:rsidR="00E6602F" w:rsidRPr="00EF4617">
        <w:rPr>
          <w:rFonts w:ascii="Arial" w:hAnsi="Arial" w:cs="Arial"/>
          <w:sz w:val="24"/>
          <w:szCs w:val="24"/>
        </w:rPr>
        <w:t>orm</w:t>
      </w:r>
      <w:r w:rsidR="00A55B78" w:rsidRPr="00EF4617">
        <w:rPr>
          <w:rFonts w:ascii="Arial" w:hAnsi="Arial" w:cs="Arial"/>
          <w:sz w:val="24"/>
          <w:szCs w:val="24"/>
        </w:rPr>
        <w:t>)</w:t>
      </w:r>
      <w:r w:rsidR="00C43D91" w:rsidRPr="00EF4617">
        <w:rPr>
          <w:rFonts w:ascii="Arial" w:hAnsi="Arial" w:cs="Arial"/>
          <w:sz w:val="24"/>
          <w:szCs w:val="24"/>
        </w:rPr>
        <w:t xml:space="preserve"> on a secure server</w:t>
      </w:r>
      <w:r w:rsidR="00A55B78" w:rsidRPr="00EF4617">
        <w:rPr>
          <w:rFonts w:ascii="Arial" w:hAnsi="Arial" w:cs="Arial"/>
          <w:sz w:val="24"/>
          <w:szCs w:val="24"/>
        </w:rPr>
        <w:t xml:space="preserve">.  </w:t>
      </w:r>
      <w:r w:rsidRPr="00EF4617">
        <w:rPr>
          <w:rFonts w:ascii="Arial" w:hAnsi="Arial" w:cs="Arial"/>
          <w:sz w:val="24"/>
          <w:szCs w:val="24"/>
        </w:rPr>
        <w:br/>
      </w:r>
      <w:r w:rsidR="0051573A" w:rsidRPr="00EF4617">
        <w:rPr>
          <w:rFonts w:ascii="Arial" w:eastAsia="Times New Roman" w:hAnsi="Arial" w:cs="Arial"/>
          <w:sz w:val="24"/>
          <w:szCs w:val="24"/>
          <w:lang w:eastAsia="en-GB"/>
        </w:rPr>
        <w:t>Microsoft SQL Server Management Studio</w:t>
      </w:r>
      <w:r w:rsidR="00D2406E" w:rsidRPr="00EF4617">
        <w:rPr>
          <w:rFonts w:ascii="Arial" w:eastAsia="Times New Roman" w:hAnsi="Arial" w:cs="Arial"/>
          <w:sz w:val="24"/>
          <w:szCs w:val="24"/>
          <w:lang w:eastAsia="en-GB"/>
        </w:rPr>
        <w:t xml:space="preserve"> was used to </w:t>
      </w:r>
      <w:r w:rsidR="0051573A" w:rsidRPr="00EF4617">
        <w:rPr>
          <w:rFonts w:ascii="Arial" w:eastAsia="Times New Roman" w:hAnsi="Arial" w:cs="Arial"/>
          <w:sz w:val="24"/>
          <w:szCs w:val="24"/>
          <w:lang w:eastAsia="en-GB"/>
        </w:rPr>
        <w:t xml:space="preserve">extract </w:t>
      </w:r>
      <w:r w:rsidR="00D2406E" w:rsidRPr="00EF4617">
        <w:rPr>
          <w:rFonts w:ascii="Arial" w:eastAsia="Times New Roman" w:hAnsi="Arial" w:cs="Arial"/>
          <w:sz w:val="24"/>
          <w:szCs w:val="24"/>
          <w:lang w:eastAsia="en-GB"/>
        </w:rPr>
        <w:t>data from the SCAS data warehouse. Free-text fields to be searched were identified by SCAS staff performing a mock data entry exercise</w:t>
      </w:r>
      <w:r w:rsidR="002D0EC9" w:rsidRPr="00EF4617">
        <w:rPr>
          <w:rFonts w:ascii="Arial" w:eastAsia="Times New Roman" w:hAnsi="Arial" w:cs="Arial"/>
          <w:sz w:val="24"/>
          <w:szCs w:val="24"/>
          <w:lang w:eastAsia="en-GB"/>
        </w:rPr>
        <w:t xml:space="preserve"> and attaining consensus on which fields could reasonably have ‘dementia’ recorded, within the context of the question</w:t>
      </w:r>
      <w:r w:rsidR="00D2406E" w:rsidRPr="00EF4617">
        <w:rPr>
          <w:rFonts w:ascii="Arial" w:eastAsia="Times New Roman" w:hAnsi="Arial" w:cs="Arial"/>
          <w:sz w:val="24"/>
          <w:szCs w:val="24"/>
          <w:lang w:eastAsia="en-GB"/>
        </w:rPr>
        <w:t xml:space="preserve">. Queries were written to identify </w:t>
      </w:r>
      <w:r w:rsidR="00777A17">
        <w:rPr>
          <w:rFonts w:ascii="Arial" w:eastAsia="Times New Roman" w:hAnsi="Arial" w:cs="Arial"/>
          <w:sz w:val="24"/>
          <w:szCs w:val="24"/>
          <w:lang w:eastAsia="en-GB"/>
        </w:rPr>
        <w:t>when</w:t>
      </w:r>
      <w:r w:rsidR="00D2406E" w:rsidRPr="00EF4617">
        <w:rPr>
          <w:rFonts w:ascii="Arial" w:eastAsia="Times New Roman" w:hAnsi="Arial" w:cs="Arial"/>
          <w:sz w:val="24"/>
          <w:szCs w:val="24"/>
          <w:lang w:eastAsia="en-GB"/>
        </w:rPr>
        <w:t xml:space="preserve"> the term ‘dementia’ was present within free-</w:t>
      </w:r>
      <w:r w:rsidR="000F6BD1" w:rsidRPr="00EF4617">
        <w:rPr>
          <w:rFonts w:ascii="Arial" w:eastAsia="Times New Roman" w:hAnsi="Arial" w:cs="Arial"/>
          <w:sz w:val="24"/>
          <w:szCs w:val="24"/>
          <w:lang w:eastAsia="en-GB"/>
        </w:rPr>
        <w:t>text</w:t>
      </w:r>
      <w:r w:rsidR="0051573A" w:rsidRPr="00EF4617">
        <w:rPr>
          <w:rFonts w:ascii="Arial" w:eastAsia="Times New Roman" w:hAnsi="Arial" w:cs="Arial"/>
          <w:sz w:val="24"/>
          <w:szCs w:val="24"/>
          <w:lang w:eastAsia="en-GB"/>
        </w:rPr>
        <w:t xml:space="preserve"> fields</w:t>
      </w:r>
      <w:r w:rsidR="00D2406E" w:rsidRPr="00EF4617">
        <w:rPr>
          <w:rFonts w:ascii="Arial" w:eastAsia="Times New Roman" w:hAnsi="Arial" w:cs="Arial"/>
          <w:sz w:val="24"/>
          <w:szCs w:val="24"/>
          <w:lang w:eastAsia="en-GB"/>
        </w:rPr>
        <w:t>, to ensure</w:t>
      </w:r>
      <w:r w:rsidR="0051573A" w:rsidRPr="00EF4617">
        <w:rPr>
          <w:rFonts w:ascii="Arial" w:eastAsia="Times New Roman" w:hAnsi="Arial" w:cs="Arial"/>
          <w:sz w:val="24"/>
          <w:szCs w:val="24"/>
          <w:lang w:eastAsia="en-GB"/>
        </w:rPr>
        <w:t xml:space="preserve"> anonymity was achieved by hiding free text that could contain identifiable information. </w:t>
      </w:r>
    </w:p>
    <w:p w:rsidR="0051573A" w:rsidRPr="00EF4617" w:rsidRDefault="008841BF" w:rsidP="00EF4617">
      <w:pPr>
        <w:spacing w:before="100" w:beforeAutospacing="1" w:after="100" w:afterAutospacing="1" w:line="240" w:lineRule="auto"/>
        <w:rPr>
          <w:rFonts w:ascii="Arial" w:eastAsia="Times New Roman" w:hAnsi="Arial" w:cs="Arial"/>
          <w:sz w:val="24"/>
          <w:szCs w:val="24"/>
          <w:lang w:eastAsia="en-GB"/>
        </w:rPr>
      </w:pPr>
      <w:r w:rsidRPr="00EF4617">
        <w:rPr>
          <w:rFonts w:ascii="Arial" w:eastAsia="Times New Roman" w:hAnsi="Arial" w:cs="Arial"/>
          <w:sz w:val="24"/>
          <w:szCs w:val="24"/>
          <w:lang w:eastAsia="en-GB"/>
        </w:rPr>
        <w:t>Additional contextual</w:t>
      </w:r>
      <w:r w:rsidR="0051573A" w:rsidRPr="00EF4617">
        <w:rPr>
          <w:rFonts w:ascii="Arial" w:eastAsia="Times New Roman" w:hAnsi="Arial" w:cs="Arial"/>
          <w:sz w:val="24"/>
          <w:szCs w:val="24"/>
          <w:lang w:eastAsia="en-GB"/>
        </w:rPr>
        <w:t xml:space="preserve"> data</w:t>
      </w:r>
      <w:r w:rsidRPr="00EF4617">
        <w:rPr>
          <w:rFonts w:ascii="Arial" w:eastAsia="Times New Roman" w:hAnsi="Arial" w:cs="Arial"/>
          <w:sz w:val="24"/>
          <w:szCs w:val="24"/>
          <w:lang w:eastAsia="en-GB"/>
        </w:rPr>
        <w:t xml:space="preserve"> from several data sources,</w:t>
      </w:r>
      <w:r w:rsidR="0051573A" w:rsidRPr="00EF4617">
        <w:rPr>
          <w:rFonts w:ascii="Arial" w:eastAsia="Times New Roman" w:hAnsi="Arial" w:cs="Arial"/>
          <w:sz w:val="24"/>
          <w:szCs w:val="24"/>
          <w:lang w:eastAsia="en-GB"/>
        </w:rPr>
        <w:t xml:space="preserve"> </w:t>
      </w:r>
      <w:r w:rsidRPr="00EF4617">
        <w:rPr>
          <w:rFonts w:ascii="Arial" w:eastAsia="Times New Roman" w:hAnsi="Arial" w:cs="Arial"/>
          <w:sz w:val="24"/>
          <w:szCs w:val="24"/>
          <w:lang w:eastAsia="en-GB"/>
        </w:rPr>
        <w:t>such the Clinical Commissioning Group (CCG)</w:t>
      </w:r>
      <w:r w:rsidR="00025E91">
        <w:rPr>
          <w:rFonts w:ascii="Arial" w:eastAsia="Times New Roman" w:hAnsi="Arial" w:cs="Arial"/>
          <w:sz w:val="24"/>
          <w:szCs w:val="24"/>
          <w:lang w:eastAsia="en-GB"/>
        </w:rPr>
        <w:t xml:space="preserve"> area</w:t>
      </w:r>
      <w:r w:rsidRPr="00EF4617">
        <w:rPr>
          <w:rFonts w:ascii="Arial" w:eastAsia="Times New Roman" w:hAnsi="Arial" w:cs="Arial"/>
          <w:sz w:val="24"/>
          <w:szCs w:val="24"/>
          <w:lang w:eastAsia="en-GB"/>
        </w:rPr>
        <w:t xml:space="preserve">, </w:t>
      </w:r>
      <w:r w:rsidR="0051573A" w:rsidRPr="00EF4617">
        <w:rPr>
          <w:rFonts w:ascii="Arial" w:eastAsia="Times New Roman" w:hAnsi="Arial" w:cs="Arial"/>
          <w:sz w:val="24"/>
          <w:szCs w:val="24"/>
          <w:lang w:eastAsia="en-GB"/>
        </w:rPr>
        <w:t xml:space="preserve">is accessible via </w:t>
      </w:r>
      <w:proofErr w:type="spellStart"/>
      <w:r w:rsidR="0051573A" w:rsidRPr="00EF4617">
        <w:rPr>
          <w:rFonts w:ascii="Arial" w:eastAsia="Times New Roman" w:hAnsi="Arial" w:cs="Arial"/>
          <w:sz w:val="24"/>
          <w:szCs w:val="24"/>
          <w:lang w:eastAsia="en-GB"/>
        </w:rPr>
        <w:t>Qlikview</w:t>
      </w:r>
      <w:proofErr w:type="spellEnd"/>
      <w:r w:rsidR="0051573A" w:rsidRPr="00EF4617">
        <w:rPr>
          <w:rFonts w:ascii="Arial" w:eastAsia="Times New Roman" w:hAnsi="Arial" w:cs="Arial"/>
          <w:sz w:val="24"/>
          <w:szCs w:val="24"/>
          <w:lang w:eastAsia="en-GB"/>
        </w:rPr>
        <w:t>, a ‘presentation layer’ application</w:t>
      </w:r>
      <w:r w:rsidRPr="00EF4617">
        <w:rPr>
          <w:rFonts w:ascii="Arial" w:eastAsia="Times New Roman" w:hAnsi="Arial" w:cs="Arial"/>
          <w:sz w:val="24"/>
          <w:szCs w:val="24"/>
          <w:lang w:eastAsia="en-GB"/>
        </w:rPr>
        <w:t>.</w:t>
      </w:r>
      <w:r w:rsidR="0051573A" w:rsidRPr="00EF4617">
        <w:rPr>
          <w:rFonts w:ascii="Arial" w:eastAsia="Times New Roman" w:hAnsi="Arial" w:cs="Arial"/>
          <w:sz w:val="24"/>
          <w:szCs w:val="24"/>
          <w:lang w:eastAsia="en-GB"/>
        </w:rPr>
        <w:t xml:space="preserve"> The </w:t>
      </w:r>
      <w:r w:rsidR="00C67C67" w:rsidRPr="00EF4617">
        <w:rPr>
          <w:rFonts w:ascii="Arial" w:eastAsia="Times New Roman" w:hAnsi="Arial" w:cs="Arial"/>
          <w:sz w:val="24"/>
          <w:szCs w:val="24"/>
          <w:lang w:eastAsia="en-GB"/>
        </w:rPr>
        <w:t>EPR</w:t>
      </w:r>
      <w:r w:rsidR="0051573A" w:rsidRPr="00EF4617">
        <w:rPr>
          <w:rFonts w:ascii="Arial" w:eastAsia="Times New Roman" w:hAnsi="Arial" w:cs="Arial"/>
          <w:sz w:val="24"/>
          <w:szCs w:val="24"/>
          <w:lang w:eastAsia="en-GB"/>
        </w:rPr>
        <w:t xml:space="preserve"> dataset was uploaded into a standalone application</w:t>
      </w:r>
      <w:r w:rsidR="00D2406E" w:rsidRPr="00EF4617">
        <w:rPr>
          <w:rFonts w:ascii="Arial" w:eastAsia="Times New Roman" w:hAnsi="Arial" w:cs="Arial"/>
          <w:sz w:val="24"/>
          <w:szCs w:val="24"/>
          <w:lang w:eastAsia="en-GB"/>
        </w:rPr>
        <w:t xml:space="preserve"> within</w:t>
      </w:r>
      <w:r w:rsidR="0051573A" w:rsidRPr="00EF4617">
        <w:rPr>
          <w:rFonts w:ascii="Arial" w:eastAsia="Times New Roman" w:hAnsi="Arial" w:cs="Arial"/>
          <w:sz w:val="24"/>
          <w:szCs w:val="24"/>
          <w:lang w:eastAsia="en-GB"/>
        </w:rPr>
        <w:t xml:space="preserve"> which incident numbers </w:t>
      </w:r>
      <w:r w:rsidR="00D2406E" w:rsidRPr="00EF4617">
        <w:rPr>
          <w:rFonts w:ascii="Arial" w:eastAsia="Times New Roman" w:hAnsi="Arial" w:cs="Arial"/>
          <w:sz w:val="24"/>
          <w:szCs w:val="24"/>
          <w:lang w:eastAsia="en-GB"/>
        </w:rPr>
        <w:t>were matched with the C</w:t>
      </w:r>
      <w:r w:rsidR="00DE3301" w:rsidRPr="00EF4617">
        <w:rPr>
          <w:rFonts w:ascii="Arial" w:eastAsia="Times New Roman" w:hAnsi="Arial" w:cs="Arial"/>
          <w:sz w:val="24"/>
          <w:szCs w:val="24"/>
          <w:lang w:eastAsia="en-GB"/>
        </w:rPr>
        <w:t xml:space="preserve">omputer </w:t>
      </w:r>
      <w:r w:rsidR="00D2406E" w:rsidRPr="00EF4617">
        <w:rPr>
          <w:rFonts w:ascii="Arial" w:eastAsia="Times New Roman" w:hAnsi="Arial" w:cs="Arial"/>
          <w:sz w:val="24"/>
          <w:szCs w:val="24"/>
          <w:lang w:eastAsia="en-GB"/>
        </w:rPr>
        <w:t>A</w:t>
      </w:r>
      <w:r w:rsidR="00DE3301" w:rsidRPr="00EF4617">
        <w:rPr>
          <w:rFonts w:ascii="Arial" w:eastAsia="Times New Roman" w:hAnsi="Arial" w:cs="Arial"/>
          <w:sz w:val="24"/>
          <w:szCs w:val="24"/>
          <w:lang w:eastAsia="en-GB"/>
        </w:rPr>
        <w:t xml:space="preserve">ided </w:t>
      </w:r>
      <w:r w:rsidR="00D2406E" w:rsidRPr="00EF4617">
        <w:rPr>
          <w:rFonts w:ascii="Arial" w:eastAsia="Times New Roman" w:hAnsi="Arial" w:cs="Arial"/>
          <w:sz w:val="24"/>
          <w:szCs w:val="24"/>
          <w:lang w:eastAsia="en-GB"/>
        </w:rPr>
        <w:t>D</w:t>
      </w:r>
      <w:r w:rsidR="00DE3301" w:rsidRPr="00EF4617">
        <w:rPr>
          <w:rFonts w:ascii="Arial" w:eastAsia="Times New Roman" w:hAnsi="Arial" w:cs="Arial"/>
          <w:sz w:val="24"/>
          <w:szCs w:val="24"/>
          <w:lang w:eastAsia="en-GB"/>
        </w:rPr>
        <w:t>ispatch (CAD)</w:t>
      </w:r>
      <w:r w:rsidR="00D2406E" w:rsidRPr="00EF4617">
        <w:rPr>
          <w:rFonts w:ascii="Arial" w:eastAsia="Times New Roman" w:hAnsi="Arial" w:cs="Arial"/>
          <w:sz w:val="24"/>
          <w:szCs w:val="24"/>
          <w:lang w:eastAsia="en-GB"/>
        </w:rPr>
        <w:t xml:space="preserve"> information</w:t>
      </w:r>
      <w:r w:rsidRPr="00EF4617">
        <w:rPr>
          <w:rFonts w:ascii="Arial" w:eastAsia="Times New Roman" w:hAnsi="Arial" w:cs="Arial"/>
          <w:sz w:val="24"/>
          <w:szCs w:val="24"/>
          <w:lang w:eastAsia="en-GB"/>
        </w:rPr>
        <w:t xml:space="preserve">, and transferred to </w:t>
      </w:r>
      <w:r w:rsidR="0051573A" w:rsidRPr="00EF4617">
        <w:rPr>
          <w:rFonts w:ascii="Arial" w:eastAsia="Times New Roman" w:hAnsi="Arial" w:cs="Arial"/>
          <w:sz w:val="24"/>
          <w:szCs w:val="24"/>
          <w:lang w:eastAsia="en-GB"/>
        </w:rPr>
        <w:t xml:space="preserve">a </w:t>
      </w:r>
      <w:r w:rsidR="00E6602F" w:rsidRPr="00EF4617">
        <w:rPr>
          <w:rFonts w:ascii="Arial" w:eastAsia="Times New Roman" w:hAnsi="Arial" w:cs="Arial"/>
          <w:sz w:val="24"/>
          <w:szCs w:val="24"/>
          <w:lang w:eastAsia="en-GB"/>
        </w:rPr>
        <w:t xml:space="preserve">Microsoft Excel </w:t>
      </w:r>
      <w:r w:rsidR="0051573A" w:rsidRPr="00EF4617">
        <w:rPr>
          <w:rFonts w:ascii="Arial" w:eastAsia="Times New Roman" w:hAnsi="Arial" w:cs="Arial"/>
          <w:sz w:val="24"/>
          <w:szCs w:val="24"/>
          <w:lang w:eastAsia="en-GB"/>
        </w:rPr>
        <w:t>spreadsheet.</w:t>
      </w:r>
    </w:p>
    <w:p w:rsidR="00025E91" w:rsidRDefault="00025E91" w:rsidP="00EF4617">
      <w:pPr>
        <w:spacing w:after="160" w:line="240" w:lineRule="auto"/>
        <w:rPr>
          <w:rFonts w:ascii="Arial" w:hAnsi="Arial" w:cs="Arial"/>
          <w:b/>
          <w:i/>
          <w:sz w:val="24"/>
          <w:szCs w:val="24"/>
        </w:rPr>
      </w:pPr>
    </w:p>
    <w:p w:rsidR="006D4C73" w:rsidRPr="00EF4617" w:rsidRDefault="006D4C73" w:rsidP="00EF4617">
      <w:pPr>
        <w:spacing w:after="160" w:line="240" w:lineRule="auto"/>
        <w:rPr>
          <w:rFonts w:ascii="Arial" w:hAnsi="Arial" w:cs="Arial"/>
          <w:b/>
          <w:i/>
          <w:sz w:val="24"/>
          <w:szCs w:val="24"/>
        </w:rPr>
      </w:pPr>
      <w:r w:rsidRPr="00EF4617">
        <w:rPr>
          <w:rFonts w:ascii="Arial" w:hAnsi="Arial" w:cs="Arial"/>
          <w:b/>
          <w:i/>
          <w:sz w:val="24"/>
          <w:szCs w:val="24"/>
        </w:rPr>
        <w:t>Data analysis</w:t>
      </w:r>
    </w:p>
    <w:p w:rsidR="009A7783" w:rsidRPr="00EF4617" w:rsidRDefault="00777A17" w:rsidP="00EF4617">
      <w:pPr>
        <w:spacing w:line="240" w:lineRule="auto"/>
        <w:rPr>
          <w:rFonts w:ascii="Arial" w:hAnsi="Arial" w:cs="Arial"/>
          <w:sz w:val="24"/>
          <w:szCs w:val="24"/>
        </w:rPr>
      </w:pPr>
      <w:r>
        <w:rPr>
          <w:rFonts w:ascii="Arial" w:hAnsi="Arial" w:cs="Arial"/>
          <w:sz w:val="24"/>
          <w:szCs w:val="24"/>
        </w:rPr>
        <w:t>D</w:t>
      </w:r>
      <w:r w:rsidR="000F6BD1" w:rsidRPr="00EF4617">
        <w:rPr>
          <w:rFonts w:ascii="Arial" w:hAnsi="Arial" w:cs="Arial"/>
          <w:sz w:val="24"/>
          <w:szCs w:val="24"/>
        </w:rPr>
        <w:t xml:space="preserve">escriptive, aggregate tables </w:t>
      </w:r>
      <w:r>
        <w:rPr>
          <w:rFonts w:ascii="Arial" w:hAnsi="Arial" w:cs="Arial"/>
          <w:sz w:val="24"/>
          <w:szCs w:val="24"/>
        </w:rPr>
        <w:t xml:space="preserve">were formed </w:t>
      </w:r>
      <w:r w:rsidR="000F6BD1" w:rsidRPr="00EF4617">
        <w:rPr>
          <w:rFonts w:ascii="Arial" w:hAnsi="Arial" w:cs="Arial"/>
          <w:sz w:val="24"/>
          <w:szCs w:val="24"/>
        </w:rPr>
        <w:t xml:space="preserve">using </w:t>
      </w:r>
      <w:r w:rsidR="00FD041D" w:rsidRPr="00EF4617">
        <w:rPr>
          <w:rFonts w:ascii="Arial" w:hAnsi="Arial" w:cs="Arial"/>
          <w:sz w:val="24"/>
          <w:szCs w:val="24"/>
        </w:rPr>
        <w:t>Microsoft Excel (2010)</w:t>
      </w:r>
      <w:r w:rsidR="00C43D91" w:rsidRPr="00EF4617">
        <w:rPr>
          <w:rFonts w:ascii="Arial" w:hAnsi="Arial" w:cs="Arial"/>
          <w:sz w:val="24"/>
          <w:szCs w:val="24"/>
        </w:rPr>
        <w:t xml:space="preserve">. </w:t>
      </w:r>
      <w:r w:rsidR="00EC5979">
        <w:rPr>
          <w:rFonts w:ascii="Arial" w:hAnsi="Arial" w:cs="Arial"/>
          <w:sz w:val="24"/>
          <w:szCs w:val="24"/>
        </w:rPr>
        <w:t>The total number of emergency attendances where an EPR was</w:t>
      </w:r>
      <w:r>
        <w:rPr>
          <w:rFonts w:ascii="Arial" w:hAnsi="Arial" w:cs="Arial"/>
          <w:sz w:val="24"/>
          <w:szCs w:val="24"/>
        </w:rPr>
        <w:t xml:space="preserve"> used</w:t>
      </w:r>
      <w:r w:rsidR="004E6AD6" w:rsidRPr="00EF4617">
        <w:rPr>
          <w:rFonts w:ascii="Arial" w:hAnsi="Arial" w:cs="Arial"/>
          <w:sz w:val="24"/>
          <w:szCs w:val="24"/>
        </w:rPr>
        <w:t xml:space="preserve">, as well as that for patients </w:t>
      </w:r>
      <w:r w:rsidR="00587933" w:rsidRPr="00EF4617">
        <w:rPr>
          <w:rFonts w:ascii="Arial" w:hAnsi="Arial" w:cs="Arial"/>
          <w:sz w:val="24"/>
          <w:szCs w:val="24"/>
        </w:rPr>
        <w:t xml:space="preserve">(i) </w:t>
      </w:r>
      <w:r w:rsidR="00FC5F9E">
        <w:rPr>
          <w:rFonts w:ascii="Arial" w:hAnsi="Arial" w:cs="Arial"/>
          <w:sz w:val="24"/>
          <w:szCs w:val="24"/>
        </w:rPr>
        <w:t xml:space="preserve">aged 65+ and (ii) aged 75+ </w:t>
      </w:r>
      <w:r w:rsidR="004E6AD6" w:rsidRPr="00EF4617">
        <w:rPr>
          <w:rFonts w:ascii="Arial" w:hAnsi="Arial" w:cs="Arial"/>
          <w:sz w:val="24"/>
          <w:szCs w:val="24"/>
        </w:rPr>
        <w:t xml:space="preserve">, and those with a record of dementia, were summarised by CCG within the SCAS area. The number and proportion of patients aged 65+ </w:t>
      </w:r>
      <w:r w:rsidR="00587933" w:rsidRPr="00EF4617">
        <w:rPr>
          <w:rFonts w:ascii="Arial" w:hAnsi="Arial" w:cs="Arial"/>
          <w:sz w:val="24"/>
          <w:szCs w:val="24"/>
        </w:rPr>
        <w:t xml:space="preserve">and 75+ </w:t>
      </w:r>
      <w:r w:rsidR="004E6AD6" w:rsidRPr="00EF4617">
        <w:rPr>
          <w:rFonts w:ascii="Arial" w:hAnsi="Arial" w:cs="Arial"/>
          <w:sz w:val="24"/>
          <w:szCs w:val="24"/>
        </w:rPr>
        <w:t>with a dementia record who were conveyed a</w:t>
      </w:r>
      <w:r w:rsidR="00587933" w:rsidRPr="00EF4617">
        <w:rPr>
          <w:rFonts w:ascii="Arial" w:hAnsi="Arial" w:cs="Arial"/>
          <w:sz w:val="24"/>
          <w:szCs w:val="24"/>
        </w:rPr>
        <w:t>nd not conveyed were calculated</w:t>
      </w:r>
      <w:r w:rsidR="004E6AD6" w:rsidRPr="00EF4617">
        <w:rPr>
          <w:rFonts w:ascii="Arial" w:hAnsi="Arial" w:cs="Arial"/>
          <w:sz w:val="24"/>
          <w:szCs w:val="24"/>
        </w:rPr>
        <w:t>.</w:t>
      </w:r>
      <w:r w:rsidR="00D73503" w:rsidRPr="00EF4617">
        <w:rPr>
          <w:rFonts w:ascii="Arial" w:hAnsi="Arial" w:cs="Arial"/>
          <w:sz w:val="24"/>
          <w:szCs w:val="24"/>
        </w:rPr>
        <w:t xml:space="preserve"> The frequency of the word ‘dementia’ by </w:t>
      </w:r>
      <w:r w:rsidR="00587933" w:rsidRPr="00EF4617">
        <w:rPr>
          <w:rFonts w:ascii="Arial" w:hAnsi="Arial" w:cs="Arial"/>
          <w:sz w:val="24"/>
          <w:szCs w:val="24"/>
        </w:rPr>
        <w:t xml:space="preserve">data entry </w:t>
      </w:r>
      <w:r w:rsidR="00D73503" w:rsidRPr="00EF4617">
        <w:rPr>
          <w:rFonts w:ascii="Arial" w:hAnsi="Arial" w:cs="Arial"/>
          <w:sz w:val="24"/>
          <w:szCs w:val="24"/>
        </w:rPr>
        <w:t xml:space="preserve">field on the </w:t>
      </w:r>
      <w:r w:rsidR="00C67C67" w:rsidRPr="00EF4617">
        <w:rPr>
          <w:rFonts w:ascii="Arial" w:hAnsi="Arial" w:cs="Arial"/>
          <w:sz w:val="24"/>
          <w:szCs w:val="24"/>
        </w:rPr>
        <w:t>EPR</w:t>
      </w:r>
      <w:r w:rsidR="00D73503" w:rsidRPr="00EF4617">
        <w:rPr>
          <w:rFonts w:ascii="Arial" w:hAnsi="Arial" w:cs="Arial"/>
          <w:sz w:val="24"/>
          <w:szCs w:val="24"/>
        </w:rPr>
        <w:t xml:space="preserve"> was retrieved, and the proportion of total </w:t>
      </w:r>
      <w:r w:rsidR="00587933" w:rsidRPr="00EF4617">
        <w:rPr>
          <w:rFonts w:ascii="Arial" w:hAnsi="Arial" w:cs="Arial"/>
          <w:sz w:val="24"/>
          <w:szCs w:val="24"/>
        </w:rPr>
        <w:t xml:space="preserve">patient </w:t>
      </w:r>
      <w:r w:rsidR="00D73503" w:rsidRPr="00EF4617">
        <w:rPr>
          <w:rFonts w:ascii="Arial" w:hAnsi="Arial" w:cs="Arial"/>
          <w:sz w:val="24"/>
          <w:szCs w:val="24"/>
        </w:rPr>
        <w:t xml:space="preserve">records with ‘dementia’ in that field was calculated. </w:t>
      </w:r>
      <w:r w:rsidR="009A7783">
        <w:rPr>
          <w:rFonts w:ascii="Arial" w:hAnsi="Arial" w:cs="Arial"/>
          <w:sz w:val="24"/>
          <w:szCs w:val="24"/>
        </w:rPr>
        <w:t xml:space="preserve"> Confidence intervals and odds ratios were calculated using Stata version 13.1, College Station, Texas (2013). </w:t>
      </w:r>
    </w:p>
    <w:p w:rsidR="00CB233D" w:rsidRDefault="00CB233D" w:rsidP="00EF4617">
      <w:pPr>
        <w:spacing w:line="240" w:lineRule="auto"/>
        <w:rPr>
          <w:rFonts w:ascii="Arial" w:hAnsi="Arial" w:cs="Arial"/>
          <w:b/>
          <w:sz w:val="24"/>
          <w:szCs w:val="24"/>
        </w:rPr>
      </w:pPr>
    </w:p>
    <w:p w:rsidR="006D4C73" w:rsidRDefault="00CB233D" w:rsidP="00EF4617">
      <w:pPr>
        <w:spacing w:line="240" w:lineRule="auto"/>
        <w:rPr>
          <w:rFonts w:ascii="Arial" w:hAnsi="Arial" w:cs="Arial"/>
          <w:b/>
          <w:sz w:val="24"/>
          <w:szCs w:val="24"/>
        </w:rPr>
      </w:pPr>
      <w:r>
        <w:rPr>
          <w:rFonts w:ascii="Arial" w:hAnsi="Arial" w:cs="Arial"/>
          <w:b/>
          <w:sz w:val="24"/>
          <w:szCs w:val="24"/>
        </w:rPr>
        <w:t>Caveat</w:t>
      </w:r>
      <w:r w:rsidR="001C2CCF">
        <w:rPr>
          <w:rFonts w:ascii="Arial" w:hAnsi="Arial" w:cs="Arial"/>
          <w:b/>
          <w:sz w:val="24"/>
          <w:szCs w:val="24"/>
        </w:rPr>
        <w:t>s</w:t>
      </w:r>
    </w:p>
    <w:p w:rsidR="00C700EC" w:rsidRPr="00EF4617" w:rsidRDefault="00CB233D" w:rsidP="00C700EC">
      <w:pPr>
        <w:spacing w:line="240" w:lineRule="auto"/>
        <w:rPr>
          <w:rFonts w:ascii="Arial" w:hAnsi="Arial" w:cs="Arial"/>
          <w:sz w:val="24"/>
          <w:szCs w:val="24"/>
        </w:rPr>
      </w:pPr>
      <w:r w:rsidRPr="009F72BA">
        <w:rPr>
          <w:rFonts w:ascii="Arial" w:hAnsi="Arial" w:cs="Arial"/>
          <w:sz w:val="24"/>
          <w:szCs w:val="24"/>
        </w:rPr>
        <w:t xml:space="preserve">The total number of clinical records produced </w:t>
      </w:r>
      <w:r w:rsidR="009F72BA" w:rsidRPr="009F72BA">
        <w:rPr>
          <w:rFonts w:ascii="Arial" w:hAnsi="Arial" w:cs="Arial"/>
          <w:sz w:val="24"/>
          <w:szCs w:val="24"/>
        </w:rPr>
        <w:t>in SCAS</w:t>
      </w:r>
      <w:r w:rsidR="009F72BA">
        <w:rPr>
          <w:rFonts w:ascii="Arial" w:hAnsi="Arial" w:cs="Arial"/>
          <w:sz w:val="24"/>
          <w:szCs w:val="24"/>
        </w:rPr>
        <w:t xml:space="preserve"> within this period was </w:t>
      </w:r>
      <w:r w:rsidR="00E529FB">
        <w:rPr>
          <w:rFonts w:ascii="Arial" w:hAnsi="Arial" w:cs="Arial"/>
          <w:sz w:val="24"/>
          <w:szCs w:val="24"/>
        </w:rPr>
        <w:t>459,086</w:t>
      </w:r>
      <w:r w:rsidR="009F72BA">
        <w:rPr>
          <w:rFonts w:ascii="Arial" w:hAnsi="Arial" w:cs="Arial"/>
          <w:sz w:val="24"/>
          <w:szCs w:val="24"/>
        </w:rPr>
        <w:t xml:space="preserve">.  </w:t>
      </w:r>
      <w:r w:rsidR="00777A17">
        <w:rPr>
          <w:rFonts w:ascii="Arial" w:hAnsi="Arial" w:cs="Arial"/>
          <w:sz w:val="24"/>
          <w:szCs w:val="24"/>
        </w:rPr>
        <w:t>To enable</w:t>
      </w:r>
      <w:r w:rsidR="009F72BA">
        <w:rPr>
          <w:rFonts w:ascii="Arial" w:hAnsi="Arial" w:cs="Arial"/>
          <w:sz w:val="24"/>
          <w:szCs w:val="24"/>
        </w:rPr>
        <w:t xml:space="preserve"> </w:t>
      </w:r>
      <w:r w:rsidR="00966AF0">
        <w:rPr>
          <w:rFonts w:ascii="Arial" w:hAnsi="Arial" w:cs="Arial"/>
          <w:sz w:val="24"/>
          <w:szCs w:val="24"/>
        </w:rPr>
        <w:t xml:space="preserve">meaningful </w:t>
      </w:r>
      <w:r w:rsidR="009F72BA">
        <w:rPr>
          <w:rFonts w:ascii="Arial" w:hAnsi="Arial" w:cs="Arial"/>
          <w:sz w:val="24"/>
          <w:szCs w:val="24"/>
        </w:rPr>
        <w:t>between-areas comparisons, only areas where more than 70% of clinical records were electronic were included</w:t>
      </w:r>
      <w:r w:rsidR="00FF65DE">
        <w:rPr>
          <w:rFonts w:ascii="Arial" w:hAnsi="Arial" w:cs="Arial"/>
          <w:sz w:val="24"/>
          <w:szCs w:val="24"/>
        </w:rPr>
        <w:t xml:space="preserve"> (figure 2)</w:t>
      </w:r>
      <w:r w:rsidR="009F72BA">
        <w:rPr>
          <w:rFonts w:ascii="Arial" w:hAnsi="Arial" w:cs="Arial"/>
          <w:sz w:val="24"/>
          <w:szCs w:val="24"/>
        </w:rPr>
        <w:t xml:space="preserve">.  </w:t>
      </w:r>
      <w:r w:rsidR="00966AF0">
        <w:rPr>
          <w:rFonts w:ascii="Arial" w:hAnsi="Arial" w:cs="Arial"/>
          <w:sz w:val="24"/>
          <w:szCs w:val="24"/>
        </w:rPr>
        <w:t>Only those emergency calls</w:t>
      </w:r>
      <w:r w:rsidR="00966AF0" w:rsidRPr="00EF4617">
        <w:rPr>
          <w:rFonts w:ascii="Arial" w:hAnsi="Arial" w:cs="Arial"/>
          <w:sz w:val="24"/>
          <w:szCs w:val="24"/>
        </w:rPr>
        <w:t xml:space="preserve"> attended </w:t>
      </w:r>
      <w:r w:rsidR="00966AF0">
        <w:rPr>
          <w:rFonts w:ascii="Arial" w:hAnsi="Arial" w:cs="Arial"/>
          <w:sz w:val="24"/>
          <w:szCs w:val="24"/>
        </w:rPr>
        <w:t xml:space="preserve">and recorded </w:t>
      </w:r>
      <w:r w:rsidR="00966AF0" w:rsidRPr="00EF4617">
        <w:rPr>
          <w:rFonts w:ascii="Arial" w:hAnsi="Arial" w:cs="Arial"/>
          <w:sz w:val="24"/>
          <w:szCs w:val="24"/>
        </w:rPr>
        <w:t xml:space="preserve">by core SCAS staff </w:t>
      </w:r>
      <w:r w:rsidR="00966AF0">
        <w:rPr>
          <w:rFonts w:ascii="Arial" w:hAnsi="Arial" w:cs="Arial"/>
          <w:sz w:val="24"/>
          <w:szCs w:val="24"/>
        </w:rPr>
        <w:t xml:space="preserve">were included.  </w:t>
      </w:r>
      <w:r w:rsidR="00C700EC" w:rsidRPr="00EF4617">
        <w:rPr>
          <w:rFonts w:ascii="Arial" w:hAnsi="Arial" w:cs="Arial"/>
          <w:sz w:val="24"/>
          <w:szCs w:val="24"/>
        </w:rPr>
        <w:t xml:space="preserve">The four CCGs </w:t>
      </w:r>
      <w:r w:rsidR="00C700EC">
        <w:rPr>
          <w:rFonts w:ascii="Arial" w:hAnsi="Arial" w:cs="Arial"/>
          <w:sz w:val="24"/>
          <w:szCs w:val="24"/>
        </w:rPr>
        <w:t xml:space="preserve">removed from this analysis </w:t>
      </w:r>
      <w:r w:rsidR="00C700EC" w:rsidRPr="00EF4617">
        <w:rPr>
          <w:rFonts w:ascii="Arial" w:hAnsi="Arial" w:cs="Arial"/>
          <w:sz w:val="24"/>
          <w:szCs w:val="24"/>
        </w:rPr>
        <w:t xml:space="preserve">are more dependent on private providers, who use paper records. </w:t>
      </w:r>
      <w:r w:rsidR="00C700EC">
        <w:rPr>
          <w:rFonts w:ascii="Arial" w:hAnsi="Arial" w:cs="Arial"/>
          <w:sz w:val="24"/>
          <w:szCs w:val="24"/>
        </w:rPr>
        <w:t>In these</w:t>
      </w:r>
      <w:r w:rsidR="00C700EC" w:rsidRPr="00EF4617">
        <w:rPr>
          <w:rFonts w:ascii="Arial" w:hAnsi="Arial" w:cs="Arial"/>
          <w:sz w:val="24"/>
          <w:szCs w:val="24"/>
        </w:rPr>
        <w:t xml:space="preserve"> </w:t>
      </w:r>
      <w:r w:rsidR="00C700EC" w:rsidRPr="003F747B">
        <w:rPr>
          <w:rFonts w:ascii="Arial" w:hAnsi="Arial" w:cs="Arial"/>
          <w:sz w:val="24"/>
          <w:szCs w:val="24"/>
        </w:rPr>
        <w:t>area</w:t>
      </w:r>
      <w:r w:rsidR="00C700EC">
        <w:rPr>
          <w:rFonts w:ascii="Arial" w:hAnsi="Arial" w:cs="Arial"/>
          <w:sz w:val="24"/>
          <w:szCs w:val="24"/>
        </w:rPr>
        <w:t>s,</w:t>
      </w:r>
      <w:r w:rsidR="00C700EC" w:rsidRPr="003F747B">
        <w:rPr>
          <w:rFonts w:ascii="Arial" w:hAnsi="Arial" w:cs="Arial"/>
          <w:sz w:val="24"/>
          <w:szCs w:val="24"/>
        </w:rPr>
        <w:t xml:space="preserve"> paper records are kept </w:t>
      </w:r>
      <w:r w:rsidR="00C700EC">
        <w:rPr>
          <w:rFonts w:ascii="Arial" w:hAnsi="Arial" w:cs="Arial"/>
          <w:sz w:val="24"/>
          <w:szCs w:val="24"/>
        </w:rPr>
        <w:t xml:space="preserve">both </w:t>
      </w:r>
      <w:r w:rsidR="00C700EC" w:rsidRPr="003F747B">
        <w:rPr>
          <w:rFonts w:ascii="Arial" w:hAnsi="Arial" w:cs="Arial"/>
          <w:sz w:val="24"/>
          <w:szCs w:val="24"/>
        </w:rPr>
        <w:t xml:space="preserve">by conveying crews who are first on </w:t>
      </w:r>
      <w:r w:rsidR="00C700EC">
        <w:rPr>
          <w:rFonts w:ascii="Arial" w:hAnsi="Arial" w:cs="Arial"/>
          <w:sz w:val="24"/>
          <w:szCs w:val="24"/>
        </w:rPr>
        <w:t xml:space="preserve">the </w:t>
      </w:r>
      <w:r w:rsidR="00C700EC" w:rsidRPr="003F747B">
        <w:rPr>
          <w:rFonts w:ascii="Arial" w:hAnsi="Arial" w:cs="Arial"/>
          <w:sz w:val="24"/>
          <w:szCs w:val="24"/>
        </w:rPr>
        <w:t>scene</w:t>
      </w:r>
      <w:r w:rsidR="00C700EC">
        <w:rPr>
          <w:rFonts w:ascii="Arial" w:hAnsi="Arial" w:cs="Arial"/>
          <w:sz w:val="24"/>
          <w:szCs w:val="24"/>
        </w:rPr>
        <w:t xml:space="preserve"> and</w:t>
      </w:r>
      <w:r w:rsidR="00C700EC" w:rsidRPr="003F747B">
        <w:rPr>
          <w:rFonts w:ascii="Arial" w:hAnsi="Arial" w:cs="Arial"/>
          <w:sz w:val="24"/>
          <w:szCs w:val="24"/>
        </w:rPr>
        <w:t xml:space="preserve"> by ambulance service first responders, </w:t>
      </w:r>
      <w:r w:rsidR="00C700EC">
        <w:rPr>
          <w:rFonts w:ascii="Arial" w:hAnsi="Arial" w:cs="Arial"/>
          <w:sz w:val="24"/>
          <w:szCs w:val="24"/>
        </w:rPr>
        <w:t>who handover care to a private crew. The number of records excluded from this audit was 144,300.  However, t</w:t>
      </w:r>
      <w:r w:rsidR="00C700EC" w:rsidRPr="00EF4617">
        <w:rPr>
          <w:rFonts w:ascii="Arial" w:hAnsi="Arial" w:cs="Arial"/>
          <w:sz w:val="24"/>
          <w:szCs w:val="24"/>
        </w:rPr>
        <w:t xml:space="preserve">he </w:t>
      </w:r>
      <w:r w:rsidR="00C700EC">
        <w:rPr>
          <w:rFonts w:ascii="Arial" w:hAnsi="Arial" w:cs="Arial"/>
          <w:sz w:val="24"/>
          <w:szCs w:val="24"/>
        </w:rPr>
        <w:t>large dataset</w:t>
      </w:r>
      <w:r w:rsidR="00C700EC" w:rsidRPr="00EF4617">
        <w:rPr>
          <w:rFonts w:ascii="Arial" w:hAnsi="Arial" w:cs="Arial"/>
          <w:sz w:val="24"/>
          <w:szCs w:val="24"/>
        </w:rPr>
        <w:t xml:space="preserve"> from the remaining 1</w:t>
      </w:r>
      <w:r w:rsidR="00C700EC">
        <w:rPr>
          <w:rFonts w:ascii="Arial" w:hAnsi="Arial" w:cs="Arial"/>
          <w:sz w:val="24"/>
          <w:szCs w:val="24"/>
        </w:rPr>
        <w:t>3</w:t>
      </w:r>
      <w:r w:rsidR="00C700EC" w:rsidRPr="00EF4617">
        <w:rPr>
          <w:rFonts w:ascii="Arial" w:hAnsi="Arial" w:cs="Arial"/>
          <w:sz w:val="24"/>
          <w:szCs w:val="24"/>
        </w:rPr>
        <w:t xml:space="preserve"> CCGs </w:t>
      </w:r>
      <w:r w:rsidR="00C700EC">
        <w:rPr>
          <w:rFonts w:ascii="Arial" w:hAnsi="Arial" w:cs="Arial"/>
          <w:sz w:val="24"/>
          <w:szCs w:val="24"/>
        </w:rPr>
        <w:t>is</w:t>
      </w:r>
      <w:r w:rsidR="00C700EC" w:rsidRPr="00EF4617">
        <w:rPr>
          <w:rFonts w:ascii="Arial" w:hAnsi="Arial" w:cs="Arial"/>
          <w:sz w:val="24"/>
          <w:szCs w:val="24"/>
        </w:rPr>
        <w:t xml:space="preserve"> likely to be representative of the remaining areas. </w:t>
      </w:r>
    </w:p>
    <w:p w:rsidR="00CB233D" w:rsidRDefault="00CB233D" w:rsidP="00EF4617">
      <w:pPr>
        <w:spacing w:line="240" w:lineRule="auto"/>
        <w:rPr>
          <w:rFonts w:ascii="Arial" w:hAnsi="Arial" w:cs="Arial"/>
          <w:b/>
          <w:sz w:val="24"/>
          <w:szCs w:val="24"/>
        </w:rPr>
      </w:pPr>
    </w:p>
    <w:p w:rsidR="00320935" w:rsidRPr="00EF4617" w:rsidRDefault="00320935" w:rsidP="00EF4617">
      <w:pPr>
        <w:spacing w:line="240" w:lineRule="auto"/>
        <w:rPr>
          <w:rFonts w:ascii="Arial" w:hAnsi="Arial" w:cs="Arial"/>
          <w:b/>
          <w:sz w:val="24"/>
          <w:szCs w:val="24"/>
        </w:rPr>
      </w:pPr>
      <w:r w:rsidRPr="00EF4617">
        <w:rPr>
          <w:rFonts w:ascii="Arial" w:hAnsi="Arial" w:cs="Arial"/>
          <w:b/>
          <w:sz w:val="24"/>
          <w:szCs w:val="24"/>
        </w:rPr>
        <w:t>Results</w:t>
      </w:r>
    </w:p>
    <w:p w:rsidR="00DF1399" w:rsidRDefault="00B254DF" w:rsidP="00EF4617">
      <w:pPr>
        <w:spacing w:line="240" w:lineRule="auto"/>
        <w:rPr>
          <w:rFonts w:ascii="Arial" w:hAnsi="Arial" w:cs="Arial"/>
          <w:sz w:val="24"/>
          <w:szCs w:val="24"/>
        </w:rPr>
      </w:pPr>
      <w:r w:rsidRPr="00EF4617">
        <w:rPr>
          <w:rFonts w:ascii="Arial" w:hAnsi="Arial" w:cs="Arial"/>
          <w:sz w:val="24"/>
          <w:szCs w:val="24"/>
        </w:rPr>
        <w:t>Of the 17 CCGs in the geographical area, 13 had more than 70% of attendances with an EPR record completed</w:t>
      </w:r>
      <w:r w:rsidR="00A503C6">
        <w:rPr>
          <w:rFonts w:ascii="Arial" w:hAnsi="Arial" w:cs="Arial"/>
          <w:sz w:val="24"/>
          <w:szCs w:val="24"/>
        </w:rPr>
        <w:t xml:space="preserve">.  </w:t>
      </w:r>
      <w:r w:rsidR="00AB3C24" w:rsidRPr="00EF4617">
        <w:rPr>
          <w:rFonts w:ascii="Arial" w:hAnsi="Arial" w:cs="Arial"/>
          <w:sz w:val="24"/>
          <w:szCs w:val="24"/>
        </w:rPr>
        <w:t>Of the</w:t>
      </w:r>
      <w:r w:rsidR="00033536" w:rsidRPr="00EF4617">
        <w:rPr>
          <w:rFonts w:ascii="Arial" w:hAnsi="Arial" w:cs="Arial"/>
          <w:sz w:val="24"/>
          <w:szCs w:val="24"/>
        </w:rPr>
        <w:t xml:space="preserve"> </w:t>
      </w:r>
      <w:r w:rsidR="009F61E6" w:rsidRPr="00EF4617">
        <w:rPr>
          <w:rFonts w:ascii="Arial" w:hAnsi="Arial" w:cs="Arial"/>
          <w:sz w:val="24"/>
          <w:szCs w:val="24"/>
        </w:rPr>
        <w:t>attendances</w:t>
      </w:r>
      <w:r w:rsidR="00AB3C24" w:rsidRPr="00EF4617">
        <w:rPr>
          <w:rFonts w:ascii="Arial" w:hAnsi="Arial" w:cs="Arial"/>
          <w:sz w:val="24"/>
          <w:szCs w:val="24"/>
        </w:rPr>
        <w:t xml:space="preserve"> in the</w:t>
      </w:r>
      <w:r w:rsidR="00DD2191">
        <w:rPr>
          <w:rFonts w:ascii="Arial" w:hAnsi="Arial" w:cs="Arial"/>
          <w:sz w:val="24"/>
          <w:szCs w:val="24"/>
        </w:rPr>
        <w:t>se</w:t>
      </w:r>
      <w:r w:rsidR="00AB3C24" w:rsidRPr="00EF4617">
        <w:rPr>
          <w:rFonts w:ascii="Arial" w:hAnsi="Arial" w:cs="Arial"/>
          <w:sz w:val="24"/>
          <w:szCs w:val="24"/>
        </w:rPr>
        <w:t xml:space="preserve"> 13 CCGs</w:t>
      </w:r>
      <w:r w:rsidR="002707F3" w:rsidRPr="00EF4617">
        <w:rPr>
          <w:rFonts w:ascii="Arial" w:hAnsi="Arial" w:cs="Arial"/>
          <w:sz w:val="24"/>
          <w:szCs w:val="24"/>
        </w:rPr>
        <w:t xml:space="preserve">, </w:t>
      </w:r>
      <w:r w:rsidR="006722A1" w:rsidRPr="00EF4617">
        <w:rPr>
          <w:rFonts w:ascii="Arial" w:hAnsi="Arial" w:cs="Arial"/>
          <w:sz w:val="24"/>
          <w:szCs w:val="24"/>
        </w:rPr>
        <w:t>47.1</w:t>
      </w:r>
      <w:r w:rsidR="002707F3" w:rsidRPr="00EF4617">
        <w:rPr>
          <w:rFonts w:ascii="Arial" w:hAnsi="Arial" w:cs="Arial"/>
          <w:sz w:val="24"/>
          <w:szCs w:val="24"/>
        </w:rPr>
        <w:t>% (</w:t>
      </w:r>
      <w:r w:rsidR="00AB3C24" w:rsidRPr="00EF4617">
        <w:rPr>
          <w:rFonts w:ascii="Arial" w:hAnsi="Arial" w:cs="Arial"/>
          <w:sz w:val="24"/>
          <w:szCs w:val="24"/>
        </w:rPr>
        <w:t>n=</w:t>
      </w:r>
      <w:r w:rsidR="006722A1" w:rsidRPr="00EF4617">
        <w:rPr>
          <w:rFonts w:ascii="Arial" w:hAnsi="Arial" w:cs="Arial"/>
          <w:sz w:val="24"/>
          <w:szCs w:val="24"/>
        </w:rPr>
        <w:t>148,255</w:t>
      </w:r>
      <w:r w:rsidR="002707F3" w:rsidRPr="00EF4617">
        <w:rPr>
          <w:rFonts w:ascii="Arial" w:hAnsi="Arial" w:cs="Arial"/>
          <w:sz w:val="24"/>
          <w:szCs w:val="24"/>
        </w:rPr>
        <w:t xml:space="preserve">) were to </w:t>
      </w:r>
      <w:r w:rsidR="00673AD5" w:rsidRPr="00EF4617">
        <w:rPr>
          <w:rFonts w:ascii="Arial" w:hAnsi="Arial" w:cs="Arial"/>
          <w:sz w:val="24"/>
          <w:szCs w:val="24"/>
        </w:rPr>
        <w:t>patients</w:t>
      </w:r>
      <w:r w:rsidR="002707F3" w:rsidRPr="00EF4617">
        <w:rPr>
          <w:rFonts w:ascii="Arial" w:hAnsi="Arial" w:cs="Arial"/>
          <w:sz w:val="24"/>
          <w:szCs w:val="24"/>
        </w:rPr>
        <w:t xml:space="preserve"> aged 65</w:t>
      </w:r>
      <w:r w:rsidR="00240475">
        <w:rPr>
          <w:rFonts w:ascii="Arial" w:hAnsi="Arial" w:cs="Arial"/>
          <w:sz w:val="24"/>
          <w:szCs w:val="24"/>
        </w:rPr>
        <w:t>+</w:t>
      </w:r>
      <w:r w:rsidR="00051F3B" w:rsidRPr="00EF4617">
        <w:rPr>
          <w:rFonts w:ascii="Arial" w:hAnsi="Arial" w:cs="Arial"/>
          <w:sz w:val="24"/>
          <w:szCs w:val="24"/>
        </w:rPr>
        <w:t xml:space="preserve">, and </w:t>
      </w:r>
      <w:r w:rsidR="00AE7691" w:rsidRPr="00EF4617">
        <w:rPr>
          <w:rFonts w:ascii="Arial" w:hAnsi="Arial" w:cs="Arial"/>
          <w:sz w:val="24"/>
          <w:szCs w:val="24"/>
        </w:rPr>
        <w:t>35.4</w:t>
      </w:r>
      <w:r w:rsidR="00051F3B" w:rsidRPr="00EF4617">
        <w:rPr>
          <w:rFonts w:ascii="Arial" w:hAnsi="Arial" w:cs="Arial"/>
          <w:sz w:val="24"/>
          <w:szCs w:val="24"/>
        </w:rPr>
        <w:t>% (</w:t>
      </w:r>
      <w:r w:rsidR="00AB3C24" w:rsidRPr="00EF4617">
        <w:rPr>
          <w:rFonts w:ascii="Arial" w:hAnsi="Arial" w:cs="Arial"/>
          <w:sz w:val="24"/>
          <w:szCs w:val="24"/>
        </w:rPr>
        <w:t>n=</w:t>
      </w:r>
      <w:r w:rsidR="00AE7691" w:rsidRPr="00EF4617">
        <w:rPr>
          <w:rFonts w:ascii="Arial" w:hAnsi="Arial" w:cs="Arial"/>
          <w:sz w:val="24"/>
          <w:szCs w:val="24"/>
        </w:rPr>
        <w:t>111,548</w:t>
      </w:r>
      <w:r w:rsidR="00051F3B" w:rsidRPr="00EF4617">
        <w:rPr>
          <w:rFonts w:ascii="Arial" w:hAnsi="Arial" w:cs="Arial"/>
          <w:sz w:val="24"/>
          <w:szCs w:val="24"/>
        </w:rPr>
        <w:t xml:space="preserve">) to </w:t>
      </w:r>
      <w:r w:rsidR="00673AD5" w:rsidRPr="00EF4617">
        <w:rPr>
          <w:rFonts w:ascii="Arial" w:hAnsi="Arial" w:cs="Arial"/>
          <w:sz w:val="24"/>
          <w:szCs w:val="24"/>
        </w:rPr>
        <w:t xml:space="preserve">patients </w:t>
      </w:r>
      <w:r w:rsidR="00051F3B" w:rsidRPr="00EF4617">
        <w:rPr>
          <w:rFonts w:ascii="Arial" w:hAnsi="Arial" w:cs="Arial"/>
          <w:sz w:val="24"/>
          <w:szCs w:val="24"/>
        </w:rPr>
        <w:t>aged 75</w:t>
      </w:r>
      <w:r w:rsidR="00240475">
        <w:rPr>
          <w:rFonts w:ascii="Arial" w:hAnsi="Arial" w:cs="Arial"/>
          <w:sz w:val="24"/>
          <w:szCs w:val="24"/>
        </w:rPr>
        <w:t>+</w:t>
      </w:r>
      <w:r w:rsidR="0006256B" w:rsidRPr="00EF4617">
        <w:rPr>
          <w:rFonts w:ascii="Arial" w:hAnsi="Arial" w:cs="Arial"/>
          <w:sz w:val="24"/>
          <w:szCs w:val="24"/>
        </w:rPr>
        <w:t xml:space="preserve"> (Table 1)</w:t>
      </w:r>
      <w:r w:rsidR="002707F3" w:rsidRPr="00EF4617">
        <w:rPr>
          <w:rFonts w:ascii="Arial" w:hAnsi="Arial" w:cs="Arial"/>
          <w:sz w:val="24"/>
          <w:szCs w:val="24"/>
        </w:rPr>
        <w:t>.</w:t>
      </w:r>
      <w:r w:rsidR="0006256B" w:rsidRPr="00EF4617">
        <w:rPr>
          <w:rFonts w:ascii="Arial" w:hAnsi="Arial" w:cs="Arial"/>
          <w:sz w:val="24"/>
          <w:szCs w:val="24"/>
        </w:rPr>
        <w:t xml:space="preserve"> </w:t>
      </w:r>
      <w:r w:rsidR="00714B44" w:rsidRPr="00EF4617">
        <w:rPr>
          <w:rFonts w:ascii="Arial" w:hAnsi="Arial" w:cs="Arial"/>
          <w:sz w:val="24"/>
          <w:szCs w:val="24"/>
        </w:rPr>
        <w:t xml:space="preserve">The </w:t>
      </w:r>
      <w:r w:rsidR="00A616D2" w:rsidRPr="00EF4617">
        <w:rPr>
          <w:rFonts w:ascii="Arial" w:hAnsi="Arial" w:cs="Arial"/>
          <w:sz w:val="24"/>
          <w:szCs w:val="24"/>
        </w:rPr>
        <w:t>proportion</w:t>
      </w:r>
      <w:r w:rsidR="00714B44" w:rsidRPr="00EF4617">
        <w:rPr>
          <w:rFonts w:ascii="Arial" w:hAnsi="Arial" w:cs="Arial"/>
          <w:sz w:val="24"/>
          <w:szCs w:val="24"/>
        </w:rPr>
        <w:t xml:space="preserve"> of </w:t>
      </w:r>
      <w:r w:rsidR="00673AD5" w:rsidRPr="00EF4617">
        <w:rPr>
          <w:rFonts w:ascii="Arial" w:hAnsi="Arial" w:cs="Arial"/>
          <w:sz w:val="24"/>
          <w:szCs w:val="24"/>
        </w:rPr>
        <w:t xml:space="preserve">attendances </w:t>
      </w:r>
      <w:r w:rsidR="00714B44" w:rsidRPr="00EF4617">
        <w:rPr>
          <w:rFonts w:ascii="Arial" w:hAnsi="Arial" w:cs="Arial"/>
          <w:sz w:val="24"/>
          <w:szCs w:val="24"/>
        </w:rPr>
        <w:t xml:space="preserve">for </w:t>
      </w:r>
      <w:r w:rsidR="00673AD5" w:rsidRPr="00EF4617">
        <w:rPr>
          <w:rFonts w:ascii="Arial" w:hAnsi="Arial" w:cs="Arial"/>
          <w:sz w:val="24"/>
          <w:szCs w:val="24"/>
        </w:rPr>
        <w:t xml:space="preserve">patients </w:t>
      </w:r>
      <w:r w:rsidR="00714B44" w:rsidRPr="00EF4617">
        <w:rPr>
          <w:rFonts w:ascii="Arial" w:hAnsi="Arial" w:cs="Arial"/>
          <w:sz w:val="24"/>
          <w:szCs w:val="24"/>
        </w:rPr>
        <w:t>aged 65+</w:t>
      </w:r>
      <w:r w:rsidR="00A616D2" w:rsidRPr="00EF4617">
        <w:rPr>
          <w:rFonts w:ascii="Arial" w:hAnsi="Arial" w:cs="Arial"/>
          <w:sz w:val="24"/>
          <w:szCs w:val="24"/>
        </w:rPr>
        <w:t xml:space="preserve"> of the total attendances</w:t>
      </w:r>
      <w:r w:rsidR="00714B44" w:rsidRPr="00EF4617">
        <w:rPr>
          <w:rFonts w:ascii="Arial" w:hAnsi="Arial" w:cs="Arial"/>
          <w:sz w:val="24"/>
          <w:szCs w:val="24"/>
        </w:rPr>
        <w:t xml:space="preserve"> varied </w:t>
      </w:r>
      <w:r w:rsidR="00124E83" w:rsidRPr="00EF4617">
        <w:rPr>
          <w:rFonts w:ascii="Arial" w:hAnsi="Arial" w:cs="Arial"/>
          <w:sz w:val="24"/>
          <w:szCs w:val="24"/>
        </w:rPr>
        <w:t>across CCGs</w:t>
      </w:r>
      <w:r w:rsidR="00714B44" w:rsidRPr="00EF4617">
        <w:rPr>
          <w:rFonts w:ascii="Arial" w:hAnsi="Arial" w:cs="Arial"/>
          <w:sz w:val="24"/>
          <w:szCs w:val="24"/>
        </w:rPr>
        <w:t xml:space="preserve">, from </w:t>
      </w:r>
      <w:r w:rsidR="00124E83" w:rsidRPr="00EF4617">
        <w:rPr>
          <w:rFonts w:ascii="Arial" w:hAnsi="Arial" w:cs="Arial"/>
          <w:sz w:val="24"/>
          <w:szCs w:val="24"/>
        </w:rPr>
        <w:t>36.7</w:t>
      </w:r>
      <w:r w:rsidR="00714B44" w:rsidRPr="00EF4617">
        <w:rPr>
          <w:rFonts w:ascii="Arial" w:hAnsi="Arial" w:cs="Arial"/>
          <w:sz w:val="24"/>
          <w:szCs w:val="24"/>
        </w:rPr>
        <w:t xml:space="preserve">% in </w:t>
      </w:r>
      <w:r w:rsidR="00124E83" w:rsidRPr="00EF4617">
        <w:rPr>
          <w:rFonts w:ascii="Arial" w:hAnsi="Arial" w:cs="Arial"/>
          <w:sz w:val="24"/>
          <w:szCs w:val="24"/>
        </w:rPr>
        <w:t>Southampton CCG</w:t>
      </w:r>
      <w:r w:rsidR="00714B44" w:rsidRPr="00EF4617">
        <w:rPr>
          <w:rFonts w:ascii="Arial" w:hAnsi="Arial" w:cs="Arial"/>
          <w:sz w:val="24"/>
          <w:szCs w:val="24"/>
        </w:rPr>
        <w:t xml:space="preserve"> to </w:t>
      </w:r>
      <w:r w:rsidR="00124E83" w:rsidRPr="00EF4617">
        <w:rPr>
          <w:rFonts w:ascii="Arial" w:hAnsi="Arial" w:cs="Arial"/>
          <w:sz w:val="24"/>
          <w:szCs w:val="24"/>
        </w:rPr>
        <w:t>5</w:t>
      </w:r>
      <w:r w:rsidR="00714B44" w:rsidRPr="00EF4617">
        <w:rPr>
          <w:rFonts w:ascii="Arial" w:hAnsi="Arial" w:cs="Arial"/>
          <w:sz w:val="24"/>
          <w:szCs w:val="24"/>
        </w:rPr>
        <w:t xml:space="preserve">5.4% in </w:t>
      </w:r>
      <w:r w:rsidR="00124E83" w:rsidRPr="00EF4617">
        <w:rPr>
          <w:rFonts w:ascii="Arial" w:hAnsi="Arial" w:cs="Arial"/>
          <w:sz w:val="24"/>
          <w:szCs w:val="24"/>
        </w:rPr>
        <w:t>West</w:t>
      </w:r>
      <w:r w:rsidR="00714B44" w:rsidRPr="00EF4617">
        <w:rPr>
          <w:rFonts w:ascii="Arial" w:hAnsi="Arial" w:cs="Arial"/>
          <w:sz w:val="24"/>
          <w:szCs w:val="24"/>
        </w:rPr>
        <w:t xml:space="preserve"> Hampshire</w:t>
      </w:r>
      <w:r w:rsidR="00DD2191">
        <w:rPr>
          <w:rFonts w:ascii="Arial" w:hAnsi="Arial" w:cs="Arial"/>
          <w:sz w:val="24"/>
          <w:szCs w:val="24"/>
        </w:rPr>
        <w:t>.</w:t>
      </w:r>
      <w:r w:rsidR="00A616D2" w:rsidRPr="00EF4617">
        <w:rPr>
          <w:rFonts w:ascii="Arial" w:hAnsi="Arial" w:cs="Arial"/>
          <w:sz w:val="24"/>
          <w:szCs w:val="24"/>
        </w:rPr>
        <w:t xml:space="preserve"> </w:t>
      </w:r>
      <w:r w:rsidR="006722A1" w:rsidRPr="00EF4617">
        <w:rPr>
          <w:rFonts w:ascii="Arial" w:hAnsi="Arial" w:cs="Arial"/>
          <w:sz w:val="24"/>
          <w:szCs w:val="24"/>
        </w:rPr>
        <w:t>39.8</w:t>
      </w:r>
      <w:r w:rsidR="00A616D2" w:rsidRPr="00EF4617">
        <w:rPr>
          <w:rFonts w:ascii="Arial" w:hAnsi="Arial" w:cs="Arial"/>
          <w:sz w:val="24"/>
          <w:szCs w:val="24"/>
        </w:rPr>
        <w:t>% of attendances were in West Hampshire and Oxfordshire, the CCGs with the largest elderly population</w:t>
      </w:r>
      <w:r w:rsidR="00A651F0" w:rsidRPr="00EF4617">
        <w:rPr>
          <w:rFonts w:ascii="Arial" w:hAnsi="Arial" w:cs="Arial"/>
          <w:sz w:val="24"/>
          <w:szCs w:val="24"/>
        </w:rPr>
        <w:t xml:space="preserve"> </w:t>
      </w:r>
      <w:r w:rsidR="00A651F0" w:rsidRPr="00EF4617">
        <w:rPr>
          <w:rFonts w:ascii="Arial" w:hAnsi="Arial" w:cs="Arial"/>
          <w:sz w:val="24"/>
          <w:szCs w:val="24"/>
        </w:rPr>
        <w:fldChar w:fldCharType="begin"/>
      </w:r>
      <w:r w:rsidR="0062017E">
        <w:rPr>
          <w:rFonts w:ascii="Arial" w:hAnsi="Arial" w:cs="Arial"/>
          <w:sz w:val="24"/>
          <w:szCs w:val="24"/>
        </w:rPr>
        <w:instrText xml:space="preserve"> ADDIN EN.CITE &lt;EndNote&gt;&lt;Cite&gt;&lt;Author&gt;Office for National Statistics&lt;/Author&gt;&lt;Year&gt;2016&lt;/Year&gt;&lt;RecNum&gt;2153&lt;/RecNum&gt;&lt;DisplayText&gt;(Office for National Statistics, 2016)&lt;/DisplayText&gt;&lt;record&gt;&lt;rec-number&gt;2153&lt;/rec-number&gt;&lt;foreign-keys&gt;&lt;key app="EN" db-id="0zpzrevtzfzvfeed0d7pxpeer5zaxet0zrpv"&gt;2153&lt;/key&gt;&lt;/foreign-keys&gt;&lt;ref-type name="Dataset"&gt;59&lt;/ref-type&gt;&lt;contributors&gt;&lt;authors&gt;&lt;author&gt;Office for National Statistics,&lt;/author&gt;&lt;/authors&gt;&lt;/contributors&gt;&lt;titles&gt;&lt;title&gt;Clinical Commissioning Group Mid-year Population Estimates&lt;/title&gt;&lt;/titles&gt;&lt;dates&gt;&lt;year&gt;2016&lt;/year&gt;&lt;/dates&gt;&lt;urls&gt;&lt;/urls&gt;&lt;/record&gt;&lt;/Cite&gt;&lt;/EndNote&gt;</w:instrText>
      </w:r>
      <w:r w:rsidR="00A651F0" w:rsidRPr="00EF4617">
        <w:rPr>
          <w:rFonts w:ascii="Arial" w:hAnsi="Arial" w:cs="Arial"/>
          <w:sz w:val="24"/>
          <w:szCs w:val="24"/>
        </w:rPr>
        <w:fldChar w:fldCharType="separate"/>
      </w:r>
      <w:r w:rsidR="0062017E">
        <w:rPr>
          <w:rFonts w:ascii="Arial" w:hAnsi="Arial" w:cs="Arial"/>
          <w:noProof/>
          <w:sz w:val="24"/>
          <w:szCs w:val="24"/>
        </w:rPr>
        <w:t>(</w:t>
      </w:r>
      <w:hyperlink w:anchor="_ENREF_9" w:tooltip="Office for National Statistics, 2016 #2153" w:history="1">
        <w:r w:rsidR="0062017E">
          <w:rPr>
            <w:rFonts w:ascii="Arial" w:hAnsi="Arial" w:cs="Arial"/>
            <w:noProof/>
            <w:sz w:val="24"/>
            <w:szCs w:val="24"/>
          </w:rPr>
          <w:t>Office for National Statistics, 2016</w:t>
        </w:r>
      </w:hyperlink>
      <w:r w:rsidR="0062017E">
        <w:rPr>
          <w:rFonts w:ascii="Arial" w:hAnsi="Arial" w:cs="Arial"/>
          <w:noProof/>
          <w:sz w:val="24"/>
          <w:szCs w:val="24"/>
        </w:rPr>
        <w:t>)</w:t>
      </w:r>
      <w:r w:rsidR="00A651F0" w:rsidRPr="00EF4617">
        <w:rPr>
          <w:rFonts w:ascii="Arial" w:hAnsi="Arial" w:cs="Arial"/>
          <w:sz w:val="24"/>
          <w:szCs w:val="24"/>
        </w:rPr>
        <w:fldChar w:fldCharType="end"/>
      </w:r>
      <w:r w:rsidR="00240475">
        <w:rPr>
          <w:rFonts w:ascii="Arial" w:hAnsi="Arial" w:cs="Arial"/>
          <w:sz w:val="24"/>
          <w:szCs w:val="24"/>
        </w:rPr>
        <w:t>.</w:t>
      </w:r>
    </w:p>
    <w:p w:rsidR="0024712A" w:rsidRDefault="0024712A" w:rsidP="00EF4617">
      <w:pPr>
        <w:spacing w:line="240" w:lineRule="auto"/>
        <w:rPr>
          <w:rFonts w:ascii="Arial" w:hAnsi="Arial" w:cs="Arial"/>
          <w:sz w:val="24"/>
          <w:szCs w:val="24"/>
        </w:rPr>
      </w:pPr>
    </w:p>
    <w:p w:rsidR="0024712A" w:rsidRDefault="0024712A" w:rsidP="00EF4617">
      <w:pPr>
        <w:spacing w:line="240" w:lineRule="auto"/>
        <w:rPr>
          <w:rFonts w:ascii="Arial" w:hAnsi="Arial" w:cs="Arial"/>
          <w:sz w:val="24"/>
          <w:szCs w:val="24"/>
        </w:rPr>
      </w:pPr>
    </w:p>
    <w:p w:rsidR="0024712A" w:rsidRDefault="0024712A" w:rsidP="00EF4617">
      <w:pPr>
        <w:spacing w:line="240" w:lineRule="auto"/>
        <w:rPr>
          <w:rFonts w:ascii="Arial" w:hAnsi="Arial" w:cs="Arial"/>
          <w:sz w:val="24"/>
          <w:szCs w:val="24"/>
        </w:rPr>
      </w:pPr>
    </w:p>
    <w:p w:rsidR="0024712A" w:rsidRDefault="0024712A" w:rsidP="00EF4617">
      <w:pPr>
        <w:spacing w:line="240" w:lineRule="auto"/>
        <w:rPr>
          <w:rFonts w:ascii="Arial" w:hAnsi="Arial" w:cs="Arial"/>
          <w:sz w:val="24"/>
          <w:szCs w:val="24"/>
        </w:rPr>
      </w:pPr>
    </w:p>
    <w:p w:rsidR="0024712A" w:rsidRDefault="0024712A" w:rsidP="00EF4617">
      <w:pPr>
        <w:spacing w:line="240" w:lineRule="auto"/>
        <w:rPr>
          <w:rFonts w:ascii="Arial" w:hAnsi="Arial" w:cs="Arial"/>
          <w:sz w:val="24"/>
          <w:szCs w:val="24"/>
        </w:rPr>
      </w:pPr>
    </w:p>
    <w:p w:rsidR="0024712A" w:rsidRDefault="0024712A" w:rsidP="00EF4617">
      <w:pPr>
        <w:spacing w:line="240" w:lineRule="auto"/>
        <w:rPr>
          <w:rFonts w:ascii="Arial" w:hAnsi="Arial" w:cs="Arial"/>
          <w:sz w:val="24"/>
          <w:szCs w:val="24"/>
        </w:rPr>
      </w:pPr>
    </w:p>
    <w:p w:rsidR="00EF4617" w:rsidRPr="00EF4617" w:rsidRDefault="00EF4617" w:rsidP="00EF4617">
      <w:pPr>
        <w:spacing w:line="240" w:lineRule="auto"/>
        <w:rPr>
          <w:rFonts w:ascii="Arial" w:hAnsi="Arial" w:cs="Arial"/>
          <w:b/>
          <w:sz w:val="24"/>
          <w:szCs w:val="24"/>
        </w:rPr>
      </w:pPr>
      <w:r w:rsidRPr="00EF4617">
        <w:rPr>
          <w:rFonts w:ascii="Arial" w:hAnsi="Arial" w:cs="Arial"/>
          <w:b/>
          <w:sz w:val="24"/>
          <w:szCs w:val="24"/>
        </w:rPr>
        <w:lastRenderedPageBreak/>
        <w:t>Table 1 Occurrence of emergency ambulance attendances to people aged 65 above and 75 and above and frequency of ‘dementia’ record in free text, by Clinical Commissioning Group Area</w:t>
      </w:r>
    </w:p>
    <w:tbl>
      <w:tblPr>
        <w:tblStyle w:val="TableGrid"/>
        <w:tblW w:w="10364" w:type="dxa"/>
        <w:tblInd w:w="-176" w:type="dxa"/>
        <w:tblLayout w:type="fixed"/>
        <w:tblLook w:val="04A0" w:firstRow="1" w:lastRow="0" w:firstColumn="1" w:lastColumn="0" w:noHBand="0" w:noVBand="1"/>
      </w:tblPr>
      <w:tblGrid>
        <w:gridCol w:w="2694"/>
        <w:gridCol w:w="20"/>
        <w:gridCol w:w="1256"/>
        <w:gridCol w:w="992"/>
        <w:gridCol w:w="1082"/>
        <w:gridCol w:w="1080"/>
        <w:gridCol w:w="1098"/>
        <w:gridCol w:w="1062"/>
        <w:gridCol w:w="1080"/>
      </w:tblGrid>
      <w:tr w:rsidR="00123CC3" w:rsidRPr="00EF4617" w:rsidTr="00123CC3">
        <w:trPr>
          <w:cantSplit/>
          <w:trHeight w:val="714"/>
        </w:trPr>
        <w:tc>
          <w:tcPr>
            <w:tcW w:w="2694" w:type="dxa"/>
            <w:vMerge w:val="restart"/>
          </w:tcPr>
          <w:p w:rsidR="00123CC3" w:rsidRPr="00EF4617" w:rsidRDefault="00123CC3" w:rsidP="00863FDF">
            <w:pPr>
              <w:rPr>
                <w:rFonts w:ascii="Arial" w:hAnsi="Arial" w:cs="Arial"/>
                <w:b/>
                <w:sz w:val="16"/>
                <w:szCs w:val="16"/>
              </w:rPr>
            </w:pPr>
            <w:r w:rsidRPr="00EF4617">
              <w:rPr>
                <w:rFonts w:ascii="Arial" w:hAnsi="Arial" w:cs="Arial"/>
                <w:b/>
                <w:sz w:val="16"/>
                <w:szCs w:val="16"/>
              </w:rPr>
              <w:t>CCG</w:t>
            </w:r>
          </w:p>
        </w:tc>
        <w:tc>
          <w:tcPr>
            <w:tcW w:w="1276" w:type="dxa"/>
            <w:gridSpan w:val="2"/>
            <w:vMerge w:val="restart"/>
          </w:tcPr>
          <w:p w:rsidR="00123CC3" w:rsidRPr="00EF4617" w:rsidRDefault="00123CC3" w:rsidP="00863FDF">
            <w:pPr>
              <w:jc w:val="center"/>
              <w:rPr>
                <w:rFonts w:ascii="Arial" w:hAnsi="Arial" w:cs="Arial"/>
                <w:b/>
                <w:sz w:val="16"/>
                <w:szCs w:val="16"/>
              </w:rPr>
            </w:pPr>
            <w:r w:rsidRPr="00EF4617">
              <w:rPr>
                <w:rFonts w:ascii="Arial" w:hAnsi="Arial" w:cs="Arial"/>
                <w:b/>
                <w:sz w:val="16"/>
                <w:szCs w:val="16"/>
              </w:rPr>
              <w:t>Total attendances within CCG with EPR</w:t>
            </w:r>
          </w:p>
          <w:p w:rsidR="00123CC3" w:rsidRPr="00EF4617" w:rsidRDefault="00123CC3" w:rsidP="00863FDF">
            <w:pPr>
              <w:jc w:val="center"/>
              <w:rPr>
                <w:rFonts w:ascii="Arial" w:hAnsi="Arial" w:cs="Arial"/>
                <w:b/>
                <w:sz w:val="16"/>
                <w:szCs w:val="16"/>
              </w:rPr>
            </w:pPr>
            <w:r w:rsidRPr="00EF4617">
              <w:rPr>
                <w:rFonts w:ascii="Arial" w:hAnsi="Arial" w:cs="Arial"/>
                <w:b/>
                <w:sz w:val="16"/>
                <w:szCs w:val="16"/>
              </w:rPr>
              <w:t>(n)</w:t>
            </w:r>
          </w:p>
        </w:tc>
        <w:tc>
          <w:tcPr>
            <w:tcW w:w="3154" w:type="dxa"/>
            <w:gridSpan w:val="3"/>
          </w:tcPr>
          <w:p w:rsidR="00123CC3" w:rsidRPr="00EF4617" w:rsidRDefault="00123CC3" w:rsidP="00863FDF">
            <w:pPr>
              <w:jc w:val="center"/>
              <w:rPr>
                <w:rFonts w:ascii="Arial" w:hAnsi="Arial" w:cs="Arial"/>
                <w:b/>
                <w:sz w:val="16"/>
                <w:szCs w:val="16"/>
              </w:rPr>
            </w:pPr>
            <w:r w:rsidRPr="00EF4617">
              <w:rPr>
                <w:rFonts w:ascii="Arial" w:hAnsi="Arial" w:cs="Arial"/>
                <w:b/>
                <w:sz w:val="16"/>
                <w:szCs w:val="16"/>
              </w:rPr>
              <w:t>Attendances for patients aged 65+</w:t>
            </w:r>
            <w:r w:rsidRPr="00EF4617">
              <w:rPr>
                <w:rFonts w:ascii="Arial" w:hAnsi="Arial" w:cs="Arial"/>
                <w:b/>
                <w:sz w:val="16"/>
                <w:szCs w:val="16"/>
                <w:vertAlign w:val="superscript"/>
              </w:rPr>
              <w:t>1</w:t>
            </w:r>
          </w:p>
        </w:tc>
        <w:tc>
          <w:tcPr>
            <w:tcW w:w="3240" w:type="dxa"/>
            <w:gridSpan w:val="3"/>
          </w:tcPr>
          <w:p w:rsidR="00123CC3" w:rsidRPr="00EF4617" w:rsidRDefault="00123CC3" w:rsidP="00863FDF">
            <w:pPr>
              <w:jc w:val="center"/>
              <w:rPr>
                <w:rFonts w:ascii="Arial" w:hAnsi="Arial" w:cs="Arial"/>
                <w:b/>
                <w:sz w:val="16"/>
                <w:szCs w:val="16"/>
              </w:rPr>
            </w:pPr>
            <w:r w:rsidRPr="00EF4617">
              <w:rPr>
                <w:rFonts w:ascii="Arial" w:hAnsi="Arial" w:cs="Arial"/>
                <w:b/>
                <w:sz w:val="16"/>
                <w:szCs w:val="16"/>
              </w:rPr>
              <w:t>65+ with a dementia record</w:t>
            </w:r>
          </w:p>
        </w:tc>
      </w:tr>
      <w:tr w:rsidR="00123CC3" w:rsidRPr="00EF4617" w:rsidTr="00123CC3">
        <w:trPr>
          <w:cantSplit/>
          <w:trHeight w:val="487"/>
        </w:trPr>
        <w:tc>
          <w:tcPr>
            <w:tcW w:w="2694" w:type="dxa"/>
            <w:vMerge/>
          </w:tcPr>
          <w:p w:rsidR="00123CC3" w:rsidRPr="00EF4617" w:rsidRDefault="00123CC3" w:rsidP="00863FDF">
            <w:pPr>
              <w:rPr>
                <w:rFonts w:ascii="Arial" w:hAnsi="Arial" w:cs="Arial"/>
                <w:b/>
                <w:sz w:val="16"/>
                <w:szCs w:val="16"/>
              </w:rPr>
            </w:pPr>
          </w:p>
        </w:tc>
        <w:tc>
          <w:tcPr>
            <w:tcW w:w="1276" w:type="dxa"/>
            <w:gridSpan w:val="2"/>
            <w:vMerge/>
          </w:tcPr>
          <w:p w:rsidR="00123CC3" w:rsidRPr="00EF4617" w:rsidRDefault="00123CC3" w:rsidP="00863FDF">
            <w:pPr>
              <w:jc w:val="center"/>
              <w:rPr>
                <w:rFonts w:ascii="Arial" w:hAnsi="Arial" w:cs="Arial"/>
                <w:b/>
                <w:sz w:val="16"/>
                <w:szCs w:val="16"/>
              </w:rPr>
            </w:pPr>
          </w:p>
        </w:tc>
        <w:tc>
          <w:tcPr>
            <w:tcW w:w="992" w:type="dxa"/>
          </w:tcPr>
          <w:p w:rsidR="00123CC3" w:rsidRPr="00EF4617" w:rsidRDefault="00123CC3" w:rsidP="00863FDF">
            <w:pPr>
              <w:jc w:val="center"/>
              <w:rPr>
                <w:rFonts w:ascii="Arial" w:hAnsi="Arial" w:cs="Arial"/>
                <w:b/>
                <w:sz w:val="16"/>
                <w:szCs w:val="16"/>
              </w:rPr>
            </w:pPr>
            <w:r w:rsidRPr="00EF4617">
              <w:rPr>
                <w:rFonts w:ascii="Arial" w:hAnsi="Arial" w:cs="Arial"/>
                <w:b/>
                <w:sz w:val="16"/>
                <w:szCs w:val="16"/>
              </w:rPr>
              <w:t>(n)</w:t>
            </w:r>
          </w:p>
        </w:tc>
        <w:tc>
          <w:tcPr>
            <w:tcW w:w="1082" w:type="dxa"/>
          </w:tcPr>
          <w:p w:rsidR="00123CC3" w:rsidRPr="00EF4617" w:rsidRDefault="00123CC3" w:rsidP="00863FDF">
            <w:pPr>
              <w:jc w:val="center"/>
              <w:rPr>
                <w:rFonts w:ascii="Arial" w:hAnsi="Arial" w:cs="Arial"/>
                <w:b/>
                <w:sz w:val="16"/>
                <w:szCs w:val="16"/>
              </w:rPr>
            </w:pPr>
            <w:r>
              <w:rPr>
                <w:rFonts w:ascii="Arial" w:hAnsi="Arial" w:cs="Arial"/>
                <w:b/>
                <w:sz w:val="16"/>
                <w:szCs w:val="16"/>
              </w:rPr>
              <w:t xml:space="preserve">Proportion per CCG </w:t>
            </w:r>
            <w:r w:rsidRPr="00EF4617">
              <w:rPr>
                <w:rFonts w:ascii="Arial" w:hAnsi="Arial" w:cs="Arial"/>
                <w:b/>
                <w:sz w:val="16"/>
                <w:szCs w:val="16"/>
              </w:rPr>
              <w:t>(%)</w:t>
            </w:r>
          </w:p>
        </w:tc>
        <w:tc>
          <w:tcPr>
            <w:tcW w:w="1080" w:type="dxa"/>
          </w:tcPr>
          <w:p w:rsidR="00123CC3" w:rsidRPr="00EF4617" w:rsidRDefault="00123CC3" w:rsidP="00863FDF">
            <w:pPr>
              <w:jc w:val="center"/>
              <w:rPr>
                <w:rFonts w:ascii="Arial" w:hAnsi="Arial" w:cs="Arial"/>
                <w:b/>
                <w:sz w:val="16"/>
                <w:szCs w:val="16"/>
              </w:rPr>
            </w:pPr>
            <w:r>
              <w:rPr>
                <w:rFonts w:ascii="Arial" w:hAnsi="Arial" w:cs="Arial"/>
                <w:b/>
                <w:sz w:val="16"/>
                <w:szCs w:val="16"/>
              </w:rPr>
              <w:t>Proportion of all CCGs (%)</w:t>
            </w:r>
          </w:p>
        </w:tc>
        <w:tc>
          <w:tcPr>
            <w:tcW w:w="1098" w:type="dxa"/>
          </w:tcPr>
          <w:p w:rsidR="00123CC3" w:rsidRPr="00EF4617" w:rsidRDefault="00123CC3" w:rsidP="00863FDF">
            <w:pPr>
              <w:jc w:val="center"/>
              <w:rPr>
                <w:rFonts w:ascii="Arial" w:hAnsi="Arial" w:cs="Arial"/>
                <w:b/>
                <w:sz w:val="16"/>
                <w:szCs w:val="16"/>
              </w:rPr>
            </w:pPr>
            <w:r w:rsidRPr="00EF4617">
              <w:rPr>
                <w:rFonts w:ascii="Arial" w:hAnsi="Arial" w:cs="Arial"/>
                <w:b/>
                <w:sz w:val="16"/>
                <w:szCs w:val="16"/>
              </w:rPr>
              <w:t>(n)</w:t>
            </w:r>
          </w:p>
        </w:tc>
        <w:tc>
          <w:tcPr>
            <w:tcW w:w="1062" w:type="dxa"/>
          </w:tcPr>
          <w:p w:rsidR="00123CC3" w:rsidRPr="00EF4617" w:rsidRDefault="00123CC3" w:rsidP="00863FDF">
            <w:pPr>
              <w:jc w:val="center"/>
              <w:rPr>
                <w:rFonts w:ascii="Arial" w:hAnsi="Arial" w:cs="Arial"/>
                <w:b/>
                <w:sz w:val="16"/>
                <w:szCs w:val="16"/>
              </w:rPr>
            </w:pPr>
            <w:r>
              <w:rPr>
                <w:rFonts w:ascii="Arial" w:hAnsi="Arial" w:cs="Arial"/>
                <w:b/>
                <w:sz w:val="16"/>
                <w:szCs w:val="16"/>
              </w:rPr>
              <w:t xml:space="preserve">Proportion per CCG </w:t>
            </w:r>
            <w:r w:rsidRPr="00EF4617">
              <w:rPr>
                <w:rFonts w:ascii="Arial" w:hAnsi="Arial" w:cs="Arial"/>
                <w:b/>
                <w:sz w:val="16"/>
                <w:szCs w:val="16"/>
              </w:rPr>
              <w:t>(%)</w:t>
            </w:r>
            <w:r w:rsidRPr="00EF4617">
              <w:rPr>
                <w:rFonts w:ascii="Arial" w:hAnsi="Arial" w:cs="Arial"/>
                <w:b/>
                <w:sz w:val="16"/>
                <w:szCs w:val="16"/>
                <w:vertAlign w:val="superscript"/>
              </w:rPr>
              <w:t>3</w:t>
            </w:r>
          </w:p>
        </w:tc>
        <w:tc>
          <w:tcPr>
            <w:tcW w:w="1080" w:type="dxa"/>
          </w:tcPr>
          <w:p w:rsidR="00123CC3" w:rsidRPr="00EF4617" w:rsidRDefault="00123CC3" w:rsidP="00863FDF">
            <w:pPr>
              <w:jc w:val="center"/>
              <w:rPr>
                <w:rFonts w:ascii="Arial" w:hAnsi="Arial" w:cs="Arial"/>
                <w:b/>
                <w:sz w:val="16"/>
                <w:szCs w:val="16"/>
              </w:rPr>
            </w:pPr>
            <w:r>
              <w:rPr>
                <w:rFonts w:ascii="Arial" w:hAnsi="Arial" w:cs="Arial"/>
                <w:b/>
                <w:sz w:val="16"/>
                <w:szCs w:val="16"/>
              </w:rPr>
              <w:t>Proportion of all CCGs (%)</w:t>
            </w:r>
          </w:p>
        </w:tc>
      </w:tr>
      <w:tr w:rsidR="00123CC3" w:rsidRPr="00EF4617" w:rsidTr="00123CC3">
        <w:trPr>
          <w:trHeight w:val="285"/>
        </w:trPr>
        <w:tc>
          <w:tcPr>
            <w:tcW w:w="10364" w:type="dxa"/>
            <w:gridSpan w:val="9"/>
            <w:vAlign w:val="bottom"/>
          </w:tcPr>
          <w:p w:rsidR="00123CC3" w:rsidRPr="00123CC3" w:rsidRDefault="00123CC3" w:rsidP="00123CC3">
            <w:pPr>
              <w:rPr>
                <w:rFonts w:ascii="Arial" w:hAnsi="Arial" w:cs="Arial"/>
                <w:b/>
                <w:color w:val="000000"/>
                <w:sz w:val="16"/>
                <w:szCs w:val="16"/>
              </w:rPr>
            </w:pPr>
            <w:r w:rsidRPr="00123CC3">
              <w:rPr>
                <w:rFonts w:ascii="Arial" w:hAnsi="Arial" w:cs="Arial"/>
                <w:b/>
                <w:color w:val="000000"/>
                <w:sz w:val="16"/>
                <w:szCs w:val="16"/>
              </w:rPr>
              <w:t>PATIENTS AGED 65+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Aylesbury Vale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14,903</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7,095</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47.6%</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4.8%</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915</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12.9%</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4.6%</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Bracknell and Ascot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10,538</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4,430</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42.0%</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3.0%</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486</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11.0%</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2.4%</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Fareham and Gosport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19,923</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10,486</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52.6%</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7.1%</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1,457</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13.9%</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7.3%</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Milton Keynes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25,167</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9,850</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39.1%</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6.6%</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1,348</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13.7%</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6.7%</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Newbury and District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10,273</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4,819</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46.9%</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3.3%</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687</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14.3%</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3.4%</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North &amp; West Reading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7,563</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3,823</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50.5%</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2.6%</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500</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13.1%</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North Hampshire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18,451</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8,561</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46.4%</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5.8%</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1,087</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12.7%</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5.4%</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Oxfordshire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62,721</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28,432</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45.3%</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19.2%</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3,498</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12.3%</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17.5%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Portsmouth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25,924</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10,837</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41.8%</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7.3%</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1,660</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15.3%</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8.3%</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South Eastern Hampshire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23,369</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12,877</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55.1%</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8.7%</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1,725</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13.4%</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8.6%</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Southampton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30,363</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11,152</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36.7%</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7.5%</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1,529</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13.7%</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7.6%</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West Hampshire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54,984</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30,481</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55.4%</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20.6%</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4,295</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14.1%</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21.5%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Wokingham CCG</w:t>
            </w:r>
          </w:p>
        </w:tc>
        <w:tc>
          <w:tcPr>
            <w:tcW w:w="1256"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10,607</w:t>
            </w:r>
          </w:p>
        </w:tc>
        <w:tc>
          <w:tcPr>
            <w:tcW w:w="99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5,412</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51.0%</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3.7%</w:t>
            </w:r>
          </w:p>
        </w:tc>
        <w:tc>
          <w:tcPr>
            <w:tcW w:w="1098"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827</w:t>
            </w:r>
          </w:p>
        </w:tc>
        <w:tc>
          <w:tcPr>
            <w:tcW w:w="1062" w:type="dxa"/>
            <w:noWrap/>
            <w:vAlign w:val="bottom"/>
            <w:hideMark/>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15.3%</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4.1%</w:t>
            </w:r>
          </w:p>
        </w:tc>
      </w:tr>
      <w:tr w:rsidR="00123CC3" w:rsidRPr="00EF4617" w:rsidTr="00123CC3">
        <w:trPr>
          <w:trHeight w:val="300"/>
        </w:trPr>
        <w:tc>
          <w:tcPr>
            <w:tcW w:w="2714" w:type="dxa"/>
            <w:gridSpan w:val="2"/>
            <w:noWrap/>
            <w:vAlign w:val="bottom"/>
            <w:hideMark/>
          </w:tcPr>
          <w:p w:rsidR="00123CC3" w:rsidRPr="00EF4617" w:rsidRDefault="00123CC3" w:rsidP="00123CC3">
            <w:pPr>
              <w:rPr>
                <w:rFonts w:ascii="Arial" w:hAnsi="Arial" w:cs="Arial"/>
                <w:b/>
                <w:bCs/>
                <w:color w:val="000000"/>
                <w:sz w:val="16"/>
                <w:szCs w:val="16"/>
              </w:rPr>
            </w:pPr>
            <w:r w:rsidRPr="00EF4617">
              <w:rPr>
                <w:rFonts w:ascii="Arial" w:hAnsi="Arial" w:cs="Arial"/>
                <w:b/>
                <w:bCs/>
                <w:color w:val="000000"/>
                <w:sz w:val="16"/>
                <w:szCs w:val="16"/>
              </w:rPr>
              <w:t>Total / Overall %</w:t>
            </w:r>
          </w:p>
        </w:tc>
        <w:tc>
          <w:tcPr>
            <w:tcW w:w="1256" w:type="dxa"/>
            <w:noWrap/>
            <w:vAlign w:val="bottom"/>
            <w:hideMark/>
          </w:tcPr>
          <w:p w:rsidR="00123CC3" w:rsidRPr="00EF4617" w:rsidRDefault="00123CC3" w:rsidP="00123CC3">
            <w:pPr>
              <w:jc w:val="center"/>
              <w:rPr>
                <w:rFonts w:ascii="Arial" w:hAnsi="Arial" w:cs="Arial"/>
                <w:b/>
                <w:bCs/>
                <w:color w:val="000000"/>
                <w:sz w:val="16"/>
                <w:szCs w:val="16"/>
              </w:rPr>
            </w:pPr>
            <w:r w:rsidRPr="00EF4617">
              <w:rPr>
                <w:rFonts w:ascii="Arial" w:hAnsi="Arial" w:cs="Arial"/>
                <w:b/>
                <w:bCs/>
                <w:color w:val="000000"/>
                <w:sz w:val="16"/>
                <w:szCs w:val="16"/>
              </w:rPr>
              <w:t>314,786</w:t>
            </w:r>
          </w:p>
        </w:tc>
        <w:tc>
          <w:tcPr>
            <w:tcW w:w="992" w:type="dxa"/>
            <w:noWrap/>
            <w:vAlign w:val="bottom"/>
            <w:hideMark/>
          </w:tcPr>
          <w:p w:rsidR="00123CC3" w:rsidRPr="00EF4617" w:rsidRDefault="00123CC3" w:rsidP="00123CC3">
            <w:pPr>
              <w:jc w:val="center"/>
              <w:rPr>
                <w:rFonts w:ascii="Arial" w:hAnsi="Arial" w:cs="Arial"/>
                <w:b/>
                <w:bCs/>
                <w:color w:val="000000"/>
                <w:sz w:val="16"/>
                <w:szCs w:val="16"/>
              </w:rPr>
            </w:pPr>
            <w:r w:rsidRPr="00EF4617">
              <w:rPr>
                <w:rFonts w:ascii="Arial" w:hAnsi="Arial" w:cs="Arial"/>
                <w:b/>
                <w:bCs/>
                <w:color w:val="000000"/>
                <w:sz w:val="16"/>
                <w:szCs w:val="16"/>
              </w:rPr>
              <w:t>148,255</w:t>
            </w:r>
          </w:p>
        </w:tc>
        <w:tc>
          <w:tcPr>
            <w:tcW w:w="1082" w:type="dxa"/>
            <w:vAlign w:val="bottom"/>
          </w:tcPr>
          <w:p w:rsidR="00123CC3" w:rsidRPr="00EF4617" w:rsidRDefault="00123CC3" w:rsidP="00123CC3">
            <w:pPr>
              <w:jc w:val="center"/>
              <w:rPr>
                <w:rFonts w:ascii="Arial" w:hAnsi="Arial" w:cs="Arial"/>
                <w:b/>
                <w:color w:val="000000"/>
                <w:sz w:val="16"/>
                <w:szCs w:val="16"/>
              </w:rPr>
            </w:pPr>
            <w:r w:rsidRPr="00EF4617">
              <w:rPr>
                <w:rFonts w:ascii="Arial" w:hAnsi="Arial" w:cs="Arial"/>
                <w:b/>
                <w:color w:val="000000"/>
                <w:sz w:val="16"/>
                <w:szCs w:val="16"/>
              </w:rPr>
              <w:t>47.1%</w:t>
            </w:r>
          </w:p>
        </w:tc>
        <w:tc>
          <w:tcPr>
            <w:tcW w:w="1080" w:type="dxa"/>
            <w:vAlign w:val="bottom"/>
          </w:tcPr>
          <w:p w:rsidR="00123CC3" w:rsidRPr="00EF4617" w:rsidRDefault="00123CC3" w:rsidP="00123CC3">
            <w:pPr>
              <w:jc w:val="center"/>
              <w:rPr>
                <w:rFonts w:ascii="Arial" w:hAnsi="Arial" w:cs="Arial"/>
                <w:b/>
                <w:bCs/>
                <w:color w:val="000000"/>
                <w:sz w:val="16"/>
                <w:szCs w:val="16"/>
              </w:rPr>
            </w:pPr>
            <w:r w:rsidRPr="00EF4617">
              <w:rPr>
                <w:rFonts w:ascii="Arial" w:hAnsi="Arial" w:cs="Arial"/>
                <w:b/>
                <w:bCs/>
                <w:color w:val="000000"/>
                <w:sz w:val="16"/>
                <w:szCs w:val="16"/>
              </w:rPr>
              <w:t>100.0%</w:t>
            </w:r>
          </w:p>
        </w:tc>
        <w:tc>
          <w:tcPr>
            <w:tcW w:w="1098" w:type="dxa"/>
            <w:noWrap/>
            <w:vAlign w:val="bottom"/>
            <w:hideMark/>
          </w:tcPr>
          <w:p w:rsidR="00123CC3" w:rsidRPr="00EF4617" w:rsidRDefault="00123CC3" w:rsidP="00123CC3">
            <w:pPr>
              <w:jc w:val="center"/>
              <w:rPr>
                <w:rFonts w:ascii="Arial" w:hAnsi="Arial" w:cs="Arial"/>
                <w:b/>
                <w:bCs/>
                <w:color w:val="000000"/>
                <w:sz w:val="16"/>
                <w:szCs w:val="16"/>
              </w:rPr>
            </w:pPr>
            <w:r w:rsidRPr="00EF4617">
              <w:rPr>
                <w:rFonts w:ascii="Arial" w:hAnsi="Arial" w:cs="Arial"/>
                <w:b/>
                <w:bCs/>
                <w:color w:val="000000"/>
                <w:sz w:val="16"/>
                <w:szCs w:val="16"/>
              </w:rPr>
              <w:t>20,014</w:t>
            </w:r>
          </w:p>
        </w:tc>
        <w:tc>
          <w:tcPr>
            <w:tcW w:w="1062" w:type="dxa"/>
            <w:noWrap/>
            <w:vAlign w:val="bottom"/>
            <w:hideMark/>
          </w:tcPr>
          <w:p w:rsidR="00123CC3" w:rsidRPr="00EF4617" w:rsidRDefault="00123CC3" w:rsidP="00123CC3">
            <w:pPr>
              <w:jc w:val="center"/>
              <w:rPr>
                <w:rFonts w:ascii="Arial" w:hAnsi="Arial" w:cs="Arial"/>
                <w:b/>
                <w:color w:val="000000"/>
                <w:sz w:val="16"/>
                <w:szCs w:val="16"/>
              </w:rPr>
            </w:pPr>
            <w:r w:rsidRPr="00EF4617">
              <w:rPr>
                <w:rFonts w:ascii="Arial" w:hAnsi="Arial" w:cs="Arial"/>
                <w:b/>
                <w:color w:val="000000"/>
                <w:sz w:val="16"/>
                <w:szCs w:val="16"/>
              </w:rPr>
              <w:t>13.5%</w:t>
            </w:r>
          </w:p>
        </w:tc>
        <w:tc>
          <w:tcPr>
            <w:tcW w:w="1080" w:type="dxa"/>
            <w:vAlign w:val="bottom"/>
          </w:tcPr>
          <w:p w:rsidR="00123CC3" w:rsidRPr="00EF4617" w:rsidRDefault="00123CC3" w:rsidP="00123CC3">
            <w:pPr>
              <w:jc w:val="center"/>
              <w:rPr>
                <w:rFonts w:ascii="Arial" w:hAnsi="Arial" w:cs="Arial"/>
                <w:b/>
                <w:bCs/>
                <w:color w:val="000000"/>
                <w:sz w:val="16"/>
                <w:szCs w:val="16"/>
              </w:rPr>
            </w:pPr>
            <w:r w:rsidRPr="00EF4617">
              <w:rPr>
                <w:rFonts w:ascii="Arial" w:hAnsi="Arial" w:cs="Arial"/>
                <w:b/>
                <w:bCs/>
                <w:color w:val="000000"/>
                <w:sz w:val="16"/>
                <w:szCs w:val="16"/>
              </w:rPr>
              <w:t>100.0%</w:t>
            </w:r>
          </w:p>
        </w:tc>
      </w:tr>
      <w:tr w:rsidR="00123CC3" w:rsidRPr="00EF4617" w:rsidTr="00123CC3">
        <w:trPr>
          <w:trHeight w:val="285"/>
        </w:trPr>
        <w:tc>
          <w:tcPr>
            <w:tcW w:w="10364" w:type="dxa"/>
            <w:gridSpan w:val="9"/>
            <w:vAlign w:val="bottom"/>
          </w:tcPr>
          <w:p w:rsidR="00123CC3" w:rsidRPr="00123CC3" w:rsidRDefault="00123CC3" w:rsidP="00123CC3">
            <w:pPr>
              <w:rPr>
                <w:rFonts w:ascii="Arial" w:hAnsi="Arial" w:cs="Arial"/>
                <w:b/>
                <w:color w:val="000000"/>
                <w:sz w:val="16"/>
                <w:szCs w:val="16"/>
              </w:rPr>
            </w:pPr>
            <w:r w:rsidRPr="00123CC3">
              <w:rPr>
                <w:rFonts w:ascii="Arial" w:hAnsi="Arial" w:cs="Arial"/>
                <w:b/>
                <w:color w:val="000000"/>
                <w:sz w:val="16"/>
                <w:szCs w:val="16"/>
              </w:rPr>
              <w:t>PATIENTS AGED 75+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Aylesbury Vale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14,903</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5,256</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35.3%</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4.7%</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837</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15.9%</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Bracknell and Ascot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10,538</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3,269</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31.0%</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2.9%</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440</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13.5%</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2.4%</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Fareham and Gosport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19,923</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7,975</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40.0%</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7.1%</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1,325</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15.6%</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7.2%</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Milton Keynes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25,167</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7,002</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27.8%</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6.3%</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1,206</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16.6%</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6.6%</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Newbury and District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10,273</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3,586</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34.9%</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3.2%</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628</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17.2%</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3.4%</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North &amp; West Reading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7,563</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2,901</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38.4%</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2.6%</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456</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17.5%</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North Hampshire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18,451</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6,325</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34.3%</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5.7%</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983</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15.7%</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5.3%</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Oxfordshire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62,721</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21,540</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34.3%</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19.3%</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3,256</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15.5%</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17.7%</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Portsmouth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25,924</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7,973</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30.8%</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7.1%</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1,489</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15.1%</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8.1%</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South Eastern Hampshire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23,369</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9,833</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42.1%</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8.8%</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1,573</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18.7%</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Southampton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30,363</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8,050</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26.5%</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7.2%</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1,389</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15.1%</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7.5%</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West Hampshire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54,984</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23,574</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42.9%</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21.1%</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4,045</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16.0%</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22.0%</w:t>
            </w:r>
          </w:p>
        </w:tc>
      </w:tr>
      <w:tr w:rsidR="00123CC3" w:rsidRPr="00EF4617" w:rsidTr="00123CC3">
        <w:trPr>
          <w:trHeight w:val="285"/>
        </w:trPr>
        <w:tc>
          <w:tcPr>
            <w:tcW w:w="2714" w:type="dxa"/>
            <w:gridSpan w:val="2"/>
            <w:noWrap/>
            <w:vAlign w:val="bottom"/>
            <w:hideMark/>
          </w:tcPr>
          <w:p w:rsidR="00123CC3" w:rsidRPr="00EF4617" w:rsidRDefault="00123CC3" w:rsidP="00123CC3">
            <w:pPr>
              <w:rPr>
                <w:rFonts w:ascii="Arial" w:hAnsi="Arial" w:cs="Arial"/>
                <w:color w:val="000000"/>
                <w:sz w:val="16"/>
                <w:szCs w:val="16"/>
              </w:rPr>
            </w:pPr>
            <w:r w:rsidRPr="00EF4617">
              <w:rPr>
                <w:rFonts w:ascii="Arial" w:hAnsi="Arial" w:cs="Arial"/>
                <w:color w:val="000000"/>
                <w:sz w:val="16"/>
                <w:szCs w:val="16"/>
              </w:rPr>
              <w:t>Wokingham CCG</w:t>
            </w:r>
          </w:p>
        </w:tc>
        <w:tc>
          <w:tcPr>
            <w:tcW w:w="1256"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10,607</w:t>
            </w:r>
          </w:p>
        </w:tc>
        <w:tc>
          <w:tcPr>
            <w:tcW w:w="99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4,264</w:t>
            </w:r>
          </w:p>
        </w:tc>
        <w:tc>
          <w:tcPr>
            <w:tcW w:w="1082"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40.2%</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3.8%</w:t>
            </w:r>
          </w:p>
        </w:tc>
        <w:tc>
          <w:tcPr>
            <w:tcW w:w="1098"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777</w:t>
            </w:r>
          </w:p>
        </w:tc>
        <w:tc>
          <w:tcPr>
            <w:tcW w:w="1062" w:type="dxa"/>
            <w:noWrap/>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19.2%</w:t>
            </w:r>
          </w:p>
        </w:tc>
        <w:tc>
          <w:tcPr>
            <w:tcW w:w="1080" w:type="dxa"/>
            <w:vAlign w:val="bottom"/>
          </w:tcPr>
          <w:p w:rsidR="00123CC3" w:rsidRPr="00EF4617" w:rsidRDefault="00123CC3" w:rsidP="00123CC3">
            <w:pPr>
              <w:jc w:val="center"/>
              <w:rPr>
                <w:rFonts w:ascii="Arial" w:hAnsi="Arial" w:cs="Arial"/>
                <w:color w:val="000000"/>
                <w:sz w:val="16"/>
                <w:szCs w:val="16"/>
              </w:rPr>
            </w:pPr>
            <w:r w:rsidRPr="00EF4617">
              <w:rPr>
                <w:rFonts w:ascii="Arial" w:hAnsi="Arial" w:cs="Arial"/>
                <w:color w:val="000000"/>
                <w:sz w:val="16"/>
                <w:szCs w:val="16"/>
              </w:rPr>
              <w:t>4.2%</w:t>
            </w:r>
          </w:p>
        </w:tc>
      </w:tr>
      <w:tr w:rsidR="00123CC3" w:rsidRPr="00EF4617" w:rsidTr="00123CC3">
        <w:trPr>
          <w:trHeight w:val="300"/>
        </w:trPr>
        <w:tc>
          <w:tcPr>
            <w:tcW w:w="2714" w:type="dxa"/>
            <w:gridSpan w:val="2"/>
            <w:noWrap/>
            <w:hideMark/>
          </w:tcPr>
          <w:p w:rsidR="00123CC3" w:rsidRPr="00EF4617" w:rsidRDefault="00123CC3" w:rsidP="00123CC3">
            <w:pPr>
              <w:rPr>
                <w:rFonts w:ascii="Arial" w:hAnsi="Arial" w:cs="Arial"/>
                <w:b/>
                <w:bCs/>
                <w:color w:val="000000"/>
                <w:sz w:val="16"/>
                <w:szCs w:val="16"/>
              </w:rPr>
            </w:pPr>
            <w:r w:rsidRPr="00EF4617">
              <w:rPr>
                <w:rFonts w:ascii="Arial" w:hAnsi="Arial" w:cs="Arial"/>
                <w:b/>
                <w:bCs/>
                <w:color w:val="000000"/>
                <w:sz w:val="16"/>
                <w:szCs w:val="16"/>
              </w:rPr>
              <w:t>Total / Overall %</w:t>
            </w:r>
          </w:p>
        </w:tc>
        <w:tc>
          <w:tcPr>
            <w:tcW w:w="1256" w:type="dxa"/>
            <w:noWrap/>
            <w:vAlign w:val="bottom"/>
          </w:tcPr>
          <w:p w:rsidR="00123CC3" w:rsidRPr="00EF4617" w:rsidRDefault="00123CC3" w:rsidP="00123CC3">
            <w:pPr>
              <w:jc w:val="center"/>
              <w:rPr>
                <w:rFonts w:ascii="Arial" w:hAnsi="Arial" w:cs="Arial"/>
                <w:b/>
                <w:bCs/>
                <w:color w:val="000000"/>
                <w:sz w:val="16"/>
                <w:szCs w:val="16"/>
              </w:rPr>
            </w:pPr>
            <w:r w:rsidRPr="00EF4617">
              <w:rPr>
                <w:rFonts w:ascii="Arial" w:hAnsi="Arial" w:cs="Arial"/>
                <w:b/>
                <w:bCs/>
                <w:color w:val="000000"/>
                <w:sz w:val="16"/>
                <w:szCs w:val="16"/>
              </w:rPr>
              <w:t>314,786</w:t>
            </w:r>
          </w:p>
        </w:tc>
        <w:tc>
          <w:tcPr>
            <w:tcW w:w="992" w:type="dxa"/>
            <w:noWrap/>
            <w:vAlign w:val="bottom"/>
          </w:tcPr>
          <w:p w:rsidR="00123CC3" w:rsidRPr="00EF4617" w:rsidRDefault="00123CC3" w:rsidP="00123CC3">
            <w:pPr>
              <w:jc w:val="center"/>
              <w:rPr>
                <w:rFonts w:ascii="Arial" w:hAnsi="Arial" w:cs="Arial"/>
                <w:b/>
                <w:bCs/>
                <w:color w:val="000000"/>
                <w:sz w:val="16"/>
                <w:szCs w:val="16"/>
              </w:rPr>
            </w:pPr>
            <w:r w:rsidRPr="00EF4617">
              <w:rPr>
                <w:rFonts w:ascii="Arial" w:hAnsi="Arial" w:cs="Arial"/>
                <w:b/>
                <w:bCs/>
                <w:color w:val="000000"/>
                <w:sz w:val="16"/>
                <w:szCs w:val="16"/>
              </w:rPr>
              <w:t>111,548</w:t>
            </w:r>
          </w:p>
        </w:tc>
        <w:tc>
          <w:tcPr>
            <w:tcW w:w="1082" w:type="dxa"/>
            <w:vAlign w:val="bottom"/>
          </w:tcPr>
          <w:p w:rsidR="00123CC3" w:rsidRPr="00EF4617" w:rsidRDefault="00123CC3" w:rsidP="00123CC3">
            <w:pPr>
              <w:jc w:val="center"/>
              <w:rPr>
                <w:rFonts w:ascii="Arial" w:hAnsi="Arial" w:cs="Arial"/>
                <w:b/>
                <w:color w:val="000000"/>
                <w:sz w:val="16"/>
                <w:szCs w:val="16"/>
              </w:rPr>
            </w:pPr>
            <w:r w:rsidRPr="00EF4617">
              <w:rPr>
                <w:rFonts w:ascii="Arial" w:hAnsi="Arial" w:cs="Arial"/>
                <w:b/>
                <w:color w:val="000000"/>
                <w:sz w:val="16"/>
                <w:szCs w:val="16"/>
              </w:rPr>
              <w:t>35.4%</w:t>
            </w:r>
          </w:p>
        </w:tc>
        <w:tc>
          <w:tcPr>
            <w:tcW w:w="1080" w:type="dxa"/>
            <w:vAlign w:val="bottom"/>
          </w:tcPr>
          <w:p w:rsidR="00123CC3" w:rsidRPr="00EF4617" w:rsidRDefault="00123CC3" w:rsidP="00123CC3">
            <w:pPr>
              <w:jc w:val="center"/>
              <w:rPr>
                <w:rFonts w:ascii="Arial" w:hAnsi="Arial" w:cs="Arial"/>
                <w:b/>
                <w:color w:val="000000"/>
                <w:sz w:val="16"/>
                <w:szCs w:val="16"/>
              </w:rPr>
            </w:pPr>
            <w:r w:rsidRPr="00EF4617">
              <w:rPr>
                <w:rFonts w:ascii="Arial" w:hAnsi="Arial" w:cs="Arial"/>
                <w:b/>
                <w:color w:val="000000"/>
                <w:sz w:val="16"/>
                <w:szCs w:val="16"/>
              </w:rPr>
              <w:t>100.0%</w:t>
            </w:r>
          </w:p>
        </w:tc>
        <w:tc>
          <w:tcPr>
            <w:tcW w:w="1098" w:type="dxa"/>
            <w:noWrap/>
            <w:vAlign w:val="bottom"/>
          </w:tcPr>
          <w:p w:rsidR="00123CC3" w:rsidRPr="00EF4617" w:rsidRDefault="00123CC3" w:rsidP="00123CC3">
            <w:pPr>
              <w:jc w:val="center"/>
              <w:rPr>
                <w:rFonts w:ascii="Arial" w:hAnsi="Arial" w:cs="Arial"/>
                <w:b/>
                <w:bCs/>
                <w:color w:val="000000"/>
                <w:sz w:val="16"/>
                <w:szCs w:val="16"/>
              </w:rPr>
            </w:pPr>
            <w:r w:rsidRPr="00EF4617">
              <w:rPr>
                <w:rFonts w:ascii="Arial" w:hAnsi="Arial" w:cs="Arial"/>
                <w:b/>
                <w:bCs/>
                <w:color w:val="000000"/>
                <w:sz w:val="16"/>
                <w:szCs w:val="16"/>
              </w:rPr>
              <w:t>18,404</w:t>
            </w:r>
          </w:p>
        </w:tc>
        <w:tc>
          <w:tcPr>
            <w:tcW w:w="1062" w:type="dxa"/>
            <w:noWrap/>
            <w:vAlign w:val="bottom"/>
          </w:tcPr>
          <w:p w:rsidR="00123CC3" w:rsidRPr="00EF4617" w:rsidRDefault="00123CC3" w:rsidP="00123CC3">
            <w:pPr>
              <w:jc w:val="center"/>
              <w:rPr>
                <w:rFonts w:ascii="Arial" w:hAnsi="Arial" w:cs="Arial"/>
                <w:b/>
                <w:color w:val="000000"/>
                <w:sz w:val="16"/>
                <w:szCs w:val="16"/>
              </w:rPr>
            </w:pPr>
            <w:r w:rsidRPr="00EF4617">
              <w:rPr>
                <w:rFonts w:ascii="Arial" w:hAnsi="Arial" w:cs="Arial"/>
                <w:b/>
                <w:color w:val="000000"/>
                <w:sz w:val="16"/>
                <w:szCs w:val="16"/>
              </w:rPr>
              <w:t>16.5%</w:t>
            </w:r>
          </w:p>
        </w:tc>
        <w:tc>
          <w:tcPr>
            <w:tcW w:w="1080" w:type="dxa"/>
            <w:vAlign w:val="bottom"/>
          </w:tcPr>
          <w:p w:rsidR="00123CC3" w:rsidRPr="00EF4617" w:rsidRDefault="00123CC3" w:rsidP="00123CC3">
            <w:pPr>
              <w:jc w:val="center"/>
              <w:rPr>
                <w:rFonts w:ascii="Arial" w:hAnsi="Arial" w:cs="Arial"/>
                <w:b/>
                <w:color w:val="000000"/>
                <w:sz w:val="16"/>
                <w:szCs w:val="16"/>
              </w:rPr>
            </w:pPr>
            <w:r w:rsidRPr="00EF4617">
              <w:rPr>
                <w:rFonts w:ascii="Arial" w:hAnsi="Arial" w:cs="Arial"/>
                <w:b/>
                <w:bCs/>
                <w:color w:val="000000"/>
                <w:sz w:val="16"/>
                <w:szCs w:val="16"/>
              </w:rPr>
              <w:t>100</w:t>
            </w:r>
            <w:r w:rsidR="00FC5881">
              <w:rPr>
                <w:rFonts w:ascii="Arial" w:hAnsi="Arial" w:cs="Arial"/>
                <w:b/>
                <w:bCs/>
                <w:color w:val="000000"/>
                <w:sz w:val="16"/>
                <w:szCs w:val="16"/>
              </w:rPr>
              <w:t>.</w:t>
            </w:r>
            <w:r w:rsidRPr="00EF4617">
              <w:rPr>
                <w:rFonts w:ascii="Arial" w:hAnsi="Arial" w:cs="Arial"/>
                <w:b/>
                <w:bCs/>
                <w:color w:val="000000"/>
                <w:sz w:val="16"/>
                <w:szCs w:val="16"/>
              </w:rPr>
              <w:t>0%</w:t>
            </w:r>
          </w:p>
        </w:tc>
      </w:tr>
    </w:tbl>
    <w:p w:rsidR="00EF4617" w:rsidRPr="00D365C3" w:rsidRDefault="00EF4617" w:rsidP="00EF4617">
      <w:pPr>
        <w:spacing w:after="0" w:line="240" w:lineRule="auto"/>
        <w:rPr>
          <w:rFonts w:ascii="Arial" w:hAnsi="Arial" w:cs="Arial"/>
          <w:sz w:val="18"/>
          <w:szCs w:val="18"/>
        </w:rPr>
      </w:pPr>
      <w:r w:rsidRPr="00D365C3">
        <w:rPr>
          <w:rFonts w:ascii="Arial" w:hAnsi="Arial" w:cs="Arial"/>
          <w:sz w:val="18"/>
          <w:szCs w:val="18"/>
          <w:vertAlign w:val="superscript"/>
        </w:rPr>
        <w:t>1</w:t>
      </w:r>
      <w:r w:rsidRPr="00D365C3">
        <w:rPr>
          <w:rFonts w:ascii="Arial" w:hAnsi="Arial" w:cs="Arial"/>
          <w:sz w:val="18"/>
          <w:szCs w:val="18"/>
        </w:rPr>
        <w:t>as a proportion of total attendances in each CCG</w:t>
      </w:r>
    </w:p>
    <w:p w:rsidR="00EF4617" w:rsidRPr="00D365C3" w:rsidRDefault="00EF4617" w:rsidP="00EF4617">
      <w:pPr>
        <w:spacing w:after="0" w:line="240" w:lineRule="auto"/>
        <w:rPr>
          <w:rFonts w:ascii="Arial" w:hAnsi="Arial" w:cs="Arial"/>
          <w:sz w:val="18"/>
          <w:szCs w:val="18"/>
        </w:rPr>
      </w:pPr>
      <w:r w:rsidRPr="00D365C3">
        <w:rPr>
          <w:rFonts w:ascii="Arial" w:hAnsi="Arial" w:cs="Arial"/>
          <w:sz w:val="18"/>
          <w:szCs w:val="18"/>
          <w:vertAlign w:val="superscript"/>
        </w:rPr>
        <w:t>2</w:t>
      </w:r>
      <w:r w:rsidRPr="00D365C3">
        <w:rPr>
          <w:rFonts w:ascii="Arial" w:hAnsi="Arial" w:cs="Arial"/>
          <w:sz w:val="18"/>
          <w:szCs w:val="18"/>
        </w:rPr>
        <w:t>as a proportion of total attendances in the whole area</w:t>
      </w:r>
    </w:p>
    <w:p w:rsidR="00EF4617" w:rsidRPr="00D365C3" w:rsidRDefault="00EF4617" w:rsidP="00EF4617">
      <w:pPr>
        <w:spacing w:after="0" w:line="240" w:lineRule="auto"/>
        <w:rPr>
          <w:rFonts w:ascii="Arial" w:hAnsi="Arial" w:cs="Arial"/>
          <w:sz w:val="18"/>
          <w:szCs w:val="18"/>
        </w:rPr>
      </w:pPr>
      <w:r w:rsidRPr="00D365C3">
        <w:rPr>
          <w:rFonts w:ascii="Arial" w:hAnsi="Arial" w:cs="Arial"/>
          <w:sz w:val="18"/>
          <w:szCs w:val="18"/>
          <w:vertAlign w:val="superscript"/>
        </w:rPr>
        <w:t>3</w:t>
      </w:r>
      <w:r w:rsidRPr="00D365C3">
        <w:rPr>
          <w:rFonts w:ascii="Arial" w:hAnsi="Arial" w:cs="Arial"/>
          <w:sz w:val="18"/>
          <w:szCs w:val="18"/>
        </w:rPr>
        <w:t xml:space="preserve">as a proportion of 65+ or 75+ attendances per CCG (75+ to compare with </w:t>
      </w:r>
      <w:r w:rsidRPr="00D365C3">
        <w:rPr>
          <w:rFonts w:ascii="Arial" w:hAnsi="Arial" w:cs="Arial"/>
          <w:sz w:val="18"/>
          <w:szCs w:val="18"/>
        </w:rPr>
        <w:fldChar w:fldCharType="begin"/>
      </w:r>
      <w:r w:rsidR="0062017E">
        <w:rPr>
          <w:rFonts w:ascii="Arial" w:hAnsi="Arial" w:cs="Arial"/>
          <w:sz w:val="18"/>
          <w:szCs w:val="18"/>
        </w:rPr>
        <w:instrText xml:space="preserve"> ADDIN EN.CITE &lt;EndNote&gt;&lt;Cite&gt;&lt;Author&gt;Buswell&lt;/Author&gt;&lt;Year&gt;2016&lt;/Year&gt;&lt;RecNum&gt;355&lt;/RecNum&gt;&lt;DisplayText&gt;(Buswell, Lumbard, Fleming, et al., 2016)&lt;/DisplayText&gt;&lt;record&gt;&lt;rec-number&gt;355&lt;/rec-number&gt;&lt;foreign-keys&gt;&lt;key app="EN" db-id="0zpzrevtzfzvfeed0d7pxpeer5zaxet0zrpv"&gt;355&lt;/key&gt;&lt;/foreign-keys&gt;&lt;ref-type name="Journal Article"&gt;17&lt;/ref-type&gt;&lt;contributors&gt;&lt;authors&gt;&lt;author&gt;Buswell, M.&lt;/author&gt;&lt;author&gt;Lumbard, P.&lt;/author&gt;&lt;author&gt;Fleming, J.&lt;/author&gt;&lt;author&gt;Ayres, D.&lt;/author&gt;&lt;author&gt;Brayne, C.&lt;/author&gt;&lt;author&gt;Goodman, C.&lt;/author&gt;&lt;/authors&gt;&lt;/contributors&gt;&lt;titles&gt;&lt;title&gt;Using ambulance service PCRs to understand 999 call-outs to older people with dementia&lt;/title&gt;&lt;secondary-title&gt;Journal of Paramedic Practice&lt;/secondary-title&gt;&lt;/titles&gt;&lt;periodical&gt;&lt;full-title&gt;Journal of Paramedic Practice&lt;/full-title&gt;&lt;/periodical&gt;&lt;pages&gt;6&lt;/pages&gt;&lt;volume&gt;8&lt;/volume&gt;&lt;number&gt;5&lt;/number&gt;&lt;section&gt;246&lt;/section&gt;&lt;dates&gt;&lt;year&gt;2016&lt;/year&gt;&lt;/dates&gt;&lt;urls&gt;&lt;/urls&gt;&lt;/record&gt;&lt;/Cite&gt;&lt;/EndNote&gt;</w:instrText>
      </w:r>
      <w:r w:rsidRPr="00D365C3">
        <w:rPr>
          <w:rFonts w:ascii="Arial" w:hAnsi="Arial" w:cs="Arial"/>
          <w:sz w:val="18"/>
          <w:szCs w:val="18"/>
        </w:rPr>
        <w:fldChar w:fldCharType="separate"/>
      </w:r>
      <w:r w:rsidR="0062017E">
        <w:rPr>
          <w:rFonts w:ascii="Arial" w:hAnsi="Arial" w:cs="Arial"/>
          <w:noProof/>
          <w:sz w:val="18"/>
          <w:szCs w:val="18"/>
        </w:rPr>
        <w:t>(</w:t>
      </w:r>
      <w:hyperlink w:anchor="_ENREF_3" w:tooltip="Buswell, 2016 #355" w:history="1">
        <w:r w:rsidR="0062017E">
          <w:rPr>
            <w:rFonts w:ascii="Arial" w:hAnsi="Arial" w:cs="Arial"/>
            <w:noProof/>
            <w:sz w:val="18"/>
            <w:szCs w:val="18"/>
          </w:rPr>
          <w:t>Buswell et al., 2016</w:t>
        </w:r>
      </w:hyperlink>
      <w:r w:rsidR="0062017E">
        <w:rPr>
          <w:rFonts w:ascii="Arial" w:hAnsi="Arial" w:cs="Arial"/>
          <w:noProof/>
          <w:sz w:val="18"/>
          <w:szCs w:val="18"/>
        </w:rPr>
        <w:t>)</w:t>
      </w:r>
      <w:r w:rsidRPr="00D365C3">
        <w:rPr>
          <w:rFonts w:ascii="Arial" w:hAnsi="Arial" w:cs="Arial"/>
          <w:sz w:val="18"/>
          <w:szCs w:val="18"/>
        </w:rPr>
        <w:fldChar w:fldCharType="end"/>
      </w:r>
      <w:r w:rsidRPr="00D365C3">
        <w:rPr>
          <w:rFonts w:ascii="Arial" w:hAnsi="Arial" w:cs="Arial"/>
          <w:sz w:val="18"/>
          <w:szCs w:val="18"/>
        </w:rPr>
        <w:t>)</w:t>
      </w:r>
    </w:p>
    <w:p w:rsidR="00EF4617" w:rsidRPr="00D365C3" w:rsidRDefault="00EF4617" w:rsidP="00EF4617">
      <w:pPr>
        <w:spacing w:after="0" w:line="240" w:lineRule="auto"/>
        <w:rPr>
          <w:rFonts w:ascii="Arial" w:hAnsi="Arial" w:cs="Arial"/>
          <w:sz w:val="18"/>
          <w:szCs w:val="18"/>
        </w:rPr>
      </w:pPr>
      <w:r w:rsidRPr="00D365C3">
        <w:rPr>
          <w:rFonts w:ascii="Arial" w:hAnsi="Arial" w:cs="Arial"/>
          <w:sz w:val="18"/>
          <w:szCs w:val="18"/>
          <w:vertAlign w:val="superscript"/>
        </w:rPr>
        <w:t>4</w:t>
      </w:r>
      <w:r w:rsidRPr="00D365C3">
        <w:rPr>
          <w:rFonts w:ascii="Arial" w:hAnsi="Arial" w:cs="Arial"/>
          <w:sz w:val="18"/>
          <w:szCs w:val="18"/>
        </w:rPr>
        <w:t>as a proportion of patients with a dementia record in the whole area</w:t>
      </w:r>
    </w:p>
    <w:p w:rsidR="00EF4617" w:rsidRPr="00EF4617" w:rsidRDefault="00EF4617" w:rsidP="00EF4617">
      <w:pPr>
        <w:spacing w:line="240" w:lineRule="auto"/>
        <w:rPr>
          <w:rFonts w:ascii="Arial" w:hAnsi="Arial" w:cs="Arial"/>
          <w:sz w:val="24"/>
          <w:szCs w:val="24"/>
        </w:rPr>
      </w:pPr>
    </w:p>
    <w:p w:rsidR="00A651F0" w:rsidRPr="00EF4617" w:rsidRDefault="00A651F0" w:rsidP="00EF4617">
      <w:pPr>
        <w:spacing w:line="240" w:lineRule="auto"/>
        <w:rPr>
          <w:rFonts w:ascii="Arial" w:hAnsi="Arial" w:cs="Arial"/>
          <w:b/>
          <w:i/>
          <w:sz w:val="24"/>
          <w:szCs w:val="24"/>
        </w:rPr>
      </w:pPr>
      <w:r w:rsidRPr="00EF4617">
        <w:rPr>
          <w:rFonts w:ascii="Arial" w:hAnsi="Arial" w:cs="Arial"/>
          <w:b/>
          <w:i/>
          <w:sz w:val="24"/>
          <w:szCs w:val="24"/>
        </w:rPr>
        <w:t>Frequency of recording of dementia and rates of conveyance</w:t>
      </w:r>
    </w:p>
    <w:p w:rsidR="00BE45E8" w:rsidRPr="00EF4617" w:rsidRDefault="00DF1399" w:rsidP="00EF4617">
      <w:pPr>
        <w:spacing w:line="240" w:lineRule="auto"/>
        <w:rPr>
          <w:rFonts w:ascii="Arial" w:hAnsi="Arial" w:cs="Arial"/>
          <w:sz w:val="24"/>
          <w:szCs w:val="24"/>
        </w:rPr>
      </w:pPr>
      <w:r w:rsidRPr="00EF4617">
        <w:rPr>
          <w:rFonts w:ascii="Arial" w:hAnsi="Arial" w:cs="Arial"/>
          <w:sz w:val="24"/>
          <w:szCs w:val="24"/>
        </w:rPr>
        <w:t xml:space="preserve">Dementia was recorded in 13.5% </w:t>
      </w:r>
      <w:r w:rsidR="00CF71B7" w:rsidRPr="00EF4617">
        <w:rPr>
          <w:rFonts w:ascii="Arial" w:hAnsi="Arial" w:cs="Arial"/>
          <w:sz w:val="24"/>
          <w:szCs w:val="24"/>
        </w:rPr>
        <w:t xml:space="preserve">[95% </w:t>
      </w:r>
      <w:r w:rsidR="00BE45E8" w:rsidRPr="00EF4617">
        <w:rPr>
          <w:rFonts w:ascii="Arial" w:hAnsi="Arial" w:cs="Arial"/>
          <w:sz w:val="24"/>
          <w:szCs w:val="24"/>
        </w:rPr>
        <w:t>Confidence Interval (</w:t>
      </w:r>
      <w:r w:rsidR="00CF71B7" w:rsidRPr="00EF4617">
        <w:rPr>
          <w:rFonts w:ascii="Arial" w:hAnsi="Arial" w:cs="Arial"/>
          <w:sz w:val="24"/>
          <w:szCs w:val="24"/>
        </w:rPr>
        <w:t>CI</w:t>
      </w:r>
      <w:r w:rsidR="00BE45E8" w:rsidRPr="00EF4617">
        <w:rPr>
          <w:rFonts w:ascii="Arial" w:hAnsi="Arial" w:cs="Arial"/>
          <w:sz w:val="24"/>
          <w:szCs w:val="24"/>
        </w:rPr>
        <w:t>)</w:t>
      </w:r>
      <w:r w:rsidR="00CF71B7" w:rsidRPr="00EF4617">
        <w:rPr>
          <w:rFonts w:ascii="Arial" w:hAnsi="Arial" w:cs="Arial"/>
          <w:sz w:val="24"/>
          <w:szCs w:val="24"/>
        </w:rPr>
        <w:t xml:space="preserve"> 13.3-13.</w:t>
      </w:r>
      <w:r w:rsidR="006722A1" w:rsidRPr="00EF4617">
        <w:rPr>
          <w:rFonts w:ascii="Arial" w:hAnsi="Arial" w:cs="Arial"/>
          <w:sz w:val="24"/>
          <w:szCs w:val="24"/>
        </w:rPr>
        <w:t>7</w:t>
      </w:r>
      <w:r w:rsidR="00CF71B7" w:rsidRPr="00EF4617">
        <w:rPr>
          <w:rFonts w:ascii="Arial" w:hAnsi="Arial" w:cs="Arial"/>
          <w:sz w:val="24"/>
          <w:szCs w:val="24"/>
        </w:rPr>
        <w:t xml:space="preserve">] </w:t>
      </w:r>
      <w:r w:rsidR="00C01795" w:rsidRPr="00EF4617">
        <w:rPr>
          <w:rFonts w:ascii="Arial" w:hAnsi="Arial" w:cs="Arial"/>
          <w:sz w:val="24"/>
          <w:szCs w:val="24"/>
        </w:rPr>
        <w:t>(n=</w:t>
      </w:r>
      <w:r w:rsidR="00453DE0" w:rsidRPr="00EF4617">
        <w:rPr>
          <w:rFonts w:ascii="Arial" w:hAnsi="Arial" w:cs="Arial"/>
          <w:sz w:val="24"/>
          <w:szCs w:val="24"/>
        </w:rPr>
        <w:t>20,014</w:t>
      </w:r>
      <w:r w:rsidR="00C01795" w:rsidRPr="00EF4617">
        <w:rPr>
          <w:rFonts w:ascii="Arial" w:hAnsi="Arial" w:cs="Arial"/>
          <w:sz w:val="24"/>
          <w:szCs w:val="24"/>
        </w:rPr>
        <w:t xml:space="preserve">) </w:t>
      </w:r>
      <w:r w:rsidRPr="00EF4617">
        <w:rPr>
          <w:rFonts w:ascii="Arial" w:hAnsi="Arial" w:cs="Arial"/>
          <w:sz w:val="24"/>
          <w:szCs w:val="24"/>
        </w:rPr>
        <w:t xml:space="preserve">of </w:t>
      </w:r>
      <w:r w:rsidR="00673AD5" w:rsidRPr="00EF4617">
        <w:rPr>
          <w:rFonts w:ascii="Arial" w:hAnsi="Arial" w:cs="Arial"/>
          <w:sz w:val="24"/>
          <w:szCs w:val="24"/>
        </w:rPr>
        <w:t>attendances in</w:t>
      </w:r>
      <w:r w:rsidRPr="00EF4617">
        <w:rPr>
          <w:rFonts w:ascii="Arial" w:hAnsi="Arial" w:cs="Arial"/>
          <w:sz w:val="24"/>
          <w:szCs w:val="24"/>
        </w:rPr>
        <w:t xml:space="preserve"> </w:t>
      </w:r>
      <w:r w:rsidR="00673AD5" w:rsidRPr="00EF4617">
        <w:rPr>
          <w:rFonts w:ascii="Arial" w:hAnsi="Arial" w:cs="Arial"/>
          <w:sz w:val="24"/>
          <w:szCs w:val="24"/>
        </w:rPr>
        <w:t xml:space="preserve">patients </w:t>
      </w:r>
      <w:r w:rsidRPr="00EF4617">
        <w:rPr>
          <w:rFonts w:ascii="Arial" w:hAnsi="Arial" w:cs="Arial"/>
          <w:sz w:val="24"/>
          <w:szCs w:val="24"/>
        </w:rPr>
        <w:t>aged 65+</w:t>
      </w:r>
      <w:r w:rsidR="005B04B5" w:rsidRPr="00EF4617">
        <w:rPr>
          <w:rFonts w:ascii="Arial" w:hAnsi="Arial" w:cs="Arial"/>
          <w:sz w:val="24"/>
          <w:szCs w:val="24"/>
        </w:rPr>
        <w:t xml:space="preserve">, </w:t>
      </w:r>
      <w:r w:rsidR="0009244F" w:rsidRPr="00EF4617">
        <w:rPr>
          <w:rFonts w:ascii="Arial" w:hAnsi="Arial" w:cs="Arial"/>
          <w:sz w:val="24"/>
          <w:szCs w:val="24"/>
        </w:rPr>
        <w:t>and 16.5%</w:t>
      </w:r>
      <w:r w:rsidR="00C01795" w:rsidRPr="00EF4617">
        <w:rPr>
          <w:rFonts w:ascii="Arial" w:hAnsi="Arial" w:cs="Arial"/>
          <w:sz w:val="24"/>
          <w:szCs w:val="24"/>
        </w:rPr>
        <w:t xml:space="preserve"> [95% CI 16.3-16.7]</w:t>
      </w:r>
      <w:r w:rsidR="0009244F" w:rsidRPr="00EF4617">
        <w:rPr>
          <w:rFonts w:ascii="Arial" w:hAnsi="Arial" w:cs="Arial"/>
          <w:sz w:val="24"/>
          <w:szCs w:val="24"/>
        </w:rPr>
        <w:t xml:space="preserve"> </w:t>
      </w:r>
      <w:r w:rsidR="00C01795" w:rsidRPr="00EF4617">
        <w:rPr>
          <w:rFonts w:ascii="Arial" w:hAnsi="Arial" w:cs="Arial"/>
          <w:sz w:val="24"/>
          <w:szCs w:val="24"/>
        </w:rPr>
        <w:t xml:space="preserve">(n=18,404) </w:t>
      </w:r>
      <w:r w:rsidR="0009244F" w:rsidRPr="00EF4617">
        <w:rPr>
          <w:rFonts w:ascii="Arial" w:hAnsi="Arial" w:cs="Arial"/>
          <w:sz w:val="24"/>
          <w:szCs w:val="24"/>
        </w:rPr>
        <w:t>of those aged 75</w:t>
      </w:r>
      <w:r w:rsidR="003A39CD">
        <w:rPr>
          <w:rFonts w:ascii="Arial" w:hAnsi="Arial" w:cs="Arial"/>
          <w:sz w:val="24"/>
          <w:szCs w:val="24"/>
        </w:rPr>
        <w:t xml:space="preserve">+ </w:t>
      </w:r>
      <w:r w:rsidR="003A39CD" w:rsidRPr="00EF4617">
        <w:rPr>
          <w:rFonts w:ascii="Arial" w:hAnsi="Arial" w:cs="Arial"/>
          <w:sz w:val="24"/>
          <w:szCs w:val="24"/>
        </w:rPr>
        <w:t>(Table 1</w:t>
      </w:r>
      <w:r w:rsidR="003A39CD">
        <w:rPr>
          <w:rFonts w:ascii="Arial" w:hAnsi="Arial" w:cs="Arial"/>
          <w:sz w:val="24"/>
          <w:szCs w:val="24"/>
        </w:rPr>
        <w:t>)</w:t>
      </w:r>
      <w:r w:rsidR="00B912CD">
        <w:rPr>
          <w:rFonts w:ascii="Arial" w:hAnsi="Arial" w:cs="Arial"/>
          <w:sz w:val="24"/>
          <w:szCs w:val="24"/>
        </w:rPr>
        <w:t>.</w:t>
      </w:r>
      <w:r w:rsidR="0022077A" w:rsidRPr="00EF4617">
        <w:rPr>
          <w:rFonts w:ascii="Arial" w:hAnsi="Arial" w:cs="Arial"/>
          <w:sz w:val="24"/>
          <w:szCs w:val="24"/>
        </w:rPr>
        <w:t xml:space="preserve"> </w:t>
      </w:r>
      <w:r w:rsidR="00B912CD">
        <w:rPr>
          <w:rFonts w:ascii="Arial" w:hAnsi="Arial" w:cs="Arial"/>
          <w:sz w:val="24"/>
          <w:szCs w:val="24"/>
        </w:rPr>
        <w:t xml:space="preserve"> </w:t>
      </w:r>
      <w:r w:rsidR="00DD2191">
        <w:rPr>
          <w:rFonts w:ascii="Arial" w:hAnsi="Arial" w:cs="Arial"/>
          <w:sz w:val="24"/>
          <w:szCs w:val="24"/>
        </w:rPr>
        <w:t xml:space="preserve">Patients </w:t>
      </w:r>
      <w:r w:rsidR="00B912CD">
        <w:rPr>
          <w:rFonts w:ascii="Arial" w:hAnsi="Arial" w:cs="Arial"/>
          <w:sz w:val="24"/>
          <w:szCs w:val="24"/>
        </w:rPr>
        <w:t>aged 75+</w:t>
      </w:r>
      <w:r w:rsidR="0009244F" w:rsidRPr="00EF4617">
        <w:rPr>
          <w:rFonts w:ascii="Arial" w:hAnsi="Arial" w:cs="Arial"/>
          <w:sz w:val="24"/>
          <w:szCs w:val="24"/>
        </w:rPr>
        <w:t xml:space="preserve"> </w:t>
      </w:r>
      <w:r w:rsidR="0022077A" w:rsidRPr="00EF4617">
        <w:rPr>
          <w:rFonts w:ascii="Arial" w:hAnsi="Arial" w:cs="Arial"/>
          <w:sz w:val="24"/>
          <w:szCs w:val="24"/>
        </w:rPr>
        <w:t xml:space="preserve">contributed </w:t>
      </w:r>
      <w:r w:rsidR="00453DE0" w:rsidRPr="00EF4617">
        <w:rPr>
          <w:rFonts w:ascii="Arial" w:hAnsi="Arial" w:cs="Arial"/>
          <w:sz w:val="24"/>
          <w:szCs w:val="24"/>
        </w:rPr>
        <w:t>92.0</w:t>
      </w:r>
      <w:r w:rsidR="00051F3B" w:rsidRPr="00EF4617">
        <w:rPr>
          <w:rFonts w:ascii="Arial" w:hAnsi="Arial" w:cs="Arial"/>
          <w:sz w:val="24"/>
          <w:szCs w:val="24"/>
        </w:rPr>
        <w:t xml:space="preserve">% of </w:t>
      </w:r>
      <w:r w:rsidR="0009244F" w:rsidRPr="00EF4617">
        <w:rPr>
          <w:rFonts w:ascii="Arial" w:hAnsi="Arial" w:cs="Arial"/>
          <w:sz w:val="24"/>
          <w:szCs w:val="24"/>
        </w:rPr>
        <w:t xml:space="preserve">the </w:t>
      </w:r>
      <w:r w:rsidR="0009244F" w:rsidRPr="00EF4617">
        <w:rPr>
          <w:rFonts w:ascii="Arial" w:hAnsi="Arial" w:cs="Arial"/>
          <w:sz w:val="24"/>
          <w:szCs w:val="24"/>
        </w:rPr>
        <w:lastRenderedPageBreak/>
        <w:t xml:space="preserve">total </w:t>
      </w:r>
      <w:r w:rsidR="00051F3B" w:rsidRPr="00EF4617">
        <w:rPr>
          <w:rFonts w:ascii="Arial" w:hAnsi="Arial" w:cs="Arial"/>
          <w:sz w:val="24"/>
          <w:szCs w:val="24"/>
        </w:rPr>
        <w:t xml:space="preserve">records </w:t>
      </w:r>
      <w:r w:rsidR="0022077A" w:rsidRPr="00EF4617">
        <w:rPr>
          <w:rFonts w:ascii="Arial" w:hAnsi="Arial" w:cs="Arial"/>
          <w:sz w:val="24"/>
          <w:szCs w:val="24"/>
        </w:rPr>
        <w:t>with dementia</w:t>
      </w:r>
      <w:r w:rsidR="00051F3B" w:rsidRPr="00EF4617">
        <w:rPr>
          <w:rFonts w:ascii="Arial" w:hAnsi="Arial" w:cs="Arial"/>
          <w:sz w:val="24"/>
          <w:szCs w:val="24"/>
        </w:rPr>
        <w:t>. The proportion of 65+ with a dementia record varied between CCGs, from</w:t>
      </w:r>
      <w:r w:rsidR="005B04B5" w:rsidRPr="00EF4617">
        <w:rPr>
          <w:rFonts w:ascii="Arial" w:hAnsi="Arial" w:cs="Arial"/>
          <w:sz w:val="24"/>
          <w:szCs w:val="24"/>
        </w:rPr>
        <w:t xml:space="preserve"> 11.0% in Bracknell and Ascot CCG to 15.3% in Portsmouth CCG and Wokingham CCG</w:t>
      </w:r>
      <w:r w:rsidR="00051F3B" w:rsidRPr="00EF4617">
        <w:rPr>
          <w:rFonts w:ascii="Arial" w:hAnsi="Arial" w:cs="Arial"/>
          <w:sz w:val="24"/>
          <w:szCs w:val="24"/>
        </w:rPr>
        <w:t>.</w:t>
      </w:r>
      <w:r w:rsidRPr="00EF4617">
        <w:rPr>
          <w:rFonts w:ascii="Arial" w:hAnsi="Arial" w:cs="Arial"/>
          <w:sz w:val="24"/>
          <w:szCs w:val="24"/>
        </w:rPr>
        <w:t xml:space="preserve"> </w:t>
      </w:r>
    </w:p>
    <w:p w:rsidR="0026456B" w:rsidRDefault="000D25E1" w:rsidP="00EF4617">
      <w:pPr>
        <w:spacing w:line="240" w:lineRule="auto"/>
        <w:rPr>
          <w:rFonts w:ascii="Arial" w:hAnsi="Arial" w:cs="Arial"/>
          <w:sz w:val="24"/>
          <w:szCs w:val="24"/>
        </w:rPr>
      </w:pPr>
      <w:r w:rsidRPr="00EF4617">
        <w:rPr>
          <w:rFonts w:ascii="Arial" w:hAnsi="Arial" w:cs="Arial"/>
          <w:sz w:val="24"/>
          <w:szCs w:val="24"/>
        </w:rPr>
        <w:t xml:space="preserve">Patients with a record of ‘dementia’ in the EPR had lower conveyance rates </w:t>
      </w:r>
      <w:r w:rsidR="003C6FCA">
        <w:rPr>
          <w:rFonts w:ascii="Arial" w:hAnsi="Arial" w:cs="Arial"/>
          <w:sz w:val="24"/>
          <w:szCs w:val="24"/>
        </w:rPr>
        <w:t xml:space="preserve">than those with no dementia record </w:t>
      </w:r>
      <w:r w:rsidR="00A8151F" w:rsidRPr="00A8151F">
        <w:rPr>
          <w:rFonts w:ascii="Arial" w:hAnsi="Arial" w:cs="Arial"/>
          <w:sz w:val="24"/>
          <w:szCs w:val="24"/>
        </w:rPr>
        <w:t>(Table 2)</w:t>
      </w:r>
      <w:r w:rsidRPr="00EF4617">
        <w:rPr>
          <w:rFonts w:ascii="Arial" w:hAnsi="Arial" w:cs="Arial"/>
          <w:sz w:val="24"/>
          <w:szCs w:val="24"/>
        </w:rPr>
        <w:t xml:space="preserve">. </w:t>
      </w:r>
      <w:r w:rsidR="00A8151F" w:rsidRPr="00EF4617">
        <w:rPr>
          <w:rFonts w:ascii="Arial" w:hAnsi="Arial" w:cs="Arial"/>
          <w:sz w:val="24"/>
          <w:szCs w:val="24"/>
        </w:rPr>
        <w:t>There was a</w:t>
      </w:r>
      <w:r w:rsidR="00A73EFB">
        <w:rPr>
          <w:rFonts w:ascii="Arial" w:hAnsi="Arial" w:cs="Arial"/>
          <w:sz w:val="24"/>
          <w:szCs w:val="24"/>
        </w:rPr>
        <w:t>n</w:t>
      </w:r>
      <w:r w:rsidR="00A8151F" w:rsidRPr="00EF4617">
        <w:rPr>
          <w:rFonts w:ascii="Arial" w:hAnsi="Arial" w:cs="Arial"/>
          <w:sz w:val="24"/>
          <w:szCs w:val="24"/>
        </w:rPr>
        <w:t xml:space="preserve"> association between a recording of </w:t>
      </w:r>
      <w:r w:rsidR="00A8151F">
        <w:rPr>
          <w:rFonts w:ascii="Arial" w:hAnsi="Arial" w:cs="Arial"/>
          <w:sz w:val="24"/>
          <w:szCs w:val="24"/>
        </w:rPr>
        <w:t xml:space="preserve">dementia </w:t>
      </w:r>
      <w:r w:rsidR="00A8151F" w:rsidRPr="00EF4617">
        <w:rPr>
          <w:rFonts w:ascii="Arial" w:hAnsi="Arial" w:cs="Arial"/>
          <w:sz w:val="24"/>
          <w:szCs w:val="24"/>
        </w:rPr>
        <w:t>and a lower odds of being conveyed to hospital for patients aged 65+ (odds rat</w:t>
      </w:r>
      <w:r w:rsidR="00A73EFB">
        <w:rPr>
          <w:rFonts w:ascii="Arial" w:hAnsi="Arial" w:cs="Arial"/>
          <w:sz w:val="24"/>
          <w:szCs w:val="24"/>
        </w:rPr>
        <w:t>io (OR) 0.73, 95% CI 0.71- 0.75</w:t>
      </w:r>
      <w:r w:rsidR="00A8151F" w:rsidRPr="00EF4617">
        <w:rPr>
          <w:rFonts w:ascii="Arial" w:hAnsi="Arial" w:cs="Arial"/>
          <w:sz w:val="24"/>
          <w:szCs w:val="24"/>
        </w:rPr>
        <w:t>) and also for patients aged 75+ (OR 0</w:t>
      </w:r>
      <w:r w:rsidR="00A73EFB">
        <w:rPr>
          <w:rFonts w:ascii="Arial" w:hAnsi="Arial" w:cs="Arial"/>
          <w:sz w:val="24"/>
          <w:szCs w:val="24"/>
        </w:rPr>
        <w:t>.77, 95% CI 0.75 – 0.80</w:t>
      </w:r>
      <w:r w:rsidR="00A8151F" w:rsidRPr="00EF4617">
        <w:rPr>
          <w:rFonts w:ascii="Arial" w:hAnsi="Arial" w:cs="Arial"/>
          <w:sz w:val="24"/>
          <w:szCs w:val="24"/>
        </w:rPr>
        <w:t>).</w:t>
      </w:r>
    </w:p>
    <w:p w:rsidR="00A8151F" w:rsidRDefault="00A8151F" w:rsidP="00EF4617">
      <w:pPr>
        <w:spacing w:line="240" w:lineRule="auto"/>
        <w:rPr>
          <w:rFonts w:ascii="Arial" w:hAnsi="Arial" w:cs="Arial"/>
          <w:sz w:val="24"/>
          <w:szCs w:val="24"/>
        </w:rPr>
      </w:pPr>
      <w:r>
        <w:rPr>
          <w:rFonts w:ascii="Arial" w:hAnsi="Arial" w:cs="Arial"/>
          <w:sz w:val="24"/>
          <w:szCs w:val="24"/>
        </w:rPr>
        <w:t xml:space="preserve">Conveyance rates varied between CCG </w:t>
      </w:r>
      <w:r w:rsidR="00B92D57">
        <w:rPr>
          <w:rFonts w:ascii="Arial" w:hAnsi="Arial" w:cs="Arial"/>
          <w:sz w:val="24"/>
          <w:szCs w:val="24"/>
        </w:rPr>
        <w:t xml:space="preserve">in a similar pattern </w:t>
      </w:r>
      <w:r>
        <w:rPr>
          <w:rFonts w:ascii="Arial" w:hAnsi="Arial" w:cs="Arial"/>
          <w:sz w:val="24"/>
          <w:szCs w:val="24"/>
        </w:rPr>
        <w:t>whether the patient was noted to have dementia or not</w:t>
      </w:r>
      <w:r w:rsidR="00B92D57">
        <w:rPr>
          <w:rFonts w:ascii="Arial" w:hAnsi="Arial" w:cs="Arial"/>
          <w:sz w:val="24"/>
          <w:szCs w:val="24"/>
        </w:rPr>
        <w:t>.  T</w:t>
      </w:r>
      <w:r>
        <w:rPr>
          <w:rFonts w:ascii="Arial" w:hAnsi="Arial" w:cs="Arial"/>
          <w:sz w:val="24"/>
          <w:szCs w:val="24"/>
        </w:rPr>
        <w:t xml:space="preserve">here was far greater variability where the patient had dementia recorded.  </w:t>
      </w:r>
    </w:p>
    <w:p w:rsidR="00371632" w:rsidRDefault="00BE45E8" w:rsidP="00EF4617">
      <w:pPr>
        <w:spacing w:line="240" w:lineRule="auto"/>
        <w:rPr>
          <w:rFonts w:ascii="Arial" w:hAnsi="Arial" w:cs="Arial"/>
          <w:sz w:val="24"/>
          <w:szCs w:val="24"/>
        </w:rPr>
      </w:pPr>
      <w:r w:rsidRPr="00EF4617">
        <w:rPr>
          <w:rFonts w:ascii="Arial" w:hAnsi="Arial" w:cs="Arial"/>
          <w:sz w:val="24"/>
          <w:szCs w:val="24"/>
        </w:rPr>
        <w:t xml:space="preserve">Patients with a dementia record comprised 12.2% (95% CI 12.0-12.4) of the total conveyances of patients </w:t>
      </w:r>
      <w:r w:rsidR="00B92D57">
        <w:rPr>
          <w:rFonts w:ascii="Arial" w:hAnsi="Arial" w:cs="Arial"/>
          <w:sz w:val="24"/>
          <w:szCs w:val="24"/>
        </w:rPr>
        <w:t xml:space="preserve">aged </w:t>
      </w:r>
      <w:r w:rsidRPr="00EF4617">
        <w:rPr>
          <w:rFonts w:ascii="Arial" w:hAnsi="Arial" w:cs="Arial"/>
          <w:sz w:val="24"/>
          <w:szCs w:val="24"/>
        </w:rPr>
        <w:t xml:space="preserve">65+, rising to 15.2% (95% CI 14.9 – 15.5) for patients </w:t>
      </w:r>
      <w:r w:rsidR="00B92D57">
        <w:rPr>
          <w:rFonts w:ascii="Arial" w:hAnsi="Arial" w:cs="Arial"/>
          <w:sz w:val="24"/>
          <w:szCs w:val="24"/>
        </w:rPr>
        <w:t xml:space="preserve">aged </w:t>
      </w:r>
      <w:r w:rsidRPr="00EF4617">
        <w:rPr>
          <w:rFonts w:ascii="Arial" w:hAnsi="Arial" w:cs="Arial"/>
          <w:sz w:val="24"/>
          <w:szCs w:val="24"/>
        </w:rPr>
        <w:t xml:space="preserve">75+. </w:t>
      </w:r>
    </w:p>
    <w:p w:rsidR="00371632" w:rsidRDefault="00371632" w:rsidP="00EF4617">
      <w:pPr>
        <w:spacing w:line="240" w:lineRule="auto"/>
        <w:rPr>
          <w:rFonts w:ascii="Arial" w:hAnsi="Arial" w:cs="Arial"/>
          <w:sz w:val="24"/>
          <w:szCs w:val="24"/>
        </w:rPr>
      </w:pPr>
    </w:p>
    <w:p w:rsidR="00EF4617" w:rsidRPr="00EF4617" w:rsidRDefault="00EF4617" w:rsidP="00EF4617">
      <w:pPr>
        <w:spacing w:line="240" w:lineRule="auto"/>
        <w:rPr>
          <w:rFonts w:ascii="Arial" w:hAnsi="Arial" w:cs="Arial"/>
          <w:b/>
          <w:sz w:val="24"/>
          <w:szCs w:val="24"/>
        </w:rPr>
      </w:pPr>
      <w:r w:rsidRPr="00EF4617">
        <w:rPr>
          <w:rFonts w:ascii="Arial" w:hAnsi="Arial" w:cs="Arial"/>
          <w:b/>
          <w:sz w:val="24"/>
          <w:szCs w:val="24"/>
        </w:rPr>
        <w:t>Table 2 Frequency of ‘dementia’ record in patients conveyed to hospital, by Clinical Commissioning Group Area for patients aged 65</w:t>
      </w:r>
      <w:r w:rsidR="00895DE7">
        <w:rPr>
          <w:rFonts w:ascii="Arial" w:hAnsi="Arial" w:cs="Arial"/>
          <w:b/>
          <w:sz w:val="24"/>
          <w:szCs w:val="24"/>
        </w:rPr>
        <w:t>+</w:t>
      </w:r>
    </w:p>
    <w:tbl>
      <w:tblPr>
        <w:tblStyle w:val="TableGrid"/>
        <w:tblW w:w="12145" w:type="dxa"/>
        <w:tblLayout w:type="fixed"/>
        <w:tblLook w:val="04A0" w:firstRow="1" w:lastRow="0" w:firstColumn="1" w:lastColumn="0" w:noHBand="0" w:noVBand="1"/>
      </w:tblPr>
      <w:tblGrid>
        <w:gridCol w:w="2515"/>
        <w:gridCol w:w="1170"/>
        <w:gridCol w:w="720"/>
        <w:gridCol w:w="1080"/>
        <w:gridCol w:w="1080"/>
        <w:gridCol w:w="810"/>
        <w:gridCol w:w="1170"/>
        <w:gridCol w:w="1080"/>
        <w:gridCol w:w="990"/>
        <w:gridCol w:w="800"/>
        <w:gridCol w:w="730"/>
      </w:tblGrid>
      <w:tr w:rsidR="00371632" w:rsidRPr="00EF4617" w:rsidTr="00773EEC">
        <w:trPr>
          <w:cantSplit/>
          <w:trHeight w:val="608"/>
        </w:trPr>
        <w:tc>
          <w:tcPr>
            <w:tcW w:w="2515" w:type="dxa"/>
            <w:vMerge w:val="restart"/>
          </w:tcPr>
          <w:p w:rsidR="00371632" w:rsidRPr="00EF4617" w:rsidRDefault="00371632" w:rsidP="00863FDF">
            <w:pPr>
              <w:jc w:val="both"/>
              <w:rPr>
                <w:rFonts w:ascii="Arial" w:hAnsi="Arial" w:cs="Arial"/>
                <w:b/>
                <w:sz w:val="16"/>
                <w:szCs w:val="16"/>
              </w:rPr>
            </w:pPr>
            <w:r w:rsidRPr="00EF4617">
              <w:rPr>
                <w:rFonts w:ascii="Arial" w:hAnsi="Arial" w:cs="Arial"/>
                <w:b/>
                <w:sz w:val="16"/>
                <w:szCs w:val="16"/>
              </w:rPr>
              <w:t>CCG</w:t>
            </w:r>
          </w:p>
        </w:tc>
        <w:tc>
          <w:tcPr>
            <w:tcW w:w="1170" w:type="dxa"/>
            <w:vMerge w:val="restart"/>
          </w:tcPr>
          <w:p w:rsidR="00371632" w:rsidRPr="00EF4617" w:rsidRDefault="00371632" w:rsidP="00863FDF">
            <w:pPr>
              <w:jc w:val="center"/>
              <w:rPr>
                <w:rFonts w:ascii="Arial" w:hAnsi="Arial" w:cs="Arial"/>
                <w:b/>
                <w:sz w:val="16"/>
                <w:szCs w:val="16"/>
              </w:rPr>
            </w:pPr>
            <w:r w:rsidRPr="00EF4617">
              <w:rPr>
                <w:rFonts w:ascii="Arial" w:hAnsi="Arial" w:cs="Arial"/>
                <w:b/>
                <w:sz w:val="16"/>
                <w:szCs w:val="16"/>
              </w:rPr>
              <w:t>Total attendances 65+ or 75+</w:t>
            </w:r>
          </w:p>
          <w:p w:rsidR="00371632" w:rsidRPr="00EF4617" w:rsidRDefault="00371632" w:rsidP="00863FDF">
            <w:pPr>
              <w:jc w:val="center"/>
              <w:rPr>
                <w:rFonts w:ascii="Arial" w:hAnsi="Arial" w:cs="Arial"/>
                <w:b/>
                <w:sz w:val="16"/>
                <w:szCs w:val="16"/>
              </w:rPr>
            </w:pPr>
            <w:r w:rsidRPr="00EF4617">
              <w:rPr>
                <w:rFonts w:ascii="Arial" w:hAnsi="Arial" w:cs="Arial"/>
                <w:b/>
                <w:sz w:val="16"/>
                <w:szCs w:val="16"/>
              </w:rPr>
              <w:t>(n)</w:t>
            </w:r>
          </w:p>
        </w:tc>
        <w:tc>
          <w:tcPr>
            <w:tcW w:w="2880" w:type="dxa"/>
            <w:gridSpan w:val="3"/>
          </w:tcPr>
          <w:p w:rsidR="00371632" w:rsidRPr="00EF4617" w:rsidRDefault="00371632" w:rsidP="00863FDF">
            <w:pPr>
              <w:jc w:val="center"/>
              <w:rPr>
                <w:rFonts w:ascii="Arial" w:hAnsi="Arial" w:cs="Arial"/>
                <w:b/>
                <w:sz w:val="16"/>
                <w:szCs w:val="16"/>
              </w:rPr>
            </w:pPr>
            <w:r w:rsidRPr="00EF4617">
              <w:rPr>
                <w:rFonts w:ascii="Arial" w:hAnsi="Arial" w:cs="Arial"/>
                <w:b/>
                <w:sz w:val="16"/>
                <w:szCs w:val="16"/>
              </w:rPr>
              <w:t>Total conveyed</w:t>
            </w:r>
          </w:p>
          <w:p w:rsidR="00371632" w:rsidRPr="00EF4617" w:rsidRDefault="00371632" w:rsidP="00863FDF">
            <w:pPr>
              <w:jc w:val="center"/>
              <w:rPr>
                <w:rFonts w:ascii="Arial" w:hAnsi="Arial" w:cs="Arial"/>
                <w:b/>
                <w:sz w:val="16"/>
                <w:szCs w:val="16"/>
              </w:rPr>
            </w:pPr>
          </w:p>
        </w:tc>
        <w:tc>
          <w:tcPr>
            <w:tcW w:w="3060" w:type="dxa"/>
            <w:gridSpan w:val="3"/>
          </w:tcPr>
          <w:p w:rsidR="00371632" w:rsidRPr="00EF4617" w:rsidRDefault="00371632" w:rsidP="00863FDF">
            <w:pPr>
              <w:jc w:val="center"/>
              <w:rPr>
                <w:rFonts w:ascii="Arial" w:hAnsi="Arial" w:cs="Arial"/>
                <w:b/>
                <w:sz w:val="16"/>
                <w:szCs w:val="16"/>
              </w:rPr>
            </w:pPr>
            <w:r w:rsidRPr="00EF4617">
              <w:rPr>
                <w:rFonts w:ascii="Arial" w:hAnsi="Arial" w:cs="Arial"/>
                <w:b/>
                <w:sz w:val="16"/>
                <w:szCs w:val="16"/>
              </w:rPr>
              <w:t>Patients with dementia conveyed</w:t>
            </w:r>
          </w:p>
        </w:tc>
        <w:tc>
          <w:tcPr>
            <w:tcW w:w="990" w:type="dxa"/>
            <w:vMerge w:val="restart"/>
          </w:tcPr>
          <w:p w:rsidR="00371632" w:rsidRPr="00EF4617" w:rsidRDefault="00371632" w:rsidP="00863FDF">
            <w:pPr>
              <w:jc w:val="center"/>
              <w:rPr>
                <w:rFonts w:ascii="Arial" w:hAnsi="Arial" w:cs="Arial"/>
                <w:b/>
                <w:sz w:val="16"/>
                <w:szCs w:val="16"/>
                <w:vertAlign w:val="superscript"/>
              </w:rPr>
            </w:pPr>
            <w:r w:rsidRPr="00EF4617">
              <w:rPr>
                <w:rFonts w:ascii="Arial" w:hAnsi="Arial" w:cs="Arial"/>
                <w:b/>
                <w:sz w:val="16"/>
                <w:szCs w:val="16"/>
              </w:rPr>
              <w:t>Patients with no record of dementia (n)</w:t>
            </w:r>
          </w:p>
        </w:tc>
        <w:tc>
          <w:tcPr>
            <w:tcW w:w="1530" w:type="dxa"/>
            <w:gridSpan w:val="2"/>
          </w:tcPr>
          <w:p w:rsidR="00371632" w:rsidRPr="00EF4617" w:rsidRDefault="00371632" w:rsidP="00863FDF">
            <w:pPr>
              <w:jc w:val="center"/>
              <w:rPr>
                <w:rFonts w:ascii="Arial" w:hAnsi="Arial" w:cs="Arial"/>
                <w:b/>
                <w:sz w:val="16"/>
                <w:szCs w:val="16"/>
              </w:rPr>
            </w:pPr>
            <w:r w:rsidRPr="00EF4617">
              <w:rPr>
                <w:rFonts w:ascii="Arial" w:hAnsi="Arial" w:cs="Arial"/>
                <w:b/>
                <w:sz w:val="16"/>
                <w:szCs w:val="16"/>
              </w:rPr>
              <w:t>Patients with no record of dementia conveyed</w:t>
            </w:r>
          </w:p>
        </w:tc>
      </w:tr>
      <w:tr w:rsidR="00773EEC" w:rsidRPr="00EF4617" w:rsidTr="00773EEC">
        <w:trPr>
          <w:cantSplit/>
          <w:trHeight w:val="607"/>
        </w:trPr>
        <w:tc>
          <w:tcPr>
            <w:tcW w:w="2515" w:type="dxa"/>
            <w:vMerge/>
          </w:tcPr>
          <w:p w:rsidR="00371632" w:rsidRPr="00EF4617" w:rsidRDefault="00371632" w:rsidP="00863FDF">
            <w:pPr>
              <w:jc w:val="both"/>
              <w:rPr>
                <w:rFonts w:ascii="Arial" w:hAnsi="Arial" w:cs="Arial"/>
                <w:b/>
                <w:sz w:val="16"/>
                <w:szCs w:val="16"/>
              </w:rPr>
            </w:pPr>
          </w:p>
        </w:tc>
        <w:tc>
          <w:tcPr>
            <w:tcW w:w="1170" w:type="dxa"/>
            <w:vMerge/>
          </w:tcPr>
          <w:p w:rsidR="00371632" w:rsidRPr="00EF4617" w:rsidRDefault="00371632" w:rsidP="00863FDF">
            <w:pPr>
              <w:jc w:val="center"/>
              <w:rPr>
                <w:rFonts w:ascii="Arial" w:hAnsi="Arial" w:cs="Arial"/>
                <w:b/>
                <w:sz w:val="16"/>
                <w:szCs w:val="16"/>
              </w:rPr>
            </w:pPr>
          </w:p>
        </w:tc>
        <w:tc>
          <w:tcPr>
            <w:tcW w:w="720" w:type="dxa"/>
          </w:tcPr>
          <w:p w:rsidR="00371632" w:rsidRPr="00EF4617" w:rsidRDefault="00371632" w:rsidP="00863FDF">
            <w:pPr>
              <w:jc w:val="center"/>
              <w:rPr>
                <w:rFonts w:ascii="Arial" w:hAnsi="Arial" w:cs="Arial"/>
                <w:b/>
                <w:sz w:val="16"/>
                <w:szCs w:val="16"/>
              </w:rPr>
            </w:pPr>
            <w:r w:rsidRPr="00EF4617">
              <w:rPr>
                <w:rFonts w:ascii="Arial" w:hAnsi="Arial" w:cs="Arial"/>
                <w:b/>
                <w:sz w:val="16"/>
                <w:szCs w:val="16"/>
              </w:rPr>
              <w:t>(n)</w:t>
            </w:r>
          </w:p>
        </w:tc>
        <w:tc>
          <w:tcPr>
            <w:tcW w:w="1080" w:type="dxa"/>
          </w:tcPr>
          <w:p w:rsidR="00371632" w:rsidRPr="00EF4617" w:rsidRDefault="00371632" w:rsidP="00863FDF">
            <w:pPr>
              <w:jc w:val="center"/>
              <w:rPr>
                <w:rFonts w:ascii="Arial" w:hAnsi="Arial" w:cs="Arial"/>
                <w:b/>
                <w:sz w:val="16"/>
                <w:szCs w:val="16"/>
              </w:rPr>
            </w:pPr>
            <w:r>
              <w:rPr>
                <w:rFonts w:ascii="Arial" w:hAnsi="Arial" w:cs="Arial"/>
                <w:b/>
                <w:sz w:val="16"/>
                <w:szCs w:val="16"/>
              </w:rPr>
              <w:t xml:space="preserve">Proportion per CCG </w:t>
            </w:r>
            <w:r w:rsidRPr="00EF4617">
              <w:rPr>
                <w:rFonts w:ascii="Arial" w:hAnsi="Arial" w:cs="Arial"/>
                <w:b/>
                <w:sz w:val="16"/>
                <w:szCs w:val="16"/>
              </w:rPr>
              <w:t>(%)</w:t>
            </w:r>
          </w:p>
        </w:tc>
        <w:tc>
          <w:tcPr>
            <w:tcW w:w="1080" w:type="dxa"/>
          </w:tcPr>
          <w:p w:rsidR="00371632" w:rsidRPr="00EF4617" w:rsidRDefault="00371632" w:rsidP="00863FDF">
            <w:pPr>
              <w:jc w:val="center"/>
              <w:rPr>
                <w:rFonts w:ascii="Arial" w:hAnsi="Arial" w:cs="Arial"/>
                <w:b/>
                <w:sz w:val="16"/>
                <w:szCs w:val="16"/>
              </w:rPr>
            </w:pPr>
            <w:r>
              <w:rPr>
                <w:rFonts w:ascii="Arial" w:hAnsi="Arial" w:cs="Arial"/>
                <w:b/>
                <w:sz w:val="16"/>
                <w:szCs w:val="16"/>
              </w:rPr>
              <w:t>Proportion of all CCGs (%)</w:t>
            </w:r>
          </w:p>
        </w:tc>
        <w:tc>
          <w:tcPr>
            <w:tcW w:w="810" w:type="dxa"/>
          </w:tcPr>
          <w:p w:rsidR="00371632" w:rsidRPr="00EF4617" w:rsidRDefault="00371632" w:rsidP="00863FDF">
            <w:pPr>
              <w:jc w:val="center"/>
              <w:rPr>
                <w:rFonts w:ascii="Arial" w:hAnsi="Arial" w:cs="Arial"/>
                <w:b/>
                <w:sz w:val="16"/>
                <w:szCs w:val="16"/>
              </w:rPr>
            </w:pPr>
            <w:r w:rsidRPr="00EF4617">
              <w:rPr>
                <w:rFonts w:ascii="Arial" w:hAnsi="Arial" w:cs="Arial"/>
                <w:b/>
                <w:sz w:val="16"/>
                <w:szCs w:val="16"/>
              </w:rPr>
              <w:t>(n)</w:t>
            </w:r>
          </w:p>
        </w:tc>
        <w:tc>
          <w:tcPr>
            <w:tcW w:w="1170" w:type="dxa"/>
          </w:tcPr>
          <w:p w:rsidR="00371632" w:rsidRPr="00EF4617" w:rsidRDefault="00371632" w:rsidP="00863FDF">
            <w:pPr>
              <w:jc w:val="center"/>
              <w:rPr>
                <w:rFonts w:ascii="Arial" w:hAnsi="Arial" w:cs="Arial"/>
                <w:b/>
                <w:sz w:val="16"/>
                <w:szCs w:val="16"/>
              </w:rPr>
            </w:pPr>
            <w:r>
              <w:rPr>
                <w:rFonts w:ascii="Arial" w:hAnsi="Arial" w:cs="Arial"/>
                <w:b/>
                <w:sz w:val="16"/>
                <w:szCs w:val="16"/>
              </w:rPr>
              <w:t xml:space="preserve">Proportion per CCG </w:t>
            </w:r>
            <w:r w:rsidRPr="00EF4617">
              <w:rPr>
                <w:rFonts w:ascii="Arial" w:hAnsi="Arial" w:cs="Arial"/>
                <w:b/>
                <w:sz w:val="16"/>
                <w:szCs w:val="16"/>
              </w:rPr>
              <w:t>(%)</w:t>
            </w:r>
          </w:p>
        </w:tc>
        <w:tc>
          <w:tcPr>
            <w:tcW w:w="1080" w:type="dxa"/>
          </w:tcPr>
          <w:p w:rsidR="00371632" w:rsidRPr="00EF4617" w:rsidRDefault="00371632" w:rsidP="00863FDF">
            <w:pPr>
              <w:jc w:val="center"/>
              <w:rPr>
                <w:rFonts w:ascii="Arial" w:hAnsi="Arial" w:cs="Arial"/>
                <w:b/>
                <w:sz w:val="16"/>
                <w:szCs w:val="16"/>
              </w:rPr>
            </w:pPr>
            <w:r>
              <w:rPr>
                <w:rFonts w:ascii="Arial" w:hAnsi="Arial" w:cs="Arial"/>
                <w:b/>
                <w:sz w:val="16"/>
                <w:szCs w:val="16"/>
              </w:rPr>
              <w:t>Proportion of all CCGs (%)</w:t>
            </w:r>
          </w:p>
        </w:tc>
        <w:tc>
          <w:tcPr>
            <w:tcW w:w="990" w:type="dxa"/>
            <w:vMerge/>
          </w:tcPr>
          <w:p w:rsidR="00371632" w:rsidRPr="00EF4617" w:rsidRDefault="00371632" w:rsidP="00863FDF">
            <w:pPr>
              <w:jc w:val="center"/>
              <w:rPr>
                <w:rFonts w:ascii="Arial" w:hAnsi="Arial" w:cs="Arial"/>
                <w:b/>
                <w:sz w:val="16"/>
                <w:szCs w:val="16"/>
              </w:rPr>
            </w:pPr>
          </w:p>
        </w:tc>
        <w:tc>
          <w:tcPr>
            <w:tcW w:w="800" w:type="dxa"/>
          </w:tcPr>
          <w:p w:rsidR="00371632" w:rsidRPr="00EF4617" w:rsidRDefault="00371632" w:rsidP="00863FDF">
            <w:pPr>
              <w:jc w:val="center"/>
              <w:rPr>
                <w:rFonts w:ascii="Arial" w:hAnsi="Arial" w:cs="Arial"/>
                <w:b/>
                <w:sz w:val="16"/>
                <w:szCs w:val="16"/>
              </w:rPr>
            </w:pPr>
            <w:r w:rsidRPr="00EF4617">
              <w:rPr>
                <w:rFonts w:ascii="Arial" w:hAnsi="Arial" w:cs="Arial"/>
                <w:b/>
                <w:sz w:val="16"/>
                <w:szCs w:val="16"/>
              </w:rPr>
              <w:t>(n)</w:t>
            </w:r>
          </w:p>
        </w:tc>
        <w:tc>
          <w:tcPr>
            <w:tcW w:w="730" w:type="dxa"/>
          </w:tcPr>
          <w:p w:rsidR="00371632" w:rsidRPr="00EF4617" w:rsidRDefault="00371632" w:rsidP="00863FDF">
            <w:pPr>
              <w:jc w:val="center"/>
              <w:rPr>
                <w:rFonts w:ascii="Arial" w:hAnsi="Arial" w:cs="Arial"/>
                <w:b/>
                <w:sz w:val="16"/>
                <w:szCs w:val="16"/>
              </w:rPr>
            </w:pPr>
            <w:r w:rsidRPr="00EF4617">
              <w:rPr>
                <w:rFonts w:ascii="Arial" w:hAnsi="Arial" w:cs="Arial"/>
                <w:b/>
                <w:sz w:val="16"/>
                <w:szCs w:val="16"/>
              </w:rPr>
              <w:t>(%)</w:t>
            </w:r>
          </w:p>
        </w:tc>
      </w:tr>
      <w:tr w:rsidR="00371632" w:rsidRPr="00EF4617" w:rsidTr="00773EEC">
        <w:trPr>
          <w:trHeight w:val="536"/>
        </w:trPr>
        <w:tc>
          <w:tcPr>
            <w:tcW w:w="12145" w:type="dxa"/>
            <w:gridSpan w:val="11"/>
          </w:tcPr>
          <w:p w:rsidR="00371632" w:rsidRPr="00EF4617" w:rsidRDefault="00371632" w:rsidP="00371632">
            <w:pPr>
              <w:rPr>
                <w:rFonts w:ascii="Arial" w:hAnsi="Arial" w:cs="Arial"/>
                <w:b/>
                <w:color w:val="000000"/>
                <w:sz w:val="16"/>
                <w:szCs w:val="16"/>
              </w:rPr>
            </w:pPr>
            <w:r w:rsidRPr="00EF4617">
              <w:rPr>
                <w:rFonts w:ascii="Arial" w:hAnsi="Arial" w:cs="Arial"/>
                <w:b/>
                <w:color w:val="000000"/>
                <w:sz w:val="16"/>
                <w:szCs w:val="16"/>
              </w:rPr>
              <w:t>PATIENTS AGED 65</w:t>
            </w:r>
            <w:r>
              <w:rPr>
                <w:rFonts w:ascii="Arial" w:hAnsi="Arial" w:cs="Arial"/>
                <w:b/>
                <w:color w:val="000000"/>
                <w:sz w:val="16"/>
                <w:szCs w:val="16"/>
              </w:rPr>
              <w:t>+</w:t>
            </w:r>
          </w:p>
        </w:tc>
      </w:tr>
      <w:tr w:rsidR="00773EEC" w:rsidRPr="00EF4617" w:rsidTr="00773EEC">
        <w:trPr>
          <w:cantSplit/>
          <w:trHeight w:val="286"/>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Aylesbury Vale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7,095</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4,913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69.2%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915</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587</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11.9%</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6,180</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4,326</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70.0%</w:t>
            </w:r>
          </w:p>
        </w:tc>
      </w:tr>
      <w:tr w:rsidR="00773EEC" w:rsidRPr="00EF4617" w:rsidTr="00773EEC">
        <w:trPr>
          <w:cantSplit/>
          <w:trHeight w:val="291"/>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Bracknell and Ascot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4,430</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3,013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68.0%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486</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337</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69.3%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11.2%</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3,944</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2,676</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67.8%</w:t>
            </w:r>
          </w:p>
        </w:tc>
      </w:tr>
      <w:tr w:rsidR="00773EEC" w:rsidRPr="00EF4617" w:rsidTr="00773EEC">
        <w:trPr>
          <w:cantSplit/>
          <w:trHeight w:val="267"/>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Fareham and Gosport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10,486</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6,710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1,457</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843</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57.9%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12.6%</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9,029</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5,867</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65.0%</w:t>
            </w:r>
          </w:p>
        </w:tc>
      </w:tr>
      <w:tr w:rsidR="00773EEC" w:rsidRPr="00EF4617" w:rsidTr="00773EEC">
        <w:trPr>
          <w:cantSplit/>
          <w:trHeight w:val="285"/>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Milton Keynes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9,850</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6,699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68.0%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1,348</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900</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66.8%</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13.4%</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8,502</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5,799</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68.2%</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Newbury and District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4,819</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2,972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61.7%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687</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369</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53.7%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12.4%</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4,132</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2,603</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63.0%</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North &amp; West Reading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3,823</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2,469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64.6%</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500</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291</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58.2%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11.8%</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3,323</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2,178</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65.5%</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North Hampshire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8,561</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5,332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1,087</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556</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51.1%</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10.4%</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7,474</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4,776</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63.9%</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Oxfordshire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28,432</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18,746</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3,498</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2,118</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60.5%</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11.3%</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24,934</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16,628</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66.7%</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Portsmouth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10,837</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6,817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1,660</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924</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55.7%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13.6%</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9,177</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5,893</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64.2%</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South Eastern Hampshire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12,877</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8,157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63.3%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1,725</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985</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57.1%</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12.1%</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11,152</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7,172</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64.3%</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Southampton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11,152</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7,726</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69.3%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1,529</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1,003</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65.6%</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13.0%</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9,623</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6,723</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69.9%</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West Hampshire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30,481</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19,532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64.1%</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4,295</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2,379</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55.4%</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12.2%</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26,186</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17,153</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65.5%</w:t>
            </w:r>
          </w:p>
        </w:tc>
      </w:tr>
      <w:tr w:rsidR="00773EEC" w:rsidRPr="00EF4617" w:rsidTr="00773EEC">
        <w:trPr>
          <w:cantSplit/>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Wokingham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5,412</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3,549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65.6%</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827</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487</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58.9%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13.7%</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4,585</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3,062</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66.8%</w:t>
            </w:r>
          </w:p>
        </w:tc>
      </w:tr>
      <w:tr w:rsidR="00773EEC" w:rsidRPr="00EF4617" w:rsidTr="00773EEC">
        <w:trPr>
          <w:cantSplit/>
          <w:trHeight w:val="260"/>
        </w:trPr>
        <w:tc>
          <w:tcPr>
            <w:tcW w:w="2515" w:type="dxa"/>
          </w:tcPr>
          <w:p w:rsidR="00371632" w:rsidRPr="00EF4617" w:rsidRDefault="00371632" w:rsidP="00371632">
            <w:pPr>
              <w:rPr>
                <w:rFonts w:ascii="Arial" w:hAnsi="Arial" w:cs="Arial"/>
                <w:b/>
                <w:bCs/>
                <w:color w:val="000000"/>
                <w:sz w:val="16"/>
                <w:szCs w:val="16"/>
              </w:rPr>
            </w:pPr>
            <w:r w:rsidRPr="00EF4617">
              <w:rPr>
                <w:rFonts w:ascii="Arial" w:hAnsi="Arial" w:cs="Arial"/>
                <w:b/>
                <w:bCs/>
                <w:color w:val="000000"/>
                <w:sz w:val="16"/>
                <w:szCs w:val="16"/>
              </w:rPr>
              <w:t>Total / Overall %</w:t>
            </w:r>
          </w:p>
        </w:tc>
        <w:tc>
          <w:tcPr>
            <w:tcW w:w="1170" w:type="dxa"/>
            <w:vAlign w:val="bottom"/>
          </w:tcPr>
          <w:p w:rsidR="00371632" w:rsidRPr="00EF4617" w:rsidRDefault="00371632" w:rsidP="00371632">
            <w:pPr>
              <w:jc w:val="center"/>
              <w:rPr>
                <w:rFonts w:ascii="Arial" w:hAnsi="Arial" w:cs="Arial"/>
                <w:b/>
                <w:bCs/>
                <w:color w:val="000000"/>
                <w:sz w:val="16"/>
                <w:szCs w:val="16"/>
              </w:rPr>
            </w:pPr>
            <w:r w:rsidRPr="00EF4617">
              <w:rPr>
                <w:rFonts w:ascii="Arial" w:hAnsi="Arial" w:cs="Arial"/>
                <w:b/>
                <w:bCs/>
                <w:color w:val="000000"/>
                <w:sz w:val="16"/>
                <w:szCs w:val="16"/>
              </w:rPr>
              <w:t>148,255</w:t>
            </w:r>
          </w:p>
        </w:tc>
        <w:tc>
          <w:tcPr>
            <w:tcW w:w="720" w:type="dxa"/>
            <w:vAlign w:val="bottom"/>
          </w:tcPr>
          <w:p w:rsidR="00371632" w:rsidRPr="00EF4617" w:rsidRDefault="00371632" w:rsidP="00371632">
            <w:pPr>
              <w:jc w:val="center"/>
              <w:rPr>
                <w:rFonts w:ascii="Arial" w:hAnsi="Arial" w:cs="Arial"/>
                <w:b/>
                <w:bCs/>
                <w:color w:val="000000"/>
                <w:sz w:val="16"/>
                <w:szCs w:val="16"/>
              </w:rPr>
            </w:pPr>
            <w:r w:rsidRPr="00EF4617">
              <w:rPr>
                <w:rFonts w:ascii="Arial" w:hAnsi="Arial" w:cs="Arial"/>
                <w:b/>
                <w:bCs/>
                <w:color w:val="000000"/>
                <w:sz w:val="16"/>
                <w:szCs w:val="16"/>
              </w:rPr>
              <w:t>96,635</w:t>
            </w:r>
          </w:p>
        </w:tc>
        <w:tc>
          <w:tcPr>
            <w:tcW w:w="108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65.2%</w:t>
            </w:r>
          </w:p>
        </w:tc>
        <w:tc>
          <w:tcPr>
            <w:tcW w:w="1080" w:type="dxa"/>
            <w:vAlign w:val="bottom"/>
          </w:tcPr>
          <w:p w:rsidR="00371632" w:rsidRPr="00EF4617" w:rsidRDefault="00371632" w:rsidP="00371632">
            <w:pPr>
              <w:jc w:val="center"/>
              <w:rPr>
                <w:rFonts w:ascii="Arial" w:hAnsi="Arial" w:cs="Arial"/>
                <w:b/>
                <w:bCs/>
                <w:color w:val="000000"/>
                <w:sz w:val="16"/>
                <w:szCs w:val="16"/>
              </w:rPr>
            </w:pPr>
            <w:r w:rsidRPr="00EF4617">
              <w:rPr>
                <w:rFonts w:ascii="Arial" w:hAnsi="Arial" w:cs="Arial"/>
                <w:b/>
                <w:bCs/>
                <w:color w:val="000000"/>
                <w:sz w:val="16"/>
                <w:szCs w:val="16"/>
              </w:rPr>
              <w:t>20,014</w:t>
            </w:r>
          </w:p>
        </w:tc>
        <w:tc>
          <w:tcPr>
            <w:tcW w:w="810" w:type="dxa"/>
            <w:vAlign w:val="bottom"/>
          </w:tcPr>
          <w:p w:rsidR="00371632" w:rsidRPr="00EF4617" w:rsidRDefault="00371632" w:rsidP="00371632">
            <w:pPr>
              <w:jc w:val="center"/>
              <w:rPr>
                <w:rFonts w:ascii="Arial" w:hAnsi="Arial" w:cs="Arial"/>
                <w:b/>
                <w:bCs/>
                <w:color w:val="000000"/>
                <w:sz w:val="16"/>
                <w:szCs w:val="16"/>
              </w:rPr>
            </w:pPr>
            <w:r w:rsidRPr="00EF4617">
              <w:rPr>
                <w:rFonts w:ascii="Arial" w:hAnsi="Arial" w:cs="Arial"/>
                <w:b/>
                <w:bCs/>
                <w:color w:val="000000"/>
                <w:sz w:val="16"/>
                <w:szCs w:val="16"/>
              </w:rPr>
              <w:t>11,779</w:t>
            </w:r>
          </w:p>
        </w:tc>
        <w:tc>
          <w:tcPr>
            <w:tcW w:w="117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58.9%</w:t>
            </w:r>
          </w:p>
        </w:tc>
        <w:tc>
          <w:tcPr>
            <w:tcW w:w="108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12.2%</w:t>
            </w:r>
          </w:p>
        </w:tc>
        <w:tc>
          <w:tcPr>
            <w:tcW w:w="99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128,241</w:t>
            </w:r>
          </w:p>
        </w:tc>
        <w:tc>
          <w:tcPr>
            <w:tcW w:w="80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84,856</w:t>
            </w:r>
          </w:p>
        </w:tc>
        <w:tc>
          <w:tcPr>
            <w:tcW w:w="73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66.2%</w:t>
            </w:r>
          </w:p>
        </w:tc>
      </w:tr>
      <w:tr w:rsidR="00371632" w:rsidRPr="00EF4617" w:rsidTr="00773EEC">
        <w:trPr>
          <w:trHeight w:val="536"/>
        </w:trPr>
        <w:tc>
          <w:tcPr>
            <w:tcW w:w="12145" w:type="dxa"/>
            <w:gridSpan w:val="11"/>
          </w:tcPr>
          <w:p w:rsidR="00371632" w:rsidRPr="00EF4617" w:rsidRDefault="00371632" w:rsidP="00371632">
            <w:pPr>
              <w:rPr>
                <w:rFonts w:ascii="Arial" w:hAnsi="Arial" w:cs="Arial"/>
                <w:b/>
                <w:color w:val="000000"/>
                <w:sz w:val="16"/>
                <w:szCs w:val="16"/>
              </w:rPr>
            </w:pPr>
            <w:r w:rsidRPr="00EF4617">
              <w:rPr>
                <w:rFonts w:ascii="Arial" w:hAnsi="Arial" w:cs="Arial"/>
                <w:b/>
                <w:color w:val="000000"/>
                <w:sz w:val="16"/>
                <w:szCs w:val="16"/>
              </w:rPr>
              <w:t>PATIENTS AGED 75</w:t>
            </w:r>
            <w:r>
              <w:rPr>
                <w:rFonts w:ascii="Arial" w:hAnsi="Arial" w:cs="Arial"/>
                <w:b/>
                <w:color w:val="000000"/>
                <w:sz w:val="16"/>
                <w:szCs w:val="16"/>
              </w:rPr>
              <w:t>+</w:t>
            </w:r>
          </w:p>
        </w:tc>
      </w:tr>
      <w:tr w:rsidR="00773EEC" w:rsidRPr="00EF4617" w:rsidTr="00773EEC">
        <w:trPr>
          <w:trHeight w:val="286"/>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Aylesbury Vale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5,256</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3,600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68.5%</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837</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542</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64.8%</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15.1%</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4,419</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3,058</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69.2%</w:t>
            </w:r>
          </w:p>
        </w:tc>
      </w:tr>
      <w:tr w:rsidR="00773EEC" w:rsidRPr="00EF4617" w:rsidTr="00773EEC">
        <w:trPr>
          <w:trHeight w:val="291"/>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Bracknell and Ascot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3,269</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2,180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440</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299</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68.0%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13.7%</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2,829</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1,881</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66.5%</w:t>
            </w:r>
          </w:p>
        </w:tc>
      </w:tr>
      <w:tr w:rsidR="00773EEC" w:rsidRPr="00EF4617" w:rsidTr="00773EEC">
        <w:trPr>
          <w:trHeight w:val="267"/>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Fareham and Gosport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7,975</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4,973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62.4%</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1,325</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759</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57.3%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15.3%</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6,650</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4,214</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63.4%</w:t>
            </w:r>
          </w:p>
        </w:tc>
      </w:tr>
      <w:tr w:rsidR="00773EEC" w:rsidRPr="00EF4617" w:rsidTr="00773EEC">
        <w:trPr>
          <w:trHeight w:val="285"/>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Milton Keynes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7,002</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4,687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1,206</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800</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17.1%</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5,796</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3,887</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67.1%</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Newbury and District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3,586</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2,156</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60.1%</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628</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332</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52.9%</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15.4%</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2,958</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1,824</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61.7%</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North &amp; West Reading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2,901</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1,798</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456</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266</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58.3%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14.8%</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2,445</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1,532</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62.7%</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lastRenderedPageBreak/>
              <w:t>North Hampshire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6,325</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3,810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60.2%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983</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502</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51.1%</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13.2%</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5,342</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3,308</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61.9%</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Oxfordshire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21,540</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14,007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3,256</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1,961</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60.2%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14.0%</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18,284</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12,046</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65.9%</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Portsmouth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7,973</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4,902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61.5%</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1,489</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836</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56.1%</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17.1%</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6,484</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4,066</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62.7%</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South Eastern Hampshire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9,833</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6,122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1,573</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889</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56.5%</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14.5%</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8,260</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5,233</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63.4%</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Southampton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8,050</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5,443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67.6%</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1,389</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912</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16.8%</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6,661</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4,531</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68.0%</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West Hampshire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23,574</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14,674</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62.2%</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4,045</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2,238</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55.3%</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15.3%</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19,529</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12,436</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63.7%</w:t>
            </w:r>
          </w:p>
        </w:tc>
      </w:tr>
      <w:tr w:rsidR="00773EEC" w:rsidRPr="00EF4617" w:rsidTr="00773EEC">
        <w:trPr>
          <w:trHeight w:val="260"/>
        </w:trPr>
        <w:tc>
          <w:tcPr>
            <w:tcW w:w="2515" w:type="dxa"/>
            <w:vAlign w:val="bottom"/>
          </w:tcPr>
          <w:p w:rsidR="00371632" w:rsidRPr="00EF4617" w:rsidRDefault="00371632" w:rsidP="00371632">
            <w:pPr>
              <w:rPr>
                <w:rFonts w:ascii="Arial" w:hAnsi="Arial" w:cs="Arial"/>
                <w:color w:val="000000"/>
                <w:sz w:val="16"/>
                <w:szCs w:val="16"/>
              </w:rPr>
            </w:pPr>
            <w:r w:rsidRPr="00EF4617">
              <w:rPr>
                <w:rFonts w:ascii="Arial" w:hAnsi="Arial" w:cs="Arial"/>
                <w:color w:val="000000"/>
                <w:sz w:val="16"/>
                <w:szCs w:val="16"/>
              </w:rPr>
              <w:t>Wokingham CCG</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4,264</w:t>
            </w:r>
          </w:p>
        </w:tc>
        <w:tc>
          <w:tcPr>
            <w:tcW w:w="72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2,727</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64.0%</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777</w:t>
            </w:r>
          </w:p>
        </w:tc>
        <w:tc>
          <w:tcPr>
            <w:tcW w:w="81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462</w:t>
            </w:r>
          </w:p>
        </w:tc>
        <w:tc>
          <w:tcPr>
            <w:tcW w:w="117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59.5%</w:t>
            </w:r>
          </w:p>
        </w:tc>
        <w:tc>
          <w:tcPr>
            <w:tcW w:w="108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16.9%</w:t>
            </w:r>
          </w:p>
        </w:tc>
        <w:tc>
          <w:tcPr>
            <w:tcW w:w="99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3,487</w:t>
            </w:r>
          </w:p>
        </w:tc>
        <w:tc>
          <w:tcPr>
            <w:tcW w:w="80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2,265</w:t>
            </w:r>
          </w:p>
        </w:tc>
        <w:tc>
          <w:tcPr>
            <w:tcW w:w="730" w:type="dxa"/>
            <w:vAlign w:val="bottom"/>
          </w:tcPr>
          <w:p w:rsidR="00371632" w:rsidRPr="00EF4617" w:rsidRDefault="00371632" w:rsidP="00371632">
            <w:pPr>
              <w:jc w:val="center"/>
              <w:rPr>
                <w:rFonts w:ascii="Arial" w:hAnsi="Arial" w:cs="Arial"/>
                <w:color w:val="000000"/>
                <w:sz w:val="16"/>
                <w:szCs w:val="16"/>
              </w:rPr>
            </w:pPr>
            <w:r w:rsidRPr="00EF4617">
              <w:rPr>
                <w:rFonts w:ascii="Arial" w:hAnsi="Arial" w:cs="Arial"/>
                <w:color w:val="000000"/>
                <w:sz w:val="16"/>
                <w:szCs w:val="16"/>
              </w:rPr>
              <w:t>65.0%</w:t>
            </w:r>
          </w:p>
        </w:tc>
      </w:tr>
      <w:tr w:rsidR="00773EEC" w:rsidRPr="00EF4617" w:rsidTr="00773EEC">
        <w:trPr>
          <w:trHeight w:val="260"/>
        </w:trPr>
        <w:tc>
          <w:tcPr>
            <w:tcW w:w="2515" w:type="dxa"/>
          </w:tcPr>
          <w:p w:rsidR="00371632" w:rsidRPr="00EF4617" w:rsidRDefault="00371632" w:rsidP="00371632">
            <w:pPr>
              <w:rPr>
                <w:rFonts w:ascii="Arial" w:hAnsi="Arial" w:cs="Arial"/>
                <w:b/>
                <w:bCs/>
                <w:color w:val="000000"/>
                <w:sz w:val="16"/>
                <w:szCs w:val="16"/>
              </w:rPr>
            </w:pPr>
            <w:r w:rsidRPr="00EF4617">
              <w:rPr>
                <w:rFonts w:ascii="Arial" w:hAnsi="Arial" w:cs="Arial"/>
                <w:b/>
                <w:bCs/>
                <w:color w:val="000000"/>
                <w:sz w:val="16"/>
                <w:szCs w:val="16"/>
              </w:rPr>
              <w:t>Total / Overall %</w:t>
            </w:r>
          </w:p>
        </w:tc>
        <w:tc>
          <w:tcPr>
            <w:tcW w:w="1170" w:type="dxa"/>
            <w:vAlign w:val="bottom"/>
          </w:tcPr>
          <w:p w:rsidR="00371632" w:rsidRPr="00EF4617" w:rsidRDefault="00371632" w:rsidP="00371632">
            <w:pPr>
              <w:jc w:val="center"/>
              <w:rPr>
                <w:rFonts w:ascii="Arial" w:hAnsi="Arial" w:cs="Arial"/>
                <w:b/>
                <w:bCs/>
                <w:color w:val="000000"/>
                <w:sz w:val="16"/>
                <w:szCs w:val="16"/>
              </w:rPr>
            </w:pPr>
            <w:r w:rsidRPr="00EF4617">
              <w:rPr>
                <w:rFonts w:ascii="Arial" w:hAnsi="Arial" w:cs="Arial"/>
                <w:b/>
                <w:bCs/>
                <w:color w:val="000000"/>
                <w:sz w:val="16"/>
                <w:szCs w:val="16"/>
              </w:rPr>
              <w:t>111,548</w:t>
            </w:r>
          </w:p>
        </w:tc>
        <w:tc>
          <w:tcPr>
            <w:tcW w:w="720" w:type="dxa"/>
            <w:vAlign w:val="bottom"/>
          </w:tcPr>
          <w:p w:rsidR="00371632" w:rsidRPr="00EF4617" w:rsidRDefault="00371632" w:rsidP="00371632">
            <w:pPr>
              <w:jc w:val="center"/>
              <w:rPr>
                <w:rFonts w:ascii="Arial" w:hAnsi="Arial" w:cs="Arial"/>
                <w:b/>
                <w:bCs/>
                <w:color w:val="000000"/>
                <w:sz w:val="16"/>
                <w:szCs w:val="16"/>
              </w:rPr>
            </w:pPr>
            <w:r w:rsidRPr="00EF4617">
              <w:rPr>
                <w:rFonts w:ascii="Arial" w:hAnsi="Arial" w:cs="Arial"/>
                <w:b/>
                <w:bCs/>
                <w:color w:val="000000"/>
                <w:sz w:val="16"/>
                <w:szCs w:val="16"/>
              </w:rPr>
              <w:t>71,079</w:t>
            </w:r>
          </w:p>
        </w:tc>
        <w:tc>
          <w:tcPr>
            <w:tcW w:w="108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63.7%</w:t>
            </w:r>
          </w:p>
        </w:tc>
        <w:tc>
          <w:tcPr>
            <w:tcW w:w="1080" w:type="dxa"/>
            <w:vAlign w:val="bottom"/>
          </w:tcPr>
          <w:p w:rsidR="00371632" w:rsidRPr="00EF4617" w:rsidRDefault="00371632" w:rsidP="00371632">
            <w:pPr>
              <w:jc w:val="center"/>
              <w:rPr>
                <w:rFonts w:ascii="Arial" w:hAnsi="Arial" w:cs="Arial"/>
                <w:b/>
                <w:bCs/>
                <w:color w:val="000000"/>
                <w:sz w:val="16"/>
                <w:szCs w:val="16"/>
              </w:rPr>
            </w:pPr>
            <w:r w:rsidRPr="00EF4617">
              <w:rPr>
                <w:rFonts w:ascii="Arial" w:hAnsi="Arial" w:cs="Arial"/>
                <w:b/>
                <w:bCs/>
                <w:color w:val="000000"/>
                <w:sz w:val="16"/>
                <w:szCs w:val="16"/>
              </w:rPr>
              <w:t>18,404</w:t>
            </w:r>
          </w:p>
        </w:tc>
        <w:tc>
          <w:tcPr>
            <w:tcW w:w="810" w:type="dxa"/>
            <w:vAlign w:val="bottom"/>
          </w:tcPr>
          <w:p w:rsidR="00371632" w:rsidRPr="00EF4617" w:rsidRDefault="00371632" w:rsidP="00371632">
            <w:pPr>
              <w:jc w:val="center"/>
              <w:rPr>
                <w:rFonts w:ascii="Arial" w:hAnsi="Arial" w:cs="Arial"/>
                <w:b/>
                <w:bCs/>
                <w:color w:val="000000"/>
                <w:sz w:val="16"/>
                <w:szCs w:val="16"/>
              </w:rPr>
            </w:pPr>
            <w:r w:rsidRPr="00EF4617">
              <w:rPr>
                <w:rFonts w:ascii="Arial" w:hAnsi="Arial" w:cs="Arial"/>
                <w:b/>
                <w:bCs/>
                <w:color w:val="000000"/>
                <w:sz w:val="16"/>
                <w:szCs w:val="16"/>
              </w:rPr>
              <w:t>10,798</w:t>
            </w:r>
          </w:p>
        </w:tc>
        <w:tc>
          <w:tcPr>
            <w:tcW w:w="117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58.7%</w:t>
            </w:r>
          </w:p>
        </w:tc>
        <w:tc>
          <w:tcPr>
            <w:tcW w:w="108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15.2%</w:t>
            </w:r>
          </w:p>
        </w:tc>
        <w:tc>
          <w:tcPr>
            <w:tcW w:w="99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93,144</w:t>
            </w:r>
          </w:p>
        </w:tc>
        <w:tc>
          <w:tcPr>
            <w:tcW w:w="80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60,281</w:t>
            </w:r>
          </w:p>
        </w:tc>
        <w:tc>
          <w:tcPr>
            <w:tcW w:w="730" w:type="dxa"/>
            <w:vAlign w:val="bottom"/>
          </w:tcPr>
          <w:p w:rsidR="00371632" w:rsidRPr="00EF4617" w:rsidRDefault="00371632" w:rsidP="00371632">
            <w:pPr>
              <w:jc w:val="center"/>
              <w:rPr>
                <w:rFonts w:ascii="Arial" w:hAnsi="Arial" w:cs="Arial"/>
                <w:b/>
                <w:color w:val="000000"/>
                <w:sz w:val="16"/>
                <w:szCs w:val="16"/>
              </w:rPr>
            </w:pPr>
            <w:r w:rsidRPr="00EF4617">
              <w:rPr>
                <w:rFonts w:ascii="Arial" w:hAnsi="Arial" w:cs="Arial"/>
                <w:b/>
                <w:color w:val="000000"/>
                <w:sz w:val="16"/>
                <w:szCs w:val="16"/>
              </w:rPr>
              <w:t>64.7%</w:t>
            </w:r>
          </w:p>
        </w:tc>
      </w:tr>
    </w:tbl>
    <w:p w:rsidR="00EF4617" w:rsidRPr="00D365C3" w:rsidRDefault="00EF4617" w:rsidP="00EF4617">
      <w:pPr>
        <w:spacing w:after="0" w:line="240" w:lineRule="auto"/>
        <w:rPr>
          <w:rFonts w:ascii="Arial" w:hAnsi="Arial" w:cs="Arial"/>
          <w:sz w:val="18"/>
          <w:szCs w:val="18"/>
        </w:rPr>
      </w:pPr>
      <w:r w:rsidRPr="00D365C3">
        <w:rPr>
          <w:rFonts w:ascii="Arial" w:hAnsi="Arial" w:cs="Arial"/>
          <w:sz w:val="18"/>
          <w:szCs w:val="18"/>
          <w:vertAlign w:val="superscript"/>
        </w:rPr>
        <w:t>1</w:t>
      </w:r>
      <w:r w:rsidRPr="00D365C3">
        <w:rPr>
          <w:rFonts w:ascii="Arial" w:hAnsi="Arial" w:cs="Arial"/>
          <w:sz w:val="18"/>
          <w:szCs w:val="18"/>
        </w:rPr>
        <w:t xml:space="preserve">patients with a dementia record as a proportion of total conveyances per CCG (to compare with </w:t>
      </w:r>
      <w:r w:rsidRPr="00D365C3">
        <w:rPr>
          <w:rFonts w:ascii="Arial" w:hAnsi="Arial" w:cs="Arial"/>
          <w:sz w:val="18"/>
          <w:szCs w:val="18"/>
        </w:rPr>
        <w:fldChar w:fldCharType="begin"/>
      </w:r>
      <w:r w:rsidR="0062017E">
        <w:rPr>
          <w:rFonts w:ascii="Arial" w:hAnsi="Arial" w:cs="Arial"/>
          <w:sz w:val="18"/>
          <w:szCs w:val="18"/>
        </w:rPr>
        <w:instrText xml:space="preserve"> ADDIN EN.CITE &lt;EndNote&gt;&lt;Cite&gt;&lt;Author&gt;Fogg&lt;/Author&gt;&lt;Year&gt;2017&lt;/Year&gt;&lt;RecNum&gt;314&lt;/RecNum&gt;&lt;DisplayText&gt;(Fogg et al., 2017)&lt;/DisplayText&gt;&lt;record&gt;&lt;rec-number&gt;314&lt;/rec-number&gt;&lt;foreign-keys&gt;&lt;key app="EN" db-id="0zpzrevtzfzvfeed0d7pxpeer5zaxet0zrpv"&gt;314&lt;/key&gt;&lt;/foreign-keys&gt;&lt;ref-type name="Journal Article"&gt;17&lt;/ref-type&gt;&lt;contributors&gt;&lt;authors&gt;&lt;author&gt;Fogg, C.&lt;/author&gt;&lt;author&gt;Meredith, P.&lt;/author&gt;&lt;author&gt;Bridges, J.&lt;/author&gt;&lt;author&gt;Gould, G.&lt;/author&gt;&lt;author&gt;Griffiths, P.&lt;/author&gt;&lt;/authors&gt;&lt;/contributors&gt;&lt;titles&gt;&lt;title&gt;The relationship between cognitive impairment, mortality and discharge characteristics in a large cohort of older adults with unscheduled admissions to an acute hospital: a retrospective observational study&lt;/title&gt;&lt;secondary-title&gt;Age and Ageing &lt;/secondary-title&gt;&lt;/titles&gt;&lt;periodical&gt;&lt;full-title&gt;Age and Ageing&lt;/full-title&gt;&lt;/periodical&gt;&lt;pages&gt;6&lt;/pages&gt;&lt;volume&gt;46&lt;/volume&gt;&lt;edition&gt;25th February 2017&lt;/edition&gt;&lt;section&gt;794&lt;/section&gt;&lt;dates&gt;&lt;year&gt;2017&lt;/year&gt;&lt;/dates&gt;&lt;urls&gt;&lt;/urls&gt;&lt;/record&gt;&lt;/Cite&gt;&lt;/EndNote&gt;</w:instrText>
      </w:r>
      <w:r w:rsidRPr="00D365C3">
        <w:rPr>
          <w:rFonts w:ascii="Arial" w:hAnsi="Arial" w:cs="Arial"/>
          <w:sz w:val="18"/>
          <w:szCs w:val="18"/>
        </w:rPr>
        <w:fldChar w:fldCharType="separate"/>
      </w:r>
      <w:r w:rsidR="0062017E">
        <w:rPr>
          <w:rFonts w:ascii="Arial" w:hAnsi="Arial" w:cs="Arial"/>
          <w:noProof/>
          <w:sz w:val="18"/>
          <w:szCs w:val="18"/>
        </w:rPr>
        <w:t>(</w:t>
      </w:r>
      <w:hyperlink w:anchor="_ENREF_6" w:tooltip="Fogg, 2017 #314" w:history="1">
        <w:r w:rsidR="0062017E">
          <w:rPr>
            <w:rFonts w:ascii="Arial" w:hAnsi="Arial" w:cs="Arial"/>
            <w:noProof/>
            <w:sz w:val="18"/>
            <w:szCs w:val="18"/>
          </w:rPr>
          <w:t>Fogg et al., 2017</w:t>
        </w:r>
      </w:hyperlink>
      <w:r w:rsidR="0062017E">
        <w:rPr>
          <w:rFonts w:ascii="Arial" w:hAnsi="Arial" w:cs="Arial"/>
          <w:noProof/>
          <w:sz w:val="18"/>
          <w:szCs w:val="18"/>
        </w:rPr>
        <w:t>)</w:t>
      </w:r>
      <w:r w:rsidRPr="00D365C3">
        <w:rPr>
          <w:rFonts w:ascii="Arial" w:hAnsi="Arial" w:cs="Arial"/>
          <w:sz w:val="18"/>
          <w:szCs w:val="18"/>
        </w:rPr>
        <w:fldChar w:fldCharType="end"/>
      </w:r>
      <w:r w:rsidRPr="00D365C3">
        <w:rPr>
          <w:rFonts w:ascii="Arial" w:hAnsi="Arial" w:cs="Arial"/>
          <w:sz w:val="18"/>
          <w:szCs w:val="18"/>
        </w:rPr>
        <w:t>)</w:t>
      </w:r>
    </w:p>
    <w:p w:rsidR="00EF4617" w:rsidRPr="00EF4617" w:rsidRDefault="00EF4617" w:rsidP="00EF4617">
      <w:pPr>
        <w:spacing w:line="240" w:lineRule="auto"/>
        <w:rPr>
          <w:rFonts w:ascii="Arial" w:hAnsi="Arial" w:cs="Arial"/>
          <w:b/>
          <w:color w:val="FF0000"/>
          <w:sz w:val="24"/>
          <w:szCs w:val="24"/>
        </w:rPr>
      </w:pPr>
    </w:p>
    <w:p w:rsidR="00F839C0" w:rsidRPr="00EF4617" w:rsidRDefault="00A651F0" w:rsidP="00EF4617">
      <w:pPr>
        <w:spacing w:line="240" w:lineRule="auto"/>
        <w:rPr>
          <w:rFonts w:ascii="Arial" w:hAnsi="Arial" w:cs="Arial"/>
          <w:sz w:val="24"/>
          <w:szCs w:val="24"/>
        </w:rPr>
      </w:pPr>
      <w:r w:rsidRPr="00EF4617">
        <w:rPr>
          <w:rFonts w:ascii="Arial" w:hAnsi="Arial" w:cs="Arial"/>
          <w:b/>
          <w:i/>
          <w:sz w:val="24"/>
          <w:szCs w:val="24"/>
        </w:rPr>
        <w:t>Location of recording of dementia on the EPR</w:t>
      </w:r>
    </w:p>
    <w:p w:rsidR="00EF473B" w:rsidRDefault="006D5CAD" w:rsidP="00EF4617">
      <w:pPr>
        <w:spacing w:line="240" w:lineRule="auto"/>
        <w:rPr>
          <w:rFonts w:ascii="Arial" w:hAnsi="Arial" w:cs="Arial"/>
          <w:sz w:val="24"/>
          <w:szCs w:val="24"/>
        </w:rPr>
      </w:pPr>
      <w:r w:rsidRPr="00EF4617">
        <w:rPr>
          <w:rFonts w:ascii="Arial" w:hAnsi="Arial" w:cs="Arial"/>
          <w:sz w:val="24"/>
          <w:szCs w:val="24"/>
        </w:rPr>
        <w:t xml:space="preserve">The distribution of the </w:t>
      </w:r>
      <w:r w:rsidR="00C67C67" w:rsidRPr="00EF4617">
        <w:rPr>
          <w:rFonts w:ascii="Arial" w:hAnsi="Arial" w:cs="Arial"/>
          <w:sz w:val="24"/>
          <w:szCs w:val="24"/>
        </w:rPr>
        <w:t>EPR</w:t>
      </w:r>
      <w:r w:rsidRPr="00EF4617">
        <w:rPr>
          <w:rFonts w:ascii="Arial" w:hAnsi="Arial" w:cs="Arial"/>
          <w:sz w:val="24"/>
          <w:szCs w:val="24"/>
        </w:rPr>
        <w:t xml:space="preserve"> data entry fields where dementia was recorded are displayed in Table 3. There were a total of </w:t>
      </w:r>
      <w:r w:rsidR="005270A9" w:rsidRPr="00EF4617">
        <w:rPr>
          <w:rFonts w:ascii="Arial" w:hAnsi="Arial" w:cs="Arial"/>
          <w:sz w:val="24"/>
          <w:szCs w:val="24"/>
        </w:rPr>
        <w:t>29,984</w:t>
      </w:r>
      <w:r w:rsidRPr="00EF4617">
        <w:rPr>
          <w:rFonts w:ascii="Arial" w:hAnsi="Arial" w:cs="Arial"/>
          <w:sz w:val="24"/>
          <w:szCs w:val="24"/>
        </w:rPr>
        <w:t xml:space="preserve"> records of the word ‘dementia’ within </w:t>
      </w:r>
      <w:r w:rsidR="004C302F" w:rsidRPr="00EF4617">
        <w:rPr>
          <w:rFonts w:ascii="Arial" w:hAnsi="Arial" w:cs="Arial"/>
          <w:sz w:val="24"/>
          <w:szCs w:val="24"/>
        </w:rPr>
        <w:t>20,014</w:t>
      </w:r>
      <w:r w:rsidRPr="00EF4617">
        <w:rPr>
          <w:rFonts w:ascii="Arial" w:hAnsi="Arial" w:cs="Arial"/>
          <w:sz w:val="24"/>
          <w:szCs w:val="24"/>
        </w:rPr>
        <w:t xml:space="preserve"> patient </w:t>
      </w:r>
      <w:r w:rsidR="00C67C67" w:rsidRPr="00EF4617">
        <w:rPr>
          <w:rFonts w:ascii="Arial" w:hAnsi="Arial" w:cs="Arial"/>
          <w:sz w:val="24"/>
          <w:szCs w:val="24"/>
        </w:rPr>
        <w:t>EPR</w:t>
      </w:r>
      <w:r w:rsidR="004C302F" w:rsidRPr="00EF4617">
        <w:rPr>
          <w:rFonts w:ascii="Arial" w:hAnsi="Arial" w:cs="Arial"/>
          <w:sz w:val="24"/>
          <w:szCs w:val="24"/>
        </w:rPr>
        <w:t>s</w:t>
      </w:r>
      <w:r w:rsidR="005270A9" w:rsidRPr="00EF4617">
        <w:rPr>
          <w:rFonts w:ascii="Arial" w:hAnsi="Arial" w:cs="Arial"/>
          <w:sz w:val="24"/>
          <w:szCs w:val="24"/>
        </w:rPr>
        <w:t>, thus 38.4% of EPRs had ‘dementia’ recorded in more than one data collection field</w:t>
      </w:r>
      <w:r w:rsidRPr="00EF4617">
        <w:rPr>
          <w:rFonts w:ascii="Arial" w:hAnsi="Arial" w:cs="Arial"/>
          <w:sz w:val="24"/>
          <w:szCs w:val="24"/>
        </w:rPr>
        <w:t>. The most common field which was used to record dementia was within the ‘other known medical history’, with 45.</w:t>
      </w:r>
      <w:r w:rsidR="00BF1818" w:rsidRPr="00EF4617">
        <w:rPr>
          <w:rFonts w:ascii="Arial" w:hAnsi="Arial" w:cs="Arial"/>
          <w:sz w:val="24"/>
          <w:szCs w:val="24"/>
        </w:rPr>
        <w:t>6</w:t>
      </w:r>
      <w:r w:rsidRPr="00EF4617">
        <w:rPr>
          <w:rFonts w:ascii="Arial" w:hAnsi="Arial" w:cs="Arial"/>
          <w:sz w:val="24"/>
          <w:szCs w:val="24"/>
        </w:rPr>
        <w:t xml:space="preserve">% of all </w:t>
      </w:r>
      <w:r w:rsidR="00C67C67" w:rsidRPr="00EF4617">
        <w:rPr>
          <w:rFonts w:ascii="Arial" w:hAnsi="Arial" w:cs="Arial"/>
          <w:sz w:val="24"/>
          <w:szCs w:val="24"/>
        </w:rPr>
        <w:t>EPR</w:t>
      </w:r>
      <w:r w:rsidRPr="00EF4617">
        <w:rPr>
          <w:rFonts w:ascii="Arial" w:hAnsi="Arial" w:cs="Arial"/>
          <w:sz w:val="24"/>
          <w:szCs w:val="24"/>
        </w:rPr>
        <w:t xml:space="preserve">s with a dementia record having ‘dementia’ entered in this field. However, </w:t>
      </w:r>
      <w:r w:rsidR="00BF1818" w:rsidRPr="00EF4617">
        <w:rPr>
          <w:rFonts w:ascii="Arial" w:hAnsi="Arial" w:cs="Arial"/>
          <w:sz w:val="24"/>
          <w:szCs w:val="24"/>
        </w:rPr>
        <w:t>25.5</w:t>
      </w:r>
      <w:r w:rsidRPr="00EF4617">
        <w:rPr>
          <w:rFonts w:ascii="Arial" w:hAnsi="Arial" w:cs="Arial"/>
          <w:sz w:val="24"/>
          <w:szCs w:val="24"/>
        </w:rPr>
        <w:t xml:space="preserve">% </w:t>
      </w:r>
      <w:r w:rsidR="00FA75DE" w:rsidRPr="00EF4617">
        <w:rPr>
          <w:rFonts w:ascii="Arial" w:hAnsi="Arial" w:cs="Arial"/>
          <w:sz w:val="24"/>
          <w:szCs w:val="24"/>
        </w:rPr>
        <w:t xml:space="preserve">(n=7,687) </w:t>
      </w:r>
      <w:r w:rsidRPr="00EF4617">
        <w:rPr>
          <w:rFonts w:ascii="Arial" w:hAnsi="Arial" w:cs="Arial"/>
          <w:sz w:val="24"/>
          <w:szCs w:val="24"/>
        </w:rPr>
        <w:t xml:space="preserve">of </w:t>
      </w:r>
      <w:r w:rsidR="00C67C67" w:rsidRPr="00EF4617">
        <w:rPr>
          <w:rFonts w:ascii="Arial" w:hAnsi="Arial" w:cs="Arial"/>
          <w:sz w:val="24"/>
          <w:szCs w:val="24"/>
        </w:rPr>
        <w:t>EPR</w:t>
      </w:r>
      <w:r w:rsidRPr="00EF4617">
        <w:rPr>
          <w:rFonts w:ascii="Arial" w:hAnsi="Arial" w:cs="Arial"/>
          <w:sz w:val="24"/>
          <w:szCs w:val="24"/>
        </w:rPr>
        <w:t xml:space="preserve">s had dementia recorded under the presenting condition free text box, with a further </w:t>
      </w:r>
      <w:r w:rsidR="00BF1818" w:rsidRPr="00EF4617">
        <w:rPr>
          <w:rFonts w:ascii="Arial" w:hAnsi="Arial" w:cs="Arial"/>
          <w:sz w:val="24"/>
          <w:szCs w:val="24"/>
        </w:rPr>
        <w:t>21.0</w:t>
      </w:r>
      <w:r w:rsidRPr="00EF4617">
        <w:rPr>
          <w:rFonts w:ascii="Arial" w:hAnsi="Arial" w:cs="Arial"/>
          <w:sz w:val="24"/>
          <w:szCs w:val="24"/>
        </w:rPr>
        <w:t>% recorded in the ‘other known neurological medical history’</w:t>
      </w:r>
      <w:r w:rsidRPr="00FC0A13">
        <w:rPr>
          <w:rFonts w:ascii="Arial" w:hAnsi="Arial" w:cs="Arial"/>
          <w:sz w:val="24"/>
          <w:szCs w:val="24"/>
        </w:rPr>
        <w:t xml:space="preserve">. </w:t>
      </w:r>
      <w:r w:rsidR="00FC0A13" w:rsidRPr="00FC0A13">
        <w:rPr>
          <w:rFonts w:ascii="Arial" w:hAnsi="Arial" w:cs="Arial"/>
          <w:sz w:val="24"/>
          <w:szCs w:val="24"/>
        </w:rPr>
        <w:t xml:space="preserve">For 305 </w:t>
      </w:r>
      <w:r w:rsidR="00FC0A13">
        <w:rPr>
          <w:rFonts w:ascii="Arial" w:hAnsi="Arial" w:cs="Arial"/>
          <w:sz w:val="24"/>
          <w:szCs w:val="24"/>
        </w:rPr>
        <w:t xml:space="preserve">(0.21%) </w:t>
      </w:r>
      <w:r w:rsidR="00EB2D27" w:rsidRPr="00FC0A13">
        <w:rPr>
          <w:rFonts w:ascii="Arial" w:hAnsi="Arial" w:cs="Arial"/>
          <w:sz w:val="24"/>
          <w:szCs w:val="24"/>
        </w:rPr>
        <w:t>EPRs, the input record for dementia contained a ‘?’ (indicating a diagnosis was not confirmed)</w:t>
      </w:r>
      <w:r w:rsidR="0096054A">
        <w:rPr>
          <w:rFonts w:ascii="Arial" w:hAnsi="Arial" w:cs="Arial"/>
          <w:sz w:val="24"/>
          <w:szCs w:val="24"/>
        </w:rPr>
        <w:t xml:space="preserve"> in at least one field</w:t>
      </w:r>
      <w:r w:rsidR="00EB2D27" w:rsidRPr="00FC0A13">
        <w:rPr>
          <w:rFonts w:ascii="Arial" w:hAnsi="Arial" w:cs="Arial"/>
          <w:sz w:val="24"/>
          <w:szCs w:val="24"/>
        </w:rPr>
        <w:t xml:space="preserve">, for example </w:t>
      </w:r>
      <w:proofErr w:type="gramStart"/>
      <w:r w:rsidR="00EB2D27" w:rsidRPr="00FC0A13">
        <w:rPr>
          <w:rFonts w:ascii="Arial" w:hAnsi="Arial" w:cs="Arial"/>
          <w:sz w:val="24"/>
          <w:szCs w:val="24"/>
        </w:rPr>
        <w:t>‘?dementia</w:t>
      </w:r>
      <w:proofErr w:type="gramEnd"/>
      <w:r w:rsidR="00EB2D27" w:rsidRPr="00FC0A13">
        <w:rPr>
          <w:rFonts w:ascii="Arial" w:hAnsi="Arial" w:cs="Arial"/>
          <w:sz w:val="24"/>
          <w:szCs w:val="24"/>
        </w:rPr>
        <w:t>’ or ‘dementia?’.</w:t>
      </w:r>
    </w:p>
    <w:p w:rsidR="00E40FC3" w:rsidRPr="00EF4617" w:rsidRDefault="00E40FC3" w:rsidP="00EF4617">
      <w:pPr>
        <w:spacing w:line="240" w:lineRule="auto"/>
        <w:rPr>
          <w:rFonts w:ascii="Arial" w:hAnsi="Arial" w:cs="Arial"/>
          <w:sz w:val="24"/>
          <w:szCs w:val="24"/>
        </w:rPr>
      </w:pPr>
    </w:p>
    <w:p w:rsidR="00485F9A" w:rsidRPr="00EF4617" w:rsidRDefault="00485F9A" w:rsidP="00485F9A">
      <w:pPr>
        <w:spacing w:line="240" w:lineRule="auto"/>
        <w:rPr>
          <w:rFonts w:ascii="Arial" w:hAnsi="Arial" w:cs="Arial"/>
          <w:b/>
          <w:sz w:val="24"/>
          <w:szCs w:val="24"/>
        </w:rPr>
      </w:pPr>
      <w:r w:rsidRPr="00EF4617">
        <w:rPr>
          <w:rFonts w:ascii="Arial" w:hAnsi="Arial" w:cs="Arial"/>
          <w:b/>
          <w:sz w:val="24"/>
          <w:szCs w:val="24"/>
        </w:rPr>
        <w:t>Table 3 Distribution of ‘dementia’ text according to data entry field in the EPR</w:t>
      </w:r>
    </w:p>
    <w:tbl>
      <w:tblPr>
        <w:tblStyle w:val="TableGrid"/>
        <w:tblW w:w="9606" w:type="dxa"/>
        <w:tblLook w:val="04A0" w:firstRow="1" w:lastRow="0" w:firstColumn="1" w:lastColumn="0" w:noHBand="0" w:noVBand="1"/>
      </w:tblPr>
      <w:tblGrid>
        <w:gridCol w:w="1350"/>
        <w:gridCol w:w="1177"/>
        <w:gridCol w:w="3328"/>
        <w:gridCol w:w="1808"/>
        <w:gridCol w:w="1943"/>
      </w:tblGrid>
      <w:tr w:rsidR="00485F9A" w:rsidRPr="00485F9A" w:rsidTr="00863FDF">
        <w:tc>
          <w:tcPr>
            <w:tcW w:w="1350" w:type="dxa"/>
          </w:tcPr>
          <w:p w:rsidR="00485F9A" w:rsidRPr="00485F9A" w:rsidRDefault="00485F9A" w:rsidP="00863FDF">
            <w:pPr>
              <w:rPr>
                <w:rFonts w:ascii="Arial" w:hAnsi="Arial" w:cs="Arial"/>
                <w:b/>
                <w:sz w:val="18"/>
                <w:szCs w:val="18"/>
              </w:rPr>
            </w:pPr>
            <w:r w:rsidRPr="00485F9A">
              <w:rPr>
                <w:rFonts w:ascii="Arial" w:hAnsi="Arial" w:cs="Arial"/>
                <w:b/>
                <w:sz w:val="18"/>
                <w:szCs w:val="18"/>
              </w:rPr>
              <w:t>EPR Section</w:t>
            </w:r>
          </w:p>
        </w:tc>
        <w:tc>
          <w:tcPr>
            <w:tcW w:w="1177" w:type="dxa"/>
          </w:tcPr>
          <w:p w:rsidR="00485F9A" w:rsidRPr="00485F9A" w:rsidRDefault="00485F9A" w:rsidP="00863FDF">
            <w:pPr>
              <w:rPr>
                <w:rFonts w:ascii="Arial" w:hAnsi="Arial" w:cs="Arial"/>
                <w:b/>
                <w:sz w:val="18"/>
                <w:szCs w:val="18"/>
              </w:rPr>
            </w:pPr>
            <w:r w:rsidRPr="00485F9A">
              <w:rPr>
                <w:rFonts w:ascii="Arial" w:hAnsi="Arial" w:cs="Arial"/>
                <w:b/>
                <w:sz w:val="18"/>
                <w:szCs w:val="18"/>
              </w:rPr>
              <w:t>Sub-section</w:t>
            </w:r>
          </w:p>
        </w:tc>
        <w:tc>
          <w:tcPr>
            <w:tcW w:w="3328" w:type="dxa"/>
          </w:tcPr>
          <w:p w:rsidR="00485F9A" w:rsidRPr="00485F9A" w:rsidRDefault="00485F9A" w:rsidP="00863FDF">
            <w:pPr>
              <w:rPr>
                <w:rFonts w:ascii="Arial" w:hAnsi="Arial" w:cs="Arial"/>
                <w:b/>
                <w:sz w:val="18"/>
                <w:szCs w:val="18"/>
              </w:rPr>
            </w:pPr>
            <w:r w:rsidRPr="00485F9A">
              <w:rPr>
                <w:rFonts w:ascii="Arial" w:hAnsi="Arial" w:cs="Arial"/>
                <w:b/>
                <w:sz w:val="18"/>
                <w:szCs w:val="18"/>
              </w:rPr>
              <w:t>Free text data collection field</w:t>
            </w:r>
          </w:p>
        </w:tc>
        <w:tc>
          <w:tcPr>
            <w:tcW w:w="1808" w:type="dxa"/>
          </w:tcPr>
          <w:p w:rsidR="00485F9A" w:rsidRPr="00485F9A" w:rsidRDefault="00485F9A" w:rsidP="00863FDF">
            <w:pPr>
              <w:jc w:val="center"/>
              <w:rPr>
                <w:rFonts w:ascii="Arial" w:hAnsi="Arial" w:cs="Arial"/>
                <w:b/>
                <w:sz w:val="18"/>
                <w:szCs w:val="18"/>
              </w:rPr>
            </w:pPr>
            <w:r w:rsidRPr="00485F9A">
              <w:rPr>
                <w:rFonts w:ascii="Arial" w:hAnsi="Arial" w:cs="Arial"/>
                <w:b/>
                <w:sz w:val="18"/>
                <w:szCs w:val="18"/>
              </w:rPr>
              <w:t>Frequency of ‘dementia’ recorded</w:t>
            </w:r>
          </w:p>
          <w:p w:rsidR="00485F9A" w:rsidRPr="00485F9A" w:rsidRDefault="00485F9A" w:rsidP="00863FDF">
            <w:pPr>
              <w:jc w:val="center"/>
              <w:rPr>
                <w:rFonts w:ascii="Arial" w:hAnsi="Arial" w:cs="Arial"/>
                <w:b/>
                <w:sz w:val="18"/>
                <w:szCs w:val="18"/>
              </w:rPr>
            </w:pPr>
            <w:r w:rsidRPr="00485F9A">
              <w:rPr>
                <w:rFonts w:ascii="Arial" w:hAnsi="Arial" w:cs="Arial"/>
                <w:b/>
                <w:sz w:val="18"/>
                <w:szCs w:val="18"/>
              </w:rPr>
              <w:t>(n=29,984)</w:t>
            </w:r>
          </w:p>
        </w:tc>
        <w:tc>
          <w:tcPr>
            <w:tcW w:w="1943" w:type="dxa"/>
          </w:tcPr>
          <w:p w:rsidR="00485F9A" w:rsidRPr="00485F9A" w:rsidRDefault="00485F9A" w:rsidP="00863FDF">
            <w:pPr>
              <w:jc w:val="center"/>
              <w:rPr>
                <w:rFonts w:ascii="Arial" w:hAnsi="Arial" w:cs="Arial"/>
                <w:b/>
                <w:sz w:val="18"/>
                <w:szCs w:val="18"/>
              </w:rPr>
            </w:pPr>
            <w:r w:rsidRPr="00485F9A">
              <w:rPr>
                <w:rFonts w:ascii="Arial" w:hAnsi="Arial" w:cs="Arial"/>
                <w:b/>
                <w:sz w:val="18"/>
                <w:szCs w:val="18"/>
              </w:rPr>
              <w:t>65+ records with ‘dementia’ present in EPR with ‘dementia’ in this field</w:t>
            </w:r>
          </w:p>
          <w:p w:rsidR="00485F9A" w:rsidRPr="00485F9A" w:rsidRDefault="00485F9A" w:rsidP="00863FDF">
            <w:pPr>
              <w:jc w:val="center"/>
              <w:rPr>
                <w:rFonts w:ascii="Arial" w:hAnsi="Arial" w:cs="Arial"/>
                <w:b/>
                <w:sz w:val="18"/>
                <w:szCs w:val="18"/>
              </w:rPr>
            </w:pPr>
            <w:r w:rsidRPr="00485F9A">
              <w:rPr>
                <w:rFonts w:ascii="Arial" w:hAnsi="Arial" w:cs="Arial"/>
                <w:b/>
                <w:sz w:val="18"/>
                <w:szCs w:val="18"/>
              </w:rPr>
              <w:t>(N=20,014)</w:t>
            </w:r>
          </w:p>
        </w:tc>
      </w:tr>
      <w:tr w:rsidR="00485F9A" w:rsidRPr="00485F9A" w:rsidTr="00863FDF">
        <w:tc>
          <w:tcPr>
            <w:tcW w:w="1350" w:type="dxa"/>
            <w:vMerge w:val="restart"/>
          </w:tcPr>
          <w:p w:rsidR="00485F9A" w:rsidRPr="00485F9A" w:rsidRDefault="00485F9A" w:rsidP="00863FDF">
            <w:pPr>
              <w:rPr>
                <w:rFonts w:ascii="Arial" w:hAnsi="Arial" w:cs="Arial"/>
                <w:sz w:val="18"/>
                <w:szCs w:val="18"/>
              </w:rPr>
            </w:pPr>
            <w:r w:rsidRPr="00485F9A">
              <w:rPr>
                <w:rFonts w:ascii="Arial" w:hAnsi="Arial" w:cs="Arial"/>
                <w:sz w:val="18"/>
                <w:szCs w:val="18"/>
              </w:rPr>
              <w:t>Incident</w:t>
            </w:r>
          </w:p>
        </w:tc>
        <w:tc>
          <w:tcPr>
            <w:tcW w:w="1177" w:type="dxa"/>
          </w:tcPr>
          <w:p w:rsidR="00485F9A" w:rsidRPr="00485F9A" w:rsidRDefault="00485F9A" w:rsidP="00863FDF">
            <w:pPr>
              <w:rPr>
                <w:rFonts w:ascii="Arial" w:hAnsi="Arial" w:cs="Arial"/>
                <w:sz w:val="18"/>
                <w:szCs w:val="18"/>
              </w:rPr>
            </w:pPr>
            <w:r w:rsidRPr="00485F9A">
              <w:rPr>
                <w:rFonts w:ascii="Arial" w:hAnsi="Arial" w:cs="Arial"/>
                <w:sz w:val="18"/>
                <w:szCs w:val="18"/>
              </w:rPr>
              <w:t>Patient</w:t>
            </w: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Social history notes</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413</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2.1%</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tcPr>
          <w:p w:rsidR="00485F9A" w:rsidRPr="00485F9A" w:rsidRDefault="00485F9A" w:rsidP="00863FDF">
            <w:pPr>
              <w:rPr>
                <w:rFonts w:ascii="Arial" w:hAnsi="Arial" w:cs="Arial"/>
                <w:sz w:val="18"/>
                <w:szCs w:val="18"/>
              </w:rPr>
            </w:pPr>
            <w:r w:rsidRPr="00485F9A">
              <w:rPr>
                <w:rFonts w:ascii="Arial" w:hAnsi="Arial" w:cs="Arial"/>
                <w:sz w:val="18"/>
                <w:szCs w:val="18"/>
              </w:rPr>
              <w:t>Presenting condition</w:t>
            </w: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Presenting condition/chief complaint (free text following main ‘choice’ field)</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5098</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25.5%</w:t>
            </w:r>
          </w:p>
        </w:tc>
      </w:tr>
      <w:tr w:rsidR="00485F9A" w:rsidRPr="00485F9A" w:rsidTr="00863FDF">
        <w:tc>
          <w:tcPr>
            <w:tcW w:w="1350" w:type="dxa"/>
            <w:vMerge w:val="restart"/>
          </w:tcPr>
          <w:p w:rsidR="00485F9A" w:rsidRPr="00485F9A" w:rsidRDefault="00485F9A" w:rsidP="00863FDF">
            <w:pPr>
              <w:rPr>
                <w:rFonts w:ascii="Arial" w:hAnsi="Arial" w:cs="Arial"/>
                <w:sz w:val="18"/>
                <w:szCs w:val="18"/>
              </w:rPr>
            </w:pPr>
            <w:r w:rsidRPr="00485F9A">
              <w:rPr>
                <w:rFonts w:ascii="Arial" w:hAnsi="Arial" w:cs="Arial"/>
                <w:sz w:val="18"/>
                <w:szCs w:val="18"/>
              </w:rPr>
              <w:t>AMPLE*</w:t>
            </w:r>
          </w:p>
        </w:tc>
        <w:tc>
          <w:tcPr>
            <w:tcW w:w="1177" w:type="dxa"/>
            <w:vMerge w:val="restart"/>
          </w:tcPr>
          <w:p w:rsidR="00485F9A" w:rsidRPr="00485F9A" w:rsidRDefault="00485F9A" w:rsidP="00863FDF">
            <w:pPr>
              <w:rPr>
                <w:rFonts w:ascii="Arial" w:hAnsi="Arial" w:cs="Arial"/>
                <w:sz w:val="18"/>
                <w:szCs w:val="18"/>
              </w:rPr>
            </w:pPr>
            <w:r w:rsidRPr="00485F9A">
              <w:rPr>
                <w:rFonts w:ascii="Arial" w:hAnsi="Arial" w:cs="Arial"/>
                <w:sz w:val="18"/>
                <w:szCs w:val="18"/>
              </w:rPr>
              <w:t>Past medical history</w:t>
            </w: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Other known medical history</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9128</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45.6%</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vMerge/>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Other known neurological medical history</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4207</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21.0%</w:t>
            </w:r>
          </w:p>
        </w:tc>
      </w:tr>
      <w:tr w:rsidR="00485F9A" w:rsidRPr="00485F9A" w:rsidTr="00863FDF">
        <w:tc>
          <w:tcPr>
            <w:tcW w:w="1350" w:type="dxa"/>
            <w:vMerge w:val="restart"/>
          </w:tcPr>
          <w:p w:rsidR="00485F9A" w:rsidRPr="00485F9A" w:rsidRDefault="00485F9A" w:rsidP="00863FDF">
            <w:pPr>
              <w:rPr>
                <w:rFonts w:ascii="Arial" w:hAnsi="Arial" w:cs="Arial"/>
                <w:sz w:val="18"/>
                <w:szCs w:val="18"/>
              </w:rPr>
            </w:pPr>
            <w:r w:rsidRPr="00485F9A">
              <w:rPr>
                <w:rFonts w:ascii="Arial" w:hAnsi="Arial" w:cs="Arial"/>
                <w:sz w:val="18"/>
                <w:szCs w:val="18"/>
              </w:rPr>
              <w:t>Examination</w:t>
            </w:r>
          </w:p>
        </w:tc>
        <w:tc>
          <w:tcPr>
            <w:tcW w:w="1177" w:type="dxa"/>
          </w:tcPr>
          <w:p w:rsidR="00485F9A" w:rsidRPr="00485F9A" w:rsidRDefault="00485F9A" w:rsidP="00863FDF">
            <w:pPr>
              <w:rPr>
                <w:rFonts w:ascii="Arial" w:hAnsi="Arial" w:cs="Arial"/>
                <w:sz w:val="18"/>
                <w:szCs w:val="18"/>
              </w:rPr>
            </w:pPr>
            <w:r w:rsidRPr="00485F9A">
              <w:rPr>
                <w:rFonts w:ascii="Arial" w:hAnsi="Arial" w:cs="Arial"/>
                <w:sz w:val="18"/>
                <w:szCs w:val="18"/>
              </w:rPr>
              <w:t>Mental Health</w:t>
            </w: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Mental Health notes</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3794</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19.0%</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Mental health diagnosis further information</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61</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0.3%</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Mental health diagnosis - notes</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22</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0.1%</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vMerge w:val="restart"/>
          </w:tcPr>
          <w:p w:rsidR="00485F9A" w:rsidRPr="00485F9A" w:rsidRDefault="00485F9A" w:rsidP="00863FDF">
            <w:pPr>
              <w:rPr>
                <w:rFonts w:ascii="Arial" w:hAnsi="Arial" w:cs="Arial"/>
                <w:sz w:val="18"/>
                <w:szCs w:val="18"/>
              </w:rPr>
            </w:pPr>
            <w:r w:rsidRPr="00485F9A">
              <w:rPr>
                <w:rFonts w:ascii="Arial" w:hAnsi="Arial" w:cs="Arial"/>
                <w:sz w:val="18"/>
                <w:szCs w:val="18"/>
              </w:rPr>
              <w:t>General</w:t>
            </w: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Brief description of injury or illness</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3123</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15.6%</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vMerge/>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Signs and symptoms</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1160</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5.8%</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vMerge/>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What are the clinicians concerns? (relating to falls risk assessment concerns)</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325</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1.6%</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vMerge/>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 xml:space="preserve">Previous medical history including falls (any patterns?) (relating to </w:t>
            </w:r>
            <w:r w:rsidR="002575B3">
              <w:rPr>
                <w:rFonts w:ascii="Arial" w:hAnsi="Arial" w:cs="Arial"/>
                <w:sz w:val="18"/>
                <w:szCs w:val="18"/>
              </w:rPr>
              <w:t>‘</w:t>
            </w:r>
            <w:r w:rsidRPr="00485F9A">
              <w:rPr>
                <w:rFonts w:ascii="Arial" w:hAnsi="Arial" w:cs="Arial"/>
                <w:sz w:val="18"/>
                <w:szCs w:val="18"/>
              </w:rPr>
              <w:t>Falls risk assessment Past medical history</w:t>
            </w:r>
            <w:r w:rsidR="002575B3">
              <w:rPr>
                <w:rFonts w:ascii="Arial" w:hAnsi="Arial" w:cs="Arial"/>
                <w:sz w:val="18"/>
                <w:szCs w:val="18"/>
              </w:rPr>
              <w:t>’</w:t>
            </w:r>
            <w:r w:rsidRPr="00485F9A">
              <w:rPr>
                <w:rFonts w:ascii="Arial" w:hAnsi="Arial" w:cs="Arial"/>
                <w:sz w:val="18"/>
                <w:szCs w:val="18"/>
              </w:rPr>
              <w:t>)</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1091</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5.5%</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vMerge/>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Patients confirmed diagnosed conditions (relating to Falls risk assessment confirmed/diagnosed)</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1088</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5.4%</w:t>
            </w:r>
          </w:p>
        </w:tc>
      </w:tr>
      <w:tr w:rsidR="00485F9A" w:rsidRPr="00485F9A" w:rsidTr="00863FDF">
        <w:tc>
          <w:tcPr>
            <w:tcW w:w="1350" w:type="dxa"/>
            <w:vMerge w:val="restart"/>
          </w:tcPr>
          <w:p w:rsidR="00485F9A" w:rsidRPr="00485F9A" w:rsidRDefault="00485F9A" w:rsidP="00863FDF">
            <w:pPr>
              <w:rPr>
                <w:rFonts w:ascii="Arial" w:hAnsi="Arial" w:cs="Arial"/>
                <w:sz w:val="18"/>
                <w:szCs w:val="18"/>
              </w:rPr>
            </w:pPr>
            <w:r w:rsidRPr="00485F9A">
              <w:rPr>
                <w:rFonts w:ascii="Arial" w:hAnsi="Arial" w:cs="Arial"/>
                <w:sz w:val="18"/>
                <w:szCs w:val="18"/>
              </w:rPr>
              <w:t>Final disposition</w:t>
            </w:r>
          </w:p>
        </w:tc>
        <w:tc>
          <w:tcPr>
            <w:tcW w:w="1177" w:type="dxa"/>
            <w:vMerge w:val="restart"/>
          </w:tcPr>
          <w:p w:rsidR="00485F9A" w:rsidRPr="00485F9A" w:rsidRDefault="00485F9A" w:rsidP="00863FDF">
            <w:pPr>
              <w:rPr>
                <w:rFonts w:ascii="Arial" w:hAnsi="Arial" w:cs="Arial"/>
                <w:sz w:val="18"/>
                <w:szCs w:val="18"/>
              </w:rPr>
            </w:pPr>
            <w:r w:rsidRPr="00485F9A">
              <w:rPr>
                <w:rFonts w:ascii="Arial" w:hAnsi="Arial" w:cs="Arial"/>
                <w:sz w:val="18"/>
                <w:szCs w:val="18"/>
              </w:rPr>
              <w:t>Impression &amp; Plan</w:t>
            </w: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Further information regarding diagnosis (</w:t>
            </w:r>
            <w:r w:rsidR="002575B3">
              <w:rPr>
                <w:rFonts w:ascii="Arial" w:hAnsi="Arial" w:cs="Arial"/>
                <w:sz w:val="18"/>
                <w:szCs w:val="18"/>
              </w:rPr>
              <w:t>‘</w:t>
            </w:r>
            <w:r w:rsidRPr="00485F9A">
              <w:rPr>
                <w:rFonts w:ascii="Arial" w:hAnsi="Arial" w:cs="Arial"/>
                <w:sz w:val="18"/>
                <w:szCs w:val="18"/>
              </w:rPr>
              <w:t xml:space="preserve">Impression differential </w:t>
            </w:r>
            <w:r w:rsidRPr="00485F9A">
              <w:rPr>
                <w:rFonts w:ascii="Arial" w:hAnsi="Arial" w:cs="Arial"/>
                <w:sz w:val="18"/>
                <w:szCs w:val="18"/>
              </w:rPr>
              <w:lastRenderedPageBreak/>
              <w:t>diagnosis</w:t>
            </w:r>
            <w:r w:rsidR="002575B3">
              <w:rPr>
                <w:rFonts w:ascii="Arial" w:hAnsi="Arial" w:cs="Arial"/>
                <w:sz w:val="18"/>
                <w:szCs w:val="18"/>
              </w:rPr>
              <w:t>’</w:t>
            </w:r>
            <w:r w:rsidRPr="00485F9A">
              <w:rPr>
                <w:rFonts w:ascii="Arial" w:hAnsi="Arial" w:cs="Arial"/>
                <w:sz w:val="18"/>
                <w:szCs w:val="18"/>
              </w:rPr>
              <w:t>)</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lastRenderedPageBreak/>
              <w:t>101</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0.5%</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vMerge/>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 xml:space="preserve">Impression </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251</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1.3%</w:t>
            </w:r>
          </w:p>
        </w:tc>
      </w:tr>
      <w:tr w:rsidR="00485F9A" w:rsidRPr="00485F9A" w:rsidTr="00863FDF">
        <w:tc>
          <w:tcPr>
            <w:tcW w:w="1350" w:type="dxa"/>
            <w:vMerge/>
          </w:tcPr>
          <w:p w:rsidR="00485F9A" w:rsidRPr="00485F9A" w:rsidRDefault="00485F9A" w:rsidP="00863FDF">
            <w:pPr>
              <w:rPr>
                <w:rFonts w:ascii="Arial" w:hAnsi="Arial" w:cs="Arial"/>
                <w:sz w:val="18"/>
                <w:szCs w:val="18"/>
              </w:rPr>
            </w:pPr>
          </w:p>
        </w:tc>
        <w:tc>
          <w:tcPr>
            <w:tcW w:w="1177" w:type="dxa"/>
            <w:vMerge/>
          </w:tcPr>
          <w:p w:rsidR="00485F9A" w:rsidRPr="00485F9A" w:rsidRDefault="00485F9A" w:rsidP="00863FDF">
            <w:pPr>
              <w:rPr>
                <w:rFonts w:ascii="Arial" w:hAnsi="Arial" w:cs="Arial"/>
                <w:sz w:val="18"/>
                <w:szCs w:val="18"/>
              </w:rPr>
            </w:pP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Impression working diagnosis</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72</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0.4%</w:t>
            </w:r>
          </w:p>
        </w:tc>
      </w:tr>
      <w:tr w:rsidR="00485F9A" w:rsidRPr="00485F9A" w:rsidTr="00863FDF">
        <w:tc>
          <w:tcPr>
            <w:tcW w:w="1350" w:type="dxa"/>
          </w:tcPr>
          <w:p w:rsidR="00485F9A" w:rsidRPr="00485F9A" w:rsidRDefault="00485F9A" w:rsidP="00863FDF">
            <w:pPr>
              <w:rPr>
                <w:rFonts w:ascii="Arial" w:hAnsi="Arial" w:cs="Arial"/>
                <w:sz w:val="18"/>
                <w:szCs w:val="18"/>
              </w:rPr>
            </w:pPr>
          </w:p>
        </w:tc>
        <w:tc>
          <w:tcPr>
            <w:tcW w:w="1177" w:type="dxa"/>
          </w:tcPr>
          <w:p w:rsidR="00485F9A" w:rsidRPr="00485F9A" w:rsidRDefault="00485F9A" w:rsidP="00863FDF">
            <w:pPr>
              <w:rPr>
                <w:rFonts w:ascii="Arial" w:hAnsi="Arial" w:cs="Arial"/>
                <w:sz w:val="18"/>
                <w:szCs w:val="18"/>
              </w:rPr>
            </w:pPr>
            <w:r w:rsidRPr="00485F9A">
              <w:rPr>
                <w:rFonts w:ascii="Arial" w:hAnsi="Arial" w:cs="Arial"/>
                <w:sz w:val="18"/>
                <w:szCs w:val="18"/>
              </w:rPr>
              <w:t>Non- conveyance</w:t>
            </w:r>
          </w:p>
        </w:tc>
        <w:tc>
          <w:tcPr>
            <w:tcW w:w="3328" w:type="dxa"/>
          </w:tcPr>
          <w:p w:rsidR="00485F9A" w:rsidRPr="00485F9A" w:rsidRDefault="00485F9A" w:rsidP="00863FDF">
            <w:pPr>
              <w:rPr>
                <w:rFonts w:ascii="Arial" w:hAnsi="Arial" w:cs="Arial"/>
                <w:sz w:val="18"/>
                <w:szCs w:val="18"/>
              </w:rPr>
            </w:pPr>
            <w:r w:rsidRPr="00485F9A">
              <w:rPr>
                <w:rFonts w:ascii="Arial" w:hAnsi="Arial" w:cs="Arial"/>
                <w:sz w:val="18"/>
                <w:szCs w:val="18"/>
              </w:rPr>
              <w:t xml:space="preserve">Diagnosis notes (relating to </w:t>
            </w:r>
            <w:r w:rsidR="002575B3">
              <w:rPr>
                <w:rFonts w:ascii="Arial" w:hAnsi="Arial" w:cs="Arial"/>
                <w:sz w:val="18"/>
                <w:szCs w:val="18"/>
              </w:rPr>
              <w:t>‘</w:t>
            </w:r>
            <w:proofErr w:type="spellStart"/>
            <w:r w:rsidRPr="00485F9A">
              <w:rPr>
                <w:rFonts w:ascii="Arial" w:hAnsi="Arial" w:cs="Arial"/>
                <w:sz w:val="18"/>
                <w:szCs w:val="18"/>
              </w:rPr>
              <w:t>SeeTreatFreetext</w:t>
            </w:r>
            <w:proofErr w:type="spellEnd"/>
            <w:r w:rsidR="002575B3">
              <w:rPr>
                <w:rFonts w:ascii="Arial" w:hAnsi="Arial" w:cs="Arial"/>
                <w:sz w:val="18"/>
                <w:szCs w:val="18"/>
              </w:rPr>
              <w:t>’</w:t>
            </w:r>
            <w:r w:rsidRPr="00485F9A">
              <w:rPr>
                <w:rFonts w:ascii="Arial" w:hAnsi="Arial" w:cs="Arial"/>
                <w:sz w:val="18"/>
                <w:szCs w:val="18"/>
              </w:rPr>
              <w:t>)</w:t>
            </w:r>
          </w:p>
        </w:tc>
        <w:tc>
          <w:tcPr>
            <w:tcW w:w="1808"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50</w:t>
            </w:r>
          </w:p>
        </w:tc>
        <w:tc>
          <w:tcPr>
            <w:tcW w:w="1943" w:type="dxa"/>
            <w:vAlign w:val="bottom"/>
          </w:tcPr>
          <w:p w:rsidR="00485F9A" w:rsidRPr="00485F9A" w:rsidRDefault="00485F9A" w:rsidP="00863FDF">
            <w:pPr>
              <w:jc w:val="center"/>
              <w:rPr>
                <w:rFonts w:ascii="Arial" w:hAnsi="Arial" w:cs="Arial"/>
                <w:color w:val="000000"/>
                <w:sz w:val="18"/>
                <w:szCs w:val="18"/>
              </w:rPr>
            </w:pPr>
            <w:r w:rsidRPr="00485F9A">
              <w:rPr>
                <w:rFonts w:ascii="Arial" w:hAnsi="Arial" w:cs="Arial"/>
                <w:color w:val="000000"/>
                <w:sz w:val="18"/>
                <w:szCs w:val="18"/>
              </w:rPr>
              <w:t>0.2%</w:t>
            </w:r>
          </w:p>
        </w:tc>
      </w:tr>
    </w:tbl>
    <w:p w:rsidR="009F7845" w:rsidRPr="00215A41" w:rsidRDefault="00291557" w:rsidP="00EF4617">
      <w:pPr>
        <w:spacing w:line="240" w:lineRule="auto"/>
        <w:rPr>
          <w:rFonts w:ascii="Arial" w:hAnsi="Arial" w:cs="Arial"/>
          <w:sz w:val="18"/>
          <w:szCs w:val="18"/>
        </w:rPr>
      </w:pPr>
      <w:r w:rsidRPr="00215A41">
        <w:rPr>
          <w:rFonts w:ascii="Arial" w:hAnsi="Arial" w:cs="Arial"/>
          <w:sz w:val="18"/>
          <w:szCs w:val="18"/>
        </w:rPr>
        <w:t>*AMPLE= Allergies, Medications, Past medical history, Last oral intake, Events leading</w:t>
      </w:r>
      <w:r w:rsidR="00215A41" w:rsidRPr="00215A41">
        <w:rPr>
          <w:rFonts w:ascii="Arial" w:hAnsi="Arial" w:cs="Arial"/>
          <w:sz w:val="18"/>
          <w:szCs w:val="18"/>
        </w:rPr>
        <w:t xml:space="preserve"> to</w:t>
      </w:r>
    </w:p>
    <w:p w:rsidR="004B3301" w:rsidRDefault="004B3301" w:rsidP="00EF4617">
      <w:pPr>
        <w:spacing w:line="240" w:lineRule="auto"/>
        <w:rPr>
          <w:rFonts w:ascii="Arial" w:hAnsi="Arial" w:cs="Arial"/>
          <w:b/>
          <w:sz w:val="24"/>
          <w:szCs w:val="24"/>
        </w:rPr>
      </w:pPr>
    </w:p>
    <w:p w:rsidR="00320935" w:rsidRPr="00EF4617" w:rsidRDefault="00320935" w:rsidP="00EF4617">
      <w:pPr>
        <w:spacing w:line="240" w:lineRule="auto"/>
        <w:rPr>
          <w:rFonts w:ascii="Arial" w:hAnsi="Arial" w:cs="Arial"/>
          <w:b/>
          <w:sz w:val="24"/>
          <w:szCs w:val="24"/>
        </w:rPr>
      </w:pPr>
      <w:r w:rsidRPr="00EF4617">
        <w:rPr>
          <w:rFonts w:ascii="Arial" w:hAnsi="Arial" w:cs="Arial"/>
          <w:b/>
          <w:sz w:val="24"/>
          <w:szCs w:val="24"/>
        </w:rPr>
        <w:t>Discussion</w:t>
      </w:r>
    </w:p>
    <w:p w:rsidR="00485F9A" w:rsidRDefault="00521C3F" w:rsidP="00EF4617">
      <w:pPr>
        <w:spacing w:line="240" w:lineRule="auto"/>
        <w:rPr>
          <w:rFonts w:ascii="Arial" w:hAnsi="Arial" w:cs="Arial"/>
          <w:sz w:val="24"/>
          <w:szCs w:val="24"/>
        </w:rPr>
      </w:pPr>
      <w:r w:rsidRPr="00EF4617">
        <w:rPr>
          <w:rFonts w:ascii="Arial" w:hAnsi="Arial" w:cs="Arial"/>
          <w:sz w:val="24"/>
          <w:szCs w:val="24"/>
        </w:rPr>
        <w:t xml:space="preserve">The proportion of records with ‘dementia’ recorded </w:t>
      </w:r>
      <w:r w:rsidR="000775BF">
        <w:rPr>
          <w:rFonts w:ascii="Arial" w:hAnsi="Arial" w:cs="Arial"/>
          <w:sz w:val="24"/>
          <w:szCs w:val="24"/>
        </w:rPr>
        <w:t xml:space="preserve">in the EPR </w:t>
      </w:r>
      <w:r w:rsidRPr="00EF4617">
        <w:rPr>
          <w:rFonts w:ascii="Arial" w:hAnsi="Arial" w:cs="Arial"/>
          <w:sz w:val="24"/>
          <w:szCs w:val="24"/>
        </w:rPr>
        <w:t xml:space="preserve">rose from 13.5% in patients aged 65+ to 16.5% in patients </w:t>
      </w:r>
      <w:r w:rsidR="00B453D4">
        <w:rPr>
          <w:rFonts w:ascii="Arial" w:hAnsi="Arial" w:cs="Arial"/>
          <w:sz w:val="24"/>
          <w:szCs w:val="24"/>
        </w:rPr>
        <w:t xml:space="preserve">aged </w:t>
      </w:r>
      <w:r w:rsidRPr="00EF4617">
        <w:rPr>
          <w:rFonts w:ascii="Arial" w:hAnsi="Arial" w:cs="Arial"/>
          <w:sz w:val="24"/>
          <w:szCs w:val="24"/>
        </w:rPr>
        <w:t>75</w:t>
      </w:r>
      <w:r w:rsidR="00801FE8" w:rsidRPr="00EF4617">
        <w:rPr>
          <w:rFonts w:ascii="Arial" w:hAnsi="Arial" w:cs="Arial"/>
          <w:sz w:val="24"/>
          <w:szCs w:val="24"/>
        </w:rPr>
        <w:t xml:space="preserve">+, </w:t>
      </w:r>
      <w:r w:rsidR="000775BF">
        <w:rPr>
          <w:rFonts w:ascii="Arial" w:hAnsi="Arial" w:cs="Arial"/>
          <w:sz w:val="24"/>
          <w:szCs w:val="24"/>
        </w:rPr>
        <w:t>reflecting</w:t>
      </w:r>
      <w:r w:rsidR="00801FE8" w:rsidRPr="00EF4617">
        <w:rPr>
          <w:rFonts w:ascii="Arial" w:hAnsi="Arial" w:cs="Arial"/>
          <w:sz w:val="24"/>
          <w:szCs w:val="24"/>
        </w:rPr>
        <w:t xml:space="preserve"> the increasing prevalence </w:t>
      </w:r>
      <w:r w:rsidR="0041479E">
        <w:rPr>
          <w:rFonts w:ascii="Arial" w:hAnsi="Arial" w:cs="Arial"/>
          <w:sz w:val="24"/>
          <w:szCs w:val="24"/>
        </w:rPr>
        <w:t xml:space="preserve">and diagnosis </w:t>
      </w:r>
      <w:r w:rsidR="00801FE8" w:rsidRPr="00EF4617">
        <w:rPr>
          <w:rFonts w:ascii="Arial" w:hAnsi="Arial" w:cs="Arial"/>
          <w:sz w:val="24"/>
          <w:szCs w:val="24"/>
        </w:rPr>
        <w:t>of dementia with age. In</w:t>
      </w:r>
      <w:r w:rsidR="00051F3B" w:rsidRPr="00EF4617">
        <w:rPr>
          <w:rFonts w:ascii="Arial" w:hAnsi="Arial" w:cs="Arial"/>
          <w:sz w:val="24"/>
          <w:szCs w:val="24"/>
        </w:rPr>
        <w:t xml:space="preserve"> </w:t>
      </w:r>
      <w:r w:rsidR="00801FE8" w:rsidRPr="00EF4617">
        <w:rPr>
          <w:rFonts w:ascii="Arial" w:hAnsi="Arial" w:cs="Arial"/>
          <w:sz w:val="24"/>
          <w:szCs w:val="24"/>
        </w:rPr>
        <w:t xml:space="preserve">patients aged </w:t>
      </w:r>
      <w:r w:rsidR="00051F3B" w:rsidRPr="00EF4617">
        <w:rPr>
          <w:rFonts w:ascii="Arial" w:hAnsi="Arial" w:cs="Arial"/>
          <w:sz w:val="24"/>
          <w:szCs w:val="24"/>
        </w:rPr>
        <w:t>75</w:t>
      </w:r>
      <w:r w:rsidR="00801FE8" w:rsidRPr="00EF4617">
        <w:rPr>
          <w:rFonts w:ascii="Arial" w:hAnsi="Arial" w:cs="Arial"/>
          <w:sz w:val="24"/>
          <w:szCs w:val="24"/>
        </w:rPr>
        <w:t xml:space="preserve">+, the </w:t>
      </w:r>
      <w:r w:rsidR="000775BF">
        <w:rPr>
          <w:rFonts w:ascii="Arial" w:hAnsi="Arial" w:cs="Arial"/>
          <w:sz w:val="24"/>
          <w:szCs w:val="24"/>
        </w:rPr>
        <w:t xml:space="preserve">prevalence of </w:t>
      </w:r>
      <w:r w:rsidR="00A14BF7" w:rsidRPr="00EF4617">
        <w:rPr>
          <w:rFonts w:ascii="Arial" w:hAnsi="Arial" w:cs="Arial"/>
          <w:sz w:val="24"/>
          <w:szCs w:val="24"/>
        </w:rPr>
        <w:t>16.5%</w:t>
      </w:r>
      <w:r w:rsidR="00820DDE">
        <w:rPr>
          <w:rFonts w:ascii="Arial" w:hAnsi="Arial" w:cs="Arial"/>
          <w:sz w:val="24"/>
          <w:szCs w:val="24"/>
        </w:rPr>
        <w:t xml:space="preserve"> of records noting dementia</w:t>
      </w:r>
      <w:r w:rsidR="00A14BF7" w:rsidRPr="00EF4617">
        <w:rPr>
          <w:rFonts w:ascii="Arial" w:hAnsi="Arial" w:cs="Arial"/>
          <w:sz w:val="24"/>
          <w:szCs w:val="24"/>
        </w:rPr>
        <w:t xml:space="preserve"> </w:t>
      </w:r>
      <w:r w:rsidR="00801FE8" w:rsidRPr="00EF4617">
        <w:rPr>
          <w:rFonts w:ascii="Arial" w:hAnsi="Arial" w:cs="Arial"/>
          <w:sz w:val="24"/>
          <w:szCs w:val="24"/>
        </w:rPr>
        <w:t xml:space="preserve">in the EPR was higher than the </w:t>
      </w:r>
      <w:r w:rsidRPr="00EF4617">
        <w:rPr>
          <w:rFonts w:ascii="Arial" w:hAnsi="Arial" w:cs="Arial"/>
          <w:sz w:val="24"/>
          <w:szCs w:val="24"/>
        </w:rPr>
        <w:t>14.5%</w:t>
      </w:r>
      <w:r w:rsidR="00801FE8" w:rsidRPr="00EF4617">
        <w:rPr>
          <w:rFonts w:ascii="Arial" w:hAnsi="Arial" w:cs="Arial"/>
          <w:sz w:val="24"/>
          <w:szCs w:val="24"/>
        </w:rPr>
        <w:t xml:space="preserve"> found </w:t>
      </w:r>
      <w:r w:rsidR="0041479E">
        <w:rPr>
          <w:rFonts w:ascii="Arial" w:hAnsi="Arial" w:cs="Arial"/>
          <w:sz w:val="24"/>
          <w:szCs w:val="24"/>
        </w:rPr>
        <w:t>on paper records</w:t>
      </w:r>
      <w:r w:rsidR="00801FE8" w:rsidRPr="00EF4617">
        <w:rPr>
          <w:rFonts w:ascii="Arial" w:hAnsi="Arial" w:cs="Arial"/>
          <w:sz w:val="24"/>
          <w:szCs w:val="24"/>
        </w:rPr>
        <w:t xml:space="preserve"> </w:t>
      </w:r>
      <w:r w:rsidR="003459B7">
        <w:rPr>
          <w:rFonts w:ascii="Arial" w:hAnsi="Arial" w:cs="Arial"/>
          <w:sz w:val="24"/>
          <w:szCs w:val="24"/>
        </w:rPr>
        <w:fldChar w:fldCharType="begin"/>
      </w:r>
      <w:r w:rsidR="0062017E">
        <w:rPr>
          <w:rFonts w:ascii="Arial" w:hAnsi="Arial" w:cs="Arial"/>
          <w:sz w:val="24"/>
          <w:szCs w:val="24"/>
        </w:rPr>
        <w:instrText xml:space="preserve"> ADDIN EN.CITE &lt;EndNote&gt;&lt;Cite&gt;&lt;Author&gt;Buswell&lt;/Author&gt;&lt;Year&gt;2016&lt;/Year&gt;&lt;RecNum&gt;355&lt;/RecNum&gt;&lt;DisplayText&gt;(Buswell, Lumbard, Fleming, et al., 2016)&lt;/DisplayText&gt;&lt;record&gt;&lt;rec-number&gt;355&lt;/rec-number&gt;&lt;foreign-keys&gt;&lt;key app="EN" db-id="0zpzrevtzfzvfeed0d7pxpeer5zaxet0zrpv"&gt;355&lt;/key&gt;&lt;/foreign-keys&gt;&lt;ref-type name="Journal Article"&gt;17&lt;/ref-type&gt;&lt;contributors&gt;&lt;authors&gt;&lt;author&gt;Buswell, M.&lt;/author&gt;&lt;author&gt;Lumbard, P.&lt;/author&gt;&lt;author&gt;Fleming, J.&lt;/author&gt;&lt;author&gt;Ayres, D.&lt;/author&gt;&lt;author&gt;Brayne, C.&lt;/author&gt;&lt;author&gt;Goodman, C.&lt;/author&gt;&lt;/authors&gt;&lt;/contributors&gt;&lt;titles&gt;&lt;title&gt;Using ambulance service PCRs to understand 999 call-outs to older people with dementia&lt;/title&gt;&lt;secondary-title&gt;Journal of Paramedic Practice&lt;/secondary-title&gt;&lt;/titles&gt;&lt;periodical&gt;&lt;full-title&gt;Journal of Paramedic Practice&lt;/full-title&gt;&lt;/periodical&gt;&lt;pages&gt;6&lt;/pages&gt;&lt;volume&gt;8&lt;/volume&gt;&lt;number&gt;5&lt;/number&gt;&lt;section&gt;246&lt;/section&gt;&lt;dates&gt;&lt;year&gt;2016&lt;/year&gt;&lt;/dates&gt;&lt;urls&gt;&lt;/urls&gt;&lt;/record&gt;&lt;/Cite&gt;&lt;/EndNote&gt;</w:instrText>
      </w:r>
      <w:r w:rsidR="003459B7">
        <w:rPr>
          <w:rFonts w:ascii="Arial" w:hAnsi="Arial" w:cs="Arial"/>
          <w:sz w:val="24"/>
          <w:szCs w:val="24"/>
        </w:rPr>
        <w:fldChar w:fldCharType="separate"/>
      </w:r>
      <w:r w:rsidR="0062017E">
        <w:rPr>
          <w:rFonts w:ascii="Arial" w:hAnsi="Arial" w:cs="Arial"/>
          <w:noProof/>
          <w:sz w:val="24"/>
          <w:szCs w:val="24"/>
        </w:rPr>
        <w:t>(</w:t>
      </w:r>
      <w:hyperlink w:anchor="_ENREF_3" w:tooltip="Buswell, 2016 #355" w:history="1">
        <w:r w:rsidR="0062017E">
          <w:rPr>
            <w:rFonts w:ascii="Arial" w:hAnsi="Arial" w:cs="Arial"/>
            <w:noProof/>
            <w:sz w:val="24"/>
            <w:szCs w:val="24"/>
          </w:rPr>
          <w:t>Buswell</w:t>
        </w:r>
        <w:r w:rsidR="00B453D4">
          <w:rPr>
            <w:rFonts w:ascii="Arial" w:hAnsi="Arial" w:cs="Arial"/>
            <w:noProof/>
            <w:sz w:val="24"/>
            <w:szCs w:val="24"/>
          </w:rPr>
          <w:t xml:space="preserve"> et al</w:t>
        </w:r>
        <w:r w:rsidR="0062017E">
          <w:rPr>
            <w:rFonts w:ascii="Arial" w:hAnsi="Arial" w:cs="Arial"/>
            <w:noProof/>
            <w:sz w:val="24"/>
            <w:szCs w:val="24"/>
          </w:rPr>
          <w:t>, 2016</w:t>
        </w:r>
      </w:hyperlink>
      <w:r w:rsidR="0062017E">
        <w:rPr>
          <w:rFonts w:ascii="Arial" w:hAnsi="Arial" w:cs="Arial"/>
          <w:noProof/>
          <w:sz w:val="24"/>
          <w:szCs w:val="24"/>
        </w:rPr>
        <w:t>)</w:t>
      </w:r>
      <w:r w:rsidR="003459B7">
        <w:rPr>
          <w:rFonts w:ascii="Arial" w:hAnsi="Arial" w:cs="Arial"/>
          <w:sz w:val="24"/>
          <w:szCs w:val="24"/>
        </w:rPr>
        <w:fldChar w:fldCharType="end"/>
      </w:r>
      <w:r w:rsidR="00B453D4">
        <w:rPr>
          <w:rFonts w:ascii="Arial" w:hAnsi="Arial" w:cs="Arial"/>
          <w:sz w:val="24"/>
          <w:szCs w:val="24"/>
        </w:rPr>
        <w:t>.</w:t>
      </w:r>
      <w:r w:rsidR="003459B7">
        <w:rPr>
          <w:rFonts w:ascii="Arial" w:hAnsi="Arial" w:cs="Arial"/>
          <w:sz w:val="24"/>
          <w:szCs w:val="24"/>
        </w:rPr>
        <w:t xml:space="preserve"> </w:t>
      </w:r>
      <w:r w:rsidR="00A14BF7" w:rsidRPr="00EF4617">
        <w:rPr>
          <w:rFonts w:ascii="Arial" w:hAnsi="Arial" w:cs="Arial"/>
          <w:sz w:val="24"/>
          <w:szCs w:val="24"/>
        </w:rPr>
        <w:t xml:space="preserve">This may reflect </w:t>
      </w:r>
      <w:r w:rsidR="0041479E">
        <w:rPr>
          <w:rFonts w:ascii="Arial" w:hAnsi="Arial" w:cs="Arial"/>
          <w:sz w:val="24"/>
          <w:szCs w:val="24"/>
        </w:rPr>
        <w:t xml:space="preserve">greater precision of the estimate </w:t>
      </w:r>
      <w:r w:rsidR="000775BF">
        <w:rPr>
          <w:rFonts w:ascii="Arial" w:hAnsi="Arial" w:cs="Arial"/>
          <w:sz w:val="24"/>
          <w:szCs w:val="24"/>
        </w:rPr>
        <w:t>due to</w:t>
      </w:r>
      <w:r w:rsidR="0041479E">
        <w:rPr>
          <w:rFonts w:ascii="Arial" w:hAnsi="Arial" w:cs="Arial"/>
          <w:sz w:val="24"/>
          <w:szCs w:val="24"/>
        </w:rPr>
        <w:t xml:space="preserve"> </w:t>
      </w:r>
      <w:r w:rsidR="00A14BF7" w:rsidRPr="00EF4617">
        <w:rPr>
          <w:rFonts w:ascii="Arial" w:hAnsi="Arial" w:cs="Arial"/>
          <w:sz w:val="24"/>
          <w:szCs w:val="24"/>
        </w:rPr>
        <w:t xml:space="preserve">larger sample size, </w:t>
      </w:r>
      <w:r w:rsidR="00485F9A">
        <w:rPr>
          <w:rFonts w:ascii="Arial" w:hAnsi="Arial" w:cs="Arial"/>
          <w:sz w:val="24"/>
          <w:szCs w:val="24"/>
        </w:rPr>
        <w:t xml:space="preserve">increased </w:t>
      </w:r>
      <w:r w:rsidR="00A14BF7" w:rsidRPr="00EF4617">
        <w:rPr>
          <w:rFonts w:ascii="Arial" w:hAnsi="Arial" w:cs="Arial"/>
          <w:sz w:val="24"/>
          <w:szCs w:val="24"/>
        </w:rPr>
        <w:t xml:space="preserve">emphasis on earlier diagnosis, or greater </w:t>
      </w:r>
      <w:r w:rsidR="00485F9A">
        <w:rPr>
          <w:rFonts w:ascii="Arial" w:hAnsi="Arial" w:cs="Arial"/>
          <w:sz w:val="24"/>
          <w:szCs w:val="24"/>
        </w:rPr>
        <w:t xml:space="preserve">awareness </w:t>
      </w:r>
      <w:r w:rsidR="0041479E">
        <w:rPr>
          <w:rFonts w:ascii="Arial" w:hAnsi="Arial" w:cs="Arial"/>
          <w:sz w:val="24"/>
          <w:szCs w:val="24"/>
        </w:rPr>
        <w:t xml:space="preserve">amongst </w:t>
      </w:r>
      <w:r w:rsidR="00A14BF7" w:rsidRPr="00EF4617">
        <w:rPr>
          <w:rFonts w:ascii="Arial" w:hAnsi="Arial" w:cs="Arial"/>
          <w:sz w:val="24"/>
          <w:szCs w:val="24"/>
        </w:rPr>
        <w:t>ambulance crews following</w:t>
      </w:r>
      <w:r w:rsidR="00DD2191">
        <w:rPr>
          <w:rFonts w:ascii="Arial" w:hAnsi="Arial" w:cs="Arial"/>
          <w:sz w:val="24"/>
          <w:szCs w:val="24"/>
        </w:rPr>
        <w:t xml:space="preserve"> local</w:t>
      </w:r>
      <w:r w:rsidR="00A14BF7" w:rsidRPr="00EF4617">
        <w:rPr>
          <w:rFonts w:ascii="Arial" w:hAnsi="Arial" w:cs="Arial"/>
          <w:sz w:val="24"/>
          <w:szCs w:val="24"/>
        </w:rPr>
        <w:t xml:space="preserve"> training activities. </w:t>
      </w:r>
      <w:r w:rsidR="007E4A38" w:rsidRPr="00EF4617">
        <w:rPr>
          <w:rFonts w:ascii="Arial" w:hAnsi="Arial" w:cs="Arial"/>
          <w:sz w:val="24"/>
          <w:szCs w:val="24"/>
        </w:rPr>
        <w:t xml:space="preserve">Alternatively, the </w:t>
      </w:r>
      <w:r w:rsidR="0041479E" w:rsidRPr="00EF4617">
        <w:rPr>
          <w:rFonts w:ascii="Arial" w:hAnsi="Arial" w:cs="Arial"/>
          <w:sz w:val="24"/>
          <w:szCs w:val="24"/>
        </w:rPr>
        <w:t xml:space="preserve">greater number of data fields </w:t>
      </w:r>
      <w:r w:rsidR="0041479E">
        <w:rPr>
          <w:rFonts w:ascii="Arial" w:hAnsi="Arial" w:cs="Arial"/>
          <w:sz w:val="24"/>
          <w:szCs w:val="24"/>
        </w:rPr>
        <w:t>on E</w:t>
      </w:r>
      <w:r w:rsidR="007E4A38" w:rsidRPr="00EF4617">
        <w:rPr>
          <w:rFonts w:ascii="Arial" w:hAnsi="Arial" w:cs="Arial"/>
          <w:sz w:val="24"/>
          <w:szCs w:val="24"/>
        </w:rPr>
        <w:t xml:space="preserve">PR </w:t>
      </w:r>
      <w:r w:rsidR="0041479E">
        <w:rPr>
          <w:rFonts w:ascii="Arial" w:hAnsi="Arial" w:cs="Arial"/>
          <w:sz w:val="24"/>
          <w:szCs w:val="24"/>
        </w:rPr>
        <w:t xml:space="preserve">prompts </w:t>
      </w:r>
      <w:r w:rsidR="007E4A38" w:rsidRPr="00EF4617">
        <w:rPr>
          <w:rFonts w:ascii="Arial" w:hAnsi="Arial" w:cs="Arial"/>
          <w:sz w:val="24"/>
          <w:szCs w:val="24"/>
        </w:rPr>
        <w:t xml:space="preserve">staff to include </w:t>
      </w:r>
      <w:r w:rsidR="002E735B">
        <w:rPr>
          <w:rFonts w:ascii="Arial" w:hAnsi="Arial" w:cs="Arial"/>
          <w:sz w:val="24"/>
          <w:szCs w:val="24"/>
        </w:rPr>
        <w:t>more</w:t>
      </w:r>
      <w:r w:rsidR="007E4A38" w:rsidRPr="00EF4617">
        <w:rPr>
          <w:rFonts w:ascii="Arial" w:hAnsi="Arial" w:cs="Arial"/>
          <w:sz w:val="24"/>
          <w:szCs w:val="24"/>
        </w:rPr>
        <w:t xml:space="preserve"> information</w:t>
      </w:r>
      <w:r w:rsidR="000775BF">
        <w:rPr>
          <w:rFonts w:ascii="Arial" w:hAnsi="Arial" w:cs="Arial"/>
          <w:sz w:val="24"/>
          <w:szCs w:val="24"/>
        </w:rPr>
        <w:t xml:space="preserve">, enabled </w:t>
      </w:r>
      <w:r w:rsidR="00044B64" w:rsidRPr="00EF4617">
        <w:rPr>
          <w:rFonts w:ascii="Arial" w:hAnsi="Arial" w:cs="Arial"/>
          <w:sz w:val="24"/>
          <w:szCs w:val="24"/>
        </w:rPr>
        <w:t>by</w:t>
      </w:r>
      <w:r w:rsidR="007E4A38" w:rsidRPr="00EF4617">
        <w:rPr>
          <w:rFonts w:ascii="Arial" w:hAnsi="Arial" w:cs="Arial"/>
          <w:sz w:val="24"/>
          <w:szCs w:val="24"/>
        </w:rPr>
        <w:t xml:space="preserve"> </w:t>
      </w:r>
      <w:r w:rsidR="000775BF">
        <w:rPr>
          <w:rFonts w:ascii="Arial" w:hAnsi="Arial" w:cs="Arial"/>
          <w:sz w:val="24"/>
          <w:szCs w:val="24"/>
        </w:rPr>
        <w:t>multiple forms on the EPR rather than t</w:t>
      </w:r>
      <w:r w:rsidR="00044B64" w:rsidRPr="00EF4617">
        <w:rPr>
          <w:rFonts w:ascii="Arial" w:hAnsi="Arial" w:cs="Arial"/>
          <w:sz w:val="24"/>
          <w:szCs w:val="24"/>
        </w:rPr>
        <w:t>he traditional single A5 sheet of paper.</w:t>
      </w:r>
      <w:r w:rsidR="007E4A38" w:rsidRPr="00EF4617">
        <w:rPr>
          <w:rFonts w:ascii="Arial" w:hAnsi="Arial" w:cs="Arial"/>
          <w:sz w:val="24"/>
          <w:szCs w:val="24"/>
        </w:rPr>
        <w:t xml:space="preserve">  </w:t>
      </w:r>
    </w:p>
    <w:p w:rsidR="00051F3B" w:rsidRPr="00EF4617" w:rsidRDefault="00094787" w:rsidP="00EF4617">
      <w:pPr>
        <w:spacing w:line="240" w:lineRule="auto"/>
        <w:rPr>
          <w:rFonts w:ascii="Arial" w:hAnsi="Arial" w:cs="Arial"/>
          <w:sz w:val="24"/>
          <w:szCs w:val="24"/>
        </w:rPr>
      </w:pPr>
      <w:r w:rsidRPr="00EF4617">
        <w:rPr>
          <w:rFonts w:ascii="Arial" w:hAnsi="Arial" w:cs="Arial"/>
          <w:sz w:val="24"/>
          <w:szCs w:val="24"/>
        </w:rPr>
        <w:t>The proportion of conveyed patients aged 75+ with a dementia record (15.2%) is slightly lower than that of the acute hospital dementia screening programme of 19%</w:t>
      </w:r>
      <w:r w:rsidR="004D6D4C" w:rsidRPr="00EF4617">
        <w:rPr>
          <w:rFonts w:ascii="Arial" w:hAnsi="Arial" w:cs="Arial"/>
          <w:sz w:val="24"/>
          <w:szCs w:val="24"/>
        </w:rPr>
        <w:t xml:space="preserve"> </w:t>
      </w:r>
      <w:r w:rsidR="00CD3209">
        <w:rPr>
          <w:rFonts w:ascii="Arial" w:hAnsi="Arial" w:cs="Arial"/>
          <w:sz w:val="24"/>
          <w:szCs w:val="24"/>
        </w:rPr>
        <w:fldChar w:fldCharType="begin"/>
      </w:r>
      <w:r w:rsidR="0062017E">
        <w:rPr>
          <w:rFonts w:ascii="Arial" w:hAnsi="Arial" w:cs="Arial"/>
          <w:sz w:val="24"/>
          <w:szCs w:val="24"/>
        </w:rPr>
        <w:instrText xml:space="preserve"> ADDIN EN.CITE &lt;EndNote&gt;&lt;Cite&gt;&lt;Author&gt;Fogg&lt;/Author&gt;&lt;Year&gt;2017&lt;/Year&gt;&lt;RecNum&gt;314&lt;/RecNum&gt;&lt;DisplayText&gt;(Fogg et al., 2017)&lt;/DisplayText&gt;&lt;record&gt;&lt;rec-number&gt;314&lt;/rec-number&gt;&lt;foreign-keys&gt;&lt;key app="EN" db-id="0zpzrevtzfzvfeed0d7pxpeer5zaxet0zrpv"&gt;314&lt;/key&gt;&lt;/foreign-keys&gt;&lt;ref-type name="Journal Article"&gt;17&lt;/ref-type&gt;&lt;contributors&gt;&lt;authors&gt;&lt;author&gt;Fogg, C.&lt;/author&gt;&lt;author&gt;Meredith, P.&lt;/author&gt;&lt;author&gt;Bridges, J.&lt;/author&gt;&lt;author&gt;Gould, G.&lt;/author&gt;&lt;author&gt;Griffiths, P.&lt;/author&gt;&lt;/authors&gt;&lt;/contributors&gt;&lt;titles&gt;&lt;title&gt;The relationship between cognitive impairment, mortality and discharge characteristics in a large cohort of older adults with unscheduled admissions to an acute hospital: a retrospective observational study&lt;/title&gt;&lt;secondary-title&gt;Age and Ageing &lt;/secondary-title&gt;&lt;/titles&gt;&lt;periodical&gt;&lt;full-title&gt;Age and Ageing&lt;/full-title&gt;&lt;/periodical&gt;&lt;pages&gt;6&lt;/pages&gt;&lt;volume&gt;46&lt;/volume&gt;&lt;edition&gt;25th February 2017&lt;/edition&gt;&lt;section&gt;794&lt;/section&gt;&lt;dates&gt;&lt;year&gt;2017&lt;/year&gt;&lt;/dates&gt;&lt;urls&gt;&lt;/urls&gt;&lt;/record&gt;&lt;/Cite&gt;&lt;/EndNote&gt;</w:instrText>
      </w:r>
      <w:r w:rsidR="00CD3209">
        <w:rPr>
          <w:rFonts w:ascii="Arial" w:hAnsi="Arial" w:cs="Arial"/>
          <w:sz w:val="24"/>
          <w:szCs w:val="24"/>
        </w:rPr>
        <w:fldChar w:fldCharType="separate"/>
      </w:r>
      <w:r w:rsidR="0062017E">
        <w:rPr>
          <w:rFonts w:ascii="Arial" w:hAnsi="Arial" w:cs="Arial"/>
          <w:noProof/>
          <w:sz w:val="24"/>
          <w:szCs w:val="24"/>
        </w:rPr>
        <w:t>(</w:t>
      </w:r>
      <w:hyperlink w:anchor="_ENREF_6" w:tooltip="Fogg, 2017 #314" w:history="1">
        <w:r w:rsidR="009916B1">
          <w:rPr>
            <w:rFonts w:ascii="Arial" w:hAnsi="Arial" w:cs="Arial"/>
            <w:noProof/>
            <w:sz w:val="24"/>
            <w:szCs w:val="24"/>
          </w:rPr>
          <w:t>Fogg et al</w:t>
        </w:r>
        <w:r w:rsidR="0062017E">
          <w:rPr>
            <w:rFonts w:ascii="Arial" w:hAnsi="Arial" w:cs="Arial"/>
            <w:noProof/>
            <w:sz w:val="24"/>
            <w:szCs w:val="24"/>
          </w:rPr>
          <w:t>, 2017</w:t>
        </w:r>
      </w:hyperlink>
      <w:r w:rsidR="0062017E">
        <w:rPr>
          <w:rFonts w:ascii="Arial" w:hAnsi="Arial" w:cs="Arial"/>
          <w:noProof/>
          <w:sz w:val="24"/>
          <w:szCs w:val="24"/>
        </w:rPr>
        <w:t>)</w:t>
      </w:r>
      <w:r w:rsidR="00CD3209">
        <w:rPr>
          <w:rFonts w:ascii="Arial" w:hAnsi="Arial" w:cs="Arial"/>
          <w:sz w:val="24"/>
          <w:szCs w:val="24"/>
        </w:rPr>
        <w:fldChar w:fldCharType="end"/>
      </w:r>
      <w:r w:rsidR="00820DDE">
        <w:rPr>
          <w:rFonts w:ascii="Arial" w:hAnsi="Arial" w:cs="Arial"/>
          <w:sz w:val="24"/>
          <w:szCs w:val="24"/>
        </w:rPr>
        <w:t>.</w:t>
      </w:r>
      <w:r w:rsidR="00327DBA" w:rsidRPr="00EF4617">
        <w:rPr>
          <w:rFonts w:ascii="Arial" w:hAnsi="Arial" w:cs="Arial"/>
          <w:sz w:val="24"/>
          <w:szCs w:val="24"/>
        </w:rPr>
        <w:t xml:space="preserve"> </w:t>
      </w:r>
      <w:r w:rsidR="004D6D4C" w:rsidRPr="00EF4617">
        <w:rPr>
          <w:rFonts w:ascii="Arial" w:hAnsi="Arial" w:cs="Arial"/>
          <w:sz w:val="24"/>
          <w:szCs w:val="24"/>
        </w:rPr>
        <w:t xml:space="preserve">The higher prevalence in hospital could reflect the systematic nature of the screening process, </w:t>
      </w:r>
      <w:r w:rsidR="00485F9A">
        <w:rPr>
          <w:rFonts w:ascii="Arial" w:hAnsi="Arial" w:cs="Arial"/>
          <w:sz w:val="24"/>
          <w:szCs w:val="24"/>
        </w:rPr>
        <w:t>and that</w:t>
      </w:r>
      <w:r w:rsidR="004D6D4C" w:rsidRPr="00EF4617">
        <w:rPr>
          <w:rFonts w:ascii="Arial" w:hAnsi="Arial" w:cs="Arial"/>
          <w:sz w:val="24"/>
          <w:szCs w:val="24"/>
        </w:rPr>
        <w:t xml:space="preserve"> dementia diagnoses may </w:t>
      </w:r>
      <w:r w:rsidR="0041479E">
        <w:rPr>
          <w:rFonts w:ascii="Arial" w:hAnsi="Arial" w:cs="Arial"/>
          <w:sz w:val="24"/>
          <w:szCs w:val="24"/>
        </w:rPr>
        <w:t xml:space="preserve">not </w:t>
      </w:r>
      <w:r w:rsidR="00DD2191">
        <w:rPr>
          <w:rFonts w:ascii="Arial" w:hAnsi="Arial" w:cs="Arial"/>
          <w:sz w:val="24"/>
          <w:szCs w:val="24"/>
        </w:rPr>
        <w:t>be</w:t>
      </w:r>
      <w:r w:rsidR="0041479E">
        <w:rPr>
          <w:rFonts w:ascii="Arial" w:hAnsi="Arial" w:cs="Arial"/>
          <w:sz w:val="24"/>
          <w:szCs w:val="24"/>
        </w:rPr>
        <w:t xml:space="preserve"> </w:t>
      </w:r>
      <w:r w:rsidR="004D6D4C" w:rsidRPr="00EF4617">
        <w:rPr>
          <w:rFonts w:ascii="Arial" w:hAnsi="Arial" w:cs="Arial"/>
          <w:sz w:val="24"/>
          <w:szCs w:val="24"/>
        </w:rPr>
        <w:t xml:space="preserve">disclosed during pre-hospital </w:t>
      </w:r>
      <w:r w:rsidR="00485F9A">
        <w:rPr>
          <w:rFonts w:ascii="Arial" w:hAnsi="Arial" w:cs="Arial"/>
          <w:sz w:val="24"/>
          <w:szCs w:val="24"/>
        </w:rPr>
        <w:t>assessment</w:t>
      </w:r>
      <w:r w:rsidR="004D6D4C" w:rsidRPr="00EF4617">
        <w:rPr>
          <w:rFonts w:ascii="Arial" w:hAnsi="Arial" w:cs="Arial"/>
          <w:sz w:val="24"/>
          <w:szCs w:val="24"/>
        </w:rPr>
        <w:t xml:space="preserve">. </w:t>
      </w:r>
      <w:r w:rsidR="00DD2191">
        <w:rPr>
          <w:rFonts w:ascii="Arial" w:hAnsi="Arial" w:cs="Arial"/>
          <w:sz w:val="24"/>
          <w:szCs w:val="24"/>
        </w:rPr>
        <w:t>A</w:t>
      </w:r>
      <w:r w:rsidR="002C2113">
        <w:rPr>
          <w:rFonts w:ascii="Arial" w:hAnsi="Arial" w:cs="Arial"/>
          <w:sz w:val="24"/>
          <w:szCs w:val="24"/>
        </w:rPr>
        <w:t>ddition</w:t>
      </w:r>
      <w:r w:rsidR="00DD2191">
        <w:rPr>
          <w:rFonts w:ascii="Arial" w:hAnsi="Arial" w:cs="Arial"/>
          <w:sz w:val="24"/>
          <w:szCs w:val="24"/>
        </w:rPr>
        <w:t>ally</w:t>
      </w:r>
      <w:r w:rsidR="002C2113">
        <w:rPr>
          <w:rFonts w:ascii="Arial" w:hAnsi="Arial" w:cs="Arial"/>
          <w:sz w:val="24"/>
          <w:szCs w:val="24"/>
        </w:rPr>
        <w:t xml:space="preserve">, hospital </w:t>
      </w:r>
      <w:r w:rsidR="00485F9A">
        <w:rPr>
          <w:rFonts w:ascii="Arial" w:hAnsi="Arial" w:cs="Arial"/>
          <w:sz w:val="24"/>
          <w:szCs w:val="24"/>
        </w:rPr>
        <w:t xml:space="preserve">screening </w:t>
      </w:r>
      <w:r w:rsidR="00A20F34">
        <w:rPr>
          <w:rFonts w:ascii="Arial" w:hAnsi="Arial" w:cs="Arial"/>
          <w:sz w:val="24"/>
          <w:szCs w:val="24"/>
        </w:rPr>
        <w:t xml:space="preserve">occurs after </w:t>
      </w:r>
      <w:r w:rsidR="0041479E">
        <w:rPr>
          <w:rFonts w:ascii="Arial" w:hAnsi="Arial" w:cs="Arial"/>
          <w:sz w:val="24"/>
          <w:szCs w:val="24"/>
        </w:rPr>
        <w:t>admission</w:t>
      </w:r>
      <w:r w:rsidR="004556A3" w:rsidRPr="00EF4617">
        <w:rPr>
          <w:rFonts w:ascii="Arial" w:hAnsi="Arial" w:cs="Arial"/>
          <w:sz w:val="24"/>
          <w:szCs w:val="24"/>
        </w:rPr>
        <w:t xml:space="preserve">, </w:t>
      </w:r>
      <w:r w:rsidR="00DD2191">
        <w:rPr>
          <w:rFonts w:ascii="Arial" w:hAnsi="Arial" w:cs="Arial"/>
          <w:sz w:val="24"/>
          <w:szCs w:val="24"/>
        </w:rPr>
        <w:t>therefore</w:t>
      </w:r>
      <w:r w:rsidR="004556A3" w:rsidRPr="00EF4617">
        <w:rPr>
          <w:rFonts w:ascii="Arial" w:hAnsi="Arial" w:cs="Arial"/>
          <w:sz w:val="24"/>
          <w:szCs w:val="24"/>
        </w:rPr>
        <w:t xml:space="preserve"> not includ</w:t>
      </w:r>
      <w:r w:rsidR="00DD2191">
        <w:rPr>
          <w:rFonts w:ascii="Arial" w:hAnsi="Arial" w:cs="Arial"/>
          <w:sz w:val="24"/>
          <w:szCs w:val="24"/>
        </w:rPr>
        <w:t>ing</w:t>
      </w:r>
      <w:r w:rsidR="004556A3" w:rsidRPr="00EF4617">
        <w:rPr>
          <w:rFonts w:ascii="Arial" w:hAnsi="Arial" w:cs="Arial"/>
          <w:sz w:val="24"/>
          <w:szCs w:val="24"/>
        </w:rPr>
        <w:t xml:space="preserve"> patients </w:t>
      </w:r>
      <w:r w:rsidR="000D25E1">
        <w:rPr>
          <w:rFonts w:ascii="Arial" w:hAnsi="Arial" w:cs="Arial"/>
          <w:sz w:val="24"/>
          <w:szCs w:val="24"/>
        </w:rPr>
        <w:t xml:space="preserve">who </w:t>
      </w:r>
      <w:r w:rsidR="00A20F34">
        <w:rPr>
          <w:rFonts w:ascii="Arial" w:hAnsi="Arial" w:cs="Arial"/>
          <w:sz w:val="24"/>
          <w:szCs w:val="24"/>
        </w:rPr>
        <w:t>attend the</w:t>
      </w:r>
      <w:r w:rsidR="007308E0" w:rsidRPr="00EF4617">
        <w:rPr>
          <w:rFonts w:ascii="Arial" w:hAnsi="Arial" w:cs="Arial"/>
          <w:sz w:val="24"/>
          <w:szCs w:val="24"/>
        </w:rPr>
        <w:t xml:space="preserve"> emergency department</w:t>
      </w:r>
      <w:r w:rsidR="00051F3B" w:rsidRPr="00EF4617">
        <w:rPr>
          <w:rFonts w:ascii="Arial" w:hAnsi="Arial" w:cs="Arial"/>
          <w:sz w:val="24"/>
          <w:szCs w:val="24"/>
        </w:rPr>
        <w:t xml:space="preserve"> </w:t>
      </w:r>
      <w:r w:rsidR="00DD2191">
        <w:rPr>
          <w:rFonts w:ascii="Arial" w:hAnsi="Arial" w:cs="Arial"/>
          <w:sz w:val="24"/>
          <w:szCs w:val="24"/>
        </w:rPr>
        <w:t>and</w:t>
      </w:r>
      <w:r w:rsidR="00051F3B" w:rsidRPr="00EF4617">
        <w:rPr>
          <w:rFonts w:ascii="Arial" w:hAnsi="Arial" w:cs="Arial"/>
          <w:sz w:val="24"/>
          <w:szCs w:val="24"/>
        </w:rPr>
        <w:t xml:space="preserve"> </w:t>
      </w:r>
      <w:r w:rsidR="007308E0" w:rsidRPr="00EF4617">
        <w:rPr>
          <w:rFonts w:ascii="Arial" w:hAnsi="Arial" w:cs="Arial"/>
          <w:sz w:val="24"/>
          <w:szCs w:val="24"/>
        </w:rPr>
        <w:t xml:space="preserve">subsequently </w:t>
      </w:r>
      <w:r w:rsidR="00051F3B" w:rsidRPr="00EF4617">
        <w:rPr>
          <w:rFonts w:ascii="Arial" w:hAnsi="Arial" w:cs="Arial"/>
          <w:sz w:val="24"/>
          <w:szCs w:val="24"/>
        </w:rPr>
        <w:t xml:space="preserve">discharged. </w:t>
      </w:r>
      <w:r w:rsidR="00C95DCF" w:rsidRPr="00EF4617">
        <w:rPr>
          <w:rFonts w:ascii="Arial" w:hAnsi="Arial" w:cs="Arial"/>
          <w:sz w:val="24"/>
          <w:szCs w:val="24"/>
        </w:rPr>
        <w:t xml:space="preserve"> </w:t>
      </w:r>
      <w:r w:rsidR="002E735B">
        <w:rPr>
          <w:rFonts w:ascii="Arial" w:hAnsi="Arial" w:cs="Arial"/>
          <w:sz w:val="24"/>
          <w:szCs w:val="24"/>
        </w:rPr>
        <w:t>I</w:t>
      </w:r>
      <w:r w:rsidR="00C95DCF" w:rsidRPr="00EF4617">
        <w:rPr>
          <w:rFonts w:ascii="Arial" w:hAnsi="Arial" w:cs="Arial"/>
          <w:sz w:val="24"/>
          <w:szCs w:val="24"/>
        </w:rPr>
        <w:t xml:space="preserve">ntroduction of systematic screening in the </w:t>
      </w:r>
      <w:r w:rsidR="00A20F34">
        <w:rPr>
          <w:rFonts w:ascii="Arial" w:hAnsi="Arial" w:cs="Arial"/>
          <w:sz w:val="24"/>
          <w:szCs w:val="24"/>
        </w:rPr>
        <w:t>pre-</w:t>
      </w:r>
      <w:r w:rsidR="00C95DCF" w:rsidRPr="00EF4617">
        <w:rPr>
          <w:rFonts w:ascii="Arial" w:hAnsi="Arial" w:cs="Arial"/>
          <w:sz w:val="24"/>
          <w:szCs w:val="24"/>
        </w:rPr>
        <w:t>hospital environment</w:t>
      </w:r>
      <w:r w:rsidR="002E735B">
        <w:rPr>
          <w:rFonts w:ascii="Arial" w:hAnsi="Arial" w:cs="Arial"/>
          <w:sz w:val="24"/>
          <w:szCs w:val="24"/>
        </w:rPr>
        <w:t xml:space="preserve"> </w:t>
      </w:r>
      <w:r w:rsidR="00A20F34">
        <w:rPr>
          <w:rFonts w:ascii="Arial" w:hAnsi="Arial" w:cs="Arial"/>
          <w:sz w:val="24"/>
          <w:szCs w:val="24"/>
        </w:rPr>
        <w:t>may benefit patients who are not conveyed</w:t>
      </w:r>
      <w:r w:rsidR="00257D64">
        <w:rPr>
          <w:rFonts w:ascii="Arial" w:hAnsi="Arial" w:cs="Arial"/>
          <w:sz w:val="24"/>
          <w:szCs w:val="24"/>
        </w:rPr>
        <w:t xml:space="preserve"> or not admitted</w:t>
      </w:r>
      <w:r w:rsidR="00C95DCF" w:rsidRPr="00EF4617">
        <w:rPr>
          <w:rFonts w:ascii="Arial" w:hAnsi="Arial" w:cs="Arial"/>
          <w:sz w:val="24"/>
          <w:szCs w:val="24"/>
        </w:rPr>
        <w:t xml:space="preserve"> to hospital</w:t>
      </w:r>
      <w:r w:rsidR="00A20F34">
        <w:rPr>
          <w:rFonts w:ascii="Arial" w:hAnsi="Arial" w:cs="Arial"/>
          <w:sz w:val="24"/>
          <w:szCs w:val="24"/>
        </w:rPr>
        <w:t>, as a</w:t>
      </w:r>
      <w:r w:rsidR="00C95DCF" w:rsidRPr="00EF4617">
        <w:rPr>
          <w:rFonts w:ascii="Arial" w:hAnsi="Arial" w:cs="Arial"/>
          <w:sz w:val="24"/>
          <w:szCs w:val="24"/>
        </w:rPr>
        <w:t xml:space="preserve"> missed </w:t>
      </w:r>
      <w:r w:rsidR="00A20F34">
        <w:rPr>
          <w:rFonts w:ascii="Arial" w:hAnsi="Arial" w:cs="Arial"/>
          <w:sz w:val="24"/>
          <w:szCs w:val="24"/>
        </w:rPr>
        <w:t>dementia diagnosis would mean these patients</w:t>
      </w:r>
      <w:r w:rsidR="00C95DCF" w:rsidRPr="00EF4617">
        <w:rPr>
          <w:rFonts w:ascii="Arial" w:hAnsi="Arial" w:cs="Arial"/>
          <w:sz w:val="24"/>
          <w:szCs w:val="24"/>
        </w:rPr>
        <w:t xml:space="preserve"> may miss out on additional services to meet their enhanced care needs</w:t>
      </w:r>
      <w:r w:rsidR="00820DDE">
        <w:rPr>
          <w:rFonts w:ascii="Arial" w:hAnsi="Arial" w:cs="Arial"/>
          <w:sz w:val="24"/>
          <w:szCs w:val="24"/>
        </w:rPr>
        <w:t xml:space="preserve">. </w:t>
      </w:r>
      <w:r w:rsidR="00585FAD">
        <w:rPr>
          <w:rFonts w:ascii="Arial" w:hAnsi="Arial" w:cs="Arial"/>
          <w:sz w:val="24"/>
          <w:szCs w:val="24"/>
        </w:rPr>
        <w:t>In this audit, less than 1% of records reflected uncertain</w:t>
      </w:r>
      <w:r w:rsidR="00306B61">
        <w:rPr>
          <w:rFonts w:ascii="Arial" w:hAnsi="Arial" w:cs="Arial"/>
          <w:sz w:val="24"/>
          <w:szCs w:val="24"/>
        </w:rPr>
        <w:t>ty about the dementia diagnosis.</w:t>
      </w:r>
      <w:r w:rsidR="00585FAD">
        <w:rPr>
          <w:rFonts w:ascii="Arial" w:hAnsi="Arial" w:cs="Arial"/>
          <w:sz w:val="24"/>
          <w:szCs w:val="24"/>
        </w:rPr>
        <w:t xml:space="preserve"> </w:t>
      </w:r>
      <w:r w:rsidR="00306B61">
        <w:rPr>
          <w:rFonts w:ascii="Arial" w:hAnsi="Arial" w:cs="Arial"/>
          <w:sz w:val="24"/>
          <w:szCs w:val="24"/>
        </w:rPr>
        <w:t xml:space="preserve"> W</w:t>
      </w:r>
      <w:r w:rsidR="00585FAD">
        <w:rPr>
          <w:rFonts w:ascii="Arial" w:hAnsi="Arial" w:cs="Arial"/>
          <w:sz w:val="24"/>
          <w:szCs w:val="24"/>
        </w:rPr>
        <w:t xml:space="preserve">ith </w:t>
      </w:r>
      <w:r w:rsidR="001702FD">
        <w:rPr>
          <w:rFonts w:ascii="Arial" w:hAnsi="Arial" w:cs="Arial"/>
          <w:sz w:val="24"/>
          <w:szCs w:val="24"/>
        </w:rPr>
        <w:t xml:space="preserve">additional training and </w:t>
      </w:r>
      <w:r w:rsidR="00585FAD">
        <w:rPr>
          <w:rFonts w:ascii="Arial" w:hAnsi="Arial" w:cs="Arial"/>
          <w:sz w:val="24"/>
          <w:szCs w:val="24"/>
        </w:rPr>
        <w:t xml:space="preserve">the </w:t>
      </w:r>
      <w:r w:rsidR="001702FD">
        <w:rPr>
          <w:rFonts w:ascii="Arial" w:hAnsi="Arial" w:cs="Arial"/>
          <w:sz w:val="24"/>
          <w:szCs w:val="24"/>
        </w:rPr>
        <w:t>introduction of screening</w:t>
      </w:r>
      <w:r w:rsidR="00585FAD">
        <w:rPr>
          <w:rFonts w:ascii="Arial" w:hAnsi="Arial" w:cs="Arial"/>
          <w:sz w:val="24"/>
          <w:szCs w:val="24"/>
        </w:rPr>
        <w:t>,</w:t>
      </w:r>
      <w:r w:rsidR="001702FD">
        <w:rPr>
          <w:rFonts w:ascii="Arial" w:hAnsi="Arial" w:cs="Arial"/>
          <w:sz w:val="24"/>
          <w:szCs w:val="24"/>
        </w:rPr>
        <w:t xml:space="preserve"> more patients may be identified</w:t>
      </w:r>
      <w:r w:rsidR="00585FAD">
        <w:rPr>
          <w:rFonts w:ascii="Arial" w:hAnsi="Arial" w:cs="Arial"/>
          <w:sz w:val="24"/>
          <w:szCs w:val="24"/>
        </w:rPr>
        <w:t xml:space="preserve"> and staff confidence in recording increased</w:t>
      </w:r>
      <w:r w:rsidR="001702FD">
        <w:rPr>
          <w:rFonts w:ascii="Arial" w:hAnsi="Arial" w:cs="Arial"/>
          <w:sz w:val="24"/>
          <w:szCs w:val="24"/>
        </w:rPr>
        <w:t>.</w:t>
      </w:r>
      <w:r w:rsidR="00C95DCF" w:rsidRPr="00EF4617">
        <w:rPr>
          <w:rFonts w:ascii="Arial" w:hAnsi="Arial" w:cs="Arial"/>
          <w:sz w:val="24"/>
          <w:szCs w:val="24"/>
        </w:rPr>
        <w:t xml:space="preserve"> </w:t>
      </w:r>
    </w:p>
    <w:p w:rsidR="007308E0" w:rsidRDefault="001E643D" w:rsidP="00EF4617">
      <w:pPr>
        <w:spacing w:line="240" w:lineRule="auto"/>
        <w:rPr>
          <w:rFonts w:ascii="Arial" w:hAnsi="Arial" w:cs="Arial"/>
          <w:sz w:val="24"/>
          <w:szCs w:val="24"/>
        </w:rPr>
      </w:pPr>
      <w:r>
        <w:rPr>
          <w:rFonts w:ascii="Arial" w:hAnsi="Arial" w:cs="Arial"/>
          <w:sz w:val="24"/>
          <w:szCs w:val="24"/>
        </w:rPr>
        <w:t>V</w:t>
      </w:r>
      <w:r w:rsidR="007A79A8" w:rsidRPr="00EF4617">
        <w:rPr>
          <w:rFonts w:ascii="Arial" w:hAnsi="Arial" w:cs="Arial"/>
          <w:sz w:val="24"/>
          <w:szCs w:val="24"/>
        </w:rPr>
        <w:t xml:space="preserve">ariation in the proportion of patients identified with dementia by </w:t>
      </w:r>
      <w:r w:rsidR="005B04B5" w:rsidRPr="00EF4617">
        <w:rPr>
          <w:rFonts w:ascii="Arial" w:hAnsi="Arial" w:cs="Arial"/>
          <w:sz w:val="24"/>
          <w:szCs w:val="24"/>
        </w:rPr>
        <w:t xml:space="preserve">CCG may </w:t>
      </w:r>
      <w:r w:rsidR="007A79A8" w:rsidRPr="00EF4617">
        <w:rPr>
          <w:rFonts w:ascii="Arial" w:hAnsi="Arial" w:cs="Arial"/>
          <w:sz w:val="24"/>
          <w:szCs w:val="24"/>
        </w:rPr>
        <w:t xml:space="preserve">be influenced by several factors. At the time of </w:t>
      </w:r>
      <w:r w:rsidR="00A20F34">
        <w:rPr>
          <w:rFonts w:ascii="Arial" w:hAnsi="Arial" w:cs="Arial"/>
          <w:sz w:val="24"/>
          <w:szCs w:val="24"/>
        </w:rPr>
        <w:t xml:space="preserve">the </w:t>
      </w:r>
      <w:r w:rsidR="007A79A8" w:rsidRPr="00EF4617">
        <w:rPr>
          <w:rFonts w:ascii="Arial" w:hAnsi="Arial" w:cs="Arial"/>
          <w:sz w:val="24"/>
          <w:szCs w:val="24"/>
        </w:rPr>
        <w:t>audit, training on dementia across the area was ongoing</w:t>
      </w:r>
      <w:r w:rsidR="005F32D4" w:rsidRPr="00EF4617">
        <w:rPr>
          <w:rFonts w:ascii="Arial" w:hAnsi="Arial" w:cs="Arial"/>
          <w:sz w:val="24"/>
          <w:szCs w:val="24"/>
        </w:rPr>
        <w:t xml:space="preserve">, </w:t>
      </w:r>
      <w:r w:rsidR="00DD2191">
        <w:rPr>
          <w:rFonts w:ascii="Arial" w:hAnsi="Arial" w:cs="Arial"/>
          <w:sz w:val="24"/>
          <w:szCs w:val="24"/>
        </w:rPr>
        <w:t>therefore</w:t>
      </w:r>
      <w:r w:rsidR="005F32D4" w:rsidRPr="00EF4617">
        <w:rPr>
          <w:rFonts w:ascii="Arial" w:hAnsi="Arial" w:cs="Arial"/>
          <w:sz w:val="24"/>
          <w:szCs w:val="24"/>
        </w:rPr>
        <w:t xml:space="preserve"> crews may be more alert to detecting and recording dementia, for example by finding information in available care notes. There may also </w:t>
      </w:r>
      <w:r w:rsidR="00DD2191">
        <w:rPr>
          <w:rFonts w:ascii="Arial" w:hAnsi="Arial" w:cs="Arial"/>
          <w:sz w:val="24"/>
          <w:szCs w:val="24"/>
        </w:rPr>
        <w:t>be</w:t>
      </w:r>
      <w:r w:rsidR="005F32D4" w:rsidRPr="00EF4617">
        <w:rPr>
          <w:rFonts w:ascii="Arial" w:hAnsi="Arial" w:cs="Arial"/>
          <w:sz w:val="24"/>
          <w:szCs w:val="24"/>
        </w:rPr>
        <w:t xml:space="preserve"> differences in the way that teams </w:t>
      </w:r>
      <w:r w:rsidR="00DD2191">
        <w:rPr>
          <w:rFonts w:ascii="Arial" w:hAnsi="Arial" w:cs="Arial"/>
          <w:sz w:val="24"/>
          <w:szCs w:val="24"/>
        </w:rPr>
        <w:t>were</w:t>
      </w:r>
      <w:r w:rsidR="005F32D4" w:rsidRPr="00EF4617">
        <w:rPr>
          <w:rFonts w:ascii="Arial" w:hAnsi="Arial" w:cs="Arial"/>
          <w:sz w:val="24"/>
          <w:szCs w:val="24"/>
        </w:rPr>
        <w:t xml:space="preserve"> trained to complete the EPR</w:t>
      </w:r>
      <w:r w:rsidR="00A20F34">
        <w:rPr>
          <w:rFonts w:ascii="Arial" w:hAnsi="Arial" w:cs="Arial"/>
          <w:sz w:val="24"/>
          <w:szCs w:val="24"/>
        </w:rPr>
        <w:t xml:space="preserve">, and </w:t>
      </w:r>
      <w:r w:rsidR="005F32D4" w:rsidRPr="00EF4617">
        <w:rPr>
          <w:rFonts w:ascii="Arial" w:hAnsi="Arial" w:cs="Arial"/>
          <w:sz w:val="24"/>
          <w:szCs w:val="24"/>
        </w:rPr>
        <w:t>variability in dementia diag</w:t>
      </w:r>
      <w:r w:rsidR="00A20F34">
        <w:rPr>
          <w:rFonts w:ascii="Arial" w:hAnsi="Arial" w:cs="Arial"/>
          <w:sz w:val="24"/>
          <w:szCs w:val="24"/>
        </w:rPr>
        <w:t xml:space="preserve">nosis rates across the country </w:t>
      </w:r>
      <w:r w:rsidR="005F32D4" w:rsidRPr="00EF4617">
        <w:rPr>
          <w:rFonts w:ascii="Arial" w:hAnsi="Arial" w:cs="Arial"/>
          <w:sz w:val="24"/>
          <w:szCs w:val="24"/>
        </w:rPr>
        <w:t xml:space="preserve">related to training and availability of services </w:t>
      </w:r>
      <w:r w:rsidR="002C2113">
        <w:rPr>
          <w:rFonts w:ascii="Arial" w:hAnsi="Arial" w:cs="Arial"/>
          <w:sz w:val="24"/>
          <w:szCs w:val="24"/>
        </w:rPr>
        <w:t>in the</w:t>
      </w:r>
      <w:r w:rsidR="005F32D4" w:rsidRPr="00EF4617">
        <w:rPr>
          <w:rFonts w:ascii="Arial" w:hAnsi="Arial" w:cs="Arial"/>
          <w:sz w:val="24"/>
          <w:szCs w:val="24"/>
        </w:rPr>
        <w:t xml:space="preserve"> primary care trusts </w:t>
      </w:r>
      <w:r w:rsidR="002C2113">
        <w:rPr>
          <w:rFonts w:ascii="Arial" w:hAnsi="Arial" w:cs="Arial"/>
          <w:sz w:val="24"/>
          <w:szCs w:val="24"/>
        </w:rPr>
        <w:t>in</w:t>
      </w:r>
      <w:r w:rsidR="005F32D4" w:rsidRPr="00EF4617">
        <w:rPr>
          <w:rFonts w:ascii="Arial" w:hAnsi="Arial" w:cs="Arial"/>
          <w:sz w:val="24"/>
          <w:szCs w:val="24"/>
        </w:rPr>
        <w:t xml:space="preserve"> the CCGs in which the crews are operating. </w:t>
      </w:r>
      <w:r>
        <w:rPr>
          <w:rFonts w:ascii="Arial" w:hAnsi="Arial" w:cs="Arial"/>
          <w:sz w:val="24"/>
          <w:szCs w:val="24"/>
        </w:rPr>
        <w:t xml:space="preserve">Areas with </w:t>
      </w:r>
      <w:r w:rsidR="007308E0" w:rsidRPr="00EF4617">
        <w:rPr>
          <w:rFonts w:ascii="Arial" w:hAnsi="Arial" w:cs="Arial"/>
          <w:sz w:val="24"/>
          <w:szCs w:val="24"/>
        </w:rPr>
        <w:t xml:space="preserve">higher densities of older persons may have different provision for out-of-hours care or higher densities of nursing </w:t>
      </w:r>
      <w:r w:rsidR="00CD47C9">
        <w:rPr>
          <w:rFonts w:ascii="Arial" w:hAnsi="Arial" w:cs="Arial"/>
          <w:sz w:val="24"/>
          <w:szCs w:val="24"/>
        </w:rPr>
        <w:t>/</w:t>
      </w:r>
      <w:r w:rsidR="007308E0" w:rsidRPr="00EF4617">
        <w:rPr>
          <w:rFonts w:ascii="Arial" w:hAnsi="Arial" w:cs="Arial"/>
          <w:sz w:val="24"/>
          <w:szCs w:val="24"/>
        </w:rPr>
        <w:t>residential homes, account</w:t>
      </w:r>
      <w:r w:rsidR="00A20F34">
        <w:rPr>
          <w:rFonts w:ascii="Arial" w:hAnsi="Arial" w:cs="Arial"/>
          <w:sz w:val="24"/>
          <w:szCs w:val="24"/>
        </w:rPr>
        <w:t>ing</w:t>
      </w:r>
      <w:r w:rsidR="007308E0" w:rsidRPr="00EF4617">
        <w:rPr>
          <w:rFonts w:ascii="Arial" w:hAnsi="Arial" w:cs="Arial"/>
          <w:sz w:val="24"/>
          <w:szCs w:val="24"/>
        </w:rPr>
        <w:t xml:space="preserve"> for variation in conveyance rates. </w:t>
      </w:r>
      <w:r w:rsidR="00CD47C9">
        <w:rPr>
          <w:rFonts w:ascii="Arial" w:hAnsi="Arial" w:cs="Arial"/>
          <w:sz w:val="24"/>
          <w:szCs w:val="24"/>
        </w:rPr>
        <w:t>This is supported by a previous finding that only 43% of calls from care homes resulted in an unscheduled hospital admission</w:t>
      </w:r>
      <w:r w:rsidR="009916B1">
        <w:rPr>
          <w:rFonts w:ascii="Arial" w:hAnsi="Arial" w:cs="Arial"/>
          <w:sz w:val="24"/>
          <w:szCs w:val="24"/>
        </w:rPr>
        <w:t xml:space="preserve"> </w:t>
      </w:r>
      <w:r w:rsidR="004B3301">
        <w:rPr>
          <w:rFonts w:ascii="Arial" w:hAnsi="Arial" w:cs="Arial"/>
          <w:sz w:val="24"/>
          <w:szCs w:val="24"/>
        </w:rPr>
        <w:fldChar w:fldCharType="begin">
          <w:fldData xml:space="preserve">PEVuZE5vdGU+PENpdGU+PEF1dGhvcj5BbWFkb3I8L0F1dGhvcj48WWVhcj4yMDE0PC9ZZWFyPjxS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</w:fldData>
        </w:fldChar>
      </w:r>
      <w:r w:rsidR="0062017E">
        <w:rPr>
          <w:rFonts w:ascii="Arial" w:hAnsi="Arial" w:cs="Arial"/>
          <w:sz w:val="24"/>
          <w:szCs w:val="24"/>
        </w:rPr>
        <w:instrText xml:space="preserve"> ADDIN EN.CITE </w:instrText>
      </w:r>
      <w:r w:rsidR="0062017E">
        <w:rPr>
          <w:rFonts w:ascii="Arial" w:hAnsi="Arial" w:cs="Arial"/>
          <w:sz w:val="24"/>
          <w:szCs w:val="24"/>
        </w:rPr>
        <w:fldChar w:fldCharType="begin">
          <w:fldData xml:space="preserve">PEVuZE5vdGU+PENpdGU+PEF1dGhvcj5BbWFkb3I8L0F1dGhvcj48WWVhcj4yMDE0PC9ZZWFyPjxS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</w:fldData>
        </w:fldChar>
      </w:r>
      <w:r w:rsidR="0062017E">
        <w:rPr>
          <w:rFonts w:ascii="Arial" w:hAnsi="Arial" w:cs="Arial"/>
          <w:sz w:val="24"/>
          <w:szCs w:val="24"/>
        </w:rPr>
        <w:instrText xml:space="preserve"> ADDIN EN.CITE.DATA </w:instrText>
      </w:r>
      <w:r w:rsidR="0062017E">
        <w:rPr>
          <w:rFonts w:ascii="Arial" w:hAnsi="Arial" w:cs="Arial"/>
          <w:sz w:val="24"/>
          <w:szCs w:val="24"/>
        </w:rPr>
      </w:r>
      <w:r w:rsidR="0062017E">
        <w:rPr>
          <w:rFonts w:ascii="Arial" w:hAnsi="Arial" w:cs="Arial"/>
          <w:sz w:val="24"/>
          <w:szCs w:val="24"/>
        </w:rPr>
        <w:fldChar w:fldCharType="end"/>
      </w:r>
      <w:r w:rsidR="004B3301">
        <w:rPr>
          <w:rFonts w:ascii="Arial" w:hAnsi="Arial" w:cs="Arial"/>
          <w:sz w:val="24"/>
          <w:szCs w:val="24"/>
        </w:rPr>
      </w:r>
      <w:r w:rsidR="004B3301">
        <w:rPr>
          <w:rFonts w:ascii="Arial" w:hAnsi="Arial" w:cs="Arial"/>
          <w:sz w:val="24"/>
          <w:szCs w:val="24"/>
        </w:rPr>
        <w:fldChar w:fldCharType="separate"/>
      </w:r>
      <w:r w:rsidR="0062017E">
        <w:rPr>
          <w:rFonts w:ascii="Arial" w:hAnsi="Arial" w:cs="Arial"/>
          <w:noProof/>
          <w:sz w:val="24"/>
          <w:szCs w:val="24"/>
        </w:rPr>
        <w:t>(</w:t>
      </w:r>
      <w:hyperlink w:anchor="_ENREF_2" w:tooltip="Amador, 2014 #625" w:history="1">
        <w:r w:rsidR="009916B1">
          <w:rPr>
            <w:rFonts w:ascii="Arial" w:hAnsi="Arial" w:cs="Arial"/>
            <w:noProof/>
            <w:sz w:val="24"/>
            <w:szCs w:val="24"/>
          </w:rPr>
          <w:t>Amador et al</w:t>
        </w:r>
        <w:r w:rsidR="0062017E">
          <w:rPr>
            <w:rFonts w:ascii="Arial" w:hAnsi="Arial" w:cs="Arial"/>
            <w:noProof/>
            <w:sz w:val="24"/>
            <w:szCs w:val="24"/>
          </w:rPr>
          <w:t>, 2014</w:t>
        </w:r>
      </w:hyperlink>
      <w:r w:rsidR="0062017E">
        <w:rPr>
          <w:rFonts w:ascii="Arial" w:hAnsi="Arial" w:cs="Arial"/>
          <w:noProof/>
          <w:sz w:val="24"/>
          <w:szCs w:val="24"/>
        </w:rPr>
        <w:t>)</w:t>
      </w:r>
      <w:r w:rsidR="004B3301">
        <w:rPr>
          <w:rFonts w:ascii="Arial" w:hAnsi="Arial" w:cs="Arial"/>
          <w:sz w:val="24"/>
          <w:szCs w:val="24"/>
        </w:rPr>
        <w:fldChar w:fldCharType="end"/>
      </w:r>
      <w:r w:rsidR="009916B1">
        <w:rPr>
          <w:rFonts w:ascii="Arial" w:hAnsi="Arial" w:cs="Arial"/>
          <w:sz w:val="24"/>
          <w:szCs w:val="24"/>
        </w:rPr>
        <w:t xml:space="preserve">. </w:t>
      </w:r>
      <w:r w:rsidR="004B3301">
        <w:rPr>
          <w:rFonts w:ascii="Arial" w:hAnsi="Arial" w:cs="Arial"/>
          <w:sz w:val="24"/>
          <w:szCs w:val="24"/>
        </w:rPr>
        <w:t xml:space="preserve"> </w:t>
      </w:r>
      <w:r w:rsidR="002D7978">
        <w:rPr>
          <w:rFonts w:ascii="Arial" w:hAnsi="Arial" w:cs="Arial"/>
          <w:sz w:val="24"/>
          <w:szCs w:val="24"/>
        </w:rPr>
        <w:t>Additionally, local adaptations to services, for example the Acute Frailty Intervention Team (AFIT) based in West Hampshire, could impact on the quality of assessment of patients in the community, and the emphasis on reporting of dementia.</w:t>
      </w:r>
    </w:p>
    <w:p w:rsidR="00004CA7" w:rsidRPr="00EF4617" w:rsidRDefault="004F6CB8" w:rsidP="00EF4617">
      <w:pPr>
        <w:spacing w:line="240" w:lineRule="auto"/>
        <w:rPr>
          <w:rFonts w:ascii="Arial" w:hAnsi="Arial" w:cs="Arial"/>
          <w:sz w:val="24"/>
          <w:szCs w:val="24"/>
        </w:rPr>
      </w:pPr>
      <w:r w:rsidRPr="004F6CB8">
        <w:rPr>
          <w:rFonts w:ascii="Arial" w:hAnsi="Arial" w:cs="Arial"/>
          <w:sz w:val="24"/>
          <w:szCs w:val="24"/>
        </w:rPr>
        <w:lastRenderedPageBreak/>
        <w:t>Dementia commonly contributes to frailty in older people</w:t>
      </w:r>
      <w:r w:rsidR="00503F2A">
        <w:rPr>
          <w:rFonts w:ascii="Arial" w:hAnsi="Arial" w:cs="Arial"/>
          <w:sz w:val="24"/>
          <w:szCs w:val="24"/>
        </w:rPr>
        <w:t xml:space="preserve"> (BGS, 2014)</w:t>
      </w:r>
      <w:r w:rsidRPr="004F6CB8">
        <w:rPr>
          <w:rFonts w:ascii="Arial" w:hAnsi="Arial" w:cs="Arial"/>
          <w:sz w:val="24"/>
          <w:szCs w:val="24"/>
        </w:rPr>
        <w:t xml:space="preserve">. The SCAS EPR offers the function of recording a frailty score based on the Rockwood scale. A recent audit of patient frailty scores revealed similar levels of prevalence between those patients conveyed to hospital and those discharged at </w:t>
      </w:r>
      <w:r w:rsidR="000A2DB8">
        <w:rPr>
          <w:rFonts w:ascii="Arial" w:hAnsi="Arial" w:cs="Arial"/>
          <w:sz w:val="24"/>
          <w:szCs w:val="24"/>
        </w:rPr>
        <w:t>the scene</w:t>
      </w:r>
      <w:r w:rsidRPr="004F6CB8">
        <w:rPr>
          <w:rFonts w:ascii="Arial" w:hAnsi="Arial" w:cs="Arial"/>
          <w:sz w:val="24"/>
          <w:szCs w:val="24"/>
        </w:rPr>
        <w:t xml:space="preserve"> </w:t>
      </w:r>
      <w:r w:rsidR="004B561C">
        <w:rPr>
          <w:rFonts w:ascii="Arial" w:hAnsi="Arial" w:cs="Arial"/>
          <w:sz w:val="24"/>
          <w:szCs w:val="24"/>
        </w:rPr>
        <w:fldChar w:fldCharType="begin"/>
      </w:r>
      <w:r w:rsidR="0062017E">
        <w:rPr>
          <w:rFonts w:ascii="Arial" w:hAnsi="Arial" w:cs="Arial"/>
          <w:sz w:val="24"/>
          <w:szCs w:val="24"/>
        </w:rPr>
        <w:instrText xml:space="preserve"> ADDIN EN.CITE &lt;EndNote&gt;&lt;Cite&gt;&lt;Author&gt;Cavalier&lt;/Author&gt;&lt;Year&gt;2017&lt;/Year&gt;&lt;RecNum&gt;2155&lt;/RecNum&gt;&lt;DisplayText&gt;(Cavalier, 2017)&lt;/DisplayText&gt;&lt;record&gt;&lt;rec-number&gt;2155&lt;/rec-number&gt;&lt;foreign-keys&gt;&lt;key app="EN" db-id="0zpzrevtzfzvfeed0d7pxpeer5zaxet0zrpv"&gt;2155&lt;/key&gt;&lt;/foreign-keys&gt;&lt;ref-type name="Unpublished Work"&gt;34&lt;/ref-type&gt;&lt;contributors&gt;&lt;authors&gt;&lt;author&gt;Cavalier, Julian&lt;/author&gt;&lt;/authors&gt;&lt;tertiary-authors&gt;&lt;author&gt;Health Education England&lt;/author&gt;&lt;/tertiary-authors&gt;&lt;/contributors&gt;&lt;titles&gt;&lt;title&gt;Improving the care of those living with frailty in patients admitted by ambulance to the Royal Hampshire County Hospital (RHCH) through pre-alerting.&lt;/title&gt;&lt;/titles&gt;&lt;volume&gt;Internal Report&lt;/volume&gt;&lt;dates&gt;&lt;year&gt;2017&lt;/year&gt;&lt;/dates&gt;&lt;urls&gt;&lt;/urls&gt;&lt;/record&gt;&lt;/Cite&gt;&lt;/EndNote&gt;</w:instrText>
      </w:r>
      <w:r w:rsidR="004B561C">
        <w:rPr>
          <w:rFonts w:ascii="Arial" w:hAnsi="Arial" w:cs="Arial"/>
          <w:sz w:val="24"/>
          <w:szCs w:val="24"/>
        </w:rPr>
        <w:fldChar w:fldCharType="separate"/>
      </w:r>
      <w:r w:rsidR="0062017E">
        <w:rPr>
          <w:rFonts w:ascii="Arial" w:hAnsi="Arial" w:cs="Arial"/>
          <w:noProof/>
          <w:sz w:val="24"/>
          <w:szCs w:val="24"/>
        </w:rPr>
        <w:t>(</w:t>
      </w:r>
      <w:hyperlink w:anchor="_ENREF_5" w:tooltip="Cavalier, 2017 #2155" w:history="1">
        <w:r w:rsidR="0062017E">
          <w:rPr>
            <w:rFonts w:ascii="Arial" w:hAnsi="Arial" w:cs="Arial"/>
            <w:noProof/>
            <w:sz w:val="24"/>
            <w:szCs w:val="24"/>
          </w:rPr>
          <w:t>Cavalier, 2017</w:t>
        </w:r>
      </w:hyperlink>
      <w:r w:rsidR="0062017E">
        <w:rPr>
          <w:rFonts w:ascii="Arial" w:hAnsi="Arial" w:cs="Arial"/>
          <w:noProof/>
          <w:sz w:val="24"/>
          <w:szCs w:val="24"/>
        </w:rPr>
        <w:t>)</w:t>
      </w:r>
      <w:r w:rsidR="004B561C">
        <w:rPr>
          <w:rFonts w:ascii="Arial" w:hAnsi="Arial" w:cs="Arial"/>
          <w:sz w:val="24"/>
          <w:szCs w:val="24"/>
        </w:rPr>
        <w:fldChar w:fldCharType="end"/>
      </w:r>
      <w:r w:rsidR="000A2DB8">
        <w:rPr>
          <w:rFonts w:ascii="Arial" w:hAnsi="Arial" w:cs="Arial"/>
          <w:sz w:val="24"/>
          <w:szCs w:val="24"/>
        </w:rPr>
        <w:t>.</w:t>
      </w:r>
      <w:r w:rsidR="004B561C">
        <w:rPr>
          <w:rFonts w:ascii="Arial" w:hAnsi="Arial" w:cs="Arial"/>
          <w:sz w:val="24"/>
          <w:szCs w:val="24"/>
        </w:rPr>
        <w:t xml:space="preserve"> </w:t>
      </w:r>
      <w:r w:rsidRPr="00535369">
        <w:rPr>
          <w:rFonts w:ascii="Arial" w:hAnsi="Arial" w:cs="Arial"/>
          <w:sz w:val="24"/>
          <w:szCs w:val="24"/>
        </w:rPr>
        <w:t>Patients rated “very fit”, “well”, or “managing well” were more likely to be admitted to hospital than discharged at the scene (32% v 26%), whereas patients rated “moderately frail” to “terminally ill”  were less likely to be admitted to hospital (41%  v 47%).</w:t>
      </w:r>
      <w:r w:rsidRPr="004F6CB8">
        <w:rPr>
          <w:rFonts w:ascii="Arial" w:hAnsi="Arial" w:cs="Arial"/>
          <w:sz w:val="24"/>
          <w:szCs w:val="24"/>
        </w:rPr>
        <w:t xml:space="preserve"> These results are congruent</w:t>
      </w:r>
      <w:r>
        <w:rPr>
          <w:rFonts w:ascii="Arial" w:hAnsi="Arial" w:cs="Arial"/>
          <w:sz w:val="24"/>
          <w:szCs w:val="24"/>
        </w:rPr>
        <w:t xml:space="preserve"> with our observations of dementia conveyance, and highlight the importance of</w:t>
      </w:r>
      <w:r w:rsidRPr="004F6CB8">
        <w:rPr>
          <w:rFonts w:ascii="Arial" w:hAnsi="Arial" w:cs="Arial"/>
          <w:sz w:val="24"/>
          <w:szCs w:val="24"/>
        </w:rPr>
        <w:t xml:space="preserve"> both groups </w:t>
      </w:r>
      <w:r>
        <w:rPr>
          <w:rFonts w:ascii="Arial" w:hAnsi="Arial" w:cs="Arial"/>
          <w:sz w:val="24"/>
          <w:szCs w:val="24"/>
        </w:rPr>
        <w:t>of patients having</w:t>
      </w:r>
      <w:r w:rsidRPr="004F6CB8">
        <w:rPr>
          <w:rFonts w:ascii="Arial" w:hAnsi="Arial" w:cs="Arial"/>
          <w:sz w:val="24"/>
          <w:szCs w:val="24"/>
        </w:rPr>
        <w:t xml:space="preserve"> access to </w:t>
      </w:r>
      <w:r>
        <w:rPr>
          <w:rFonts w:ascii="Arial" w:hAnsi="Arial" w:cs="Arial"/>
          <w:sz w:val="24"/>
          <w:szCs w:val="24"/>
        </w:rPr>
        <w:t>appropriate care in the community to avoid repeat ambulance call-outs and re-attendances</w:t>
      </w:r>
      <w:r w:rsidRPr="004F6CB8">
        <w:rPr>
          <w:rFonts w:ascii="Arial" w:hAnsi="Arial" w:cs="Arial"/>
          <w:sz w:val="24"/>
          <w:szCs w:val="24"/>
        </w:rPr>
        <w:t>.</w:t>
      </w:r>
      <w:r w:rsidR="00535369">
        <w:rPr>
          <w:rFonts w:ascii="Arial" w:hAnsi="Arial" w:cs="Arial"/>
          <w:sz w:val="24"/>
          <w:szCs w:val="24"/>
        </w:rPr>
        <w:t xml:space="preserve">  Our findings contrast with Phelan et al (2012) whose study population was in the U</w:t>
      </w:r>
      <w:r w:rsidR="00DD2191">
        <w:rPr>
          <w:rFonts w:ascii="Arial" w:hAnsi="Arial" w:cs="Arial"/>
          <w:sz w:val="24"/>
          <w:szCs w:val="24"/>
        </w:rPr>
        <w:t>.</w:t>
      </w:r>
      <w:r w:rsidR="00535369">
        <w:rPr>
          <w:rFonts w:ascii="Arial" w:hAnsi="Arial" w:cs="Arial"/>
          <w:sz w:val="24"/>
          <w:szCs w:val="24"/>
        </w:rPr>
        <w:t>S</w:t>
      </w:r>
      <w:r w:rsidR="00DD2191">
        <w:rPr>
          <w:rFonts w:ascii="Arial" w:hAnsi="Arial" w:cs="Arial"/>
          <w:sz w:val="24"/>
          <w:szCs w:val="24"/>
        </w:rPr>
        <w:t>.</w:t>
      </w:r>
      <w:r w:rsidR="00535369">
        <w:rPr>
          <w:rFonts w:ascii="Arial" w:hAnsi="Arial" w:cs="Arial"/>
          <w:sz w:val="24"/>
          <w:szCs w:val="24"/>
        </w:rPr>
        <w:t xml:space="preserve"> and may simply reflect the differences in healthcare provision.</w:t>
      </w:r>
    </w:p>
    <w:p w:rsidR="00C95DCF" w:rsidRPr="00EF4617" w:rsidRDefault="00C95DCF" w:rsidP="00EF4617">
      <w:pPr>
        <w:spacing w:line="240" w:lineRule="auto"/>
        <w:rPr>
          <w:rFonts w:ascii="Arial" w:hAnsi="Arial" w:cs="Arial"/>
          <w:sz w:val="24"/>
          <w:szCs w:val="24"/>
        </w:rPr>
      </w:pPr>
      <w:r w:rsidRPr="00EF4617">
        <w:rPr>
          <w:rFonts w:ascii="Arial" w:hAnsi="Arial" w:cs="Arial"/>
          <w:sz w:val="24"/>
          <w:szCs w:val="24"/>
        </w:rPr>
        <w:t xml:space="preserve">The finding that dementia was recorded in more than one field in 38.4% of cases suggests that there is considerable inefficiency in the completion of the </w:t>
      </w:r>
      <w:r w:rsidR="003F747B">
        <w:rPr>
          <w:rFonts w:ascii="Arial" w:hAnsi="Arial" w:cs="Arial"/>
          <w:sz w:val="24"/>
          <w:szCs w:val="24"/>
        </w:rPr>
        <w:t>E</w:t>
      </w:r>
      <w:r w:rsidRPr="00EF4617">
        <w:rPr>
          <w:rFonts w:ascii="Arial" w:hAnsi="Arial" w:cs="Arial"/>
          <w:sz w:val="24"/>
          <w:szCs w:val="24"/>
        </w:rPr>
        <w:t xml:space="preserve">PR.  </w:t>
      </w:r>
      <w:r w:rsidR="002E777C">
        <w:rPr>
          <w:rFonts w:ascii="Arial" w:hAnsi="Arial" w:cs="Arial"/>
          <w:sz w:val="24"/>
          <w:szCs w:val="24"/>
        </w:rPr>
        <w:t>If staff are un</w:t>
      </w:r>
      <w:r w:rsidRPr="00EF4617">
        <w:rPr>
          <w:rFonts w:ascii="Arial" w:hAnsi="Arial" w:cs="Arial"/>
          <w:sz w:val="24"/>
          <w:szCs w:val="24"/>
        </w:rPr>
        <w:t xml:space="preserve">familiar with the appearance of the </w:t>
      </w:r>
      <w:r w:rsidR="00603D9E" w:rsidRPr="00EF4617">
        <w:rPr>
          <w:rFonts w:ascii="Arial" w:hAnsi="Arial" w:cs="Arial"/>
          <w:sz w:val="24"/>
          <w:szCs w:val="24"/>
        </w:rPr>
        <w:t xml:space="preserve">printed </w:t>
      </w:r>
      <w:r w:rsidRPr="00EF4617">
        <w:rPr>
          <w:rFonts w:ascii="Arial" w:hAnsi="Arial" w:cs="Arial"/>
          <w:sz w:val="24"/>
          <w:szCs w:val="24"/>
        </w:rPr>
        <w:t xml:space="preserve">clinical </w:t>
      </w:r>
      <w:proofErr w:type="gramStart"/>
      <w:r w:rsidRPr="00EF4617">
        <w:rPr>
          <w:rFonts w:ascii="Arial" w:hAnsi="Arial" w:cs="Arial"/>
          <w:sz w:val="24"/>
          <w:szCs w:val="24"/>
        </w:rPr>
        <w:t>record</w:t>
      </w:r>
      <w:proofErr w:type="gramEnd"/>
      <w:r w:rsidRPr="00EF4617">
        <w:rPr>
          <w:rFonts w:ascii="Arial" w:hAnsi="Arial" w:cs="Arial"/>
          <w:sz w:val="24"/>
          <w:szCs w:val="24"/>
        </w:rPr>
        <w:t xml:space="preserve"> </w:t>
      </w:r>
      <w:r w:rsidR="002E777C">
        <w:rPr>
          <w:rFonts w:ascii="Arial" w:hAnsi="Arial" w:cs="Arial"/>
          <w:sz w:val="24"/>
          <w:szCs w:val="24"/>
        </w:rPr>
        <w:t xml:space="preserve">they may duplicate </w:t>
      </w:r>
      <w:r w:rsidR="002E777C" w:rsidRPr="00EF4617">
        <w:rPr>
          <w:rFonts w:ascii="Arial" w:hAnsi="Arial" w:cs="Arial"/>
          <w:sz w:val="24"/>
          <w:szCs w:val="24"/>
        </w:rPr>
        <w:t>information</w:t>
      </w:r>
      <w:r w:rsidR="00CD47C9">
        <w:rPr>
          <w:rFonts w:ascii="Arial" w:hAnsi="Arial" w:cs="Arial"/>
          <w:sz w:val="24"/>
          <w:szCs w:val="24"/>
        </w:rPr>
        <w:t xml:space="preserve"> to ensure</w:t>
      </w:r>
      <w:r w:rsidRPr="00EF4617">
        <w:rPr>
          <w:rFonts w:ascii="Arial" w:hAnsi="Arial" w:cs="Arial"/>
          <w:sz w:val="24"/>
          <w:szCs w:val="24"/>
        </w:rPr>
        <w:t xml:space="preserve"> it will not be missed.  Alternatively</w:t>
      </w:r>
      <w:r w:rsidR="00CD47C9">
        <w:rPr>
          <w:rFonts w:ascii="Arial" w:hAnsi="Arial" w:cs="Arial"/>
          <w:sz w:val="24"/>
          <w:szCs w:val="24"/>
        </w:rPr>
        <w:t>,</w:t>
      </w:r>
      <w:r w:rsidRPr="00EF4617">
        <w:rPr>
          <w:rFonts w:ascii="Arial" w:hAnsi="Arial" w:cs="Arial"/>
          <w:sz w:val="24"/>
          <w:szCs w:val="24"/>
        </w:rPr>
        <w:t xml:space="preserve"> they may believe that record</w:t>
      </w:r>
      <w:r w:rsidR="002E777C">
        <w:rPr>
          <w:rFonts w:ascii="Arial" w:hAnsi="Arial" w:cs="Arial"/>
          <w:sz w:val="24"/>
          <w:szCs w:val="24"/>
        </w:rPr>
        <w:t>ing</w:t>
      </w:r>
      <w:r w:rsidRPr="00EF4617">
        <w:rPr>
          <w:rFonts w:ascii="Arial" w:hAnsi="Arial" w:cs="Arial"/>
          <w:sz w:val="24"/>
          <w:szCs w:val="24"/>
        </w:rPr>
        <w:t xml:space="preserve"> information in every possible field </w:t>
      </w:r>
      <w:r w:rsidR="002E777C">
        <w:rPr>
          <w:rFonts w:ascii="Arial" w:hAnsi="Arial" w:cs="Arial"/>
          <w:sz w:val="24"/>
          <w:szCs w:val="24"/>
        </w:rPr>
        <w:t>will</w:t>
      </w:r>
      <w:r w:rsidRPr="00EF4617">
        <w:rPr>
          <w:rFonts w:ascii="Arial" w:hAnsi="Arial" w:cs="Arial"/>
          <w:sz w:val="24"/>
          <w:szCs w:val="24"/>
        </w:rPr>
        <w:t xml:space="preserve"> facilitate audit.  </w:t>
      </w:r>
      <w:r w:rsidR="002E777C">
        <w:rPr>
          <w:rFonts w:ascii="Arial" w:hAnsi="Arial" w:cs="Arial"/>
          <w:sz w:val="24"/>
          <w:szCs w:val="24"/>
        </w:rPr>
        <w:t>I</w:t>
      </w:r>
      <w:r w:rsidR="00603D9E" w:rsidRPr="00EF4617">
        <w:rPr>
          <w:rFonts w:ascii="Arial" w:hAnsi="Arial" w:cs="Arial"/>
          <w:sz w:val="24"/>
          <w:szCs w:val="24"/>
        </w:rPr>
        <w:t xml:space="preserve">f dementia is being recorded in multiple fields it is likely that other information is also being </w:t>
      </w:r>
      <w:r w:rsidR="002E777C">
        <w:rPr>
          <w:rFonts w:ascii="Arial" w:hAnsi="Arial" w:cs="Arial"/>
          <w:sz w:val="24"/>
          <w:szCs w:val="24"/>
        </w:rPr>
        <w:t>duplicated</w:t>
      </w:r>
      <w:r w:rsidR="00603D9E" w:rsidRPr="00EF4617">
        <w:rPr>
          <w:rFonts w:ascii="Arial" w:hAnsi="Arial" w:cs="Arial"/>
          <w:sz w:val="24"/>
          <w:szCs w:val="24"/>
        </w:rPr>
        <w:t xml:space="preserve"> thus increasing the </w:t>
      </w:r>
      <w:r w:rsidR="002E777C">
        <w:rPr>
          <w:rFonts w:ascii="Arial" w:hAnsi="Arial" w:cs="Arial"/>
          <w:sz w:val="24"/>
          <w:szCs w:val="24"/>
        </w:rPr>
        <w:t xml:space="preserve">inefficiency of </w:t>
      </w:r>
      <w:r w:rsidR="003F747B">
        <w:rPr>
          <w:rFonts w:ascii="Arial" w:hAnsi="Arial" w:cs="Arial"/>
          <w:sz w:val="24"/>
          <w:szCs w:val="24"/>
        </w:rPr>
        <w:t>E</w:t>
      </w:r>
      <w:r w:rsidR="00603D9E" w:rsidRPr="00EF4617">
        <w:rPr>
          <w:rFonts w:ascii="Arial" w:hAnsi="Arial" w:cs="Arial"/>
          <w:sz w:val="24"/>
          <w:szCs w:val="24"/>
        </w:rPr>
        <w:t>PR</w:t>
      </w:r>
      <w:r w:rsidR="002E777C">
        <w:rPr>
          <w:rFonts w:ascii="Arial" w:hAnsi="Arial" w:cs="Arial"/>
          <w:sz w:val="24"/>
          <w:szCs w:val="24"/>
        </w:rPr>
        <w:t xml:space="preserve"> completion</w:t>
      </w:r>
      <w:r w:rsidR="00603D9E" w:rsidRPr="00EF4617">
        <w:rPr>
          <w:rFonts w:ascii="Arial" w:hAnsi="Arial" w:cs="Arial"/>
          <w:sz w:val="24"/>
          <w:szCs w:val="24"/>
        </w:rPr>
        <w:t>.</w:t>
      </w:r>
    </w:p>
    <w:p w:rsidR="00C0612E" w:rsidRPr="00EF4617" w:rsidRDefault="00C0612E" w:rsidP="00EF4617">
      <w:pPr>
        <w:spacing w:line="240" w:lineRule="auto"/>
        <w:rPr>
          <w:rFonts w:ascii="Arial" w:hAnsi="Arial" w:cs="Arial"/>
          <w:sz w:val="24"/>
          <w:szCs w:val="24"/>
        </w:rPr>
      </w:pPr>
      <w:r w:rsidRPr="00EF4617">
        <w:rPr>
          <w:rFonts w:ascii="Arial" w:hAnsi="Arial" w:cs="Arial"/>
          <w:sz w:val="24"/>
          <w:szCs w:val="24"/>
        </w:rPr>
        <w:t xml:space="preserve">A relatively low recording rate of dementia could be found in the falls assessment section of the </w:t>
      </w:r>
      <w:r w:rsidR="00EC4BC2">
        <w:rPr>
          <w:rFonts w:ascii="Arial" w:hAnsi="Arial" w:cs="Arial"/>
          <w:sz w:val="24"/>
          <w:szCs w:val="24"/>
        </w:rPr>
        <w:t>E</w:t>
      </w:r>
      <w:r w:rsidRPr="00EF4617">
        <w:rPr>
          <w:rFonts w:ascii="Arial" w:hAnsi="Arial" w:cs="Arial"/>
          <w:sz w:val="24"/>
          <w:szCs w:val="24"/>
        </w:rPr>
        <w:t xml:space="preserve">PR.  This may be due to the fact that clinicians had already recorded it elsewhere or that they failed to </w:t>
      </w:r>
      <w:r w:rsidR="002C2113">
        <w:rPr>
          <w:rFonts w:ascii="Arial" w:hAnsi="Arial" w:cs="Arial"/>
          <w:sz w:val="24"/>
          <w:szCs w:val="24"/>
        </w:rPr>
        <w:t>identify</w:t>
      </w:r>
      <w:r w:rsidRPr="00EF4617">
        <w:rPr>
          <w:rFonts w:ascii="Arial" w:hAnsi="Arial" w:cs="Arial"/>
          <w:sz w:val="24"/>
          <w:szCs w:val="24"/>
        </w:rPr>
        <w:t xml:space="preserve"> dementia as a risk factor for falls.  </w:t>
      </w:r>
      <w:r w:rsidR="007522C4">
        <w:rPr>
          <w:rFonts w:ascii="Arial" w:hAnsi="Arial" w:cs="Arial"/>
          <w:sz w:val="24"/>
          <w:szCs w:val="24"/>
        </w:rPr>
        <w:t>As well as closed response options regarding specific risk factors</w:t>
      </w:r>
      <w:r w:rsidR="00544853">
        <w:rPr>
          <w:rFonts w:ascii="Arial" w:hAnsi="Arial" w:cs="Arial"/>
          <w:sz w:val="24"/>
          <w:szCs w:val="24"/>
        </w:rPr>
        <w:t xml:space="preserve"> (including confirmed diagnoses)</w:t>
      </w:r>
      <w:r w:rsidR="007522C4">
        <w:rPr>
          <w:rFonts w:ascii="Arial" w:hAnsi="Arial" w:cs="Arial"/>
          <w:sz w:val="24"/>
          <w:szCs w:val="24"/>
        </w:rPr>
        <w:t xml:space="preserve"> there are free-text fields within this section.  </w:t>
      </w:r>
      <w:r w:rsidRPr="00EF4617">
        <w:rPr>
          <w:rFonts w:ascii="Arial" w:hAnsi="Arial" w:cs="Arial"/>
          <w:sz w:val="24"/>
          <w:szCs w:val="24"/>
        </w:rPr>
        <w:t xml:space="preserve">Given </w:t>
      </w:r>
      <w:r w:rsidR="007275EA">
        <w:rPr>
          <w:rFonts w:ascii="Arial" w:hAnsi="Arial" w:cs="Arial"/>
          <w:sz w:val="24"/>
          <w:szCs w:val="24"/>
        </w:rPr>
        <w:t xml:space="preserve">that </w:t>
      </w:r>
      <w:r w:rsidR="002C2113">
        <w:rPr>
          <w:rFonts w:ascii="Arial" w:hAnsi="Arial" w:cs="Arial"/>
          <w:sz w:val="24"/>
          <w:szCs w:val="24"/>
        </w:rPr>
        <w:t xml:space="preserve">sensory or </w:t>
      </w:r>
      <w:r w:rsidRPr="00EF4617">
        <w:rPr>
          <w:rFonts w:ascii="Arial" w:hAnsi="Arial" w:cs="Arial"/>
          <w:sz w:val="24"/>
          <w:szCs w:val="24"/>
        </w:rPr>
        <w:t xml:space="preserve">visual disturbance </w:t>
      </w:r>
      <w:r w:rsidR="007275EA">
        <w:rPr>
          <w:rFonts w:ascii="Arial" w:hAnsi="Arial" w:cs="Arial"/>
          <w:sz w:val="24"/>
          <w:szCs w:val="24"/>
        </w:rPr>
        <w:t xml:space="preserve">is </w:t>
      </w:r>
      <w:r w:rsidR="002E777C">
        <w:rPr>
          <w:rFonts w:ascii="Arial" w:hAnsi="Arial" w:cs="Arial"/>
          <w:sz w:val="24"/>
          <w:szCs w:val="24"/>
        </w:rPr>
        <w:t xml:space="preserve">commonly associated </w:t>
      </w:r>
      <w:r w:rsidRPr="00EF4617">
        <w:rPr>
          <w:rFonts w:ascii="Arial" w:hAnsi="Arial" w:cs="Arial"/>
          <w:sz w:val="24"/>
          <w:szCs w:val="24"/>
        </w:rPr>
        <w:t>with dementia</w:t>
      </w:r>
      <w:r w:rsidR="002C2113">
        <w:rPr>
          <w:rFonts w:ascii="Arial" w:hAnsi="Arial" w:cs="Arial"/>
          <w:sz w:val="24"/>
          <w:szCs w:val="24"/>
        </w:rPr>
        <w:t>,</w:t>
      </w:r>
      <w:r w:rsidRPr="00EF4617">
        <w:rPr>
          <w:rFonts w:ascii="Arial" w:hAnsi="Arial" w:cs="Arial"/>
          <w:sz w:val="24"/>
          <w:szCs w:val="24"/>
        </w:rPr>
        <w:t xml:space="preserve"> this may highlight a staff education </w:t>
      </w:r>
      <w:r w:rsidR="000555F9" w:rsidRPr="00EF4617">
        <w:rPr>
          <w:rFonts w:ascii="Arial" w:hAnsi="Arial" w:cs="Arial"/>
          <w:sz w:val="24"/>
          <w:szCs w:val="24"/>
        </w:rPr>
        <w:t>need</w:t>
      </w:r>
      <w:r w:rsidRPr="00EF4617">
        <w:rPr>
          <w:rFonts w:ascii="Arial" w:hAnsi="Arial" w:cs="Arial"/>
          <w:sz w:val="24"/>
          <w:szCs w:val="24"/>
        </w:rPr>
        <w:t xml:space="preserve">. </w:t>
      </w:r>
      <w:r w:rsidR="002E777C">
        <w:rPr>
          <w:rFonts w:ascii="Arial" w:hAnsi="Arial" w:cs="Arial"/>
          <w:sz w:val="24"/>
          <w:szCs w:val="24"/>
        </w:rPr>
        <w:t>T</w:t>
      </w:r>
      <w:r w:rsidRPr="00EF4617">
        <w:rPr>
          <w:rFonts w:ascii="Arial" w:hAnsi="Arial" w:cs="Arial"/>
          <w:sz w:val="24"/>
          <w:szCs w:val="24"/>
        </w:rPr>
        <w:t xml:space="preserve">he most common field where dementia </w:t>
      </w:r>
      <w:r w:rsidR="002C2113">
        <w:rPr>
          <w:rFonts w:ascii="Arial" w:hAnsi="Arial" w:cs="Arial"/>
          <w:sz w:val="24"/>
          <w:szCs w:val="24"/>
        </w:rPr>
        <w:t>was entered</w:t>
      </w:r>
      <w:r w:rsidRPr="00EF4617">
        <w:rPr>
          <w:rFonts w:ascii="Arial" w:hAnsi="Arial" w:cs="Arial"/>
          <w:sz w:val="24"/>
          <w:szCs w:val="24"/>
        </w:rPr>
        <w:t xml:space="preserve"> was ‘Other known medical history’</w:t>
      </w:r>
      <w:r w:rsidR="00554CAB" w:rsidRPr="00EF4617">
        <w:rPr>
          <w:rFonts w:ascii="Arial" w:hAnsi="Arial" w:cs="Arial"/>
          <w:sz w:val="24"/>
          <w:szCs w:val="24"/>
        </w:rPr>
        <w:t>.  This category is generally used to record less significant medical history, which may lead to the dementia being overlooked.</w:t>
      </w:r>
      <w:r w:rsidR="00F147FA" w:rsidRPr="00EF4617">
        <w:rPr>
          <w:rFonts w:ascii="Arial" w:hAnsi="Arial" w:cs="Arial"/>
          <w:sz w:val="24"/>
          <w:szCs w:val="24"/>
        </w:rPr>
        <w:t xml:space="preserve">  In around a quarter of cases where dementia was recorded, it was located in the ‘Presenting Condition’ field</w:t>
      </w:r>
      <w:r w:rsidR="002C2113">
        <w:rPr>
          <w:rFonts w:ascii="Arial" w:hAnsi="Arial" w:cs="Arial"/>
          <w:sz w:val="24"/>
          <w:szCs w:val="24"/>
        </w:rPr>
        <w:t>, suggesting</w:t>
      </w:r>
      <w:r w:rsidR="00F147FA" w:rsidRPr="00EF4617">
        <w:rPr>
          <w:rFonts w:ascii="Arial" w:hAnsi="Arial" w:cs="Arial"/>
          <w:sz w:val="24"/>
          <w:szCs w:val="24"/>
        </w:rPr>
        <w:t xml:space="preserve"> a greater significance</w:t>
      </w:r>
      <w:r w:rsidR="00554CAB" w:rsidRPr="00EF4617">
        <w:rPr>
          <w:rFonts w:ascii="Arial" w:hAnsi="Arial" w:cs="Arial"/>
          <w:sz w:val="24"/>
          <w:szCs w:val="24"/>
        </w:rPr>
        <w:t xml:space="preserve"> </w:t>
      </w:r>
      <w:r w:rsidR="00F147FA" w:rsidRPr="00EF4617">
        <w:rPr>
          <w:rFonts w:ascii="Arial" w:hAnsi="Arial" w:cs="Arial"/>
          <w:sz w:val="24"/>
          <w:szCs w:val="24"/>
        </w:rPr>
        <w:t>for the condition</w:t>
      </w:r>
      <w:r w:rsidR="002C2113">
        <w:rPr>
          <w:rFonts w:ascii="Arial" w:hAnsi="Arial" w:cs="Arial"/>
          <w:sz w:val="24"/>
          <w:szCs w:val="24"/>
        </w:rPr>
        <w:t xml:space="preserve">, possibly </w:t>
      </w:r>
      <w:r w:rsidR="00F147FA" w:rsidRPr="00EF4617">
        <w:rPr>
          <w:rFonts w:ascii="Arial" w:hAnsi="Arial" w:cs="Arial"/>
          <w:sz w:val="24"/>
          <w:szCs w:val="24"/>
        </w:rPr>
        <w:t xml:space="preserve">due to </w:t>
      </w:r>
      <w:r w:rsidR="002C2113">
        <w:rPr>
          <w:rFonts w:ascii="Arial" w:hAnsi="Arial" w:cs="Arial"/>
          <w:sz w:val="24"/>
          <w:szCs w:val="24"/>
        </w:rPr>
        <w:t xml:space="preserve">increased </w:t>
      </w:r>
      <w:r w:rsidR="00F147FA" w:rsidRPr="00EF4617">
        <w:rPr>
          <w:rFonts w:ascii="Arial" w:hAnsi="Arial" w:cs="Arial"/>
          <w:sz w:val="24"/>
          <w:szCs w:val="24"/>
        </w:rPr>
        <w:t xml:space="preserve">severity of dementia or </w:t>
      </w:r>
      <w:r w:rsidR="002C2113">
        <w:rPr>
          <w:rFonts w:ascii="Arial" w:hAnsi="Arial" w:cs="Arial"/>
          <w:sz w:val="24"/>
          <w:szCs w:val="24"/>
        </w:rPr>
        <w:t xml:space="preserve">greater </w:t>
      </w:r>
      <w:r w:rsidR="00F147FA" w:rsidRPr="00EF4617">
        <w:rPr>
          <w:rFonts w:ascii="Arial" w:hAnsi="Arial" w:cs="Arial"/>
          <w:sz w:val="24"/>
          <w:szCs w:val="24"/>
        </w:rPr>
        <w:t xml:space="preserve">impact </w:t>
      </w:r>
      <w:r w:rsidR="002C2113">
        <w:rPr>
          <w:rFonts w:ascii="Arial" w:hAnsi="Arial" w:cs="Arial"/>
          <w:sz w:val="24"/>
          <w:szCs w:val="24"/>
        </w:rPr>
        <w:t xml:space="preserve">of dementia on the current situation. Overall, the analysis of the </w:t>
      </w:r>
      <w:r w:rsidR="00EC4BC2">
        <w:rPr>
          <w:rFonts w:ascii="Arial" w:hAnsi="Arial" w:cs="Arial"/>
          <w:sz w:val="24"/>
          <w:szCs w:val="24"/>
        </w:rPr>
        <w:t>E</w:t>
      </w:r>
      <w:r w:rsidR="002C2113">
        <w:rPr>
          <w:rFonts w:ascii="Arial" w:hAnsi="Arial" w:cs="Arial"/>
          <w:sz w:val="24"/>
          <w:szCs w:val="24"/>
        </w:rPr>
        <w:t xml:space="preserve">PR fields suggests </w:t>
      </w:r>
      <w:r w:rsidR="00F147FA" w:rsidRPr="00EF4617">
        <w:rPr>
          <w:rFonts w:ascii="Arial" w:hAnsi="Arial" w:cs="Arial"/>
          <w:sz w:val="24"/>
          <w:szCs w:val="24"/>
        </w:rPr>
        <w:t xml:space="preserve">a lack of clarity about </w:t>
      </w:r>
      <w:r w:rsidR="002C2113">
        <w:rPr>
          <w:rFonts w:ascii="Arial" w:hAnsi="Arial" w:cs="Arial"/>
          <w:sz w:val="24"/>
          <w:szCs w:val="24"/>
        </w:rPr>
        <w:t xml:space="preserve">when </w:t>
      </w:r>
      <w:r w:rsidR="007A6302">
        <w:rPr>
          <w:rFonts w:ascii="Arial" w:hAnsi="Arial" w:cs="Arial"/>
          <w:sz w:val="24"/>
          <w:szCs w:val="24"/>
        </w:rPr>
        <w:t xml:space="preserve">and </w:t>
      </w:r>
      <w:r w:rsidR="007A6302" w:rsidRPr="00EF4617">
        <w:rPr>
          <w:rFonts w:ascii="Arial" w:hAnsi="Arial" w:cs="Arial"/>
          <w:sz w:val="24"/>
          <w:szCs w:val="24"/>
        </w:rPr>
        <w:t>where</w:t>
      </w:r>
      <w:r w:rsidR="007A6302">
        <w:rPr>
          <w:rFonts w:ascii="Arial" w:hAnsi="Arial" w:cs="Arial"/>
          <w:sz w:val="24"/>
          <w:szCs w:val="24"/>
        </w:rPr>
        <w:t xml:space="preserve"> </w:t>
      </w:r>
      <w:r w:rsidR="002C2113">
        <w:rPr>
          <w:rFonts w:ascii="Arial" w:hAnsi="Arial" w:cs="Arial"/>
          <w:sz w:val="24"/>
          <w:szCs w:val="24"/>
        </w:rPr>
        <w:t>dementia should be recorded</w:t>
      </w:r>
      <w:r w:rsidR="000555F9" w:rsidRPr="00EF4617">
        <w:rPr>
          <w:rFonts w:ascii="Arial" w:hAnsi="Arial" w:cs="Arial"/>
          <w:sz w:val="24"/>
          <w:szCs w:val="24"/>
        </w:rPr>
        <w:t>.</w:t>
      </w:r>
      <w:r w:rsidRPr="00EF4617">
        <w:rPr>
          <w:rFonts w:ascii="Arial" w:hAnsi="Arial" w:cs="Arial"/>
          <w:sz w:val="24"/>
          <w:szCs w:val="24"/>
        </w:rPr>
        <w:t xml:space="preserve"> </w:t>
      </w:r>
    </w:p>
    <w:p w:rsidR="00051F3B" w:rsidRPr="00EF4617" w:rsidRDefault="00051F3B" w:rsidP="00EF4617">
      <w:pPr>
        <w:pStyle w:val="ListParagraph"/>
        <w:spacing w:line="240" w:lineRule="auto"/>
        <w:rPr>
          <w:rFonts w:ascii="Arial" w:hAnsi="Arial" w:cs="Arial"/>
          <w:sz w:val="24"/>
          <w:szCs w:val="24"/>
        </w:rPr>
      </w:pPr>
    </w:p>
    <w:p w:rsidR="00BA37A6" w:rsidRDefault="00BA37A6" w:rsidP="00EF4617">
      <w:pPr>
        <w:spacing w:line="240" w:lineRule="auto"/>
        <w:rPr>
          <w:rFonts w:ascii="Arial" w:hAnsi="Arial" w:cs="Arial"/>
          <w:b/>
          <w:sz w:val="24"/>
          <w:szCs w:val="24"/>
        </w:rPr>
      </w:pPr>
      <w:r>
        <w:rPr>
          <w:rFonts w:ascii="Arial" w:hAnsi="Arial" w:cs="Arial"/>
          <w:b/>
          <w:sz w:val="24"/>
          <w:szCs w:val="24"/>
        </w:rPr>
        <w:t>Recommendations/Learning points</w:t>
      </w:r>
    </w:p>
    <w:p w:rsidR="00BA37A6" w:rsidRPr="00BA37A6" w:rsidRDefault="00BA37A6" w:rsidP="00BA37A6">
      <w:pPr>
        <w:pStyle w:val="ListParagraph"/>
        <w:numPr>
          <w:ilvl w:val="0"/>
          <w:numId w:val="14"/>
        </w:numPr>
        <w:spacing w:line="240" w:lineRule="auto"/>
        <w:rPr>
          <w:rFonts w:ascii="Arial" w:hAnsi="Arial" w:cs="Arial"/>
          <w:b/>
          <w:sz w:val="24"/>
          <w:szCs w:val="24"/>
        </w:rPr>
      </w:pPr>
      <w:r w:rsidRPr="00BA37A6">
        <w:rPr>
          <w:rFonts w:ascii="Arial" w:hAnsi="Arial" w:cs="Arial"/>
          <w:sz w:val="24"/>
          <w:szCs w:val="24"/>
        </w:rPr>
        <w:t>The EPR should be modified to reflect paramedics’ needs, and those of the healthcare staff who</w:t>
      </w:r>
      <w:r>
        <w:rPr>
          <w:rFonts w:ascii="Arial" w:hAnsi="Arial" w:cs="Arial"/>
          <w:sz w:val="24"/>
          <w:szCs w:val="24"/>
        </w:rPr>
        <w:t xml:space="preserve"> receive and act on the report.</w:t>
      </w:r>
    </w:p>
    <w:p w:rsidR="00BA37A6" w:rsidRPr="00BA37A6" w:rsidRDefault="00BA37A6" w:rsidP="00BA37A6">
      <w:pPr>
        <w:pStyle w:val="ListParagraph"/>
        <w:spacing w:line="240" w:lineRule="auto"/>
        <w:rPr>
          <w:rFonts w:ascii="Arial" w:hAnsi="Arial" w:cs="Arial"/>
          <w:b/>
          <w:sz w:val="24"/>
          <w:szCs w:val="24"/>
        </w:rPr>
      </w:pPr>
    </w:p>
    <w:p w:rsidR="00BA37A6" w:rsidRPr="00BA37A6" w:rsidRDefault="00BA37A6" w:rsidP="00BA37A6">
      <w:pPr>
        <w:pStyle w:val="ListParagraph"/>
        <w:numPr>
          <w:ilvl w:val="0"/>
          <w:numId w:val="14"/>
        </w:numPr>
        <w:spacing w:line="240" w:lineRule="auto"/>
        <w:rPr>
          <w:rFonts w:ascii="Arial" w:hAnsi="Arial" w:cs="Arial"/>
          <w:b/>
          <w:sz w:val="24"/>
          <w:szCs w:val="24"/>
        </w:rPr>
      </w:pPr>
      <w:r w:rsidRPr="00BA37A6">
        <w:rPr>
          <w:rFonts w:ascii="Arial" w:hAnsi="Arial" w:cs="Arial"/>
          <w:sz w:val="24"/>
          <w:szCs w:val="24"/>
        </w:rPr>
        <w:t>Enhanced training for paramedics in the importance and method of recording dementia is required</w:t>
      </w:r>
    </w:p>
    <w:p w:rsidR="00BA37A6" w:rsidRDefault="00BA37A6" w:rsidP="00BA37A6">
      <w:pPr>
        <w:pStyle w:val="ListParagraph"/>
        <w:spacing w:line="240" w:lineRule="auto"/>
        <w:rPr>
          <w:rFonts w:ascii="Arial" w:hAnsi="Arial" w:cs="Arial"/>
          <w:sz w:val="24"/>
          <w:szCs w:val="24"/>
        </w:rPr>
      </w:pPr>
    </w:p>
    <w:p w:rsidR="00BA37A6" w:rsidRPr="00BA37A6" w:rsidRDefault="00BA37A6" w:rsidP="00BA37A6">
      <w:pPr>
        <w:pStyle w:val="ListParagraph"/>
        <w:spacing w:line="240" w:lineRule="auto"/>
        <w:rPr>
          <w:rFonts w:ascii="Arial" w:hAnsi="Arial" w:cs="Arial"/>
          <w:b/>
          <w:sz w:val="24"/>
          <w:szCs w:val="24"/>
        </w:rPr>
      </w:pPr>
    </w:p>
    <w:p w:rsidR="00D27C42" w:rsidRPr="00EF4617" w:rsidRDefault="00D27C42" w:rsidP="00EF4617">
      <w:pPr>
        <w:spacing w:line="240" w:lineRule="auto"/>
        <w:rPr>
          <w:rFonts w:ascii="Arial" w:hAnsi="Arial" w:cs="Arial"/>
          <w:b/>
          <w:sz w:val="24"/>
          <w:szCs w:val="24"/>
        </w:rPr>
      </w:pPr>
      <w:r w:rsidRPr="00EF4617">
        <w:rPr>
          <w:rFonts w:ascii="Arial" w:hAnsi="Arial" w:cs="Arial"/>
          <w:b/>
          <w:sz w:val="24"/>
          <w:szCs w:val="24"/>
        </w:rPr>
        <w:t>Limitations</w:t>
      </w:r>
    </w:p>
    <w:p w:rsidR="0048202D" w:rsidRPr="00EF4617" w:rsidRDefault="0082587A" w:rsidP="00EF4617">
      <w:pPr>
        <w:spacing w:line="240" w:lineRule="auto"/>
        <w:rPr>
          <w:rFonts w:ascii="Arial" w:hAnsi="Arial" w:cs="Arial"/>
          <w:sz w:val="24"/>
          <w:szCs w:val="24"/>
        </w:rPr>
      </w:pPr>
      <w:r w:rsidRPr="00EF4617">
        <w:rPr>
          <w:rFonts w:ascii="Arial" w:hAnsi="Arial" w:cs="Arial"/>
          <w:sz w:val="24"/>
          <w:szCs w:val="24"/>
        </w:rPr>
        <w:t xml:space="preserve">There is the potential for misclassification as to the recording of </w:t>
      </w:r>
      <w:r w:rsidR="00D27C42" w:rsidRPr="00EF4617">
        <w:rPr>
          <w:rFonts w:ascii="Arial" w:hAnsi="Arial" w:cs="Arial"/>
          <w:sz w:val="24"/>
          <w:szCs w:val="24"/>
        </w:rPr>
        <w:t xml:space="preserve">‘dementia’ </w:t>
      </w:r>
      <w:r w:rsidRPr="00EF4617">
        <w:rPr>
          <w:rFonts w:ascii="Arial" w:hAnsi="Arial" w:cs="Arial"/>
          <w:sz w:val="24"/>
          <w:szCs w:val="24"/>
        </w:rPr>
        <w:t xml:space="preserve">in the EPR, as it </w:t>
      </w:r>
      <w:r w:rsidR="00D27C42" w:rsidRPr="00EF4617">
        <w:rPr>
          <w:rFonts w:ascii="Arial" w:hAnsi="Arial" w:cs="Arial"/>
          <w:sz w:val="24"/>
          <w:szCs w:val="24"/>
        </w:rPr>
        <w:t xml:space="preserve">may apply to </w:t>
      </w:r>
      <w:r w:rsidRPr="00EF4617">
        <w:rPr>
          <w:rFonts w:ascii="Arial" w:hAnsi="Arial" w:cs="Arial"/>
          <w:sz w:val="24"/>
          <w:szCs w:val="24"/>
        </w:rPr>
        <w:t xml:space="preserve">the patient’s </w:t>
      </w:r>
      <w:r w:rsidR="00D27C42" w:rsidRPr="00EF4617">
        <w:rPr>
          <w:rFonts w:ascii="Arial" w:hAnsi="Arial" w:cs="Arial"/>
          <w:sz w:val="24"/>
          <w:szCs w:val="24"/>
        </w:rPr>
        <w:t xml:space="preserve">spouse </w:t>
      </w:r>
      <w:r w:rsidR="000775BF">
        <w:rPr>
          <w:rFonts w:ascii="Arial" w:hAnsi="Arial" w:cs="Arial"/>
          <w:sz w:val="24"/>
          <w:szCs w:val="24"/>
        </w:rPr>
        <w:t xml:space="preserve">or in the case that the patient is a carer </w:t>
      </w:r>
      <w:r w:rsidR="000775BF">
        <w:rPr>
          <w:rFonts w:ascii="Arial" w:hAnsi="Arial" w:cs="Arial"/>
          <w:sz w:val="24"/>
          <w:szCs w:val="24"/>
        </w:rPr>
        <w:lastRenderedPageBreak/>
        <w:t xml:space="preserve">for someone </w:t>
      </w:r>
      <w:r w:rsidR="00D27C42" w:rsidRPr="00EF4617">
        <w:rPr>
          <w:rFonts w:ascii="Arial" w:hAnsi="Arial" w:cs="Arial"/>
          <w:sz w:val="24"/>
          <w:szCs w:val="24"/>
        </w:rPr>
        <w:t>with dementia</w:t>
      </w:r>
      <w:r w:rsidR="000775BF">
        <w:rPr>
          <w:rFonts w:ascii="Arial" w:hAnsi="Arial" w:cs="Arial"/>
          <w:sz w:val="24"/>
          <w:szCs w:val="24"/>
        </w:rPr>
        <w:t xml:space="preserve">. </w:t>
      </w:r>
      <w:r w:rsidRPr="00EF4617">
        <w:rPr>
          <w:rFonts w:ascii="Arial" w:hAnsi="Arial" w:cs="Arial"/>
          <w:sz w:val="24"/>
          <w:szCs w:val="24"/>
        </w:rPr>
        <w:t>However, we consider this may happen in a l</w:t>
      </w:r>
      <w:r w:rsidR="003F747B">
        <w:rPr>
          <w:rFonts w:ascii="Arial" w:hAnsi="Arial" w:cs="Arial"/>
          <w:sz w:val="24"/>
          <w:szCs w:val="24"/>
        </w:rPr>
        <w:t xml:space="preserve">imited </w:t>
      </w:r>
      <w:r w:rsidR="000775BF">
        <w:rPr>
          <w:rFonts w:ascii="Arial" w:hAnsi="Arial" w:cs="Arial"/>
          <w:sz w:val="24"/>
          <w:szCs w:val="24"/>
        </w:rPr>
        <w:t xml:space="preserve">number of cases, as staff </w:t>
      </w:r>
      <w:r w:rsidR="003F747B">
        <w:rPr>
          <w:rFonts w:ascii="Arial" w:hAnsi="Arial" w:cs="Arial"/>
          <w:sz w:val="24"/>
          <w:szCs w:val="24"/>
        </w:rPr>
        <w:t xml:space="preserve">are trained to complete the EPR from the patient perspective. </w:t>
      </w:r>
      <w:r w:rsidR="000775BF">
        <w:rPr>
          <w:rFonts w:ascii="Arial" w:hAnsi="Arial" w:cs="Arial"/>
          <w:sz w:val="24"/>
          <w:szCs w:val="24"/>
        </w:rPr>
        <w:t>Additionally, the time taken and level of detail in the</w:t>
      </w:r>
      <w:r w:rsidR="005C2A00" w:rsidRPr="00EF4617">
        <w:rPr>
          <w:rFonts w:ascii="Arial" w:hAnsi="Arial" w:cs="Arial"/>
          <w:sz w:val="24"/>
          <w:szCs w:val="24"/>
        </w:rPr>
        <w:t xml:space="preserve"> </w:t>
      </w:r>
      <w:r w:rsidR="00C67C67" w:rsidRPr="00EF4617">
        <w:rPr>
          <w:rFonts w:ascii="Arial" w:hAnsi="Arial" w:cs="Arial"/>
          <w:sz w:val="24"/>
          <w:szCs w:val="24"/>
        </w:rPr>
        <w:t>EPR</w:t>
      </w:r>
      <w:r w:rsidRPr="00EF4617">
        <w:rPr>
          <w:rFonts w:ascii="Arial" w:hAnsi="Arial" w:cs="Arial"/>
          <w:sz w:val="24"/>
          <w:szCs w:val="24"/>
        </w:rPr>
        <w:t xml:space="preserve"> </w:t>
      </w:r>
      <w:r w:rsidR="005C2A00" w:rsidRPr="00EF4617">
        <w:rPr>
          <w:rFonts w:ascii="Arial" w:hAnsi="Arial" w:cs="Arial"/>
          <w:sz w:val="24"/>
          <w:szCs w:val="24"/>
        </w:rPr>
        <w:t>may differ according to whether the patient is taken to hospital or not</w:t>
      </w:r>
      <w:r w:rsidRPr="00EF4617">
        <w:rPr>
          <w:rFonts w:ascii="Arial" w:hAnsi="Arial" w:cs="Arial"/>
          <w:sz w:val="24"/>
          <w:szCs w:val="24"/>
        </w:rPr>
        <w:t xml:space="preserve"> and the urgency of the conveyance</w:t>
      </w:r>
      <w:r w:rsidR="000775BF">
        <w:rPr>
          <w:rFonts w:ascii="Arial" w:hAnsi="Arial" w:cs="Arial"/>
          <w:sz w:val="24"/>
          <w:szCs w:val="24"/>
        </w:rPr>
        <w:t>, with more detailed</w:t>
      </w:r>
      <w:r w:rsidR="005C2A00" w:rsidRPr="00EF4617">
        <w:rPr>
          <w:rFonts w:ascii="Arial" w:hAnsi="Arial" w:cs="Arial"/>
          <w:sz w:val="24"/>
          <w:szCs w:val="24"/>
        </w:rPr>
        <w:t xml:space="preserve"> notes written for </w:t>
      </w:r>
      <w:r w:rsidRPr="00EF4617">
        <w:rPr>
          <w:rFonts w:ascii="Arial" w:hAnsi="Arial" w:cs="Arial"/>
          <w:sz w:val="24"/>
          <w:szCs w:val="24"/>
        </w:rPr>
        <w:t>patients</w:t>
      </w:r>
      <w:r w:rsidR="005C2A00" w:rsidRPr="00EF4617">
        <w:rPr>
          <w:rFonts w:ascii="Arial" w:hAnsi="Arial" w:cs="Arial"/>
          <w:sz w:val="24"/>
          <w:szCs w:val="24"/>
        </w:rPr>
        <w:t xml:space="preserve"> staying at home</w:t>
      </w:r>
      <w:r w:rsidR="00B339A8" w:rsidRPr="00EF4617">
        <w:rPr>
          <w:rFonts w:ascii="Arial" w:hAnsi="Arial" w:cs="Arial"/>
          <w:sz w:val="24"/>
          <w:szCs w:val="24"/>
        </w:rPr>
        <w:t xml:space="preserve">, and </w:t>
      </w:r>
      <w:r w:rsidR="000775BF">
        <w:rPr>
          <w:rFonts w:ascii="Arial" w:hAnsi="Arial" w:cs="Arial"/>
          <w:sz w:val="24"/>
          <w:szCs w:val="24"/>
        </w:rPr>
        <w:t>an increasing likelihood of the notes having</w:t>
      </w:r>
      <w:r w:rsidR="005C2A00" w:rsidRPr="00EF4617">
        <w:rPr>
          <w:rFonts w:ascii="Arial" w:hAnsi="Arial" w:cs="Arial"/>
          <w:sz w:val="24"/>
          <w:szCs w:val="24"/>
        </w:rPr>
        <w:t xml:space="preserve"> ‘dementia’ recorded</w:t>
      </w:r>
      <w:r w:rsidR="000775BF">
        <w:rPr>
          <w:rFonts w:ascii="Arial" w:hAnsi="Arial" w:cs="Arial"/>
          <w:sz w:val="24"/>
          <w:szCs w:val="24"/>
        </w:rPr>
        <w:t>, which may also lead to differential misclassification and may explain</w:t>
      </w:r>
      <w:r w:rsidR="005B04B5" w:rsidRPr="00EF4617">
        <w:rPr>
          <w:rFonts w:ascii="Arial" w:hAnsi="Arial" w:cs="Arial"/>
          <w:sz w:val="24"/>
          <w:szCs w:val="24"/>
        </w:rPr>
        <w:t xml:space="preserve"> the higher proportion of </w:t>
      </w:r>
      <w:r w:rsidR="000775BF">
        <w:rPr>
          <w:rFonts w:ascii="Arial" w:hAnsi="Arial" w:cs="Arial"/>
          <w:sz w:val="24"/>
          <w:szCs w:val="24"/>
        </w:rPr>
        <w:t>patients with EPRs containing</w:t>
      </w:r>
      <w:r w:rsidR="005B04B5" w:rsidRPr="00EF4617">
        <w:rPr>
          <w:rFonts w:ascii="Arial" w:hAnsi="Arial" w:cs="Arial"/>
          <w:sz w:val="24"/>
          <w:szCs w:val="24"/>
        </w:rPr>
        <w:t xml:space="preserve"> ‘dementia’ not being conveyed.</w:t>
      </w:r>
      <w:r w:rsidR="00B339A8" w:rsidRPr="00EF4617">
        <w:rPr>
          <w:rFonts w:ascii="Arial" w:hAnsi="Arial" w:cs="Arial"/>
          <w:sz w:val="24"/>
          <w:szCs w:val="24"/>
        </w:rPr>
        <w:t xml:space="preserve"> This audit d</w:t>
      </w:r>
      <w:r w:rsidR="005B04B5" w:rsidRPr="00EF4617">
        <w:rPr>
          <w:rFonts w:ascii="Arial" w:hAnsi="Arial" w:cs="Arial"/>
          <w:sz w:val="24"/>
          <w:szCs w:val="24"/>
        </w:rPr>
        <w:t>oe</w:t>
      </w:r>
      <w:r w:rsidR="00B339A8" w:rsidRPr="00EF4617">
        <w:rPr>
          <w:rFonts w:ascii="Arial" w:hAnsi="Arial" w:cs="Arial"/>
          <w:sz w:val="24"/>
          <w:szCs w:val="24"/>
        </w:rPr>
        <w:t xml:space="preserve">s not include dementia records in patients less than </w:t>
      </w:r>
      <w:r w:rsidR="005B04B5" w:rsidRPr="00EF4617">
        <w:rPr>
          <w:rFonts w:ascii="Arial" w:hAnsi="Arial" w:cs="Arial"/>
          <w:sz w:val="24"/>
          <w:szCs w:val="24"/>
        </w:rPr>
        <w:t>65 years</w:t>
      </w:r>
      <w:r w:rsidR="00B339A8" w:rsidRPr="00EF4617">
        <w:rPr>
          <w:rFonts w:ascii="Arial" w:hAnsi="Arial" w:cs="Arial"/>
          <w:sz w:val="24"/>
          <w:szCs w:val="24"/>
        </w:rPr>
        <w:t xml:space="preserve">, </w:t>
      </w:r>
      <w:r w:rsidR="005B04B5" w:rsidRPr="00EF4617">
        <w:rPr>
          <w:rFonts w:ascii="Arial" w:hAnsi="Arial" w:cs="Arial"/>
          <w:sz w:val="24"/>
          <w:szCs w:val="24"/>
        </w:rPr>
        <w:t xml:space="preserve">as </w:t>
      </w:r>
      <w:r w:rsidR="00B339A8" w:rsidRPr="00EF4617">
        <w:rPr>
          <w:rFonts w:ascii="Arial" w:hAnsi="Arial" w:cs="Arial"/>
          <w:sz w:val="24"/>
          <w:szCs w:val="24"/>
        </w:rPr>
        <w:t xml:space="preserve">dementia </w:t>
      </w:r>
      <w:r w:rsidR="000775BF">
        <w:rPr>
          <w:rFonts w:ascii="Arial" w:hAnsi="Arial" w:cs="Arial"/>
          <w:sz w:val="24"/>
          <w:szCs w:val="24"/>
        </w:rPr>
        <w:t xml:space="preserve">is less common </w:t>
      </w:r>
      <w:r w:rsidR="005B04B5" w:rsidRPr="00EF4617">
        <w:rPr>
          <w:rFonts w:ascii="Arial" w:hAnsi="Arial" w:cs="Arial"/>
          <w:sz w:val="24"/>
          <w:szCs w:val="24"/>
        </w:rPr>
        <w:t>in this age group</w:t>
      </w:r>
      <w:r w:rsidR="000775BF">
        <w:rPr>
          <w:rFonts w:ascii="Arial" w:hAnsi="Arial" w:cs="Arial"/>
          <w:sz w:val="24"/>
          <w:szCs w:val="24"/>
        </w:rPr>
        <w:t xml:space="preserve"> and also less likely to be diagnosed. </w:t>
      </w:r>
    </w:p>
    <w:p w:rsidR="0058336F" w:rsidRPr="00EF4617" w:rsidRDefault="001C2CCF" w:rsidP="00EF4617">
      <w:pPr>
        <w:spacing w:line="240" w:lineRule="auto"/>
        <w:rPr>
          <w:rFonts w:ascii="Arial" w:hAnsi="Arial" w:cs="Arial"/>
          <w:b/>
          <w:sz w:val="24"/>
          <w:szCs w:val="24"/>
        </w:rPr>
      </w:pPr>
      <w:r>
        <w:rPr>
          <w:rFonts w:ascii="Arial" w:hAnsi="Arial" w:cs="Arial"/>
          <w:sz w:val="24"/>
          <w:szCs w:val="24"/>
        </w:rPr>
        <w:t>The analysis included only those</w:t>
      </w:r>
      <w:r w:rsidRPr="00EF4617">
        <w:rPr>
          <w:rFonts w:ascii="Arial" w:hAnsi="Arial" w:cs="Arial"/>
          <w:sz w:val="24"/>
          <w:szCs w:val="24"/>
        </w:rPr>
        <w:t xml:space="preserve"> </w:t>
      </w:r>
      <w:r>
        <w:rPr>
          <w:rFonts w:ascii="Arial" w:hAnsi="Arial" w:cs="Arial"/>
          <w:sz w:val="24"/>
          <w:szCs w:val="24"/>
        </w:rPr>
        <w:t>sections</w:t>
      </w:r>
      <w:r w:rsidRPr="00EF4617">
        <w:rPr>
          <w:rFonts w:ascii="Arial" w:hAnsi="Arial" w:cs="Arial"/>
          <w:sz w:val="24"/>
          <w:szCs w:val="24"/>
        </w:rPr>
        <w:t xml:space="preserve"> of the </w:t>
      </w:r>
      <w:r>
        <w:rPr>
          <w:rFonts w:ascii="Arial" w:hAnsi="Arial" w:cs="Arial"/>
          <w:sz w:val="24"/>
          <w:szCs w:val="24"/>
        </w:rPr>
        <w:t>E</w:t>
      </w:r>
      <w:r w:rsidRPr="00EF4617">
        <w:rPr>
          <w:rFonts w:ascii="Arial" w:hAnsi="Arial" w:cs="Arial"/>
          <w:sz w:val="24"/>
          <w:szCs w:val="24"/>
        </w:rPr>
        <w:t xml:space="preserve">PR </w:t>
      </w:r>
      <w:r>
        <w:rPr>
          <w:rFonts w:ascii="Arial" w:hAnsi="Arial" w:cs="Arial"/>
          <w:sz w:val="24"/>
          <w:szCs w:val="24"/>
        </w:rPr>
        <w:t>the team considered</w:t>
      </w:r>
      <w:r w:rsidRPr="00EF4617">
        <w:rPr>
          <w:rFonts w:ascii="Arial" w:hAnsi="Arial" w:cs="Arial"/>
          <w:sz w:val="24"/>
          <w:szCs w:val="24"/>
        </w:rPr>
        <w:t xml:space="preserve"> likely to include a </w:t>
      </w:r>
      <w:r>
        <w:rPr>
          <w:rFonts w:ascii="Arial" w:hAnsi="Arial" w:cs="Arial"/>
          <w:sz w:val="24"/>
          <w:szCs w:val="24"/>
        </w:rPr>
        <w:t>record of ‘</w:t>
      </w:r>
      <w:r w:rsidRPr="00EF4617">
        <w:rPr>
          <w:rFonts w:ascii="Arial" w:hAnsi="Arial" w:cs="Arial"/>
          <w:sz w:val="24"/>
          <w:szCs w:val="24"/>
        </w:rPr>
        <w:t>dementia</w:t>
      </w:r>
      <w:r>
        <w:rPr>
          <w:rFonts w:ascii="Arial" w:hAnsi="Arial" w:cs="Arial"/>
          <w:sz w:val="24"/>
          <w:szCs w:val="24"/>
        </w:rPr>
        <w:t>’, rather than the whole EPR.</w:t>
      </w:r>
      <w:r w:rsidRPr="00EF4617">
        <w:rPr>
          <w:rFonts w:ascii="Arial" w:hAnsi="Arial" w:cs="Arial"/>
          <w:sz w:val="24"/>
          <w:szCs w:val="24"/>
        </w:rPr>
        <w:t xml:space="preserve"> However, the authors feel that this is likely to have minimal impact on </w:t>
      </w:r>
      <w:r>
        <w:rPr>
          <w:rFonts w:ascii="Arial" w:hAnsi="Arial" w:cs="Arial"/>
          <w:sz w:val="24"/>
          <w:szCs w:val="24"/>
        </w:rPr>
        <w:t>non-detection of ‘dementia’.</w:t>
      </w:r>
      <w:r w:rsidRPr="00EF4617">
        <w:rPr>
          <w:rFonts w:ascii="Arial" w:hAnsi="Arial" w:cs="Arial"/>
          <w:sz w:val="24"/>
          <w:szCs w:val="24"/>
        </w:rPr>
        <w:t xml:space="preserve"> </w:t>
      </w:r>
      <w:r w:rsidR="0058336F" w:rsidRPr="00EF4617">
        <w:rPr>
          <w:rFonts w:ascii="Arial" w:hAnsi="Arial" w:cs="Arial"/>
          <w:b/>
          <w:sz w:val="24"/>
          <w:szCs w:val="24"/>
        </w:rPr>
        <w:br w:type="page"/>
      </w:r>
    </w:p>
    <w:p w:rsidR="0058336F" w:rsidRPr="00EF4617" w:rsidRDefault="0058336F" w:rsidP="00EF4617">
      <w:pPr>
        <w:spacing w:line="240" w:lineRule="auto"/>
        <w:rPr>
          <w:rFonts w:ascii="Arial" w:hAnsi="Arial" w:cs="Arial"/>
          <w:b/>
          <w:sz w:val="24"/>
          <w:szCs w:val="24"/>
        </w:rPr>
      </w:pPr>
    </w:p>
    <w:p w:rsidR="00126B22" w:rsidRPr="00EF4617" w:rsidRDefault="009C7BF6" w:rsidP="00EF4617">
      <w:pPr>
        <w:spacing w:line="240" w:lineRule="auto"/>
        <w:rPr>
          <w:rFonts w:ascii="Arial" w:hAnsi="Arial" w:cs="Arial"/>
          <w:b/>
          <w:sz w:val="24"/>
          <w:szCs w:val="24"/>
        </w:rPr>
      </w:pPr>
      <w:r w:rsidRPr="00EF4617">
        <w:rPr>
          <w:rFonts w:ascii="Arial" w:hAnsi="Arial" w:cs="Arial"/>
          <w:b/>
          <w:sz w:val="24"/>
          <w:szCs w:val="24"/>
        </w:rPr>
        <w:t>REFERENCES</w:t>
      </w:r>
    </w:p>
    <w:p w:rsidR="0062017E" w:rsidRPr="0062017E" w:rsidRDefault="009C7BF6" w:rsidP="0062017E">
      <w:pPr>
        <w:spacing w:after="0" w:line="240" w:lineRule="auto"/>
        <w:ind w:left="720" w:hanging="720"/>
        <w:rPr>
          <w:rFonts w:ascii="Calibri" w:hAnsi="Calibri" w:cs="Arial"/>
          <w:noProof/>
          <w:szCs w:val="24"/>
        </w:rPr>
      </w:pPr>
      <w:r w:rsidRPr="00EF4617">
        <w:rPr>
          <w:rFonts w:ascii="Arial" w:hAnsi="Arial" w:cs="Arial"/>
          <w:sz w:val="24"/>
          <w:szCs w:val="24"/>
        </w:rPr>
        <w:fldChar w:fldCharType="begin"/>
      </w:r>
      <w:r w:rsidRPr="00EF4617">
        <w:rPr>
          <w:rFonts w:ascii="Arial" w:hAnsi="Arial" w:cs="Arial"/>
          <w:sz w:val="24"/>
          <w:szCs w:val="24"/>
        </w:rPr>
        <w:instrText xml:space="preserve"> ADDIN EN.REFLIST </w:instrText>
      </w:r>
      <w:r w:rsidRPr="00EF4617">
        <w:rPr>
          <w:rFonts w:ascii="Arial" w:hAnsi="Arial" w:cs="Arial"/>
          <w:sz w:val="24"/>
          <w:szCs w:val="24"/>
        </w:rPr>
        <w:fldChar w:fldCharType="separate"/>
      </w:r>
      <w:bookmarkStart w:id="1" w:name="_ENREF_1"/>
      <w:r w:rsidR="0062017E" w:rsidRPr="0062017E">
        <w:rPr>
          <w:rFonts w:ascii="Calibri" w:hAnsi="Calibri" w:cs="Arial"/>
          <w:noProof/>
          <w:szCs w:val="24"/>
        </w:rPr>
        <w:t>Alzheimer's Society. (2017). What is dementia? (Vol. Factsheet 400LP).</w:t>
      </w:r>
      <w:bookmarkEnd w:id="1"/>
    </w:p>
    <w:p w:rsidR="0062017E" w:rsidRDefault="0062017E" w:rsidP="0062017E">
      <w:pPr>
        <w:spacing w:after="0" w:line="240" w:lineRule="auto"/>
        <w:ind w:left="720" w:hanging="720"/>
        <w:rPr>
          <w:rFonts w:ascii="Calibri" w:hAnsi="Calibri" w:cs="Arial"/>
          <w:noProof/>
          <w:szCs w:val="24"/>
        </w:rPr>
      </w:pPr>
      <w:bookmarkStart w:id="2" w:name="_ENREF_2"/>
      <w:r w:rsidRPr="0062017E">
        <w:rPr>
          <w:rFonts w:ascii="Calibri" w:hAnsi="Calibri" w:cs="Arial"/>
          <w:noProof/>
          <w:szCs w:val="24"/>
        </w:rPr>
        <w:t xml:space="preserve">Amador, S., Goodman, C., King, D., Machen, I., Elmore, N., Mathie, E., &amp; Iliffe, S. (2014). Emergency ambulance service involvement with residential care homes in the support of older people with dementia: an observational study. </w:t>
      </w:r>
      <w:r w:rsidRPr="0062017E">
        <w:rPr>
          <w:rFonts w:ascii="Calibri" w:hAnsi="Calibri" w:cs="Arial"/>
          <w:i/>
          <w:noProof/>
          <w:szCs w:val="24"/>
        </w:rPr>
        <w:t>BMC Geriatr, 14</w:t>
      </w:r>
      <w:r w:rsidRPr="0062017E">
        <w:rPr>
          <w:rFonts w:ascii="Calibri" w:hAnsi="Calibri" w:cs="Arial"/>
          <w:noProof/>
          <w:szCs w:val="24"/>
        </w:rPr>
        <w:t>, 95-95. doi: 10.1186/1471-2318-14-95</w:t>
      </w:r>
      <w:bookmarkEnd w:id="2"/>
      <w:r w:rsidR="00503F2A">
        <w:rPr>
          <w:rFonts w:ascii="Calibri" w:hAnsi="Calibri" w:cs="Arial"/>
          <w:noProof/>
          <w:szCs w:val="24"/>
        </w:rPr>
        <w:t>.</w:t>
      </w:r>
    </w:p>
    <w:p w:rsidR="00503F2A" w:rsidRPr="0062017E" w:rsidRDefault="00503F2A" w:rsidP="0062017E">
      <w:pPr>
        <w:spacing w:after="0" w:line="240" w:lineRule="auto"/>
        <w:ind w:left="720" w:hanging="720"/>
        <w:rPr>
          <w:rFonts w:ascii="Calibri" w:hAnsi="Calibri" w:cs="Arial"/>
          <w:noProof/>
          <w:szCs w:val="24"/>
        </w:rPr>
      </w:pPr>
      <w:r>
        <w:rPr>
          <w:rFonts w:ascii="Calibri" w:hAnsi="Calibri" w:cs="Arial"/>
          <w:noProof/>
          <w:szCs w:val="24"/>
        </w:rPr>
        <w:t xml:space="preserve">British Geriatrics Society (2014) Fit for Frailty.  Available at </w:t>
      </w:r>
      <w:r w:rsidRPr="00503F2A">
        <w:rPr>
          <w:rFonts w:ascii="Calibri" w:hAnsi="Calibri" w:cs="Arial"/>
          <w:noProof/>
          <w:szCs w:val="24"/>
        </w:rPr>
        <w:t>http://www.bgs.org.uk/campaigns/fff/fff_full.pdf</w:t>
      </w:r>
      <w:r>
        <w:rPr>
          <w:rFonts w:ascii="Calibri" w:hAnsi="Calibri" w:cs="Arial"/>
          <w:noProof/>
          <w:szCs w:val="24"/>
        </w:rPr>
        <w:t xml:space="preserve">.  Last accessed 11/12/17. </w:t>
      </w:r>
    </w:p>
    <w:p w:rsidR="0062017E" w:rsidRPr="0062017E" w:rsidRDefault="0062017E" w:rsidP="0062017E">
      <w:pPr>
        <w:spacing w:after="0" w:line="240" w:lineRule="auto"/>
        <w:ind w:left="720" w:hanging="720"/>
        <w:rPr>
          <w:rFonts w:ascii="Calibri" w:hAnsi="Calibri" w:cs="Arial"/>
          <w:noProof/>
          <w:szCs w:val="24"/>
        </w:rPr>
      </w:pPr>
      <w:bookmarkStart w:id="3" w:name="_ENREF_3"/>
      <w:r w:rsidRPr="0062017E">
        <w:rPr>
          <w:rFonts w:ascii="Calibri" w:hAnsi="Calibri" w:cs="Arial"/>
          <w:noProof/>
          <w:szCs w:val="24"/>
        </w:rPr>
        <w:t xml:space="preserve">Buswell, M., Lumbard, P., Fleming, J., Ayres, D., Brayne, C., &amp; Goodman, C. (2016). Using ambulance service PCRs to understand 999 call-outs to older people with dementia. </w:t>
      </w:r>
      <w:r w:rsidRPr="0062017E">
        <w:rPr>
          <w:rFonts w:ascii="Calibri" w:hAnsi="Calibri" w:cs="Arial"/>
          <w:i/>
          <w:noProof/>
          <w:szCs w:val="24"/>
        </w:rPr>
        <w:t>Journal of Paramedic Practice, 8</w:t>
      </w:r>
      <w:r w:rsidRPr="0062017E">
        <w:rPr>
          <w:rFonts w:ascii="Calibri" w:hAnsi="Calibri" w:cs="Arial"/>
          <w:noProof/>
          <w:szCs w:val="24"/>
        </w:rPr>
        <w:t xml:space="preserve">(5), 6. </w:t>
      </w:r>
      <w:bookmarkEnd w:id="3"/>
    </w:p>
    <w:p w:rsidR="0062017E" w:rsidRPr="0062017E" w:rsidRDefault="0062017E" w:rsidP="0062017E">
      <w:pPr>
        <w:spacing w:after="0" w:line="240" w:lineRule="auto"/>
        <w:ind w:left="720" w:hanging="720"/>
        <w:rPr>
          <w:rFonts w:ascii="Calibri" w:hAnsi="Calibri" w:cs="Arial"/>
          <w:noProof/>
          <w:szCs w:val="24"/>
        </w:rPr>
      </w:pPr>
      <w:bookmarkStart w:id="4" w:name="_ENREF_4"/>
      <w:r w:rsidRPr="0062017E">
        <w:rPr>
          <w:rFonts w:ascii="Calibri" w:hAnsi="Calibri" w:cs="Arial"/>
          <w:noProof/>
          <w:szCs w:val="24"/>
        </w:rPr>
        <w:t xml:space="preserve">Buswell, M., Lumbard, P., Prothero, L., Lee, C., Martin, S., Fleming, J., &amp; Goodman, C. (2016). Unplanned, urgent and emergency care: what are the roles that EMS plays in providing for older people with dementia? An integrative review of policy, professional recommendations and evidence. </w:t>
      </w:r>
      <w:r w:rsidRPr="0062017E">
        <w:rPr>
          <w:rFonts w:ascii="Calibri" w:hAnsi="Calibri" w:cs="Arial"/>
          <w:i/>
          <w:noProof/>
          <w:szCs w:val="24"/>
        </w:rPr>
        <w:t>Emerg Med J, 33</w:t>
      </w:r>
      <w:r w:rsidRPr="0062017E">
        <w:rPr>
          <w:rFonts w:ascii="Calibri" w:hAnsi="Calibri" w:cs="Arial"/>
          <w:noProof/>
          <w:szCs w:val="24"/>
        </w:rPr>
        <w:t>(1), 61-70. doi: 10.1136/emermed-2014-203941</w:t>
      </w:r>
      <w:bookmarkEnd w:id="4"/>
    </w:p>
    <w:p w:rsidR="0062017E" w:rsidRPr="0062017E" w:rsidRDefault="0062017E" w:rsidP="0062017E">
      <w:pPr>
        <w:spacing w:after="0" w:line="240" w:lineRule="auto"/>
        <w:ind w:left="720" w:hanging="720"/>
        <w:rPr>
          <w:rFonts w:ascii="Calibri" w:hAnsi="Calibri" w:cs="Arial"/>
          <w:noProof/>
          <w:szCs w:val="24"/>
        </w:rPr>
      </w:pPr>
      <w:bookmarkStart w:id="5" w:name="_ENREF_5"/>
      <w:r w:rsidRPr="0062017E">
        <w:rPr>
          <w:rFonts w:ascii="Calibri" w:hAnsi="Calibri" w:cs="Arial"/>
          <w:noProof/>
          <w:szCs w:val="24"/>
        </w:rPr>
        <w:t xml:space="preserve">Cavalier, J. (2017). </w:t>
      </w:r>
      <w:r w:rsidRPr="0062017E">
        <w:rPr>
          <w:rFonts w:ascii="Calibri" w:hAnsi="Calibri" w:cs="Arial"/>
          <w:i/>
          <w:noProof/>
          <w:szCs w:val="24"/>
        </w:rPr>
        <w:t>Improving the care of those living with frailty in patients admitted by ambulance to the Royal Hampshire County Hospital (RHCH) through pre-alerting.</w:t>
      </w:r>
      <w:r w:rsidRPr="0062017E">
        <w:rPr>
          <w:rFonts w:ascii="Calibri" w:hAnsi="Calibri" w:cs="Arial"/>
          <w:noProof/>
          <w:szCs w:val="24"/>
        </w:rPr>
        <w:t xml:space="preserve">  </w:t>
      </w:r>
      <w:bookmarkEnd w:id="5"/>
    </w:p>
    <w:p w:rsidR="0062017E" w:rsidRPr="0062017E" w:rsidRDefault="0062017E" w:rsidP="0062017E">
      <w:pPr>
        <w:spacing w:after="0" w:line="240" w:lineRule="auto"/>
        <w:ind w:left="720" w:hanging="720"/>
        <w:rPr>
          <w:rFonts w:ascii="Calibri" w:hAnsi="Calibri" w:cs="Arial"/>
          <w:noProof/>
          <w:szCs w:val="24"/>
        </w:rPr>
      </w:pPr>
      <w:bookmarkStart w:id="6" w:name="_ENREF_6"/>
      <w:r w:rsidRPr="0062017E">
        <w:rPr>
          <w:rFonts w:ascii="Calibri" w:hAnsi="Calibri" w:cs="Arial"/>
          <w:noProof/>
          <w:szCs w:val="24"/>
        </w:rPr>
        <w:t xml:space="preserve">Fogg, C., Meredith, P., Bridges, J., Gould, G., &amp; Griffiths, P. (2017). The relationship between cognitive impairment, mortality and discharge characteristics in a large cohort of older adults with unscheduled admissions to an acute hospital: a retrospective observational study. </w:t>
      </w:r>
      <w:r w:rsidRPr="0062017E">
        <w:rPr>
          <w:rFonts w:ascii="Calibri" w:hAnsi="Calibri" w:cs="Arial"/>
          <w:i/>
          <w:noProof/>
          <w:szCs w:val="24"/>
        </w:rPr>
        <w:t>Age and Ageing, 46</w:t>
      </w:r>
      <w:r w:rsidRPr="0062017E">
        <w:rPr>
          <w:rFonts w:ascii="Calibri" w:hAnsi="Calibri" w:cs="Arial"/>
          <w:noProof/>
          <w:szCs w:val="24"/>
        </w:rPr>
        <w:t xml:space="preserve">, 6. </w:t>
      </w:r>
      <w:bookmarkEnd w:id="6"/>
    </w:p>
    <w:p w:rsidR="0062017E" w:rsidRDefault="0062017E" w:rsidP="0062017E">
      <w:pPr>
        <w:spacing w:after="0" w:line="240" w:lineRule="auto"/>
        <w:ind w:left="720" w:hanging="720"/>
        <w:rPr>
          <w:rFonts w:ascii="Calibri" w:hAnsi="Calibri" w:cs="Arial"/>
          <w:noProof/>
          <w:szCs w:val="24"/>
        </w:rPr>
      </w:pPr>
      <w:bookmarkStart w:id="7" w:name="_ENREF_7"/>
      <w:r w:rsidRPr="0062017E">
        <w:rPr>
          <w:rFonts w:ascii="Calibri" w:hAnsi="Calibri" w:cs="Arial"/>
          <w:noProof/>
          <w:szCs w:val="24"/>
        </w:rPr>
        <w:t xml:space="preserve">Harris, G. (2013). Publication of the new Paramedic Curriculum Guidance. </w:t>
      </w:r>
      <w:r w:rsidRPr="0062017E">
        <w:rPr>
          <w:rFonts w:ascii="Calibri" w:hAnsi="Calibri" w:cs="Arial"/>
          <w:i/>
          <w:noProof/>
          <w:szCs w:val="24"/>
        </w:rPr>
        <w:t>Journal of Paramedic Practice, 5</w:t>
      </w:r>
      <w:r w:rsidRPr="0062017E">
        <w:rPr>
          <w:rFonts w:ascii="Calibri" w:hAnsi="Calibri" w:cs="Arial"/>
          <w:noProof/>
          <w:szCs w:val="24"/>
        </w:rPr>
        <w:t>(12), 712-713. doi: 10.12968/jpar.2013.5.12.712</w:t>
      </w:r>
      <w:bookmarkEnd w:id="7"/>
    </w:p>
    <w:p w:rsidR="000067CA" w:rsidRPr="0062017E" w:rsidRDefault="000067CA" w:rsidP="0062017E">
      <w:pPr>
        <w:spacing w:after="0" w:line="240" w:lineRule="auto"/>
        <w:ind w:left="720" w:hanging="720"/>
        <w:rPr>
          <w:rFonts w:ascii="Calibri" w:hAnsi="Calibri" w:cs="Arial"/>
          <w:noProof/>
          <w:szCs w:val="24"/>
        </w:rPr>
      </w:pPr>
      <w:r>
        <w:rPr>
          <w:rFonts w:ascii="Calibri" w:hAnsi="Calibri" w:cs="Arial"/>
          <w:noProof/>
          <w:szCs w:val="24"/>
        </w:rPr>
        <w:t xml:space="preserve">Health and Social Care Information Centre (2015) Ambulance Services, 2014-15.  Available at </w:t>
      </w:r>
      <w:r w:rsidRPr="000067CA">
        <w:rPr>
          <w:rFonts w:ascii="Calibri" w:hAnsi="Calibri" w:cs="Arial"/>
          <w:noProof/>
          <w:szCs w:val="24"/>
        </w:rPr>
        <w:t>http://digital.nhs.uk/catalogue/PUB17722</w:t>
      </w:r>
      <w:r>
        <w:rPr>
          <w:rFonts w:ascii="Calibri" w:hAnsi="Calibri" w:cs="Arial"/>
          <w:noProof/>
          <w:szCs w:val="24"/>
        </w:rPr>
        <w:t>.  Last accessed 11/12/17.</w:t>
      </w:r>
    </w:p>
    <w:p w:rsidR="0062017E" w:rsidRPr="0062017E" w:rsidRDefault="0062017E" w:rsidP="0062017E">
      <w:pPr>
        <w:spacing w:after="0" w:line="240" w:lineRule="auto"/>
        <w:ind w:left="720" w:hanging="720"/>
        <w:rPr>
          <w:rFonts w:ascii="Calibri" w:hAnsi="Calibri" w:cs="Arial"/>
          <w:noProof/>
          <w:szCs w:val="24"/>
        </w:rPr>
      </w:pPr>
      <w:bookmarkStart w:id="8" w:name="_ENREF_8"/>
      <w:r w:rsidRPr="0062017E">
        <w:rPr>
          <w:rFonts w:ascii="Calibri" w:hAnsi="Calibri" w:cs="Arial"/>
          <w:noProof/>
          <w:szCs w:val="24"/>
        </w:rPr>
        <w:t xml:space="preserve">NHS Digital. (2017). Recorded dementia diagnoses June 2017.   Retrieved 18/07/2017, from https://digital.nhs.uk/catalogue/PUB30029 </w:t>
      </w:r>
      <w:bookmarkEnd w:id="8"/>
    </w:p>
    <w:p w:rsidR="0062017E" w:rsidRPr="0062017E" w:rsidRDefault="0062017E" w:rsidP="0062017E">
      <w:pPr>
        <w:spacing w:after="0" w:line="240" w:lineRule="auto"/>
        <w:ind w:left="720" w:hanging="720"/>
        <w:rPr>
          <w:rFonts w:ascii="Calibri" w:hAnsi="Calibri" w:cs="Arial"/>
          <w:noProof/>
          <w:szCs w:val="24"/>
        </w:rPr>
      </w:pPr>
      <w:bookmarkStart w:id="9" w:name="_ENREF_9"/>
      <w:r w:rsidRPr="0062017E">
        <w:rPr>
          <w:rFonts w:ascii="Calibri" w:hAnsi="Calibri" w:cs="Arial"/>
          <w:noProof/>
          <w:szCs w:val="24"/>
        </w:rPr>
        <w:t xml:space="preserve">Office for National Statistics. (2016). </w:t>
      </w:r>
      <w:r w:rsidRPr="0062017E">
        <w:rPr>
          <w:rFonts w:ascii="Calibri" w:hAnsi="Calibri" w:cs="Arial"/>
          <w:i/>
          <w:noProof/>
          <w:szCs w:val="24"/>
        </w:rPr>
        <w:t>Clinical Commissioning Group Mid-year Population Estimates</w:t>
      </w:r>
      <w:r w:rsidRPr="0062017E">
        <w:rPr>
          <w:rFonts w:ascii="Calibri" w:hAnsi="Calibri" w:cs="Arial"/>
          <w:noProof/>
          <w:szCs w:val="24"/>
        </w:rPr>
        <w:t xml:space="preserve">. </w:t>
      </w:r>
      <w:bookmarkEnd w:id="9"/>
    </w:p>
    <w:p w:rsidR="0062017E" w:rsidRPr="0062017E" w:rsidRDefault="0062017E" w:rsidP="0062017E">
      <w:pPr>
        <w:spacing w:after="0" w:line="240" w:lineRule="auto"/>
        <w:ind w:left="720" w:hanging="720"/>
        <w:rPr>
          <w:rFonts w:ascii="Calibri" w:hAnsi="Calibri" w:cs="Arial"/>
          <w:noProof/>
          <w:szCs w:val="24"/>
        </w:rPr>
      </w:pPr>
      <w:bookmarkStart w:id="10" w:name="_ENREF_10"/>
      <w:r w:rsidRPr="0062017E">
        <w:rPr>
          <w:rFonts w:ascii="Calibri" w:hAnsi="Calibri" w:cs="Arial"/>
          <w:noProof/>
          <w:szCs w:val="24"/>
        </w:rPr>
        <w:t xml:space="preserve">Phelan, E. A., Borson, S., Grothaus, L., Balch, S., &amp; Larson, E. B. (2012). Association of incident dementia with hospitalizations. </w:t>
      </w:r>
      <w:r w:rsidRPr="0062017E">
        <w:rPr>
          <w:rFonts w:ascii="Calibri" w:hAnsi="Calibri" w:cs="Arial"/>
          <w:i/>
          <w:noProof/>
          <w:szCs w:val="24"/>
        </w:rPr>
        <w:t>JAMA, 307</w:t>
      </w:r>
      <w:r w:rsidRPr="0062017E">
        <w:rPr>
          <w:rFonts w:ascii="Calibri" w:hAnsi="Calibri" w:cs="Arial"/>
          <w:noProof/>
          <w:szCs w:val="24"/>
        </w:rPr>
        <w:t>(2), 165-172. doi: 10.1001/jama.2011.1964</w:t>
      </w:r>
      <w:bookmarkEnd w:id="10"/>
    </w:p>
    <w:p w:rsidR="0062017E" w:rsidRPr="0062017E" w:rsidRDefault="0062017E" w:rsidP="0062017E">
      <w:pPr>
        <w:spacing w:line="240" w:lineRule="auto"/>
        <w:ind w:left="720" w:hanging="720"/>
        <w:rPr>
          <w:rFonts w:ascii="Calibri" w:hAnsi="Calibri" w:cs="Arial"/>
          <w:noProof/>
          <w:szCs w:val="24"/>
        </w:rPr>
      </w:pPr>
      <w:bookmarkStart w:id="11" w:name="_ENREF_11"/>
      <w:r w:rsidRPr="0062017E">
        <w:rPr>
          <w:rFonts w:ascii="Calibri" w:hAnsi="Calibri" w:cs="Arial"/>
          <w:noProof/>
          <w:szCs w:val="24"/>
        </w:rPr>
        <w:t xml:space="preserve">Porter, A., Wells, B., Potts, H., Morrison, Z., Whitfield, R., Harris-Mayes, R., . . . Mason, S. (2016). ERA Electronic Records in Ambulances to support the shift to out of hospital care: challenges, opportunities and workforce implications. . </w:t>
      </w:r>
      <w:r w:rsidRPr="0062017E">
        <w:rPr>
          <w:rFonts w:ascii="Calibri" w:hAnsi="Calibri" w:cs="Arial"/>
          <w:i/>
          <w:noProof/>
          <w:szCs w:val="24"/>
        </w:rPr>
        <w:t>NIHR Journals Library (Health Services and Delivery Research).</w:t>
      </w:r>
      <w:r w:rsidRPr="0062017E">
        <w:rPr>
          <w:rFonts w:ascii="Calibri" w:hAnsi="Calibri" w:cs="Arial"/>
          <w:noProof/>
          <w:szCs w:val="24"/>
        </w:rPr>
        <w:t xml:space="preserve">  Retrieved 18/07/2017, from </w:t>
      </w:r>
      <w:hyperlink r:id="rId14" w:anchor="/abstract" w:history="1">
        <w:r w:rsidRPr="0062017E">
          <w:rPr>
            <w:rStyle w:val="Hyperlink"/>
            <w:rFonts w:ascii="Calibri" w:hAnsi="Calibri" w:cs="Arial"/>
            <w:noProof/>
            <w:szCs w:val="24"/>
          </w:rPr>
          <w:t>http://www.journalslibrary.nhr.ac.uk/programmes/hsdr/144722/#/abstract</w:t>
        </w:r>
        <w:bookmarkEnd w:id="11"/>
      </w:hyperlink>
    </w:p>
    <w:p w:rsidR="0062017E" w:rsidRDefault="0062017E" w:rsidP="0062017E">
      <w:pPr>
        <w:spacing w:line="240" w:lineRule="auto"/>
        <w:rPr>
          <w:rFonts w:ascii="Calibri" w:hAnsi="Calibri" w:cs="Arial"/>
          <w:noProof/>
          <w:szCs w:val="24"/>
        </w:rPr>
      </w:pPr>
    </w:p>
    <w:p w:rsidR="00BF1818" w:rsidRPr="00EF4617" w:rsidRDefault="009C7BF6" w:rsidP="00EF4617">
      <w:pPr>
        <w:spacing w:line="240" w:lineRule="auto"/>
        <w:rPr>
          <w:rFonts w:ascii="Arial" w:hAnsi="Arial" w:cs="Arial"/>
          <w:sz w:val="24"/>
          <w:szCs w:val="24"/>
        </w:rPr>
      </w:pPr>
      <w:r w:rsidRPr="00EF4617">
        <w:rPr>
          <w:rFonts w:ascii="Arial" w:hAnsi="Arial" w:cs="Arial"/>
          <w:sz w:val="24"/>
          <w:szCs w:val="24"/>
        </w:rPr>
        <w:fldChar w:fldCharType="end"/>
      </w:r>
    </w:p>
    <w:p w:rsidR="00993FEF" w:rsidRPr="00025C84" w:rsidRDefault="00993FEF" w:rsidP="00EF4617">
      <w:pPr>
        <w:spacing w:line="240" w:lineRule="auto"/>
        <w:rPr>
          <w:rFonts w:ascii="Arial" w:hAnsi="Arial" w:cs="Arial"/>
          <w:sz w:val="24"/>
          <w:szCs w:val="24"/>
        </w:rPr>
      </w:pPr>
    </w:p>
    <w:sectPr w:rsidR="00993FEF" w:rsidRPr="00025C84" w:rsidSect="00773E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12A" w:rsidRDefault="0024712A" w:rsidP="006F49D4">
      <w:pPr>
        <w:spacing w:after="0" w:line="240" w:lineRule="auto"/>
      </w:pPr>
      <w:r>
        <w:separator/>
      </w:r>
    </w:p>
  </w:endnote>
  <w:endnote w:type="continuationSeparator" w:id="0">
    <w:p w:rsidR="0024712A" w:rsidRDefault="0024712A" w:rsidP="006F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12A" w:rsidRDefault="0024712A" w:rsidP="006F49D4">
      <w:pPr>
        <w:spacing w:after="0" w:line="240" w:lineRule="auto"/>
      </w:pPr>
      <w:r>
        <w:separator/>
      </w:r>
    </w:p>
  </w:footnote>
  <w:footnote w:type="continuationSeparator" w:id="0">
    <w:p w:rsidR="0024712A" w:rsidRDefault="0024712A" w:rsidP="006F4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ECD"/>
    <w:multiLevelType w:val="hybridMultilevel"/>
    <w:tmpl w:val="E56CFB5C"/>
    <w:lvl w:ilvl="0" w:tplc="55CA96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D0601"/>
    <w:multiLevelType w:val="hybridMultilevel"/>
    <w:tmpl w:val="0690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37FCA"/>
    <w:multiLevelType w:val="hybridMultilevel"/>
    <w:tmpl w:val="3C1C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52B10"/>
    <w:multiLevelType w:val="hybridMultilevel"/>
    <w:tmpl w:val="9D4624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47BDD"/>
    <w:multiLevelType w:val="hybridMultilevel"/>
    <w:tmpl w:val="A87C0A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3293E"/>
    <w:multiLevelType w:val="hybridMultilevel"/>
    <w:tmpl w:val="B27E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3532E"/>
    <w:multiLevelType w:val="hybridMultilevel"/>
    <w:tmpl w:val="9228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9255E"/>
    <w:multiLevelType w:val="hybridMultilevel"/>
    <w:tmpl w:val="71E8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E3B66"/>
    <w:multiLevelType w:val="hybridMultilevel"/>
    <w:tmpl w:val="FA1A4F5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8C7668"/>
    <w:multiLevelType w:val="hybridMultilevel"/>
    <w:tmpl w:val="65721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21C72"/>
    <w:multiLevelType w:val="hybridMultilevel"/>
    <w:tmpl w:val="F6F8538C"/>
    <w:lvl w:ilvl="0" w:tplc="AA680CEC">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56C2B"/>
    <w:multiLevelType w:val="hybridMultilevel"/>
    <w:tmpl w:val="9CC6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73201"/>
    <w:multiLevelType w:val="hybridMultilevel"/>
    <w:tmpl w:val="BA04C492"/>
    <w:lvl w:ilvl="0" w:tplc="080E5D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E7F1A"/>
    <w:multiLevelType w:val="hybridMultilevel"/>
    <w:tmpl w:val="380CADA0"/>
    <w:lvl w:ilvl="0" w:tplc="34700522">
      <w:start w:val="1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5"/>
  </w:num>
  <w:num w:numId="5">
    <w:abstractNumId w:val="7"/>
  </w:num>
  <w:num w:numId="6">
    <w:abstractNumId w:val="9"/>
  </w:num>
  <w:num w:numId="7">
    <w:abstractNumId w:val="3"/>
  </w:num>
  <w:num w:numId="8">
    <w:abstractNumId w:val="8"/>
  </w:num>
  <w:num w:numId="9">
    <w:abstractNumId w:val="12"/>
  </w:num>
  <w:num w:numId="10">
    <w:abstractNumId w:val="11"/>
  </w:num>
  <w:num w:numId="11">
    <w:abstractNumId w:val="0"/>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zpzrevtzfzvfeed0d7pxpeer5zaxet0zrpv&quot;&gt;My EndNote Library&lt;record-ids&gt;&lt;item&gt;267&lt;/item&gt;&lt;item&gt;314&lt;/item&gt;&lt;item&gt;355&lt;/item&gt;&lt;item&gt;625&lt;/item&gt;&lt;item&gt;1544&lt;/item&gt;&lt;item&gt;2144&lt;/item&gt;&lt;item&gt;2145&lt;/item&gt;&lt;item&gt;2147&lt;/item&gt;&lt;item&gt;2153&lt;/item&gt;&lt;item&gt;2155&lt;/item&gt;&lt;item&gt;2166&lt;/item&gt;&lt;/record-ids&gt;&lt;/item&gt;&lt;/Libraries&gt;"/>
  </w:docVars>
  <w:rsids>
    <w:rsidRoot w:val="00F26BC3"/>
    <w:rsid w:val="0000419E"/>
    <w:rsid w:val="00004CA7"/>
    <w:rsid w:val="000067CA"/>
    <w:rsid w:val="00010923"/>
    <w:rsid w:val="00025C84"/>
    <w:rsid w:val="00025E91"/>
    <w:rsid w:val="00033536"/>
    <w:rsid w:val="00044B64"/>
    <w:rsid w:val="00050E16"/>
    <w:rsid w:val="00051F3B"/>
    <w:rsid w:val="00055104"/>
    <w:rsid w:val="000555F9"/>
    <w:rsid w:val="0006256B"/>
    <w:rsid w:val="00065ED6"/>
    <w:rsid w:val="0007730C"/>
    <w:rsid w:val="000775BF"/>
    <w:rsid w:val="0009244F"/>
    <w:rsid w:val="00094787"/>
    <w:rsid w:val="000A2DB8"/>
    <w:rsid w:val="000B4285"/>
    <w:rsid w:val="000D1EF8"/>
    <w:rsid w:val="000D25E1"/>
    <w:rsid w:val="000D42CC"/>
    <w:rsid w:val="000D6F34"/>
    <w:rsid w:val="000E68ED"/>
    <w:rsid w:val="000E6E21"/>
    <w:rsid w:val="000F6BD1"/>
    <w:rsid w:val="00105A2D"/>
    <w:rsid w:val="00111B43"/>
    <w:rsid w:val="00112C70"/>
    <w:rsid w:val="001133CC"/>
    <w:rsid w:val="00117D11"/>
    <w:rsid w:val="00123CC3"/>
    <w:rsid w:val="00124E83"/>
    <w:rsid w:val="00126B22"/>
    <w:rsid w:val="00130509"/>
    <w:rsid w:val="001702FD"/>
    <w:rsid w:val="00173605"/>
    <w:rsid w:val="00184D5B"/>
    <w:rsid w:val="00187D5B"/>
    <w:rsid w:val="001A1218"/>
    <w:rsid w:val="001A5361"/>
    <w:rsid w:val="001A7786"/>
    <w:rsid w:val="001C2CCF"/>
    <w:rsid w:val="001C6C6B"/>
    <w:rsid w:val="001D4BB5"/>
    <w:rsid w:val="001E5340"/>
    <w:rsid w:val="001E643D"/>
    <w:rsid w:val="001F0943"/>
    <w:rsid w:val="00203241"/>
    <w:rsid w:val="00214993"/>
    <w:rsid w:val="00215A41"/>
    <w:rsid w:val="00215F81"/>
    <w:rsid w:val="0022077A"/>
    <w:rsid w:val="00224946"/>
    <w:rsid w:val="00226A12"/>
    <w:rsid w:val="00227FA0"/>
    <w:rsid w:val="00232438"/>
    <w:rsid w:val="00240475"/>
    <w:rsid w:val="0024712A"/>
    <w:rsid w:val="002505B6"/>
    <w:rsid w:val="00254BB7"/>
    <w:rsid w:val="002575B3"/>
    <w:rsid w:val="00257D64"/>
    <w:rsid w:val="002624E9"/>
    <w:rsid w:val="0026456B"/>
    <w:rsid w:val="002707F3"/>
    <w:rsid w:val="002709F3"/>
    <w:rsid w:val="00272506"/>
    <w:rsid w:val="00276ACB"/>
    <w:rsid w:val="00280308"/>
    <w:rsid w:val="00280BC4"/>
    <w:rsid w:val="00282426"/>
    <w:rsid w:val="00291557"/>
    <w:rsid w:val="002A2827"/>
    <w:rsid w:val="002B2906"/>
    <w:rsid w:val="002C2113"/>
    <w:rsid w:val="002D0EC9"/>
    <w:rsid w:val="002D2C3D"/>
    <w:rsid w:val="002D2E21"/>
    <w:rsid w:val="002D7978"/>
    <w:rsid w:val="002E735B"/>
    <w:rsid w:val="002E777C"/>
    <w:rsid w:val="0030091D"/>
    <w:rsid w:val="00306B61"/>
    <w:rsid w:val="00315B36"/>
    <w:rsid w:val="00320935"/>
    <w:rsid w:val="003210BF"/>
    <w:rsid w:val="00325BF1"/>
    <w:rsid w:val="00327DBA"/>
    <w:rsid w:val="003459B7"/>
    <w:rsid w:val="0035141F"/>
    <w:rsid w:val="00363F31"/>
    <w:rsid w:val="003659D6"/>
    <w:rsid w:val="003671A4"/>
    <w:rsid w:val="00371632"/>
    <w:rsid w:val="00376BA7"/>
    <w:rsid w:val="00390140"/>
    <w:rsid w:val="003936B3"/>
    <w:rsid w:val="003A39CD"/>
    <w:rsid w:val="003B209C"/>
    <w:rsid w:val="003B239A"/>
    <w:rsid w:val="003B7FC9"/>
    <w:rsid w:val="003C6FCA"/>
    <w:rsid w:val="003E7C80"/>
    <w:rsid w:val="003F747B"/>
    <w:rsid w:val="00401C20"/>
    <w:rsid w:val="0040315A"/>
    <w:rsid w:val="00405A96"/>
    <w:rsid w:val="0041479E"/>
    <w:rsid w:val="00424733"/>
    <w:rsid w:val="00430733"/>
    <w:rsid w:val="00434BB8"/>
    <w:rsid w:val="0044670F"/>
    <w:rsid w:val="00453DE0"/>
    <w:rsid w:val="004556A3"/>
    <w:rsid w:val="0047081D"/>
    <w:rsid w:val="0048202D"/>
    <w:rsid w:val="00483801"/>
    <w:rsid w:val="00485F9A"/>
    <w:rsid w:val="004A4F4D"/>
    <w:rsid w:val="004B3301"/>
    <w:rsid w:val="004B561C"/>
    <w:rsid w:val="004C302F"/>
    <w:rsid w:val="004C4217"/>
    <w:rsid w:val="004C7F4D"/>
    <w:rsid w:val="004D5604"/>
    <w:rsid w:val="004D683B"/>
    <w:rsid w:val="004D6D4C"/>
    <w:rsid w:val="004E6AD6"/>
    <w:rsid w:val="004E716E"/>
    <w:rsid w:val="004F6CB8"/>
    <w:rsid w:val="00503F2A"/>
    <w:rsid w:val="005145C8"/>
    <w:rsid w:val="0051573A"/>
    <w:rsid w:val="00516C89"/>
    <w:rsid w:val="00521C3F"/>
    <w:rsid w:val="00525588"/>
    <w:rsid w:val="005270A9"/>
    <w:rsid w:val="00530F43"/>
    <w:rsid w:val="005322D3"/>
    <w:rsid w:val="0053522E"/>
    <w:rsid w:val="00535369"/>
    <w:rsid w:val="00541EBC"/>
    <w:rsid w:val="00544853"/>
    <w:rsid w:val="005464DC"/>
    <w:rsid w:val="005506FA"/>
    <w:rsid w:val="00550B61"/>
    <w:rsid w:val="00553178"/>
    <w:rsid w:val="00554CAB"/>
    <w:rsid w:val="00561EF9"/>
    <w:rsid w:val="0056794C"/>
    <w:rsid w:val="0058336F"/>
    <w:rsid w:val="00585FAD"/>
    <w:rsid w:val="00587933"/>
    <w:rsid w:val="005A3735"/>
    <w:rsid w:val="005B04B5"/>
    <w:rsid w:val="005C2A00"/>
    <w:rsid w:val="005C45D6"/>
    <w:rsid w:val="005D1081"/>
    <w:rsid w:val="005D196B"/>
    <w:rsid w:val="005D61D3"/>
    <w:rsid w:val="005E3EB3"/>
    <w:rsid w:val="005F32D4"/>
    <w:rsid w:val="005F7447"/>
    <w:rsid w:val="00603D9E"/>
    <w:rsid w:val="0060624A"/>
    <w:rsid w:val="00610104"/>
    <w:rsid w:val="0062017E"/>
    <w:rsid w:val="00634515"/>
    <w:rsid w:val="0063488C"/>
    <w:rsid w:val="00637745"/>
    <w:rsid w:val="00661417"/>
    <w:rsid w:val="00664E02"/>
    <w:rsid w:val="00667E5E"/>
    <w:rsid w:val="006722A1"/>
    <w:rsid w:val="00672CFE"/>
    <w:rsid w:val="006731FE"/>
    <w:rsid w:val="006738FA"/>
    <w:rsid w:val="00673AD5"/>
    <w:rsid w:val="006754A9"/>
    <w:rsid w:val="0068321E"/>
    <w:rsid w:val="00695157"/>
    <w:rsid w:val="00695500"/>
    <w:rsid w:val="006D4C73"/>
    <w:rsid w:val="006D5CAD"/>
    <w:rsid w:val="006E5782"/>
    <w:rsid w:val="006F467D"/>
    <w:rsid w:val="006F49D4"/>
    <w:rsid w:val="00700E76"/>
    <w:rsid w:val="007106D5"/>
    <w:rsid w:val="00714B44"/>
    <w:rsid w:val="007275EA"/>
    <w:rsid w:val="007308E0"/>
    <w:rsid w:val="007522C4"/>
    <w:rsid w:val="00763895"/>
    <w:rsid w:val="00764187"/>
    <w:rsid w:val="0076506C"/>
    <w:rsid w:val="00773EEC"/>
    <w:rsid w:val="00777A17"/>
    <w:rsid w:val="0078082C"/>
    <w:rsid w:val="007A2AED"/>
    <w:rsid w:val="007A6302"/>
    <w:rsid w:val="007A79A8"/>
    <w:rsid w:val="007B2EC4"/>
    <w:rsid w:val="007C3784"/>
    <w:rsid w:val="007E4A38"/>
    <w:rsid w:val="007F606C"/>
    <w:rsid w:val="007F779C"/>
    <w:rsid w:val="00801FE8"/>
    <w:rsid w:val="00820DDE"/>
    <w:rsid w:val="0082587A"/>
    <w:rsid w:val="008300A5"/>
    <w:rsid w:val="008319A9"/>
    <w:rsid w:val="008464DD"/>
    <w:rsid w:val="00857D18"/>
    <w:rsid w:val="00863FDF"/>
    <w:rsid w:val="00873E3E"/>
    <w:rsid w:val="00874913"/>
    <w:rsid w:val="00882F5C"/>
    <w:rsid w:val="008841BF"/>
    <w:rsid w:val="008872DC"/>
    <w:rsid w:val="0088735B"/>
    <w:rsid w:val="00890754"/>
    <w:rsid w:val="00891494"/>
    <w:rsid w:val="00895DE7"/>
    <w:rsid w:val="00897C5A"/>
    <w:rsid w:val="008A2E8B"/>
    <w:rsid w:val="008A455E"/>
    <w:rsid w:val="008C0F96"/>
    <w:rsid w:val="008C1591"/>
    <w:rsid w:val="008D6A3D"/>
    <w:rsid w:val="00901754"/>
    <w:rsid w:val="00905760"/>
    <w:rsid w:val="0090712A"/>
    <w:rsid w:val="0091222E"/>
    <w:rsid w:val="0091514E"/>
    <w:rsid w:val="00931535"/>
    <w:rsid w:val="0093246B"/>
    <w:rsid w:val="00941432"/>
    <w:rsid w:val="0096054A"/>
    <w:rsid w:val="009641B8"/>
    <w:rsid w:val="00966AF0"/>
    <w:rsid w:val="009916B1"/>
    <w:rsid w:val="00993FEF"/>
    <w:rsid w:val="009A0D78"/>
    <w:rsid w:val="009A7783"/>
    <w:rsid w:val="009B2AC2"/>
    <w:rsid w:val="009B4042"/>
    <w:rsid w:val="009B7656"/>
    <w:rsid w:val="009C1969"/>
    <w:rsid w:val="009C7BF6"/>
    <w:rsid w:val="009E06BC"/>
    <w:rsid w:val="009F3256"/>
    <w:rsid w:val="009F4BB6"/>
    <w:rsid w:val="009F61E6"/>
    <w:rsid w:val="009F72BA"/>
    <w:rsid w:val="009F7845"/>
    <w:rsid w:val="00A14BF7"/>
    <w:rsid w:val="00A1798B"/>
    <w:rsid w:val="00A20F34"/>
    <w:rsid w:val="00A503C6"/>
    <w:rsid w:val="00A510F1"/>
    <w:rsid w:val="00A55B78"/>
    <w:rsid w:val="00A560BA"/>
    <w:rsid w:val="00A616D2"/>
    <w:rsid w:val="00A651F0"/>
    <w:rsid w:val="00A73EFB"/>
    <w:rsid w:val="00A80326"/>
    <w:rsid w:val="00A8151F"/>
    <w:rsid w:val="00AA069A"/>
    <w:rsid w:val="00AA20F7"/>
    <w:rsid w:val="00AA71D4"/>
    <w:rsid w:val="00AB0DC2"/>
    <w:rsid w:val="00AB2C43"/>
    <w:rsid w:val="00AB3C24"/>
    <w:rsid w:val="00AC0122"/>
    <w:rsid w:val="00AC78AF"/>
    <w:rsid w:val="00AC7959"/>
    <w:rsid w:val="00AD2AA8"/>
    <w:rsid w:val="00AE47C6"/>
    <w:rsid w:val="00AE7691"/>
    <w:rsid w:val="00AF6B03"/>
    <w:rsid w:val="00B04E09"/>
    <w:rsid w:val="00B17509"/>
    <w:rsid w:val="00B21A9D"/>
    <w:rsid w:val="00B23CC2"/>
    <w:rsid w:val="00B248CB"/>
    <w:rsid w:val="00B254DF"/>
    <w:rsid w:val="00B339A8"/>
    <w:rsid w:val="00B453D4"/>
    <w:rsid w:val="00B47DF5"/>
    <w:rsid w:val="00B50078"/>
    <w:rsid w:val="00B55C9B"/>
    <w:rsid w:val="00B62A15"/>
    <w:rsid w:val="00B71328"/>
    <w:rsid w:val="00B81A2D"/>
    <w:rsid w:val="00B90E4A"/>
    <w:rsid w:val="00B912CD"/>
    <w:rsid w:val="00B92D57"/>
    <w:rsid w:val="00BA37A6"/>
    <w:rsid w:val="00BB245D"/>
    <w:rsid w:val="00BE45E8"/>
    <w:rsid w:val="00BE4FA3"/>
    <w:rsid w:val="00BF1818"/>
    <w:rsid w:val="00C01795"/>
    <w:rsid w:val="00C0612E"/>
    <w:rsid w:val="00C20C18"/>
    <w:rsid w:val="00C2391C"/>
    <w:rsid w:val="00C25996"/>
    <w:rsid w:val="00C43D91"/>
    <w:rsid w:val="00C65871"/>
    <w:rsid w:val="00C67C67"/>
    <w:rsid w:val="00C700EC"/>
    <w:rsid w:val="00C73996"/>
    <w:rsid w:val="00C73BC2"/>
    <w:rsid w:val="00C80E11"/>
    <w:rsid w:val="00C85608"/>
    <w:rsid w:val="00C95DCF"/>
    <w:rsid w:val="00CA7C10"/>
    <w:rsid w:val="00CB233D"/>
    <w:rsid w:val="00CC1966"/>
    <w:rsid w:val="00CD1E54"/>
    <w:rsid w:val="00CD3209"/>
    <w:rsid w:val="00CD47C9"/>
    <w:rsid w:val="00CE4DAB"/>
    <w:rsid w:val="00CF3257"/>
    <w:rsid w:val="00CF71B7"/>
    <w:rsid w:val="00D046A8"/>
    <w:rsid w:val="00D07469"/>
    <w:rsid w:val="00D10BA5"/>
    <w:rsid w:val="00D116FA"/>
    <w:rsid w:val="00D149E8"/>
    <w:rsid w:val="00D15E2E"/>
    <w:rsid w:val="00D20E04"/>
    <w:rsid w:val="00D2406E"/>
    <w:rsid w:val="00D27C42"/>
    <w:rsid w:val="00D32091"/>
    <w:rsid w:val="00D365C3"/>
    <w:rsid w:val="00D37E52"/>
    <w:rsid w:val="00D5697F"/>
    <w:rsid w:val="00D644C0"/>
    <w:rsid w:val="00D64E77"/>
    <w:rsid w:val="00D675D9"/>
    <w:rsid w:val="00D73503"/>
    <w:rsid w:val="00D86AF9"/>
    <w:rsid w:val="00DA0931"/>
    <w:rsid w:val="00DA3515"/>
    <w:rsid w:val="00DA7BF3"/>
    <w:rsid w:val="00DD2191"/>
    <w:rsid w:val="00DE3301"/>
    <w:rsid w:val="00DF1399"/>
    <w:rsid w:val="00DF7C74"/>
    <w:rsid w:val="00E07CEA"/>
    <w:rsid w:val="00E17DEA"/>
    <w:rsid w:val="00E217A0"/>
    <w:rsid w:val="00E2370B"/>
    <w:rsid w:val="00E24C79"/>
    <w:rsid w:val="00E316BE"/>
    <w:rsid w:val="00E40FC3"/>
    <w:rsid w:val="00E4595E"/>
    <w:rsid w:val="00E471AB"/>
    <w:rsid w:val="00E4794C"/>
    <w:rsid w:val="00E529FB"/>
    <w:rsid w:val="00E569D6"/>
    <w:rsid w:val="00E6602F"/>
    <w:rsid w:val="00E66D2A"/>
    <w:rsid w:val="00E95DD5"/>
    <w:rsid w:val="00EB2D27"/>
    <w:rsid w:val="00EB374A"/>
    <w:rsid w:val="00EC2F7C"/>
    <w:rsid w:val="00EC4BC2"/>
    <w:rsid w:val="00EC5979"/>
    <w:rsid w:val="00ED3E02"/>
    <w:rsid w:val="00EF4617"/>
    <w:rsid w:val="00EF473B"/>
    <w:rsid w:val="00F06FF8"/>
    <w:rsid w:val="00F11CAB"/>
    <w:rsid w:val="00F147FA"/>
    <w:rsid w:val="00F26BC3"/>
    <w:rsid w:val="00F40499"/>
    <w:rsid w:val="00F43B7C"/>
    <w:rsid w:val="00F50CA3"/>
    <w:rsid w:val="00F721D4"/>
    <w:rsid w:val="00F737D7"/>
    <w:rsid w:val="00F773A5"/>
    <w:rsid w:val="00F807CD"/>
    <w:rsid w:val="00F838F6"/>
    <w:rsid w:val="00F839C0"/>
    <w:rsid w:val="00F90BD5"/>
    <w:rsid w:val="00FA6D91"/>
    <w:rsid w:val="00FA75DE"/>
    <w:rsid w:val="00FC0A13"/>
    <w:rsid w:val="00FC0B92"/>
    <w:rsid w:val="00FC2065"/>
    <w:rsid w:val="00FC5881"/>
    <w:rsid w:val="00FC5F9E"/>
    <w:rsid w:val="00FC6641"/>
    <w:rsid w:val="00FC68CE"/>
    <w:rsid w:val="00FD041D"/>
    <w:rsid w:val="00FD1F0B"/>
    <w:rsid w:val="00FE241B"/>
    <w:rsid w:val="00FF04F4"/>
    <w:rsid w:val="00FF6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DF01C7-50DD-429A-83DE-6C37C8C9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88C"/>
    <w:pPr>
      <w:ind w:left="720"/>
      <w:contextualSpacing/>
    </w:pPr>
  </w:style>
  <w:style w:type="character" w:styleId="CommentReference">
    <w:name w:val="annotation reference"/>
    <w:basedOn w:val="DefaultParagraphFont"/>
    <w:uiPriority w:val="99"/>
    <w:semiHidden/>
    <w:unhideWhenUsed/>
    <w:rsid w:val="005D1081"/>
    <w:rPr>
      <w:sz w:val="16"/>
      <w:szCs w:val="16"/>
    </w:rPr>
  </w:style>
  <w:style w:type="paragraph" w:styleId="CommentText">
    <w:name w:val="annotation text"/>
    <w:basedOn w:val="Normal"/>
    <w:link w:val="CommentTextChar"/>
    <w:uiPriority w:val="99"/>
    <w:semiHidden/>
    <w:unhideWhenUsed/>
    <w:rsid w:val="005D1081"/>
    <w:pPr>
      <w:spacing w:line="240" w:lineRule="auto"/>
    </w:pPr>
    <w:rPr>
      <w:sz w:val="20"/>
      <w:szCs w:val="20"/>
    </w:rPr>
  </w:style>
  <w:style w:type="character" w:customStyle="1" w:styleId="CommentTextChar">
    <w:name w:val="Comment Text Char"/>
    <w:basedOn w:val="DefaultParagraphFont"/>
    <w:link w:val="CommentText"/>
    <w:uiPriority w:val="99"/>
    <w:semiHidden/>
    <w:rsid w:val="005D1081"/>
    <w:rPr>
      <w:sz w:val="20"/>
      <w:szCs w:val="20"/>
    </w:rPr>
  </w:style>
  <w:style w:type="paragraph" w:styleId="CommentSubject">
    <w:name w:val="annotation subject"/>
    <w:basedOn w:val="CommentText"/>
    <w:next w:val="CommentText"/>
    <w:link w:val="CommentSubjectChar"/>
    <w:uiPriority w:val="99"/>
    <w:semiHidden/>
    <w:unhideWhenUsed/>
    <w:rsid w:val="005D1081"/>
    <w:rPr>
      <w:b/>
      <w:bCs/>
    </w:rPr>
  </w:style>
  <w:style w:type="character" w:customStyle="1" w:styleId="CommentSubjectChar">
    <w:name w:val="Comment Subject Char"/>
    <w:basedOn w:val="CommentTextChar"/>
    <w:link w:val="CommentSubject"/>
    <w:uiPriority w:val="99"/>
    <w:semiHidden/>
    <w:rsid w:val="005D1081"/>
    <w:rPr>
      <w:b/>
      <w:bCs/>
      <w:sz w:val="20"/>
      <w:szCs w:val="20"/>
    </w:rPr>
  </w:style>
  <w:style w:type="paragraph" w:styleId="BalloonText">
    <w:name w:val="Balloon Text"/>
    <w:basedOn w:val="Normal"/>
    <w:link w:val="BalloonTextChar"/>
    <w:uiPriority w:val="99"/>
    <w:semiHidden/>
    <w:unhideWhenUsed/>
    <w:rsid w:val="005D1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081"/>
    <w:rPr>
      <w:rFonts w:ascii="Tahoma" w:hAnsi="Tahoma" w:cs="Tahoma"/>
      <w:sz w:val="16"/>
      <w:szCs w:val="16"/>
    </w:rPr>
  </w:style>
  <w:style w:type="paragraph" w:styleId="Header">
    <w:name w:val="header"/>
    <w:basedOn w:val="Normal"/>
    <w:link w:val="HeaderChar"/>
    <w:uiPriority w:val="99"/>
    <w:unhideWhenUsed/>
    <w:rsid w:val="006F4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D4"/>
  </w:style>
  <w:style w:type="paragraph" w:styleId="Footer">
    <w:name w:val="footer"/>
    <w:basedOn w:val="Normal"/>
    <w:link w:val="FooterChar"/>
    <w:uiPriority w:val="99"/>
    <w:unhideWhenUsed/>
    <w:rsid w:val="006F4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D4"/>
  </w:style>
  <w:style w:type="character" w:styleId="Hyperlink">
    <w:name w:val="Hyperlink"/>
    <w:basedOn w:val="DefaultParagraphFont"/>
    <w:uiPriority w:val="99"/>
    <w:unhideWhenUsed/>
    <w:rsid w:val="009C7BF6"/>
    <w:rPr>
      <w:color w:val="0000FF" w:themeColor="hyperlink"/>
      <w:u w:val="single"/>
    </w:rPr>
  </w:style>
  <w:style w:type="table" w:styleId="TableGrid">
    <w:name w:val="Table Grid"/>
    <w:basedOn w:val="TableNormal"/>
    <w:uiPriority w:val="59"/>
    <w:rsid w:val="004D6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0122"/>
    <w:rPr>
      <w:color w:val="800080" w:themeColor="followedHyperlink"/>
      <w:u w:val="single"/>
    </w:rPr>
  </w:style>
  <w:style w:type="paragraph" w:styleId="NoSpacing">
    <w:name w:val="No Spacing"/>
    <w:uiPriority w:val="1"/>
    <w:qFormat/>
    <w:rsid w:val="00DE3301"/>
    <w:pPr>
      <w:spacing w:after="0" w:line="240" w:lineRule="auto"/>
    </w:pPr>
  </w:style>
  <w:style w:type="character" w:customStyle="1" w:styleId="st">
    <w:name w:val="st"/>
    <w:basedOn w:val="DefaultParagraphFont"/>
    <w:rsid w:val="00FF04F4"/>
  </w:style>
  <w:style w:type="character" w:styleId="Emphasis">
    <w:name w:val="Emphasis"/>
    <w:basedOn w:val="DefaultParagraphFont"/>
    <w:uiPriority w:val="20"/>
    <w:qFormat/>
    <w:rsid w:val="00FF04F4"/>
    <w:rPr>
      <w:i/>
      <w:iCs/>
    </w:rPr>
  </w:style>
  <w:style w:type="character" w:styleId="HTMLCite">
    <w:name w:val="HTML Cite"/>
    <w:basedOn w:val="DefaultParagraphFont"/>
    <w:uiPriority w:val="99"/>
    <w:semiHidden/>
    <w:unhideWhenUsed/>
    <w:rsid w:val="00FF04F4"/>
    <w:rPr>
      <w:i/>
      <w:iCs/>
    </w:rPr>
  </w:style>
  <w:style w:type="character" w:customStyle="1" w:styleId="xbe">
    <w:name w:val="_xbe"/>
    <w:basedOn w:val="DefaultParagraphFont"/>
    <w:rsid w:val="00FF04F4"/>
  </w:style>
  <w:style w:type="character" w:customStyle="1" w:styleId="m621762465428007346orcid-id">
    <w:name w:val="m_621762465428007346orcid-id"/>
    <w:basedOn w:val="DefaultParagraphFont"/>
    <w:rsid w:val="0025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9912">
      <w:bodyDiv w:val="1"/>
      <w:marLeft w:val="0"/>
      <w:marRight w:val="0"/>
      <w:marTop w:val="0"/>
      <w:marBottom w:val="0"/>
      <w:divBdr>
        <w:top w:val="none" w:sz="0" w:space="0" w:color="auto"/>
        <w:left w:val="none" w:sz="0" w:space="0" w:color="auto"/>
        <w:bottom w:val="none" w:sz="0" w:space="0" w:color="auto"/>
        <w:right w:val="none" w:sz="0" w:space="0" w:color="auto"/>
      </w:divBdr>
    </w:div>
    <w:div w:id="203908730">
      <w:bodyDiv w:val="1"/>
      <w:marLeft w:val="0"/>
      <w:marRight w:val="0"/>
      <w:marTop w:val="0"/>
      <w:marBottom w:val="0"/>
      <w:divBdr>
        <w:top w:val="none" w:sz="0" w:space="0" w:color="auto"/>
        <w:left w:val="none" w:sz="0" w:space="0" w:color="auto"/>
        <w:bottom w:val="none" w:sz="0" w:space="0" w:color="auto"/>
        <w:right w:val="none" w:sz="0" w:space="0" w:color="auto"/>
      </w:divBdr>
    </w:div>
    <w:div w:id="261767855">
      <w:bodyDiv w:val="1"/>
      <w:marLeft w:val="0"/>
      <w:marRight w:val="0"/>
      <w:marTop w:val="0"/>
      <w:marBottom w:val="0"/>
      <w:divBdr>
        <w:top w:val="none" w:sz="0" w:space="0" w:color="auto"/>
        <w:left w:val="none" w:sz="0" w:space="0" w:color="auto"/>
        <w:bottom w:val="none" w:sz="0" w:space="0" w:color="auto"/>
        <w:right w:val="none" w:sz="0" w:space="0" w:color="auto"/>
      </w:divBdr>
    </w:div>
    <w:div w:id="402338599">
      <w:bodyDiv w:val="1"/>
      <w:marLeft w:val="0"/>
      <w:marRight w:val="0"/>
      <w:marTop w:val="0"/>
      <w:marBottom w:val="0"/>
      <w:divBdr>
        <w:top w:val="none" w:sz="0" w:space="0" w:color="auto"/>
        <w:left w:val="none" w:sz="0" w:space="0" w:color="auto"/>
        <w:bottom w:val="none" w:sz="0" w:space="0" w:color="auto"/>
        <w:right w:val="none" w:sz="0" w:space="0" w:color="auto"/>
      </w:divBdr>
    </w:div>
    <w:div w:id="487747275">
      <w:bodyDiv w:val="1"/>
      <w:marLeft w:val="0"/>
      <w:marRight w:val="0"/>
      <w:marTop w:val="0"/>
      <w:marBottom w:val="0"/>
      <w:divBdr>
        <w:top w:val="none" w:sz="0" w:space="0" w:color="auto"/>
        <w:left w:val="none" w:sz="0" w:space="0" w:color="auto"/>
        <w:bottom w:val="none" w:sz="0" w:space="0" w:color="auto"/>
        <w:right w:val="none" w:sz="0" w:space="0" w:color="auto"/>
      </w:divBdr>
    </w:div>
    <w:div w:id="571744222">
      <w:bodyDiv w:val="1"/>
      <w:marLeft w:val="0"/>
      <w:marRight w:val="0"/>
      <w:marTop w:val="0"/>
      <w:marBottom w:val="0"/>
      <w:divBdr>
        <w:top w:val="none" w:sz="0" w:space="0" w:color="auto"/>
        <w:left w:val="none" w:sz="0" w:space="0" w:color="auto"/>
        <w:bottom w:val="none" w:sz="0" w:space="0" w:color="auto"/>
        <w:right w:val="none" w:sz="0" w:space="0" w:color="auto"/>
      </w:divBdr>
    </w:div>
    <w:div w:id="607813108">
      <w:bodyDiv w:val="1"/>
      <w:marLeft w:val="0"/>
      <w:marRight w:val="0"/>
      <w:marTop w:val="0"/>
      <w:marBottom w:val="0"/>
      <w:divBdr>
        <w:top w:val="none" w:sz="0" w:space="0" w:color="auto"/>
        <w:left w:val="none" w:sz="0" w:space="0" w:color="auto"/>
        <w:bottom w:val="none" w:sz="0" w:space="0" w:color="auto"/>
        <w:right w:val="none" w:sz="0" w:space="0" w:color="auto"/>
      </w:divBdr>
    </w:div>
    <w:div w:id="680201614">
      <w:bodyDiv w:val="1"/>
      <w:marLeft w:val="0"/>
      <w:marRight w:val="0"/>
      <w:marTop w:val="0"/>
      <w:marBottom w:val="0"/>
      <w:divBdr>
        <w:top w:val="none" w:sz="0" w:space="0" w:color="auto"/>
        <w:left w:val="none" w:sz="0" w:space="0" w:color="auto"/>
        <w:bottom w:val="none" w:sz="0" w:space="0" w:color="auto"/>
        <w:right w:val="none" w:sz="0" w:space="0" w:color="auto"/>
      </w:divBdr>
    </w:div>
    <w:div w:id="889221442">
      <w:bodyDiv w:val="1"/>
      <w:marLeft w:val="0"/>
      <w:marRight w:val="0"/>
      <w:marTop w:val="0"/>
      <w:marBottom w:val="0"/>
      <w:divBdr>
        <w:top w:val="none" w:sz="0" w:space="0" w:color="auto"/>
        <w:left w:val="none" w:sz="0" w:space="0" w:color="auto"/>
        <w:bottom w:val="none" w:sz="0" w:space="0" w:color="auto"/>
        <w:right w:val="none" w:sz="0" w:space="0" w:color="auto"/>
      </w:divBdr>
    </w:div>
    <w:div w:id="1299411383">
      <w:bodyDiv w:val="1"/>
      <w:marLeft w:val="0"/>
      <w:marRight w:val="0"/>
      <w:marTop w:val="0"/>
      <w:marBottom w:val="0"/>
      <w:divBdr>
        <w:top w:val="none" w:sz="0" w:space="0" w:color="auto"/>
        <w:left w:val="none" w:sz="0" w:space="0" w:color="auto"/>
        <w:bottom w:val="none" w:sz="0" w:space="0" w:color="auto"/>
        <w:right w:val="none" w:sz="0" w:space="0" w:color="auto"/>
      </w:divBdr>
    </w:div>
    <w:div w:id="1441681920">
      <w:bodyDiv w:val="1"/>
      <w:marLeft w:val="0"/>
      <w:marRight w:val="0"/>
      <w:marTop w:val="0"/>
      <w:marBottom w:val="0"/>
      <w:divBdr>
        <w:top w:val="none" w:sz="0" w:space="0" w:color="auto"/>
        <w:left w:val="none" w:sz="0" w:space="0" w:color="auto"/>
        <w:bottom w:val="none" w:sz="0" w:space="0" w:color="auto"/>
        <w:right w:val="none" w:sz="0" w:space="0" w:color="auto"/>
      </w:divBdr>
    </w:div>
    <w:div w:id="1529295515">
      <w:bodyDiv w:val="1"/>
      <w:marLeft w:val="0"/>
      <w:marRight w:val="0"/>
      <w:marTop w:val="0"/>
      <w:marBottom w:val="0"/>
      <w:divBdr>
        <w:top w:val="none" w:sz="0" w:space="0" w:color="auto"/>
        <w:left w:val="none" w:sz="0" w:space="0" w:color="auto"/>
        <w:bottom w:val="none" w:sz="0" w:space="0" w:color="auto"/>
        <w:right w:val="none" w:sz="0" w:space="0" w:color="auto"/>
      </w:divBdr>
    </w:div>
    <w:div w:id="1888955655">
      <w:bodyDiv w:val="1"/>
      <w:marLeft w:val="0"/>
      <w:marRight w:val="0"/>
      <w:marTop w:val="0"/>
      <w:marBottom w:val="0"/>
      <w:divBdr>
        <w:top w:val="none" w:sz="0" w:space="0" w:color="auto"/>
        <w:left w:val="none" w:sz="0" w:space="0" w:color="auto"/>
        <w:bottom w:val="none" w:sz="0" w:space="0" w:color="auto"/>
        <w:right w:val="none" w:sz="0" w:space="0" w:color="auto"/>
      </w:divBdr>
    </w:div>
    <w:div w:id="1973821680">
      <w:bodyDiv w:val="1"/>
      <w:marLeft w:val="0"/>
      <w:marRight w:val="0"/>
      <w:marTop w:val="0"/>
      <w:marBottom w:val="0"/>
      <w:divBdr>
        <w:top w:val="none" w:sz="0" w:space="0" w:color="auto"/>
        <w:left w:val="none" w:sz="0" w:space="0" w:color="auto"/>
        <w:bottom w:val="none" w:sz="0" w:space="0" w:color="auto"/>
        <w:right w:val="none" w:sz="0" w:space="0" w:color="auto"/>
      </w:divBdr>
    </w:div>
    <w:div w:id="21041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pocock@scas.nhs.uk" TargetMode="External"/><Relationship Id="rId13" Type="http://schemas.openxmlformats.org/officeDocument/2006/relationships/hyperlink" Target="mailto:Carole.Fogg@por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England@scas.nhs.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ip.King@scas.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loe.Taylor-Jones@scas.nhs.uk" TargetMode="External"/><Relationship Id="rId4" Type="http://schemas.openxmlformats.org/officeDocument/2006/relationships/settings" Target="settings.xml"/><Relationship Id="rId9" Type="http://schemas.openxmlformats.org/officeDocument/2006/relationships/hyperlink" Target="mailto:Patryk.Jadzinski@port.ac.uk" TargetMode="External"/><Relationship Id="rId14" Type="http://schemas.openxmlformats.org/officeDocument/2006/relationships/hyperlink" Target="http://www.journalslibrary.nhr.ac.uk/programmes/hsdr/144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4412E-356D-4C94-8AE1-CAD1B560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7154</Words>
  <Characters>40780</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47839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Fogg</dc:creator>
  <cp:lastModifiedBy>Whalley T.</cp:lastModifiedBy>
  <cp:revision>2</cp:revision>
  <cp:lastPrinted>2017-09-06T13:17:00Z</cp:lastPrinted>
  <dcterms:created xsi:type="dcterms:W3CDTF">2020-01-30T14:27:00Z</dcterms:created>
  <dcterms:modified xsi:type="dcterms:W3CDTF">2020-01-30T14:27:00Z</dcterms:modified>
</cp:coreProperties>
</file>