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2E516" w14:textId="1E30B922" w:rsidR="005F032C" w:rsidRPr="004D45CF" w:rsidRDefault="001861A9" w:rsidP="004D45CF">
      <w:pPr>
        <w:spacing w:after="240" w:line="480" w:lineRule="auto"/>
        <w:jc w:val="center"/>
        <w:rPr>
          <w:rFonts w:ascii="Cambria" w:hAnsi="Cambria" w:cstheme="minorHAnsi"/>
          <w:b/>
          <w:sz w:val="36"/>
        </w:rPr>
      </w:pPr>
      <w:bookmarkStart w:id="0" w:name="_GoBack"/>
      <w:bookmarkEnd w:id="0"/>
      <w:r w:rsidRPr="00DA57B6">
        <w:rPr>
          <w:rFonts w:ascii="Cambria" w:hAnsi="Cambria" w:cstheme="minorHAnsi"/>
          <w:b/>
          <w:sz w:val="36"/>
        </w:rPr>
        <w:t>Longitudinal</w:t>
      </w:r>
      <w:r w:rsidR="001609DC">
        <w:rPr>
          <w:rFonts w:ascii="Cambria" w:hAnsi="Cambria" w:cstheme="minorHAnsi"/>
          <w:b/>
          <w:sz w:val="36"/>
        </w:rPr>
        <w:t xml:space="preserve"> life course</w:t>
      </w:r>
      <w:r w:rsidRPr="00DA57B6">
        <w:rPr>
          <w:rFonts w:ascii="Cambria" w:hAnsi="Cambria" w:cstheme="minorHAnsi"/>
          <w:b/>
          <w:sz w:val="36"/>
        </w:rPr>
        <w:t xml:space="preserve"> perspectives on housing inequality in young adulthood</w:t>
      </w:r>
    </w:p>
    <w:p w14:paraId="2BB2FA08" w14:textId="77777777" w:rsidR="004C26E5" w:rsidRPr="00DE611E" w:rsidRDefault="004C26E5" w:rsidP="00F53657">
      <w:pPr>
        <w:spacing w:after="0" w:line="264" w:lineRule="auto"/>
        <w:rPr>
          <w:rFonts w:ascii="Cambria" w:hAnsi="Cambria" w:cstheme="minorHAnsi"/>
          <w:sz w:val="24"/>
        </w:rPr>
      </w:pPr>
    </w:p>
    <w:p w14:paraId="2BCB3E1B" w14:textId="77777777" w:rsidR="00F53657" w:rsidRPr="00D709D3" w:rsidRDefault="005F032C" w:rsidP="008A4562">
      <w:pPr>
        <w:spacing w:after="240" w:line="480" w:lineRule="auto"/>
        <w:rPr>
          <w:rFonts w:ascii="Cambria" w:hAnsi="Cambria" w:cstheme="minorHAnsi"/>
          <w:b/>
          <w:sz w:val="28"/>
        </w:rPr>
      </w:pPr>
      <w:r w:rsidRPr="00D709D3">
        <w:rPr>
          <w:rFonts w:ascii="Cambria" w:hAnsi="Cambria" w:cstheme="minorHAnsi"/>
          <w:b/>
          <w:sz w:val="28"/>
        </w:rPr>
        <w:t>Abstract</w:t>
      </w:r>
    </w:p>
    <w:p w14:paraId="4D72F95D" w14:textId="3F068E5A" w:rsidR="00B8175A" w:rsidRPr="0089057A" w:rsidRDefault="003B49CB" w:rsidP="000D0D69">
      <w:pPr>
        <w:spacing w:line="480" w:lineRule="auto"/>
        <w:rPr>
          <w:rFonts w:ascii="Cambria" w:hAnsi="Cambria" w:cstheme="minorHAnsi"/>
        </w:rPr>
      </w:pPr>
      <w:r>
        <w:rPr>
          <w:rFonts w:ascii="Cambria" w:hAnsi="Cambria" w:cstheme="minorHAnsi"/>
        </w:rPr>
        <w:t xml:space="preserve">In many countries, there is growing public concern about the </w:t>
      </w:r>
      <w:r w:rsidR="00785439">
        <w:rPr>
          <w:rFonts w:ascii="Cambria" w:hAnsi="Cambria" w:cstheme="minorHAnsi"/>
        </w:rPr>
        <w:t xml:space="preserve">increasing </w:t>
      </w:r>
      <w:r>
        <w:rPr>
          <w:rFonts w:ascii="Cambria" w:hAnsi="Cambria" w:cstheme="minorHAnsi"/>
        </w:rPr>
        <w:t xml:space="preserve">difficulties that young </w:t>
      </w:r>
      <w:r w:rsidR="001C4175">
        <w:rPr>
          <w:rFonts w:ascii="Cambria" w:hAnsi="Cambria" w:cstheme="minorHAnsi"/>
        </w:rPr>
        <w:t>people</w:t>
      </w:r>
      <w:r>
        <w:rPr>
          <w:rFonts w:ascii="Cambria" w:hAnsi="Cambria" w:cstheme="minorHAnsi"/>
        </w:rPr>
        <w:t xml:space="preserve"> face in obtaining secure, affordable, high quality and well-located housing. Much of </w:t>
      </w:r>
      <w:r w:rsidR="005B4B5C">
        <w:rPr>
          <w:rFonts w:ascii="Cambria" w:hAnsi="Cambria" w:cstheme="minorHAnsi"/>
        </w:rPr>
        <w:t>the analysis</w:t>
      </w:r>
      <w:r w:rsidR="00195440">
        <w:rPr>
          <w:rFonts w:ascii="Cambria" w:hAnsi="Cambria" w:cstheme="minorHAnsi"/>
        </w:rPr>
        <w:t xml:space="preserve"> and discussion</w:t>
      </w:r>
      <w:r>
        <w:rPr>
          <w:rFonts w:ascii="Cambria" w:hAnsi="Cambria" w:cstheme="minorHAnsi"/>
        </w:rPr>
        <w:t xml:space="preserve"> focuses on </w:t>
      </w:r>
      <w:r w:rsidR="00785439">
        <w:rPr>
          <w:rFonts w:ascii="Cambria" w:hAnsi="Cambria" w:cstheme="minorHAnsi"/>
        </w:rPr>
        <w:t>the way</w:t>
      </w:r>
      <w:r w:rsidR="004966C2">
        <w:rPr>
          <w:rFonts w:ascii="Cambria" w:hAnsi="Cambria" w:cstheme="minorHAnsi"/>
        </w:rPr>
        <w:t>s</w:t>
      </w:r>
      <w:r w:rsidR="00785439">
        <w:rPr>
          <w:rFonts w:ascii="Cambria" w:hAnsi="Cambria" w:cstheme="minorHAnsi"/>
        </w:rPr>
        <w:t xml:space="preserve"> in which</w:t>
      </w:r>
      <w:r>
        <w:rPr>
          <w:rFonts w:ascii="Cambria" w:hAnsi="Cambria" w:cstheme="minorHAnsi"/>
        </w:rPr>
        <w:t xml:space="preserve"> </w:t>
      </w:r>
      <w:r w:rsidR="001D6230">
        <w:rPr>
          <w:rFonts w:ascii="Cambria" w:hAnsi="Cambria" w:cstheme="minorHAnsi"/>
        </w:rPr>
        <w:t xml:space="preserve">intergenerational </w:t>
      </w:r>
      <w:r>
        <w:rPr>
          <w:rFonts w:ascii="Cambria" w:hAnsi="Cambria" w:cstheme="minorHAnsi"/>
        </w:rPr>
        <w:t xml:space="preserve">housing inequalities </w:t>
      </w:r>
      <w:r w:rsidR="00785439">
        <w:rPr>
          <w:rFonts w:ascii="Cambria" w:hAnsi="Cambria" w:cstheme="minorHAnsi"/>
        </w:rPr>
        <w:t xml:space="preserve">have deepened over time as young adults’ fortunes </w:t>
      </w:r>
      <w:r w:rsidR="004E6041">
        <w:rPr>
          <w:rFonts w:ascii="Cambria" w:hAnsi="Cambria" w:cstheme="minorHAnsi"/>
        </w:rPr>
        <w:t xml:space="preserve">have </w:t>
      </w:r>
      <w:r w:rsidR="00785439">
        <w:rPr>
          <w:rFonts w:ascii="Cambria" w:hAnsi="Cambria" w:cstheme="minorHAnsi"/>
        </w:rPr>
        <w:t>deteriorate</w:t>
      </w:r>
      <w:r w:rsidR="004E6041">
        <w:rPr>
          <w:rFonts w:ascii="Cambria" w:hAnsi="Cambria" w:cstheme="minorHAnsi"/>
        </w:rPr>
        <w:t>d</w:t>
      </w:r>
      <w:r w:rsidR="00160448">
        <w:rPr>
          <w:rFonts w:ascii="Cambria" w:hAnsi="Cambria" w:cstheme="minorHAnsi"/>
        </w:rPr>
        <w:t xml:space="preserve">, most </w:t>
      </w:r>
      <w:r w:rsidR="00B64F6E">
        <w:rPr>
          <w:rFonts w:ascii="Cambria" w:hAnsi="Cambria" w:cstheme="minorHAnsi"/>
        </w:rPr>
        <w:t>obviously</w:t>
      </w:r>
      <w:r w:rsidR="00160448">
        <w:rPr>
          <w:rFonts w:ascii="Cambria" w:hAnsi="Cambria" w:cstheme="minorHAnsi"/>
        </w:rPr>
        <w:t xml:space="preserve"> through </w:t>
      </w:r>
      <w:r w:rsidR="00C2196F">
        <w:rPr>
          <w:rFonts w:ascii="Cambria" w:hAnsi="Cambria" w:cstheme="minorHAnsi"/>
        </w:rPr>
        <w:t>declining</w:t>
      </w:r>
      <w:r w:rsidR="00160448">
        <w:rPr>
          <w:rFonts w:ascii="Cambria" w:hAnsi="Cambria" w:cstheme="minorHAnsi"/>
        </w:rPr>
        <w:t xml:space="preserve"> access to homeownership</w:t>
      </w:r>
      <w:r w:rsidR="00785439">
        <w:rPr>
          <w:rFonts w:ascii="Cambria" w:hAnsi="Cambria" w:cstheme="minorHAnsi"/>
        </w:rPr>
        <w:t>.</w:t>
      </w:r>
      <w:r w:rsidR="00C0403E">
        <w:rPr>
          <w:rFonts w:ascii="Cambria" w:hAnsi="Cambria" w:cstheme="minorHAnsi"/>
        </w:rPr>
        <w:t xml:space="preserve"> In this review,</w:t>
      </w:r>
      <w:r w:rsidR="00B8175A">
        <w:rPr>
          <w:rFonts w:ascii="Cambria" w:hAnsi="Cambria" w:cstheme="minorHAnsi"/>
        </w:rPr>
        <w:t xml:space="preserve"> we showcase how </w:t>
      </w:r>
      <w:r w:rsidR="006A2248">
        <w:rPr>
          <w:rFonts w:ascii="Cambria" w:hAnsi="Cambria" w:cstheme="minorHAnsi"/>
        </w:rPr>
        <w:t xml:space="preserve">researchers are harnessing </w:t>
      </w:r>
      <w:r w:rsidR="00852A09">
        <w:rPr>
          <w:rFonts w:ascii="Cambria" w:hAnsi="Cambria" w:cstheme="minorHAnsi"/>
        </w:rPr>
        <w:t xml:space="preserve">life course theories and </w:t>
      </w:r>
      <w:r w:rsidR="003B47BB">
        <w:rPr>
          <w:rFonts w:ascii="Cambria" w:hAnsi="Cambria" w:cstheme="minorHAnsi"/>
        </w:rPr>
        <w:t xml:space="preserve">rich </w:t>
      </w:r>
      <w:r w:rsidR="006B1783">
        <w:rPr>
          <w:rFonts w:ascii="Cambria" w:hAnsi="Cambria" w:cstheme="minorHAnsi"/>
        </w:rPr>
        <w:t xml:space="preserve">longitudinal </w:t>
      </w:r>
      <w:r w:rsidR="006A2248">
        <w:rPr>
          <w:rFonts w:ascii="Cambria" w:hAnsi="Cambria" w:cstheme="minorHAnsi"/>
        </w:rPr>
        <w:t>data</w:t>
      </w:r>
      <w:r w:rsidR="00664F16">
        <w:rPr>
          <w:rFonts w:ascii="Cambria" w:hAnsi="Cambria" w:cstheme="minorHAnsi"/>
        </w:rPr>
        <w:t>sets,</w:t>
      </w:r>
      <w:r w:rsidR="006A2248">
        <w:rPr>
          <w:rFonts w:ascii="Cambria" w:hAnsi="Cambria" w:cstheme="minorHAnsi"/>
        </w:rPr>
        <w:t xml:space="preserve"> </w:t>
      </w:r>
      <w:r w:rsidR="003B47BB">
        <w:rPr>
          <w:rFonts w:ascii="Cambria" w:hAnsi="Cambria" w:cstheme="minorHAnsi"/>
        </w:rPr>
        <w:t xml:space="preserve">exploiting </w:t>
      </w:r>
      <w:r w:rsidR="006B1783">
        <w:rPr>
          <w:rFonts w:ascii="Cambria" w:hAnsi="Cambria" w:cstheme="minorHAnsi"/>
        </w:rPr>
        <w:t>longitudinal modelling techniques</w:t>
      </w:r>
      <w:r w:rsidR="00EC3989">
        <w:rPr>
          <w:rFonts w:ascii="Cambria" w:hAnsi="Cambria" w:cstheme="minorHAnsi"/>
        </w:rPr>
        <w:t>,</w:t>
      </w:r>
      <w:r w:rsidR="006B1783">
        <w:rPr>
          <w:rFonts w:ascii="Cambria" w:hAnsi="Cambria" w:cstheme="minorHAnsi"/>
        </w:rPr>
        <w:t xml:space="preserve"> and </w:t>
      </w:r>
      <w:r w:rsidR="006A2248">
        <w:rPr>
          <w:rFonts w:ascii="Cambria" w:hAnsi="Cambria" w:cstheme="minorHAnsi"/>
        </w:rPr>
        <w:t xml:space="preserve">developing </w:t>
      </w:r>
      <w:r w:rsidR="00C0403E">
        <w:rPr>
          <w:rFonts w:ascii="Cambria" w:hAnsi="Cambria" w:cstheme="minorHAnsi"/>
        </w:rPr>
        <w:t xml:space="preserve">new geographical </w:t>
      </w:r>
      <w:r w:rsidR="006B1783">
        <w:rPr>
          <w:rFonts w:ascii="Cambria" w:hAnsi="Cambria" w:cstheme="minorHAnsi"/>
        </w:rPr>
        <w:t>data linkages to en</w:t>
      </w:r>
      <w:r w:rsidR="00D74735">
        <w:rPr>
          <w:rFonts w:ascii="Cambria" w:hAnsi="Cambria" w:cstheme="minorHAnsi"/>
        </w:rPr>
        <w:t>hance</w:t>
      </w:r>
      <w:r w:rsidR="006B1783">
        <w:rPr>
          <w:rFonts w:ascii="Cambria" w:hAnsi="Cambria" w:cstheme="minorHAnsi"/>
        </w:rPr>
        <w:t xml:space="preserve"> our knowledge of </w:t>
      </w:r>
      <w:r w:rsidR="00C0403E">
        <w:rPr>
          <w:rFonts w:ascii="Cambria" w:hAnsi="Cambria" w:cstheme="minorHAnsi"/>
        </w:rPr>
        <w:t xml:space="preserve">a broader range of </w:t>
      </w:r>
      <w:r w:rsidR="006B1783">
        <w:rPr>
          <w:rFonts w:ascii="Cambria" w:hAnsi="Cambria" w:cstheme="minorHAnsi"/>
        </w:rPr>
        <w:t xml:space="preserve">housing inequalities in young adulthood. </w:t>
      </w:r>
      <w:r w:rsidR="00E01C9E">
        <w:rPr>
          <w:rFonts w:ascii="Cambria" w:hAnsi="Cambria" w:cstheme="minorHAnsi"/>
        </w:rPr>
        <w:t xml:space="preserve">We argue that incorporating these longitudinal perspectives </w:t>
      </w:r>
      <w:r w:rsidR="00E601E1">
        <w:rPr>
          <w:rFonts w:ascii="Cambria" w:hAnsi="Cambria" w:cstheme="minorHAnsi"/>
        </w:rPr>
        <w:t xml:space="preserve">more fully </w:t>
      </w:r>
      <w:r w:rsidR="00E01C9E">
        <w:rPr>
          <w:rFonts w:ascii="Cambria" w:hAnsi="Cambria" w:cstheme="minorHAnsi"/>
        </w:rPr>
        <w:t xml:space="preserve">into </w:t>
      </w:r>
      <w:r w:rsidR="009B5E2E">
        <w:rPr>
          <w:rFonts w:ascii="Cambria" w:hAnsi="Cambria" w:cstheme="minorHAnsi"/>
        </w:rPr>
        <w:t xml:space="preserve">geographical </w:t>
      </w:r>
      <w:r w:rsidR="00E01C9E">
        <w:rPr>
          <w:rFonts w:ascii="Cambria" w:hAnsi="Cambria" w:cstheme="minorHAnsi"/>
        </w:rPr>
        <w:t>research and teaching will</w:t>
      </w:r>
      <w:r w:rsidR="00D52A7A">
        <w:rPr>
          <w:rFonts w:ascii="Cambria" w:hAnsi="Cambria" w:cstheme="minorHAnsi"/>
        </w:rPr>
        <w:t xml:space="preserve"> foster</w:t>
      </w:r>
      <w:r w:rsidR="00B55BCC">
        <w:rPr>
          <w:rFonts w:ascii="Cambria" w:hAnsi="Cambria" w:cstheme="minorHAnsi"/>
        </w:rPr>
        <w:t xml:space="preserve"> a</w:t>
      </w:r>
      <w:r w:rsidR="00D74735">
        <w:rPr>
          <w:rFonts w:ascii="Cambria" w:hAnsi="Cambria" w:cstheme="minorHAnsi"/>
        </w:rPr>
        <w:t>n</w:t>
      </w:r>
      <w:r w:rsidR="00B55BCC">
        <w:rPr>
          <w:rFonts w:ascii="Cambria" w:hAnsi="Cambria" w:cstheme="minorHAnsi"/>
        </w:rPr>
        <w:t xml:space="preserve"> </w:t>
      </w:r>
      <w:r w:rsidR="00D74735">
        <w:rPr>
          <w:rFonts w:ascii="Cambria" w:hAnsi="Cambria" w:cstheme="minorHAnsi"/>
        </w:rPr>
        <w:t>en</w:t>
      </w:r>
      <w:r w:rsidR="00B55BCC">
        <w:rPr>
          <w:rFonts w:ascii="Cambria" w:hAnsi="Cambria" w:cstheme="minorHAnsi"/>
        </w:rPr>
        <w:t>rich</w:t>
      </w:r>
      <w:r w:rsidR="00D74735">
        <w:rPr>
          <w:rFonts w:ascii="Cambria" w:hAnsi="Cambria" w:cstheme="minorHAnsi"/>
        </w:rPr>
        <w:t>ed</w:t>
      </w:r>
      <w:r w:rsidR="00B55BCC">
        <w:rPr>
          <w:rFonts w:ascii="Cambria" w:hAnsi="Cambria" w:cstheme="minorHAnsi"/>
        </w:rPr>
        <w:t xml:space="preserve"> </w:t>
      </w:r>
      <w:r w:rsidR="008D7517">
        <w:rPr>
          <w:rFonts w:ascii="Cambria" w:hAnsi="Cambria" w:cstheme="minorHAnsi"/>
        </w:rPr>
        <w:t>pluralistic model</w:t>
      </w:r>
      <w:r w:rsidR="00B570CC">
        <w:rPr>
          <w:rFonts w:ascii="Cambria" w:hAnsi="Cambria" w:cstheme="minorHAnsi"/>
        </w:rPr>
        <w:t xml:space="preserve"> of</w:t>
      </w:r>
      <w:r w:rsidR="00B55BCC">
        <w:rPr>
          <w:rFonts w:ascii="Cambria" w:hAnsi="Cambria" w:cstheme="minorHAnsi"/>
        </w:rPr>
        <w:t xml:space="preserve"> quantitative human geography</w:t>
      </w:r>
      <w:r w:rsidR="00EB3E07">
        <w:rPr>
          <w:rFonts w:ascii="Cambria" w:hAnsi="Cambria" w:cstheme="minorHAnsi"/>
        </w:rPr>
        <w:t xml:space="preserve"> </w:t>
      </w:r>
      <w:r w:rsidR="00354286">
        <w:rPr>
          <w:rFonts w:ascii="Cambria" w:hAnsi="Cambria" w:cstheme="minorHAnsi"/>
        </w:rPr>
        <w:t xml:space="preserve">that is </w:t>
      </w:r>
      <w:r w:rsidR="00B55BCC">
        <w:rPr>
          <w:rFonts w:ascii="Cambria" w:hAnsi="Cambria" w:cstheme="minorHAnsi"/>
        </w:rPr>
        <w:t>characterised by</w:t>
      </w:r>
      <w:r w:rsidR="00D52A7A">
        <w:rPr>
          <w:rFonts w:ascii="Cambria" w:hAnsi="Cambria" w:cstheme="minorHAnsi"/>
        </w:rPr>
        <w:t xml:space="preserve"> collaboration</w:t>
      </w:r>
      <w:r w:rsidR="00EB3E07">
        <w:rPr>
          <w:rFonts w:ascii="Cambria" w:hAnsi="Cambria" w:cstheme="minorHAnsi"/>
        </w:rPr>
        <w:t>, critical en</w:t>
      </w:r>
      <w:r w:rsidR="00D24F10">
        <w:rPr>
          <w:rFonts w:ascii="Cambria" w:hAnsi="Cambria" w:cstheme="minorHAnsi"/>
        </w:rPr>
        <w:t>gagement with policy issues</w:t>
      </w:r>
      <w:r w:rsidR="00CD5B85">
        <w:rPr>
          <w:rFonts w:ascii="Cambria" w:hAnsi="Cambria" w:cstheme="minorHAnsi"/>
        </w:rPr>
        <w:t>,</w:t>
      </w:r>
      <w:r w:rsidR="00323C70">
        <w:rPr>
          <w:rFonts w:ascii="Cambria" w:hAnsi="Cambria" w:cstheme="minorHAnsi"/>
        </w:rPr>
        <w:t xml:space="preserve"> and</w:t>
      </w:r>
      <w:r w:rsidR="00C808BC">
        <w:rPr>
          <w:rFonts w:ascii="Cambria" w:hAnsi="Cambria" w:cstheme="minorHAnsi"/>
        </w:rPr>
        <w:t xml:space="preserve"> </w:t>
      </w:r>
      <w:r w:rsidR="00EB3E07">
        <w:rPr>
          <w:rFonts w:ascii="Cambria" w:hAnsi="Cambria" w:cstheme="minorHAnsi"/>
        </w:rPr>
        <w:t xml:space="preserve">sensitivity to the strengths and </w:t>
      </w:r>
      <w:r w:rsidR="009D58D1">
        <w:rPr>
          <w:rFonts w:ascii="Cambria" w:hAnsi="Cambria" w:cstheme="minorHAnsi"/>
        </w:rPr>
        <w:t>challenges</w:t>
      </w:r>
      <w:r w:rsidR="00EB3E07">
        <w:rPr>
          <w:rFonts w:ascii="Cambria" w:hAnsi="Cambria" w:cstheme="minorHAnsi"/>
        </w:rPr>
        <w:t xml:space="preserve"> of </w:t>
      </w:r>
      <w:r w:rsidR="00C808BC">
        <w:rPr>
          <w:rFonts w:ascii="Cambria" w:hAnsi="Cambria" w:cstheme="minorHAnsi"/>
        </w:rPr>
        <w:t xml:space="preserve">working </w:t>
      </w:r>
      <w:r w:rsidR="00817814">
        <w:rPr>
          <w:rFonts w:ascii="Cambria" w:hAnsi="Cambria" w:cstheme="minorHAnsi"/>
        </w:rPr>
        <w:t xml:space="preserve">in an integrated fashion </w:t>
      </w:r>
      <w:r w:rsidR="00C808BC">
        <w:rPr>
          <w:rFonts w:ascii="Cambria" w:hAnsi="Cambria" w:cstheme="minorHAnsi"/>
        </w:rPr>
        <w:t xml:space="preserve">with </w:t>
      </w:r>
      <w:r w:rsidR="00C123D6">
        <w:rPr>
          <w:rFonts w:ascii="Cambria" w:hAnsi="Cambria" w:cstheme="minorHAnsi"/>
        </w:rPr>
        <w:t xml:space="preserve">varied </w:t>
      </w:r>
      <w:r w:rsidR="00EB3E07">
        <w:rPr>
          <w:rFonts w:ascii="Cambria" w:hAnsi="Cambria" w:cstheme="minorHAnsi"/>
        </w:rPr>
        <w:t xml:space="preserve">forms of numerical data. </w:t>
      </w:r>
    </w:p>
    <w:p w14:paraId="549230A1" w14:textId="616B708E" w:rsidR="001861A9" w:rsidRDefault="00536D2F" w:rsidP="00536D2F">
      <w:pPr>
        <w:tabs>
          <w:tab w:val="left" w:pos="3491"/>
        </w:tabs>
        <w:spacing w:line="264" w:lineRule="auto"/>
        <w:rPr>
          <w:rFonts w:ascii="Cambria" w:hAnsi="Cambria" w:cstheme="minorHAnsi"/>
          <w:b/>
          <w:sz w:val="28"/>
        </w:rPr>
      </w:pPr>
      <w:r>
        <w:rPr>
          <w:rFonts w:ascii="Cambria" w:hAnsi="Cambria" w:cstheme="minorHAnsi"/>
          <w:b/>
          <w:sz w:val="28"/>
        </w:rPr>
        <w:tab/>
      </w:r>
    </w:p>
    <w:p w14:paraId="22BD7B32" w14:textId="2A8BE9B9" w:rsidR="005F032C" w:rsidRPr="00D709D3" w:rsidRDefault="005F032C" w:rsidP="008A4562">
      <w:pPr>
        <w:spacing w:after="240" w:line="480" w:lineRule="auto"/>
        <w:rPr>
          <w:rFonts w:ascii="Cambria" w:hAnsi="Cambria" w:cstheme="minorHAnsi"/>
          <w:b/>
          <w:sz w:val="28"/>
        </w:rPr>
      </w:pPr>
      <w:r w:rsidRPr="00D709D3">
        <w:rPr>
          <w:rFonts w:ascii="Cambria" w:hAnsi="Cambria" w:cstheme="minorHAnsi"/>
          <w:b/>
          <w:sz w:val="28"/>
        </w:rPr>
        <w:t>Keywords</w:t>
      </w:r>
    </w:p>
    <w:p w14:paraId="5A2BF2D9" w14:textId="34213B64" w:rsidR="005F032C" w:rsidRPr="005F032C" w:rsidRDefault="00281142" w:rsidP="00462A47">
      <w:pPr>
        <w:spacing w:line="264" w:lineRule="auto"/>
        <w:rPr>
          <w:rFonts w:ascii="Cambria" w:hAnsi="Cambria" w:cstheme="minorHAnsi"/>
        </w:rPr>
      </w:pPr>
      <w:r>
        <w:rPr>
          <w:rFonts w:ascii="Cambria" w:hAnsi="Cambria" w:cstheme="minorHAnsi"/>
        </w:rPr>
        <w:t>Data structures; h</w:t>
      </w:r>
      <w:r w:rsidR="005F032C">
        <w:rPr>
          <w:rFonts w:ascii="Cambria" w:hAnsi="Cambria" w:cstheme="minorHAnsi"/>
        </w:rPr>
        <w:t>ousing; inequality</w:t>
      </w:r>
      <w:r w:rsidR="0012332C">
        <w:rPr>
          <w:rFonts w:ascii="Cambria" w:hAnsi="Cambria" w:cstheme="minorHAnsi"/>
        </w:rPr>
        <w:t xml:space="preserve">; </w:t>
      </w:r>
      <w:r w:rsidR="0038492F">
        <w:rPr>
          <w:rFonts w:ascii="Cambria" w:hAnsi="Cambria" w:cstheme="minorHAnsi"/>
        </w:rPr>
        <w:t>policy; young people</w:t>
      </w:r>
    </w:p>
    <w:p w14:paraId="631045D2" w14:textId="77777777" w:rsidR="005F032C" w:rsidRDefault="005F032C" w:rsidP="00295A7D">
      <w:pPr>
        <w:spacing w:line="264" w:lineRule="auto"/>
        <w:jc w:val="center"/>
        <w:rPr>
          <w:rFonts w:ascii="Cambria" w:hAnsi="Cambria" w:cstheme="minorHAnsi"/>
        </w:rPr>
      </w:pPr>
    </w:p>
    <w:p w14:paraId="4BA04695" w14:textId="05BC0782" w:rsidR="004C26E5" w:rsidRDefault="004C26E5" w:rsidP="005121E2">
      <w:pPr>
        <w:rPr>
          <w:rFonts w:ascii="Cambria" w:hAnsi="Cambria" w:cstheme="minorHAnsi"/>
          <w:b/>
          <w:sz w:val="28"/>
        </w:rPr>
      </w:pPr>
    </w:p>
    <w:p w14:paraId="1978B49C" w14:textId="2FA75529" w:rsidR="00F07F47" w:rsidRDefault="00F07F47" w:rsidP="005121E2">
      <w:pPr>
        <w:rPr>
          <w:rFonts w:ascii="Cambria" w:hAnsi="Cambria" w:cstheme="minorHAnsi"/>
          <w:b/>
          <w:sz w:val="28"/>
        </w:rPr>
      </w:pPr>
    </w:p>
    <w:p w14:paraId="417AC4C2" w14:textId="1EEB1322" w:rsidR="00F07F47" w:rsidRDefault="00F07F47" w:rsidP="005121E2">
      <w:pPr>
        <w:rPr>
          <w:rFonts w:ascii="Cambria" w:hAnsi="Cambria" w:cstheme="minorHAnsi"/>
          <w:b/>
          <w:sz w:val="28"/>
        </w:rPr>
      </w:pPr>
    </w:p>
    <w:p w14:paraId="3B49B094" w14:textId="77777777" w:rsidR="00F07F47" w:rsidRDefault="00F07F47" w:rsidP="005121E2">
      <w:pPr>
        <w:rPr>
          <w:rFonts w:ascii="Cambria" w:hAnsi="Cambria" w:cstheme="minorHAnsi"/>
          <w:b/>
          <w:sz w:val="28"/>
        </w:rPr>
      </w:pPr>
    </w:p>
    <w:p w14:paraId="02538513" w14:textId="45D81AE3" w:rsidR="00C040F7" w:rsidRPr="00D709D3" w:rsidRDefault="005121E2" w:rsidP="008A4562">
      <w:pPr>
        <w:spacing w:after="240" w:line="480" w:lineRule="auto"/>
        <w:rPr>
          <w:rFonts w:ascii="Cambria" w:hAnsi="Cambria" w:cstheme="minorHAnsi"/>
          <w:b/>
          <w:sz w:val="28"/>
        </w:rPr>
      </w:pPr>
      <w:r>
        <w:rPr>
          <w:rFonts w:ascii="Cambria" w:hAnsi="Cambria" w:cstheme="minorHAnsi"/>
          <w:b/>
          <w:sz w:val="28"/>
        </w:rPr>
        <w:lastRenderedPageBreak/>
        <w:t>1</w:t>
      </w:r>
      <w:r w:rsidR="005F4B60" w:rsidRPr="00D709D3">
        <w:rPr>
          <w:rFonts w:ascii="Cambria" w:hAnsi="Cambria" w:cstheme="minorHAnsi"/>
          <w:b/>
          <w:sz w:val="28"/>
        </w:rPr>
        <w:t xml:space="preserve">. </w:t>
      </w:r>
      <w:r w:rsidR="00C040F7" w:rsidRPr="00D709D3">
        <w:rPr>
          <w:rFonts w:ascii="Cambria" w:hAnsi="Cambria" w:cstheme="minorHAnsi"/>
          <w:b/>
          <w:sz w:val="28"/>
        </w:rPr>
        <w:t>Introduction</w:t>
      </w:r>
    </w:p>
    <w:p w14:paraId="05223D94" w14:textId="10B2447C" w:rsidR="007E1421" w:rsidRDefault="00B52CCF" w:rsidP="00A25D94">
      <w:pPr>
        <w:spacing w:after="240" w:line="480" w:lineRule="auto"/>
        <w:rPr>
          <w:rFonts w:ascii="Cambria" w:hAnsi="Cambria" w:cstheme="minorHAnsi"/>
        </w:rPr>
      </w:pPr>
      <w:r>
        <w:rPr>
          <w:rFonts w:ascii="Cambria" w:hAnsi="Cambria" w:cstheme="minorHAnsi"/>
        </w:rPr>
        <w:t>Across Europe, y</w:t>
      </w:r>
      <w:r w:rsidR="00311378">
        <w:rPr>
          <w:rFonts w:ascii="Cambria" w:hAnsi="Cambria" w:cstheme="minorHAnsi"/>
        </w:rPr>
        <w:t xml:space="preserve">oung people’s economic fortunes have deteriorated </w:t>
      </w:r>
      <w:r w:rsidR="00977754">
        <w:rPr>
          <w:rFonts w:ascii="Cambria" w:hAnsi="Cambria" w:cstheme="minorHAnsi"/>
        </w:rPr>
        <w:t>in recent decades</w:t>
      </w:r>
      <w:r w:rsidR="0039461F">
        <w:rPr>
          <w:rFonts w:ascii="Cambria" w:hAnsi="Cambria" w:cstheme="minorHAnsi"/>
        </w:rPr>
        <w:t>,</w:t>
      </w:r>
      <w:r w:rsidR="00CF5CEC">
        <w:rPr>
          <w:rFonts w:ascii="Cambria" w:hAnsi="Cambria" w:cstheme="minorHAnsi"/>
        </w:rPr>
        <w:t xml:space="preserve"> </w:t>
      </w:r>
      <w:r w:rsidR="00D10F50">
        <w:rPr>
          <w:rFonts w:ascii="Cambria" w:hAnsi="Cambria" w:cstheme="minorHAnsi"/>
        </w:rPr>
        <w:t>while</w:t>
      </w:r>
      <w:r w:rsidR="00311378">
        <w:rPr>
          <w:rFonts w:ascii="Cambria" w:hAnsi="Cambria" w:cstheme="minorHAnsi"/>
        </w:rPr>
        <w:t xml:space="preserve"> patterns of transition to </w:t>
      </w:r>
      <w:r w:rsidR="00D07062">
        <w:rPr>
          <w:rFonts w:ascii="Cambria" w:hAnsi="Cambria" w:cstheme="minorHAnsi"/>
        </w:rPr>
        <w:t xml:space="preserve">traditional </w:t>
      </w:r>
      <w:r w:rsidR="00311378">
        <w:rPr>
          <w:rFonts w:ascii="Cambria" w:hAnsi="Cambria" w:cstheme="minorHAnsi"/>
        </w:rPr>
        <w:t xml:space="preserve">adult roles and identities </w:t>
      </w:r>
      <w:r w:rsidR="00977754">
        <w:rPr>
          <w:rFonts w:ascii="Cambria" w:hAnsi="Cambria" w:cstheme="minorHAnsi"/>
        </w:rPr>
        <w:t>have become more diverse</w:t>
      </w:r>
      <w:r w:rsidR="00311378">
        <w:rPr>
          <w:rFonts w:ascii="Cambria" w:hAnsi="Cambria" w:cstheme="minorHAnsi"/>
        </w:rPr>
        <w:t>. Although much research focuse</w:t>
      </w:r>
      <w:r w:rsidR="00982A39">
        <w:rPr>
          <w:rFonts w:ascii="Cambria" w:hAnsi="Cambria" w:cstheme="minorHAnsi"/>
        </w:rPr>
        <w:t>s</w:t>
      </w:r>
      <w:r w:rsidR="00311378">
        <w:rPr>
          <w:rFonts w:ascii="Cambria" w:hAnsi="Cambria" w:cstheme="minorHAnsi"/>
        </w:rPr>
        <w:t xml:space="preserve"> on the changing demographic and labour market position of young people, </w:t>
      </w:r>
      <w:r w:rsidR="007D4F38">
        <w:rPr>
          <w:rFonts w:ascii="Cambria" w:hAnsi="Cambria" w:cstheme="minorHAnsi"/>
        </w:rPr>
        <w:t xml:space="preserve">since the </w:t>
      </w:r>
      <w:r w:rsidR="005D378C">
        <w:rPr>
          <w:rFonts w:ascii="Cambria" w:hAnsi="Cambria" w:cstheme="minorHAnsi"/>
        </w:rPr>
        <w:t>2007</w:t>
      </w:r>
      <w:r w:rsidR="009D5161">
        <w:rPr>
          <w:rFonts w:ascii="Cambria" w:hAnsi="Cambria" w:cstheme="minorHAnsi"/>
        </w:rPr>
        <w:t>-8</w:t>
      </w:r>
      <w:r w:rsidR="005D378C">
        <w:rPr>
          <w:rFonts w:ascii="Cambria" w:hAnsi="Cambria" w:cstheme="minorHAnsi"/>
        </w:rPr>
        <w:t xml:space="preserve"> </w:t>
      </w:r>
      <w:r w:rsidR="007D4F38">
        <w:rPr>
          <w:rFonts w:ascii="Cambria" w:hAnsi="Cambria" w:cstheme="minorHAnsi"/>
        </w:rPr>
        <w:t xml:space="preserve">Global Financial Crisis </w:t>
      </w:r>
      <w:r w:rsidR="00937BF2">
        <w:rPr>
          <w:rFonts w:ascii="Cambria" w:hAnsi="Cambria" w:cstheme="minorHAnsi"/>
        </w:rPr>
        <w:t xml:space="preserve">(GFC) </w:t>
      </w:r>
      <w:r w:rsidR="00311378">
        <w:rPr>
          <w:rFonts w:ascii="Cambria" w:hAnsi="Cambria" w:cstheme="minorHAnsi"/>
        </w:rPr>
        <w:t xml:space="preserve">their </w:t>
      </w:r>
      <w:r w:rsidR="00F023D8">
        <w:rPr>
          <w:rFonts w:ascii="Cambria" w:hAnsi="Cambria" w:cstheme="minorHAnsi"/>
        </w:rPr>
        <w:t xml:space="preserve">growing difficulties in housing systems </w:t>
      </w:r>
      <w:r w:rsidR="00C93C44">
        <w:rPr>
          <w:rFonts w:ascii="Cambria" w:hAnsi="Cambria" w:cstheme="minorHAnsi"/>
        </w:rPr>
        <w:t>have</w:t>
      </w:r>
      <w:r w:rsidR="00CF5CEC">
        <w:rPr>
          <w:rFonts w:ascii="Cambria" w:hAnsi="Cambria" w:cstheme="minorHAnsi"/>
        </w:rPr>
        <w:t xml:space="preserve"> </w:t>
      </w:r>
      <w:r w:rsidR="00F023D8">
        <w:rPr>
          <w:rFonts w:ascii="Cambria" w:hAnsi="Cambria" w:cstheme="minorHAnsi"/>
        </w:rPr>
        <w:t>attract</w:t>
      </w:r>
      <w:r w:rsidR="00480D15">
        <w:rPr>
          <w:rFonts w:ascii="Cambria" w:hAnsi="Cambria" w:cstheme="minorHAnsi"/>
        </w:rPr>
        <w:t>ed</w:t>
      </w:r>
      <w:r w:rsidR="00F023D8">
        <w:rPr>
          <w:rFonts w:ascii="Cambria" w:hAnsi="Cambria" w:cstheme="minorHAnsi"/>
        </w:rPr>
        <w:t xml:space="preserve"> </w:t>
      </w:r>
      <w:r w:rsidR="00124EFC">
        <w:rPr>
          <w:rFonts w:ascii="Cambria" w:hAnsi="Cambria" w:cstheme="minorHAnsi"/>
        </w:rPr>
        <w:t>particular</w:t>
      </w:r>
      <w:r w:rsidR="00F023D8">
        <w:rPr>
          <w:rFonts w:ascii="Cambria" w:hAnsi="Cambria" w:cstheme="minorHAnsi"/>
        </w:rPr>
        <w:t xml:space="preserve"> attention </w:t>
      </w:r>
      <w:r w:rsidR="00CF5CEC">
        <w:rPr>
          <w:rFonts w:ascii="Cambria" w:hAnsi="Cambria" w:cstheme="minorHAnsi"/>
        </w:rPr>
        <w:t>(</w:t>
      </w:r>
      <w:r w:rsidR="00A25D94">
        <w:rPr>
          <w:rFonts w:ascii="Cambria" w:hAnsi="Cambria" w:cstheme="minorHAnsi"/>
        </w:rPr>
        <w:t xml:space="preserve">Arundel and Ronald, 2016; </w:t>
      </w:r>
      <w:r w:rsidR="0083139B">
        <w:rPr>
          <w:rFonts w:ascii="Cambria" w:hAnsi="Cambria" w:cstheme="minorHAnsi"/>
        </w:rPr>
        <w:t>Christophers, 2018</w:t>
      </w:r>
      <w:r w:rsidR="00CF5CEC">
        <w:rPr>
          <w:rFonts w:ascii="Cambria" w:hAnsi="Cambria" w:cstheme="minorHAnsi"/>
        </w:rPr>
        <w:t>).</w:t>
      </w:r>
      <w:r w:rsidR="00A25D94">
        <w:rPr>
          <w:rFonts w:ascii="Cambria" w:hAnsi="Cambria" w:cstheme="minorHAnsi"/>
        </w:rPr>
        <w:t xml:space="preserve"> </w:t>
      </w:r>
    </w:p>
    <w:p w14:paraId="3F49FCE2" w14:textId="1E7CC11B" w:rsidR="00AD4E8F" w:rsidRDefault="00A25D94" w:rsidP="00A25D94">
      <w:pPr>
        <w:spacing w:after="240" w:line="480" w:lineRule="auto"/>
        <w:rPr>
          <w:rFonts w:ascii="Cambria" w:hAnsi="Cambria" w:cstheme="minorHAnsi"/>
        </w:rPr>
      </w:pPr>
      <w:r>
        <w:rPr>
          <w:rFonts w:ascii="Cambria" w:hAnsi="Cambria" w:cstheme="minorHAnsi"/>
        </w:rPr>
        <w:t xml:space="preserve">Much of this debate about young adults’ housing problems, especially in the United Kingdom (UK), is </w:t>
      </w:r>
      <w:r w:rsidR="006A6D01">
        <w:rPr>
          <w:rFonts w:ascii="Cambria" w:hAnsi="Cambria" w:cstheme="minorHAnsi"/>
        </w:rPr>
        <w:t xml:space="preserve">framed in </w:t>
      </w:r>
      <w:r w:rsidR="005606B7">
        <w:rPr>
          <w:rFonts w:ascii="Cambria" w:hAnsi="Cambria" w:cstheme="minorHAnsi"/>
        </w:rPr>
        <w:t>terms of</w:t>
      </w:r>
      <w:r w:rsidR="006A6D01">
        <w:rPr>
          <w:rFonts w:ascii="Cambria" w:hAnsi="Cambria" w:cstheme="minorHAnsi"/>
        </w:rPr>
        <w:t xml:space="preserve"> a </w:t>
      </w:r>
      <w:r w:rsidR="0022626B">
        <w:rPr>
          <w:rFonts w:ascii="Cambria" w:hAnsi="Cambria" w:cstheme="minorHAnsi"/>
        </w:rPr>
        <w:t xml:space="preserve">deepening </w:t>
      </w:r>
      <w:r w:rsidR="006A6D01">
        <w:rPr>
          <w:rFonts w:ascii="Cambria" w:hAnsi="Cambria" w:cstheme="minorHAnsi"/>
        </w:rPr>
        <w:t>clash or</w:t>
      </w:r>
      <w:r w:rsidR="00F96F76">
        <w:rPr>
          <w:rFonts w:ascii="Cambria" w:hAnsi="Cambria" w:cstheme="minorHAnsi"/>
        </w:rPr>
        <w:t xml:space="preserve"> </w:t>
      </w:r>
      <w:r w:rsidR="006A6D01">
        <w:rPr>
          <w:rFonts w:ascii="Cambria" w:hAnsi="Cambria" w:cstheme="minorHAnsi"/>
        </w:rPr>
        <w:t>divide between generations</w:t>
      </w:r>
      <w:r w:rsidR="00466225">
        <w:rPr>
          <w:rFonts w:ascii="Cambria" w:hAnsi="Cambria" w:cstheme="minorHAnsi"/>
        </w:rPr>
        <w:t xml:space="preserve"> (Hoolachan and McKee, 201</w:t>
      </w:r>
      <w:r w:rsidR="00B161DA">
        <w:rPr>
          <w:rFonts w:ascii="Cambria" w:hAnsi="Cambria" w:cstheme="minorHAnsi"/>
        </w:rPr>
        <w:t>9</w:t>
      </w:r>
      <w:r w:rsidR="00466225">
        <w:rPr>
          <w:rFonts w:ascii="Cambria" w:hAnsi="Cambria" w:cstheme="minorHAnsi"/>
        </w:rPr>
        <w:t xml:space="preserve">). </w:t>
      </w:r>
      <w:r>
        <w:rPr>
          <w:rFonts w:ascii="Cambria" w:hAnsi="Cambria" w:cstheme="minorHAnsi"/>
        </w:rPr>
        <w:t xml:space="preserve">Encapsulated in the </w:t>
      </w:r>
      <w:r w:rsidR="00567C3D">
        <w:rPr>
          <w:rFonts w:ascii="Cambria" w:hAnsi="Cambria" w:cstheme="minorHAnsi"/>
        </w:rPr>
        <w:t xml:space="preserve">popular </w:t>
      </w:r>
      <w:r>
        <w:rPr>
          <w:rFonts w:ascii="Cambria" w:hAnsi="Cambria" w:cstheme="minorHAnsi"/>
        </w:rPr>
        <w:t xml:space="preserve">concept of ‘Generation Rent’, </w:t>
      </w:r>
      <w:r w:rsidR="00222E00">
        <w:rPr>
          <w:rFonts w:ascii="Cambria" w:hAnsi="Cambria" w:cstheme="minorHAnsi"/>
        </w:rPr>
        <w:t xml:space="preserve">these </w:t>
      </w:r>
      <w:r w:rsidR="00B91412">
        <w:rPr>
          <w:rFonts w:ascii="Cambria" w:hAnsi="Cambria" w:cstheme="minorHAnsi"/>
        </w:rPr>
        <w:t>narrative</w:t>
      </w:r>
      <w:r>
        <w:rPr>
          <w:rFonts w:ascii="Cambria" w:hAnsi="Cambria" w:cstheme="minorHAnsi"/>
        </w:rPr>
        <w:t>s</w:t>
      </w:r>
      <w:r w:rsidR="00C54858">
        <w:rPr>
          <w:rFonts w:ascii="Cambria" w:hAnsi="Cambria" w:cstheme="minorHAnsi"/>
        </w:rPr>
        <w:t xml:space="preserve"> propose</w:t>
      </w:r>
      <w:r w:rsidR="007F2531">
        <w:rPr>
          <w:rFonts w:ascii="Cambria" w:hAnsi="Cambria" w:cstheme="minorHAnsi"/>
        </w:rPr>
        <w:t xml:space="preserve"> </w:t>
      </w:r>
      <w:r w:rsidR="00B91412">
        <w:rPr>
          <w:rFonts w:ascii="Cambria" w:hAnsi="Cambria" w:cstheme="minorHAnsi"/>
        </w:rPr>
        <w:t xml:space="preserve">that </w:t>
      </w:r>
      <w:r w:rsidR="00295D1F">
        <w:rPr>
          <w:rFonts w:ascii="Cambria" w:hAnsi="Cambria" w:cstheme="minorHAnsi"/>
        </w:rPr>
        <w:t xml:space="preserve">intergenerational </w:t>
      </w:r>
      <w:r w:rsidR="005933DD">
        <w:rPr>
          <w:rFonts w:ascii="Cambria" w:hAnsi="Cambria" w:cstheme="minorHAnsi"/>
        </w:rPr>
        <w:t>g</w:t>
      </w:r>
      <w:r w:rsidR="00CD3BC1">
        <w:rPr>
          <w:rFonts w:ascii="Cambria" w:hAnsi="Cambria" w:cstheme="minorHAnsi"/>
        </w:rPr>
        <w:t>ulfs</w:t>
      </w:r>
      <w:r w:rsidR="00295D1F">
        <w:rPr>
          <w:rFonts w:ascii="Cambria" w:hAnsi="Cambria" w:cstheme="minorHAnsi"/>
        </w:rPr>
        <w:t xml:space="preserve"> in </w:t>
      </w:r>
      <w:r>
        <w:rPr>
          <w:rFonts w:ascii="Cambria" w:hAnsi="Cambria" w:cstheme="minorHAnsi"/>
        </w:rPr>
        <w:t xml:space="preserve">housing </w:t>
      </w:r>
      <w:r w:rsidR="00295D1F">
        <w:rPr>
          <w:rFonts w:ascii="Cambria" w:hAnsi="Cambria" w:cstheme="minorHAnsi"/>
        </w:rPr>
        <w:t>wealth, space, security and quality</w:t>
      </w:r>
      <w:r>
        <w:rPr>
          <w:rFonts w:ascii="Cambria" w:hAnsi="Cambria" w:cstheme="minorHAnsi"/>
        </w:rPr>
        <w:t xml:space="preserve"> are opening up as </w:t>
      </w:r>
      <w:r w:rsidR="00806031">
        <w:rPr>
          <w:rFonts w:ascii="Cambria" w:hAnsi="Cambria" w:cstheme="minorHAnsi"/>
        </w:rPr>
        <w:t xml:space="preserve">a range of structural trends mean that </w:t>
      </w:r>
      <w:r w:rsidR="00085728">
        <w:rPr>
          <w:rFonts w:ascii="Cambria" w:hAnsi="Cambria" w:cstheme="minorHAnsi"/>
        </w:rPr>
        <w:t xml:space="preserve">contemporary young people </w:t>
      </w:r>
      <w:r>
        <w:rPr>
          <w:rFonts w:ascii="Cambria" w:hAnsi="Cambria" w:cstheme="minorHAnsi"/>
        </w:rPr>
        <w:t xml:space="preserve">are </w:t>
      </w:r>
      <w:r w:rsidR="00B86912">
        <w:rPr>
          <w:rFonts w:ascii="Cambria" w:hAnsi="Cambria" w:cstheme="minorHAnsi"/>
        </w:rPr>
        <w:t xml:space="preserve">increasingly excluded from </w:t>
      </w:r>
      <w:r w:rsidR="00615806">
        <w:rPr>
          <w:rFonts w:ascii="Cambria" w:hAnsi="Cambria" w:cstheme="minorHAnsi"/>
        </w:rPr>
        <w:t xml:space="preserve">the opportunities to enter </w:t>
      </w:r>
      <w:r w:rsidR="00B86912">
        <w:rPr>
          <w:rFonts w:ascii="Cambria" w:hAnsi="Cambria" w:cstheme="minorHAnsi"/>
        </w:rPr>
        <w:t>homeownership and low-cost social housing</w:t>
      </w:r>
      <w:r w:rsidR="00826002">
        <w:rPr>
          <w:rFonts w:ascii="Cambria" w:hAnsi="Cambria" w:cstheme="minorHAnsi"/>
        </w:rPr>
        <w:t xml:space="preserve"> </w:t>
      </w:r>
      <w:r w:rsidR="00615806">
        <w:rPr>
          <w:rFonts w:ascii="Cambria" w:hAnsi="Cambria" w:cstheme="minorHAnsi"/>
        </w:rPr>
        <w:t xml:space="preserve">that were available to previous post-war generations </w:t>
      </w:r>
      <w:r w:rsidR="00826002">
        <w:rPr>
          <w:rFonts w:ascii="Cambria" w:hAnsi="Cambria" w:cstheme="minorHAnsi"/>
        </w:rPr>
        <w:t xml:space="preserve">(for detailed </w:t>
      </w:r>
      <w:r w:rsidR="007A6D08">
        <w:rPr>
          <w:rFonts w:ascii="Cambria" w:hAnsi="Cambria" w:cstheme="minorHAnsi"/>
        </w:rPr>
        <w:t>discussion</w:t>
      </w:r>
      <w:r w:rsidR="00826002">
        <w:rPr>
          <w:rFonts w:ascii="Cambria" w:hAnsi="Cambria" w:cstheme="minorHAnsi"/>
        </w:rPr>
        <w:t xml:space="preserve"> see Clapham et al., 2014; </w:t>
      </w:r>
      <w:r w:rsidR="00177969">
        <w:rPr>
          <w:rFonts w:ascii="Cambria" w:hAnsi="Cambria" w:cstheme="minorHAnsi"/>
        </w:rPr>
        <w:t xml:space="preserve">Coulter, 2017; </w:t>
      </w:r>
      <w:r w:rsidR="00826002">
        <w:rPr>
          <w:rFonts w:ascii="Cambria" w:hAnsi="Cambria" w:cstheme="minorHAnsi"/>
        </w:rPr>
        <w:t>Dewilde et al., 2018; Lennartz et al. 2016; McKee, 2012).</w:t>
      </w:r>
      <w:r w:rsidR="00F324F0">
        <w:rPr>
          <w:rFonts w:ascii="Cambria" w:hAnsi="Cambria" w:cstheme="minorHAnsi"/>
        </w:rPr>
        <w:t xml:space="preserve"> However, viewing young people’s housing difficulties through </w:t>
      </w:r>
      <w:r w:rsidR="00F339D8">
        <w:rPr>
          <w:rFonts w:ascii="Cambria" w:hAnsi="Cambria" w:cstheme="minorHAnsi"/>
        </w:rPr>
        <w:t xml:space="preserve">this type </w:t>
      </w:r>
      <w:r w:rsidR="0016696E">
        <w:rPr>
          <w:rFonts w:ascii="Cambria" w:hAnsi="Cambria" w:cstheme="minorHAnsi"/>
        </w:rPr>
        <w:t>of</w:t>
      </w:r>
      <w:r w:rsidR="0047423D">
        <w:rPr>
          <w:rFonts w:ascii="Cambria" w:hAnsi="Cambria" w:cstheme="minorHAnsi"/>
        </w:rPr>
        <w:t xml:space="preserve"> generational</w:t>
      </w:r>
      <w:r w:rsidR="00E13640">
        <w:rPr>
          <w:rFonts w:ascii="Cambria" w:hAnsi="Cambria" w:cstheme="minorHAnsi"/>
        </w:rPr>
        <w:t>,</w:t>
      </w:r>
      <w:r w:rsidR="00F324F0">
        <w:rPr>
          <w:rFonts w:ascii="Cambria" w:hAnsi="Cambria" w:cstheme="minorHAnsi"/>
        </w:rPr>
        <w:t xml:space="preserve"> tenure-centric lens overlooks how a wider range of housing disparit</w:t>
      </w:r>
      <w:r w:rsidR="00AF1AF2">
        <w:rPr>
          <w:rFonts w:ascii="Cambria" w:hAnsi="Cambria" w:cstheme="minorHAnsi"/>
        </w:rPr>
        <w:t>ies</w:t>
      </w:r>
      <w:r w:rsidR="00F324F0">
        <w:rPr>
          <w:rFonts w:ascii="Cambria" w:hAnsi="Cambria" w:cstheme="minorHAnsi"/>
        </w:rPr>
        <w:t xml:space="preserve"> </w:t>
      </w:r>
      <w:r w:rsidR="00F324F0" w:rsidRPr="00553E4C">
        <w:rPr>
          <w:rFonts w:ascii="Cambria" w:hAnsi="Cambria" w:cstheme="minorHAnsi"/>
          <w:i/>
        </w:rPr>
        <w:t>between</w:t>
      </w:r>
      <w:r w:rsidR="00F324F0">
        <w:rPr>
          <w:rFonts w:ascii="Cambria" w:hAnsi="Cambria" w:cstheme="minorHAnsi"/>
        </w:rPr>
        <w:t xml:space="preserve"> young adults are </w:t>
      </w:r>
      <w:r w:rsidR="00984DA9">
        <w:rPr>
          <w:rFonts w:ascii="Cambria" w:hAnsi="Cambria" w:cstheme="minorHAnsi"/>
        </w:rPr>
        <w:t xml:space="preserve">also </w:t>
      </w:r>
      <w:r w:rsidR="00F324F0">
        <w:rPr>
          <w:rFonts w:ascii="Cambria" w:hAnsi="Cambria" w:cstheme="minorHAnsi"/>
        </w:rPr>
        <w:t>growing in tandem (</w:t>
      </w:r>
      <w:r w:rsidR="000030D5">
        <w:rPr>
          <w:rFonts w:ascii="Cambria" w:hAnsi="Cambria" w:cstheme="minorHAnsi"/>
        </w:rPr>
        <w:t>Christophers, 2018;</w:t>
      </w:r>
      <w:r w:rsidR="00C513BA">
        <w:rPr>
          <w:rFonts w:ascii="Cambria" w:hAnsi="Cambria" w:cstheme="minorHAnsi"/>
        </w:rPr>
        <w:t xml:space="preserve"> </w:t>
      </w:r>
      <w:r w:rsidR="00F324F0">
        <w:rPr>
          <w:rFonts w:ascii="Cambria" w:hAnsi="Cambria" w:cstheme="minorHAnsi"/>
        </w:rPr>
        <w:t>Green, 2017; McKee 2012).</w:t>
      </w:r>
    </w:p>
    <w:p w14:paraId="3E3024DF" w14:textId="6EB0A230" w:rsidR="00592CD4" w:rsidRPr="007E144B" w:rsidRDefault="00A27BDF" w:rsidP="00592CD4">
      <w:pPr>
        <w:spacing w:after="240" w:line="480" w:lineRule="auto"/>
        <w:rPr>
          <w:rFonts w:ascii="Cambria" w:hAnsi="Cambria" w:cstheme="minorHAnsi"/>
        </w:rPr>
      </w:pPr>
      <w:r>
        <w:rPr>
          <w:rFonts w:ascii="Cambria" w:hAnsi="Cambria" w:cstheme="minorHAnsi"/>
        </w:rPr>
        <w:t>In this article, we showcase how social scientists are moving beyond</w:t>
      </w:r>
      <w:r w:rsidR="0047423D">
        <w:rPr>
          <w:rFonts w:ascii="Cambria" w:hAnsi="Cambria" w:cstheme="minorHAnsi"/>
        </w:rPr>
        <w:t xml:space="preserve"> </w:t>
      </w:r>
      <w:r w:rsidR="0088523B">
        <w:rPr>
          <w:rFonts w:ascii="Cambria" w:hAnsi="Cambria" w:cstheme="minorHAnsi"/>
        </w:rPr>
        <w:t xml:space="preserve">simplistic </w:t>
      </w:r>
      <w:r>
        <w:rPr>
          <w:rFonts w:ascii="Cambria" w:hAnsi="Cambria" w:cstheme="minorHAnsi"/>
        </w:rPr>
        <w:t xml:space="preserve">Generation Rent </w:t>
      </w:r>
      <w:r w:rsidR="00F63849">
        <w:rPr>
          <w:rFonts w:ascii="Cambria" w:hAnsi="Cambria" w:cstheme="minorHAnsi"/>
        </w:rPr>
        <w:t>narrative</w:t>
      </w:r>
      <w:r>
        <w:rPr>
          <w:rFonts w:ascii="Cambria" w:hAnsi="Cambria" w:cstheme="minorHAnsi"/>
        </w:rPr>
        <w:t xml:space="preserve">s by drawing on </w:t>
      </w:r>
      <w:r w:rsidR="00F63849">
        <w:rPr>
          <w:rFonts w:ascii="Cambria" w:hAnsi="Cambria" w:cstheme="minorHAnsi"/>
        </w:rPr>
        <w:t xml:space="preserve">(1) </w:t>
      </w:r>
      <w:r w:rsidRPr="003428BB">
        <w:rPr>
          <w:rFonts w:ascii="Cambria" w:hAnsi="Cambria" w:cstheme="minorHAnsi"/>
          <w:i/>
        </w:rPr>
        <w:t>life course perspectives</w:t>
      </w:r>
      <w:r>
        <w:rPr>
          <w:rFonts w:ascii="Cambria" w:hAnsi="Cambria" w:cstheme="minorHAnsi"/>
        </w:rPr>
        <w:t xml:space="preserve">, </w:t>
      </w:r>
      <w:r w:rsidR="00C06A75">
        <w:rPr>
          <w:rFonts w:ascii="Cambria" w:hAnsi="Cambria" w:cstheme="minorHAnsi"/>
        </w:rPr>
        <w:t xml:space="preserve">(2) </w:t>
      </w:r>
      <w:r w:rsidRPr="003428BB">
        <w:rPr>
          <w:rFonts w:ascii="Cambria" w:hAnsi="Cambria" w:cstheme="minorHAnsi"/>
          <w:i/>
        </w:rPr>
        <w:t>harnessing</w:t>
      </w:r>
      <w:r w:rsidR="00F63849">
        <w:rPr>
          <w:rFonts w:ascii="Cambria" w:hAnsi="Cambria" w:cstheme="minorHAnsi"/>
        </w:rPr>
        <w:t xml:space="preserve"> </w:t>
      </w:r>
      <w:r w:rsidRPr="003428BB">
        <w:rPr>
          <w:rFonts w:ascii="Cambria" w:hAnsi="Cambria" w:cstheme="minorHAnsi"/>
          <w:i/>
        </w:rPr>
        <w:t>longitudinal data resources</w:t>
      </w:r>
      <w:r>
        <w:rPr>
          <w:rFonts w:ascii="Cambria" w:hAnsi="Cambria" w:cstheme="minorHAnsi"/>
          <w:i/>
        </w:rPr>
        <w:t xml:space="preserve"> </w:t>
      </w:r>
      <w:r>
        <w:rPr>
          <w:rFonts w:ascii="Cambria" w:hAnsi="Cambria" w:cstheme="minorHAnsi"/>
        </w:rPr>
        <w:t xml:space="preserve">and </w:t>
      </w:r>
      <w:r w:rsidR="00C06A75">
        <w:rPr>
          <w:rFonts w:ascii="Cambria" w:hAnsi="Cambria" w:cstheme="minorHAnsi"/>
        </w:rPr>
        <w:t xml:space="preserve">(3) </w:t>
      </w:r>
      <w:r w:rsidRPr="003428BB">
        <w:rPr>
          <w:rFonts w:ascii="Cambria" w:hAnsi="Cambria" w:cstheme="minorHAnsi"/>
          <w:i/>
        </w:rPr>
        <w:t>using novel data linkages</w:t>
      </w:r>
      <w:r>
        <w:rPr>
          <w:rFonts w:ascii="Cambria" w:hAnsi="Cambria" w:cstheme="minorHAnsi"/>
        </w:rPr>
        <w:t xml:space="preserve"> </w:t>
      </w:r>
      <w:r w:rsidRPr="004F36EF">
        <w:rPr>
          <w:rFonts w:ascii="Cambria" w:hAnsi="Cambria" w:cstheme="minorHAnsi"/>
        </w:rPr>
        <w:t>to</w:t>
      </w:r>
      <w:r>
        <w:rPr>
          <w:rFonts w:ascii="Cambria" w:hAnsi="Cambria" w:cstheme="minorHAnsi"/>
        </w:rPr>
        <w:t xml:space="preserve"> improve our understanding of housing inequalities in young adulthood. </w:t>
      </w:r>
      <w:r w:rsidR="00592CD4">
        <w:rPr>
          <w:rFonts w:ascii="Cambria" w:hAnsi="Cambria" w:cstheme="minorHAnsi"/>
        </w:rPr>
        <w:t xml:space="preserve">A key advantage of taking a longitudinal approach to this topic is that </w:t>
      </w:r>
      <w:r w:rsidR="00D07DC4">
        <w:rPr>
          <w:rFonts w:ascii="Cambria" w:hAnsi="Cambria" w:cstheme="minorHAnsi"/>
        </w:rPr>
        <w:t>rich</w:t>
      </w:r>
      <w:r w:rsidR="00592CD4">
        <w:rPr>
          <w:rFonts w:ascii="Cambria" w:hAnsi="Cambria" w:cstheme="minorHAnsi"/>
        </w:rPr>
        <w:t xml:space="preserve"> prospectively collected data from the same people over time allow us to operationalise many of the core principles of the life course perspective (Elder, 1998). These include recognising that individual trajectories across the life course domains of education, work, childbearing and </w:t>
      </w:r>
      <w:r w:rsidR="00592CD4">
        <w:rPr>
          <w:rFonts w:ascii="Cambria" w:hAnsi="Cambria" w:cstheme="minorHAnsi"/>
        </w:rPr>
        <w:lastRenderedPageBreak/>
        <w:t xml:space="preserve">housing are </w:t>
      </w:r>
      <w:r w:rsidR="00592CD4" w:rsidRPr="00BC16A1">
        <w:rPr>
          <w:rFonts w:ascii="Cambria" w:hAnsi="Cambria" w:cstheme="minorHAnsi"/>
        </w:rPr>
        <w:t>interconnected</w:t>
      </w:r>
      <w:r w:rsidR="00592CD4">
        <w:rPr>
          <w:rFonts w:ascii="Cambria" w:hAnsi="Cambria" w:cstheme="minorHAnsi"/>
        </w:rPr>
        <w:t xml:space="preserve"> in ways that influence </w:t>
      </w:r>
      <w:r w:rsidR="00592CD4" w:rsidRPr="00BC16A1">
        <w:rPr>
          <w:rFonts w:ascii="Cambria" w:hAnsi="Cambria" w:cstheme="minorHAnsi"/>
        </w:rPr>
        <w:t>life span development</w:t>
      </w:r>
      <w:r w:rsidR="00592CD4">
        <w:rPr>
          <w:rFonts w:ascii="Cambria" w:hAnsi="Cambria" w:cstheme="minorHAnsi"/>
        </w:rPr>
        <w:t xml:space="preserve">. For example, housing decisions </w:t>
      </w:r>
      <w:r w:rsidR="00D52FC5">
        <w:rPr>
          <w:rFonts w:ascii="Cambria" w:hAnsi="Cambria" w:cstheme="minorHAnsi"/>
        </w:rPr>
        <w:t xml:space="preserve">and circumstances </w:t>
      </w:r>
      <w:r w:rsidR="00592CD4">
        <w:rPr>
          <w:rFonts w:ascii="Cambria" w:hAnsi="Cambria" w:cstheme="minorHAnsi"/>
        </w:rPr>
        <w:t xml:space="preserve">have a complex reciprocal relationship with far-reaching decisions regarding family formation. </w:t>
      </w:r>
      <w:r w:rsidR="00592CD4" w:rsidRPr="00703CCE">
        <w:rPr>
          <w:rFonts w:ascii="Cambria" w:hAnsi="Cambria" w:cstheme="minorHAnsi"/>
        </w:rPr>
        <w:t xml:space="preserve">Similarly, </w:t>
      </w:r>
      <w:r w:rsidR="00592CD4">
        <w:rPr>
          <w:rFonts w:ascii="Cambria" w:hAnsi="Cambria" w:cstheme="minorHAnsi"/>
        </w:rPr>
        <w:t>‘turning point’ events that significantly alter the direction of life course trajectories (for instance job loss or partnership dissolution) often promote particular types of housing transition, thereby contributing to the creation of diverging and non-linear life paths (Stone et al., 2014). Young adults’ housing decisions are also influenced by normative societal beliefs concerning the appropriate age for making role and status transitions such as leaving the parental home</w:t>
      </w:r>
      <w:r w:rsidR="0039258B">
        <w:rPr>
          <w:rFonts w:ascii="Cambria" w:hAnsi="Cambria" w:cstheme="minorHAnsi"/>
        </w:rPr>
        <w:t xml:space="preserve"> (Aassve et al. 2013)</w:t>
      </w:r>
      <w:r w:rsidR="00592CD4">
        <w:rPr>
          <w:rFonts w:ascii="Cambria" w:hAnsi="Cambria" w:cstheme="minorHAnsi"/>
        </w:rPr>
        <w:t>. Exactly what constitutes an ‘on-time’ transition can, however, change across cohorts as trends like delayed home leaving reshape social norms.</w:t>
      </w:r>
    </w:p>
    <w:p w14:paraId="074F0876" w14:textId="0CDCF11B" w:rsidR="00085728" w:rsidRDefault="0039258B" w:rsidP="00A82C05">
      <w:pPr>
        <w:spacing w:after="240" w:line="480" w:lineRule="auto"/>
        <w:rPr>
          <w:rFonts w:ascii="Cambria" w:hAnsi="Cambria" w:cstheme="minorHAnsi"/>
        </w:rPr>
      </w:pPr>
      <w:r>
        <w:rPr>
          <w:rFonts w:ascii="Cambria" w:hAnsi="Cambria" w:cstheme="minorHAnsi"/>
        </w:rPr>
        <w:t>In addition, life course perspectives guide researchers to examine how the dynamics of people’s lives are tied together and connected to contextual circumstances (Coulter et al., 2016). This can involve exploring the ways in which family members’ lives are ‘linked’</w:t>
      </w:r>
      <w:r w:rsidR="001E5863">
        <w:rPr>
          <w:rFonts w:ascii="Cambria" w:hAnsi="Cambria" w:cstheme="minorHAnsi"/>
        </w:rPr>
        <w:t xml:space="preserve"> together in the housing system,</w:t>
      </w:r>
      <w:r>
        <w:rPr>
          <w:rFonts w:ascii="Cambria" w:hAnsi="Cambria" w:cstheme="minorHAnsi"/>
        </w:rPr>
        <w:t xml:space="preserve"> for instance </w:t>
      </w:r>
      <w:r w:rsidR="00F6498F">
        <w:rPr>
          <w:rFonts w:ascii="Cambria" w:hAnsi="Cambria" w:cstheme="minorHAnsi"/>
        </w:rPr>
        <w:t xml:space="preserve">as parents provide various forms of support to help their children live independently </w:t>
      </w:r>
      <w:r>
        <w:rPr>
          <w:rFonts w:ascii="Cambria" w:hAnsi="Cambria" w:cstheme="minorHAnsi"/>
        </w:rPr>
        <w:t>(Heath and Calvert, 2013</w:t>
      </w:r>
      <w:r w:rsidR="00A82C05">
        <w:rPr>
          <w:rFonts w:ascii="Cambria" w:hAnsi="Cambria" w:cstheme="minorHAnsi"/>
        </w:rPr>
        <w:t>; Manzo et al., 2018</w:t>
      </w:r>
      <w:r>
        <w:rPr>
          <w:rFonts w:ascii="Cambria" w:hAnsi="Cambria" w:cstheme="minorHAnsi"/>
        </w:rPr>
        <w:t>) or</w:t>
      </w:r>
      <w:r w:rsidR="00237E58">
        <w:rPr>
          <w:rFonts w:ascii="Cambria" w:hAnsi="Cambria" w:cstheme="minorHAnsi"/>
        </w:rPr>
        <w:t xml:space="preserve"> </w:t>
      </w:r>
      <w:r w:rsidR="00F6498F">
        <w:rPr>
          <w:rFonts w:ascii="Cambria" w:hAnsi="Cambria" w:cstheme="minorHAnsi"/>
        </w:rPr>
        <w:t xml:space="preserve">overcome the </w:t>
      </w:r>
      <w:r w:rsidR="0038011E">
        <w:rPr>
          <w:rFonts w:ascii="Cambria" w:hAnsi="Cambria" w:cstheme="minorHAnsi"/>
        </w:rPr>
        <w:t xml:space="preserve">growing </w:t>
      </w:r>
      <w:r w:rsidR="00F6498F">
        <w:rPr>
          <w:rFonts w:ascii="Cambria" w:hAnsi="Cambria" w:cstheme="minorHAnsi"/>
        </w:rPr>
        <w:t>financial barriers to homeownership</w:t>
      </w:r>
      <w:r w:rsidR="00BA6B83">
        <w:rPr>
          <w:rFonts w:ascii="Cambria" w:hAnsi="Cambria" w:cstheme="minorHAnsi"/>
        </w:rPr>
        <w:t xml:space="preserve"> entry</w:t>
      </w:r>
      <w:r w:rsidR="00F6498F">
        <w:rPr>
          <w:rFonts w:ascii="Cambria" w:hAnsi="Cambria" w:cstheme="minorHAnsi"/>
        </w:rPr>
        <w:t xml:space="preserve"> </w:t>
      </w:r>
      <w:r>
        <w:rPr>
          <w:rFonts w:ascii="Cambria" w:hAnsi="Cambria" w:cstheme="minorHAnsi"/>
        </w:rPr>
        <w:t>(</w:t>
      </w:r>
      <w:r w:rsidR="00F6498F">
        <w:rPr>
          <w:rFonts w:ascii="Cambria" w:hAnsi="Cambria" w:cstheme="minorHAnsi"/>
        </w:rPr>
        <w:t>Albertini et al.</w:t>
      </w:r>
      <w:r w:rsidR="00A82C05">
        <w:rPr>
          <w:rFonts w:ascii="Cambria" w:hAnsi="Cambria" w:cstheme="minorHAnsi"/>
        </w:rPr>
        <w:t>,</w:t>
      </w:r>
      <w:r w:rsidR="00F6498F">
        <w:rPr>
          <w:rFonts w:ascii="Cambria" w:hAnsi="Cambria" w:cstheme="minorHAnsi"/>
        </w:rPr>
        <w:t xml:space="preserve"> 2018; Mulder et al.</w:t>
      </w:r>
      <w:r w:rsidR="00A82C05">
        <w:rPr>
          <w:rFonts w:ascii="Cambria" w:hAnsi="Cambria" w:cstheme="minorHAnsi"/>
        </w:rPr>
        <w:t>,</w:t>
      </w:r>
      <w:r w:rsidR="00F6498F">
        <w:rPr>
          <w:rFonts w:ascii="Cambria" w:hAnsi="Cambria" w:cstheme="minorHAnsi"/>
        </w:rPr>
        <w:t xml:space="preserve"> 2015)</w:t>
      </w:r>
      <w:r>
        <w:rPr>
          <w:rFonts w:ascii="Cambria" w:hAnsi="Cambria" w:cstheme="minorHAnsi"/>
        </w:rPr>
        <w:t>. Considering how macro-level institutions</w:t>
      </w:r>
      <w:r w:rsidR="00F457B7">
        <w:rPr>
          <w:rFonts w:ascii="Cambria" w:hAnsi="Cambria" w:cstheme="minorHAnsi"/>
        </w:rPr>
        <w:t>,</w:t>
      </w:r>
      <w:r>
        <w:rPr>
          <w:rFonts w:ascii="Cambria" w:hAnsi="Cambria" w:cstheme="minorHAnsi"/>
        </w:rPr>
        <w:t xml:space="preserve"> structures </w:t>
      </w:r>
      <w:r w:rsidR="00F457B7">
        <w:rPr>
          <w:rFonts w:ascii="Cambria" w:hAnsi="Cambria" w:cstheme="minorHAnsi"/>
        </w:rPr>
        <w:t xml:space="preserve">and culture </w:t>
      </w:r>
      <w:r>
        <w:rPr>
          <w:rFonts w:ascii="Cambria" w:hAnsi="Cambria" w:cstheme="minorHAnsi"/>
        </w:rPr>
        <w:t xml:space="preserve">constrain agency and unevenly influence housing careers is also important, for example as geographic variations in housing provision and costs influence young adults’ prosperity, living arrangements and fertility (McKee et al., 2017a). This type of contextual effect can help generate patterns of cumulative disadvantage over the life course as success in early adulthood increases the flow of advantages throughout later life (Putnam, 2015). </w:t>
      </w:r>
      <w:r w:rsidR="00F6498F">
        <w:rPr>
          <w:rFonts w:ascii="Cambria" w:hAnsi="Cambria" w:cstheme="minorHAnsi"/>
        </w:rPr>
        <w:t>Distinguishing s</w:t>
      </w:r>
      <w:r w:rsidR="00085728">
        <w:rPr>
          <w:rFonts w:ascii="Cambria" w:hAnsi="Cambria" w:cstheme="minorHAnsi"/>
        </w:rPr>
        <w:t xml:space="preserve">hared </w:t>
      </w:r>
      <w:r w:rsidR="00085728" w:rsidRPr="00A755E8">
        <w:rPr>
          <w:rFonts w:ascii="Cambria" w:hAnsi="Cambria" w:cstheme="minorHAnsi"/>
          <w:i/>
        </w:rPr>
        <w:t>cohort effects</w:t>
      </w:r>
      <w:r w:rsidR="00085728">
        <w:rPr>
          <w:rFonts w:ascii="Cambria" w:hAnsi="Cambria" w:cstheme="minorHAnsi"/>
        </w:rPr>
        <w:t xml:space="preserve"> </w:t>
      </w:r>
      <w:r w:rsidR="00F6498F">
        <w:rPr>
          <w:rFonts w:ascii="Cambria" w:hAnsi="Cambria" w:cstheme="minorHAnsi"/>
        </w:rPr>
        <w:t xml:space="preserve">on life course experiences </w:t>
      </w:r>
      <w:r w:rsidR="00085728">
        <w:rPr>
          <w:rFonts w:ascii="Cambria" w:hAnsi="Cambria" w:cstheme="minorHAnsi"/>
        </w:rPr>
        <w:t xml:space="preserve">from the individual effects of </w:t>
      </w:r>
      <w:r w:rsidR="00085728" w:rsidRPr="00A755E8">
        <w:rPr>
          <w:rFonts w:ascii="Cambria" w:hAnsi="Cambria" w:cstheme="minorHAnsi"/>
          <w:i/>
        </w:rPr>
        <w:t xml:space="preserve">ageing </w:t>
      </w:r>
      <w:r w:rsidR="00085728">
        <w:rPr>
          <w:rFonts w:ascii="Cambria" w:hAnsi="Cambria" w:cstheme="minorHAnsi"/>
        </w:rPr>
        <w:t xml:space="preserve">processes, as well as </w:t>
      </w:r>
      <w:r w:rsidR="00085728" w:rsidRPr="00D468B9">
        <w:rPr>
          <w:rFonts w:ascii="Cambria" w:hAnsi="Cambria" w:cstheme="minorHAnsi"/>
        </w:rPr>
        <w:t xml:space="preserve">from </w:t>
      </w:r>
      <w:r w:rsidR="00085728" w:rsidRPr="00A755E8">
        <w:rPr>
          <w:rFonts w:ascii="Cambria" w:hAnsi="Cambria" w:cstheme="minorHAnsi"/>
          <w:i/>
        </w:rPr>
        <w:t>period effects</w:t>
      </w:r>
      <w:r w:rsidR="00085728">
        <w:rPr>
          <w:rFonts w:ascii="Cambria" w:hAnsi="Cambria" w:cstheme="minorHAnsi"/>
        </w:rPr>
        <w:t xml:space="preserve"> that impact on all members of a population living through a given moment of historical time</w:t>
      </w:r>
      <w:r w:rsidR="00F6498F">
        <w:rPr>
          <w:rFonts w:ascii="Cambria" w:hAnsi="Cambria" w:cstheme="minorHAnsi"/>
        </w:rPr>
        <w:t xml:space="preserve">, </w:t>
      </w:r>
      <w:r w:rsidR="00B96158">
        <w:rPr>
          <w:rFonts w:ascii="Cambria" w:hAnsi="Cambria" w:cstheme="minorHAnsi"/>
        </w:rPr>
        <w:t xml:space="preserve">is </w:t>
      </w:r>
      <w:r w:rsidR="00A36CB2">
        <w:rPr>
          <w:rFonts w:ascii="Cambria" w:hAnsi="Cambria" w:cstheme="minorHAnsi"/>
        </w:rPr>
        <w:t xml:space="preserve">therefore </w:t>
      </w:r>
      <w:r w:rsidR="00B96158">
        <w:rPr>
          <w:rFonts w:ascii="Cambria" w:hAnsi="Cambria" w:cstheme="minorHAnsi"/>
        </w:rPr>
        <w:t>a</w:t>
      </w:r>
      <w:r w:rsidR="0011558F">
        <w:rPr>
          <w:rFonts w:ascii="Cambria" w:hAnsi="Cambria" w:cstheme="minorHAnsi"/>
        </w:rPr>
        <w:t xml:space="preserve"> crucial</w:t>
      </w:r>
      <w:r w:rsidR="00B96158">
        <w:rPr>
          <w:rFonts w:ascii="Cambria" w:hAnsi="Cambria" w:cstheme="minorHAnsi"/>
        </w:rPr>
        <w:t xml:space="preserve"> </w:t>
      </w:r>
      <w:r w:rsidR="006D174E">
        <w:rPr>
          <w:rFonts w:ascii="Cambria" w:hAnsi="Cambria" w:cstheme="minorHAnsi"/>
        </w:rPr>
        <w:t>objective</w:t>
      </w:r>
      <w:r w:rsidR="00F6498F">
        <w:rPr>
          <w:rFonts w:ascii="Cambria" w:hAnsi="Cambria" w:cstheme="minorHAnsi"/>
        </w:rPr>
        <w:t xml:space="preserve"> </w:t>
      </w:r>
      <w:r w:rsidR="001155C6">
        <w:rPr>
          <w:rFonts w:ascii="Cambria" w:hAnsi="Cambria" w:cstheme="minorHAnsi"/>
        </w:rPr>
        <w:t xml:space="preserve">for life course researchers </w:t>
      </w:r>
      <w:r w:rsidR="00F6498F">
        <w:rPr>
          <w:rFonts w:ascii="Cambria" w:hAnsi="Cambria" w:cstheme="minorHAnsi"/>
        </w:rPr>
        <w:t>(Findlay et al.</w:t>
      </w:r>
      <w:r w:rsidR="00380A8F">
        <w:rPr>
          <w:rFonts w:ascii="Cambria" w:hAnsi="Cambria" w:cstheme="minorHAnsi"/>
        </w:rPr>
        <w:t>,</w:t>
      </w:r>
      <w:r w:rsidR="00F6498F">
        <w:rPr>
          <w:rFonts w:ascii="Cambria" w:hAnsi="Cambria" w:cstheme="minorHAnsi"/>
        </w:rPr>
        <w:t xml:space="preserve"> 2015)</w:t>
      </w:r>
      <w:r w:rsidR="00085728">
        <w:rPr>
          <w:rFonts w:ascii="Cambria" w:hAnsi="Cambria" w:cstheme="minorHAnsi"/>
        </w:rPr>
        <w:t xml:space="preserve">. </w:t>
      </w:r>
      <w:r w:rsidR="00071E8B">
        <w:rPr>
          <w:rFonts w:ascii="Cambria" w:hAnsi="Cambria" w:cstheme="minorHAnsi"/>
        </w:rPr>
        <w:t xml:space="preserve"> </w:t>
      </w:r>
    </w:p>
    <w:p w14:paraId="238D7D24" w14:textId="61FE2B02" w:rsidR="004F36EF" w:rsidRDefault="00D253F0" w:rsidP="000D0D69">
      <w:pPr>
        <w:spacing w:after="240" w:line="480" w:lineRule="auto"/>
        <w:rPr>
          <w:rFonts w:ascii="Cambria" w:hAnsi="Cambria" w:cstheme="minorHAnsi"/>
        </w:rPr>
      </w:pPr>
      <w:r>
        <w:rPr>
          <w:rFonts w:ascii="Cambria" w:hAnsi="Cambria" w:cstheme="minorHAnsi"/>
        </w:rPr>
        <w:lastRenderedPageBreak/>
        <w:t>On a broader level,</w:t>
      </w:r>
      <w:r w:rsidR="003A343E">
        <w:rPr>
          <w:rFonts w:ascii="Cambria" w:hAnsi="Cambria" w:cstheme="minorHAnsi"/>
        </w:rPr>
        <w:t xml:space="preserve"> we argue that </w:t>
      </w:r>
      <w:r>
        <w:rPr>
          <w:rFonts w:ascii="Cambria" w:hAnsi="Cambria" w:cstheme="minorHAnsi"/>
        </w:rPr>
        <w:t>more strongly integrating</w:t>
      </w:r>
      <w:r w:rsidR="003A343E">
        <w:rPr>
          <w:rFonts w:ascii="Cambria" w:hAnsi="Cambria" w:cstheme="minorHAnsi"/>
        </w:rPr>
        <w:t xml:space="preserve"> longitudinal data and methods</w:t>
      </w:r>
      <w:r w:rsidR="00555C22">
        <w:rPr>
          <w:rFonts w:ascii="Cambria" w:hAnsi="Cambria" w:cstheme="minorHAnsi"/>
        </w:rPr>
        <w:t xml:space="preserve"> </w:t>
      </w:r>
      <w:r w:rsidR="003A343E">
        <w:rPr>
          <w:rFonts w:ascii="Cambria" w:hAnsi="Cambria" w:cstheme="minorHAnsi"/>
        </w:rPr>
        <w:t xml:space="preserve">into </w:t>
      </w:r>
      <w:r w:rsidR="00555C22">
        <w:rPr>
          <w:rFonts w:ascii="Cambria" w:hAnsi="Cambria" w:cstheme="minorHAnsi"/>
        </w:rPr>
        <w:t xml:space="preserve">geographical </w:t>
      </w:r>
      <w:r w:rsidR="003A343E">
        <w:rPr>
          <w:rFonts w:ascii="Cambria" w:hAnsi="Cambria" w:cstheme="minorHAnsi"/>
        </w:rPr>
        <w:t>research and teaching will</w:t>
      </w:r>
      <w:r w:rsidR="00555C22">
        <w:rPr>
          <w:rFonts w:ascii="Cambria" w:hAnsi="Cambria" w:cstheme="minorHAnsi"/>
        </w:rPr>
        <w:t xml:space="preserve"> help </w:t>
      </w:r>
      <w:r w:rsidR="00322EFB">
        <w:rPr>
          <w:rFonts w:ascii="Cambria" w:hAnsi="Cambria" w:cstheme="minorHAnsi"/>
        </w:rPr>
        <w:t xml:space="preserve">to </w:t>
      </w:r>
      <w:r w:rsidR="007B1D6B">
        <w:rPr>
          <w:rFonts w:ascii="Cambria" w:hAnsi="Cambria" w:cstheme="minorHAnsi"/>
        </w:rPr>
        <w:t>foster</w:t>
      </w:r>
      <w:r w:rsidR="00555C22">
        <w:rPr>
          <w:rFonts w:ascii="Cambria" w:hAnsi="Cambria" w:cstheme="minorHAnsi"/>
        </w:rPr>
        <w:t xml:space="preserve"> a pluralistic school of quantitative </w:t>
      </w:r>
      <w:r w:rsidR="00887DA4">
        <w:rPr>
          <w:rFonts w:ascii="Cambria" w:hAnsi="Cambria" w:cstheme="minorHAnsi"/>
        </w:rPr>
        <w:t xml:space="preserve">human </w:t>
      </w:r>
      <w:r w:rsidR="00555C22">
        <w:rPr>
          <w:rFonts w:ascii="Cambria" w:hAnsi="Cambria" w:cstheme="minorHAnsi"/>
        </w:rPr>
        <w:t xml:space="preserve">geography that encompasses conventional </w:t>
      </w:r>
      <w:r w:rsidR="00485AA1">
        <w:rPr>
          <w:rFonts w:ascii="Cambria" w:hAnsi="Cambria" w:cstheme="minorHAnsi"/>
        </w:rPr>
        <w:t>census and survey analysis</w:t>
      </w:r>
      <w:r w:rsidR="007626D1">
        <w:rPr>
          <w:rFonts w:ascii="Cambria" w:hAnsi="Cambria" w:cstheme="minorHAnsi"/>
        </w:rPr>
        <w:t xml:space="preserve"> </w:t>
      </w:r>
      <w:r w:rsidR="00555C22">
        <w:rPr>
          <w:rFonts w:ascii="Cambria" w:hAnsi="Cambria" w:cstheme="minorHAnsi"/>
        </w:rPr>
        <w:t xml:space="preserve">as well as the </w:t>
      </w:r>
      <w:r w:rsidR="0036133E">
        <w:rPr>
          <w:rFonts w:ascii="Cambria" w:hAnsi="Cambria" w:cstheme="minorHAnsi"/>
        </w:rPr>
        <w:t xml:space="preserve">emerging </w:t>
      </w:r>
      <w:r w:rsidR="00555C22">
        <w:rPr>
          <w:rFonts w:ascii="Cambria" w:hAnsi="Cambria" w:cstheme="minorHAnsi"/>
        </w:rPr>
        <w:t xml:space="preserve">frontiers of </w:t>
      </w:r>
      <w:r w:rsidR="00887DA4">
        <w:rPr>
          <w:rFonts w:ascii="Cambria" w:hAnsi="Cambria" w:cstheme="minorHAnsi"/>
        </w:rPr>
        <w:t xml:space="preserve">data science and </w:t>
      </w:r>
      <w:r w:rsidR="001C3C8D">
        <w:rPr>
          <w:rFonts w:ascii="Cambria" w:hAnsi="Cambria" w:cstheme="minorHAnsi"/>
        </w:rPr>
        <w:t>Big D</w:t>
      </w:r>
      <w:r w:rsidR="00555C22">
        <w:rPr>
          <w:rFonts w:ascii="Cambria" w:hAnsi="Cambria" w:cstheme="minorHAnsi"/>
        </w:rPr>
        <w:t xml:space="preserve">ata analytics (Arribas-Bel and Reades, 2018; </w:t>
      </w:r>
      <w:r w:rsidR="00DA51A0">
        <w:rPr>
          <w:rFonts w:ascii="Cambria" w:hAnsi="Cambria" w:cstheme="minorHAnsi"/>
        </w:rPr>
        <w:t xml:space="preserve">Connelly et al., 2016; </w:t>
      </w:r>
      <w:r w:rsidR="00555C22">
        <w:rPr>
          <w:rFonts w:ascii="Cambria" w:hAnsi="Cambria" w:cstheme="minorHAnsi"/>
        </w:rPr>
        <w:t>Lansley and Cheshire, 2018).</w:t>
      </w:r>
      <w:r w:rsidR="00887DA4">
        <w:rPr>
          <w:rFonts w:ascii="Cambria" w:hAnsi="Cambria" w:cstheme="minorHAnsi"/>
        </w:rPr>
        <w:t xml:space="preserve"> </w:t>
      </w:r>
      <w:r w:rsidR="00986777">
        <w:rPr>
          <w:rFonts w:ascii="Cambria" w:hAnsi="Cambria" w:cstheme="minorHAnsi"/>
        </w:rPr>
        <w:t>Building</w:t>
      </w:r>
      <w:r w:rsidR="00887DA4">
        <w:rPr>
          <w:rFonts w:ascii="Cambria" w:hAnsi="Cambria" w:cstheme="minorHAnsi"/>
        </w:rPr>
        <w:t xml:space="preserve"> a </w:t>
      </w:r>
      <w:r w:rsidR="00B86002">
        <w:rPr>
          <w:rFonts w:ascii="Cambria" w:hAnsi="Cambria" w:cstheme="minorHAnsi"/>
        </w:rPr>
        <w:t xml:space="preserve">richer </w:t>
      </w:r>
      <w:r w:rsidR="00887DA4">
        <w:rPr>
          <w:rFonts w:ascii="Cambria" w:hAnsi="Cambria" w:cstheme="minorHAnsi"/>
        </w:rPr>
        <w:t>‘big tent’ model of quantitative geography characterised by c</w:t>
      </w:r>
      <w:r w:rsidR="00B22843">
        <w:rPr>
          <w:rFonts w:ascii="Cambria" w:hAnsi="Cambria" w:cstheme="minorHAnsi"/>
        </w:rPr>
        <w:t xml:space="preserve">ollaboration between </w:t>
      </w:r>
      <w:r w:rsidR="00B91F91">
        <w:rPr>
          <w:rFonts w:ascii="Cambria" w:hAnsi="Cambria" w:cstheme="minorHAnsi"/>
        </w:rPr>
        <w:t>researchers</w:t>
      </w:r>
      <w:r w:rsidR="00B22843">
        <w:rPr>
          <w:rFonts w:ascii="Cambria" w:hAnsi="Cambria" w:cstheme="minorHAnsi"/>
        </w:rPr>
        <w:t xml:space="preserve"> skilled in</w:t>
      </w:r>
      <w:r w:rsidR="0089184D">
        <w:rPr>
          <w:rFonts w:ascii="Cambria" w:hAnsi="Cambria" w:cstheme="minorHAnsi"/>
        </w:rPr>
        <w:t xml:space="preserve"> these</w:t>
      </w:r>
      <w:r w:rsidR="00B22843">
        <w:rPr>
          <w:rFonts w:ascii="Cambria" w:hAnsi="Cambria" w:cstheme="minorHAnsi"/>
        </w:rPr>
        <w:t xml:space="preserve"> </w:t>
      </w:r>
      <w:r w:rsidR="00887DA4">
        <w:rPr>
          <w:rFonts w:ascii="Cambria" w:hAnsi="Cambria" w:cstheme="minorHAnsi"/>
        </w:rPr>
        <w:t>different</w:t>
      </w:r>
      <w:r w:rsidR="00B22843">
        <w:rPr>
          <w:rFonts w:ascii="Cambria" w:hAnsi="Cambria" w:cstheme="minorHAnsi"/>
        </w:rPr>
        <w:t xml:space="preserve"> traditions</w:t>
      </w:r>
      <w:r w:rsidR="00F85338">
        <w:rPr>
          <w:rFonts w:ascii="Cambria" w:hAnsi="Cambria" w:cstheme="minorHAnsi"/>
        </w:rPr>
        <w:t xml:space="preserve"> —</w:t>
      </w:r>
      <w:r w:rsidR="00B22843">
        <w:rPr>
          <w:rFonts w:ascii="Cambria" w:hAnsi="Cambria" w:cstheme="minorHAnsi"/>
        </w:rPr>
        <w:t xml:space="preserve"> </w:t>
      </w:r>
      <w:r w:rsidR="007E545C">
        <w:rPr>
          <w:rFonts w:ascii="Cambria" w:hAnsi="Cambria" w:cstheme="minorHAnsi"/>
        </w:rPr>
        <w:t xml:space="preserve">as well </w:t>
      </w:r>
      <w:r w:rsidR="00D9178C">
        <w:rPr>
          <w:rFonts w:ascii="Cambria" w:hAnsi="Cambria" w:cstheme="minorHAnsi"/>
        </w:rPr>
        <w:t xml:space="preserve">as </w:t>
      </w:r>
      <w:r w:rsidR="00A94C48">
        <w:rPr>
          <w:rFonts w:ascii="Cambria" w:hAnsi="Cambria" w:cstheme="minorHAnsi"/>
        </w:rPr>
        <w:t xml:space="preserve">partnerships </w:t>
      </w:r>
      <w:r w:rsidR="007E545C">
        <w:rPr>
          <w:rFonts w:ascii="Cambria" w:hAnsi="Cambria" w:cstheme="minorHAnsi"/>
        </w:rPr>
        <w:t xml:space="preserve">with </w:t>
      </w:r>
      <w:r w:rsidR="00B91F91">
        <w:rPr>
          <w:rFonts w:ascii="Cambria" w:hAnsi="Cambria" w:cstheme="minorHAnsi"/>
        </w:rPr>
        <w:t>specialists</w:t>
      </w:r>
      <w:r w:rsidR="009D176F">
        <w:rPr>
          <w:rFonts w:ascii="Cambria" w:hAnsi="Cambria" w:cstheme="minorHAnsi"/>
        </w:rPr>
        <w:t xml:space="preserve"> </w:t>
      </w:r>
      <w:r w:rsidR="007E545C">
        <w:rPr>
          <w:rFonts w:ascii="Cambria" w:hAnsi="Cambria" w:cstheme="minorHAnsi"/>
        </w:rPr>
        <w:t xml:space="preserve">in </w:t>
      </w:r>
      <w:r w:rsidR="001C45C5">
        <w:rPr>
          <w:rFonts w:ascii="Cambria" w:hAnsi="Cambria" w:cstheme="minorHAnsi"/>
        </w:rPr>
        <w:t>cognate</w:t>
      </w:r>
      <w:r w:rsidR="007E545C">
        <w:rPr>
          <w:rFonts w:ascii="Cambria" w:hAnsi="Cambria" w:cstheme="minorHAnsi"/>
        </w:rPr>
        <w:t xml:space="preserve"> disciplines </w:t>
      </w:r>
      <w:r w:rsidR="00F85338">
        <w:rPr>
          <w:rFonts w:ascii="Cambria" w:hAnsi="Cambria" w:cstheme="minorHAnsi"/>
        </w:rPr>
        <w:t>—</w:t>
      </w:r>
      <w:r w:rsidR="007E545C">
        <w:rPr>
          <w:rFonts w:ascii="Cambria" w:hAnsi="Cambria" w:cstheme="minorHAnsi"/>
        </w:rPr>
        <w:t xml:space="preserve"> </w:t>
      </w:r>
      <w:r w:rsidR="00277D83">
        <w:rPr>
          <w:rFonts w:ascii="Cambria" w:hAnsi="Cambria" w:cstheme="minorHAnsi"/>
        </w:rPr>
        <w:t>c</w:t>
      </w:r>
      <w:r w:rsidR="00887DA4">
        <w:rPr>
          <w:rFonts w:ascii="Cambria" w:hAnsi="Cambria" w:cstheme="minorHAnsi"/>
        </w:rPr>
        <w:t>ould</w:t>
      </w:r>
      <w:r w:rsidR="00277D83">
        <w:rPr>
          <w:rFonts w:ascii="Cambria" w:hAnsi="Cambria" w:cstheme="minorHAnsi"/>
        </w:rPr>
        <w:t xml:space="preserve"> </w:t>
      </w:r>
      <w:r w:rsidR="001A7AA0">
        <w:rPr>
          <w:rFonts w:ascii="Cambria" w:hAnsi="Cambria" w:cstheme="minorHAnsi"/>
        </w:rPr>
        <w:t>produce</w:t>
      </w:r>
      <w:r w:rsidR="00277D83">
        <w:rPr>
          <w:rFonts w:ascii="Cambria" w:hAnsi="Cambria" w:cstheme="minorHAnsi"/>
        </w:rPr>
        <w:t xml:space="preserve"> a better appreciation of the strengths and weaknesses of </w:t>
      </w:r>
      <w:r w:rsidR="00310974">
        <w:rPr>
          <w:rFonts w:ascii="Cambria" w:hAnsi="Cambria" w:cstheme="minorHAnsi"/>
        </w:rPr>
        <w:t xml:space="preserve">using </w:t>
      </w:r>
      <w:r w:rsidR="00277D83">
        <w:rPr>
          <w:rFonts w:ascii="Cambria" w:hAnsi="Cambria" w:cstheme="minorHAnsi"/>
        </w:rPr>
        <w:t>di</w:t>
      </w:r>
      <w:r w:rsidR="0063507E">
        <w:rPr>
          <w:rFonts w:ascii="Cambria" w:hAnsi="Cambria" w:cstheme="minorHAnsi"/>
        </w:rPr>
        <w:t>fferent forms of numerical data</w:t>
      </w:r>
      <w:r w:rsidR="00D50903">
        <w:rPr>
          <w:rFonts w:ascii="Cambria" w:hAnsi="Cambria" w:cstheme="minorHAnsi"/>
        </w:rPr>
        <w:t xml:space="preserve"> </w:t>
      </w:r>
      <w:r w:rsidR="00782946">
        <w:rPr>
          <w:rFonts w:ascii="Cambria" w:hAnsi="Cambria" w:cstheme="minorHAnsi"/>
        </w:rPr>
        <w:t>in a</w:t>
      </w:r>
      <w:r w:rsidR="00522A66">
        <w:rPr>
          <w:rFonts w:ascii="Cambria" w:hAnsi="Cambria" w:cstheme="minorHAnsi"/>
        </w:rPr>
        <w:t>ny</w:t>
      </w:r>
      <w:r w:rsidR="00782946">
        <w:rPr>
          <w:rFonts w:ascii="Cambria" w:hAnsi="Cambria" w:cstheme="minorHAnsi"/>
        </w:rPr>
        <w:t xml:space="preserve"> given </w:t>
      </w:r>
      <w:r w:rsidR="00364CAB">
        <w:rPr>
          <w:rFonts w:ascii="Cambria" w:hAnsi="Cambria" w:cstheme="minorHAnsi"/>
        </w:rPr>
        <w:t xml:space="preserve">research </w:t>
      </w:r>
      <w:r w:rsidR="00782946">
        <w:rPr>
          <w:rFonts w:ascii="Cambria" w:hAnsi="Cambria" w:cstheme="minorHAnsi"/>
        </w:rPr>
        <w:t>application</w:t>
      </w:r>
      <w:r w:rsidR="0063507E">
        <w:rPr>
          <w:rFonts w:ascii="Cambria" w:hAnsi="Cambria" w:cstheme="minorHAnsi"/>
        </w:rPr>
        <w:t xml:space="preserve">. </w:t>
      </w:r>
      <w:r w:rsidR="00566E9A">
        <w:rPr>
          <w:rFonts w:ascii="Cambria" w:hAnsi="Cambria" w:cstheme="minorHAnsi"/>
        </w:rPr>
        <w:t xml:space="preserve">Ultimately, creating </w:t>
      </w:r>
      <w:r w:rsidR="00F753E0">
        <w:rPr>
          <w:rFonts w:ascii="Cambria" w:hAnsi="Cambria" w:cstheme="minorHAnsi"/>
        </w:rPr>
        <w:t>greater</w:t>
      </w:r>
      <w:r w:rsidR="00566E9A">
        <w:rPr>
          <w:rFonts w:ascii="Cambria" w:hAnsi="Cambria" w:cstheme="minorHAnsi"/>
        </w:rPr>
        <w:t xml:space="preserve"> </w:t>
      </w:r>
      <w:r w:rsidR="00C9127E">
        <w:rPr>
          <w:rFonts w:ascii="Cambria" w:hAnsi="Cambria" w:cstheme="minorHAnsi"/>
        </w:rPr>
        <w:t xml:space="preserve">quantitative </w:t>
      </w:r>
      <w:r w:rsidR="00566E9A">
        <w:rPr>
          <w:rFonts w:ascii="Cambria" w:hAnsi="Cambria" w:cstheme="minorHAnsi"/>
        </w:rPr>
        <w:t>dialogue</w:t>
      </w:r>
      <w:r w:rsidR="0099630C">
        <w:rPr>
          <w:rFonts w:ascii="Cambria" w:hAnsi="Cambria" w:cstheme="minorHAnsi"/>
        </w:rPr>
        <w:t xml:space="preserve"> and</w:t>
      </w:r>
      <w:r w:rsidR="00C9127E">
        <w:rPr>
          <w:rFonts w:ascii="Cambria" w:hAnsi="Cambria" w:cstheme="minorHAnsi"/>
        </w:rPr>
        <w:t xml:space="preserve"> </w:t>
      </w:r>
      <w:r w:rsidR="0099630C">
        <w:rPr>
          <w:rFonts w:ascii="Cambria" w:hAnsi="Cambria" w:cstheme="minorHAnsi"/>
        </w:rPr>
        <w:t>team</w:t>
      </w:r>
      <w:r w:rsidR="00566E9A">
        <w:rPr>
          <w:rFonts w:ascii="Cambria" w:hAnsi="Cambria" w:cstheme="minorHAnsi"/>
        </w:rPr>
        <w:t xml:space="preserve">work should </w:t>
      </w:r>
      <w:r w:rsidR="00D131AD">
        <w:rPr>
          <w:rFonts w:ascii="Cambria" w:hAnsi="Cambria" w:cstheme="minorHAnsi"/>
        </w:rPr>
        <w:t xml:space="preserve">yield </w:t>
      </w:r>
      <w:r w:rsidR="00631027">
        <w:rPr>
          <w:rFonts w:ascii="Cambria" w:hAnsi="Cambria" w:cstheme="minorHAnsi"/>
        </w:rPr>
        <w:t>more rigorous scholarship</w:t>
      </w:r>
      <w:r w:rsidR="00CF2715">
        <w:rPr>
          <w:rFonts w:ascii="Cambria" w:hAnsi="Cambria" w:cstheme="minorHAnsi"/>
        </w:rPr>
        <w:t xml:space="preserve"> </w:t>
      </w:r>
      <w:r w:rsidR="00230651">
        <w:rPr>
          <w:rFonts w:ascii="Cambria" w:hAnsi="Cambria" w:cstheme="minorHAnsi"/>
        </w:rPr>
        <w:t xml:space="preserve">that </w:t>
      </w:r>
      <w:r w:rsidR="007F7943">
        <w:rPr>
          <w:rFonts w:ascii="Cambria" w:hAnsi="Cambria" w:cstheme="minorHAnsi"/>
        </w:rPr>
        <w:t xml:space="preserve">can </w:t>
      </w:r>
      <w:r w:rsidR="004B46B8">
        <w:rPr>
          <w:rFonts w:ascii="Cambria" w:hAnsi="Cambria" w:cstheme="minorHAnsi"/>
        </w:rPr>
        <w:t xml:space="preserve">critically </w:t>
      </w:r>
      <w:r w:rsidR="00230651">
        <w:rPr>
          <w:rFonts w:ascii="Cambria" w:hAnsi="Cambria" w:cstheme="minorHAnsi"/>
        </w:rPr>
        <w:t>engage with</w:t>
      </w:r>
      <w:r w:rsidR="00824AB6">
        <w:rPr>
          <w:rFonts w:ascii="Cambria" w:hAnsi="Cambria" w:cstheme="minorHAnsi"/>
        </w:rPr>
        <w:t xml:space="preserve"> </w:t>
      </w:r>
      <w:r w:rsidR="004B46B8">
        <w:rPr>
          <w:rFonts w:ascii="Cambria" w:hAnsi="Cambria" w:cstheme="minorHAnsi"/>
        </w:rPr>
        <w:t xml:space="preserve">the material </w:t>
      </w:r>
      <w:r w:rsidR="00230651">
        <w:rPr>
          <w:rFonts w:ascii="Cambria" w:hAnsi="Cambria" w:cstheme="minorHAnsi"/>
        </w:rPr>
        <w:t>social</w:t>
      </w:r>
      <w:r w:rsidR="00687404">
        <w:rPr>
          <w:rFonts w:ascii="Cambria" w:hAnsi="Cambria" w:cstheme="minorHAnsi"/>
        </w:rPr>
        <w:t>,</w:t>
      </w:r>
      <w:r w:rsidR="00230651">
        <w:rPr>
          <w:rFonts w:ascii="Cambria" w:hAnsi="Cambria" w:cstheme="minorHAnsi"/>
        </w:rPr>
        <w:t xml:space="preserve"> economic </w:t>
      </w:r>
      <w:r w:rsidR="00687404">
        <w:rPr>
          <w:rFonts w:ascii="Cambria" w:hAnsi="Cambria" w:cstheme="minorHAnsi"/>
        </w:rPr>
        <w:t xml:space="preserve">and policy </w:t>
      </w:r>
      <w:r w:rsidR="00230651">
        <w:rPr>
          <w:rFonts w:ascii="Cambria" w:hAnsi="Cambria" w:cstheme="minorHAnsi"/>
        </w:rPr>
        <w:t>issues</w:t>
      </w:r>
      <w:r w:rsidR="004B46B8">
        <w:rPr>
          <w:rFonts w:ascii="Cambria" w:hAnsi="Cambria" w:cstheme="minorHAnsi"/>
        </w:rPr>
        <w:t xml:space="preserve"> that </w:t>
      </w:r>
      <w:r w:rsidR="00F576F9">
        <w:rPr>
          <w:rFonts w:ascii="Cambria" w:hAnsi="Cambria" w:cstheme="minorHAnsi"/>
        </w:rPr>
        <w:t xml:space="preserve">are sometimes neglected </w:t>
      </w:r>
      <w:r w:rsidR="006F4E28">
        <w:rPr>
          <w:rFonts w:ascii="Cambria" w:hAnsi="Cambria" w:cstheme="minorHAnsi"/>
        </w:rPr>
        <w:t>within</w:t>
      </w:r>
      <w:r w:rsidR="004B46B8">
        <w:rPr>
          <w:rFonts w:ascii="Cambria" w:hAnsi="Cambria" w:cstheme="minorHAnsi"/>
        </w:rPr>
        <w:t xml:space="preserve"> </w:t>
      </w:r>
      <w:r w:rsidR="008144A3">
        <w:rPr>
          <w:rFonts w:ascii="Cambria" w:hAnsi="Cambria" w:cstheme="minorHAnsi"/>
        </w:rPr>
        <w:t xml:space="preserve">contemporary </w:t>
      </w:r>
      <w:r w:rsidR="00F576F9">
        <w:rPr>
          <w:rFonts w:ascii="Cambria" w:hAnsi="Cambria" w:cstheme="minorHAnsi"/>
        </w:rPr>
        <w:t xml:space="preserve">human </w:t>
      </w:r>
      <w:r w:rsidR="004B46B8">
        <w:rPr>
          <w:rFonts w:ascii="Cambria" w:hAnsi="Cambria" w:cstheme="minorHAnsi"/>
        </w:rPr>
        <w:t xml:space="preserve">geography </w:t>
      </w:r>
      <w:r w:rsidR="00136DB1">
        <w:rPr>
          <w:rFonts w:ascii="Cambria" w:hAnsi="Cambria" w:cstheme="minorHAnsi"/>
        </w:rPr>
        <w:t>(</w:t>
      </w:r>
      <w:r w:rsidR="008144A3">
        <w:rPr>
          <w:rFonts w:ascii="Cambria" w:hAnsi="Cambria" w:cstheme="minorHAnsi"/>
        </w:rPr>
        <w:t>Hamnett, 2011)</w:t>
      </w:r>
      <w:r w:rsidR="004B46B8">
        <w:rPr>
          <w:rFonts w:ascii="Cambria" w:hAnsi="Cambria" w:cstheme="minorHAnsi"/>
        </w:rPr>
        <w:t xml:space="preserve">. </w:t>
      </w:r>
      <w:r w:rsidR="00824AB6">
        <w:rPr>
          <w:rFonts w:ascii="Cambria" w:hAnsi="Cambria" w:cstheme="minorHAnsi"/>
        </w:rPr>
        <w:t xml:space="preserve"> </w:t>
      </w:r>
    </w:p>
    <w:p w14:paraId="2C8CAA8B" w14:textId="43370388" w:rsidR="000A1939" w:rsidRDefault="000C2D03" w:rsidP="000A1939">
      <w:pPr>
        <w:spacing w:after="240" w:line="480" w:lineRule="auto"/>
        <w:rPr>
          <w:rFonts w:ascii="Cambria" w:hAnsi="Cambria" w:cstheme="minorHAnsi"/>
        </w:rPr>
      </w:pPr>
      <w:r>
        <w:rPr>
          <w:rFonts w:ascii="Cambria" w:hAnsi="Cambria" w:cstheme="minorHAnsi"/>
        </w:rPr>
        <w:t xml:space="preserve">The rest of this article proceeds as follows. Section 2 describes how longitudinal life course research is unpacking multiple dynamics of </w:t>
      </w:r>
      <w:r w:rsidR="00C91385">
        <w:rPr>
          <w:rFonts w:ascii="Cambria" w:hAnsi="Cambria" w:cstheme="minorHAnsi"/>
        </w:rPr>
        <w:t xml:space="preserve">housing </w:t>
      </w:r>
      <w:r>
        <w:rPr>
          <w:rFonts w:ascii="Cambria" w:hAnsi="Cambria" w:cstheme="minorHAnsi"/>
        </w:rPr>
        <w:t>inequality</w:t>
      </w:r>
      <w:r w:rsidR="00953AE5">
        <w:rPr>
          <w:rFonts w:ascii="Cambria" w:hAnsi="Cambria" w:cstheme="minorHAnsi"/>
        </w:rPr>
        <w:t>,</w:t>
      </w:r>
      <w:r>
        <w:rPr>
          <w:rFonts w:ascii="Cambria" w:hAnsi="Cambria" w:cstheme="minorHAnsi"/>
        </w:rPr>
        <w:t xml:space="preserve"> </w:t>
      </w:r>
      <w:r w:rsidR="00953AE5">
        <w:rPr>
          <w:rFonts w:ascii="Cambria" w:hAnsi="Cambria" w:cstheme="minorHAnsi"/>
        </w:rPr>
        <w:t xml:space="preserve">first </w:t>
      </w:r>
      <w:r>
        <w:rPr>
          <w:rFonts w:ascii="Cambria" w:hAnsi="Cambria" w:cstheme="minorHAnsi"/>
        </w:rPr>
        <w:t>in young adults</w:t>
      </w:r>
      <w:r w:rsidR="00953AE5">
        <w:rPr>
          <w:rFonts w:ascii="Cambria" w:hAnsi="Cambria" w:cstheme="minorHAnsi"/>
        </w:rPr>
        <w:t>’</w:t>
      </w:r>
      <w:r>
        <w:rPr>
          <w:rFonts w:ascii="Cambria" w:hAnsi="Cambria" w:cstheme="minorHAnsi"/>
        </w:rPr>
        <w:t xml:space="preserve"> living arrangements and </w:t>
      </w:r>
      <w:r w:rsidR="00953AE5">
        <w:rPr>
          <w:rFonts w:ascii="Cambria" w:hAnsi="Cambria" w:cstheme="minorHAnsi"/>
        </w:rPr>
        <w:t xml:space="preserve">then in </w:t>
      </w:r>
      <w:r>
        <w:rPr>
          <w:rFonts w:ascii="Cambria" w:hAnsi="Cambria" w:cstheme="minorHAnsi"/>
        </w:rPr>
        <w:t>tenure position</w:t>
      </w:r>
      <w:r w:rsidR="006E114F">
        <w:rPr>
          <w:rFonts w:ascii="Cambria" w:hAnsi="Cambria" w:cstheme="minorHAnsi"/>
        </w:rPr>
        <w:t>s</w:t>
      </w:r>
      <w:r>
        <w:rPr>
          <w:rFonts w:ascii="Cambria" w:hAnsi="Cambria" w:cstheme="minorHAnsi"/>
        </w:rPr>
        <w:t xml:space="preserve">. </w:t>
      </w:r>
      <w:r w:rsidR="000A1939">
        <w:rPr>
          <w:rFonts w:ascii="Cambria" w:hAnsi="Cambria" w:cstheme="minorHAnsi"/>
        </w:rPr>
        <w:t>Here</w:t>
      </w:r>
      <w:r w:rsidR="000A1939" w:rsidRPr="000A1939">
        <w:rPr>
          <w:rFonts w:ascii="Cambria" w:hAnsi="Cambria" w:cstheme="minorHAnsi"/>
        </w:rPr>
        <w:t xml:space="preserve"> </w:t>
      </w:r>
      <w:r w:rsidR="000A1939">
        <w:rPr>
          <w:rFonts w:ascii="Cambria" w:hAnsi="Cambria" w:cstheme="minorHAnsi"/>
        </w:rPr>
        <w:t xml:space="preserve">we draw upon studies using a range of conceptual frameworks. These include models of </w:t>
      </w:r>
      <w:r w:rsidR="000A1939" w:rsidRPr="005C7FBC">
        <w:rPr>
          <w:rFonts w:ascii="Cambria" w:hAnsi="Cambria" w:cstheme="minorHAnsi"/>
          <w:i/>
          <w:iCs/>
        </w:rPr>
        <w:t>housing pathways</w:t>
      </w:r>
      <w:r w:rsidR="000A1939">
        <w:rPr>
          <w:rFonts w:ascii="Cambria" w:hAnsi="Cambria" w:cstheme="minorHAnsi"/>
        </w:rPr>
        <w:t xml:space="preserve"> (Clapham, 2002)</w:t>
      </w:r>
      <w:r w:rsidR="006750ED">
        <w:rPr>
          <w:rFonts w:ascii="Cambria" w:hAnsi="Cambria" w:cstheme="minorHAnsi"/>
        </w:rPr>
        <w:t>,</w:t>
      </w:r>
      <w:r w:rsidR="000A1939">
        <w:rPr>
          <w:rFonts w:ascii="Cambria" w:hAnsi="Cambria" w:cstheme="minorHAnsi"/>
        </w:rPr>
        <w:t xml:space="preserve"> which highlight </w:t>
      </w:r>
      <w:r w:rsidR="005509B0">
        <w:rPr>
          <w:rFonts w:ascii="Cambria" w:hAnsi="Cambria" w:cstheme="minorHAnsi"/>
        </w:rPr>
        <w:t>how</w:t>
      </w:r>
      <w:r w:rsidR="000A1939">
        <w:rPr>
          <w:rFonts w:ascii="Cambria" w:hAnsi="Cambria" w:cstheme="minorHAnsi"/>
        </w:rPr>
        <w:t xml:space="preserve"> complex and non-linear housing trajectories are shaped by events occurri</w:t>
      </w:r>
      <w:r w:rsidR="007A39BB">
        <w:rPr>
          <w:rFonts w:ascii="Cambria" w:hAnsi="Cambria" w:cstheme="minorHAnsi"/>
        </w:rPr>
        <w:t>ng in other life-course domains</w:t>
      </w:r>
      <w:r w:rsidR="000458FE">
        <w:rPr>
          <w:rFonts w:ascii="Cambria" w:hAnsi="Cambria" w:cstheme="minorHAnsi"/>
        </w:rPr>
        <w:t>,</w:t>
      </w:r>
      <w:r w:rsidR="000A1939">
        <w:rPr>
          <w:rFonts w:ascii="Cambria" w:hAnsi="Cambria" w:cstheme="minorHAnsi"/>
        </w:rPr>
        <w:t xml:space="preserve"> as well as </w:t>
      </w:r>
      <w:r w:rsidR="00122FC0">
        <w:rPr>
          <w:rFonts w:ascii="Cambria" w:hAnsi="Cambria" w:cstheme="minorHAnsi"/>
        </w:rPr>
        <w:t xml:space="preserve">by </w:t>
      </w:r>
      <w:r w:rsidR="000A1939">
        <w:rPr>
          <w:rFonts w:ascii="Cambria" w:hAnsi="Cambria" w:cstheme="minorHAnsi"/>
        </w:rPr>
        <w:t xml:space="preserve">life-style preferences and subjective meanings and narratives of housing. Although many housing </w:t>
      </w:r>
      <w:r w:rsidR="00C27180">
        <w:rPr>
          <w:rFonts w:ascii="Cambria" w:hAnsi="Cambria" w:cstheme="minorHAnsi"/>
        </w:rPr>
        <w:t xml:space="preserve">researchers still use the term </w:t>
      </w:r>
      <w:r w:rsidR="00C27180" w:rsidRPr="003428BB">
        <w:rPr>
          <w:rFonts w:ascii="Cambria" w:hAnsi="Cambria" w:cstheme="minorHAnsi"/>
          <w:i/>
        </w:rPr>
        <w:t>housing careers</w:t>
      </w:r>
      <w:r w:rsidR="007A39BB">
        <w:rPr>
          <w:rFonts w:ascii="Cambria" w:hAnsi="Cambria" w:cstheme="minorHAnsi"/>
        </w:rPr>
        <w:t>,</w:t>
      </w:r>
      <w:r w:rsidR="000A1939">
        <w:rPr>
          <w:rFonts w:ascii="Cambria" w:hAnsi="Cambria" w:cstheme="minorHAnsi"/>
        </w:rPr>
        <w:t xml:space="preserve"> which is often understood as implying a normative and traditional housing trajectory (Lennartz and Helbrecht, 2018)</w:t>
      </w:r>
      <w:r w:rsidR="00C27180">
        <w:rPr>
          <w:rFonts w:ascii="Cambria" w:hAnsi="Cambria" w:cstheme="minorHAnsi"/>
        </w:rPr>
        <w:t xml:space="preserve">, </w:t>
      </w:r>
      <w:r w:rsidR="000A1939">
        <w:rPr>
          <w:rFonts w:ascii="Cambria" w:hAnsi="Cambria" w:cstheme="minorHAnsi"/>
        </w:rPr>
        <w:t xml:space="preserve">or </w:t>
      </w:r>
      <w:r w:rsidR="00AE26F4">
        <w:rPr>
          <w:rFonts w:ascii="Cambria" w:hAnsi="Cambria" w:cstheme="minorHAnsi"/>
        </w:rPr>
        <w:t xml:space="preserve">instead </w:t>
      </w:r>
      <w:r w:rsidR="000A1939">
        <w:rPr>
          <w:rFonts w:ascii="Cambria" w:hAnsi="Cambria" w:cstheme="minorHAnsi"/>
        </w:rPr>
        <w:t xml:space="preserve">suggest alternatives such as </w:t>
      </w:r>
      <w:r w:rsidR="000A1939" w:rsidRPr="00410F19">
        <w:rPr>
          <w:rFonts w:ascii="Cambria" w:hAnsi="Cambria" w:cstheme="minorHAnsi"/>
          <w:i/>
          <w:iCs/>
        </w:rPr>
        <w:t>housing transitions</w:t>
      </w:r>
      <w:r w:rsidR="000A1939">
        <w:rPr>
          <w:rFonts w:ascii="Cambria" w:hAnsi="Cambria" w:cstheme="minorHAnsi"/>
        </w:rPr>
        <w:t xml:space="preserve"> to more adequately reflect </w:t>
      </w:r>
      <w:r w:rsidR="00C27180">
        <w:rPr>
          <w:rFonts w:ascii="Cambria" w:hAnsi="Cambria" w:cstheme="minorHAnsi"/>
        </w:rPr>
        <w:t>dynamism</w:t>
      </w:r>
      <w:r w:rsidR="000A1939">
        <w:rPr>
          <w:rFonts w:ascii="Cambria" w:hAnsi="Cambria" w:cstheme="minorHAnsi"/>
        </w:rPr>
        <w:t xml:space="preserve"> across the life course (Beer et al., 2011), </w:t>
      </w:r>
      <w:r w:rsidR="00C23233">
        <w:rPr>
          <w:rFonts w:ascii="Cambria" w:hAnsi="Cambria" w:cstheme="minorHAnsi"/>
        </w:rPr>
        <w:t xml:space="preserve">in practice </w:t>
      </w:r>
      <w:r w:rsidR="000A1939">
        <w:rPr>
          <w:rFonts w:ascii="Cambria" w:hAnsi="Cambria" w:cstheme="minorHAnsi"/>
        </w:rPr>
        <w:t>the</w:t>
      </w:r>
      <w:r w:rsidR="00D81963">
        <w:rPr>
          <w:rFonts w:ascii="Cambria" w:hAnsi="Cambria" w:cstheme="minorHAnsi"/>
        </w:rPr>
        <w:t>se models</w:t>
      </w:r>
      <w:r w:rsidR="000A1939">
        <w:rPr>
          <w:rFonts w:ascii="Cambria" w:hAnsi="Cambria" w:cstheme="minorHAnsi"/>
        </w:rPr>
        <w:t xml:space="preserve"> </w:t>
      </w:r>
      <w:r w:rsidR="00E61695">
        <w:rPr>
          <w:rFonts w:ascii="Cambria" w:hAnsi="Cambria" w:cstheme="minorHAnsi"/>
        </w:rPr>
        <w:t xml:space="preserve">are </w:t>
      </w:r>
      <w:r w:rsidR="000A1939">
        <w:rPr>
          <w:rFonts w:ascii="Cambria" w:hAnsi="Cambria" w:cstheme="minorHAnsi"/>
        </w:rPr>
        <w:t xml:space="preserve">often </w:t>
      </w:r>
      <w:r w:rsidR="00E61695">
        <w:rPr>
          <w:rFonts w:ascii="Cambria" w:hAnsi="Cambria" w:cstheme="minorHAnsi"/>
        </w:rPr>
        <w:t>used in a way</w:t>
      </w:r>
      <w:r w:rsidR="000A1939">
        <w:rPr>
          <w:rFonts w:ascii="Cambria" w:hAnsi="Cambria" w:cstheme="minorHAnsi"/>
        </w:rPr>
        <w:t xml:space="preserve"> which </w:t>
      </w:r>
      <w:r w:rsidR="00717573">
        <w:rPr>
          <w:rFonts w:ascii="Cambria" w:hAnsi="Cambria" w:cstheme="minorHAnsi"/>
        </w:rPr>
        <w:t xml:space="preserve">largely </w:t>
      </w:r>
      <w:r w:rsidR="000A1939">
        <w:rPr>
          <w:rFonts w:ascii="Cambria" w:hAnsi="Cambria" w:cstheme="minorHAnsi"/>
        </w:rPr>
        <w:t xml:space="preserve">echoes </w:t>
      </w:r>
      <w:r w:rsidR="00E61695">
        <w:rPr>
          <w:rFonts w:ascii="Cambria" w:hAnsi="Cambria" w:cstheme="minorHAnsi"/>
        </w:rPr>
        <w:t xml:space="preserve">the </w:t>
      </w:r>
      <w:r w:rsidR="000A1939" w:rsidRPr="005C7FBC">
        <w:rPr>
          <w:rFonts w:ascii="Cambria" w:hAnsi="Cambria" w:cstheme="minorHAnsi"/>
          <w:i/>
          <w:iCs/>
        </w:rPr>
        <w:t>housing pathways</w:t>
      </w:r>
      <w:r w:rsidR="00E61695">
        <w:rPr>
          <w:rFonts w:ascii="Cambria" w:hAnsi="Cambria" w:cstheme="minorHAnsi"/>
          <w:i/>
          <w:iCs/>
        </w:rPr>
        <w:t xml:space="preserve"> </w:t>
      </w:r>
      <w:r w:rsidR="00E61695">
        <w:rPr>
          <w:rFonts w:ascii="Cambria" w:hAnsi="Cambria" w:cstheme="minorHAnsi"/>
          <w:iCs/>
        </w:rPr>
        <w:t>perspective</w:t>
      </w:r>
      <w:r w:rsidR="000A1939">
        <w:rPr>
          <w:rFonts w:ascii="Cambria" w:hAnsi="Cambria" w:cstheme="minorHAnsi"/>
          <w:i/>
          <w:iCs/>
        </w:rPr>
        <w:t>.</w:t>
      </w:r>
      <w:r w:rsidR="000A1939">
        <w:rPr>
          <w:rFonts w:ascii="Cambria" w:hAnsi="Cambria" w:cstheme="minorHAnsi"/>
        </w:rPr>
        <w:t xml:space="preserve"> We </w:t>
      </w:r>
      <w:r w:rsidR="00B31251">
        <w:rPr>
          <w:rFonts w:ascii="Cambria" w:hAnsi="Cambria" w:cstheme="minorHAnsi"/>
        </w:rPr>
        <w:t xml:space="preserve">therefore </w:t>
      </w:r>
      <w:r w:rsidR="000A1939">
        <w:rPr>
          <w:rFonts w:ascii="Cambria" w:hAnsi="Cambria" w:cstheme="minorHAnsi"/>
        </w:rPr>
        <w:t xml:space="preserve">do not limit this review to one single </w:t>
      </w:r>
      <w:r w:rsidR="0087453E">
        <w:rPr>
          <w:rFonts w:ascii="Cambria" w:hAnsi="Cambria" w:cstheme="minorHAnsi"/>
        </w:rPr>
        <w:t>approach</w:t>
      </w:r>
      <w:r w:rsidR="0087321C">
        <w:rPr>
          <w:rFonts w:ascii="Cambria" w:hAnsi="Cambria" w:cstheme="minorHAnsi"/>
        </w:rPr>
        <w:t xml:space="preserve"> — </w:t>
      </w:r>
      <w:r w:rsidR="000A1939">
        <w:rPr>
          <w:rFonts w:ascii="Cambria" w:hAnsi="Cambria" w:cstheme="minorHAnsi"/>
        </w:rPr>
        <w:t>rather</w:t>
      </w:r>
      <w:r w:rsidR="0087321C">
        <w:rPr>
          <w:rFonts w:ascii="Cambria" w:hAnsi="Cambria" w:cstheme="minorHAnsi"/>
        </w:rPr>
        <w:t>, we</w:t>
      </w:r>
      <w:r w:rsidR="000A1939">
        <w:rPr>
          <w:rFonts w:ascii="Cambria" w:hAnsi="Cambria" w:cstheme="minorHAnsi"/>
        </w:rPr>
        <w:t xml:space="preserve"> welcome this </w:t>
      </w:r>
      <w:r w:rsidR="00F95024">
        <w:rPr>
          <w:rFonts w:ascii="Cambria" w:hAnsi="Cambria" w:cstheme="minorHAnsi"/>
        </w:rPr>
        <w:t xml:space="preserve">conceptual </w:t>
      </w:r>
      <w:r w:rsidR="00315A50">
        <w:rPr>
          <w:rFonts w:ascii="Cambria" w:hAnsi="Cambria" w:cstheme="minorHAnsi"/>
        </w:rPr>
        <w:t>diversity</w:t>
      </w:r>
      <w:r w:rsidR="000A1939">
        <w:rPr>
          <w:rFonts w:ascii="Cambria" w:hAnsi="Cambria" w:cstheme="minorHAnsi"/>
        </w:rPr>
        <w:t xml:space="preserve"> and argue that longitudinal </w:t>
      </w:r>
      <w:r w:rsidR="006B583D" w:rsidRPr="003A2C73">
        <w:rPr>
          <w:rFonts w:ascii="Cambria" w:hAnsi="Cambria" w:cstheme="minorHAnsi"/>
        </w:rPr>
        <w:t>life course</w:t>
      </w:r>
      <w:r w:rsidR="006B583D">
        <w:rPr>
          <w:rFonts w:ascii="Cambria" w:hAnsi="Cambria" w:cstheme="minorHAnsi"/>
        </w:rPr>
        <w:t xml:space="preserve"> </w:t>
      </w:r>
      <w:r w:rsidR="000A1939">
        <w:rPr>
          <w:rFonts w:ascii="Cambria" w:hAnsi="Cambria" w:cstheme="minorHAnsi"/>
        </w:rPr>
        <w:t xml:space="preserve">approaches are </w:t>
      </w:r>
      <w:r w:rsidR="006B583D">
        <w:rPr>
          <w:rFonts w:ascii="Cambria" w:hAnsi="Cambria" w:cstheme="minorHAnsi"/>
        </w:rPr>
        <w:t xml:space="preserve">particularly </w:t>
      </w:r>
      <w:r w:rsidR="0013443B">
        <w:rPr>
          <w:rFonts w:ascii="Cambria" w:hAnsi="Cambria" w:cstheme="minorHAnsi"/>
        </w:rPr>
        <w:t>well</w:t>
      </w:r>
      <w:r w:rsidR="006B583D">
        <w:rPr>
          <w:rFonts w:ascii="Cambria" w:hAnsi="Cambria" w:cstheme="minorHAnsi"/>
        </w:rPr>
        <w:t xml:space="preserve"> </w:t>
      </w:r>
      <w:r w:rsidR="000A1939">
        <w:rPr>
          <w:rFonts w:ascii="Cambria" w:hAnsi="Cambria" w:cstheme="minorHAnsi"/>
        </w:rPr>
        <w:t xml:space="preserve">equipped to explore recent trends </w:t>
      </w:r>
      <w:r w:rsidR="004F4032">
        <w:rPr>
          <w:rFonts w:ascii="Cambria" w:hAnsi="Cambria" w:cstheme="minorHAnsi"/>
        </w:rPr>
        <w:t xml:space="preserve">in </w:t>
      </w:r>
      <w:r w:rsidR="000A1939">
        <w:rPr>
          <w:rFonts w:ascii="Cambria" w:hAnsi="Cambria" w:cstheme="minorHAnsi"/>
        </w:rPr>
        <w:t>housing inequalities.</w:t>
      </w:r>
    </w:p>
    <w:p w14:paraId="128837C8" w14:textId="5B605DBD" w:rsidR="00E8126E" w:rsidRDefault="00B12802" w:rsidP="000D0D69">
      <w:pPr>
        <w:spacing w:after="240" w:line="480" w:lineRule="auto"/>
        <w:rPr>
          <w:rFonts w:ascii="Cambria" w:hAnsi="Cambria" w:cstheme="minorHAnsi"/>
        </w:rPr>
      </w:pPr>
      <w:r>
        <w:rPr>
          <w:rFonts w:ascii="Cambria" w:hAnsi="Cambria" w:cstheme="minorHAnsi"/>
        </w:rPr>
        <w:lastRenderedPageBreak/>
        <w:t xml:space="preserve">Next, </w:t>
      </w:r>
      <w:r w:rsidR="00953AE5">
        <w:rPr>
          <w:rFonts w:ascii="Cambria" w:hAnsi="Cambria" w:cstheme="minorHAnsi"/>
        </w:rPr>
        <w:t>Section 3 reflects on the</w:t>
      </w:r>
      <w:r w:rsidR="00E8126E">
        <w:rPr>
          <w:rFonts w:ascii="Cambria" w:hAnsi="Cambria" w:cstheme="minorHAnsi"/>
        </w:rPr>
        <w:t xml:space="preserve"> </w:t>
      </w:r>
      <w:r w:rsidR="00E93FBB">
        <w:rPr>
          <w:rFonts w:ascii="Cambria" w:hAnsi="Cambria" w:cstheme="minorHAnsi"/>
        </w:rPr>
        <w:t xml:space="preserve">practical </w:t>
      </w:r>
      <w:r w:rsidR="00D538AC">
        <w:rPr>
          <w:rFonts w:ascii="Cambria" w:hAnsi="Cambria" w:cstheme="minorHAnsi"/>
        </w:rPr>
        <w:t xml:space="preserve">opportunities and </w:t>
      </w:r>
      <w:r w:rsidR="00953AE5">
        <w:rPr>
          <w:rFonts w:ascii="Cambria" w:hAnsi="Cambria" w:cstheme="minorHAnsi"/>
        </w:rPr>
        <w:t>challenges of conducting longitudinal work in this area</w:t>
      </w:r>
      <w:r w:rsidR="00CC4663">
        <w:rPr>
          <w:rFonts w:ascii="Cambria" w:hAnsi="Cambria" w:cstheme="minorHAnsi"/>
        </w:rPr>
        <w:t xml:space="preserve">, as well as the ways these are being addressed. Section 4 </w:t>
      </w:r>
      <w:r w:rsidR="00B03E52">
        <w:rPr>
          <w:rFonts w:ascii="Cambria" w:hAnsi="Cambria" w:cstheme="minorHAnsi"/>
        </w:rPr>
        <w:t xml:space="preserve">then </w:t>
      </w:r>
      <w:r w:rsidR="00CC4663">
        <w:rPr>
          <w:rFonts w:ascii="Cambria" w:hAnsi="Cambria" w:cstheme="minorHAnsi"/>
        </w:rPr>
        <w:t xml:space="preserve">offers </w:t>
      </w:r>
      <w:r w:rsidR="00E8695F">
        <w:rPr>
          <w:rFonts w:ascii="Cambria" w:hAnsi="Cambria" w:cstheme="minorHAnsi"/>
        </w:rPr>
        <w:t xml:space="preserve">some brief </w:t>
      </w:r>
      <w:r w:rsidR="00CC4663">
        <w:rPr>
          <w:rFonts w:ascii="Cambria" w:hAnsi="Cambria" w:cstheme="minorHAnsi"/>
        </w:rPr>
        <w:t>conclu</w:t>
      </w:r>
      <w:r w:rsidR="00091EA1">
        <w:rPr>
          <w:rFonts w:ascii="Cambria" w:hAnsi="Cambria" w:cstheme="minorHAnsi"/>
        </w:rPr>
        <w:t>ding thoughts</w:t>
      </w:r>
      <w:r w:rsidR="00CC4663">
        <w:rPr>
          <w:rFonts w:ascii="Cambria" w:hAnsi="Cambria" w:cstheme="minorHAnsi"/>
        </w:rPr>
        <w:t>.</w:t>
      </w:r>
      <w:r w:rsidR="00E8126E">
        <w:rPr>
          <w:rFonts w:ascii="Cambria" w:hAnsi="Cambria" w:cstheme="minorHAnsi"/>
        </w:rPr>
        <w:t xml:space="preserve"> </w:t>
      </w:r>
      <w:r w:rsidR="00961B75">
        <w:rPr>
          <w:rFonts w:ascii="Cambria" w:hAnsi="Cambria" w:cstheme="minorHAnsi"/>
        </w:rPr>
        <w:t xml:space="preserve">Although </w:t>
      </w:r>
      <w:r w:rsidR="00E8126E">
        <w:rPr>
          <w:rFonts w:ascii="Cambria" w:hAnsi="Cambria" w:cstheme="minorHAnsi"/>
        </w:rPr>
        <w:t>the paper focuses</w:t>
      </w:r>
      <w:r w:rsidR="00693CC1">
        <w:rPr>
          <w:rFonts w:ascii="Cambria" w:hAnsi="Cambria" w:cstheme="minorHAnsi"/>
        </w:rPr>
        <w:t xml:space="preserve"> primarily</w:t>
      </w:r>
      <w:r w:rsidR="00E8126E">
        <w:rPr>
          <w:rFonts w:ascii="Cambria" w:hAnsi="Cambria" w:cstheme="minorHAnsi"/>
        </w:rPr>
        <w:t xml:space="preserve"> on the</w:t>
      </w:r>
      <w:r w:rsidR="00961B75">
        <w:rPr>
          <w:rFonts w:ascii="Cambria" w:hAnsi="Cambria" w:cstheme="minorHAnsi"/>
        </w:rPr>
        <w:t xml:space="preserve"> UK, </w:t>
      </w:r>
      <w:r w:rsidR="009C6405">
        <w:rPr>
          <w:rFonts w:ascii="Cambria" w:hAnsi="Cambria" w:cstheme="minorHAnsi"/>
        </w:rPr>
        <w:t xml:space="preserve">in </w:t>
      </w:r>
      <w:r w:rsidR="00E77AEE">
        <w:rPr>
          <w:rFonts w:ascii="Cambria" w:hAnsi="Cambria" w:cstheme="minorHAnsi"/>
        </w:rPr>
        <w:t xml:space="preserve">many </w:t>
      </w:r>
      <w:r w:rsidR="009C6405">
        <w:rPr>
          <w:rFonts w:ascii="Cambria" w:hAnsi="Cambria" w:cstheme="minorHAnsi"/>
        </w:rPr>
        <w:t xml:space="preserve">places </w:t>
      </w:r>
      <w:r w:rsidR="00961B75">
        <w:rPr>
          <w:rFonts w:ascii="Cambria" w:hAnsi="Cambria" w:cstheme="minorHAnsi"/>
        </w:rPr>
        <w:t xml:space="preserve">we </w:t>
      </w:r>
      <w:r w:rsidR="0069195D">
        <w:rPr>
          <w:rFonts w:ascii="Cambria" w:hAnsi="Cambria" w:cstheme="minorHAnsi"/>
        </w:rPr>
        <w:t xml:space="preserve">also </w:t>
      </w:r>
      <w:r w:rsidR="00961B75">
        <w:rPr>
          <w:rFonts w:ascii="Cambria" w:hAnsi="Cambria" w:cstheme="minorHAnsi"/>
        </w:rPr>
        <w:t>draw on</w:t>
      </w:r>
      <w:r w:rsidR="00E8126E">
        <w:rPr>
          <w:rFonts w:ascii="Cambria" w:hAnsi="Cambria" w:cstheme="minorHAnsi"/>
        </w:rPr>
        <w:t xml:space="preserve"> </w:t>
      </w:r>
      <w:r w:rsidR="00961B75">
        <w:rPr>
          <w:rFonts w:ascii="Cambria" w:hAnsi="Cambria" w:cstheme="minorHAnsi"/>
        </w:rPr>
        <w:t xml:space="preserve">examples from </w:t>
      </w:r>
      <w:r w:rsidR="0067576F">
        <w:rPr>
          <w:rFonts w:ascii="Cambria" w:hAnsi="Cambria" w:cstheme="minorHAnsi"/>
        </w:rPr>
        <w:t xml:space="preserve">continental </w:t>
      </w:r>
      <w:r w:rsidR="00961B75">
        <w:rPr>
          <w:rFonts w:ascii="Cambria" w:hAnsi="Cambria" w:cstheme="minorHAnsi"/>
        </w:rPr>
        <w:t>Europe and the US to contextualise our conclusions</w:t>
      </w:r>
      <w:r w:rsidR="009C6405">
        <w:rPr>
          <w:rFonts w:ascii="Cambria" w:hAnsi="Cambria" w:cstheme="minorHAnsi"/>
        </w:rPr>
        <w:t xml:space="preserve"> and reflect on the role that institutions, contextual conditions</w:t>
      </w:r>
      <w:r w:rsidR="00506901">
        <w:rPr>
          <w:rFonts w:ascii="Cambria" w:hAnsi="Cambria" w:cstheme="minorHAnsi"/>
        </w:rPr>
        <w:t>, cultures</w:t>
      </w:r>
      <w:r w:rsidR="009C6405">
        <w:rPr>
          <w:rFonts w:ascii="Cambria" w:hAnsi="Cambria" w:cstheme="minorHAnsi"/>
        </w:rPr>
        <w:t xml:space="preserve"> and policies play in configuring young adults’ housing trajectories. </w:t>
      </w:r>
      <w:r w:rsidR="00F9788D">
        <w:rPr>
          <w:rFonts w:ascii="Cambria" w:hAnsi="Cambria" w:cstheme="minorHAnsi"/>
        </w:rPr>
        <w:t>Juxtaposing</w:t>
      </w:r>
      <w:r w:rsidR="009C6405">
        <w:rPr>
          <w:rFonts w:ascii="Cambria" w:hAnsi="Cambria" w:cstheme="minorHAnsi"/>
        </w:rPr>
        <w:t xml:space="preserve"> UK </w:t>
      </w:r>
      <w:r w:rsidR="00BA4C41">
        <w:rPr>
          <w:rFonts w:ascii="Cambria" w:hAnsi="Cambria" w:cstheme="minorHAnsi"/>
        </w:rPr>
        <w:t>and</w:t>
      </w:r>
      <w:r w:rsidR="009C6405">
        <w:rPr>
          <w:rFonts w:ascii="Cambria" w:hAnsi="Cambria" w:cstheme="minorHAnsi"/>
        </w:rPr>
        <w:t xml:space="preserve"> international evidence also allows us</w:t>
      </w:r>
      <w:r w:rsidR="00961B75">
        <w:rPr>
          <w:rFonts w:ascii="Cambria" w:hAnsi="Cambria" w:cstheme="minorHAnsi"/>
        </w:rPr>
        <w:t xml:space="preserve"> to </w:t>
      </w:r>
      <w:r w:rsidR="009C6405">
        <w:rPr>
          <w:rFonts w:ascii="Cambria" w:hAnsi="Cambria" w:cstheme="minorHAnsi"/>
        </w:rPr>
        <w:t xml:space="preserve">reflect on </w:t>
      </w:r>
      <w:r w:rsidR="00C064A9">
        <w:rPr>
          <w:rFonts w:ascii="Cambria" w:hAnsi="Cambria" w:cstheme="minorHAnsi"/>
        </w:rPr>
        <w:t xml:space="preserve">how well we understand the </w:t>
      </w:r>
      <w:r w:rsidR="004747F3">
        <w:rPr>
          <w:rFonts w:ascii="Cambria" w:hAnsi="Cambria" w:cstheme="minorHAnsi"/>
        </w:rPr>
        <w:t>British</w:t>
      </w:r>
      <w:r w:rsidR="00C064A9">
        <w:rPr>
          <w:rFonts w:ascii="Cambria" w:hAnsi="Cambria" w:cstheme="minorHAnsi"/>
        </w:rPr>
        <w:t xml:space="preserve"> case,</w:t>
      </w:r>
      <w:r w:rsidR="00961B75">
        <w:rPr>
          <w:rFonts w:ascii="Cambria" w:hAnsi="Cambria" w:cstheme="minorHAnsi"/>
        </w:rPr>
        <w:t xml:space="preserve"> </w:t>
      </w:r>
      <w:r w:rsidR="00855A66">
        <w:rPr>
          <w:rFonts w:ascii="Cambria" w:hAnsi="Cambria" w:cstheme="minorHAnsi"/>
        </w:rPr>
        <w:t xml:space="preserve">while also </w:t>
      </w:r>
      <w:r w:rsidR="00112750">
        <w:rPr>
          <w:rFonts w:ascii="Cambria" w:hAnsi="Cambria" w:cstheme="minorHAnsi"/>
        </w:rPr>
        <w:t>enabling</w:t>
      </w:r>
      <w:r w:rsidR="00855A66">
        <w:rPr>
          <w:rFonts w:ascii="Cambria" w:hAnsi="Cambria" w:cstheme="minorHAnsi"/>
        </w:rPr>
        <w:t xml:space="preserve"> us to explore </w:t>
      </w:r>
      <w:r w:rsidR="00961B75">
        <w:rPr>
          <w:rFonts w:ascii="Cambria" w:hAnsi="Cambria" w:cstheme="minorHAnsi"/>
        </w:rPr>
        <w:t xml:space="preserve">the </w:t>
      </w:r>
      <w:r w:rsidR="00C064A9">
        <w:rPr>
          <w:rFonts w:ascii="Cambria" w:hAnsi="Cambria" w:cstheme="minorHAnsi"/>
        </w:rPr>
        <w:t>research o</w:t>
      </w:r>
      <w:r w:rsidR="00961B75">
        <w:rPr>
          <w:rFonts w:ascii="Cambria" w:hAnsi="Cambria" w:cstheme="minorHAnsi"/>
        </w:rPr>
        <w:t xml:space="preserve">pportunities that exist elsewhere </w:t>
      </w:r>
      <w:r w:rsidR="00C064A9">
        <w:rPr>
          <w:rFonts w:ascii="Cambria" w:hAnsi="Cambria" w:cstheme="minorHAnsi"/>
        </w:rPr>
        <w:t>due to the varied data landscape.</w:t>
      </w:r>
    </w:p>
    <w:p w14:paraId="5F390FEB" w14:textId="19CF9AF2" w:rsidR="007A6C0E" w:rsidRDefault="007A6C0E" w:rsidP="000D0D69">
      <w:pPr>
        <w:spacing w:line="480" w:lineRule="auto"/>
        <w:rPr>
          <w:rFonts w:ascii="Cambria" w:hAnsi="Cambria" w:cstheme="minorHAnsi"/>
        </w:rPr>
      </w:pPr>
    </w:p>
    <w:p w14:paraId="4C77E44B" w14:textId="249BBC2B" w:rsidR="007A6C0E" w:rsidRPr="00D709D3" w:rsidRDefault="00961B75" w:rsidP="00006F78">
      <w:pPr>
        <w:spacing w:after="240" w:line="480" w:lineRule="auto"/>
        <w:rPr>
          <w:rFonts w:ascii="Cambria" w:hAnsi="Cambria" w:cstheme="minorHAnsi"/>
          <w:b/>
          <w:sz w:val="28"/>
        </w:rPr>
      </w:pPr>
      <w:r>
        <w:rPr>
          <w:rFonts w:ascii="Cambria" w:hAnsi="Cambria" w:cstheme="minorHAnsi"/>
          <w:b/>
          <w:sz w:val="28"/>
        </w:rPr>
        <w:t>2</w:t>
      </w:r>
      <w:r w:rsidR="007A6C0E" w:rsidRPr="00D709D3">
        <w:rPr>
          <w:rFonts w:ascii="Cambria" w:hAnsi="Cambria" w:cstheme="minorHAnsi"/>
          <w:b/>
          <w:sz w:val="28"/>
        </w:rPr>
        <w:t xml:space="preserve">. </w:t>
      </w:r>
      <w:r w:rsidR="00002BCF">
        <w:rPr>
          <w:rFonts w:ascii="Cambria" w:hAnsi="Cambria" w:cstheme="minorHAnsi"/>
          <w:b/>
          <w:sz w:val="28"/>
        </w:rPr>
        <w:t>Using Longitudinal Data and Life Course Approach</w:t>
      </w:r>
      <w:r w:rsidR="009E7183">
        <w:rPr>
          <w:rFonts w:ascii="Cambria" w:hAnsi="Cambria" w:cstheme="minorHAnsi"/>
          <w:b/>
          <w:sz w:val="28"/>
        </w:rPr>
        <w:t>es</w:t>
      </w:r>
      <w:r w:rsidR="00002BCF">
        <w:rPr>
          <w:rFonts w:ascii="Cambria" w:hAnsi="Cambria" w:cstheme="minorHAnsi"/>
          <w:b/>
          <w:sz w:val="28"/>
        </w:rPr>
        <w:t xml:space="preserve"> to Examine </w:t>
      </w:r>
      <w:r w:rsidR="007A6C0E" w:rsidRPr="00D709D3">
        <w:rPr>
          <w:rFonts w:ascii="Cambria" w:hAnsi="Cambria" w:cstheme="minorHAnsi"/>
          <w:b/>
          <w:sz w:val="28"/>
        </w:rPr>
        <w:t xml:space="preserve">Housing </w:t>
      </w:r>
      <w:r w:rsidR="009E7183">
        <w:rPr>
          <w:rFonts w:ascii="Cambria" w:hAnsi="Cambria" w:cstheme="minorHAnsi"/>
          <w:b/>
          <w:sz w:val="28"/>
        </w:rPr>
        <w:t>D</w:t>
      </w:r>
      <w:r w:rsidR="007A6C0E" w:rsidRPr="00D709D3">
        <w:rPr>
          <w:rFonts w:ascii="Cambria" w:hAnsi="Cambria" w:cstheme="minorHAnsi"/>
          <w:b/>
          <w:sz w:val="28"/>
        </w:rPr>
        <w:t>isparities</w:t>
      </w:r>
      <w:r w:rsidR="0064185A">
        <w:rPr>
          <w:rFonts w:ascii="Cambria" w:hAnsi="Cambria" w:cstheme="minorHAnsi"/>
          <w:b/>
          <w:sz w:val="28"/>
        </w:rPr>
        <w:t xml:space="preserve"> in Young Adulthood</w:t>
      </w:r>
    </w:p>
    <w:p w14:paraId="10C3D73D" w14:textId="058E8E79" w:rsidR="007A6C0E" w:rsidRPr="004F248B" w:rsidRDefault="00961B75" w:rsidP="00006F78">
      <w:pPr>
        <w:spacing w:after="240" w:line="480" w:lineRule="auto"/>
        <w:rPr>
          <w:rFonts w:ascii="Cambria" w:hAnsi="Cambria" w:cstheme="minorHAnsi"/>
          <w:b/>
        </w:rPr>
      </w:pPr>
      <w:r>
        <w:rPr>
          <w:rFonts w:ascii="Cambria" w:hAnsi="Cambria" w:cstheme="minorHAnsi"/>
          <w:b/>
        </w:rPr>
        <w:t>2</w:t>
      </w:r>
      <w:r w:rsidR="007A6C0E" w:rsidRPr="004F248B">
        <w:rPr>
          <w:rFonts w:ascii="Cambria" w:hAnsi="Cambria" w:cstheme="minorHAnsi"/>
          <w:b/>
        </w:rPr>
        <w:t xml:space="preserve">.1 </w:t>
      </w:r>
      <w:r w:rsidR="00002BCF">
        <w:rPr>
          <w:rFonts w:ascii="Cambria" w:hAnsi="Cambria" w:cstheme="minorHAnsi"/>
          <w:b/>
        </w:rPr>
        <w:t>Transition</w:t>
      </w:r>
      <w:r w:rsidR="00896210">
        <w:rPr>
          <w:rFonts w:ascii="Cambria" w:hAnsi="Cambria" w:cstheme="minorHAnsi"/>
          <w:b/>
        </w:rPr>
        <w:t>s</w:t>
      </w:r>
      <w:r w:rsidR="00002BCF">
        <w:rPr>
          <w:rFonts w:ascii="Cambria" w:hAnsi="Cambria" w:cstheme="minorHAnsi"/>
          <w:b/>
        </w:rPr>
        <w:t xml:space="preserve"> to residential independence </w:t>
      </w:r>
    </w:p>
    <w:p w14:paraId="014AA887" w14:textId="1863A03D" w:rsidR="007A6C0E" w:rsidRPr="009D44CE" w:rsidRDefault="00555C48" w:rsidP="00006F78">
      <w:pPr>
        <w:spacing w:after="240" w:line="480" w:lineRule="auto"/>
        <w:rPr>
          <w:rFonts w:ascii="Cambria" w:hAnsi="Cambria" w:cstheme="minorHAnsi"/>
        </w:rPr>
      </w:pPr>
      <w:r>
        <w:rPr>
          <w:rFonts w:ascii="Cambria" w:hAnsi="Cambria" w:cstheme="minorHAnsi"/>
        </w:rPr>
        <w:t xml:space="preserve">Rates of parental co-residence in young adulthood </w:t>
      </w:r>
      <w:r w:rsidR="00982D0F">
        <w:rPr>
          <w:rFonts w:ascii="Cambria" w:hAnsi="Cambria" w:cstheme="minorHAnsi"/>
        </w:rPr>
        <w:t>vary</w:t>
      </w:r>
      <w:r>
        <w:rPr>
          <w:rFonts w:ascii="Cambria" w:hAnsi="Cambria" w:cstheme="minorHAnsi"/>
        </w:rPr>
        <w:t xml:space="preserve"> considerably across Europe due to differences in the patterning of life course careers brought about by institutional and macro-contextual factors such as the structure of labour markets, education and housing systems, welfare provision and cultural expectations (Mandic, 2008). However in many countries, p</w:t>
      </w:r>
      <w:r w:rsidR="007A6C0E">
        <w:rPr>
          <w:rFonts w:ascii="Cambria" w:hAnsi="Cambria" w:cstheme="minorHAnsi"/>
        </w:rPr>
        <w:t xml:space="preserve">ublic debates </w:t>
      </w:r>
      <w:r>
        <w:rPr>
          <w:rFonts w:ascii="Cambria" w:hAnsi="Cambria" w:cstheme="minorHAnsi"/>
        </w:rPr>
        <w:t xml:space="preserve">now </w:t>
      </w:r>
      <w:r w:rsidR="007A6C0E">
        <w:rPr>
          <w:rFonts w:ascii="Cambria" w:hAnsi="Cambria" w:cstheme="minorHAnsi"/>
        </w:rPr>
        <w:t xml:space="preserve">regularly </w:t>
      </w:r>
      <w:r w:rsidR="004E098D">
        <w:rPr>
          <w:rFonts w:ascii="Cambria" w:hAnsi="Cambria" w:cstheme="minorHAnsi"/>
        </w:rPr>
        <w:t>highlight</w:t>
      </w:r>
      <w:r w:rsidR="007A6C0E">
        <w:rPr>
          <w:rFonts w:ascii="Cambria" w:hAnsi="Cambria" w:cstheme="minorHAnsi"/>
        </w:rPr>
        <w:t xml:space="preserve"> </w:t>
      </w:r>
      <w:r w:rsidR="004E098D">
        <w:rPr>
          <w:rFonts w:ascii="Cambria" w:hAnsi="Cambria" w:cstheme="minorHAnsi"/>
        </w:rPr>
        <w:t>the</w:t>
      </w:r>
      <w:r w:rsidR="0059414E">
        <w:rPr>
          <w:rFonts w:ascii="Cambria" w:hAnsi="Cambria" w:cstheme="minorHAnsi"/>
        </w:rPr>
        <w:t xml:space="preserve"> </w:t>
      </w:r>
      <w:r w:rsidR="004E098D">
        <w:rPr>
          <w:rFonts w:ascii="Cambria" w:hAnsi="Cambria" w:cstheme="minorHAnsi"/>
        </w:rPr>
        <w:t>growth of parental co-residence</w:t>
      </w:r>
      <w:r w:rsidR="00394877">
        <w:rPr>
          <w:rFonts w:ascii="Cambria" w:hAnsi="Cambria" w:cstheme="minorHAnsi"/>
        </w:rPr>
        <w:t xml:space="preserve"> in young adulthood</w:t>
      </w:r>
      <w:r w:rsidR="004E098D">
        <w:rPr>
          <w:rFonts w:ascii="Cambria" w:hAnsi="Cambria" w:cstheme="minorHAnsi"/>
        </w:rPr>
        <w:t xml:space="preserve"> </w:t>
      </w:r>
      <w:r w:rsidR="0059414E">
        <w:rPr>
          <w:rFonts w:ascii="Cambria" w:hAnsi="Cambria" w:cstheme="minorHAnsi"/>
        </w:rPr>
        <w:t>that has characterised the first decades of the twenty-first century</w:t>
      </w:r>
      <w:r w:rsidR="007A6C0E">
        <w:rPr>
          <w:rFonts w:ascii="Cambria" w:hAnsi="Cambria" w:cstheme="minorHAnsi"/>
        </w:rPr>
        <w:t xml:space="preserve">. In Britain, the proportion of 15-34 year olds living with </w:t>
      </w:r>
      <w:r w:rsidR="00AF11FA">
        <w:rPr>
          <w:rFonts w:ascii="Cambria" w:hAnsi="Cambria" w:cstheme="minorHAnsi"/>
        </w:rPr>
        <w:t>a parent</w:t>
      </w:r>
      <w:r w:rsidR="007A6C0E">
        <w:rPr>
          <w:rFonts w:ascii="Cambria" w:hAnsi="Cambria" w:cstheme="minorHAnsi"/>
        </w:rPr>
        <w:t xml:space="preserve"> increased from 36% in 1</w:t>
      </w:r>
      <w:r w:rsidR="004E098D">
        <w:rPr>
          <w:rFonts w:ascii="Cambria" w:hAnsi="Cambria" w:cstheme="minorHAnsi"/>
        </w:rPr>
        <w:t>996 to 40% in 2017 (ONS, 2017)</w:t>
      </w:r>
      <w:r w:rsidR="001A0FC3">
        <w:rPr>
          <w:rFonts w:ascii="Cambria" w:hAnsi="Cambria" w:cstheme="minorHAnsi"/>
        </w:rPr>
        <w:t xml:space="preserve"> and</w:t>
      </w:r>
      <w:r w:rsidR="004E098D">
        <w:rPr>
          <w:rFonts w:ascii="Cambria" w:hAnsi="Cambria" w:cstheme="minorHAnsi"/>
        </w:rPr>
        <w:t xml:space="preserve"> </w:t>
      </w:r>
      <w:r w:rsidR="001A0FC3">
        <w:rPr>
          <w:rFonts w:ascii="Cambria" w:hAnsi="Cambria" w:cstheme="minorHAnsi"/>
        </w:rPr>
        <w:t>s</w:t>
      </w:r>
      <w:r w:rsidR="004E098D">
        <w:rPr>
          <w:rFonts w:ascii="Cambria" w:hAnsi="Cambria" w:cstheme="minorHAnsi"/>
        </w:rPr>
        <w:t xml:space="preserve">imilar trends have been reported in America (Fry, 2016) and across much of continental Europe </w:t>
      </w:r>
      <w:r w:rsidR="00AF11FA">
        <w:rPr>
          <w:rFonts w:ascii="Cambria" w:hAnsi="Cambria" w:cstheme="minorHAnsi"/>
        </w:rPr>
        <w:t>after 2007</w:t>
      </w:r>
      <w:r w:rsidR="004E098D">
        <w:rPr>
          <w:rFonts w:ascii="Cambria" w:hAnsi="Cambria" w:cstheme="minorHAnsi"/>
        </w:rPr>
        <w:t xml:space="preserve"> (Lennartz et al., 2016).</w:t>
      </w:r>
      <w:r w:rsidR="00F7187A">
        <w:rPr>
          <w:rFonts w:ascii="Cambria" w:hAnsi="Cambria" w:cstheme="minorHAnsi"/>
        </w:rPr>
        <w:t xml:space="preserve"> Explanations for growing rates of parental co-residence and </w:t>
      </w:r>
      <w:r w:rsidR="00E61082">
        <w:rPr>
          <w:rFonts w:ascii="Cambria" w:hAnsi="Cambria" w:cstheme="minorHAnsi"/>
        </w:rPr>
        <w:t xml:space="preserve">also </w:t>
      </w:r>
      <w:r w:rsidR="00530AE3">
        <w:rPr>
          <w:rFonts w:ascii="Cambria" w:hAnsi="Cambria" w:cstheme="minorHAnsi"/>
        </w:rPr>
        <w:t>u</w:t>
      </w:r>
      <w:r w:rsidR="00F7187A">
        <w:rPr>
          <w:rFonts w:ascii="Cambria" w:hAnsi="Cambria" w:cstheme="minorHAnsi"/>
        </w:rPr>
        <w:t>nrelated sharing</w:t>
      </w:r>
      <w:r w:rsidR="00AF11FA">
        <w:rPr>
          <w:rFonts w:ascii="Cambria" w:hAnsi="Cambria" w:cstheme="minorHAnsi"/>
        </w:rPr>
        <w:t xml:space="preserve"> </w:t>
      </w:r>
      <w:r w:rsidR="00B9738C">
        <w:rPr>
          <w:rFonts w:ascii="Cambria" w:hAnsi="Cambria" w:cstheme="minorHAnsi"/>
        </w:rPr>
        <w:t xml:space="preserve">in young adulthood </w:t>
      </w:r>
      <w:r w:rsidR="00555777">
        <w:rPr>
          <w:rFonts w:ascii="Cambria" w:hAnsi="Cambria" w:cstheme="minorHAnsi"/>
        </w:rPr>
        <w:t xml:space="preserve">usually </w:t>
      </w:r>
      <w:r w:rsidR="00F7187A">
        <w:rPr>
          <w:rFonts w:ascii="Cambria" w:hAnsi="Cambria" w:cstheme="minorHAnsi"/>
        </w:rPr>
        <w:t>identify prolonged educational enrolment</w:t>
      </w:r>
      <w:r w:rsidR="008D0FFA">
        <w:rPr>
          <w:rFonts w:ascii="Cambria" w:hAnsi="Cambria" w:cstheme="minorHAnsi"/>
        </w:rPr>
        <w:t xml:space="preserve"> (</w:t>
      </w:r>
      <w:r w:rsidR="000653E4">
        <w:rPr>
          <w:rFonts w:ascii="Cambria" w:hAnsi="Cambria" w:cstheme="minorHAnsi"/>
        </w:rPr>
        <w:t>exacerbated</w:t>
      </w:r>
      <w:r w:rsidR="008D0FFA">
        <w:rPr>
          <w:rFonts w:ascii="Cambria" w:hAnsi="Cambria" w:cstheme="minorHAnsi"/>
        </w:rPr>
        <w:t xml:space="preserve"> in the UK </w:t>
      </w:r>
      <w:r w:rsidR="000653E4">
        <w:rPr>
          <w:rFonts w:ascii="Cambria" w:hAnsi="Cambria" w:cstheme="minorHAnsi"/>
        </w:rPr>
        <w:t>by the</w:t>
      </w:r>
      <w:r w:rsidR="008D0FFA">
        <w:rPr>
          <w:rFonts w:ascii="Cambria" w:hAnsi="Cambria" w:cstheme="minorHAnsi"/>
        </w:rPr>
        <w:t xml:space="preserve"> shift to </w:t>
      </w:r>
      <w:r w:rsidR="0027427F">
        <w:rPr>
          <w:rFonts w:ascii="Cambria" w:hAnsi="Cambria" w:cstheme="minorHAnsi"/>
        </w:rPr>
        <w:t>a debt-based system</w:t>
      </w:r>
      <w:r w:rsidR="008D0FFA">
        <w:rPr>
          <w:rFonts w:ascii="Cambria" w:hAnsi="Cambria" w:cstheme="minorHAnsi"/>
        </w:rPr>
        <w:t xml:space="preserve"> of student finance)</w:t>
      </w:r>
      <w:r w:rsidR="00F7187A">
        <w:rPr>
          <w:rFonts w:ascii="Cambria" w:hAnsi="Cambria" w:cstheme="minorHAnsi"/>
        </w:rPr>
        <w:t>, delayed partnership formation</w:t>
      </w:r>
      <w:r w:rsidR="008D0FFA">
        <w:rPr>
          <w:rFonts w:ascii="Cambria" w:hAnsi="Cambria" w:cstheme="minorHAnsi"/>
        </w:rPr>
        <w:t>, cuts to social benefits</w:t>
      </w:r>
      <w:r w:rsidR="0016325A">
        <w:rPr>
          <w:rFonts w:ascii="Cambria" w:hAnsi="Cambria" w:cstheme="minorHAnsi"/>
        </w:rPr>
        <w:t xml:space="preserve"> and</w:t>
      </w:r>
      <w:r w:rsidR="00F7187A">
        <w:rPr>
          <w:rFonts w:ascii="Cambria" w:hAnsi="Cambria" w:cstheme="minorHAnsi"/>
        </w:rPr>
        <w:t xml:space="preserve"> difficulties finding </w:t>
      </w:r>
      <w:r w:rsidR="00C76C80">
        <w:rPr>
          <w:rFonts w:ascii="Cambria" w:hAnsi="Cambria" w:cstheme="minorHAnsi"/>
        </w:rPr>
        <w:t xml:space="preserve">secure well-paid </w:t>
      </w:r>
      <w:r w:rsidR="00AF11FA">
        <w:rPr>
          <w:rFonts w:ascii="Cambria" w:hAnsi="Cambria" w:cstheme="minorHAnsi"/>
        </w:rPr>
        <w:t>work</w:t>
      </w:r>
      <w:r w:rsidR="00F7187A">
        <w:rPr>
          <w:rFonts w:ascii="Cambria" w:hAnsi="Cambria" w:cstheme="minorHAnsi"/>
        </w:rPr>
        <w:t xml:space="preserve"> and affordable housing </w:t>
      </w:r>
      <w:r w:rsidR="00606937">
        <w:rPr>
          <w:rFonts w:ascii="Cambria" w:hAnsi="Cambria" w:cstheme="minorHAnsi"/>
        </w:rPr>
        <w:t>to be</w:t>
      </w:r>
      <w:r w:rsidR="000D16D7">
        <w:rPr>
          <w:rFonts w:ascii="Cambria" w:hAnsi="Cambria" w:cstheme="minorHAnsi"/>
        </w:rPr>
        <w:t xml:space="preserve"> </w:t>
      </w:r>
      <w:r w:rsidR="00F7187A">
        <w:rPr>
          <w:rFonts w:ascii="Cambria" w:hAnsi="Cambria" w:cstheme="minorHAnsi"/>
        </w:rPr>
        <w:t>contributory factors (Arundel and Ronald, 2016</w:t>
      </w:r>
      <w:r w:rsidR="008D0FFA">
        <w:rPr>
          <w:rFonts w:ascii="Cambria" w:hAnsi="Cambria" w:cstheme="minorHAnsi"/>
        </w:rPr>
        <w:t>; Berrington et al., 2017</w:t>
      </w:r>
      <w:r w:rsidR="00F7187A">
        <w:rPr>
          <w:rFonts w:ascii="Cambria" w:hAnsi="Cambria" w:cstheme="minorHAnsi"/>
        </w:rPr>
        <w:t>)</w:t>
      </w:r>
      <w:r w:rsidR="00C76C80">
        <w:rPr>
          <w:rFonts w:ascii="Cambria" w:hAnsi="Cambria" w:cstheme="minorHAnsi"/>
        </w:rPr>
        <w:t xml:space="preserve">. In this view, young people are spending longer in the parental home because co-residence provides an efficient way for parents to support their </w:t>
      </w:r>
      <w:r w:rsidR="00AF11FA">
        <w:rPr>
          <w:rFonts w:ascii="Cambria" w:hAnsi="Cambria" w:cstheme="minorHAnsi"/>
        </w:rPr>
        <w:t xml:space="preserve">offspring </w:t>
      </w:r>
      <w:r w:rsidR="002659F1">
        <w:rPr>
          <w:rFonts w:ascii="Cambria" w:hAnsi="Cambria" w:cstheme="minorHAnsi"/>
        </w:rPr>
        <w:t>to</w:t>
      </w:r>
      <w:r w:rsidR="00AF11FA">
        <w:rPr>
          <w:rFonts w:ascii="Cambria" w:hAnsi="Cambria" w:cstheme="minorHAnsi"/>
        </w:rPr>
        <w:t xml:space="preserve"> navigate the increasingly precarious transition to adulthood </w:t>
      </w:r>
      <w:r w:rsidR="00E01ED8">
        <w:rPr>
          <w:rFonts w:ascii="Cambria" w:hAnsi="Cambria" w:cstheme="minorHAnsi"/>
        </w:rPr>
        <w:t>(</w:t>
      </w:r>
      <w:r w:rsidR="00002BCF">
        <w:rPr>
          <w:rFonts w:ascii="Cambria" w:hAnsi="Cambria" w:cstheme="minorHAnsi"/>
        </w:rPr>
        <w:t xml:space="preserve">Stone et al., 2011; </w:t>
      </w:r>
      <w:r w:rsidR="00E01ED8">
        <w:rPr>
          <w:rFonts w:ascii="Cambria" w:hAnsi="Cambria" w:cstheme="minorHAnsi"/>
        </w:rPr>
        <w:t>Hill and Hirsch, 2019)</w:t>
      </w:r>
      <w:r w:rsidR="00C76C80">
        <w:rPr>
          <w:rFonts w:ascii="Cambria" w:hAnsi="Cambria" w:cstheme="minorHAnsi"/>
        </w:rPr>
        <w:t>.</w:t>
      </w:r>
    </w:p>
    <w:p w14:paraId="4C9CDC74" w14:textId="42FDDDE5" w:rsidR="006C66C3" w:rsidRDefault="00002BCF" w:rsidP="00006F78">
      <w:pPr>
        <w:spacing w:after="240" w:line="480" w:lineRule="auto"/>
        <w:rPr>
          <w:rFonts w:ascii="Cambria" w:hAnsi="Cambria" w:cstheme="minorHAnsi"/>
        </w:rPr>
      </w:pPr>
      <w:r>
        <w:rPr>
          <w:rFonts w:ascii="Cambria" w:hAnsi="Cambria" w:cstheme="minorHAnsi"/>
        </w:rPr>
        <w:t>Cross-sectional data cannot</w:t>
      </w:r>
      <w:r w:rsidR="00EF70FD">
        <w:rPr>
          <w:rFonts w:ascii="Cambria" w:hAnsi="Cambria" w:cstheme="minorHAnsi"/>
        </w:rPr>
        <w:t>,</w:t>
      </w:r>
      <w:r>
        <w:rPr>
          <w:rFonts w:ascii="Cambria" w:hAnsi="Cambria" w:cstheme="minorHAnsi"/>
        </w:rPr>
        <w:t xml:space="preserve"> however</w:t>
      </w:r>
      <w:r w:rsidR="00EF70FD">
        <w:rPr>
          <w:rFonts w:ascii="Cambria" w:hAnsi="Cambria" w:cstheme="minorHAnsi"/>
        </w:rPr>
        <w:t>, tell us</w:t>
      </w:r>
      <w:r>
        <w:rPr>
          <w:rFonts w:ascii="Cambria" w:hAnsi="Cambria" w:cstheme="minorHAnsi"/>
        </w:rPr>
        <w:t xml:space="preserve"> whether increas</w:t>
      </w:r>
      <w:r w:rsidR="001F1D98">
        <w:rPr>
          <w:rFonts w:ascii="Cambria" w:hAnsi="Cambria" w:cstheme="minorHAnsi"/>
        </w:rPr>
        <w:t>ing</w:t>
      </w:r>
      <w:r>
        <w:rPr>
          <w:rFonts w:ascii="Cambria" w:hAnsi="Cambria" w:cstheme="minorHAnsi"/>
        </w:rPr>
        <w:t xml:space="preserve"> parental co-residence is </w:t>
      </w:r>
      <w:r w:rsidR="001F1D98">
        <w:rPr>
          <w:rFonts w:ascii="Cambria" w:hAnsi="Cambria" w:cstheme="minorHAnsi"/>
        </w:rPr>
        <w:t xml:space="preserve">principally </w:t>
      </w:r>
      <w:r>
        <w:rPr>
          <w:rFonts w:ascii="Cambria" w:hAnsi="Cambria" w:cstheme="minorHAnsi"/>
        </w:rPr>
        <w:t xml:space="preserve">the result of a later age at first leaving home, or increased rates of returning home among those who have left.  For this we need longitudinal data following young adults over the life course. Recently, scholars have </w:t>
      </w:r>
      <w:r w:rsidR="00A57222">
        <w:rPr>
          <w:rFonts w:ascii="Cambria" w:hAnsi="Cambria" w:cstheme="minorHAnsi"/>
        </w:rPr>
        <w:t>used</w:t>
      </w:r>
      <w:r w:rsidR="00477874">
        <w:rPr>
          <w:rFonts w:ascii="Cambria" w:hAnsi="Cambria" w:cstheme="minorHAnsi"/>
        </w:rPr>
        <w:t xml:space="preserve"> </w:t>
      </w:r>
      <w:r w:rsidR="00CD32F5">
        <w:rPr>
          <w:rFonts w:ascii="Cambria" w:hAnsi="Cambria" w:cstheme="minorHAnsi"/>
        </w:rPr>
        <w:t xml:space="preserve">nationally representative </w:t>
      </w:r>
      <w:r w:rsidR="00477874">
        <w:rPr>
          <w:rFonts w:ascii="Cambria" w:hAnsi="Cambria" w:cstheme="minorHAnsi"/>
        </w:rPr>
        <w:t>household panel survey</w:t>
      </w:r>
      <w:r w:rsidR="00CD32F5">
        <w:rPr>
          <w:rFonts w:ascii="Cambria" w:hAnsi="Cambria" w:cstheme="minorHAnsi"/>
        </w:rPr>
        <w:t>s</w:t>
      </w:r>
      <w:r w:rsidR="00005266">
        <w:rPr>
          <w:rFonts w:ascii="Cambria" w:hAnsi="Cambria" w:cstheme="minorHAnsi"/>
        </w:rPr>
        <w:t xml:space="preserve"> </w:t>
      </w:r>
      <w:r w:rsidR="00477874">
        <w:rPr>
          <w:rFonts w:ascii="Cambria" w:hAnsi="Cambria" w:cstheme="minorHAnsi"/>
        </w:rPr>
        <w:t xml:space="preserve">to model the </w:t>
      </w:r>
      <w:r w:rsidR="000202B0">
        <w:rPr>
          <w:rFonts w:ascii="Cambria" w:hAnsi="Cambria" w:cstheme="minorHAnsi"/>
        </w:rPr>
        <w:t xml:space="preserve">life course </w:t>
      </w:r>
      <w:r w:rsidR="00477874">
        <w:rPr>
          <w:rFonts w:ascii="Cambria" w:hAnsi="Cambria" w:cstheme="minorHAnsi"/>
        </w:rPr>
        <w:t xml:space="preserve">dynamics of </w:t>
      </w:r>
      <w:r w:rsidR="00CD32F5">
        <w:rPr>
          <w:rFonts w:ascii="Cambria" w:hAnsi="Cambria" w:cstheme="minorHAnsi"/>
        </w:rPr>
        <w:t xml:space="preserve">exits and returns to the parental home. </w:t>
      </w:r>
      <w:r w:rsidR="00E86E38">
        <w:rPr>
          <w:rFonts w:ascii="Cambria" w:hAnsi="Cambria" w:cstheme="minorHAnsi"/>
        </w:rPr>
        <w:t>These studies show</w:t>
      </w:r>
      <w:r w:rsidR="00A57222">
        <w:rPr>
          <w:rFonts w:ascii="Cambria" w:hAnsi="Cambria" w:cstheme="minorHAnsi"/>
        </w:rPr>
        <w:t xml:space="preserve"> that low incomes</w:t>
      </w:r>
      <w:r w:rsidR="001F30D8">
        <w:rPr>
          <w:rFonts w:ascii="Cambria" w:hAnsi="Cambria" w:cstheme="minorHAnsi"/>
        </w:rPr>
        <w:t>, unemployment</w:t>
      </w:r>
      <w:r w:rsidR="00A57222">
        <w:rPr>
          <w:rFonts w:ascii="Cambria" w:hAnsi="Cambria" w:cstheme="minorHAnsi"/>
        </w:rPr>
        <w:t xml:space="preserve"> and </w:t>
      </w:r>
      <w:r w:rsidR="00CD4E87">
        <w:rPr>
          <w:rFonts w:ascii="Cambria" w:hAnsi="Cambria" w:cstheme="minorHAnsi"/>
        </w:rPr>
        <w:t>less advantaged</w:t>
      </w:r>
      <w:r w:rsidR="00C741DE">
        <w:rPr>
          <w:rFonts w:ascii="Cambria" w:hAnsi="Cambria" w:cstheme="minorHAnsi"/>
        </w:rPr>
        <w:t xml:space="preserve"> </w:t>
      </w:r>
      <w:r w:rsidR="00E86E38">
        <w:rPr>
          <w:rFonts w:ascii="Cambria" w:hAnsi="Cambria" w:cstheme="minorHAnsi"/>
        </w:rPr>
        <w:t>jobs</w:t>
      </w:r>
      <w:r w:rsidR="00A57222">
        <w:rPr>
          <w:rFonts w:ascii="Cambria" w:hAnsi="Cambria" w:cstheme="minorHAnsi"/>
        </w:rPr>
        <w:t xml:space="preserve"> reduce the probability of leaving home, presumably because </w:t>
      </w:r>
      <w:r w:rsidR="00380126">
        <w:rPr>
          <w:rFonts w:ascii="Cambria" w:hAnsi="Cambria" w:cstheme="minorHAnsi"/>
        </w:rPr>
        <w:t>young people with few</w:t>
      </w:r>
      <w:r w:rsidR="000E2C3D">
        <w:rPr>
          <w:rFonts w:ascii="Cambria" w:hAnsi="Cambria" w:cstheme="minorHAnsi"/>
        </w:rPr>
        <w:t>er</w:t>
      </w:r>
      <w:r w:rsidR="00380126">
        <w:rPr>
          <w:rFonts w:ascii="Cambria" w:hAnsi="Cambria" w:cstheme="minorHAnsi"/>
        </w:rPr>
        <w:t xml:space="preserve"> resources cannot afford to move out</w:t>
      </w:r>
      <w:r w:rsidR="00A57222">
        <w:rPr>
          <w:rFonts w:ascii="Cambria" w:hAnsi="Cambria" w:cstheme="minorHAnsi"/>
        </w:rPr>
        <w:t xml:space="preserve"> (Iacovou, 2010</w:t>
      </w:r>
      <w:r w:rsidR="00380126">
        <w:rPr>
          <w:rFonts w:ascii="Cambria" w:hAnsi="Cambria" w:cstheme="minorHAnsi"/>
        </w:rPr>
        <w:t>). In Britain, survey</w:t>
      </w:r>
      <w:r w:rsidR="00220EF3">
        <w:rPr>
          <w:rFonts w:ascii="Cambria" w:hAnsi="Cambria" w:cstheme="minorHAnsi"/>
        </w:rPr>
        <w:t xml:space="preserve"> evidence</w:t>
      </w:r>
      <w:r w:rsidR="00380126">
        <w:rPr>
          <w:rFonts w:ascii="Cambria" w:hAnsi="Cambria" w:cstheme="minorHAnsi"/>
        </w:rPr>
        <w:t xml:space="preserve"> suggest</w:t>
      </w:r>
      <w:r w:rsidR="0054017E">
        <w:rPr>
          <w:rFonts w:ascii="Cambria" w:hAnsi="Cambria" w:cstheme="minorHAnsi"/>
        </w:rPr>
        <w:t>s</w:t>
      </w:r>
      <w:r w:rsidR="00380126">
        <w:rPr>
          <w:rFonts w:ascii="Cambria" w:hAnsi="Cambria" w:cstheme="minorHAnsi"/>
        </w:rPr>
        <w:t xml:space="preserve"> that </w:t>
      </w:r>
      <w:r w:rsidR="00BC5C52">
        <w:rPr>
          <w:rFonts w:ascii="Cambria" w:hAnsi="Cambria" w:cstheme="minorHAnsi"/>
        </w:rPr>
        <w:t xml:space="preserve">age </w:t>
      </w:r>
      <w:r w:rsidR="00380126">
        <w:rPr>
          <w:rFonts w:ascii="Cambria" w:hAnsi="Cambria" w:cstheme="minorHAnsi"/>
        </w:rPr>
        <w:t xml:space="preserve">30 </w:t>
      </w:r>
      <w:r w:rsidR="001F1E30">
        <w:rPr>
          <w:rFonts w:ascii="Cambria" w:hAnsi="Cambria" w:cstheme="minorHAnsi"/>
        </w:rPr>
        <w:t xml:space="preserve">represents a normative deadline for leaving home </w:t>
      </w:r>
      <w:r w:rsidR="00380126">
        <w:rPr>
          <w:rFonts w:ascii="Cambria" w:hAnsi="Cambria" w:cstheme="minorHAnsi"/>
        </w:rPr>
        <w:t xml:space="preserve">(Aassve et al., 2013) and young people found living with their parents after this age </w:t>
      </w:r>
      <w:r w:rsidR="001F1E30">
        <w:rPr>
          <w:rFonts w:ascii="Cambria" w:hAnsi="Cambria" w:cstheme="minorHAnsi"/>
        </w:rPr>
        <w:t>tend to be</w:t>
      </w:r>
      <w:r w:rsidR="00FD31B3">
        <w:rPr>
          <w:rFonts w:ascii="Cambria" w:hAnsi="Cambria" w:cstheme="minorHAnsi"/>
        </w:rPr>
        <w:t xml:space="preserve"> </w:t>
      </w:r>
      <w:r w:rsidR="00380126">
        <w:rPr>
          <w:rFonts w:ascii="Cambria" w:hAnsi="Cambria" w:cstheme="minorHAnsi"/>
        </w:rPr>
        <w:t>economically disadvantaged (Stone et al., 2011</w:t>
      </w:r>
      <w:r w:rsidR="006B45F3">
        <w:rPr>
          <w:rFonts w:ascii="Cambria" w:hAnsi="Cambria" w:cstheme="minorHAnsi"/>
        </w:rPr>
        <w:t>; Berrington et al., 2017</w:t>
      </w:r>
      <w:r w:rsidR="00380126">
        <w:rPr>
          <w:rFonts w:ascii="Cambria" w:hAnsi="Cambria" w:cstheme="minorHAnsi"/>
        </w:rPr>
        <w:t>).</w:t>
      </w:r>
      <w:r w:rsidR="00DD685C">
        <w:rPr>
          <w:rFonts w:ascii="Cambria" w:hAnsi="Cambria" w:cstheme="minorHAnsi"/>
        </w:rPr>
        <w:t xml:space="preserve"> </w:t>
      </w:r>
    </w:p>
    <w:p w14:paraId="292FAAD4" w14:textId="70664A10" w:rsidR="00E66D32" w:rsidRDefault="00FD31B3" w:rsidP="00006F78">
      <w:pPr>
        <w:spacing w:after="240" w:line="480" w:lineRule="auto"/>
        <w:rPr>
          <w:rFonts w:ascii="Cambria" w:hAnsi="Cambria" w:cstheme="minorHAnsi"/>
        </w:rPr>
      </w:pPr>
      <w:r>
        <w:rPr>
          <w:rFonts w:ascii="Cambria" w:hAnsi="Cambria" w:cstheme="minorHAnsi"/>
        </w:rPr>
        <w:t xml:space="preserve">Longitudinal analysis of exit </w:t>
      </w:r>
      <w:r w:rsidR="00BD5B7A">
        <w:rPr>
          <w:rFonts w:ascii="Cambria" w:hAnsi="Cambria" w:cstheme="minorHAnsi"/>
        </w:rPr>
        <w:t>dynamics</w:t>
      </w:r>
      <w:r>
        <w:rPr>
          <w:rFonts w:ascii="Cambria" w:hAnsi="Cambria" w:cstheme="minorHAnsi"/>
        </w:rPr>
        <w:t xml:space="preserve"> has been </w:t>
      </w:r>
      <w:r w:rsidR="00FC065F">
        <w:rPr>
          <w:rFonts w:ascii="Cambria" w:hAnsi="Cambria" w:cstheme="minorHAnsi"/>
        </w:rPr>
        <w:t>accompanied</w:t>
      </w:r>
      <w:r>
        <w:rPr>
          <w:rFonts w:ascii="Cambria" w:hAnsi="Cambria" w:cstheme="minorHAnsi"/>
        </w:rPr>
        <w:t xml:space="preserve"> by </w:t>
      </w:r>
      <w:r w:rsidR="00B97502">
        <w:rPr>
          <w:rFonts w:ascii="Cambria" w:hAnsi="Cambria" w:cstheme="minorHAnsi"/>
        </w:rPr>
        <w:t xml:space="preserve">modelling </w:t>
      </w:r>
      <w:r w:rsidR="00CD020A">
        <w:rPr>
          <w:rFonts w:ascii="Cambria" w:hAnsi="Cambria" w:cstheme="minorHAnsi"/>
        </w:rPr>
        <w:t>‘</w:t>
      </w:r>
      <w:r>
        <w:rPr>
          <w:rFonts w:ascii="Cambria" w:hAnsi="Cambria" w:cstheme="minorHAnsi"/>
        </w:rPr>
        <w:t>boomerang</w:t>
      </w:r>
      <w:r w:rsidR="00CD020A">
        <w:rPr>
          <w:rFonts w:ascii="Cambria" w:hAnsi="Cambria" w:cstheme="minorHAnsi"/>
        </w:rPr>
        <w:t>’</w:t>
      </w:r>
      <w:r>
        <w:rPr>
          <w:rFonts w:ascii="Cambria" w:hAnsi="Cambria" w:cstheme="minorHAnsi"/>
        </w:rPr>
        <w:t xml:space="preserve"> </w:t>
      </w:r>
      <w:r w:rsidR="0067395B">
        <w:rPr>
          <w:rFonts w:ascii="Cambria" w:hAnsi="Cambria" w:cstheme="minorHAnsi"/>
        </w:rPr>
        <w:t>returns</w:t>
      </w:r>
      <w:r>
        <w:rPr>
          <w:rFonts w:ascii="Cambria" w:hAnsi="Cambria" w:cstheme="minorHAnsi"/>
        </w:rPr>
        <w:t xml:space="preserve">. </w:t>
      </w:r>
      <w:r w:rsidR="00BD5B7A">
        <w:rPr>
          <w:rFonts w:ascii="Cambria" w:hAnsi="Cambria" w:cstheme="minorHAnsi"/>
        </w:rPr>
        <w:t xml:space="preserve">Stone and colleagues (2014) </w:t>
      </w:r>
      <w:r w:rsidR="00471E92">
        <w:rPr>
          <w:rFonts w:ascii="Cambria" w:hAnsi="Cambria" w:cstheme="minorHAnsi"/>
        </w:rPr>
        <w:t>applied event history</w:t>
      </w:r>
      <w:r w:rsidR="00BD5B7A">
        <w:rPr>
          <w:rFonts w:ascii="Cambria" w:hAnsi="Cambria" w:cstheme="minorHAnsi"/>
        </w:rPr>
        <w:t xml:space="preserve"> model</w:t>
      </w:r>
      <w:r w:rsidR="00471E92">
        <w:rPr>
          <w:rFonts w:ascii="Cambria" w:hAnsi="Cambria" w:cstheme="minorHAnsi"/>
        </w:rPr>
        <w:t xml:space="preserve">s to data from </w:t>
      </w:r>
      <w:r w:rsidR="000252D5">
        <w:rPr>
          <w:rFonts w:ascii="Cambria" w:hAnsi="Cambria" w:cstheme="minorHAnsi"/>
        </w:rPr>
        <w:t xml:space="preserve">the </w:t>
      </w:r>
      <w:r w:rsidR="00471E92">
        <w:rPr>
          <w:rFonts w:ascii="Cambria" w:hAnsi="Cambria" w:cstheme="minorHAnsi"/>
        </w:rPr>
        <w:t xml:space="preserve">British Household Panel Survey </w:t>
      </w:r>
      <w:r w:rsidR="00FD7219">
        <w:rPr>
          <w:rFonts w:ascii="Cambria" w:hAnsi="Cambria" w:cstheme="minorHAnsi"/>
        </w:rPr>
        <w:t xml:space="preserve">to </w:t>
      </w:r>
      <w:r w:rsidR="00471E92">
        <w:rPr>
          <w:rFonts w:ascii="Cambria" w:hAnsi="Cambria" w:cstheme="minorHAnsi"/>
        </w:rPr>
        <w:t>explore</w:t>
      </w:r>
      <w:r w:rsidR="00BD5B7A">
        <w:rPr>
          <w:rFonts w:ascii="Cambria" w:hAnsi="Cambria" w:cstheme="minorHAnsi"/>
        </w:rPr>
        <w:t xml:space="preserve"> how </w:t>
      </w:r>
      <w:r w:rsidR="0085156D">
        <w:rPr>
          <w:rFonts w:ascii="Cambria" w:hAnsi="Cambria" w:cstheme="minorHAnsi"/>
        </w:rPr>
        <w:t>several</w:t>
      </w:r>
      <w:r w:rsidR="00E13AE2">
        <w:rPr>
          <w:rFonts w:ascii="Cambria" w:hAnsi="Cambria" w:cstheme="minorHAnsi"/>
        </w:rPr>
        <w:t xml:space="preserve"> events </w:t>
      </w:r>
      <w:r w:rsidR="00DB3E27">
        <w:rPr>
          <w:rFonts w:ascii="Cambria" w:hAnsi="Cambria" w:cstheme="minorHAnsi"/>
        </w:rPr>
        <w:t>—</w:t>
      </w:r>
      <w:r w:rsidR="00F63AC3">
        <w:rPr>
          <w:rFonts w:ascii="Cambria" w:hAnsi="Cambria" w:cstheme="minorHAnsi"/>
        </w:rPr>
        <w:t xml:space="preserve"> </w:t>
      </w:r>
      <w:r w:rsidR="00842E06">
        <w:rPr>
          <w:rFonts w:ascii="Cambria" w:hAnsi="Cambria" w:cstheme="minorHAnsi"/>
        </w:rPr>
        <w:t>unemployment, leaving univer</w:t>
      </w:r>
      <w:r w:rsidR="00E13AE2">
        <w:rPr>
          <w:rFonts w:ascii="Cambria" w:hAnsi="Cambria" w:cstheme="minorHAnsi"/>
        </w:rPr>
        <w:t xml:space="preserve">sity and relationship breakdown </w:t>
      </w:r>
      <w:r w:rsidR="00DB3E27">
        <w:rPr>
          <w:rFonts w:ascii="Cambria" w:hAnsi="Cambria" w:cstheme="minorHAnsi"/>
        </w:rPr>
        <w:t>—</w:t>
      </w:r>
      <w:r w:rsidR="007878FF">
        <w:rPr>
          <w:rFonts w:ascii="Cambria" w:hAnsi="Cambria" w:cstheme="minorHAnsi"/>
        </w:rPr>
        <w:t xml:space="preserve"> </w:t>
      </w:r>
      <w:r w:rsidR="00842E06">
        <w:rPr>
          <w:rFonts w:ascii="Cambria" w:hAnsi="Cambria" w:cstheme="minorHAnsi"/>
        </w:rPr>
        <w:t xml:space="preserve">form </w:t>
      </w:r>
      <w:r w:rsidR="0067395B">
        <w:rPr>
          <w:rFonts w:ascii="Cambria" w:hAnsi="Cambria" w:cstheme="minorHAnsi"/>
        </w:rPr>
        <w:t>‘</w:t>
      </w:r>
      <w:r w:rsidR="00842E06">
        <w:rPr>
          <w:rFonts w:ascii="Cambria" w:hAnsi="Cambria" w:cstheme="minorHAnsi"/>
        </w:rPr>
        <w:t>turning points</w:t>
      </w:r>
      <w:r w:rsidR="0067395B">
        <w:rPr>
          <w:rFonts w:ascii="Cambria" w:hAnsi="Cambria" w:cstheme="minorHAnsi"/>
        </w:rPr>
        <w:t>’</w:t>
      </w:r>
      <w:r w:rsidR="00842E06">
        <w:rPr>
          <w:rFonts w:ascii="Cambria" w:hAnsi="Cambria" w:cstheme="minorHAnsi"/>
        </w:rPr>
        <w:t xml:space="preserve"> in young people’s lives that often trigger returns </w:t>
      </w:r>
      <w:r w:rsidR="00EF7C7F">
        <w:rPr>
          <w:rFonts w:ascii="Cambria" w:hAnsi="Cambria" w:cstheme="minorHAnsi"/>
        </w:rPr>
        <w:t>to the parental home</w:t>
      </w:r>
      <w:r w:rsidR="00D86872">
        <w:rPr>
          <w:rFonts w:ascii="Cambria" w:hAnsi="Cambria" w:cstheme="minorHAnsi"/>
        </w:rPr>
        <w:t>.</w:t>
      </w:r>
      <w:r w:rsidR="00896210">
        <w:rPr>
          <w:rFonts w:ascii="Cambria" w:hAnsi="Cambria" w:cstheme="minorHAnsi"/>
        </w:rPr>
        <w:t xml:space="preserve"> </w:t>
      </w:r>
      <w:r w:rsidR="00B33526">
        <w:rPr>
          <w:rFonts w:ascii="Cambria" w:hAnsi="Cambria" w:cstheme="minorHAnsi"/>
        </w:rPr>
        <w:t xml:space="preserve">Importantly, the impact </w:t>
      </w:r>
      <w:r w:rsidR="00861409">
        <w:rPr>
          <w:rFonts w:ascii="Cambria" w:hAnsi="Cambria" w:cstheme="minorHAnsi"/>
        </w:rPr>
        <w:t>that</w:t>
      </w:r>
      <w:r w:rsidR="00B33526">
        <w:rPr>
          <w:rFonts w:ascii="Cambria" w:hAnsi="Cambria" w:cstheme="minorHAnsi"/>
        </w:rPr>
        <w:t xml:space="preserve"> </w:t>
      </w:r>
      <w:r w:rsidR="00DB71C9">
        <w:rPr>
          <w:rFonts w:ascii="Cambria" w:hAnsi="Cambria" w:cstheme="minorHAnsi"/>
        </w:rPr>
        <w:t xml:space="preserve">these </w:t>
      </w:r>
      <w:r w:rsidR="00B33526">
        <w:rPr>
          <w:rFonts w:ascii="Cambria" w:hAnsi="Cambria" w:cstheme="minorHAnsi"/>
        </w:rPr>
        <w:t>life event</w:t>
      </w:r>
      <w:r w:rsidR="009B331F">
        <w:rPr>
          <w:rFonts w:ascii="Cambria" w:hAnsi="Cambria" w:cstheme="minorHAnsi"/>
        </w:rPr>
        <w:t xml:space="preserve">s </w:t>
      </w:r>
      <w:r w:rsidR="00861409">
        <w:rPr>
          <w:rFonts w:ascii="Cambria" w:hAnsi="Cambria" w:cstheme="minorHAnsi"/>
        </w:rPr>
        <w:t xml:space="preserve">have </w:t>
      </w:r>
      <w:r w:rsidR="001C71C1">
        <w:rPr>
          <w:rFonts w:ascii="Cambria" w:hAnsi="Cambria" w:cstheme="minorHAnsi"/>
        </w:rPr>
        <w:t xml:space="preserve">on boomerang moves </w:t>
      </w:r>
      <w:r w:rsidR="00B33526">
        <w:rPr>
          <w:rFonts w:ascii="Cambria" w:hAnsi="Cambria" w:cstheme="minorHAnsi"/>
        </w:rPr>
        <w:t>di</w:t>
      </w:r>
      <w:r w:rsidR="009B331F">
        <w:rPr>
          <w:rFonts w:ascii="Cambria" w:hAnsi="Cambria" w:cstheme="minorHAnsi"/>
        </w:rPr>
        <w:t>ffer</w:t>
      </w:r>
      <w:r w:rsidR="0061650E">
        <w:rPr>
          <w:rFonts w:ascii="Cambria" w:hAnsi="Cambria" w:cstheme="minorHAnsi"/>
        </w:rPr>
        <w:t>s</w:t>
      </w:r>
      <w:r w:rsidR="00F04116">
        <w:rPr>
          <w:rFonts w:ascii="Cambria" w:hAnsi="Cambria" w:cstheme="minorHAnsi"/>
        </w:rPr>
        <w:t xml:space="preserve"> for young men and women.</w:t>
      </w:r>
      <w:r w:rsidR="009B331F">
        <w:rPr>
          <w:rFonts w:ascii="Cambria" w:hAnsi="Cambria" w:cstheme="minorHAnsi"/>
        </w:rPr>
        <w:t xml:space="preserve"> </w:t>
      </w:r>
      <w:r w:rsidR="00F04116">
        <w:rPr>
          <w:rFonts w:ascii="Cambria" w:hAnsi="Cambria" w:cstheme="minorHAnsi"/>
        </w:rPr>
        <w:t>F</w:t>
      </w:r>
      <w:r w:rsidR="009B331F">
        <w:rPr>
          <w:rFonts w:ascii="Cambria" w:hAnsi="Cambria" w:cstheme="minorHAnsi"/>
        </w:rPr>
        <w:t>or example</w:t>
      </w:r>
      <w:r w:rsidR="00F04116">
        <w:rPr>
          <w:rFonts w:ascii="Cambria" w:hAnsi="Cambria" w:cstheme="minorHAnsi"/>
        </w:rPr>
        <w:t>,</w:t>
      </w:r>
      <w:r w:rsidR="009B331F">
        <w:rPr>
          <w:rFonts w:ascii="Cambria" w:hAnsi="Cambria" w:cstheme="minorHAnsi"/>
        </w:rPr>
        <w:t xml:space="preserve"> young men are particularly likely to return home after relationships dissolve because they rarely have child custody and so receive minimal </w:t>
      </w:r>
      <w:r w:rsidR="002A49C6">
        <w:rPr>
          <w:rFonts w:ascii="Cambria" w:hAnsi="Cambria" w:cstheme="minorHAnsi"/>
        </w:rPr>
        <w:t>public</w:t>
      </w:r>
      <w:r w:rsidR="006B4DCE">
        <w:rPr>
          <w:rFonts w:ascii="Cambria" w:hAnsi="Cambria" w:cstheme="minorHAnsi"/>
        </w:rPr>
        <w:t xml:space="preserve"> benefit or social housing</w:t>
      </w:r>
      <w:r w:rsidR="009B331F">
        <w:rPr>
          <w:rFonts w:ascii="Cambria" w:hAnsi="Cambria" w:cstheme="minorHAnsi"/>
        </w:rPr>
        <w:t xml:space="preserve"> support to live independently</w:t>
      </w:r>
      <w:r w:rsidR="00F04116">
        <w:rPr>
          <w:rFonts w:ascii="Cambria" w:hAnsi="Cambria" w:cstheme="minorHAnsi"/>
        </w:rPr>
        <w:t xml:space="preserve"> (Berrington and Stone, 2014)</w:t>
      </w:r>
      <w:r w:rsidR="009B331F">
        <w:rPr>
          <w:rFonts w:ascii="Cambria" w:hAnsi="Cambria" w:cstheme="minorHAnsi"/>
        </w:rPr>
        <w:t xml:space="preserve">. </w:t>
      </w:r>
      <w:r w:rsidR="00896210">
        <w:rPr>
          <w:rFonts w:ascii="Cambria" w:hAnsi="Cambria" w:cstheme="minorHAnsi"/>
        </w:rPr>
        <w:t xml:space="preserve">This work demonstrates the importance of collecting rich event history data on </w:t>
      </w:r>
      <w:r w:rsidR="00D86872">
        <w:rPr>
          <w:rFonts w:ascii="Cambria" w:hAnsi="Cambria" w:cstheme="minorHAnsi"/>
        </w:rPr>
        <w:t xml:space="preserve">interlinked </w:t>
      </w:r>
      <w:r w:rsidR="00EC1F40">
        <w:rPr>
          <w:rFonts w:ascii="Cambria" w:hAnsi="Cambria" w:cstheme="minorHAnsi"/>
        </w:rPr>
        <w:t>education, employment</w:t>
      </w:r>
      <w:r w:rsidR="00896210">
        <w:rPr>
          <w:rFonts w:ascii="Cambria" w:hAnsi="Cambria" w:cstheme="minorHAnsi"/>
        </w:rPr>
        <w:t xml:space="preserve"> and family careers and us</w:t>
      </w:r>
      <w:r w:rsidR="00AD6B6E">
        <w:rPr>
          <w:rFonts w:ascii="Cambria" w:hAnsi="Cambria" w:cstheme="minorHAnsi"/>
        </w:rPr>
        <w:t>ing</w:t>
      </w:r>
      <w:r w:rsidR="00896210">
        <w:rPr>
          <w:rFonts w:ascii="Cambria" w:hAnsi="Cambria" w:cstheme="minorHAnsi"/>
        </w:rPr>
        <w:t xml:space="preserve"> these in </w:t>
      </w:r>
      <w:r w:rsidR="00AD6B6E">
        <w:rPr>
          <w:rFonts w:ascii="Cambria" w:hAnsi="Cambria" w:cstheme="minorHAnsi"/>
        </w:rPr>
        <w:t xml:space="preserve">longitudinal </w:t>
      </w:r>
      <w:r w:rsidR="007B5D1F">
        <w:rPr>
          <w:rFonts w:ascii="Cambria" w:hAnsi="Cambria" w:cstheme="minorHAnsi"/>
        </w:rPr>
        <w:t>modelling</w:t>
      </w:r>
      <w:r w:rsidR="00896210">
        <w:rPr>
          <w:rFonts w:ascii="Cambria" w:hAnsi="Cambria" w:cstheme="minorHAnsi"/>
        </w:rPr>
        <w:t xml:space="preserve"> of </w:t>
      </w:r>
      <w:r w:rsidR="00572E60">
        <w:rPr>
          <w:rFonts w:ascii="Cambria" w:hAnsi="Cambria" w:cstheme="minorHAnsi"/>
        </w:rPr>
        <w:t>residential</w:t>
      </w:r>
      <w:r w:rsidR="00896210">
        <w:rPr>
          <w:rFonts w:ascii="Cambria" w:hAnsi="Cambria" w:cstheme="minorHAnsi"/>
        </w:rPr>
        <w:t xml:space="preserve"> transitions.</w:t>
      </w:r>
    </w:p>
    <w:p w14:paraId="1F344D56" w14:textId="1E50B155" w:rsidR="00961B75" w:rsidRDefault="001A7C1D" w:rsidP="00006F78">
      <w:pPr>
        <w:spacing w:after="240" w:line="480" w:lineRule="auto"/>
        <w:rPr>
          <w:rFonts w:ascii="Cambria" w:hAnsi="Cambria" w:cstheme="minorHAnsi"/>
        </w:rPr>
      </w:pPr>
      <w:r>
        <w:rPr>
          <w:rFonts w:ascii="Cambria" w:hAnsi="Cambria" w:cstheme="minorHAnsi"/>
        </w:rPr>
        <w:t xml:space="preserve">There are also disparities in the </w:t>
      </w:r>
      <w:r w:rsidR="00741986">
        <w:rPr>
          <w:rFonts w:ascii="Cambria" w:hAnsi="Cambria" w:cstheme="minorHAnsi"/>
        </w:rPr>
        <w:t xml:space="preserve">parental </w:t>
      </w:r>
      <w:r>
        <w:rPr>
          <w:rFonts w:ascii="Cambria" w:hAnsi="Cambria" w:cstheme="minorHAnsi"/>
        </w:rPr>
        <w:t>co-residence patterns of young people from different ethnic groups and migration backgrounds</w:t>
      </w:r>
      <w:r w:rsidR="00741986">
        <w:rPr>
          <w:rFonts w:ascii="Cambria" w:hAnsi="Cambria" w:cstheme="minorHAnsi"/>
        </w:rPr>
        <w:t xml:space="preserve"> (Stone et al., 2011)</w:t>
      </w:r>
      <w:r w:rsidR="00961B75">
        <w:rPr>
          <w:rFonts w:ascii="Cambria" w:hAnsi="Cambria" w:cstheme="minorHAnsi"/>
        </w:rPr>
        <w:t xml:space="preserve">. However, </w:t>
      </w:r>
      <w:r>
        <w:rPr>
          <w:rFonts w:ascii="Cambria" w:hAnsi="Cambria" w:cstheme="minorHAnsi"/>
        </w:rPr>
        <w:t xml:space="preserve">these </w:t>
      </w:r>
      <w:r w:rsidR="00851FA3">
        <w:rPr>
          <w:rFonts w:ascii="Cambria" w:hAnsi="Cambria" w:cstheme="minorHAnsi"/>
        </w:rPr>
        <w:t xml:space="preserve">ethno-racial </w:t>
      </w:r>
      <w:r w:rsidR="006E1BCC">
        <w:rPr>
          <w:rFonts w:ascii="Cambria" w:hAnsi="Cambria" w:cstheme="minorHAnsi"/>
        </w:rPr>
        <w:t xml:space="preserve">and migration </w:t>
      </w:r>
      <w:r>
        <w:rPr>
          <w:rFonts w:ascii="Cambria" w:hAnsi="Cambria" w:cstheme="minorHAnsi"/>
        </w:rPr>
        <w:t>disparities vary greatly across countries</w:t>
      </w:r>
      <w:r w:rsidR="00961B75">
        <w:rPr>
          <w:rFonts w:ascii="Cambria" w:hAnsi="Cambria" w:cstheme="minorHAnsi"/>
        </w:rPr>
        <w:t xml:space="preserve">. While </w:t>
      </w:r>
      <w:r>
        <w:rPr>
          <w:rFonts w:ascii="Cambria" w:hAnsi="Cambria" w:cstheme="minorHAnsi"/>
        </w:rPr>
        <w:t xml:space="preserve">young </w:t>
      </w:r>
      <w:r w:rsidR="00961B75">
        <w:rPr>
          <w:rFonts w:ascii="Cambria" w:hAnsi="Cambria" w:cstheme="minorHAnsi"/>
        </w:rPr>
        <w:t xml:space="preserve">Black and Hispanic </w:t>
      </w:r>
      <w:r>
        <w:rPr>
          <w:rFonts w:ascii="Cambria" w:hAnsi="Cambria" w:cstheme="minorHAnsi"/>
        </w:rPr>
        <w:t xml:space="preserve">Americans </w:t>
      </w:r>
      <w:r w:rsidR="00961B75">
        <w:rPr>
          <w:rFonts w:ascii="Cambria" w:hAnsi="Cambria" w:cstheme="minorHAnsi"/>
        </w:rPr>
        <w:t xml:space="preserve">leave </w:t>
      </w:r>
      <w:r>
        <w:rPr>
          <w:rFonts w:ascii="Cambria" w:hAnsi="Cambria" w:cstheme="minorHAnsi"/>
        </w:rPr>
        <w:t xml:space="preserve">the </w:t>
      </w:r>
      <w:r w:rsidR="00961B75">
        <w:rPr>
          <w:rFonts w:ascii="Cambria" w:hAnsi="Cambria" w:cstheme="minorHAnsi"/>
        </w:rPr>
        <w:t xml:space="preserve">parental home later than </w:t>
      </w:r>
      <w:r>
        <w:rPr>
          <w:rFonts w:ascii="Cambria" w:hAnsi="Cambria" w:cstheme="minorHAnsi"/>
        </w:rPr>
        <w:t xml:space="preserve">their </w:t>
      </w:r>
      <w:r w:rsidR="00961B75">
        <w:rPr>
          <w:rFonts w:ascii="Cambria" w:hAnsi="Cambria" w:cstheme="minorHAnsi"/>
        </w:rPr>
        <w:t>White</w:t>
      </w:r>
      <w:r>
        <w:rPr>
          <w:rFonts w:ascii="Cambria" w:hAnsi="Cambria" w:cstheme="minorHAnsi"/>
        </w:rPr>
        <w:t xml:space="preserve"> counterparts</w:t>
      </w:r>
      <w:r w:rsidR="00961B75">
        <w:rPr>
          <w:rFonts w:ascii="Cambria" w:hAnsi="Cambria" w:cstheme="minorHAnsi"/>
        </w:rPr>
        <w:t xml:space="preserve"> (Lei and South, 2016), Moroccan and Turkish young people </w:t>
      </w:r>
      <w:r>
        <w:rPr>
          <w:rFonts w:ascii="Cambria" w:hAnsi="Cambria" w:cstheme="minorHAnsi"/>
        </w:rPr>
        <w:t xml:space="preserve">in the Netherlands </w:t>
      </w:r>
      <w:r w:rsidR="00961B75">
        <w:rPr>
          <w:rFonts w:ascii="Cambria" w:hAnsi="Cambria" w:cstheme="minorHAnsi"/>
        </w:rPr>
        <w:t xml:space="preserve">leave </w:t>
      </w:r>
      <w:r>
        <w:rPr>
          <w:rFonts w:ascii="Cambria" w:hAnsi="Cambria" w:cstheme="minorHAnsi"/>
        </w:rPr>
        <w:t xml:space="preserve">the </w:t>
      </w:r>
      <w:r w:rsidR="00961B75">
        <w:rPr>
          <w:rFonts w:ascii="Cambria" w:hAnsi="Cambria" w:cstheme="minorHAnsi"/>
        </w:rPr>
        <w:t xml:space="preserve">parental home </w:t>
      </w:r>
      <w:r>
        <w:rPr>
          <w:rFonts w:ascii="Cambria" w:hAnsi="Cambria" w:cstheme="minorHAnsi"/>
        </w:rPr>
        <w:t>earlier</w:t>
      </w:r>
      <w:r w:rsidR="00961B75">
        <w:rPr>
          <w:rFonts w:ascii="Cambria" w:hAnsi="Cambria" w:cstheme="minorHAnsi"/>
        </w:rPr>
        <w:t xml:space="preserve"> than their Dutch peers (Zorlu and Mulder, 2011).  Moreover, </w:t>
      </w:r>
      <w:r w:rsidR="00891EFB">
        <w:rPr>
          <w:rFonts w:ascii="Cambria" w:hAnsi="Cambria" w:cstheme="minorHAnsi"/>
        </w:rPr>
        <w:t xml:space="preserve">Dutch </w:t>
      </w:r>
      <w:r w:rsidR="00961B75">
        <w:rPr>
          <w:rFonts w:ascii="Cambria" w:hAnsi="Cambria" w:cstheme="minorHAnsi"/>
        </w:rPr>
        <w:t>ethnic minorit</w:t>
      </w:r>
      <w:r w:rsidR="002B6DB0">
        <w:rPr>
          <w:rFonts w:ascii="Cambria" w:hAnsi="Cambria" w:cstheme="minorHAnsi"/>
        </w:rPr>
        <w:t>ies</w:t>
      </w:r>
      <w:r w:rsidR="00961B75">
        <w:rPr>
          <w:rFonts w:ascii="Cambria" w:hAnsi="Cambria" w:cstheme="minorHAnsi"/>
        </w:rPr>
        <w:t xml:space="preserve"> are also more likely to return to </w:t>
      </w:r>
      <w:r w:rsidR="004D0429">
        <w:rPr>
          <w:rFonts w:ascii="Cambria" w:hAnsi="Cambria" w:cstheme="minorHAnsi"/>
        </w:rPr>
        <w:t xml:space="preserve">the </w:t>
      </w:r>
      <w:r w:rsidR="00961B75">
        <w:rPr>
          <w:rFonts w:ascii="Cambria" w:hAnsi="Cambria" w:cstheme="minorHAnsi"/>
        </w:rPr>
        <w:t>parental home</w:t>
      </w:r>
      <w:r w:rsidR="004D0429">
        <w:rPr>
          <w:rFonts w:ascii="Cambria" w:hAnsi="Cambria" w:cstheme="minorHAnsi"/>
        </w:rPr>
        <w:t>,</w:t>
      </w:r>
      <w:r w:rsidR="00961B75">
        <w:rPr>
          <w:rFonts w:ascii="Cambria" w:hAnsi="Cambria" w:cstheme="minorHAnsi"/>
        </w:rPr>
        <w:t xml:space="preserve"> but their return is less likely to be linked to family events like partnership dissolution (Kleinepier et al</w:t>
      </w:r>
      <w:r w:rsidR="002D7234">
        <w:rPr>
          <w:rFonts w:ascii="Cambria" w:hAnsi="Cambria" w:cstheme="minorHAnsi"/>
        </w:rPr>
        <w:t>.</w:t>
      </w:r>
      <w:r w:rsidR="00961B75">
        <w:rPr>
          <w:rFonts w:ascii="Cambria" w:hAnsi="Cambria" w:cstheme="minorHAnsi"/>
        </w:rPr>
        <w:t>, 2017)</w:t>
      </w:r>
      <w:r w:rsidR="00E0137D">
        <w:rPr>
          <w:rFonts w:ascii="Cambria" w:hAnsi="Cambria" w:cstheme="minorHAnsi"/>
        </w:rPr>
        <w:t>. This</w:t>
      </w:r>
      <w:r w:rsidR="00961B75">
        <w:rPr>
          <w:rFonts w:ascii="Cambria" w:hAnsi="Cambria" w:cstheme="minorHAnsi"/>
        </w:rPr>
        <w:t xml:space="preserve"> </w:t>
      </w:r>
      <w:r w:rsidR="00593E3D">
        <w:rPr>
          <w:rFonts w:ascii="Cambria" w:hAnsi="Cambria" w:cstheme="minorHAnsi"/>
        </w:rPr>
        <w:t xml:space="preserve">evidence </w:t>
      </w:r>
      <w:r w:rsidR="00867A59">
        <w:rPr>
          <w:rFonts w:ascii="Cambria" w:hAnsi="Cambria" w:cstheme="minorHAnsi"/>
        </w:rPr>
        <w:t>implies</w:t>
      </w:r>
      <w:r w:rsidR="00961B75">
        <w:rPr>
          <w:rFonts w:ascii="Cambria" w:hAnsi="Cambria" w:cstheme="minorHAnsi"/>
        </w:rPr>
        <w:t xml:space="preserve"> that </w:t>
      </w:r>
      <w:r w:rsidR="004D0429">
        <w:rPr>
          <w:rFonts w:ascii="Cambria" w:hAnsi="Cambria" w:cstheme="minorHAnsi"/>
        </w:rPr>
        <w:t xml:space="preserve">ethnic disparities in </w:t>
      </w:r>
      <w:r w:rsidR="007442C3">
        <w:rPr>
          <w:rFonts w:ascii="Cambria" w:hAnsi="Cambria" w:cstheme="minorHAnsi"/>
        </w:rPr>
        <w:t>the Netherlands</w:t>
      </w:r>
      <w:r w:rsidR="004D0429">
        <w:rPr>
          <w:rFonts w:ascii="Cambria" w:hAnsi="Cambria" w:cstheme="minorHAnsi"/>
        </w:rPr>
        <w:t xml:space="preserve"> are not solely attributable to different</w:t>
      </w:r>
      <w:r w:rsidR="00867A59">
        <w:rPr>
          <w:rFonts w:ascii="Cambria" w:hAnsi="Cambria" w:cstheme="minorHAnsi"/>
        </w:rPr>
        <w:t>ial</w:t>
      </w:r>
      <w:r w:rsidR="004D0429">
        <w:rPr>
          <w:rFonts w:ascii="Cambria" w:hAnsi="Cambria" w:cstheme="minorHAnsi"/>
        </w:rPr>
        <w:t xml:space="preserve"> exposure to life events</w:t>
      </w:r>
      <w:r w:rsidR="00961B75">
        <w:rPr>
          <w:rFonts w:ascii="Cambria" w:hAnsi="Cambria" w:cstheme="minorHAnsi"/>
        </w:rPr>
        <w:t xml:space="preserve">. This area requires more research, </w:t>
      </w:r>
      <w:r w:rsidR="008520ED">
        <w:rPr>
          <w:rFonts w:ascii="Cambria" w:hAnsi="Cambria" w:cstheme="minorHAnsi"/>
        </w:rPr>
        <w:t>in particular to investigate</w:t>
      </w:r>
      <w:r w:rsidR="00961B75">
        <w:rPr>
          <w:rFonts w:ascii="Cambria" w:hAnsi="Cambria" w:cstheme="minorHAnsi"/>
        </w:rPr>
        <w:t xml:space="preserve"> </w:t>
      </w:r>
      <w:r w:rsidR="008520ED">
        <w:rPr>
          <w:rFonts w:ascii="Cambria" w:hAnsi="Cambria" w:cstheme="minorHAnsi"/>
        </w:rPr>
        <w:t>how different cultural meanings</w:t>
      </w:r>
      <w:r w:rsidR="00CD4616">
        <w:rPr>
          <w:rFonts w:ascii="Cambria" w:hAnsi="Cambria" w:cstheme="minorHAnsi"/>
        </w:rPr>
        <w:t>,</w:t>
      </w:r>
      <w:r w:rsidR="008520ED">
        <w:rPr>
          <w:rFonts w:ascii="Cambria" w:hAnsi="Cambria" w:cstheme="minorHAnsi"/>
        </w:rPr>
        <w:t xml:space="preserve"> </w:t>
      </w:r>
      <w:r w:rsidR="00BE450E">
        <w:rPr>
          <w:rFonts w:ascii="Cambria" w:hAnsi="Cambria" w:cstheme="minorHAnsi"/>
        </w:rPr>
        <w:t>familial</w:t>
      </w:r>
      <w:r w:rsidR="008520ED">
        <w:rPr>
          <w:rFonts w:ascii="Cambria" w:hAnsi="Cambria" w:cstheme="minorHAnsi"/>
        </w:rPr>
        <w:t xml:space="preserve"> </w:t>
      </w:r>
      <w:r w:rsidR="00CD4616">
        <w:rPr>
          <w:rFonts w:ascii="Cambria" w:hAnsi="Cambria" w:cstheme="minorHAnsi"/>
        </w:rPr>
        <w:t>bonds</w:t>
      </w:r>
      <w:r w:rsidR="007165E6">
        <w:rPr>
          <w:rFonts w:ascii="Cambria" w:hAnsi="Cambria" w:cstheme="minorHAnsi"/>
        </w:rPr>
        <w:t xml:space="preserve"> and</w:t>
      </w:r>
      <w:r w:rsidR="00FB28AE">
        <w:rPr>
          <w:rFonts w:ascii="Cambria" w:hAnsi="Cambria" w:cstheme="minorHAnsi"/>
        </w:rPr>
        <w:t xml:space="preserve"> </w:t>
      </w:r>
      <w:r w:rsidR="00E4212A">
        <w:rPr>
          <w:rFonts w:ascii="Cambria" w:hAnsi="Cambria" w:cstheme="minorHAnsi"/>
        </w:rPr>
        <w:t>support exchanges</w:t>
      </w:r>
      <w:r w:rsidR="00CD4616">
        <w:rPr>
          <w:rFonts w:ascii="Cambria" w:hAnsi="Cambria" w:cstheme="minorHAnsi"/>
        </w:rPr>
        <w:t xml:space="preserve"> </w:t>
      </w:r>
      <w:r w:rsidR="00B3412B">
        <w:rPr>
          <w:rFonts w:ascii="Cambria" w:hAnsi="Cambria" w:cstheme="minorHAnsi"/>
        </w:rPr>
        <w:t>a</w:t>
      </w:r>
      <w:r w:rsidR="007165E6">
        <w:rPr>
          <w:rFonts w:ascii="Cambria" w:hAnsi="Cambria" w:cstheme="minorHAnsi"/>
        </w:rPr>
        <w:t>s well as</w:t>
      </w:r>
      <w:r w:rsidR="00B3412B">
        <w:rPr>
          <w:rFonts w:ascii="Cambria" w:hAnsi="Cambria" w:cstheme="minorHAnsi"/>
        </w:rPr>
        <w:t xml:space="preserve"> ties to places</w:t>
      </w:r>
      <w:r w:rsidR="00CD4616">
        <w:rPr>
          <w:rFonts w:ascii="Cambria" w:hAnsi="Cambria" w:cstheme="minorHAnsi"/>
        </w:rPr>
        <w:t xml:space="preserve"> </w:t>
      </w:r>
      <w:r w:rsidR="008520ED">
        <w:rPr>
          <w:rFonts w:ascii="Cambria" w:hAnsi="Cambria" w:cstheme="minorHAnsi"/>
        </w:rPr>
        <w:t>may influence the housing pathways of different groups of young people.</w:t>
      </w:r>
    </w:p>
    <w:p w14:paraId="3ACD5B5D" w14:textId="0AF99F7F" w:rsidR="00FD31B3" w:rsidRDefault="009444B2" w:rsidP="00006F78">
      <w:pPr>
        <w:spacing w:after="240" w:line="480" w:lineRule="auto"/>
        <w:rPr>
          <w:rFonts w:ascii="Cambria" w:hAnsi="Cambria" w:cstheme="minorHAnsi"/>
        </w:rPr>
      </w:pPr>
      <w:r>
        <w:rPr>
          <w:rFonts w:ascii="Cambria" w:hAnsi="Cambria" w:cstheme="minorHAnsi"/>
        </w:rPr>
        <w:t xml:space="preserve">Developing our understanding of </w:t>
      </w:r>
      <w:r w:rsidR="002A49C6">
        <w:rPr>
          <w:rFonts w:ascii="Cambria" w:hAnsi="Cambria" w:cstheme="minorHAnsi"/>
        </w:rPr>
        <w:t>who makes</w:t>
      </w:r>
      <w:r w:rsidR="002A49C6" w:rsidRPr="002A49C6">
        <w:rPr>
          <w:rFonts w:ascii="Cambria" w:hAnsi="Cambria" w:cstheme="minorHAnsi"/>
          <w:i/>
        </w:rPr>
        <w:t xml:space="preserve"> </w:t>
      </w:r>
      <w:r w:rsidR="00331F41" w:rsidRPr="00D2234D">
        <w:rPr>
          <w:rFonts w:ascii="Cambria" w:hAnsi="Cambria" w:cstheme="minorHAnsi"/>
        </w:rPr>
        <w:t>repeated</w:t>
      </w:r>
      <w:r w:rsidR="00331F41">
        <w:rPr>
          <w:rFonts w:ascii="Cambria" w:hAnsi="Cambria" w:cstheme="minorHAnsi"/>
        </w:rPr>
        <w:t xml:space="preserve"> exit and return moves </w:t>
      </w:r>
      <w:r w:rsidR="00E8326D">
        <w:rPr>
          <w:rFonts w:ascii="Cambria" w:hAnsi="Cambria" w:cstheme="minorHAnsi"/>
        </w:rPr>
        <w:t xml:space="preserve">by analysing long periods of longitudinal data </w:t>
      </w:r>
      <w:r>
        <w:rPr>
          <w:rFonts w:ascii="Cambria" w:hAnsi="Cambria" w:cstheme="minorHAnsi"/>
        </w:rPr>
        <w:t>is</w:t>
      </w:r>
      <w:r w:rsidR="00331F41">
        <w:rPr>
          <w:rFonts w:ascii="Cambria" w:hAnsi="Cambria" w:cstheme="minorHAnsi"/>
        </w:rPr>
        <w:t xml:space="preserve"> </w:t>
      </w:r>
      <w:r>
        <w:rPr>
          <w:rFonts w:ascii="Cambria" w:hAnsi="Cambria" w:cstheme="minorHAnsi"/>
        </w:rPr>
        <w:t>becoming</w:t>
      </w:r>
      <w:r w:rsidR="00357AD0">
        <w:rPr>
          <w:rFonts w:ascii="Cambria" w:hAnsi="Cambria" w:cstheme="minorHAnsi"/>
        </w:rPr>
        <w:t xml:space="preserve"> </w:t>
      </w:r>
      <w:r>
        <w:rPr>
          <w:rFonts w:ascii="Cambria" w:hAnsi="Cambria" w:cstheme="minorHAnsi"/>
        </w:rPr>
        <w:t xml:space="preserve">increasingly critical as it becomes more </w:t>
      </w:r>
      <w:r w:rsidR="00331F41">
        <w:rPr>
          <w:rFonts w:ascii="Cambria" w:hAnsi="Cambria" w:cstheme="minorHAnsi"/>
        </w:rPr>
        <w:t>common</w:t>
      </w:r>
      <w:r w:rsidR="00283402">
        <w:rPr>
          <w:rFonts w:ascii="Cambria" w:hAnsi="Cambria" w:cstheme="minorHAnsi"/>
        </w:rPr>
        <w:t xml:space="preserve"> </w:t>
      </w:r>
      <w:r>
        <w:rPr>
          <w:rFonts w:ascii="Cambria" w:hAnsi="Cambria" w:cstheme="minorHAnsi"/>
        </w:rPr>
        <w:t xml:space="preserve">for young people to leave and return home multiple times during their twenties (Warner et al., 2017). </w:t>
      </w:r>
      <w:r w:rsidR="00636039">
        <w:rPr>
          <w:rFonts w:ascii="Cambria" w:hAnsi="Cambria" w:cstheme="minorHAnsi"/>
        </w:rPr>
        <w:t xml:space="preserve">Survey administrators also need to incorporate </w:t>
      </w:r>
      <w:r w:rsidR="005D54AB">
        <w:rPr>
          <w:rFonts w:ascii="Cambria" w:hAnsi="Cambria" w:cstheme="minorHAnsi"/>
        </w:rPr>
        <w:t xml:space="preserve">richer </w:t>
      </w:r>
      <w:r w:rsidR="00636039">
        <w:rPr>
          <w:rFonts w:ascii="Cambria" w:hAnsi="Cambria" w:cstheme="minorHAnsi"/>
        </w:rPr>
        <w:t xml:space="preserve">questions on </w:t>
      </w:r>
      <w:r w:rsidR="005E43C5">
        <w:rPr>
          <w:rFonts w:ascii="Cambria" w:hAnsi="Cambria" w:cstheme="minorHAnsi"/>
        </w:rPr>
        <w:t xml:space="preserve">inter-household </w:t>
      </w:r>
      <w:r w:rsidR="00636039">
        <w:rPr>
          <w:rFonts w:ascii="Cambria" w:hAnsi="Cambria" w:cstheme="minorHAnsi"/>
        </w:rPr>
        <w:t xml:space="preserve">flows of financial </w:t>
      </w:r>
      <w:r w:rsidR="000F776A">
        <w:rPr>
          <w:rFonts w:ascii="Cambria" w:hAnsi="Cambria" w:cstheme="minorHAnsi"/>
        </w:rPr>
        <w:t xml:space="preserve">support </w:t>
      </w:r>
      <w:r w:rsidR="008B221E">
        <w:rPr>
          <w:rFonts w:ascii="Cambria" w:hAnsi="Cambria" w:cstheme="minorHAnsi"/>
        </w:rPr>
        <w:t>between family members</w:t>
      </w:r>
      <w:r w:rsidR="00636039">
        <w:rPr>
          <w:rFonts w:ascii="Cambria" w:hAnsi="Cambria" w:cstheme="minorHAnsi"/>
        </w:rPr>
        <w:t xml:space="preserve"> </w:t>
      </w:r>
      <w:r w:rsidR="007636E8">
        <w:rPr>
          <w:rFonts w:ascii="Cambria" w:hAnsi="Cambria" w:cstheme="minorHAnsi"/>
        </w:rPr>
        <w:t xml:space="preserve">(for example </w:t>
      </w:r>
      <w:r w:rsidR="000201A3">
        <w:rPr>
          <w:rFonts w:ascii="Cambria" w:hAnsi="Cambria" w:cstheme="minorHAnsi"/>
        </w:rPr>
        <w:t>payments t</w:t>
      </w:r>
      <w:r w:rsidR="007636E8">
        <w:rPr>
          <w:rFonts w:ascii="Cambria" w:hAnsi="Cambria" w:cstheme="minorHAnsi"/>
        </w:rPr>
        <w:t>o defray the cost of rent, bills</w:t>
      </w:r>
      <w:r w:rsidR="00317ECA">
        <w:rPr>
          <w:rFonts w:ascii="Cambria" w:hAnsi="Cambria" w:cstheme="minorHAnsi"/>
        </w:rPr>
        <w:t>,</w:t>
      </w:r>
      <w:r w:rsidR="007636E8">
        <w:rPr>
          <w:rFonts w:ascii="Cambria" w:hAnsi="Cambria" w:cstheme="minorHAnsi"/>
        </w:rPr>
        <w:t xml:space="preserve"> food</w:t>
      </w:r>
      <w:r w:rsidR="00317ECA">
        <w:rPr>
          <w:rFonts w:ascii="Cambria" w:hAnsi="Cambria" w:cstheme="minorHAnsi"/>
        </w:rPr>
        <w:t xml:space="preserve"> and transport</w:t>
      </w:r>
      <w:r w:rsidR="007636E8">
        <w:rPr>
          <w:rFonts w:ascii="Cambria" w:hAnsi="Cambria" w:cstheme="minorHAnsi"/>
        </w:rPr>
        <w:t xml:space="preserve">) </w:t>
      </w:r>
      <w:r w:rsidR="00835305">
        <w:rPr>
          <w:rFonts w:ascii="Cambria" w:hAnsi="Cambria" w:cstheme="minorHAnsi"/>
        </w:rPr>
        <w:t xml:space="preserve">as well as in-kind assistance </w:t>
      </w:r>
      <w:r w:rsidR="007636E8">
        <w:rPr>
          <w:rFonts w:ascii="Cambria" w:hAnsi="Cambria" w:cstheme="minorHAnsi"/>
        </w:rPr>
        <w:t>so</w:t>
      </w:r>
      <w:r w:rsidR="00636039">
        <w:rPr>
          <w:rFonts w:ascii="Cambria" w:hAnsi="Cambria" w:cstheme="minorHAnsi"/>
        </w:rPr>
        <w:t xml:space="preserve"> that analysts can explore which parents support their children’s residential position with transfers rather than co-residence.</w:t>
      </w:r>
      <w:r w:rsidR="00B13FB5">
        <w:rPr>
          <w:rFonts w:ascii="Cambria" w:hAnsi="Cambria" w:cstheme="minorHAnsi"/>
        </w:rPr>
        <w:t xml:space="preserve"> </w:t>
      </w:r>
      <w:r w:rsidR="008D7E5E">
        <w:rPr>
          <w:rFonts w:ascii="Cambria" w:hAnsi="Cambria" w:cstheme="minorHAnsi"/>
        </w:rPr>
        <w:t>The added value this can provide is illustrated</w:t>
      </w:r>
      <w:r w:rsidR="00187DEB">
        <w:rPr>
          <w:rFonts w:ascii="Cambria" w:hAnsi="Cambria" w:cstheme="minorHAnsi"/>
        </w:rPr>
        <w:t xml:space="preserve"> </w:t>
      </w:r>
      <w:r w:rsidR="00284D9A">
        <w:rPr>
          <w:rFonts w:ascii="Cambria" w:hAnsi="Cambria" w:cstheme="minorHAnsi"/>
        </w:rPr>
        <w:t>by</w:t>
      </w:r>
      <w:r w:rsidR="008D7E5E">
        <w:rPr>
          <w:rFonts w:ascii="Cambria" w:hAnsi="Cambria" w:cstheme="minorHAnsi"/>
        </w:rPr>
        <w:t xml:space="preserve"> South and Lei’s (2015) innovative </w:t>
      </w:r>
      <w:r w:rsidR="001D7684">
        <w:rPr>
          <w:rFonts w:ascii="Cambria" w:hAnsi="Cambria" w:cstheme="minorHAnsi"/>
        </w:rPr>
        <w:t xml:space="preserve">event history </w:t>
      </w:r>
      <w:r w:rsidR="008D7E5E">
        <w:rPr>
          <w:rFonts w:ascii="Cambria" w:hAnsi="Cambria" w:cstheme="minorHAnsi"/>
        </w:rPr>
        <w:t xml:space="preserve">analysis of the rich data on family relationships </w:t>
      </w:r>
      <w:r w:rsidR="001D7684">
        <w:rPr>
          <w:rFonts w:ascii="Cambria" w:hAnsi="Cambria" w:cstheme="minorHAnsi"/>
        </w:rPr>
        <w:t>(</w:t>
      </w:r>
      <w:r w:rsidR="00D07158">
        <w:rPr>
          <w:rFonts w:ascii="Cambria" w:hAnsi="Cambria" w:cstheme="minorHAnsi"/>
        </w:rPr>
        <w:t>including</w:t>
      </w:r>
      <w:r w:rsidR="001D7684">
        <w:rPr>
          <w:rFonts w:ascii="Cambria" w:hAnsi="Cambria" w:cstheme="minorHAnsi"/>
        </w:rPr>
        <w:t xml:space="preserve"> measures of emotional closeness and abuse histories) </w:t>
      </w:r>
      <w:r w:rsidR="008D7E5E">
        <w:rPr>
          <w:rFonts w:ascii="Cambria" w:hAnsi="Cambria" w:cstheme="minorHAnsi"/>
        </w:rPr>
        <w:t xml:space="preserve">and </w:t>
      </w:r>
      <w:r w:rsidR="00F41F33">
        <w:rPr>
          <w:rFonts w:ascii="Cambria" w:hAnsi="Cambria" w:cstheme="minorHAnsi"/>
        </w:rPr>
        <w:t xml:space="preserve">financial </w:t>
      </w:r>
      <w:r w:rsidR="008D7E5E">
        <w:rPr>
          <w:rFonts w:ascii="Cambria" w:hAnsi="Cambria" w:cstheme="minorHAnsi"/>
        </w:rPr>
        <w:t xml:space="preserve">support practices </w:t>
      </w:r>
      <w:r w:rsidR="00505FF0">
        <w:rPr>
          <w:rFonts w:ascii="Cambria" w:hAnsi="Cambria" w:cstheme="minorHAnsi"/>
        </w:rPr>
        <w:t xml:space="preserve">that has been </w:t>
      </w:r>
      <w:r w:rsidR="008D7E5E">
        <w:rPr>
          <w:rFonts w:ascii="Cambria" w:hAnsi="Cambria" w:cstheme="minorHAnsi"/>
        </w:rPr>
        <w:t>collected in recent sweeps of the US Panel S</w:t>
      </w:r>
      <w:r w:rsidR="00FA6B62">
        <w:rPr>
          <w:rFonts w:ascii="Cambria" w:hAnsi="Cambria" w:cstheme="minorHAnsi"/>
        </w:rPr>
        <w:t>tudy</w:t>
      </w:r>
      <w:r w:rsidR="008D7E5E">
        <w:rPr>
          <w:rFonts w:ascii="Cambria" w:hAnsi="Cambria" w:cstheme="minorHAnsi"/>
        </w:rPr>
        <w:t xml:space="preserve"> of Income Dynamics Transition to Adulthood supplement. </w:t>
      </w:r>
      <w:r w:rsidR="00961B75">
        <w:rPr>
          <w:rFonts w:ascii="Cambria" w:hAnsi="Cambria" w:cstheme="minorHAnsi"/>
        </w:rPr>
        <w:t>Inc</w:t>
      </w:r>
      <w:r w:rsidR="0063090D">
        <w:rPr>
          <w:rFonts w:ascii="Cambria" w:hAnsi="Cambria" w:cstheme="minorHAnsi"/>
        </w:rPr>
        <w:t>orporating</w:t>
      </w:r>
      <w:r w:rsidR="003C0894">
        <w:rPr>
          <w:rFonts w:ascii="Cambria" w:hAnsi="Cambria" w:cstheme="minorHAnsi"/>
        </w:rPr>
        <w:t xml:space="preserve"> these types</w:t>
      </w:r>
      <w:r w:rsidR="00961B75">
        <w:rPr>
          <w:rFonts w:ascii="Cambria" w:hAnsi="Cambria" w:cstheme="minorHAnsi"/>
        </w:rPr>
        <w:t xml:space="preserve"> of </w:t>
      </w:r>
      <w:r w:rsidR="003C0894">
        <w:rPr>
          <w:rFonts w:ascii="Cambria" w:hAnsi="Cambria" w:cstheme="minorHAnsi"/>
        </w:rPr>
        <w:t>‘</w:t>
      </w:r>
      <w:r w:rsidR="00961B75">
        <w:rPr>
          <w:rFonts w:ascii="Cambria" w:hAnsi="Cambria" w:cstheme="minorHAnsi"/>
        </w:rPr>
        <w:t>softer</w:t>
      </w:r>
      <w:r w:rsidR="003C0894">
        <w:rPr>
          <w:rFonts w:ascii="Cambria" w:hAnsi="Cambria" w:cstheme="minorHAnsi"/>
        </w:rPr>
        <w:t>’</w:t>
      </w:r>
      <w:r w:rsidR="00961B75">
        <w:rPr>
          <w:rFonts w:ascii="Cambria" w:hAnsi="Cambria" w:cstheme="minorHAnsi"/>
        </w:rPr>
        <w:t xml:space="preserve"> measures </w:t>
      </w:r>
      <w:r w:rsidR="00576458">
        <w:rPr>
          <w:rFonts w:ascii="Cambria" w:hAnsi="Cambria" w:cstheme="minorHAnsi"/>
        </w:rPr>
        <w:t xml:space="preserve">into </w:t>
      </w:r>
      <w:r w:rsidR="00A752CC">
        <w:rPr>
          <w:rFonts w:ascii="Cambria" w:hAnsi="Cambria" w:cstheme="minorHAnsi"/>
        </w:rPr>
        <w:t xml:space="preserve">longitudinal </w:t>
      </w:r>
      <w:r w:rsidR="00576458">
        <w:rPr>
          <w:rFonts w:ascii="Cambria" w:hAnsi="Cambria" w:cstheme="minorHAnsi"/>
        </w:rPr>
        <w:t xml:space="preserve">surveys promises to </w:t>
      </w:r>
      <w:r w:rsidR="00D8373D">
        <w:rPr>
          <w:rFonts w:ascii="Cambria" w:hAnsi="Cambria" w:cstheme="minorHAnsi"/>
        </w:rPr>
        <w:t>allow</w:t>
      </w:r>
      <w:r w:rsidR="00576458">
        <w:rPr>
          <w:rFonts w:ascii="Cambria" w:hAnsi="Cambria" w:cstheme="minorHAnsi"/>
        </w:rPr>
        <w:t xml:space="preserve"> analysts</w:t>
      </w:r>
      <w:r w:rsidR="00961B75">
        <w:rPr>
          <w:rFonts w:ascii="Cambria" w:hAnsi="Cambria" w:cstheme="minorHAnsi"/>
        </w:rPr>
        <w:t xml:space="preserve"> to </w:t>
      </w:r>
      <w:r w:rsidR="00576458">
        <w:rPr>
          <w:rFonts w:ascii="Cambria" w:hAnsi="Cambria" w:cstheme="minorHAnsi"/>
        </w:rPr>
        <w:t xml:space="preserve">develop more </w:t>
      </w:r>
      <w:r w:rsidR="00576458" w:rsidRPr="003428BB">
        <w:rPr>
          <w:rFonts w:ascii="Cambria" w:hAnsi="Cambria" w:cstheme="minorHAnsi"/>
        </w:rPr>
        <w:t>relational perspectives</w:t>
      </w:r>
      <w:r w:rsidR="00576458">
        <w:rPr>
          <w:rFonts w:ascii="Cambria" w:hAnsi="Cambria" w:cstheme="minorHAnsi"/>
        </w:rPr>
        <w:t xml:space="preserve"> on how, when and why young people may </w:t>
      </w:r>
      <w:r w:rsidR="00E5230D">
        <w:rPr>
          <w:rFonts w:ascii="Cambria" w:hAnsi="Cambria" w:cstheme="minorHAnsi"/>
        </w:rPr>
        <w:t xml:space="preserve">opt (not) to </w:t>
      </w:r>
      <w:r w:rsidR="00576458">
        <w:rPr>
          <w:rFonts w:ascii="Cambria" w:hAnsi="Cambria" w:cstheme="minorHAnsi"/>
        </w:rPr>
        <w:t>live with their parents at different life course junctures</w:t>
      </w:r>
      <w:r w:rsidR="00961B75">
        <w:rPr>
          <w:rFonts w:ascii="Cambria" w:hAnsi="Cambria" w:cstheme="minorHAnsi"/>
        </w:rPr>
        <w:t>.</w:t>
      </w:r>
    </w:p>
    <w:p w14:paraId="259EE179" w14:textId="5E88FCB9" w:rsidR="00834DD6" w:rsidRDefault="00896210" w:rsidP="00006F78">
      <w:pPr>
        <w:spacing w:after="240" w:line="480" w:lineRule="auto"/>
        <w:rPr>
          <w:rFonts w:ascii="Cambria" w:hAnsi="Cambria" w:cstheme="minorHAnsi"/>
        </w:rPr>
      </w:pPr>
      <w:r>
        <w:rPr>
          <w:rFonts w:ascii="Cambria" w:hAnsi="Cambria" w:cstheme="minorHAnsi"/>
        </w:rPr>
        <w:t xml:space="preserve">The life course framework emphasises that individuals’ biographies are intertwined with </w:t>
      </w:r>
      <w:r w:rsidR="00AD6B6E">
        <w:rPr>
          <w:rFonts w:ascii="Cambria" w:hAnsi="Cambria" w:cstheme="minorHAnsi"/>
        </w:rPr>
        <w:t>other family member</w:t>
      </w:r>
      <w:r w:rsidR="00FC7501">
        <w:rPr>
          <w:rFonts w:ascii="Cambria" w:hAnsi="Cambria" w:cstheme="minorHAnsi"/>
        </w:rPr>
        <w:t>s</w:t>
      </w:r>
      <w:r w:rsidR="00AD6B6E">
        <w:rPr>
          <w:rFonts w:ascii="Cambria" w:hAnsi="Cambria" w:cstheme="minorHAnsi"/>
        </w:rPr>
        <w:t xml:space="preserve">. </w:t>
      </w:r>
      <w:r w:rsidR="00357AD0">
        <w:rPr>
          <w:rFonts w:ascii="Cambria" w:hAnsi="Cambria" w:cstheme="minorHAnsi"/>
        </w:rPr>
        <w:t xml:space="preserve">Studies of </w:t>
      </w:r>
      <w:r w:rsidR="00AD6B6E">
        <w:rPr>
          <w:rFonts w:ascii="Cambria" w:hAnsi="Cambria" w:cstheme="minorHAnsi"/>
        </w:rPr>
        <w:t xml:space="preserve">leaving and </w:t>
      </w:r>
      <w:r w:rsidR="00357AD0">
        <w:rPr>
          <w:rFonts w:ascii="Cambria" w:hAnsi="Cambria" w:cstheme="minorHAnsi"/>
        </w:rPr>
        <w:t>return</w:t>
      </w:r>
      <w:r w:rsidR="00AD6B6E">
        <w:rPr>
          <w:rFonts w:ascii="Cambria" w:hAnsi="Cambria" w:cstheme="minorHAnsi"/>
        </w:rPr>
        <w:t>ing to the parental home</w:t>
      </w:r>
      <w:r w:rsidR="00357AD0">
        <w:rPr>
          <w:rFonts w:ascii="Cambria" w:hAnsi="Cambria" w:cstheme="minorHAnsi"/>
        </w:rPr>
        <w:t xml:space="preserve"> have focused particularly on </w:t>
      </w:r>
      <w:r w:rsidR="000C30BC">
        <w:rPr>
          <w:rFonts w:ascii="Cambria" w:hAnsi="Cambria" w:cstheme="minorHAnsi"/>
        </w:rPr>
        <w:t>exploring the extent to which</w:t>
      </w:r>
      <w:r w:rsidR="00357AD0">
        <w:rPr>
          <w:rFonts w:ascii="Cambria" w:hAnsi="Cambria" w:cstheme="minorHAnsi"/>
        </w:rPr>
        <w:t xml:space="preserve"> the ‘linked lives’ of parents shape their offspring’s residential behaviour. </w:t>
      </w:r>
      <w:r w:rsidR="00BD5DAD">
        <w:rPr>
          <w:rFonts w:ascii="Cambria" w:hAnsi="Cambria" w:cstheme="minorHAnsi"/>
        </w:rPr>
        <w:t xml:space="preserve">For instance, middle class </w:t>
      </w:r>
      <w:r w:rsidR="00E943F1">
        <w:rPr>
          <w:rFonts w:ascii="Cambria" w:hAnsi="Cambria" w:cstheme="minorHAnsi"/>
        </w:rPr>
        <w:t xml:space="preserve">UK </w:t>
      </w:r>
      <w:r w:rsidR="00BD5DAD">
        <w:rPr>
          <w:rFonts w:ascii="Cambria" w:hAnsi="Cambria" w:cstheme="minorHAnsi"/>
        </w:rPr>
        <w:t xml:space="preserve">parents </w:t>
      </w:r>
      <w:r w:rsidR="00100075">
        <w:rPr>
          <w:rFonts w:ascii="Cambria" w:hAnsi="Cambria" w:cstheme="minorHAnsi"/>
        </w:rPr>
        <w:t>frequently</w:t>
      </w:r>
      <w:r w:rsidR="00BD5DAD">
        <w:rPr>
          <w:rFonts w:ascii="Cambria" w:hAnsi="Cambria" w:cstheme="minorHAnsi"/>
        </w:rPr>
        <w:t xml:space="preserve"> provide subsidised co-residence in the family home while their children search for a career job (</w:t>
      </w:r>
      <w:r w:rsidR="00AD6B6E">
        <w:rPr>
          <w:rFonts w:ascii="Cambria" w:hAnsi="Cambria" w:cstheme="minorHAnsi"/>
        </w:rPr>
        <w:t>Lewis et al., 2016</w:t>
      </w:r>
      <w:r w:rsidR="00BD5DAD">
        <w:rPr>
          <w:rFonts w:ascii="Cambria" w:hAnsi="Cambria" w:cstheme="minorHAnsi"/>
        </w:rPr>
        <w:t>).</w:t>
      </w:r>
      <w:r w:rsidR="00C67B21">
        <w:rPr>
          <w:rFonts w:ascii="Cambria" w:hAnsi="Cambria" w:cstheme="minorHAnsi"/>
        </w:rPr>
        <w:t xml:space="preserve"> Iacovou (2010)</w:t>
      </w:r>
      <w:r w:rsidR="003321CB">
        <w:rPr>
          <w:rFonts w:ascii="Cambria" w:hAnsi="Cambria" w:cstheme="minorHAnsi"/>
        </w:rPr>
        <w:t xml:space="preserve"> </w:t>
      </w:r>
      <w:r w:rsidR="00B72836">
        <w:rPr>
          <w:rFonts w:ascii="Cambria" w:hAnsi="Cambria" w:cstheme="minorHAnsi"/>
        </w:rPr>
        <w:t>shows</w:t>
      </w:r>
      <w:r w:rsidR="00C67B21">
        <w:rPr>
          <w:rFonts w:ascii="Cambria" w:hAnsi="Cambria" w:cstheme="minorHAnsi"/>
        </w:rPr>
        <w:t xml:space="preserve"> that </w:t>
      </w:r>
      <w:r w:rsidR="008B1A69">
        <w:rPr>
          <w:rFonts w:ascii="Cambria" w:hAnsi="Cambria" w:cstheme="minorHAnsi"/>
        </w:rPr>
        <w:t xml:space="preserve">European </w:t>
      </w:r>
      <w:r w:rsidR="00C67B21">
        <w:rPr>
          <w:rFonts w:ascii="Cambria" w:hAnsi="Cambria" w:cstheme="minorHAnsi"/>
        </w:rPr>
        <w:t xml:space="preserve">parents </w:t>
      </w:r>
      <w:r w:rsidR="005A6383">
        <w:rPr>
          <w:rFonts w:ascii="Cambria" w:hAnsi="Cambria" w:cstheme="minorHAnsi"/>
        </w:rPr>
        <w:t>may</w:t>
      </w:r>
      <w:r w:rsidR="00C67B21">
        <w:rPr>
          <w:rFonts w:ascii="Cambria" w:hAnsi="Cambria" w:cstheme="minorHAnsi"/>
        </w:rPr>
        <w:t xml:space="preserve"> use their resources to help children leave home at an age that aligns with </w:t>
      </w:r>
      <w:r w:rsidR="0048727F">
        <w:rPr>
          <w:rFonts w:ascii="Cambria" w:hAnsi="Cambria" w:cstheme="minorHAnsi"/>
        </w:rPr>
        <w:t xml:space="preserve">national </w:t>
      </w:r>
      <w:r w:rsidR="00C67B21">
        <w:rPr>
          <w:rFonts w:ascii="Cambria" w:hAnsi="Cambria" w:cstheme="minorHAnsi"/>
        </w:rPr>
        <w:t>norms</w:t>
      </w:r>
      <w:r w:rsidR="003D7A04">
        <w:rPr>
          <w:rFonts w:ascii="Cambria" w:hAnsi="Cambria" w:cstheme="minorHAnsi"/>
        </w:rPr>
        <w:t>,</w:t>
      </w:r>
      <w:r w:rsidR="00C67B21">
        <w:rPr>
          <w:rFonts w:ascii="Cambria" w:hAnsi="Cambria" w:cstheme="minorHAnsi"/>
        </w:rPr>
        <w:t xml:space="preserve"> as </w:t>
      </w:r>
      <w:r w:rsidR="005A6383">
        <w:rPr>
          <w:rFonts w:ascii="Cambria" w:hAnsi="Cambria" w:cstheme="minorHAnsi"/>
        </w:rPr>
        <w:t xml:space="preserve">she found </w:t>
      </w:r>
      <w:r w:rsidR="00736B29">
        <w:rPr>
          <w:rFonts w:ascii="Cambria" w:hAnsi="Cambria" w:cstheme="minorHAnsi"/>
        </w:rPr>
        <w:t xml:space="preserve">that </w:t>
      </w:r>
      <w:r w:rsidR="00C67B21">
        <w:rPr>
          <w:rFonts w:ascii="Cambria" w:hAnsi="Cambria" w:cstheme="minorHAnsi"/>
        </w:rPr>
        <w:t>higher parental income</w:t>
      </w:r>
      <w:r w:rsidR="00592685">
        <w:rPr>
          <w:rFonts w:ascii="Cambria" w:hAnsi="Cambria" w:cstheme="minorHAnsi"/>
        </w:rPr>
        <w:t>s reduce</w:t>
      </w:r>
      <w:r w:rsidR="00C67B21">
        <w:rPr>
          <w:rFonts w:ascii="Cambria" w:hAnsi="Cambria" w:cstheme="minorHAnsi"/>
        </w:rPr>
        <w:t xml:space="preserve"> </w:t>
      </w:r>
      <w:r w:rsidR="00592685">
        <w:rPr>
          <w:rFonts w:ascii="Cambria" w:hAnsi="Cambria" w:cstheme="minorHAnsi"/>
        </w:rPr>
        <w:t>riskier</w:t>
      </w:r>
      <w:r w:rsidR="00C67B21">
        <w:rPr>
          <w:rFonts w:ascii="Cambria" w:hAnsi="Cambria" w:cstheme="minorHAnsi"/>
        </w:rPr>
        <w:t xml:space="preserve"> early departures </w:t>
      </w:r>
      <w:r w:rsidR="00E161D1">
        <w:rPr>
          <w:rFonts w:ascii="Cambria" w:hAnsi="Cambria" w:cstheme="minorHAnsi"/>
        </w:rPr>
        <w:t>to partnership while promoting such exits at older ages</w:t>
      </w:r>
      <w:r w:rsidR="00C67B21">
        <w:rPr>
          <w:rFonts w:ascii="Cambria" w:hAnsi="Cambria" w:cstheme="minorHAnsi"/>
        </w:rPr>
        <w:t xml:space="preserve">. </w:t>
      </w:r>
      <w:r w:rsidR="00985E4D">
        <w:rPr>
          <w:rFonts w:ascii="Cambria" w:hAnsi="Cambria" w:cstheme="minorHAnsi"/>
        </w:rPr>
        <w:t>Furthermore</w:t>
      </w:r>
      <w:r w:rsidR="00FB7209">
        <w:rPr>
          <w:rFonts w:ascii="Cambria" w:hAnsi="Cambria" w:cstheme="minorHAnsi"/>
        </w:rPr>
        <w:t>,</w:t>
      </w:r>
      <w:r w:rsidR="00100075">
        <w:rPr>
          <w:rFonts w:ascii="Cambria" w:hAnsi="Cambria" w:cstheme="minorHAnsi"/>
        </w:rPr>
        <w:t xml:space="preserve"> analys</w:t>
      </w:r>
      <w:r w:rsidR="00C06FC1">
        <w:rPr>
          <w:rFonts w:ascii="Cambria" w:hAnsi="Cambria" w:cstheme="minorHAnsi"/>
        </w:rPr>
        <w:t>i</w:t>
      </w:r>
      <w:r w:rsidR="00100075">
        <w:rPr>
          <w:rFonts w:ascii="Cambria" w:hAnsi="Cambria" w:cstheme="minorHAnsi"/>
        </w:rPr>
        <w:t>s</w:t>
      </w:r>
      <w:r w:rsidR="00BF4C71">
        <w:rPr>
          <w:rFonts w:ascii="Cambria" w:hAnsi="Cambria" w:cstheme="minorHAnsi"/>
        </w:rPr>
        <w:t xml:space="preserve"> of US</w:t>
      </w:r>
      <w:r w:rsidR="006D146F">
        <w:rPr>
          <w:rFonts w:ascii="Cambria" w:hAnsi="Cambria" w:cstheme="minorHAnsi"/>
        </w:rPr>
        <w:t xml:space="preserve"> panel</w:t>
      </w:r>
      <w:r w:rsidR="00BF4C71">
        <w:rPr>
          <w:rFonts w:ascii="Cambria" w:hAnsi="Cambria" w:cstheme="minorHAnsi"/>
        </w:rPr>
        <w:t xml:space="preserve"> data</w:t>
      </w:r>
      <w:r w:rsidR="00100075">
        <w:rPr>
          <w:rFonts w:ascii="Cambria" w:hAnsi="Cambria" w:cstheme="minorHAnsi"/>
        </w:rPr>
        <w:t xml:space="preserve"> show</w:t>
      </w:r>
      <w:r w:rsidR="0074500E">
        <w:rPr>
          <w:rFonts w:ascii="Cambria" w:hAnsi="Cambria" w:cstheme="minorHAnsi"/>
        </w:rPr>
        <w:t>s</w:t>
      </w:r>
      <w:r w:rsidR="00100075">
        <w:rPr>
          <w:rFonts w:ascii="Cambria" w:hAnsi="Cambria" w:cstheme="minorHAnsi"/>
        </w:rPr>
        <w:t xml:space="preserve"> that children are less likely to leave home if their parents own their dwelling or have </w:t>
      </w:r>
      <w:r w:rsidR="00F34102">
        <w:rPr>
          <w:rFonts w:ascii="Cambria" w:hAnsi="Cambria" w:cstheme="minorHAnsi"/>
        </w:rPr>
        <w:t>ample</w:t>
      </w:r>
      <w:r w:rsidR="00100075">
        <w:rPr>
          <w:rFonts w:ascii="Cambria" w:hAnsi="Cambria" w:cstheme="minorHAnsi"/>
        </w:rPr>
        <w:t xml:space="preserve"> residential space (Mulder and Clark, 2000), perhaps because these types of ‘feathered nests’ provide </w:t>
      </w:r>
      <w:r w:rsidR="00BF4C71">
        <w:rPr>
          <w:rFonts w:ascii="Cambria" w:hAnsi="Cambria" w:cstheme="minorHAnsi"/>
        </w:rPr>
        <w:t xml:space="preserve">young people </w:t>
      </w:r>
      <w:r w:rsidR="006258DB">
        <w:rPr>
          <w:rFonts w:ascii="Cambria" w:hAnsi="Cambria" w:cstheme="minorHAnsi"/>
        </w:rPr>
        <w:t xml:space="preserve">with </w:t>
      </w:r>
      <w:r w:rsidR="00100075">
        <w:rPr>
          <w:rFonts w:ascii="Cambria" w:hAnsi="Cambria" w:cstheme="minorHAnsi"/>
        </w:rPr>
        <w:t xml:space="preserve">greater comfort and privacy. </w:t>
      </w:r>
      <w:r w:rsidR="00BD5DAD">
        <w:rPr>
          <w:rFonts w:ascii="Cambria" w:hAnsi="Cambria" w:cstheme="minorHAnsi"/>
        </w:rPr>
        <w:t>By contrast, Hill and Hirsch’s (2019)</w:t>
      </w:r>
      <w:r w:rsidR="00AD6B6E">
        <w:rPr>
          <w:rFonts w:ascii="Cambria" w:hAnsi="Cambria" w:cstheme="minorHAnsi"/>
        </w:rPr>
        <w:t xml:space="preserve"> qualitative evidence from</w:t>
      </w:r>
      <w:r w:rsidR="00BD5DAD">
        <w:rPr>
          <w:rFonts w:ascii="Cambria" w:hAnsi="Cambria" w:cstheme="minorHAnsi"/>
        </w:rPr>
        <w:t xml:space="preserve"> focus group</w:t>
      </w:r>
      <w:r w:rsidR="00100075">
        <w:rPr>
          <w:rFonts w:ascii="Cambria" w:hAnsi="Cambria" w:cstheme="minorHAnsi"/>
        </w:rPr>
        <w:t>s</w:t>
      </w:r>
      <w:r w:rsidR="00BD5DAD">
        <w:rPr>
          <w:rFonts w:ascii="Cambria" w:hAnsi="Cambria" w:cstheme="minorHAnsi"/>
        </w:rPr>
        <w:t xml:space="preserve"> indi</w:t>
      </w:r>
      <w:r w:rsidR="00100075">
        <w:rPr>
          <w:rFonts w:ascii="Cambria" w:hAnsi="Cambria" w:cstheme="minorHAnsi"/>
        </w:rPr>
        <w:t xml:space="preserve">cate that less affluent </w:t>
      </w:r>
      <w:r w:rsidR="00524E04">
        <w:rPr>
          <w:rFonts w:ascii="Cambria" w:hAnsi="Cambria" w:cstheme="minorHAnsi"/>
        </w:rPr>
        <w:t xml:space="preserve">UK </w:t>
      </w:r>
      <w:r w:rsidR="00100075">
        <w:rPr>
          <w:rFonts w:ascii="Cambria" w:hAnsi="Cambria" w:cstheme="minorHAnsi"/>
        </w:rPr>
        <w:t xml:space="preserve">parents often need their </w:t>
      </w:r>
      <w:r w:rsidR="00C06FC1">
        <w:rPr>
          <w:rFonts w:ascii="Cambria" w:hAnsi="Cambria" w:cstheme="minorHAnsi"/>
        </w:rPr>
        <w:t xml:space="preserve">co-resident </w:t>
      </w:r>
      <w:r w:rsidR="00100075">
        <w:rPr>
          <w:rFonts w:ascii="Cambria" w:hAnsi="Cambria" w:cstheme="minorHAnsi"/>
        </w:rPr>
        <w:t xml:space="preserve">children to </w:t>
      </w:r>
      <w:r w:rsidR="00AD6B6E">
        <w:rPr>
          <w:rFonts w:ascii="Cambria" w:hAnsi="Cambria" w:cstheme="minorHAnsi"/>
        </w:rPr>
        <w:t xml:space="preserve">help </w:t>
      </w:r>
      <w:r w:rsidR="00100075">
        <w:rPr>
          <w:rFonts w:ascii="Cambria" w:hAnsi="Cambria" w:cstheme="minorHAnsi"/>
        </w:rPr>
        <w:t>pay rent, while some lack the space to accommodate returns.</w:t>
      </w:r>
      <w:r w:rsidR="00770C5D">
        <w:rPr>
          <w:rFonts w:ascii="Cambria" w:hAnsi="Cambria" w:cstheme="minorHAnsi"/>
        </w:rPr>
        <w:t xml:space="preserve"> This means that</w:t>
      </w:r>
      <w:r w:rsidR="00834DD6">
        <w:rPr>
          <w:rFonts w:ascii="Cambria" w:hAnsi="Cambria" w:cstheme="minorHAnsi"/>
        </w:rPr>
        <w:t xml:space="preserve"> </w:t>
      </w:r>
      <w:r w:rsidR="00770C5D">
        <w:rPr>
          <w:rFonts w:ascii="Cambria" w:hAnsi="Cambria" w:cstheme="minorHAnsi"/>
        </w:rPr>
        <w:t xml:space="preserve">policy decisions about </w:t>
      </w:r>
      <w:r w:rsidR="00C13B94">
        <w:rPr>
          <w:rFonts w:ascii="Cambria" w:hAnsi="Cambria" w:cstheme="minorHAnsi"/>
          <w:i/>
        </w:rPr>
        <w:t>inter alia</w:t>
      </w:r>
      <w:r w:rsidR="00770C5D">
        <w:rPr>
          <w:rFonts w:ascii="Cambria" w:hAnsi="Cambria" w:cstheme="minorHAnsi"/>
        </w:rPr>
        <w:t xml:space="preserve"> social benefit levels and eligibility criteria, social housing allocations, rental sector regulation and housing construction standards could all </w:t>
      </w:r>
      <w:r w:rsidR="00B356EC">
        <w:rPr>
          <w:rFonts w:ascii="Cambria" w:hAnsi="Cambria" w:cstheme="minorHAnsi"/>
        </w:rPr>
        <w:t>impact</w:t>
      </w:r>
      <w:r w:rsidR="00DC6B46">
        <w:rPr>
          <w:rFonts w:ascii="Cambria" w:hAnsi="Cambria" w:cstheme="minorHAnsi"/>
        </w:rPr>
        <w:t xml:space="preserve"> </w:t>
      </w:r>
      <w:r w:rsidR="00770C5D">
        <w:rPr>
          <w:rFonts w:ascii="Cambria" w:hAnsi="Cambria" w:cstheme="minorHAnsi"/>
        </w:rPr>
        <w:t>on patterns and experiences of parental co-residence in young adulthood.</w:t>
      </w:r>
    </w:p>
    <w:p w14:paraId="2E119373" w14:textId="5E1629EE" w:rsidR="002A49C6" w:rsidRPr="000271B2" w:rsidRDefault="00DA0EC1" w:rsidP="00006F78">
      <w:pPr>
        <w:spacing w:after="240" w:line="480" w:lineRule="auto"/>
        <w:rPr>
          <w:rFonts w:ascii="Cambria" w:hAnsi="Cambria" w:cstheme="minorHAnsi"/>
        </w:rPr>
      </w:pPr>
      <w:r>
        <w:rPr>
          <w:rFonts w:ascii="Cambria" w:hAnsi="Cambria" w:cstheme="minorHAnsi"/>
        </w:rPr>
        <w:t>A</w:t>
      </w:r>
      <w:r w:rsidR="00566E38">
        <w:rPr>
          <w:rFonts w:ascii="Cambria" w:hAnsi="Cambria" w:cstheme="minorHAnsi"/>
        </w:rPr>
        <w:t>n important</w:t>
      </w:r>
      <w:r>
        <w:rPr>
          <w:rFonts w:ascii="Cambria" w:hAnsi="Cambria" w:cstheme="minorHAnsi"/>
        </w:rPr>
        <w:t xml:space="preserve"> </w:t>
      </w:r>
      <w:r w:rsidR="0052206F">
        <w:rPr>
          <w:rFonts w:ascii="Cambria" w:hAnsi="Cambria" w:cstheme="minorHAnsi"/>
        </w:rPr>
        <w:t xml:space="preserve">geographical </w:t>
      </w:r>
      <w:r>
        <w:rPr>
          <w:rFonts w:ascii="Cambria" w:hAnsi="Cambria" w:cstheme="minorHAnsi"/>
        </w:rPr>
        <w:t xml:space="preserve">research priority is </w:t>
      </w:r>
      <w:r w:rsidR="009A0978">
        <w:rPr>
          <w:rFonts w:ascii="Cambria" w:hAnsi="Cambria" w:cstheme="minorHAnsi"/>
        </w:rPr>
        <w:t xml:space="preserve">to examine how the </w:t>
      </w:r>
      <w:r w:rsidR="009A0978" w:rsidRPr="00F450B9">
        <w:rPr>
          <w:rFonts w:ascii="Cambria" w:hAnsi="Cambria" w:cstheme="minorHAnsi"/>
        </w:rPr>
        <w:t>location</w:t>
      </w:r>
      <w:r w:rsidR="009A0978">
        <w:rPr>
          <w:rFonts w:ascii="Cambria" w:hAnsi="Cambria" w:cstheme="minorHAnsi"/>
        </w:rPr>
        <w:t xml:space="preserve"> of the parental home influences </w:t>
      </w:r>
      <w:r w:rsidR="0093005A">
        <w:rPr>
          <w:rFonts w:ascii="Cambria" w:hAnsi="Cambria" w:cstheme="minorHAnsi"/>
        </w:rPr>
        <w:t xml:space="preserve">young peoples’ </w:t>
      </w:r>
      <w:r w:rsidR="005807FB">
        <w:rPr>
          <w:rFonts w:ascii="Cambria" w:hAnsi="Cambria" w:cstheme="minorHAnsi"/>
        </w:rPr>
        <w:t xml:space="preserve">dynamics of </w:t>
      </w:r>
      <w:r w:rsidR="00EA1D5D">
        <w:rPr>
          <w:rFonts w:ascii="Cambria" w:hAnsi="Cambria" w:cstheme="minorHAnsi"/>
        </w:rPr>
        <w:t>exit and return</w:t>
      </w:r>
      <w:r w:rsidR="009A0978">
        <w:rPr>
          <w:rFonts w:ascii="Cambria" w:hAnsi="Cambria" w:cstheme="minorHAnsi"/>
        </w:rPr>
        <w:t xml:space="preserve">. </w:t>
      </w:r>
      <w:r w:rsidR="00B02380">
        <w:rPr>
          <w:rFonts w:ascii="Cambria" w:hAnsi="Cambria" w:cstheme="minorHAnsi"/>
        </w:rPr>
        <w:t xml:space="preserve">This can be achieved by using </w:t>
      </w:r>
      <w:r w:rsidR="00D45377">
        <w:rPr>
          <w:rFonts w:ascii="Cambria" w:hAnsi="Cambria" w:cstheme="minorHAnsi"/>
        </w:rPr>
        <w:t xml:space="preserve">panel </w:t>
      </w:r>
      <w:r w:rsidR="00B02380">
        <w:rPr>
          <w:rFonts w:ascii="Cambria" w:hAnsi="Cambria" w:cstheme="minorHAnsi"/>
        </w:rPr>
        <w:t xml:space="preserve">survey geocodes to </w:t>
      </w:r>
      <w:r w:rsidR="0062115A">
        <w:rPr>
          <w:rFonts w:ascii="Cambria" w:hAnsi="Cambria" w:cstheme="minorHAnsi"/>
        </w:rPr>
        <w:t>attach</w:t>
      </w:r>
      <w:r w:rsidR="00B02380">
        <w:rPr>
          <w:rFonts w:ascii="Cambria" w:hAnsi="Cambria" w:cstheme="minorHAnsi"/>
        </w:rPr>
        <w:t xml:space="preserve"> administrative data about the labour market or housing conditions of localities at a range of </w:t>
      </w:r>
      <w:r w:rsidR="00F018E1">
        <w:rPr>
          <w:rFonts w:ascii="Cambria" w:hAnsi="Cambria" w:cstheme="minorHAnsi"/>
        </w:rPr>
        <w:t xml:space="preserve">spatial </w:t>
      </w:r>
      <w:r w:rsidR="00B02380">
        <w:rPr>
          <w:rFonts w:ascii="Cambria" w:hAnsi="Cambria" w:cstheme="minorHAnsi"/>
        </w:rPr>
        <w:t>scales</w:t>
      </w:r>
      <w:r w:rsidR="000271B2">
        <w:rPr>
          <w:rFonts w:ascii="Cambria" w:hAnsi="Cambria" w:cstheme="minorHAnsi"/>
        </w:rPr>
        <w:t>.</w:t>
      </w:r>
      <w:r w:rsidR="00B02380">
        <w:rPr>
          <w:rFonts w:ascii="Cambria" w:hAnsi="Cambria" w:cstheme="minorHAnsi"/>
        </w:rPr>
        <w:t xml:space="preserve"> </w:t>
      </w:r>
      <w:r w:rsidR="00070497">
        <w:rPr>
          <w:rFonts w:ascii="Cambria" w:hAnsi="Cambria" w:cstheme="minorHAnsi"/>
        </w:rPr>
        <w:t xml:space="preserve">For </w:t>
      </w:r>
      <w:r w:rsidR="005807FB">
        <w:rPr>
          <w:rFonts w:ascii="Cambria" w:hAnsi="Cambria" w:cstheme="minorHAnsi"/>
        </w:rPr>
        <w:t>instance</w:t>
      </w:r>
      <w:r w:rsidR="00070497">
        <w:rPr>
          <w:rFonts w:ascii="Cambria" w:hAnsi="Cambria" w:cstheme="minorHAnsi"/>
        </w:rPr>
        <w:t xml:space="preserve">, </w:t>
      </w:r>
      <w:bookmarkStart w:id="1" w:name="OLE_LINK5"/>
      <w:bookmarkStart w:id="2" w:name="OLE_LINK6"/>
      <w:r w:rsidR="00070497">
        <w:rPr>
          <w:rFonts w:ascii="Cambria" w:hAnsi="Cambria" w:cstheme="minorHAnsi"/>
        </w:rPr>
        <w:t xml:space="preserve">Bayrakdar and Coulter (2018) </w:t>
      </w:r>
      <w:bookmarkEnd w:id="1"/>
      <w:bookmarkEnd w:id="2"/>
      <w:r w:rsidR="00636039">
        <w:rPr>
          <w:rFonts w:ascii="Cambria" w:hAnsi="Cambria" w:cstheme="minorHAnsi"/>
        </w:rPr>
        <w:t xml:space="preserve">linked </w:t>
      </w:r>
      <w:r w:rsidR="00C60380">
        <w:rPr>
          <w:rFonts w:ascii="Cambria" w:hAnsi="Cambria" w:cstheme="minorHAnsi"/>
        </w:rPr>
        <w:t xml:space="preserve">administrative house price </w:t>
      </w:r>
      <w:r w:rsidR="00636039">
        <w:rPr>
          <w:rFonts w:ascii="Cambria" w:hAnsi="Cambria" w:cstheme="minorHAnsi"/>
        </w:rPr>
        <w:t>data onto</w:t>
      </w:r>
      <w:r w:rsidR="00070497">
        <w:rPr>
          <w:rFonts w:ascii="Cambria" w:hAnsi="Cambria" w:cstheme="minorHAnsi"/>
        </w:rPr>
        <w:t xml:space="preserve"> the UK</w:t>
      </w:r>
      <w:r w:rsidR="00C60380">
        <w:rPr>
          <w:rFonts w:ascii="Cambria" w:hAnsi="Cambria" w:cstheme="minorHAnsi"/>
        </w:rPr>
        <w:t>’s</w:t>
      </w:r>
      <w:r w:rsidR="00070497">
        <w:rPr>
          <w:rFonts w:ascii="Cambria" w:hAnsi="Cambria" w:cstheme="minorHAnsi"/>
        </w:rPr>
        <w:t xml:space="preserve"> Understanding Society survey to show that </w:t>
      </w:r>
      <w:r w:rsidR="00636039">
        <w:rPr>
          <w:rFonts w:ascii="Cambria" w:hAnsi="Cambria" w:cstheme="minorHAnsi"/>
        </w:rPr>
        <w:t xml:space="preserve">the </w:t>
      </w:r>
      <w:r w:rsidR="00DD6F6A">
        <w:rPr>
          <w:rFonts w:ascii="Cambria" w:hAnsi="Cambria" w:cstheme="minorHAnsi"/>
        </w:rPr>
        <w:t>local price of housing</w:t>
      </w:r>
      <w:r w:rsidR="00C60380">
        <w:rPr>
          <w:rFonts w:ascii="Cambria" w:hAnsi="Cambria" w:cstheme="minorHAnsi"/>
        </w:rPr>
        <w:t xml:space="preserve"> </w:t>
      </w:r>
      <w:r w:rsidR="00070497">
        <w:rPr>
          <w:rFonts w:ascii="Cambria" w:hAnsi="Cambria" w:cstheme="minorHAnsi"/>
        </w:rPr>
        <w:t>ha</w:t>
      </w:r>
      <w:r w:rsidR="00636039">
        <w:rPr>
          <w:rFonts w:ascii="Cambria" w:hAnsi="Cambria" w:cstheme="minorHAnsi"/>
        </w:rPr>
        <w:t>s</w:t>
      </w:r>
      <w:r w:rsidR="00070497">
        <w:rPr>
          <w:rFonts w:ascii="Cambria" w:hAnsi="Cambria" w:cstheme="minorHAnsi"/>
        </w:rPr>
        <w:t xml:space="preserve"> a </w:t>
      </w:r>
      <w:r w:rsidR="000F4B10">
        <w:rPr>
          <w:rFonts w:ascii="Cambria" w:hAnsi="Cambria" w:cstheme="minorHAnsi"/>
        </w:rPr>
        <w:t>relatively</w:t>
      </w:r>
      <w:r w:rsidR="00070497">
        <w:rPr>
          <w:rFonts w:ascii="Cambria" w:hAnsi="Cambria" w:cstheme="minorHAnsi"/>
        </w:rPr>
        <w:t xml:space="preserve"> weak</w:t>
      </w:r>
      <w:r w:rsidR="001D24E2">
        <w:rPr>
          <w:rFonts w:ascii="Cambria" w:hAnsi="Cambria" w:cstheme="minorHAnsi"/>
        </w:rPr>
        <w:t xml:space="preserve"> association with</w:t>
      </w:r>
      <w:r w:rsidR="00070497">
        <w:rPr>
          <w:rFonts w:ascii="Cambria" w:hAnsi="Cambria" w:cstheme="minorHAnsi"/>
        </w:rPr>
        <w:t xml:space="preserve"> the timing of exits from the parental home. </w:t>
      </w:r>
      <w:r w:rsidR="00B7479B">
        <w:rPr>
          <w:rFonts w:ascii="Cambria" w:hAnsi="Cambria" w:cstheme="minorHAnsi"/>
        </w:rPr>
        <w:t>However, t</w:t>
      </w:r>
      <w:r w:rsidR="00A516C4">
        <w:rPr>
          <w:rFonts w:ascii="Cambria" w:hAnsi="Cambria" w:cstheme="minorHAnsi"/>
        </w:rPr>
        <w:t xml:space="preserve">heir findings </w:t>
      </w:r>
      <w:r w:rsidR="003E7ECA">
        <w:rPr>
          <w:rFonts w:ascii="Cambria" w:hAnsi="Cambria" w:cstheme="minorHAnsi"/>
        </w:rPr>
        <w:t xml:space="preserve">also </w:t>
      </w:r>
      <w:r w:rsidR="00A516C4">
        <w:rPr>
          <w:rFonts w:ascii="Cambria" w:hAnsi="Cambria" w:cstheme="minorHAnsi"/>
        </w:rPr>
        <w:t xml:space="preserve">suggest that young people may be particularly inclined to stay living in parental homes </w:t>
      </w:r>
      <w:r w:rsidR="001D63CA">
        <w:rPr>
          <w:rFonts w:ascii="Cambria" w:hAnsi="Cambria" w:cstheme="minorHAnsi"/>
        </w:rPr>
        <w:t xml:space="preserve">that are </w:t>
      </w:r>
      <w:r w:rsidR="00A516C4">
        <w:rPr>
          <w:rFonts w:ascii="Cambria" w:hAnsi="Cambria" w:cstheme="minorHAnsi"/>
        </w:rPr>
        <w:t xml:space="preserve">located in densely populated areas, potentially because </w:t>
      </w:r>
      <w:r w:rsidR="000A5E37">
        <w:rPr>
          <w:rFonts w:ascii="Cambria" w:hAnsi="Cambria" w:cstheme="minorHAnsi"/>
        </w:rPr>
        <w:t>these</w:t>
      </w:r>
      <w:r w:rsidR="00A516C4">
        <w:rPr>
          <w:rFonts w:ascii="Cambria" w:hAnsi="Cambria" w:cstheme="minorHAnsi"/>
        </w:rPr>
        <w:t xml:space="preserve"> </w:t>
      </w:r>
      <w:r w:rsidR="00E306D8">
        <w:rPr>
          <w:rFonts w:ascii="Cambria" w:hAnsi="Cambria" w:cstheme="minorHAnsi"/>
        </w:rPr>
        <w:t xml:space="preserve">locations </w:t>
      </w:r>
      <w:r w:rsidR="00A516C4">
        <w:rPr>
          <w:rFonts w:ascii="Cambria" w:hAnsi="Cambria" w:cstheme="minorHAnsi"/>
        </w:rPr>
        <w:t xml:space="preserve">offer </w:t>
      </w:r>
      <w:r w:rsidR="00636039">
        <w:rPr>
          <w:rFonts w:ascii="Cambria" w:hAnsi="Cambria" w:cstheme="minorHAnsi"/>
        </w:rPr>
        <w:t>excellent</w:t>
      </w:r>
      <w:r w:rsidR="00A516C4">
        <w:rPr>
          <w:rFonts w:ascii="Cambria" w:hAnsi="Cambria" w:cstheme="minorHAnsi"/>
        </w:rPr>
        <w:t xml:space="preserve"> </w:t>
      </w:r>
      <w:r w:rsidR="00D9198B">
        <w:rPr>
          <w:rFonts w:ascii="Cambria" w:hAnsi="Cambria" w:cstheme="minorHAnsi"/>
        </w:rPr>
        <w:t>cost-</w:t>
      </w:r>
      <w:r w:rsidR="00EB40AB">
        <w:rPr>
          <w:rFonts w:ascii="Cambria" w:hAnsi="Cambria" w:cstheme="minorHAnsi"/>
        </w:rPr>
        <w:t xml:space="preserve">effective </w:t>
      </w:r>
      <w:r w:rsidR="00A516C4">
        <w:rPr>
          <w:rFonts w:ascii="Cambria" w:hAnsi="Cambria" w:cstheme="minorHAnsi"/>
        </w:rPr>
        <w:t xml:space="preserve">access to jobs and educational opportunities. </w:t>
      </w:r>
      <w:r w:rsidR="00B7285A">
        <w:rPr>
          <w:rFonts w:ascii="Cambria" w:hAnsi="Cambria" w:cstheme="minorHAnsi"/>
        </w:rPr>
        <w:t>In particular, f</w:t>
      </w:r>
      <w:r w:rsidR="00A516C4">
        <w:rPr>
          <w:rFonts w:ascii="Cambria" w:hAnsi="Cambria" w:cstheme="minorHAnsi"/>
        </w:rPr>
        <w:t xml:space="preserve">amily homes in London and </w:t>
      </w:r>
      <w:r w:rsidR="00954EBE">
        <w:rPr>
          <w:rFonts w:ascii="Cambria" w:hAnsi="Cambria" w:cstheme="minorHAnsi"/>
        </w:rPr>
        <w:t>the Gr</w:t>
      </w:r>
      <w:r w:rsidR="00F76F5C">
        <w:rPr>
          <w:rFonts w:ascii="Cambria" w:hAnsi="Cambria" w:cstheme="minorHAnsi"/>
        </w:rPr>
        <w:t xml:space="preserve">eater South East </w:t>
      </w:r>
      <w:r w:rsidR="00C140E7">
        <w:rPr>
          <w:rFonts w:ascii="Cambria" w:hAnsi="Cambria" w:cstheme="minorHAnsi"/>
        </w:rPr>
        <w:t xml:space="preserve">can </w:t>
      </w:r>
      <w:r w:rsidR="0055522D">
        <w:rPr>
          <w:rFonts w:ascii="Cambria" w:hAnsi="Cambria" w:cstheme="minorHAnsi"/>
        </w:rPr>
        <w:t>enhance career development</w:t>
      </w:r>
      <w:r w:rsidR="00A516C4">
        <w:rPr>
          <w:rFonts w:ascii="Cambria" w:hAnsi="Cambria" w:cstheme="minorHAnsi"/>
        </w:rPr>
        <w:t xml:space="preserve"> </w:t>
      </w:r>
      <w:r w:rsidR="00C140E7">
        <w:rPr>
          <w:rFonts w:ascii="Cambria" w:hAnsi="Cambria" w:cstheme="minorHAnsi"/>
        </w:rPr>
        <w:t xml:space="preserve">by </w:t>
      </w:r>
      <w:r w:rsidR="00E42B0D">
        <w:rPr>
          <w:rFonts w:ascii="Cambria" w:hAnsi="Cambria" w:cstheme="minorHAnsi"/>
        </w:rPr>
        <w:t>enabl</w:t>
      </w:r>
      <w:r w:rsidR="00C140E7">
        <w:rPr>
          <w:rFonts w:ascii="Cambria" w:hAnsi="Cambria" w:cstheme="minorHAnsi"/>
        </w:rPr>
        <w:t>ing</w:t>
      </w:r>
      <w:r w:rsidR="00BC21B5">
        <w:rPr>
          <w:rFonts w:ascii="Cambria" w:hAnsi="Cambria" w:cstheme="minorHAnsi"/>
        </w:rPr>
        <w:t xml:space="preserve"> </w:t>
      </w:r>
      <w:r w:rsidR="0055522D">
        <w:rPr>
          <w:rFonts w:ascii="Cambria" w:hAnsi="Cambria" w:cstheme="minorHAnsi"/>
        </w:rPr>
        <w:t>young people</w:t>
      </w:r>
      <w:r w:rsidR="00BC21B5">
        <w:rPr>
          <w:rFonts w:ascii="Cambria" w:hAnsi="Cambria" w:cstheme="minorHAnsi"/>
        </w:rPr>
        <w:t xml:space="preserve"> to take on </w:t>
      </w:r>
      <w:r w:rsidR="00290188">
        <w:rPr>
          <w:rFonts w:ascii="Cambria" w:hAnsi="Cambria" w:cstheme="minorHAnsi"/>
        </w:rPr>
        <w:t xml:space="preserve">unpaid </w:t>
      </w:r>
      <w:r w:rsidR="00BC21B5">
        <w:rPr>
          <w:rFonts w:ascii="Cambria" w:hAnsi="Cambria" w:cstheme="minorHAnsi"/>
        </w:rPr>
        <w:t>internships and entry-level jobs</w:t>
      </w:r>
      <w:r w:rsidR="00284EDD">
        <w:rPr>
          <w:rFonts w:ascii="Cambria" w:hAnsi="Cambria" w:cstheme="minorHAnsi"/>
        </w:rPr>
        <w:t xml:space="preserve"> in the capital</w:t>
      </w:r>
      <w:r w:rsidR="00BC21B5">
        <w:rPr>
          <w:rFonts w:ascii="Cambria" w:hAnsi="Cambria" w:cstheme="minorHAnsi"/>
        </w:rPr>
        <w:t xml:space="preserve"> </w:t>
      </w:r>
      <w:r w:rsidR="00D9198B">
        <w:rPr>
          <w:rFonts w:ascii="Cambria" w:hAnsi="Cambria" w:cstheme="minorHAnsi"/>
        </w:rPr>
        <w:t xml:space="preserve">that their </w:t>
      </w:r>
      <w:r w:rsidR="009F4F78">
        <w:rPr>
          <w:rFonts w:ascii="Cambria" w:hAnsi="Cambria" w:cstheme="minorHAnsi"/>
        </w:rPr>
        <w:t xml:space="preserve">peers </w:t>
      </w:r>
      <w:r w:rsidR="004013FE">
        <w:rPr>
          <w:rFonts w:ascii="Cambria" w:hAnsi="Cambria" w:cstheme="minorHAnsi"/>
        </w:rPr>
        <w:t>from</w:t>
      </w:r>
      <w:r w:rsidR="009F4F78">
        <w:rPr>
          <w:rFonts w:ascii="Cambria" w:hAnsi="Cambria" w:cstheme="minorHAnsi"/>
        </w:rPr>
        <w:t xml:space="preserve"> other part</w:t>
      </w:r>
      <w:r w:rsidR="00D9198B">
        <w:rPr>
          <w:rFonts w:ascii="Cambria" w:hAnsi="Cambria" w:cstheme="minorHAnsi"/>
        </w:rPr>
        <w:t xml:space="preserve">s of the country </w:t>
      </w:r>
      <w:r w:rsidR="000F5723">
        <w:rPr>
          <w:rFonts w:ascii="Cambria" w:hAnsi="Cambria" w:cstheme="minorHAnsi"/>
        </w:rPr>
        <w:t>can only access by paying</w:t>
      </w:r>
      <w:r w:rsidR="006B4E1A">
        <w:rPr>
          <w:rFonts w:ascii="Cambria" w:hAnsi="Cambria" w:cstheme="minorHAnsi"/>
        </w:rPr>
        <w:t xml:space="preserve"> </w:t>
      </w:r>
      <w:r w:rsidR="000F5723">
        <w:rPr>
          <w:rFonts w:ascii="Cambria" w:hAnsi="Cambria" w:cstheme="minorHAnsi"/>
        </w:rPr>
        <w:t>market rents</w:t>
      </w:r>
      <w:r w:rsidR="00A516C4">
        <w:rPr>
          <w:rFonts w:ascii="Cambria" w:hAnsi="Cambria" w:cstheme="minorHAnsi"/>
        </w:rPr>
        <w:t>.</w:t>
      </w:r>
      <w:r w:rsidR="007233EE">
        <w:rPr>
          <w:rFonts w:ascii="Cambria" w:hAnsi="Cambria"/>
        </w:rPr>
        <w:t xml:space="preserve"> Exploring </w:t>
      </w:r>
      <w:r w:rsidR="003A7950">
        <w:rPr>
          <w:rFonts w:ascii="Cambria" w:hAnsi="Cambria"/>
        </w:rPr>
        <w:t>how</w:t>
      </w:r>
      <w:r w:rsidR="007233EE">
        <w:rPr>
          <w:rFonts w:ascii="Cambria" w:hAnsi="Cambria"/>
        </w:rPr>
        <w:t xml:space="preserve"> </w:t>
      </w:r>
      <w:r w:rsidR="003F34FB">
        <w:rPr>
          <w:rFonts w:ascii="Cambria" w:hAnsi="Cambria"/>
        </w:rPr>
        <w:t xml:space="preserve">spatially </w:t>
      </w:r>
      <w:r w:rsidR="007233EE">
        <w:rPr>
          <w:rFonts w:ascii="Cambria" w:hAnsi="Cambria"/>
        </w:rPr>
        <w:t xml:space="preserve">unequal opportunities </w:t>
      </w:r>
      <w:r w:rsidR="0016680F">
        <w:rPr>
          <w:rFonts w:ascii="Cambria" w:hAnsi="Cambria"/>
        </w:rPr>
        <w:t xml:space="preserve">to use the parental home </w:t>
      </w:r>
      <w:r w:rsidR="003A7950">
        <w:rPr>
          <w:rFonts w:ascii="Cambria" w:hAnsi="Cambria"/>
        </w:rPr>
        <w:t>may affect patterns of</w:t>
      </w:r>
      <w:r w:rsidR="007233EE">
        <w:rPr>
          <w:rFonts w:ascii="Cambria" w:hAnsi="Cambria"/>
        </w:rPr>
        <w:t xml:space="preserve"> social mobility </w:t>
      </w:r>
      <w:r w:rsidR="007B0C76">
        <w:rPr>
          <w:rFonts w:ascii="Cambria" w:hAnsi="Cambria"/>
        </w:rPr>
        <w:t>remains</w:t>
      </w:r>
      <w:r w:rsidR="007233EE">
        <w:rPr>
          <w:rFonts w:ascii="Cambria" w:hAnsi="Cambria"/>
        </w:rPr>
        <w:t xml:space="preserve"> a pressing research objective</w:t>
      </w:r>
      <w:r w:rsidR="00E817C6">
        <w:rPr>
          <w:rFonts w:ascii="Cambria" w:hAnsi="Cambria"/>
        </w:rPr>
        <w:t xml:space="preserve"> that could be tackled in Britain using massive linked census record </w:t>
      </w:r>
      <w:r w:rsidR="00797C6C">
        <w:rPr>
          <w:rFonts w:ascii="Cambria" w:hAnsi="Cambria"/>
        </w:rPr>
        <w:t xml:space="preserve">databases </w:t>
      </w:r>
      <w:r w:rsidR="00E817C6">
        <w:rPr>
          <w:rFonts w:ascii="Cambria" w:hAnsi="Cambria"/>
        </w:rPr>
        <w:t>such as the ONS Longitudinal Study</w:t>
      </w:r>
      <w:r w:rsidR="00DD2627">
        <w:rPr>
          <w:rFonts w:ascii="Cambria" w:hAnsi="Cambria"/>
        </w:rPr>
        <w:t xml:space="preserve"> of England and Wales</w:t>
      </w:r>
      <w:r w:rsidR="007650A1">
        <w:rPr>
          <w:rFonts w:ascii="Cambria" w:hAnsi="Cambria"/>
        </w:rPr>
        <w:t>. More innovatively,</w:t>
      </w:r>
      <w:r w:rsidR="00E817C6">
        <w:rPr>
          <w:rFonts w:ascii="Cambria" w:hAnsi="Cambria"/>
        </w:rPr>
        <w:t xml:space="preserve"> repurposed </w:t>
      </w:r>
      <w:r w:rsidR="007650A1">
        <w:rPr>
          <w:rFonts w:ascii="Cambria" w:hAnsi="Cambria"/>
        </w:rPr>
        <w:t xml:space="preserve">administrative and consumer </w:t>
      </w:r>
      <w:r w:rsidR="00E817C6">
        <w:rPr>
          <w:rFonts w:ascii="Cambria" w:hAnsi="Cambria"/>
        </w:rPr>
        <w:t xml:space="preserve">data resources </w:t>
      </w:r>
      <w:r w:rsidR="00B34A30">
        <w:rPr>
          <w:rFonts w:ascii="Cambria" w:hAnsi="Cambria"/>
        </w:rPr>
        <w:t xml:space="preserve">— </w:t>
      </w:r>
      <w:r w:rsidR="00E817C6">
        <w:rPr>
          <w:rFonts w:ascii="Cambria" w:hAnsi="Cambria"/>
        </w:rPr>
        <w:t xml:space="preserve">such as the Electoral and Consumer Register assembled </w:t>
      </w:r>
      <w:r w:rsidR="004B1C8A">
        <w:rPr>
          <w:rFonts w:ascii="Cambria" w:hAnsi="Cambria"/>
        </w:rPr>
        <w:t xml:space="preserve">and linked to housing transaction records </w:t>
      </w:r>
      <w:r w:rsidR="00E817C6">
        <w:rPr>
          <w:rFonts w:ascii="Cambria" w:hAnsi="Cambria"/>
        </w:rPr>
        <w:t>by Lansley and colleagues (2019)</w:t>
      </w:r>
      <w:r w:rsidR="005C2304">
        <w:rPr>
          <w:rFonts w:ascii="Cambria" w:hAnsi="Cambria"/>
        </w:rPr>
        <w:t xml:space="preserve"> </w:t>
      </w:r>
      <w:r w:rsidR="00B34A30">
        <w:rPr>
          <w:rFonts w:ascii="Cambria" w:hAnsi="Cambria"/>
        </w:rPr>
        <w:t xml:space="preserve">— </w:t>
      </w:r>
      <w:r w:rsidR="007650A1">
        <w:rPr>
          <w:rFonts w:ascii="Cambria" w:hAnsi="Cambria"/>
        </w:rPr>
        <w:t>could be used to model young adults’ spatial mobility and housing transitions</w:t>
      </w:r>
      <w:r w:rsidR="00E817C6">
        <w:rPr>
          <w:rFonts w:ascii="Cambria" w:hAnsi="Cambria"/>
        </w:rPr>
        <w:t>.</w:t>
      </w:r>
      <w:r w:rsidR="00554F09">
        <w:rPr>
          <w:rFonts w:ascii="Cambria" w:hAnsi="Cambria"/>
        </w:rPr>
        <w:t xml:space="preserve"> Outside Britain, comprehensive population register databases in the Nordic countries and the Netherlands offer unparalleled opportunities </w:t>
      </w:r>
      <w:r w:rsidR="004B7D48">
        <w:rPr>
          <w:rFonts w:ascii="Cambria" w:hAnsi="Cambria"/>
        </w:rPr>
        <w:t>for</w:t>
      </w:r>
      <w:r w:rsidR="00554F09">
        <w:rPr>
          <w:rFonts w:ascii="Cambria" w:hAnsi="Cambria"/>
        </w:rPr>
        <w:t xml:space="preserve"> stud</w:t>
      </w:r>
      <w:r w:rsidR="004A63FD">
        <w:rPr>
          <w:rFonts w:ascii="Cambria" w:hAnsi="Cambria"/>
        </w:rPr>
        <w:t>y</w:t>
      </w:r>
      <w:r w:rsidR="004B7D48">
        <w:rPr>
          <w:rFonts w:ascii="Cambria" w:hAnsi="Cambria"/>
        </w:rPr>
        <w:t>ing</w:t>
      </w:r>
      <w:r w:rsidR="00554F09">
        <w:rPr>
          <w:rFonts w:ascii="Cambria" w:hAnsi="Cambria"/>
        </w:rPr>
        <w:t xml:space="preserve"> mobility patterns </w:t>
      </w:r>
      <w:r w:rsidR="00CB62DF">
        <w:rPr>
          <w:rFonts w:ascii="Cambria" w:hAnsi="Cambria"/>
        </w:rPr>
        <w:t xml:space="preserve">and their relation to </w:t>
      </w:r>
      <w:r w:rsidR="00F706CD">
        <w:rPr>
          <w:rFonts w:ascii="Cambria" w:hAnsi="Cambria"/>
        </w:rPr>
        <w:t xml:space="preserve">economic variables and </w:t>
      </w:r>
      <w:r w:rsidR="00CB62DF">
        <w:rPr>
          <w:rFonts w:ascii="Cambria" w:hAnsi="Cambria"/>
        </w:rPr>
        <w:t xml:space="preserve">kinship geographies </w:t>
      </w:r>
      <w:r w:rsidR="00554F09">
        <w:rPr>
          <w:rFonts w:ascii="Cambria" w:hAnsi="Cambria"/>
        </w:rPr>
        <w:t>at highly granular spatial scales (e.g. Korpi et al., 2011).</w:t>
      </w:r>
    </w:p>
    <w:p w14:paraId="7C7AB42D" w14:textId="13D9A604" w:rsidR="00FB6675" w:rsidRDefault="003F30E1" w:rsidP="00006F78">
      <w:pPr>
        <w:spacing w:after="240" w:line="480" w:lineRule="auto"/>
        <w:rPr>
          <w:rFonts w:ascii="Cambria" w:hAnsi="Cambria"/>
        </w:rPr>
      </w:pPr>
      <w:r>
        <w:rPr>
          <w:rFonts w:ascii="Cambria" w:hAnsi="Cambria"/>
        </w:rPr>
        <w:t>A</w:t>
      </w:r>
      <w:r w:rsidR="00B810B5">
        <w:rPr>
          <w:rFonts w:ascii="Cambria" w:hAnsi="Cambria"/>
        </w:rPr>
        <w:t>nother</w:t>
      </w:r>
      <w:r>
        <w:rPr>
          <w:rFonts w:ascii="Cambria" w:hAnsi="Cambria"/>
        </w:rPr>
        <w:t xml:space="preserve"> </w:t>
      </w:r>
      <w:r w:rsidR="00AD6B6E">
        <w:rPr>
          <w:rFonts w:ascii="Cambria" w:hAnsi="Cambria"/>
        </w:rPr>
        <w:t>research priority is to e</w:t>
      </w:r>
      <w:r>
        <w:rPr>
          <w:rFonts w:ascii="Cambria" w:hAnsi="Cambria"/>
        </w:rPr>
        <w:t>valuat</w:t>
      </w:r>
      <w:r w:rsidR="00753B55">
        <w:rPr>
          <w:rFonts w:ascii="Cambria" w:hAnsi="Cambria"/>
        </w:rPr>
        <w:t>e</w:t>
      </w:r>
      <w:r>
        <w:rPr>
          <w:rFonts w:ascii="Cambria" w:hAnsi="Cambria"/>
        </w:rPr>
        <w:t xml:space="preserve"> the ways in which policy changes</w:t>
      </w:r>
      <w:r w:rsidR="00E33A3A">
        <w:rPr>
          <w:rFonts w:ascii="Cambria" w:hAnsi="Cambria"/>
        </w:rPr>
        <w:t xml:space="preserve"> can exacerbate </w:t>
      </w:r>
      <w:r>
        <w:rPr>
          <w:rFonts w:ascii="Cambria" w:hAnsi="Cambria"/>
        </w:rPr>
        <w:t>inequality</w:t>
      </w:r>
      <w:r w:rsidR="001C41A0">
        <w:rPr>
          <w:rFonts w:ascii="Cambria" w:hAnsi="Cambria"/>
        </w:rPr>
        <w:t xml:space="preserve"> in young adults’ </w:t>
      </w:r>
      <w:r w:rsidR="00AD6B6E">
        <w:rPr>
          <w:rFonts w:ascii="Cambria" w:hAnsi="Cambria"/>
        </w:rPr>
        <w:t>housing transitions</w:t>
      </w:r>
      <w:r>
        <w:rPr>
          <w:rFonts w:ascii="Cambria" w:hAnsi="Cambria"/>
        </w:rPr>
        <w:t>.</w:t>
      </w:r>
      <w:r w:rsidR="003D6EDA">
        <w:rPr>
          <w:rFonts w:ascii="Cambria" w:hAnsi="Cambria"/>
        </w:rPr>
        <w:t xml:space="preserve"> T</w:t>
      </w:r>
      <w:r>
        <w:rPr>
          <w:rFonts w:ascii="Cambria" w:hAnsi="Cambria"/>
        </w:rPr>
        <w:t xml:space="preserve">he 2010-15 </w:t>
      </w:r>
      <w:r w:rsidR="005A60B1">
        <w:rPr>
          <w:rFonts w:ascii="Cambria" w:hAnsi="Cambria"/>
        </w:rPr>
        <w:t xml:space="preserve">UK </w:t>
      </w:r>
      <w:r>
        <w:rPr>
          <w:rFonts w:ascii="Cambria" w:hAnsi="Cambria"/>
        </w:rPr>
        <w:t>Coalition Government’s sweeping cuts to housing benefits</w:t>
      </w:r>
      <w:r w:rsidR="001D7731">
        <w:rPr>
          <w:rFonts w:ascii="Cambria" w:hAnsi="Cambria"/>
        </w:rPr>
        <w:t xml:space="preserve"> particularly</w:t>
      </w:r>
      <w:r w:rsidR="004F223A">
        <w:rPr>
          <w:rFonts w:ascii="Cambria" w:hAnsi="Cambria"/>
        </w:rPr>
        <w:t xml:space="preserve"> </w:t>
      </w:r>
      <w:r>
        <w:rPr>
          <w:rFonts w:ascii="Cambria" w:hAnsi="Cambria"/>
        </w:rPr>
        <w:t>targeted younger adults as ministers sought to position sharing and parental co-residence as the normative residential situation</w:t>
      </w:r>
      <w:r w:rsidR="00A87BC5">
        <w:rPr>
          <w:rFonts w:ascii="Cambria" w:hAnsi="Cambria"/>
        </w:rPr>
        <w:t>s</w:t>
      </w:r>
      <w:r>
        <w:rPr>
          <w:rFonts w:ascii="Cambria" w:hAnsi="Cambria"/>
        </w:rPr>
        <w:t xml:space="preserve"> for poor</w:t>
      </w:r>
      <w:r w:rsidR="00A87BC5">
        <w:rPr>
          <w:rFonts w:ascii="Cambria" w:hAnsi="Cambria"/>
        </w:rPr>
        <w:t>er</w:t>
      </w:r>
      <w:r w:rsidR="00753B55">
        <w:rPr>
          <w:rFonts w:ascii="Cambria" w:hAnsi="Cambria"/>
        </w:rPr>
        <w:t xml:space="preserve"> </w:t>
      </w:r>
      <w:r>
        <w:rPr>
          <w:rFonts w:ascii="Cambria" w:hAnsi="Cambria"/>
        </w:rPr>
        <w:t>young peo</w:t>
      </w:r>
      <w:r w:rsidR="00A87BC5">
        <w:rPr>
          <w:rFonts w:ascii="Cambria" w:hAnsi="Cambria"/>
        </w:rPr>
        <w:t xml:space="preserve">ple (Berrington et al., 2017). The most obvious example of </w:t>
      </w:r>
      <w:r w:rsidR="00DA315C">
        <w:rPr>
          <w:rFonts w:ascii="Cambria" w:hAnsi="Cambria"/>
        </w:rPr>
        <w:t xml:space="preserve">a </w:t>
      </w:r>
      <w:r w:rsidR="00302A9B">
        <w:rPr>
          <w:rFonts w:ascii="Cambria" w:hAnsi="Cambria"/>
        </w:rPr>
        <w:t xml:space="preserve">policy </w:t>
      </w:r>
      <w:r w:rsidR="005A69BA">
        <w:rPr>
          <w:rFonts w:ascii="Cambria" w:hAnsi="Cambria"/>
        </w:rPr>
        <w:t>change</w:t>
      </w:r>
      <w:r w:rsidR="004F223A">
        <w:rPr>
          <w:rFonts w:ascii="Cambria" w:hAnsi="Cambria"/>
        </w:rPr>
        <w:t xml:space="preserve"> with this </w:t>
      </w:r>
      <w:r w:rsidR="005872C0">
        <w:rPr>
          <w:rFonts w:ascii="Cambria" w:hAnsi="Cambria"/>
        </w:rPr>
        <w:t>motivation</w:t>
      </w:r>
      <w:r w:rsidR="004F223A">
        <w:rPr>
          <w:rFonts w:ascii="Cambria" w:hAnsi="Cambria"/>
        </w:rPr>
        <w:t xml:space="preserve"> </w:t>
      </w:r>
      <w:r w:rsidR="00A87BC5">
        <w:rPr>
          <w:rFonts w:ascii="Cambria" w:hAnsi="Cambria"/>
        </w:rPr>
        <w:t xml:space="preserve">was the decision </w:t>
      </w:r>
      <w:r w:rsidR="004F223A">
        <w:rPr>
          <w:rFonts w:ascii="Cambria" w:hAnsi="Cambria"/>
        </w:rPr>
        <w:t xml:space="preserve">to raise the age below which </w:t>
      </w:r>
      <w:r w:rsidR="00A87BC5">
        <w:rPr>
          <w:rFonts w:ascii="Cambria" w:hAnsi="Cambria"/>
        </w:rPr>
        <w:t xml:space="preserve">people </w:t>
      </w:r>
      <w:r w:rsidR="00ED44C9">
        <w:rPr>
          <w:rFonts w:ascii="Cambria" w:hAnsi="Cambria"/>
        </w:rPr>
        <w:t>can only</w:t>
      </w:r>
      <w:r w:rsidR="00A87BC5">
        <w:rPr>
          <w:rFonts w:ascii="Cambria" w:hAnsi="Cambria"/>
        </w:rPr>
        <w:t xml:space="preserve"> claim </w:t>
      </w:r>
      <w:r w:rsidR="00ED44C9">
        <w:rPr>
          <w:rFonts w:ascii="Cambria" w:hAnsi="Cambria"/>
        </w:rPr>
        <w:t xml:space="preserve">housing benefit to cover </w:t>
      </w:r>
      <w:r w:rsidR="00A87BC5">
        <w:rPr>
          <w:rFonts w:ascii="Cambria" w:hAnsi="Cambria"/>
        </w:rPr>
        <w:t xml:space="preserve">the cost of renting a room in a shared dwelling </w:t>
      </w:r>
      <w:r w:rsidR="00136641">
        <w:rPr>
          <w:rFonts w:ascii="Cambria" w:hAnsi="Cambria"/>
        </w:rPr>
        <w:t>—</w:t>
      </w:r>
      <w:r w:rsidR="00877118">
        <w:rPr>
          <w:rFonts w:ascii="Cambria" w:hAnsi="Cambria"/>
        </w:rPr>
        <w:t>the Shared Accommodation Rate</w:t>
      </w:r>
      <w:r w:rsidR="000E05EF">
        <w:rPr>
          <w:rFonts w:ascii="Cambria" w:hAnsi="Cambria"/>
        </w:rPr>
        <w:t xml:space="preserve"> </w:t>
      </w:r>
      <w:r w:rsidR="00136641">
        <w:rPr>
          <w:rFonts w:ascii="Cambria" w:hAnsi="Cambria"/>
        </w:rPr>
        <w:t>—</w:t>
      </w:r>
      <w:r w:rsidR="00877118">
        <w:rPr>
          <w:rFonts w:ascii="Cambria" w:hAnsi="Cambria"/>
        </w:rPr>
        <w:t xml:space="preserve"> </w:t>
      </w:r>
      <w:r w:rsidR="00A87BC5">
        <w:rPr>
          <w:rFonts w:ascii="Cambria" w:hAnsi="Cambria"/>
        </w:rPr>
        <w:t>from 25 to 35 in 2012.</w:t>
      </w:r>
      <w:r w:rsidR="00877118">
        <w:rPr>
          <w:rFonts w:ascii="Cambria" w:hAnsi="Cambria"/>
        </w:rPr>
        <w:t xml:space="preserve"> </w:t>
      </w:r>
      <w:r w:rsidR="00CF7D2C">
        <w:rPr>
          <w:rFonts w:ascii="Cambria" w:hAnsi="Cambria"/>
        </w:rPr>
        <w:t>A</w:t>
      </w:r>
      <w:r w:rsidR="004F223A">
        <w:rPr>
          <w:rFonts w:ascii="Cambria" w:hAnsi="Cambria"/>
        </w:rPr>
        <w:t xml:space="preserve">nalyses of this initiative have shown that in many places there is </w:t>
      </w:r>
      <w:r w:rsidR="005F6E1E">
        <w:rPr>
          <w:rFonts w:ascii="Cambria" w:hAnsi="Cambria"/>
        </w:rPr>
        <w:t>a dearth of</w:t>
      </w:r>
      <w:r w:rsidR="004F223A">
        <w:rPr>
          <w:rFonts w:ascii="Cambria" w:hAnsi="Cambria"/>
        </w:rPr>
        <w:t xml:space="preserve"> affordable shared stock and</w:t>
      </w:r>
      <w:r w:rsidR="00C915FE">
        <w:rPr>
          <w:rFonts w:ascii="Cambria" w:hAnsi="Cambria"/>
        </w:rPr>
        <w:t xml:space="preserve"> unwanted</w:t>
      </w:r>
      <w:r w:rsidR="004F223A">
        <w:rPr>
          <w:rFonts w:ascii="Cambria" w:hAnsi="Cambria"/>
        </w:rPr>
        <w:t xml:space="preserve"> ‘stranger shares’ </w:t>
      </w:r>
      <w:r w:rsidR="00D62F6C">
        <w:rPr>
          <w:rFonts w:ascii="Cambria" w:hAnsi="Cambria"/>
        </w:rPr>
        <w:t>often</w:t>
      </w:r>
      <w:r w:rsidR="00317424">
        <w:rPr>
          <w:rFonts w:ascii="Cambria" w:hAnsi="Cambria"/>
        </w:rPr>
        <w:t xml:space="preserve"> </w:t>
      </w:r>
      <w:r w:rsidR="004F223A">
        <w:rPr>
          <w:rFonts w:ascii="Cambria" w:hAnsi="Cambria"/>
        </w:rPr>
        <w:t xml:space="preserve">undermine privacy, </w:t>
      </w:r>
      <w:r w:rsidR="00071735">
        <w:rPr>
          <w:rFonts w:ascii="Cambria" w:hAnsi="Cambria"/>
        </w:rPr>
        <w:t xml:space="preserve">safety, </w:t>
      </w:r>
      <w:r w:rsidR="004F223A">
        <w:rPr>
          <w:rFonts w:ascii="Cambria" w:hAnsi="Cambria"/>
        </w:rPr>
        <w:t>well-being and non-resident father</w:t>
      </w:r>
      <w:r w:rsidR="00ED44C9">
        <w:rPr>
          <w:rFonts w:ascii="Cambria" w:hAnsi="Cambria"/>
        </w:rPr>
        <w:t>s’</w:t>
      </w:r>
      <w:r w:rsidR="004F223A">
        <w:rPr>
          <w:rFonts w:ascii="Cambria" w:hAnsi="Cambria"/>
        </w:rPr>
        <w:t xml:space="preserve"> ability to see their children (Cole et al., 2016; Stone and Berrington, 2014; Wilkinson and Ortega-Alcazar, 2017). </w:t>
      </w:r>
    </w:p>
    <w:p w14:paraId="15A49CDA" w14:textId="4203C218" w:rsidR="00E161D1" w:rsidRPr="005A69BA" w:rsidRDefault="00C136AF" w:rsidP="005A69BA">
      <w:pPr>
        <w:spacing w:after="240" w:line="480" w:lineRule="auto"/>
        <w:rPr>
          <w:rFonts w:ascii="Cambria" w:hAnsi="Cambria"/>
        </w:rPr>
      </w:pPr>
      <w:r>
        <w:rPr>
          <w:rFonts w:ascii="Cambria" w:hAnsi="Cambria"/>
        </w:rPr>
        <w:t>Furthermore, vulnerable young people often cannot return to the parental home and insufficient benefit support</w:t>
      </w:r>
      <w:r w:rsidR="00913E77">
        <w:rPr>
          <w:rFonts w:ascii="Cambria" w:hAnsi="Cambria"/>
        </w:rPr>
        <w:t xml:space="preserve"> </w:t>
      </w:r>
      <w:r w:rsidR="00D92F47">
        <w:rPr>
          <w:rFonts w:ascii="Cambria" w:hAnsi="Cambria"/>
        </w:rPr>
        <w:t xml:space="preserve">can </w:t>
      </w:r>
      <w:r w:rsidR="00913E77">
        <w:rPr>
          <w:rFonts w:ascii="Cambria" w:hAnsi="Cambria"/>
        </w:rPr>
        <w:t>propel some into</w:t>
      </w:r>
      <w:r>
        <w:rPr>
          <w:rFonts w:ascii="Cambria" w:hAnsi="Cambria"/>
        </w:rPr>
        <w:t xml:space="preserve"> homelessness. </w:t>
      </w:r>
      <w:r w:rsidR="00AD6B6E">
        <w:rPr>
          <w:rFonts w:ascii="Cambria" w:hAnsi="Cambria"/>
        </w:rPr>
        <w:t xml:space="preserve">These vulnerable groups tend not to be represented in </w:t>
      </w:r>
      <w:r w:rsidR="00097195">
        <w:rPr>
          <w:rFonts w:ascii="Cambria" w:hAnsi="Cambria"/>
        </w:rPr>
        <w:t>social</w:t>
      </w:r>
      <w:r w:rsidR="00AD6B6E">
        <w:rPr>
          <w:rFonts w:ascii="Cambria" w:hAnsi="Cambria"/>
        </w:rPr>
        <w:t xml:space="preserve"> </w:t>
      </w:r>
      <w:r w:rsidR="00942F0F">
        <w:rPr>
          <w:rFonts w:ascii="Cambria" w:hAnsi="Cambria"/>
        </w:rPr>
        <w:t xml:space="preserve">datasets </w:t>
      </w:r>
      <w:r w:rsidR="00AD6B6E">
        <w:rPr>
          <w:rFonts w:ascii="Cambria" w:hAnsi="Cambria"/>
        </w:rPr>
        <w:t xml:space="preserve">and </w:t>
      </w:r>
      <w:r w:rsidR="00097195">
        <w:rPr>
          <w:rFonts w:ascii="Cambria" w:hAnsi="Cambria"/>
        </w:rPr>
        <w:t xml:space="preserve">so </w:t>
      </w:r>
      <w:r w:rsidR="00AD6B6E">
        <w:rPr>
          <w:rFonts w:ascii="Cambria" w:hAnsi="Cambria"/>
        </w:rPr>
        <w:t xml:space="preserve">it is important that </w:t>
      </w:r>
      <w:r w:rsidR="00816C4F">
        <w:rPr>
          <w:rFonts w:ascii="Cambria" w:hAnsi="Cambria"/>
        </w:rPr>
        <w:t xml:space="preserve">longitudinal </w:t>
      </w:r>
      <w:r w:rsidR="00AD6B6E">
        <w:rPr>
          <w:rFonts w:ascii="Cambria" w:hAnsi="Cambria"/>
        </w:rPr>
        <w:t xml:space="preserve">administrative data </w:t>
      </w:r>
      <w:r w:rsidR="00F0515C">
        <w:rPr>
          <w:rFonts w:ascii="Cambria" w:hAnsi="Cambria"/>
        </w:rPr>
        <w:t xml:space="preserve">from those working with </w:t>
      </w:r>
      <w:r w:rsidR="007D0FB1">
        <w:rPr>
          <w:rFonts w:ascii="Cambria" w:hAnsi="Cambria"/>
        </w:rPr>
        <w:t xml:space="preserve">the </w:t>
      </w:r>
      <w:r w:rsidR="00F0515C">
        <w:rPr>
          <w:rFonts w:ascii="Cambria" w:hAnsi="Cambria"/>
        </w:rPr>
        <w:t xml:space="preserve">homeless </w:t>
      </w:r>
      <w:r w:rsidR="005E4844">
        <w:rPr>
          <w:rFonts w:ascii="Cambria" w:hAnsi="Cambria"/>
        </w:rPr>
        <w:t xml:space="preserve">(e.g. the London Combined Homelessness And Information Network </w:t>
      </w:r>
      <w:r w:rsidR="00BF71D8">
        <w:rPr>
          <w:rFonts w:ascii="Cambria" w:hAnsi="Cambria"/>
        </w:rPr>
        <w:t>(</w:t>
      </w:r>
      <w:r w:rsidR="005E4844">
        <w:rPr>
          <w:rFonts w:ascii="Cambria" w:hAnsi="Cambria"/>
        </w:rPr>
        <w:t>CHAIN</w:t>
      </w:r>
      <w:r w:rsidR="00BF71D8">
        <w:rPr>
          <w:rFonts w:ascii="Cambria" w:hAnsi="Cambria"/>
        </w:rPr>
        <w:t>)</w:t>
      </w:r>
      <w:r w:rsidR="005E4844">
        <w:rPr>
          <w:rFonts w:ascii="Cambria" w:hAnsi="Cambria"/>
        </w:rPr>
        <w:t xml:space="preserve"> database</w:t>
      </w:r>
      <w:r w:rsidR="00243961">
        <w:rPr>
          <w:rFonts w:ascii="Cambria" w:hAnsi="Cambria"/>
        </w:rPr>
        <w:t xml:space="preserve"> </w:t>
      </w:r>
      <w:r w:rsidR="00BF71D8">
        <w:rPr>
          <w:rFonts w:ascii="Cambria" w:hAnsi="Cambria"/>
        </w:rPr>
        <w:t>about rough sleeping</w:t>
      </w:r>
      <w:r w:rsidR="00362018">
        <w:rPr>
          <w:rFonts w:ascii="Cambria" w:hAnsi="Cambria"/>
        </w:rPr>
        <w:t xml:space="preserve"> —</w:t>
      </w:r>
      <w:r w:rsidR="00771879">
        <w:rPr>
          <w:rFonts w:ascii="Cambria" w:hAnsi="Cambria"/>
        </w:rPr>
        <w:t xml:space="preserve"> see </w:t>
      </w:r>
      <w:r w:rsidR="00362018">
        <w:rPr>
          <w:rFonts w:ascii="Cambria" w:hAnsi="Cambria"/>
        </w:rPr>
        <w:t>GLA (2019)</w:t>
      </w:r>
      <w:r w:rsidR="005E4844">
        <w:rPr>
          <w:rFonts w:ascii="Cambria" w:hAnsi="Cambria"/>
        </w:rPr>
        <w:t xml:space="preserve">) </w:t>
      </w:r>
      <w:r w:rsidR="00AD6B6E">
        <w:rPr>
          <w:rFonts w:ascii="Cambria" w:hAnsi="Cambria"/>
        </w:rPr>
        <w:t>b</w:t>
      </w:r>
      <w:r w:rsidR="00F0515C">
        <w:rPr>
          <w:rFonts w:ascii="Cambria" w:hAnsi="Cambria"/>
        </w:rPr>
        <w:t xml:space="preserve">e made available to researchers. This would allow </w:t>
      </w:r>
      <w:r w:rsidR="00EF64B3">
        <w:rPr>
          <w:rFonts w:ascii="Cambria" w:hAnsi="Cambria"/>
        </w:rPr>
        <w:t>scholars</w:t>
      </w:r>
      <w:r w:rsidR="00F0515C">
        <w:rPr>
          <w:rFonts w:ascii="Cambria" w:hAnsi="Cambria"/>
        </w:rPr>
        <w:t xml:space="preserve"> to examine </w:t>
      </w:r>
      <w:r w:rsidR="00AD6B6E">
        <w:rPr>
          <w:rFonts w:ascii="Cambria" w:hAnsi="Cambria"/>
        </w:rPr>
        <w:t>the factors propelling young people into homelessnes</w:t>
      </w:r>
      <w:r w:rsidR="00897440">
        <w:rPr>
          <w:rFonts w:ascii="Cambria" w:hAnsi="Cambria"/>
        </w:rPr>
        <w:t>s and</w:t>
      </w:r>
      <w:r w:rsidR="00F0515C">
        <w:rPr>
          <w:rFonts w:ascii="Cambria" w:hAnsi="Cambria"/>
        </w:rPr>
        <w:t xml:space="preserve"> the</w:t>
      </w:r>
      <w:r w:rsidR="00DA79B2">
        <w:rPr>
          <w:rFonts w:ascii="Cambria" w:hAnsi="Cambria"/>
        </w:rPr>
        <w:t>ir</w:t>
      </w:r>
      <w:r w:rsidR="00F0515C">
        <w:rPr>
          <w:rFonts w:ascii="Cambria" w:hAnsi="Cambria"/>
        </w:rPr>
        <w:t xml:space="preserve"> </w:t>
      </w:r>
      <w:r w:rsidR="00EB3B2E">
        <w:rPr>
          <w:rFonts w:ascii="Cambria" w:hAnsi="Cambria"/>
        </w:rPr>
        <w:t xml:space="preserve">subsequent </w:t>
      </w:r>
      <w:r w:rsidR="00F0515C">
        <w:rPr>
          <w:rFonts w:ascii="Cambria" w:hAnsi="Cambria"/>
        </w:rPr>
        <w:t>dynamics of homelessness</w:t>
      </w:r>
      <w:r w:rsidR="00897440">
        <w:rPr>
          <w:rFonts w:ascii="Cambria" w:hAnsi="Cambria"/>
        </w:rPr>
        <w:t>.</w:t>
      </w:r>
      <w:r w:rsidR="00AD6B6E">
        <w:rPr>
          <w:rFonts w:ascii="Cambria" w:hAnsi="Cambria"/>
        </w:rPr>
        <w:t xml:space="preserve"> </w:t>
      </w:r>
      <w:r w:rsidR="00897440">
        <w:rPr>
          <w:rFonts w:ascii="Cambria" w:hAnsi="Cambria"/>
        </w:rPr>
        <w:t>U</w:t>
      </w:r>
      <w:r w:rsidR="00C54E41">
        <w:rPr>
          <w:rFonts w:ascii="Cambria" w:hAnsi="Cambria"/>
        </w:rPr>
        <w:t>ltimately</w:t>
      </w:r>
      <w:r w:rsidR="00897440">
        <w:rPr>
          <w:rFonts w:ascii="Cambria" w:hAnsi="Cambria"/>
        </w:rPr>
        <w:t>, such work</w:t>
      </w:r>
      <w:r w:rsidR="00C54E41">
        <w:rPr>
          <w:rFonts w:ascii="Cambria" w:hAnsi="Cambria"/>
        </w:rPr>
        <w:t xml:space="preserve"> </w:t>
      </w:r>
      <w:r w:rsidR="00897440">
        <w:rPr>
          <w:rFonts w:ascii="Cambria" w:hAnsi="Cambria"/>
        </w:rPr>
        <w:t>could</w:t>
      </w:r>
      <w:r w:rsidR="00F0515C">
        <w:rPr>
          <w:rFonts w:ascii="Cambria" w:hAnsi="Cambria"/>
        </w:rPr>
        <w:t xml:space="preserve"> </w:t>
      </w:r>
      <w:r w:rsidR="00672E4A">
        <w:rPr>
          <w:rFonts w:ascii="Cambria" w:hAnsi="Cambria"/>
        </w:rPr>
        <w:t>inform</w:t>
      </w:r>
      <w:r w:rsidR="001F7366">
        <w:rPr>
          <w:rFonts w:ascii="Cambria" w:hAnsi="Cambria"/>
        </w:rPr>
        <w:t xml:space="preserve"> </w:t>
      </w:r>
      <w:r w:rsidR="00336FFE">
        <w:rPr>
          <w:rFonts w:ascii="Cambria" w:hAnsi="Cambria"/>
        </w:rPr>
        <w:t xml:space="preserve">efforts to </w:t>
      </w:r>
      <w:r w:rsidR="00F0515C">
        <w:rPr>
          <w:rFonts w:ascii="Cambria" w:hAnsi="Cambria"/>
        </w:rPr>
        <w:t xml:space="preserve">improve the residential circumstances of </w:t>
      </w:r>
      <w:r w:rsidR="000764A2">
        <w:rPr>
          <w:rFonts w:ascii="Cambria" w:hAnsi="Cambria"/>
        </w:rPr>
        <w:t xml:space="preserve">these </w:t>
      </w:r>
      <w:r w:rsidR="00F0515C">
        <w:rPr>
          <w:rFonts w:ascii="Cambria" w:hAnsi="Cambria"/>
        </w:rPr>
        <w:t>highly disadvantaged groups.</w:t>
      </w:r>
    </w:p>
    <w:p w14:paraId="408909BF" w14:textId="77777777" w:rsidR="005425E1" w:rsidRDefault="005425E1" w:rsidP="00B16720">
      <w:pPr>
        <w:spacing w:after="240" w:line="480" w:lineRule="auto"/>
        <w:rPr>
          <w:rFonts w:ascii="Cambria" w:hAnsi="Cambria" w:cstheme="minorHAnsi"/>
          <w:b/>
        </w:rPr>
      </w:pPr>
    </w:p>
    <w:p w14:paraId="22301D08" w14:textId="2539F0FB" w:rsidR="00331F41" w:rsidRPr="004F248B" w:rsidRDefault="0042712F" w:rsidP="00B16720">
      <w:pPr>
        <w:spacing w:after="240" w:line="480" w:lineRule="auto"/>
        <w:rPr>
          <w:rFonts w:ascii="Cambria" w:hAnsi="Cambria" w:cstheme="minorHAnsi"/>
          <w:b/>
        </w:rPr>
      </w:pPr>
      <w:r>
        <w:rPr>
          <w:rFonts w:ascii="Cambria" w:hAnsi="Cambria" w:cstheme="minorHAnsi"/>
          <w:b/>
        </w:rPr>
        <w:t>2</w:t>
      </w:r>
      <w:r w:rsidR="00AE643F" w:rsidRPr="004F248B">
        <w:rPr>
          <w:rFonts w:ascii="Cambria" w:hAnsi="Cambria" w:cstheme="minorHAnsi"/>
          <w:b/>
        </w:rPr>
        <w:t xml:space="preserve">.2 </w:t>
      </w:r>
      <w:r w:rsidR="00AD6B6E" w:rsidRPr="00AD6B6E">
        <w:rPr>
          <w:rFonts w:ascii="Cambria" w:hAnsi="Cambria" w:cstheme="minorHAnsi"/>
          <w:b/>
        </w:rPr>
        <w:t xml:space="preserve">Transitions to </w:t>
      </w:r>
      <w:r w:rsidR="00891CA6">
        <w:rPr>
          <w:rFonts w:ascii="Cambria" w:hAnsi="Cambria" w:cstheme="minorHAnsi"/>
          <w:b/>
        </w:rPr>
        <w:t>home</w:t>
      </w:r>
      <w:r w:rsidR="00AD6B6E">
        <w:rPr>
          <w:rFonts w:ascii="Cambria" w:hAnsi="Cambria" w:cstheme="minorHAnsi"/>
          <w:b/>
        </w:rPr>
        <w:t>ownership</w:t>
      </w:r>
      <w:r w:rsidR="00AD6B6E" w:rsidRPr="00AD6B6E">
        <w:rPr>
          <w:rFonts w:ascii="Cambria" w:hAnsi="Cambria" w:cstheme="minorHAnsi"/>
          <w:b/>
        </w:rPr>
        <w:t xml:space="preserve"> </w:t>
      </w:r>
    </w:p>
    <w:p w14:paraId="6BB297BE" w14:textId="41920E5B" w:rsidR="009A5006" w:rsidRDefault="008B3141" w:rsidP="00B16720">
      <w:pPr>
        <w:spacing w:after="240" w:line="480" w:lineRule="auto"/>
        <w:rPr>
          <w:rFonts w:ascii="Cambria" w:hAnsi="Cambria" w:cstheme="minorHAnsi"/>
        </w:rPr>
      </w:pPr>
      <w:r>
        <w:rPr>
          <w:rFonts w:ascii="Cambria" w:hAnsi="Cambria" w:cstheme="minorHAnsi"/>
        </w:rPr>
        <w:t xml:space="preserve">The </w:t>
      </w:r>
      <w:r w:rsidR="006C7D7E">
        <w:rPr>
          <w:rFonts w:ascii="Cambria" w:hAnsi="Cambria" w:cstheme="minorHAnsi"/>
        </w:rPr>
        <w:t>expansion and spread of</w:t>
      </w:r>
      <w:r>
        <w:rPr>
          <w:rFonts w:ascii="Cambria" w:hAnsi="Cambria" w:cstheme="minorHAnsi"/>
        </w:rPr>
        <w:t xml:space="preserve"> homeownership </w:t>
      </w:r>
      <w:r w:rsidR="00852F3F">
        <w:rPr>
          <w:rFonts w:ascii="Cambria" w:hAnsi="Cambria" w:cstheme="minorHAnsi"/>
        </w:rPr>
        <w:t xml:space="preserve">was one of </w:t>
      </w:r>
      <w:r w:rsidR="00B15CC1">
        <w:rPr>
          <w:rFonts w:ascii="Cambria" w:hAnsi="Cambria" w:cstheme="minorHAnsi"/>
        </w:rPr>
        <w:t>Britain’s</w:t>
      </w:r>
      <w:r w:rsidR="00852F3F">
        <w:rPr>
          <w:rFonts w:ascii="Cambria" w:hAnsi="Cambria" w:cstheme="minorHAnsi"/>
        </w:rPr>
        <w:t xml:space="preserve"> defining social, political and economic </w:t>
      </w:r>
      <w:r w:rsidR="00B15CC1">
        <w:rPr>
          <w:rFonts w:ascii="Cambria" w:hAnsi="Cambria" w:cstheme="minorHAnsi"/>
        </w:rPr>
        <w:t>trends</w:t>
      </w:r>
      <w:r w:rsidR="00DD483F">
        <w:rPr>
          <w:rFonts w:ascii="Cambria" w:hAnsi="Cambria" w:cstheme="minorHAnsi"/>
        </w:rPr>
        <w:t xml:space="preserve"> </w:t>
      </w:r>
      <w:r w:rsidR="009635F5">
        <w:rPr>
          <w:rFonts w:ascii="Cambria" w:hAnsi="Cambria" w:cstheme="minorHAnsi"/>
        </w:rPr>
        <w:t>through</w:t>
      </w:r>
      <w:r w:rsidR="00DD483F">
        <w:rPr>
          <w:rFonts w:ascii="Cambria" w:hAnsi="Cambria" w:cstheme="minorHAnsi"/>
        </w:rPr>
        <w:t xml:space="preserve"> the late twentieth centur</w:t>
      </w:r>
      <w:r w:rsidR="00680E40">
        <w:rPr>
          <w:rFonts w:ascii="Cambria" w:hAnsi="Cambria" w:cstheme="minorHAnsi"/>
        </w:rPr>
        <w:t>y</w:t>
      </w:r>
      <w:r>
        <w:rPr>
          <w:rFonts w:ascii="Cambria" w:hAnsi="Cambria" w:cstheme="minorHAnsi"/>
        </w:rPr>
        <w:t xml:space="preserve">. </w:t>
      </w:r>
      <w:r w:rsidR="00844BE2">
        <w:rPr>
          <w:rFonts w:ascii="Cambria" w:hAnsi="Cambria" w:cstheme="minorHAnsi"/>
        </w:rPr>
        <w:t>It is therefore unsurprising that p</w:t>
      </w:r>
      <w:r w:rsidR="00645E07">
        <w:rPr>
          <w:rFonts w:ascii="Cambria" w:hAnsi="Cambria" w:cstheme="minorHAnsi"/>
        </w:rPr>
        <w:t>olicymakers have been alarmed by</w:t>
      </w:r>
      <w:r w:rsidR="00A87816">
        <w:rPr>
          <w:rFonts w:ascii="Cambria" w:hAnsi="Cambria" w:cstheme="minorHAnsi"/>
        </w:rPr>
        <w:t xml:space="preserve"> </w:t>
      </w:r>
      <w:r w:rsidR="00645E07">
        <w:rPr>
          <w:rFonts w:ascii="Cambria" w:hAnsi="Cambria" w:cstheme="minorHAnsi"/>
        </w:rPr>
        <w:t>recent falls in the</w:t>
      </w:r>
      <w:r w:rsidR="000C63D5">
        <w:rPr>
          <w:rFonts w:ascii="Cambria" w:hAnsi="Cambria" w:cstheme="minorHAnsi"/>
        </w:rPr>
        <w:t xml:space="preserve"> rate of</w:t>
      </w:r>
      <w:r w:rsidR="00A87816">
        <w:rPr>
          <w:rFonts w:ascii="Cambria" w:hAnsi="Cambria" w:cstheme="minorHAnsi"/>
        </w:rPr>
        <w:t xml:space="preserve"> owner-occupation from 71% of English households in 2003 to 63% in 2016-17 </w:t>
      </w:r>
      <w:r w:rsidR="00897EE8">
        <w:rPr>
          <w:rFonts w:ascii="Cambria" w:hAnsi="Cambria" w:cstheme="minorHAnsi"/>
        </w:rPr>
        <w:t xml:space="preserve">(MHCLG, </w:t>
      </w:r>
      <w:r w:rsidR="00AB597B">
        <w:rPr>
          <w:rFonts w:ascii="Cambria" w:hAnsi="Cambria" w:cstheme="minorHAnsi"/>
        </w:rPr>
        <w:t>2018a</w:t>
      </w:r>
      <w:r w:rsidR="00897EE8">
        <w:rPr>
          <w:rFonts w:ascii="Cambria" w:hAnsi="Cambria" w:cstheme="minorHAnsi"/>
        </w:rPr>
        <w:t>)</w:t>
      </w:r>
      <w:r w:rsidR="00A87816">
        <w:rPr>
          <w:rFonts w:ascii="Cambria" w:hAnsi="Cambria" w:cstheme="minorHAnsi"/>
        </w:rPr>
        <w:t xml:space="preserve">. </w:t>
      </w:r>
      <w:r w:rsidR="000C63D5">
        <w:rPr>
          <w:rFonts w:ascii="Cambria" w:hAnsi="Cambria" w:cstheme="minorHAnsi"/>
        </w:rPr>
        <w:t>Much of this decline can be attributed to reduced transitions into mortgaged homeownership by younger cohorts constrained by low</w:t>
      </w:r>
      <w:r w:rsidR="00063442">
        <w:rPr>
          <w:rFonts w:ascii="Cambria" w:hAnsi="Cambria" w:cstheme="minorHAnsi"/>
        </w:rPr>
        <w:t xml:space="preserve"> </w:t>
      </w:r>
      <w:r w:rsidR="000C63D5">
        <w:rPr>
          <w:rFonts w:ascii="Cambria" w:hAnsi="Cambria" w:cstheme="minorHAnsi"/>
        </w:rPr>
        <w:t>incomes</w:t>
      </w:r>
      <w:r w:rsidR="00E20E12">
        <w:rPr>
          <w:rFonts w:ascii="Cambria" w:hAnsi="Cambria" w:cstheme="minorHAnsi"/>
        </w:rPr>
        <w:t>, less stable life courses</w:t>
      </w:r>
      <w:r w:rsidR="000C63D5">
        <w:rPr>
          <w:rFonts w:ascii="Cambria" w:hAnsi="Cambria" w:cstheme="minorHAnsi"/>
        </w:rPr>
        <w:t xml:space="preserve"> and problems </w:t>
      </w:r>
      <w:r w:rsidR="00507657">
        <w:rPr>
          <w:rFonts w:ascii="Cambria" w:hAnsi="Cambria" w:cstheme="minorHAnsi"/>
        </w:rPr>
        <w:t xml:space="preserve">of housing affordability </w:t>
      </w:r>
      <w:r w:rsidR="000C63D5">
        <w:rPr>
          <w:rFonts w:ascii="Cambria" w:hAnsi="Cambria" w:cstheme="minorHAnsi"/>
        </w:rPr>
        <w:t xml:space="preserve">(Andrew, 2012). </w:t>
      </w:r>
      <w:r w:rsidR="005C01A0">
        <w:rPr>
          <w:rFonts w:ascii="Cambria" w:hAnsi="Cambria" w:cstheme="minorHAnsi"/>
        </w:rPr>
        <w:t>Similar patterns of deteriorating access have been observed in the United States, Australia and other</w:t>
      </w:r>
      <w:r w:rsidR="009D549A">
        <w:rPr>
          <w:rFonts w:ascii="Cambria" w:hAnsi="Cambria" w:cstheme="minorHAnsi"/>
        </w:rPr>
        <w:t xml:space="preserve"> European countries (Clark, 2019</w:t>
      </w:r>
      <w:r w:rsidR="005C01A0">
        <w:rPr>
          <w:rFonts w:ascii="Cambria" w:hAnsi="Cambria" w:cstheme="minorHAnsi"/>
        </w:rPr>
        <w:t>; Lennartz et al., 2016)</w:t>
      </w:r>
    </w:p>
    <w:p w14:paraId="09945950" w14:textId="60C011AD" w:rsidR="006C66C3" w:rsidRDefault="00067B86" w:rsidP="00B16720">
      <w:pPr>
        <w:spacing w:after="240" w:line="480" w:lineRule="auto"/>
        <w:rPr>
          <w:rFonts w:ascii="Cambria" w:hAnsi="Cambria" w:cstheme="minorHAnsi"/>
        </w:rPr>
      </w:pPr>
      <w:r>
        <w:rPr>
          <w:rFonts w:ascii="Cambria" w:hAnsi="Cambria" w:cstheme="minorHAnsi"/>
        </w:rPr>
        <w:t>Thus far</w:t>
      </w:r>
      <w:r w:rsidR="00BB479D">
        <w:rPr>
          <w:rFonts w:ascii="Cambria" w:hAnsi="Cambria" w:cstheme="minorHAnsi"/>
        </w:rPr>
        <w:t>,</w:t>
      </w:r>
      <w:r>
        <w:rPr>
          <w:rFonts w:ascii="Cambria" w:hAnsi="Cambria" w:cstheme="minorHAnsi"/>
        </w:rPr>
        <w:t xml:space="preserve"> the main policy response has been the UK Government’s collection of Help to Buy schemes designed to assist young people to overcome the deposit barriers that impede access to mortgages (Ronald et al., 2015).</w:t>
      </w:r>
      <w:r w:rsidR="009A5006">
        <w:rPr>
          <w:rFonts w:ascii="Cambria" w:hAnsi="Cambria" w:cstheme="minorHAnsi"/>
        </w:rPr>
        <w:t xml:space="preserve"> </w:t>
      </w:r>
      <w:r>
        <w:rPr>
          <w:rFonts w:ascii="Cambria" w:hAnsi="Cambria" w:cstheme="minorHAnsi"/>
        </w:rPr>
        <w:t xml:space="preserve">While </w:t>
      </w:r>
      <w:r w:rsidR="00F11064">
        <w:rPr>
          <w:rFonts w:ascii="Cambria" w:hAnsi="Cambria" w:cstheme="minorHAnsi"/>
        </w:rPr>
        <w:t>tens of thousands of</w:t>
      </w:r>
      <w:r>
        <w:rPr>
          <w:rFonts w:ascii="Cambria" w:hAnsi="Cambria" w:cstheme="minorHAnsi"/>
        </w:rPr>
        <w:t xml:space="preserve"> English first time buyers </w:t>
      </w:r>
      <w:r w:rsidR="00525722">
        <w:rPr>
          <w:rFonts w:ascii="Cambria" w:hAnsi="Cambria" w:cstheme="minorHAnsi"/>
        </w:rPr>
        <w:t>ha</w:t>
      </w:r>
      <w:r w:rsidR="00526481">
        <w:rPr>
          <w:rFonts w:ascii="Cambria" w:hAnsi="Cambria" w:cstheme="minorHAnsi"/>
        </w:rPr>
        <w:t>ve</w:t>
      </w:r>
      <w:r w:rsidR="00525722">
        <w:rPr>
          <w:rFonts w:ascii="Cambria" w:hAnsi="Cambria" w:cstheme="minorHAnsi"/>
        </w:rPr>
        <w:t xml:space="preserve"> </w:t>
      </w:r>
      <w:r>
        <w:rPr>
          <w:rFonts w:ascii="Cambria" w:hAnsi="Cambria" w:cstheme="minorHAnsi"/>
        </w:rPr>
        <w:t xml:space="preserve">benefited from Help to Buy mortgage guarantees </w:t>
      </w:r>
      <w:r w:rsidR="00F90949">
        <w:rPr>
          <w:rFonts w:ascii="Cambria" w:hAnsi="Cambria" w:cstheme="minorHAnsi"/>
        </w:rPr>
        <w:t xml:space="preserve">and </w:t>
      </w:r>
      <w:r>
        <w:rPr>
          <w:rFonts w:ascii="Cambria" w:hAnsi="Cambria" w:cstheme="minorHAnsi"/>
        </w:rPr>
        <w:t>equity loans</w:t>
      </w:r>
      <w:r w:rsidR="00F37CE2">
        <w:rPr>
          <w:rFonts w:ascii="Cambria" w:hAnsi="Cambria" w:cstheme="minorHAnsi"/>
        </w:rPr>
        <w:t xml:space="preserve"> since 2013</w:t>
      </w:r>
      <w:r w:rsidR="00BB479D">
        <w:rPr>
          <w:rFonts w:ascii="Cambria" w:hAnsi="Cambria" w:cstheme="minorHAnsi"/>
        </w:rPr>
        <w:t xml:space="preserve"> (HM Treasury, 2017; MHCLG, </w:t>
      </w:r>
      <w:r w:rsidR="00AB597B">
        <w:rPr>
          <w:rFonts w:ascii="Cambria" w:hAnsi="Cambria" w:cstheme="minorHAnsi"/>
        </w:rPr>
        <w:t>2018b</w:t>
      </w:r>
      <w:r w:rsidR="00BB479D">
        <w:rPr>
          <w:rFonts w:ascii="Cambria" w:hAnsi="Cambria" w:cstheme="minorHAnsi"/>
        </w:rPr>
        <w:t>)</w:t>
      </w:r>
      <w:r>
        <w:rPr>
          <w:rFonts w:ascii="Cambria" w:hAnsi="Cambria" w:cstheme="minorHAnsi"/>
        </w:rPr>
        <w:t xml:space="preserve">, </w:t>
      </w:r>
      <w:r w:rsidR="00C45AE2">
        <w:rPr>
          <w:rFonts w:ascii="Cambria" w:hAnsi="Cambria" w:cstheme="minorHAnsi"/>
        </w:rPr>
        <w:t xml:space="preserve">there is </w:t>
      </w:r>
      <w:r w:rsidR="004C1610">
        <w:rPr>
          <w:rFonts w:ascii="Cambria" w:hAnsi="Cambria" w:cstheme="minorHAnsi"/>
        </w:rPr>
        <w:t>much</w:t>
      </w:r>
      <w:r w:rsidR="00C45AE2">
        <w:rPr>
          <w:rFonts w:ascii="Cambria" w:hAnsi="Cambria" w:cstheme="minorHAnsi"/>
        </w:rPr>
        <w:t xml:space="preserve"> debate about the efficacy and social equity of the </w:t>
      </w:r>
      <w:r w:rsidR="00D25C24">
        <w:rPr>
          <w:rFonts w:ascii="Cambria" w:hAnsi="Cambria" w:cstheme="minorHAnsi"/>
        </w:rPr>
        <w:t xml:space="preserve">multibillion pound </w:t>
      </w:r>
      <w:r w:rsidR="00C45AE2">
        <w:rPr>
          <w:rFonts w:ascii="Cambria" w:hAnsi="Cambria" w:cstheme="minorHAnsi"/>
        </w:rPr>
        <w:t>scheme</w:t>
      </w:r>
      <w:r w:rsidR="0042712F">
        <w:rPr>
          <w:rFonts w:ascii="Cambria" w:hAnsi="Cambria" w:cstheme="minorHAnsi"/>
        </w:rPr>
        <w:t xml:space="preserve">. </w:t>
      </w:r>
      <w:r w:rsidR="00A125E0">
        <w:rPr>
          <w:rFonts w:ascii="Cambria" w:hAnsi="Cambria" w:cstheme="minorHAnsi"/>
        </w:rPr>
        <w:t>P</w:t>
      </w:r>
      <w:r w:rsidR="0042712F">
        <w:rPr>
          <w:rFonts w:ascii="Cambria" w:hAnsi="Cambria" w:cstheme="minorHAnsi"/>
        </w:rPr>
        <w:t>art of th</w:t>
      </w:r>
      <w:r w:rsidR="00A125E0">
        <w:rPr>
          <w:rFonts w:ascii="Cambria" w:hAnsi="Cambria" w:cstheme="minorHAnsi"/>
        </w:rPr>
        <w:t>is</w:t>
      </w:r>
      <w:r w:rsidR="0042712F">
        <w:rPr>
          <w:rFonts w:ascii="Cambria" w:hAnsi="Cambria" w:cstheme="minorHAnsi"/>
        </w:rPr>
        <w:t xml:space="preserve"> debate revolves around </w:t>
      </w:r>
      <w:r w:rsidR="00C45AE2">
        <w:rPr>
          <w:rFonts w:ascii="Cambria" w:hAnsi="Cambria" w:cstheme="minorHAnsi"/>
        </w:rPr>
        <w:t>whether recent cohorts of young adults will</w:t>
      </w:r>
      <w:r w:rsidR="00904F96">
        <w:rPr>
          <w:rFonts w:ascii="Cambria" w:hAnsi="Cambria" w:cstheme="minorHAnsi"/>
        </w:rPr>
        <w:t xml:space="preserve"> eventually</w:t>
      </w:r>
      <w:r w:rsidR="00C45AE2">
        <w:rPr>
          <w:rFonts w:ascii="Cambria" w:hAnsi="Cambria" w:cstheme="minorHAnsi"/>
        </w:rPr>
        <w:t xml:space="preserve"> ‘catch up’ with the </w:t>
      </w:r>
      <w:r w:rsidR="00AC1FEE">
        <w:rPr>
          <w:rFonts w:ascii="Cambria" w:hAnsi="Cambria" w:cstheme="minorHAnsi"/>
        </w:rPr>
        <w:t xml:space="preserve">higher </w:t>
      </w:r>
      <w:r w:rsidR="00C45AE2">
        <w:rPr>
          <w:rFonts w:ascii="Cambria" w:hAnsi="Cambria" w:cstheme="minorHAnsi"/>
        </w:rPr>
        <w:t xml:space="preserve">homeownership rates of their predecessors </w:t>
      </w:r>
      <w:r w:rsidR="00611F76">
        <w:rPr>
          <w:rFonts w:ascii="Cambria" w:hAnsi="Cambria" w:cstheme="minorHAnsi"/>
        </w:rPr>
        <w:t>as they age</w:t>
      </w:r>
      <w:r w:rsidR="00C45AE2">
        <w:rPr>
          <w:rFonts w:ascii="Cambria" w:hAnsi="Cambria" w:cstheme="minorHAnsi"/>
        </w:rPr>
        <w:t xml:space="preserve"> (</w:t>
      </w:r>
      <w:r w:rsidR="00694A6E">
        <w:rPr>
          <w:rFonts w:ascii="Cambria" w:hAnsi="Cambria" w:cstheme="minorHAnsi"/>
        </w:rPr>
        <w:t xml:space="preserve">Green, 2017; </w:t>
      </w:r>
      <w:r w:rsidR="00C45AE2">
        <w:rPr>
          <w:rFonts w:ascii="Cambria" w:hAnsi="Cambria" w:cstheme="minorHAnsi"/>
        </w:rPr>
        <w:t xml:space="preserve">Resolution Foundation, 2018). </w:t>
      </w:r>
    </w:p>
    <w:p w14:paraId="2EDA1FED" w14:textId="7883C955" w:rsidR="0042712F" w:rsidRDefault="0027462B" w:rsidP="00B16720">
      <w:pPr>
        <w:spacing w:after="240" w:line="480" w:lineRule="auto"/>
        <w:rPr>
          <w:rFonts w:ascii="Cambria" w:hAnsi="Cambria" w:cstheme="minorHAnsi"/>
        </w:rPr>
      </w:pPr>
      <w:r>
        <w:rPr>
          <w:rFonts w:ascii="Cambria" w:hAnsi="Cambria" w:cstheme="minorHAnsi"/>
        </w:rPr>
        <w:t>One problem with our understanding of young Britons’ tenure trends is that the prevailing reliance on Generation Rent</w:t>
      </w:r>
      <w:r w:rsidR="005F4931">
        <w:rPr>
          <w:rFonts w:ascii="Cambria" w:hAnsi="Cambria" w:cstheme="minorHAnsi"/>
        </w:rPr>
        <w:t xml:space="preserve"> narratives</w:t>
      </w:r>
      <w:r>
        <w:rPr>
          <w:rFonts w:ascii="Cambria" w:hAnsi="Cambria" w:cstheme="minorHAnsi"/>
        </w:rPr>
        <w:t xml:space="preserve"> </w:t>
      </w:r>
      <w:r w:rsidR="0042712F">
        <w:rPr>
          <w:rFonts w:ascii="Cambria" w:hAnsi="Cambria" w:cstheme="minorHAnsi"/>
        </w:rPr>
        <w:t>perpetuate</w:t>
      </w:r>
      <w:r w:rsidR="0093097A">
        <w:rPr>
          <w:rFonts w:ascii="Cambria" w:hAnsi="Cambria" w:cstheme="minorHAnsi"/>
        </w:rPr>
        <w:t>s</w:t>
      </w:r>
      <w:r w:rsidR="0042712F">
        <w:rPr>
          <w:rFonts w:ascii="Cambria" w:hAnsi="Cambria" w:cstheme="minorHAnsi"/>
        </w:rPr>
        <w:t xml:space="preserve"> an Anglocentric view of homeownership as the preferred and natural majority tenure</w:t>
      </w:r>
      <w:r w:rsidR="00192D1E">
        <w:rPr>
          <w:rFonts w:ascii="Cambria" w:hAnsi="Cambria" w:cstheme="minorHAnsi"/>
        </w:rPr>
        <w:t xml:space="preserve"> (Preece et al., 20</w:t>
      </w:r>
      <w:r w:rsidR="00AC5238">
        <w:rPr>
          <w:rFonts w:ascii="Cambria" w:hAnsi="Cambria" w:cstheme="minorHAnsi"/>
        </w:rPr>
        <w:t>20</w:t>
      </w:r>
      <w:r w:rsidR="00192D1E">
        <w:rPr>
          <w:rFonts w:ascii="Cambria" w:hAnsi="Cambria" w:cstheme="minorHAnsi"/>
        </w:rPr>
        <w:t>)</w:t>
      </w:r>
      <w:r w:rsidR="0042712F">
        <w:rPr>
          <w:rFonts w:ascii="Cambria" w:hAnsi="Cambria" w:cstheme="minorHAnsi"/>
        </w:rPr>
        <w:t xml:space="preserve">. This ignores alternative approaches and channels debate towards how to improve access to ownership at the expense of discussing other housing policies. These include the provision of more social housing </w:t>
      </w:r>
      <w:r w:rsidR="00B87801">
        <w:rPr>
          <w:rFonts w:ascii="Cambria" w:hAnsi="Cambria" w:cstheme="minorHAnsi"/>
        </w:rPr>
        <w:t>and</w:t>
      </w:r>
      <w:r w:rsidR="0042712F">
        <w:rPr>
          <w:rFonts w:ascii="Cambria" w:hAnsi="Cambria" w:cstheme="minorHAnsi"/>
        </w:rPr>
        <w:t xml:space="preserve"> ways to more equitably tax housing wealth and capital gains made from land and property price movements (Dorling, 2014; Murphy, 2018). Although the Westminster government has recently started to shift housing policy away from mostly promoting homeownership, the UK’s devolved administrations in Scotland and Wales have long been taking a more diverse approach; for example by terminating Right to Buy, investing in social housing and reforming private renting laws (McKee et al., 2017b; Moore, 2017). </w:t>
      </w:r>
    </w:p>
    <w:p w14:paraId="29B4B155" w14:textId="65C9EF26" w:rsidR="0042712F" w:rsidRPr="00245AFF" w:rsidRDefault="002F5722" w:rsidP="0042712F">
      <w:pPr>
        <w:spacing w:after="240" w:line="480" w:lineRule="auto"/>
        <w:rPr>
          <w:rFonts w:ascii="Cambria" w:hAnsi="Cambria" w:cstheme="minorHAnsi"/>
          <w:u w:val="single"/>
        </w:rPr>
      </w:pPr>
      <w:r>
        <w:rPr>
          <w:rFonts w:ascii="Cambria" w:hAnsi="Cambria" w:cstheme="minorHAnsi"/>
        </w:rPr>
        <w:t>The view that h</w:t>
      </w:r>
      <w:r w:rsidR="0042712F">
        <w:rPr>
          <w:rFonts w:ascii="Cambria" w:hAnsi="Cambria" w:cstheme="minorHAnsi"/>
        </w:rPr>
        <w:t xml:space="preserve">omeownership </w:t>
      </w:r>
      <w:r>
        <w:rPr>
          <w:rFonts w:ascii="Cambria" w:hAnsi="Cambria" w:cstheme="minorHAnsi"/>
        </w:rPr>
        <w:t>i</w:t>
      </w:r>
      <w:r w:rsidR="0042712F">
        <w:rPr>
          <w:rFonts w:ascii="Cambria" w:hAnsi="Cambria" w:cstheme="minorHAnsi"/>
        </w:rPr>
        <w:t>s the preferred</w:t>
      </w:r>
      <w:r w:rsidR="00753AE2">
        <w:rPr>
          <w:rFonts w:ascii="Cambria" w:hAnsi="Cambria" w:cstheme="minorHAnsi"/>
        </w:rPr>
        <w:t>,</w:t>
      </w:r>
      <w:r w:rsidR="0042712F">
        <w:rPr>
          <w:rFonts w:ascii="Cambria" w:hAnsi="Cambria" w:cstheme="minorHAnsi"/>
        </w:rPr>
        <w:t xml:space="preserve"> </w:t>
      </w:r>
      <w:r w:rsidR="00455B00">
        <w:rPr>
          <w:rFonts w:ascii="Cambria" w:hAnsi="Cambria" w:cstheme="minorHAnsi"/>
        </w:rPr>
        <w:t xml:space="preserve">natural </w:t>
      </w:r>
      <w:r w:rsidR="00D5125B">
        <w:rPr>
          <w:rFonts w:ascii="Cambria" w:hAnsi="Cambria" w:cstheme="minorHAnsi"/>
        </w:rPr>
        <w:t>housing</w:t>
      </w:r>
      <w:r w:rsidR="0042712F">
        <w:rPr>
          <w:rFonts w:ascii="Cambria" w:hAnsi="Cambria" w:cstheme="minorHAnsi"/>
        </w:rPr>
        <w:t xml:space="preserve"> destination for m</w:t>
      </w:r>
      <w:r w:rsidR="00046B82">
        <w:rPr>
          <w:rFonts w:ascii="Cambria" w:hAnsi="Cambria" w:cstheme="minorHAnsi"/>
        </w:rPr>
        <w:t>ost</w:t>
      </w:r>
      <w:r w:rsidR="00D5125B">
        <w:rPr>
          <w:rFonts w:ascii="Cambria" w:hAnsi="Cambria" w:cstheme="minorHAnsi"/>
        </w:rPr>
        <w:t xml:space="preserve"> people</w:t>
      </w:r>
      <w:r w:rsidR="0042712F">
        <w:rPr>
          <w:rFonts w:ascii="Cambria" w:hAnsi="Cambria" w:cstheme="minorHAnsi"/>
        </w:rPr>
        <w:t xml:space="preserve"> is rooted in </w:t>
      </w:r>
      <w:r w:rsidR="00CA638D">
        <w:rPr>
          <w:rFonts w:ascii="Cambria" w:hAnsi="Cambria" w:cstheme="minorHAnsi"/>
        </w:rPr>
        <w:t>traditional</w:t>
      </w:r>
      <w:r w:rsidR="0042712F">
        <w:rPr>
          <w:rFonts w:ascii="Cambria" w:hAnsi="Cambria" w:cstheme="minorHAnsi"/>
        </w:rPr>
        <w:t xml:space="preserve"> </w:t>
      </w:r>
      <w:r w:rsidR="0042712F" w:rsidRPr="004C3DA3">
        <w:rPr>
          <w:rFonts w:ascii="Cambria" w:hAnsi="Cambria" w:cstheme="minorHAnsi"/>
          <w:i/>
          <w:iCs/>
        </w:rPr>
        <w:t>housing careers</w:t>
      </w:r>
      <w:r w:rsidR="0042712F">
        <w:rPr>
          <w:rFonts w:ascii="Cambria" w:hAnsi="Cambria" w:cstheme="minorHAnsi"/>
        </w:rPr>
        <w:t xml:space="preserve"> approach</w:t>
      </w:r>
      <w:r w:rsidR="00601EA5">
        <w:rPr>
          <w:rFonts w:ascii="Cambria" w:hAnsi="Cambria" w:cstheme="minorHAnsi"/>
        </w:rPr>
        <w:t>es</w:t>
      </w:r>
      <w:r w:rsidR="0042712F">
        <w:rPr>
          <w:rFonts w:ascii="Cambria" w:hAnsi="Cambria" w:cstheme="minorHAnsi"/>
        </w:rPr>
        <w:t xml:space="preserve"> and it requires further examination. T</w:t>
      </w:r>
      <w:r w:rsidR="00584304">
        <w:rPr>
          <w:rFonts w:ascii="Cambria" w:hAnsi="Cambria" w:cstheme="minorHAnsi"/>
        </w:rPr>
        <w:t>raditional housing careers</w:t>
      </w:r>
      <w:r w:rsidR="0042712F">
        <w:rPr>
          <w:rFonts w:ascii="Cambria" w:hAnsi="Cambria" w:cstheme="minorHAnsi"/>
        </w:rPr>
        <w:t xml:space="preserve"> framework</w:t>
      </w:r>
      <w:r w:rsidR="00584304">
        <w:rPr>
          <w:rFonts w:ascii="Cambria" w:hAnsi="Cambria" w:cstheme="minorHAnsi"/>
        </w:rPr>
        <w:t>s</w:t>
      </w:r>
      <w:r w:rsidR="0042712F">
        <w:rPr>
          <w:rFonts w:ascii="Cambria" w:hAnsi="Cambria" w:cstheme="minorHAnsi"/>
        </w:rPr>
        <w:t xml:space="preserve"> regard</w:t>
      </w:r>
      <w:r w:rsidR="00FA1E83">
        <w:rPr>
          <w:rFonts w:ascii="Cambria" w:hAnsi="Cambria" w:cstheme="minorHAnsi"/>
        </w:rPr>
        <w:t>ed</w:t>
      </w:r>
      <w:r w:rsidR="00584304">
        <w:rPr>
          <w:rFonts w:ascii="Cambria" w:hAnsi="Cambria" w:cstheme="minorHAnsi"/>
        </w:rPr>
        <w:t xml:space="preserve"> </w:t>
      </w:r>
      <w:r w:rsidR="0042712F">
        <w:rPr>
          <w:rFonts w:ascii="Cambria" w:hAnsi="Cambria" w:cstheme="minorHAnsi"/>
        </w:rPr>
        <w:t xml:space="preserve">housing </w:t>
      </w:r>
      <w:r w:rsidR="00584304">
        <w:rPr>
          <w:rFonts w:ascii="Cambria" w:hAnsi="Cambria" w:cstheme="minorHAnsi"/>
        </w:rPr>
        <w:t xml:space="preserve">experiences </w:t>
      </w:r>
      <w:r w:rsidR="0042712F">
        <w:rPr>
          <w:rFonts w:ascii="Cambria" w:hAnsi="Cambria" w:cstheme="minorHAnsi"/>
        </w:rPr>
        <w:t xml:space="preserve">as a linear </w:t>
      </w:r>
      <w:r w:rsidR="000C33F6">
        <w:rPr>
          <w:rFonts w:ascii="Cambria" w:hAnsi="Cambria" w:cstheme="minorHAnsi"/>
        </w:rPr>
        <w:t xml:space="preserve">upward </w:t>
      </w:r>
      <w:r w:rsidR="0042712F">
        <w:rPr>
          <w:rFonts w:ascii="Cambria" w:hAnsi="Cambria" w:cstheme="minorHAnsi"/>
        </w:rPr>
        <w:t>progression</w:t>
      </w:r>
      <w:r w:rsidR="000C33F6">
        <w:rPr>
          <w:rFonts w:ascii="Cambria" w:hAnsi="Cambria" w:cstheme="minorHAnsi"/>
        </w:rPr>
        <w:t xml:space="preserve">, </w:t>
      </w:r>
      <w:r w:rsidR="0042712F">
        <w:rPr>
          <w:rFonts w:ascii="Cambria" w:hAnsi="Cambria" w:cstheme="minorHAnsi"/>
        </w:rPr>
        <w:t>ignor</w:t>
      </w:r>
      <w:r w:rsidR="00055D5F">
        <w:rPr>
          <w:rFonts w:ascii="Cambria" w:hAnsi="Cambria" w:cstheme="minorHAnsi"/>
        </w:rPr>
        <w:t>ing</w:t>
      </w:r>
      <w:r w:rsidR="0042712F">
        <w:rPr>
          <w:rFonts w:ascii="Cambria" w:hAnsi="Cambria" w:cstheme="minorHAnsi"/>
        </w:rPr>
        <w:t xml:space="preserve"> diversity in the preferences and meanings that people attach to housing</w:t>
      </w:r>
      <w:r w:rsidR="00DB366C">
        <w:rPr>
          <w:rFonts w:ascii="Cambria" w:hAnsi="Cambria" w:cstheme="minorHAnsi"/>
        </w:rPr>
        <w:t xml:space="preserve"> (Clapham, 2002)</w:t>
      </w:r>
      <w:r w:rsidR="0042712F">
        <w:rPr>
          <w:rFonts w:ascii="Cambria" w:hAnsi="Cambria" w:cstheme="minorHAnsi"/>
        </w:rPr>
        <w:t xml:space="preserve">. </w:t>
      </w:r>
      <w:r w:rsidR="0061018A">
        <w:rPr>
          <w:rFonts w:ascii="Cambria" w:hAnsi="Cambria" w:cstheme="minorHAnsi"/>
        </w:rPr>
        <w:t>However, more</w:t>
      </w:r>
      <w:r w:rsidR="0042712F">
        <w:rPr>
          <w:rFonts w:ascii="Cambria" w:hAnsi="Cambria" w:cstheme="minorHAnsi"/>
        </w:rPr>
        <w:t xml:space="preserve"> recently researchers </w:t>
      </w:r>
      <w:r w:rsidR="00EA62F1">
        <w:rPr>
          <w:rFonts w:ascii="Cambria" w:hAnsi="Cambria" w:cstheme="minorHAnsi"/>
        </w:rPr>
        <w:t xml:space="preserve">have </w:t>
      </w:r>
      <w:r w:rsidR="0042712F">
        <w:rPr>
          <w:rFonts w:ascii="Cambria" w:hAnsi="Cambria" w:cstheme="minorHAnsi"/>
        </w:rPr>
        <w:t xml:space="preserve">recognised the role of </w:t>
      </w:r>
      <w:r w:rsidR="00EA62F1">
        <w:rPr>
          <w:rFonts w:ascii="Cambria" w:hAnsi="Cambria" w:cstheme="minorHAnsi"/>
        </w:rPr>
        <w:t xml:space="preserve">the </w:t>
      </w:r>
      <w:r w:rsidR="00501370">
        <w:rPr>
          <w:rFonts w:ascii="Cambria" w:hAnsi="Cambria" w:cstheme="minorHAnsi"/>
        </w:rPr>
        <w:t xml:space="preserve">complex </w:t>
      </w:r>
      <w:r w:rsidR="0042712F">
        <w:rPr>
          <w:rFonts w:ascii="Cambria" w:hAnsi="Cambria" w:cstheme="minorHAnsi"/>
        </w:rPr>
        <w:t>meanings people attach to housing and their preferences and life-style choices</w:t>
      </w:r>
      <w:r w:rsidR="00AC5238">
        <w:rPr>
          <w:rFonts w:ascii="Cambria" w:hAnsi="Cambria" w:cstheme="minorHAnsi"/>
        </w:rPr>
        <w:t xml:space="preserve"> (Preece et al., 2020</w:t>
      </w:r>
      <w:r w:rsidR="009D4454">
        <w:rPr>
          <w:rFonts w:ascii="Cambria" w:hAnsi="Cambria" w:cstheme="minorHAnsi"/>
        </w:rPr>
        <w:t>)</w:t>
      </w:r>
      <w:r w:rsidR="0042712F">
        <w:rPr>
          <w:rFonts w:ascii="Cambria" w:hAnsi="Cambria" w:cstheme="minorHAnsi"/>
        </w:rPr>
        <w:t>. A culture of homeownership appears to be</w:t>
      </w:r>
      <w:r w:rsidR="00266E5F">
        <w:rPr>
          <w:rFonts w:ascii="Cambria" w:hAnsi="Cambria" w:cstheme="minorHAnsi"/>
        </w:rPr>
        <w:t xml:space="preserve"> a</w:t>
      </w:r>
      <w:r w:rsidR="0042712F">
        <w:rPr>
          <w:rFonts w:ascii="Cambria" w:hAnsi="Cambria" w:cstheme="minorHAnsi"/>
        </w:rPr>
        <w:t xml:space="preserve"> given in UK housing debate</w:t>
      </w:r>
      <w:r w:rsidR="00395665">
        <w:rPr>
          <w:rFonts w:ascii="Cambria" w:hAnsi="Cambria" w:cstheme="minorHAnsi"/>
        </w:rPr>
        <w:t>s</w:t>
      </w:r>
      <w:r w:rsidR="0042712F">
        <w:rPr>
          <w:rFonts w:ascii="Cambria" w:hAnsi="Cambria" w:cstheme="minorHAnsi"/>
        </w:rPr>
        <w:t>, but in fact some European countries such as Germany have a long tradition of private rent</w:t>
      </w:r>
      <w:r w:rsidR="0039030E">
        <w:rPr>
          <w:rFonts w:ascii="Cambria" w:hAnsi="Cambria" w:cstheme="minorHAnsi"/>
        </w:rPr>
        <w:t>ing</w:t>
      </w:r>
      <w:r w:rsidR="0042712F">
        <w:rPr>
          <w:rFonts w:ascii="Cambria" w:hAnsi="Cambria" w:cstheme="minorHAnsi"/>
        </w:rPr>
        <w:t xml:space="preserve"> over the life-course (Scanlon et al., 2014). It is</w:t>
      </w:r>
      <w:r w:rsidR="00D05909">
        <w:rPr>
          <w:rFonts w:ascii="Cambria" w:hAnsi="Cambria" w:cstheme="minorHAnsi"/>
        </w:rPr>
        <w:t xml:space="preserve"> thus</w:t>
      </w:r>
      <w:r w:rsidR="0042712F">
        <w:rPr>
          <w:rFonts w:ascii="Cambria" w:hAnsi="Cambria" w:cstheme="minorHAnsi"/>
        </w:rPr>
        <w:t xml:space="preserve"> important to recognise the differences in the attitudes and meanings of housing across different </w:t>
      </w:r>
      <w:r w:rsidR="00736CC2">
        <w:rPr>
          <w:rFonts w:ascii="Cambria" w:hAnsi="Cambria" w:cstheme="minorHAnsi"/>
        </w:rPr>
        <w:t xml:space="preserve">institutional </w:t>
      </w:r>
      <w:r w:rsidR="0042712F">
        <w:rPr>
          <w:rFonts w:ascii="Cambria" w:hAnsi="Cambria" w:cstheme="minorHAnsi"/>
        </w:rPr>
        <w:t>context</w:t>
      </w:r>
      <w:r w:rsidR="00736CC2">
        <w:rPr>
          <w:rFonts w:ascii="Cambria" w:hAnsi="Cambria" w:cstheme="minorHAnsi"/>
        </w:rPr>
        <w:t>s</w:t>
      </w:r>
      <w:r w:rsidR="00B47BD5">
        <w:rPr>
          <w:rFonts w:ascii="Cambria" w:hAnsi="Cambria" w:cstheme="minorHAnsi"/>
        </w:rPr>
        <w:t>,</w:t>
      </w:r>
      <w:r w:rsidR="0042712F">
        <w:rPr>
          <w:rFonts w:ascii="Cambria" w:hAnsi="Cambria" w:cstheme="minorHAnsi"/>
        </w:rPr>
        <w:t xml:space="preserve"> as well as across individuals from different </w:t>
      </w:r>
      <w:r w:rsidR="00ED0448">
        <w:rPr>
          <w:rFonts w:ascii="Cambria" w:hAnsi="Cambria" w:cstheme="minorHAnsi"/>
        </w:rPr>
        <w:t xml:space="preserve">social </w:t>
      </w:r>
      <w:r w:rsidR="0042712F">
        <w:rPr>
          <w:rFonts w:ascii="Cambria" w:hAnsi="Cambria" w:cstheme="minorHAnsi"/>
        </w:rPr>
        <w:t xml:space="preserve">groups. </w:t>
      </w:r>
    </w:p>
    <w:p w14:paraId="28B1025F" w14:textId="0EE87C18" w:rsidR="0042712F" w:rsidRDefault="0042712F" w:rsidP="0042712F">
      <w:pPr>
        <w:spacing w:after="240" w:line="480" w:lineRule="auto"/>
        <w:rPr>
          <w:rFonts w:ascii="Cambria" w:hAnsi="Cambria" w:cstheme="minorHAnsi"/>
        </w:rPr>
      </w:pPr>
      <w:r>
        <w:rPr>
          <w:rFonts w:ascii="Cambria" w:hAnsi="Cambria" w:cstheme="minorHAnsi"/>
        </w:rPr>
        <w:t xml:space="preserve">Another issue with the current debate is that conceptual fuzziness of the Generation Rent </w:t>
      </w:r>
      <w:r w:rsidR="002108F2">
        <w:rPr>
          <w:rFonts w:ascii="Cambria" w:hAnsi="Cambria" w:cstheme="minorHAnsi"/>
        </w:rPr>
        <w:t>concept</w:t>
      </w:r>
      <w:r>
        <w:rPr>
          <w:rFonts w:ascii="Cambria" w:hAnsi="Cambria" w:cstheme="minorHAnsi"/>
        </w:rPr>
        <w:t xml:space="preserve"> makes it difficult to agree on how different generations should be distinguished. Mannheim’s classic thesis that generations are defined by the shared ideologies, attitudes and beliefs that emerge from their historically anchored formative experiences is much less amenable to measurement than the related demographic concept of birth cohorts (Scott, 2000). </w:t>
      </w:r>
      <w:r w:rsidRPr="00C14666">
        <w:rPr>
          <w:rFonts w:ascii="Cambria" w:hAnsi="Cambria" w:cstheme="minorHAnsi"/>
        </w:rPr>
        <w:t xml:space="preserve">There is </w:t>
      </w:r>
      <w:r>
        <w:rPr>
          <w:rFonts w:ascii="Cambria" w:hAnsi="Cambria" w:cstheme="minorHAnsi"/>
        </w:rPr>
        <w:t>currently</w:t>
      </w:r>
      <w:r w:rsidRPr="00C14666">
        <w:rPr>
          <w:rFonts w:ascii="Cambria" w:hAnsi="Cambria" w:cstheme="minorHAnsi"/>
        </w:rPr>
        <w:t xml:space="preserve"> little agreement about whether the housing difficulties of contemporary young adults represent the ‘one-off’ cohort effect posited by David Willetts in </w:t>
      </w:r>
      <w:r w:rsidRPr="003428BB">
        <w:rPr>
          <w:rFonts w:ascii="Cambria" w:hAnsi="Cambria" w:cstheme="minorHAnsi"/>
          <w:i/>
        </w:rPr>
        <w:t>The Pinch</w:t>
      </w:r>
      <w:r w:rsidRPr="00C14666">
        <w:rPr>
          <w:rFonts w:ascii="Cambria" w:hAnsi="Cambria" w:cstheme="minorHAnsi"/>
        </w:rPr>
        <w:t xml:space="preserve"> (2011), or whether they represent a leading edge on a new structural dynamic of progressively accelerating intergenerational inequality (Green, 2017). Assessing the merits of these perspectives will require using long periods of longitudinal data</w:t>
      </w:r>
      <w:r w:rsidR="005330EC">
        <w:rPr>
          <w:rFonts w:ascii="Cambria" w:hAnsi="Cambria" w:cstheme="minorHAnsi"/>
        </w:rPr>
        <w:t xml:space="preserve"> —perhaps collated from the UK’s long-running birth cohort studies </w:t>
      </w:r>
      <w:r w:rsidR="009B0C23">
        <w:rPr>
          <w:rFonts w:ascii="Cambria" w:hAnsi="Cambria" w:cstheme="minorHAnsi"/>
        </w:rPr>
        <w:t xml:space="preserve">(CLOSER, 2019) </w:t>
      </w:r>
      <w:r w:rsidR="005330EC">
        <w:rPr>
          <w:rFonts w:ascii="Cambria" w:hAnsi="Cambria" w:cstheme="minorHAnsi"/>
        </w:rPr>
        <w:t>—</w:t>
      </w:r>
      <w:r w:rsidRPr="00C14666">
        <w:rPr>
          <w:rFonts w:ascii="Cambria" w:hAnsi="Cambria" w:cstheme="minorHAnsi"/>
        </w:rPr>
        <w:t xml:space="preserve"> to compare the housing trajectories of different cohorts as their life courses unfold.</w:t>
      </w:r>
    </w:p>
    <w:p w14:paraId="3C402175" w14:textId="2E1F75FE" w:rsidR="0010475F" w:rsidRDefault="0042712F" w:rsidP="00B16720">
      <w:pPr>
        <w:spacing w:after="240" w:line="480" w:lineRule="auto"/>
        <w:rPr>
          <w:rFonts w:ascii="Cambria" w:hAnsi="Cambria" w:cstheme="minorHAnsi"/>
        </w:rPr>
      </w:pPr>
      <w:r>
        <w:rPr>
          <w:rFonts w:ascii="Cambria" w:hAnsi="Cambria" w:cstheme="minorHAnsi"/>
        </w:rPr>
        <w:t xml:space="preserve">Perhaps the most important shortcoming of the Generation Rent debate is that it ignores how intra-generational housing disparities </w:t>
      </w:r>
      <w:r w:rsidRPr="00287EC3">
        <w:rPr>
          <w:rFonts w:ascii="Cambria" w:hAnsi="Cambria" w:cstheme="minorHAnsi"/>
        </w:rPr>
        <w:t xml:space="preserve">between young people </w:t>
      </w:r>
      <w:r>
        <w:rPr>
          <w:rFonts w:ascii="Cambria" w:hAnsi="Cambria" w:cstheme="minorHAnsi"/>
        </w:rPr>
        <w:t xml:space="preserve">are </w:t>
      </w:r>
      <w:r w:rsidR="00F905BD">
        <w:rPr>
          <w:rFonts w:ascii="Cambria" w:hAnsi="Cambria" w:cstheme="minorHAnsi"/>
        </w:rPr>
        <w:t>deepening</w:t>
      </w:r>
      <w:r>
        <w:rPr>
          <w:rFonts w:ascii="Cambria" w:hAnsi="Cambria" w:cstheme="minorHAnsi"/>
        </w:rPr>
        <w:t xml:space="preserve"> at the same time as inequalities between cohorts (McKee, 2012). As a response to this, r</w:t>
      </w:r>
      <w:r w:rsidR="008A3E16" w:rsidRPr="008A3E16">
        <w:rPr>
          <w:rFonts w:ascii="Cambria" w:hAnsi="Cambria" w:cstheme="minorHAnsi"/>
        </w:rPr>
        <w:t xml:space="preserve">esearchers </w:t>
      </w:r>
      <w:r w:rsidR="00AB6C01">
        <w:rPr>
          <w:rFonts w:ascii="Cambria" w:hAnsi="Cambria" w:cstheme="minorHAnsi"/>
        </w:rPr>
        <w:t xml:space="preserve">are increasingly </w:t>
      </w:r>
      <w:r w:rsidR="009160F2">
        <w:rPr>
          <w:rFonts w:ascii="Cambria" w:hAnsi="Cambria" w:cstheme="minorHAnsi"/>
        </w:rPr>
        <w:t>using</w:t>
      </w:r>
      <w:r w:rsidR="00AB6C01">
        <w:rPr>
          <w:rFonts w:ascii="Cambria" w:hAnsi="Cambria" w:cstheme="minorHAnsi"/>
        </w:rPr>
        <w:t xml:space="preserve"> life course perspectives and longitudinal data to examine how the aggregate decline of young adult homeownership is being accompanied by growing tenure disparities between young people</w:t>
      </w:r>
      <w:r w:rsidR="008A3E16">
        <w:rPr>
          <w:rFonts w:ascii="Cambria" w:hAnsi="Cambria" w:cstheme="minorHAnsi"/>
        </w:rPr>
        <w:t xml:space="preserve">. </w:t>
      </w:r>
      <w:r w:rsidR="00190ADD">
        <w:rPr>
          <w:rFonts w:ascii="Cambria" w:hAnsi="Cambria" w:cstheme="minorHAnsi"/>
        </w:rPr>
        <w:t xml:space="preserve">Given that many governments </w:t>
      </w:r>
      <w:r w:rsidR="00B7507C">
        <w:rPr>
          <w:rFonts w:ascii="Cambria" w:hAnsi="Cambria" w:cstheme="minorHAnsi"/>
        </w:rPr>
        <w:t>profess</w:t>
      </w:r>
      <w:r w:rsidR="00190ADD">
        <w:rPr>
          <w:rFonts w:ascii="Cambria" w:hAnsi="Cambria" w:cstheme="minorHAnsi"/>
        </w:rPr>
        <w:t xml:space="preserve"> a commitment to social mobility, much of this work </w:t>
      </w:r>
      <w:r w:rsidR="00F42CA2">
        <w:rPr>
          <w:rFonts w:ascii="Cambria" w:hAnsi="Cambria" w:cstheme="minorHAnsi"/>
        </w:rPr>
        <w:t xml:space="preserve">assesses </w:t>
      </w:r>
      <w:r w:rsidR="0048603D">
        <w:rPr>
          <w:rFonts w:ascii="Cambria" w:hAnsi="Cambria" w:cstheme="minorHAnsi"/>
        </w:rPr>
        <w:t>whether</w:t>
      </w:r>
      <w:r w:rsidR="00190ADD">
        <w:rPr>
          <w:rFonts w:ascii="Cambria" w:hAnsi="Cambria" w:cstheme="minorHAnsi"/>
        </w:rPr>
        <w:t xml:space="preserve"> young adults’ housing careers are shaped by the intergenerationally ‘linked lives’ of their parents.</w:t>
      </w:r>
      <w:r w:rsidR="0010475F">
        <w:rPr>
          <w:rFonts w:ascii="Cambria" w:hAnsi="Cambria" w:cstheme="minorHAnsi"/>
        </w:rPr>
        <w:t xml:space="preserve"> This involves using longitudinal datasets to model how parental background </w:t>
      </w:r>
      <w:r w:rsidR="00DC5C45">
        <w:rPr>
          <w:rFonts w:ascii="Cambria" w:hAnsi="Cambria" w:cstheme="minorHAnsi"/>
        </w:rPr>
        <w:t>measures</w:t>
      </w:r>
      <w:r w:rsidR="0010475F">
        <w:rPr>
          <w:rFonts w:ascii="Cambria" w:hAnsi="Cambria" w:cstheme="minorHAnsi"/>
        </w:rPr>
        <w:t xml:space="preserve"> like</w:t>
      </w:r>
      <w:r w:rsidR="003A4EB7">
        <w:rPr>
          <w:rFonts w:ascii="Cambria" w:hAnsi="Cambria" w:cstheme="minorHAnsi"/>
        </w:rPr>
        <w:t xml:space="preserve"> </w:t>
      </w:r>
      <w:r w:rsidR="0010475F">
        <w:rPr>
          <w:rFonts w:ascii="Cambria" w:hAnsi="Cambria" w:cstheme="minorHAnsi"/>
        </w:rPr>
        <w:t>edu</w:t>
      </w:r>
      <w:r w:rsidR="00E24C41">
        <w:rPr>
          <w:rFonts w:ascii="Cambria" w:hAnsi="Cambria" w:cstheme="minorHAnsi"/>
        </w:rPr>
        <w:t xml:space="preserve">cational attainments, social class </w:t>
      </w:r>
      <w:r w:rsidR="0010475F">
        <w:rPr>
          <w:rFonts w:ascii="Cambria" w:hAnsi="Cambria" w:cstheme="minorHAnsi"/>
        </w:rPr>
        <w:t xml:space="preserve">and tenure are </w:t>
      </w:r>
      <w:r w:rsidR="00063442">
        <w:rPr>
          <w:rFonts w:ascii="Cambria" w:hAnsi="Cambria" w:cstheme="minorHAnsi"/>
        </w:rPr>
        <w:t>associate</w:t>
      </w:r>
      <w:r w:rsidR="0010475F">
        <w:rPr>
          <w:rFonts w:ascii="Cambria" w:hAnsi="Cambria" w:cstheme="minorHAnsi"/>
        </w:rPr>
        <w:t xml:space="preserve">d with young adults’ </w:t>
      </w:r>
      <w:r w:rsidR="00EF12E7">
        <w:rPr>
          <w:rFonts w:ascii="Cambria" w:hAnsi="Cambria" w:cstheme="minorHAnsi"/>
        </w:rPr>
        <w:t xml:space="preserve">subsequent patterns of </w:t>
      </w:r>
      <w:r w:rsidR="0010475F">
        <w:rPr>
          <w:rFonts w:ascii="Cambria" w:hAnsi="Cambria" w:cstheme="minorHAnsi"/>
        </w:rPr>
        <w:t>transition into homeownership (Bayrakdar et al., 201</w:t>
      </w:r>
      <w:r w:rsidR="001E4AC3">
        <w:rPr>
          <w:rFonts w:ascii="Cambria" w:hAnsi="Cambria" w:cstheme="minorHAnsi"/>
        </w:rPr>
        <w:t>9</w:t>
      </w:r>
      <w:r w:rsidR="0010475F">
        <w:rPr>
          <w:rFonts w:ascii="Cambria" w:hAnsi="Cambria" w:cstheme="minorHAnsi"/>
        </w:rPr>
        <w:t xml:space="preserve">). For instance, </w:t>
      </w:r>
      <w:r w:rsidR="00E0474F">
        <w:rPr>
          <w:rFonts w:ascii="Cambria" w:hAnsi="Cambria" w:cstheme="minorHAnsi"/>
        </w:rPr>
        <w:t>Mulder and colleagues (2015) show</w:t>
      </w:r>
      <w:r w:rsidR="00095EEF">
        <w:rPr>
          <w:rFonts w:ascii="Cambria" w:hAnsi="Cambria" w:cstheme="minorHAnsi"/>
        </w:rPr>
        <w:t>ed</w:t>
      </w:r>
      <w:r w:rsidR="00E0474F">
        <w:rPr>
          <w:rFonts w:ascii="Cambria" w:hAnsi="Cambria" w:cstheme="minorHAnsi"/>
        </w:rPr>
        <w:t xml:space="preserve"> that in m</w:t>
      </w:r>
      <w:r w:rsidR="00564002">
        <w:rPr>
          <w:rFonts w:ascii="Cambria" w:hAnsi="Cambria" w:cstheme="minorHAnsi"/>
        </w:rPr>
        <w:t>any</w:t>
      </w:r>
      <w:r w:rsidR="00E0474F">
        <w:rPr>
          <w:rFonts w:ascii="Cambria" w:hAnsi="Cambria" w:cstheme="minorHAnsi"/>
        </w:rPr>
        <w:t xml:space="preserve"> </w:t>
      </w:r>
      <w:r w:rsidR="00095EEF">
        <w:rPr>
          <w:rFonts w:ascii="Cambria" w:hAnsi="Cambria" w:cstheme="minorHAnsi"/>
        </w:rPr>
        <w:t xml:space="preserve">European </w:t>
      </w:r>
      <w:r w:rsidR="00E0474F">
        <w:rPr>
          <w:rFonts w:ascii="Cambria" w:hAnsi="Cambria" w:cstheme="minorHAnsi"/>
        </w:rPr>
        <w:t xml:space="preserve">countries children are </w:t>
      </w:r>
      <w:r w:rsidR="00A84D7D">
        <w:rPr>
          <w:rFonts w:ascii="Cambria" w:hAnsi="Cambria" w:cstheme="minorHAnsi"/>
          <w:i/>
        </w:rPr>
        <w:t xml:space="preserve">ceteris paribus </w:t>
      </w:r>
      <w:r w:rsidR="00B02776">
        <w:rPr>
          <w:rFonts w:ascii="Cambria" w:hAnsi="Cambria" w:cstheme="minorHAnsi"/>
        </w:rPr>
        <w:t>more</w:t>
      </w:r>
      <w:r w:rsidR="00E0474F">
        <w:rPr>
          <w:rFonts w:ascii="Cambria" w:hAnsi="Cambria" w:cstheme="minorHAnsi"/>
        </w:rPr>
        <w:t xml:space="preserve"> prone to enter homeownership if their pa</w:t>
      </w:r>
      <w:r w:rsidR="00AD5375">
        <w:rPr>
          <w:rFonts w:ascii="Cambria" w:hAnsi="Cambria" w:cstheme="minorHAnsi"/>
        </w:rPr>
        <w:t>rents own rather than rent</w:t>
      </w:r>
      <w:r w:rsidR="00E0474F">
        <w:rPr>
          <w:rFonts w:ascii="Cambria" w:hAnsi="Cambria" w:cstheme="minorHAnsi"/>
        </w:rPr>
        <w:t xml:space="preserve"> their dwelling. </w:t>
      </w:r>
      <w:r w:rsidR="00D452AE">
        <w:rPr>
          <w:rFonts w:ascii="Cambria" w:hAnsi="Cambria" w:cstheme="minorHAnsi"/>
        </w:rPr>
        <w:t>Sequentially ad</w:t>
      </w:r>
      <w:r w:rsidR="00EF12E7">
        <w:rPr>
          <w:rFonts w:ascii="Cambria" w:hAnsi="Cambria" w:cstheme="minorHAnsi"/>
        </w:rPr>
        <w:t>ding time-varying individual</w:t>
      </w:r>
      <w:r w:rsidR="002826F6">
        <w:rPr>
          <w:rFonts w:ascii="Cambria" w:hAnsi="Cambria" w:cstheme="minorHAnsi"/>
        </w:rPr>
        <w:t xml:space="preserve"> variables</w:t>
      </w:r>
      <w:r w:rsidR="00EF12E7">
        <w:rPr>
          <w:rFonts w:ascii="Cambria" w:hAnsi="Cambria" w:cstheme="minorHAnsi"/>
        </w:rPr>
        <w:t xml:space="preserve"> to </w:t>
      </w:r>
      <w:r w:rsidR="00A176DD">
        <w:rPr>
          <w:rFonts w:ascii="Cambria" w:hAnsi="Cambria" w:cstheme="minorHAnsi"/>
        </w:rPr>
        <w:t xml:space="preserve">these types of </w:t>
      </w:r>
      <w:r w:rsidR="00EF12E7">
        <w:rPr>
          <w:rFonts w:ascii="Cambria" w:hAnsi="Cambria" w:cstheme="minorHAnsi"/>
        </w:rPr>
        <w:t xml:space="preserve">event history models </w:t>
      </w:r>
      <w:r w:rsidR="00C179AC">
        <w:rPr>
          <w:rFonts w:ascii="Cambria" w:hAnsi="Cambria" w:cstheme="minorHAnsi"/>
        </w:rPr>
        <w:t xml:space="preserve">of homeownership transitions </w:t>
      </w:r>
      <w:r w:rsidR="00CB258E">
        <w:rPr>
          <w:rFonts w:ascii="Cambria" w:hAnsi="Cambria" w:cstheme="minorHAnsi"/>
        </w:rPr>
        <w:t>has</w:t>
      </w:r>
      <w:r w:rsidR="009D6558">
        <w:rPr>
          <w:rFonts w:ascii="Cambria" w:hAnsi="Cambria" w:cstheme="minorHAnsi"/>
        </w:rPr>
        <w:t xml:space="preserve"> </w:t>
      </w:r>
      <w:r w:rsidR="00EF12E7">
        <w:rPr>
          <w:rFonts w:ascii="Cambria" w:hAnsi="Cambria" w:cstheme="minorHAnsi"/>
        </w:rPr>
        <w:t>allow</w:t>
      </w:r>
      <w:r w:rsidR="00CB258E">
        <w:rPr>
          <w:rFonts w:ascii="Cambria" w:hAnsi="Cambria" w:cstheme="minorHAnsi"/>
        </w:rPr>
        <w:t>ed</w:t>
      </w:r>
      <w:r w:rsidR="00EF12E7">
        <w:rPr>
          <w:rFonts w:ascii="Cambria" w:hAnsi="Cambria" w:cstheme="minorHAnsi"/>
        </w:rPr>
        <w:t xml:space="preserve"> researchers to </w:t>
      </w:r>
      <w:r w:rsidR="00CC444E">
        <w:rPr>
          <w:rFonts w:ascii="Cambria" w:hAnsi="Cambria" w:cstheme="minorHAnsi"/>
        </w:rPr>
        <w:t>evaluate</w:t>
      </w:r>
      <w:r w:rsidR="00EF12E7">
        <w:rPr>
          <w:rFonts w:ascii="Cambria" w:hAnsi="Cambria" w:cstheme="minorHAnsi"/>
        </w:rPr>
        <w:t xml:space="preserve"> </w:t>
      </w:r>
      <w:r w:rsidR="001D7959">
        <w:rPr>
          <w:rFonts w:ascii="Cambria" w:hAnsi="Cambria" w:cstheme="minorHAnsi"/>
        </w:rPr>
        <w:t>whether</w:t>
      </w:r>
      <w:r w:rsidR="00EF12E7">
        <w:rPr>
          <w:rFonts w:ascii="Cambria" w:hAnsi="Cambria" w:cstheme="minorHAnsi"/>
        </w:rPr>
        <w:t xml:space="preserve"> parental effects </w:t>
      </w:r>
      <w:r w:rsidR="009C1D5D">
        <w:rPr>
          <w:rFonts w:ascii="Cambria" w:hAnsi="Cambria" w:cstheme="minorHAnsi"/>
        </w:rPr>
        <w:t xml:space="preserve">primarily </w:t>
      </w:r>
      <w:r w:rsidR="009D6558">
        <w:rPr>
          <w:rFonts w:ascii="Cambria" w:hAnsi="Cambria" w:cstheme="minorHAnsi"/>
        </w:rPr>
        <w:t xml:space="preserve">operate indirectly through </w:t>
      </w:r>
      <w:r w:rsidR="00EF12E7">
        <w:rPr>
          <w:rFonts w:ascii="Cambria" w:hAnsi="Cambria" w:cstheme="minorHAnsi"/>
        </w:rPr>
        <w:t xml:space="preserve">intergenerational transmissions of </w:t>
      </w:r>
      <w:r w:rsidR="00F51E07">
        <w:rPr>
          <w:rFonts w:ascii="Cambria" w:hAnsi="Cambria" w:cstheme="minorHAnsi"/>
        </w:rPr>
        <w:t>socio-economic status</w:t>
      </w:r>
      <w:r w:rsidR="004E3E0C">
        <w:rPr>
          <w:rFonts w:ascii="Cambria" w:hAnsi="Cambria" w:cstheme="minorHAnsi"/>
        </w:rPr>
        <w:t xml:space="preserve"> (Coulter, 2018</w:t>
      </w:r>
      <w:r w:rsidR="006F738A">
        <w:rPr>
          <w:rFonts w:ascii="Cambria" w:hAnsi="Cambria" w:cstheme="minorHAnsi"/>
        </w:rPr>
        <w:t>)</w:t>
      </w:r>
      <w:r w:rsidR="00EF12E7">
        <w:rPr>
          <w:rFonts w:ascii="Cambria" w:hAnsi="Cambria" w:cstheme="minorHAnsi"/>
        </w:rPr>
        <w:t xml:space="preserve">. </w:t>
      </w:r>
    </w:p>
    <w:p w14:paraId="10C9332B" w14:textId="42C552B9" w:rsidR="00190ADD" w:rsidRDefault="00D25650" w:rsidP="00B16720">
      <w:pPr>
        <w:spacing w:after="240" w:line="480" w:lineRule="auto"/>
        <w:rPr>
          <w:rFonts w:ascii="Cambria" w:hAnsi="Cambria" w:cstheme="minorHAnsi"/>
        </w:rPr>
      </w:pPr>
      <w:r>
        <w:rPr>
          <w:rFonts w:ascii="Cambria" w:hAnsi="Cambria" w:cstheme="minorHAnsi"/>
        </w:rPr>
        <w:t>T</w:t>
      </w:r>
      <w:r w:rsidR="00D22393">
        <w:rPr>
          <w:rFonts w:ascii="Cambria" w:hAnsi="Cambria" w:cstheme="minorHAnsi"/>
        </w:rPr>
        <w:t xml:space="preserve">he long-running nature of some longitudinal studies has allowed researchers to compare parental background effects across cohorts. </w:t>
      </w:r>
      <w:r w:rsidR="00B224EC">
        <w:rPr>
          <w:rFonts w:ascii="Cambria" w:hAnsi="Cambria" w:cstheme="minorHAnsi"/>
        </w:rPr>
        <w:t xml:space="preserve">In Britain, </w:t>
      </w:r>
      <w:r w:rsidR="00D22393">
        <w:rPr>
          <w:rFonts w:ascii="Cambria" w:hAnsi="Cambria" w:cstheme="minorHAnsi"/>
        </w:rPr>
        <w:t>Green (2017)</w:t>
      </w:r>
      <w:r w:rsidR="00B224EC">
        <w:rPr>
          <w:rFonts w:ascii="Cambria" w:hAnsi="Cambria" w:cstheme="minorHAnsi"/>
        </w:rPr>
        <w:t xml:space="preserve"> </w:t>
      </w:r>
      <w:r w:rsidR="001D7959">
        <w:rPr>
          <w:rFonts w:ascii="Cambria" w:hAnsi="Cambria" w:cstheme="minorHAnsi"/>
        </w:rPr>
        <w:t>used</w:t>
      </w:r>
      <w:r w:rsidR="00D22393">
        <w:rPr>
          <w:rFonts w:ascii="Cambria" w:hAnsi="Cambria" w:cstheme="minorHAnsi"/>
        </w:rPr>
        <w:t xml:space="preserve"> twenty years of harmonised panel data to </w:t>
      </w:r>
      <w:r w:rsidR="00301161">
        <w:rPr>
          <w:rFonts w:ascii="Cambria" w:hAnsi="Cambria" w:cstheme="minorHAnsi"/>
        </w:rPr>
        <w:t>argue</w:t>
      </w:r>
      <w:r w:rsidR="00D22393">
        <w:rPr>
          <w:rFonts w:ascii="Cambria" w:hAnsi="Cambria" w:cstheme="minorHAnsi"/>
        </w:rPr>
        <w:t xml:space="preserve"> </w:t>
      </w:r>
      <w:r w:rsidR="00B224EC">
        <w:rPr>
          <w:rFonts w:ascii="Cambria" w:hAnsi="Cambria" w:cstheme="minorHAnsi"/>
        </w:rPr>
        <w:t xml:space="preserve">that the positive effect that parental </w:t>
      </w:r>
      <w:r w:rsidR="00622807">
        <w:rPr>
          <w:rFonts w:ascii="Cambria" w:hAnsi="Cambria" w:cstheme="minorHAnsi"/>
        </w:rPr>
        <w:t>socio-</w:t>
      </w:r>
      <w:r w:rsidR="00652BC3">
        <w:rPr>
          <w:rFonts w:ascii="Cambria" w:hAnsi="Cambria" w:cstheme="minorHAnsi"/>
        </w:rPr>
        <w:t>economic</w:t>
      </w:r>
      <w:r w:rsidR="00622807">
        <w:rPr>
          <w:rFonts w:ascii="Cambria" w:hAnsi="Cambria" w:cstheme="minorHAnsi"/>
        </w:rPr>
        <w:t xml:space="preserve"> </w:t>
      </w:r>
      <w:r w:rsidR="00B224EC">
        <w:rPr>
          <w:rFonts w:ascii="Cambria" w:hAnsi="Cambria" w:cstheme="minorHAnsi"/>
        </w:rPr>
        <w:t xml:space="preserve">advantage </w:t>
      </w:r>
      <w:r w:rsidR="00BC071D">
        <w:rPr>
          <w:rFonts w:ascii="Cambria" w:hAnsi="Cambria" w:cstheme="minorHAnsi"/>
        </w:rPr>
        <w:t>confers</w:t>
      </w:r>
      <w:r w:rsidR="00B224EC">
        <w:rPr>
          <w:rFonts w:ascii="Cambria" w:hAnsi="Cambria" w:cstheme="minorHAnsi"/>
        </w:rPr>
        <w:t xml:space="preserve"> on child homeownership has increased over time. </w:t>
      </w:r>
      <w:r w:rsidR="00AC4BFF">
        <w:rPr>
          <w:rFonts w:ascii="Cambria" w:hAnsi="Cambria" w:cstheme="minorHAnsi"/>
        </w:rPr>
        <w:t>Similarly</w:t>
      </w:r>
      <w:r w:rsidR="00C9395A">
        <w:rPr>
          <w:rFonts w:ascii="Cambria" w:hAnsi="Cambria" w:cstheme="minorHAnsi"/>
        </w:rPr>
        <w:t>,</w:t>
      </w:r>
      <w:r w:rsidR="00153E4F">
        <w:rPr>
          <w:rFonts w:ascii="Cambria" w:hAnsi="Cambria" w:cstheme="minorHAnsi"/>
        </w:rPr>
        <w:t xml:space="preserve"> Coulter’s (2018) analysis of the </w:t>
      </w:r>
      <w:r w:rsidR="00BA4559">
        <w:rPr>
          <w:rFonts w:ascii="Cambria" w:hAnsi="Cambria" w:cstheme="minorHAnsi"/>
        </w:rPr>
        <w:t>ONS</w:t>
      </w:r>
      <w:r w:rsidR="00153E4F">
        <w:rPr>
          <w:rFonts w:ascii="Cambria" w:hAnsi="Cambria" w:cstheme="minorHAnsi"/>
        </w:rPr>
        <w:t xml:space="preserve"> Longitudinal Study indicates that over time the children of renters have become increasingly likely to rent privately into their early thirties. </w:t>
      </w:r>
      <w:r w:rsidR="00642D5C">
        <w:rPr>
          <w:rFonts w:ascii="Cambria" w:hAnsi="Cambria" w:cstheme="minorHAnsi"/>
        </w:rPr>
        <w:t>Enriching this dataset with information on local house prices indicated that parental socio-economic advantage is a particularly potent predictor of child homeownership in place</w:t>
      </w:r>
      <w:r w:rsidR="005B0673">
        <w:rPr>
          <w:rFonts w:ascii="Cambria" w:hAnsi="Cambria" w:cstheme="minorHAnsi"/>
        </w:rPr>
        <w:t>s where house prices are higher (Coulter, 2017).</w:t>
      </w:r>
      <w:r w:rsidR="00E46C87">
        <w:rPr>
          <w:rFonts w:ascii="Cambria" w:hAnsi="Cambria" w:cstheme="minorHAnsi"/>
        </w:rPr>
        <w:t xml:space="preserve"> This </w:t>
      </w:r>
      <w:r w:rsidR="00245672">
        <w:rPr>
          <w:rFonts w:ascii="Cambria" w:hAnsi="Cambria" w:cstheme="minorHAnsi"/>
        </w:rPr>
        <w:t xml:space="preserve">latter study </w:t>
      </w:r>
      <w:r w:rsidR="00E46C87">
        <w:rPr>
          <w:rFonts w:ascii="Cambria" w:hAnsi="Cambria" w:cstheme="minorHAnsi"/>
        </w:rPr>
        <w:t xml:space="preserve">provides one of the first attempts to test </w:t>
      </w:r>
      <w:r w:rsidR="00103940">
        <w:rPr>
          <w:rFonts w:ascii="Cambria" w:hAnsi="Cambria" w:cstheme="minorHAnsi"/>
        </w:rPr>
        <w:t xml:space="preserve">whether </w:t>
      </w:r>
      <w:r w:rsidR="00E46C87">
        <w:rPr>
          <w:rFonts w:ascii="Cambria" w:hAnsi="Cambria" w:cstheme="minorHAnsi"/>
        </w:rPr>
        <w:t xml:space="preserve">intergenerationally ‘linked lives’ have </w:t>
      </w:r>
      <w:r w:rsidR="00E6137C">
        <w:rPr>
          <w:rFonts w:ascii="Cambria" w:hAnsi="Cambria" w:cstheme="minorHAnsi"/>
        </w:rPr>
        <w:t xml:space="preserve">geographically varied importance for </w:t>
      </w:r>
      <w:r w:rsidR="00E46C87">
        <w:rPr>
          <w:rFonts w:ascii="Cambria" w:hAnsi="Cambria" w:cstheme="minorHAnsi"/>
        </w:rPr>
        <w:t>young people’s housing careers</w:t>
      </w:r>
      <w:r w:rsidR="008A2E2E">
        <w:rPr>
          <w:rFonts w:ascii="Cambria" w:hAnsi="Cambria" w:cstheme="minorHAnsi"/>
        </w:rPr>
        <w:t xml:space="preserve"> at the subnational level</w:t>
      </w:r>
      <w:r w:rsidR="00E46C87">
        <w:rPr>
          <w:rFonts w:ascii="Cambria" w:hAnsi="Cambria" w:cstheme="minorHAnsi"/>
        </w:rPr>
        <w:t>.</w:t>
      </w:r>
      <w:r w:rsidR="00015806">
        <w:rPr>
          <w:rFonts w:ascii="Cambria" w:hAnsi="Cambria" w:cstheme="minorHAnsi"/>
        </w:rPr>
        <w:t xml:space="preserve"> In future, l</w:t>
      </w:r>
      <w:r w:rsidR="00190ADD">
        <w:rPr>
          <w:rFonts w:ascii="Cambria" w:hAnsi="Cambria" w:cstheme="minorHAnsi"/>
        </w:rPr>
        <w:t xml:space="preserve">ongitudinal research could productively harness resources such as the large Understanding Society survey or linked census datasets </w:t>
      </w:r>
      <w:r w:rsidR="008C5BDF">
        <w:rPr>
          <w:rFonts w:ascii="Cambria" w:hAnsi="Cambria" w:cstheme="minorHAnsi"/>
        </w:rPr>
        <w:t xml:space="preserve">from the ONS Longitudinal Study of England and Wales, Scottish Longitudinal Study and Northern Ireland Longitudinal Study </w:t>
      </w:r>
      <w:r w:rsidR="00190ADD">
        <w:rPr>
          <w:rFonts w:ascii="Cambria" w:hAnsi="Cambria" w:cstheme="minorHAnsi"/>
        </w:rPr>
        <w:t xml:space="preserve">to </w:t>
      </w:r>
      <w:r w:rsidR="0002182C">
        <w:rPr>
          <w:rFonts w:ascii="Cambria" w:hAnsi="Cambria" w:cstheme="minorHAnsi"/>
        </w:rPr>
        <w:t>compare</w:t>
      </w:r>
      <w:r w:rsidR="00190ADD">
        <w:rPr>
          <w:rFonts w:ascii="Cambria" w:hAnsi="Cambria" w:cstheme="minorHAnsi"/>
        </w:rPr>
        <w:t xml:space="preserve"> young adults’ housing career trajectories across </w:t>
      </w:r>
      <w:r w:rsidR="00517C13">
        <w:rPr>
          <w:rFonts w:ascii="Cambria" w:hAnsi="Cambria" w:cstheme="minorHAnsi"/>
        </w:rPr>
        <w:t xml:space="preserve">the UK’s devolved </w:t>
      </w:r>
      <w:r w:rsidR="009B1DE3">
        <w:rPr>
          <w:rFonts w:ascii="Cambria" w:hAnsi="Cambria" w:cstheme="minorHAnsi"/>
        </w:rPr>
        <w:t>administrations</w:t>
      </w:r>
      <w:r w:rsidR="00190ADD">
        <w:rPr>
          <w:rFonts w:ascii="Cambria" w:hAnsi="Cambria" w:cstheme="minorHAnsi"/>
        </w:rPr>
        <w:t xml:space="preserve">. </w:t>
      </w:r>
    </w:p>
    <w:p w14:paraId="4E330393" w14:textId="17BF1C80" w:rsidR="00601A7C" w:rsidRDefault="00601A7C" w:rsidP="00B16720">
      <w:pPr>
        <w:spacing w:after="240" w:line="480" w:lineRule="auto"/>
        <w:rPr>
          <w:rFonts w:ascii="Cambria" w:hAnsi="Cambria" w:cstheme="minorHAnsi"/>
        </w:rPr>
      </w:pPr>
      <w:r>
        <w:rPr>
          <w:rFonts w:ascii="Cambria" w:hAnsi="Cambria" w:cstheme="minorHAnsi"/>
        </w:rPr>
        <w:t xml:space="preserve">Another strand of </w:t>
      </w:r>
      <w:r w:rsidR="00352F1D">
        <w:rPr>
          <w:rFonts w:ascii="Cambria" w:hAnsi="Cambria" w:cstheme="minorHAnsi"/>
        </w:rPr>
        <w:t>work</w:t>
      </w:r>
      <w:r>
        <w:rPr>
          <w:rFonts w:ascii="Cambria" w:hAnsi="Cambria" w:cstheme="minorHAnsi"/>
        </w:rPr>
        <w:t xml:space="preserve"> focuses on the mechanisms by which parents </w:t>
      </w:r>
      <w:r w:rsidR="00BA791D">
        <w:rPr>
          <w:rFonts w:ascii="Cambria" w:hAnsi="Cambria" w:cstheme="minorHAnsi"/>
        </w:rPr>
        <w:t>shape their children’</w:t>
      </w:r>
      <w:r w:rsidR="00EF576E">
        <w:rPr>
          <w:rFonts w:ascii="Cambria" w:hAnsi="Cambria" w:cstheme="minorHAnsi"/>
        </w:rPr>
        <w:t>s</w:t>
      </w:r>
      <w:r>
        <w:rPr>
          <w:rFonts w:ascii="Cambria" w:hAnsi="Cambria" w:cstheme="minorHAnsi"/>
        </w:rPr>
        <w:t xml:space="preserve"> housing </w:t>
      </w:r>
      <w:r w:rsidR="001B0402">
        <w:rPr>
          <w:rFonts w:ascii="Cambria" w:hAnsi="Cambria" w:cstheme="minorHAnsi"/>
        </w:rPr>
        <w:t>experiences</w:t>
      </w:r>
      <w:r>
        <w:rPr>
          <w:rFonts w:ascii="Cambria" w:hAnsi="Cambria" w:cstheme="minorHAnsi"/>
        </w:rPr>
        <w:t xml:space="preserve">. Quantitative specialists have exploited the unusually rich data gathered by some surveys to evaluate how strongly parental monetary gifts or practices of tenure socialization boost the probability that their children subsequently enter homeownership </w:t>
      </w:r>
      <w:r w:rsidR="003005BD">
        <w:rPr>
          <w:rFonts w:ascii="Cambria" w:hAnsi="Cambria" w:cstheme="minorHAnsi"/>
        </w:rPr>
        <w:t xml:space="preserve">in different national contexts </w:t>
      </w:r>
      <w:r>
        <w:rPr>
          <w:rFonts w:ascii="Cambria" w:hAnsi="Cambria" w:cstheme="minorHAnsi"/>
        </w:rPr>
        <w:t xml:space="preserve">(Lersch and Luijkx, 2015; Mulder and Smits, 2013). </w:t>
      </w:r>
      <w:r w:rsidR="000C5859">
        <w:rPr>
          <w:rFonts w:ascii="Cambria" w:hAnsi="Cambria" w:cstheme="minorHAnsi"/>
        </w:rPr>
        <w:t>In Britain, t</w:t>
      </w:r>
      <w:r>
        <w:rPr>
          <w:rFonts w:ascii="Cambria" w:hAnsi="Cambria" w:cstheme="minorHAnsi"/>
        </w:rPr>
        <w:t xml:space="preserve">he growing evidence that parental background plays a significant role is perhaps unsurprising given estimates that </w:t>
      </w:r>
      <w:r w:rsidR="00A05FC5">
        <w:rPr>
          <w:rFonts w:ascii="Cambria" w:hAnsi="Cambria" w:cstheme="minorHAnsi"/>
        </w:rPr>
        <w:t>parents</w:t>
      </w:r>
      <w:r>
        <w:rPr>
          <w:rFonts w:ascii="Cambria" w:hAnsi="Cambria" w:cstheme="minorHAnsi"/>
        </w:rPr>
        <w:t xml:space="preserve"> provided £5.7bn to lubricate 2</w:t>
      </w:r>
      <w:r w:rsidR="00BF0FC6">
        <w:rPr>
          <w:rFonts w:ascii="Cambria" w:hAnsi="Cambria" w:cstheme="minorHAnsi"/>
        </w:rPr>
        <w:t>7</w:t>
      </w:r>
      <w:r>
        <w:rPr>
          <w:rFonts w:ascii="Cambria" w:hAnsi="Cambria" w:cstheme="minorHAnsi"/>
        </w:rPr>
        <w:t>% of all UK housing transactions in 20</w:t>
      </w:r>
      <w:r w:rsidR="00AB1425">
        <w:rPr>
          <w:rFonts w:ascii="Cambria" w:hAnsi="Cambria" w:cstheme="minorHAnsi"/>
        </w:rPr>
        <w:t>18 (Legal and General, 2018</w:t>
      </w:r>
      <w:r>
        <w:rPr>
          <w:rFonts w:ascii="Cambria" w:hAnsi="Cambria" w:cstheme="minorHAnsi"/>
        </w:rPr>
        <w:t>).</w:t>
      </w:r>
      <w:r w:rsidR="00E35BC8">
        <w:rPr>
          <w:rFonts w:ascii="Cambria" w:hAnsi="Cambria" w:cstheme="minorHAnsi"/>
        </w:rPr>
        <w:t xml:space="preserve"> </w:t>
      </w:r>
      <w:r>
        <w:rPr>
          <w:rFonts w:ascii="Cambria" w:hAnsi="Cambria" w:cstheme="minorHAnsi"/>
        </w:rPr>
        <w:t xml:space="preserve">Meanwhile, qualitative interviewing has revealed how parents and children </w:t>
      </w:r>
      <w:r w:rsidR="000E6239">
        <w:rPr>
          <w:rFonts w:ascii="Cambria" w:hAnsi="Cambria" w:cstheme="minorHAnsi"/>
        </w:rPr>
        <w:t xml:space="preserve">living in different societies </w:t>
      </w:r>
      <w:r>
        <w:rPr>
          <w:rFonts w:ascii="Cambria" w:hAnsi="Cambria" w:cstheme="minorHAnsi"/>
        </w:rPr>
        <w:t>negotiate and interpret intergenerational homeownership support practices, as well as their often ambivalent implications for family relationships (Druta and Ronald, 2017; Manzo et al., 2018). Unfortunately, much of this literature focuses mostly on the strategies of relatively affluent middle class families and less is known about intergenerational housing support exchanges among less advantaged populations for whom homeownership may be out of reach (Dewilde et al., 2018). This is an important area for further work.</w:t>
      </w:r>
    </w:p>
    <w:p w14:paraId="3A5C60FA" w14:textId="5305748F" w:rsidR="00517C13" w:rsidRDefault="00E35BC8" w:rsidP="00B16720">
      <w:pPr>
        <w:spacing w:after="240" w:line="480" w:lineRule="auto"/>
        <w:rPr>
          <w:rFonts w:ascii="Cambria" w:hAnsi="Cambria" w:cstheme="minorHAnsi"/>
        </w:rPr>
      </w:pPr>
      <w:r>
        <w:rPr>
          <w:rFonts w:ascii="Cambria" w:hAnsi="Cambria" w:cstheme="minorHAnsi"/>
        </w:rPr>
        <w:t xml:space="preserve">At present, little is known about how uneven patterns of parental support could cause the housing fortunes of more advantaged young people to diverge from their less fortunate peers over the life course. If children from affluent families have greater access to housing support, this could buffer them against experiencing short-term housing problems (for example living in poor quality </w:t>
      </w:r>
      <w:r w:rsidR="00661CC6">
        <w:rPr>
          <w:rFonts w:ascii="Cambria" w:hAnsi="Cambria" w:cstheme="minorHAnsi"/>
        </w:rPr>
        <w:t xml:space="preserve">rented </w:t>
      </w:r>
      <w:r>
        <w:rPr>
          <w:rFonts w:ascii="Cambria" w:hAnsi="Cambria" w:cstheme="minorHAnsi"/>
        </w:rPr>
        <w:t xml:space="preserve">accommodation) and </w:t>
      </w:r>
      <w:r w:rsidR="00EA75CB">
        <w:rPr>
          <w:rFonts w:ascii="Cambria" w:hAnsi="Cambria" w:cstheme="minorHAnsi"/>
        </w:rPr>
        <w:t xml:space="preserve">also </w:t>
      </w:r>
      <w:r>
        <w:rPr>
          <w:rFonts w:ascii="Cambria" w:hAnsi="Cambria" w:cstheme="minorHAnsi"/>
        </w:rPr>
        <w:t>provide long-term wealth benefits by enabling early access to owner-occupation (Christophers, 2018).</w:t>
      </w:r>
      <w:r w:rsidR="00B92C38">
        <w:rPr>
          <w:rFonts w:ascii="Cambria" w:hAnsi="Cambria" w:cstheme="minorHAnsi"/>
        </w:rPr>
        <w:t xml:space="preserve"> This cascading of cumulative advantage down the generations </w:t>
      </w:r>
      <w:r w:rsidR="003103D6">
        <w:rPr>
          <w:rFonts w:ascii="Cambria" w:hAnsi="Cambria" w:cstheme="minorHAnsi"/>
        </w:rPr>
        <w:t xml:space="preserve">through the housing system </w:t>
      </w:r>
      <w:r w:rsidR="00B92C38">
        <w:rPr>
          <w:rFonts w:ascii="Cambria" w:hAnsi="Cambria" w:cstheme="minorHAnsi"/>
        </w:rPr>
        <w:t xml:space="preserve">could become particularly </w:t>
      </w:r>
      <w:r w:rsidR="00E16A13">
        <w:rPr>
          <w:rFonts w:ascii="Cambria" w:hAnsi="Cambria" w:cstheme="minorHAnsi"/>
        </w:rPr>
        <w:t>important</w:t>
      </w:r>
      <w:r w:rsidR="00B92C38">
        <w:rPr>
          <w:rFonts w:ascii="Cambria" w:hAnsi="Cambria" w:cstheme="minorHAnsi"/>
        </w:rPr>
        <w:t xml:space="preserve"> as younger cohorts</w:t>
      </w:r>
      <w:r w:rsidR="003103D6">
        <w:rPr>
          <w:rFonts w:ascii="Cambria" w:hAnsi="Cambria" w:cstheme="minorHAnsi"/>
        </w:rPr>
        <w:t xml:space="preserve"> age and potentially need to use </w:t>
      </w:r>
      <w:r w:rsidR="003126A7">
        <w:rPr>
          <w:rFonts w:ascii="Cambria" w:hAnsi="Cambria" w:cstheme="minorHAnsi"/>
        </w:rPr>
        <w:t>private</w:t>
      </w:r>
      <w:r w:rsidR="003103D6">
        <w:rPr>
          <w:rFonts w:ascii="Cambria" w:hAnsi="Cambria" w:cstheme="minorHAnsi"/>
        </w:rPr>
        <w:t xml:space="preserve"> </w:t>
      </w:r>
      <w:r w:rsidR="00FD7491">
        <w:rPr>
          <w:rFonts w:ascii="Cambria" w:hAnsi="Cambria" w:cstheme="minorHAnsi"/>
        </w:rPr>
        <w:t>assets</w:t>
      </w:r>
      <w:r w:rsidR="003103D6">
        <w:rPr>
          <w:rFonts w:ascii="Cambria" w:hAnsi="Cambria" w:cstheme="minorHAnsi"/>
        </w:rPr>
        <w:t xml:space="preserve"> to </w:t>
      </w:r>
      <w:r w:rsidR="00BF166A">
        <w:rPr>
          <w:rFonts w:ascii="Cambria" w:hAnsi="Cambria" w:cstheme="minorHAnsi"/>
        </w:rPr>
        <w:t xml:space="preserve">offset </w:t>
      </w:r>
      <w:r w:rsidR="00693237">
        <w:rPr>
          <w:rFonts w:ascii="Cambria" w:hAnsi="Cambria" w:cstheme="minorHAnsi"/>
        </w:rPr>
        <w:t>increasingly meagre pensions</w:t>
      </w:r>
      <w:r w:rsidR="00C419CF">
        <w:rPr>
          <w:rFonts w:ascii="Cambria" w:hAnsi="Cambria" w:cstheme="minorHAnsi"/>
        </w:rPr>
        <w:t>, as well as</w:t>
      </w:r>
      <w:r w:rsidR="00693237">
        <w:rPr>
          <w:rFonts w:ascii="Cambria" w:hAnsi="Cambria" w:cstheme="minorHAnsi"/>
        </w:rPr>
        <w:t xml:space="preserve"> the </w:t>
      </w:r>
      <w:r w:rsidR="00281270">
        <w:rPr>
          <w:rFonts w:ascii="Cambria" w:hAnsi="Cambria" w:cstheme="minorHAnsi"/>
        </w:rPr>
        <w:t xml:space="preserve">growing </w:t>
      </w:r>
      <w:r w:rsidR="00693237">
        <w:rPr>
          <w:rFonts w:ascii="Cambria" w:hAnsi="Cambria" w:cstheme="minorHAnsi"/>
        </w:rPr>
        <w:t xml:space="preserve">costs of later life care </w:t>
      </w:r>
      <w:r w:rsidR="00B92C38">
        <w:rPr>
          <w:rFonts w:ascii="Cambria" w:hAnsi="Cambria" w:cstheme="minorHAnsi"/>
        </w:rPr>
        <w:t>(Ronald, 2018).</w:t>
      </w:r>
      <w:r w:rsidR="003103D6">
        <w:rPr>
          <w:rFonts w:ascii="Cambria" w:hAnsi="Cambria" w:cstheme="minorHAnsi"/>
        </w:rPr>
        <w:t xml:space="preserve"> </w:t>
      </w:r>
    </w:p>
    <w:p w14:paraId="484B8CE9" w14:textId="77777777" w:rsidR="00B43669" w:rsidRDefault="00B43669" w:rsidP="00B16720">
      <w:pPr>
        <w:spacing w:after="240" w:line="480" w:lineRule="auto"/>
        <w:rPr>
          <w:rFonts w:ascii="Cambria" w:hAnsi="Cambria" w:cstheme="minorHAnsi"/>
          <w:b/>
          <w:sz w:val="28"/>
        </w:rPr>
      </w:pPr>
    </w:p>
    <w:p w14:paraId="3615304F" w14:textId="2E965EEF" w:rsidR="000020B4" w:rsidRPr="003428BB" w:rsidRDefault="00B43669" w:rsidP="00B16720">
      <w:pPr>
        <w:spacing w:after="240" w:line="480" w:lineRule="auto"/>
        <w:rPr>
          <w:rFonts w:ascii="Cambria" w:hAnsi="Cambria" w:cstheme="minorHAnsi"/>
          <w:b/>
          <w:sz w:val="28"/>
        </w:rPr>
      </w:pPr>
      <w:r>
        <w:rPr>
          <w:rFonts w:ascii="Cambria" w:hAnsi="Cambria" w:cstheme="minorHAnsi"/>
          <w:b/>
          <w:sz w:val="28"/>
        </w:rPr>
        <w:t>3.</w:t>
      </w:r>
      <w:r w:rsidR="004028F5">
        <w:rPr>
          <w:rFonts w:ascii="Cambria" w:hAnsi="Cambria" w:cstheme="minorHAnsi"/>
          <w:b/>
          <w:sz w:val="28"/>
        </w:rPr>
        <w:t xml:space="preserve"> </w:t>
      </w:r>
      <w:r w:rsidR="00196EEC">
        <w:rPr>
          <w:rFonts w:ascii="Cambria" w:hAnsi="Cambria" w:cstheme="minorHAnsi"/>
          <w:b/>
          <w:sz w:val="28"/>
        </w:rPr>
        <w:t>C</w:t>
      </w:r>
      <w:r w:rsidR="006071AA">
        <w:rPr>
          <w:rFonts w:ascii="Cambria" w:hAnsi="Cambria" w:cstheme="minorHAnsi"/>
          <w:b/>
          <w:sz w:val="28"/>
        </w:rPr>
        <w:t>hallenges and O</w:t>
      </w:r>
      <w:r w:rsidR="004028F5">
        <w:rPr>
          <w:rFonts w:ascii="Cambria" w:hAnsi="Cambria" w:cstheme="minorHAnsi"/>
          <w:b/>
          <w:sz w:val="28"/>
        </w:rPr>
        <w:t>pportunities in</w:t>
      </w:r>
      <w:r>
        <w:rPr>
          <w:rFonts w:ascii="Cambria" w:hAnsi="Cambria" w:cstheme="minorHAnsi"/>
          <w:b/>
          <w:sz w:val="28"/>
        </w:rPr>
        <w:t xml:space="preserve"> </w:t>
      </w:r>
      <w:r w:rsidR="006071AA">
        <w:rPr>
          <w:rFonts w:ascii="Cambria" w:hAnsi="Cambria" w:cstheme="minorHAnsi"/>
          <w:b/>
          <w:sz w:val="28"/>
        </w:rPr>
        <w:t>Using Longitudinal D</w:t>
      </w:r>
      <w:r w:rsidR="00D075EB">
        <w:rPr>
          <w:rFonts w:ascii="Cambria" w:hAnsi="Cambria" w:cstheme="minorHAnsi"/>
          <w:b/>
          <w:sz w:val="28"/>
        </w:rPr>
        <w:t xml:space="preserve">ata </w:t>
      </w:r>
    </w:p>
    <w:p w14:paraId="6C0C02FD" w14:textId="2D09481B" w:rsidR="00D646A8" w:rsidRDefault="00D646A8" w:rsidP="00CB0595">
      <w:pPr>
        <w:spacing w:after="240" w:line="480" w:lineRule="auto"/>
        <w:rPr>
          <w:rFonts w:ascii="Cambria" w:hAnsi="Cambria" w:cstheme="minorHAnsi"/>
        </w:rPr>
      </w:pPr>
      <w:r>
        <w:rPr>
          <w:rFonts w:ascii="Cambria" w:hAnsi="Cambria" w:cstheme="minorHAnsi"/>
        </w:rPr>
        <w:t>Section 2</w:t>
      </w:r>
      <w:r w:rsidR="0004674E">
        <w:rPr>
          <w:rFonts w:ascii="Cambria" w:hAnsi="Cambria" w:cstheme="minorHAnsi"/>
        </w:rPr>
        <w:t xml:space="preserve"> described </w:t>
      </w:r>
      <w:r w:rsidR="00A14C80">
        <w:rPr>
          <w:rFonts w:ascii="Cambria" w:hAnsi="Cambria" w:cstheme="minorHAnsi"/>
        </w:rPr>
        <w:t>some</w:t>
      </w:r>
      <w:r w:rsidR="00A41143">
        <w:rPr>
          <w:rFonts w:ascii="Cambria" w:hAnsi="Cambria" w:cstheme="minorHAnsi"/>
        </w:rPr>
        <w:t xml:space="preserve"> key</w:t>
      </w:r>
      <w:r w:rsidR="0004674E">
        <w:rPr>
          <w:rFonts w:ascii="Cambria" w:hAnsi="Cambria" w:cstheme="minorHAnsi"/>
        </w:rPr>
        <w:t xml:space="preserve"> benefits of using longitudinal data for </w:t>
      </w:r>
      <w:r w:rsidR="00CD4F6C">
        <w:rPr>
          <w:rFonts w:ascii="Cambria" w:hAnsi="Cambria" w:cstheme="minorHAnsi"/>
        </w:rPr>
        <w:t>housing analysis</w:t>
      </w:r>
      <w:r>
        <w:rPr>
          <w:rFonts w:ascii="Cambria" w:hAnsi="Cambria" w:cstheme="minorHAnsi"/>
        </w:rPr>
        <w:t>. These</w:t>
      </w:r>
      <w:r w:rsidR="0004674E">
        <w:rPr>
          <w:rFonts w:ascii="Cambria" w:hAnsi="Cambria" w:cstheme="minorHAnsi"/>
        </w:rPr>
        <w:t xml:space="preserve"> </w:t>
      </w:r>
      <w:r>
        <w:rPr>
          <w:rFonts w:ascii="Cambria" w:hAnsi="Cambria" w:cstheme="minorHAnsi"/>
        </w:rPr>
        <w:t xml:space="preserve">include </w:t>
      </w:r>
      <w:r w:rsidR="0004674E">
        <w:rPr>
          <w:rFonts w:ascii="Cambria" w:hAnsi="Cambria" w:cstheme="minorHAnsi"/>
        </w:rPr>
        <w:t>the ability to more accurately</w:t>
      </w:r>
      <w:r>
        <w:rPr>
          <w:rFonts w:ascii="Cambria" w:hAnsi="Cambria" w:cstheme="minorHAnsi"/>
        </w:rPr>
        <w:t xml:space="preserve"> identify</w:t>
      </w:r>
      <w:r w:rsidR="0004674E">
        <w:rPr>
          <w:rFonts w:ascii="Cambria" w:hAnsi="Cambria" w:cstheme="minorHAnsi"/>
        </w:rPr>
        <w:t xml:space="preserve"> the temporal ordering of effects</w:t>
      </w:r>
      <w:r>
        <w:rPr>
          <w:rFonts w:ascii="Cambria" w:hAnsi="Cambria" w:cstheme="minorHAnsi"/>
        </w:rPr>
        <w:t>;</w:t>
      </w:r>
      <w:r w:rsidR="0004674E">
        <w:rPr>
          <w:rFonts w:ascii="Cambria" w:hAnsi="Cambria" w:cstheme="minorHAnsi"/>
        </w:rPr>
        <w:t xml:space="preserve"> the relationship between earlier </w:t>
      </w:r>
      <w:r w:rsidR="00B70120">
        <w:rPr>
          <w:rFonts w:ascii="Cambria" w:hAnsi="Cambria" w:cstheme="minorHAnsi"/>
        </w:rPr>
        <w:t xml:space="preserve">events, </w:t>
      </w:r>
      <w:r w:rsidR="0004674E">
        <w:rPr>
          <w:rFonts w:ascii="Cambria" w:hAnsi="Cambria" w:cstheme="minorHAnsi"/>
        </w:rPr>
        <w:t>attitudes and expectations on later outcomes</w:t>
      </w:r>
      <w:r>
        <w:rPr>
          <w:rFonts w:ascii="Cambria" w:hAnsi="Cambria" w:cstheme="minorHAnsi"/>
        </w:rPr>
        <w:t>;</w:t>
      </w:r>
      <w:r w:rsidR="0004674E">
        <w:rPr>
          <w:rFonts w:ascii="Cambria" w:hAnsi="Cambria" w:cstheme="minorHAnsi"/>
        </w:rPr>
        <w:t xml:space="preserve"> and, where data allow, the role of extended kin in facilitating </w:t>
      </w:r>
      <w:r>
        <w:rPr>
          <w:rFonts w:ascii="Cambria" w:hAnsi="Cambria" w:cstheme="minorHAnsi"/>
        </w:rPr>
        <w:t xml:space="preserve">or constraining </w:t>
      </w:r>
      <w:r w:rsidR="0004674E">
        <w:rPr>
          <w:rFonts w:ascii="Cambria" w:hAnsi="Cambria" w:cstheme="minorHAnsi"/>
        </w:rPr>
        <w:t xml:space="preserve">housing </w:t>
      </w:r>
      <w:r>
        <w:rPr>
          <w:rFonts w:ascii="Cambria" w:hAnsi="Cambria" w:cstheme="minorHAnsi"/>
        </w:rPr>
        <w:t>trajectories</w:t>
      </w:r>
      <w:r w:rsidR="0004674E">
        <w:rPr>
          <w:rFonts w:ascii="Cambria" w:hAnsi="Cambria" w:cstheme="minorHAnsi"/>
        </w:rPr>
        <w:t xml:space="preserve">. </w:t>
      </w:r>
    </w:p>
    <w:p w14:paraId="51313497" w14:textId="335DBEFE" w:rsidR="00CB0595" w:rsidRDefault="00D646A8" w:rsidP="00CB0595">
      <w:pPr>
        <w:spacing w:after="240" w:line="480" w:lineRule="auto"/>
        <w:rPr>
          <w:rFonts w:ascii="Cambria" w:hAnsi="Cambria" w:cstheme="minorHAnsi"/>
        </w:rPr>
      </w:pPr>
      <w:r>
        <w:rPr>
          <w:rFonts w:ascii="Cambria" w:hAnsi="Cambria" w:cstheme="minorHAnsi"/>
        </w:rPr>
        <w:t>H</w:t>
      </w:r>
      <w:r w:rsidR="0004674E">
        <w:rPr>
          <w:rFonts w:ascii="Cambria" w:hAnsi="Cambria" w:cstheme="minorHAnsi"/>
        </w:rPr>
        <w:t>owever</w:t>
      </w:r>
      <w:r w:rsidR="002F26DA">
        <w:rPr>
          <w:rFonts w:ascii="Cambria" w:hAnsi="Cambria" w:cstheme="minorHAnsi"/>
        </w:rPr>
        <w:t xml:space="preserve">, </w:t>
      </w:r>
      <w:r>
        <w:rPr>
          <w:rFonts w:ascii="Cambria" w:hAnsi="Cambria" w:cstheme="minorHAnsi"/>
        </w:rPr>
        <w:t>several</w:t>
      </w:r>
      <w:r w:rsidR="0004674E">
        <w:rPr>
          <w:rFonts w:ascii="Cambria" w:hAnsi="Cambria" w:cstheme="minorHAnsi"/>
        </w:rPr>
        <w:t xml:space="preserve"> issues </w:t>
      </w:r>
      <w:r w:rsidR="00907BAE">
        <w:rPr>
          <w:rFonts w:ascii="Cambria" w:hAnsi="Cambria" w:cstheme="minorHAnsi"/>
        </w:rPr>
        <w:t>mean that</w:t>
      </w:r>
      <w:r w:rsidR="0004674E">
        <w:rPr>
          <w:rFonts w:ascii="Cambria" w:hAnsi="Cambria" w:cstheme="minorHAnsi"/>
        </w:rPr>
        <w:t xml:space="preserve"> the analysis of longitudinal </w:t>
      </w:r>
      <w:r w:rsidR="00CB0595">
        <w:rPr>
          <w:rFonts w:ascii="Cambria" w:hAnsi="Cambria" w:cstheme="minorHAnsi"/>
        </w:rPr>
        <w:t>survey</w:t>
      </w:r>
      <w:r w:rsidR="00510DEB">
        <w:rPr>
          <w:rFonts w:ascii="Cambria" w:hAnsi="Cambria" w:cstheme="minorHAnsi"/>
        </w:rPr>
        <w:t>s</w:t>
      </w:r>
      <w:r w:rsidR="00CB0595">
        <w:rPr>
          <w:rFonts w:ascii="Cambria" w:hAnsi="Cambria" w:cstheme="minorHAnsi"/>
        </w:rPr>
        <w:t xml:space="preserve"> </w:t>
      </w:r>
      <w:r w:rsidR="00907BAE">
        <w:rPr>
          <w:rFonts w:ascii="Cambria" w:hAnsi="Cambria" w:cstheme="minorHAnsi"/>
        </w:rPr>
        <w:t xml:space="preserve">is </w:t>
      </w:r>
      <w:r w:rsidR="002F26DA">
        <w:rPr>
          <w:rFonts w:ascii="Cambria" w:hAnsi="Cambria" w:cstheme="minorHAnsi"/>
        </w:rPr>
        <w:t>no simple matter</w:t>
      </w:r>
      <w:r w:rsidR="0004674E">
        <w:rPr>
          <w:rFonts w:ascii="Cambria" w:hAnsi="Cambria" w:cstheme="minorHAnsi"/>
        </w:rPr>
        <w:t>.</w:t>
      </w:r>
      <w:r w:rsidR="006F31DC">
        <w:rPr>
          <w:rFonts w:ascii="Cambria" w:hAnsi="Cambria" w:cstheme="minorHAnsi"/>
        </w:rPr>
        <w:t xml:space="preserve"> The first is the attrition of participants</w:t>
      </w:r>
      <w:r w:rsidR="0004674E">
        <w:rPr>
          <w:rFonts w:ascii="Cambria" w:hAnsi="Cambria" w:cstheme="minorHAnsi"/>
        </w:rPr>
        <w:t xml:space="preserve">. Attrition </w:t>
      </w:r>
      <w:r w:rsidR="00E24A2D">
        <w:rPr>
          <w:rFonts w:ascii="Cambria" w:hAnsi="Cambria" w:cstheme="minorHAnsi"/>
        </w:rPr>
        <w:t>is</w:t>
      </w:r>
      <w:r w:rsidR="0004674E">
        <w:rPr>
          <w:rFonts w:ascii="Cambria" w:hAnsi="Cambria" w:cstheme="minorHAnsi"/>
        </w:rPr>
        <w:t xml:space="preserve"> problematic for two reasons: </w:t>
      </w:r>
      <w:r w:rsidR="006E64DC">
        <w:rPr>
          <w:rFonts w:ascii="Cambria" w:hAnsi="Cambria" w:cstheme="minorHAnsi"/>
        </w:rPr>
        <w:t>firstly</w:t>
      </w:r>
      <w:r w:rsidR="00E24A2D">
        <w:rPr>
          <w:rFonts w:ascii="Cambria" w:hAnsi="Cambria" w:cstheme="minorHAnsi"/>
        </w:rPr>
        <w:t>,</w:t>
      </w:r>
      <w:r w:rsidR="0004674E">
        <w:rPr>
          <w:rFonts w:ascii="Cambria" w:hAnsi="Cambria" w:cstheme="minorHAnsi"/>
        </w:rPr>
        <w:t xml:space="preserve"> it reduces the sample size for analysis, resulting in less precise inference</w:t>
      </w:r>
      <w:r w:rsidR="00E24A2D">
        <w:rPr>
          <w:rFonts w:ascii="Cambria" w:hAnsi="Cambria" w:cstheme="minorHAnsi"/>
        </w:rPr>
        <w:t xml:space="preserve"> and</w:t>
      </w:r>
      <w:r w:rsidR="00D4778D">
        <w:rPr>
          <w:rFonts w:ascii="Cambria" w:hAnsi="Cambria" w:cstheme="minorHAnsi"/>
        </w:rPr>
        <w:t xml:space="preserve"> an inability to apply methods</w:t>
      </w:r>
      <w:r w:rsidR="00E24A2D">
        <w:rPr>
          <w:rFonts w:ascii="Cambria" w:hAnsi="Cambria" w:cstheme="minorHAnsi"/>
        </w:rPr>
        <w:t xml:space="preserve"> (such as multichannel sequence analysis)</w:t>
      </w:r>
      <w:r w:rsidR="00207786">
        <w:rPr>
          <w:rFonts w:ascii="Cambria" w:hAnsi="Cambria" w:cstheme="minorHAnsi"/>
        </w:rPr>
        <w:t xml:space="preserve"> which</w:t>
      </w:r>
      <w:r w:rsidR="00E24A2D">
        <w:rPr>
          <w:rFonts w:ascii="Cambria" w:hAnsi="Cambria" w:cstheme="minorHAnsi"/>
        </w:rPr>
        <w:t xml:space="preserve"> require a long balanced panel of constant responses (Spallek et al., 2014). S</w:t>
      </w:r>
      <w:r w:rsidR="0004674E">
        <w:rPr>
          <w:rFonts w:ascii="Cambria" w:hAnsi="Cambria" w:cstheme="minorHAnsi"/>
        </w:rPr>
        <w:t xml:space="preserve">econdly, individuals who </w:t>
      </w:r>
      <w:r w:rsidR="00E24A2D">
        <w:rPr>
          <w:rFonts w:ascii="Cambria" w:hAnsi="Cambria" w:cstheme="minorHAnsi"/>
        </w:rPr>
        <w:t>drop out</w:t>
      </w:r>
      <w:r w:rsidR="0004674E">
        <w:rPr>
          <w:rFonts w:ascii="Cambria" w:hAnsi="Cambria" w:cstheme="minorHAnsi"/>
        </w:rPr>
        <w:t xml:space="preserve"> often differ systematically from those followed up and this differential attrition means that the fully observed longitudinal sample may</w:t>
      </w:r>
      <w:r w:rsidR="00094ADF">
        <w:rPr>
          <w:rFonts w:ascii="Cambria" w:hAnsi="Cambria" w:cstheme="minorHAnsi"/>
        </w:rPr>
        <w:t>,</w:t>
      </w:r>
      <w:r w:rsidR="0004674E">
        <w:rPr>
          <w:rFonts w:ascii="Cambria" w:hAnsi="Cambria" w:cstheme="minorHAnsi"/>
        </w:rPr>
        <w:t xml:space="preserve"> </w:t>
      </w:r>
      <w:r w:rsidR="005B75E9">
        <w:rPr>
          <w:rFonts w:ascii="Cambria" w:hAnsi="Cambria" w:cstheme="minorHAnsi"/>
        </w:rPr>
        <w:t>over time</w:t>
      </w:r>
      <w:r w:rsidR="00094ADF">
        <w:rPr>
          <w:rFonts w:ascii="Cambria" w:hAnsi="Cambria" w:cstheme="minorHAnsi"/>
        </w:rPr>
        <w:t>,</w:t>
      </w:r>
      <w:r w:rsidR="005B75E9">
        <w:rPr>
          <w:rFonts w:ascii="Cambria" w:hAnsi="Cambria" w:cstheme="minorHAnsi"/>
        </w:rPr>
        <w:t xml:space="preserve"> become less</w:t>
      </w:r>
      <w:r w:rsidR="0004674E">
        <w:rPr>
          <w:rFonts w:ascii="Cambria" w:hAnsi="Cambria" w:cstheme="minorHAnsi"/>
        </w:rPr>
        <w:t xml:space="preserve"> representative of the </w:t>
      </w:r>
      <w:r w:rsidR="007A1581">
        <w:rPr>
          <w:rFonts w:ascii="Cambria" w:hAnsi="Cambria" w:cstheme="minorHAnsi"/>
        </w:rPr>
        <w:t xml:space="preserve">target </w:t>
      </w:r>
      <w:r w:rsidR="0004674E">
        <w:rPr>
          <w:rFonts w:ascii="Cambria" w:hAnsi="Cambria" w:cstheme="minorHAnsi"/>
        </w:rPr>
        <w:t>population.</w:t>
      </w:r>
      <w:r w:rsidR="00CB0595">
        <w:rPr>
          <w:rFonts w:ascii="Cambria" w:hAnsi="Cambria" w:cstheme="minorHAnsi"/>
        </w:rPr>
        <w:t xml:space="preserve"> </w:t>
      </w:r>
    </w:p>
    <w:p w14:paraId="2244C925" w14:textId="205FC25B" w:rsidR="00CB0595" w:rsidRDefault="0049580E" w:rsidP="00B16720">
      <w:pPr>
        <w:spacing w:after="240" w:line="480" w:lineRule="auto"/>
        <w:rPr>
          <w:rFonts w:ascii="Cambria" w:hAnsi="Cambria" w:cstheme="minorHAnsi"/>
        </w:rPr>
      </w:pPr>
      <w:r>
        <w:rPr>
          <w:rFonts w:ascii="Cambria" w:hAnsi="Cambria" w:cstheme="minorHAnsi"/>
        </w:rPr>
        <w:t xml:space="preserve">In high income settings, attrition </w:t>
      </w:r>
      <w:r w:rsidR="006E64DC">
        <w:rPr>
          <w:rFonts w:ascii="Cambria" w:hAnsi="Cambria" w:cstheme="minorHAnsi"/>
        </w:rPr>
        <w:t>rates</w:t>
      </w:r>
      <w:r w:rsidR="0040070A">
        <w:rPr>
          <w:rFonts w:ascii="Cambria" w:hAnsi="Cambria" w:cstheme="minorHAnsi"/>
        </w:rPr>
        <w:t xml:space="preserve"> </w:t>
      </w:r>
      <w:r>
        <w:rPr>
          <w:rFonts w:ascii="Cambria" w:hAnsi="Cambria" w:cstheme="minorHAnsi"/>
        </w:rPr>
        <w:t>var</w:t>
      </w:r>
      <w:r w:rsidR="006E64DC">
        <w:rPr>
          <w:rFonts w:ascii="Cambria" w:hAnsi="Cambria" w:cstheme="minorHAnsi"/>
        </w:rPr>
        <w:t>y</w:t>
      </w:r>
      <w:r>
        <w:rPr>
          <w:rFonts w:ascii="Cambria" w:hAnsi="Cambria" w:cstheme="minorHAnsi"/>
        </w:rPr>
        <w:t xml:space="preserve"> </w:t>
      </w:r>
      <w:r w:rsidR="006E64DC">
        <w:rPr>
          <w:rFonts w:ascii="Cambria" w:hAnsi="Cambria" w:cstheme="minorHAnsi"/>
        </w:rPr>
        <w:t>cross-nationally</w:t>
      </w:r>
      <w:r>
        <w:rPr>
          <w:rFonts w:ascii="Cambria" w:hAnsi="Cambria" w:cstheme="minorHAnsi"/>
        </w:rPr>
        <w:t>, being somewhat higher in the UK than</w:t>
      </w:r>
      <w:r w:rsidR="00B70120">
        <w:rPr>
          <w:rFonts w:ascii="Cambria" w:hAnsi="Cambria" w:cstheme="minorHAnsi"/>
        </w:rPr>
        <w:t xml:space="preserve"> many</w:t>
      </w:r>
      <w:r>
        <w:rPr>
          <w:rFonts w:ascii="Cambria" w:hAnsi="Cambria" w:cstheme="minorHAnsi"/>
        </w:rPr>
        <w:t xml:space="preserve"> other countries (J</w:t>
      </w:r>
      <w:r w:rsidR="004F4812">
        <w:rPr>
          <w:rFonts w:ascii="Cambria" w:hAnsi="Cambria" w:cstheme="minorHAnsi"/>
        </w:rPr>
        <w:t>e</w:t>
      </w:r>
      <w:r>
        <w:rPr>
          <w:rFonts w:ascii="Cambria" w:hAnsi="Cambria" w:cstheme="minorHAnsi"/>
        </w:rPr>
        <w:t xml:space="preserve">nkins </w:t>
      </w:r>
      <w:r w:rsidR="00AB2061">
        <w:rPr>
          <w:rFonts w:ascii="Cambria" w:hAnsi="Cambria" w:cstheme="minorHAnsi"/>
        </w:rPr>
        <w:t xml:space="preserve">and </w:t>
      </w:r>
      <w:r>
        <w:rPr>
          <w:rFonts w:ascii="Cambria" w:hAnsi="Cambria" w:cstheme="minorHAnsi"/>
        </w:rPr>
        <w:t xml:space="preserve">van Kerm, 2017). </w:t>
      </w:r>
      <w:r w:rsidR="00E00202">
        <w:rPr>
          <w:rFonts w:ascii="Cambria" w:hAnsi="Cambria" w:cstheme="minorHAnsi"/>
        </w:rPr>
        <w:t>Attrition also</w:t>
      </w:r>
      <w:r>
        <w:rPr>
          <w:rFonts w:ascii="Cambria" w:hAnsi="Cambria" w:cstheme="minorHAnsi"/>
        </w:rPr>
        <w:t xml:space="preserve"> tends to be greatest among young men, </w:t>
      </w:r>
      <w:r w:rsidR="00E00202">
        <w:rPr>
          <w:rFonts w:ascii="Cambria" w:hAnsi="Cambria" w:cstheme="minorHAnsi"/>
        </w:rPr>
        <w:t>renters</w:t>
      </w:r>
      <w:r w:rsidR="009522DD">
        <w:rPr>
          <w:rFonts w:ascii="Cambria" w:hAnsi="Cambria" w:cstheme="minorHAnsi"/>
        </w:rPr>
        <w:t>,</w:t>
      </w:r>
      <w:r w:rsidR="00E00202">
        <w:rPr>
          <w:rFonts w:ascii="Cambria" w:hAnsi="Cambria" w:cstheme="minorHAnsi"/>
        </w:rPr>
        <w:t xml:space="preserve"> </w:t>
      </w:r>
      <w:r>
        <w:rPr>
          <w:rFonts w:ascii="Cambria" w:hAnsi="Cambria" w:cstheme="minorHAnsi"/>
        </w:rPr>
        <w:t xml:space="preserve">those who are more geographically mobile, </w:t>
      </w:r>
      <w:r w:rsidR="00E00202">
        <w:rPr>
          <w:rFonts w:ascii="Cambria" w:hAnsi="Cambria" w:cstheme="minorHAnsi"/>
        </w:rPr>
        <w:t xml:space="preserve">minorities and </w:t>
      </w:r>
      <w:r>
        <w:rPr>
          <w:rFonts w:ascii="Cambria" w:hAnsi="Cambria" w:cstheme="minorHAnsi"/>
        </w:rPr>
        <w:t xml:space="preserve">those who are more socio-economically disadvantaged (Lynn </w:t>
      </w:r>
      <w:r w:rsidR="00E00202">
        <w:rPr>
          <w:rFonts w:ascii="Cambria" w:hAnsi="Cambria" w:cstheme="minorHAnsi"/>
        </w:rPr>
        <w:t xml:space="preserve">and </w:t>
      </w:r>
      <w:r w:rsidRPr="0049580E">
        <w:rPr>
          <w:rFonts w:ascii="Cambria" w:hAnsi="Cambria" w:cstheme="minorHAnsi"/>
        </w:rPr>
        <w:t>Borkowska</w:t>
      </w:r>
      <w:r>
        <w:rPr>
          <w:rFonts w:ascii="Cambria" w:hAnsi="Cambria" w:cstheme="minorHAnsi"/>
        </w:rPr>
        <w:t>,</w:t>
      </w:r>
      <w:r w:rsidRPr="0049580E">
        <w:rPr>
          <w:rFonts w:ascii="Cambria" w:hAnsi="Cambria" w:cstheme="minorHAnsi"/>
        </w:rPr>
        <w:t xml:space="preserve"> </w:t>
      </w:r>
      <w:r>
        <w:rPr>
          <w:rFonts w:ascii="Cambria" w:hAnsi="Cambria" w:cstheme="minorHAnsi"/>
        </w:rPr>
        <w:t xml:space="preserve">2018; Jenkins </w:t>
      </w:r>
      <w:r w:rsidR="00E00202">
        <w:rPr>
          <w:rFonts w:ascii="Cambria" w:hAnsi="Cambria" w:cstheme="minorHAnsi"/>
        </w:rPr>
        <w:t xml:space="preserve">and </w:t>
      </w:r>
      <w:r>
        <w:rPr>
          <w:rFonts w:ascii="Cambria" w:hAnsi="Cambria" w:cstheme="minorHAnsi"/>
        </w:rPr>
        <w:t xml:space="preserve">van Kerm, 2017). </w:t>
      </w:r>
      <w:r w:rsidR="0004674E">
        <w:rPr>
          <w:rFonts w:ascii="Cambria" w:hAnsi="Cambria" w:cstheme="minorHAnsi"/>
        </w:rPr>
        <w:t xml:space="preserve">This </w:t>
      </w:r>
      <w:r w:rsidR="00A95D7E">
        <w:rPr>
          <w:rFonts w:ascii="Cambria" w:hAnsi="Cambria" w:cstheme="minorHAnsi"/>
        </w:rPr>
        <w:t xml:space="preserve">selectivity </w:t>
      </w:r>
      <w:r w:rsidR="0004674E">
        <w:rPr>
          <w:rFonts w:ascii="Cambria" w:hAnsi="Cambria" w:cstheme="minorHAnsi"/>
        </w:rPr>
        <w:t>can lead to biased estimates</w:t>
      </w:r>
      <w:r w:rsidR="009522DD">
        <w:rPr>
          <w:rFonts w:ascii="Cambria" w:hAnsi="Cambria" w:cstheme="minorHAnsi"/>
        </w:rPr>
        <w:t>, al</w:t>
      </w:r>
      <w:r>
        <w:rPr>
          <w:rFonts w:ascii="Cambria" w:hAnsi="Cambria" w:cstheme="minorHAnsi"/>
        </w:rPr>
        <w:t>though the extent to which attrition bias serious</w:t>
      </w:r>
      <w:r w:rsidR="00180281">
        <w:rPr>
          <w:rFonts w:ascii="Cambria" w:hAnsi="Cambria" w:cstheme="minorHAnsi"/>
        </w:rPr>
        <w:t>ly</w:t>
      </w:r>
      <w:r>
        <w:rPr>
          <w:rFonts w:ascii="Cambria" w:hAnsi="Cambria" w:cstheme="minorHAnsi"/>
        </w:rPr>
        <w:t xml:space="preserve"> affects substantive findings </w:t>
      </w:r>
      <w:r w:rsidR="00BA43CD">
        <w:rPr>
          <w:rFonts w:ascii="Cambria" w:hAnsi="Cambria" w:cstheme="minorHAnsi"/>
        </w:rPr>
        <w:t xml:space="preserve">is </w:t>
      </w:r>
      <w:r>
        <w:rPr>
          <w:rFonts w:ascii="Cambria" w:hAnsi="Cambria" w:cstheme="minorHAnsi"/>
        </w:rPr>
        <w:t>debated.</w:t>
      </w:r>
      <w:r w:rsidR="0004674E">
        <w:rPr>
          <w:rFonts w:ascii="Cambria" w:hAnsi="Cambria" w:cstheme="minorHAnsi"/>
        </w:rPr>
        <w:t xml:space="preserve"> </w:t>
      </w:r>
      <w:r>
        <w:rPr>
          <w:rFonts w:ascii="Cambria" w:hAnsi="Cambria" w:cstheme="minorHAnsi"/>
        </w:rPr>
        <w:t xml:space="preserve">Whilst </w:t>
      </w:r>
      <w:r w:rsidR="003C1208">
        <w:rPr>
          <w:rFonts w:ascii="Cambria" w:hAnsi="Cambria" w:cstheme="minorHAnsi"/>
        </w:rPr>
        <w:t>some</w:t>
      </w:r>
      <w:r>
        <w:rPr>
          <w:rFonts w:ascii="Cambria" w:hAnsi="Cambria" w:cstheme="minorHAnsi"/>
        </w:rPr>
        <w:t xml:space="preserve"> authors report benign effects (</w:t>
      </w:r>
      <w:r w:rsidR="000F5CEA">
        <w:rPr>
          <w:rFonts w:ascii="Cambria" w:hAnsi="Cambria" w:cstheme="minorHAnsi"/>
        </w:rPr>
        <w:t xml:space="preserve">Bayrakdar and Coulter, 2018; Stone et al., 2014; </w:t>
      </w:r>
      <w:r>
        <w:rPr>
          <w:rFonts w:ascii="Cambria" w:hAnsi="Cambria" w:cstheme="minorHAnsi"/>
        </w:rPr>
        <w:t xml:space="preserve">Watson, 2003), </w:t>
      </w:r>
      <w:r w:rsidR="000F5CEA">
        <w:rPr>
          <w:rFonts w:ascii="Cambria" w:hAnsi="Cambria" w:cstheme="minorHAnsi"/>
        </w:rPr>
        <w:t xml:space="preserve">others </w:t>
      </w:r>
      <w:r>
        <w:rPr>
          <w:rFonts w:ascii="Cambria" w:hAnsi="Cambria" w:cstheme="minorHAnsi"/>
        </w:rPr>
        <w:t>more cautious</w:t>
      </w:r>
      <w:r w:rsidR="00A85661">
        <w:rPr>
          <w:rFonts w:ascii="Cambria" w:hAnsi="Cambria" w:cstheme="minorHAnsi"/>
        </w:rPr>
        <w:t>ly</w:t>
      </w:r>
      <w:r>
        <w:rPr>
          <w:rFonts w:ascii="Cambria" w:hAnsi="Cambria" w:cstheme="minorHAnsi"/>
        </w:rPr>
        <w:t xml:space="preserve"> suggest that attrition bias can have substantial impact</w:t>
      </w:r>
      <w:r w:rsidR="00AA4D35">
        <w:rPr>
          <w:rFonts w:ascii="Cambria" w:hAnsi="Cambria" w:cstheme="minorHAnsi"/>
        </w:rPr>
        <w:t>s</w:t>
      </w:r>
      <w:r>
        <w:rPr>
          <w:rFonts w:ascii="Cambria" w:hAnsi="Cambria" w:cstheme="minorHAnsi"/>
        </w:rPr>
        <w:t xml:space="preserve"> </w:t>
      </w:r>
      <w:r w:rsidR="00A85661">
        <w:rPr>
          <w:rFonts w:ascii="Cambria" w:hAnsi="Cambria" w:cstheme="minorHAnsi"/>
        </w:rPr>
        <w:t>(Jenkins and van Kerm, 2017)</w:t>
      </w:r>
      <w:r w:rsidR="009B325D">
        <w:rPr>
          <w:rFonts w:ascii="Cambria" w:hAnsi="Cambria" w:cstheme="minorHAnsi"/>
        </w:rPr>
        <w:t>.</w:t>
      </w:r>
      <w:r w:rsidR="00880EB7">
        <w:rPr>
          <w:rFonts w:ascii="Cambria" w:hAnsi="Cambria" w:cstheme="minorHAnsi"/>
        </w:rPr>
        <w:t xml:space="preserve"> </w:t>
      </w:r>
      <w:r w:rsidR="00A4093C">
        <w:rPr>
          <w:rFonts w:ascii="Cambria" w:hAnsi="Cambria" w:cstheme="minorHAnsi"/>
        </w:rPr>
        <w:t xml:space="preserve">Given that </w:t>
      </w:r>
      <w:r w:rsidR="00880EB7">
        <w:rPr>
          <w:rFonts w:ascii="Cambria" w:hAnsi="Cambria" w:cstheme="minorHAnsi"/>
        </w:rPr>
        <w:t>response rates in social surveys</w:t>
      </w:r>
      <w:r w:rsidR="00A4093C">
        <w:rPr>
          <w:rFonts w:ascii="Cambria" w:hAnsi="Cambria" w:cstheme="minorHAnsi"/>
        </w:rPr>
        <w:t xml:space="preserve"> tend to be</w:t>
      </w:r>
      <w:r w:rsidR="00880EB7">
        <w:rPr>
          <w:rFonts w:ascii="Cambria" w:hAnsi="Cambria" w:cstheme="minorHAnsi"/>
        </w:rPr>
        <w:t xml:space="preserve"> reducing over time, the potential for attrition bias is becoming stronger. </w:t>
      </w:r>
      <w:r w:rsidR="00A4093C">
        <w:rPr>
          <w:rFonts w:ascii="Cambria" w:hAnsi="Cambria" w:cstheme="minorHAnsi"/>
        </w:rPr>
        <w:t>For example, whilst 78% of the B</w:t>
      </w:r>
      <w:r w:rsidR="00784058">
        <w:rPr>
          <w:rFonts w:ascii="Cambria" w:hAnsi="Cambria" w:cstheme="minorHAnsi"/>
        </w:rPr>
        <w:t xml:space="preserve">ritish </w:t>
      </w:r>
      <w:r w:rsidR="00A4093C">
        <w:rPr>
          <w:rFonts w:ascii="Cambria" w:hAnsi="Cambria" w:cstheme="minorHAnsi"/>
        </w:rPr>
        <w:t>H</w:t>
      </w:r>
      <w:r w:rsidR="00784058">
        <w:rPr>
          <w:rFonts w:ascii="Cambria" w:hAnsi="Cambria" w:cstheme="minorHAnsi"/>
        </w:rPr>
        <w:t xml:space="preserve">ousehold </w:t>
      </w:r>
      <w:r w:rsidR="00A4093C">
        <w:rPr>
          <w:rFonts w:ascii="Cambria" w:hAnsi="Cambria" w:cstheme="minorHAnsi"/>
        </w:rPr>
        <w:t>P</w:t>
      </w:r>
      <w:r w:rsidR="00784058">
        <w:rPr>
          <w:rFonts w:ascii="Cambria" w:hAnsi="Cambria" w:cstheme="minorHAnsi"/>
        </w:rPr>
        <w:t xml:space="preserve">anel </w:t>
      </w:r>
      <w:r w:rsidR="00A4093C">
        <w:rPr>
          <w:rFonts w:ascii="Cambria" w:hAnsi="Cambria" w:cstheme="minorHAnsi"/>
        </w:rPr>
        <w:t>S</w:t>
      </w:r>
      <w:r w:rsidR="00784058">
        <w:rPr>
          <w:rFonts w:ascii="Cambria" w:hAnsi="Cambria" w:cstheme="minorHAnsi"/>
        </w:rPr>
        <w:t>tudy</w:t>
      </w:r>
      <w:r w:rsidR="00A4093C">
        <w:rPr>
          <w:rFonts w:ascii="Cambria" w:hAnsi="Cambria" w:cstheme="minorHAnsi"/>
        </w:rPr>
        <w:t xml:space="preserve"> sample were still participating after six years</w:t>
      </w:r>
      <w:r w:rsidR="001A0DE0">
        <w:rPr>
          <w:rFonts w:ascii="Cambria" w:hAnsi="Cambria" w:cstheme="minorHAnsi"/>
        </w:rPr>
        <w:t xml:space="preserve"> (1991-1997)</w:t>
      </w:r>
      <w:r w:rsidR="00A4093C">
        <w:rPr>
          <w:rFonts w:ascii="Cambria" w:hAnsi="Cambria" w:cstheme="minorHAnsi"/>
        </w:rPr>
        <w:t>, the equivalent percentage for the main sample of the Understanding Society</w:t>
      </w:r>
      <w:r w:rsidR="001A0DE0">
        <w:rPr>
          <w:rFonts w:ascii="Cambria" w:hAnsi="Cambria" w:cstheme="minorHAnsi"/>
        </w:rPr>
        <w:t xml:space="preserve"> survey (2009/10-2015/16) was 52%</w:t>
      </w:r>
      <w:r w:rsidR="00880EB7">
        <w:rPr>
          <w:rFonts w:ascii="Cambria" w:hAnsi="Cambria" w:cstheme="minorHAnsi"/>
        </w:rPr>
        <w:t xml:space="preserve"> (Lynn </w:t>
      </w:r>
      <w:r w:rsidR="00A3546F">
        <w:rPr>
          <w:rFonts w:ascii="Cambria" w:hAnsi="Cambria" w:cstheme="minorHAnsi"/>
        </w:rPr>
        <w:t>and</w:t>
      </w:r>
      <w:r w:rsidR="00880EB7">
        <w:rPr>
          <w:rFonts w:ascii="Cambria" w:hAnsi="Cambria" w:cstheme="minorHAnsi"/>
        </w:rPr>
        <w:t xml:space="preserve"> Borkowska, 2018).</w:t>
      </w:r>
      <w:r w:rsidR="00122BD5">
        <w:rPr>
          <w:rFonts w:ascii="Cambria" w:hAnsi="Cambria" w:cstheme="minorHAnsi"/>
        </w:rPr>
        <w:t xml:space="preserve">  If attrition can be predicted by observed </w:t>
      </w:r>
      <w:r w:rsidR="00122BD5" w:rsidRPr="00D25698">
        <w:rPr>
          <w:rFonts w:ascii="Cambria" w:hAnsi="Cambria" w:cstheme="minorHAnsi"/>
        </w:rPr>
        <w:t xml:space="preserve">characteristics in previous waves </w:t>
      </w:r>
      <w:r w:rsidR="00804E7A">
        <w:rPr>
          <w:rFonts w:ascii="Cambria" w:hAnsi="Cambria" w:cstheme="minorHAnsi"/>
        </w:rPr>
        <w:t xml:space="preserve">(benchmarked against census or representative administrative data) </w:t>
      </w:r>
      <w:r w:rsidR="00122BD5" w:rsidRPr="00D25698">
        <w:rPr>
          <w:rFonts w:ascii="Cambria" w:hAnsi="Cambria" w:cstheme="minorHAnsi"/>
        </w:rPr>
        <w:t xml:space="preserve">then </w:t>
      </w:r>
      <w:r w:rsidR="0076326D" w:rsidRPr="00D25698">
        <w:rPr>
          <w:rFonts w:ascii="Cambria" w:hAnsi="Cambria" w:cstheme="minorHAnsi"/>
        </w:rPr>
        <w:t>w</w:t>
      </w:r>
      <w:r w:rsidR="00122BD5" w:rsidRPr="00D25698">
        <w:rPr>
          <w:rFonts w:ascii="Cambria" w:hAnsi="Cambria" w:cstheme="minorHAnsi"/>
        </w:rPr>
        <w:t xml:space="preserve">eighting strategies can be applied to </w:t>
      </w:r>
      <w:r w:rsidR="0076326D" w:rsidRPr="00D25698">
        <w:rPr>
          <w:rFonts w:ascii="Cambria" w:hAnsi="Cambria" w:cstheme="minorHAnsi"/>
        </w:rPr>
        <w:t>ensure that the sample characteristics remain representative</w:t>
      </w:r>
      <w:r w:rsidR="00A3546F" w:rsidRPr="000020B4">
        <w:rPr>
          <w:rFonts w:ascii="Cambria" w:hAnsi="Cambria" w:cs="Arial"/>
          <w:color w:val="222222"/>
          <w:shd w:val="clear" w:color="auto" w:fill="FFFFFF"/>
        </w:rPr>
        <w:t xml:space="preserve"> (</w:t>
      </w:r>
      <w:r w:rsidR="00D25698" w:rsidRPr="000020B4">
        <w:rPr>
          <w:rFonts w:ascii="Cambria" w:hAnsi="Cambria" w:cs="Arial"/>
          <w:color w:val="222222"/>
          <w:shd w:val="clear" w:color="auto" w:fill="FFFFFF"/>
        </w:rPr>
        <w:t xml:space="preserve">Little </w:t>
      </w:r>
      <w:r w:rsidR="00756929">
        <w:rPr>
          <w:rFonts w:ascii="Cambria" w:hAnsi="Cambria" w:cs="Arial"/>
          <w:color w:val="222222"/>
          <w:shd w:val="clear" w:color="auto" w:fill="FFFFFF"/>
        </w:rPr>
        <w:t>and</w:t>
      </w:r>
      <w:r w:rsidR="00756929" w:rsidRPr="000020B4">
        <w:rPr>
          <w:rFonts w:ascii="Cambria" w:hAnsi="Cambria" w:cs="Arial"/>
          <w:color w:val="222222"/>
          <w:shd w:val="clear" w:color="auto" w:fill="FFFFFF"/>
        </w:rPr>
        <w:t xml:space="preserve"> </w:t>
      </w:r>
      <w:r w:rsidR="00D25698" w:rsidRPr="000020B4">
        <w:rPr>
          <w:rFonts w:ascii="Cambria" w:hAnsi="Cambria" w:cs="Arial"/>
          <w:color w:val="222222"/>
          <w:shd w:val="clear" w:color="auto" w:fill="FFFFFF"/>
        </w:rPr>
        <w:t xml:space="preserve">Rubin, 2019; </w:t>
      </w:r>
      <w:r w:rsidR="00A3546F" w:rsidRPr="000020B4">
        <w:rPr>
          <w:rFonts w:ascii="Cambria" w:hAnsi="Cambria" w:cs="Arial"/>
          <w:color w:val="222222"/>
          <w:shd w:val="clear" w:color="auto" w:fill="FFFFFF"/>
        </w:rPr>
        <w:t>Seaman and White, 2013).</w:t>
      </w:r>
      <w:r w:rsidR="0076326D" w:rsidRPr="00D25698">
        <w:rPr>
          <w:rFonts w:ascii="Cambria" w:hAnsi="Cambria" w:cstheme="minorHAnsi"/>
        </w:rPr>
        <w:t xml:space="preserve"> However, if those who remain in the sample differ systematically on unobserved characteristic</w:t>
      </w:r>
      <w:r w:rsidR="00AF632B">
        <w:rPr>
          <w:rFonts w:ascii="Cambria" w:hAnsi="Cambria" w:cstheme="minorHAnsi"/>
        </w:rPr>
        <w:t>s</w:t>
      </w:r>
      <w:r w:rsidR="0076326D" w:rsidRPr="00D25698">
        <w:rPr>
          <w:rFonts w:ascii="Cambria" w:hAnsi="Cambria" w:cstheme="minorHAnsi"/>
        </w:rPr>
        <w:t>, and these unobserved characteristics are associated with the outcome of interest</w:t>
      </w:r>
      <w:r w:rsidR="00AF632B">
        <w:rPr>
          <w:rFonts w:ascii="Cambria" w:hAnsi="Cambria" w:cstheme="minorHAnsi"/>
        </w:rPr>
        <w:t>,</w:t>
      </w:r>
      <w:r w:rsidR="0076326D" w:rsidRPr="00D25698">
        <w:rPr>
          <w:rFonts w:ascii="Cambria" w:hAnsi="Cambria" w:cstheme="minorHAnsi"/>
        </w:rPr>
        <w:t xml:space="preserve"> then </w:t>
      </w:r>
      <w:r w:rsidR="009A1681">
        <w:rPr>
          <w:rFonts w:ascii="Cambria" w:hAnsi="Cambria" w:cstheme="minorHAnsi"/>
        </w:rPr>
        <w:t>biases can creep in</w:t>
      </w:r>
      <w:r w:rsidR="0076326D" w:rsidRPr="00D25698">
        <w:rPr>
          <w:rFonts w:ascii="Cambria" w:hAnsi="Cambria" w:cstheme="minorHAnsi"/>
        </w:rPr>
        <w:t xml:space="preserve">. </w:t>
      </w:r>
    </w:p>
    <w:p w14:paraId="6BF4EF45" w14:textId="09F1FFD5" w:rsidR="00C73440" w:rsidRDefault="00122BD5" w:rsidP="00B16720">
      <w:pPr>
        <w:spacing w:after="240" w:line="480" w:lineRule="auto"/>
        <w:rPr>
          <w:rFonts w:ascii="Cambria" w:hAnsi="Cambria" w:cstheme="minorHAnsi"/>
        </w:rPr>
      </w:pPr>
      <w:r w:rsidRPr="00D25698">
        <w:rPr>
          <w:rFonts w:ascii="Cambria" w:hAnsi="Cambria" w:cstheme="minorHAnsi"/>
        </w:rPr>
        <w:t xml:space="preserve">Housing researchers need to be particularly aware of the possibility that </w:t>
      </w:r>
      <w:r w:rsidR="000705BA">
        <w:rPr>
          <w:rFonts w:ascii="Cambria" w:hAnsi="Cambria" w:cstheme="minorHAnsi"/>
        </w:rPr>
        <w:t>attrition</w:t>
      </w:r>
      <w:r w:rsidRPr="00D25698">
        <w:rPr>
          <w:rFonts w:ascii="Cambria" w:hAnsi="Cambria" w:cstheme="minorHAnsi"/>
        </w:rPr>
        <w:t xml:space="preserve"> is associated with residential </w:t>
      </w:r>
      <w:r w:rsidR="004A4071" w:rsidRPr="00D25698">
        <w:rPr>
          <w:rFonts w:ascii="Cambria" w:hAnsi="Cambria" w:cstheme="minorHAnsi"/>
        </w:rPr>
        <w:t>mo</w:t>
      </w:r>
      <w:r w:rsidR="004A4071">
        <w:rPr>
          <w:rFonts w:ascii="Cambria" w:hAnsi="Cambria" w:cstheme="minorHAnsi"/>
        </w:rPr>
        <w:t>bility</w:t>
      </w:r>
      <w:r w:rsidRPr="00D25698">
        <w:rPr>
          <w:rFonts w:ascii="Cambria" w:hAnsi="Cambria" w:cstheme="minorHAnsi"/>
        </w:rPr>
        <w:t xml:space="preserve">. The continually </w:t>
      </w:r>
      <w:r w:rsidR="000705BA">
        <w:rPr>
          <w:rFonts w:ascii="Cambria" w:hAnsi="Cambria" w:cstheme="minorHAnsi"/>
        </w:rPr>
        <w:t>tracked</w:t>
      </w:r>
      <w:r w:rsidRPr="00D25698">
        <w:rPr>
          <w:rFonts w:ascii="Cambria" w:hAnsi="Cambria" w:cstheme="minorHAnsi"/>
        </w:rPr>
        <w:t xml:space="preserve"> sample </w:t>
      </w:r>
      <w:r w:rsidR="0076326D" w:rsidRPr="00D25698">
        <w:rPr>
          <w:rFonts w:ascii="Cambria" w:hAnsi="Cambria" w:cstheme="minorHAnsi"/>
        </w:rPr>
        <w:t xml:space="preserve">will </w:t>
      </w:r>
      <w:r w:rsidR="00DC6465">
        <w:rPr>
          <w:rFonts w:ascii="Cambria" w:hAnsi="Cambria" w:cstheme="minorHAnsi"/>
        </w:rPr>
        <w:t xml:space="preserve">therefore </w:t>
      </w:r>
      <w:r w:rsidR="006A4B13">
        <w:rPr>
          <w:rFonts w:ascii="Cambria" w:hAnsi="Cambria" w:cstheme="minorHAnsi"/>
        </w:rPr>
        <w:t xml:space="preserve">likely </w:t>
      </w:r>
      <w:r w:rsidRPr="00D25698">
        <w:rPr>
          <w:rFonts w:ascii="Cambria" w:hAnsi="Cambria" w:cstheme="minorHAnsi"/>
        </w:rPr>
        <w:t xml:space="preserve">over-represent those in more stable </w:t>
      </w:r>
      <w:r w:rsidR="00D90EFE">
        <w:rPr>
          <w:rFonts w:ascii="Cambria" w:hAnsi="Cambria" w:cstheme="minorHAnsi"/>
        </w:rPr>
        <w:t>residential</w:t>
      </w:r>
      <w:r w:rsidR="00D90EFE" w:rsidRPr="00D25698">
        <w:rPr>
          <w:rFonts w:ascii="Cambria" w:hAnsi="Cambria" w:cstheme="minorHAnsi"/>
        </w:rPr>
        <w:t xml:space="preserve"> </w:t>
      </w:r>
      <w:r w:rsidRPr="00D25698">
        <w:rPr>
          <w:rFonts w:ascii="Cambria" w:hAnsi="Cambria" w:cstheme="minorHAnsi"/>
        </w:rPr>
        <w:t>situations</w:t>
      </w:r>
      <w:r w:rsidR="00BC47FC">
        <w:rPr>
          <w:rFonts w:ascii="Cambria" w:hAnsi="Cambria" w:cstheme="minorHAnsi"/>
        </w:rPr>
        <w:t>,</w:t>
      </w:r>
      <w:r w:rsidR="006223AA">
        <w:rPr>
          <w:rFonts w:ascii="Cambria" w:hAnsi="Cambria" w:cstheme="minorHAnsi"/>
        </w:rPr>
        <w:t xml:space="preserve"> such as owner-occupation</w:t>
      </w:r>
      <w:r w:rsidRPr="00D25698">
        <w:rPr>
          <w:rFonts w:ascii="Cambria" w:hAnsi="Cambria" w:cstheme="minorHAnsi"/>
        </w:rPr>
        <w:t>. It is</w:t>
      </w:r>
      <w:r w:rsidR="0076326D" w:rsidRPr="00D25698">
        <w:rPr>
          <w:rFonts w:ascii="Cambria" w:hAnsi="Cambria" w:cstheme="minorHAnsi"/>
        </w:rPr>
        <w:t xml:space="preserve"> particularly difficult</w:t>
      </w:r>
      <w:r w:rsidR="0076326D">
        <w:rPr>
          <w:rFonts w:ascii="Cambria" w:hAnsi="Cambria" w:cstheme="minorHAnsi"/>
        </w:rPr>
        <w:t xml:space="preserve"> to follow up young adults since residential mobility </w:t>
      </w:r>
      <w:r w:rsidR="00014FF4">
        <w:rPr>
          <w:rFonts w:ascii="Cambria" w:hAnsi="Cambria" w:cstheme="minorHAnsi"/>
        </w:rPr>
        <w:t>(</w:t>
      </w:r>
      <w:r w:rsidR="0076326D">
        <w:rPr>
          <w:rFonts w:ascii="Cambria" w:hAnsi="Cambria" w:cstheme="minorHAnsi"/>
        </w:rPr>
        <w:t>e.g. upon leaving home</w:t>
      </w:r>
      <w:r w:rsidR="00014FF4">
        <w:rPr>
          <w:rFonts w:ascii="Cambria" w:hAnsi="Cambria" w:cstheme="minorHAnsi"/>
        </w:rPr>
        <w:t>)</w:t>
      </w:r>
      <w:r w:rsidR="0076326D">
        <w:rPr>
          <w:rFonts w:ascii="Cambria" w:hAnsi="Cambria" w:cstheme="minorHAnsi"/>
        </w:rPr>
        <w:t xml:space="preserve"> </w:t>
      </w:r>
      <w:r w:rsidR="000F5CEA">
        <w:rPr>
          <w:rFonts w:ascii="Cambria" w:hAnsi="Cambria" w:cstheme="minorHAnsi"/>
        </w:rPr>
        <w:t>is</w:t>
      </w:r>
      <w:r w:rsidR="0076326D">
        <w:rPr>
          <w:rFonts w:ascii="Cambria" w:hAnsi="Cambria" w:cstheme="minorHAnsi"/>
        </w:rPr>
        <w:t xml:space="preserve"> associated with </w:t>
      </w:r>
      <w:r w:rsidR="00014FF4">
        <w:rPr>
          <w:rFonts w:ascii="Cambria" w:hAnsi="Cambria" w:cstheme="minorHAnsi"/>
        </w:rPr>
        <w:t>drop out</w:t>
      </w:r>
      <w:r w:rsidR="000F5CEA">
        <w:rPr>
          <w:rFonts w:ascii="Cambria" w:hAnsi="Cambria" w:cstheme="minorHAnsi"/>
        </w:rPr>
        <w:t xml:space="preserve"> (</w:t>
      </w:r>
      <w:bookmarkStart w:id="3" w:name="OLE_LINK7"/>
      <w:bookmarkStart w:id="4" w:name="OLE_LINK8"/>
      <w:bookmarkStart w:id="5" w:name="OLE_LINK9"/>
      <w:r w:rsidR="000F5CEA">
        <w:rPr>
          <w:rFonts w:ascii="Cambria" w:hAnsi="Cambria" w:cstheme="minorHAnsi"/>
        </w:rPr>
        <w:t>Bayrakdar and Coulter, 2018</w:t>
      </w:r>
      <w:bookmarkEnd w:id="3"/>
      <w:bookmarkEnd w:id="4"/>
      <w:bookmarkEnd w:id="5"/>
      <w:r w:rsidR="000F5CEA">
        <w:rPr>
          <w:rFonts w:ascii="Cambria" w:hAnsi="Cambria" w:cstheme="minorHAnsi"/>
        </w:rPr>
        <w:t>)</w:t>
      </w:r>
      <w:r w:rsidR="0076326D">
        <w:rPr>
          <w:rFonts w:ascii="Cambria" w:hAnsi="Cambria" w:cstheme="minorHAnsi"/>
        </w:rPr>
        <w:t>.  One strategy</w:t>
      </w:r>
      <w:r w:rsidR="000F5CEA">
        <w:rPr>
          <w:rFonts w:ascii="Cambria" w:hAnsi="Cambria" w:cstheme="minorHAnsi"/>
        </w:rPr>
        <w:t>,</w:t>
      </w:r>
      <w:r w:rsidR="0076326D">
        <w:rPr>
          <w:rFonts w:ascii="Cambria" w:hAnsi="Cambria" w:cstheme="minorHAnsi"/>
        </w:rPr>
        <w:t xml:space="preserve"> successfully employed by Stone et al. (2014)</w:t>
      </w:r>
      <w:r w:rsidR="009E1EA9">
        <w:rPr>
          <w:rFonts w:ascii="Cambria" w:hAnsi="Cambria" w:cstheme="minorHAnsi"/>
        </w:rPr>
        <w:t>,</w:t>
      </w:r>
      <w:r w:rsidR="0076326D">
        <w:rPr>
          <w:rFonts w:ascii="Cambria" w:hAnsi="Cambria" w:cstheme="minorHAnsi"/>
        </w:rPr>
        <w:t xml:space="preserve"> was to use a selection model to jointly model the probability of remaining in the sample and the probability for the outcome of interest (in this case returning to the parental home).</w:t>
      </w:r>
      <w:r w:rsidR="00C76A9A">
        <w:rPr>
          <w:rFonts w:ascii="Cambria" w:hAnsi="Cambria" w:cstheme="minorHAnsi"/>
        </w:rPr>
        <w:t xml:space="preserve"> Such an approach requires the use of instrumental variables, which</w:t>
      </w:r>
      <w:r w:rsidR="00A7628B">
        <w:rPr>
          <w:rFonts w:ascii="Cambria" w:hAnsi="Cambria" w:cstheme="minorHAnsi"/>
        </w:rPr>
        <w:t xml:space="preserve"> for longitudinal surveys</w:t>
      </w:r>
      <w:r w:rsidR="00C76A9A">
        <w:rPr>
          <w:rFonts w:ascii="Cambria" w:hAnsi="Cambria" w:cstheme="minorHAnsi"/>
        </w:rPr>
        <w:t xml:space="preserve"> could come from the paradata concerning contact and interview details from previous waves.</w:t>
      </w:r>
      <w:r w:rsidR="00C73440">
        <w:rPr>
          <w:rFonts w:ascii="Cambria" w:hAnsi="Cambria" w:cstheme="minorHAnsi"/>
        </w:rPr>
        <w:t xml:space="preserve"> Alternatively</w:t>
      </w:r>
      <w:r w:rsidR="00C73440" w:rsidRPr="00AA327C">
        <w:rPr>
          <w:rFonts w:ascii="Cambria" w:hAnsi="Cambria" w:cstheme="minorHAnsi"/>
        </w:rPr>
        <w:t xml:space="preserve">, one way of minimising attrition bias is to </w:t>
      </w:r>
      <w:r w:rsidR="009E1EA9">
        <w:rPr>
          <w:rFonts w:ascii="Cambria" w:hAnsi="Cambria" w:cstheme="minorHAnsi"/>
        </w:rPr>
        <w:t>draw on</w:t>
      </w:r>
      <w:r w:rsidR="009E1EA9" w:rsidRPr="00AA327C">
        <w:rPr>
          <w:rFonts w:ascii="Cambria" w:hAnsi="Cambria" w:cstheme="minorHAnsi"/>
        </w:rPr>
        <w:t xml:space="preserve"> </w:t>
      </w:r>
      <w:r w:rsidR="00C73440" w:rsidRPr="00AA327C">
        <w:rPr>
          <w:rFonts w:ascii="Cambria" w:hAnsi="Cambria" w:cstheme="minorHAnsi"/>
        </w:rPr>
        <w:t xml:space="preserve">administratively-linked </w:t>
      </w:r>
      <w:r w:rsidR="00A20896">
        <w:rPr>
          <w:rFonts w:ascii="Cambria" w:hAnsi="Cambria" w:cstheme="minorHAnsi"/>
        </w:rPr>
        <w:t xml:space="preserve">population </w:t>
      </w:r>
      <w:r w:rsidR="00C73440" w:rsidRPr="00AA327C">
        <w:rPr>
          <w:rFonts w:ascii="Cambria" w:hAnsi="Cambria" w:cstheme="minorHAnsi"/>
        </w:rPr>
        <w:t xml:space="preserve">data, either from </w:t>
      </w:r>
      <w:r w:rsidR="0055486B">
        <w:rPr>
          <w:rFonts w:ascii="Cambria" w:hAnsi="Cambria" w:cstheme="minorHAnsi"/>
        </w:rPr>
        <w:t xml:space="preserve">the </w:t>
      </w:r>
      <w:r w:rsidR="00C73440" w:rsidRPr="00AA327C">
        <w:rPr>
          <w:rFonts w:ascii="Cambria" w:hAnsi="Cambria" w:cstheme="minorHAnsi"/>
        </w:rPr>
        <w:t>population regi</w:t>
      </w:r>
      <w:r w:rsidR="00C73440" w:rsidRPr="00762C7D">
        <w:rPr>
          <w:rFonts w:ascii="Cambria" w:hAnsi="Cambria" w:cstheme="minorHAnsi"/>
        </w:rPr>
        <w:t>ster</w:t>
      </w:r>
      <w:r w:rsidR="0055486B">
        <w:rPr>
          <w:rFonts w:ascii="Cambria" w:hAnsi="Cambria" w:cstheme="minorHAnsi"/>
        </w:rPr>
        <w:t>s maintained in parts of continental Europe</w:t>
      </w:r>
      <w:r w:rsidR="00C73440" w:rsidRPr="00762C7D">
        <w:rPr>
          <w:rFonts w:ascii="Cambria" w:hAnsi="Cambria" w:cstheme="minorHAnsi"/>
        </w:rPr>
        <w:t xml:space="preserve"> (</w:t>
      </w:r>
      <w:r w:rsidR="00AA327C" w:rsidRPr="000020B4">
        <w:rPr>
          <w:rFonts w:ascii="Cambria" w:hAnsi="Cambria" w:cs="Arial"/>
          <w:color w:val="222222"/>
          <w:shd w:val="clear" w:color="auto" w:fill="FFFFFF"/>
        </w:rPr>
        <w:t xml:space="preserve">Jalovaara </w:t>
      </w:r>
      <w:r w:rsidR="00DC1A77">
        <w:rPr>
          <w:rFonts w:ascii="Cambria" w:hAnsi="Cambria" w:cs="Arial"/>
          <w:color w:val="222222"/>
          <w:shd w:val="clear" w:color="auto" w:fill="FFFFFF"/>
        </w:rPr>
        <w:t>and</w:t>
      </w:r>
      <w:r w:rsidR="00AA327C" w:rsidRPr="000020B4">
        <w:rPr>
          <w:rFonts w:ascii="Cambria" w:hAnsi="Cambria" w:cs="Arial"/>
          <w:color w:val="222222"/>
          <w:shd w:val="clear" w:color="auto" w:fill="FFFFFF"/>
        </w:rPr>
        <w:t xml:space="preserve"> Kulu, 2019; </w:t>
      </w:r>
      <w:r w:rsidR="00C73440" w:rsidRPr="00AA327C">
        <w:rPr>
          <w:rFonts w:ascii="Cambria" w:hAnsi="Cambria" w:cstheme="minorHAnsi"/>
        </w:rPr>
        <w:t>Kleinepier et al</w:t>
      </w:r>
      <w:r w:rsidR="004A4D59" w:rsidRPr="00AA327C">
        <w:rPr>
          <w:rFonts w:ascii="Cambria" w:hAnsi="Cambria" w:cstheme="minorHAnsi"/>
        </w:rPr>
        <w:t>.</w:t>
      </w:r>
      <w:r w:rsidR="00C73440" w:rsidRPr="00AA327C">
        <w:rPr>
          <w:rFonts w:ascii="Cambria" w:hAnsi="Cambria" w:cstheme="minorHAnsi"/>
        </w:rPr>
        <w:t>, 2017) or</w:t>
      </w:r>
      <w:r w:rsidR="00812CE3">
        <w:rPr>
          <w:rFonts w:ascii="Cambria" w:hAnsi="Cambria" w:cstheme="minorHAnsi"/>
        </w:rPr>
        <w:t xml:space="preserve"> from</w:t>
      </w:r>
      <w:r w:rsidR="00C73440" w:rsidRPr="00AA327C">
        <w:rPr>
          <w:rFonts w:ascii="Cambria" w:hAnsi="Cambria" w:cstheme="minorHAnsi"/>
        </w:rPr>
        <w:t xml:space="preserve"> a census-linked </w:t>
      </w:r>
      <w:r w:rsidR="00C73440" w:rsidRPr="00701B73">
        <w:rPr>
          <w:rFonts w:ascii="Cambria" w:hAnsi="Cambria" w:cstheme="minorHAnsi"/>
        </w:rPr>
        <w:t xml:space="preserve">longitudinal study like the </w:t>
      </w:r>
      <w:r w:rsidR="00A7628B">
        <w:rPr>
          <w:rFonts w:ascii="Cambria" w:hAnsi="Cambria" w:cstheme="minorHAnsi"/>
        </w:rPr>
        <w:t>ONS</w:t>
      </w:r>
      <w:r w:rsidR="00C73440" w:rsidRPr="00701B73">
        <w:rPr>
          <w:rFonts w:ascii="Cambria" w:hAnsi="Cambria" w:cstheme="minorHAnsi"/>
        </w:rPr>
        <w:t xml:space="preserve"> Longitudinal Study (Coulter, 2018).</w:t>
      </w:r>
      <w:r w:rsidR="003D4FF1" w:rsidRPr="00701B73">
        <w:rPr>
          <w:rFonts w:ascii="Cambria" w:hAnsi="Cambria" w:cstheme="minorHAnsi"/>
        </w:rPr>
        <w:t xml:space="preserve"> These </w:t>
      </w:r>
      <w:r w:rsidR="00A93C74">
        <w:rPr>
          <w:rFonts w:ascii="Cambria" w:hAnsi="Cambria" w:cstheme="minorHAnsi"/>
        </w:rPr>
        <w:t>re</w:t>
      </w:r>
      <w:r w:rsidR="003D4FF1" w:rsidRPr="00701B73">
        <w:rPr>
          <w:rFonts w:ascii="Cambria" w:hAnsi="Cambria" w:cstheme="minorHAnsi"/>
        </w:rPr>
        <w:t xml:space="preserve">sources </w:t>
      </w:r>
      <w:r w:rsidR="004A4D59" w:rsidRPr="00701B73">
        <w:rPr>
          <w:rFonts w:ascii="Cambria" w:hAnsi="Cambria" w:cstheme="minorHAnsi"/>
        </w:rPr>
        <w:t>provide</w:t>
      </w:r>
      <w:r w:rsidR="003D4FF1" w:rsidRPr="00701B73">
        <w:rPr>
          <w:rFonts w:ascii="Cambria" w:hAnsi="Cambria" w:cstheme="minorHAnsi"/>
        </w:rPr>
        <w:t xml:space="preserve"> </w:t>
      </w:r>
      <w:r w:rsidR="007C3352">
        <w:rPr>
          <w:rFonts w:ascii="Cambria" w:hAnsi="Cambria" w:cstheme="minorHAnsi"/>
        </w:rPr>
        <w:t xml:space="preserve">the </w:t>
      </w:r>
      <w:r w:rsidR="003D4FF1" w:rsidRPr="00701B73">
        <w:rPr>
          <w:rFonts w:ascii="Cambria" w:hAnsi="Cambria" w:cstheme="minorHAnsi"/>
        </w:rPr>
        <w:t xml:space="preserve">very large samples </w:t>
      </w:r>
      <w:r w:rsidR="007C3352">
        <w:rPr>
          <w:rFonts w:ascii="Cambria" w:hAnsi="Cambria" w:cstheme="minorHAnsi"/>
        </w:rPr>
        <w:t>to support</w:t>
      </w:r>
      <w:r w:rsidR="007C3352" w:rsidRPr="00701B73">
        <w:rPr>
          <w:rFonts w:ascii="Cambria" w:hAnsi="Cambria" w:cstheme="minorHAnsi"/>
        </w:rPr>
        <w:t xml:space="preserve"> </w:t>
      </w:r>
      <w:r w:rsidR="003D4FF1" w:rsidRPr="00701B73">
        <w:rPr>
          <w:rFonts w:ascii="Cambria" w:hAnsi="Cambria" w:cstheme="minorHAnsi"/>
        </w:rPr>
        <w:t xml:space="preserve">sub-group </w:t>
      </w:r>
      <w:r w:rsidR="00873C3E">
        <w:rPr>
          <w:rFonts w:ascii="Cambria" w:hAnsi="Cambria" w:cstheme="minorHAnsi"/>
        </w:rPr>
        <w:t>and fine-grained geographical analyses</w:t>
      </w:r>
      <w:r w:rsidR="003D4FF1" w:rsidRPr="00701B73">
        <w:rPr>
          <w:rFonts w:ascii="Cambria" w:hAnsi="Cambria" w:cstheme="minorHAnsi"/>
        </w:rPr>
        <w:t>,</w:t>
      </w:r>
      <w:r w:rsidR="004A4D59" w:rsidRPr="00701B73">
        <w:rPr>
          <w:rFonts w:ascii="Cambria" w:hAnsi="Cambria" w:cstheme="minorHAnsi"/>
        </w:rPr>
        <w:t xml:space="preserve"> and often are available over a considerable number of decades,</w:t>
      </w:r>
      <w:r w:rsidR="004A4D59">
        <w:rPr>
          <w:rFonts w:ascii="Cambria" w:hAnsi="Cambria" w:cstheme="minorHAnsi"/>
        </w:rPr>
        <w:t xml:space="preserve"> allowing researchers to study the inter-generational transmission of housing characteristics. However, administrative data tend not to </w:t>
      </w:r>
      <w:r w:rsidR="003D4FF1">
        <w:rPr>
          <w:rFonts w:ascii="Cambria" w:hAnsi="Cambria" w:cstheme="minorHAnsi"/>
        </w:rPr>
        <w:t>includ</w:t>
      </w:r>
      <w:r w:rsidR="004A4D59">
        <w:rPr>
          <w:rFonts w:ascii="Cambria" w:hAnsi="Cambria" w:cstheme="minorHAnsi"/>
        </w:rPr>
        <w:t>e</w:t>
      </w:r>
      <w:r w:rsidR="003D4FF1">
        <w:rPr>
          <w:rFonts w:ascii="Cambria" w:hAnsi="Cambria" w:cstheme="minorHAnsi"/>
        </w:rPr>
        <w:t xml:space="preserve"> </w:t>
      </w:r>
      <w:r w:rsidR="007C3352">
        <w:rPr>
          <w:rFonts w:ascii="Cambria" w:hAnsi="Cambria" w:cstheme="minorHAnsi"/>
        </w:rPr>
        <w:t>measures of</w:t>
      </w:r>
      <w:r w:rsidR="003D4FF1">
        <w:rPr>
          <w:rFonts w:ascii="Cambria" w:hAnsi="Cambria" w:cstheme="minorHAnsi"/>
        </w:rPr>
        <w:t xml:space="preserve"> attitudes</w:t>
      </w:r>
      <w:r w:rsidR="004A4D59">
        <w:rPr>
          <w:rFonts w:ascii="Cambria" w:hAnsi="Cambria" w:cstheme="minorHAnsi"/>
        </w:rPr>
        <w:t>,</w:t>
      </w:r>
      <w:r w:rsidR="003D4FF1">
        <w:rPr>
          <w:rFonts w:ascii="Cambria" w:hAnsi="Cambria" w:cstheme="minorHAnsi"/>
        </w:rPr>
        <w:t xml:space="preserve"> expectations</w:t>
      </w:r>
      <w:r w:rsidR="006D71C5">
        <w:rPr>
          <w:rFonts w:ascii="Cambria" w:hAnsi="Cambria" w:cstheme="minorHAnsi"/>
        </w:rPr>
        <w:t>,</w:t>
      </w:r>
      <w:r w:rsidR="004A4D59">
        <w:rPr>
          <w:rFonts w:ascii="Cambria" w:hAnsi="Cambria" w:cstheme="minorHAnsi"/>
        </w:rPr>
        <w:t xml:space="preserve"> relationship</w:t>
      </w:r>
      <w:r w:rsidR="006D71C5">
        <w:rPr>
          <w:rFonts w:ascii="Cambria" w:hAnsi="Cambria" w:cstheme="minorHAnsi"/>
        </w:rPr>
        <w:t xml:space="preserve"> quality</w:t>
      </w:r>
      <w:r w:rsidR="004A4D59">
        <w:rPr>
          <w:rFonts w:ascii="Cambria" w:hAnsi="Cambria" w:cstheme="minorHAnsi"/>
        </w:rPr>
        <w:t xml:space="preserve"> or intergenerational </w:t>
      </w:r>
      <w:r w:rsidR="004E22F9">
        <w:rPr>
          <w:rFonts w:ascii="Cambria" w:hAnsi="Cambria" w:cstheme="minorHAnsi"/>
        </w:rPr>
        <w:t xml:space="preserve">flows </w:t>
      </w:r>
      <w:r w:rsidR="004A4D59">
        <w:rPr>
          <w:rFonts w:ascii="Cambria" w:hAnsi="Cambria" w:cstheme="minorHAnsi"/>
        </w:rPr>
        <w:t>of resources</w:t>
      </w:r>
      <w:r w:rsidR="00546320">
        <w:rPr>
          <w:rFonts w:ascii="Cambria" w:hAnsi="Cambria" w:cstheme="minorHAnsi"/>
        </w:rPr>
        <w:t xml:space="preserve"> and support</w:t>
      </w:r>
      <w:r w:rsidR="003D4FF1">
        <w:rPr>
          <w:rFonts w:ascii="Cambria" w:hAnsi="Cambria" w:cstheme="minorHAnsi"/>
        </w:rPr>
        <w:t>.</w:t>
      </w:r>
    </w:p>
    <w:p w14:paraId="02976A0A" w14:textId="24BD61C7" w:rsidR="00DA300E" w:rsidRDefault="00B239BE" w:rsidP="00EA397B">
      <w:pPr>
        <w:spacing w:after="240" w:line="480" w:lineRule="auto"/>
        <w:rPr>
          <w:rFonts w:ascii="Cambria" w:hAnsi="Cambria" w:cstheme="minorHAnsi"/>
        </w:rPr>
      </w:pPr>
      <w:r>
        <w:rPr>
          <w:rFonts w:ascii="Cambria" w:hAnsi="Cambria" w:cstheme="minorHAnsi"/>
        </w:rPr>
        <w:t xml:space="preserve">Longitudinal surveys which are geo-coded can be augmented with </w:t>
      </w:r>
      <w:r w:rsidR="00C44147">
        <w:rPr>
          <w:rFonts w:ascii="Cambria" w:hAnsi="Cambria" w:cstheme="minorHAnsi"/>
        </w:rPr>
        <w:t>auxiliary</w:t>
      </w:r>
      <w:r>
        <w:rPr>
          <w:rFonts w:ascii="Cambria" w:hAnsi="Cambria" w:cstheme="minorHAnsi"/>
        </w:rPr>
        <w:t xml:space="preserve"> </w:t>
      </w:r>
      <w:r w:rsidR="00DE1C85">
        <w:rPr>
          <w:rFonts w:ascii="Cambria" w:hAnsi="Cambria" w:cstheme="minorHAnsi"/>
        </w:rPr>
        <w:t xml:space="preserve">data </w:t>
      </w:r>
      <w:r w:rsidR="00C44147">
        <w:rPr>
          <w:rFonts w:ascii="Cambria" w:hAnsi="Cambria" w:cstheme="minorHAnsi"/>
        </w:rPr>
        <w:t xml:space="preserve">to study how subnational contextual factors </w:t>
      </w:r>
      <w:r w:rsidR="00812A3E">
        <w:rPr>
          <w:rFonts w:ascii="Cambria" w:hAnsi="Cambria" w:cstheme="minorHAnsi"/>
        </w:rPr>
        <w:t>(</w:t>
      </w:r>
      <w:r w:rsidR="007D3F46">
        <w:rPr>
          <w:rFonts w:ascii="Cambria" w:hAnsi="Cambria" w:cstheme="minorHAnsi"/>
        </w:rPr>
        <w:t>such as housing market</w:t>
      </w:r>
      <w:r w:rsidR="00812A3E">
        <w:rPr>
          <w:rFonts w:ascii="Cambria" w:hAnsi="Cambria" w:cstheme="minorHAnsi"/>
        </w:rPr>
        <w:t xml:space="preserve"> characteristics</w:t>
      </w:r>
      <w:r w:rsidR="007D3F46">
        <w:rPr>
          <w:rFonts w:ascii="Cambria" w:hAnsi="Cambria" w:cstheme="minorHAnsi"/>
        </w:rPr>
        <w:t xml:space="preserve"> or unemployment rates</w:t>
      </w:r>
      <w:r w:rsidR="00812A3E">
        <w:rPr>
          <w:rFonts w:ascii="Cambria" w:hAnsi="Cambria" w:cstheme="minorHAnsi"/>
        </w:rPr>
        <w:t>)</w:t>
      </w:r>
      <w:r w:rsidR="007D3F46">
        <w:rPr>
          <w:rFonts w:ascii="Cambria" w:hAnsi="Cambria" w:cstheme="minorHAnsi"/>
        </w:rPr>
        <w:t xml:space="preserve"> </w:t>
      </w:r>
      <w:r w:rsidR="00C44147">
        <w:rPr>
          <w:rFonts w:ascii="Cambria" w:hAnsi="Cambria" w:cstheme="minorHAnsi"/>
        </w:rPr>
        <w:t>shape housing trajectories.</w:t>
      </w:r>
      <w:r>
        <w:rPr>
          <w:rFonts w:ascii="Cambria" w:hAnsi="Cambria" w:cstheme="minorHAnsi"/>
        </w:rPr>
        <w:t xml:space="preserve"> </w:t>
      </w:r>
      <w:r w:rsidR="007D3F46">
        <w:rPr>
          <w:rFonts w:ascii="Cambria" w:hAnsi="Cambria" w:cstheme="minorHAnsi"/>
        </w:rPr>
        <w:t>For example</w:t>
      </w:r>
      <w:r w:rsidR="009C150A">
        <w:rPr>
          <w:rFonts w:ascii="Cambria" w:hAnsi="Cambria" w:cstheme="minorHAnsi"/>
        </w:rPr>
        <w:t xml:space="preserve"> in </w:t>
      </w:r>
      <w:r w:rsidR="000E49B3">
        <w:rPr>
          <w:rFonts w:ascii="Cambria" w:hAnsi="Cambria" w:cstheme="minorHAnsi"/>
        </w:rPr>
        <w:t>Britain</w:t>
      </w:r>
      <w:r w:rsidR="007D3F46">
        <w:rPr>
          <w:rFonts w:ascii="Cambria" w:hAnsi="Cambria" w:cstheme="minorHAnsi"/>
        </w:rPr>
        <w:t>,</w:t>
      </w:r>
      <w:r>
        <w:rPr>
          <w:rFonts w:ascii="Cambria" w:hAnsi="Cambria" w:cstheme="minorHAnsi"/>
        </w:rPr>
        <w:t xml:space="preserve"> </w:t>
      </w:r>
      <w:r w:rsidR="006E64DC" w:rsidRPr="006E64DC">
        <w:rPr>
          <w:rFonts w:ascii="Cambria" w:hAnsi="Cambria" w:cstheme="minorHAnsi"/>
        </w:rPr>
        <w:t>Ermisch (1999) found that higher regional house prices reduced departures from the parental home, especially to</w:t>
      </w:r>
      <w:r w:rsidR="006E64DC">
        <w:rPr>
          <w:rFonts w:ascii="Cambria" w:hAnsi="Cambria" w:cstheme="minorHAnsi"/>
        </w:rPr>
        <w:t xml:space="preserve"> form </w:t>
      </w:r>
      <w:r w:rsidR="006E64DC" w:rsidRPr="006E64DC">
        <w:rPr>
          <w:rFonts w:ascii="Cambria" w:hAnsi="Cambria" w:cstheme="minorHAnsi"/>
        </w:rPr>
        <w:t>partnership</w:t>
      </w:r>
      <w:r w:rsidR="001113B4">
        <w:rPr>
          <w:rFonts w:ascii="Cambria" w:hAnsi="Cambria" w:cstheme="minorHAnsi"/>
        </w:rPr>
        <w:t>s</w:t>
      </w:r>
      <w:r w:rsidR="006E64DC">
        <w:rPr>
          <w:rFonts w:ascii="Cambria" w:hAnsi="Cambria" w:cstheme="minorHAnsi"/>
        </w:rPr>
        <w:t>.</w:t>
      </w:r>
      <w:r w:rsidR="006E64DC" w:rsidRPr="006E64DC">
        <w:rPr>
          <w:rFonts w:ascii="Cambria" w:hAnsi="Cambria" w:cstheme="minorHAnsi"/>
        </w:rPr>
        <w:t xml:space="preserve"> </w:t>
      </w:r>
      <w:r w:rsidR="005B3BEE">
        <w:rPr>
          <w:rFonts w:ascii="Cambria" w:hAnsi="Cambria" w:cstheme="minorHAnsi"/>
        </w:rPr>
        <w:t xml:space="preserve">Using housing prices at </w:t>
      </w:r>
      <w:r w:rsidR="00CF497B">
        <w:rPr>
          <w:rFonts w:ascii="Cambria" w:hAnsi="Cambria" w:cstheme="minorHAnsi"/>
        </w:rPr>
        <w:t xml:space="preserve">the more fine-grained </w:t>
      </w:r>
      <w:r w:rsidR="005B3BEE">
        <w:rPr>
          <w:rFonts w:ascii="Cambria" w:hAnsi="Cambria" w:cstheme="minorHAnsi"/>
        </w:rPr>
        <w:t xml:space="preserve">Local Authority District level, </w:t>
      </w:r>
      <w:r>
        <w:rPr>
          <w:rFonts w:ascii="Cambria" w:hAnsi="Cambria" w:cstheme="minorHAnsi"/>
        </w:rPr>
        <w:t>Bayrakdar and Coulter (2018) show</w:t>
      </w:r>
      <w:r w:rsidR="005B3BEE">
        <w:rPr>
          <w:rFonts w:ascii="Cambria" w:hAnsi="Cambria" w:cstheme="minorHAnsi"/>
        </w:rPr>
        <w:t xml:space="preserve"> that the likelihood of leaving </w:t>
      </w:r>
      <w:r w:rsidR="000E49B3">
        <w:rPr>
          <w:rFonts w:ascii="Cambria" w:hAnsi="Cambria" w:cstheme="minorHAnsi"/>
        </w:rPr>
        <w:t xml:space="preserve">the </w:t>
      </w:r>
      <w:r w:rsidR="005B3BEE">
        <w:rPr>
          <w:rFonts w:ascii="Cambria" w:hAnsi="Cambria" w:cstheme="minorHAnsi"/>
        </w:rPr>
        <w:t xml:space="preserve">parental home is </w:t>
      </w:r>
      <w:r w:rsidR="000E49B3">
        <w:rPr>
          <w:rFonts w:ascii="Cambria" w:hAnsi="Cambria" w:cstheme="minorHAnsi"/>
        </w:rPr>
        <w:t xml:space="preserve">slightly </w:t>
      </w:r>
      <w:r w:rsidR="005B3BEE">
        <w:rPr>
          <w:rFonts w:ascii="Cambria" w:hAnsi="Cambria" w:cstheme="minorHAnsi"/>
        </w:rPr>
        <w:t xml:space="preserve">reduced </w:t>
      </w:r>
      <w:r w:rsidR="000E49B3">
        <w:rPr>
          <w:rFonts w:ascii="Cambria" w:hAnsi="Cambria" w:cstheme="minorHAnsi"/>
        </w:rPr>
        <w:t xml:space="preserve">in more costly areas, </w:t>
      </w:r>
      <w:r w:rsidR="005B3BEE">
        <w:rPr>
          <w:rFonts w:ascii="Cambria" w:hAnsi="Cambria" w:cstheme="minorHAnsi"/>
        </w:rPr>
        <w:t>especially for partnership formation and non-student exits</w:t>
      </w:r>
      <w:r w:rsidR="00FE2653">
        <w:rPr>
          <w:rFonts w:ascii="Cambria" w:hAnsi="Cambria" w:cstheme="minorHAnsi"/>
        </w:rPr>
        <w:t>.</w:t>
      </w:r>
      <w:r w:rsidR="005B3BEE">
        <w:rPr>
          <w:rFonts w:ascii="Cambria" w:hAnsi="Cambria" w:cstheme="minorHAnsi"/>
        </w:rPr>
        <w:t xml:space="preserve"> </w:t>
      </w:r>
      <w:r w:rsidR="00892211">
        <w:rPr>
          <w:rFonts w:ascii="Cambria" w:hAnsi="Cambria" w:cstheme="minorHAnsi"/>
        </w:rPr>
        <w:t>H</w:t>
      </w:r>
      <w:r w:rsidR="00FE2653">
        <w:rPr>
          <w:rFonts w:ascii="Cambria" w:hAnsi="Cambria" w:cstheme="minorHAnsi"/>
        </w:rPr>
        <w:t xml:space="preserve">owever LADs are administrative </w:t>
      </w:r>
      <w:r w:rsidR="00DD2D28">
        <w:rPr>
          <w:rFonts w:ascii="Cambria" w:hAnsi="Cambria" w:cstheme="minorHAnsi"/>
        </w:rPr>
        <w:t xml:space="preserve">entities </w:t>
      </w:r>
      <w:r w:rsidR="00FE2653">
        <w:rPr>
          <w:rFonts w:ascii="Cambria" w:hAnsi="Cambria" w:cstheme="minorHAnsi"/>
        </w:rPr>
        <w:t>and may not represent local housing markets</w:t>
      </w:r>
      <w:r w:rsidR="008E7142">
        <w:rPr>
          <w:rFonts w:ascii="Cambria" w:hAnsi="Cambria" w:cstheme="minorHAnsi"/>
        </w:rPr>
        <w:t xml:space="preserve">, which could be either smaller (for example if individuals are constrained by needing to live within a particular school catchment) or larger (for example </w:t>
      </w:r>
      <w:r w:rsidR="00892211">
        <w:rPr>
          <w:rFonts w:ascii="Cambria" w:hAnsi="Cambria" w:cstheme="minorHAnsi"/>
        </w:rPr>
        <w:t>the Greater South East commuter region)</w:t>
      </w:r>
      <w:r w:rsidR="00FE2653">
        <w:rPr>
          <w:rFonts w:ascii="Cambria" w:hAnsi="Cambria" w:cstheme="minorHAnsi"/>
        </w:rPr>
        <w:t>.</w:t>
      </w:r>
    </w:p>
    <w:p w14:paraId="3CEFFA90" w14:textId="408B09C1" w:rsidR="0067334D" w:rsidRDefault="00DA300E" w:rsidP="00EA397B">
      <w:pPr>
        <w:spacing w:after="240" w:line="480" w:lineRule="auto"/>
        <w:rPr>
          <w:rFonts w:ascii="Cambria" w:hAnsi="Cambria" w:cstheme="minorHAnsi"/>
        </w:rPr>
      </w:pPr>
      <w:r>
        <w:rPr>
          <w:rFonts w:ascii="Cambria" w:hAnsi="Cambria" w:cstheme="minorHAnsi"/>
        </w:rPr>
        <w:t xml:space="preserve">Unfortunately, </w:t>
      </w:r>
      <w:r w:rsidR="00840F76">
        <w:rPr>
          <w:rFonts w:ascii="Cambria" w:hAnsi="Cambria" w:cstheme="minorHAnsi"/>
        </w:rPr>
        <w:t>t</w:t>
      </w:r>
      <w:r w:rsidR="00FE2653">
        <w:rPr>
          <w:rFonts w:ascii="Cambria" w:hAnsi="Cambria" w:cstheme="minorHAnsi"/>
        </w:rPr>
        <w:t xml:space="preserve">he choice of geographical scale is </w:t>
      </w:r>
      <w:r w:rsidR="00AF7688">
        <w:rPr>
          <w:rFonts w:ascii="Cambria" w:hAnsi="Cambria" w:cstheme="minorHAnsi"/>
        </w:rPr>
        <w:t>mo</w:t>
      </w:r>
      <w:r w:rsidR="004F7EFB">
        <w:rPr>
          <w:rFonts w:ascii="Cambria" w:hAnsi="Cambria" w:cstheme="minorHAnsi"/>
        </w:rPr>
        <w:t>re</w:t>
      </w:r>
      <w:r w:rsidR="00AF7688">
        <w:rPr>
          <w:rFonts w:ascii="Cambria" w:hAnsi="Cambria" w:cstheme="minorHAnsi"/>
        </w:rPr>
        <w:t xml:space="preserve"> frequently</w:t>
      </w:r>
      <w:r w:rsidR="00FE2653">
        <w:rPr>
          <w:rFonts w:ascii="Cambria" w:hAnsi="Cambria" w:cstheme="minorHAnsi"/>
        </w:rPr>
        <w:t xml:space="preserve"> driven by data availabilit</w:t>
      </w:r>
      <w:r w:rsidR="00131052">
        <w:rPr>
          <w:rFonts w:ascii="Cambria" w:hAnsi="Cambria" w:cstheme="minorHAnsi"/>
        </w:rPr>
        <w:t>y than by theory</w:t>
      </w:r>
      <w:r w:rsidR="00CE7006">
        <w:rPr>
          <w:rFonts w:ascii="Cambria" w:hAnsi="Cambria" w:cstheme="minorHAnsi"/>
        </w:rPr>
        <w:t xml:space="preserve"> and </w:t>
      </w:r>
      <w:r w:rsidR="00B05E7F">
        <w:rPr>
          <w:rFonts w:ascii="Cambria" w:hAnsi="Cambria" w:cstheme="minorHAnsi"/>
        </w:rPr>
        <w:t xml:space="preserve">a </w:t>
      </w:r>
      <w:r w:rsidR="00482AE6">
        <w:rPr>
          <w:rFonts w:ascii="Cambria" w:hAnsi="Cambria" w:cstheme="minorHAnsi"/>
        </w:rPr>
        <w:t xml:space="preserve">sensitivity to the </w:t>
      </w:r>
      <w:r w:rsidR="00BB27F6">
        <w:rPr>
          <w:rFonts w:ascii="Cambria" w:hAnsi="Cambria" w:cstheme="minorHAnsi"/>
        </w:rPr>
        <w:t xml:space="preserve">potential </w:t>
      </w:r>
      <w:r w:rsidR="008637A9">
        <w:rPr>
          <w:rFonts w:ascii="Cambria" w:hAnsi="Cambria" w:cstheme="minorHAnsi"/>
        </w:rPr>
        <w:t>impact</w:t>
      </w:r>
      <w:r w:rsidR="00707D7C">
        <w:rPr>
          <w:rFonts w:ascii="Cambria" w:hAnsi="Cambria" w:cstheme="minorHAnsi"/>
        </w:rPr>
        <w:t>s</w:t>
      </w:r>
      <w:r w:rsidR="008637A9">
        <w:rPr>
          <w:rFonts w:ascii="Cambria" w:hAnsi="Cambria" w:cstheme="minorHAnsi"/>
        </w:rPr>
        <w:t xml:space="preserve"> of the</w:t>
      </w:r>
      <w:r w:rsidR="00482AE6">
        <w:rPr>
          <w:rFonts w:ascii="Cambria" w:hAnsi="Cambria" w:cstheme="minorHAnsi"/>
        </w:rPr>
        <w:t xml:space="preserve"> Modifiable Areal Unit Problem (MAUP)</w:t>
      </w:r>
      <w:r w:rsidR="00FE2653">
        <w:rPr>
          <w:rFonts w:ascii="Cambria" w:hAnsi="Cambria" w:cstheme="minorHAnsi"/>
        </w:rPr>
        <w:t xml:space="preserve">. </w:t>
      </w:r>
      <w:r w:rsidR="000020B4">
        <w:rPr>
          <w:rFonts w:ascii="Cambria" w:hAnsi="Cambria" w:cstheme="minorHAnsi"/>
        </w:rPr>
        <w:t>Auxiliary</w:t>
      </w:r>
      <w:r w:rsidR="00FE2653">
        <w:rPr>
          <w:rFonts w:ascii="Cambria" w:hAnsi="Cambria" w:cstheme="minorHAnsi"/>
        </w:rPr>
        <w:t xml:space="preserve"> information, such as house price </w:t>
      </w:r>
      <w:r w:rsidR="00976E0B">
        <w:rPr>
          <w:rFonts w:ascii="Cambria" w:hAnsi="Cambria" w:cstheme="minorHAnsi"/>
        </w:rPr>
        <w:t xml:space="preserve">or rental index </w:t>
      </w:r>
      <w:r w:rsidR="00FE2653">
        <w:rPr>
          <w:rFonts w:ascii="Cambria" w:hAnsi="Cambria" w:cstheme="minorHAnsi"/>
        </w:rPr>
        <w:t>data</w:t>
      </w:r>
      <w:r w:rsidR="00131052">
        <w:rPr>
          <w:rFonts w:ascii="Cambria" w:hAnsi="Cambria" w:cstheme="minorHAnsi"/>
        </w:rPr>
        <w:t>,</w:t>
      </w:r>
      <w:r w:rsidR="00FE2653">
        <w:rPr>
          <w:rFonts w:ascii="Cambria" w:hAnsi="Cambria" w:cstheme="minorHAnsi"/>
        </w:rPr>
        <w:t xml:space="preserve"> </w:t>
      </w:r>
      <w:r w:rsidR="00131052">
        <w:rPr>
          <w:rFonts w:ascii="Cambria" w:hAnsi="Cambria" w:cstheme="minorHAnsi"/>
        </w:rPr>
        <w:t xml:space="preserve">are often </w:t>
      </w:r>
      <w:r w:rsidR="00FE2653">
        <w:rPr>
          <w:rFonts w:ascii="Cambria" w:hAnsi="Cambria" w:cstheme="minorHAnsi"/>
        </w:rPr>
        <w:t xml:space="preserve">only available at </w:t>
      </w:r>
      <w:r w:rsidR="0055080B">
        <w:rPr>
          <w:rFonts w:ascii="Cambria" w:hAnsi="Cambria" w:cstheme="minorHAnsi"/>
        </w:rPr>
        <w:t xml:space="preserve">a small number of </w:t>
      </w:r>
      <w:r w:rsidR="001E49A2">
        <w:rPr>
          <w:rFonts w:ascii="Cambria" w:hAnsi="Cambria" w:cstheme="minorHAnsi"/>
        </w:rPr>
        <w:t>relatively coarse</w:t>
      </w:r>
      <w:r w:rsidR="009353AF">
        <w:rPr>
          <w:rFonts w:ascii="Cambria" w:hAnsi="Cambria" w:cstheme="minorHAnsi"/>
        </w:rPr>
        <w:t xml:space="preserve"> geographical scales which often reflect administrative boundaries rather than </w:t>
      </w:r>
      <w:r w:rsidR="001307EA">
        <w:rPr>
          <w:rFonts w:ascii="Cambria" w:hAnsi="Cambria" w:cstheme="minorHAnsi"/>
        </w:rPr>
        <w:t xml:space="preserve">functional spatial </w:t>
      </w:r>
      <w:r w:rsidR="009353AF">
        <w:rPr>
          <w:rFonts w:ascii="Cambria" w:hAnsi="Cambria" w:cstheme="minorHAnsi"/>
        </w:rPr>
        <w:t>zones such as Travel To Work Areas.</w:t>
      </w:r>
      <w:r w:rsidR="00F33B15">
        <w:rPr>
          <w:rFonts w:ascii="Cambria" w:hAnsi="Cambria" w:cstheme="minorHAnsi"/>
        </w:rPr>
        <w:t xml:space="preserve"> Inconsistencies </w:t>
      </w:r>
      <w:r w:rsidR="00CE7006">
        <w:rPr>
          <w:rFonts w:ascii="Cambria" w:hAnsi="Cambria" w:cstheme="minorHAnsi"/>
        </w:rPr>
        <w:t xml:space="preserve">in measurement </w:t>
      </w:r>
      <w:r w:rsidR="00F33B15">
        <w:rPr>
          <w:rFonts w:ascii="Cambria" w:hAnsi="Cambria" w:cstheme="minorHAnsi"/>
        </w:rPr>
        <w:t xml:space="preserve">or temporal gaps </w:t>
      </w:r>
      <w:r w:rsidR="00124FD6">
        <w:rPr>
          <w:rFonts w:ascii="Cambria" w:hAnsi="Cambria" w:cstheme="minorHAnsi"/>
        </w:rPr>
        <w:t>in datasets</w:t>
      </w:r>
      <w:r w:rsidR="000066F6">
        <w:rPr>
          <w:rFonts w:ascii="Cambria" w:hAnsi="Cambria" w:cstheme="minorHAnsi"/>
        </w:rPr>
        <w:t>,</w:t>
      </w:r>
      <w:r w:rsidR="00124FD6">
        <w:rPr>
          <w:rFonts w:ascii="Cambria" w:hAnsi="Cambria" w:cstheme="minorHAnsi"/>
        </w:rPr>
        <w:t xml:space="preserve"> </w:t>
      </w:r>
      <w:r w:rsidR="00F33B15">
        <w:rPr>
          <w:rFonts w:ascii="Cambria" w:hAnsi="Cambria" w:cstheme="minorHAnsi"/>
        </w:rPr>
        <w:t xml:space="preserve">as well as </w:t>
      </w:r>
      <w:r w:rsidR="00AF5B5E">
        <w:rPr>
          <w:rFonts w:ascii="Cambria" w:hAnsi="Cambria" w:cstheme="minorHAnsi"/>
        </w:rPr>
        <w:t xml:space="preserve">spatial </w:t>
      </w:r>
      <w:r w:rsidR="00F33B15">
        <w:rPr>
          <w:rFonts w:ascii="Cambria" w:hAnsi="Cambria" w:cstheme="minorHAnsi"/>
        </w:rPr>
        <w:t>boundary changes</w:t>
      </w:r>
      <w:r w:rsidR="000066F6">
        <w:rPr>
          <w:rFonts w:ascii="Cambria" w:hAnsi="Cambria" w:cstheme="minorHAnsi"/>
        </w:rPr>
        <w:t>,</w:t>
      </w:r>
      <w:r w:rsidR="00F33B15">
        <w:rPr>
          <w:rFonts w:ascii="Cambria" w:hAnsi="Cambria" w:cstheme="minorHAnsi"/>
        </w:rPr>
        <w:t xml:space="preserve"> are a particular </w:t>
      </w:r>
      <w:r w:rsidR="00262DC4">
        <w:rPr>
          <w:rFonts w:ascii="Cambria" w:hAnsi="Cambria" w:cstheme="minorHAnsi"/>
        </w:rPr>
        <w:t>h</w:t>
      </w:r>
      <w:r w:rsidR="00F33B15">
        <w:rPr>
          <w:rFonts w:ascii="Cambria" w:hAnsi="Cambria" w:cstheme="minorHAnsi"/>
        </w:rPr>
        <w:t>e</w:t>
      </w:r>
      <w:r w:rsidR="00262DC4">
        <w:rPr>
          <w:rFonts w:ascii="Cambria" w:hAnsi="Cambria" w:cstheme="minorHAnsi"/>
        </w:rPr>
        <w:t>adache</w:t>
      </w:r>
      <w:r w:rsidR="00F33B15">
        <w:rPr>
          <w:rFonts w:ascii="Cambria" w:hAnsi="Cambria" w:cstheme="minorHAnsi"/>
        </w:rPr>
        <w:t xml:space="preserve"> for longitudinal </w:t>
      </w:r>
      <w:r w:rsidR="00262DC4">
        <w:rPr>
          <w:rFonts w:ascii="Cambria" w:hAnsi="Cambria" w:cstheme="minorHAnsi"/>
        </w:rPr>
        <w:t>analysts</w:t>
      </w:r>
      <w:r w:rsidR="000467E6">
        <w:rPr>
          <w:rFonts w:ascii="Cambria" w:hAnsi="Cambria" w:cstheme="minorHAnsi"/>
        </w:rPr>
        <w:t xml:space="preserve"> requiring </w:t>
      </w:r>
      <w:r w:rsidR="006817D8">
        <w:rPr>
          <w:rFonts w:ascii="Cambria" w:hAnsi="Cambria" w:cstheme="minorHAnsi"/>
        </w:rPr>
        <w:t xml:space="preserve">consistent </w:t>
      </w:r>
      <w:r w:rsidR="000467E6">
        <w:rPr>
          <w:rFonts w:ascii="Cambria" w:hAnsi="Cambria" w:cstheme="minorHAnsi"/>
        </w:rPr>
        <w:t>time-series of external data</w:t>
      </w:r>
      <w:r w:rsidR="00262DC4">
        <w:rPr>
          <w:rFonts w:ascii="Cambria" w:hAnsi="Cambria" w:cstheme="minorHAnsi"/>
        </w:rPr>
        <w:t>.</w:t>
      </w:r>
      <w:r w:rsidR="00D80355">
        <w:rPr>
          <w:rFonts w:ascii="Cambria" w:hAnsi="Cambria" w:cstheme="minorHAnsi"/>
        </w:rPr>
        <w:t xml:space="preserve"> </w:t>
      </w:r>
    </w:p>
    <w:p w14:paraId="53CFD75F" w14:textId="44334945" w:rsidR="000020B4" w:rsidRDefault="00F33B15" w:rsidP="00EA397B">
      <w:pPr>
        <w:spacing w:after="240" w:line="480" w:lineRule="auto"/>
        <w:rPr>
          <w:rFonts w:ascii="Cambria" w:hAnsi="Cambria" w:cstheme="minorHAnsi"/>
        </w:rPr>
      </w:pPr>
      <w:r>
        <w:rPr>
          <w:rFonts w:ascii="Cambria" w:hAnsi="Cambria" w:cstheme="minorHAnsi"/>
        </w:rPr>
        <w:t>Where external data</w:t>
      </w:r>
      <w:r w:rsidR="00FE2653">
        <w:rPr>
          <w:rFonts w:ascii="Cambria" w:hAnsi="Cambria" w:cstheme="minorHAnsi"/>
        </w:rPr>
        <w:t xml:space="preserve"> are </w:t>
      </w:r>
      <w:r w:rsidR="00E7084E">
        <w:rPr>
          <w:rFonts w:ascii="Cambria" w:hAnsi="Cambria" w:cstheme="minorHAnsi"/>
        </w:rPr>
        <w:t xml:space="preserve">consistently </w:t>
      </w:r>
      <w:r w:rsidR="00FE2653">
        <w:rPr>
          <w:rFonts w:ascii="Cambria" w:hAnsi="Cambria" w:cstheme="minorHAnsi"/>
        </w:rPr>
        <w:t>available at finer geographical scale</w:t>
      </w:r>
      <w:r>
        <w:rPr>
          <w:rFonts w:ascii="Cambria" w:hAnsi="Cambria" w:cstheme="minorHAnsi"/>
        </w:rPr>
        <w:t>s</w:t>
      </w:r>
      <w:r w:rsidR="00FE2653">
        <w:rPr>
          <w:rFonts w:ascii="Cambria" w:hAnsi="Cambria" w:cstheme="minorHAnsi"/>
        </w:rPr>
        <w:t xml:space="preserve">, </w:t>
      </w:r>
      <w:r w:rsidR="008E7142">
        <w:rPr>
          <w:rFonts w:ascii="Cambria" w:hAnsi="Cambria" w:cstheme="minorHAnsi"/>
        </w:rPr>
        <w:t xml:space="preserve">small </w:t>
      </w:r>
      <w:r w:rsidR="00CE30B4">
        <w:rPr>
          <w:rFonts w:ascii="Cambria" w:hAnsi="Cambria" w:cstheme="minorHAnsi"/>
        </w:rPr>
        <w:t xml:space="preserve">survey </w:t>
      </w:r>
      <w:r w:rsidR="008E7142">
        <w:rPr>
          <w:rFonts w:ascii="Cambria" w:hAnsi="Cambria" w:cstheme="minorHAnsi"/>
        </w:rPr>
        <w:t xml:space="preserve">sample sizes and </w:t>
      </w:r>
      <w:r w:rsidR="00FE2653">
        <w:rPr>
          <w:rFonts w:ascii="Cambria" w:hAnsi="Cambria" w:cstheme="minorHAnsi"/>
        </w:rPr>
        <w:t>statistical disclosure</w:t>
      </w:r>
      <w:r w:rsidR="008E7142">
        <w:rPr>
          <w:rFonts w:ascii="Cambria" w:hAnsi="Cambria" w:cstheme="minorHAnsi"/>
        </w:rPr>
        <w:t xml:space="preserve"> restrictions</w:t>
      </w:r>
      <w:r w:rsidR="00CE30B4">
        <w:rPr>
          <w:rFonts w:ascii="Cambria" w:hAnsi="Cambria" w:cstheme="minorHAnsi"/>
        </w:rPr>
        <w:t xml:space="preserve"> </w:t>
      </w:r>
      <w:r w:rsidR="00551FE0">
        <w:rPr>
          <w:rFonts w:ascii="Cambria" w:hAnsi="Cambria" w:cstheme="minorHAnsi"/>
        </w:rPr>
        <w:t>often</w:t>
      </w:r>
      <w:r w:rsidR="00CE30B4">
        <w:rPr>
          <w:rFonts w:ascii="Cambria" w:hAnsi="Cambria" w:cstheme="minorHAnsi"/>
        </w:rPr>
        <w:t xml:space="preserve"> </w:t>
      </w:r>
      <w:r w:rsidR="009632E4">
        <w:rPr>
          <w:rFonts w:ascii="Cambria" w:hAnsi="Cambria" w:cstheme="minorHAnsi"/>
        </w:rPr>
        <w:t>bedevil analysis</w:t>
      </w:r>
      <w:r w:rsidR="00FE2653">
        <w:rPr>
          <w:rFonts w:ascii="Cambria" w:hAnsi="Cambria" w:cstheme="minorHAnsi"/>
        </w:rPr>
        <w:t xml:space="preserve">.  </w:t>
      </w:r>
      <w:r w:rsidR="004809BD">
        <w:rPr>
          <w:rFonts w:ascii="Cambria" w:hAnsi="Cambria" w:cstheme="minorHAnsi"/>
        </w:rPr>
        <w:t xml:space="preserve">These </w:t>
      </w:r>
      <w:r w:rsidR="00377D0E">
        <w:rPr>
          <w:rFonts w:ascii="Cambria" w:hAnsi="Cambria" w:cstheme="minorHAnsi"/>
        </w:rPr>
        <w:t>issues</w:t>
      </w:r>
      <w:r w:rsidR="00873C3E">
        <w:rPr>
          <w:rFonts w:ascii="Cambria" w:hAnsi="Cambria" w:cstheme="minorHAnsi"/>
        </w:rPr>
        <w:t xml:space="preserve"> </w:t>
      </w:r>
      <w:r w:rsidR="004809BD">
        <w:rPr>
          <w:rFonts w:ascii="Cambria" w:hAnsi="Cambria" w:cstheme="minorHAnsi"/>
        </w:rPr>
        <w:t>ca</w:t>
      </w:r>
      <w:r w:rsidR="000636AF">
        <w:rPr>
          <w:rFonts w:ascii="Cambria" w:hAnsi="Cambria" w:cstheme="minorHAnsi"/>
        </w:rPr>
        <w:t>n</w:t>
      </w:r>
      <w:r w:rsidR="004809BD">
        <w:rPr>
          <w:rFonts w:ascii="Cambria" w:hAnsi="Cambria" w:cstheme="minorHAnsi"/>
        </w:rPr>
        <w:t xml:space="preserve"> be</w:t>
      </w:r>
      <w:r w:rsidR="00873C3E">
        <w:rPr>
          <w:rFonts w:ascii="Cambria" w:hAnsi="Cambria" w:cstheme="minorHAnsi"/>
        </w:rPr>
        <w:t xml:space="preserve"> overcome </w:t>
      </w:r>
      <w:r w:rsidR="00377D0E">
        <w:rPr>
          <w:rFonts w:ascii="Cambria" w:hAnsi="Cambria" w:cstheme="minorHAnsi"/>
        </w:rPr>
        <w:t xml:space="preserve">to some extent </w:t>
      </w:r>
      <w:r w:rsidR="00873C3E">
        <w:rPr>
          <w:rFonts w:ascii="Cambria" w:hAnsi="Cambria" w:cstheme="minorHAnsi"/>
        </w:rPr>
        <w:t xml:space="preserve">by </w:t>
      </w:r>
      <w:r w:rsidR="004809BD">
        <w:rPr>
          <w:rFonts w:ascii="Cambria" w:hAnsi="Cambria" w:cstheme="minorHAnsi"/>
        </w:rPr>
        <w:t xml:space="preserve">using the </w:t>
      </w:r>
      <w:r w:rsidR="00377D0E">
        <w:rPr>
          <w:rFonts w:ascii="Cambria" w:hAnsi="Cambria" w:cstheme="minorHAnsi"/>
        </w:rPr>
        <w:t xml:space="preserve">safe research environments and </w:t>
      </w:r>
      <w:r w:rsidR="002F7E36">
        <w:rPr>
          <w:rFonts w:ascii="Cambria" w:hAnsi="Cambria" w:cstheme="minorHAnsi"/>
        </w:rPr>
        <w:t xml:space="preserve">secure </w:t>
      </w:r>
      <w:r w:rsidR="00377D0E">
        <w:rPr>
          <w:rFonts w:ascii="Cambria" w:hAnsi="Cambria" w:cstheme="minorHAnsi"/>
        </w:rPr>
        <w:t>remote access opportunities provided by statistical offices and data archives</w:t>
      </w:r>
      <w:r w:rsidR="000636AF">
        <w:rPr>
          <w:rFonts w:ascii="Cambria" w:hAnsi="Cambria" w:cstheme="minorHAnsi"/>
        </w:rPr>
        <w:t xml:space="preserve">. </w:t>
      </w:r>
      <w:r w:rsidR="009318E0">
        <w:rPr>
          <w:rFonts w:ascii="Cambria" w:hAnsi="Cambria" w:cstheme="minorHAnsi"/>
        </w:rPr>
        <w:t xml:space="preserve">Working in these environments with precise survey geo-codes (sometimes at coordinate level) </w:t>
      </w:r>
      <w:r w:rsidR="00932950">
        <w:rPr>
          <w:rFonts w:ascii="Cambria" w:hAnsi="Cambria" w:cstheme="minorHAnsi"/>
        </w:rPr>
        <w:t xml:space="preserve">could enable analysts to </w:t>
      </w:r>
      <w:r w:rsidR="004404EB">
        <w:rPr>
          <w:rFonts w:ascii="Cambria" w:hAnsi="Cambria" w:cstheme="minorHAnsi"/>
        </w:rPr>
        <w:t xml:space="preserve">attach </w:t>
      </w:r>
      <w:r w:rsidR="00932950">
        <w:rPr>
          <w:rFonts w:ascii="Cambria" w:hAnsi="Cambria" w:cstheme="minorHAnsi"/>
        </w:rPr>
        <w:t xml:space="preserve">spatially referenced </w:t>
      </w:r>
      <w:r w:rsidR="00C11F2A">
        <w:rPr>
          <w:rFonts w:ascii="Cambria" w:hAnsi="Cambria" w:cstheme="minorHAnsi"/>
        </w:rPr>
        <w:t xml:space="preserve">new forms of </w:t>
      </w:r>
      <w:r w:rsidR="00881FD6">
        <w:rPr>
          <w:rFonts w:ascii="Cambria" w:hAnsi="Cambria" w:cstheme="minorHAnsi"/>
        </w:rPr>
        <w:t xml:space="preserve">contextual </w:t>
      </w:r>
      <w:r w:rsidR="00C11F2A">
        <w:rPr>
          <w:rFonts w:ascii="Cambria" w:hAnsi="Cambria" w:cstheme="minorHAnsi"/>
        </w:rPr>
        <w:t>data</w:t>
      </w:r>
      <w:r w:rsidR="00932950">
        <w:rPr>
          <w:rFonts w:ascii="Cambria" w:hAnsi="Cambria" w:cstheme="minorHAnsi"/>
        </w:rPr>
        <w:t xml:space="preserve"> at customisable geographical scales</w:t>
      </w:r>
      <w:r w:rsidR="00D0548E">
        <w:rPr>
          <w:rFonts w:ascii="Cambria" w:hAnsi="Cambria" w:cstheme="minorHAnsi"/>
        </w:rPr>
        <w:t>,</w:t>
      </w:r>
      <w:r w:rsidR="00932950">
        <w:rPr>
          <w:rFonts w:ascii="Cambria" w:hAnsi="Cambria" w:cstheme="minorHAnsi"/>
        </w:rPr>
        <w:t xml:space="preserve"> </w:t>
      </w:r>
      <w:r w:rsidR="00FD0D01">
        <w:rPr>
          <w:rFonts w:ascii="Cambria" w:hAnsi="Cambria" w:cstheme="minorHAnsi"/>
        </w:rPr>
        <w:t>for example by using</w:t>
      </w:r>
      <w:r w:rsidR="00932950">
        <w:rPr>
          <w:rFonts w:ascii="Cambria" w:hAnsi="Cambria" w:cstheme="minorHAnsi"/>
        </w:rPr>
        <w:t xml:space="preserve"> </w:t>
      </w:r>
      <w:r w:rsidR="00E56286">
        <w:rPr>
          <w:rFonts w:ascii="Cambria" w:hAnsi="Cambria" w:cstheme="minorHAnsi"/>
        </w:rPr>
        <w:t xml:space="preserve">raw </w:t>
      </w:r>
      <w:r w:rsidR="00932950">
        <w:rPr>
          <w:rFonts w:ascii="Cambria" w:hAnsi="Cambria" w:cstheme="minorHAnsi"/>
        </w:rPr>
        <w:t xml:space="preserve">Land Registry housing transaction records or local </w:t>
      </w:r>
      <w:r w:rsidR="0046651B">
        <w:rPr>
          <w:rFonts w:ascii="Cambria" w:hAnsi="Cambria" w:cstheme="minorHAnsi"/>
        </w:rPr>
        <w:t xml:space="preserve">area </w:t>
      </w:r>
      <w:r w:rsidR="00932950">
        <w:rPr>
          <w:rFonts w:ascii="Cambria" w:hAnsi="Cambria" w:cstheme="minorHAnsi"/>
        </w:rPr>
        <w:t xml:space="preserve">rental statistics </w:t>
      </w:r>
      <w:r w:rsidR="0046651B">
        <w:rPr>
          <w:rFonts w:ascii="Cambria" w:hAnsi="Cambria" w:cstheme="minorHAnsi"/>
        </w:rPr>
        <w:t>from companies like</w:t>
      </w:r>
      <w:r w:rsidR="006A7856">
        <w:rPr>
          <w:rFonts w:ascii="Cambria" w:hAnsi="Cambria" w:cstheme="minorHAnsi"/>
        </w:rPr>
        <w:t xml:space="preserve"> Zoopla</w:t>
      </w:r>
      <w:r w:rsidR="00FD0D01">
        <w:rPr>
          <w:rFonts w:ascii="Cambria" w:hAnsi="Cambria" w:cstheme="minorHAnsi"/>
        </w:rPr>
        <w:t xml:space="preserve"> to create housing market indicators at multiple </w:t>
      </w:r>
      <w:r w:rsidR="0056234C">
        <w:rPr>
          <w:rFonts w:ascii="Cambria" w:hAnsi="Cambria" w:cstheme="minorHAnsi"/>
        </w:rPr>
        <w:t xml:space="preserve">bespoke </w:t>
      </w:r>
      <w:r w:rsidR="00FD0D01">
        <w:rPr>
          <w:rFonts w:ascii="Cambria" w:hAnsi="Cambria" w:cstheme="minorHAnsi"/>
        </w:rPr>
        <w:t>scales</w:t>
      </w:r>
      <w:r w:rsidR="00D0548E">
        <w:rPr>
          <w:rFonts w:ascii="Cambria" w:hAnsi="Cambria" w:cstheme="minorHAnsi"/>
        </w:rPr>
        <w:t>.</w:t>
      </w:r>
      <w:r w:rsidR="004404EB">
        <w:rPr>
          <w:rFonts w:ascii="Cambria" w:hAnsi="Cambria" w:cstheme="minorHAnsi"/>
        </w:rPr>
        <w:t xml:space="preserve"> </w:t>
      </w:r>
      <w:r w:rsidR="00D0548E">
        <w:rPr>
          <w:rFonts w:ascii="Cambria" w:hAnsi="Cambria" w:cstheme="minorHAnsi"/>
        </w:rPr>
        <w:t>As t</w:t>
      </w:r>
      <w:r w:rsidR="004404EB">
        <w:rPr>
          <w:rFonts w:ascii="Cambria" w:hAnsi="Cambria" w:cstheme="minorHAnsi"/>
        </w:rPr>
        <w:t xml:space="preserve">he technical challenges </w:t>
      </w:r>
      <w:r w:rsidR="00AF562F">
        <w:rPr>
          <w:rFonts w:ascii="Cambria" w:hAnsi="Cambria" w:cstheme="minorHAnsi"/>
        </w:rPr>
        <w:t xml:space="preserve">of doing </w:t>
      </w:r>
      <w:r w:rsidR="00020706">
        <w:rPr>
          <w:rFonts w:ascii="Cambria" w:hAnsi="Cambria" w:cstheme="minorHAnsi"/>
        </w:rPr>
        <w:t>this</w:t>
      </w:r>
      <w:r w:rsidR="00AF562F">
        <w:rPr>
          <w:rFonts w:ascii="Cambria" w:hAnsi="Cambria" w:cstheme="minorHAnsi"/>
        </w:rPr>
        <w:t xml:space="preserve"> </w:t>
      </w:r>
      <w:r w:rsidR="006A7856">
        <w:rPr>
          <w:rFonts w:ascii="Cambria" w:hAnsi="Cambria" w:cstheme="minorHAnsi"/>
        </w:rPr>
        <w:t>are considerable</w:t>
      </w:r>
      <w:r w:rsidR="00D0548E">
        <w:rPr>
          <w:rFonts w:ascii="Cambria" w:hAnsi="Cambria" w:cstheme="minorHAnsi"/>
        </w:rPr>
        <w:t>,</w:t>
      </w:r>
      <w:r w:rsidR="00C11F2A">
        <w:rPr>
          <w:rFonts w:ascii="Cambria" w:hAnsi="Cambria" w:cstheme="minorHAnsi"/>
        </w:rPr>
        <w:t xml:space="preserve"> collaboration with Big Data specialists may be required</w:t>
      </w:r>
      <w:r w:rsidR="004404EB">
        <w:rPr>
          <w:rFonts w:ascii="Cambria" w:hAnsi="Cambria" w:cstheme="minorHAnsi"/>
        </w:rPr>
        <w:t xml:space="preserve">. </w:t>
      </w:r>
      <w:r w:rsidR="000636AF">
        <w:rPr>
          <w:rFonts w:ascii="Cambria" w:hAnsi="Cambria" w:cstheme="minorHAnsi"/>
        </w:rPr>
        <w:t xml:space="preserve">Alternatively, </w:t>
      </w:r>
      <w:r w:rsidR="00CD4067">
        <w:rPr>
          <w:rFonts w:ascii="Cambria" w:hAnsi="Cambria" w:cstheme="minorHAnsi"/>
        </w:rPr>
        <w:t xml:space="preserve">linking survey data to </w:t>
      </w:r>
      <w:r w:rsidR="00BF55EB">
        <w:rPr>
          <w:rFonts w:ascii="Cambria" w:hAnsi="Cambria" w:cstheme="minorHAnsi"/>
        </w:rPr>
        <w:t xml:space="preserve">fine-grained </w:t>
      </w:r>
      <w:r w:rsidR="00CD4067">
        <w:rPr>
          <w:rFonts w:ascii="Cambria" w:hAnsi="Cambria" w:cstheme="minorHAnsi"/>
        </w:rPr>
        <w:t xml:space="preserve">geodemographic area profiles </w:t>
      </w:r>
      <w:r w:rsidR="00A03F74">
        <w:rPr>
          <w:rFonts w:ascii="Cambria" w:hAnsi="Cambria" w:cstheme="minorHAnsi"/>
        </w:rPr>
        <w:t>such as</w:t>
      </w:r>
      <w:r w:rsidR="00CD4067">
        <w:rPr>
          <w:rFonts w:ascii="Cambria" w:hAnsi="Cambria" w:cstheme="minorHAnsi"/>
        </w:rPr>
        <w:t xml:space="preserve"> the UK’s 2011 census Output Area Classification or commercial equival</w:t>
      </w:r>
      <w:r w:rsidR="009B2B0C">
        <w:rPr>
          <w:rFonts w:ascii="Cambria" w:hAnsi="Cambria" w:cstheme="minorHAnsi"/>
        </w:rPr>
        <w:t xml:space="preserve">ents like ACORN </w:t>
      </w:r>
      <w:r w:rsidR="00C80B11">
        <w:rPr>
          <w:rFonts w:ascii="Cambria" w:hAnsi="Cambria" w:cstheme="minorHAnsi"/>
        </w:rPr>
        <w:t>may</w:t>
      </w:r>
      <w:r w:rsidR="00725572">
        <w:rPr>
          <w:rFonts w:ascii="Cambria" w:hAnsi="Cambria" w:cstheme="minorHAnsi"/>
        </w:rPr>
        <w:t xml:space="preserve"> </w:t>
      </w:r>
      <w:r w:rsidR="00CD4067">
        <w:rPr>
          <w:rFonts w:ascii="Cambria" w:hAnsi="Cambria" w:cstheme="minorHAnsi"/>
        </w:rPr>
        <w:t>provide</w:t>
      </w:r>
      <w:r w:rsidR="008B0992">
        <w:rPr>
          <w:rFonts w:ascii="Cambria" w:hAnsi="Cambria" w:cstheme="minorHAnsi"/>
        </w:rPr>
        <w:t xml:space="preserve"> opportunities</w:t>
      </w:r>
      <w:r w:rsidR="00CD4067">
        <w:rPr>
          <w:rFonts w:ascii="Cambria" w:hAnsi="Cambria" w:cstheme="minorHAnsi"/>
        </w:rPr>
        <w:t xml:space="preserve"> to explore how housing trajectories vary across </w:t>
      </w:r>
      <w:r w:rsidR="009F3002">
        <w:rPr>
          <w:rFonts w:ascii="Cambria" w:hAnsi="Cambria" w:cstheme="minorHAnsi"/>
        </w:rPr>
        <w:t>socially differentiated</w:t>
      </w:r>
      <w:r w:rsidR="00CD4067">
        <w:rPr>
          <w:rFonts w:ascii="Cambria" w:hAnsi="Cambria" w:cstheme="minorHAnsi"/>
        </w:rPr>
        <w:t xml:space="preserve"> types of place</w:t>
      </w:r>
      <w:r w:rsidR="00B01F45">
        <w:rPr>
          <w:rFonts w:ascii="Cambria" w:hAnsi="Cambria" w:cstheme="minorHAnsi"/>
        </w:rPr>
        <w:t>s</w:t>
      </w:r>
      <w:r w:rsidR="003255C8">
        <w:rPr>
          <w:rFonts w:ascii="Cambria" w:hAnsi="Cambria" w:cstheme="minorHAnsi"/>
        </w:rPr>
        <w:t>.</w:t>
      </w:r>
      <w:r w:rsidR="00D20393">
        <w:rPr>
          <w:rFonts w:ascii="Cambria" w:hAnsi="Cambria" w:cstheme="minorHAnsi"/>
        </w:rPr>
        <w:t xml:space="preserve"> </w:t>
      </w:r>
    </w:p>
    <w:p w14:paraId="49B7D173" w14:textId="3FC89156" w:rsidR="00D7450B" w:rsidRPr="003428BB" w:rsidRDefault="003B291F" w:rsidP="00EA397B">
      <w:pPr>
        <w:spacing w:after="240" w:line="480" w:lineRule="auto"/>
        <w:rPr>
          <w:rFonts w:ascii="Cambria" w:hAnsi="Cambria"/>
        </w:rPr>
      </w:pPr>
      <w:r>
        <w:rPr>
          <w:rFonts w:ascii="Cambria" w:hAnsi="Cambria" w:cstheme="minorHAnsi"/>
        </w:rPr>
        <w:t>There are also barriers to conducting cross-national</w:t>
      </w:r>
      <w:r w:rsidR="00C11F0F">
        <w:rPr>
          <w:rFonts w:ascii="Cambria" w:hAnsi="Cambria" w:cstheme="minorHAnsi"/>
        </w:rPr>
        <w:t>ly comparative</w:t>
      </w:r>
      <w:r>
        <w:rPr>
          <w:rFonts w:ascii="Cambria" w:hAnsi="Cambria" w:cstheme="minorHAnsi"/>
        </w:rPr>
        <w:t xml:space="preserve"> analysis of young adults’ housing trajectories. A key issue is that r</w:t>
      </w:r>
      <w:r w:rsidR="00FE2653">
        <w:rPr>
          <w:rFonts w:ascii="Cambria" w:hAnsi="Cambria" w:cstheme="minorHAnsi"/>
        </w:rPr>
        <w:t xml:space="preserve">epresentative </w:t>
      </w:r>
      <w:r w:rsidR="00FE2653" w:rsidRPr="00E57E15">
        <w:rPr>
          <w:rFonts w:ascii="Cambria" w:hAnsi="Cambria" w:cstheme="minorHAnsi"/>
        </w:rPr>
        <w:t xml:space="preserve">data </w:t>
      </w:r>
      <w:r>
        <w:rPr>
          <w:rFonts w:ascii="Cambria" w:hAnsi="Cambria" w:cstheme="minorHAnsi"/>
        </w:rPr>
        <w:t>are</w:t>
      </w:r>
      <w:r w:rsidR="00FE2653" w:rsidRPr="00E57E15">
        <w:rPr>
          <w:rFonts w:ascii="Cambria" w:hAnsi="Cambria" w:cstheme="minorHAnsi"/>
        </w:rPr>
        <w:t xml:space="preserve"> not always available or comparable. </w:t>
      </w:r>
      <w:r>
        <w:rPr>
          <w:rFonts w:ascii="Cambria" w:hAnsi="Cambria" w:cstheme="minorHAnsi"/>
        </w:rPr>
        <w:t>Only a relatively small number</w:t>
      </w:r>
      <w:r w:rsidR="00911A98">
        <w:rPr>
          <w:rFonts w:ascii="Cambria" w:hAnsi="Cambria" w:cstheme="minorHAnsi"/>
        </w:rPr>
        <w:t xml:space="preserve"> of</w:t>
      </w:r>
      <w:r w:rsidR="00602A37">
        <w:rPr>
          <w:rFonts w:ascii="Cambria" w:hAnsi="Cambria" w:cstheme="minorHAnsi"/>
        </w:rPr>
        <w:t>s</w:t>
      </w:r>
      <w:r>
        <w:rPr>
          <w:rFonts w:ascii="Cambria" w:hAnsi="Cambria" w:cstheme="minorHAnsi"/>
        </w:rPr>
        <w:t xml:space="preserve"> </w:t>
      </w:r>
      <w:r w:rsidR="00CB3D36" w:rsidRPr="00AA327C">
        <w:rPr>
          <w:rFonts w:ascii="Cambria" w:hAnsi="Cambria" w:cstheme="minorHAnsi"/>
        </w:rPr>
        <w:t xml:space="preserve">countries have </w:t>
      </w:r>
      <w:r>
        <w:rPr>
          <w:rFonts w:ascii="Cambria" w:hAnsi="Cambria" w:cstheme="minorHAnsi"/>
        </w:rPr>
        <w:t xml:space="preserve">large, </w:t>
      </w:r>
      <w:r w:rsidR="00CB3D36" w:rsidRPr="00AA327C">
        <w:rPr>
          <w:rFonts w:ascii="Cambria" w:hAnsi="Cambria" w:cstheme="minorHAnsi"/>
        </w:rPr>
        <w:t>long</w:t>
      </w:r>
      <w:r w:rsidR="00EA397B">
        <w:rPr>
          <w:rFonts w:ascii="Cambria" w:hAnsi="Cambria" w:cstheme="minorHAnsi"/>
        </w:rPr>
        <w:t>-</w:t>
      </w:r>
      <w:r w:rsidR="00CB3D36" w:rsidRPr="00AA327C">
        <w:rPr>
          <w:rFonts w:ascii="Cambria" w:hAnsi="Cambria" w:cstheme="minorHAnsi"/>
        </w:rPr>
        <w:t xml:space="preserve">running household panel surveys such as Understanding Society </w:t>
      </w:r>
      <w:r w:rsidR="00B96839">
        <w:rPr>
          <w:rFonts w:ascii="Cambria" w:hAnsi="Cambria" w:cstheme="minorHAnsi"/>
        </w:rPr>
        <w:t>—</w:t>
      </w:r>
      <w:r w:rsidR="00B96839" w:rsidRPr="00AA327C">
        <w:rPr>
          <w:rFonts w:ascii="Cambria" w:hAnsi="Cambria" w:cstheme="minorHAnsi"/>
        </w:rPr>
        <w:t xml:space="preserve"> </w:t>
      </w:r>
      <w:r w:rsidR="00CB3D36" w:rsidRPr="00AA327C">
        <w:rPr>
          <w:rFonts w:ascii="Cambria" w:hAnsi="Cambria" w:cstheme="minorHAnsi"/>
        </w:rPr>
        <w:t xml:space="preserve">these include the </w:t>
      </w:r>
      <w:r w:rsidR="00EA397B">
        <w:rPr>
          <w:rFonts w:ascii="Cambria" w:hAnsi="Cambria" w:cstheme="minorHAnsi"/>
        </w:rPr>
        <w:t>US Panel Study of Income Dynamics (</w:t>
      </w:r>
      <w:r w:rsidR="00317D53">
        <w:rPr>
          <w:rFonts w:ascii="Cambria" w:hAnsi="Cambria" w:cstheme="minorHAnsi"/>
        </w:rPr>
        <w:t>University of Michigan, 2019</w:t>
      </w:r>
      <w:r w:rsidR="00EA397B">
        <w:rPr>
          <w:rFonts w:ascii="Cambria" w:hAnsi="Cambria" w:cstheme="minorHAnsi"/>
        </w:rPr>
        <w:t xml:space="preserve">); </w:t>
      </w:r>
      <w:r w:rsidR="00CB3D36" w:rsidRPr="00AA327C">
        <w:rPr>
          <w:rFonts w:ascii="Cambria" w:hAnsi="Cambria" w:cstheme="minorHAnsi"/>
        </w:rPr>
        <w:t>German Socio-Economic Panel</w:t>
      </w:r>
      <w:r w:rsidR="000020B4">
        <w:rPr>
          <w:rFonts w:ascii="Cambria" w:hAnsi="Cambria" w:cstheme="minorHAnsi"/>
        </w:rPr>
        <w:t xml:space="preserve"> (</w:t>
      </w:r>
      <w:r w:rsidR="00317D53">
        <w:rPr>
          <w:rFonts w:ascii="Cambria" w:hAnsi="Cambria" w:cstheme="minorHAnsi"/>
        </w:rPr>
        <w:t>Schupp, 2019</w:t>
      </w:r>
      <w:r w:rsidR="000020B4">
        <w:rPr>
          <w:rFonts w:ascii="Cambria" w:hAnsi="Cambria" w:cstheme="minorHAnsi"/>
        </w:rPr>
        <w:t>)</w:t>
      </w:r>
      <w:r w:rsidR="00B96839">
        <w:rPr>
          <w:rFonts w:ascii="Cambria" w:hAnsi="Cambria" w:cstheme="minorHAnsi"/>
        </w:rPr>
        <w:t xml:space="preserve">; </w:t>
      </w:r>
      <w:r w:rsidR="00E57E15" w:rsidRPr="00E57E15">
        <w:rPr>
          <w:rFonts w:ascii="Cambria" w:hAnsi="Cambria" w:cstheme="minorHAnsi"/>
        </w:rPr>
        <w:t xml:space="preserve">Swiss </w:t>
      </w:r>
      <w:r w:rsidR="006B78F8">
        <w:rPr>
          <w:rFonts w:ascii="Cambria" w:hAnsi="Cambria" w:cstheme="minorHAnsi"/>
        </w:rPr>
        <w:t>P</w:t>
      </w:r>
      <w:r w:rsidR="00E57E15" w:rsidRPr="00E57E15">
        <w:rPr>
          <w:rFonts w:ascii="Cambria" w:hAnsi="Cambria" w:cstheme="minorHAnsi"/>
        </w:rPr>
        <w:t xml:space="preserve">anel </w:t>
      </w:r>
      <w:r w:rsidR="006B78F8">
        <w:rPr>
          <w:rFonts w:ascii="Cambria" w:hAnsi="Cambria" w:cstheme="minorHAnsi"/>
        </w:rPr>
        <w:t>S</w:t>
      </w:r>
      <w:r w:rsidR="00E57E15" w:rsidRPr="00E57E15">
        <w:rPr>
          <w:rFonts w:ascii="Cambria" w:hAnsi="Cambria" w:cstheme="minorHAnsi"/>
        </w:rPr>
        <w:t>urvey</w:t>
      </w:r>
      <w:r w:rsidR="00CB3D36" w:rsidRPr="00E57E15">
        <w:rPr>
          <w:rFonts w:ascii="Cambria" w:hAnsi="Cambria" w:cstheme="minorHAnsi"/>
        </w:rPr>
        <w:t xml:space="preserve"> </w:t>
      </w:r>
      <w:r w:rsidR="006D3B5F" w:rsidRPr="00E57E15">
        <w:rPr>
          <w:rFonts w:ascii="Cambria" w:hAnsi="Cambria" w:cstheme="minorHAnsi"/>
        </w:rPr>
        <w:t>(</w:t>
      </w:r>
      <w:r w:rsidR="006D3B5F" w:rsidRPr="000020B4">
        <w:rPr>
          <w:rFonts w:ascii="Cambria" w:hAnsi="Cambria"/>
        </w:rPr>
        <w:t>Voorpostel</w:t>
      </w:r>
      <w:r w:rsidR="00E57E15" w:rsidRPr="000020B4">
        <w:rPr>
          <w:rFonts w:ascii="Cambria" w:hAnsi="Cambria"/>
        </w:rPr>
        <w:t xml:space="preserve"> et al., 2018)</w:t>
      </w:r>
      <w:r w:rsidR="00B96839">
        <w:rPr>
          <w:rFonts w:ascii="Cambria" w:hAnsi="Cambria"/>
        </w:rPr>
        <w:t xml:space="preserve"> and Household, Income and Labour Dynamics in Australia (HILDA) Survey (Summerfield et al., 2019)</w:t>
      </w:r>
      <w:r w:rsidR="0040070A">
        <w:rPr>
          <w:rFonts w:ascii="Cambria" w:hAnsi="Cambria"/>
        </w:rPr>
        <w:t>.</w:t>
      </w:r>
      <w:r w:rsidR="006D3B5F" w:rsidRPr="000020B4">
        <w:rPr>
          <w:rFonts w:ascii="Cambria" w:hAnsi="Cambria"/>
        </w:rPr>
        <w:t xml:space="preserve"> </w:t>
      </w:r>
      <w:r w:rsidR="006B78F8">
        <w:rPr>
          <w:rFonts w:ascii="Cambria" w:hAnsi="Cambria"/>
        </w:rPr>
        <w:t xml:space="preserve">While these have been harmonised to some extent into the Cross-National Equivalence File (CNEF), this </w:t>
      </w:r>
      <w:r w:rsidR="00B8779A">
        <w:rPr>
          <w:rFonts w:ascii="Cambria" w:hAnsi="Cambria"/>
        </w:rPr>
        <w:t xml:space="preserve">data </w:t>
      </w:r>
      <w:r w:rsidR="006B78F8">
        <w:rPr>
          <w:rFonts w:ascii="Cambria" w:hAnsi="Cambria"/>
        </w:rPr>
        <w:t xml:space="preserve">has not been extensively used and most </w:t>
      </w:r>
      <w:r w:rsidR="00C62ED2">
        <w:rPr>
          <w:rFonts w:ascii="Cambria" w:hAnsi="Cambria"/>
        </w:rPr>
        <w:t>comparative</w:t>
      </w:r>
      <w:r w:rsidR="00A92CD2">
        <w:rPr>
          <w:rFonts w:ascii="Cambria" w:hAnsi="Cambria"/>
        </w:rPr>
        <w:t xml:space="preserve"> </w:t>
      </w:r>
      <w:r w:rsidR="006B78F8">
        <w:rPr>
          <w:rFonts w:ascii="Cambria" w:hAnsi="Cambria"/>
        </w:rPr>
        <w:t xml:space="preserve">work has focused on </w:t>
      </w:r>
      <w:r w:rsidR="00E57E15" w:rsidRPr="000020B4">
        <w:rPr>
          <w:rFonts w:ascii="Cambria" w:hAnsi="Cambria"/>
        </w:rPr>
        <w:t xml:space="preserve">comparisons of BHPS </w:t>
      </w:r>
      <w:r w:rsidR="006B78F8">
        <w:rPr>
          <w:rFonts w:ascii="Cambria" w:hAnsi="Cambria"/>
        </w:rPr>
        <w:t xml:space="preserve">(UK) </w:t>
      </w:r>
      <w:r w:rsidR="00E57E15" w:rsidRPr="000020B4">
        <w:rPr>
          <w:rFonts w:ascii="Cambria" w:hAnsi="Cambria"/>
        </w:rPr>
        <w:t>and SOEP</w:t>
      </w:r>
      <w:r w:rsidR="006B78F8">
        <w:rPr>
          <w:rFonts w:ascii="Cambria" w:hAnsi="Cambria"/>
        </w:rPr>
        <w:t xml:space="preserve"> (Germany)</w:t>
      </w:r>
      <w:r w:rsidR="00E57E15" w:rsidRPr="000020B4">
        <w:rPr>
          <w:rFonts w:ascii="Cambria" w:hAnsi="Cambria"/>
        </w:rPr>
        <w:t>. For example</w:t>
      </w:r>
      <w:r w:rsidR="00D7450B">
        <w:rPr>
          <w:rFonts w:ascii="Cambria" w:hAnsi="Cambria"/>
        </w:rPr>
        <w:t>,</w:t>
      </w:r>
      <w:r w:rsidR="00E57E15" w:rsidRPr="000020B4">
        <w:rPr>
          <w:rFonts w:ascii="Cambria" w:hAnsi="Cambria"/>
        </w:rPr>
        <w:t xml:space="preserve"> </w:t>
      </w:r>
      <w:r w:rsidR="00E57E15" w:rsidRPr="00E57E15">
        <w:rPr>
          <w:rFonts w:ascii="Cambria" w:hAnsi="Cambria" w:cs="Arial"/>
          <w:color w:val="222222"/>
          <w:shd w:val="clear" w:color="auto" w:fill="FFFFFF"/>
        </w:rPr>
        <w:t>Lersch and V</w:t>
      </w:r>
      <w:r w:rsidR="00E57E15" w:rsidRPr="00AA327C">
        <w:rPr>
          <w:rFonts w:ascii="Cambria" w:hAnsi="Cambria" w:cs="Arial"/>
          <w:color w:val="222222"/>
          <w:shd w:val="clear" w:color="auto" w:fill="FFFFFF"/>
        </w:rPr>
        <w:t xml:space="preserve">idal (2014) </w:t>
      </w:r>
      <w:r w:rsidR="00D7450B" w:rsidRPr="00AA327C">
        <w:rPr>
          <w:rFonts w:ascii="Cambria" w:hAnsi="Cambria" w:cs="Arial"/>
          <w:color w:val="222222"/>
          <w:shd w:val="clear" w:color="auto" w:fill="FFFFFF"/>
        </w:rPr>
        <w:t>investigat</w:t>
      </w:r>
      <w:r w:rsidR="00D7450B">
        <w:rPr>
          <w:rFonts w:ascii="Cambria" w:hAnsi="Cambria" w:cs="Arial"/>
          <w:color w:val="222222"/>
          <w:shd w:val="clear" w:color="auto" w:fill="FFFFFF"/>
        </w:rPr>
        <w:t>ed</w:t>
      </w:r>
      <w:r w:rsidR="00D7450B" w:rsidRPr="00AA327C">
        <w:rPr>
          <w:rFonts w:ascii="Cambria" w:hAnsi="Cambria" w:cs="Arial"/>
          <w:color w:val="222222"/>
          <w:shd w:val="clear" w:color="auto" w:fill="FFFFFF"/>
        </w:rPr>
        <w:t xml:space="preserve"> </w:t>
      </w:r>
      <w:r w:rsidR="00E57E15" w:rsidRPr="00AA327C">
        <w:rPr>
          <w:rFonts w:ascii="Cambria" w:hAnsi="Cambria" w:cs="Arial"/>
          <w:color w:val="222222"/>
          <w:shd w:val="clear" w:color="auto" w:fill="FFFFFF"/>
        </w:rPr>
        <w:t xml:space="preserve">the impact of separation on home ownership </w:t>
      </w:r>
      <w:r w:rsidR="00D859FD">
        <w:rPr>
          <w:rFonts w:ascii="Cambria" w:hAnsi="Cambria" w:cs="Arial"/>
          <w:color w:val="222222"/>
          <w:shd w:val="clear" w:color="auto" w:fill="FFFFFF"/>
        </w:rPr>
        <w:t xml:space="preserve">and </w:t>
      </w:r>
      <w:r w:rsidR="00E57E15" w:rsidRPr="00AA327C">
        <w:rPr>
          <w:rFonts w:ascii="Cambria" w:hAnsi="Cambria" w:cs="Arial"/>
          <w:color w:val="222222"/>
          <w:shd w:val="clear" w:color="auto" w:fill="FFFFFF"/>
        </w:rPr>
        <w:t xml:space="preserve">found that </w:t>
      </w:r>
      <w:r w:rsidR="00D169F6">
        <w:rPr>
          <w:rFonts w:ascii="Cambria" w:hAnsi="Cambria" w:cs="Arial"/>
          <w:color w:val="222222"/>
          <w:shd w:val="clear" w:color="auto" w:fill="FFFFFF"/>
        </w:rPr>
        <w:t xml:space="preserve">the </w:t>
      </w:r>
      <w:r w:rsidR="00E57E15" w:rsidRPr="00AA327C">
        <w:rPr>
          <w:rFonts w:ascii="Cambria" w:hAnsi="Cambria" w:cs="Arial"/>
          <w:color w:val="222222"/>
          <w:shd w:val="clear" w:color="auto" w:fill="FFFFFF"/>
        </w:rPr>
        <w:t xml:space="preserve">housing market </w:t>
      </w:r>
      <w:r w:rsidR="00E57E15" w:rsidRPr="00E95762">
        <w:rPr>
          <w:rFonts w:ascii="Cambria" w:hAnsi="Cambria" w:cs="Arial"/>
          <w:color w:val="222222"/>
          <w:shd w:val="clear" w:color="auto" w:fill="FFFFFF"/>
        </w:rPr>
        <w:t xml:space="preserve">context </w:t>
      </w:r>
      <w:r w:rsidR="00E57E15" w:rsidRPr="003428BB">
        <w:rPr>
          <w:rFonts w:ascii="Cambria" w:hAnsi="Cambria"/>
        </w:rPr>
        <w:t>allows ex-partners in Britain to maintain relatively high levels of ownership after a separation, while ownership rates fall dramatically in Germany.</w:t>
      </w:r>
      <w:r w:rsidR="00616E38" w:rsidRPr="003428BB">
        <w:rPr>
          <w:rFonts w:ascii="Cambria" w:hAnsi="Cambria"/>
        </w:rPr>
        <w:t xml:space="preserve"> </w:t>
      </w:r>
      <w:r w:rsidR="00B37F27">
        <w:rPr>
          <w:rFonts w:ascii="Cambria" w:hAnsi="Cambria"/>
        </w:rPr>
        <w:t xml:space="preserve">Similarly, </w:t>
      </w:r>
      <w:r w:rsidR="004F4BCF" w:rsidRPr="003428BB">
        <w:rPr>
          <w:rFonts w:ascii="Cambria" w:hAnsi="Cambria"/>
        </w:rPr>
        <w:t xml:space="preserve">Bayrakdar et al (2019) compared entry to first-time homeownership in Germany and the UK to explore the effects of socioeconomic background and family life course events. </w:t>
      </w:r>
    </w:p>
    <w:p w14:paraId="2D8BDC41" w14:textId="5558DC23" w:rsidR="00370F5F" w:rsidRPr="00E95762" w:rsidRDefault="00AA327C" w:rsidP="00EA397B">
      <w:pPr>
        <w:spacing w:after="240" w:line="480" w:lineRule="auto"/>
        <w:rPr>
          <w:rFonts w:ascii="Cambria" w:hAnsi="Cambria"/>
        </w:rPr>
      </w:pPr>
      <w:r w:rsidRPr="003428BB">
        <w:rPr>
          <w:rFonts w:ascii="Cambria" w:hAnsi="Cambria"/>
        </w:rPr>
        <w:t>Both the BHPS and SOEP provided information for their respective countries to the European Community Household Panel (ECHP) which ran from 1994 to 2001</w:t>
      </w:r>
      <w:r w:rsidR="00701B73" w:rsidRPr="003428BB">
        <w:rPr>
          <w:rFonts w:ascii="Cambria" w:hAnsi="Cambria"/>
        </w:rPr>
        <w:t xml:space="preserve"> (</w:t>
      </w:r>
      <w:r w:rsidR="009849D5" w:rsidRPr="003428BB">
        <w:rPr>
          <w:rFonts w:ascii="Cambria" w:hAnsi="Cambria"/>
        </w:rPr>
        <w:t>E</w:t>
      </w:r>
      <w:r w:rsidR="009849D5">
        <w:rPr>
          <w:rFonts w:ascii="Cambria" w:hAnsi="Cambria"/>
        </w:rPr>
        <w:t>urostat</w:t>
      </w:r>
      <w:r w:rsidR="00701B73" w:rsidRPr="003428BB">
        <w:rPr>
          <w:rFonts w:ascii="Cambria" w:hAnsi="Cambria"/>
        </w:rPr>
        <w:t>, 2019a)</w:t>
      </w:r>
      <w:r w:rsidRPr="003428BB">
        <w:rPr>
          <w:rFonts w:ascii="Cambria" w:hAnsi="Cambria"/>
        </w:rPr>
        <w:t>. This cross-national project</w:t>
      </w:r>
      <w:r w:rsidR="00701B73" w:rsidRPr="003428BB">
        <w:rPr>
          <w:rFonts w:ascii="Cambria" w:hAnsi="Cambria"/>
        </w:rPr>
        <w:t xml:space="preserve"> only covered a selection of (western) European countries but</w:t>
      </w:r>
      <w:r w:rsidRPr="003428BB">
        <w:rPr>
          <w:rFonts w:ascii="Cambria" w:hAnsi="Cambria"/>
        </w:rPr>
        <w:t xml:space="preserve"> provided an important opportunity to study the determinants of </w:t>
      </w:r>
      <w:r w:rsidR="00762C7D" w:rsidRPr="003428BB">
        <w:rPr>
          <w:rFonts w:ascii="Cambria" w:hAnsi="Cambria"/>
        </w:rPr>
        <w:t>leaving home (</w:t>
      </w:r>
      <w:r w:rsidR="000020B4" w:rsidRPr="003428BB">
        <w:rPr>
          <w:rFonts w:ascii="Cambria" w:hAnsi="Cambria"/>
        </w:rPr>
        <w:t xml:space="preserve">Iacovou, 2010; </w:t>
      </w:r>
      <w:r w:rsidR="00762C7D" w:rsidRPr="003428BB">
        <w:rPr>
          <w:rFonts w:ascii="Cambria" w:hAnsi="Cambria"/>
        </w:rPr>
        <w:t xml:space="preserve">Aassve et al., 2002) and other </w:t>
      </w:r>
      <w:r w:rsidRPr="003428BB">
        <w:rPr>
          <w:rFonts w:ascii="Cambria" w:hAnsi="Cambria"/>
        </w:rPr>
        <w:t xml:space="preserve">housing </w:t>
      </w:r>
      <w:r w:rsidR="0013143B">
        <w:rPr>
          <w:rFonts w:ascii="Cambria" w:hAnsi="Cambria"/>
        </w:rPr>
        <w:t>transitions</w:t>
      </w:r>
      <w:r w:rsidR="00B85558" w:rsidRPr="003428BB">
        <w:rPr>
          <w:rFonts w:ascii="Cambria" w:hAnsi="Cambria"/>
        </w:rPr>
        <w:t xml:space="preserve"> </w:t>
      </w:r>
      <w:r w:rsidR="00762C7D" w:rsidRPr="003428BB">
        <w:rPr>
          <w:rFonts w:ascii="Cambria" w:hAnsi="Cambria"/>
        </w:rPr>
        <w:t>(</w:t>
      </w:r>
      <w:r w:rsidR="00B85558">
        <w:rPr>
          <w:rFonts w:ascii="Cambria" w:hAnsi="Cambria"/>
        </w:rPr>
        <w:t>Dewilde, 2008</w:t>
      </w:r>
      <w:r w:rsidR="00762C7D" w:rsidRPr="003428BB">
        <w:rPr>
          <w:rFonts w:ascii="Cambria" w:hAnsi="Cambria"/>
        </w:rPr>
        <w:t xml:space="preserve">). </w:t>
      </w:r>
      <w:r w:rsidR="00701B73" w:rsidRPr="003428BB">
        <w:rPr>
          <w:rFonts w:ascii="Cambria" w:hAnsi="Cambria"/>
        </w:rPr>
        <w:t xml:space="preserve"> More recently, cross-national longitudinal data have become available via the </w:t>
      </w:r>
      <w:r w:rsidR="00EA397B" w:rsidRPr="003428BB">
        <w:rPr>
          <w:rFonts w:ascii="Cambria" w:hAnsi="Cambria"/>
        </w:rPr>
        <w:t xml:space="preserve">European Union Statistics on Income and Living Conditions (EU-SILC) </w:t>
      </w:r>
      <w:r w:rsidR="00701B73" w:rsidRPr="003428BB">
        <w:rPr>
          <w:rFonts w:ascii="Cambria" w:hAnsi="Cambria"/>
        </w:rPr>
        <w:t>(</w:t>
      </w:r>
      <w:r w:rsidR="00FA302D" w:rsidRPr="003428BB">
        <w:rPr>
          <w:rFonts w:ascii="Cambria" w:hAnsi="Cambria"/>
        </w:rPr>
        <w:t>E</w:t>
      </w:r>
      <w:r w:rsidR="00FA302D">
        <w:rPr>
          <w:rFonts w:ascii="Cambria" w:hAnsi="Cambria"/>
        </w:rPr>
        <w:t>urostat</w:t>
      </w:r>
      <w:r w:rsidR="00701B73" w:rsidRPr="003428BB">
        <w:rPr>
          <w:rFonts w:ascii="Cambria" w:hAnsi="Cambria"/>
        </w:rPr>
        <w:t>, 2019b)</w:t>
      </w:r>
      <w:r w:rsidR="00EA397B" w:rsidRPr="003428BB">
        <w:rPr>
          <w:rFonts w:ascii="Cambria" w:hAnsi="Cambria"/>
        </w:rPr>
        <w:t xml:space="preserve">. The strengths and limitations of the ECHP and EU-SILC </w:t>
      </w:r>
      <w:r w:rsidR="00A86FE1">
        <w:rPr>
          <w:rFonts w:ascii="Cambria" w:hAnsi="Cambria"/>
        </w:rPr>
        <w:t>for</w:t>
      </w:r>
      <w:r w:rsidR="00A86FE1" w:rsidRPr="003428BB">
        <w:rPr>
          <w:rFonts w:ascii="Cambria" w:hAnsi="Cambria"/>
        </w:rPr>
        <w:t xml:space="preserve"> </w:t>
      </w:r>
      <w:r w:rsidR="00EA397B" w:rsidRPr="003428BB">
        <w:rPr>
          <w:rFonts w:ascii="Cambria" w:hAnsi="Cambria"/>
        </w:rPr>
        <w:t xml:space="preserve">housing studies has been reviewed by </w:t>
      </w:r>
      <w:r w:rsidR="007A4068" w:rsidRPr="003428BB">
        <w:rPr>
          <w:rFonts w:ascii="Cambria" w:hAnsi="Cambria"/>
        </w:rPr>
        <w:t>De</w:t>
      </w:r>
      <w:r w:rsidR="0045198E">
        <w:rPr>
          <w:rFonts w:ascii="Cambria" w:hAnsi="Cambria"/>
        </w:rPr>
        <w:t>w</w:t>
      </w:r>
      <w:r w:rsidR="007A4068" w:rsidRPr="003428BB">
        <w:rPr>
          <w:rFonts w:ascii="Cambria" w:hAnsi="Cambria"/>
        </w:rPr>
        <w:t>ilde (</w:t>
      </w:r>
      <w:r w:rsidR="00EA397B" w:rsidRPr="003428BB">
        <w:rPr>
          <w:rFonts w:ascii="Cambria" w:hAnsi="Cambria"/>
        </w:rPr>
        <w:t>2015)</w:t>
      </w:r>
      <w:r w:rsidR="0045198E">
        <w:rPr>
          <w:rFonts w:ascii="Cambria" w:hAnsi="Cambria"/>
        </w:rPr>
        <w:t>,</w:t>
      </w:r>
      <w:r w:rsidR="00EA397B" w:rsidRPr="003428BB">
        <w:rPr>
          <w:rFonts w:ascii="Cambria" w:hAnsi="Cambria"/>
        </w:rPr>
        <w:t xml:space="preserve"> who concludes that they can provide unique understanding of interaction</w:t>
      </w:r>
      <w:r w:rsidR="0045198E">
        <w:rPr>
          <w:rFonts w:ascii="Cambria" w:hAnsi="Cambria"/>
        </w:rPr>
        <w:t>s</w:t>
      </w:r>
      <w:r w:rsidR="00EA397B" w:rsidRPr="003428BB">
        <w:rPr>
          <w:rFonts w:ascii="Cambria" w:hAnsi="Cambria"/>
        </w:rPr>
        <w:t xml:space="preserve"> between micro-level individual factors and macro-factors such as </w:t>
      </w:r>
      <w:r w:rsidR="00EA397B" w:rsidRPr="00E95762">
        <w:rPr>
          <w:rFonts w:ascii="Cambria" w:hAnsi="Cambria"/>
        </w:rPr>
        <w:t xml:space="preserve"> </w:t>
      </w:r>
      <w:r w:rsidR="00EA397B" w:rsidRPr="003428BB">
        <w:rPr>
          <w:rFonts w:ascii="Cambria" w:hAnsi="Cambria"/>
        </w:rPr>
        <w:t>welfare states, housing systems</w:t>
      </w:r>
      <w:r w:rsidR="0045198E">
        <w:rPr>
          <w:rFonts w:ascii="Cambria" w:hAnsi="Cambria"/>
        </w:rPr>
        <w:t xml:space="preserve"> and</w:t>
      </w:r>
      <w:r w:rsidR="00EA397B" w:rsidRPr="003428BB">
        <w:rPr>
          <w:rFonts w:ascii="Cambria" w:hAnsi="Cambria"/>
        </w:rPr>
        <w:t xml:space="preserve"> labour market</w:t>
      </w:r>
      <w:r w:rsidR="0045198E">
        <w:rPr>
          <w:rFonts w:ascii="Cambria" w:hAnsi="Cambria"/>
        </w:rPr>
        <w:t xml:space="preserve"> contexts</w:t>
      </w:r>
      <w:r w:rsidR="00EA397B" w:rsidRPr="003428BB">
        <w:rPr>
          <w:rFonts w:ascii="Cambria" w:hAnsi="Cambria"/>
        </w:rPr>
        <w:t xml:space="preserve">. </w:t>
      </w:r>
      <w:r w:rsidR="00B154C0">
        <w:rPr>
          <w:rFonts w:ascii="Cambria" w:hAnsi="Cambria"/>
        </w:rPr>
        <w:t>For</w:t>
      </w:r>
      <w:r w:rsidR="00EA397B" w:rsidRPr="003428BB">
        <w:rPr>
          <w:rFonts w:ascii="Cambria" w:hAnsi="Cambria"/>
        </w:rPr>
        <w:t xml:space="preserve"> example, Lersch and </w:t>
      </w:r>
      <w:r w:rsidR="00B154C0">
        <w:rPr>
          <w:rFonts w:ascii="Cambria" w:hAnsi="Cambria"/>
        </w:rPr>
        <w:t>Dew</w:t>
      </w:r>
      <w:r w:rsidR="00EA397B" w:rsidRPr="003428BB">
        <w:rPr>
          <w:rFonts w:ascii="Cambria" w:hAnsi="Cambria"/>
        </w:rPr>
        <w:t xml:space="preserve">ilde (2015) </w:t>
      </w:r>
      <w:r w:rsidR="001F4146" w:rsidRPr="003428BB">
        <w:rPr>
          <w:rFonts w:ascii="Cambria" w:hAnsi="Cambria"/>
        </w:rPr>
        <w:t>use</w:t>
      </w:r>
      <w:r w:rsidR="00B154C0">
        <w:rPr>
          <w:rFonts w:ascii="Cambria" w:hAnsi="Cambria"/>
        </w:rPr>
        <w:t>d</w:t>
      </w:r>
      <w:r w:rsidR="001F4146" w:rsidRPr="003428BB">
        <w:rPr>
          <w:rFonts w:ascii="Cambria" w:hAnsi="Cambria"/>
        </w:rPr>
        <w:t xml:space="preserve"> EU-</w:t>
      </w:r>
      <w:r w:rsidR="0045198E">
        <w:rPr>
          <w:rFonts w:ascii="Cambria" w:hAnsi="Cambria"/>
        </w:rPr>
        <w:t>SILC</w:t>
      </w:r>
      <w:r w:rsidR="001F4146" w:rsidRPr="003428BB">
        <w:rPr>
          <w:rFonts w:ascii="Cambria" w:hAnsi="Cambria"/>
        </w:rPr>
        <w:t xml:space="preserve"> data to </w:t>
      </w:r>
      <w:r w:rsidR="00EA397B" w:rsidRPr="003428BB">
        <w:rPr>
          <w:rFonts w:ascii="Cambria" w:hAnsi="Cambria"/>
        </w:rPr>
        <w:t>demonstrate how institutional contexts moderate the impact of economic insecurity on access to home ownership</w:t>
      </w:r>
      <w:r w:rsidR="00B154C0">
        <w:rPr>
          <w:rFonts w:ascii="Cambria" w:hAnsi="Cambria"/>
        </w:rPr>
        <w:t>, while Arundel and Ronald (2016) used the same dataset to compare dynamics of returns to the parental home across Europe</w:t>
      </w:r>
      <w:r w:rsidR="001F4146" w:rsidRPr="003428BB">
        <w:rPr>
          <w:rFonts w:ascii="Cambria" w:hAnsi="Cambria"/>
        </w:rPr>
        <w:t xml:space="preserve">. </w:t>
      </w:r>
    </w:p>
    <w:p w14:paraId="716B87A5" w14:textId="7CC3384C" w:rsidR="00FC4DC8" w:rsidRDefault="00F9681C" w:rsidP="001F4146">
      <w:pPr>
        <w:spacing w:after="240" w:line="480" w:lineRule="auto"/>
        <w:rPr>
          <w:rFonts w:ascii="Cambria" w:hAnsi="Cambria"/>
        </w:rPr>
      </w:pPr>
      <w:r w:rsidRPr="000020B4">
        <w:rPr>
          <w:rFonts w:ascii="Cambria" w:hAnsi="Cambria"/>
        </w:rPr>
        <w:t xml:space="preserve">Recently researchers have highlighted </w:t>
      </w:r>
      <w:r w:rsidR="005C2E6D">
        <w:rPr>
          <w:rFonts w:ascii="Cambria" w:hAnsi="Cambria"/>
        </w:rPr>
        <w:t>how</w:t>
      </w:r>
      <w:r w:rsidRPr="000020B4">
        <w:rPr>
          <w:rFonts w:ascii="Cambria" w:hAnsi="Cambria"/>
        </w:rPr>
        <w:t xml:space="preserve"> q</w:t>
      </w:r>
      <w:r w:rsidR="00CA5793" w:rsidRPr="000020B4">
        <w:rPr>
          <w:rFonts w:ascii="Cambria" w:hAnsi="Cambria"/>
        </w:rPr>
        <w:t xml:space="preserve">ualitative studies </w:t>
      </w:r>
      <w:r w:rsidR="005872FC" w:rsidRPr="000020B4">
        <w:rPr>
          <w:rFonts w:ascii="Cambria" w:hAnsi="Cambria"/>
        </w:rPr>
        <w:t>offer</w:t>
      </w:r>
      <w:r w:rsidRPr="000020B4">
        <w:rPr>
          <w:rFonts w:ascii="Cambria" w:hAnsi="Cambria"/>
        </w:rPr>
        <w:t xml:space="preserve"> </w:t>
      </w:r>
      <w:r w:rsidR="005C2E6D">
        <w:rPr>
          <w:rFonts w:ascii="Cambria" w:hAnsi="Cambria"/>
        </w:rPr>
        <w:t xml:space="preserve">insights into the </w:t>
      </w:r>
      <w:r w:rsidR="005872FC" w:rsidRPr="000020B4">
        <w:rPr>
          <w:rFonts w:ascii="Cambria" w:hAnsi="Cambria"/>
        </w:rPr>
        <w:t xml:space="preserve">psychological and biographical </w:t>
      </w:r>
      <w:r w:rsidR="005C2E6D">
        <w:rPr>
          <w:rFonts w:ascii="Cambria" w:hAnsi="Cambria"/>
        </w:rPr>
        <w:t>dimension of housing life course careers</w:t>
      </w:r>
      <w:r w:rsidRPr="000020B4">
        <w:rPr>
          <w:rFonts w:ascii="Cambria" w:hAnsi="Cambria"/>
        </w:rPr>
        <w:t xml:space="preserve">. </w:t>
      </w:r>
      <w:r w:rsidR="00C31F06" w:rsidRPr="000020B4">
        <w:rPr>
          <w:rFonts w:ascii="Cambria" w:hAnsi="Cambria"/>
        </w:rPr>
        <w:t>Mo</w:t>
      </w:r>
      <w:r w:rsidR="005C2E6D">
        <w:rPr>
          <w:rFonts w:ascii="Cambria" w:hAnsi="Cambria"/>
        </w:rPr>
        <w:t>st</w:t>
      </w:r>
      <w:r w:rsidR="00C31F06" w:rsidRPr="000020B4">
        <w:rPr>
          <w:rFonts w:ascii="Cambria" w:hAnsi="Cambria"/>
        </w:rPr>
        <w:t xml:space="preserve"> often cross-sectional interviews have been used to collect retrospective biographical information </w:t>
      </w:r>
      <w:r w:rsidR="00541C54">
        <w:rPr>
          <w:rFonts w:ascii="Cambria" w:hAnsi="Cambria"/>
        </w:rPr>
        <w:t xml:space="preserve">in order </w:t>
      </w:r>
      <w:r w:rsidR="00C31F06" w:rsidRPr="000020B4">
        <w:rPr>
          <w:rFonts w:ascii="Cambria" w:hAnsi="Cambria"/>
        </w:rPr>
        <w:t>to reconstruct housing histories and reflect on the role of institution</w:t>
      </w:r>
      <w:r w:rsidR="008B6D35" w:rsidRPr="000020B4">
        <w:rPr>
          <w:rFonts w:ascii="Cambria" w:hAnsi="Cambria"/>
        </w:rPr>
        <w:t>al</w:t>
      </w:r>
      <w:r w:rsidR="00C31F06" w:rsidRPr="000020B4">
        <w:rPr>
          <w:rFonts w:ascii="Cambria" w:hAnsi="Cambria"/>
        </w:rPr>
        <w:t xml:space="preserve">, family and individual </w:t>
      </w:r>
      <w:r w:rsidR="008B6D35" w:rsidRPr="000020B4">
        <w:rPr>
          <w:rFonts w:ascii="Cambria" w:hAnsi="Cambria"/>
        </w:rPr>
        <w:t xml:space="preserve">life course </w:t>
      </w:r>
      <w:r w:rsidR="00C31F06" w:rsidRPr="000020B4">
        <w:rPr>
          <w:rFonts w:ascii="Cambria" w:hAnsi="Cambria"/>
        </w:rPr>
        <w:t xml:space="preserve">factors in shaping transitions. </w:t>
      </w:r>
      <w:r w:rsidR="008B6D35" w:rsidRPr="000020B4">
        <w:rPr>
          <w:rFonts w:ascii="Cambria" w:hAnsi="Cambria"/>
        </w:rPr>
        <w:t xml:space="preserve">For </w:t>
      </w:r>
      <w:r w:rsidR="000C4B64" w:rsidRPr="000020B4">
        <w:rPr>
          <w:rFonts w:ascii="Cambria" w:hAnsi="Cambria"/>
        </w:rPr>
        <w:t>example,</w:t>
      </w:r>
      <w:r w:rsidR="008B6D35" w:rsidRPr="000020B4">
        <w:rPr>
          <w:rFonts w:ascii="Cambria" w:hAnsi="Cambria"/>
        </w:rPr>
        <w:t xml:space="preserve"> Aeby and Heath (2019) illuminate the interdependencies between different life course domains, focusing on the (often transitional) housing arrangements that are made following the breakdown of a co-residential partnership.  </w:t>
      </w:r>
    </w:p>
    <w:p w14:paraId="6A5E41BB" w14:textId="1ED57198" w:rsidR="000020B4" w:rsidRPr="001F4146" w:rsidRDefault="008B6D35" w:rsidP="001F4146">
      <w:pPr>
        <w:spacing w:after="240" w:line="480" w:lineRule="auto"/>
        <w:rPr>
          <w:rFonts w:ascii="Cambria" w:hAnsi="Cambria"/>
          <w:highlight w:val="yellow"/>
        </w:rPr>
      </w:pPr>
      <w:r w:rsidRPr="000020B4">
        <w:rPr>
          <w:rFonts w:ascii="Cambria" w:hAnsi="Cambria"/>
        </w:rPr>
        <w:t>Intergenerational support for young adults’ housing transitions has been a</w:t>
      </w:r>
      <w:r w:rsidR="00C31F06" w:rsidRPr="000020B4">
        <w:rPr>
          <w:rFonts w:ascii="Cambria" w:hAnsi="Cambria"/>
        </w:rPr>
        <w:t xml:space="preserve"> frequent focus of qualitative stu</w:t>
      </w:r>
      <w:r w:rsidR="00346045" w:rsidRPr="000020B4">
        <w:rPr>
          <w:rFonts w:ascii="Cambria" w:hAnsi="Cambria"/>
        </w:rPr>
        <w:t>dies relating to housing transitions</w:t>
      </w:r>
      <w:r w:rsidR="00C31F06" w:rsidRPr="000020B4">
        <w:rPr>
          <w:rFonts w:ascii="Cambria" w:hAnsi="Cambria"/>
        </w:rPr>
        <w:t xml:space="preserve">. Health and Calvert (2013) </w:t>
      </w:r>
      <w:r w:rsidR="000020B4" w:rsidRPr="000020B4">
        <w:rPr>
          <w:rFonts w:ascii="Cambria" w:hAnsi="Cambria"/>
        </w:rPr>
        <w:t xml:space="preserve">found in their </w:t>
      </w:r>
      <w:r w:rsidR="00C31F06" w:rsidRPr="000020B4">
        <w:rPr>
          <w:rFonts w:ascii="Cambria" w:hAnsi="Cambria"/>
        </w:rPr>
        <w:t>interview</w:t>
      </w:r>
      <w:r w:rsidR="007709FB" w:rsidRPr="000020B4">
        <w:rPr>
          <w:rFonts w:ascii="Cambria" w:hAnsi="Cambria"/>
        </w:rPr>
        <w:t>s with</w:t>
      </w:r>
      <w:r w:rsidR="001F4146">
        <w:rPr>
          <w:rFonts w:ascii="Cambria" w:hAnsi="Cambria"/>
        </w:rPr>
        <w:t xml:space="preserve"> young </w:t>
      </w:r>
      <w:r w:rsidR="00F433AF">
        <w:rPr>
          <w:rFonts w:ascii="Cambria" w:hAnsi="Cambria"/>
        </w:rPr>
        <w:t xml:space="preserve">UK </w:t>
      </w:r>
      <w:r w:rsidR="001F4146">
        <w:rPr>
          <w:rFonts w:ascii="Cambria" w:hAnsi="Cambria"/>
        </w:rPr>
        <w:t xml:space="preserve">adults </w:t>
      </w:r>
      <w:r w:rsidR="000020B4" w:rsidRPr="000020B4">
        <w:rPr>
          <w:rFonts w:ascii="Cambria" w:hAnsi="Cambria"/>
        </w:rPr>
        <w:t xml:space="preserve">that the majority had received some material or financial support from their parent(s). </w:t>
      </w:r>
      <w:r w:rsidR="000020B4" w:rsidRPr="000C4B64">
        <w:rPr>
          <w:rFonts w:ascii="Cambria" w:hAnsi="Cambria"/>
        </w:rPr>
        <w:t xml:space="preserve">However, their interviews also highlighted that this support “came at a price, often expressed in </w:t>
      </w:r>
      <w:r w:rsidR="000020B4" w:rsidRPr="003428BB">
        <w:rPr>
          <w:rFonts w:ascii="Cambria" w:hAnsi="Cambria"/>
        </w:rPr>
        <w:t>terms of a feeling of unease, fuelled by awareness that their independence and autonomy as young adults had been compromised by their ongoing dependency”</w:t>
      </w:r>
      <w:r w:rsidR="001F4146">
        <w:rPr>
          <w:rFonts w:ascii="Cambria" w:hAnsi="Cambria" w:cs="Arial"/>
          <w:color w:val="333333"/>
          <w:shd w:val="clear" w:color="auto" w:fill="FFFFFF"/>
        </w:rPr>
        <w:t xml:space="preserve"> </w:t>
      </w:r>
      <w:r w:rsidR="000020B4" w:rsidRPr="003428BB">
        <w:rPr>
          <w:rFonts w:ascii="Cambria" w:hAnsi="Cambria" w:cs="Arial"/>
          <w:shd w:val="clear" w:color="auto" w:fill="FFFFFF"/>
        </w:rPr>
        <w:t>(Heath and Calvert, p. 1131).</w:t>
      </w:r>
      <w:r w:rsidR="00C31F06" w:rsidRPr="00784999">
        <w:rPr>
          <w:rFonts w:ascii="Cambria" w:hAnsi="Cambria"/>
        </w:rPr>
        <w:t xml:space="preserve"> </w:t>
      </w:r>
      <w:r w:rsidR="00D660A9" w:rsidRPr="00784999">
        <w:rPr>
          <w:rFonts w:ascii="Cambria" w:hAnsi="Cambria"/>
        </w:rPr>
        <w:t xml:space="preserve"> </w:t>
      </w:r>
      <w:r w:rsidR="00C31F06" w:rsidRPr="000020B4">
        <w:rPr>
          <w:rFonts w:ascii="Cambria" w:hAnsi="Cambria"/>
        </w:rPr>
        <w:t xml:space="preserve">Druta et al. (2019) used a two-generational design to elicit reflections from both the young adult (currently living </w:t>
      </w:r>
      <w:r w:rsidR="003212EF" w:rsidRPr="000020B4">
        <w:rPr>
          <w:rFonts w:ascii="Cambria" w:hAnsi="Cambria"/>
        </w:rPr>
        <w:t>independently</w:t>
      </w:r>
      <w:r w:rsidR="00C31F06" w:rsidRPr="000020B4">
        <w:rPr>
          <w:rFonts w:ascii="Cambria" w:hAnsi="Cambria"/>
        </w:rPr>
        <w:t xml:space="preserve"> from the parental home) and their parents on </w:t>
      </w:r>
      <w:r w:rsidR="00C31F06" w:rsidRPr="000020B4">
        <w:rPr>
          <w:rFonts w:ascii="Cambria" w:hAnsi="Cambria" w:cs="Arial"/>
          <w:color w:val="1C1D1E"/>
          <w:shd w:val="clear" w:color="auto" w:fill="FFFFFF"/>
        </w:rPr>
        <w:t>expectations surrounding and negotiations connected to the period of transitioning toward independent living</w:t>
      </w:r>
      <w:r w:rsidR="003212EF">
        <w:rPr>
          <w:rFonts w:ascii="Cambria" w:hAnsi="Cambria" w:cs="Arial"/>
          <w:color w:val="1C1D1E"/>
          <w:shd w:val="clear" w:color="auto" w:fill="FFFFFF"/>
        </w:rPr>
        <w:t>. Although relatively rare, q</w:t>
      </w:r>
      <w:r w:rsidR="00FA2BC5" w:rsidRPr="000020B4">
        <w:rPr>
          <w:rFonts w:ascii="Cambria" w:hAnsi="Cambria"/>
        </w:rPr>
        <w:t>ualitative longitudinal datasets such as the ‘Inventing Adulthoods’ study (Henderson et al., 2006) and the ‘Timescapes’ study (Neale et al. 2012) provide</w:t>
      </w:r>
      <w:r w:rsidR="003212EF">
        <w:rPr>
          <w:rFonts w:ascii="Cambria" w:hAnsi="Cambria"/>
        </w:rPr>
        <w:t xml:space="preserve"> unique opportunities</w:t>
      </w:r>
      <w:r w:rsidR="00FA2BC5" w:rsidRPr="000020B4">
        <w:rPr>
          <w:rFonts w:ascii="Cambria" w:hAnsi="Cambria"/>
        </w:rPr>
        <w:t xml:space="preserve"> for participants to re-evaluate and recount their lived experiences through time as the studies progress. </w:t>
      </w:r>
      <w:r w:rsidR="00316184">
        <w:rPr>
          <w:rFonts w:ascii="Cambria" w:hAnsi="Cambria"/>
        </w:rPr>
        <w:t xml:space="preserve">Integrating a greater focus on housing into </w:t>
      </w:r>
      <w:r w:rsidR="002C4405">
        <w:rPr>
          <w:rFonts w:ascii="Cambria" w:hAnsi="Cambria"/>
        </w:rPr>
        <w:t xml:space="preserve">prospective </w:t>
      </w:r>
      <w:r w:rsidR="00316184">
        <w:rPr>
          <w:rFonts w:ascii="Cambria" w:hAnsi="Cambria"/>
        </w:rPr>
        <w:t xml:space="preserve">longitudinal qualitative </w:t>
      </w:r>
      <w:r w:rsidR="000D06EB">
        <w:rPr>
          <w:rFonts w:ascii="Cambria" w:hAnsi="Cambria"/>
        </w:rPr>
        <w:t>studies</w:t>
      </w:r>
      <w:r w:rsidR="00316184">
        <w:rPr>
          <w:rFonts w:ascii="Cambria" w:hAnsi="Cambria"/>
        </w:rPr>
        <w:t xml:space="preserve"> could help chart how family interdependencies, exchanges and ‘moral economies’ change over the life course in response to the </w:t>
      </w:r>
      <w:r w:rsidR="00872162">
        <w:rPr>
          <w:rFonts w:ascii="Cambria" w:hAnsi="Cambria"/>
        </w:rPr>
        <w:t>shifting</w:t>
      </w:r>
      <w:r w:rsidR="00B56FD3">
        <w:rPr>
          <w:rFonts w:ascii="Cambria" w:hAnsi="Cambria"/>
        </w:rPr>
        <w:t xml:space="preserve"> </w:t>
      </w:r>
      <w:r w:rsidR="00316184">
        <w:rPr>
          <w:rFonts w:ascii="Cambria" w:hAnsi="Cambria"/>
        </w:rPr>
        <w:t>needs of different generations (Hoolachan and McKee, 2019).</w:t>
      </w:r>
    </w:p>
    <w:p w14:paraId="3EF8FCAD" w14:textId="2BCD461E" w:rsidR="00A4594E" w:rsidRDefault="00A4594E" w:rsidP="000D0D69">
      <w:pPr>
        <w:spacing w:line="480" w:lineRule="auto"/>
        <w:rPr>
          <w:rFonts w:ascii="Cambria" w:hAnsi="Cambria" w:cstheme="minorHAnsi"/>
          <w:b/>
          <w:sz w:val="24"/>
        </w:rPr>
      </w:pPr>
    </w:p>
    <w:p w14:paraId="7D07C922" w14:textId="13EDD86E" w:rsidR="00396E5C" w:rsidRPr="00D709D3" w:rsidRDefault="00396E5C" w:rsidP="00B16720">
      <w:pPr>
        <w:spacing w:after="240" w:line="480" w:lineRule="auto"/>
        <w:rPr>
          <w:rFonts w:ascii="Cambria" w:hAnsi="Cambria" w:cstheme="minorHAnsi"/>
          <w:b/>
          <w:sz w:val="28"/>
        </w:rPr>
      </w:pPr>
      <w:r w:rsidRPr="00D709D3">
        <w:rPr>
          <w:rFonts w:ascii="Cambria" w:hAnsi="Cambria" w:cstheme="minorHAnsi"/>
          <w:b/>
          <w:sz w:val="28"/>
        </w:rPr>
        <w:t>4. Conclusions</w:t>
      </w:r>
    </w:p>
    <w:p w14:paraId="2694A724" w14:textId="5814BC33" w:rsidR="00396E5C" w:rsidRDefault="00D709D3" w:rsidP="00B16720">
      <w:pPr>
        <w:spacing w:after="240" w:line="480" w:lineRule="auto"/>
        <w:rPr>
          <w:rFonts w:ascii="Cambria" w:hAnsi="Cambria" w:cstheme="minorHAnsi"/>
        </w:rPr>
      </w:pPr>
      <w:r>
        <w:rPr>
          <w:rFonts w:ascii="Cambria" w:hAnsi="Cambria" w:cstheme="minorHAnsi"/>
        </w:rPr>
        <w:t>Enhanced</w:t>
      </w:r>
      <w:r w:rsidR="0078357F">
        <w:rPr>
          <w:rFonts w:ascii="Cambria" w:hAnsi="Cambria" w:cstheme="minorHAnsi"/>
        </w:rPr>
        <w:t xml:space="preserve"> difficulties</w:t>
      </w:r>
      <w:r>
        <w:rPr>
          <w:rFonts w:ascii="Cambria" w:hAnsi="Cambria" w:cstheme="minorHAnsi"/>
        </w:rPr>
        <w:t xml:space="preserve"> entering and navigating </w:t>
      </w:r>
      <w:r w:rsidR="00690A98">
        <w:rPr>
          <w:rFonts w:ascii="Cambria" w:hAnsi="Cambria" w:cstheme="minorHAnsi"/>
        </w:rPr>
        <w:t xml:space="preserve">the </w:t>
      </w:r>
      <w:r>
        <w:rPr>
          <w:rFonts w:ascii="Cambria" w:hAnsi="Cambria" w:cstheme="minorHAnsi"/>
        </w:rPr>
        <w:t xml:space="preserve">housing </w:t>
      </w:r>
      <w:r w:rsidR="00690A98">
        <w:rPr>
          <w:rFonts w:ascii="Cambria" w:hAnsi="Cambria" w:cstheme="minorHAnsi"/>
        </w:rPr>
        <w:t>system</w:t>
      </w:r>
      <w:r>
        <w:rPr>
          <w:rFonts w:ascii="Cambria" w:hAnsi="Cambria" w:cstheme="minorHAnsi"/>
        </w:rPr>
        <w:t xml:space="preserve"> ha</w:t>
      </w:r>
      <w:r w:rsidR="0078661F">
        <w:rPr>
          <w:rFonts w:ascii="Cambria" w:hAnsi="Cambria" w:cstheme="minorHAnsi"/>
        </w:rPr>
        <w:t>ve</w:t>
      </w:r>
      <w:r>
        <w:rPr>
          <w:rFonts w:ascii="Cambria" w:hAnsi="Cambria" w:cstheme="minorHAnsi"/>
        </w:rPr>
        <w:t xml:space="preserve"> become a hallmark of young adults’</w:t>
      </w:r>
      <w:r w:rsidR="00FC4097">
        <w:rPr>
          <w:rFonts w:ascii="Cambria" w:hAnsi="Cambria" w:cstheme="minorHAnsi"/>
        </w:rPr>
        <w:t xml:space="preserve"> increasingly de-</w:t>
      </w:r>
      <w:r>
        <w:rPr>
          <w:rFonts w:ascii="Cambria" w:hAnsi="Cambria" w:cstheme="minorHAnsi"/>
        </w:rPr>
        <w:t xml:space="preserve">standardized lives </w:t>
      </w:r>
      <w:r w:rsidR="0084767C">
        <w:rPr>
          <w:rFonts w:ascii="Cambria" w:hAnsi="Cambria" w:cstheme="minorHAnsi"/>
        </w:rPr>
        <w:t>across</w:t>
      </w:r>
      <w:r w:rsidR="00125585">
        <w:rPr>
          <w:rFonts w:ascii="Cambria" w:hAnsi="Cambria" w:cstheme="minorHAnsi"/>
        </w:rPr>
        <w:t xml:space="preserve"> </w:t>
      </w:r>
      <w:r w:rsidR="00796053">
        <w:rPr>
          <w:rFonts w:ascii="Cambria" w:hAnsi="Cambria" w:cstheme="minorHAnsi"/>
        </w:rPr>
        <w:t>the</w:t>
      </w:r>
      <w:r>
        <w:rPr>
          <w:rFonts w:ascii="Cambria" w:hAnsi="Cambria" w:cstheme="minorHAnsi"/>
        </w:rPr>
        <w:t xml:space="preserve"> Global North. </w:t>
      </w:r>
      <w:r w:rsidR="00873F70">
        <w:rPr>
          <w:rFonts w:ascii="Cambria" w:hAnsi="Cambria" w:cstheme="minorHAnsi"/>
        </w:rPr>
        <w:t>In many countries</w:t>
      </w:r>
      <w:r w:rsidR="00B30AF9">
        <w:rPr>
          <w:rFonts w:ascii="Cambria" w:hAnsi="Cambria" w:cstheme="minorHAnsi"/>
        </w:rPr>
        <w:t xml:space="preserve">, </w:t>
      </w:r>
      <w:r w:rsidR="00873F70">
        <w:rPr>
          <w:rFonts w:ascii="Cambria" w:hAnsi="Cambria" w:cstheme="minorHAnsi"/>
        </w:rPr>
        <w:t>t</w:t>
      </w:r>
      <w:r w:rsidR="002A5EFD">
        <w:rPr>
          <w:rFonts w:ascii="Cambria" w:hAnsi="Cambria" w:cstheme="minorHAnsi"/>
        </w:rPr>
        <w:t>rend</w:t>
      </w:r>
      <w:r w:rsidR="00375C43">
        <w:rPr>
          <w:rFonts w:ascii="Cambria" w:hAnsi="Cambria" w:cstheme="minorHAnsi"/>
        </w:rPr>
        <w:t>s</w:t>
      </w:r>
      <w:r w:rsidR="002A5EFD">
        <w:rPr>
          <w:rFonts w:ascii="Cambria" w:hAnsi="Cambria" w:cstheme="minorHAnsi"/>
        </w:rPr>
        <w:t xml:space="preserve"> towards prolonged parental co-residence, </w:t>
      </w:r>
      <w:r w:rsidR="00114D92">
        <w:rPr>
          <w:rFonts w:ascii="Cambria" w:hAnsi="Cambria" w:cstheme="minorHAnsi"/>
        </w:rPr>
        <w:t xml:space="preserve">reduced rates of </w:t>
      </w:r>
      <w:r w:rsidR="002A5EFD">
        <w:rPr>
          <w:rFonts w:ascii="Cambria" w:hAnsi="Cambria" w:cstheme="minorHAnsi"/>
        </w:rPr>
        <w:t>home</w:t>
      </w:r>
      <w:r w:rsidR="00E119AB">
        <w:rPr>
          <w:rFonts w:ascii="Cambria" w:hAnsi="Cambria" w:cstheme="minorHAnsi"/>
        </w:rPr>
        <w:t xml:space="preserve"> purchase</w:t>
      </w:r>
      <w:r w:rsidR="009E4CD6">
        <w:rPr>
          <w:rFonts w:ascii="Cambria" w:hAnsi="Cambria" w:cstheme="minorHAnsi"/>
        </w:rPr>
        <w:t>,</w:t>
      </w:r>
      <w:r w:rsidR="002A5EFD">
        <w:rPr>
          <w:rFonts w:ascii="Cambria" w:hAnsi="Cambria" w:cstheme="minorHAnsi"/>
        </w:rPr>
        <w:t xml:space="preserve"> </w:t>
      </w:r>
      <w:r w:rsidR="00355354">
        <w:rPr>
          <w:rFonts w:ascii="Cambria" w:hAnsi="Cambria" w:cstheme="minorHAnsi"/>
        </w:rPr>
        <w:t>an increased reliance on</w:t>
      </w:r>
      <w:r w:rsidR="003D6F0F">
        <w:rPr>
          <w:rFonts w:ascii="Cambria" w:hAnsi="Cambria" w:cstheme="minorHAnsi"/>
        </w:rPr>
        <w:t xml:space="preserve"> </w:t>
      </w:r>
      <w:r w:rsidR="0093108F">
        <w:rPr>
          <w:rFonts w:ascii="Cambria" w:hAnsi="Cambria" w:cstheme="minorHAnsi"/>
        </w:rPr>
        <w:t xml:space="preserve">private </w:t>
      </w:r>
      <w:r w:rsidR="003D6F0F">
        <w:rPr>
          <w:rFonts w:ascii="Cambria" w:hAnsi="Cambria" w:cstheme="minorHAnsi"/>
        </w:rPr>
        <w:t xml:space="preserve">renting </w:t>
      </w:r>
      <w:r w:rsidR="00E119AB">
        <w:rPr>
          <w:rFonts w:ascii="Cambria" w:hAnsi="Cambria" w:cstheme="minorHAnsi"/>
        </w:rPr>
        <w:t xml:space="preserve">and the expansion of unrelated sharing </w:t>
      </w:r>
      <w:r w:rsidR="003D6F0F">
        <w:rPr>
          <w:rFonts w:ascii="Cambria" w:hAnsi="Cambria" w:cstheme="minorHAnsi"/>
        </w:rPr>
        <w:t>have become the subject of public debate</w:t>
      </w:r>
      <w:r w:rsidR="00CA33DF">
        <w:rPr>
          <w:rFonts w:ascii="Cambria" w:hAnsi="Cambria" w:cstheme="minorHAnsi"/>
        </w:rPr>
        <w:t>s</w:t>
      </w:r>
      <w:r w:rsidR="003D6F0F">
        <w:rPr>
          <w:rFonts w:ascii="Cambria" w:hAnsi="Cambria" w:cstheme="minorHAnsi"/>
        </w:rPr>
        <w:t>.</w:t>
      </w:r>
      <w:r w:rsidR="00AA6168">
        <w:rPr>
          <w:rFonts w:ascii="Cambria" w:hAnsi="Cambria" w:cstheme="minorHAnsi"/>
        </w:rPr>
        <w:t xml:space="preserve"> </w:t>
      </w:r>
      <w:r w:rsidR="008F0427">
        <w:rPr>
          <w:rFonts w:ascii="Cambria" w:hAnsi="Cambria" w:cstheme="minorHAnsi"/>
        </w:rPr>
        <w:t>T</w:t>
      </w:r>
      <w:r w:rsidR="00AA6168">
        <w:rPr>
          <w:rFonts w:ascii="Cambria" w:hAnsi="Cambria" w:cstheme="minorHAnsi"/>
        </w:rPr>
        <w:t xml:space="preserve">hese discussions </w:t>
      </w:r>
      <w:r w:rsidR="008F0427">
        <w:rPr>
          <w:rFonts w:ascii="Cambria" w:hAnsi="Cambria" w:cstheme="minorHAnsi"/>
        </w:rPr>
        <w:t xml:space="preserve">typically </w:t>
      </w:r>
      <w:r w:rsidR="00AA6168">
        <w:rPr>
          <w:rFonts w:ascii="Cambria" w:hAnsi="Cambria" w:cstheme="minorHAnsi"/>
        </w:rPr>
        <w:t xml:space="preserve">frame young adults’ housing problems as </w:t>
      </w:r>
      <w:r w:rsidR="00E81529">
        <w:rPr>
          <w:rFonts w:ascii="Cambria" w:hAnsi="Cambria" w:cstheme="minorHAnsi"/>
        </w:rPr>
        <w:t xml:space="preserve">one </w:t>
      </w:r>
      <w:r w:rsidR="00745858">
        <w:rPr>
          <w:rFonts w:ascii="Cambria" w:hAnsi="Cambria" w:cstheme="minorHAnsi"/>
        </w:rPr>
        <w:t>facet</w:t>
      </w:r>
      <w:r w:rsidR="00AA6168">
        <w:rPr>
          <w:rFonts w:ascii="Cambria" w:hAnsi="Cambria" w:cstheme="minorHAnsi"/>
        </w:rPr>
        <w:t xml:space="preserve"> of a </w:t>
      </w:r>
      <w:r w:rsidR="00E81529">
        <w:rPr>
          <w:rFonts w:ascii="Cambria" w:hAnsi="Cambria" w:cstheme="minorHAnsi"/>
        </w:rPr>
        <w:t xml:space="preserve">deepening </w:t>
      </w:r>
      <w:r w:rsidR="00AA6168">
        <w:rPr>
          <w:rFonts w:ascii="Cambria" w:hAnsi="Cambria" w:cstheme="minorHAnsi"/>
        </w:rPr>
        <w:t>intergenerational crisis</w:t>
      </w:r>
      <w:r w:rsidR="00E81529">
        <w:rPr>
          <w:rFonts w:ascii="Cambria" w:hAnsi="Cambria" w:cstheme="minorHAnsi"/>
        </w:rPr>
        <w:t xml:space="preserve"> </w:t>
      </w:r>
      <w:r w:rsidR="00ED5D95">
        <w:rPr>
          <w:rFonts w:ascii="Cambria" w:hAnsi="Cambria" w:cstheme="minorHAnsi"/>
        </w:rPr>
        <w:t xml:space="preserve">that is </w:t>
      </w:r>
      <w:r w:rsidR="00CC65CD">
        <w:rPr>
          <w:rFonts w:ascii="Cambria" w:hAnsi="Cambria" w:cstheme="minorHAnsi"/>
        </w:rPr>
        <w:t xml:space="preserve">helping to </w:t>
      </w:r>
      <w:r w:rsidR="00ED5D95">
        <w:rPr>
          <w:rFonts w:ascii="Cambria" w:hAnsi="Cambria" w:cstheme="minorHAnsi"/>
        </w:rPr>
        <w:t>pull apart contemporary societies</w:t>
      </w:r>
      <w:r w:rsidR="00680B79">
        <w:rPr>
          <w:rFonts w:ascii="Cambria" w:hAnsi="Cambria" w:cstheme="minorHAnsi"/>
        </w:rPr>
        <w:t>.</w:t>
      </w:r>
    </w:p>
    <w:p w14:paraId="50179DB0" w14:textId="02C45812" w:rsidR="0042712F" w:rsidRDefault="00794E43" w:rsidP="00B16720">
      <w:pPr>
        <w:spacing w:after="240" w:line="480" w:lineRule="auto"/>
        <w:rPr>
          <w:rFonts w:ascii="Cambria" w:hAnsi="Cambria" w:cstheme="minorHAnsi"/>
        </w:rPr>
      </w:pPr>
      <w:r>
        <w:rPr>
          <w:rFonts w:ascii="Cambria" w:hAnsi="Cambria" w:cstheme="minorHAnsi"/>
        </w:rPr>
        <w:t>In</w:t>
      </w:r>
      <w:r w:rsidR="00274624">
        <w:rPr>
          <w:rFonts w:ascii="Cambria" w:hAnsi="Cambria" w:cstheme="minorHAnsi"/>
        </w:rPr>
        <w:t xml:space="preserve"> this paper</w:t>
      </w:r>
      <w:r w:rsidR="002C35D5">
        <w:rPr>
          <w:rFonts w:ascii="Cambria" w:hAnsi="Cambria" w:cstheme="minorHAnsi"/>
        </w:rPr>
        <w:t>,</w:t>
      </w:r>
      <w:r w:rsidR="00F844A3">
        <w:rPr>
          <w:rFonts w:ascii="Cambria" w:hAnsi="Cambria" w:cstheme="minorHAnsi"/>
        </w:rPr>
        <w:t xml:space="preserve"> </w:t>
      </w:r>
      <w:r w:rsidR="0042712F">
        <w:rPr>
          <w:rFonts w:ascii="Cambria" w:hAnsi="Cambria" w:cstheme="minorHAnsi"/>
        </w:rPr>
        <w:t>we sought to showcase how researchers</w:t>
      </w:r>
      <w:r w:rsidR="001B51C0">
        <w:rPr>
          <w:rFonts w:ascii="Cambria" w:hAnsi="Cambria" w:cstheme="minorHAnsi"/>
        </w:rPr>
        <w:t xml:space="preserve"> working in the UK and </w:t>
      </w:r>
      <w:r w:rsidR="00D81260">
        <w:rPr>
          <w:rFonts w:ascii="Cambria" w:hAnsi="Cambria" w:cstheme="minorHAnsi"/>
        </w:rPr>
        <w:t>beyond</w:t>
      </w:r>
      <w:r w:rsidR="00CC65CD">
        <w:rPr>
          <w:rFonts w:ascii="Cambria" w:hAnsi="Cambria" w:cstheme="minorHAnsi"/>
        </w:rPr>
        <w:t xml:space="preserve"> </w:t>
      </w:r>
      <w:r w:rsidR="0042712F">
        <w:rPr>
          <w:rFonts w:ascii="Cambria" w:hAnsi="Cambria" w:cstheme="minorHAnsi"/>
        </w:rPr>
        <w:t xml:space="preserve">are using longitudinal datasets to apply life course principles </w:t>
      </w:r>
      <w:r w:rsidR="00292723">
        <w:rPr>
          <w:rFonts w:ascii="Cambria" w:hAnsi="Cambria" w:cstheme="minorHAnsi"/>
        </w:rPr>
        <w:t xml:space="preserve">in </w:t>
      </w:r>
      <w:r w:rsidR="00144C66">
        <w:rPr>
          <w:rFonts w:ascii="Cambria" w:hAnsi="Cambria" w:cstheme="minorHAnsi"/>
        </w:rPr>
        <w:t>order</w:t>
      </w:r>
      <w:r w:rsidR="00292723">
        <w:rPr>
          <w:rFonts w:ascii="Cambria" w:hAnsi="Cambria" w:cstheme="minorHAnsi"/>
        </w:rPr>
        <w:t xml:space="preserve"> </w:t>
      </w:r>
      <w:r w:rsidR="0042712F">
        <w:rPr>
          <w:rFonts w:ascii="Cambria" w:hAnsi="Cambria" w:cstheme="minorHAnsi"/>
        </w:rPr>
        <w:t xml:space="preserve">to </w:t>
      </w:r>
      <w:r w:rsidR="001B51C0">
        <w:rPr>
          <w:rFonts w:ascii="Cambria" w:hAnsi="Cambria" w:cstheme="minorHAnsi"/>
        </w:rPr>
        <w:t xml:space="preserve">better </w:t>
      </w:r>
      <w:r w:rsidR="0042712F">
        <w:rPr>
          <w:rFonts w:ascii="Cambria" w:hAnsi="Cambria" w:cstheme="minorHAnsi"/>
        </w:rPr>
        <w:t xml:space="preserve">understand </w:t>
      </w:r>
      <w:r w:rsidR="00A034EA">
        <w:rPr>
          <w:rFonts w:ascii="Cambria" w:hAnsi="Cambria" w:cstheme="minorHAnsi"/>
        </w:rPr>
        <w:t xml:space="preserve">a range of </w:t>
      </w:r>
      <w:r w:rsidR="0042712F">
        <w:rPr>
          <w:rFonts w:ascii="Cambria" w:hAnsi="Cambria" w:cstheme="minorHAnsi"/>
        </w:rPr>
        <w:t xml:space="preserve">housing inequalities in young adulthood. For example, </w:t>
      </w:r>
      <w:r w:rsidR="004333BC">
        <w:rPr>
          <w:rFonts w:ascii="Cambria" w:hAnsi="Cambria" w:cstheme="minorHAnsi"/>
        </w:rPr>
        <w:t>studies of</w:t>
      </w:r>
      <w:r w:rsidR="00832BD8">
        <w:rPr>
          <w:rFonts w:ascii="Cambria" w:hAnsi="Cambria" w:cstheme="minorHAnsi"/>
        </w:rPr>
        <w:t xml:space="preserve"> </w:t>
      </w:r>
      <w:r w:rsidR="0042712F">
        <w:rPr>
          <w:rFonts w:ascii="Cambria" w:hAnsi="Cambria" w:cstheme="minorHAnsi"/>
        </w:rPr>
        <w:t xml:space="preserve"> ‘turning point’ events show how the interconnection between young adults’ life course careers means that uneven exposure to economic adversity (for example the risk of unemployment</w:t>
      </w:r>
      <w:r w:rsidR="001A4704">
        <w:rPr>
          <w:rFonts w:ascii="Cambria" w:hAnsi="Cambria" w:cstheme="minorHAnsi"/>
        </w:rPr>
        <w:t xml:space="preserve"> or job insecurity</w:t>
      </w:r>
      <w:r w:rsidR="0042712F">
        <w:rPr>
          <w:rFonts w:ascii="Cambria" w:hAnsi="Cambria" w:cstheme="minorHAnsi"/>
        </w:rPr>
        <w:t xml:space="preserve">) creates inequalities in which young people experience particular types of housing transition (Stone et al., 2014). Examining these interlinkages across multiple parallel life course careers requires rich </w:t>
      </w:r>
      <w:r w:rsidR="009B6B51">
        <w:rPr>
          <w:rFonts w:ascii="Cambria" w:hAnsi="Cambria" w:cstheme="minorHAnsi"/>
        </w:rPr>
        <w:t xml:space="preserve">panel </w:t>
      </w:r>
      <w:r w:rsidR="0042712F">
        <w:rPr>
          <w:rFonts w:ascii="Cambria" w:hAnsi="Cambria" w:cstheme="minorHAnsi"/>
        </w:rPr>
        <w:t>data</w:t>
      </w:r>
      <w:r w:rsidR="00144C66">
        <w:rPr>
          <w:rFonts w:ascii="Cambria" w:hAnsi="Cambria" w:cstheme="minorHAnsi"/>
        </w:rPr>
        <w:t xml:space="preserve">, </w:t>
      </w:r>
      <w:r w:rsidR="009B6B51">
        <w:rPr>
          <w:rFonts w:ascii="Cambria" w:hAnsi="Cambria" w:cstheme="minorHAnsi"/>
        </w:rPr>
        <w:t xml:space="preserve">sensitivity to </w:t>
      </w:r>
      <w:r w:rsidR="00382F55">
        <w:rPr>
          <w:rFonts w:ascii="Cambria" w:hAnsi="Cambria" w:cstheme="minorHAnsi"/>
        </w:rPr>
        <w:t xml:space="preserve">potential </w:t>
      </w:r>
      <w:r w:rsidR="004E7A3B">
        <w:rPr>
          <w:rFonts w:ascii="Cambria" w:hAnsi="Cambria" w:cstheme="minorHAnsi"/>
        </w:rPr>
        <w:t>attrition bias</w:t>
      </w:r>
      <w:r w:rsidR="00DB19AC">
        <w:rPr>
          <w:rFonts w:ascii="Cambria" w:hAnsi="Cambria" w:cstheme="minorHAnsi"/>
        </w:rPr>
        <w:t>es</w:t>
      </w:r>
      <w:r w:rsidR="0042712F">
        <w:rPr>
          <w:rFonts w:ascii="Cambria" w:hAnsi="Cambria" w:cstheme="minorHAnsi"/>
        </w:rPr>
        <w:t xml:space="preserve"> and </w:t>
      </w:r>
      <w:r w:rsidR="009B6B51">
        <w:rPr>
          <w:rFonts w:ascii="Cambria" w:hAnsi="Cambria" w:cstheme="minorHAnsi"/>
        </w:rPr>
        <w:t xml:space="preserve">the application of </w:t>
      </w:r>
      <w:r w:rsidR="0042712F">
        <w:rPr>
          <w:rFonts w:ascii="Cambria" w:hAnsi="Cambria" w:cstheme="minorHAnsi"/>
        </w:rPr>
        <w:t>sophisticated methods such as multichannel sequence analysis (Spallek et al., 2014)</w:t>
      </w:r>
      <w:r w:rsidR="009B6B51">
        <w:rPr>
          <w:rFonts w:ascii="Cambria" w:hAnsi="Cambria" w:cstheme="minorHAnsi"/>
        </w:rPr>
        <w:t>, event history models</w:t>
      </w:r>
      <w:r w:rsidR="0042712F">
        <w:rPr>
          <w:rFonts w:ascii="Cambria" w:hAnsi="Cambria" w:cstheme="minorHAnsi"/>
        </w:rPr>
        <w:t xml:space="preserve"> and multilevel </w:t>
      </w:r>
      <w:r w:rsidR="009B6B51">
        <w:rPr>
          <w:rFonts w:ascii="Cambria" w:hAnsi="Cambria" w:cstheme="minorHAnsi"/>
        </w:rPr>
        <w:t xml:space="preserve">analysis </w:t>
      </w:r>
      <w:r w:rsidR="0042712F">
        <w:rPr>
          <w:rFonts w:ascii="Cambria" w:hAnsi="Cambria" w:cstheme="minorHAnsi"/>
        </w:rPr>
        <w:t xml:space="preserve">(Kulu and Steele, 2013). </w:t>
      </w:r>
      <w:r w:rsidR="00832BD8">
        <w:rPr>
          <w:rFonts w:ascii="Cambria" w:hAnsi="Cambria" w:cstheme="minorHAnsi"/>
        </w:rPr>
        <w:t>L</w:t>
      </w:r>
      <w:r w:rsidR="006056BC">
        <w:rPr>
          <w:rFonts w:ascii="Cambria" w:hAnsi="Cambria" w:cstheme="minorHAnsi"/>
        </w:rPr>
        <w:t xml:space="preserve">ongitudinal research </w:t>
      </w:r>
      <w:r w:rsidR="00832BD8">
        <w:rPr>
          <w:rFonts w:ascii="Cambria" w:hAnsi="Cambria" w:cstheme="minorHAnsi"/>
        </w:rPr>
        <w:t xml:space="preserve">also </w:t>
      </w:r>
      <w:r w:rsidR="006056BC">
        <w:rPr>
          <w:rFonts w:ascii="Cambria" w:hAnsi="Cambria" w:cstheme="minorHAnsi"/>
        </w:rPr>
        <w:t xml:space="preserve">shows how </w:t>
      </w:r>
      <w:r w:rsidR="0042712F">
        <w:rPr>
          <w:rFonts w:ascii="Cambria" w:hAnsi="Cambria" w:cstheme="minorHAnsi"/>
        </w:rPr>
        <w:t xml:space="preserve">intergenerationally linked lives shape young people’s home leaving behaviour and access to homeownership in ways that could have long-term implications for disparities in health, family formation behaviour and prosperity. These patterns unfold in different ways in different times and places as the opportunities and constraints young people face </w:t>
      </w:r>
      <w:r w:rsidR="00937E93">
        <w:rPr>
          <w:rFonts w:ascii="Cambria" w:hAnsi="Cambria" w:cstheme="minorHAnsi"/>
        </w:rPr>
        <w:t xml:space="preserve">— </w:t>
      </w:r>
      <w:r w:rsidR="006056BC">
        <w:rPr>
          <w:rFonts w:ascii="Cambria" w:hAnsi="Cambria" w:cstheme="minorHAnsi"/>
        </w:rPr>
        <w:t>as well as their tenure</w:t>
      </w:r>
      <w:r w:rsidR="003B281F">
        <w:rPr>
          <w:rFonts w:ascii="Cambria" w:hAnsi="Cambria" w:cstheme="minorHAnsi"/>
        </w:rPr>
        <w:t xml:space="preserve"> </w:t>
      </w:r>
      <w:r w:rsidR="004A6CC8">
        <w:rPr>
          <w:rFonts w:ascii="Cambria" w:hAnsi="Cambria" w:cstheme="minorHAnsi"/>
        </w:rPr>
        <w:t>and life-style preferences, expectations</w:t>
      </w:r>
      <w:r w:rsidR="00A132C9">
        <w:rPr>
          <w:rFonts w:ascii="Cambria" w:hAnsi="Cambria" w:cstheme="minorHAnsi"/>
        </w:rPr>
        <w:t>,</w:t>
      </w:r>
      <w:r w:rsidR="004A6CC8">
        <w:rPr>
          <w:rFonts w:ascii="Cambria" w:hAnsi="Cambria" w:cstheme="minorHAnsi"/>
        </w:rPr>
        <w:t xml:space="preserve"> aspirations and decisions </w:t>
      </w:r>
      <w:r w:rsidR="00937E93">
        <w:rPr>
          <w:rFonts w:ascii="Cambria" w:hAnsi="Cambria" w:cstheme="minorHAnsi"/>
        </w:rPr>
        <w:t xml:space="preserve">— </w:t>
      </w:r>
      <w:r w:rsidR="0042712F">
        <w:rPr>
          <w:rFonts w:ascii="Cambria" w:hAnsi="Cambria" w:cstheme="minorHAnsi"/>
        </w:rPr>
        <w:t xml:space="preserve">are shaped by institutions, </w:t>
      </w:r>
      <w:r w:rsidR="00D36059">
        <w:rPr>
          <w:rFonts w:ascii="Cambria" w:hAnsi="Cambria" w:cstheme="minorHAnsi"/>
        </w:rPr>
        <w:t xml:space="preserve">government </w:t>
      </w:r>
      <w:r w:rsidR="0042712F">
        <w:rPr>
          <w:rFonts w:ascii="Cambria" w:hAnsi="Cambria" w:cstheme="minorHAnsi"/>
        </w:rPr>
        <w:t>policies and context</w:t>
      </w:r>
      <w:r w:rsidR="00B3470E">
        <w:rPr>
          <w:rFonts w:ascii="Cambria" w:hAnsi="Cambria" w:cstheme="minorHAnsi"/>
        </w:rPr>
        <w:t>ual</w:t>
      </w:r>
      <w:r w:rsidR="004A1523">
        <w:rPr>
          <w:rFonts w:ascii="Cambria" w:hAnsi="Cambria" w:cstheme="minorHAnsi"/>
        </w:rPr>
        <w:t xml:space="preserve"> conditions</w:t>
      </w:r>
      <w:r w:rsidR="006C58AB">
        <w:rPr>
          <w:rFonts w:ascii="Cambria" w:hAnsi="Cambria" w:cstheme="minorHAnsi"/>
        </w:rPr>
        <w:t xml:space="preserve"> (Preece et al.</w:t>
      </w:r>
      <w:r w:rsidR="00BE0C69">
        <w:rPr>
          <w:rFonts w:ascii="Cambria" w:hAnsi="Cambria" w:cstheme="minorHAnsi"/>
        </w:rPr>
        <w:t>,</w:t>
      </w:r>
      <w:r w:rsidR="00AC5238">
        <w:rPr>
          <w:rFonts w:ascii="Cambria" w:hAnsi="Cambria" w:cstheme="minorHAnsi"/>
        </w:rPr>
        <w:t xml:space="preserve"> 2020</w:t>
      </w:r>
      <w:r w:rsidR="006C58AB">
        <w:rPr>
          <w:rFonts w:ascii="Cambria" w:hAnsi="Cambria" w:cstheme="minorHAnsi"/>
        </w:rPr>
        <w:t>)</w:t>
      </w:r>
      <w:r w:rsidR="0042712F">
        <w:rPr>
          <w:rFonts w:ascii="Cambria" w:hAnsi="Cambria" w:cstheme="minorHAnsi"/>
        </w:rPr>
        <w:t>.</w:t>
      </w:r>
      <w:r w:rsidR="0042712F" w:rsidRPr="0042712F">
        <w:rPr>
          <w:rFonts w:ascii="Cambria" w:hAnsi="Cambria" w:cstheme="minorHAnsi"/>
        </w:rPr>
        <w:t xml:space="preserve"> </w:t>
      </w:r>
    </w:p>
    <w:p w14:paraId="08C2FDDC" w14:textId="598C69BE" w:rsidR="00E0766B" w:rsidRDefault="00D96A00" w:rsidP="003428BB">
      <w:pPr>
        <w:spacing w:after="240" w:line="480" w:lineRule="auto"/>
        <w:rPr>
          <w:rFonts w:ascii="Cambria" w:hAnsi="Cambria" w:cstheme="minorHAnsi"/>
          <w:b/>
          <w:sz w:val="24"/>
        </w:rPr>
      </w:pPr>
      <w:r>
        <w:rPr>
          <w:rFonts w:ascii="Cambria" w:hAnsi="Cambria" w:cstheme="minorHAnsi"/>
        </w:rPr>
        <w:t>Geographers are</w:t>
      </w:r>
      <w:r w:rsidR="00393AC9">
        <w:rPr>
          <w:rFonts w:ascii="Cambria" w:hAnsi="Cambria" w:cstheme="minorHAnsi"/>
        </w:rPr>
        <w:t xml:space="preserve"> particularly</w:t>
      </w:r>
      <w:r>
        <w:rPr>
          <w:rFonts w:ascii="Cambria" w:hAnsi="Cambria" w:cstheme="minorHAnsi"/>
        </w:rPr>
        <w:t xml:space="preserve"> well placed to ensure that housing research makes optimal </w:t>
      </w:r>
      <w:r w:rsidR="008F778E">
        <w:rPr>
          <w:rFonts w:ascii="Cambria" w:hAnsi="Cambria" w:cstheme="minorHAnsi"/>
        </w:rPr>
        <w:t xml:space="preserve">and </w:t>
      </w:r>
      <w:r w:rsidR="001B3A23">
        <w:rPr>
          <w:rFonts w:ascii="Cambria" w:hAnsi="Cambria" w:cstheme="minorHAnsi"/>
        </w:rPr>
        <w:t>rigorous</w:t>
      </w:r>
      <w:r w:rsidR="00D561E7">
        <w:rPr>
          <w:rFonts w:ascii="Cambria" w:hAnsi="Cambria" w:cstheme="minorHAnsi"/>
        </w:rPr>
        <w:t xml:space="preserve"> </w:t>
      </w:r>
      <w:r>
        <w:rPr>
          <w:rFonts w:ascii="Cambria" w:hAnsi="Cambria" w:cstheme="minorHAnsi"/>
        </w:rPr>
        <w:t xml:space="preserve">use of the </w:t>
      </w:r>
      <w:r w:rsidR="00613779">
        <w:rPr>
          <w:rFonts w:ascii="Cambria" w:hAnsi="Cambria" w:cstheme="minorHAnsi"/>
        </w:rPr>
        <w:t xml:space="preserve">increasingly fine-grained </w:t>
      </w:r>
      <w:r>
        <w:rPr>
          <w:rFonts w:ascii="Cambria" w:hAnsi="Cambria" w:cstheme="minorHAnsi"/>
        </w:rPr>
        <w:t>georeferenced nature of most longitudinal</w:t>
      </w:r>
      <w:r w:rsidR="004C5193">
        <w:rPr>
          <w:rFonts w:ascii="Cambria" w:hAnsi="Cambria" w:cstheme="minorHAnsi"/>
        </w:rPr>
        <w:t xml:space="preserve"> </w:t>
      </w:r>
      <w:r>
        <w:rPr>
          <w:rFonts w:ascii="Cambria" w:hAnsi="Cambria" w:cstheme="minorHAnsi"/>
        </w:rPr>
        <w:t>datasets</w:t>
      </w:r>
      <w:r w:rsidR="00FC55DF">
        <w:rPr>
          <w:rFonts w:ascii="Cambria" w:hAnsi="Cambria" w:cstheme="minorHAnsi"/>
        </w:rPr>
        <w:t xml:space="preserve">. </w:t>
      </w:r>
      <w:r>
        <w:rPr>
          <w:rFonts w:ascii="Cambria" w:hAnsi="Cambria" w:cstheme="minorHAnsi"/>
        </w:rPr>
        <w:t xml:space="preserve"> </w:t>
      </w:r>
      <w:r w:rsidR="00B85093">
        <w:rPr>
          <w:rFonts w:ascii="Cambria" w:hAnsi="Cambria" w:cstheme="minorHAnsi"/>
        </w:rPr>
        <w:t>For example, g</w:t>
      </w:r>
      <w:r w:rsidR="00FC55DF">
        <w:rPr>
          <w:rFonts w:ascii="Cambria" w:hAnsi="Cambria" w:cstheme="minorHAnsi"/>
        </w:rPr>
        <w:t xml:space="preserve">eographical expertise </w:t>
      </w:r>
      <w:r w:rsidR="001B3978">
        <w:rPr>
          <w:rFonts w:ascii="Cambria" w:hAnsi="Cambria" w:cstheme="minorHAnsi"/>
        </w:rPr>
        <w:t xml:space="preserve">concerning appropriate </w:t>
      </w:r>
      <w:r w:rsidR="006B12C7">
        <w:rPr>
          <w:rFonts w:ascii="Cambria" w:hAnsi="Cambria" w:cstheme="minorHAnsi"/>
        </w:rPr>
        <w:t xml:space="preserve">spatial </w:t>
      </w:r>
      <w:r w:rsidR="001B3978">
        <w:rPr>
          <w:rFonts w:ascii="Cambria" w:hAnsi="Cambria" w:cstheme="minorHAnsi"/>
        </w:rPr>
        <w:t xml:space="preserve">scales and </w:t>
      </w:r>
      <w:r w:rsidR="00BF617F">
        <w:rPr>
          <w:rFonts w:ascii="Cambria" w:hAnsi="Cambria" w:cstheme="minorHAnsi"/>
        </w:rPr>
        <w:t xml:space="preserve">ecological </w:t>
      </w:r>
      <w:r w:rsidR="007D4469">
        <w:rPr>
          <w:rFonts w:ascii="Cambria" w:hAnsi="Cambria" w:cstheme="minorHAnsi"/>
        </w:rPr>
        <w:t>measures</w:t>
      </w:r>
      <w:r w:rsidR="001B3978">
        <w:rPr>
          <w:rFonts w:ascii="Cambria" w:hAnsi="Cambria" w:cstheme="minorHAnsi"/>
        </w:rPr>
        <w:t xml:space="preserve"> </w:t>
      </w:r>
      <w:r w:rsidR="00B85093">
        <w:rPr>
          <w:rFonts w:ascii="Cambria" w:hAnsi="Cambria" w:cstheme="minorHAnsi"/>
        </w:rPr>
        <w:t>may be</w:t>
      </w:r>
      <w:r w:rsidR="00BB5635">
        <w:rPr>
          <w:rFonts w:ascii="Cambria" w:hAnsi="Cambria" w:cstheme="minorHAnsi"/>
        </w:rPr>
        <w:t xml:space="preserve"> </w:t>
      </w:r>
      <w:r w:rsidR="00FC55DF">
        <w:rPr>
          <w:rFonts w:ascii="Cambria" w:hAnsi="Cambria" w:cstheme="minorHAnsi"/>
        </w:rPr>
        <w:t xml:space="preserve">particularly valuable </w:t>
      </w:r>
      <w:r w:rsidR="006B7970">
        <w:rPr>
          <w:rFonts w:ascii="Cambria" w:hAnsi="Cambria" w:cstheme="minorHAnsi"/>
        </w:rPr>
        <w:t>for projects looking</w:t>
      </w:r>
      <w:r w:rsidR="00FC55DF">
        <w:rPr>
          <w:rFonts w:ascii="Cambria" w:hAnsi="Cambria" w:cstheme="minorHAnsi"/>
        </w:rPr>
        <w:t xml:space="preserve"> to</w:t>
      </w:r>
      <w:r w:rsidR="0010221B">
        <w:rPr>
          <w:rFonts w:ascii="Cambria" w:hAnsi="Cambria" w:cstheme="minorHAnsi"/>
        </w:rPr>
        <w:t xml:space="preserve"> link administrative </w:t>
      </w:r>
      <w:r w:rsidR="00855762">
        <w:rPr>
          <w:rFonts w:ascii="Cambria" w:hAnsi="Cambria" w:cstheme="minorHAnsi"/>
        </w:rPr>
        <w:t xml:space="preserve">or commercial </w:t>
      </w:r>
      <w:r w:rsidR="0010221B">
        <w:rPr>
          <w:rFonts w:ascii="Cambria" w:hAnsi="Cambria" w:cstheme="minorHAnsi"/>
        </w:rPr>
        <w:t xml:space="preserve">data on </w:t>
      </w:r>
      <w:r w:rsidR="00613779">
        <w:rPr>
          <w:rFonts w:ascii="Cambria" w:hAnsi="Cambria" w:cstheme="minorHAnsi"/>
        </w:rPr>
        <w:t>housing market conditions</w:t>
      </w:r>
      <w:r w:rsidR="00500CCF">
        <w:rPr>
          <w:rFonts w:ascii="Cambria" w:hAnsi="Cambria" w:cstheme="minorHAnsi"/>
        </w:rPr>
        <w:t>, local labour market</w:t>
      </w:r>
      <w:r w:rsidR="00613779">
        <w:rPr>
          <w:rFonts w:ascii="Cambria" w:hAnsi="Cambria" w:cstheme="minorHAnsi"/>
        </w:rPr>
        <w:t>s</w:t>
      </w:r>
      <w:r w:rsidR="0010221B">
        <w:rPr>
          <w:rFonts w:ascii="Cambria" w:hAnsi="Cambria" w:cstheme="minorHAnsi"/>
        </w:rPr>
        <w:t xml:space="preserve"> or </w:t>
      </w:r>
      <w:r w:rsidR="009F28E0">
        <w:rPr>
          <w:rFonts w:ascii="Cambria" w:hAnsi="Cambria" w:cstheme="minorHAnsi"/>
        </w:rPr>
        <w:t xml:space="preserve">the </w:t>
      </w:r>
      <w:r w:rsidR="007615F8">
        <w:rPr>
          <w:rFonts w:ascii="Cambria" w:hAnsi="Cambria" w:cstheme="minorHAnsi"/>
        </w:rPr>
        <w:t xml:space="preserve">multifaceted </w:t>
      </w:r>
      <w:r w:rsidR="009F28E0">
        <w:rPr>
          <w:rFonts w:ascii="Cambria" w:hAnsi="Cambria" w:cstheme="minorHAnsi"/>
        </w:rPr>
        <w:t xml:space="preserve">characteristics of </w:t>
      </w:r>
      <w:r w:rsidR="00F74A29">
        <w:rPr>
          <w:rFonts w:ascii="Cambria" w:hAnsi="Cambria" w:cstheme="minorHAnsi"/>
        </w:rPr>
        <w:t>neighbourhood</w:t>
      </w:r>
      <w:r w:rsidR="0055259A">
        <w:rPr>
          <w:rFonts w:ascii="Cambria" w:hAnsi="Cambria" w:cstheme="minorHAnsi"/>
        </w:rPr>
        <w:t>s</w:t>
      </w:r>
      <w:r w:rsidR="002B62A9">
        <w:rPr>
          <w:rFonts w:ascii="Cambria" w:hAnsi="Cambria" w:cstheme="minorHAnsi"/>
        </w:rPr>
        <w:t xml:space="preserve"> onto longitudinal datasets</w:t>
      </w:r>
      <w:r w:rsidR="00F74A29">
        <w:rPr>
          <w:rFonts w:ascii="Cambria" w:hAnsi="Cambria" w:cstheme="minorHAnsi"/>
        </w:rPr>
        <w:t>.</w:t>
      </w:r>
      <w:r w:rsidR="0010221B">
        <w:rPr>
          <w:rFonts w:ascii="Cambria" w:hAnsi="Cambria" w:cstheme="minorHAnsi"/>
        </w:rPr>
        <w:t xml:space="preserve"> </w:t>
      </w:r>
      <w:r w:rsidR="00FC6357">
        <w:rPr>
          <w:rFonts w:ascii="Cambria" w:hAnsi="Cambria" w:cstheme="minorHAnsi"/>
        </w:rPr>
        <w:t xml:space="preserve">Collaboration with </w:t>
      </w:r>
      <w:r w:rsidR="00E24051">
        <w:rPr>
          <w:rFonts w:ascii="Cambria" w:hAnsi="Cambria" w:cstheme="minorHAnsi"/>
        </w:rPr>
        <w:t>Big D</w:t>
      </w:r>
      <w:r w:rsidR="00FC6357">
        <w:rPr>
          <w:rFonts w:ascii="Cambria" w:hAnsi="Cambria" w:cstheme="minorHAnsi"/>
        </w:rPr>
        <w:t xml:space="preserve">ata specialists </w:t>
      </w:r>
      <w:r w:rsidR="00641EB2">
        <w:rPr>
          <w:rFonts w:ascii="Cambria" w:hAnsi="Cambria" w:cstheme="minorHAnsi"/>
        </w:rPr>
        <w:t xml:space="preserve">and </w:t>
      </w:r>
      <w:r w:rsidR="00DD11CE">
        <w:rPr>
          <w:rFonts w:ascii="Cambria" w:hAnsi="Cambria" w:cstheme="minorHAnsi"/>
        </w:rPr>
        <w:t>colleagues in other social science</w:t>
      </w:r>
      <w:r w:rsidR="00385F50">
        <w:rPr>
          <w:rFonts w:ascii="Cambria" w:hAnsi="Cambria" w:cstheme="minorHAnsi"/>
        </w:rPr>
        <w:t>s</w:t>
      </w:r>
      <w:r w:rsidR="00DD11CE">
        <w:rPr>
          <w:rFonts w:ascii="Cambria" w:hAnsi="Cambria" w:cstheme="minorHAnsi"/>
        </w:rPr>
        <w:t xml:space="preserve"> </w:t>
      </w:r>
      <w:r w:rsidR="00FC6357">
        <w:rPr>
          <w:rFonts w:ascii="Cambria" w:hAnsi="Cambria" w:cstheme="minorHAnsi"/>
        </w:rPr>
        <w:t>will be useful here</w:t>
      </w:r>
      <w:r w:rsidR="001823C5">
        <w:rPr>
          <w:rFonts w:ascii="Cambria" w:hAnsi="Cambria" w:cstheme="minorHAnsi"/>
        </w:rPr>
        <w:t xml:space="preserve">, especially when working with </w:t>
      </w:r>
      <w:r w:rsidR="00411918">
        <w:rPr>
          <w:rFonts w:ascii="Cambria" w:hAnsi="Cambria" w:cstheme="minorHAnsi"/>
        </w:rPr>
        <w:t xml:space="preserve">repurposed </w:t>
      </w:r>
      <w:r w:rsidR="00D5241B">
        <w:rPr>
          <w:rFonts w:ascii="Cambria" w:hAnsi="Cambria" w:cstheme="minorHAnsi"/>
        </w:rPr>
        <w:t xml:space="preserve">commercial datasets or </w:t>
      </w:r>
      <w:r w:rsidR="000765C0">
        <w:rPr>
          <w:rFonts w:ascii="Cambria" w:hAnsi="Cambria" w:cstheme="minorHAnsi"/>
        </w:rPr>
        <w:t xml:space="preserve">the </w:t>
      </w:r>
      <w:r w:rsidR="00D3212B">
        <w:rPr>
          <w:rFonts w:ascii="Cambria" w:hAnsi="Cambria" w:cstheme="minorHAnsi"/>
        </w:rPr>
        <w:t xml:space="preserve">massive </w:t>
      </w:r>
      <w:r w:rsidR="001823C5">
        <w:rPr>
          <w:rFonts w:ascii="Cambria" w:hAnsi="Cambria" w:cstheme="minorHAnsi"/>
        </w:rPr>
        <w:t xml:space="preserve">population registers maintained by some continental European countries. </w:t>
      </w:r>
      <w:r w:rsidR="00E418A2">
        <w:rPr>
          <w:rFonts w:ascii="Cambria" w:hAnsi="Cambria" w:cstheme="minorHAnsi"/>
        </w:rPr>
        <w:t xml:space="preserve">Going forward, geographers could </w:t>
      </w:r>
      <w:r w:rsidR="00E03FA3">
        <w:rPr>
          <w:rFonts w:ascii="Cambria" w:hAnsi="Cambria" w:cstheme="minorHAnsi"/>
        </w:rPr>
        <w:t>ther</w:t>
      </w:r>
      <w:r w:rsidR="0010356E">
        <w:rPr>
          <w:rFonts w:ascii="Cambria" w:hAnsi="Cambria" w:cstheme="minorHAnsi"/>
        </w:rPr>
        <w:t>e</w:t>
      </w:r>
      <w:r w:rsidR="00E03FA3">
        <w:rPr>
          <w:rFonts w:ascii="Cambria" w:hAnsi="Cambria" w:cstheme="minorHAnsi"/>
        </w:rPr>
        <w:t>fo</w:t>
      </w:r>
      <w:r w:rsidR="0010356E">
        <w:rPr>
          <w:rFonts w:ascii="Cambria" w:hAnsi="Cambria" w:cstheme="minorHAnsi"/>
        </w:rPr>
        <w:t>r</w:t>
      </w:r>
      <w:r w:rsidR="00E03FA3">
        <w:rPr>
          <w:rFonts w:ascii="Cambria" w:hAnsi="Cambria" w:cstheme="minorHAnsi"/>
        </w:rPr>
        <w:t xml:space="preserve">e </w:t>
      </w:r>
      <w:r w:rsidR="00E418A2">
        <w:rPr>
          <w:rFonts w:ascii="Cambria" w:hAnsi="Cambria" w:cstheme="minorHAnsi"/>
        </w:rPr>
        <w:t xml:space="preserve">usefully incorporate longitudinal data resources more fully into their research and teaching curricula as is common practice in cognate disciplines such as demography, economics, political science and sociology. </w:t>
      </w:r>
      <w:r w:rsidR="007106D9">
        <w:rPr>
          <w:rFonts w:ascii="Cambria" w:hAnsi="Cambria" w:cstheme="minorHAnsi"/>
        </w:rPr>
        <w:t>This</w:t>
      </w:r>
      <w:r w:rsidR="00FC6357">
        <w:rPr>
          <w:rFonts w:ascii="Cambria" w:hAnsi="Cambria" w:cstheme="minorHAnsi"/>
        </w:rPr>
        <w:t xml:space="preserve"> will help </w:t>
      </w:r>
      <w:r w:rsidR="00BD25F2">
        <w:rPr>
          <w:rFonts w:ascii="Cambria" w:hAnsi="Cambria" w:cstheme="minorHAnsi"/>
        </w:rPr>
        <w:t xml:space="preserve">to </w:t>
      </w:r>
      <w:r w:rsidR="003D4671">
        <w:rPr>
          <w:rFonts w:ascii="Cambria" w:hAnsi="Cambria" w:cstheme="minorHAnsi"/>
        </w:rPr>
        <w:t>erect a</w:t>
      </w:r>
      <w:r w:rsidR="00FC6357">
        <w:rPr>
          <w:rFonts w:ascii="Cambria" w:hAnsi="Cambria" w:cstheme="minorHAnsi"/>
        </w:rPr>
        <w:t xml:space="preserve"> pluralistic ‘big tent’ model of quantitative geography </w:t>
      </w:r>
      <w:r w:rsidR="00F477C3">
        <w:rPr>
          <w:rFonts w:ascii="Cambria" w:hAnsi="Cambria" w:cstheme="minorHAnsi"/>
        </w:rPr>
        <w:t xml:space="preserve">that </w:t>
      </w:r>
      <w:r w:rsidR="00F734B2">
        <w:rPr>
          <w:rFonts w:ascii="Cambria" w:hAnsi="Cambria" w:cstheme="minorHAnsi"/>
        </w:rPr>
        <w:t>can</w:t>
      </w:r>
      <w:r w:rsidR="00FC6357">
        <w:rPr>
          <w:rFonts w:ascii="Cambria" w:hAnsi="Cambria" w:cstheme="minorHAnsi"/>
        </w:rPr>
        <w:t xml:space="preserve"> critically </w:t>
      </w:r>
      <w:r w:rsidR="00806269">
        <w:rPr>
          <w:rFonts w:ascii="Cambria" w:hAnsi="Cambria" w:cstheme="minorHAnsi"/>
        </w:rPr>
        <w:t>deploy</w:t>
      </w:r>
      <w:r w:rsidR="00FC6357">
        <w:rPr>
          <w:rFonts w:ascii="Cambria" w:hAnsi="Cambria" w:cstheme="minorHAnsi"/>
        </w:rPr>
        <w:t xml:space="preserve"> </w:t>
      </w:r>
      <w:r w:rsidR="00BA625A">
        <w:rPr>
          <w:rFonts w:ascii="Cambria" w:hAnsi="Cambria" w:cstheme="minorHAnsi"/>
        </w:rPr>
        <w:t xml:space="preserve">a </w:t>
      </w:r>
      <w:r w:rsidR="00FC6357">
        <w:rPr>
          <w:rFonts w:ascii="Cambria" w:hAnsi="Cambria" w:cstheme="minorHAnsi"/>
        </w:rPr>
        <w:t xml:space="preserve">range of tools to </w:t>
      </w:r>
      <w:r w:rsidR="00B70B3F">
        <w:rPr>
          <w:rFonts w:ascii="Cambria" w:hAnsi="Cambria" w:cstheme="minorHAnsi"/>
        </w:rPr>
        <w:t xml:space="preserve">robustly analyse, </w:t>
      </w:r>
      <w:r w:rsidR="00FC6357">
        <w:rPr>
          <w:rFonts w:ascii="Cambria" w:hAnsi="Cambria" w:cstheme="minorHAnsi"/>
        </w:rPr>
        <w:t>understand</w:t>
      </w:r>
      <w:r w:rsidR="003D4671">
        <w:rPr>
          <w:rFonts w:ascii="Cambria" w:hAnsi="Cambria" w:cstheme="minorHAnsi"/>
        </w:rPr>
        <w:t xml:space="preserve"> and challenge inequalities within contemporary</w:t>
      </w:r>
      <w:r w:rsidR="00FC6357">
        <w:rPr>
          <w:rFonts w:ascii="Cambria" w:hAnsi="Cambria" w:cstheme="minorHAnsi"/>
        </w:rPr>
        <w:t xml:space="preserve"> society.</w:t>
      </w:r>
    </w:p>
    <w:p w14:paraId="296B5BB2" w14:textId="4BEFD1FD" w:rsidR="00E0766B" w:rsidRDefault="00E0766B" w:rsidP="00840DC0">
      <w:pPr>
        <w:spacing w:after="240" w:line="264" w:lineRule="auto"/>
        <w:rPr>
          <w:rFonts w:ascii="Cambria" w:hAnsi="Cambria" w:cstheme="minorHAnsi"/>
          <w:b/>
          <w:sz w:val="24"/>
        </w:rPr>
      </w:pPr>
    </w:p>
    <w:p w14:paraId="4A57B64B" w14:textId="666CADA5" w:rsidR="00F839AE" w:rsidRDefault="00F839AE" w:rsidP="00840DC0">
      <w:pPr>
        <w:spacing w:after="240" w:line="264" w:lineRule="auto"/>
        <w:rPr>
          <w:rFonts w:ascii="Cambria" w:hAnsi="Cambria" w:cstheme="minorHAnsi"/>
          <w:b/>
          <w:sz w:val="24"/>
        </w:rPr>
      </w:pPr>
    </w:p>
    <w:p w14:paraId="724E8A26" w14:textId="77777777" w:rsidR="00F839AE" w:rsidRDefault="00F839AE" w:rsidP="00840DC0">
      <w:pPr>
        <w:spacing w:after="240" w:line="264" w:lineRule="auto"/>
        <w:rPr>
          <w:rFonts w:ascii="Cambria" w:hAnsi="Cambria" w:cstheme="minorHAnsi"/>
          <w:b/>
          <w:sz w:val="24"/>
        </w:rPr>
      </w:pPr>
    </w:p>
    <w:p w14:paraId="3AFB098E" w14:textId="53276570" w:rsidR="003064D5" w:rsidRPr="00814878" w:rsidRDefault="003064D5" w:rsidP="00840DC0">
      <w:pPr>
        <w:spacing w:after="240" w:line="264" w:lineRule="auto"/>
        <w:rPr>
          <w:rFonts w:ascii="Cambria" w:hAnsi="Cambria" w:cstheme="minorHAnsi"/>
          <w:b/>
          <w:sz w:val="28"/>
        </w:rPr>
      </w:pPr>
      <w:r w:rsidRPr="00814878">
        <w:rPr>
          <w:rFonts w:ascii="Cambria" w:hAnsi="Cambria" w:cstheme="minorHAnsi"/>
          <w:b/>
          <w:sz w:val="28"/>
        </w:rPr>
        <w:t>5. References</w:t>
      </w:r>
    </w:p>
    <w:p w14:paraId="41B98E10" w14:textId="23D8C58C" w:rsidR="00370F5F" w:rsidRPr="003428BB" w:rsidRDefault="00370F5F" w:rsidP="00370F5F">
      <w:pPr>
        <w:spacing w:after="0" w:line="300" w:lineRule="atLeast"/>
        <w:rPr>
          <w:rFonts w:ascii="Cambria" w:eastAsia="Times New Roman" w:hAnsi="Cambria" w:cs="Arial"/>
          <w:lang w:eastAsia="en-GB"/>
        </w:rPr>
      </w:pPr>
      <w:r w:rsidRPr="003428BB">
        <w:rPr>
          <w:rFonts w:ascii="Cambria" w:eastAsia="Times New Roman" w:hAnsi="Cambria" w:cs="Arial"/>
          <w:lang w:eastAsia="en-GB"/>
        </w:rPr>
        <w:t>Aassve, A</w:t>
      </w:r>
      <w:r w:rsidR="0050693E">
        <w:rPr>
          <w:rFonts w:ascii="Cambria" w:eastAsia="Times New Roman" w:hAnsi="Cambria" w:cs="Arial"/>
          <w:lang w:eastAsia="en-GB"/>
        </w:rPr>
        <w:t>.</w:t>
      </w:r>
      <w:r w:rsidRPr="003428BB">
        <w:rPr>
          <w:rFonts w:ascii="Cambria" w:eastAsia="Times New Roman" w:hAnsi="Cambria" w:cs="Arial"/>
          <w:lang w:eastAsia="en-GB"/>
        </w:rPr>
        <w:t>, Billari, F</w:t>
      </w:r>
      <w:r w:rsidR="0050693E">
        <w:rPr>
          <w:rFonts w:ascii="Cambria" w:eastAsia="Times New Roman" w:hAnsi="Cambria" w:cs="Arial"/>
          <w:lang w:eastAsia="en-GB"/>
        </w:rPr>
        <w:t>.</w:t>
      </w:r>
      <w:r w:rsidRPr="003428BB">
        <w:rPr>
          <w:rFonts w:ascii="Cambria" w:eastAsia="Times New Roman" w:hAnsi="Cambria" w:cs="Arial"/>
          <w:lang w:eastAsia="en-GB"/>
        </w:rPr>
        <w:t>, Mazzuco, S</w:t>
      </w:r>
      <w:r w:rsidR="0050693E">
        <w:rPr>
          <w:rFonts w:ascii="Cambria" w:eastAsia="Times New Roman" w:hAnsi="Cambria" w:cs="Arial"/>
          <w:lang w:eastAsia="en-GB"/>
        </w:rPr>
        <w:t>., &amp;</w:t>
      </w:r>
      <w:r w:rsidRPr="003428BB">
        <w:rPr>
          <w:rFonts w:ascii="Cambria" w:eastAsia="Times New Roman" w:hAnsi="Cambria" w:cs="Arial"/>
          <w:lang w:eastAsia="en-GB"/>
        </w:rPr>
        <w:t xml:space="preserve"> Ongaro, F</w:t>
      </w:r>
      <w:r w:rsidR="0050693E">
        <w:rPr>
          <w:rFonts w:ascii="Cambria" w:eastAsia="Times New Roman" w:hAnsi="Cambria" w:cs="Arial"/>
          <w:lang w:eastAsia="en-GB"/>
        </w:rPr>
        <w:t>.</w:t>
      </w:r>
      <w:r w:rsidRPr="003428BB">
        <w:rPr>
          <w:rFonts w:ascii="Cambria" w:eastAsia="Times New Roman" w:hAnsi="Cambria" w:cs="Arial"/>
          <w:lang w:eastAsia="en-GB"/>
        </w:rPr>
        <w:t>, (2002), Leaving home: a comparative analysis of ECHP data. </w:t>
      </w:r>
      <w:r w:rsidRPr="003428BB">
        <w:rPr>
          <w:rFonts w:ascii="Cambria" w:eastAsia="Times New Roman" w:hAnsi="Cambria" w:cs="Arial"/>
          <w:i/>
          <w:lang w:eastAsia="en-GB"/>
        </w:rPr>
        <w:t>Journal of European Social Policy, 12</w:t>
      </w:r>
      <w:r w:rsidR="0050693E">
        <w:rPr>
          <w:rFonts w:ascii="Cambria" w:eastAsia="Times New Roman" w:hAnsi="Cambria" w:cs="Arial"/>
          <w:lang w:eastAsia="en-GB"/>
        </w:rPr>
        <w:t>(4)</w:t>
      </w:r>
      <w:r w:rsidRPr="003428BB">
        <w:rPr>
          <w:rFonts w:ascii="Cambria" w:eastAsia="Times New Roman" w:hAnsi="Cambria" w:cs="Arial"/>
          <w:i/>
          <w:lang w:eastAsia="en-GB"/>
        </w:rPr>
        <w:t>,</w:t>
      </w:r>
      <w:r w:rsidRPr="003428BB">
        <w:rPr>
          <w:rFonts w:ascii="Cambria" w:eastAsia="Times New Roman" w:hAnsi="Cambria" w:cs="Arial"/>
          <w:lang w:eastAsia="en-GB"/>
        </w:rPr>
        <w:t> 259–275</w:t>
      </w:r>
      <w:r w:rsidR="0050693E">
        <w:rPr>
          <w:rFonts w:ascii="Cambria" w:eastAsia="Times New Roman" w:hAnsi="Cambria" w:cs="Arial"/>
          <w:lang w:eastAsia="en-GB"/>
        </w:rPr>
        <w:t xml:space="preserve">. </w:t>
      </w:r>
      <w:r w:rsidR="0050693E" w:rsidRPr="003428BB">
        <w:rPr>
          <w:rFonts w:ascii="Cambria" w:eastAsia="Times New Roman" w:hAnsi="Cambria" w:cs="Arial"/>
          <w:lang w:eastAsia="en-GB"/>
        </w:rPr>
        <w:t>doi:</w:t>
      </w:r>
      <w:r w:rsidR="0050693E" w:rsidRPr="003428BB">
        <w:rPr>
          <w:rFonts w:ascii="Cambria" w:hAnsi="Cambria"/>
        </w:rPr>
        <w:t>10.1177/a028430.</w:t>
      </w:r>
    </w:p>
    <w:p w14:paraId="50FCF5C7" w14:textId="4797446D" w:rsidR="00856DB6" w:rsidRPr="007B6810" w:rsidRDefault="00856DB6" w:rsidP="007F1A49">
      <w:pPr>
        <w:spacing w:before="100" w:beforeAutospacing="1" w:after="100" w:afterAutospacing="1" w:line="240" w:lineRule="auto"/>
        <w:rPr>
          <w:rFonts w:ascii="Cambria" w:eastAsia="Times New Roman" w:hAnsi="Cambria" w:cs="Times New Roman"/>
          <w:lang w:eastAsia="en-GB"/>
        </w:rPr>
      </w:pPr>
      <w:r w:rsidRPr="007B6810">
        <w:rPr>
          <w:rFonts w:ascii="Cambria" w:eastAsia="Times New Roman" w:hAnsi="Cambria" w:cs="Times New Roman"/>
          <w:lang w:eastAsia="en-GB"/>
        </w:rPr>
        <w:t xml:space="preserve">Aassve, A., Arpino, B., &amp; Billari, F. C. (2013). Age norms on leaving home: Multilevel evidence from the European Social Survey. </w:t>
      </w:r>
      <w:r w:rsidRPr="007B6810">
        <w:rPr>
          <w:rFonts w:ascii="Cambria" w:eastAsia="Times New Roman" w:hAnsi="Cambria" w:cs="Times New Roman"/>
          <w:i/>
          <w:iCs/>
          <w:lang w:eastAsia="en-GB"/>
        </w:rPr>
        <w:t>Environment and Planning A</w:t>
      </w:r>
      <w:r w:rsidRPr="007B6810">
        <w:rPr>
          <w:rFonts w:ascii="Cambria" w:eastAsia="Times New Roman" w:hAnsi="Cambria" w:cs="Times New Roman"/>
          <w:lang w:eastAsia="en-GB"/>
        </w:rPr>
        <w:t xml:space="preserve">, </w:t>
      </w:r>
      <w:r w:rsidRPr="007B6810">
        <w:rPr>
          <w:rFonts w:ascii="Cambria" w:eastAsia="Times New Roman" w:hAnsi="Cambria" w:cs="Times New Roman"/>
          <w:i/>
          <w:iCs/>
          <w:lang w:eastAsia="en-GB"/>
        </w:rPr>
        <w:t>45</w:t>
      </w:r>
      <w:r w:rsidRPr="007B6810">
        <w:rPr>
          <w:rFonts w:ascii="Cambria" w:eastAsia="Times New Roman" w:hAnsi="Cambria" w:cs="Times New Roman"/>
          <w:lang w:eastAsia="en-GB"/>
        </w:rPr>
        <w:t xml:space="preserve">(2), 383–401. </w:t>
      </w:r>
      <w:r w:rsidR="009C14F5" w:rsidRPr="007B6810">
        <w:rPr>
          <w:rFonts w:ascii="Cambria" w:eastAsia="Times New Roman" w:hAnsi="Cambria" w:cs="Times New Roman"/>
          <w:lang w:eastAsia="en-GB"/>
        </w:rPr>
        <w:t>doi:</w:t>
      </w:r>
      <w:r w:rsidRPr="007B6810">
        <w:rPr>
          <w:rFonts w:ascii="Cambria" w:eastAsia="Times New Roman" w:hAnsi="Cambria" w:cs="Times New Roman"/>
          <w:lang w:eastAsia="en-GB"/>
        </w:rPr>
        <w:t>10.1068/a4563</w:t>
      </w:r>
      <w:r w:rsidR="007F1A49" w:rsidRPr="007B6810">
        <w:rPr>
          <w:rFonts w:ascii="Cambria" w:eastAsia="Times New Roman" w:hAnsi="Cambria" w:cs="Times New Roman"/>
          <w:lang w:eastAsia="en-GB"/>
        </w:rPr>
        <w:t>.</w:t>
      </w:r>
    </w:p>
    <w:p w14:paraId="518F05A1" w14:textId="0A3E40AD" w:rsidR="00A52D25" w:rsidRDefault="00A52D25" w:rsidP="00A52D25">
      <w:pPr>
        <w:spacing w:after="0" w:line="300" w:lineRule="atLeast"/>
        <w:rPr>
          <w:rFonts w:ascii="Cambria" w:eastAsia="Times New Roman" w:hAnsi="Cambria" w:cstheme="minorHAnsi"/>
          <w:lang w:eastAsia="en-GB"/>
        </w:rPr>
      </w:pPr>
      <w:r w:rsidRPr="003428BB">
        <w:rPr>
          <w:rFonts w:ascii="Cambria" w:eastAsia="Times New Roman" w:hAnsi="Cambria" w:cstheme="minorHAnsi"/>
          <w:lang w:eastAsia="en-GB"/>
        </w:rPr>
        <w:t xml:space="preserve">Aeby, G., &amp; Heath, S. (2019). Post break-up housing pathways of young adults in England in light of family and friendship-based support. </w:t>
      </w:r>
      <w:r w:rsidRPr="003428BB">
        <w:rPr>
          <w:rFonts w:ascii="Cambria" w:eastAsia="Times New Roman" w:hAnsi="Cambria" w:cstheme="minorHAnsi"/>
          <w:i/>
          <w:lang w:eastAsia="en-GB"/>
        </w:rPr>
        <w:t>Journal of Youth Studies</w:t>
      </w:r>
      <w:r w:rsidRPr="003428BB">
        <w:rPr>
          <w:rFonts w:ascii="Cambria" w:eastAsia="Times New Roman" w:hAnsi="Cambria" w:cstheme="minorHAnsi"/>
          <w:lang w:eastAsia="en-GB"/>
        </w:rPr>
        <w:t>.</w:t>
      </w:r>
      <w:r w:rsidR="00E738BE">
        <w:rPr>
          <w:rFonts w:ascii="Cambria" w:eastAsia="Times New Roman" w:hAnsi="Cambria" w:cstheme="minorHAnsi"/>
          <w:lang w:eastAsia="en-GB"/>
        </w:rPr>
        <w:t xml:space="preserve"> doi: </w:t>
      </w:r>
      <w:r w:rsidR="00E738BE" w:rsidRPr="003428BB">
        <w:rPr>
          <w:rFonts w:ascii="Cambria" w:hAnsi="Cambria"/>
        </w:rPr>
        <w:t>10.1080/13676261.2019.1679358</w:t>
      </w:r>
      <w:r w:rsidR="00E738BE">
        <w:rPr>
          <w:rFonts w:ascii="Cambria" w:hAnsi="Cambria"/>
        </w:rPr>
        <w:t>.</w:t>
      </w:r>
    </w:p>
    <w:p w14:paraId="4F27C092" w14:textId="77777777" w:rsidR="00CC28AD" w:rsidRDefault="00CC28AD" w:rsidP="00A52D25">
      <w:pPr>
        <w:spacing w:after="0" w:line="300" w:lineRule="atLeast"/>
        <w:rPr>
          <w:rFonts w:ascii="Cambria" w:eastAsia="Times New Roman" w:hAnsi="Cambria" w:cstheme="minorHAnsi"/>
          <w:lang w:eastAsia="en-GB"/>
        </w:rPr>
      </w:pPr>
    </w:p>
    <w:p w14:paraId="1E6460C8" w14:textId="5929C223" w:rsidR="00CC28AD" w:rsidRPr="003428BB" w:rsidRDefault="00CC28AD" w:rsidP="00A52D25">
      <w:pPr>
        <w:spacing w:after="0" w:line="300" w:lineRule="atLeast"/>
        <w:rPr>
          <w:rFonts w:ascii="Cambria" w:eastAsia="Times New Roman" w:hAnsi="Cambria" w:cstheme="minorHAnsi"/>
          <w:lang w:eastAsia="en-GB"/>
        </w:rPr>
      </w:pPr>
      <w:r w:rsidRPr="003428BB">
        <w:rPr>
          <w:rFonts w:ascii="Cambria" w:hAnsi="Cambria"/>
        </w:rPr>
        <w:t xml:space="preserve">Albertini, M., Tosi, M. </w:t>
      </w:r>
      <w:r w:rsidR="0050693E">
        <w:rPr>
          <w:rFonts w:ascii="Cambria" w:hAnsi="Cambria"/>
        </w:rPr>
        <w:t>&amp;</w:t>
      </w:r>
      <w:r w:rsidRPr="003428BB">
        <w:rPr>
          <w:rFonts w:ascii="Cambria" w:hAnsi="Cambria"/>
        </w:rPr>
        <w:t xml:space="preserve"> Kohli, M. (2018) Parents’ housing careers and support for adult children across Europe, </w:t>
      </w:r>
      <w:r w:rsidRPr="003428BB">
        <w:rPr>
          <w:rFonts w:ascii="Cambria" w:hAnsi="Cambria"/>
          <w:i/>
          <w:iCs/>
        </w:rPr>
        <w:t>Housing Studies</w:t>
      </w:r>
      <w:r w:rsidRPr="003428BB">
        <w:rPr>
          <w:rFonts w:ascii="Cambria" w:hAnsi="Cambria"/>
        </w:rPr>
        <w:t xml:space="preserve">, </w:t>
      </w:r>
      <w:r w:rsidRPr="003428BB">
        <w:rPr>
          <w:rFonts w:ascii="Cambria" w:hAnsi="Cambria"/>
          <w:i/>
        </w:rPr>
        <w:t>33</w:t>
      </w:r>
      <w:r w:rsidR="009D549A" w:rsidRPr="003428BB">
        <w:rPr>
          <w:rFonts w:ascii="Cambria" w:hAnsi="Cambria"/>
        </w:rPr>
        <w:t xml:space="preserve">(2), </w:t>
      </w:r>
      <w:r w:rsidRPr="003428BB">
        <w:rPr>
          <w:rFonts w:ascii="Cambria" w:hAnsi="Cambria"/>
        </w:rPr>
        <w:t>160–177. doi: 10.1080/02673037.2017.1363875.</w:t>
      </w:r>
    </w:p>
    <w:p w14:paraId="4C6F2876" w14:textId="362E6A23" w:rsidR="00025C9A" w:rsidRPr="007B6810" w:rsidRDefault="00025C9A" w:rsidP="00025C9A">
      <w:pPr>
        <w:pStyle w:val="NormalWeb"/>
        <w:rPr>
          <w:rFonts w:ascii="Cambria" w:hAnsi="Cambria"/>
          <w:sz w:val="22"/>
          <w:szCs w:val="22"/>
        </w:rPr>
      </w:pPr>
      <w:r w:rsidRPr="007B6810">
        <w:rPr>
          <w:rFonts w:ascii="Cambria" w:hAnsi="Cambria"/>
          <w:sz w:val="22"/>
          <w:szCs w:val="22"/>
        </w:rPr>
        <w:t xml:space="preserve">Andrew, M. (2012). The changing route to owner-occupation: The impact of borrowing constraints on young adult homeownership transitions in Britain in the 1990s. </w:t>
      </w:r>
      <w:r w:rsidRPr="007B6810">
        <w:rPr>
          <w:rFonts w:ascii="Cambria" w:hAnsi="Cambria"/>
          <w:i/>
          <w:iCs/>
          <w:sz w:val="22"/>
          <w:szCs w:val="22"/>
        </w:rPr>
        <w:t>Urban Studies</w:t>
      </w:r>
      <w:r w:rsidRPr="007B6810">
        <w:rPr>
          <w:rFonts w:ascii="Cambria" w:hAnsi="Cambria"/>
          <w:sz w:val="22"/>
          <w:szCs w:val="22"/>
        </w:rPr>
        <w:t xml:space="preserve">, </w:t>
      </w:r>
      <w:r w:rsidRPr="007B6810">
        <w:rPr>
          <w:rFonts w:ascii="Cambria" w:hAnsi="Cambria"/>
          <w:i/>
          <w:iCs/>
          <w:sz w:val="22"/>
          <w:szCs w:val="22"/>
        </w:rPr>
        <w:t>49</w:t>
      </w:r>
      <w:r w:rsidRPr="007B6810">
        <w:rPr>
          <w:rFonts w:ascii="Cambria" w:hAnsi="Cambria"/>
          <w:sz w:val="22"/>
          <w:szCs w:val="22"/>
        </w:rPr>
        <w:t xml:space="preserve">(8), 1659–1678. </w:t>
      </w:r>
      <w:r w:rsidR="009C14F5" w:rsidRPr="007B6810">
        <w:rPr>
          <w:rFonts w:ascii="Cambria" w:hAnsi="Cambria"/>
          <w:sz w:val="22"/>
          <w:szCs w:val="22"/>
        </w:rPr>
        <w:t>doi:</w:t>
      </w:r>
      <w:r w:rsidRPr="007B6810">
        <w:rPr>
          <w:rFonts w:ascii="Cambria" w:hAnsi="Cambria"/>
          <w:sz w:val="22"/>
          <w:szCs w:val="22"/>
        </w:rPr>
        <w:t>10.1177/0042098011417905</w:t>
      </w:r>
      <w:r w:rsidR="009C14F5" w:rsidRPr="007B6810">
        <w:rPr>
          <w:rFonts w:ascii="Cambria" w:hAnsi="Cambria"/>
          <w:sz w:val="22"/>
          <w:szCs w:val="22"/>
        </w:rPr>
        <w:t>.</w:t>
      </w:r>
    </w:p>
    <w:p w14:paraId="40406DDE" w14:textId="1CEF19A2" w:rsidR="00BD4AF6" w:rsidRPr="00A52D25" w:rsidRDefault="00BD4AF6"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Arribas-Bel, D., &amp; Reades, J. </w:t>
      </w:r>
      <w:r w:rsidR="00BD1039" w:rsidRPr="00A52D25">
        <w:rPr>
          <w:rFonts w:ascii="Cambria" w:eastAsia="Times New Roman" w:hAnsi="Cambria" w:cs="Times New Roman"/>
          <w:lang w:eastAsia="en-GB"/>
        </w:rPr>
        <w:t>(2018). Geography and computers</w:t>
      </w:r>
      <w:r w:rsidR="00067A17" w:rsidRPr="00A52D25">
        <w:rPr>
          <w:rFonts w:ascii="Cambria" w:eastAsia="Times New Roman" w:hAnsi="Cambria" w:cs="Times New Roman"/>
          <w:lang w:eastAsia="en-GB"/>
        </w:rPr>
        <w:t>: Past</w:t>
      </w:r>
      <w:r w:rsidRPr="00A52D25">
        <w:rPr>
          <w:rFonts w:ascii="Cambria" w:eastAsia="Times New Roman" w:hAnsi="Cambria" w:cs="Times New Roman"/>
          <w:lang w:eastAsia="en-GB"/>
        </w:rPr>
        <w:t xml:space="preserve">, present, and future. </w:t>
      </w:r>
      <w:r w:rsidRPr="00A52D25">
        <w:rPr>
          <w:rFonts w:ascii="Cambria" w:eastAsia="Times New Roman" w:hAnsi="Cambria" w:cs="Times New Roman"/>
          <w:i/>
          <w:iCs/>
          <w:lang w:eastAsia="en-GB"/>
        </w:rPr>
        <w:t>Geography Compass</w:t>
      </w:r>
      <w:r w:rsidRPr="00A52D25">
        <w:rPr>
          <w:rFonts w:ascii="Cambria" w:eastAsia="Times New Roman" w:hAnsi="Cambria" w:cs="Times New Roman"/>
          <w:lang w:eastAsia="en-GB"/>
        </w:rPr>
        <w:t>,</w:t>
      </w:r>
      <w:r w:rsidR="00BD1039" w:rsidRPr="00A52D25">
        <w:rPr>
          <w:rFonts w:ascii="Cambria" w:eastAsia="Times New Roman" w:hAnsi="Cambria" w:cs="Times New Roman"/>
          <w:lang w:eastAsia="en-GB"/>
        </w:rPr>
        <w:t xml:space="preserve"> </w:t>
      </w:r>
      <w:r w:rsidR="00BD1039" w:rsidRPr="00A52D25">
        <w:rPr>
          <w:rFonts w:ascii="Cambria" w:eastAsia="Times New Roman" w:hAnsi="Cambria" w:cs="Times New Roman"/>
          <w:i/>
          <w:lang w:eastAsia="en-GB"/>
        </w:rPr>
        <w:t>12</w:t>
      </w:r>
      <w:r w:rsidRPr="00A52D25">
        <w:rPr>
          <w:rFonts w:ascii="Cambria" w:eastAsia="Times New Roman" w:hAnsi="Cambria" w:cs="Times New Roman"/>
          <w:lang w:eastAsia="en-GB"/>
        </w:rPr>
        <w:t xml:space="preserve">, </w:t>
      </w:r>
      <w:r w:rsidR="00BD1039" w:rsidRPr="00A52D25">
        <w:rPr>
          <w:rFonts w:ascii="Cambria" w:eastAsia="Times New Roman" w:hAnsi="Cambria" w:cs="Times New Roman"/>
          <w:lang w:eastAsia="en-GB"/>
        </w:rPr>
        <w:t>e12403</w:t>
      </w:r>
      <w:r w:rsidRPr="00A52D25">
        <w:rPr>
          <w:rFonts w:ascii="Cambria" w:eastAsia="Times New Roman" w:hAnsi="Cambria" w:cs="Times New Roman"/>
          <w:lang w:eastAsia="en-GB"/>
        </w:rPr>
        <w:t xml:space="preserve">. </w:t>
      </w:r>
      <w:r w:rsidR="009C14F5" w:rsidRPr="00A52D25">
        <w:rPr>
          <w:rFonts w:ascii="Cambria" w:eastAsia="Times New Roman" w:hAnsi="Cambria" w:cs="Times New Roman"/>
          <w:lang w:eastAsia="en-GB"/>
        </w:rPr>
        <w:t>doi:</w:t>
      </w:r>
      <w:r w:rsidRPr="00A52D25">
        <w:rPr>
          <w:rFonts w:ascii="Cambria" w:eastAsia="Times New Roman" w:hAnsi="Cambria" w:cs="Times New Roman"/>
          <w:lang w:eastAsia="en-GB"/>
        </w:rPr>
        <w:t>10.1111/gec3.12403</w:t>
      </w:r>
      <w:r w:rsidR="00BD1039" w:rsidRPr="00A52D25">
        <w:rPr>
          <w:rFonts w:ascii="Cambria" w:eastAsia="Times New Roman" w:hAnsi="Cambria" w:cs="Times New Roman"/>
          <w:lang w:eastAsia="en-GB"/>
        </w:rPr>
        <w:t>.</w:t>
      </w:r>
    </w:p>
    <w:p w14:paraId="3651626A" w14:textId="7105BA7B" w:rsidR="003D6044" w:rsidRPr="00A52D25" w:rsidRDefault="003D6044"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Arundel, R., &amp; Ronald, R. (2016). Parental co-residence, shared living and</w:t>
      </w:r>
      <w:r w:rsidR="003F6FCD" w:rsidRPr="00A52D25">
        <w:rPr>
          <w:rFonts w:ascii="Cambria" w:eastAsia="Times New Roman" w:hAnsi="Cambria" w:cs="Times New Roman"/>
          <w:lang w:eastAsia="en-GB"/>
        </w:rPr>
        <w:t xml:space="preserve"> emerging adulthood in Europe: S</w:t>
      </w:r>
      <w:r w:rsidRPr="00A52D25">
        <w:rPr>
          <w:rFonts w:ascii="Cambria" w:eastAsia="Times New Roman" w:hAnsi="Cambria" w:cs="Times New Roman"/>
          <w:lang w:eastAsia="en-GB"/>
        </w:rPr>
        <w:t xml:space="preserve">emi-dependent housing across welfare regime and housing system contexts. </w:t>
      </w:r>
      <w:r w:rsidRPr="00A52D25">
        <w:rPr>
          <w:rFonts w:ascii="Cambria" w:eastAsia="Times New Roman" w:hAnsi="Cambria" w:cs="Times New Roman"/>
          <w:i/>
          <w:iCs/>
          <w:lang w:eastAsia="en-GB"/>
        </w:rPr>
        <w:t>Journal of Youth Studies</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19</w:t>
      </w:r>
      <w:r w:rsidRPr="00A52D25">
        <w:rPr>
          <w:rFonts w:ascii="Cambria" w:eastAsia="Times New Roman" w:hAnsi="Cambria" w:cs="Times New Roman"/>
          <w:lang w:eastAsia="en-GB"/>
        </w:rPr>
        <w:t xml:space="preserve">(7), 885–905. </w:t>
      </w:r>
      <w:r w:rsidR="009C14F5" w:rsidRPr="00A52D25">
        <w:rPr>
          <w:rFonts w:ascii="Cambria" w:eastAsia="Times New Roman" w:hAnsi="Cambria" w:cstheme="minorHAnsi"/>
          <w:lang w:eastAsia="en-GB"/>
        </w:rPr>
        <w:t xml:space="preserve">doi: </w:t>
      </w:r>
      <w:r w:rsidR="009C14F5" w:rsidRPr="00A52D25">
        <w:rPr>
          <w:rFonts w:ascii="Cambria" w:hAnsi="Cambria" w:cstheme="minorHAnsi"/>
        </w:rPr>
        <w:t>10.1080/13676261.2015.1112884.</w:t>
      </w:r>
    </w:p>
    <w:p w14:paraId="595F7211" w14:textId="79ADDCD5" w:rsidR="00856DB6" w:rsidRPr="00A52D25" w:rsidRDefault="00856DB6" w:rsidP="00856DB6">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Bayrakdar, S., &amp; Coulter, R. (2018). Parents, local house prices, and leaving home in Britain. </w:t>
      </w:r>
      <w:r w:rsidRPr="00A52D25">
        <w:rPr>
          <w:rFonts w:ascii="Cambria" w:eastAsia="Times New Roman" w:hAnsi="Cambria" w:cs="Times New Roman"/>
          <w:i/>
          <w:iCs/>
          <w:lang w:eastAsia="en-GB"/>
        </w:rPr>
        <w:t>Population, Space and Place</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24</w:t>
      </w:r>
      <w:r w:rsidRPr="00A52D25">
        <w:rPr>
          <w:rFonts w:ascii="Cambria" w:eastAsia="Times New Roman" w:hAnsi="Cambria" w:cs="Times New Roman"/>
          <w:lang w:eastAsia="en-GB"/>
        </w:rPr>
        <w:t xml:space="preserve">(2), e2087. </w:t>
      </w:r>
      <w:r w:rsidR="009C14F5" w:rsidRPr="00A52D25">
        <w:rPr>
          <w:rFonts w:ascii="Cambria" w:eastAsia="Times New Roman" w:hAnsi="Cambria" w:cs="Times New Roman"/>
          <w:lang w:eastAsia="en-GB"/>
        </w:rPr>
        <w:t>doi:</w:t>
      </w:r>
      <w:r w:rsidRPr="00A52D25">
        <w:rPr>
          <w:rFonts w:ascii="Cambria" w:eastAsia="Times New Roman" w:hAnsi="Cambria" w:cs="Times New Roman"/>
          <w:lang w:eastAsia="en-GB"/>
        </w:rPr>
        <w:t>10.1002/psp.2087</w:t>
      </w:r>
      <w:r w:rsidR="009C14F5" w:rsidRPr="00A52D25">
        <w:rPr>
          <w:rFonts w:ascii="Cambria" w:eastAsia="Times New Roman" w:hAnsi="Cambria" w:cs="Times New Roman"/>
          <w:lang w:eastAsia="en-GB"/>
        </w:rPr>
        <w:t>.</w:t>
      </w:r>
    </w:p>
    <w:p w14:paraId="01ACFC46" w14:textId="132B658C" w:rsidR="00040A80" w:rsidRPr="00A52D25" w:rsidRDefault="00040A80" w:rsidP="00040A80">
      <w:pPr>
        <w:pStyle w:val="NormalWeb"/>
        <w:rPr>
          <w:rFonts w:ascii="Cambria" w:hAnsi="Cambria"/>
          <w:sz w:val="22"/>
          <w:szCs w:val="22"/>
        </w:rPr>
      </w:pPr>
      <w:r w:rsidRPr="00A52D25">
        <w:rPr>
          <w:rFonts w:ascii="Cambria" w:hAnsi="Cambria"/>
          <w:sz w:val="22"/>
          <w:szCs w:val="22"/>
        </w:rPr>
        <w:t>Bayrakdar, S., Coulter, R., Lersch, P., &amp; Vidal, S. (201</w:t>
      </w:r>
      <w:r w:rsidR="00B774E6">
        <w:rPr>
          <w:rFonts w:ascii="Cambria" w:hAnsi="Cambria"/>
          <w:sz w:val="22"/>
          <w:szCs w:val="22"/>
        </w:rPr>
        <w:t>9</w:t>
      </w:r>
      <w:r w:rsidRPr="00A52D25">
        <w:rPr>
          <w:rFonts w:ascii="Cambria" w:hAnsi="Cambria"/>
          <w:sz w:val="22"/>
          <w:szCs w:val="22"/>
        </w:rPr>
        <w:t xml:space="preserve">). Family formation, parental background and young adults’ first entry into homeownership in Britain and Germany. </w:t>
      </w:r>
      <w:r w:rsidRPr="00A52D25">
        <w:rPr>
          <w:rFonts w:ascii="Cambria" w:hAnsi="Cambria"/>
          <w:i/>
          <w:iCs/>
          <w:sz w:val="22"/>
          <w:szCs w:val="22"/>
        </w:rPr>
        <w:t>Housing Studies</w:t>
      </w:r>
      <w:r w:rsidR="00B774E6">
        <w:rPr>
          <w:rFonts w:ascii="Cambria" w:hAnsi="Cambria"/>
          <w:sz w:val="22"/>
          <w:szCs w:val="22"/>
        </w:rPr>
        <w:t xml:space="preserve"> </w:t>
      </w:r>
      <w:r w:rsidR="00B774E6">
        <w:rPr>
          <w:rFonts w:ascii="Cambria" w:hAnsi="Cambria"/>
          <w:i/>
          <w:sz w:val="22"/>
          <w:szCs w:val="22"/>
        </w:rPr>
        <w:t>34</w:t>
      </w:r>
      <w:r w:rsidR="00B774E6">
        <w:rPr>
          <w:rFonts w:ascii="Cambria" w:hAnsi="Cambria"/>
          <w:sz w:val="22"/>
          <w:szCs w:val="22"/>
        </w:rPr>
        <w:t xml:space="preserve">(6), 974-996. </w:t>
      </w:r>
      <w:r w:rsidR="009C14F5" w:rsidRPr="00A52D25">
        <w:rPr>
          <w:rFonts w:ascii="Cambria" w:hAnsi="Cambria"/>
          <w:sz w:val="22"/>
          <w:szCs w:val="22"/>
        </w:rPr>
        <w:t>doi:</w:t>
      </w:r>
      <w:r w:rsidRPr="00A52D25">
        <w:rPr>
          <w:rFonts w:ascii="Cambria" w:hAnsi="Cambria"/>
          <w:sz w:val="22"/>
          <w:szCs w:val="22"/>
        </w:rPr>
        <w:t>10.1080/02673037.2018.1509949.</w:t>
      </w:r>
    </w:p>
    <w:p w14:paraId="096572EA" w14:textId="3B870C2C" w:rsidR="0042712F" w:rsidRPr="00A52D25" w:rsidRDefault="0042712F" w:rsidP="00040A80">
      <w:pPr>
        <w:pStyle w:val="NormalWeb"/>
        <w:rPr>
          <w:rFonts w:ascii="Cambria" w:hAnsi="Cambria"/>
          <w:sz w:val="22"/>
          <w:szCs w:val="22"/>
        </w:rPr>
      </w:pPr>
      <w:r w:rsidRPr="00A52D25">
        <w:rPr>
          <w:rFonts w:ascii="Cambria" w:hAnsi="Cambria"/>
          <w:sz w:val="22"/>
          <w:szCs w:val="22"/>
        </w:rPr>
        <w:t xml:space="preserve">Beer, A., Faulkner, D., Clower, T., &amp; Paris, C. (2011). </w:t>
      </w:r>
      <w:r w:rsidRPr="00A52D25">
        <w:rPr>
          <w:rFonts w:ascii="Cambria" w:hAnsi="Cambria"/>
          <w:i/>
          <w:iCs/>
          <w:sz w:val="22"/>
          <w:szCs w:val="22"/>
        </w:rPr>
        <w:t>Housing Transitions Through the Life Course: Aspirations, Needs and Policy</w:t>
      </w:r>
      <w:r w:rsidRPr="00A52D25">
        <w:rPr>
          <w:rFonts w:ascii="Cambria" w:hAnsi="Cambria"/>
          <w:sz w:val="22"/>
          <w:szCs w:val="22"/>
        </w:rPr>
        <w:t>. Bristol: Policy Press.</w:t>
      </w:r>
    </w:p>
    <w:p w14:paraId="1CC3E7E9" w14:textId="37DA77A7" w:rsidR="00B70F25" w:rsidRPr="00A52D25" w:rsidRDefault="00B70F25" w:rsidP="000D4A79">
      <w:pPr>
        <w:spacing w:before="100" w:beforeAutospacing="1" w:after="100" w:afterAutospacing="1" w:line="240" w:lineRule="auto"/>
        <w:rPr>
          <w:rFonts w:ascii="Cambria" w:eastAsia="Times New Roman" w:hAnsi="Cambria" w:cs="Times New Roman"/>
          <w:i/>
          <w:lang w:eastAsia="en-GB"/>
        </w:rPr>
      </w:pPr>
      <w:r w:rsidRPr="00A52D25">
        <w:rPr>
          <w:rFonts w:ascii="Cambria" w:eastAsia="Times New Roman" w:hAnsi="Cambria" w:cs="Times New Roman"/>
          <w:lang w:eastAsia="en-GB"/>
        </w:rPr>
        <w:t xml:space="preserve">Berrington, A., Duta, A., &amp; Wakeling, P. (2017). </w:t>
      </w:r>
      <w:r w:rsidRPr="00A52D25">
        <w:rPr>
          <w:rFonts w:ascii="Cambria" w:eastAsia="Times New Roman" w:hAnsi="Cambria" w:cs="Times New Roman"/>
          <w:i/>
          <w:iCs/>
          <w:lang w:eastAsia="en-GB"/>
        </w:rPr>
        <w:t>Youth social citizenship and class inequalities in transitions to adulthood in the UK</w:t>
      </w:r>
      <w:r w:rsidRPr="00A52D25">
        <w:rPr>
          <w:rFonts w:ascii="Cambria" w:eastAsia="Times New Roman" w:hAnsi="Cambria" w:cs="Times New Roman"/>
          <w:iCs/>
          <w:lang w:eastAsia="en-GB"/>
        </w:rPr>
        <w:t xml:space="preserve">. ESRC Centre for Population Change (CPC) </w:t>
      </w:r>
      <w:r w:rsidRPr="00A52D25">
        <w:rPr>
          <w:rFonts w:ascii="Cambria" w:eastAsia="Times New Roman" w:hAnsi="Cambria" w:cs="Times New Roman"/>
          <w:lang w:eastAsia="en-GB"/>
        </w:rPr>
        <w:t xml:space="preserve">Working Paper Series No. 81. </w:t>
      </w:r>
      <w:r w:rsidR="000B32D4" w:rsidRPr="00A52D25">
        <w:rPr>
          <w:rFonts w:ascii="Cambria" w:eastAsia="Times New Roman" w:hAnsi="Cambria" w:cs="Times New Roman"/>
          <w:lang w:eastAsia="en-GB"/>
        </w:rPr>
        <w:t xml:space="preserve">Southampton: </w:t>
      </w:r>
      <w:r w:rsidRPr="00A52D25">
        <w:rPr>
          <w:rFonts w:ascii="Cambria" w:eastAsia="Times New Roman" w:hAnsi="Cambria" w:cs="Times New Roman"/>
          <w:lang w:eastAsia="en-GB"/>
        </w:rPr>
        <w:t xml:space="preserve">ESRC CPC. Retrieved from </w:t>
      </w:r>
      <w:r w:rsidR="00C03338" w:rsidRPr="00A52D25">
        <w:rPr>
          <w:rFonts w:ascii="Cambria" w:eastAsia="Times New Roman" w:hAnsi="Cambria" w:cs="Times New Roman"/>
          <w:lang w:eastAsia="en-GB"/>
        </w:rPr>
        <w:t>http://www.cpc.ac.uk/publications/cpc_working_papers/pdf/2017_WP81_Youth_social_citizenship_Berrington_et_al.pdf</w:t>
      </w:r>
      <w:r w:rsidRPr="00A52D25">
        <w:rPr>
          <w:rFonts w:ascii="Cambria" w:eastAsia="Times New Roman" w:hAnsi="Cambria" w:cs="Times New Roman"/>
          <w:lang w:eastAsia="en-GB"/>
        </w:rPr>
        <w:t>.</w:t>
      </w:r>
      <w:r w:rsidR="00C03338" w:rsidRPr="00A52D25">
        <w:rPr>
          <w:rFonts w:ascii="Cambria" w:eastAsia="Times New Roman" w:hAnsi="Cambria" w:cs="Times New Roman"/>
          <w:i/>
          <w:lang w:eastAsia="en-GB"/>
        </w:rPr>
        <w:t xml:space="preserve"> [Last checked: </w:t>
      </w:r>
      <w:r w:rsidR="00A72A21">
        <w:rPr>
          <w:rFonts w:ascii="Cambria" w:eastAsia="Times New Roman" w:hAnsi="Cambria" w:cs="Times New Roman"/>
          <w:i/>
          <w:lang w:eastAsia="en-GB"/>
        </w:rPr>
        <w:t>16</w:t>
      </w:r>
      <w:r w:rsidR="00A72A21" w:rsidRPr="00A52D25">
        <w:rPr>
          <w:rFonts w:ascii="Cambria" w:eastAsia="Times New Roman" w:hAnsi="Cambria" w:cs="Times New Roman"/>
          <w:i/>
          <w:vertAlign w:val="superscript"/>
          <w:lang w:eastAsia="en-GB"/>
        </w:rPr>
        <w:t>th</w:t>
      </w:r>
      <w:r w:rsidR="00A72A21" w:rsidRPr="00A52D25">
        <w:rPr>
          <w:rFonts w:ascii="Cambria" w:eastAsia="Times New Roman" w:hAnsi="Cambria" w:cs="Times New Roman"/>
          <w:i/>
          <w:lang w:eastAsia="en-GB"/>
        </w:rPr>
        <w:t xml:space="preserve"> </w:t>
      </w:r>
      <w:r w:rsidR="00A72A21">
        <w:rPr>
          <w:rFonts w:ascii="Cambria" w:eastAsia="Times New Roman" w:hAnsi="Cambria" w:cs="Times New Roman"/>
          <w:i/>
          <w:lang w:eastAsia="en-GB"/>
        </w:rPr>
        <w:t>December</w:t>
      </w:r>
      <w:r w:rsidR="00A72A21" w:rsidRPr="00A52D25">
        <w:rPr>
          <w:rFonts w:ascii="Cambria" w:eastAsia="Times New Roman" w:hAnsi="Cambria" w:cs="Times New Roman"/>
          <w:i/>
          <w:lang w:eastAsia="en-GB"/>
        </w:rPr>
        <w:t xml:space="preserve"> </w:t>
      </w:r>
      <w:r w:rsidR="00C03338" w:rsidRPr="00A52D25">
        <w:rPr>
          <w:rFonts w:ascii="Cambria" w:eastAsia="Times New Roman" w:hAnsi="Cambria" w:cs="Times New Roman"/>
          <w:i/>
          <w:lang w:eastAsia="en-GB"/>
        </w:rPr>
        <w:t>2019]</w:t>
      </w:r>
      <w:r w:rsidR="00C03338" w:rsidRPr="00A52D25">
        <w:rPr>
          <w:rFonts w:ascii="Cambria" w:eastAsia="Times New Roman" w:hAnsi="Cambria" w:cs="Times New Roman"/>
          <w:lang w:eastAsia="en-GB"/>
        </w:rPr>
        <w:t>.</w:t>
      </w:r>
      <w:r w:rsidR="00C03338" w:rsidRPr="00A52D25">
        <w:rPr>
          <w:rFonts w:ascii="Cambria" w:eastAsia="Times New Roman" w:hAnsi="Cambria" w:cs="Times New Roman"/>
          <w:i/>
          <w:lang w:eastAsia="en-GB"/>
        </w:rPr>
        <w:t xml:space="preserve"> </w:t>
      </w:r>
    </w:p>
    <w:p w14:paraId="5D8DCF71" w14:textId="0980B113" w:rsidR="00917C17" w:rsidRDefault="00917C17" w:rsidP="00917C17">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Berrington, A., &amp; Stone, J. (2014). Young adults’ transitions to residential independence in the UK: The role of social and housing policy. In L. Antonucci, M. Hamilton, &amp; S. Roberts (Eds.), </w:t>
      </w:r>
      <w:r w:rsidRPr="00A52D25">
        <w:rPr>
          <w:rFonts w:ascii="Cambria" w:eastAsia="Times New Roman" w:hAnsi="Cambria" w:cs="Times New Roman"/>
          <w:i/>
          <w:iCs/>
          <w:lang w:eastAsia="en-GB"/>
        </w:rPr>
        <w:t>Young People and Social Policy in Europe: Dealing with Risk, Inequality and Precarity in Times of Crisis</w:t>
      </w:r>
      <w:r w:rsidRPr="00A52D25">
        <w:rPr>
          <w:rFonts w:ascii="Cambria" w:eastAsia="Times New Roman" w:hAnsi="Cambria" w:cs="Times New Roman"/>
          <w:lang w:eastAsia="en-GB"/>
        </w:rPr>
        <w:t xml:space="preserve"> (pp. 210–235). Basingstoke: Palgrave Macmillan.</w:t>
      </w:r>
    </w:p>
    <w:p w14:paraId="2915E5E5" w14:textId="4298DB25" w:rsidR="009B0C23" w:rsidRPr="003428BB" w:rsidRDefault="009B0C23" w:rsidP="00917C17">
      <w:pPr>
        <w:spacing w:before="100" w:beforeAutospacing="1" w:after="100" w:afterAutospacing="1" w:line="240" w:lineRule="auto"/>
        <w:rPr>
          <w:rFonts w:ascii="Cambria" w:eastAsia="Times New Roman" w:hAnsi="Cambria" w:cs="Times New Roman"/>
          <w:i/>
          <w:lang w:eastAsia="en-GB"/>
        </w:rPr>
      </w:pPr>
      <w:r>
        <w:rPr>
          <w:rFonts w:ascii="Cambria" w:eastAsia="Times New Roman" w:hAnsi="Cambria" w:cs="Times New Roman"/>
          <w:lang w:eastAsia="en-GB"/>
        </w:rPr>
        <w:t xml:space="preserve">Cohort and Longitudinal Studies Enhancement Resources (CLOSER) (2019). About us. Retrieved from </w:t>
      </w:r>
      <w:r w:rsidRPr="003428BB">
        <w:rPr>
          <w:rFonts w:ascii="Cambria" w:eastAsia="Times New Roman" w:hAnsi="Cambria" w:cs="Times New Roman"/>
          <w:lang w:eastAsia="en-GB"/>
        </w:rPr>
        <w:t>https://www.closer.ac.uk/</w:t>
      </w:r>
      <w:r>
        <w:rPr>
          <w:rFonts w:ascii="Cambria" w:eastAsia="Times New Roman" w:hAnsi="Cambria" w:cs="Times New Roman"/>
          <w:lang w:eastAsia="en-GB"/>
        </w:rPr>
        <w:t xml:space="preserve">. </w:t>
      </w:r>
      <w:r w:rsidRPr="003428BB">
        <w:rPr>
          <w:rFonts w:ascii="Cambria" w:eastAsia="Times New Roman" w:hAnsi="Cambria" w:cs="Times New Roman"/>
          <w:i/>
          <w:lang w:eastAsia="en-GB"/>
        </w:rPr>
        <w:t>[Last che</w:t>
      </w:r>
      <w:r w:rsidRPr="00C57314">
        <w:rPr>
          <w:rFonts w:ascii="Cambria" w:eastAsia="Times New Roman" w:hAnsi="Cambria" w:cs="Times New Roman"/>
          <w:i/>
          <w:lang w:eastAsia="en-GB"/>
        </w:rPr>
        <w:t>cked 19</w:t>
      </w:r>
      <w:r w:rsidRPr="003428BB">
        <w:rPr>
          <w:rFonts w:ascii="Cambria" w:eastAsia="Times New Roman" w:hAnsi="Cambria" w:cs="Times New Roman"/>
          <w:i/>
          <w:vertAlign w:val="superscript"/>
          <w:lang w:eastAsia="en-GB"/>
        </w:rPr>
        <w:t>th</w:t>
      </w:r>
      <w:r w:rsidRPr="00C57314">
        <w:rPr>
          <w:rFonts w:ascii="Cambria" w:eastAsia="Times New Roman" w:hAnsi="Cambria" w:cs="Times New Roman"/>
          <w:i/>
          <w:lang w:eastAsia="en-GB"/>
        </w:rPr>
        <w:t xml:space="preserve"> </w:t>
      </w:r>
      <w:r w:rsidRPr="003428BB">
        <w:rPr>
          <w:rFonts w:ascii="Cambria" w:eastAsia="Times New Roman" w:hAnsi="Cambria" w:cs="Times New Roman"/>
          <w:i/>
          <w:lang w:eastAsia="en-GB"/>
        </w:rPr>
        <w:t>December 2019].</w:t>
      </w:r>
    </w:p>
    <w:p w14:paraId="1A0D06E5" w14:textId="35C7CD47" w:rsidR="00B161DA" w:rsidRPr="00A52D25" w:rsidRDefault="00B161DA"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Christophers, B. (2018). Intergenerational </w:t>
      </w:r>
      <w:r w:rsidR="00B91752" w:rsidRPr="00A52D25">
        <w:rPr>
          <w:rFonts w:ascii="Cambria" w:eastAsia="Times New Roman" w:hAnsi="Cambria" w:cs="Times New Roman"/>
          <w:lang w:eastAsia="en-GB"/>
        </w:rPr>
        <w:t>i</w:t>
      </w:r>
      <w:r w:rsidRPr="00A52D25">
        <w:rPr>
          <w:rFonts w:ascii="Cambria" w:eastAsia="Times New Roman" w:hAnsi="Cambria" w:cs="Times New Roman"/>
          <w:lang w:eastAsia="en-GB"/>
        </w:rPr>
        <w:t xml:space="preserve">nequality? Labour, </w:t>
      </w:r>
      <w:r w:rsidR="00B91752" w:rsidRPr="00A52D25">
        <w:rPr>
          <w:rFonts w:ascii="Cambria" w:eastAsia="Times New Roman" w:hAnsi="Cambria" w:cs="Times New Roman"/>
          <w:lang w:eastAsia="en-GB"/>
        </w:rPr>
        <w:t>c</w:t>
      </w:r>
      <w:r w:rsidRPr="00A52D25">
        <w:rPr>
          <w:rFonts w:ascii="Cambria" w:eastAsia="Times New Roman" w:hAnsi="Cambria" w:cs="Times New Roman"/>
          <w:lang w:eastAsia="en-GB"/>
        </w:rPr>
        <w:t xml:space="preserve">apital, and </w:t>
      </w:r>
      <w:r w:rsidR="00B91752" w:rsidRPr="00A52D25">
        <w:rPr>
          <w:rFonts w:ascii="Cambria" w:eastAsia="Times New Roman" w:hAnsi="Cambria" w:cs="Times New Roman"/>
          <w:lang w:eastAsia="en-GB"/>
        </w:rPr>
        <w:t>h</w:t>
      </w:r>
      <w:r w:rsidRPr="00A52D25">
        <w:rPr>
          <w:rFonts w:ascii="Cambria" w:eastAsia="Times New Roman" w:hAnsi="Cambria" w:cs="Times New Roman"/>
          <w:lang w:eastAsia="en-GB"/>
        </w:rPr>
        <w:t xml:space="preserve">ousing </w:t>
      </w:r>
      <w:r w:rsidR="00B91752" w:rsidRPr="00A52D25">
        <w:rPr>
          <w:rFonts w:ascii="Cambria" w:eastAsia="Times New Roman" w:hAnsi="Cambria" w:cs="Times New Roman"/>
          <w:lang w:eastAsia="en-GB"/>
        </w:rPr>
        <w:t>t</w:t>
      </w:r>
      <w:r w:rsidRPr="00A52D25">
        <w:rPr>
          <w:rFonts w:ascii="Cambria" w:eastAsia="Times New Roman" w:hAnsi="Cambria" w:cs="Times New Roman"/>
          <w:lang w:eastAsia="en-GB"/>
        </w:rPr>
        <w:t xml:space="preserve">hrough the </w:t>
      </w:r>
      <w:r w:rsidR="00B91752" w:rsidRPr="00A52D25">
        <w:rPr>
          <w:rFonts w:ascii="Cambria" w:eastAsia="Times New Roman" w:hAnsi="Cambria" w:cs="Times New Roman"/>
          <w:lang w:eastAsia="en-GB"/>
        </w:rPr>
        <w:t>a</w:t>
      </w:r>
      <w:r w:rsidRPr="00A52D25">
        <w:rPr>
          <w:rFonts w:ascii="Cambria" w:eastAsia="Times New Roman" w:hAnsi="Cambria" w:cs="Times New Roman"/>
          <w:lang w:eastAsia="en-GB"/>
        </w:rPr>
        <w:t xml:space="preserve">ges. </w:t>
      </w:r>
      <w:r w:rsidRPr="00A52D25">
        <w:rPr>
          <w:rFonts w:ascii="Cambria" w:eastAsia="Times New Roman" w:hAnsi="Cambria" w:cs="Times New Roman"/>
          <w:i/>
          <w:iCs/>
          <w:lang w:eastAsia="en-GB"/>
        </w:rPr>
        <w:t>Antipode</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50</w:t>
      </w:r>
      <w:r w:rsidRPr="00A52D25">
        <w:rPr>
          <w:rFonts w:ascii="Cambria" w:eastAsia="Times New Roman" w:hAnsi="Cambria" w:cs="Times New Roman"/>
          <w:lang w:eastAsia="en-GB"/>
        </w:rPr>
        <w:t xml:space="preserve">(1), 101–121. </w:t>
      </w:r>
      <w:r w:rsidR="00B91752" w:rsidRPr="00A52D25">
        <w:rPr>
          <w:rFonts w:ascii="Cambria" w:eastAsia="Times New Roman" w:hAnsi="Cambria" w:cs="Times New Roman"/>
          <w:lang w:eastAsia="en-GB"/>
        </w:rPr>
        <w:t>doi:</w:t>
      </w:r>
      <w:r w:rsidRPr="00A52D25">
        <w:rPr>
          <w:rFonts w:ascii="Cambria" w:eastAsia="Times New Roman" w:hAnsi="Cambria" w:cs="Times New Roman"/>
          <w:lang w:eastAsia="en-GB"/>
        </w:rPr>
        <w:t>10.1111/anti.12339.</w:t>
      </w:r>
    </w:p>
    <w:p w14:paraId="4D1AF0F0" w14:textId="10A19234" w:rsidR="0042712F" w:rsidRPr="00A52D25" w:rsidRDefault="0042712F"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Clapham, D. (2002). Housing pathways: A post modern analytical framework. </w:t>
      </w:r>
      <w:r w:rsidRPr="00A52D25">
        <w:rPr>
          <w:rFonts w:ascii="Cambria" w:eastAsia="Times New Roman" w:hAnsi="Cambria" w:cs="Times New Roman"/>
          <w:i/>
          <w:iCs/>
          <w:lang w:eastAsia="en-GB"/>
        </w:rPr>
        <w:t>Housing, Theory and Society</w:t>
      </w:r>
      <w:r w:rsidRPr="00A52D25">
        <w:rPr>
          <w:rFonts w:ascii="Cambria" w:eastAsia="Times New Roman" w:hAnsi="Cambria" w:cs="Times New Roman"/>
          <w:lang w:eastAsia="en-GB"/>
        </w:rPr>
        <w:t xml:space="preserve">, </w:t>
      </w:r>
      <w:r w:rsidRPr="003428BB">
        <w:rPr>
          <w:rFonts w:ascii="Cambria" w:eastAsia="Times New Roman" w:hAnsi="Cambria" w:cs="Times New Roman"/>
          <w:i/>
          <w:lang w:eastAsia="en-GB"/>
        </w:rPr>
        <w:t>19</w:t>
      </w:r>
      <w:r w:rsidRPr="00A52D25">
        <w:rPr>
          <w:rFonts w:ascii="Cambria" w:eastAsia="Times New Roman" w:hAnsi="Cambria" w:cs="Times New Roman"/>
          <w:lang w:eastAsia="en-GB"/>
        </w:rPr>
        <w:t>(2), 57-68.</w:t>
      </w:r>
      <w:r w:rsidR="009D549A">
        <w:rPr>
          <w:rFonts w:ascii="Cambria" w:eastAsia="Times New Roman" w:hAnsi="Cambria" w:cs="Times New Roman"/>
          <w:lang w:eastAsia="en-GB"/>
        </w:rPr>
        <w:t xml:space="preserve"> doi:</w:t>
      </w:r>
      <w:r w:rsidR="00A72A21" w:rsidRPr="00A72A21">
        <w:rPr>
          <w:rFonts w:ascii="Cambria" w:eastAsia="Times New Roman" w:hAnsi="Cambria" w:cs="Times New Roman"/>
          <w:lang w:eastAsia="en-GB"/>
        </w:rPr>
        <w:t>10.1080/140360902760385565</w:t>
      </w:r>
      <w:r w:rsidR="00A72A21">
        <w:rPr>
          <w:rFonts w:ascii="Cambria" w:eastAsia="Times New Roman" w:hAnsi="Cambria" w:cs="Times New Roman"/>
          <w:lang w:eastAsia="en-GB"/>
        </w:rPr>
        <w:t>.</w:t>
      </w:r>
    </w:p>
    <w:p w14:paraId="2604B15E" w14:textId="7DCCC19F" w:rsidR="00B70F25" w:rsidRPr="00A52D25" w:rsidRDefault="00B70F25"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Clapham, D., Mackie, P., Orford, S., Thomas, I., &amp; Buckley, K. (2014). The housing pathways of young people in the UK. </w:t>
      </w:r>
      <w:r w:rsidRPr="00A52D25">
        <w:rPr>
          <w:rFonts w:ascii="Cambria" w:eastAsia="Times New Roman" w:hAnsi="Cambria" w:cs="Times New Roman"/>
          <w:i/>
          <w:iCs/>
          <w:lang w:eastAsia="en-GB"/>
        </w:rPr>
        <w:t>Environment and Planning A</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46</w:t>
      </w:r>
      <w:r w:rsidRPr="00A52D25">
        <w:rPr>
          <w:rFonts w:ascii="Cambria" w:eastAsia="Times New Roman" w:hAnsi="Cambria" w:cs="Times New Roman"/>
          <w:lang w:eastAsia="en-GB"/>
        </w:rPr>
        <w:t xml:space="preserve">(8), 2016–2031. </w:t>
      </w:r>
      <w:r w:rsidR="00A50F81" w:rsidRPr="00A52D25">
        <w:rPr>
          <w:rFonts w:ascii="Cambria" w:eastAsia="Times New Roman" w:hAnsi="Cambria" w:cs="Times New Roman"/>
          <w:lang w:eastAsia="en-GB"/>
        </w:rPr>
        <w:t>doi:</w:t>
      </w:r>
      <w:r w:rsidRPr="00A52D25">
        <w:rPr>
          <w:rFonts w:ascii="Cambria" w:eastAsia="Times New Roman" w:hAnsi="Cambria" w:cs="Times New Roman"/>
          <w:lang w:eastAsia="en-GB"/>
        </w:rPr>
        <w:t>10.1068/a46273.</w:t>
      </w:r>
    </w:p>
    <w:p w14:paraId="7183A33B" w14:textId="03D0040D" w:rsidR="00B161DA" w:rsidRPr="00A52D25" w:rsidRDefault="00B161DA"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Clark, W. A. V. (201</w:t>
      </w:r>
      <w:r w:rsidR="009D549A">
        <w:rPr>
          <w:rFonts w:ascii="Cambria" w:eastAsia="Times New Roman" w:hAnsi="Cambria" w:cs="Times New Roman"/>
          <w:lang w:eastAsia="en-GB"/>
        </w:rPr>
        <w:t>9</w:t>
      </w:r>
      <w:r w:rsidRPr="00A52D25">
        <w:rPr>
          <w:rFonts w:ascii="Cambria" w:eastAsia="Times New Roman" w:hAnsi="Cambria" w:cs="Times New Roman"/>
          <w:lang w:eastAsia="en-GB"/>
        </w:rPr>
        <w:t xml:space="preserve">). Millennials in the housing market: The transition to ownership in challenging contexts. </w:t>
      </w:r>
      <w:r w:rsidRPr="00A52D25">
        <w:rPr>
          <w:rFonts w:ascii="Cambria" w:eastAsia="Times New Roman" w:hAnsi="Cambria" w:cs="Times New Roman"/>
          <w:i/>
          <w:iCs/>
          <w:lang w:eastAsia="en-GB"/>
        </w:rPr>
        <w:t xml:space="preserve">Housing, Theory and </w:t>
      </w:r>
      <w:r w:rsidRPr="00A52D25">
        <w:rPr>
          <w:rFonts w:ascii="Cambria" w:eastAsia="Times New Roman" w:hAnsi="Cambria" w:cs="Times New Roman"/>
          <w:iCs/>
          <w:lang w:eastAsia="en-GB"/>
        </w:rPr>
        <w:t>Society</w:t>
      </w:r>
      <w:r w:rsidR="009D549A">
        <w:rPr>
          <w:rFonts w:ascii="Cambria" w:eastAsia="Times New Roman" w:hAnsi="Cambria" w:cs="Times New Roman"/>
          <w:iCs/>
          <w:lang w:eastAsia="en-GB"/>
        </w:rPr>
        <w:t xml:space="preserve">, </w:t>
      </w:r>
      <w:r w:rsidR="009D549A">
        <w:rPr>
          <w:rFonts w:ascii="Cambria" w:eastAsia="Times New Roman" w:hAnsi="Cambria" w:cs="Times New Roman"/>
          <w:i/>
          <w:iCs/>
          <w:lang w:eastAsia="en-GB"/>
        </w:rPr>
        <w:t>36</w:t>
      </w:r>
      <w:r w:rsidR="009D549A">
        <w:rPr>
          <w:rFonts w:ascii="Cambria" w:eastAsia="Times New Roman" w:hAnsi="Cambria" w:cs="Times New Roman"/>
          <w:iCs/>
          <w:lang w:eastAsia="en-GB"/>
        </w:rPr>
        <w:t>(2), 206-227.</w:t>
      </w:r>
      <w:r w:rsidR="00A50F81" w:rsidRPr="00A52D25">
        <w:rPr>
          <w:rFonts w:ascii="Cambria" w:eastAsia="Times New Roman" w:hAnsi="Cambria" w:cs="Times New Roman"/>
          <w:iCs/>
          <w:lang w:eastAsia="en-GB"/>
        </w:rPr>
        <w:t xml:space="preserve"> doi:</w:t>
      </w:r>
      <w:r w:rsidR="000101C7" w:rsidRPr="00A52D25">
        <w:rPr>
          <w:rFonts w:ascii="Cambria" w:eastAsia="Times New Roman" w:hAnsi="Cambria" w:cs="Times New Roman"/>
          <w:lang w:eastAsia="en-GB"/>
        </w:rPr>
        <w:t>10.1080/14036096.2018.1510852</w:t>
      </w:r>
      <w:r w:rsidRPr="00A52D25">
        <w:rPr>
          <w:rFonts w:ascii="Cambria" w:eastAsia="Times New Roman" w:hAnsi="Cambria" w:cs="Times New Roman"/>
          <w:lang w:eastAsia="en-GB"/>
        </w:rPr>
        <w:t>.</w:t>
      </w:r>
    </w:p>
    <w:p w14:paraId="0D878DFD" w14:textId="1C02654D" w:rsidR="003700F7" w:rsidRPr="00A52D25" w:rsidRDefault="003700F7"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Cole, I., Powell, R., &amp; Sanderson, E. (2016). Putting the squeeze on “Generation Rent”: Housing benefit claimants in the private rented sector – transitions, marginality and stigmatisation. </w:t>
      </w:r>
      <w:r w:rsidRPr="00A52D25">
        <w:rPr>
          <w:rFonts w:ascii="Cambria" w:eastAsia="Times New Roman" w:hAnsi="Cambria" w:cs="Times New Roman"/>
          <w:i/>
          <w:iCs/>
          <w:lang w:eastAsia="en-GB"/>
        </w:rPr>
        <w:t>Sociological Research Online</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21</w:t>
      </w:r>
      <w:r w:rsidRPr="00A52D25">
        <w:rPr>
          <w:rFonts w:ascii="Cambria" w:eastAsia="Times New Roman" w:hAnsi="Cambria" w:cs="Times New Roman"/>
          <w:lang w:eastAsia="en-GB"/>
        </w:rPr>
        <w:t xml:space="preserve">(2), 1–14. </w:t>
      </w:r>
      <w:r w:rsidR="009A64E4" w:rsidRPr="00A52D25">
        <w:rPr>
          <w:rFonts w:ascii="Cambria" w:eastAsia="Times New Roman" w:hAnsi="Cambria" w:cs="Times New Roman"/>
          <w:lang w:eastAsia="en-GB"/>
        </w:rPr>
        <w:t>doi:</w:t>
      </w:r>
      <w:r w:rsidRPr="00A52D25">
        <w:rPr>
          <w:rFonts w:ascii="Cambria" w:eastAsia="Times New Roman" w:hAnsi="Cambria" w:cs="Times New Roman"/>
          <w:lang w:eastAsia="en-GB"/>
        </w:rPr>
        <w:t>10.5153/sro.3909</w:t>
      </w:r>
      <w:r w:rsidR="00B70F25" w:rsidRPr="00A52D25">
        <w:rPr>
          <w:rFonts w:ascii="Cambria" w:eastAsia="Times New Roman" w:hAnsi="Cambria" w:cs="Times New Roman"/>
          <w:lang w:eastAsia="en-GB"/>
        </w:rPr>
        <w:t>.</w:t>
      </w:r>
    </w:p>
    <w:p w14:paraId="7E972918" w14:textId="77777777" w:rsidR="00C73440" w:rsidRPr="003428BB" w:rsidRDefault="000101C7" w:rsidP="000D4A79">
      <w:pPr>
        <w:spacing w:before="100" w:beforeAutospacing="1" w:after="100" w:afterAutospacing="1" w:line="240" w:lineRule="auto"/>
        <w:rPr>
          <w:rFonts w:ascii="Cambria" w:hAnsi="Cambria"/>
        </w:rPr>
      </w:pPr>
      <w:r w:rsidRPr="00A52D25">
        <w:rPr>
          <w:rFonts w:ascii="Cambria" w:eastAsia="Times New Roman" w:hAnsi="Cambria" w:cs="Times New Roman"/>
          <w:lang w:eastAsia="en-GB"/>
        </w:rPr>
        <w:t xml:space="preserve">Connelly, R., Playford, C. J., Gayle, V., &amp; Dibben, C. (2016). The role of administrative data in the big data revolution in social science research. </w:t>
      </w:r>
      <w:r w:rsidRPr="00A52D25">
        <w:rPr>
          <w:rFonts w:ascii="Cambria" w:eastAsia="Times New Roman" w:hAnsi="Cambria" w:cs="Times New Roman"/>
          <w:i/>
          <w:iCs/>
          <w:lang w:eastAsia="en-GB"/>
        </w:rPr>
        <w:t>Social Science Research</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59</w:t>
      </w:r>
      <w:r w:rsidRPr="00A52D25">
        <w:rPr>
          <w:rFonts w:ascii="Cambria" w:eastAsia="Times New Roman" w:hAnsi="Cambria" w:cs="Times New Roman"/>
          <w:lang w:eastAsia="en-GB"/>
        </w:rPr>
        <w:t xml:space="preserve">, 1–12. </w:t>
      </w:r>
      <w:r w:rsidR="009A64E4" w:rsidRPr="00A52D25">
        <w:rPr>
          <w:rFonts w:ascii="Cambria" w:eastAsia="Times New Roman" w:hAnsi="Cambria" w:cs="Times New Roman"/>
          <w:lang w:eastAsia="en-GB"/>
        </w:rPr>
        <w:t>doi:</w:t>
      </w:r>
      <w:r w:rsidRPr="00A52D25">
        <w:rPr>
          <w:rFonts w:ascii="Cambria" w:eastAsia="Times New Roman" w:hAnsi="Cambria" w:cs="Times New Roman"/>
          <w:lang w:eastAsia="en-GB"/>
        </w:rPr>
        <w:t>10.1016/j.ssresearch.2016.04.015</w:t>
      </w:r>
      <w:r w:rsidR="00F30B2B" w:rsidRPr="00A52D25">
        <w:rPr>
          <w:rFonts w:ascii="Cambria" w:eastAsia="Times New Roman" w:hAnsi="Cambria" w:cs="Times New Roman"/>
          <w:lang w:eastAsia="en-GB"/>
        </w:rPr>
        <w:t>.</w:t>
      </w:r>
      <w:r w:rsidR="00C73440" w:rsidRPr="003428BB">
        <w:rPr>
          <w:rFonts w:ascii="Cambria" w:hAnsi="Cambria"/>
        </w:rPr>
        <w:t xml:space="preserve"> </w:t>
      </w:r>
    </w:p>
    <w:p w14:paraId="4F155333" w14:textId="50ED2F04" w:rsidR="00CC565C" w:rsidRPr="00A52D25" w:rsidRDefault="00CC565C" w:rsidP="00CC565C">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Coulter, R. (2017). Local house prices, parental background and young adults’ homeownership in England and Wales. </w:t>
      </w:r>
      <w:r w:rsidRPr="00A52D25">
        <w:rPr>
          <w:rFonts w:ascii="Cambria" w:eastAsia="Times New Roman" w:hAnsi="Cambria" w:cs="Times New Roman"/>
          <w:i/>
          <w:iCs/>
          <w:lang w:eastAsia="en-GB"/>
        </w:rPr>
        <w:t>Urban Studies</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54</w:t>
      </w:r>
      <w:r w:rsidRPr="00A52D25">
        <w:rPr>
          <w:rFonts w:ascii="Cambria" w:eastAsia="Times New Roman" w:hAnsi="Cambria" w:cs="Times New Roman"/>
          <w:lang w:eastAsia="en-GB"/>
        </w:rPr>
        <w:t xml:space="preserve">(14), 3360–3379. </w:t>
      </w:r>
      <w:r w:rsidR="009A64E4" w:rsidRPr="00A52D25">
        <w:rPr>
          <w:rFonts w:ascii="Cambria" w:eastAsia="Times New Roman" w:hAnsi="Cambria" w:cs="Times New Roman"/>
          <w:lang w:eastAsia="en-GB"/>
        </w:rPr>
        <w:t>doi:</w:t>
      </w:r>
      <w:r w:rsidRPr="00A52D25">
        <w:rPr>
          <w:rFonts w:ascii="Cambria" w:eastAsia="Times New Roman" w:hAnsi="Cambria" w:cs="Times New Roman"/>
          <w:lang w:eastAsia="en-GB"/>
        </w:rPr>
        <w:t>10.1177/0042098016668121.</w:t>
      </w:r>
    </w:p>
    <w:p w14:paraId="7081A14B" w14:textId="202EF2A1" w:rsidR="00F30B2B" w:rsidRPr="00A52D25" w:rsidRDefault="00F30B2B"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Coulter, R. (2018). Parental background and housing outcomes in young adulthood. </w:t>
      </w:r>
      <w:r w:rsidRPr="00A52D25">
        <w:rPr>
          <w:rFonts w:ascii="Cambria" w:eastAsia="Times New Roman" w:hAnsi="Cambria" w:cs="Times New Roman"/>
          <w:i/>
          <w:iCs/>
          <w:lang w:eastAsia="en-GB"/>
        </w:rPr>
        <w:t>Housing Studies</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33(2)</w:t>
      </w:r>
      <w:r w:rsidRPr="00A52D25">
        <w:rPr>
          <w:rFonts w:ascii="Cambria" w:eastAsia="Times New Roman" w:hAnsi="Cambria" w:cs="Times New Roman"/>
          <w:iCs/>
          <w:lang w:eastAsia="en-GB"/>
        </w:rPr>
        <w:t xml:space="preserve">, 201-233. </w:t>
      </w:r>
      <w:r w:rsidR="009A64E4" w:rsidRPr="00A52D25">
        <w:rPr>
          <w:rFonts w:ascii="Cambria" w:eastAsia="Times New Roman" w:hAnsi="Cambria" w:cs="Times New Roman"/>
          <w:iCs/>
          <w:lang w:eastAsia="en-GB"/>
        </w:rPr>
        <w:t>doi:</w:t>
      </w:r>
      <w:r w:rsidRPr="00A52D25">
        <w:rPr>
          <w:rFonts w:ascii="Cambria" w:eastAsia="Times New Roman" w:hAnsi="Cambria" w:cs="Times New Roman"/>
          <w:iCs/>
          <w:lang w:eastAsia="en-GB"/>
        </w:rPr>
        <w:t>10.1080/02673037.2016.1208160.</w:t>
      </w:r>
    </w:p>
    <w:p w14:paraId="270C7975" w14:textId="5E3810D5" w:rsidR="00FF4431" w:rsidRPr="00A52D25" w:rsidRDefault="00FF4431"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Coulter, R., </w:t>
      </w:r>
      <w:r w:rsidR="00C03338" w:rsidRPr="00A52D25">
        <w:rPr>
          <w:rFonts w:ascii="Cambria" w:eastAsia="Times New Roman" w:hAnsi="Cambria" w:cs="Times New Roman"/>
          <w:lang w:eastAsia="en-GB"/>
        </w:rPr>
        <w:t>van Ham, M.</w:t>
      </w:r>
      <w:r w:rsidRPr="00A52D25">
        <w:rPr>
          <w:rFonts w:ascii="Cambria" w:eastAsia="Times New Roman" w:hAnsi="Cambria" w:cs="Times New Roman"/>
          <w:lang w:eastAsia="en-GB"/>
        </w:rPr>
        <w:t xml:space="preserve">, &amp; Findlay, A. M. (2016). Re-thinking residential mobility: Linking lives through time and space. </w:t>
      </w:r>
      <w:r w:rsidRPr="00A52D25">
        <w:rPr>
          <w:rFonts w:ascii="Cambria" w:eastAsia="Times New Roman" w:hAnsi="Cambria" w:cs="Times New Roman"/>
          <w:i/>
          <w:iCs/>
          <w:lang w:eastAsia="en-GB"/>
        </w:rPr>
        <w:t>Progress in Human Geography</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40</w:t>
      </w:r>
      <w:r w:rsidRPr="00A52D25">
        <w:rPr>
          <w:rFonts w:ascii="Cambria" w:eastAsia="Times New Roman" w:hAnsi="Cambria" w:cs="Times New Roman"/>
          <w:lang w:eastAsia="en-GB"/>
        </w:rPr>
        <w:t xml:space="preserve">(3), 352–374. </w:t>
      </w:r>
      <w:r w:rsidR="009A64E4" w:rsidRPr="00A52D25">
        <w:rPr>
          <w:rFonts w:ascii="Cambria" w:eastAsia="Times New Roman" w:hAnsi="Cambria" w:cs="Times New Roman"/>
          <w:lang w:eastAsia="en-GB"/>
        </w:rPr>
        <w:t>doi:</w:t>
      </w:r>
      <w:r w:rsidRPr="00A52D25">
        <w:rPr>
          <w:rFonts w:ascii="Cambria" w:eastAsia="Times New Roman" w:hAnsi="Cambria" w:cs="Times New Roman"/>
          <w:lang w:eastAsia="en-GB"/>
        </w:rPr>
        <w:t>10.1177/0309132515575417.</w:t>
      </w:r>
    </w:p>
    <w:p w14:paraId="7A3B6A5D" w14:textId="75B7673A" w:rsidR="00A85DFB" w:rsidRPr="00A85DFB" w:rsidRDefault="00A85DFB" w:rsidP="000D4A79">
      <w:pPr>
        <w:spacing w:before="100" w:beforeAutospacing="1" w:after="100" w:afterAutospacing="1" w:line="240" w:lineRule="auto"/>
        <w:rPr>
          <w:rFonts w:ascii="Cambria" w:eastAsia="Times New Roman" w:hAnsi="Cambria" w:cs="Times New Roman"/>
          <w:lang w:eastAsia="en-GB"/>
        </w:rPr>
      </w:pPr>
      <w:r w:rsidRPr="00A85DFB">
        <w:rPr>
          <w:rFonts w:ascii="Cambria" w:hAnsi="Cambria"/>
        </w:rPr>
        <w:t xml:space="preserve">Dewilde, C. (2008) </w:t>
      </w:r>
      <w:r w:rsidRPr="003428BB">
        <w:rPr>
          <w:rFonts w:ascii="Cambria" w:hAnsi="Cambria"/>
        </w:rPr>
        <w:t xml:space="preserve">Divorce and the </w:t>
      </w:r>
      <w:r>
        <w:rPr>
          <w:rFonts w:ascii="Cambria" w:hAnsi="Cambria"/>
        </w:rPr>
        <w:t>h</w:t>
      </w:r>
      <w:r w:rsidRPr="00A85DFB">
        <w:rPr>
          <w:rFonts w:ascii="Cambria" w:hAnsi="Cambria"/>
        </w:rPr>
        <w:t>ousing m</w:t>
      </w:r>
      <w:r w:rsidRPr="003428BB">
        <w:rPr>
          <w:rFonts w:ascii="Cambria" w:hAnsi="Cambria"/>
        </w:rPr>
        <w:t xml:space="preserve">ovements of </w:t>
      </w:r>
      <w:r>
        <w:rPr>
          <w:rFonts w:ascii="Cambria" w:hAnsi="Cambria"/>
        </w:rPr>
        <w:t>o</w:t>
      </w:r>
      <w:r w:rsidRPr="003428BB">
        <w:rPr>
          <w:rFonts w:ascii="Cambria" w:hAnsi="Cambria"/>
        </w:rPr>
        <w:t>wner-</w:t>
      </w:r>
      <w:r>
        <w:rPr>
          <w:rFonts w:ascii="Cambria" w:hAnsi="Cambria"/>
        </w:rPr>
        <w:t>o</w:t>
      </w:r>
      <w:r w:rsidRPr="003428BB">
        <w:rPr>
          <w:rFonts w:ascii="Cambria" w:hAnsi="Cambria"/>
        </w:rPr>
        <w:t xml:space="preserve">ccupiers: A European </w:t>
      </w:r>
      <w:r>
        <w:rPr>
          <w:rFonts w:ascii="Cambria" w:hAnsi="Cambria"/>
        </w:rPr>
        <w:t>c</w:t>
      </w:r>
      <w:r w:rsidR="00C05BD0" w:rsidRPr="003428BB">
        <w:rPr>
          <w:rFonts w:ascii="Cambria" w:hAnsi="Cambria"/>
        </w:rPr>
        <w:t>omparison</w:t>
      </w:r>
      <w:r w:rsidRPr="003428BB">
        <w:rPr>
          <w:rFonts w:ascii="Cambria" w:hAnsi="Cambria"/>
        </w:rPr>
        <w:t xml:space="preserve">, </w:t>
      </w:r>
      <w:r w:rsidRPr="003428BB">
        <w:rPr>
          <w:rFonts w:ascii="Cambria" w:hAnsi="Cambria"/>
          <w:i/>
          <w:iCs/>
        </w:rPr>
        <w:t>Housing Studies</w:t>
      </w:r>
      <w:r w:rsidRPr="003428BB">
        <w:rPr>
          <w:rFonts w:ascii="Cambria" w:hAnsi="Cambria"/>
        </w:rPr>
        <w:t xml:space="preserve">, </w:t>
      </w:r>
      <w:r w:rsidRPr="003428BB">
        <w:rPr>
          <w:rFonts w:ascii="Cambria" w:hAnsi="Cambria"/>
          <w:i/>
        </w:rPr>
        <w:t>23</w:t>
      </w:r>
      <w:r w:rsidRPr="003428BB">
        <w:rPr>
          <w:rFonts w:ascii="Cambria" w:hAnsi="Cambria"/>
        </w:rPr>
        <w:t>(6), 809–832. doi: 10.1080/02673030802423151.</w:t>
      </w:r>
    </w:p>
    <w:p w14:paraId="43BCCA8E" w14:textId="23A647FB" w:rsidR="007A4068" w:rsidRPr="00A52D25" w:rsidRDefault="007A4068"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Dewilde, C. (2015). What have ECHP and EU-SILC to contribute to the comparative study of housing? </w:t>
      </w:r>
      <w:r w:rsidRPr="003428BB">
        <w:rPr>
          <w:rFonts w:ascii="Cambria" w:eastAsia="Times New Roman" w:hAnsi="Cambria" w:cs="Times New Roman"/>
          <w:i/>
          <w:lang w:eastAsia="en-GB"/>
        </w:rPr>
        <w:t>Critical Housing Analysis, 2</w:t>
      </w:r>
      <w:r w:rsidRPr="003428BB">
        <w:rPr>
          <w:rFonts w:ascii="Cambria" w:eastAsia="Times New Roman" w:hAnsi="Cambria" w:cs="Times New Roman"/>
          <w:lang w:eastAsia="en-GB"/>
        </w:rPr>
        <w:t>(2)</w:t>
      </w:r>
      <w:r w:rsidRPr="003428BB">
        <w:rPr>
          <w:rFonts w:ascii="Cambria" w:eastAsia="Times New Roman" w:hAnsi="Cambria" w:cs="Times New Roman"/>
          <w:i/>
          <w:lang w:eastAsia="en-GB"/>
        </w:rPr>
        <w:t>,</w:t>
      </w:r>
      <w:r w:rsidRPr="00A52D25">
        <w:rPr>
          <w:rFonts w:ascii="Cambria" w:eastAsia="Times New Roman" w:hAnsi="Cambria" w:cs="Times New Roman"/>
          <w:lang w:eastAsia="en-GB"/>
        </w:rPr>
        <w:t xml:space="preserve"> 19-26.</w:t>
      </w:r>
      <w:r w:rsidR="00A72A21">
        <w:rPr>
          <w:rFonts w:ascii="Cambria" w:eastAsia="Times New Roman" w:hAnsi="Cambria" w:cs="Times New Roman"/>
          <w:lang w:eastAsia="en-GB"/>
        </w:rPr>
        <w:t xml:space="preserve"> doi: </w:t>
      </w:r>
      <w:r w:rsidR="00A72A21" w:rsidRPr="00A72A21">
        <w:rPr>
          <w:rFonts w:ascii="Cambria" w:eastAsia="Times New Roman" w:hAnsi="Cambria" w:cs="Times New Roman"/>
          <w:lang w:eastAsia="en-GB"/>
        </w:rPr>
        <w:t>10.13060/23362839.2015.3.3.238</w:t>
      </w:r>
      <w:r w:rsidR="00A72A21">
        <w:rPr>
          <w:rFonts w:ascii="Cambria" w:eastAsia="Times New Roman" w:hAnsi="Cambria" w:cs="Times New Roman"/>
          <w:lang w:eastAsia="en-GB"/>
        </w:rPr>
        <w:t>.</w:t>
      </w:r>
    </w:p>
    <w:p w14:paraId="7BA7A0ED" w14:textId="6D297062" w:rsidR="003D6044" w:rsidRPr="00A52D25" w:rsidRDefault="003D6044"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Dewilde, C., Hubers, C.H., &amp; Coulter, R. (2018). Determinants of young people’s homeownership transitions before and after the financial crisis: The UK in a European context. In B.A. Searle (ed.), </w:t>
      </w:r>
      <w:r w:rsidRPr="00A52D25">
        <w:rPr>
          <w:rFonts w:ascii="Cambria" w:eastAsia="Times New Roman" w:hAnsi="Cambria" w:cs="Times New Roman"/>
          <w:i/>
          <w:lang w:eastAsia="en-GB"/>
        </w:rPr>
        <w:t>Generational Interdependencies: The Social Implications for Welfare</w:t>
      </w:r>
      <w:r w:rsidRPr="00A52D25">
        <w:rPr>
          <w:rFonts w:ascii="Cambria" w:eastAsia="Times New Roman" w:hAnsi="Cambria" w:cs="Times New Roman"/>
          <w:lang w:eastAsia="en-GB"/>
        </w:rPr>
        <w:t xml:space="preserve"> (p.51-77). Malaga: Vernon Press.</w:t>
      </w:r>
    </w:p>
    <w:p w14:paraId="2AD0C6A1" w14:textId="1EE61BC8" w:rsidR="00B84197" w:rsidRPr="00A52D25" w:rsidRDefault="00B84197"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Dorling, D. (2014). </w:t>
      </w:r>
      <w:r w:rsidRPr="00A52D25">
        <w:rPr>
          <w:rFonts w:ascii="Cambria" w:eastAsia="Times New Roman" w:hAnsi="Cambria" w:cs="Times New Roman"/>
          <w:i/>
          <w:iCs/>
          <w:lang w:eastAsia="en-GB"/>
        </w:rPr>
        <w:t>All That Is Solid: The Great Housing Disaster</w:t>
      </w:r>
      <w:r w:rsidRPr="00A52D25">
        <w:rPr>
          <w:rFonts w:ascii="Cambria" w:eastAsia="Times New Roman" w:hAnsi="Cambria" w:cs="Times New Roman"/>
          <w:lang w:eastAsia="en-GB"/>
        </w:rPr>
        <w:t>. London: Allen Lane.</w:t>
      </w:r>
    </w:p>
    <w:p w14:paraId="6087BB11" w14:textId="294FE000" w:rsidR="00CB7266" w:rsidRDefault="00CB7266" w:rsidP="00CB7266">
      <w:pPr>
        <w:pStyle w:val="NormalWeb"/>
        <w:rPr>
          <w:rFonts w:ascii="Cambria" w:hAnsi="Cambria"/>
          <w:sz w:val="22"/>
          <w:szCs w:val="22"/>
        </w:rPr>
      </w:pPr>
      <w:r w:rsidRPr="00A52D25">
        <w:rPr>
          <w:rFonts w:ascii="Cambria" w:hAnsi="Cambria"/>
          <w:sz w:val="22"/>
          <w:szCs w:val="22"/>
        </w:rPr>
        <w:t xml:space="preserve">Druta, O., &amp; Ronald, R. (2017). Young adults’ pathways into homeownership and the negotiation of intra-family support: A home, the ideal gift. </w:t>
      </w:r>
      <w:r w:rsidRPr="00A52D25">
        <w:rPr>
          <w:rFonts w:ascii="Cambria" w:hAnsi="Cambria"/>
          <w:i/>
          <w:iCs/>
          <w:sz w:val="22"/>
          <w:szCs w:val="22"/>
        </w:rPr>
        <w:t>Sociology</w:t>
      </w:r>
      <w:r w:rsidRPr="00A52D25">
        <w:rPr>
          <w:rFonts w:ascii="Cambria" w:hAnsi="Cambria"/>
          <w:sz w:val="22"/>
          <w:szCs w:val="22"/>
        </w:rPr>
        <w:t xml:space="preserve">, </w:t>
      </w:r>
      <w:r w:rsidRPr="00A52D25">
        <w:rPr>
          <w:rFonts w:ascii="Cambria" w:hAnsi="Cambria"/>
          <w:i/>
          <w:iCs/>
          <w:sz w:val="22"/>
          <w:szCs w:val="22"/>
        </w:rPr>
        <w:t>51</w:t>
      </w:r>
      <w:r w:rsidRPr="00A52D25">
        <w:rPr>
          <w:rFonts w:ascii="Cambria" w:hAnsi="Cambria"/>
          <w:sz w:val="22"/>
          <w:szCs w:val="22"/>
        </w:rPr>
        <w:t xml:space="preserve">(4), 783–799. </w:t>
      </w:r>
      <w:r w:rsidR="009A64E4" w:rsidRPr="00A52D25">
        <w:rPr>
          <w:rFonts w:ascii="Cambria" w:hAnsi="Cambria"/>
          <w:sz w:val="22"/>
          <w:szCs w:val="22"/>
        </w:rPr>
        <w:t>doi:</w:t>
      </w:r>
      <w:r w:rsidRPr="00A52D25">
        <w:rPr>
          <w:rFonts w:ascii="Cambria" w:hAnsi="Cambria"/>
          <w:sz w:val="22"/>
          <w:szCs w:val="22"/>
        </w:rPr>
        <w:t>10.1177/0038038516629900</w:t>
      </w:r>
      <w:r w:rsidR="007F3032">
        <w:rPr>
          <w:rFonts w:ascii="Cambria" w:hAnsi="Cambria"/>
          <w:sz w:val="22"/>
          <w:szCs w:val="22"/>
        </w:rPr>
        <w:t>.</w:t>
      </w:r>
    </w:p>
    <w:p w14:paraId="785118DE" w14:textId="603A7C2F" w:rsidR="007F3032" w:rsidRPr="003428BB" w:rsidRDefault="007F3032" w:rsidP="00CB7266">
      <w:pPr>
        <w:pStyle w:val="NormalWeb"/>
        <w:rPr>
          <w:rFonts w:ascii="Cambria" w:hAnsi="Cambria"/>
          <w:sz w:val="20"/>
          <w:szCs w:val="22"/>
        </w:rPr>
      </w:pPr>
      <w:r w:rsidRPr="003428BB">
        <w:rPr>
          <w:rFonts w:ascii="Cambria" w:hAnsi="Cambria"/>
          <w:sz w:val="22"/>
        </w:rPr>
        <w:t>Druta, O.</w:t>
      </w:r>
      <w:r>
        <w:rPr>
          <w:rFonts w:ascii="Cambria" w:hAnsi="Cambria"/>
          <w:i/>
          <w:sz w:val="22"/>
        </w:rPr>
        <w:t xml:space="preserve">, </w:t>
      </w:r>
      <w:r>
        <w:rPr>
          <w:rFonts w:ascii="Cambria" w:hAnsi="Cambria"/>
          <w:sz w:val="22"/>
        </w:rPr>
        <w:t xml:space="preserve">Limpens, A., Pinkster, F.M. and Ronald, R. </w:t>
      </w:r>
      <w:r w:rsidRPr="003428BB">
        <w:rPr>
          <w:rFonts w:ascii="Cambria" w:hAnsi="Cambria"/>
          <w:sz w:val="22"/>
        </w:rPr>
        <w:t>(</w:t>
      </w:r>
      <w:r w:rsidRPr="007F3032">
        <w:rPr>
          <w:rFonts w:ascii="Cambria" w:hAnsi="Cambria"/>
          <w:sz w:val="22"/>
        </w:rPr>
        <w:t>2019)</w:t>
      </w:r>
      <w:r w:rsidR="00E738BE">
        <w:rPr>
          <w:rFonts w:ascii="Cambria" w:hAnsi="Cambria"/>
          <w:sz w:val="22"/>
        </w:rPr>
        <w:t xml:space="preserve"> </w:t>
      </w:r>
      <w:r w:rsidRPr="003428BB">
        <w:rPr>
          <w:rFonts w:ascii="Cambria" w:hAnsi="Cambria"/>
          <w:sz w:val="22"/>
        </w:rPr>
        <w:t>Early adulthood housing transitions in Amsterdam: Understanding dependence and i</w:t>
      </w:r>
      <w:r w:rsidRPr="007F3032">
        <w:rPr>
          <w:rFonts w:ascii="Cambria" w:hAnsi="Cambria"/>
          <w:sz w:val="22"/>
        </w:rPr>
        <w:t>ndependence between generations</w:t>
      </w:r>
      <w:r w:rsidRPr="003428BB">
        <w:rPr>
          <w:rFonts w:ascii="Cambria" w:hAnsi="Cambria"/>
          <w:sz w:val="22"/>
        </w:rPr>
        <w:t xml:space="preserve">, </w:t>
      </w:r>
      <w:r w:rsidRPr="003428BB">
        <w:rPr>
          <w:rFonts w:ascii="Cambria" w:hAnsi="Cambria"/>
          <w:i/>
          <w:iCs/>
          <w:sz w:val="22"/>
        </w:rPr>
        <w:t>Population, Space and Place</w:t>
      </w:r>
      <w:r w:rsidRPr="003428BB">
        <w:rPr>
          <w:rFonts w:ascii="Cambria" w:hAnsi="Cambria"/>
          <w:sz w:val="22"/>
        </w:rPr>
        <w:t xml:space="preserve">, </w:t>
      </w:r>
      <w:r w:rsidRPr="003428BB">
        <w:rPr>
          <w:rFonts w:ascii="Cambria" w:hAnsi="Cambria"/>
          <w:i/>
          <w:sz w:val="22"/>
        </w:rPr>
        <w:t>25</w:t>
      </w:r>
      <w:r w:rsidRPr="00E738BE">
        <w:rPr>
          <w:rFonts w:ascii="Cambria" w:hAnsi="Cambria"/>
          <w:sz w:val="22"/>
        </w:rPr>
        <w:t>(2)</w:t>
      </w:r>
      <w:r w:rsidR="00C05BD0" w:rsidRPr="003428BB">
        <w:rPr>
          <w:rFonts w:ascii="Cambria" w:hAnsi="Cambria"/>
          <w:sz w:val="22"/>
        </w:rPr>
        <w:t>. doi:</w:t>
      </w:r>
      <w:r w:rsidRPr="003428BB">
        <w:rPr>
          <w:rFonts w:ascii="Cambria" w:hAnsi="Cambria"/>
          <w:sz w:val="22"/>
        </w:rPr>
        <w:t>10.1002/psp.2196.</w:t>
      </w:r>
    </w:p>
    <w:p w14:paraId="5566DDDB" w14:textId="36C6533D" w:rsidR="001609DC" w:rsidRPr="00A52D25" w:rsidRDefault="001609DC" w:rsidP="001609DC">
      <w:pPr>
        <w:pStyle w:val="CommentText"/>
        <w:rPr>
          <w:rFonts w:ascii="Cambria" w:hAnsi="Cambria"/>
          <w:color w:val="000000" w:themeColor="text1"/>
          <w:sz w:val="22"/>
          <w:szCs w:val="22"/>
        </w:rPr>
      </w:pPr>
      <w:r w:rsidRPr="00A52D25">
        <w:rPr>
          <w:rFonts w:ascii="Cambria" w:hAnsi="Cambria" w:cs="Arial"/>
          <w:color w:val="000000" w:themeColor="text1"/>
          <w:sz w:val="22"/>
          <w:szCs w:val="22"/>
          <w:shd w:val="clear" w:color="auto" w:fill="FFFFFF"/>
        </w:rPr>
        <w:t>Elder Jnr, G. H. (1998). The life course as developmental theory. </w:t>
      </w:r>
      <w:r w:rsidRPr="00A52D25">
        <w:rPr>
          <w:rFonts w:ascii="Cambria" w:hAnsi="Cambria" w:cs="Arial"/>
          <w:i/>
          <w:iCs/>
          <w:color w:val="000000" w:themeColor="text1"/>
          <w:sz w:val="22"/>
          <w:szCs w:val="22"/>
          <w:shd w:val="clear" w:color="auto" w:fill="FFFFFF"/>
        </w:rPr>
        <w:t>Child Development</w:t>
      </w:r>
      <w:r w:rsidRPr="00A52D25">
        <w:rPr>
          <w:rFonts w:ascii="Cambria" w:hAnsi="Cambria" w:cs="Arial"/>
          <w:color w:val="000000" w:themeColor="text1"/>
          <w:sz w:val="22"/>
          <w:szCs w:val="22"/>
          <w:shd w:val="clear" w:color="auto" w:fill="FFFFFF"/>
        </w:rPr>
        <w:t>, </w:t>
      </w:r>
      <w:r w:rsidRPr="00A52D25">
        <w:rPr>
          <w:rFonts w:ascii="Cambria" w:hAnsi="Cambria" w:cs="Arial"/>
          <w:i/>
          <w:iCs/>
          <w:color w:val="000000" w:themeColor="text1"/>
          <w:sz w:val="22"/>
          <w:szCs w:val="22"/>
          <w:shd w:val="clear" w:color="auto" w:fill="FFFFFF"/>
        </w:rPr>
        <w:t>69</w:t>
      </w:r>
      <w:r w:rsidRPr="00A52D25">
        <w:rPr>
          <w:rFonts w:ascii="Cambria" w:hAnsi="Cambria" w:cs="Arial"/>
          <w:color w:val="000000" w:themeColor="text1"/>
          <w:sz w:val="22"/>
          <w:szCs w:val="22"/>
          <w:shd w:val="clear" w:color="auto" w:fill="FFFFFF"/>
        </w:rPr>
        <w:t>(1), 1-12. doi:</w:t>
      </w:r>
      <w:r w:rsidRPr="00A52D25">
        <w:rPr>
          <w:rFonts w:ascii="Cambria" w:hAnsi="Cambria"/>
          <w:color w:val="000000" w:themeColor="text1"/>
          <w:sz w:val="22"/>
          <w:szCs w:val="22"/>
        </w:rPr>
        <w:t>10.1111/j.1467-8624.1998.tb06128.x</w:t>
      </w:r>
    </w:p>
    <w:p w14:paraId="717414BD" w14:textId="7BACB2F9" w:rsidR="006E64DC" w:rsidRPr="00A52D25" w:rsidRDefault="006E64DC" w:rsidP="001609DC">
      <w:pPr>
        <w:pStyle w:val="CommentText"/>
        <w:rPr>
          <w:rFonts w:ascii="Cambria" w:hAnsi="Cambria"/>
          <w:color w:val="000000" w:themeColor="text1"/>
          <w:sz w:val="22"/>
          <w:szCs w:val="22"/>
        </w:rPr>
      </w:pPr>
      <w:r w:rsidRPr="00A52D25">
        <w:rPr>
          <w:rFonts w:ascii="Cambria" w:hAnsi="Cambria"/>
          <w:color w:val="000000" w:themeColor="text1"/>
          <w:sz w:val="22"/>
          <w:szCs w:val="22"/>
        </w:rPr>
        <w:t xml:space="preserve">Ermisch, J. (1999). Prices, parents and young people’s household formation. </w:t>
      </w:r>
      <w:r w:rsidRPr="003428BB">
        <w:rPr>
          <w:rFonts w:ascii="Cambria" w:hAnsi="Cambria"/>
          <w:i/>
          <w:color w:val="000000" w:themeColor="text1"/>
          <w:sz w:val="22"/>
          <w:szCs w:val="22"/>
        </w:rPr>
        <w:t>Journal of Urban Economics</w:t>
      </w:r>
      <w:r w:rsidRPr="00A52D25">
        <w:rPr>
          <w:rFonts w:ascii="Cambria" w:hAnsi="Cambria"/>
          <w:color w:val="000000" w:themeColor="text1"/>
          <w:sz w:val="22"/>
          <w:szCs w:val="22"/>
        </w:rPr>
        <w:t>,</w:t>
      </w:r>
      <w:r w:rsidRPr="003428BB">
        <w:rPr>
          <w:rFonts w:ascii="Cambria" w:hAnsi="Cambria"/>
          <w:i/>
          <w:color w:val="000000" w:themeColor="text1"/>
          <w:sz w:val="22"/>
          <w:szCs w:val="22"/>
        </w:rPr>
        <w:t xml:space="preserve"> 45</w:t>
      </w:r>
      <w:r w:rsidRPr="00A52D25">
        <w:rPr>
          <w:rFonts w:ascii="Cambria" w:hAnsi="Cambria"/>
          <w:color w:val="000000" w:themeColor="text1"/>
          <w:sz w:val="22"/>
          <w:szCs w:val="22"/>
        </w:rPr>
        <w:t>, 47–71.</w:t>
      </w:r>
    </w:p>
    <w:p w14:paraId="2B5B006E" w14:textId="05C4F168" w:rsidR="00AA327C" w:rsidRPr="003428BB" w:rsidRDefault="00AA327C" w:rsidP="001609DC">
      <w:pPr>
        <w:pStyle w:val="CommentText"/>
        <w:rPr>
          <w:rFonts w:ascii="Cambria" w:hAnsi="Cambria"/>
          <w:color w:val="000000" w:themeColor="text1"/>
          <w:sz w:val="22"/>
          <w:szCs w:val="22"/>
        </w:rPr>
      </w:pPr>
      <w:r w:rsidRPr="00A52D25">
        <w:rPr>
          <w:rFonts w:ascii="Cambria" w:hAnsi="Cambria"/>
          <w:color w:val="000000" w:themeColor="text1"/>
          <w:sz w:val="22"/>
          <w:szCs w:val="22"/>
        </w:rPr>
        <w:t>E</w:t>
      </w:r>
      <w:r w:rsidR="002E63EA">
        <w:rPr>
          <w:rFonts w:ascii="Cambria" w:hAnsi="Cambria"/>
          <w:color w:val="000000" w:themeColor="text1"/>
          <w:sz w:val="22"/>
          <w:szCs w:val="22"/>
        </w:rPr>
        <w:t>urostat</w:t>
      </w:r>
      <w:r w:rsidRPr="00A52D25">
        <w:rPr>
          <w:rFonts w:ascii="Cambria" w:hAnsi="Cambria"/>
          <w:color w:val="000000" w:themeColor="text1"/>
          <w:sz w:val="22"/>
          <w:szCs w:val="22"/>
        </w:rPr>
        <w:t xml:space="preserve"> (2019</w:t>
      </w:r>
      <w:r w:rsidR="00701B73" w:rsidRPr="00A52D25">
        <w:rPr>
          <w:rFonts w:ascii="Cambria" w:hAnsi="Cambria"/>
          <w:color w:val="000000" w:themeColor="text1"/>
          <w:sz w:val="22"/>
          <w:szCs w:val="22"/>
        </w:rPr>
        <w:t>a</w:t>
      </w:r>
      <w:r w:rsidRPr="00A52D25">
        <w:rPr>
          <w:rFonts w:ascii="Cambria" w:hAnsi="Cambria"/>
          <w:color w:val="000000" w:themeColor="text1"/>
          <w:sz w:val="22"/>
          <w:szCs w:val="22"/>
        </w:rPr>
        <w:t xml:space="preserve">) </w:t>
      </w:r>
      <w:r w:rsidR="002E63EA">
        <w:rPr>
          <w:rFonts w:ascii="Cambria" w:hAnsi="Cambria"/>
          <w:color w:val="000000" w:themeColor="text1"/>
          <w:sz w:val="22"/>
          <w:szCs w:val="22"/>
        </w:rPr>
        <w:t>European Community Household Panel</w:t>
      </w:r>
      <w:r w:rsidRPr="00A52D25">
        <w:rPr>
          <w:rFonts w:ascii="Cambria" w:hAnsi="Cambria"/>
          <w:color w:val="000000" w:themeColor="text1"/>
          <w:sz w:val="22"/>
          <w:szCs w:val="22"/>
        </w:rPr>
        <w:t xml:space="preserve"> (ECHP)</w:t>
      </w:r>
      <w:r w:rsidR="00ED5B8C">
        <w:rPr>
          <w:rFonts w:ascii="Cambria" w:hAnsi="Cambria"/>
          <w:color w:val="000000" w:themeColor="text1"/>
          <w:sz w:val="22"/>
          <w:szCs w:val="22"/>
        </w:rPr>
        <w:t>:</w:t>
      </w:r>
      <w:r w:rsidRPr="00A52D25">
        <w:rPr>
          <w:rFonts w:ascii="Cambria" w:hAnsi="Cambria"/>
          <w:color w:val="000000" w:themeColor="text1"/>
          <w:sz w:val="22"/>
          <w:szCs w:val="22"/>
        </w:rPr>
        <w:t xml:space="preserve"> Description of the </w:t>
      </w:r>
      <w:r w:rsidR="004A5926">
        <w:rPr>
          <w:rFonts w:ascii="Cambria" w:hAnsi="Cambria"/>
          <w:color w:val="000000" w:themeColor="text1"/>
          <w:sz w:val="22"/>
          <w:szCs w:val="22"/>
        </w:rPr>
        <w:t>d</w:t>
      </w:r>
      <w:r w:rsidRPr="00A52D25">
        <w:rPr>
          <w:rFonts w:ascii="Cambria" w:hAnsi="Cambria"/>
          <w:color w:val="000000" w:themeColor="text1"/>
          <w:sz w:val="22"/>
          <w:szCs w:val="22"/>
        </w:rPr>
        <w:t xml:space="preserve">ataset. </w:t>
      </w:r>
      <w:r w:rsidR="007C0D74">
        <w:rPr>
          <w:rFonts w:ascii="Cambria" w:hAnsi="Cambria"/>
          <w:color w:val="000000" w:themeColor="text1"/>
          <w:sz w:val="22"/>
          <w:szCs w:val="22"/>
        </w:rPr>
        <w:t xml:space="preserve"> </w:t>
      </w:r>
      <w:r w:rsidR="004D6AAD">
        <w:rPr>
          <w:rFonts w:ascii="Cambria" w:hAnsi="Cambria"/>
          <w:color w:val="000000" w:themeColor="text1"/>
          <w:sz w:val="22"/>
          <w:szCs w:val="22"/>
        </w:rPr>
        <w:t xml:space="preserve">Retreived from </w:t>
      </w:r>
      <w:r w:rsidR="004A5926" w:rsidRPr="003428BB">
        <w:rPr>
          <w:rFonts w:ascii="Cambria" w:hAnsi="Cambria"/>
          <w:color w:val="000000" w:themeColor="text1"/>
          <w:sz w:val="22"/>
          <w:szCs w:val="22"/>
        </w:rPr>
        <w:t>https://ec.europa.eu/eurostat/web/microdata/european-community-household-panel</w:t>
      </w:r>
      <w:r w:rsidR="004D6AAD">
        <w:rPr>
          <w:rFonts w:ascii="Cambria" w:hAnsi="Cambria"/>
          <w:color w:val="000000" w:themeColor="text1"/>
          <w:sz w:val="22"/>
          <w:szCs w:val="22"/>
        </w:rPr>
        <w:t xml:space="preserve">. </w:t>
      </w:r>
      <w:r w:rsidR="004D6AAD">
        <w:rPr>
          <w:rFonts w:ascii="Cambria" w:hAnsi="Cambria"/>
          <w:i/>
          <w:color w:val="000000" w:themeColor="text1"/>
          <w:sz w:val="22"/>
          <w:szCs w:val="22"/>
        </w:rPr>
        <w:t>[Last checked 19</w:t>
      </w:r>
      <w:r w:rsidR="004D6AAD" w:rsidRPr="003428BB">
        <w:rPr>
          <w:rFonts w:ascii="Cambria" w:hAnsi="Cambria"/>
          <w:i/>
          <w:color w:val="000000" w:themeColor="text1"/>
          <w:sz w:val="22"/>
          <w:szCs w:val="22"/>
          <w:vertAlign w:val="superscript"/>
        </w:rPr>
        <w:t>th</w:t>
      </w:r>
      <w:r w:rsidR="004D6AAD">
        <w:rPr>
          <w:rFonts w:ascii="Cambria" w:hAnsi="Cambria"/>
          <w:i/>
          <w:color w:val="000000" w:themeColor="text1"/>
          <w:sz w:val="22"/>
          <w:szCs w:val="22"/>
        </w:rPr>
        <w:t xml:space="preserve"> December 2019]</w:t>
      </w:r>
      <w:r w:rsidR="004D6AAD">
        <w:rPr>
          <w:rFonts w:ascii="Cambria" w:hAnsi="Cambria"/>
          <w:color w:val="000000" w:themeColor="text1"/>
          <w:sz w:val="22"/>
          <w:szCs w:val="22"/>
        </w:rPr>
        <w:t>.</w:t>
      </w:r>
    </w:p>
    <w:p w14:paraId="05905596" w14:textId="1B73E94C" w:rsidR="00701B73" w:rsidRPr="003428BB" w:rsidRDefault="00701B73" w:rsidP="001609DC">
      <w:pPr>
        <w:pStyle w:val="CommentText"/>
        <w:rPr>
          <w:rFonts w:ascii="Cambria" w:hAnsi="Cambria"/>
          <w:color w:val="000000" w:themeColor="text1"/>
          <w:szCs w:val="22"/>
        </w:rPr>
      </w:pPr>
      <w:r w:rsidRPr="00A52D25">
        <w:rPr>
          <w:rFonts w:ascii="Cambria" w:hAnsi="Cambria"/>
          <w:color w:val="000000" w:themeColor="text1"/>
          <w:sz w:val="22"/>
          <w:szCs w:val="22"/>
        </w:rPr>
        <w:t>E</w:t>
      </w:r>
      <w:r w:rsidR="002E63EA">
        <w:rPr>
          <w:rFonts w:ascii="Cambria" w:hAnsi="Cambria"/>
          <w:color w:val="000000" w:themeColor="text1"/>
          <w:sz w:val="22"/>
          <w:szCs w:val="22"/>
        </w:rPr>
        <w:t>urostat</w:t>
      </w:r>
      <w:r w:rsidRPr="00A52D25">
        <w:rPr>
          <w:rFonts w:ascii="Cambria" w:hAnsi="Cambria"/>
          <w:color w:val="000000" w:themeColor="text1"/>
          <w:sz w:val="22"/>
          <w:szCs w:val="22"/>
        </w:rPr>
        <w:t xml:space="preserve"> (2019b) </w:t>
      </w:r>
      <w:r w:rsidR="002E63EA">
        <w:rPr>
          <w:rFonts w:ascii="Cambria" w:hAnsi="Cambria"/>
          <w:color w:val="000000" w:themeColor="text1"/>
          <w:sz w:val="22"/>
          <w:szCs w:val="22"/>
        </w:rPr>
        <w:t>European Union Statistics on Income and Living Conditions</w:t>
      </w:r>
      <w:r w:rsidRPr="00A52D25">
        <w:rPr>
          <w:rFonts w:ascii="Cambria" w:hAnsi="Cambria"/>
          <w:color w:val="000000" w:themeColor="text1"/>
          <w:sz w:val="22"/>
          <w:szCs w:val="22"/>
        </w:rPr>
        <w:t xml:space="preserve"> (EU-SILC)</w:t>
      </w:r>
      <w:r w:rsidR="00ED5B8C">
        <w:rPr>
          <w:rFonts w:ascii="Cambria" w:hAnsi="Cambria"/>
          <w:color w:val="000000" w:themeColor="text1"/>
          <w:sz w:val="22"/>
          <w:szCs w:val="22"/>
        </w:rPr>
        <w:t xml:space="preserve">: </w:t>
      </w:r>
      <w:r w:rsidRPr="00A52D25">
        <w:rPr>
          <w:rFonts w:ascii="Cambria" w:hAnsi="Cambria"/>
          <w:color w:val="000000" w:themeColor="text1"/>
          <w:sz w:val="22"/>
          <w:szCs w:val="22"/>
        </w:rPr>
        <w:t xml:space="preserve">Description of </w:t>
      </w:r>
      <w:r w:rsidR="004A5926">
        <w:rPr>
          <w:rFonts w:ascii="Cambria" w:hAnsi="Cambria"/>
          <w:color w:val="000000" w:themeColor="text1"/>
          <w:sz w:val="22"/>
          <w:szCs w:val="22"/>
        </w:rPr>
        <w:t>d</w:t>
      </w:r>
      <w:r w:rsidRPr="00A52D25">
        <w:rPr>
          <w:rFonts w:ascii="Cambria" w:hAnsi="Cambria"/>
          <w:color w:val="000000" w:themeColor="text1"/>
          <w:sz w:val="22"/>
          <w:szCs w:val="22"/>
        </w:rPr>
        <w:t xml:space="preserve">ataset. </w:t>
      </w:r>
      <w:r w:rsidR="004A5926">
        <w:rPr>
          <w:rFonts w:ascii="Cambria" w:hAnsi="Cambria"/>
          <w:color w:val="000000" w:themeColor="text1"/>
          <w:sz w:val="22"/>
          <w:szCs w:val="22"/>
        </w:rPr>
        <w:t xml:space="preserve">Retrieved from </w:t>
      </w:r>
      <w:r w:rsidR="004A5926" w:rsidRPr="003428BB">
        <w:rPr>
          <w:rFonts w:ascii="Cambria" w:hAnsi="Cambria"/>
          <w:sz w:val="22"/>
          <w:szCs w:val="22"/>
        </w:rPr>
        <w:t>https://ec.europa.eu/eurostat/web/microdata/european-union-statistics-on-income-and-living-conditions</w:t>
      </w:r>
      <w:r w:rsidR="004A5926">
        <w:rPr>
          <w:rFonts w:ascii="Cambria" w:hAnsi="Cambria"/>
          <w:sz w:val="22"/>
          <w:szCs w:val="22"/>
        </w:rPr>
        <w:t xml:space="preserve">. </w:t>
      </w:r>
      <w:r w:rsidR="004A5926" w:rsidRPr="003428BB">
        <w:rPr>
          <w:rFonts w:ascii="Cambria" w:hAnsi="Cambria"/>
          <w:i/>
          <w:sz w:val="22"/>
          <w:szCs w:val="22"/>
        </w:rPr>
        <w:t>[Last checked 19</w:t>
      </w:r>
      <w:r w:rsidR="004A5926" w:rsidRPr="003428BB">
        <w:rPr>
          <w:rFonts w:ascii="Cambria" w:hAnsi="Cambria"/>
          <w:i/>
          <w:sz w:val="22"/>
          <w:szCs w:val="22"/>
          <w:vertAlign w:val="superscript"/>
        </w:rPr>
        <w:t>th</w:t>
      </w:r>
      <w:r w:rsidR="004A5926" w:rsidRPr="003428BB">
        <w:rPr>
          <w:rFonts w:ascii="Cambria" w:hAnsi="Cambria"/>
          <w:i/>
          <w:sz w:val="22"/>
          <w:szCs w:val="22"/>
        </w:rPr>
        <w:t xml:space="preserve"> December 2019]</w:t>
      </w:r>
    </w:p>
    <w:p w14:paraId="5EA509D1" w14:textId="56DB38A3" w:rsidR="003700F7" w:rsidRPr="00A52D25" w:rsidRDefault="003700F7"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Findlay, A., McCollum, D., Coulter, R., &amp; Gayle, V. (2015). New mobilities across the life course: A framework for analysing demographically linked drivers of migration. </w:t>
      </w:r>
      <w:r w:rsidRPr="00A52D25">
        <w:rPr>
          <w:rFonts w:ascii="Cambria" w:eastAsia="Times New Roman" w:hAnsi="Cambria" w:cs="Times New Roman"/>
          <w:i/>
          <w:iCs/>
          <w:lang w:eastAsia="en-GB"/>
        </w:rPr>
        <w:t>Population, Space and Place</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21</w:t>
      </w:r>
      <w:r w:rsidRPr="00A52D25">
        <w:rPr>
          <w:rFonts w:ascii="Cambria" w:eastAsia="Times New Roman" w:hAnsi="Cambria" w:cs="Times New Roman"/>
          <w:lang w:eastAsia="en-GB"/>
        </w:rPr>
        <w:t xml:space="preserve">(4), 390–402. </w:t>
      </w:r>
      <w:r w:rsidR="009A64E4" w:rsidRPr="00A52D25">
        <w:rPr>
          <w:rFonts w:ascii="Cambria" w:eastAsia="Times New Roman" w:hAnsi="Cambria" w:cs="Times New Roman"/>
          <w:lang w:eastAsia="en-GB"/>
        </w:rPr>
        <w:t>doi:</w:t>
      </w:r>
      <w:r w:rsidRPr="00A52D25">
        <w:rPr>
          <w:rFonts w:ascii="Cambria" w:eastAsia="Times New Roman" w:hAnsi="Cambria" w:cs="Times New Roman"/>
          <w:lang w:eastAsia="en-GB"/>
        </w:rPr>
        <w:t>10.1002/psp.1956</w:t>
      </w:r>
    </w:p>
    <w:p w14:paraId="23AD2B63" w14:textId="0E406BA3" w:rsidR="000647B3" w:rsidRPr="00A52D25" w:rsidRDefault="000647B3" w:rsidP="000647B3">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Fry, R. (2016). </w:t>
      </w:r>
      <w:r w:rsidRPr="00A52D25">
        <w:rPr>
          <w:rFonts w:ascii="Cambria" w:eastAsia="Times New Roman" w:hAnsi="Cambria" w:cs="Times New Roman"/>
          <w:i/>
          <w:iCs/>
          <w:lang w:eastAsia="en-GB"/>
        </w:rPr>
        <w:t>For first time in modern era, living with parents edges out other living arrangements for 18- to 34-year-olds</w:t>
      </w:r>
      <w:r w:rsidRPr="00A52D25">
        <w:rPr>
          <w:rFonts w:ascii="Cambria" w:eastAsia="Times New Roman" w:hAnsi="Cambria" w:cs="Times New Roman"/>
          <w:lang w:eastAsia="en-GB"/>
        </w:rPr>
        <w:t xml:space="preserve">. </w:t>
      </w:r>
      <w:r w:rsidR="009A64E4" w:rsidRPr="00A52D25">
        <w:rPr>
          <w:rFonts w:ascii="Cambria" w:eastAsia="Times New Roman" w:hAnsi="Cambria" w:cs="Times New Roman"/>
          <w:lang w:eastAsia="en-GB"/>
        </w:rPr>
        <w:t xml:space="preserve">Washington DC: </w:t>
      </w:r>
      <w:r w:rsidRPr="00A52D25">
        <w:rPr>
          <w:rFonts w:ascii="Cambria" w:eastAsia="Times New Roman" w:hAnsi="Cambria" w:cs="Times New Roman"/>
          <w:lang w:eastAsia="en-GB"/>
        </w:rPr>
        <w:t>Pew Research Center</w:t>
      </w:r>
      <w:r w:rsidR="009A64E4" w:rsidRPr="00A52D25">
        <w:rPr>
          <w:rFonts w:ascii="Cambria" w:eastAsia="Times New Roman" w:hAnsi="Cambria" w:cs="Times New Roman"/>
          <w:lang w:eastAsia="en-GB"/>
        </w:rPr>
        <w:t>.</w:t>
      </w:r>
    </w:p>
    <w:p w14:paraId="1C372994" w14:textId="578FBE27" w:rsidR="00362018" w:rsidRPr="00C57314" w:rsidRDefault="00362018" w:rsidP="000D4A79">
      <w:pPr>
        <w:spacing w:before="100" w:beforeAutospacing="1" w:after="100" w:afterAutospacing="1" w:line="240" w:lineRule="auto"/>
        <w:rPr>
          <w:rFonts w:ascii="Cambria" w:eastAsia="Times New Roman" w:hAnsi="Cambria" w:cs="Times New Roman"/>
          <w:lang w:eastAsia="en-GB"/>
        </w:rPr>
      </w:pPr>
      <w:r>
        <w:rPr>
          <w:rFonts w:ascii="Cambria" w:eastAsia="Times New Roman" w:hAnsi="Cambria" w:cs="Times New Roman"/>
          <w:lang w:eastAsia="en-GB"/>
        </w:rPr>
        <w:t xml:space="preserve">Greater London Authority (GLA) (2019). </w:t>
      </w:r>
      <w:r w:rsidRPr="003428BB">
        <w:rPr>
          <w:rFonts w:ascii="Cambria" w:eastAsia="Times New Roman" w:hAnsi="Cambria" w:cs="Times New Roman"/>
          <w:i/>
          <w:lang w:eastAsia="en-GB"/>
        </w:rPr>
        <w:t>CHAIN Annual Report: Greater London: April 2018 – March 2019</w:t>
      </w:r>
      <w:r>
        <w:rPr>
          <w:rFonts w:ascii="Cambria" w:eastAsia="Times New Roman" w:hAnsi="Cambria" w:cs="Times New Roman"/>
          <w:lang w:eastAsia="en-GB"/>
        </w:rPr>
        <w:t xml:space="preserve">. London: GLA. Retrieved from </w:t>
      </w:r>
      <w:r w:rsidRPr="003428BB">
        <w:rPr>
          <w:rFonts w:ascii="Cambria" w:eastAsia="Times New Roman" w:hAnsi="Cambria" w:cs="Times New Roman"/>
          <w:lang w:eastAsia="en-GB"/>
        </w:rPr>
        <w:t>https://data.london.gov.uk/dataset/chain-reports</w:t>
      </w:r>
      <w:r>
        <w:rPr>
          <w:rFonts w:ascii="Cambria" w:eastAsia="Times New Roman" w:hAnsi="Cambria" w:cs="Times New Roman"/>
          <w:lang w:eastAsia="en-GB"/>
        </w:rPr>
        <w:t xml:space="preserve">. </w:t>
      </w:r>
      <w:r>
        <w:rPr>
          <w:rFonts w:ascii="Cambria" w:eastAsia="Times New Roman" w:hAnsi="Cambria" w:cs="Times New Roman"/>
          <w:i/>
          <w:lang w:eastAsia="en-GB"/>
        </w:rPr>
        <w:t>[Last checked 19</w:t>
      </w:r>
      <w:r w:rsidRPr="003428BB">
        <w:rPr>
          <w:rFonts w:ascii="Cambria" w:eastAsia="Times New Roman" w:hAnsi="Cambria" w:cs="Times New Roman"/>
          <w:i/>
          <w:vertAlign w:val="superscript"/>
          <w:lang w:eastAsia="en-GB"/>
        </w:rPr>
        <w:t>th</w:t>
      </w:r>
      <w:r>
        <w:rPr>
          <w:rFonts w:ascii="Cambria" w:eastAsia="Times New Roman" w:hAnsi="Cambria" w:cs="Times New Roman"/>
          <w:i/>
          <w:lang w:eastAsia="en-GB"/>
        </w:rPr>
        <w:t xml:space="preserve"> December 2019]</w:t>
      </w:r>
      <w:r>
        <w:rPr>
          <w:rFonts w:ascii="Cambria" w:eastAsia="Times New Roman" w:hAnsi="Cambria" w:cs="Times New Roman"/>
          <w:lang w:eastAsia="en-GB"/>
        </w:rPr>
        <w:t>.</w:t>
      </w:r>
    </w:p>
    <w:p w14:paraId="4A0618BD" w14:textId="2D75D348" w:rsidR="00B161DA" w:rsidRPr="00A52D25" w:rsidRDefault="00B161DA"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Green, A. (2017). </w:t>
      </w:r>
      <w:r w:rsidRPr="00A52D25">
        <w:rPr>
          <w:rFonts w:ascii="Cambria" w:eastAsia="Times New Roman" w:hAnsi="Cambria" w:cs="Times New Roman"/>
          <w:i/>
          <w:iCs/>
          <w:lang w:eastAsia="en-GB"/>
        </w:rPr>
        <w:t>The Crisis for Young People: Generational Inequalities in Education, Work, Housing and Welfare</w:t>
      </w:r>
      <w:r w:rsidRPr="00A52D25">
        <w:rPr>
          <w:rFonts w:ascii="Cambria" w:eastAsia="Times New Roman" w:hAnsi="Cambria" w:cs="Times New Roman"/>
          <w:iCs/>
          <w:lang w:eastAsia="en-GB"/>
        </w:rPr>
        <w:t>.</w:t>
      </w:r>
      <w:r w:rsidRPr="00A52D25">
        <w:rPr>
          <w:rFonts w:ascii="Cambria" w:eastAsia="Times New Roman" w:hAnsi="Cambria" w:cs="Times New Roman"/>
          <w:lang w:eastAsia="en-GB"/>
        </w:rPr>
        <w:t xml:space="preserve"> London: Palgrave Macmillan.</w:t>
      </w:r>
    </w:p>
    <w:p w14:paraId="7900E0B9" w14:textId="1DB1CAA6" w:rsidR="00B161DA" w:rsidRPr="00A52D25" w:rsidRDefault="00B161DA"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Hamnett, C. (2011). The reshaping of the British welfare system and its implications for geography and geographers. </w:t>
      </w:r>
      <w:r w:rsidRPr="00A52D25">
        <w:rPr>
          <w:rFonts w:ascii="Cambria" w:eastAsia="Times New Roman" w:hAnsi="Cambria" w:cs="Times New Roman"/>
          <w:i/>
          <w:iCs/>
          <w:lang w:eastAsia="en-GB"/>
        </w:rPr>
        <w:t>Progress in Human Geography</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35</w:t>
      </w:r>
      <w:r w:rsidRPr="00A52D25">
        <w:rPr>
          <w:rFonts w:ascii="Cambria" w:eastAsia="Times New Roman" w:hAnsi="Cambria" w:cs="Times New Roman"/>
          <w:lang w:eastAsia="en-GB"/>
        </w:rPr>
        <w:t xml:space="preserve">(2), 147–152. </w:t>
      </w:r>
      <w:r w:rsidR="00920AB0" w:rsidRPr="00A52D25">
        <w:rPr>
          <w:rFonts w:ascii="Cambria" w:eastAsia="Times New Roman" w:hAnsi="Cambria" w:cs="Times New Roman"/>
          <w:lang w:eastAsia="en-GB"/>
        </w:rPr>
        <w:t>doi:</w:t>
      </w:r>
      <w:r w:rsidRPr="00A52D25">
        <w:rPr>
          <w:rFonts w:ascii="Cambria" w:eastAsia="Times New Roman" w:hAnsi="Cambria" w:cs="Times New Roman"/>
          <w:lang w:eastAsia="en-GB"/>
        </w:rPr>
        <w:t>10.1177/0309132510394121.</w:t>
      </w:r>
    </w:p>
    <w:p w14:paraId="5CD41F06" w14:textId="29D4AA3D" w:rsidR="00B63B00" w:rsidRPr="00A52D25" w:rsidRDefault="00B63B00" w:rsidP="003428BB">
      <w:pPr>
        <w:spacing w:after="0"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Heath, S., &amp; Calvert, E. (2013). Gifts, loans and intergenerational support for young adults. </w:t>
      </w:r>
      <w:r w:rsidRPr="00A52D25">
        <w:rPr>
          <w:rFonts w:ascii="Cambria" w:eastAsia="Times New Roman" w:hAnsi="Cambria" w:cs="Times New Roman"/>
          <w:i/>
          <w:iCs/>
          <w:lang w:eastAsia="en-GB"/>
        </w:rPr>
        <w:t>Sociology</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47</w:t>
      </w:r>
      <w:r w:rsidRPr="00A52D25">
        <w:rPr>
          <w:rFonts w:ascii="Cambria" w:eastAsia="Times New Roman" w:hAnsi="Cambria" w:cs="Times New Roman"/>
          <w:lang w:eastAsia="en-GB"/>
        </w:rPr>
        <w:t xml:space="preserve">(6), 1120–1135. </w:t>
      </w:r>
      <w:r w:rsidR="00920AB0" w:rsidRPr="00A52D25">
        <w:rPr>
          <w:rFonts w:ascii="Cambria" w:eastAsia="Times New Roman" w:hAnsi="Cambria" w:cs="Times New Roman"/>
          <w:lang w:eastAsia="en-GB"/>
        </w:rPr>
        <w:t>doi:</w:t>
      </w:r>
      <w:r w:rsidRPr="00A52D25">
        <w:rPr>
          <w:rFonts w:ascii="Cambria" w:eastAsia="Times New Roman" w:hAnsi="Cambria" w:cs="Times New Roman"/>
          <w:lang w:eastAsia="en-GB"/>
        </w:rPr>
        <w:t>10.1177/0038038512455736.</w:t>
      </w:r>
    </w:p>
    <w:p w14:paraId="5E93B73B" w14:textId="77777777" w:rsidR="00081488" w:rsidRPr="00A52D25" w:rsidRDefault="00081488" w:rsidP="003428BB">
      <w:pPr>
        <w:spacing w:after="0" w:line="240" w:lineRule="auto"/>
        <w:rPr>
          <w:rFonts w:ascii="Cambria" w:eastAsia="Times New Roman" w:hAnsi="Cambria" w:cs="Times New Roman"/>
          <w:lang w:eastAsia="en-GB"/>
        </w:rPr>
      </w:pPr>
    </w:p>
    <w:p w14:paraId="47C5FCD0" w14:textId="5075B57A" w:rsidR="00081488" w:rsidRPr="003428BB" w:rsidRDefault="00081488" w:rsidP="003428BB">
      <w:pPr>
        <w:spacing w:after="0" w:line="240" w:lineRule="auto"/>
        <w:rPr>
          <w:rFonts w:ascii="Cambria" w:eastAsia="Times New Roman" w:hAnsi="Cambria" w:cs="Times New Roman"/>
          <w:i/>
          <w:lang w:eastAsia="en-GB"/>
        </w:rPr>
      </w:pPr>
      <w:r w:rsidRPr="00A52D25">
        <w:rPr>
          <w:rFonts w:ascii="Cambria" w:eastAsia="Times New Roman" w:hAnsi="Cambria" w:cs="Times New Roman"/>
          <w:lang w:eastAsia="en-GB"/>
        </w:rPr>
        <w:t xml:space="preserve">Henderson, S. Holland, J. McGrellis, S. Sharpe, S. and Thomson, R. (2006). </w:t>
      </w:r>
      <w:r w:rsidRPr="003428BB">
        <w:rPr>
          <w:rFonts w:ascii="Cambria" w:eastAsia="Times New Roman" w:hAnsi="Cambria" w:cs="Times New Roman"/>
          <w:i/>
          <w:lang w:eastAsia="en-GB"/>
        </w:rPr>
        <w:t>Inventing</w:t>
      </w:r>
    </w:p>
    <w:p w14:paraId="76575091" w14:textId="1BAA34FB" w:rsidR="00081488" w:rsidRPr="00A52D25" w:rsidRDefault="00081488" w:rsidP="003428BB">
      <w:pPr>
        <w:spacing w:after="0" w:line="240" w:lineRule="auto"/>
        <w:rPr>
          <w:rFonts w:ascii="Cambria" w:eastAsia="Times New Roman" w:hAnsi="Cambria" w:cs="Times New Roman"/>
          <w:lang w:eastAsia="en-GB"/>
        </w:rPr>
      </w:pPr>
      <w:r w:rsidRPr="003428BB">
        <w:rPr>
          <w:rFonts w:ascii="Cambria" w:eastAsia="Times New Roman" w:hAnsi="Cambria" w:cs="Times New Roman"/>
          <w:i/>
          <w:lang w:eastAsia="en-GB"/>
        </w:rPr>
        <w:t>Adulthoods. A Biographical Approach to Youth Transitions</w:t>
      </w:r>
      <w:r w:rsidRPr="00A52D25">
        <w:rPr>
          <w:rFonts w:ascii="Cambria" w:eastAsia="Times New Roman" w:hAnsi="Cambria" w:cs="Times New Roman"/>
          <w:lang w:eastAsia="en-GB"/>
        </w:rPr>
        <w:t xml:space="preserve">. London: </w:t>
      </w:r>
      <w:r w:rsidR="00347E43">
        <w:rPr>
          <w:rFonts w:ascii="Cambria" w:eastAsia="Times New Roman" w:hAnsi="Cambria" w:cs="Times New Roman"/>
          <w:lang w:eastAsia="en-GB"/>
        </w:rPr>
        <w:t>SAGE</w:t>
      </w:r>
      <w:r w:rsidR="00EA2A97">
        <w:rPr>
          <w:rFonts w:ascii="Cambria" w:eastAsia="Times New Roman" w:hAnsi="Cambria" w:cs="Times New Roman"/>
          <w:lang w:eastAsia="en-GB"/>
        </w:rPr>
        <w:t>.</w:t>
      </w:r>
    </w:p>
    <w:p w14:paraId="496F847F" w14:textId="7C5E9FBA" w:rsidR="00FC7413" w:rsidRPr="00A52D25" w:rsidRDefault="00FC7413"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HM Treasury (2017) </w:t>
      </w:r>
      <w:r w:rsidRPr="00A52D25">
        <w:rPr>
          <w:rFonts w:ascii="Cambria" w:eastAsia="Times New Roman" w:hAnsi="Cambria" w:cs="Times New Roman"/>
          <w:i/>
          <w:lang w:eastAsia="en-GB"/>
        </w:rPr>
        <w:t>Help to Buy: Mortgage guarantee scheme quarterly statistics</w:t>
      </w:r>
      <w:r w:rsidRPr="00A52D25">
        <w:rPr>
          <w:rFonts w:ascii="Cambria" w:eastAsia="Times New Roman" w:hAnsi="Cambria" w:cs="Times New Roman"/>
          <w:lang w:eastAsia="en-GB"/>
        </w:rPr>
        <w:t xml:space="preserve">. London: HM Treasury. Retrieved from </w:t>
      </w:r>
      <w:r w:rsidR="005C6190" w:rsidRPr="00A52D25">
        <w:rPr>
          <w:rFonts w:ascii="Cambria" w:eastAsia="Times New Roman" w:hAnsi="Cambria" w:cs="Times New Roman"/>
          <w:lang w:eastAsia="en-GB"/>
        </w:rPr>
        <w:t>https://www.gov.uk/government/statistics/help-to-buy-mortgage-guarantee-scheme-quarterly-statistics-october-2013-to-30-june-2017</w:t>
      </w:r>
      <w:r w:rsidRPr="00A52D25">
        <w:rPr>
          <w:rFonts w:ascii="Cambria" w:eastAsia="Times New Roman" w:hAnsi="Cambria" w:cs="Times New Roman"/>
          <w:lang w:eastAsia="en-GB"/>
        </w:rPr>
        <w:t>.</w:t>
      </w:r>
      <w:r w:rsidR="005C6190" w:rsidRPr="00A52D25">
        <w:rPr>
          <w:rFonts w:ascii="Cambria" w:eastAsia="Times New Roman" w:hAnsi="Cambria" w:cs="Times New Roman"/>
          <w:lang w:eastAsia="en-GB"/>
        </w:rPr>
        <w:t xml:space="preserve"> </w:t>
      </w:r>
      <w:r w:rsidR="005C6190" w:rsidRPr="00A52D25">
        <w:rPr>
          <w:rFonts w:ascii="Cambria" w:eastAsia="Times New Roman" w:hAnsi="Cambria" w:cs="Times New Roman"/>
          <w:i/>
          <w:lang w:eastAsia="en-GB"/>
        </w:rPr>
        <w:t xml:space="preserve">[Last checked </w:t>
      </w:r>
      <w:r w:rsidR="004B49B5">
        <w:rPr>
          <w:rFonts w:ascii="Cambria" w:eastAsia="Times New Roman" w:hAnsi="Cambria" w:cs="Times New Roman"/>
          <w:i/>
          <w:lang w:eastAsia="en-GB"/>
        </w:rPr>
        <w:t>16</w:t>
      </w:r>
      <w:r w:rsidR="004B49B5" w:rsidRPr="00A52D25">
        <w:rPr>
          <w:rFonts w:ascii="Cambria" w:eastAsia="Times New Roman" w:hAnsi="Cambria" w:cs="Times New Roman"/>
          <w:i/>
          <w:vertAlign w:val="superscript"/>
          <w:lang w:eastAsia="en-GB"/>
        </w:rPr>
        <w:t>th</w:t>
      </w:r>
      <w:r w:rsidR="004B49B5" w:rsidRPr="00A52D25">
        <w:rPr>
          <w:rFonts w:ascii="Cambria" w:eastAsia="Times New Roman" w:hAnsi="Cambria" w:cs="Times New Roman"/>
          <w:i/>
          <w:lang w:eastAsia="en-GB"/>
        </w:rPr>
        <w:t xml:space="preserve"> </w:t>
      </w:r>
      <w:r w:rsidR="004B49B5">
        <w:rPr>
          <w:rFonts w:ascii="Cambria" w:eastAsia="Times New Roman" w:hAnsi="Cambria" w:cs="Times New Roman"/>
          <w:i/>
          <w:lang w:eastAsia="en-GB"/>
        </w:rPr>
        <w:t xml:space="preserve">December </w:t>
      </w:r>
      <w:r w:rsidR="005C6190" w:rsidRPr="00A52D25">
        <w:rPr>
          <w:rFonts w:ascii="Cambria" w:eastAsia="Times New Roman" w:hAnsi="Cambria" w:cs="Times New Roman"/>
          <w:i/>
          <w:lang w:eastAsia="en-GB"/>
        </w:rPr>
        <w:t>2019]</w:t>
      </w:r>
      <w:r w:rsidR="005C6190" w:rsidRPr="00A52D25">
        <w:rPr>
          <w:rFonts w:ascii="Cambria" w:eastAsia="Times New Roman" w:hAnsi="Cambria" w:cs="Times New Roman"/>
          <w:lang w:eastAsia="en-GB"/>
        </w:rPr>
        <w:t>.</w:t>
      </w:r>
    </w:p>
    <w:p w14:paraId="09A37832" w14:textId="1B697662" w:rsidR="003503BF" w:rsidRPr="00A52D25" w:rsidRDefault="003503BF"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Hill, K., &amp; Hirsch, D. (2019). </w:t>
      </w:r>
      <w:r w:rsidRPr="00A52D25">
        <w:rPr>
          <w:rFonts w:ascii="Cambria" w:eastAsia="Times New Roman" w:hAnsi="Cambria" w:cs="Times New Roman"/>
          <w:i/>
          <w:iCs/>
          <w:lang w:eastAsia="en-GB"/>
        </w:rPr>
        <w:t>Family sharing - a minimum income standard for people in their 20s living with parents</w:t>
      </w:r>
      <w:r w:rsidRPr="00A52D25">
        <w:rPr>
          <w:rFonts w:ascii="Cambria" w:eastAsia="Times New Roman" w:hAnsi="Cambria" w:cs="Times New Roman"/>
          <w:lang w:eastAsia="en-GB"/>
        </w:rPr>
        <w:t xml:space="preserve">. </w:t>
      </w:r>
      <w:r w:rsidR="00C258C0" w:rsidRPr="00A52D25">
        <w:rPr>
          <w:rFonts w:ascii="Cambria" w:eastAsia="Times New Roman" w:hAnsi="Cambria" w:cs="Times New Roman"/>
          <w:lang w:eastAsia="en-GB"/>
        </w:rPr>
        <w:t xml:space="preserve">Loughborough: </w:t>
      </w:r>
      <w:r w:rsidRPr="00A52D25">
        <w:rPr>
          <w:rFonts w:ascii="Cambria" w:eastAsia="Times New Roman" w:hAnsi="Cambria" w:cs="Times New Roman"/>
          <w:lang w:eastAsia="en-GB"/>
        </w:rPr>
        <w:t xml:space="preserve">Centre for Research in Social Policy, Loughborough University. Retrieved from </w:t>
      </w:r>
      <w:r w:rsidR="00C258C0" w:rsidRPr="00A52D25">
        <w:rPr>
          <w:rFonts w:ascii="Cambria" w:eastAsia="Times New Roman" w:hAnsi="Cambria" w:cs="Times New Roman"/>
          <w:lang w:eastAsia="en-GB"/>
        </w:rPr>
        <w:t>https://www.lboro.ac.uk/research/crsp/publications/</w:t>
      </w:r>
      <w:r w:rsidRPr="00A52D25">
        <w:rPr>
          <w:rFonts w:ascii="Cambria" w:eastAsia="Times New Roman" w:hAnsi="Cambria" w:cs="Times New Roman"/>
          <w:lang w:eastAsia="en-GB"/>
        </w:rPr>
        <w:t>.</w:t>
      </w:r>
      <w:r w:rsidR="00C258C0" w:rsidRPr="00A52D25">
        <w:rPr>
          <w:rFonts w:ascii="Cambria" w:eastAsia="Times New Roman" w:hAnsi="Cambria" w:cs="Times New Roman"/>
          <w:lang w:eastAsia="en-GB"/>
        </w:rPr>
        <w:t xml:space="preserve"> </w:t>
      </w:r>
      <w:r w:rsidR="00C258C0" w:rsidRPr="00A52D25">
        <w:rPr>
          <w:rFonts w:ascii="Cambria" w:eastAsia="Times New Roman" w:hAnsi="Cambria" w:cs="Times New Roman"/>
          <w:i/>
          <w:lang w:eastAsia="en-GB"/>
        </w:rPr>
        <w:t xml:space="preserve">[Last checked </w:t>
      </w:r>
      <w:r w:rsidR="004B49B5">
        <w:rPr>
          <w:rFonts w:ascii="Cambria" w:eastAsia="Times New Roman" w:hAnsi="Cambria" w:cs="Times New Roman"/>
          <w:i/>
          <w:lang w:eastAsia="en-GB"/>
        </w:rPr>
        <w:t>16</w:t>
      </w:r>
      <w:r w:rsidR="004B49B5" w:rsidRPr="00A52D25">
        <w:rPr>
          <w:rFonts w:ascii="Cambria" w:eastAsia="Times New Roman" w:hAnsi="Cambria" w:cs="Times New Roman"/>
          <w:i/>
          <w:vertAlign w:val="superscript"/>
          <w:lang w:eastAsia="en-GB"/>
        </w:rPr>
        <w:t>th</w:t>
      </w:r>
      <w:r w:rsidR="004B49B5" w:rsidRPr="00A52D25">
        <w:rPr>
          <w:rFonts w:ascii="Cambria" w:eastAsia="Times New Roman" w:hAnsi="Cambria" w:cs="Times New Roman"/>
          <w:i/>
          <w:lang w:eastAsia="en-GB"/>
        </w:rPr>
        <w:t xml:space="preserve"> </w:t>
      </w:r>
      <w:r w:rsidR="004B49B5">
        <w:rPr>
          <w:rFonts w:ascii="Cambria" w:eastAsia="Times New Roman" w:hAnsi="Cambria" w:cs="Times New Roman"/>
          <w:i/>
          <w:lang w:eastAsia="en-GB"/>
        </w:rPr>
        <w:t>December</w:t>
      </w:r>
      <w:r w:rsidR="004B49B5" w:rsidRPr="00A52D25">
        <w:rPr>
          <w:rFonts w:ascii="Cambria" w:eastAsia="Times New Roman" w:hAnsi="Cambria" w:cs="Times New Roman"/>
          <w:i/>
          <w:lang w:eastAsia="en-GB"/>
        </w:rPr>
        <w:t xml:space="preserve"> </w:t>
      </w:r>
      <w:r w:rsidR="00C258C0" w:rsidRPr="00A52D25">
        <w:rPr>
          <w:rFonts w:ascii="Cambria" w:eastAsia="Times New Roman" w:hAnsi="Cambria" w:cs="Times New Roman"/>
          <w:i/>
          <w:lang w:eastAsia="en-GB"/>
        </w:rPr>
        <w:t>2019]</w:t>
      </w:r>
      <w:r w:rsidR="00C258C0" w:rsidRPr="00A52D25">
        <w:rPr>
          <w:rFonts w:ascii="Cambria" w:eastAsia="Times New Roman" w:hAnsi="Cambria" w:cs="Times New Roman"/>
          <w:lang w:eastAsia="en-GB"/>
        </w:rPr>
        <w:t>.</w:t>
      </w:r>
    </w:p>
    <w:p w14:paraId="58C9FE09" w14:textId="7BD17900" w:rsidR="00B161DA" w:rsidRPr="00A52D25" w:rsidRDefault="00036D55"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Hoolachan, J., &amp; McK</w:t>
      </w:r>
      <w:r w:rsidR="00B161DA" w:rsidRPr="00A52D25">
        <w:rPr>
          <w:rFonts w:ascii="Cambria" w:eastAsia="Times New Roman" w:hAnsi="Cambria" w:cs="Times New Roman"/>
          <w:lang w:eastAsia="en-GB"/>
        </w:rPr>
        <w:t xml:space="preserve">ee, K. (2019). Inter-generational housing inequalities: ‘Baby Boomers’ versus the ‘Millennials.’ </w:t>
      </w:r>
      <w:r w:rsidR="00B161DA" w:rsidRPr="00A52D25">
        <w:rPr>
          <w:rFonts w:ascii="Cambria" w:eastAsia="Times New Roman" w:hAnsi="Cambria" w:cs="Times New Roman"/>
          <w:i/>
          <w:iCs/>
          <w:lang w:eastAsia="en-GB"/>
        </w:rPr>
        <w:t>Urban Studies</w:t>
      </w:r>
      <w:r w:rsidR="00B161DA" w:rsidRPr="00A52D25">
        <w:rPr>
          <w:rFonts w:ascii="Cambria" w:eastAsia="Times New Roman" w:hAnsi="Cambria" w:cs="Times New Roman"/>
          <w:lang w:eastAsia="en-GB"/>
        </w:rPr>
        <w:t xml:space="preserve">, </w:t>
      </w:r>
      <w:r w:rsidR="00B161DA" w:rsidRPr="00A52D25">
        <w:rPr>
          <w:rFonts w:ascii="Cambria" w:eastAsia="Times New Roman" w:hAnsi="Cambria" w:cs="Times New Roman"/>
          <w:i/>
          <w:iCs/>
          <w:lang w:eastAsia="en-GB"/>
        </w:rPr>
        <w:t>56</w:t>
      </w:r>
      <w:r w:rsidR="00B161DA" w:rsidRPr="00A52D25">
        <w:rPr>
          <w:rFonts w:ascii="Cambria" w:eastAsia="Times New Roman" w:hAnsi="Cambria" w:cs="Times New Roman"/>
          <w:lang w:eastAsia="en-GB"/>
        </w:rPr>
        <w:t xml:space="preserve">(1), 210–225. </w:t>
      </w:r>
      <w:r w:rsidR="00920AB0" w:rsidRPr="00A52D25">
        <w:rPr>
          <w:rFonts w:ascii="Cambria" w:eastAsia="Times New Roman" w:hAnsi="Cambria" w:cs="Times New Roman"/>
          <w:lang w:eastAsia="en-GB"/>
        </w:rPr>
        <w:t>doi:</w:t>
      </w:r>
      <w:r w:rsidR="000101C7" w:rsidRPr="00A52D25">
        <w:rPr>
          <w:rFonts w:ascii="Cambria" w:eastAsia="Times New Roman" w:hAnsi="Cambria" w:cs="Times New Roman"/>
          <w:lang w:eastAsia="en-GB"/>
        </w:rPr>
        <w:t>10.1177/0042098018775363</w:t>
      </w:r>
      <w:r w:rsidR="00B161DA" w:rsidRPr="00A52D25">
        <w:rPr>
          <w:rFonts w:ascii="Cambria" w:eastAsia="Times New Roman" w:hAnsi="Cambria" w:cs="Times New Roman"/>
          <w:lang w:eastAsia="en-GB"/>
        </w:rPr>
        <w:t>.</w:t>
      </w:r>
    </w:p>
    <w:p w14:paraId="2AFE7213" w14:textId="3F601BDB" w:rsidR="00856DB6" w:rsidRPr="00A52D25" w:rsidRDefault="00856DB6" w:rsidP="00856DB6">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Iacovou, M. (2010). Leaving home: Independence, togetherness and income. </w:t>
      </w:r>
      <w:r w:rsidRPr="00A52D25">
        <w:rPr>
          <w:rFonts w:ascii="Cambria" w:eastAsia="Times New Roman" w:hAnsi="Cambria" w:cs="Times New Roman"/>
          <w:i/>
          <w:iCs/>
          <w:lang w:eastAsia="en-GB"/>
        </w:rPr>
        <w:t>Advances in Life Course Research</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15</w:t>
      </w:r>
      <w:r w:rsidRPr="00A52D25">
        <w:rPr>
          <w:rFonts w:ascii="Cambria" w:eastAsia="Times New Roman" w:hAnsi="Cambria" w:cs="Times New Roman"/>
          <w:lang w:eastAsia="en-GB"/>
        </w:rPr>
        <w:t xml:space="preserve">(4), 147–160. </w:t>
      </w:r>
      <w:r w:rsidR="00920AB0" w:rsidRPr="00A52D25">
        <w:rPr>
          <w:rFonts w:ascii="Cambria" w:eastAsia="Times New Roman" w:hAnsi="Cambria" w:cs="Times New Roman"/>
          <w:lang w:eastAsia="en-GB"/>
        </w:rPr>
        <w:t>doi:</w:t>
      </w:r>
      <w:r w:rsidRPr="00A52D25">
        <w:rPr>
          <w:rFonts w:ascii="Cambria" w:eastAsia="Times New Roman" w:hAnsi="Cambria" w:cs="Times New Roman"/>
          <w:lang w:eastAsia="en-GB"/>
        </w:rPr>
        <w:t>10.1016/j.alcr.2010.10.004</w:t>
      </w:r>
    </w:p>
    <w:p w14:paraId="651974C7" w14:textId="51C8B365" w:rsidR="00AA327C" w:rsidRPr="00A52D25" w:rsidRDefault="00AA327C" w:rsidP="00856DB6">
      <w:pPr>
        <w:spacing w:before="100" w:beforeAutospacing="1" w:after="100" w:afterAutospacing="1" w:line="240" w:lineRule="auto"/>
        <w:rPr>
          <w:rFonts w:ascii="Cambria" w:eastAsia="Times New Roman" w:hAnsi="Cambria" w:cs="Times New Roman"/>
          <w:lang w:eastAsia="en-GB"/>
        </w:rPr>
      </w:pPr>
      <w:r w:rsidRPr="003428BB">
        <w:rPr>
          <w:rFonts w:ascii="Cambria" w:hAnsi="Cambria" w:cs="Arial"/>
          <w:color w:val="222222"/>
          <w:shd w:val="clear" w:color="auto" w:fill="FFFFFF"/>
        </w:rPr>
        <w:t xml:space="preserve">Jalovaara, M. </w:t>
      </w:r>
      <w:r w:rsidR="00362E78">
        <w:rPr>
          <w:rFonts w:ascii="Cambria" w:hAnsi="Cambria" w:cs="Arial"/>
          <w:color w:val="222222"/>
          <w:shd w:val="clear" w:color="auto" w:fill="FFFFFF"/>
        </w:rPr>
        <w:t>&amp;</w:t>
      </w:r>
      <w:r w:rsidRPr="003428BB">
        <w:rPr>
          <w:rFonts w:ascii="Cambria" w:hAnsi="Cambria" w:cs="Arial"/>
          <w:color w:val="222222"/>
          <w:shd w:val="clear" w:color="auto" w:fill="FFFFFF"/>
        </w:rPr>
        <w:t xml:space="preserve"> Kulu, H. (2019). Homeownership after separation: A longitudinal analysis of Finnish register data. </w:t>
      </w:r>
      <w:r w:rsidRPr="003428BB">
        <w:rPr>
          <w:rFonts w:ascii="Cambria" w:hAnsi="Cambria" w:cs="Arial"/>
          <w:i/>
          <w:iCs/>
          <w:color w:val="222222"/>
          <w:shd w:val="clear" w:color="auto" w:fill="FFFFFF"/>
        </w:rPr>
        <w:t>Demographic Research</w:t>
      </w:r>
      <w:r w:rsidR="00EA2A97">
        <w:rPr>
          <w:rFonts w:ascii="Cambria" w:hAnsi="Cambria" w:cs="Arial"/>
          <w:i/>
          <w:iCs/>
          <w:color w:val="222222"/>
          <w:shd w:val="clear" w:color="auto" w:fill="FFFFFF"/>
        </w:rPr>
        <w:t>,</w:t>
      </w:r>
      <w:r w:rsidR="00EA2A97">
        <w:rPr>
          <w:rFonts w:ascii="Cambria" w:hAnsi="Cambria" w:cs="Arial"/>
          <w:color w:val="222222"/>
          <w:shd w:val="clear" w:color="auto" w:fill="FFFFFF"/>
        </w:rPr>
        <w:t xml:space="preserve"> </w:t>
      </w:r>
      <w:r w:rsidRPr="003428BB">
        <w:rPr>
          <w:rFonts w:ascii="Cambria" w:hAnsi="Cambria" w:cs="Arial"/>
          <w:i/>
          <w:color w:val="222222"/>
          <w:shd w:val="clear" w:color="auto" w:fill="FFFFFF"/>
        </w:rPr>
        <w:t>41</w:t>
      </w:r>
      <w:r w:rsidR="00EA2A97">
        <w:rPr>
          <w:rFonts w:ascii="Cambria" w:hAnsi="Cambria" w:cs="Arial"/>
          <w:color w:val="222222"/>
          <w:shd w:val="clear" w:color="auto" w:fill="FFFFFF"/>
        </w:rPr>
        <w:t>(</w:t>
      </w:r>
      <w:r w:rsidRPr="003428BB">
        <w:rPr>
          <w:rFonts w:ascii="Cambria" w:hAnsi="Cambria" w:cs="Arial"/>
          <w:color w:val="222222"/>
          <w:shd w:val="clear" w:color="auto" w:fill="FFFFFF"/>
        </w:rPr>
        <w:t>29</w:t>
      </w:r>
      <w:r w:rsidR="00EA2A97">
        <w:rPr>
          <w:rFonts w:ascii="Cambria" w:hAnsi="Cambria" w:cs="Arial"/>
          <w:color w:val="222222"/>
          <w:shd w:val="clear" w:color="auto" w:fill="FFFFFF"/>
        </w:rPr>
        <w:t>)</w:t>
      </w:r>
      <w:r w:rsidRPr="003428BB">
        <w:rPr>
          <w:rFonts w:ascii="Cambria" w:hAnsi="Cambria" w:cs="Arial"/>
          <w:color w:val="222222"/>
          <w:shd w:val="clear" w:color="auto" w:fill="FFFFFF"/>
        </w:rPr>
        <w:t>, 847-872. https://doi.org/10.4054/DemRes.2019.41.29</w:t>
      </w:r>
    </w:p>
    <w:p w14:paraId="5DC1F32C" w14:textId="1B970688" w:rsidR="003F3D9D" w:rsidRPr="00A52D25" w:rsidRDefault="003F3D9D" w:rsidP="00856DB6">
      <w:pPr>
        <w:spacing w:before="100" w:beforeAutospacing="1" w:after="100" w:afterAutospacing="1" w:line="240" w:lineRule="auto"/>
        <w:rPr>
          <w:rFonts w:ascii="Cambria" w:eastAsia="Times New Roman" w:hAnsi="Cambria" w:cs="Times New Roman"/>
          <w:lang w:eastAsia="en-GB"/>
        </w:rPr>
      </w:pPr>
      <w:r w:rsidRPr="003428BB">
        <w:rPr>
          <w:rFonts w:ascii="Cambria" w:eastAsia="Times New Roman" w:hAnsi="Cambria" w:cs="Times New Roman"/>
          <w:lang w:val="de-DE" w:eastAsia="en-GB"/>
        </w:rPr>
        <w:t xml:space="preserve">Jenkins, S. P. </w:t>
      </w:r>
      <w:r w:rsidR="00362E78">
        <w:rPr>
          <w:rFonts w:ascii="Cambria" w:eastAsia="Times New Roman" w:hAnsi="Cambria" w:cs="Times New Roman"/>
          <w:lang w:val="de-DE" w:eastAsia="en-GB"/>
        </w:rPr>
        <w:t>&amp;</w:t>
      </w:r>
      <w:r w:rsidRPr="003428BB">
        <w:rPr>
          <w:rFonts w:ascii="Cambria" w:eastAsia="Times New Roman" w:hAnsi="Cambria" w:cs="Times New Roman"/>
          <w:lang w:val="de-DE" w:eastAsia="en-GB"/>
        </w:rPr>
        <w:t xml:space="preserve"> van K</w:t>
      </w:r>
      <w:r w:rsidRPr="00A52D25">
        <w:rPr>
          <w:rFonts w:ascii="Cambria" w:eastAsia="Times New Roman" w:hAnsi="Cambria" w:cs="Times New Roman"/>
          <w:lang w:val="de-DE" w:eastAsia="en-GB"/>
        </w:rPr>
        <w:t xml:space="preserve">erm, P. (2017). </w:t>
      </w:r>
      <w:r w:rsidRPr="003428BB">
        <w:rPr>
          <w:rFonts w:ascii="Cambria" w:eastAsia="Times New Roman" w:hAnsi="Cambria" w:cs="Times New Roman"/>
          <w:lang w:eastAsia="en-GB"/>
        </w:rPr>
        <w:t>How does attrition affect e</w:t>
      </w:r>
      <w:r w:rsidRPr="00A52D25">
        <w:rPr>
          <w:rFonts w:ascii="Cambria" w:eastAsia="Times New Roman" w:hAnsi="Cambria" w:cs="Times New Roman"/>
          <w:lang w:eastAsia="en-GB"/>
        </w:rPr>
        <w:t xml:space="preserve">stimates of persistent poverty rates? The case of EU SILC. In A. B. Atkinson, A-C Guio &amp; E. Marlier (eds.) </w:t>
      </w:r>
      <w:r w:rsidRPr="003428BB">
        <w:rPr>
          <w:rFonts w:ascii="Cambria" w:eastAsia="Times New Roman" w:hAnsi="Cambria" w:cs="Times New Roman"/>
          <w:i/>
          <w:iCs/>
          <w:lang w:eastAsia="en-GB"/>
        </w:rPr>
        <w:t>Monitoring Social Exclusion in Europe</w:t>
      </w:r>
      <w:r w:rsidRPr="00A52D25">
        <w:rPr>
          <w:rFonts w:ascii="Cambria" w:eastAsia="Times New Roman" w:hAnsi="Cambria" w:cs="Times New Roman"/>
          <w:lang w:eastAsia="en-GB"/>
        </w:rPr>
        <w:t>. Luxembourg City, Luxembourg: Publications Office of the European Union.</w:t>
      </w:r>
    </w:p>
    <w:p w14:paraId="53F95D79" w14:textId="031956C1" w:rsidR="00CB0595" w:rsidRDefault="00CB0595" w:rsidP="00856DB6">
      <w:pPr>
        <w:spacing w:before="100" w:beforeAutospacing="1" w:after="100" w:afterAutospacing="1" w:line="240" w:lineRule="auto"/>
        <w:rPr>
          <w:rFonts w:ascii="Cambria" w:eastAsia="Times New Roman" w:hAnsi="Cambria" w:cs="Times New Roman"/>
          <w:lang w:eastAsia="en-GB"/>
        </w:rPr>
      </w:pPr>
      <w:r w:rsidRPr="003428BB">
        <w:rPr>
          <w:rFonts w:ascii="Cambria" w:eastAsia="Times New Roman" w:hAnsi="Cambria" w:cs="Times New Roman"/>
          <w:lang w:val="de-DE" w:eastAsia="en-GB"/>
        </w:rPr>
        <w:t xml:space="preserve">Kleinepier, T., Berrington, A., &amp; Stoeldraijer, L. (2017). </w:t>
      </w:r>
      <w:r w:rsidRPr="00A52D25">
        <w:rPr>
          <w:rFonts w:ascii="Cambria" w:eastAsia="Times New Roman" w:hAnsi="Cambria" w:cs="Times New Roman"/>
          <w:lang w:eastAsia="en-GB"/>
        </w:rPr>
        <w:t xml:space="preserve">Ethnic differences in returning home: explanations from a life course perspective. </w:t>
      </w:r>
      <w:r w:rsidRPr="003428BB">
        <w:rPr>
          <w:rFonts w:ascii="Cambria" w:eastAsia="Times New Roman" w:hAnsi="Cambria" w:cs="Times New Roman"/>
          <w:i/>
          <w:iCs/>
          <w:lang w:eastAsia="en-GB"/>
        </w:rPr>
        <w:t>Journal of Marriage and Family</w:t>
      </w:r>
      <w:r w:rsidRPr="00A52D25">
        <w:rPr>
          <w:rFonts w:ascii="Cambria" w:eastAsia="Times New Roman" w:hAnsi="Cambria" w:cs="Times New Roman"/>
          <w:lang w:eastAsia="en-GB"/>
        </w:rPr>
        <w:t xml:space="preserve">, </w:t>
      </w:r>
      <w:r w:rsidRPr="003428BB">
        <w:rPr>
          <w:rFonts w:ascii="Cambria" w:eastAsia="Times New Roman" w:hAnsi="Cambria" w:cs="Times New Roman"/>
          <w:i/>
          <w:lang w:eastAsia="en-GB"/>
        </w:rPr>
        <w:t>79</w:t>
      </w:r>
      <w:r w:rsidRPr="00A52D25">
        <w:rPr>
          <w:rFonts w:ascii="Cambria" w:eastAsia="Times New Roman" w:hAnsi="Cambria" w:cs="Times New Roman"/>
          <w:lang w:eastAsia="en-GB"/>
        </w:rPr>
        <w:t>(4), 1023-1040.</w:t>
      </w:r>
    </w:p>
    <w:p w14:paraId="7E21C9A8" w14:textId="56F04A26" w:rsidR="00C90425" w:rsidRPr="00C90425" w:rsidRDefault="00C90425" w:rsidP="00856DB6">
      <w:pPr>
        <w:spacing w:before="100" w:beforeAutospacing="1" w:after="100" w:afterAutospacing="1" w:line="240" w:lineRule="auto"/>
        <w:rPr>
          <w:rFonts w:ascii="Cambria" w:eastAsia="Times New Roman" w:hAnsi="Cambria" w:cs="Times New Roman"/>
          <w:lang w:eastAsia="en-GB"/>
        </w:rPr>
      </w:pPr>
      <w:r w:rsidRPr="003428BB">
        <w:rPr>
          <w:rFonts w:ascii="Cambria" w:hAnsi="Cambria"/>
        </w:rPr>
        <w:t>Korpi, M., Clark, W. A. V. and Malmberg, B. (2011) The urban hierarchy and domestic migration: The interaction of internal migration, disposable income and the c</w:t>
      </w:r>
      <w:r w:rsidRPr="00C90425">
        <w:rPr>
          <w:rFonts w:ascii="Cambria" w:hAnsi="Cambria"/>
        </w:rPr>
        <w:t>ost of living, Sweden 1993-2002</w:t>
      </w:r>
      <w:r w:rsidRPr="003428BB">
        <w:rPr>
          <w:rFonts w:ascii="Cambria" w:hAnsi="Cambria"/>
        </w:rPr>
        <w:t xml:space="preserve">, </w:t>
      </w:r>
      <w:r w:rsidRPr="003428BB">
        <w:rPr>
          <w:rFonts w:ascii="Cambria" w:hAnsi="Cambria"/>
          <w:i/>
          <w:iCs/>
        </w:rPr>
        <w:t>Journal of Economic Geography</w:t>
      </w:r>
      <w:r w:rsidRPr="003428BB">
        <w:rPr>
          <w:rFonts w:ascii="Cambria" w:hAnsi="Cambria"/>
        </w:rPr>
        <w:t xml:space="preserve">, </w:t>
      </w:r>
      <w:r w:rsidRPr="003428BB">
        <w:rPr>
          <w:rFonts w:ascii="Cambria" w:hAnsi="Cambria"/>
          <w:i/>
        </w:rPr>
        <w:t>11</w:t>
      </w:r>
      <w:r w:rsidRPr="00C90425">
        <w:rPr>
          <w:rFonts w:ascii="Cambria" w:hAnsi="Cambria"/>
        </w:rPr>
        <w:t xml:space="preserve">(6), </w:t>
      </w:r>
      <w:r w:rsidRPr="003428BB">
        <w:rPr>
          <w:rFonts w:ascii="Cambria" w:hAnsi="Cambria"/>
        </w:rPr>
        <w:t>1051–1077. doi: 10.1093/jeg/lbq043.</w:t>
      </w:r>
    </w:p>
    <w:p w14:paraId="15D4F844" w14:textId="30A09DF1" w:rsidR="00036E3B" w:rsidRPr="00A52D25" w:rsidRDefault="00036E3B" w:rsidP="00856DB6">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Kulu, H. &amp; Steele, F. (2013). Interrelationships between childbearing and housing transitions in the family life course. </w:t>
      </w:r>
      <w:r w:rsidRPr="00A52D25">
        <w:rPr>
          <w:rFonts w:ascii="Cambria" w:eastAsia="Times New Roman" w:hAnsi="Cambria" w:cs="Times New Roman"/>
          <w:i/>
          <w:lang w:eastAsia="en-GB"/>
        </w:rPr>
        <w:t>Demography, 50</w:t>
      </w:r>
      <w:r w:rsidRPr="00A52D25">
        <w:rPr>
          <w:rFonts w:ascii="Cambria" w:eastAsia="Times New Roman" w:hAnsi="Cambria" w:cs="Times New Roman"/>
          <w:lang w:eastAsia="en-GB"/>
        </w:rPr>
        <w:t>, 1687-1714. doi: 1</w:t>
      </w:r>
      <w:r w:rsidRPr="00A52D25">
        <w:rPr>
          <w:rFonts w:ascii="Cambria" w:hAnsi="Cambria" w:cs="AdvTT3713a231"/>
          <w:color w:val="131413"/>
        </w:rPr>
        <w:t>0.1007/s13524-013-0216-20.1007/s13524-013-0216-2.</w:t>
      </w:r>
    </w:p>
    <w:p w14:paraId="584606C7" w14:textId="47656AF0" w:rsidR="00964FFD" w:rsidRDefault="00964FFD"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Lansley, G., &amp; Cheshire, J. (2018). Challenges to representing the population from new forms of consumer data. </w:t>
      </w:r>
      <w:r w:rsidRPr="00A52D25">
        <w:rPr>
          <w:rFonts w:ascii="Cambria" w:eastAsia="Times New Roman" w:hAnsi="Cambria" w:cs="Times New Roman"/>
          <w:i/>
          <w:iCs/>
          <w:lang w:eastAsia="en-GB"/>
        </w:rPr>
        <w:t>Geography Compass</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12</w:t>
      </w:r>
      <w:r w:rsidRPr="00A52D25">
        <w:rPr>
          <w:rFonts w:ascii="Cambria" w:eastAsia="Times New Roman" w:hAnsi="Cambria" w:cs="Times New Roman"/>
          <w:lang w:eastAsia="en-GB"/>
        </w:rPr>
        <w:t xml:space="preserve">, e12374. </w:t>
      </w:r>
      <w:r w:rsidR="00920AB0" w:rsidRPr="00A52D25">
        <w:rPr>
          <w:rFonts w:ascii="Cambria" w:eastAsia="Times New Roman" w:hAnsi="Cambria" w:cs="Times New Roman"/>
          <w:lang w:eastAsia="en-GB"/>
        </w:rPr>
        <w:t>doi:</w:t>
      </w:r>
      <w:r w:rsidRPr="00A52D25">
        <w:rPr>
          <w:rFonts w:ascii="Cambria" w:eastAsia="Times New Roman" w:hAnsi="Cambria" w:cs="Times New Roman"/>
          <w:lang w:eastAsia="en-GB"/>
        </w:rPr>
        <w:t>10.1111/gec3.12374</w:t>
      </w:r>
      <w:r w:rsidR="000101C7" w:rsidRPr="00A52D25">
        <w:rPr>
          <w:rFonts w:ascii="Cambria" w:eastAsia="Times New Roman" w:hAnsi="Cambria" w:cs="Times New Roman"/>
          <w:lang w:eastAsia="en-GB"/>
        </w:rPr>
        <w:t>.</w:t>
      </w:r>
    </w:p>
    <w:p w14:paraId="3A0E5BBD" w14:textId="0BE244E9" w:rsidR="00FD4EAA" w:rsidRPr="00FD4EAA" w:rsidRDefault="00FD4EAA" w:rsidP="000D4A79">
      <w:pPr>
        <w:spacing w:before="100" w:beforeAutospacing="1" w:after="100" w:afterAutospacing="1" w:line="240" w:lineRule="auto"/>
        <w:rPr>
          <w:rFonts w:ascii="Cambria" w:eastAsia="Times New Roman" w:hAnsi="Cambria" w:cs="Times New Roman"/>
          <w:lang w:eastAsia="en-GB"/>
        </w:rPr>
      </w:pPr>
      <w:r w:rsidRPr="003428BB">
        <w:rPr>
          <w:rFonts w:ascii="Cambria" w:hAnsi="Cambria"/>
        </w:rPr>
        <w:t>Lansley, G., Li</w:t>
      </w:r>
      <w:r w:rsidRPr="00FD4EAA">
        <w:rPr>
          <w:rFonts w:ascii="Cambria" w:hAnsi="Cambria"/>
        </w:rPr>
        <w:t xml:space="preserve">, W. and Longley, P. A. (2019) </w:t>
      </w:r>
      <w:r w:rsidRPr="003428BB">
        <w:rPr>
          <w:rFonts w:ascii="Cambria" w:hAnsi="Cambria"/>
        </w:rPr>
        <w:t>Creating a linked consumer register fo</w:t>
      </w:r>
      <w:r w:rsidRPr="00FD4EAA">
        <w:rPr>
          <w:rFonts w:ascii="Cambria" w:hAnsi="Cambria"/>
        </w:rPr>
        <w:t>r granular demographic analysis</w:t>
      </w:r>
      <w:r w:rsidRPr="003428BB">
        <w:rPr>
          <w:rFonts w:ascii="Cambria" w:hAnsi="Cambria"/>
        </w:rPr>
        <w:t xml:space="preserve">, </w:t>
      </w:r>
      <w:r w:rsidRPr="003428BB">
        <w:rPr>
          <w:rFonts w:ascii="Cambria" w:hAnsi="Cambria"/>
          <w:i/>
          <w:iCs/>
        </w:rPr>
        <w:t>Journal of the Royal Statistical Society: Series A (Statistics in Society)</w:t>
      </w:r>
      <w:r w:rsidRPr="003428BB">
        <w:rPr>
          <w:rFonts w:ascii="Cambria" w:hAnsi="Cambria"/>
        </w:rPr>
        <w:t xml:space="preserve">, </w:t>
      </w:r>
      <w:r w:rsidRPr="003428BB">
        <w:rPr>
          <w:rFonts w:ascii="Cambria" w:hAnsi="Cambria"/>
          <w:i/>
        </w:rPr>
        <w:t>182</w:t>
      </w:r>
      <w:r w:rsidRPr="00FD4EAA">
        <w:rPr>
          <w:rFonts w:ascii="Cambria" w:hAnsi="Cambria"/>
        </w:rPr>
        <w:t xml:space="preserve">(4), </w:t>
      </w:r>
      <w:r w:rsidRPr="003428BB">
        <w:rPr>
          <w:rFonts w:ascii="Cambria" w:hAnsi="Cambria"/>
        </w:rPr>
        <w:t>1587–1605. doi: 10.1111/rssa.12476.</w:t>
      </w:r>
    </w:p>
    <w:p w14:paraId="5952DF6E" w14:textId="672B8F7D" w:rsidR="00BA0B7D" w:rsidRPr="00A52D25" w:rsidRDefault="00BA0B7D"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Legal and General (2018). </w:t>
      </w:r>
      <w:r w:rsidRPr="00A52D25">
        <w:rPr>
          <w:rFonts w:ascii="Cambria" w:eastAsia="Times New Roman" w:hAnsi="Cambria" w:cs="Times New Roman"/>
          <w:i/>
          <w:lang w:eastAsia="en-GB"/>
        </w:rPr>
        <w:t>Bank of Mum and Dad</w:t>
      </w:r>
      <w:r w:rsidRPr="00A52D25">
        <w:rPr>
          <w:rFonts w:ascii="Cambria" w:eastAsia="Times New Roman" w:hAnsi="Cambria" w:cs="Times New Roman"/>
          <w:lang w:eastAsia="en-GB"/>
        </w:rPr>
        <w:t xml:space="preserve">. London: Legal and General Assurance Society Limited. Retrieved from </w:t>
      </w:r>
      <w:r w:rsidR="00AF381B" w:rsidRPr="00AF381B">
        <w:rPr>
          <w:rFonts w:ascii="Cambria" w:eastAsia="Times New Roman" w:hAnsi="Cambria" w:cs="Times New Roman"/>
          <w:lang w:eastAsia="en-GB"/>
        </w:rPr>
        <w:t>https://www.legalandgeneralgroup.com/media/2483/bomad-report-2018-v15.pdf</w:t>
      </w:r>
      <w:r w:rsidR="00AF381B">
        <w:rPr>
          <w:rFonts w:ascii="Cambria" w:eastAsia="Times New Roman" w:hAnsi="Cambria" w:cs="Times New Roman"/>
          <w:lang w:eastAsia="en-GB"/>
        </w:rPr>
        <w:t xml:space="preserve"> </w:t>
      </w:r>
      <w:r w:rsidRPr="00A52D25">
        <w:rPr>
          <w:rFonts w:ascii="Cambria" w:eastAsia="Times New Roman" w:hAnsi="Cambria" w:cs="Times New Roman"/>
          <w:i/>
          <w:lang w:eastAsia="en-GB"/>
        </w:rPr>
        <w:t xml:space="preserve">[Last checked </w:t>
      </w:r>
      <w:r w:rsidR="00AF381B">
        <w:rPr>
          <w:rFonts w:ascii="Cambria" w:eastAsia="Times New Roman" w:hAnsi="Cambria" w:cs="Times New Roman"/>
          <w:i/>
          <w:lang w:eastAsia="en-GB"/>
        </w:rPr>
        <w:t>16</w:t>
      </w:r>
      <w:r w:rsidRPr="00A52D25">
        <w:rPr>
          <w:rFonts w:ascii="Cambria" w:eastAsia="Times New Roman" w:hAnsi="Cambria" w:cs="Times New Roman"/>
          <w:i/>
          <w:vertAlign w:val="superscript"/>
          <w:lang w:eastAsia="en-GB"/>
        </w:rPr>
        <w:t>th</w:t>
      </w:r>
      <w:r w:rsidR="00AF381B">
        <w:rPr>
          <w:rFonts w:ascii="Cambria" w:eastAsia="Times New Roman" w:hAnsi="Cambria" w:cs="Times New Roman"/>
          <w:i/>
          <w:vertAlign w:val="superscript"/>
          <w:lang w:eastAsia="en-GB"/>
        </w:rPr>
        <w:t xml:space="preserve"> </w:t>
      </w:r>
      <w:r w:rsidR="00AF381B">
        <w:rPr>
          <w:rFonts w:ascii="Cambria" w:eastAsia="Times New Roman" w:hAnsi="Cambria" w:cs="Times New Roman"/>
          <w:i/>
          <w:lang w:eastAsia="en-GB"/>
        </w:rPr>
        <w:t>December</w:t>
      </w:r>
      <w:r w:rsidRPr="00A52D25">
        <w:rPr>
          <w:rFonts w:ascii="Cambria" w:eastAsia="Times New Roman" w:hAnsi="Cambria" w:cs="Times New Roman"/>
          <w:i/>
          <w:lang w:eastAsia="en-GB"/>
        </w:rPr>
        <w:t xml:space="preserve"> 2019]</w:t>
      </w:r>
      <w:r w:rsidRPr="00A52D25">
        <w:rPr>
          <w:rFonts w:ascii="Cambria" w:eastAsia="Times New Roman" w:hAnsi="Cambria" w:cs="Times New Roman"/>
          <w:lang w:eastAsia="en-GB"/>
        </w:rPr>
        <w:t>.</w:t>
      </w:r>
    </w:p>
    <w:p w14:paraId="4CD657AC" w14:textId="0D2CA52D" w:rsidR="0042712F" w:rsidRPr="00A52D25" w:rsidRDefault="0042712F"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Lei, L., &amp; South, S. J. (2016). Racial and ethnic differences in leaving and returning to the parental home: The role of life course transitions, socioeconomic resources, and family connectivity. </w:t>
      </w:r>
      <w:r w:rsidRPr="00A52D25">
        <w:rPr>
          <w:rFonts w:ascii="Cambria" w:eastAsia="Times New Roman" w:hAnsi="Cambria" w:cs="Times New Roman"/>
          <w:i/>
          <w:iCs/>
          <w:lang w:eastAsia="en-GB"/>
        </w:rPr>
        <w:t>Demographic Research</w:t>
      </w:r>
      <w:r w:rsidRPr="00A52D25">
        <w:rPr>
          <w:rFonts w:ascii="Cambria" w:eastAsia="Times New Roman" w:hAnsi="Cambria" w:cs="Times New Roman"/>
          <w:lang w:eastAsia="en-GB"/>
        </w:rPr>
        <w:t xml:space="preserve">, </w:t>
      </w:r>
      <w:r w:rsidRPr="003428BB">
        <w:rPr>
          <w:rFonts w:ascii="Cambria" w:eastAsia="Times New Roman" w:hAnsi="Cambria" w:cs="Times New Roman"/>
          <w:i/>
          <w:lang w:eastAsia="en-GB"/>
        </w:rPr>
        <w:t>34</w:t>
      </w:r>
      <w:r w:rsidR="001A1290">
        <w:rPr>
          <w:rFonts w:ascii="Cambria" w:eastAsia="Times New Roman" w:hAnsi="Cambria" w:cs="Times New Roman"/>
          <w:lang w:eastAsia="en-GB"/>
        </w:rPr>
        <w:t>(4),</w:t>
      </w:r>
      <w:r w:rsidRPr="00A52D25">
        <w:rPr>
          <w:rFonts w:ascii="Cambria" w:eastAsia="Times New Roman" w:hAnsi="Cambria" w:cs="Times New Roman"/>
          <w:lang w:eastAsia="en-GB"/>
        </w:rPr>
        <w:t xml:space="preserve"> 109-142.</w:t>
      </w:r>
      <w:r w:rsidR="00AF381B">
        <w:rPr>
          <w:rFonts w:ascii="Cambria" w:eastAsia="Times New Roman" w:hAnsi="Cambria" w:cs="Times New Roman"/>
          <w:lang w:eastAsia="en-GB"/>
        </w:rPr>
        <w:t xml:space="preserve"> doi: </w:t>
      </w:r>
      <w:r w:rsidR="00AF381B" w:rsidRPr="00AF381B">
        <w:rPr>
          <w:rFonts w:ascii="Cambria" w:eastAsia="Times New Roman" w:hAnsi="Cambria" w:cs="Times New Roman"/>
          <w:lang w:eastAsia="en-GB"/>
        </w:rPr>
        <w:t>10.4054/DemRes.2016.34.4</w:t>
      </w:r>
      <w:r w:rsidR="00AF381B">
        <w:rPr>
          <w:rFonts w:ascii="Cambria" w:eastAsia="Times New Roman" w:hAnsi="Cambria" w:cs="Times New Roman"/>
          <w:lang w:eastAsia="en-GB"/>
        </w:rPr>
        <w:t>.</w:t>
      </w:r>
    </w:p>
    <w:p w14:paraId="01DDA46A" w14:textId="50AC31DA" w:rsidR="00067A17" w:rsidRPr="00A52D25" w:rsidRDefault="00067A17"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Lennartz, C., Arundel, R., &amp; Ronald, R. (2016). Younger adults and homeownership in Europe through the Global Financial Crisis. </w:t>
      </w:r>
      <w:r w:rsidRPr="00A52D25">
        <w:rPr>
          <w:rFonts w:ascii="Cambria" w:eastAsia="Times New Roman" w:hAnsi="Cambria" w:cs="Times New Roman"/>
          <w:i/>
          <w:iCs/>
          <w:lang w:eastAsia="en-GB"/>
        </w:rPr>
        <w:t>Population, Space and Place</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22</w:t>
      </w:r>
      <w:r w:rsidRPr="00A52D25">
        <w:rPr>
          <w:rFonts w:ascii="Cambria" w:eastAsia="Times New Roman" w:hAnsi="Cambria" w:cs="Times New Roman"/>
          <w:lang w:eastAsia="en-GB"/>
        </w:rPr>
        <w:t xml:space="preserve">(8), 823–835. </w:t>
      </w:r>
      <w:r w:rsidR="00C31BCF" w:rsidRPr="00A52D25">
        <w:rPr>
          <w:rFonts w:ascii="Cambria" w:eastAsia="Times New Roman" w:hAnsi="Cambria" w:cs="Times New Roman"/>
          <w:lang w:eastAsia="en-GB"/>
        </w:rPr>
        <w:t>doi:</w:t>
      </w:r>
      <w:r w:rsidRPr="00A52D25">
        <w:rPr>
          <w:rFonts w:ascii="Cambria" w:eastAsia="Times New Roman" w:hAnsi="Cambria" w:cs="Times New Roman"/>
          <w:lang w:eastAsia="en-GB"/>
        </w:rPr>
        <w:t>10.1002/psp.1961.</w:t>
      </w:r>
    </w:p>
    <w:p w14:paraId="7901484A" w14:textId="3FF29E4E" w:rsidR="0042712F" w:rsidRPr="00A52D25" w:rsidRDefault="0042712F"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Lennartz, C., &amp; Helbrecht, I. (2018). The housing careers of younger adults and intergenerational support in Germany’s ‘society of renters’. </w:t>
      </w:r>
      <w:r w:rsidRPr="00A52D25">
        <w:rPr>
          <w:rFonts w:ascii="Cambria" w:eastAsia="Times New Roman" w:hAnsi="Cambria" w:cs="Times New Roman"/>
          <w:i/>
          <w:iCs/>
          <w:lang w:eastAsia="en-GB"/>
        </w:rPr>
        <w:t>Housing Studies</w:t>
      </w:r>
      <w:r w:rsidRPr="00A52D25">
        <w:rPr>
          <w:rFonts w:ascii="Cambria" w:eastAsia="Times New Roman" w:hAnsi="Cambria" w:cs="Times New Roman"/>
          <w:lang w:eastAsia="en-GB"/>
        </w:rPr>
        <w:t>, 33(2), 317-336.</w:t>
      </w:r>
      <w:r w:rsidR="00AF381B">
        <w:rPr>
          <w:rFonts w:ascii="Cambria" w:eastAsia="Times New Roman" w:hAnsi="Cambria" w:cs="Times New Roman"/>
          <w:lang w:eastAsia="en-GB"/>
        </w:rPr>
        <w:t xml:space="preserve"> </w:t>
      </w:r>
      <w:r w:rsidR="00AC3A42">
        <w:rPr>
          <w:rFonts w:ascii="Cambria" w:eastAsia="Times New Roman" w:hAnsi="Cambria" w:cs="Times New Roman"/>
          <w:lang w:eastAsia="en-GB"/>
        </w:rPr>
        <w:t>doi:</w:t>
      </w:r>
      <w:r w:rsidR="00AC3A42" w:rsidRPr="00AC3A42">
        <w:t xml:space="preserve"> </w:t>
      </w:r>
      <w:r w:rsidR="00AC3A42" w:rsidRPr="003428BB">
        <w:rPr>
          <w:rFonts w:ascii="Cambria" w:hAnsi="Cambria"/>
        </w:rPr>
        <w:t>10.1080/02673037.2017.1338674.</w:t>
      </w:r>
    </w:p>
    <w:p w14:paraId="6829F0BA" w14:textId="06EF4274" w:rsidR="001935ED" w:rsidRPr="00A52D25" w:rsidRDefault="001935ED" w:rsidP="000D4A79">
      <w:pPr>
        <w:spacing w:before="100" w:beforeAutospacing="1" w:after="100" w:afterAutospacing="1" w:line="240" w:lineRule="auto"/>
        <w:rPr>
          <w:rFonts w:ascii="Cambria" w:eastAsia="Times New Roman" w:hAnsi="Cambria" w:cs="Times New Roman"/>
          <w:lang w:eastAsia="en-GB"/>
        </w:rPr>
      </w:pPr>
      <w:r w:rsidRPr="003428BB">
        <w:rPr>
          <w:rFonts w:ascii="Cambria" w:hAnsi="Cambria" w:cs="Arial"/>
          <w:color w:val="222222"/>
          <w:shd w:val="clear" w:color="auto" w:fill="FFFFFF"/>
        </w:rPr>
        <w:t>Lersch, P. M., &amp; Dewilde, C. (2015). Employment insecurity and first-time homeownership: Evidence from twenty-two European countries. </w:t>
      </w:r>
      <w:r w:rsidRPr="003428BB">
        <w:rPr>
          <w:rFonts w:ascii="Cambria" w:hAnsi="Cambria" w:cs="Arial"/>
          <w:i/>
          <w:iCs/>
          <w:color w:val="222222"/>
          <w:shd w:val="clear" w:color="auto" w:fill="FFFFFF"/>
        </w:rPr>
        <w:t>Environment and Planning A</w:t>
      </w:r>
      <w:r w:rsidRPr="003428BB">
        <w:rPr>
          <w:rFonts w:ascii="Cambria" w:hAnsi="Cambria" w:cs="Arial"/>
          <w:color w:val="222222"/>
          <w:shd w:val="clear" w:color="auto" w:fill="FFFFFF"/>
        </w:rPr>
        <w:t>, </w:t>
      </w:r>
      <w:r w:rsidRPr="003428BB">
        <w:rPr>
          <w:rFonts w:ascii="Cambria" w:hAnsi="Cambria" w:cs="Arial"/>
          <w:i/>
          <w:iCs/>
          <w:color w:val="222222"/>
          <w:shd w:val="clear" w:color="auto" w:fill="FFFFFF"/>
        </w:rPr>
        <w:t>47</w:t>
      </w:r>
      <w:r w:rsidRPr="003428BB">
        <w:rPr>
          <w:rFonts w:ascii="Cambria" w:hAnsi="Cambria" w:cs="Arial"/>
          <w:color w:val="222222"/>
          <w:shd w:val="clear" w:color="auto" w:fill="FFFFFF"/>
        </w:rPr>
        <w:t>(3), 607-624.</w:t>
      </w:r>
      <w:r w:rsidR="00331E85">
        <w:rPr>
          <w:rFonts w:ascii="Cambria" w:hAnsi="Cambria" w:cs="Arial"/>
          <w:color w:val="222222"/>
          <w:shd w:val="clear" w:color="auto" w:fill="FFFFFF"/>
        </w:rPr>
        <w:t xml:space="preserve"> </w:t>
      </w:r>
      <w:r w:rsidR="00331E85" w:rsidRPr="003428BB">
        <w:rPr>
          <w:rFonts w:ascii="Cambria" w:hAnsi="Cambria" w:cs="Arial"/>
          <w:color w:val="222222"/>
          <w:shd w:val="clear" w:color="auto" w:fill="FFFFFF"/>
        </w:rPr>
        <w:t>doi:</w:t>
      </w:r>
      <w:r w:rsidR="00331E85" w:rsidRPr="003428BB">
        <w:rPr>
          <w:rFonts w:ascii="Cambria" w:hAnsi="Cambria" w:cs="Arial"/>
          <w:sz w:val="20"/>
          <w:szCs w:val="20"/>
        </w:rPr>
        <w:t>10.1068/a130358p</w:t>
      </w:r>
      <w:r w:rsidR="00331E85">
        <w:rPr>
          <w:rFonts w:ascii="Arial" w:hAnsi="Arial" w:cs="Arial"/>
          <w:sz w:val="20"/>
          <w:szCs w:val="20"/>
        </w:rPr>
        <w:t>.</w:t>
      </w:r>
    </w:p>
    <w:p w14:paraId="6430FFA9" w14:textId="7C12EF49" w:rsidR="00EB10DB" w:rsidRPr="00A52D25" w:rsidRDefault="00EB10DB" w:rsidP="00EB10DB">
      <w:pPr>
        <w:pStyle w:val="NormalWeb"/>
        <w:rPr>
          <w:rFonts w:ascii="Cambria" w:hAnsi="Cambria"/>
          <w:sz w:val="22"/>
          <w:szCs w:val="22"/>
        </w:rPr>
      </w:pPr>
      <w:r w:rsidRPr="00A52D25">
        <w:rPr>
          <w:rFonts w:ascii="Cambria" w:hAnsi="Cambria"/>
          <w:sz w:val="22"/>
          <w:szCs w:val="22"/>
        </w:rPr>
        <w:t xml:space="preserve">Lersch, P. M., &amp; Luijkx, R. (2015). Intergenerational transmission of homeownership in Europe: Revisiting the socialisation hypothesis. </w:t>
      </w:r>
      <w:r w:rsidRPr="00A52D25">
        <w:rPr>
          <w:rFonts w:ascii="Cambria" w:hAnsi="Cambria"/>
          <w:i/>
          <w:iCs/>
          <w:sz w:val="22"/>
          <w:szCs w:val="22"/>
        </w:rPr>
        <w:t>Social Science Research</w:t>
      </w:r>
      <w:r w:rsidRPr="00A52D25">
        <w:rPr>
          <w:rFonts w:ascii="Cambria" w:hAnsi="Cambria"/>
          <w:sz w:val="22"/>
          <w:szCs w:val="22"/>
        </w:rPr>
        <w:t xml:space="preserve">, </w:t>
      </w:r>
      <w:r w:rsidRPr="00A52D25">
        <w:rPr>
          <w:rFonts w:ascii="Cambria" w:hAnsi="Cambria"/>
          <w:i/>
          <w:iCs/>
          <w:sz w:val="22"/>
          <w:szCs w:val="22"/>
        </w:rPr>
        <w:t>49</w:t>
      </w:r>
      <w:r w:rsidRPr="00A52D25">
        <w:rPr>
          <w:rFonts w:ascii="Cambria" w:hAnsi="Cambria"/>
          <w:sz w:val="22"/>
          <w:szCs w:val="22"/>
        </w:rPr>
        <w:t xml:space="preserve">, 327–342. </w:t>
      </w:r>
      <w:r w:rsidR="00C31BCF" w:rsidRPr="00A52D25">
        <w:rPr>
          <w:rFonts w:ascii="Cambria" w:hAnsi="Cambria"/>
          <w:sz w:val="22"/>
          <w:szCs w:val="22"/>
        </w:rPr>
        <w:t>doi:</w:t>
      </w:r>
      <w:r w:rsidRPr="00A52D25">
        <w:rPr>
          <w:rFonts w:ascii="Cambria" w:hAnsi="Cambria"/>
          <w:sz w:val="22"/>
          <w:szCs w:val="22"/>
        </w:rPr>
        <w:t>10.1016/j.ssresearch.2014.08.010.</w:t>
      </w:r>
    </w:p>
    <w:p w14:paraId="7D72AF90" w14:textId="3AFD14D7" w:rsidR="00E57E15" w:rsidRPr="00A52D25" w:rsidRDefault="00E57E15" w:rsidP="00EB10DB">
      <w:pPr>
        <w:pStyle w:val="NormalWeb"/>
        <w:rPr>
          <w:rFonts w:ascii="Cambria" w:hAnsi="Cambria"/>
          <w:sz w:val="22"/>
          <w:szCs w:val="22"/>
        </w:rPr>
      </w:pPr>
      <w:r w:rsidRPr="003428BB">
        <w:rPr>
          <w:rFonts w:ascii="Cambria" w:hAnsi="Cambria" w:cs="Arial"/>
          <w:color w:val="222222"/>
          <w:sz w:val="22"/>
          <w:szCs w:val="22"/>
          <w:shd w:val="clear" w:color="auto" w:fill="FFFFFF"/>
        </w:rPr>
        <w:t>Lersch, P. M., &amp; Vidal, S. (2014). Falling out of love and down the housing ladder: A longitudinal analysis of marital separation and home ownership. </w:t>
      </w:r>
      <w:r w:rsidRPr="003428BB">
        <w:rPr>
          <w:rFonts w:ascii="Cambria" w:hAnsi="Cambria" w:cs="Arial"/>
          <w:i/>
          <w:iCs/>
          <w:color w:val="222222"/>
          <w:sz w:val="22"/>
          <w:szCs w:val="22"/>
          <w:shd w:val="clear" w:color="auto" w:fill="FFFFFF"/>
        </w:rPr>
        <w:t>European Sociological Review</w:t>
      </w:r>
      <w:r w:rsidRPr="003428BB">
        <w:rPr>
          <w:rFonts w:ascii="Cambria" w:hAnsi="Cambria" w:cs="Arial"/>
          <w:color w:val="222222"/>
          <w:sz w:val="22"/>
          <w:szCs w:val="22"/>
          <w:shd w:val="clear" w:color="auto" w:fill="FFFFFF"/>
        </w:rPr>
        <w:t>, </w:t>
      </w:r>
      <w:r w:rsidRPr="003428BB">
        <w:rPr>
          <w:rFonts w:ascii="Cambria" w:hAnsi="Cambria" w:cs="Arial"/>
          <w:i/>
          <w:iCs/>
          <w:color w:val="222222"/>
          <w:sz w:val="22"/>
          <w:szCs w:val="22"/>
          <w:shd w:val="clear" w:color="auto" w:fill="FFFFFF"/>
        </w:rPr>
        <w:t>30</w:t>
      </w:r>
      <w:r w:rsidRPr="003428BB">
        <w:rPr>
          <w:rFonts w:ascii="Cambria" w:hAnsi="Cambria" w:cs="Arial"/>
          <w:color w:val="222222"/>
          <w:sz w:val="22"/>
          <w:szCs w:val="22"/>
          <w:shd w:val="clear" w:color="auto" w:fill="FFFFFF"/>
        </w:rPr>
        <w:t>(4), 512-524.</w:t>
      </w:r>
      <w:r w:rsidR="00701A93">
        <w:rPr>
          <w:rFonts w:ascii="Cambria" w:hAnsi="Cambria" w:cs="Arial"/>
          <w:color w:val="222222"/>
          <w:sz w:val="22"/>
          <w:szCs w:val="22"/>
          <w:shd w:val="clear" w:color="auto" w:fill="FFFFFF"/>
        </w:rPr>
        <w:t xml:space="preserve"> doi:</w:t>
      </w:r>
      <w:r w:rsidR="00701A93" w:rsidRPr="00701A93">
        <w:rPr>
          <w:rFonts w:ascii="Cambria" w:hAnsi="Cambria" w:cs="Arial"/>
          <w:color w:val="222222"/>
          <w:sz w:val="22"/>
          <w:szCs w:val="22"/>
          <w:shd w:val="clear" w:color="auto" w:fill="FFFFFF"/>
        </w:rPr>
        <w:t>10.1093/esr/jcu055</w:t>
      </w:r>
      <w:r w:rsidR="00701A93">
        <w:rPr>
          <w:rFonts w:ascii="Cambria" w:hAnsi="Cambria" w:cs="Arial"/>
          <w:color w:val="222222"/>
          <w:sz w:val="22"/>
          <w:szCs w:val="22"/>
          <w:shd w:val="clear" w:color="auto" w:fill="FFFFFF"/>
        </w:rPr>
        <w:t>.</w:t>
      </w:r>
    </w:p>
    <w:p w14:paraId="1CA897C4" w14:textId="04C95F02" w:rsidR="0053024B" w:rsidRPr="00A52D25" w:rsidRDefault="0053024B" w:rsidP="0053024B">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Lewis, J., West, A., Roberts, J., &amp; Noden, P. (2016). The experience of co-residence: </w:t>
      </w:r>
      <w:r w:rsidR="00701A93">
        <w:rPr>
          <w:rFonts w:ascii="Cambria" w:eastAsia="Times New Roman" w:hAnsi="Cambria" w:cs="Times New Roman"/>
          <w:lang w:eastAsia="en-GB"/>
        </w:rPr>
        <w:t>Y</w:t>
      </w:r>
      <w:r w:rsidRPr="00A52D25">
        <w:rPr>
          <w:rFonts w:ascii="Cambria" w:eastAsia="Times New Roman" w:hAnsi="Cambria" w:cs="Times New Roman"/>
          <w:lang w:eastAsia="en-GB"/>
        </w:rPr>
        <w:t xml:space="preserve">oung adults returning to the parental home after graduation in England. </w:t>
      </w:r>
      <w:r w:rsidRPr="00A52D25">
        <w:rPr>
          <w:rFonts w:ascii="Cambria" w:eastAsia="Times New Roman" w:hAnsi="Cambria" w:cs="Times New Roman"/>
          <w:i/>
          <w:iCs/>
          <w:lang w:eastAsia="en-GB"/>
        </w:rPr>
        <w:t>Families, Relationships and Societies</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5</w:t>
      </w:r>
      <w:r w:rsidRPr="00A52D25">
        <w:rPr>
          <w:rFonts w:ascii="Cambria" w:eastAsia="Times New Roman" w:hAnsi="Cambria" w:cs="Times New Roman"/>
          <w:lang w:eastAsia="en-GB"/>
        </w:rPr>
        <w:t xml:space="preserve">(2), 247–262. </w:t>
      </w:r>
      <w:r w:rsidR="00C31BCF" w:rsidRPr="00A52D25">
        <w:rPr>
          <w:rFonts w:ascii="Cambria" w:eastAsia="Times New Roman" w:hAnsi="Cambria" w:cs="Times New Roman"/>
          <w:lang w:eastAsia="en-GB"/>
        </w:rPr>
        <w:t>doi:</w:t>
      </w:r>
      <w:r w:rsidRPr="00A52D25">
        <w:rPr>
          <w:rFonts w:ascii="Cambria" w:eastAsia="Times New Roman" w:hAnsi="Cambria" w:cs="Times New Roman"/>
          <w:lang w:eastAsia="en-GB"/>
        </w:rPr>
        <w:t>10.1332/204674315X14309191424695</w:t>
      </w:r>
    </w:p>
    <w:p w14:paraId="2CF914DE" w14:textId="3C4E70EC" w:rsidR="00D25698" w:rsidRPr="00A52D25" w:rsidRDefault="00D25698" w:rsidP="0053024B">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Little, R.J.A. &amp; Rubin, D.B.  (2019). </w:t>
      </w:r>
      <w:r w:rsidRPr="003428BB">
        <w:rPr>
          <w:rFonts w:ascii="Cambria" w:eastAsia="Times New Roman" w:hAnsi="Cambria" w:cs="Times New Roman"/>
          <w:i/>
          <w:iCs/>
          <w:lang w:eastAsia="en-GB"/>
        </w:rPr>
        <w:t>Statistical Analysis With Missing Data</w:t>
      </w:r>
      <w:r w:rsidRPr="00A52D25">
        <w:rPr>
          <w:rFonts w:ascii="Cambria" w:eastAsia="Times New Roman" w:hAnsi="Cambria" w:cs="Times New Roman"/>
          <w:lang w:eastAsia="en-GB"/>
        </w:rPr>
        <w:t>. Wiley-Blackwell; 3rd edition</w:t>
      </w:r>
      <w:r w:rsidR="00545ACA">
        <w:rPr>
          <w:rFonts w:ascii="Cambria" w:eastAsia="Times New Roman" w:hAnsi="Cambria" w:cs="Times New Roman"/>
          <w:lang w:eastAsia="en-GB"/>
        </w:rPr>
        <w:t>.</w:t>
      </w:r>
    </w:p>
    <w:p w14:paraId="6D0BE658" w14:textId="4E1A99C1" w:rsidR="00880EB7" w:rsidRPr="00A52D25" w:rsidRDefault="00880EB7" w:rsidP="00880EB7">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Lynn, P. &amp;</w:t>
      </w:r>
      <w:r w:rsidRPr="003428BB">
        <w:rPr>
          <w:rFonts w:ascii="Cambria" w:hAnsi="Cambria"/>
        </w:rPr>
        <w:t xml:space="preserve"> </w:t>
      </w:r>
      <w:r w:rsidRPr="00A52D25">
        <w:rPr>
          <w:rFonts w:ascii="Cambria" w:eastAsia="Times New Roman" w:hAnsi="Cambria" w:cs="Times New Roman"/>
          <w:lang w:eastAsia="en-GB"/>
        </w:rPr>
        <w:t xml:space="preserve">Borkowska, M. (2018).  </w:t>
      </w:r>
      <w:r w:rsidRPr="003428BB">
        <w:rPr>
          <w:rFonts w:ascii="Cambria" w:eastAsia="Times New Roman" w:hAnsi="Cambria" w:cs="Times New Roman"/>
          <w:i/>
          <w:lang w:eastAsia="en-GB"/>
        </w:rPr>
        <w:t>Some Indicators of Sample Representativeness and Attrition Bias for BHPS and Understanding Society</w:t>
      </w:r>
      <w:r w:rsidRPr="00A52D25">
        <w:rPr>
          <w:rFonts w:ascii="Cambria" w:eastAsia="Times New Roman" w:hAnsi="Cambria" w:cs="Times New Roman"/>
          <w:lang w:eastAsia="en-GB"/>
        </w:rPr>
        <w:t>. Understanding Society Working Paper</w:t>
      </w:r>
      <w:r w:rsidR="00545ACA">
        <w:rPr>
          <w:rFonts w:ascii="Cambria" w:eastAsia="Times New Roman" w:hAnsi="Cambria" w:cs="Times New Roman"/>
          <w:lang w:eastAsia="en-GB"/>
        </w:rPr>
        <w:t xml:space="preserve"> Series</w:t>
      </w:r>
      <w:r w:rsidRPr="00A52D25">
        <w:rPr>
          <w:rFonts w:ascii="Cambria" w:eastAsia="Times New Roman" w:hAnsi="Cambria" w:cs="Times New Roman"/>
          <w:lang w:eastAsia="en-GB"/>
        </w:rPr>
        <w:t xml:space="preserve"> 2018-01. University of Essex</w:t>
      </w:r>
      <w:r w:rsidR="00545ACA">
        <w:rPr>
          <w:rFonts w:ascii="Cambria" w:eastAsia="Times New Roman" w:hAnsi="Cambria" w:cs="Times New Roman"/>
          <w:lang w:eastAsia="en-GB"/>
        </w:rPr>
        <w:t>, Colchester</w:t>
      </w:r>
      <w:r w:rsidRPr="00A52D25">
        <w:rPr>
          <w:rFonts w:ascii="Cambria" w:eastAsia="Times New Roman" w:hAnsi="Cambria" w:cs="Times New Roman"/>
          <w:lang w:eastAsia="en-GB"/>
        </w:rPr>
        <w:t xml:space="preserve">. </w:t>
      </w:r>
      <w:r w:rsidR="00545ACA">
        <w:rPr>
          <w:rFonts w:ascii="Cambria" w:eastAsia="Times New Roman" w:hAnsi="Cambria" w:cs="Times New Roman"/>
          <w:lang w:eastAsia="en-GB"/>
        </w:rPr>
        <w:t>Retrieved</w:t>
      </w:r>
      <w:r w:rsidRPr="00A52D25">
        <w:rPr>
          <w:rFonts w:ascii="Cambria" w:eastAsia="Times New Roman" w:hAnsi="Cambria" w:cs="Times New Roman"/>
          <w:lang w:eastAsia="en-GB"/>
        </w:rPr>
        <w:t xml:space="preserve"> from </w:t>
      </w:r>
      <w:r w:rsidR="00545ACA" w:rsidRPr="003428BB">
        <w:rPr>
          <w:rFonts w:ascii="Cambria" w:eastAsia="Times New Roman" w:hAnsi="Cambria" w:cs="Times New Roman"/>
          <w:lang w:eastAsia="en-GB"/>
        </w:rPr>
        <w:t>https://www.understandingsociety.ac.uk/sites/default/files/downloads/working-papers/2018-01.pdf</w:t>
      </w:r>
      <w:r w:rsidRPr="00A52D25">
        <w:rPr>
          <w:rFonts w:ascii="Cambria" w:eastAsia="Times New Roman" w:hAnsi="Cambria" w:cs="Times New Roman"/>
          <w:lang w:eastAsia="en-GB"/>
        </w:rPr>
        <w:t xml:space="preserve"> </w:t>
      </w:r>
      <w:r w:rsidRPr="003428BB">
        <w:rPr>
          <w:rFonts w:ascii="Cambria" w:eastAsia="Times New Roman" w:hAnsi="Cambria" w:cs="Times New Roman"/>
          <w:i/>
          <w:lang w:eastAsia="en-GB"/>
        </w:rPr>
        <w:t xml:space="preserve">[Last checked </w:t>
      </w:r>
      <w:r w:rsidR="00545ACA">
        <w:rPr>
          <w:rFonts w:ascii="Cambria" w:eastAsia="Times New Roman" w:hAnsi="Cambria" w:cs="Times New Roman"/>
          <w:i/>
          <w:lang w:eastAsia="en-GB"/>
        </w:rPr>
        <w:t xml:space="preserve">December 19th </w:t>
      </w:r>
      <w:r w:rsidRPr="003428BB">
        <w:rPr>
          <w:rFonts w:ascii="Cambria" w:eastAsia="Times New Roman" w:hAnsi="Cambria" w:cs="Times New Roman"/>
          <w:i/>
          <w:lang w:eastAsia="en-GB"/>
        </w:rPr>
        <w:t>2019].</w:t>
      </w:r>
    </w:p>
    <w:p w14:paraId="6394CDC4" w14:textId="2CE339D7" w:rsidR="00067A17" w:rsidRPr="00A52D25" w:rsidRDefault="00067A17"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McKee, K. (2012). Young people, homeownership and future welfare. </w:t>
      </w:r>
      <w:r w:rsidRPr="00A52D25">
        <w:rPr>
          <w:rFonts w:ascii="Cambria" w:eastAsia="Times New Roman" w:hAnsi="Cambria" w:cs="Times New Roman"/>
          <w:i/>
          <w:iCs/>
          <w:lang w:eastAsia="en-GB"/>
        </w:rPr>
        <w:t>Housing Studies</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27</w:t>
      </w:r>
      <w:r w:rsidRPr="00A52D25">
        <w:rPr>
          <w:rFonts w:ascii="Cambria" w:eastAsia="Times New Roman" w:hAnsi="Cambria" w:cs="Times New Roman"/>
          <w:lang w:eastAsia="en-GB"/>
        </w:rPr>
        <w:t xml:space="preserve">(6), 853–862. </w:t>
      </w:r>
      <w:r w:rsidR="00C31BCF" w:rsidRPr="00A52D25">
        <w:rPr>
          <w:rFonts w:ascii="Cambria" w:eastAsia="Times New Roman" w:hAnsi="Cambria" w:cs="Times New Roman"/>
          <w:lang w:eastAsia="en-GB"/>
        </w:rPr>
        <w:t>doi:</w:t>
      </w:r>
      <w:r w:rsidRPr="00A52D25">
        <w:rPr>
          <w:rFonts w:ascii="Cambria" w:eastAsia="Times New Roman" w:hAnsi="Cambria" w:cs="Times New Roman"/>
          <w:lang w:eastAsia="en-GB"/>
        </w:rPr>
        <w:t>10.1080/02673037.2012.714463</w:t>
      </w:r>
      <w:r w:rsidR="00964FFD" w:rsidRPr="00A52D25">
        <w:rPr>
          <w:rFonts w:ascii="Cambria" w:eastAsia="Times New Roman" w:hAnsi="Cambria" w:cs="Times New Roman"/>
          <w:lang w:eastAsia="en-GB"/>
        </w:rPr>
        <w:t>.</w:t>
      </w:r>
    </w:p>
    <w:p w14:paraId="4EB6CADC" w14:textId="5E5D1FEE" w:rsidR="003D6044" w:rsidRPr="00A52D25" w:rsidRDefault="003D6044"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McKee, K., Hoolachan, J. E., &amp; Moore, T. (2017</w:t>
      </w:r>
      <w:r w:rsidR="00B63B00" w:rsidRPr="00A52D25">
        <w:rPr>
          <w:rFonts w:ascii="Cambria" w:eastAsia="Times New Roman" w:hAnsi="Cambria" w:cs="Times New Roman"/>
          <w:lang w:eastAsia="en-GB"/>
        </w:rPr>
        <w:t>a</w:t>
      </w:r>
      <w:r w:rsidRPr="00A52D25">
        <w:rPr>
          <w:rFonts w:ascii="Cambria" w:eastAsia="Times New Roman" w:hAnsi="Cambria" w:cs="Times New Roman"/>
          <w:lang w:eastAsia="en-GB"/>
        </w:rPr>
        <w:t xml:space="preserve">). The </w:t>
      </w:r>
      <w:r w:rsidR="00FF6F5A" w:rsidRPr="00A52D25">
        <w:rPr>
          <w:rFonts w:ascii="Cambria" w:eastAsia="Times New Roman" w:hAnsi="Cambria" w:cs="Times New Roman"/>
          <w:lang w:eastAsia="en-GB"/>
        </w:rPr>
        <w:t>p</w:t>
      </w:r>
      <w:r w:rsidRPr="00A52D25">
        <w:rPr>
          <w:rFonts w:ascii="Cambria" w:eastAsia="Times New Roman" w:hAnsi="Cambria" w:cs="Times New Roman"/>
          <w:lang w:eastAsia="en-GB"/>
        </w:rPr>
        <w:t xml:space="preserve">recarity of </w:t>
      </w:r>
      <w:r w:rsidR="00FF6F5A" w:rsidRPr="00A52D25">
        <w:rPr>
          <w:rFonts w:ascii="Cambria" w:eastAsia="Times New Roman" w:hAnsi="Cambria" w:cs="Times New Roman"/>
          <w:lang w:eastAsia="en-GB"/>
        </w:rPr>
        <w:t>y</w:t>
      </w:r>
      <w:r w:rsidRPr="00A52D25">
        <w:rPr>
          <w:rFonts w:ascii="Cambria" w:eastAsia="Times New Roman" w:hAnsi="Cambria" w:cs="Times New Roman"/>
          <w:lang w:eastAsia="en-GB"/>
        </w:rPr>
        <w:t xml:space="preserve">oung </w:t>
      </w:r>
      <w:r w:rsidR="00FF6F5A" w:rsidRPr="00A52D25">
        <w:rPr>
          <w:rFonts w:ascii="Cambria" w:eastAsia="Times New Roman" w:hAnsi="Cambria" w:cs="Times New Roman"/>
          <w:lang w:eastAsia="en-GB"/>
        </w:rPr>
        <w:t>p</w:t>
      </w:r>
      <w:r w:rsidRPr="00A52D25">
        <w:rPr>
          <w:rFonts w:ascii="Cambria" w:eastAsia="Times New Roman" w:hAnsi="Cambria" w:cs="Times New Roman"/>
          <w:lang w:eastAsia="en-GB"/>
        </w:rPr>
        <w:t xml:space="preserve">eople’s </w:t>
      </w:r>
      <w:r w:rsidR="00FF6F5A" w:rsidRPr="00A52D25">
        <w:rPr>
          <w:rFonts w:ascii="Cambria" w:eastAsia="Times New Roman" w:hAnsi="Cambria" w:cs="Times New Roman"/>
          <w:lang w:eastAsia="en-GB"/>
        </w:rPr>
        <w:t>h</w:t>
      </w:r>
      <w:r w:rsidRPr="00A52D25">
        <w:rPr>
          <w:rFonts w:ascii="Cambria" w:eastAsia="Times New Roman" w:hAnsi="Cambria" w:cs="Times New Roman"/>
          <w:lang w:eastAsia="en-GB"/>
        </w:rPr>
        <w:t xml:space="preserve">ousing </w:t>
      </w:r>
      <w:r w:rsidR="00FF6F5A" w:rsidRPr="00A52D25">
        <w:rPr>
          <w:rFonts w:ascii="Cambria" w:eastAsia="Times New Roman" w:hAnsi="Cambria" w:cs="Times New Roman"/>
          <w:lang w:eastAsia="en-GB"/>
        </w:rPr>
        <w:t>e</w:t>
      </w:r>
      <w:r w:rsidRPr="00A52D25">
        <w:rPr>
          <w:rFonts w:ascii="Cambria" w:eastAsia="Times New Roman" w:hAnsi="Cambria" w:cs="Times New Roman"/>
          <w:lang w:eastAsia="en-GB"/>
        </w:rPr>
        <w:t xml:space="preserve">xperiences in a </w:t>
      </w:r>
      <w:r w:rsidR="00FF6F5A" w:rsidRPr="00A52D25">
        <w:rPr>
          <w:rFonts w:ascii="Cambria" w:eastAsia="Times New Roman" w:hAnsi="Cambria" w:cs="Times New Roman"/>
          <w:lang w:eastAsia="en-GB"/>
        </w:rPr>
        <w:t>r</w:t>
      </w:r>
      <w:r w:rsidRPr="00A52D25">
        <w:rPr>
          <w:rFonts w:ascii="Cambria" w:eastAsia="Times New Roman" w:hAnsi="Cambria" w:cs="Times New Roman"/>
          <w:lang w:eastAsia="en-GB"/>
        </w:rPr>
        <w:t xml:space="preserve">ural </w:t>
      </w:r>
      <w:r w:rsidR="00FF6F5A" w:rsidRPr="00A52D25">
        <w:rPr>
          <w:rFonts w:ascii="Cambria" w:eastAsia="Times New Roman" w:hAnsi="Cambria" w:cs="Times New Roman"/>
          <w:lang w:eastAsia="en-GB"/>
        </w:rPr>
        <w:t>c</w:t>
      </w:r>
      <w:r w:rsidRPr="00A52D25">
        <w:rPr>
          <w:rFonts w:ascii="Cambria" w:eastAsia="Times New Roman" w:hAnsi="Cambria" w:cs="Times New Roman"/>
          <w:lang w:eastAsia="en-GB"/>
        </w:rPr>
        <w:t xml:space="preserve">ontext. </w:t>
      </w:r>
      <w:r w:rsidRPr="00A52D25">
        <w:rPr>
          <w:rFonts w:ascii="Cambria" w:eastAsia="Times New Roman" w:hAnsi="Cambria" w:cs="Times New Roman"/>
          <w:i/>
          <w:iCs/>
          <w:lang w:eastAsia="en-GB"/>
        </w:rPr>
        <w:t>Scottish Geographical Journal</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133</w:t>
      </w:r>
      <w:r w:rsidRPr="00A52D25">
        <w:rPr>
          <w:rFonts w:ascii="Cambria" w:eastAsia="Times New Roman" w:hAnsi="Cambria" w:cs="Times New Roman"/>
          <w:lang w:eastAsia="en-GB"/>
        </w:rPr>
        <w:t xml:space="preserve">(2), 115–129. </w:t>
      </w:r>
      <w:r w:rsidR="00C31BCF" w:rsidRPr="00A52D25">
        <w:rPr>
          <w:rFonts w:ascii="Cambria" w:eastAsia="Times New Roman" w:hAnsi="Cambria" w:cs="Times New Roman"/>
          <w:lang w:eastAsia="en-GB"/>
        </w:rPr>
        <w:t>doi:</w:t>
      </w:r>
      <w:r w:rsidRPr="00A52D25">
        <w:rPr>
          <w:rFonts w:ascii="Cambria" w:eastAsia="Times New Roman" w:hAnsi="Cambria" w:cs="Times New Roman"/>
          <w:lang w:eastAsia="en-GB"/>
        </w:rPr>
        <w:t>10.1080/14702541.2017.1321136.</w:t>
      </w:r>
    </w:p>
    <w:p w14:paraId="4565259A" w14:textId="699AE675" w:rsidR="00B63B00" w:rsidRPr="00A52D25" w:rsidRDefault="00B63B00"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McKee, K., Muir, J., &amp; Moore, T. (2017b). Housing policy in the UK: The importance of spatial nuance. </w:t>
      </w:r>
      <w:r w:rsidRPr="00A52D25">
        <w:rPr>
          <w:rFonts w:ascii="Cambria" w:eastAsia="Times New Roman" w:hAnsi="Cambria" w:cs="Times New Roman"/>
          <w:i/>
          <w:iCs/>
          <w:lang w:eastAsia="en-GB"/>
        </w:rPr>
        <w:t>Housing Studies</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32</w:t>
      </w:r>
      <w:r w:rsidRPr="00A52D25">
        <w:rPr>
          <w:rFonts w:ascii="Cambria" w:eastAsia="Times New Roman" w:hAnsi="Cambria" w:cs="Times New Roman"/>
          <w:lang w:eastAsia="en-GB"/>
        </w:rPr>
        <w:t xml:space="preserve">(1), 60–72. </w:t>
      </w:r>
      <w:r w:rsidR="00C31BCF" w:rsidRPr="00A52D25">
        <w:rPr>
          <w:rFonts w:ascii="Cambria" w:eastAsia="Times New Roman" w:hAnsi="Cambria" w:cs="Times New Roman"/>
          <w:lang w:eastAsia="en-GB"/>
        </w:rPr>
        <w:t>doi:</w:t>
      </w:r>
      <w:r w:rsidRPr="00A52D25">
        <w:rPr>
          <w:rFonts w:ascii="Cambria" w:eastAsia="Times New Roman" w:hAnsi="Cambria" w:cs="Times New Roman"/>
          <w:lang w:eastAsia="en-GB"/>
        </w:rPr>
        <w:t>10.1080/02673037.2016.1181722.</w:t>
      </w:r>
    </w:p>
    <w:p w14:paraId="6C066D13" w14:textId="69126EB3" w:rsidR="00FB41AA" w:rsidRPr="00A52D25" w:rsidRDefault="00FB41AA" w:rsidP="00FB41AA">
      <w:pPr>
        <w:autoSpaceDE w:val="0"/>
        <w:autoSpaceDN w:val="0"/>
        <w:adjustRightInd w:val="0"/>
        <w:spacing w:after="0" w:line="240" w:lineRule="auto"/>
        <w:rPr>
          <w:rFonts w:ascii="Cambria" w:hAnsi="Cambria" w:cstheme="minorHAnsi"/>
        </w:rPr>
      </w:pPr>
      <w:r w:rsidRPr="00A52D25">
        <w:rPr>
          <w:rFonts w:ascii="Cambria" w:hAnsi="Cambria" w:cstheme="minorHAnsi"/>
        </w:rPr>
        <w:t>Mandic, S. (2008). Home-leaving and its structural determinants in</w:t>
      </w:r>
    </w:p>
    <w:p w14:paraId="45FF8946" w14:textId="09C76B39" w:rsidR="00FB41AA" w:rsidRPr="00A52D25" w:rsidRDefault="00FB41AA" w:rsidP="00FB41AA">
      <w:pPr>
        <w:autoSpaceDE w:val="0"/>
        <w:autoSpaceDN w:val="0"/>
        <w:adjustRightInd w:val="0"/>
        <w:spacing w:after="0" w:line="240" w:lineRule="auto"/>
        <w:rPr>
          <w:rFonts w:ascii="Cambria" w:hAnsi="Cambria" w:cstheme="minorHAnsi"/>
        </w:rPr>
      </w:pPr>
      <w:r w:rsidRPr="00A52D25">
        <w:rPr>
          <w:rFonts w:ascii="Cambria" w:hAnsi="Cambria" w:cstheme="minorHAnsi"/>
        </w:rPr>
        <w:t xml:space="preserve">Western and Eastern Europe: An exploratory study. </w:t>
      </w:r>
      <w:r w:rsidRPr="00A52D25">
        <w:rPr>
          <w:rFonts w:ascii="Cambria" w:hAnsi="Cambria" w:cstheme="minorHAnsi"/>
          <w:i/>
        </w:rPr>
        <w:t>Housing Studies</w:t>
      </w:r>
      <w:r w:rsidRPr="00A52D25">
        <w:rPr>
          <w:rFonts w:ascii="Cambria" w:hAnsi="Cambria" w:cstheme="minorHAnsi"/>
        </w:rPr>
        <w:t xml:space="preserve">, </w:t>
      </w:r>
      <w:r w:rsidRPr="00A52D25">
        <w:rPr>
          <w:rFonts w:ascii="Cambria" w:hAnsi="Cambria" w:cstheme="minorHAnsi"/>
          <w:i/>
        </w:rPr>
        <w:t>23</w:t>
      </w:r>
      <w:r w:rsidRPr="00A52D25">
        <w:rPr>
          <w:rFonts w:ascii="Cambria" w:hAnsi="Cambria" w:cstheme="minorHAnsi"/>
        </w:rPr>
        <w:t>(4), 615-637. doi:10.1080/02673030802112754.</w:t>
      </w:r>
    </w:p>
    <w:p w14:paraId="4BBCFDC2" w14:textId="2210B8B6" w:rsidR="00A17280" w:rsidRPr="00A52D25" w:rsidRDefault="00A17280" w:rsidP="00A17280">
      <w:pPr>
        <w:pStyle w:val="NormalWeb"/>
        <w:rPr>
          <w:rFonts w:ascii="Cambria" w:hAnsi="Cambria"/>
          <w:sz w:val="22"/>
          <w:szCs w:val="22"/>
        </w:rPr>
      </w:pPr>
      <w:r w:rsidRPr="00A52D25">
        <w:rPr>
          <w:rFonts w:ascii="Cambria" w:hAnsi="Cambria"/>
          <w:sz w:val="22"/>
          <w:szCs w:val="22"/>
        </w:rPr>
        <w:t xml:space="preserve">Manzo, L. K., Druta, O., &amp; Ronald, R. (2018). Supported </w:t>
      </w:r>
      <w:r w:rsidR="00B805E3" w:rsidRPr="00A52D25">
        <w:rPr>
          <w:rFonts w:ascii="Cambria" w:hAnsi="Cambria"/>
          <w:sz w:val="22"/>
          <w:szCs w:val="22"/>
        </w:rPr>
        <w:t>home o</w:t>
      </w:r>
      <w:r w:rsidRPr="00A52D25">
        <w:rPr>
          <w:rFonts w:ascii="Cambria" w:hAnsi="Cambria"/>
          <w:sz w:val="22"/>
          <w:szCs w:val="22"/>
        </w:rPr>
        <w:t xml:space="preserve">wnership and </w:t>
      </w:r>
      <w:r w:rsidR="00B805E3" w:rsidRPr="00A52D25">
        <w:rPr>
          <w:rFonts w:ascii="Cambria" w:hAnsi="Cambria"/>
          <w:sz w:val="22"/>
          <w:szCs w:val="22"/>
        </w:rPr>
        <w:t>adult i</w:t>
      </w:r>
      <w:r w:rsidRPr="00A52D25">
        <w:rPr>
          <w:rFonts w:ascii="Cambria" w:hAnsi="Cambria"/>
          <w:sz w:val="22"/>
          <w:szCs w:val="22"/>
        </w:rPr>
        <w:t xml:space="preserve">ndependence in Milan: The </w:t>
      </w:r>
      <w:r w:rsidR="00B805E3" w:rsidRPr="00A52D25">
        <w:rPr>
          <w:rFonts w:ascii="Cambria" w:hAnsi="Cambria"/>
          <w:sz w:val="22"/>
          <w:szCs w:val="22"/>
        </w:rPr>
        <w:t>gilded c</w:t>
      </w:r>
      <w:r w:rsidRPr="00A52D25">
        <w:rPr>
          <w:rFonts w:ascii="Cambria" w:hAnsi="Cambria"/>
          <w:sz w:val="22"/>
          <w:szCs w:val="22"/>
        </w:rPr>
        <w:t xml:space="preserve">age of </w:t>
      </w:r>
      <w:r w:rsidR="00B805E3" w:rsidRPr="00A52D25">
        <w:rPr>
          <w:rFonts w:ascii="Cambria" w:hAnsi="Cambria"/>
          <w:sz w:val="22"/>
          <w:szCs w:val="22"/>
        </w:rPr>
        <w:t>f</w:t>
      </w:r>
      <w:r w:rsidRPr="00A52D25">
        <w:rPr>
          <w:rFonts w:ascii="Cambria" w:hAnsi="Cambria"/>
          <w:sz w:val="22"/>
          <w:szCs w:val="22"/>
        </w:rPr>
        <w:t xml:space="preserve">amily </w:t>
      </w:r>
      <w:r w:rsidR="00B805E3" w:rsidRPr="00A52D25">
        <w:rPr>
          <w:rFonts w:ascii="Cambria" w:hAnsi="Cambria"/>
          <w:sz w:val="22"/>
          <w:szCs w:val="22"/>
        </w:rPr>
        <w:t>h</w:t>
      </w:r>
      <w:r w:rsidRPr="00A52D25">
        <w:rPr>
          <w:rFonts w:ascii="Cambria" w:hAnsi="Cambria"/>
          <w:sz w:val="22"/>
          <w:szCs w:val="22"/>
        </w:rPr>
        <w:t xml:space="preserve">ousing </w:t>
      </w:r>
      <w:r w:rsidR="00B805E3" w:rsidRPr="00A52D25">
        <w:rPr>
          <w:rFonts w:ascii="Cambria" w:hAnsi="Cambria"/>
          <w:sz w:val="22"/>
          <w:szCs w:val="22"/>
        </w:rPr>
        <w:t>g</w:t>
      </w:r>
      <w:r w:rsidRPr="00A52D25">
        <w:rPr>
          <w:rFonts w:ascii="Cambria" w:hAnsi="Cambria"/>
          <w:sz w:val="22"/>
          <w:szCs w:val="22"/>
        </w:rPr>
        <w:t xml:space="preserve">ifts and </w:t>
      </w:r>
      <w:r w:rsidR="00B805E3" w:rsidRPr="00A52D25">
        <w:rPr>
          <w:rFonts w:ascii="Cambria" w:hAnsi="Cambria"/>
          <w:sz w:val="22"/>
          <w:szCs w:val="22"/>
        </w:rPr>
        <w:t>t</w:t>
      </w:r>
      <w:r w:rsidRPr="00A52D25">
        <w:rPr>
          <w:rFonts w:ascii="Cambria" w:hAnsi="Cambria"/>
          <w:sz w:val="22"/>
          <w:szCs w:val="22"/>
        </w:rPr>
        <w:t xml:space="preserve">ransfers. </w:t>
      </w:r>
      <w:r w:rsidRPr="00A52D25">
        <w:rPr>
          <w:rFonts w:ascii="Cambria" w:hAnsi="Cambria"/>
          <w:i/>
          <w:iCs/>
          <w:sz w:val="22"/>
          <w:szCs w:val="22"/>
        </w:rPr>
        <w:t>Sociology</w:t>
      </w:r>
      <w:r w:rsidR="00C31BCF" w:rsidRPr="00A52D25">
        <w:rPr>
          <w:rFonts w:ascii="Cambria" w:hAnsi="Cambria"/>
          <w:sz w:val="22"/>
          <w:szCs w:val="22"/>
        </w:rPr>
        <w:t>.</w:t>
      </w:r>
      <w:r w:rsidRPr="00A52D25">
        <w:rPr>
          <w:rFonts w:ascii="Cambria" w:hAnsi="Cambria"/>
          <w:sz w:val="22"/>
          <w:szCs w:val="22"/>
        </w:rPr>
        <w:t xml:space="preserve"> </w:t>
      </w:r>
      <w:r w:rsidR="00C31BCF" w:rsidRPr="00A52D25">
        <w:rPr>
          <w:rFonts w:ascii="Cambria" w:hAnsi="Cambria"/>
          <w:sz w:val="22"/>
          <w:szCs w:val="22"/>
        </w:rPr>
        <w:t>doi:</w:t>
      </w:r>
      <w:r w:rsidRPr="00A52D25">
        <w:rPr>
          <w:rFonts w:ascii="Cambria" w:hAnsi="Cambria"/>
          <w:sz w:val="22"/>
          <w:szCs w:val="22"/>
        </w:rPr>
        <w:t>10.1177/0038038518798761</w:t>
      </w:r>
    </w:p>
    <w:p w14:paraId="15DA4BD6" w14:textId="5A5D5218" w:rsidR="00897EE8" w:rsidRPr="00A52D25" w:rsidRDefault="008313B7"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MHCLG</w:t>
      </w:r>
      <w:r w:rsidR="00897EE8" w:rsidRPr="00A52D25">
        <w:rPr>
          <w:rFonts w:ascii="Cambria" w:eastAsia="Times New Roman" w:hAnsi="Cambria" w:cs="Times New Roman"/>
          <w:lang w:eastAsia="en-GB"/>
        </w:rPr>
        <w:t xml:space="preserve"> (</w:t>
      </w:r>
      <w:r w:rsidR="00AB597B" w:rsidRPr="00A52D25">
        <w:rPr>
          <w:rFonts w:ascii="Cambria" w:eastAsia="Times New Roman" w:hAnsi="Cambria" w:cs="Times New Roman"/>
          <w:lang w:eastAsia="en-GB"/>
        </w:rPr>
        <w:t>2018</w:t>
      </w:r>
      <w:r w:rsidR="00AB597B">
        <w:rPr>
          <w:rFonts w:ascii="Cambria" w:eastAsia="Times New Roman" w:hAnsi="Cambria" w:cs="Times New Roman"/>
          <w:lang w:eastAsia="en-GB"/>
        </w:rPr>
        <w:t>a</w:t>
      </w:r>
      <w:r w:rsidR="00897EE8" w:rsidRPr="00A52D25">
        <w:rPr>
          <w:rFonts w:ascii="Cambria" w:eastAsia="Times New Roman" w:hAnsi="Cambria" w:cs="Times New Roman"/>
          <w:lang w:eastAsia="en-GB"/>
        </w:rPr>
        <w:t xml:space="preserve">). </w:t>
      </w:r>
      <w:r w:rsidR="00897EE8" w:rsidRPr="00A52D25">
        <w:rPr>
          <w:rFonts w:ascii="Cambria" w:eastAsia="Times New Roman" w:hAnsi="Cambria" w:cs="Times New Roman"/>
          <w:i/>
          <w:lang w:eastAsia="en-GB"/>
        </w:rPr>
        <w:t>English Housing Survey 2016 to 2017: Headline Report</w:t>
      </w:r>
      <w:r w:rsidR="00897EE8" w:rsidRPr="00A52D25">
        <w:rPr>
          <w:rFonts w:ascii="Cambria" w:eastAsia="Times New Roman" w:hAnsi="Cambria" w:cs="Times New Roman"/>
          <w:lang w:eastAsia="en-GB"/>
        </w:rPr>
        <w:t xml:space="preserve">. MHCLG: London. Retrieved from </w:t>
      </w:r>
      <w:r w:rsidR="00C258C0" w:rsidRPr="00A52D25">
        <w:rPr>
          <w:rFonts w:ascii="Cambria" w:eastAsia="Times New Roman" w:hAnsi="Cambria" w:cs="Times New Roman"/>
          <w:lang w:eastAsia="en-GB"/>
        </w:rPr>
        <w:t>https://www.gov.uk/government/statistics/english-housing-survey-2016-to-2017-headline-report</w:t>
      </w:r>
      <w:r w:rsidR="00897EE8" w:rsidRPr="00A52D25">
        <w:rPr>
          <w:rFonts w:ascii="Cambria" w:eastAsia="Times New Roman" w:hAnsi="Cambria" w:cs="Times New Roman"/>
          <w:lang w:eastAsia="en-GB"/>
        </w:rPr>
        <w:t>.</w:t>
      </w:r>
      <w:r w:rsidR="00C258C0" w:rsidRPr="00A52D25">
        <w:rPr>
          <w:rFonts w:ascii="Cambria" w:eastAsia="Times New Roman" w:hAnsi="Cambria" w:cs="Times New Roman"/>
          <w:lang w:eastAsia="en-GB"/>
        </w:rPr>
        <w:t xml:space="preserve"> </w:t>
      </w:r>
      <w:r w:rsidR="00C258C0" w:rsidRPr="00A52D25">
        <w:rPr>
          <w:rFonts w:ascii="Cambria" w:eastAsia="Times New Roman" w:hAnsi="Cambria" w:cs="Times New Roman"/>
          <w:i/>
          <w:lang w:eastAsia="en-GB"/>
        </w:rPr>
        <w:t xml:space="preserve">[Last checked </w:t>
      </w:r>
      <w:r w:rsidR="00AF381B">
        <w:rPr>
          <w:rFonts w:ascii="Cambria" w:eastAsia="Times New Roman" w:hAnsi="Cambria" w:cs="Times New Roman"/>
          <w:i/>
          <w:lang w:eastAsia="en-GB"/>
        </w:rPr>
        <w:t>16</w:t>
      </w:r>
      <w:r w:rsidR="00AF381B" w:rsidRPr="00A52D25">
        <w:rPr>
          <w:rFonts w:ascii="Cambria" w:eastAsia="Times New Roman" w:hAnsi="Cambria" w:cs="Times New Roman"/>
          <w:i/>
          <w:vertAlign w:val="superscript"/>
          <w:lang w:eastAsia="en-GB"/>
        </w:rPr>
        <w:t>th</w:t>
      </w:r>
      <w:r w:rsidR="00AF381B" w:rsidRPr="00A52D25">
        <w:rPr>
          <w:rFonts w:ascii="Cambria" w:eastAsia="Times New Roman" w:hAnsi="Cambria" w:cs="Times New Roman"/>
          <w:i/>
          <w:lang w:eastAsia="en-GB"/>
        </w:rPr>
        <w:t xml:space="preserve"> </w:t>
      </w:r>
      <w:r w:rsidR="00AF381B">
        <w:rPr>
          <w:rFonts w:ascii="Cambria" w:eastAsia="Times New Roman" w:hAnsi="Cambria" w:cs="Times New Roman"/>
          <w:i/>
          <w:lang w:eastAsia="en-GB"/>
        </w:rPr>
        <w:t>December</w:t>
      </w:r>
      <w:r w:rsidR="00AF381B" w:rsidRPr="00A52D25">
        <w:rPr>
          <w:rFonts w:ascii="Cambria" w:eastAsia="Times New Roman" w:hAnsi="Cambria" w:cs="Times New Roman"/>
          <w:i/>
          <w:lang w:eastAsia="en-GB"/>
        </w:rPr>
        <w:t xml:space="preserve"> </w:t>
      </w:r>
      <w:r w:rsidR="00C258C0" w:rsidRPr="00A52D25">
        <w:rPr>
          <w:rFonts w:ascii="Cambria" w:eastAsia="Times New Roman" w:hAnsi="Cambria" w:cs="Times New Roman"/>
          <w:i/>
          <w:lang w:eastAsia="en-GB"/>
        </w:rPr>
        <w:t>2019]</w:t>
      </w:r>
      <w:r w:rsidR="00C258C0" w:rsidRPr="00A52D25">
        <w:rPr>
          <w:rFonts w:ascii="Cambria" w:eastAsia="Times New Roman" w:hAnsi="Cambria" w:cs="Times New Roman"/>
          <w:lang w:eastAsia="en-GB"/>
        </w:rPr>
        <w:t>.</w:t>
      </w:r>
    </w:p>
    <w:p w14:paraId="6E2FADFB" w14:textId="4E1126A6" w:rsidR="00971DEE" w:rsidRPr="00A52D25" w:rsidRDefault="00C258C0" w:rsidP="00971DEE">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MHCLG</w:t>
      </w:r>
      <w:r w:rsidR="00971DEE" w:rsidRPr="00A52D25">
        <w:rPr>
          <w:rFonts w:ascii="Cambria" w:eastAsia="Times New Roman" w:hAnsi="Cambria" w:cs="Times New Roman"/>
          <w:lang w:eastAsia="en-GB"/>
        </w:rPr>
        <w:t xml:space="preserve"> (</w:t>
      </w:r>
      <w:r w:rsidR="00AB597B" w:rsidRPr="00A52D25">
        <w:rPr>
          <w:rFonts w:ascii="Cambria" w:eastAsia="Times New Roman" w:hAnsi="Cambria" w:cs="Times New Roman"/>
          <w:lang w:eastAsia="en-GB"/>
        </w:rPr>
        <w:t>2018</w:t>
      </w:r>
      <w:r w:rsidR="00AB597B">
        <w:rPr>
          <w:rFonts w:ascii="Cambria" w:eastAsia="Times New Roman" w:hAnsi="Cambria" w:cs="Times New Roman"/>
          <w:lang w:eastAsia="en-GB"/>
        </w:rPr>
        <w:t>b</w:t>
      </w:r>
      <w:r w:rsidR="00971DEE" w:rsidRPr="00A52D25">
        <w:rPr>
          <w:rFonts w:ascii="Cambria" w:eastAsia="Times New Roman" w:hAnsi="Cambria" w:cs="Times New Roman"/>
          <w:lang w:eastAsia="en-GB"/>
        </w:rPr>
        <w:t xml:space="preserve">). </w:t>
      </w:r>
      <w:r w:rsidR="00971DEE" w:rsidRPr="00A52D25">
        <w:rPr>
          <w:rFonts w:ascii="Cambria" w:eastAsia="Times New Roman" w:hAnsi="Cambria" w:cs="Times New Roman"/>
          <w:i/>
          <w:lang w:eastAsia="en-GB"/>
        </w:rPr>
        <w:t>Help to Buy (Equity Loan scheme) and Help to Buy: NewBuy statistics: Data to 31 March 2018, England</w:t>
      </w:r>
      <w:r w:rsidR="00971DEE" w:rsidRPr="00A52D25">
        <w:rPr>
          <w:rFonts w:ascii="Cambria" w:eastAsia="Times New Roman" w:hAnsi="Cambria" w:cs="Times New Roman"/>
          <w:lang w:eastAsia="en-GB"/>
        </w:rPr>
        <w:t xml:space="preserve">. MHCLG: London. Retrieved from </w:t>
      </w:r>
      <w:r w:rsidRPr="00A52D25">
        <w:rPr>
          <w:rFonts w:ascii="Cambria" w:eastAsia="Times New Roman" w:hAnsi="Cambria" w:cs="Times New Roman"/>
          <w:lang w:eastAsia="en-GB"/>
        </w:rPr>
        <w:t>https://www.gov.uk/government/statistics/help-to-buy-equity-loan-scheme-and-help-to-buy-newbuy-statistics-april-2013-to-31-march-2018</w:t>
      </w:r>
      <w:r w:rsidR="00971DEE" w:rsidRPr="00A52D25">
        <w:rPr>
          <w:rFonts w:ascii="Cambria" w:eastAsia="Times New Roman" w:hAnsi="Cambria" w:cs="Times New Roman"/>
          <w:lang w:eastAsia="en-GB"/>
        </w:rPr>
        <w:t>.</w:t>
      </w:r>
      <w:r w:rsidRPr="00A52D25">
        <w:rPr>
          <w:rFonts w:ascii="Cambria" w:eastAsia="Times New Roman" w:hAnsi="Cambria" w:cs="Times New Roman"/>
          <w:lang w:eastAsia="en-GB"/>
        </w:rPr>
        <w:t xml:space="preserve"> </w:t>
      </w:r>
      <w:r w:rsidRPr="00A52D25">
        <w:rPr>
          <w:rFonts w:ascii="Cambria" w:eastAsia="Times New Roman" w:hAnsi="Cambria" w:cs="Times New Roman"/>
          <w:i/>
          <w:lang w:eastAsia="en-GB"/>
        </w:rPr>
        <w:t xml:space="preserve">[Last checked </w:t>
      </w:r>
      <w:r w:rsidR="00AF381B">
        <w:rPr>
          <w:rFonts w:ascii="Cambria" w:eastAsia="Times New Roman" w:hAnsi="Cambria" w:cs="Times New Roman"/>
          <w:i/>
          <w:lang w:eastAsia="en-GB"/>
        </w:rPr>
        <w:t>16</w:t>
      </w:r>
      <w:r w:rsidR="00AF381B" w:rsidRPr="00A52D25">
        <w:rPr>
          <w:rFonts w:ascii="Cambria" w:eastAsia="Times New Roman" w:hAnsi="Cambria" w:cs="Times New Roman"/>
          <w:i/>
          <w:vertAlign w:val="superscript"/>
          <w:lang w:eastAsia="en-GB"/>
        </w:rPr>
        <w:t>th</w:t>
      </w:r>
      <w:r w:rsidR="00AF381B" w:rsidRPr="00A52D25">
        <w:rPr>
          <w:rFonts w:ascii="Cambria" w:eastAsia="Times New Roman" w:hAnsi="Cambria" w:cs="Times New Roman"/>
          <w:i/>
          <w:lang w:eastAsia="en-GB"/>
        </w:rPr>
        <w:t xml:space="preserve"> </w:t>
      </w:r>
      <w:r w:rsidR="00AF381B">
        <w:rPr>
          <w:rFonts w:ascii="Cambria" w:eastAsia="Times New Roman" w:hAnsi="Cambria" w:cs="Times New Roman"/>
          <w:i/>
          <w:lang w:eastAsia="en-GB"/>
        </w:rPr>
        <w:t>December</w:t>
      </w:r>
      <w:r w:rsidRPr="00A52D25">
        <w:rPr>
          <w:rFonts w:ascii="Cambria" w:eastAsia="Times New Roman" w:hAnsi="Cambria" w:cs="Times New Roman"/>
          <w:i/>
          <w:lang w:eastAsia="en-GB"/>
        </w:rPr>
        <w:t xml:space="preserve"> 2019]</w:t>
      </w:r>
      <w:r w:rsidRPr="00A52D25">
        <w:rPr>
          <w:rFonts w:ascii="Cambria" w:eastAsia="Times New Roman" w:hAnsi="Cambria" w:cs="Times New Roman"/>
          <w:lang w:eastAsia="en-GB"/>
        </w:rPr>
        <w:t>.</w:t>
      </w:r>
    </w:p>
    <w:p w14:paraId="4099B2D0" w14:textId="2129D23D" w:rsidR="004518D9" w:rsidRPr="00A52D25" w:rsidRDefault="004518D9" w:rsidP="004518D9">
      <w:pPr>
        <w:pStyle w:val="NormalWeb"/>
        <w:rPr>
          <w:rFonts w:ascii="Cambria" w:hAnsi="Cambria"/>
          <w:sz w:val="22"/>
          <w:szCs w:val="22"/>
        </w:rPr>
      </w:pPr>
      <w:r w:rsidRPr="00A52D25">
        <w:rPr>
          <w:rFonts w:ascii="Cambria" w:hAnsi="Cambria"/>
          <w:sz w:val="22"/>
          <w:szCs w:val="22"/>
        </w:rPr>
        <w:t xml:space="preserve">Moore, T. (2017). The convergence, divergence and changing geography of regulation in the UK’s private rented sector. </w:t>
      </w:r>
      <w:r w:rsidRPr="00A52D25">
        <w:rPr>
          <w:rFonts w:ascii="Cambria" w:hAnsi="Cambria"/>
          <w:i/>
          <w:iCs/>
          <w:sz w:val="22"/>
          <w:szCs w:val="22"/>
        </w:rPr>
        <w:t>International Journal of Housing Policy</w:t>
      </w:r>
      <w:r w:rsidRPr="00A52D25">
        <w:rPr>
          <w:rFonts w:ascii="Cambria" w:hAnsi="Cambria"/>
          <w:sz w:val="22"/>
          <w:szCs w:val="22"/>
        </w:rPr>
        <w:t xml:space="preserve">, </w:t>
      </w:r>
      <w:r w:rsidRPr="00A52D25">
        <w:rPr>
          <w:rFonts w:ascii="Cambria" w:hAnsi="Cambria"/>
          <w:i/>
          <w:iCs/>
          <w:sz w:val="22"/>
          <w:szCs w:val="22"/>
        </w:rPr>
        <w:t>17</w:t>
      </w:r>
      <w:r w:rsidRPr="00A52D25">
        <w:rPr>
          <w:rFonts w:ascii="Cambria" w:hAnsi="Cambria"/>
          <w:sz w:val="22"/>
          <w:szCs w:val="22"/>
        </w:rPr>
        <w:t xml:space="preserve">(3), 444–456. </w:t>
      </w:r>
      <w:r w:rsidR="0079486E" w:rsidRPr="00A52D25">
        <w:rPr>
          <w:rFonts w:ascii="Cambria" w:hAnsi="Cambria"/>
          <w:sz w:val="22"/>
          <w:szCs w:val="22"/>
        </w:rPr>
        <w:t>doi:</w:t>
      </w:r>
      <w:r w:rsidRPr="00A52D25">
        <w:rPr>
          <w:rFonts w:ascii="Cambria" w:hAnsi="Cambria"/>
          <w:sz w:val="22"/>
          <w:szCs w:val="22"/>
        </w:rPr>
        <w:t>10.1080/19491247.2017.1312795.</w:t>
      </w:r>
    </w:p>
    <w:p w14:paraId="456CE7CC" w14:textId="4ADBA0CD" w:rsidR="0053024B" w:rsidRPr="00A52D25" w:rsidRDefault="0053024B" w:rsidP="0053024B">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Mulder, C. H., &amp; Clark, W. A. V. (2000). Leaving home and leaving the state: Evidence from the United States. </w:t>
      </w:r>
      <w:r w:rsidRPr="00A52D25">
        <w:rPr>
          <w:rFonts w:ascii="Cambria" w:eastAsia="Times New Roman" w:hAnsi="Cambria" w:cs="Times New Roman"/>
          <w:i/>
          <w:iCs/>
          <w:lang w:eastAsia="en-GB"/>
        </w:rPr>
        <w:t>International Journal of Population Geography</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6</w:t>
      </w:r>
      <w:r w:rsidRPr="00A52D25">
        <w:rPr>
          <w:rFonts w:ascii="Cambria" w:eastAsia="Times New Roman" w:hAnsi="Cambria" w:cs="Times New Roman"/>
          <w:lang w:eastAsia="en-GB"/>
        </w:rPr>
        <w:t>(6), 423–437.</w:t>
      </w:r>
      <w:r w:rsidR="00E44AA8" w:rsidRPr="003428BB">
        <w:rPr>
          <w:rFonts w:ascii="Cambria" w:hAnsi="Cambria"/>
          <w:b/>
          <w:bCs/>
        </w:rPr>
        <w:t xml:space="preserve"> </w:t>
      </w:r>
      <w:r w:rsidR="00E44AA8" w:rsidRPr="00A52D25">
        <w:rPr>
          <w:rFonts w:ascii="Cambria" w:hAnsi="Cambria"/>
          <w:bCs/>
        </w:rPr>
        <w:t>doi:</w:t>
      </w:r>
      <w:r w:rsidR="00E44AA8" w:rsidRPr="00A52D25">
        <w:rPr>
          <w:rFonts w:ascii="Cambria" w:hAnsi="Cambria"/>
        </w:rPr>
        <w:t>10.1002/1099-1220(200011/12)6:6&lt;423::AID-IJPG199&gt;3.0.CO;2-R.</w:t>
      </w:r>
    </w:p>
    <w:p w14:paraId="6C25663F" w14:textId="15E3B9B9" w:rsidR="00F74488" w:rsidRPr="00A52D25" w:rsidRDefault="00F74488" w:rsidP="00F74488">
      <w:pPr>
        <w:pStyle w:val="NormalWeb"/>
        <w:rPr>
          <w:rFonts w:ascii="Cambria" w:hAnsi="Cambria"/>
          <w:sz w:val="22"/>
          <w:szCs w:val="22"/>
        </w:rPr>
      </w:pPr>
      <w:r w:rsidRPr="00A52D25">
        <w:rPr>
          <w:rFonts w:ascii="Cambria" w:hAnsi="Cambria"/>
          <w:sz w:val="22"/>
          <w:szCs w:val="22"/>
        </w:rPr>
        <w:t xml:space="preserve">Mulder, C. H., Dewilde, C., van Duijn, M., &amp; Smits, A. (2015). The association between parents’ and adult children’s homeownership: A comparative analysis. </w:t>
      </w:r>
      <w:r w:rsidRPr="00A52D25">
        <w:rPr>
          <w:rFonts w:ascii="Cambria" w:hAnsi="Cambria"/>
          <w:i/>
          <w:iCs/>
          <w:sz w:val="22"/>
          <w:szCs w:val="22"/>
        </w:rPr>
        <w:t>European Journal of Population</w:t>
      </w:r>
      <w:r w:rsidRPr="00A52D25">
        <w:rPr>
          <w:rFonts w:ascii="Cambria" w:hAnsi="Cambria"/>
          <w:sz w:val="22"/>
          <w:szCs w:val="22"/>
        </w:rPr>
        <w:t xml:space="preserve">, </w:t>
      </w:r>
      <w:r w:rsidRPr="00A52D25">
        <w:rPr>
          <w:rFonts w:ascii="Cambria" w:hAnsi="Cambria"/>
          <w:i/>
          <w:iCs/>
          <w:sz w:val="22"/>
          <w:szCs w:val="22"/>
        </w:rPr>
        <w:t>31</w:t>
      </w:r>
      <w:r w:rsidRPr="00A52D25">
        <w:rPr>
          <w:rFonts w:ascii="Cambria" w:hAnsi="Cambria"/>
          <w:sz w:val="22"/>
          <w:szCs w:val="22"/>
        </w:rPr>
        <w:t xml:space="preserve">(5), 495–527. </w:t>
      </w:r>
      <w:r w:rsidR="0079486E" w:rsidRPr="00A52D25">
        <w:rPr>
          <w:rFonts w:ascii="Cambria" w:hAnsi="Cambria"/>
          <w:sz w:val="22"/>
          <w:szCs w:val="22"/>
        </w:rPr>
        <w:t>doi:</w:t>
      </w:r>
      <w:r w:rsidRPr="00A52D25">
        <w:rPr>
          <w:rFonts w:ascii="Cambria" w:hAnsi="Cambria"/>
          <w:sz w:val="22"/>
          <w:szCs w:val="22"/>
        </w:rPr>
        <w:t>10.1007/s10680-015-9351-3.</w:t>
      </w:r>
    </w:p>
    <w:p w14:paraId="5FF2CADA" w14:textId="1FA72B6E" w:rsidR="009638E2" w:rsidRPr="00A52D25" w:rsidRDefault="009638E2" w:rsidP="009638E2">
      <w:pPr>
        <w:pStyle w:val="NormalWeb"/>
        <w:rPr>
          <w:rFonts w:ascii="Cambria" w:hAnsi="Cambria"/>
          <w:sz w:val="22"/>
          <w:szCs w:val="22"/>
        </w:rPr>
      </w:pPr>
      <w:r w:rsidRPr="00A52D25">
        <w:rPr>
          <w:rFonts w:ascii="Cambria" w:hAnsi="Cambria"/>
          <w:sz w:val="22"/>
          <w:szCs w:val="22"/>
        </w:rPr>
        <w:t xml:space="preserve">Mulder, C. H., &amp; Smits, A. (2013). Inter-generational ties, financial transfers and home-ownership support. </w:t>
      </w:r>
      <w:r w:rsidRPr="00A52D25">
        <w:rPr>
          <w:rFonts w:ascii="Cambria" w:hAnsi="Cambria"/>
          <w:i/>
          <w:iCs/>
          <w:sz w:val="22"/>
          <w:szCs w:val="22"/>
        </w:rPr>
        <w:t>Journal of Housing and the Built Environment</w:t>
      </w:r>
      <w:r w:rsidRPr="00A52D25">
        <w:rPr>
          <w:rFonts w:ascii="Cambria" w:hAnsi="Cambria"/>
          <w:sz w:val="22"/>
          <w:szCs w:val="22"/>
        </w:rPr>
        <w:t xml:space="preserve">, </w:t>
      </w:r>
      <w:r w:rsidRPr="00A52D25">
        <w:rPr>
          <w:rFonts w:ascii="Cambria" w:hAnsi="Cambria"/>
          <w:i/>
          <w:iCs/>
          <w:sz w:val="22"/>
          <w:szCs w:val="22"/>
        </w:rPr>
        <w:t>28</w:t>
      </w:r>
      <w:r w:rsidRPr="00A52D25">
        <w:rPr>
          <w:rFonts w:ascii="Cambria" w:hAnsi="Cambria"/>
          <w:sz w:val="22"/>
          <w:szCs w:val="22"/>
        </w:rPr>
        <w:t xml:space="preserve">(1), 95–112. </w:t>
      </w:r>
      <w:r w:rsidR="00315FD4" w:rsidRPr="00A52D25">
        <w:rPr>
          <w:rFonts w:ascii="Cambria" w:hAnsi="Cambria"/>
          <w:sz w:val="22"/>
          <w:szCs w:val="22"/>
        </w:rPr>
        <w:t>doi:</w:t>
      </w:r>
      <w:r w:rsidRPr="00A52D25">
        <w:rPr>
          <w:rFonts w:ascii="Cambria" w:hAnsi="Cambria"/>
          <w:sz w:val="22"/>
          <w:szCs w:val="22"/>
        </w:rPr>
        <w:t>10.1007/s10901-012-9302-9.</w:t>
      </w:r>
    </w:p>
    <w:p w14:paraId="616AA235" w14:textId="3CB657C8" w:rsidR="00B84197" w:rsidRPr="00A52D25" w:rsidRDefault="00B84197"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Murphy, L. (2018). </w:t>
      </w:r>
      <w:r w:rsidRPr="00A52D25">
        <w:rPr>
          <w:rFonts w:ascii="Cambria" w:eastAsia="Times New Roman" w:hAnsi="Cambria" w:cs="Times New Roman"/>
          <w:i/>
          <w:iCs/>
          <w:lang w:eastAsia="en-GB"/>
        </w:rPr>
        <w:t>The Invisible Land</w:t>
      </w:r>
      <w:r w:rsidR="00214C4E">
        <w:rPr>
          <w:rFonts w:ascii="Cambria" w:eastAsia="Times New Roman" w:hAnsi="Cambria" w:cs="Times New Roman"/>
          <w:i/>
          <w:iCs/>
          <w:lang w:eastAsia="en-GB"/>
        </w:rPr>
        <w:t>:</w:t>
      </w:r>
      <w:r w:rsidRPr="00A52D25">
        <w:rPr>
          <w:rFonts w:ascii="Cambria" w:eastAsia="Times New Roman" w:hAnsi="Cambria" w:cs="Times New Roman"/>
          <w:i/>
          <w:iCs/>
          <w:lang w:eastAsia="en-GB"/>
        </w:rPr>
        <w:t xml:space="preserve"> The </w:t>
      </w:r>
      <w:r w:rsidR="00214C4E">
        <w:rPr>
          <w:rFonts w:ascii="Cambria" w:eastAsia="Times New Roman" w:hAnsi="Cambria" w:cs="Times New Roman"/>
          <w:i/>
          <w:iCs/>
          <w:lang w:eastAsia="en-GB"/>
        </w:rPr>
        <w:t>H</w:t>
      </w:r>
      <w:r w:rsidRPr="00A52D25">
        <w:rPr>
          <w:rFonts w:ascii="Cambria" w:eastAsia="Times New Roman" w:hAnsi="Cambria" w:cs="Times New Roman"/>
          <w:i/>
          <w:iCs/>
          <w:lang w:eastAsia="en-GB"/>
        </w:rPr>
        <w:t xml:space="preserve">idden </w:t>
      </w:r>
      <w:r w:rsidR="00214C4E">
        <w:rPr>
          <w:rFonts w:ascii="Cambria" w:eastAsia="Times New Roman" w:hAnsi="Cambria" w:cs="Times New Roman"/>
          <w:i/>
          <w:iCs/>
          <w:lang w:eastAsia="en-GB"/>
        </w:rPr>
        <w:t>F</w:t>
      </w:r>
      <w:r w:rsidR="00214C4E" w:rsidRPr="00A52D25">
        <w:rPr>
          <w:rFonts w:ascii="Cambria" w:eastAsia="Times New Roman" w:hAnsi="Cambria" w:cs="Times New Roman"/>
          <w:i/>
          <w:iCs/>
          <w:lang w:eastAsia="en-GB"/>
        </w:rPr>
        <w:t xml:space="preserve">orce </w:t>
      </w:r>
      <w:r w:rsidR="00214C4E">
        <w:rPr>
          <w:rFonts w:ascii="Cambria" w:eastAsia="Times New Roman" w:hAnsi="Cambria" w:cs="Times New Roman"/>
          <w:i/>
          <w:iCs/>
          <w:lang w:eastAsia="en-GB"/>
        </w:rPr>
        <w:t>D</w:t>
      </w:r>
      <w:r w:rsidR="00214C4E" w:rsidRPr="00A52D25">
        <w:rPr>
          <w:rFonts w:ascii="Cambria" w:eastAsia="Times New Roman" w:hAnsi="Cambria" w:cs="Times New Roman"/>
          <w:i/>
          <w:iCs/>
          <w:lang w:eastAsia="en-GB"/>
        </w:rPr>
        <w:t xml:space="preserve">riving </w:t>
      </w:r>
      <w:r w:rsidRPr="00A52D25">
        <w:rPr>
          <w:rFonts w:ascii="Cambria" w:eastAsia="Times New Roman" w:hAnsi="Cambria" w:cs="Times New Roman"/>
          <w:i/>
          <w:iCs/>
          <w:lang w:eastAsia="en-GB"/>
        </w:rPr>
        <w:t xml:space="preserve">the UK’s </w:t>
      </w:r>
      <w:r w:rsidR="00214C4E">
        <w:rPr>
          <w:rFonts w:ascii="Cambria" w:eastAsia="Times New Roman" w:hAnsi="Cambria" w:cs="Times New Roman"/>
          <w:i/>
          <w:iCs/>
          <w:lang w:eastAsia="en-GB"/>
        </w:rPr>
        <w:t>U</w:t>
      </w:r>
      <w:r w:rsidR="00214C4E" w:rsidRPr="00A52D25">
        <w:rPr>
          <w:rFonts w:ascii="Cambria" w:eastAsia="Times New Roman" w:hAnsi="Cambria" w:cs="Times New Roman"/>
          <w:i/>
          <w:iCs/>
          <w:lang w:eastAsia="en-GB"/>
        </w:rPr>
        <w:t xml:space="preserve">nequal </w:t>
      </w:r>
      <w:r w:rsidR="00214C4E">
        <w:rPr>
          <w:rFonts w:ascii="Cambria" w:eastAsia="Times New Roman" w:hAnsi="Cambria" w:cs="Times New Roman"/>
          <w:i/>
          <w:iCs/>
          <w:lang w:eastAsia="en-GB"/>
        </w:rPr>
        <w:t>E</w:t>
      </w:r>
      <w:r w:rsidRPr="00A52D25">
        <w:rPr>
          <w:rFonts w:ascii="Cambria" w:eastAsia="Times New Roman" w:hAnsi="Cambria" w:cs="Times New Roman"/>
          <w:i/>
          <w:iCs/>
          <w:lang w:eastAsia="en-GB"/>
        </w:rPr>
        <w:t xml:space="preserve">conomy and </w:t>
      </w:r>
      <w:r w:rsidR="00214C4E">
        <w:rPr>
          <w:rFonts w:ascii="Cambria" w:eastAsia="Times New Roman" w:hAnsi="Cambria" w:cs="Times New Roman"/>
          <w:i/>
          <w:iCs/>
          <w:lang w:eastAsia="en-GB"/>
        </w:rPr>
        <w:t>B</w:t>
      </w:r>
      <w:r w:rsidR="00214C4E" w:rsidRPr="00A52D25">
        <w:rPr>
          <w:rFonts w:ascii="Cambria" w:eastAsia="Times New Roman" w:hAnsi="Cambria" w:cs="Times New Roman"/>
          <w:i/>
          <w:iCs/>
          <w:lang w:eastAsia="en-GB"/>
        </w:rPr>
        <w:t xml:space="preserve">roken </w:t>
      </w:r>
      <w:r w:rsidR="00214C4E">
        <w:rPr>
          <w:rFonts w:ascii="Cambria" w:eastAsia="Times New Roman" w:hAnsi="Cambria" w:cs="Times New Roman"/>
          <w:i/>
          <w:iCs/>
          <w:lang w:eastAsia="en-GB"/>
        </w:rPr>
        <w:t>H</w:t>
      </w:r>
      <w:r w:rsidRPr="00A52D25">
        <w:rPr>
          <w:rFonts w:ascii="Cambria" w:eastAsia="Times New Roman" w:hAnsi="Cambria" w:cs="Times New Roman"/>
          <w:i/>
          <w:iCs/>
          <w:lang w:eastAsia="en-GB"/>
        </w:rPr>
        <w:t>ousing</w:t>
      </w:r>
      <w:r w:rsidR="004C7F5D">
        <w:rPr>
          <w:rFonts w:ascii="Cambria" w:eastAsia="Times New Roman" w:hAnsi="Cambria" w:cs="Times New Roman"/>
          <w:i/>
          <w:iCs/>
          <w:lang w:eastAsia="en-GB"/>
        </w:rPr>
        <w:t xml:space="preserve"> </w:t>
      </w:r>
      <w:r w:rsidR="00214C4E">
        <w:rPr>
          <w:rFonts w:ascii="Cambria" w:eastAsia="Times New Roman" w:hAnsi="Cambria" w:cs="Times New Roman"/>
          <w:i/>
          <w:iCs/>
          <w:lang w:eastAsia="en-GB"/>
        </w:rPr>
        <w:t>M</w:t>
      </w:r>
      <w:r w:rsidRPr="00A52D25">
        <w:rPr>
          <w:rFonts w:ascii="Cambria" w:eastAsia="Times New Roman" w:hAnsi="Cambria" w:cs="Times New Roman"/>
          <w:i/>
          <w:iCs/>
          <w:lang w:eastAsia="en-GB"/>
        </w:rPr>
        <w:t>arket</w:t>
      </w:r>
      <w:r w:rsidRPr="00A52D25">
        <w:rPr>
          <w:rFonts w:ascii="Cambria" w:eastAsia="Times New Roman" w:hAnsi="Cambria" w:cs="Times New Roman"/>
          <w:lang w:eastAsia="en-GB"/>
        </w:rPr>
        <w:t xml:space="preserve">. </w:t>
      </w:r>
      <w:r w:rsidRPr="00A52D25">
        <w:rPr>
          <w:rFonts w:ascii="Cambria" w:eastAsia="Times New Roman" w:hAnsi="Cambria" w:cs="Times New Roman"/>
          <w:iCs/>
          <w:lang w:eastAsia="en-GB"/>
        </w:rPr>
        <w:t>IPPR Commission on Economic Justice- Discussion Paper:</w:t>
      </w:r>
      <w:r w:rsidRPr="00A52D25">
        <w:rPr>
          <w:rFonts w:ascii="Cambria" w:eastAsia="Times New Roman" w:hAnsi="Cambria" w:cs="Times New Roman"/>
          <w:lang w:eastAsia="en-GB"/>
        </w:rPr>
        <w:t xml:space="preserve"> London. Retrieved from </w:t>
      </w:r>
      <w:r w:rsidR="0063308C" w:rsidRPr="00A52D25">
        <w:rPr>
          <w:rFonts w:ascii="Cambria" w:eastAsia="Times New Roman" w:hAnsi="Cambria" w:cs="Times New Roman"/>
          <w:lang w:eastAsia="en-GB"/>
        </w:rPr>
        <w:t>https://www.ippr.org/files/2018-08/cej-land-tax-august18.pdf</w:t>
      </w:r>
      <w:r w:rsidRPr="00A52D25">
        <w:rPr>
          <w:rFonts w:ascii="Cambria" w:eastAsia="Times New Roman" w:hAnsi="Cambria" w:cs="Times New Roman"/>
          <w:lang w:eastAsia="en-GB"/>
        </w:rPr>
        <w:t>.</w:t>
      </w:r>
      <w:r w:rsidR="0063308C" w:rsidRPr="00A52D25">
        <w:rPr>
          <w:rFonts w:ascii="Cambria" w:eastAsia="Times New Roman" w:hAnsi="Cambria" w:cs="Times New Roman"/>
          <w:lang w:eastAsia="en-GB"/>
        </w:rPr>
        <w:t xml:space="preserve"> </w:t>
      </w:r>
      <w:r w:rsidR="0063308C" w:rsidRPr="00A52D25">
        <w:rPr>
          <w:rFonts w:ascii="Cambria" w:eastAsia="Times New Roman" w:hAnsi="Cambria" w:cs="Times New Roman"/>
          <w:i/>
          <w:lang w:eastAsia="en-GB"/>
        </w:rPr>
        <w:t xml:space="preserve">[Last checked </w:t>
      </w:r>
      <w:r w:rsidR="00C5402C">
        <w:rPr>
          <w:rFonts w:ascii="Cambria" w:eastAsia="Times New Roman" w:hAnsi="Cambria" w:cs="Times New Roman"/>
          <w:i/>
          <w:lang w:eastAsia="en-GB"/>
        </w:rPr>
        <w:t>16</w:t>
      </w:r>
      <w:r w:rsidR="00C5402C" w:rsidRPr="00A52D25">
        <w:rPr>
          <w:rFonts w:ascii="Cambria" w:eastAsia="Times New Roman" w:hAnsi="Cambria" w:cs="Times New Roman"/>
          <w:i/>
          <w:vertAlign w:val="superscript"/>
          <w:lang w:eastAsia="en-GB"/>
        </w:rPr>
        <w:t>th</w:t>
      </w:r>
      <w:r w:rsidR="00C5402C" w:rsidRPr="00A52D25">
        <w:rPr>
          <w:rFonts w:ascii="Cambria" w:eastAsia="Times New Roman" w:hAnsi="Cambria" w:cs="Times New Roman"/>
          <w:i/>
          <w:lang w:eastAsia="en-GB"/>
        </w:rPr>
        <w:t xml:space="preserve"> </w:t>
      </w:r>
      <w:r w:rsidR="00C5402C">
        <w:rPr>
          <w:rFonts w:ascii="Cambria" w:eastAsia="Times New Roman" w:hAnsi="Cambria" w:cs="Times New Roman"/>
          <w:i/>
          <w:lang w:eastAsia="en-GB"/>
        </w:rPr>
        <w:t>December</w:t>
      </w:r>
      <w:r w:rsidR="00C5402C" w:rsidRPr="00A52D25">
        <w:rPr>
          <w:rFonts w:ascii="Cambria" w:eastAsia="Times New Roman" w:hAnsi="Cambria" w:cs="Times New Roman"/>
          <w:i/>
          <w:lang w:eastAsia="en-GB"/>
        </w:rPr>
        <w:t xml:space="preserve"> </w:t>
      </w:r>
      <w:r w:rsidR="0063308C" w:rsidRPr="00A52D25">
        <w:rPr>
          <w:rFonts w:ascii="Cambria" w:eastAsia="Times New Roman" w:hAnsi="Cambria" w:cs="Times New Roman"/>
          <w:i/>
          <w:lang w:eastAsia="en-GB"/>
        </w:rPr>
        <w:t>2019]</w:t>
      </w:r>
      <w:r w:rsidR="0063308C" w:rsidRPr="00A52D25">
        <w:rPr>
          <w:rFonts w:ascii="Cambria" w:eastAsia="Times New Roman" w:hAnsi="Cambria" w:cs="Times New Roman"/>
          <w:lang w:eastAsia="en-GB"/>
        </w:rPr>
        <w:t>.</w:t>
      </w:r>
    </w:p>
    <w:p w14:paraId="69E706AD" w14:textId="04EB366D" w:rsidR="00081488" w:rsidRPr="00A52D25" w:rsidRDefault="00081488" w:rsidP="000D4A79">
      <w:pPr>
        <w:spacing w:before="100" w:beforeAutospacing="1" w:after="100" w:afterAutospacing="1" w:line="240" w:lineRule="auto"/>
        <w:rPr>
          <w:rFonts w:ascii="Cambria" w:eastAsia="Times New Roman" w:hAnsi="Cambria" w:cs="Times New Roman"/>
          <w:lang w:eastAsia="en-GB"/>
        </w:rPr>
      </w:pPr>
      <w:r w:rsidRPr="003428BB">
        <w:rPr>
          <w:rFonts w:ascii="Cambria" w:hAnsi="Cambria" w:cs="Arial"/>
          <w:color w:val="222222"/>
          <w:shd w:val="clear" w:color="auto" w:fill="FFFFFF"/>
        </w:rPr>
        <w:t>Neale, B., Henwood, K., &amp; Holland, J. (2012). Researching lives through time: an introduction to the Timescapes approach. </w:t>
      </w:r>
      <w:r w:rsidRPr="003428BB">
        <w:rPr>
          <w:rFonts w:ascii="Cambria" w:hAnsi="Cambria" w:cs="Arial"/>
          <w:i/>
          <w:iCs/>
          <w:color w:val="222222"/>
          <w:shd w:val="clear" w:color="auto" w:fill="FFFFFF"/>
        </w:rPr>
        <w:t>Qualitative Research</w:t>
      </w:r>
      <w:r w:rsidRPr="003428BB">
        <w:rPr>
          <w:rFonts w:ascii="Cambria" w:hAnsi="Cambria" w:cs="Arial"/>
          <w:color w:val="222222"/>
          <w:shd w:val="clear" w:color="auto" w:fill="FFFFFF"/>
        </w:rPr>
        <w:t>, </w:t>
      </w:r>
      <w:r w:rsidRPr="003428BB">
        <w:rPr>
          <w:rFonts w:ascii="Cambria" w:hAnsi="Cambria" w:cs="Arial"/>
          <w:i/>
          <w:iCs/>
          <w:color w:val="222222"/>
          <w:shd w:val="clear" w:color="auto" w:fill="FFFFFF"/>
        </w:rPr>
        <w:t>12</w:t>
      </w:r>
      <w:r w:rsidRPr="003428BB">
        <w:rPr>
          <w:rFonts w:ascii="Cambria" w:hAnsi="Cambria" w:cs="Arial"/>
          <w:color w:val="222222"/>
          <w:shd w:val="clear" w:color="auto" w:fill="FFFFFF"/>
        </w:rPr>
        <w:t>(1), 4-15.</w:t>
      </w:r>
    </w:p>
    <w:p w14:paraId="2537899F" w14:textId="601D3B8F" w:rsidR="00856DB6" w:rsidRPr="00A52D25" w:rsidRDefault="00856DB6"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Office for National Statistics (ONS) (2017) </w:t>
      </w:r>
      <w:r w:rsidRPr="00A52D25">
        <w:rPr>
          <w:rFonts w:ascii="Cambria" w:eastAsia="Times New Roman" w:hAnsi="Cambria" w:cs="Times New Roman"/>
          <w:i/>
          <w:lang w:eastAsia="en-GB"/>
        </w:rPr>
        <w:t>Families and Households: 2017</w:t>
      </w:r>
      <w:r w:rsidRPr="00A52D25">
        <w:rPr>
          <w:rFonts w:ascii="Cambria" w:eastAsia="Times New Roman" w:hAnsi="Cambria" w:cs="Times New Roman"/>
          <w:lang w:eastAsia="en-GB"/>
        </w:rPr>
        <w:t xml:space="preserve">. Office for National Statistics: Newport. Retrieved from </w:t>
      </w:r>
      <w:r w:rsidR="0063308C" w:rsidRPr="00A52D25">
        <w:rPr>
          <w:rFonts w:ascii="Cambria" w:eastAsia="Times New Roman" w:hAnsi="Cambria" w:cs="Times New Roman"/>
          <w:lang w:eastAsia="en-GB"/>
        </w:rPr>
        <w:t>https://www.ons.gov.uk/peoplepopulationandcommunity/birthsdeathsandmarriages/families/bulletins/familiesandhouseholds/2017</w:t>
      </w:r>
      <w:r w:rsidRPr="00A52D25">
        <w:rPr>
          <w:rFonts w:ascii="Cambria" w:eastAsia="Times New Roman" w:hAnsi="Cambria" w:cs="Times New Roman"/>
          <w:lang w:eastAsia="en-GB"/>
        </w:rPr>
        <w:t>.</w:t>
      </w:r>
      <w:r w:rsidR="0063308C" w:rsidRPr="00A52D25">
        <w:rPr>
          <w:rFonts w:ascii="Cambria" w:eastAsia="Times New Roman" w:hAnsi="Cambria" w:cs="Times New Roman"/>
          <w:lang w:eastAsia="en-GB"/>
        </w:rPr>
        <w:t xml:space="preserve"> </w:t>
      </w:r>
      <w:r w:rsidR="0063308C" w:rsidRPr="00A52D25">
        <w:rPr>
          <w:rFonts w:ascii="Cambria" w:eastAsia="Times New Roman" w:hAnsi="Cambria" w:cs="Times New Roman"/>
          <w:i/>
          <w:lang w:eastAsia="en-GB"/>
        </w:rPr>
        <w:t xml:space="preserve">[Last checked </w:t>
      </w:r>
      <w:r w:rsidR="00A40583">
        <w:rPr>
          <w:rFonts w:ascii="Cambria" w:eastAsia="Times New Roman" w:hAnsi="Cambria" w:cs="Times New Roman"/>
          <w:i/>
          <w:lang w:eastAsia="en-GB"/>
        </w:rPr>
        <w:t>16</w:t>
      </w:r>
      <w:r w:rsidR="00A40583" w:rsidRPr="00A52D25">
        <w:rPr>
          <w:rFonts w:ascii="Cambria" w:eastAsia="Times New Roman" w:hAnsi="Cambria" w:cs="Times New Roman"/>
          <w:i/>
          <w:vertAlign w:val="superscript"/>
          <w:lang w:eastAsia="en-GB"/>
        </w:rPr>
        <w:t>th</w:t>
      </w:r>
      <w:r w:rsidR="00A40583" w:rsidRPr="00A52D25">
        <w:rPr>
          <w:rFonts w:ascii="Cambria" w:eastAsia="Times New Roman" w:hAnsi="Cambria" w:cs="Times New Roman"/>
          <w:i/>
          <w:lang w:eastAsia="en-GB"/>
        </w:rPr>
        <w:t xml:space="preserve"> </w:t>
      </w:r>
      <w:r w:rsidR="00A40583">
        <w:rPr>
          <w:rFonts w:ascii="Cambria" w:eastAsia="Times New Roman" w:hAnsi="Cambria" w:cs="Times New Roman"/>
          <w:i/>
          <w:lang w:eastAsia="en-GB"/>
        </w:rPr>
        <w:t>December</w:t>
      </w:r>
      <w:r w:rsidR="00A40583" w:rsidRPr="00A52D25">
        <w:rPr>
          <w:rFonts w:ascii="Cambria" w:eastAsia="Times New Roman" w:hAnsi="Cambria" w:cs="Times New Roman"/>
          <w:i/>
          <w:lang w:eastAsia="en-GB"/>
        </w:rPr>
        <w:t xml:space="preserve"> </w:t>
      </w:r>
      <w:r w:rsidR="0063308C" w:rsidRPr="00A52D25">
        <w:rPr>
          <w:rFonts w:ascii="Cambria" w:eastAsia="Times New Roman" w:hAnsi="Cambria" w:cs="Times New Roman"/>
          <w:i/>
          <w:lang w:eastAsia="en-GB"/>
        </w:rPr>
        <w:t>2019]</w:t>
      </w:r>
      <w:r w:rsidR="0063308C" w:rsidRPr="00A52D25">
        <w:rPr>
          <w:rFonts w:ascii="Cambria" w:eastAsia="Times New Roman" w:hAnsi="Cambria" w:cs="Times New Roman"/>
          <w:lang w:eastAsia="en-GB"/>
        </w:rPr>
        <w:t>.</w:t>
      </w:r>
    </w:p>
    <w:p w14:paraId="590380DD" w14:textId="27948B63" w:rsidR="00AC5238" w:rsidRPr="00AC5238" w:rsidRDefault="00AC5238" w:rsidP="000D4A79">
      <w:pPr>
        <w:spacing w:before="100" w:beforeAutospacing="1" w:after="100" w:afterAutospacing="1" w:line="240" w:lineRule="auto"/>
        <w:rPr>
          <w:rFonts w:ascii="Cambria" w:eastAsia="Times New Roman" w:hAnsi="Cambria" w:cs="Times New Roman"/>
          <w:lang w:eastAsia="en-GB"/>
        </w:rPr>
      </w:pPr>
      <w:r w:rsidRPr="003428BB">
        <w:rPr>
          <w:rFonts w:ascii="Cambria" w:hAnsi="Cambria"/>
        </w:rPr>
        <w:t>Preece, J.</w:t>
      </w:r>
      <w:r>
        <w:rPr>
          <w:rFonts w:ascii="Cambria" w:hAnsi="Cambria"/>
          <w:i/>
        </w:rPr>
        <w:t xml:space="preserve">, </w:t>
      </w:r>
      <w:r>
        <w:rPr>
          <w:rFonts w:ascii="Cambria" w:hAnsi="Cambria"/>
        </w:rPr>
        <w:t>Crawford, J., McKee, K., Flint, J. and Robinson, D.</w:t>
      </w:r>
      <w:r w:rsidRPr="00AC5238">
        <w:rPr>
          <w:rFonts w:ascii="Cambria" w:hAnsi="Cambria"/>
        </w:rPr>
        <w:t xml:space="preserve"> (2020) </w:t>
      </w:r>
      <w:r w:rsidRPr="003428BB">
        <w:rPr>
          <w:rFonts w:ascii="Cambria" w:hAnsi="Cambria"/>
        </w:rPr>
        <w:t>Understanding</w:t>
      </w:r>
      <w:r w:rsidRPr="00AC5238">
        <w:rPr>
          <w:rFonts w:ascii="Cambria" w:hAnsi="Cambria"/>
        </w:rPr>
        <w:t xml:space="preserve"> changing housing aspirations: A review of the evidenc</w:t>
      </w:r>
      <w:r>
        <w:rPr>
          <w:rFonts w:ascii="Cambria" w:hAnsi="Cambria"/>
        </w:rPr>
        <w:t>e</w:t>
      </w:r>
      <w:r w:rsidRPr="003428BB">
        <w:rPr>
          <w:rFonts w:ascii="Cambria" w:hAnsi="Cambria"/>
        </w:rPr>
        <w:t xml:space="preserve">, </w:t>
      </w:r>
      <w:r w:rsidRPr="003428BB">
        <w:rPr>
          <w:rFonts w:ascii="Cambria" w:hAnsi="Cambria"/>
          <w:i/>
          <w:iCs/>
        </w:rPr>
        <w:t>Housing Studies</w:t>
      </w:r>
      <w:r w:rsidRPr="003428BB">
        <w:rPr>
          <w:rFonts w:ascii="Cambria" w:hAnsi="Cambria"/>
        </w:rPr>
        <w:t xml:space="preserve">. </w:t>
      </w:r>
      <w:r>
        <w:rPr>
          <w:rFonts w:ascii="Cambria" w:hAnsi="Cambria"/>
          <w:i/>
        </w:rPr>
        <w:t>35</w:t>
      </w:r>
      <w:r w:rsidRPr="007F3032">
        <w:rPr>
          <w:rFonts w:ascii="Cambria" w:hAnsi="Cambria"/>
        </w:rPr>
        <w:t>(1),</w:t>
      </w:r>
      <w:r w:rsidRPr="003428BB">
        <w:rPr>
          <w:rFonts w:ascii="Cambria" w:hAnsi="Cambria"/>
        </w:rPr>
        <w:t xml:space="preserve"> 87–106. doi: 10.1080/02673037.2019.1584665.</w:t>
      </w:r>
    </w:p>
    <w:p w14:paraId="0A79FA45" w14:textId="02E9A8F5" w:rsidR="008C0430" w:rsidRPr="00A52D25" w:rsidRDefault="008C0430"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Putnam, R.D. (2015) </w:t>
      </w:r>
      <w:r w:rsidRPr="00A52D25">
        <w:rPr>
          <w:rFonts w:ascii="Cambria" w:eastAsia="Times New Roman" w:hAnsi="Cambria" w:cs="Times New Roman"/>
          <w:i/>
          <w:lang w:eastAsia="en-GB"/>
        </w:rPr>
        <w:t>Our Kids: The American Dream in Crisis</w:t>
      </w:r>
      <w:r w:rsidRPr="00A52D25">
        <w:rPr>
          <w:rFonts w:ascii="Cambria" w:eastAsia="Times New Roman" w:hAnsi="Cambria" w:cs="Times New Roman"/>
          <w:lang w:eastAsia="en-GB"/>
        </w:rPr>
        <w:t>. New York: Simon &amp; Schuster.</w:t>
      </w:r>
    </w:p>
    <w:p w14:paraId="050FB02F" w14:textId="462C930F" w:rsidR="009C14F5" w:rsidRPr="00A52D25" w:rsidRDefault="009C14F5"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Resolution Foundation (2018) </w:t>
      </w:r>
      <w:r w:rsidRPr="00A52D25">
        <w:rPr>
          <w:rFonts w:ascii="Cambria" w:eastAsia="Times New Roman" w:hAnsi="Cambria" w:cs="Times New Roman"/>
          <w:i/>
          <w:lang w:eastAsia="en-GB"/>
        </w:rPr>
        <w:t>A New Generational Contract: The Final Report of the Intergenerational Commission</w:t>
      </w:r>
      <w:r w:rsidRPr="00A52D25">
        <w:rPr>
          <w:rFonts w:ascii="Cambria" w:eastAsia="Times New Roman" w:hAnsi="Cambria" w:cs="Times New Roman"/>
          <w:lang w:eastAsia="en-GB"/>
        </w:rPr>
        <w:t xml:space="preserve">. </w:t>
      </w:r>
      <w:r w:rsidR="000B3CF5" w:rsidRPr="00A52D25">
        <w:rPr>
          <w:rFonts w:ascii="Cambria" w:eastAsia="Times New Roman" w:hAnsi="Cambria" w:cs="Times New Roman"/>
          <w:lang w:eastAsia="en-GB"/>
        </w:rPr>
        <w:t xml:space="preserve">London: Resolution Foundation. </w:t>
      </w:r>
      <w:r w:rsidRPr="00A52D25">
        <w:rPr>
          <w:rFonts w:ascii="Cambria" w:eastAsia="Times New Roman" w:hAnsi="Cambria" w:cs="Times New Roman"/>
          <w:lang w:eastAsia="en-GB"/>
        </w:rPr>
        <w:t xml:space="preserve">Retrieved from </w:t>
      </w:r>
      <w:r w:rsidR="00382862" w:rsidRPr="00A52D25">
        <w:rPr>
          <w:rFonts w:ascii="Cambria" w:eastAsia="Times New Roman" w:hAnsi="Cambria" w:cs="Times New Roman"/>
          <w:lang w:eastAsia="en-GB"/>
        </w:rPr>
        <w:t xml:space="preserve">https://www.intergencommission.org/. </w:t>
      </w:r>
      <w:r w:rsidR="00382862" w:rsidRPr="00A52D25">
        <w:rPr>
          <w:rFonts w:ascii="Cambria" w:eastAsia="Times New Roman" w:hAnsi="Cambria" w:cs="Times New Roman"/>
          <w:i/>
          <w:lang w:eastAsia="en-GB"/>
        </w:rPr>
        <w:t xml:space="preserve">[Last checked </w:t>
      </w:r>
      <w:r w:rsidR="0041444C">
        <w:rPr>
          <w:rFonts w:ascii="Cambria" w:eastAsia="Times New Roman" w:hAnsi="Cambria" w:cs="Times New Roman"/>
          <w:i/>
          <w:lang w:eastAsia="en-GB"/>
        </w:rPr>
        <w:t>16</w:t>
      </w:r>
      <w:r w:rsidR="0041444C" w:rsidRPr="00A52D25">
        <w:rPr>
          <w:rFonts w:ascii="Cambria" w:eastAsia="Times New Roman" w:hAnsi="Cambria" w:cs="Times New Roman"/>
          <w:i/>
          <w:vertAlign w:val="superscript"/>
          <w:lang w:eastAsia="en-GB"/>
        </w:rPr>
        <w:t>th</w:t>
      </w:r>
      <w:r w:rsidR="0041444C" w:rsidRPr="00A52D25">
        <w:rPr>
          <w:rFonts w:ascii="Cambria" w:eastAsia="Times New Roman" w:hAnsi="Cambria" w:cs="Times New Roman"/>
          <w:i/>
          <w:lang w:eastAsia="en-GB"/>
        </w:rPr>
        <w:t xml:space="preserve"> </w:t>
      </w:r>
      <w:r w:rsidR="0041444C">
        <w:rPr>
          <w:rFonts w:ascii="Cambria" w:eastAsia="Times New Roman" w:hAnsi="Cambria" w:cs="Times New Roman"/>
          <w:i/>
          <w:lang w:eastAsia="en-GB"/>
        </w:rPr>
        <w:t>December</w:t>
      </w:r>
      <w:r w:rsidR="0041444C" w:rsidRPr="00A52D25">
        <w:rPr>
          <w:rFonts w:ascii="Cambria" w:eastAsia="Times New Roman" w:hAnsi="Cambria" w:cs="Times New Roman"/>
          <w:i/>
          <w:lang w:eastAsia="en-GB"/>
        </w:rPr>
        <w:t xml:space="preserve"> </w:t>
      </w:r>
      <w:r w:rsidR="00382862" w:rsidRPr="00A52D25">
        <w:rPr>
          <w:rFonts w:ascii="Cambria" w:eastAsia="Times New Roman" w:hAnsi="Cambria" w:cs="Times New Roman"/>
          <w:i/>
          <w:lang w:eastAsia="en-GB"/>
        </w:rPr>
        <w:t>2019]</w:t>
      </w:r>
      <w:r w:rsidR="00382862" w:rsidRPr="00A52D25">
        <w:rPr>
          <w:rFonts w:ascii="Cambria" w:eastAsia="Times New Roman" w:hAnsi="Cambria" w:cs="Times New Roman"/>
          <w:lang w:eastAsia="en-GB"/>
        </w:rPr>
        <w:t>.</w:t>
      </w:r>
    </w:p>
    <w:p w14:paraId="21AAE793" w14:textId="70BD3E08" w:rsidR="00964FFD" w:rsidRPr="00A52D25" w:rsidRDefault="00964FFD"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Ronald, R. (2018). ‘Generation Rent’ and intergenerational relations in the era of housing financialisation. </w:t>
      </w:r>
      <w:r w:rsidRPr="00A52D25">
        <w:rPr>
          <w:rFonts w:ascii="Cambria" w:eastAsia="Times New Roman" w:hAnsi="Cambria" w:cs="Times New Roman"/>
          <w:i/>
          <w:iCs/>
          <w:lang w:eastAsia="en-GB"/>
        </w:rPr>
        <w:t>Critical Housing Analysis</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5</w:t>
      </w:r>
      <w:r w:rsidRPr="00A52D25">
        <w:rPr>
          <w:rFonts w:ascii="Cambria" w:eastAsia="Times New Roman" w:hAnsi="Cambria" w:cs="Times New Roman"/>
          <w:lang w:eastAsia="en-GB"/>
        </w:rPr>
        <w:t xml:space="preserve">(2), 14–26. </w:t>
      </w:r>
      <w:r w:rsidR="00F87CE4" w:rsidRPr="00A52D25">
        <w:rPr>
          <w:rFonts w:ascii="Cambria" w:eastAsia="Times New Roman" w:hAnsi="Cambria" w:cs="Times New Roman"/>
          <w:lang w:eastAsia="en-GB"/>
        </w:rPr>
        <w:t>doi:</w:t>
      </w:r>
      <w:r w:rsidRPr="00A52D25">
        <w:rPr>
          <w:rFonts w:ascii="Cambria" w:eastAsia="Times New Roman" w:hAnsi="Cambria" w:cs="Times New Roman"/>
          <w:lang w:eastAsia="en-GB"/>
        </w:rPr>
        <w:t>10.13060/23362839.2018.5.2.439.</w:t>
      </w:r>
    </w:p>
    <w:p w14:paraId="0F7F1178" w14:textId="1A8ADF66" w:rsidR="00CD3D62" w:rsidRPr="00A52D25" w:rsidRDefault="00CD3D62" w:rsidP="00CD3D62">
      <w:pPr>
        <w:pStyle w:val="NormalWeb"/>
        <w:rPr>
          <w:rFonts w:ascii="Cambria" w:hAnsi="Cambria"/>
          <w:sz w:val="22"/>
          <w:szCs w:val="22"/>
        </w:rPr>
      </w:pPr>
      <w:r w:rsidRPr="00A52D25">
        <w:rPr>
          <w:rFonts w:ascii="Cambria" w:hAnsi="Cambria"/>
          <w:sz w:val="22"/>
          <w:szCs w:val="22"/>
        </w:rPr>
        <w:t xml:space="preserve">Ronald, R., Kadi, J., &amp; Lennartz, C. (2015). Homeownership-based welfare in transition. </w:t>
      </w:r>
      <w:r w:rsidRPr="00A52D25">
        <w:rPr>
          <w:rFonts w:ascii="Cambria" w:hAnsi="Cambria"/>
          <w:i/>
          <w:iCs/>
          <w:sz w:val="22"/>
          <w:szCs w:val="22"/>
        </w:rPr>
        <w:t>Critical Housing Analysis</w:t>
      </w:r>
      <w:r w:rsidRPr="00A52D25">
        <w:rPr>
          <w:rFonts w:ascii="Cambria" w:hAnsi="Cambria"/>
          <w:sz w:val="22"/>
          <w:szCs w:val="22"/>
        </w:rPr>
        <w:t xml:space="preserve">, </w:t>
      </w:r>
      <w:r w:rsidRPr="00A52D25">
        <w:rPr>
          <w:rFonts w:ascii="Cambria" w:hAnsi="Cambria"/>
          <w:i/>
          <w:iCs/>
          <w:sz w:val="22"/>
          <w:szCs w:val="22"/>
        </w:rPr>
        <w:t>2</w:t>
      </w:r>
      <w:r w:rsidRPr="00A52D25">
        <w:rPr>
          <w:rFonts w:ascii="Cambria" w:hAnsi="Cambria"/>
          <w:sz w:val="22"/>
          <w:szCs w:val="22"/>
        </w:rPr>
        <w:t>(1), 52–64.</w:t>
      </w:r>
      <w:r w:rsidR="00D421C1" w:rsidRPr="00A52D25">
        <w:rPr>
          <w:rFonts w:ascii="Cambria" w:hAnsi="Cambria"/>
          <w:sz w:val="22"/>
          <w:szCs w:val="22"/>
        </w:rPr>
        <w:t xml:space="preserve"> doi:10.13060/23362839.2015.2.1.176.</w:t>
      </w:r>
    </w:p>
    <w:p w14:paraId="704A274A" w14:textId="277AC824" w:rsidR="00EC0CA3" w:rsidRPr="003428BB" w:rsidRDefault="00EC0CA3" w:rsidP="005E31AB">
      <w:pPr>
        <w:pStyle w:val="NormalWeb"/>
        <w:rPr>
          <w:rFonts w:ascii="Cambria" w:hAnsi="Cambria"/>
          <w:sz w:val="20"/>
          <w:szCs w:val="22"/>
        </w:rPr>
      </w:pPr>
      <w:r w:rsidRPr="003428BB">
        <w:rPr>
          <w:rFonts w:ascii="Cambria" w:hAnsi="Cambria"/>
          <w:sz w:val="22"/>
        </w:rPr>
        <w:t xml:space="preserve">Scanlon, K., Fernandez, M. and Whitehead, C. (2014) </w:t>
      </w:r>
      <w:r w:rsidR="004C7F5D" w:rsidRPr="003428BB">
        <w:rPr>
          <w:rFonts w:ascii="Cambria" w:hAnsi="Cambria"/>
          <w:i/>
          <w:iCs/>
          <w:sz w:val="22"/>
        </w:rPr>
        <w:t>A L</w:t>
      </w:r>
      <w:r w:rsidRPr="003428BB">
        <w:rPr>
          <w:rFonts w:ascii="Cambria" w:hAnsi="Cambria"/>
          <w:i/>
          <w:iCs/>
          <w:sz w:val="22"/>
        </w:rPr>
        <w:t xml:space="preserve">ifestyle </w:t>
      </w:r>
      <w:r w:rsidR="004C7F5D">
        <w:rPr>
          <w:rFonts w:ascii="Cambria" w:hAnsi="Cambria"/>
          <w:i/>
          <w:iCs/>
          <w:sz w:val="22"/>
        </w:rPr>
        <w:t>C</w:t>
      </w:r>
      <w:r w:rsidRPr="003428BB">
        <w:rPr>
          <w:rFonts w:ascii="Cambria" w:hAnsi="Cambria"/>
          <w:i/>
          <w:iCs/>
          <w:sz w:val="22"/>
        </w:rPr>
        <w:t xml:space="preserve">hoice for </w:t>
      </w:r>
      <w:r w:rsidR="004C7F5D">
        <w:rPr>
          <w:rFonts w:ascii="Cambria" w:hAnsi="Cambria"/>
          <w:i/>
          <w:iCs/>
          <w:sz w:val="22"/>
        </w:rPr>
        <w:t>F</w:t>
      </w:r>
      <w:r w:rsidRPr="003428BB">
        <w:rPr>
          <w:rFonts w:ascii="Cambria" w:hAnsi="Cambria"/>
          <w:i/>
          <w:iCs/>
          <w:sz w:val="22"/>
        </w:rPr>
        <w:t xml:space="preserve">amilies ? Private </w:t>
      </w:r>
      <w:r w:rsidR="004C7F5D">
        <w:rPr>
          <w:rFonts w:ascii="Cambria" w:hAnsi="Cambria"/>
          <w:i/>
          <w:iCs/>
          <w:sz w:val="22"/>
        </w:rPr>
        <w:t>R</w:t>
      </w:r>
      <w:r w:rsidRPr="003428BB">
        <w:rPr>
          <w:rFonts w:ascii="Cambria" w:hAnsi="Cambria"/>
          <w:i/>
          <w:iCs/>
          <w:sz w:val="22"/>
        </w:rPr>
        <w:t>enting in London, New York, Berlin and the Randstad</w:t>
      </w:r>
      <w:r w:rsidRPr="00C611F9">
        <w:rPr>
          <w:rFonts w:ascii="Cambria" w:hAnsi="Cambria"/>
          <w:sz w:val="22"/>
        </w:rPr>
        <w:t>. London: Get Living London.</w:t>
      </w:r>
      <w:r w:rsidRPr="003428BB">
        <w:rPr>
          <w:rFonts w:ascii="Cambria" w:hAnsi="Cambria"/>
          <w:sz w:val="22"/>
        </w:rPr>
        <w:t xml:space="preserve"> </w:t>
      </w:r>
      <w:r w:rsidR="002C621B">
        <w:rPr>
          <w:rFonts w:ascii="Cambria" w:hAnsi="Cambria"/>
          <w:sz w:val="22"/>
        </w:rPr>
        <w:t>Retrieved from</w:t>
      </w:r>
      <w:r w:rsidR="002C621B" w:rsidRPr="003428BB">
        <w:rPr>
          <w:rFonts w:ascii="Cambria" w:hAnsi="Cambria"/>
          <w:sz w:val="22"/>
        </w:rPr>
        <w:t xml:space="preserve"> </w:t>
      </w:r>
      <w:hyperlink r:id="rId11" w:history="1">
        <w:r w:rsidR="002C621B" w:rsidRPr="003428BB">
          <w:rPr>
            <w:rStyle w:val="Hyperlink"/>
            <w:rFonts w:ascii="Cambria" w:hAnsi="Cambria"/>
            <w:sz w:val="22"/>
          </w:rPr>
          <w:t>http://eprints.lse.ac.uk/58946</w:t>
        </w:r>
      </w:hyperlink>
      <w:r w:rsidRPr="003428BB">
        <w:rPr>
          <w:rFonts w:ascii="Cambria" w:hAnsi="Cambria"/>
          <w:sz w:val="22"/>
        </w:rPr>
        <w:t>.</w:t>
      </w:r>
      <w:r w:rsidR="002C621B">
        <w:rPr>
          <w:rFonts w:ascii="Cambria" w:hAnsi="Cambria"/>
          <w:sz w:val="22"/>
        </w:rPr>
        <w:t xml:space="preserve"> </w:t>
      </w:r>
      <w:r w:rsidR="002C621B">
        <w:rPr>
          <w:rFonts w:ascii="Cambria" w:hAnsi="Cambria"/>
          <w:i/>
          <w:sz w:val="22"/>
        </w:rPr>
        <w:t>[Last checked 19</w:t>
      </w:r>
      <w:r w:rsidR="002C621B" w:rsidRPr="003428BB">
        <w:rPr>
          <w:rFonts w:ascii="Cambria" w:hAnsi="Cambria"/>
          <w:i/>
          <w:sz w:val="22"/>
          <w:vertAlign w:val="superscript"/>
        </w:rPr>
        <w:t>th</w:t>
      </w:r>
      <w:r w:rsidR="002C621B">
        <w:rPr>
          <w:rFonts w:ascii="Cambria" w:hAnsi="Cambria"/>
          <w:i/>
          <w:sz w:val="22"/>
        </w:rPr>
        <w:t xml:space="preserve"> December 2019].</w:t>
      </w:r>
    </w:p>
    <w:p w14:paraId="385C46F1" w14:textId="3EC31CA9" w:rsidR="005E31AB" w:rsidRPr="00A52D25" w:rsidRDefault="005E31AB" w:rsidP="005E31AB">
      <w:pPr>
        <w:pStyle w:val="NormalWeb"/>
        <w:rPr>
          <w:rFonts w:ascii="Cambria" w:hAnsi="Cambria"/>
          <w:sz w:val="22"/>
          <w:szCs w:val="22"/>
        </w:rPr>
      </w:pPr>
      <w:r w:rsidRPr="00CD7BCC">
        <w:rPr>
          <w:rFonts w:ascii="Cambria" w:hAnsi="Cambria"/>
          <w:sz w:val="22"/>
          <w:szCs w:val="22"/>
        </w:rPr>
        <w:t xml:space="preserve">Schupp, J. (2009) Twenty-five years of the German Socio-Economic Panel: An infrastructure project for empirical social and economic research in Germany, </w:t>
      </w:r>
      <w:r w:rsidRPr="00CD7BCC">
        <w:rPr>
          <w:rFonts w:ascii="Cambria" w:hAnsi="Cambria"/>
          <w:i/>
          <w:iCs/>
          <w:sz w:val="22"/>
          <w:szCs w:val="22"/>
        </w:rPr>
        <w:t>Zeitschrift fur Soziologie</w:t>
      </w:r>
      <w:r w:rsidRPr="00CD7BCC">
        <w:rPr>
          <w:rFonts w:ascii="Cambria" w:hAnsi="Cambria"/>
          <w:sz w:val="22"/>
          <w:szCs w:val="22"/>
        </w:rPr>
        <w:t xml:space="preserve">, </w:t>
      </w:r>
      <w:r w:rsidRPr="003428BB">
        <w:rPr>
          <w:rFonts w:ascii="Cambria" w:hAnsi="Cambria"/>
          <w:i/>
          <w:sz w:val="22"/>
          <w:szCs w:val="22"/>
        </w:rPr>
        <w:t>38</w:t>
      </w:r>
      <w:r>
        <w:rPr>
          <w:rFonts w:ascii="Cambria" w:hAnsi="Cambria"/>
          <w:sz w:val="22"/>
          <w:szCs w:val="22"/>
        </w:rPr>
        <w:t xml:space="preserve">(5), </w:t>
      </w:r>
      <w:r w:rsidRPr="00CD7BCC">
        <w:rPr>
          <w:rFonts w:ascii="Cambria" w:hAnsi="Cambria"/>
          <w:sz w:val="22"/>
          <w:szCs w:val="22"/>
        </w:rPr>
        <w:t>350–357.</w:t>
      </w:r>
      <w:r w:rsidR="0014092A">
        <w:rPr>
          <w:rFonts w:ascii="Cambria" w:hAnsi="Cambria"/>
          <w:sz w:val="22"/>
          <w:szCs w:val="22"/>
        </w:rPr>
        <w:t xml:space="preserve"> doi:</w:t>
      </w:r>
      <w:r w:rsidR="0014092A" w:rsidRPr="003428BB">
        <w:rPr>
          <w:rStyle w:val="article-doi"/>
          <w:rFonts w:ascii="Cambria" w:hAnsi="Cambria"/>
          <w:sz w:val="22"/>
        </w:rPr>
        <w:t>10.1515/zfsoz-2009-0501.</w:t>
      </w:r>
    </w:p>
    <w:p w14:paraId="4F900662" w14:textId="49CAE71D" w:rsidR="00923988" w:rsidRPr="00A52D25" w:rsidRDefault="00923988" w:rsidP="00923988">
      <w:pPr>
        <w:spacing w:before="100" w:beforeAutospacing="1" w:after="100" w:afterAutospacing="1" w:line="264" w:lineRule="auto"/>
        <w:rPr>
          <w:rFonts w:ascii="Cambria" w:hAnsi="Cambria"/>
        </w:rPr>
      </w:pPr>
      <w:r w:rsidRPr="00A52D25">
        <w:rPr>
          <w:rFonts w:ascii="Cambria" w:eastAsia="Times New Roman" w:hAnsi="Cambria" w:cs="Times New Roman"/>
          <w:lang w:eastAsia="en-GB"/>
        </w:rPr>
        <w:t xml:space="preserve">Scott, J. (2000). Is it a different world to when you were growing up? Generational effects on social representations and child-rearing values. </w:t>
      </w:r>
      <w:r w:rsidRPr="00A52D25">
        <w:rPr>
          <w:rFonts w:ascii="Cambria" w:eastAsia="Times New Roman" w:hAnsi="Cambria" w:cs="Times New Roman"/>
          <w:i/>
          <w:iCs/>
          <w:lang w:eastAsia="en-GB"/>
        </w:rPr>
        <w:t>The British Journal of Sociology</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51</w:t>
      </w:r>
      <w:r w:rsidRPr="00A52D25">
        <w:rPr>
          <w:rFonts w:ascii="Cambria" w:eastAsia="Times New Roman" w:hAnsi="Cambria" w:cs="Times New Roman"/>
          <w:lang w:eastAsia="en-GB"/>
        </w:rPr>
        <w:t xml:space="preserve">(2), 355–376. </w:t>
      </w:r>
      <w:r w:rsidR="00BE1D37" w:rsidRPr="00A52D25">
        <w:rPr>
          <w:rFonts w:ascii="Cambria" w:eastAsia="Times New Roman" w:hAnsi="Cambria" w:cs="Times New Roman"/>
          <w:lang w:eastAsia="en-GB"/>
        </w:rPr>
        <w:t>doi:</w:t>
      </w:r>
      <w:r w:rsidR="00BE1D37" w:rsidRPr="00A52D25">
        <w:rPr>
          <w:rFonts w:ascii="Cambria" w:hAnsi="Cambria"/>
        </w:rPr>
        <w:t>10.1111/j.1468-4446.2000.00355.x</w:t>
      </w:r>
    </w:p>
    <w:p w14:paraId="3D79D287" w14:textId="65224BA1" w:rsidR="00A3546F" w:rsidRPr="00A52D25" w:rsidRDefault="00A3546F" w:rsidP="00923988">
      <w:pPr>
        <w:spacing w:before="100" w:beforeAutospacing="1" w:after="100" w:afterAutospacing="1" w:line="264" w:lineRule="auto"/>
        <w:rPr>
          <w:rFonts w:ascii="Cambria" w:eastAsia="Times New Roman" w:hAnsi="Cambria" w:cs="Times New Roman"/>
          <w:lang w:eastAsia="en-GB"/>
        </w:rPr>
      </w:pPr>
      <w:r w:rsidRPr="00A52D25">
        <w:rPr>
          <w:rFonts w:ascii="Cambria" w:eastAsia="Times New Roman" w:hAnsi="Cambria" w:cs="Times New Roman"/>
          <w:lang w:eastAsia="en-GB"/>
        </w:rPr>
        <w:t xml:space="preserve">Seaman, S. R., &amp; White, I. R. (2013). Review of inverse probability weighting for dealing with missing data. </w:t>
      </w:r>
      <w:r w:rsidRPr="003428BB">
        <w:rPr>
          <w:rFonts w:ascii="Cambria" w:eastAsia="Times New Roman" w:hAnsi="Cambria" w:cs="Times New Roman"/>
          <w:i/>
          <w:iCs/>
          <w:lang w:eastAsia="en-GB"/>
        </w:rPr>
        <w:t>Statistical Methods in Medical Research</w:t>
      </w:r>
      <w:r w:rsidRPr="00A52D25">
        <w:rPr>
          <w:rFonts w:ascii="Cambria" w:eastAsia="Times New Roman" w:hAnsi="Cambria" w:cs="Times New Roman"/>
          <w:lang w:eastAsia="en-GB"/>
        </w:rPr>
        <w:t xml:space="preserve">, </w:t>
      </w:r>
      <w:r w:rsidRPr="003428BB">
        <w:rPr>
          <w:rFonts w:ascii="Cambria" w:eastAsia="Times New Roman" w:hAnsi="Cambria" w:cs="Times New Roman"/>
          <w:i/>
          <w:lang w:eastAsia="en-GB"/>
        </w:rPr>
        <w:t>22</w:t>
      </w:r>
      <w:r w:rsidRPr="00A52D25">
        <w:rPr>
          <w:rFonts w:ascii="Cambria" w:eastAsia="Times New Roman" w:hAnsi="Cambria" w:cs="Times New Roman"/>
          <w:lang w:eastAsia="en-GB"/>
        </w:rPr>
        <w:t>(3), 278-295.</w:t>
      </w:r>
      <w:r w:rsidR="00320BCA">
        <w:rPr>
          <w:rFonts w:ascii="Cambria" w:eastAsia="Times New Roman" w:hAnsi="Cambria" w:cs="Times New Roman"/>
          <w:lang w:eastAsia="en-GB"/>
        </w:rPr>
        <w:t xml:space="preserve"> doi:</w:t>
      </w:r>
      <w:r w:rsidR="00320BCA" w:rsidRPr="003428BB">
        <w:rPr>
          <w:rFonts w:ascii="Cambria" w:hAnsi="Cambria"/>
        </w:rPr>
        <w:t>10.1177/0962280210395740.</w:t>
      </w:r>
    </w:p>
    <w:p w14:paraId="69ECD63E" w14:textId="2D26E451" w:rsidR="00B161DA" w:rsidRPr="00A52D25" w:rsidRDefault="00B161DA"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South, S. J., &amp; Lei, L. (2015). Failures-to-launch and boomerang kids: Contemporary determinants of leaving and returning to the parental home. </w:t>
      </w:r>
      <w:r w:rsidRPr="00A52D25">
        <w:rPr>
          <w:rFonts w:ascii="Cambria" w:eastAsia="Times New Roman" w:hAnsi="Cambria" w:cs="Times New Roman"/>
          <w:i/>
          <w:iCs/>
          <w:lang w:eastAsia="en-GB"/>
        </w:rPr>
        <w:t xml:space="preserve">Social Forces, 94(2), </w:t>
      </w:r>
      <w:r w:rsidRPr="00A52D25">
        <w:rPr>
          <w:rFonts w:ascii="Cambria" w:eastAsia="Times New Roman" w:hAnsi="Cambria" w:cs="Times New Roman"/>
          <w:lang w:eastAsia="en-GB"/>
        </w:rPr>
        <w:t xml:space="preserve">863-890. </w:t>
      </w:r>
      <w:r w:rsidR="00E72DE3" w:rsidRPr="00A52D25">
        <w:rPr>
          <w:rFonts w:ascii="Cambria" w:eastAsia="Times New Roman" w:hAnsi="Cambria" w:cs="Times New Roman"/>
          <w:lang w:eastAsia="en-GB"/>
        </w:rPr>
        <w:t>doi:</w:t>
      </w:r>
      <w:r w:rsidR="00BD4AF6" w:rsidRPr="00A52D25">
        <w:rPr>
          <w:rFonts w:ascii="Cambria" w:eastAsia="Times New Roman" w:hAnsi="Cambria" w:cs="Times New Roman"/>
          <w:lang w:eastAsia="en-GB"/>
        </w:rPr>
        <w:t>10.1093/sf/sov064</w:t>
      </w:r>
      <w:r w:rsidRPr="00A52D25">
        <w:rPr>
          <w:rFonts w:ascii="Cambria" w:eastAsia="Times New Roman" w:hAnsi="Cambria" w:cs="Times New Roman"/>
          <w:lang w:eastAsia="en-GB"/>
        </w:rPr>
        <w:t>.</w:t>
      </w:r>
    </w:p>
    <w:p w14:paraId="4811C128" w14:textId="1817BC1B" w:rsidR="00873150" w:rsidRPr="00A52D25" w:rsidRDefault="00873150"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Spallek, M., Haynes, M &amp; Jones, A. (2014). Holistic housing pathways for Australian families through the childbearing years. </w:t>
      </w:r>
      <w:r w:rsidRPr="00A52D25">
        <w:rPr>
          <w:rFonts w:ascii="Cambria" w:eastAsia="Times New Roman" w:hAnsi="Cambria" w:cs="Times New Roman"/>
          <w:i/>
          <w:lang w:eastAsia="en-GB"/>
        </w:rPr>
        <w:t>Longitudinal and Life Course Studies, 5(2),</w:t>
      </w:r>
      <w:r w:rsidRPr="00A52D25">
        <w:rPr>
          <w:rFonts w:ascii="Cambria" w:eastAsia="Times New Roman" w:hAnsi="Cambria" w:cs="Times New Roman"/>
          <w:lang w:eastAsia="en-GB"/>
        </w:rPr>
        <w:t xml:space="preserve"> 205-226. doi: </w:t>
      </w:r>
      <w:r w:rsidRPr="00A52D25">
        <w:rPr>
          <w:rFonts w:ascii="Cambria" w:hAnsi="Cambria"/>
        </w:rPr>
        <w:t>10.14301/llcs.v5i2.276.</w:t>
      </w:r>
      <w:r w:rsidRPr="003428BB">
        <w:rPr>
          <w:rFonts w:ascii="Cambria" w:hAnsi="Cambria"/>
        </w:rPr>
        <w:t xml:space="preserve"> </w:t>
      </w:r>
    </w:p>
    <w:p w14:paraId="270A4365" w14:textId="04B85660" w:rsidR="007F1A49" w:rsidRPr="00A52D25" w:rsidRDefault="007F1A49" w:rsidP="007F1A4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Stone, J., Berrington, A., &amp; Falkingham, J. (2011). The changing determinants of UK young adults´ living arrangements. </w:t>
      </w:r>
      <w:r w:rsidRPr="00A52D25">
        <w:rPr>
          <w:rFonts w:ascii="Cambria" w:eastAsia="Times New Roman" w:hAnsi="Cambria" w:cs="Times New Roman"/>
          <w:i/>
          <w:iCs/>
          <w:lang w:eastAsia="en-GB"/>
        </w:rPr>
        <w:t>Demographic Research</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25</w:t>
      </w:r>
      <w:r w:rsidRPr="00A52D25">
        <w:rPr>
          <w:rFonts w:ascii="Cambria" w:eastAsia="Times New Roman" w:hAnsi="Cambria" w:cs="Times New Roman"/>
          <w:lang w:eastAsia="en-GB"/>
        </w:rPr>
        <w:t xml:space="preserve">, 629–666. </w:t>
      </w:r>
      <w:r w:rsidR="002F307F" w:rsidRPr="00A52D25">
        <w:rPr>
          <w:rFonts w:ascii="Cambria" w:eastAsia="Times New Roman" w:hAnsi="Cambria" w:cs="Times New Roman"/>
          <w:lang w:eastAsia="en-GB"/>
        </w:rPr>
        <w:t>doi:</w:t>
      </w:r>
      <w:r w:rsidRPr="00A52D25">
        <w:rPr>
          <w:rFonts w:ascii="Cambria" w:eastAsia="Times New Roman" w:hAnsi="Cambria" w:cs="Times New Roman"/>
          <w:lang w:eastAsia="en-GB"/>
        </w:rPr>
        <w:t>10.4054/DemRes.2011.25.20.</w:t>
      </w:r>
    </w:p>
    <w:p w14:paraId="54B3B66E" w14:textId="0A7D42D7" w:rsidR="007F1A49" w:rsidRPr="00A52D25" w:rsidRDefault="007F1A49" w:rsidP="007F1A4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Stone, J., Berrington, A., &amp; Falkingham, J. (2014). Gender, turning points, and boomerangs: returning home in young adulthood in Great Britain. </w:t>
      </w:r>
      <w:r w:rsidRPr="00A52D25">
        <w:rPr>
          <w:rFonts w:ascii="Cambria" w:eastAsia="Times New Roman" w:hAnsi="Cambria" w:cs="Times New Roman"/>
          <w:i/>
          <w:iCs/>
          <w:lang w:eastAsia="en-GB"/>
        </w:rPr>
        <w:t>Demography</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51</w:t>
      </w:r>
      <w:r w:rsidRPr="00A52D25">
        <w:rPr>
          <w:rFonts w:ascii="Cambria" w:eastAsia="Times New Roman" w:hAnsi="Cambria" w:cs="Times New Roman"/>
          <w:lang w:eastAsia="en-GB"/>
        </w:rPr>
        <w:t xml:space="preserve">(1), 257–276. </w:t>
      </w:r>
      <w:r w:rsidR="002F307F" w:rsidRPr="00A52D25">
        <w:rPr>
          <w:rFonts w:ascii="Cambria" w:eastAsia="Times New Roman" w:hAnsi="Cambria" w:cs="Times New Roman"/>
          <w:lang w:eastAsia="en-GB"/>
        </w:rPr>
        <w:t>doi:</w:t>
      </w:r>
      <w:r w:rsidRPr="00A52D25">
        <w:rPr>
          <w:rFonts w:ascii="Cambria" w:eastAsia="Times New Roman" w:hAnsi="Cambria" w:cs="Times New Roman"/>
          <w:lang w:eastAsia="en-GB"/>
        </w:rPr>
        <w:t>10.1007/s13524-013-0247-8.</w:t>
      </w:r>
    </w:p>
    <w:p w14:paraId="0279D5C7" w14:textId="4C86C1C6" w:rsidR="00B96839" w:rsidRPr="00A52D25" w:rsidRDefault="00B96839" w:rsidP="007F1A49">
      <w:pPr>
        <w:spacing w:before="100" w:beforeAutospacing="1" w:after="100" w:afterAutospacing="1" w:line="240" w:lineRule="auto"/>
        <w:rPr>
          <w:rFonts w:ascii="Cambria" w:eastAsia="Times New Roman" w:hAnsi="Cambria" w:cs="Times New Roman"/>
          <w:lang w:eastAsia="en-GB"/>
        </w:rPr>
      </w:pPr>
      <w:r w:rsidRPr="003428BB">
        <w:rPr>
          <w:rFonts w:ascii="Cambria" w:hAnsi="Cambria" w:cs="Arial"/>
        </w:rPr>
        <w:t xml:space="preserve">Summerfield, M., Bright, S., Hahn, M., La, N., Macalalad, N., Watson, N., Wilkins, R. and Wooden, M. (2019). </w:t>
      </w:r>
      <w:r w:rsidRPr="003428BB">
        <w:rPr>
          <w:rFonts w:ascii="Cambria" w:hAnsi="Cambria" w:cs="Arial"/>
          <w:i/>
        </w:rPr>
        <w:t>HILDA User Manual – Release 18</w:t>
      </w:r>
      <w:r w:rsidRPr="003428BB">
        <w:rPr>
          <w:rFonts w:ascii="Cambria" w:hAnsi="Cambria" w:cs="Arial"/>
        </w:rPr>
        <w:t>. Melbourne Institute:</w:t>
      </w:r>
      <w:r w:rsidR="009855BD">
        <w:rPr>
          <w:rFonts w:ascii="Cambria" w:hAnsi="Cambria" w:cs="Arial"/>
        </w:rPr>
        <w:t xml:space="preserve"> </w:t>
      </w:r>
      <w:r w:rsidRPr="003428BB">
        <w:rPr>
          <w:rFonts w:ascii="Cambria" w:hAnsi="Cambria" w:cs="Arial"/>
        </w:rPr>
        <w:t>Applied Economic and Social Research, University of Melbourne.</w:t>
      </w:r>
    </w:p>
    <w:p w14:paraId="138500B2" w14:textId="2F4FFDB0" w:rsidR="00317D53" w:rsidRPr="00A52D25" w:rsidRDefault="00317D53" w:rsidP="007F1A49">
      <w:pPr>
        <w:spacing w:before="100" w:beforeAutospacing="1" w:after="100" w:afterAutospacing="1" w:line="240" w:lineRule="auto"/>
        <w:rPr>
          <w:rFonts w:ascii="Cambria" w:eastAsia="Times New Roman" w:hAnsi="Cambria" w:cs="Times New Roman"/>
          <w:lang w:eastAsia="en-GB"/>
        </w:rPr>
      </w:pPr>
      <w:r w:rsidRPr="003428BB">
        <w:rPr>
          <w:rFonts w:ascii="Cambria" w:hAnsi="Cambria"/>
        </w:rPr>
        <w:t xml:space="preserve">University of Michigan. (2019). </w:t>
      </w:r>
      <w:r w:rsidRPr="003428BB">
        <w:rPr>
          <w:rFonts w:ascii="Cambria" w:hAnsi="Cambria"/>
          <w:i/>
          <w:iCs/>
        </w:rPr>
        <w:t>PSID Main Interview User Manual: Release 2019</w:t>
      </w:r>
      <w:r w:rsidRPr="003428BB">
        <w:rPr>
          <w:rFonts w:ascii="Cambria" w:hAnsi="Cambria"/>
        </w:rPr>
        <w:t>. Institute for Social Research</w:t>
      </w:r>
      <w:r w:rsidR="003251B1">
        <w:rPr>
          <w:rFonts w:ascii="Cambria" w:hAnsi="Cambria"/>
        </w:rPr>
        <w:t>, University of Michigan.</w:t>
      </w:r>
    </w:p>
    <w:p w14:paraId="7FD16684" w14:textId="3FAB12A8" w:rsidR="00BF51A4" w:rsidRPr="00A52D25" w:rsidRDefault="00BF51A4" w:rsidP="007F1A4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Voorpostel, M., Tillmann, R, Lebert, F., Kuhn, U., Lipps, O., Ryser, V.-A., , Antal, E., Monsch, G.-A., Dasoki, N., &amp; Wernli, B. (2018). </w:t>
      </w:r>
      <w:r w:rsidRPr="003428BB">
        <w:rPr>
          <w:rFonts w:ascii="Cambria" w:eastAsia="Times New Roman" w:hAnsi="Cambria" w:cs="Times New Roman"/>
          <w:i/>
          <w:lang w:eastAsia="en-GB"/>
        </w:rPr>
        <w:t>Swiss Household Panel Userguide (1999-2017), Wave 19, December 2018</w:t>
      </w:r>
      <w:r w:rsidRPr="00A52D25">
        <w:rPr>
          <w:rFonts w:ascii="Cambria" w:eastAsia="Times New Roman" w:hAnsi="Cambria" w:cs="Times New Roman"/>
          <w:lang w:eastAsia="en-GB"/>
        </w:rPr>
        <w:t>. Lausanne: FORS</w:t>
      </w:r>
      <w:r w:rsidR="003251B1" w:rsidRPr="00A52D25" w:rsidDel="003251B1">
        <w:rPr>
          <w:rFonts w:ascii="Cambria" w:eastAsia="Times New Roman" w:hAnsi="Cambria" w:cs="Times New Roman"/>
          <w:lang w:eastAsia="en-GB"/>
        </w:rPr>
        <w:t xml:space="preserve"> </w:t>
      </w:r>
    </w:p>
    <w:p w14:paraId="3EB4ED41" w14:textId="51886AF7" w:rsidR="0053024B" w:rsidRPr="00A52D25" w:rsidRDefault="0053024B" w:rsidP="0053024B">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Warner, E., Henderson, C., &amp; Fiona, W. (2017). “It’s give and take”: Australian families’ experiences of negotiating financial and domestic contributions when young adults return home. </w:t>
      </w:r>
      <w:r w:rsidRPr="00A52D25">
        <w:rPr>
          <w:rFonts w:ascii="Cambria" w:eastAsia="Times New Roman" w:hAnsi="Cambria" w:cs="Times New Roman"/>
          <w:i/>
          <w:iCs/>
          <w:lang w:eastAsia="en-GB"/>
        </w:rPr>
        <w:t>Journal of Family and Economic Issues</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38</w:t>
      </w:r>
      <w:r w:rsidRPr="00A52D25">
        <w:rPr>
          <w:rFonts w:ascii="Cambria" w:eastAsia="Times New Roman" w:hAnsi="Cambria" w:cs="Times New Roman"/>
          <w:lang w:eastAsia="en-GB"/>
        </w:rPr>
        <w:t xml:space="preserve">(4), 541–555. </w:t>
      </w:r>
      <w:r w:rsidR="00EE1413" w:rsidRPr="00A52D25">
        <w:rPr>
          <w:rFonts w:ascii="Cambria" w:eastAsia="Times New Roman" w:hAnsi="Cambria" w:cs="Times New Roman"/>
          <w:lang w:eastAsia="en-GB"/>
        </w:rPr>
        <w:t>doi:</w:t>
      </w:r>
      <w:r w:rsidRPr="00A52D25">
        <w:rPr>
          <w:rFonts w:ascii="Cambria" w:eastAsia="Times New Roman" w:hAnsi="Cambria" w:cs="Times New Roman"/>
          <w:lang w:eastAsia="en-GB"/>
        </w:rPr>
        <w:t>10.1007/s10834-017-9520-0.</w:t>
      </w:r>
    </w:p>
    <w:p w14:paraId="797C6F60" w14:textId="6D87D49B" w:rsidR="00403217" w:rsidRPr="00A52D25" w:rsidRDefault="00403217" w:rsidP="0053024B">
      <w:pPr>
        <w:spacing w:before="100" w:beforeAutospacing="1" w:after="100" w:afterAutospacing="1" w:line="240" w:lineRule="auto"/>
        <w:rPr>
          <w:rFonts w:ascii="Cambria" w:eastAsia="Times New Roman" w:hAnsi="Cambria" w:cs="Times New Roman"/>
          <w:lang w:eastAsia="en-GB"/>
        </w:rPr>
      </w:pPr>
      <w:bookmarkStart w:id="6" w:name="OLE_LINK1"/>
      <w:bookmarkStart w:id="7" w:name="OLE_LINK2"/>
      <w:r w:rsidRPr="00A52D25">
        <w:rPr>
          <w:rFonts w:ascii="Cambria" w:eastAsia="Times New Roman" w:hAnsi="Cambria" w:cs="Times New Roman"/>
          <w:lang w:eastAsia="en-GB"/>
        </w:rPr>
        <w:t xml:space="preserve">Watson, D. (2003). </w:t>
      </w:r>
      <w:bookmarkEnd w:id="6"/>
      <w:bookmarkEnd w:id="7"/>
      <w:r w:rsidRPr="00A52D25">
        <w:rPr>
          <w:rFonts w:ascii="Cambria" w:eastAsia="Times New Roman" w:hAnsi="Cambria" w:cs="Times New Roman"/>
          <w:lang w:eastAsia="en-GB"/>
        </w:rPr>
        <w:t>Sample attrition between waves 1 an</w:t>
      </w:r>
      <w:r w:rsidR="001D2B01">
        <w:rPr>
          <w:rFonts w:ascii="Cambria" w:eastAsia="Times New Roman" w:hAnsi="Cambria" w:cs="Times New Roman"/>
          <w:lang w:eastAsia="en-GB"/>
        </w:rPr>
        <w:t>d</w:t>
      </w:r>
      <w:r w:rsidRPr="00A52D25">
        <w:rPr>
          <w:rFonts w:ascii="Cambria" w:eastAsia="Times New Roman" w:hAnsi="Cambria" w:cs="Times New Roman"/>
          <w:lang w:eastAsia="en-GB"/>
        </w:rPr>
        <w:t xml:space="preserve"> 5 in the European Community Household Panel. </w:t>
      </w:r>
      <w:r w:rsidRPr="00A52D25">
        <w:rPr>
          <w:rFonts w:ascii="Cambria" w:eastAsia="Times New Roman" w:hAnsi="Cambria" w:cs="Times New Roman"/>
          <w:i/>
          <w:iCs/>
          <w:lang w:eastAsia="en-GB"/>
        </w:rPr>
        <w:t>European Sociological Review</w:t>
      </w:r>
      <w:r w:rsidRPr="00A52D25">
        <w:rPr>
          <w:rFonts w:ascii="Cambria" w:eastAsia="Times New Roman" w:hAnsi="Cambria" w:cs="Times New Roman"/>
          <w:lang w:eastAsia="en-GB"/>
        </w:rPr>
        <w:t xml:space="preserve"> </w:t>
      </w:r>
      <w:r w:rsidRPr="003428BB">
        <w:rPr>
          <w:rFonts w:ascii="Cambria" w:eastAsia="Times New Roman" w:hAnsi="Cambria" w:cs="Times New Roman"/>
          <w:i/>
          <w:iCs/>
          <w:lang w:eastAsia="en-GB"/>
        </w:rPr>
        <w:t>19(4</w:t>
      </w:r>
      <w:r w:rsidRPr="00A52D25">
        <w:rPr>
          <w:rFonts w:ascii="Cambria" w:eastAsia="Times New Roman" w:hAnsi="Cambria" w:cs="Times New Roman"/>
          <w:lang w:eastAsia="en-GB"/>
        </w:rPr>
        <w:t>), 361-378.</w:t>
      </w:r>
    </w:p>
    <w:p w14:paraId="406E8E8B" w14:textId="1544F833" w:rsidR="000647B3" w:rsidRPr="00A52D25" w:rsidRDefault="000647B3" w:rsidP="000647B3">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Wilkinson, E., &amp; Ortega-Alcázar, I. (2017). A home of one’s own? Housing welfare for ‘young adults’ in times of austerity. </w:t>
      </w:r>
      <w:r w:rsidRPr="00A52D25">
        <w:rPr>
          <w:rFonts w:ascii="Cambria" w:eastAsia="Times New Roman" w:hAnsi="Cambria" w:cs="Times New Roman"/>
          <w:i/>
          <w:iCs/>
          <w:lang w:eastAsia="en-GB"/>
        </w:rPr>
        <w:t>Critical Social Policy</w:t>
      </w:r>
      <w:r w:rsidRPr="00A52D25">
        <w:rPr>
          <w:rFonts w:ascii="Cambria" w:eastAsia="Times New Roman" w:hAnsi="Cambria" w:cs="Times New Roman"/>
          <w:lang w:eastAsia="en-GB"/>
        </w:rPr>
        <w:t xml:space="preserve">, </w:t>
      </w:r>
      <w:r w:rsidRPr="00A52D25">
        <w:rPr>
          <w:rFonts w:ascii="Cambria" w:eastAsia="Times New Roman" w:hAnsi="Cambria" w:cs="Times New Roman"/>
          <w:i/>
          <w:iCs/>
          <w:lang w:eastAsia="en-GB"/>
        </w:rPr>
        <w:t>37</w:t>
      </w:r>
      <w:r w:rsidRPr="00A52D25">
        <w:rPr>
          <w:rFonts w:ascii="Cambria" w:eastAsia="Times New Roman" w:hAnsi="Cambria" w:cs="Times New Roman"/>
          <w:lang w:eastAsia="en-GB"/>
        </w:rPr>
        <w:t xml:space="preserve">(3), 329–347. </w:t>
      </w:r>
      <w:r w:rsidR="00EE1413" w:rsidRPr="00A52D25">
        <w:rPr>
          <w:rFonts w:ascii="Cambria" w:eastAsia="Times New Roman" w:hAnsi="Cambria" w:cs="Times New Roman"/>
          <w:lang w:eastAsia="en-GB"/>
        </w:rPr>
        <w:t>doi:</w:t>
      </w:r>
      <w:r w:rsidRPr="00A52D25">
        <w:rPr>
          <w:rFonts w:ascii="Cambria" w:eastAsia="Times New Roman" w:hAnsi="Cambria" w:cs="Times New Roman"/>
          <w:lang w:eastAsia="en-GB"/>
        </w:rPr>
        <w:t>10.1177/0261018317699804</w:t>
      </w:r>
      <w:r w:rsidR="00EE1413" w:rsidRPr="00A52D25">
        <w:rPr>
          <w:rFonts w:ascii="Cambria" w:eastAsia="Times New Roman" w:hAnsi="Cambria" w:cs="Times New Roman"/>
          <w:lang w:eastAsia="en-GB"/>
        </w:rPr>
        <w:t>.</w:t>
      </w:r>
    </w:p>
    <w:p w14:paraId="7383563E" w14:textId="15AFB8EC" w:rsidR="00EC4B97" w:rsidRPr="00A52D25" w:rsidRDefault="00167FB5" w:rsidP="000D4A79">
      <w:pPr>
        <w:spacing w:before="100" w:beforeAutospacing="1" w:after="100" w:afterAutospacing="1" w:line="240" w:lineRule="auto"/>
        <w:rPr>
          <w:rFonts w:ascii="Cambria" w:eastAsia="Times New Roman" w:hAnsi="Cambria" w:cs="Times New Roman"/>
          <w:lang w:eastAsia="en-GB"/>
        </w:rPr>
      </w:pPr>
      <w:r w:rsidRPr="00A52D25">
        <w:rPr>
          <w:rFonts w:ascii="Cambria" w:eastAsia="Times New Roman" w:hAnsi="Cambria" w:cs="Times New Roman"/>
          <w:lang w:eastAsia="en-GB"/>
        </w:rPr>
        <w:t xml:space="preserve">Willetts, D. (2011). </w:t>
      </w:r>
      <w:r w:rsidRPr="00A52D25">
        <w:rPr>
          <w:rFonts w:ascii="Cambria" w:eastAsia="Times New Roman" w:hAnsi="Cambria" w:cs="Times New Roman"/>
          <w:i/>
          <w:iCs/>
          <w:lang w:eastAsia="en-GB"/>
        </w:rPr>
        <w:t>The Pinch: How the Baby Boomers Took Their Children’s Future-And Why They Should Give It Back</w:t>
      </w:r>
      <w:r w:rsidR="003657C5" w:rsidRPr="00A52D25">
        <w:rPr>
          <w:rFonts w:ascii="Cambria" w:eastAsia="Times New Roman" w:hAnsi="Cambria" w:cs="Times New Roman"/>
          <w:lang w:eastAsia="en-GB"/>
        </w:rPr>
        <w:t>. London: Atlantic Books.</w:t>
      </w:r>
    </w:p>
    <w:p w14:paraId="269E9CC7" w14:textId="77777777" w:rsidR="0042712F" w:rsidRPr="00A52D25" w:rsidRDefault="0042712F" w:rsidP="0042712F">
      <w:pPr>
        <w:spacing w:before="100" w:beforeAutospacing="1" w:after="100" w:afterAutospacing="1" w:line="240" w:lineRule="auto"/>
        <w:rPr>
          <w:rFonts w:ascii="Cambria" w:hAnsi="Cambria"/>
        </w:rPr>
      </w:pPr>
      <w:r w:rsidRPr="00A52D25">
        <w:rPr>
          <w:rFonts w:ascii="Cambria" w:hAnsi="Cambria" w:cstheme="minorHAnsi"/>
        </w:rPr>
        <w:t xml:space="preserve">Zorlu, A., &amp; Mulder, C. H. (2011). Ethnic differences in leaving home: Timing and pathways. </w:t>
      </w:r>
      <w:r w:rsidRPr="00A52D25">
        <w:rPr>
          <w:rFonts w:ascii="Cambria" w:hAnsi="Cambria" w:cstheme="minorHAnsi"/>
          <w:i/>
          <w:iCs/>
        </w:rPr>
        <w:t>Demography</w:t>
      </w:r>
      <w:r w:rsidRPr="00A52D25">
        <w:rPr>
          <w:rFonts w:ascii="Cambria" w:hAnsi="Cambria" w:cstheme="minorHAnsi"/>
        </w:rPr>
        <w:t>, 48(1), 49-72.</w:t>
      </w:r>
    </w:p>
    <w:p w14:paraId="1155E0D2" w14:textId="77777777" w:rsidR="0042712F" w:rsidRPr="000D4A79" w:rsidRDefault="0042712F" w:rsidP="000D4A79">
      <w:pPr>
        <w:spacing w:before="100" w:beforeAutospacing="1" w:after="100" w:afterAutospacing="1" w:line="240" w:lineRule="auto"/>
        <w:rPr>
          <w:rFonts w:ascii="Cambria" w:hAnsi="Cambria" w:cstheme="minorHAnsi"/>
          <w:sz w:val="20"/>
        </w:rPr>
      </w:pPr>
    </w:p>
    <w:sectPr w:rsidR="0042712F" w:rsidRPr="000D4A79" w:rsidSect="007B4E2E">
      <w:footerReference w:type="default" r:id="rId12"/>
      <w:pgSz w:w="11906" w:h="16838"/>
      <w:pgMar w:top="1440" w:right="1440" w:bottom="1440" w:left="1440" w:header="708" w:footer="708" w:gutter="0"/>
      <w:pgNumType w:start="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4B63DE" w16cid:durableId="2187897C"/>
  <w16cid:commentId w16cid:paraId="3D061BE3" w16cid:durableId="21A344E6"/>
  <w16cid:commentId w16cid:paraId="303617B5" w16cid:durableId="2184C2E9"/>
  <w16cid:commentId w16cid:paraId="5872E47C" w16cid:durableId="21A344E8"/>
  <w16cid:commentId w16cid:paraId="3856E0C6" w16cid:durableId="2184C32F"/>
  <w16cid:commentId w16cid:paraId="0E159ED8" w16cid:durableId="21A344EA"/>
  <w16cid:commentId w16cid:paraId="4E9179F2" w16cid:durableId="21A344EB"/>
  <w16cid:commentId w16cid:paraId="41F9502D" w16cid:durableId="2184E268"/>
  <w16cid:commentId w16cid:paraId="05824581" w16cid:durableId="21A344ED"/>
  <w16cid:commentId w16cid:paraId="15B8E3BB" w16cid:durableId="2197959B"/>
  <w16cid:commentId w16cid:paraId="718E8CB2" w16cid:durableId="21949764"/>
  <w16cid:commentId w16cid:paraId="6FD1E05D" w16cid:durableId="21949765"/>
  <w16cid:commentId w16cid:paraId="36469644" w16cid:durableId="21A344F1"/>
  <w16cid:commentId w16cid:paraId="566F4A45" w16cid:durableId="21A344F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9F8E0" w14:textId="77777777" w:rsidR="006125F1" w:rsidRDefault="006125F1" w:rsidP="00B22843">
      <w:pPr>
        <w:spacing w:after="0" w:line="240" w:lineRule="auto"/>
      </w:pPr>
      <w:r>
        <w:separator/>
      </w:r>
    </w:p>
  </w:endnote>
  <w:endnote w:type="continuationSeparator" w:id="0">
    <w:p w14:paraId="118E1CB7" w14:textId="77777777" w:rsidR="006125F1" w:rsidRDefault="006125F1" w:rsidP="00B22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dvTT3713a231">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104399"/>
      <w:docPartObj>
        <w:docPartGallery w:val="Page Numbers (Bottom of Page)"/>
        <w:docPartUnique/>
      </w:docPartObj>
    </w:sdtPr>
    <w:sdtEndPr>
      <w:rPr>
        <w:rFonts w:ascii="Cambria" w:hAnsi="Cambria"/>
        <w:noProof/>
        <w:sz w:val="20"/>
      </w:rPr>
    </w:sdtEndPr>
    <w:sdtContent>
      <w:p w14:paraId="3C1C13DB" w14:textId="32AF9604" w:rsidR="007B6810" w:rsidRPr="000164F8" w:rsidRDefault="007B6810">
        <w:pPr>
          <w:pStyle w:val="Footer"/>
          <w:jc w:val="right"/>
          <w:rPr>
            <w:rFonts w:ascii="Cambria" w:hAnsi="Cambria"/>
            <w:sz w:val="20"/>
          </w:rPr>
        </w:pPr>
        <w:r w:rsidRPr="000164F8">
          <w:rPr>
            <w:rFonts w:ascii="Cambria" w:hAnsi="Cambria"/>
            <w:sz w:val="20"/>
          </w:rPr>
          <w:fldChar w:fldCharType="begin"/>
        </w:r>
        <w:r w:rsidRPr="000164F8">
          <w:rPr>
            <w:rFonts w:ascii="Cambria" w:hAnsi="Cambria"/>
            <w:sz w:val="20"/>
          </w:rPr>
          <w:instrText xml:space="preserve"> PAGE   \* MERGEFORMAT </w:instrText>
        </w:r>
        <w:r w:rsidRPr="000164F8">
          <w:rPr>
            <w:rFonts w:ascii="Cambria" w:hAnsi="Cambria"/>
            <w:sz w:val="20"/>
          </w:rPr>
          <w:fldChar w:fldCharType="separate"/>
        </w:r>
        <w:r w:rsidR="002A7106">
          <w:rPr>
            <w:rFonts w:ascii="Cambria" w:hAnsi="Cambria"/>
            <w:noProof/>
            <w:sz w:val="20"/>
          </w:rPr>
          <w:t>19</w:t>
        </w:r>
        <w:r w:rsidRPr="000164F8">
          <w:rPr>
            <w:rFonts w:ascii="Cambria" w:hAnsi="Cambria"/>
            <w:noProof/>
            <w:sz w:val="20"/>
          </w:rPr>
          <w:fldChar w:fldCharType="end"/>
        </w:r>
      </w:p>
    </w:sdtContent>
  </w:sdt>
  <w:p w14:paraId="28A67F54" w14:textId="77777777" w:rsidR="007B6810" w:rsidRDefault="007B68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B3FB4" w14:textId="77777777" w:rsidR="006125F1" w:rsidRDefault="006125F1" w:rsidP="00B22843">
      <w:pPr>
        <w:spacing w:after="0" w:line="240" w:lineRule="auto"/>
      </w:pPr>
      <w:r>
        <w:separator/>
      </w:r>
    </w:p>
  </w:footnote>
  <w:footnote w:type="continuationSeparator" w:id="0">
    <w:p w14:paraId="1009B788" w14:textId="77777777" w:rsidR="006125F1" w:rsidRDefault="006125F1" w:rsidP="00B22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3331D"/>
    <w:multiLevelType w:val="multilevel"/>
    <w:tmpl w:val="5222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E53A7F"/>
    <w:multiLevelType w:val="hybridMultilevel"/>
    <w:tmpl w:val="69FED4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NDM3tDQ3sbQ0MrEwNzNX0lEKTi0uzszPAykwrQUAfbhJ5ywAAAA="/>
  </w:docVars>
  <w:rsids>
    <w:rsidRoot w:val="00F53657"/>
    <w:rsid w:val="00000626"/>
    <w:rsid w:val="00000A24"/>
    <w:rsid w:val="000015C2"/>
    <w:rsid w:val="000020B4"/>
    <w:rsid w:val="00002BCF"/>
    <w:rsid w:val="00002BE2"/>
    <w:rsid w:val="00003017"/>
    <w:rsid w:val="00003020"/>
    <w:rsid w:val="000030D5"/>
    <w:rsid w:val="000031E9"/>
    <w:rsid w:val="0000337E"/>
    <w:rsid w:val="000044AA"/>
    <w:rsid w:val="000050C7"/>
    <w:rsid w:val="00005266"/>
    <w:rsid w:val="00005302"/>
    <w:rsid w:val="000066F6"/>
    <w:rsid w:val="00006954"/>
    <w:rsid w:val="00006EBE"/>
    <w:rsid w:val="00006F78"/>
    <w:rsid w:val="000101C7"/>
    <w:rsid w:val="0001092C"/>
    <w:rsid w:val="00011492"/>
    <w:rsid w:val="00012169"/>
    <w:rsid w:val="00012EAC"/>
    <w:rsid w:val="00014726"/>
    <w:rsid w:val="00014FF4"/>
    <w:rsid w:val="00015267"/>
    <w:rsid w:val="00015806"/>
    <w:rsid w:val="00015833"/>
    <w:rsid w:val="000164F8"/>
    <w:rsid w:val="00016F4A"/>
    <w:rsid w:val="00017CA4"/>
    <w:rsid w:val="00017E58"/>
    <w:rsid w:val="000201A3"/>
    <w:rsid w:val="000202B0"/>
    <w:rsid w:val="000203B3"/>
    <w:rsid w:val="000205D8"/>
    <w:rsid w:val="000206A4"/>
    <w:rsid w:val="00020706"/>
    <w:rsid w:val="00020CD8"/>
    <w:rsid w:val="00021064"/>
    <w:rsid w:val="0002117A"/>
    <w:rsid w:val="0002182C"/>
    <w:rsid w:val="0002380C"/>
    <w:rsid w:val="00023EF3"/>
    <w:rsid w:val="000241D7"/>
    <w:rsid w:val="00024AEB"/>
    <w:rsid w:val="00024BB6"/>
    <w:rsid w:val="00024F92"/>
    <w:rsid w:val="000252D5"/>
    <w:rsid w:val="00025BEC"/>
    <w:rsid w:val="00025C9A"/>
    <w:rsid w:val="000260A5"/>
    <w:rsid w:val="000260B6"/>
    <w:rsid w:val="0002659A"/>
    <w:rsid w:val="00026FBD"/>
    <w:rsid w:val="000271B2"/>
    <w:rsid w:val="00027379"/>
    <w:rsid w:val="00027A2D"/>
    <w:rsid w:val="000301D4"/>
    <w:rsid w:val="0003114B"/>
    <w:rsid w:val="00031F11"/>
    <w:rsid w:val="0003218F"/>
    <w:rsid w:val="00032A23"/>
    <w:rsid w:val="00033091"/>
    <w:rsid w:val="0003546F"/>
    <w:rsid w:val="00035D48"/>
    <w:rsid w:val="00036D55"/>
    <w:rsid w:val="00036E3B"/>
    <w:rsid w:val="00040A80"/>
    <w:rsid w:val="0004155D"/>
    <w:rsid w:val="0004190A"/>
    <w:rsid w:val="00042BD8"/>
    <w:rsid w:val="000434C9"/>
    <w:rsid w:val="00043BBE"/>
    <w:rsid w:val="000449AE"/>
    <w:rsid w:val="00044F8D"/>
    <w:rsid w:val="00045451"/>
    <w:rsid w:val="000458FE"/>
    <w:rsid w:val="00045B11"/>
    <w:rsid w:val="00045B70"/>
    <w:rsid w:val="00045C3A"/>
    <w:rsid w:val="0004674E"/>
    <w:rsid w:val="000467E6"/>
    <w:rsid w:val="00046B82"/>
    <w:rsid w:val="00047D59"/>
    <w:rsid w:val="00051BE5"/>
    <w:rsid w:val="00053475"/>
    <w:rsid w:val="000536B5"/>
    <w:rsid w:val="00053B06"/>
    <w:rsid w:val="0005523E"/>
    <w:rsid w:val="000554F2"/>
    <w:rsid w:val="0005560C"/>
    <w:rsid w:val="00055D5F"/>
    <w:rsid w:val="00055E9E"/>
    <w:rsid w:val="00055EE5"/>
    <w:rsid w:val="000566FA"/>
    <w:rsid w:val="00057CDB"/>
    <w:rsid w:val="0006002B"/>
    <w:rsid w:val="00060919"/>
    <w:rsid w:val="000616DB"/>
    <w:rsid w:val="00061B21"/>
    <w:rsid w:val="00062DB9"/>
    <w:rsid w:val="00063395"/>
    <w:rsid w:val="00063442"/>
    <w:rsid w:val="000636AF"/>
    <w:rsid w:val="000636DA"/>
    <w:rsid w:val="000639FA"/>
    <w:rsid w:val="00064197"/>
    <w:rsid w:val="000647B3"/>
    <w:rsid w:val="0006480D"/>
    <w:rsid w:val="000653E4"/>
    <w:rsid w:val="00065C86"/>
    <w:rsid w:val="000664C9"/>
    <w:rsid w:val="00066754"/>
    <w:rsid w:val="00066B57"/>
    <w:rsid w:val="00067A17"/>
    <w:rsid w:val="00067B86"/>
    <w:rsid w:val="00070338"/>
    <w:rsid w:val="00070497"/>
    <w:rsid w:val="000705BA"/>
    <w:rsid w:val="00070882"/>
    <w:rsid w:val="00070A73"/>
    <w:rsid w:val="00071735"/>
    <w:rsid w:val="00071E8B"/>
    <w:rsid w:val="00072D78"/>
    <w:rsid w:val="00073027"/>
    <w:rsid w:val="000735C2"/>
    <w:rsid w:val="0007390A"/>
    <w:rsid w:val="0007595C"/>
    <w:rsid w:val="00075BF9"/>
    <w:rsid w:val="000764A2"/>
    <w:rsid w:val="000765C0"/>
    <w:rsid w:val="0007688B"/>
    <w:rsid w:val="00076CF7"/>
    <w:rsid w:val="00076D31"/>
    <w:rsid w:val="0008034F"/>
    <w:rsid w:val="00080C89"/>
    <w:rsid w:val="00081488"/>
    <w:rsid w:val="00081AAA"/>
    <w:rsid w:val="00083684"/>
    <w:rsid w:val="000847D4"/>
    <w:rsid w:val="00084834"/>
    <w:rsid w:val="000850FA"/>
    <w:rsid w:val="000855C0"/>
    <w:rsid w:val="00085728"/>
    <w:rsid w:val="00085F69"/>
    <w:rsid w:val="00086E99"/>
    <w:rsid w:val="000874E0"/>
    <w:rsid w:val="00087C47"/>
    <w:rsid w:val="00090A23"/>
    <w:rsid w:val="000911CD"/>
    <w:rsid w:val="000916CE"/>
    <w:rsid w:val="00091EA1"/>
    <w:rsid w:val="00094ADF"/>
    <w:rsid w:val="00094D09"/>
    <w:rsid w:val="000956D0"/>
    <w:rsid w:val="00095CB3"/>
    <w:rsid w:val="00095EEF"/>
    <w:rsid w:val="00096C50"/>
    <w:rsid w:val="00097195"/>
    <w:rsid w:val="000978DF"/>
    <w:rsid w:val="00097CC3"/>
    <w:rsid w:val="000A06D2"/>
    <w:rsid w:val="000A1939"/>
    <w:rsid w:val="000A2E09"/>
    <w:rsid w:val="000A37DA"/>
    <w:rsid w:val="000A3809"/>
    <w:rsid w:val="000A441A"/>
    <w:rsid w:val="000A4462"/>
    <w:rsid w:val="000A47C0"/>
    <w:rsid w:val="000A538C"/>
    <w:rsid w:val="000A5B56"/>
    <w:rsid w:val="000A5D43"/>
    <w:rsid w:val="000A5D4D"/>
    <w:rsid w:val="000A5E37"/>
    <w:rsid w:val="000A7745"/>
    <w:rsid w:val="000B1AD5"/>
    <w:rsid w:val="000B2D52"/>
    <w:rsid w:val="000B32D4"/>
    <w:rsid w:val="000B3608"/>
    <w:rsid w:val="000B3851"/>
    <w:rsid w:val="000B3CF5"/>
    <w:rsid w:val="000B4769"/>
    <w:rsid w:val="000B6B2E"/>
    <w:rsid w:val="000C0D0B"/>
    <w:rsid w:val="000C1302"/>
    <w:rsid w:val="000C1BDF"/>
    <w:rsid w:val="000C1E8B"/>
    <w:rsid w:val="000C2D03"/>
    <w:rsid w:val="000C30BC"/>
    <w:rsid w:val="000C33F6"/>
    <w:rsid w:val="000C3804"/>
    <w:rsid w:val="000C4B64"/>
    <w:rsid w:val="000C52DB"/>
    <w:rsid w:val="000C5859"/>
    <w:rsid w:val="000C608B"/>
    <w:rsid w:val="000C63D5"/>
    <w:rsid w:val="000C646E"/>
    <w:rsid w:val="000C7539"/>
    <w:rsid w:val="000D005D"/>
    <w:rsid w:val="000D06EB"/>
    <w:rsid w:val="000D0D69"/>
    <w:rsid w:val="000D16D7"/>
    <w:rsid w:val="000D16DB"/>
    <w:rsid w:val="000D26AE"/>
    <w:rsid w:val="000D36A0"/>
    <w:rsid w:val="000D3995"/>
    <w:rsid w:val="000D4A79"/>
    <w:rsid w:val="000D4E00"/>
    <w:rsid w:val="000D5939"/>
    <w:rsid w:val="000D6B3E"/>
    <w:rsid w:val="000E05EF"/>
    <w:rsid w:val="000E2036"/>
    <w:rsid w:val="000E2AD4"/>
    <w:rsid w:val="000E2B01"/>
    <w:rsid w:val="000E2C3D"/>
    <w:rsid w:val="000E2F41"/>
    <w:rsid w:val="000E34F1"/>
    <w:rsid w:val="000E49B3"/>
    <w:rsid w:val="000E4AE0"/>
    <w:rsid w:val="000E4F80"/>
    <w:rsid w:val="000E5155"/>
    <w:rsid w:val="000E5766"/>
    <w:rsid w:val="000E6239"/>
    <w:rsid w:val="000E6D4E"/>
    <w:rsid w:val="000F17CB"/>
    <w:rsid w:val="000F249B"/>
    <w:rsid w:val="000F24AF"/>
    <w:rsid w:val="000F32A1"/>
    <w:rsid w:val="000F42F1"/>
    <w:rsid w:val="000F4848"/>
    <w:rsid w:val="000F4B10"/>
    <w:rsid w:val="000F5723"/>
    <w:rsid w:val="000F5C4E"/>
    <w:rsid w:val="000F5CEA"/>
    <w:rsid w:val="000F63B1"/>
    <w:rsid w:val="000F776A"/>
    <w:rsid w:val="00100075"/>
    <w:rsid w:val="00100180"/>
    <w:rsid w:val="00100369"/>
    <w:rsid w:val="00100802"/>
    <w:rsid w:val="0010096E"/>
    <w:rsid w:val="00101744"/>
    <w:rsid w:val="001020C4"/>
    <w:rsid w:val="0010221B"/>
    <w:rsid w:val="0010356E"/>
    <w:rsid w:val="00103940"/>
    <w:rsid w:val="0010475F"/>
    <w:rsid w:val="00105C14"/>
    <w:rsid w:val="00107E6D"/>
    <w:rsid w:val="001113B4"/>
    <w:rsid w:val="001113CE"/>
    <w:rsid w:val="00111A22"/>
    <w:rsid w:val="00112750"/>
    <w:rsid w:val="001140FA"/>
    <w:rsid w:val="00114695"/>
    <w:rsid w:val="00114D92"/>
    <w:rsid w:val="0011537E"/>
    <w:rsid w:val="0011558F"/>
    <w:rsid w:val="001155C6"/>
    <w:rsid w:val="00115ACB"/>
    <w:rsid w:val="00115AE3"/>
    <w:rsid w:val="00116019"/>
    <w:rsid w:val="00116719"/>
    <w:rsid w:val="0011744D"/>
    <w:rsid w:val="001210D8"/>
    <w:rsid w:val="0012153E"/>
    <w:rsid w:val="00121CF1"/>
    <w:rsid w:val="00122BD5"/>
    <w:rsid w:val="00122BD9"/>
    <w:rsid w:val="00122FC0"/>
    <w:rsid w:val="00123164"/>
    <w:rsid w:val="0012332C"/>
    <w:rsid w:val="00124EFC"/>
    <w:rsid w:val="00124FD6"/>
    <w:rsid w:val="00125585"/>
    <w:rsid w:val="001255BE"/>
    <w:rsid w:val="00127913"/>
    <w:rsid w:val="001307EA"/>
    <w:rsid w:val="0013098B"/>
    <w:rsid w:val="00131052"/>
    <w:rsid w:val="0013143B"/>
    <w:rsid w:val="00132036"/>
    <w:rsid w:val="0013443B"/>
    <w:rsid w:val="00136641"/>
    <w:rsid w:val="00136DB1"/>
    <w:rsid w:val="00137816"/>
    <w:rsid w:val="0014092A"/>
    <w:rsid w:val="00141D04"/>
    <w:rsid w:val="001438F4"/>
    <w:rsid w:val="0014405E"/>
    <w:rsid w:val="00144C66"/>
    <w:rsid w:val="00144D47"/>
    <w:rsid w:val="00145320"/>
    <w:rsid w:val="0014554E"/>
    <w:rsid w:val="00147168"/>
    <w:rsid w:val="001477F6"/>
    <w:rsid w:val="00151A4A"/>
    <w:rsid w:val="001529A9"/>
    <w:rsid w:val="00152C83"/>
    <w:rsid w:val="00153055"/>
    <w:rsid w:val="00153E4F"/>
    <w:rsid w:val="00154EDC"/>
    <w:rsid w:val="00155386"/>
    <w:rsid w:val="00157939"/>
    <w:rsid w:val="00157A92"/>
    <w:rsid w:val="00157CC6"/>
    <w:rsid w:val="00157D43"/>
    <w:rsid w:val="00160448"/>
    <w:rsid w:val="001609DC"/>
    <w:rsid w:val="0016277E"/>
    <w:rsid w:val="0016325A"/>
    <w:rsid w:val="00163AE5"/>
    <w:rsid w:val="00165684"/>
    <w:rsid w:val="00165A33"/>
    <w:rsid w:val="0016680F"/>
    <w:rsid w:val="0016696E"/>
    <w:rsid w:val="0016757C"/>
    <w:rsid w:val="00167FB5"/>
    <w:rsid w:val="00170503"/>
    <w:rsid w:val="00170A62"/>
    <w:rsid w:val="00170AB4"/>
    <w:rsid w:val="0017182A"/>
    <w:rsid w:val="00171D72"/>
    <w:rsid w:val="0017203B"/>
    <w:rsid w:val="00173EA8"/>
    <w:rsid w:val="00174796"/>
    <w:rsid w:val="0017533E"/>
    <w:rsid w:val="001765DE"/>
    <w:rsid w:val="00177969"/>
    <w:rsid w:val="00177A3C"/>
    <w:rsid w:val="00180281"/>
    <w:rsid w:val="00181034"/>
    <w:rsid w:val="001823C5"/>
    <w:rsid w:val="00183041"/>
    <w:rsid w:val="00183065"/>
    <w:rsid w:val="001861A9"/>
    <w:rsid w:val="001870FE"/>
    <w:rsid w:val="00187DEB"/>
    <w:rsid w:val="00190491"/>
    <w:rsid w:val="0019075B"/>
    <w:rsid w:val="00190ADD"/>
    <w:rsid w:val="00190DA5"/>
    <w:rsid w:val="00190E90"/>
    <w:rsid w:val="001911C5"/>
    <w:rsid w:val="00191296"/>
    <w:rsid w:val="00191C73"/>
    <w:rsid w:val="001926E6"/>
    <w:rsid w:val="00192D1E"/>
    <w:rsid w:val="00192DDC"/>
    <w:rsid w:val="00192FC4"/>
    <w:rsid w:val="001935ED"/>
    <w:rsid w:val="00195440"/>
    <w:rsid w:val="00195F0D"/>
    <w:rsid w:val="00196EEC"/>
    <w:rsid w:val="00197178"/>
    <w:rsid w:val="001972BD"/>
    <w:rsid w:val="00197C1F"/>
    <w:rsid w:val="001A0DE0"/>
    <w:rsid w:val="001A0FC3"/>
    <w:rsid w:val="001A1290"/>
    <w:rsid w:val="001A39A4"/>
    <w:rsid w:val="001A3D0F"/>
    <w:rsid w:val="001A3FCA"/>
    <w:rsid w:val="001A4704"/>
    <w:rsid w:val="001A4A31"/>
    <w:rsid w:val="001A517D"/>
    <w:rsid w:val="001A633E"/>
    <w:rsid w:val="001A65B8"/>
    <w:rsid w:val="001A7278"/>
    <w:rsid w:val="001A7AA0"/>
    <w:rsid w:val="001A7C1D"/>
    <w:rsid w:val="001B0402"/>
    <w:rsid w:val="001B0521"/>
    <w:rsid w:val="001B106D"/>
    <w:rsid w:val="001B141D"/>
    <w:rsid w:val="001B14E6"/>
    <w:rsid w:val="001B1516"/>
    <w:rsid w:val="001B201C"/>
    <w:rsid w:val="001B2E6F"/>
    <w:rsid w:val="001B3100"/>
    <w:rsid w:val="001B35F8"/>
    <w:rsid w:val="001B369E"/>
    <w:rsid w:val="001B3978"/>
    <w:rsid w:val="001B3A23"/>
    <w:rsid w:val="001B51C0"/>
    <w:rsid w:val="001B7184"/>
    <w:rsid w:val="001B74BA"/>
    <w:rsid w:val="001C033A"/>
    <w:rsid w:val="001C200D"/>
    <w:rsid w:val="001C3796"/>
    <w:rsid w:val="001C3C8D"/>
    <w:rsid w:val="001C4175"/>
    <w:rsid w:val="001C41A0"/>
    <w:rsid w:val="001C45C5"/>
    <w:rsid w:val="001C5C64"/>
    <w:rsid w:val="001C5EBD"/>
    <w:rsid w:val="001C71C1"/>
    <w:rsid w:val="001C7B6A"/>
    <w:rsid w:val="001D0720"/>
    <w:rsid w:val="001D0E9C"/>
    <w:rsid w:val="001D1951"/>
    <w:rsid w:val="001D221C"/>
    <w:rsid w:val="001D249B"/>
    <w:rsid w:val="001D24E2"/>
    <w:rsid w:val="001D2B01"/>
    <w:rsid w:val="001D35A5"/>
    <w:rsid w:val="001D422E"/>
    <w:rsid w:val="001D4D87"/>
    <w:rsid w:val="001D5642"/>
    <w:rsid w:val="001D595D"/>
    <w:rsid w:val="001D6230"/>
    <w:rsid w:val="001D63CA"/>
    <w:rsid w:val="001D6926"/>
    <w:rsid w:val="001D7684"/>
    <w:rsid w:val="001D7731"/>
    <w:rsid w:val="001D7959"/>
    <w:rsid w:val="001D7B3D"/>
    <w:rsid w:val="001E211D"/>
    <w:rsid w:val="001E4842"/>
    <w:rsid w:val="001E49A2"/>
    <w:rsid w:val="001E4AC3"/>
    <w:rsid w:val="001E4BAA"/>
    <w:rsid w:val="001E4CAE"/>
    <w:rsid w:val="001E5126"/>
    <w:rsid w:val="001E52F9"/>
    <w:rsid w:val="001E5863"/>
    <w:rsid w:val="001E6613"/>
    <w:rsid w:val="001E6B61"/>
    <w:rsid w:val="001E7EC8"/>
    <w:rsid w:val="001F0F6A"/>
    <w:rsid w:val="001F1199"/>
    <w:rsid w:val="001F140E"/>
    <w:rsid w:val="001F178B"/>
    <w:rsid w:val="001F1D98"/>
    <w:rsid w:val="001F1E30"/>
    <w:rsid w:val="001F2037"/>
    <w:rsid w:val="001F30D8"/>
    <w:rsid w:val="001F4146"/>
    <w:rsid w:val="001F4DBF"/>
    <w:rsid w:val="001F57B6"/>
    <w:rsid w:val="001F68C6"/>
    <w:rsid w:val="001F6FC1"/>
    <w:rsid w:val="001F7366"/>
    <w:rsid w:val="001F7A5B"/>
    <w:rsid w:val="001F7D1B"/>
    <w:rsid w:val="002000B1"/>
    <w:rsid w:val="00200EE3"/>
    <w:rsid w:val="00201456"/>
    <w:rsid w:val="00201559"/>
    <w:rsid w:val="00202A13"/>
    <w:rsid w:val="002035FF"/>
    <w:rsid w:val="002058BD"/>
    <w:rsid w:val="00207269"/>
    <w:rsid w:val="00207786"/>
    <w:rsid w:val="002108F2"/>
    <w:rsid w:val="0021103A"/>
    <w:rsid w:val="002116AD"/>
    <w:rsid w:val="002118A8"/>
    <w:rsid w:val="00212D9E"/>
    <w:rsid w:val="00213274"/>
    <w:rsid w:val="00213B2C"/>
    <w:rsid w:val="002145CE"/>
    <w:rsid w:val="00214C4E"/>
    <w:rsid w:val="00214E86"/>
    <w:rsid w:val="002150B1"/>
    <w:rsid w:val="00215554"/>
    <w:rsid w:val="002158F9"/>
    <w:rsid w:val="00215BC9"/>
    <w:rsid w:val="00216B3B"/>
    <w:rsid w:val="002170FE"/>
    <w:rsid w:val="00220ADC"/>
    <w:rsid w:val="00220EF3"/>
    <w:rsid w:val="002211D4"/>
    <w:rsid w:val="00221A67"/>
    <w:rsid w:val="002220DC"/>
    <w:rsid w:val="00222C9C"/>
    <w:rsid w:val="00222E00"/>
    <w:rsid w:val="002243AB"/>
    <w:rsid w:val="002253A5"/>
    <w:rsid w:val="00225A38"/>
    <w:rsid w:val="00225B1E"/>
    <w:rsid w:val="0022626B"/>
    <w:rsid w:val="0022632E"/>
    <w:rsid w:val="00226B85"/>
    <w:rsid w:val="00226C21"/>
    <w:rsid w:val="00227C97"/>
    <w:rsid w:val="0023056B"/>
    <w:rsid w:val="00230651"/>
    <w:rsid w:val="00233183"/>
    <w:rsid w:val="002343BE"/>
    <w:rsid w:val="00237681"/>
    <w:rsid w:val="00237E58"/>
    <w:rsid w:val="002403DF"/>
    <w:rsid w:val="00240854"/>
    <w:rsid w:val="002417FB"/>
    <w:rsid w:val="00241993"/>
    <w:rsid w:val="00242838"/>
    <w:rsid w:val="00242FDC"/>
    <w:rsid w:val="00243961"/>
    <w:rsid w:val="00244A24"/>
    <w:rsid w:val="00245672"/>
    <w:rsid w:val="002475D1"/>
    <w:rsid w:val="00247EE9"/>
    <w:rsid w:val="0025060C"/>
    <w:rsid w:val="00250C24"/>
    <w:rsid w:val="002512B3"/>
    <w:rsid w:val="0025541E"/>
    <w:rsid w:val="002555AC"/>
    <w:rsid w:val="00255D13"/>
    <w:rsid w:val="00257312"/>
    <w:rsid w:val="0025794B"/>
    <w:rsid w:val="00260F96"/>
    <w:rsid w:val="00261F44"/>
    <w:rsid w:val="00262DC4"/>
    <w:rsid w:val="00263834"/>
    <w:rsid w:val="0026451D"/>
    <w:rsid w:val="00264C27"/>
    <w:rsid w:val="002659F1"/>
    <w:rsid w:val="00266A0B"/>
    <w:rsid w:val="00266E5F"/>
    <w:rsid w:val="00267298"/>
    <w:rsid w:val="002678B7"/>
    <w:rsid w:val="00267A16"/>
    <w:rsid w:val="00267B73"/>
    <w:rsid w:val="00270F64"/>
    <w:rsid w:val="00270FA4"/>
    <w:rsid w:val="00273169"/>
    <w:rsid w:val="0027427F"/>
    <w:rsid w:val="00274624"/>
    <w:rsid w:val="0027462B"/>
    <w:rsid w:val="0027490F"/>
    <w:rsid w:val="00275585"/>
    <w:rsid w:val="002769F2"/>
    <w:rsid w:val="00277D83"/>
    <w:rsid w:val="002807E1"/>
    <w:rsid w:val="00281142"/>
    <w:rsid w:val="00281270"/>
    <w:rsid w:val="0028198F"/>
    <w:rsid w:val="002826F6"/>
    <w:rsid w:val="00283402"/>
    <w:rsid w:val="002835A7"/>
    <w:rsid w:val="002840F0"/>
    <w:rsid w:val="00284D9A"/>
    <w:rsid w:val="00284EDD"/>
    <w:rsid w:val="00285DAC"/>
    <w:rsid w:val="0028780C"/>
    <w:rsid w:val="00287EC3"/>
    <w:rsid w:val="00290188"/>
    <w:rsid w:val="00292723"/>
    <w:rsid w:val="00292DD9"/>
    <w:rsid w:val="00292EAB"/>
    <w:rsid w:val="0029357C"/>
    <w:rsid w:val="0029372E"/>
    <w:rsid w:val="00294A0C"/>
    <w:rsid w:val="00295430"/>
    <w:rsid w:val="00295A7D"/>
    <w:rsid w:val="00295D1F"/>
    <w:rsid w:val="00296D8A"/>
    <w:rsid w:val="00296E9A"/>
    <w:rsid w:val="002970EC"/>
    <w:rsid w:val="0029794A"/>
    <w:rsid w:val="00297CD2"/>
    <w:rsid w:val="002A01C5"/>
    <w:rsid w:val="002A0B87"/>
    <w:rsid w:val="002A12B0"/>
    <w:rsid w:val="002A162B"/>
    <w:rsid w:val="002A1704"/>
    <w:rsid w:val="002A187C"/>
    <w:rsid w:val="002A1A25"/>
    <w:rsid w:val="002A1EE0"/>
    <w:rsid w:val="002A1FFB"/>
    <w:rsid w:val="002A207E"/>
    <w:rsid w:val="002A286E"/>
    <w:rsid w:val="002A2E93"/>
    <w:rsid w:val="002A3170"/>
    <w:rsid w:val="002A346B"/>
    <w:rsid w:val="002A3D4A"/>
    <w:rsid w:val="002A403B"/>
    <w:rsid w:val="002A46BC"/>
    <w:rsid w:val="002A49C6"/>
    <w:rsid w:val="002A4CDA"/>
    <w:rsid w:val="002A5EFD"/>
    <w:rsid w:val="002A63BB"/>
    <w:rsid w:val="002A7106"/>
    <w:rsid w:val="002B0A92"/>
    <w:rsid w:val="002B13E6"/>
    <w:rsid w:val="002B345C"/>
    <w:rsid w:val="002B3D83"/>
    <w:rsid w:val="002B5446"/>
    <w:rsid w:val="002B62A9"/>
    <w:rsid w:val="002B6AC3"/>
    <w:rsid w:val="002B6DB0"/>
    <w:rsid w:val="002B71C4"/>
    <w:rsid w:val="002B7F45"/>
    <w:rsid w:val="002C0D18"/>
    <w:rsid w:val="002C0F02"/>
    <w:rsid w:val="002C2973"/>
    <w:rsid w:val="002C35D5"/>
    <w:rsid w:val="002C3966"/>
    <w:rsid w:val="002C40F8"/>
    <w:rsid w:val="002C4405"/>
    <w:rsid w:val="002C4E22"/>
    <w:rsid w:val="002C5CC1"/>
    <w:rsid w:val="002C621B"/>
    <w:rsid w:val="002C68A5"/>
    <w:rsid w:val="002C72F7"/>
    <w:rsid w:val="002D0437"/>
    <w:rsid w:val="002D06D5"/>
    <w:rsid w:val="002D1064"/>
    <w:rsid w:val="002D2404"/>
    <w:rsid w:val="002D2C6A"/>
    <w:rsid w:val="002D3A78"/>
    <w:rsid w:val="002D3D17"/>
    <w:rsid w:val="002D3E9E"/>
    <w:rsid w:val="002D533E"/>
    <w:rsid w:val="002D5971"/>
    <w:rsid w:val="002D6B80"/>
    <w:rsid w:val="002D7234"/>
    <w:rsid w:val="002D7E4A"/>
    <w:rsid w:val="002E0E6C"/>
    <w:rsid w:val="002E171C"/>
    <w:rsid w:val="002E2585"/>
    <w:rsid w:val="002E2625"/>
    <w:rsid w:val="002E2D52"/>
    <w:rsid w:val="002E2DA7"/>
    <w:rsid w:val="002E3590"/>
    <w:rsid w:val="002E366B"/>
    <w:rsid w:val="002E37A3"/>
    <w:rsid w:val="002E4A42"/>
    <w:rsid w:val="002E5043"/>
    <w:rsid w:val="002E57C5"/>
    <w:rsid w:val="002E63EA"/>
    <w:rsid w:val="002E7500"/>
    <w:rsid w:val="002E7BDC"/>
    <w:rsid w:val="002E7C72"/>
    <w:rsid w:val="002F01D8"/>
    <w:rsid w:val="002F1D70"/>
    <w:rsid w:val="002F26DA"/>
    <w:rsid w:val="002F2724"/>
    <w:rsid w:val="002F307F"/>
    <w:rsid w:val="002F37E1"/>
    <w:rsid w:val="002F409D"/>
    <w:rsid w:val="002F4760"/>
    <w:rsid w:val="002F479C"/>
    <w:rsid w:val="002F5722"/>
    <w:rsid w:val="002F5ABF"/>
    <w:rsid w:val="002F5AC4"/>
    <w:rsid w:val="002F7AC7"/>
    <w:rsid w:val="002F7E36"/>
    <w:rsid w:val="003005BD"/>
    <w:rsid w:val="003006E5"/>
    <w:rsid w:val="00301161"/>
    <w:rsid w:val="00302A9B"/>
    <w:rsid w:val="00303B13"/>
    <w:rsid w:val="00303D1B"/>
    <w:rsid w:val="00304A20"/>
    <w:rsid w:val="003064D5"/>
    <w:rsid w:val="00306C18"/>
    <w:rsid w:val="003072D5"/>
    <w:rsid w:val="003103D6"/>
    <w:rsid w:val="00310974"/>
    <w:rsid w:val="00311378"/>
    <w:rsid w:val="003123D2"/>
    <w:rsid w:val="003126A7"/>
    <w:rsid w:val="0031308C"/>
    <w:rsid w:val="00314058"/>
    <w:rsid w:val="00314203"/>
    <w:rsid w:val="00314AAE"/>
    <w:rsid w:val="00315251"/>
    <w:rsid w:val="003153DE"/>
    <w:rsid w:val="0031552D"/>
    <w:rsid w:val="00315680"/>
    <w:rsid w:val="00315A50"/>
    <w:rsid w:val="00315BC8"/>
    <w:rsid w:val="00315FD4"/>
    <w:rsid w:val="00316184"/>
    <w:rsid w:val="003169E6"/>
    <w:rsid w:val="00317424"/>
    <w:rsid w:val="0031796B"/>
    <w:rsid w:val="00317D53"/>
    <w:rsid w:val="00317ECA"/>
    <w:rsid w:val="00320BCA"/>
    <w:rsid w:val="00320E4A"/>
    <w:rsid w:val="00320E5A"/>
    <w:rsid w:val="00321041"/>
    <w:rsid w:val="003212DA"/>
    <w:rsid w:val="003212EF"/>
    <w:rsid w:val="00322EFB"/>
    <w:rsid w:val="003239BD"/>
    <w:rsid w:val="00323C70"/>
    <w:rsid w:val="003247D6"/>
    <w:rsid w:val="00324D0D"/>
    <w:rsid w:val="003251B1"/>
    <w:rsid w:val="003255C8"/>
    <w:rsid w:val="00325E44"/>
    <w:rsid w:val="003305B5"/>
    <w:rsid w:val="00330921"/>
    <w:rsid w:val="0033096C"/>
    <w:rsid w:val="003313A6"/>
    <w:rsid w:val="0033164D"/>
    <w:rsid w:val="00331E85"/>
    <w:rsid w:val="00331F41"/>
    <w:rsid w:val="003321CB"/>
    <w:rsid w:val="0033340A"/>
    <w:rsid w:val="003352A2"/>
    <w:rsid w:val="00336D76"/>
    <w:rsid w:val="00336FFE"/>
    <w:rsid w:val="003402B6"/>
    <w:rsid w:val="003408B8"/>
    <w:rsid w:val="00341D17"/>
    <w:rsid w:val="00342538"/>
    <w:rsid w:val="003428BB"/>
    <w:rsid w:val="0034432B"/>
    <w:rsid w:val="003446B9"/>
    <w:rsid w:val="00344774"/>
    <w:rsid w:val="003458C7"/>
    <w:rsid w:val="00345C81"/>
    <w:rsid w:val="00346045"/>
    <w:rsid w:val="0034652D"/>
    <w:rsid w:val="0034754A"/>
    <w:rsid w:val="00347E43"/>
    <w:rsid w:val="0035004D"/>
    <w:rsid w:val="003503BF"/>
    <w:rsid w:val="00350B93"/>
    <w:rsid w:val="00351376"/>
    <w:rsid w:val="00351702"/>
    <w:rsid w:val="003518EE"/>
    <w:rsid w:val="00352F1D"/>
    <w:rsid w:val="00353D70"/>
    <w:rsid w:val="00354286"/>
    <w:rsid w:val="003543DA"/>
    <w:rsid w:val="00354472"/>
    <w:rsid w:val="00355354"/>
    <w:rsid w:val="00356510"/>
    <w:rsid w:val="00356AE4"/>
    <w:rsid w:val="00357AC7"/>
    <w:rsid w:val="00357AD0"/>
    <w:rsid w:val="00360E57"/>
    <w:rsid w:val="0036119C"/>
    <w:rsid w:val="0036133E"/>
    <w:rsid w:val="00362018"/>
    <w:rsid w:val="00362667"/>
    <w:rsid w:val="00362712"/>
    <w:rsid w:val="00362739"/>
    <w:rsid w:val="00362E78"/>
    <w:rsid w:val="00364CAB"/>
    <w:rsid w:val="003657C5"/>
    <w:rsid w:val="00366353"/>
    <w:rsid w:val="003700F7"/>
    <w:rsid w:val="0037061A"/>
    <w:rsid w:val="003706AE"/>
    <w:rsid w:val="00370F5F"/>
    <w:rsid w:val="003714EE"/>
    <w:rsid w:val="003743BB"/>
    <w:rsid w:val="00374E68"/>
    <w:rsid w:val="00375846"/>
    <w:rsid w:val="00375C43"/>
    <w:rsid w:val="0037608E"/>
    <w:rsid w:val="00376D70"/>
    <w:rsid w:val="00377D0E"/>
    <w:rsid w:val="0038011E"/>
    <w:rsid w:val="00380126"/>
    <w:rsid w:val="00380A8F"/>
    <w:rsid w:val="00380B8A"/>
    <w:rsid w:val="0038204D"/>
    <w:rsid w:val="00382862"/>
    <w:rsid w:val="00382F55"/>
    <w:rsid w:val="00384682"/>
    <w:rsid w:val="0038492F"/>
    <w:rsid w:val="00385A46"/>
    <w:rsid w:val="00385F50"/>
    <w:rsid w:val="0039030E"/>
    <w:rsid w:val="00390F05"/>
    <w:rsid w:val="00391370"/>
    <w:rsid w:val="00391B26"/>
    <w:rsid w:val="00391C11"/>
    <w:rsid w:val="00392042"/>
    <w:rsid w:val="0039258B"/>
    <w:rsid w:val="003925FB"/>
    <w:rsid w:val="003937F3"/>
    <w:rsid w:val="00393AC9"/>
    <w:rsid w:val="0039461F"/>
    <w:rsid w:val="00394877"/>
    <w:rsid w:val="0039523E"/>
    <w:rsid w:val="00395665"/>
    <w:rsid w:val="00396840"/>
    <w:rsid w:val="00396BB6"/>
    <w:rsid w:val="00396E5C"/>
    <w:rsid w:val="003A18F2"/>
    <w:rsid w:val="003A28EA"/>
    <w:rsid w:val="003A2B29"/>
    <w:rsid w:val="003A2C73"/>
    <w:rsid w:val="003A343E"/>
    <w:rsid w:val="003A4EB7"/>
    <w:rsid w:val="003A58A4"/>
    <w:rsid w:val="003A6CC3"/>
    <w:rsid w:val="003A7950"/>
    <w:rsid w:val="003B1E2E"/>
    <w:rsid w:val="003B2582"/>
    <w:rsid w:val="003B281F"/>
    <w:rsid w:val="003B291F"/>
    <w:rsid w:val="003B31A0"/>
    <w:rsid w:val="003B47BB"/>
    <w:rsid w:val="003B49CB"/>
    <w:rsid w:val="003B5229"/>
    <w:rsid w:val="003B63D1"/>
    <w:rsid w:val="003B7147"/>
    <w:rsid w:val="003B7BAA"/>
    <w:rsid w:val="003C086E"/>
    <w:rsid w:val="003C0894"/>
    <w:rsid w:val="003C1208"/>
    <w:rsid w:val="003C26F2"/>
    <w:rsid w:val="003C2D57"/>
    <w:rsid w:val="003C3137"/>
    <w:rsid w:val="003C3370"/>
    <w:rsid w:val="003C4ABD"/>
    <w:rsid w:val="003C4E4B"/>
    <w:rsid w:val="003C6798"/>
    <w:rsid w:val="003D05ED"/>
    <w:rsid w:val="003D086E"/>
    <w:rsid w:val="003D1E21"/>
    <w:rsid w:val="003D2E09"/>
    <w:rsid w:val="003D396B"/>
    <w:rsid w:val="003D4111"/>
    <w:rsid w:val="003D4671"/>
    <w:rsid w:val="003D4FA1"/>
    <w:rsid w:val="003D4FF1"/>
    <w:rsid w:val="003D6044"/>
    <w:rsid w:val="003D6EDA"/>
    <w:rsid w:val="003D6F0F"/>
    <w:rsid w:val="003D7A04"/>
    <w:rsid w:val="003D7D91"/>
    <w:rsid w:val="003E0618"/>
    <w:rsid w:val="003E1C70"/>
    <w:rsid w:val="003E392F"/>
    <w:rsid w:val="003E4B05"/>
    <w:rsid w:val="003E5A40"/>
    <w:rsid w:val="003E7ECA"/>
    <w:rsid w:val="003F0107"/>
    <w:rsid w:val="003F0DD9"/>
    <w:rsid w:val="003F0F3F"/>
    <w:rsid w:val="003F1078"/>
    <w:rsid w:val="003F1B9B"/>
    <w:rsid w:val="003F2877"/>
    <w:rsid w:val="003F30E1"/>
    <w:rsid w:val="003F34FB"/>
    <w:rsid w:val="003F3D9D"/>
    <w:rsid w:val="003F59F8"/>
    <w:rsid w:val="003F628F"/>
    <w:rsid w:val="003F62E9"/>
    <w:rsid w:val="003F6FCD"/>
    <w:rsid w:val="003F770E"/>
    <w:rsid w:val="0040070A"/>
    <w:rsid w:val="0040090A"/>
    <w:rsid w:val="004009E2"/>
    <w:rsid w:val="00400F29"/>
    <w:rsid w:val="004013FE"/>
    <w:rsid w:val="00401F11"/>
    <w:rsid w:val="004028F5"/>
    <w:rsid w:val="00402AC5"/>
    <w:rsid w:val="00403217"/>
    <w:rsid w:val="004049F5"/>
    <w:rsid w:val="00405770"/>
    <w:rsid w:val="00405A8D"/>
    <w:rsid w:val="00405AC6"/>
    <w:rsid w:val="00406AB1"/>
    <w:rsid w:val="00411918"/>
    <w:rsid w:val="0041376B"/>
    <w:rsid w:val="00413FA9"/>
    <w:rsid w:val="004143DC"/>
    <w:rsid w:val="0041444C"/>
    <w:rsid w:val="0041501D"/>
    <w:rsid w:val="00415B0E"/>
    <w:rsid w:val="00416622"/>
    <w:rsid w:val="00417191"/>
    <w:rsid w:val="004172C1"/>
    <w:rsid w:val="004211D0"/>
    <w:rsid w:val="004216F1"/>
    <w:rsid w:val="0042189F"/>
    <w:rsid w:val="004225C7"/>
    <w:rsid w:val="004239E3"/>
    <w:rsid w:val="00426D1B"/>
    <w:rsid w:val="0042712F"/>
    <w:rsid w:val="00430857"/>
    <w:rsid w:val="004308CD"/>
    <w:rsid w:val="00430D27"/>
    <w:rsid w:val="00431534"/>
    <w:rsid w:val="00432618"/>
    <w:rsid w:val="004328C9"/>
    <w:rsid w:val="00433312"/>
    <w:rsid w:val="004333BC"/>
    <w:rsid w:val="00435AB2"/>
    <w:rsid w:val="00435ADE"/>
    <w:rsid w:val="004363E0"/>
    <w:rsid w:val="0043667C"/>
    <w:rsid w:val="00436685"/>
    <w:rsid w:val="00436A23"/>
    <w:rsid w:val="004371D2"/>
    <w:rsid w:val="0043764A"/>
    <w:rsid w:val="00437E09"/>
    <w:rsid w:val="00440113"/>
    <w:rsid w:val="004404EB"/>
    <w:rsid w:val="004413E2"/>
    <w:rsid w:val="00441D68"/>
    <w:rsid w:val="00443DE5"/>
    <w:rsid w:val="004446F1"/>
    <w:rsid w:val="00444EB7"/>
    <w:rsid w:val="00445061"/>
    <w:rsid w:val="004455FF"/>
    <w:rsid w:val="00445F3E"/>
    <w:rsid w:val="00445FC9"/>
    <w:rsid w:val="00446FAD"/>
    <w:rsid w:val="00447044"/>
    <w:rsid w:val="004518D9"/>
    <w:rsid w:val="0045198E"/>
    <w:rsid w:val="00452FDD"/>
    <w:rsid w:val="0045351D"/>
    <w:rsid w:val="00453863"/>
    <w:rsid w:val="004544C2"/>
    <w:rsid w:val="00455486"/>
    <w:rsid w:val="00455535"/>
    <w:rsid w:val="00455B00"/>
    <w:rsid w:val="00455F70"/>
    <w:rsid w:val="0046011A"/>
    <w:rsid w:val="00461933"/>
    <w:rsid w:val="004620C3"/>
    <w:rsid w:val="00462A47"/>
    <w:rsid w:val="00463436"/>
    <w:rsid w:val="00464DC4"/>
    <w:rsid w:val="00464FCF"/>
    <w:rsid w:val="00465322"/>
    <w:rsid w:val="00465571"/>
    <w:rsid w:val="00465E94"/>
    <w:rsid w:val="00465F03"/>
    <w:rsid w:val="00466225"/>
    <w:rsid w:val="0046651B"/>
    <w:rsid w:val="004670DA"/>
    <w:rsid w:val="00471E92"/>
    <w:rsid w:val="00472F65"/>
    <w:rsid w:val="0047406B"/>
    <w:rsid w:val="0047423D"/>
    <w:rsid w:val="0047466E"/>
    <w:rsid w:val="004747F3"/>
    <w:rsid w:val="00475EE4"/>
    <w:rsid w:val="00476B72"/>
    <w:rsid w:val="00476F0E"/>
    <w:rsid w:val="004777D3"/>
    <w:rsid w:val="00477874"/>
    <w:rsid w:val="004809BD"/>
    <w:rsid w:val="00480A0A"/>
    <w:rsid w:val="00480D15"/>
    <w:rsid w:val="004815ED"/>
    <w:rsid w:val="004827BE"/>
    <w:rsid w:val="00482AE6"/>
    <w:rsid w:val="004852E8"/>
    <w:rsid w:val="00485894"/>
    <w:rsid w:val="00485AA1"/>
    <w:rsid w:val="0048603D"/>
    <w:rsid w:val="0048606E"/>
    <w:rsid w:val="0048727F"/>
    <w:rsid w:val="00487A29"/>
    <w:rsid w:val="00487DA4"/>
    <w:rsid w:val="004918F5"/>
    <w:rsid w:val="00493AD5"/>
    <w:rsid w:val="00493C73"/>
    <w:rsid w:val="00493CE7"/>
    <w:rsid w:val="004941E6"/>
    <w:rsid w:val="004949D4"/>
    <w:rsid w:val="00494CE0"/>
    <w:rsid w:val="0049580E"/>
    <w:rsid w:val="004966C2"/>
    <w:rsid w:val="0049715E"/>
    <w:rsid w:val="004A0141"/>
    <w:rsid w:val="004A0355"/>
    <w:rsid w:val="004A0699"/>
    <w:rsid w:val="004A0D30"/>
    <w:rsid w:val="004A0D3B"/>
    <w:rsid w:val="004A1523"/>
    <w:rsid w:val="004A3CE3"/>
    <w:rsid w:val="004A4071"/>
    <w:rsid w:val="004A4D59"/>
    <w:rsid w:val="004A50D5"/>
    <w:rsid w:val="004A5926"/>
    <w:rsid w:val="004A63FD"/>
    <w:rsid w:val="004A6CC8"/>
    <w:rsid w:val="004A764A"/>
    <w:rsid w:val="004A78D7"/>
    <w:rsid w:val="004A7955"/>
    <w:rsid w:val="004A7B4D"/>
    <w:rsid w:val="004A7D15"/>
    <w:rsid w:val="004A7FA0"/>
    <w:rsid w:val="004B13D7"/>
    <w:rsid w:val="004B19E2"/>
    <w:rsid w:val="004B1C8A"/>
    <w:rsid w:val="004B3E76"/>
    <w:rsid w:val="004B4631"/>
    <w:rsid w:val="004B46B8"/>
    <w:rsid w:val="004B49B5"/>
    <w:rsid w:val="004B4F93"/>
    <w:rsid w:val="004B556F"/>
    <w:rsid w:val="004B5B5D"/>
    <w:rsid w:val="004B6BCC"/>
    <w:rsid w:val="004B7AC8"/>
    <w:rsid w:val="004B7C5F"/>
    <w:rsid w:val="004B7D48"/>
    <w:rsid w:val="004C021F"/>
    <w:rsid w:val="004C022F"/>
    <w:rsid w:val="004C080A"/>
    <w:rsid w:val="004C0832"/>
    <w:rsid w:val="004C1610"/>
    <w:rsid w:val="004C26E5"/>
    <w:rsid w:val="004C2E2E"/>
    <w:rsid w:val="004C3608"/>
    <w:rsid w:val="004C467F"/>
    <w:rsid w:val="004C5193"/>
    <w:rsid w:val="004C61CE"/>
    <w:rsid w:val="004C6F92"/>
    <w:rsid w:val="004C795C"/>
    <w:rsid w:val="004C7F5D"/>
    <w:rsid w:val="004D0257"/>
    <w:rsid w:val="004D0429"/>
    <w:rsid w:val="004D06BC"/>
    <w:rsid w:val="004D128E"/>
    <w:rsid w:val="004D45CF"/>
    <w:rsid w:val="004D4F87"/>
    <w:rsid w:val="004D5E47"/>
    <w:rsid w:val="004D6AAD"/>
    <w:rsid w:val="004D7101"/>
    <w:rsid w:val="004D739A"/>
    <w:rsid w:val="004E098D"/>
    <w:rsid w:val="004E0DA2"/>
    <w:rsid w:val="004E22F9"/>
    <w:rsid w:val="004E2347"/>
    <w:rsid w:val="004E34FF"/>
    <w:rsid w:val="004E3E0C"/>
    <w:rsid w:val="004E40A6"/>
    <w:rsid w:val="004E6041"/>
    <w:rsid w:val="004E62BA"/>
    <w:rsid w:val="004E6C58"/>
    <w:rsid w:val="004E6FF7"/>
    <w:rsid w:val="004E7A3B"/>
    <w:rsid w:val="004E7CC8"/>
    <w:rsid w:val="004F0152"/>
    <w:rsid w:val="004F1BE1"/>
    <w:rsid w:val="004F1D02"/>
    <w:rsid w:val="004F1DF6"/>
    <w:rsid w:val="004F1E7B"/>
    <w:rsid w:val="004F223A"/>
    <w:rsid w:val="004F236E"/>
    <w:rsid w:val="004F248B"/>
    <w:rsid w:val="004F2642"/>
    <w:rsid w:val="004F265E"/>
    <w:rsid w:val="004F36EF"/>
    <w:rsid w:val="004F3CB5"/>
    <w:rsid w:val="004F4032"/>
    <w:rsid w:val="004F46E8"/>
    <w:rsid w:val="004F4812"/>
    <w:rsid w:val="004F4882"/>
    <w:rsid w:val="004F4BCF"/>
    <w:rsid w:val="004F53BC"/>
    <w:rsid w:val="004F5404"/>
    <w:rsid w:val="004F6630"/>
    <w:rsid w:val="004F67EF"/>
    <w:rsid w:val="004F7859"/>
    <w:rsid w:val="004F7EFB"/>
    <w:rsid w:val="00500A37"/>
    <w:rsid w:val="00500CCF"/>
    <w:rsid w:val="00501370"/>
    <w:rsid w:val="00503F60"/>
    <w:rsid w:val="005057FF"/>
    <w:rsid w:val="00505B8B"/>
    <w:rsid w:val="00505FF0"/>
    <w:rsid w:val="00506901"/>
    <w:rsid w:val="0050693E"/>
    <w:rsid w:val="005074F8"/>
    <w:rsid w:val="00507657"/>
    <w:rsid w:val="0050793C"/>
    <w:rsid w:val="00507FF7"/>
    <w:rsid w:val="0051026A"/>
    <w:rsid w:val="005103A9"/>
    <w:rsid w:val="00510571"/>
    <w:rsid w:val="00510AEF"/>
    <w:rsid w:val="00510DEB"/>
    <w:rsid w:val="00511A89"/>
    <w:rsid w:val="005121E2"/>
    <w:rsid w:val="0051222A"/>
    <w:rsid w:val="00513511"/>
    <w:rsid w:val="00514651"/>
    <w:rsid w:val="00515970"/>
    <w:rsid w:val="0051607A"/>
    <w:rsid w:val="00516509"/>
    <w:rsid w:val="00516DE7"/>
    <w:rsid w:val="00517C13"/>
    <w:rsid w:val="00517C52"/>
    <w:rsid w:val="00517C9E"/>
    <w:rsid w:val="00521232"/>
    <w:rsid w:val="00521799"/>
    <w:rsid w:val="0052206F"/>
    <w:rsid w:val="00522080"/>
    <w:rsid w:val="005221CF"/>
    <w:rsid w:val="00522A66"/>
    <w:rsid w:val="00522C52"/>
    <w:rsid w:val="00524E04"/>
    <w:rsid w:val="00525722"/>
    <w:rsid w:val="00526481"/>
    <w:rsid w:val="00527D2B"/>
    <w:rsid w:val="0053024B"/>
    <w:rsid w:val="00530AE3"/>
    <w:rsid w:val="0053187A"/>
    <w:rsid w:val="00531BA1"/>
    <w:rsid w:val="00532561"/>
    <w:rsid w:val="00532EA5"/>
    <w:rsid w:val="005330EC"/>
    <w:rsid w:val="00534741"/>
    <w:rsid w:val="0053483B"/>
    <w:rsid w:val="00534864"/>
    <w:rsid w:val="0053531C"/>
    <w:rsid w:val="005359D8"/>
    <w:rsid w:val="00535CA8"/>
    <w:rsid w:val="00536404"/>
    <w:rsid w:val="00536D2F"/>
    <w:rsid w:val="00536D91"/>
    <w:rsid w:val="00537724"/>
    <w:rsid w:val="00537DD5"/>
    <w:rsid w:val="0054017E"/>
    <w:rsid w:val="00540AD8"/>
    <w:rsid w:val="00541A2D"/>
    <w:rsid w:val="00541C54"/>
    <w:rsid w:val="005425E1"/>
    <w:rsid w:val="00542CE8"/>
    <w:rsid w:val="00543076"/>
    <w:rsid w:val="00543918"/>
    <w:rsid w:val="00545022"/>
    <w:rsid w:val="00545210"/>
    <w:rsid w:val="00545ACA"/>
    <w:rsid w:val="00546320"/>
    <w:rsid w:val="0055080B"/>
    <w:rsid w:val="005509B0"/>
    <w:rsid w:val="00550B76"/>
    <w:rsid w:val="00551FE0"/>
    <w:rsid w:val="0055259A"/>
    <w:rsid w:val="005525E3"/>
    <w:rsid w:val="00552CC5"/>
    <w:rsid w:val="00553830"/>
    <w:rsid w:val="0055396C"/>
    <w:rsid w:val="00554088"/>
    <w:rsid w:val="005542A6"/>
    <w:rsid w:val="0055486B"/>
    <w:rsid w:val="00554999"/>
    <w:rsid w:val="00554ADA"/>
    <w:rsid w:val="00554F09"/>
    <w:rsid w:val="0055522D"/>
    <w:rsid w:val="00555777"/>
    <w:rsid w:val="00555972"/>
    <w:rsid w:val="00555AF6"/>
    <w:rsid w:val="00555C22"/>
    <w:rsid w:val="00555C48"/>
    <w:rsid w:val="00557DE6"/>
    <w:rsid w:val="00560132"/>
    <w:rsid w:val="005606B7"/>
    <w:rsid w:val="00560FAF"/>
    <w:rsid w:val="00561820"/>
    <w:rsid w:val="00561EF1"/>
    <w:rsid w:val="00562055"/>
    <w:rsid w:val="0056234C"/>
    <w:rsid w:val="00562F2A"/>
    <w:rsid w:val="0056322B"/>
    <w:rsid w:val="00564002"/>
    <w:rsid w:val="005640DB"/>
    <w:rsid w:val="00564B82"/>
    <w:rsid w:val="00564FD9"/>
    <w:rsid w:val="0056685B"/>
    <w:rsid w:val="00566D3D"/>
    <w:rsid w:val="00566E38"/>
    <w:rsid w:val="00566E9A"/>
    <w:rsid w:val="005670BA"/>
    <w:rsid w:val="005673FB"/>
    <w:rsid w:val="00567474"/>
    <w:rsid w:val="00567815"/>
    <w:rsid w:val="00567C3D"/>
    <w:rsid w:val="0057031C"/>
    <w:rsid w:val="005705A3"/>
    <w:rsid w:val="00570727"/>
    <w:rsid w:val="00570CB8"/>
    <w:rsid w:val="0057167D"/>
    <w:rsid w:val="00571978"/>
    <w:rsid w:val="00572E60"/>
    <w:rsid w:val="005743A2"/>
    <w:rsid w:val="00576458"/>
    <w:rsid w:val="005807E0"/>
    <w:rsid w:val="005807FB"/>
    <w:rsid w:val="00581752"/>
    <w:rsid w:val="00581EB7"/>
    <w:rsid w:val="00581FA6"/>
    <w:rsid w:val="005833D5"/>
    <w:rsid w:val="00584304"/>
    <w:rsid w:val="00584379"/>
    <w:rsid w:val="005850E4"/>
    <w:rsid w:val="0058623B"/>
    <w:rsid w:val="005872C0"/>
    <w:rsid w:val="005872FC"/>
    <w:rsid w:val="00587808"/>
    <w:rsid w:val="005903FC"/>
    <w:rsid w:val="00590BA8"/>
    <w:rsid w:val="00591C4B"/>
    <w:rsid w:val="00592685"/>
    <w:rsid w:val="00592B89"/>
    <w:rsid w:val="00592CD4"/>
    <w:rsid w:val="005933DD"/>
    <w:rsid w:val="00593E3D"/>
    <w:rsid w:val="0059414E"/>
    <w:rsid w:val="00595777"/>
    <w:rsid w:val="005964E8"/>
    <w:rsid w:val="005966C7"/>
    <w:rsid w:val="00597518"/>
    <w:rsid w:val="005979BD"/>
    <w:rsid w:val="005A00B1"/>
    <w:rsid w:val="005A0B6E"/>
    <w:rsid w:val="005A1CAE"/>
    <w:rsid w:val="005A241F"/>
    <w:rsid w:val="005A2646"/>
    <w:rsid w:val="005A3828"/>
    <w:rsid w:val="005A4618"/>
    <w:rsid w:val="005A4B78"/>
    <w:rsid w:val="005A60B1"/>
    <w:rsid w:val="005A6383"/>
    <w:rsid w:val="005A698A"/>
    <w:rsid w:val="005A69BA"/>
    <w:rsid w:val="005A6CD0"/>
    <w:rsid w:val="005A7122"/>
    <w:rsid w:val="005A7CD8"/>
    <w:rsid w:val="005B0673"/>
    <w:rsid w:val="005B2CDA"/>
    <w:rsid w:val="005B3BEE"/>
    <w:rsid w:val="005B3D5B"/>
    <w:rsid w:val="005B4B5C"/>
    <w:rsid w:val="005B5ACC"/>
    <w:rsid w:val="005B6EE5"/>
    <w:rsid w:val="005B75E9"/>
    <w:rsid w:val="005B7C5C"/>
    <w:rsid w:val="005B7D3F"/>
    <w:rsid w:val="005C01A0"/>
    <w:rsid w:val="005C05C2"/>
    <w:rsid w:val="005C113C"/>
    <w:rsid w:val="005C15FF"/>
    <w:rsid w:val="005C1F41"/>
    <w:rsid w:val="005C2304"/>
    <w:rsid w:val="005C2498"/>
    <w:rsid w:val="005C2E6D"/>
    <w:rsid w:val="005C43FE"/>
    <w:rsid w:val="005C45DA"/>
    <w:rsid w:val="005C4F4A"/>
    <w:rsid w:val="005C4F83"/>
    <w:rsid w:val="005C6190"/>
    <w:rsid w:val="005C6820"/>
    <w:rsid w:val="005C754F"/>
    <w:rsid w:val="005C784F"/>
    <w:rsid w:val="005D02D4"/>
    <w:rsid w:val="005D0B83"/>
    <w:rsid w:val="005D1E66"/>
    <w:rsid w:val="005D21B5"/>
    <w:rsid w:val="005D2246"/>
    <w:rsid w:val="005D378C"/>
    <w:rsid w:val="005D4364"/>
    <w:rsid w:val="005D4FDF"/>
    <w:rsid w:val="005D54AB"/>
    <w:rsid w:val="005D5824"/>
    <w:rsid w:val="005D5C59"/>
    <w:rsid w:val="005D715A"/>
    <w:rsid w:val="005D737E"/>
    <w:rsid w:val="005D7E75"/>
    <w:rsid w:val="005E04A0"/>
    <w:rsid w:val="005E1A53"/>
    <w:rsid w:val="005E24A5"/>
    <w:rsid w:val="005E28EF"/>
    <w:rsid w:val="005E31AB"/>
    <w:rsid w:val="005E3330"/>
    <w:rsid w:val="005E43C5"/>
    <w:rsid w:val="005E45F3"/>
    <w:rsid w:val="005E4844"/>
    <w:rsid w:val="005E59A0"/>
    <w:rsid w:val="005E6424"/>
    <w:rsid w:val="005E67EB"/>
    <w:rsid w:val="005E6D27"/>
    <w:rsid w:val="005E7094"/>
    <w:rsid w:val="005F024D"/>
    <w:rsid w:val="005F032C"/>
    <w:rsid w:val="005F0E60"/>
    <w:rsid w:val="005F1261"/>
    <w:rsid w:val="005F18FA"/>
    <w:rsid w:val="005F1C86"/>
    <w:rsid w:val="005F24EB"/>
    <w:rsid w:val="005F353B"/>
    <w:rsid w:val="005F3DD6"/>
    <w:rsid w:val="005F4931"/>
    <w:rsid w:val="005F4949"/>
    <w:rsid w:val="005F4B60"/>
    <w:rsid w:val="005F6E1E"/>
    <w:rsid w:val="00600314"/>
    <w:rsid w:val="00600C7E"/>
    <w:rsid w:val="00601A7C"/>
    <w:rsid w:val="00601C2A"/>
    <w:rsid w:val="00601EA5"/>
    <w:rsid w:val="00602665"/>
    <w:rsid w:val="00602A37"/>
    <w:rsid w:val="006039FF"/>
    <w:rsid w:val="0060401D"/>
    <w:rsid w:val="00604D56"/>
    <w:rsid w:val="00604FD1"/>
    <w:rsid w:val="00605136"/>
    <w:rsid w:val="006053DD"/>
    <w:rsid w:val="006056BC"/>
    <w:rsid w:val="00606874"/>
    <w:rsid w:val="00606937"/>
    <w:rsid w:val="00606A66"/>
    <w:rsid w:val="00606D75"/>
    <w:rsid w:val="006071AA"/>
    <w:rsid w:val="00607264"/>
    <w:rsid w:val="0061018A"/>
    <w:rsid w:val="006107AD"/>
    <w:rsid w:val="00610D63"/>
    <w:rsid w:val="0061133F"/>
    <w:rsid w:val="00611CE0"/>
    <w:rsid w:val="00611F29"/>
    <w:rsid w:val="00611F76"/>
    <w:rsid w:val="006125F1"/>
    <w:rsid w:val="00613779"/>
    <w:rsid w:val="00613F33"/>
    <w:rsid w:val="00614ECC"/>
    <w:rsid w:val="00615806"/>
    <w:rsid w:val="00615C84"/>
    <w:rsid w:val="0061650E"/>
    <w:rsid w:val="00616E38"/>
    <w:rsid w:val="00620068"/>
    <w:rsid w:val="006207FA"/>
    <w:rsid w:val="0062115A"/>
    <w:rsid w:val="006219FA"/>
    <w:rsid w:val="006223AA"/>
    <w:rsid w:val="00622807"/>
    <w:rsid w:val="00622DAC"/>
    <w:rsid w:val="00623B3A"/>
    <w:rsid w:val="0062461D"/>
    <w:rsid w:val="00625842"/>
    <w:rsid w:val="006258DB"/>
    <w:rsid w:val="006273C1"/>
    <w:rsid w:val="00630044"/>
    <w:rsid w:val="0063090D"/>
    <w:rsid w:val="00631027"/>
    <w:rsid w:val="00632C05"/>
    <w:rsid w:val="0063308C"/>
    <w:rsid w:val="00633233"/>
    <w:rsid w:val="006345D6"/>
    <w:rsid w:val="0063507E"/>
    <w:rsid w:val="00635117"/>
    <w:rsid w:val="00636039"/>
    <w:rsid w:val="006361D8"/>
    <w:rsid w:val="00637179"/>
    <w:rsid w:val="006407F7"/>
    <w:rsid w:val="00640918"/>
    <w:rsid w:val="00640FFA"/>
    <w:rsid w:val="0064185A"/>
    <w:rsid w:val="00641EB2"/>
    <w:rsid w:val="00642CBB"/>
    <w:rsid w:val="00642D5C"/>
    <w:rsid w:val="0064329A"/>
    <w:rsid w:val="0064341C"/>
    <w:rsid w:val="00645E07"/>
    <w:rsid w:val="00646543"/>
    <w:rsid w:val="00646BDB"/>
    <w:rsid w:val="006478E3"/>
    <w:rsid w:val="006509AE"/>
    <w:rsid w:val="006527DD"/>
    <w:rsid w:val="00652BC3"/>
    <w:rsid w:val="00655013"/>
    <w:rsid w:val="00655A8B"/>
    <w:rsid w:val="00655AE6"/>
    <w:rsid w:val="00656677"/>
    <w:rsid w:val="00656E52"/>
    <w:rsid w:val="006603DD"/>
    <w:rsid w:val="00660B31"/>
    <w:rsid w:val="00661CC6"/>
    <w:rsid w:val="00661F45"/>
    <w:rsid w:val="00662AB2"/>
    <w:rsid w:val="006632A3"/>
    <w:rsid w:val="00664F16"/>
    <w:rsid w:val="006666AF"/>
    <w:rsid w:val="00670AC7"/>
    <w:rsid w:val="00672E4A"/>
    <w:rsid w:val="006731EF"/>
    <w:rsid w:val="006732C2"/>
    <w:rsid w:val="0067334D"/>
    <w:rsid w:val="0067395B"/>
    <w:rsid w:val="00674BCB"/>
    <w:rsid w:val="006750ED"/>
    <w:rsid w:val="0067576F"/>
    <w:rsid w:val="00677E54"/>
    <w:rsid w:val="00677F3D"/>
    <w:rsid w:val="00680B79"/>
    <w:rsid w:val="00680E40"/>
    <w:rsid w:val="00681619"/>
    <w:rsid w:val="006817D8"/>
    <w:rsid w:val="0068214C"/>
    <w:rsid w:val="00682379"/>
    <w:rsid w:val="006827C9"/>
    <w:rsid w:val="00683DFF"/>
    <w:rsid w:val="00684424"/>
    <w:rsid w:val="006851D3"/>
    <w:rsid w:val="006852A3"/>
    <w:rsid w:val="006857F5"/>
    <w:rsid w:val="00685C20"/>
    <w:rsid w:val="00685EC5"/>
    <w:rsid w:val="00686D50"/>
    <w:rsid w:val="00687321"/>
    <w:rsid w:val="00687404"/>
    <w:rsid w:val="00690A98"/>
    <w:rsid w:val="00690CD5"/>
    <w:rsid w:val="00690E1B"/>
    <w:rsid w:val="00691128"/>
    <w:rsid w:val="006911B2"/>
    <w:rsid w:val="0069129E"/>
    <w:rsid w:val="006914F3"/>
    <w:rsid w:val="0069195D"/>
    <w:rsid w:val="00693237"/>
    <w:rsid w:val="00693CC1"/>
    <w:rsid w:val="00693E7E"/>
    <w:rsid w:val="00694A6E"/>
    <w:rsid w:val="00694F02"/>
    <w:rsid w:val="00695E05"/>
    <w:rsid w:val="0069602A"/>
    <w:rsid w:val="00697B13"/>
    <w:rsid w:val="006A1E6B"/>
    <w:rsid w:val="006A2248"/>
    <w:rsid w:val="006A34D7"/>
    <w:rsid w:val="006A3860"/>
    <w:rsid w:val="006A4B13"/>
    <w:rsid w:val="006A5F58"/>
    <w:rsid w:val="006A6D01"/>
    <w:rsid w:val="006A7519"/>
    <w:rsid w:val="006A7856"/>
    <w:rsid w:val="006B02D7"/>
    <w:rsid w:val="006B12C7"/>
    <w:rsid w:val="006B1783"/>
    <w:rsid w:val="006B1B59"/>
    <w:rsid w:val="006B2232"/>
    <w:rsid w:val="006B24F6"/>
    <w:rsid w:val="006B2AE8"/>
    <w:rsid w:val="006B45F3"/>
    <w:rsid w:val="006B46FB"/>
    <w:rsid w:val="006B4922"/>
    <w:rsid w:val="006B4DCE"/>
    <w:rsid w:val="006B4E1A"/>
    <w:rsid w:val="006B583D"/>
    <w:rsid w:val="006B6E78"/>
    <w:rsid w:val="006B78F8"/>
    <w:rsid w:val="006B7970"/>
    <w:rsid w:val="006B7A0C"/>
    <w:rsid w:val="006C00E2"/>
    <w:rsid w:val="006C14E4"/>
    <w:rsid w:val="006C1761"/>
    <w:rsid w:val="006C18E7"/>
    <w:rsid w:val="006C23BE"/>
    <w:rsid w:val="006C2B56"/>
    <w:rsid w:val="006C384B"/>
    <w:rsid w:val="006C4C20"/>
    <w:rsid w:val="006C4F15"/>
    <w:rsid w:val="006C56CF"/>
    <w:rsid w:val="006C58AB"/>
    <w:rsid w:val="006C66C3"/>
    <w:rsid w:val="006C6F31"/>
    <w:rsid w:val="006C7B4F"/>
    <w:rsid w:val="006C7D7E"/>
    <w:rsid w:val="006D01E6"/>
    <w:rsid w:val="006D08EB"/>
    <w:rsid w:val="006D0DFA"/>
    <w:rsid w:val="006D146F"/>
    <w:rsid w:val="006D1630"/>
    <w:rsid w:val="006D174E"/>
    <w:rsid w:val="006D1A3B"/>
    <w:rsid w:val="006D38CB"/>
    <w:rsid w:val="006D3B5F"/>
    <w:rsid w:val="006D537C"/>
    <w:rsid w:val="006D5422"/>
    <w:rsid w:val="006D65B6"/>
    <w:rsid w:val="006D6AA8"/>
    <w:rsid w:val="006D71C5"/>
    <w:rsid w:val="006D7351"/>
    <w:rsid w:val="006D7545"/>
    <w:rsid w:val="006E0A75"/>
    <w:rsid w:val="006E0B27"/>
    <w:rsid w:val="006E0C18"/>
    <w:rsid w:val="006E114F"/>
    <w:rsid w:val="006E1185"/>
    <w:rsid w:val="006E1BCC"/>
    <w:rsid w:val="006E3CE7"/>
    <w:rsid w:val="006E4F3E"/>
    <w:rsid w:val="006E530B"/>
    <w:rsid w:val="006E5902"/>
    <w:rsid w:val="006E63F1"/>
    <w:rsid w:val="006E64DC"/>
    <w:rsid w:val="006E7F33"/>
    <w:rsid w:val="006F1AEF"/>
    <w:rsid w:val="006F1CD8"/>
    <w:rsid w:val="006F25FD"/>
    <w:rsid w:val="006F31DC"/>
    <w:rsid w:val="006F3654"/>
    <w:rsid w:val="006F4E28"/>
    <w:rsid w:val="006F5D2D"/>
    <w:rsid w:val="006F65D8"/>
    <w:rsid w:val="006F71F0"/>
    <w:rsid w:val="006F738A"/>
    <w:rsid w:val="00701387"/>
    <w:rsid w:val="00701A93"/>
    <w:rsid w:val="00701B73"/>
    <w:rsid w:val="00702803"/>
    <w:rsid w:val="007037B8"/>
    <w:rsid w:val="00703CCE"/>
    <w:rsid w:val="00703CD9"/>
    <w:rsid w:val="00705015"/>
    <w:rsid w:val="007050A6"/>
    <w:rsid w:val="00705C86"/>
    <w:rsid w:val="00705CA5"/>
    <w:rsid w:val="00706124"/>
    <w:rsid w:val="0070627C"/>
    <w:rsid w:val="0070711D"/>
    <w:rsid w:val="00707D7C"/>
    <w:rsid w:val="00707E5B"/>
    <w:rsid w:val="007106D9"/>
    <w:rsid w:val="00712DBA"/>
    <w:rsid w:val="0071406A"/>
    <w:rsid w:val="0071487E"/>
    <w:rsid w:val="007151AB"/>
    <w:rsid w:val="007165E6"/>
    <w:rsid w:val="00717573"/>
    <w:rsid w:val="0071772E"/>
    <w:rsid w:val="00717874"/>
    <w:rsid w:val="00717AA1"/>
    <w:rsid w:val="00717B6A"/>
    <w:rsid w:val="00720055"/>
    <w:rsid w:val="007228D2"/>
    <w:rsid w:val="007233EE"/>
    <w:rsid w:val="00724FA1"/>
    <w:rsid w:val="00725085"/>
    <w:rsid w:val="00725572"/>
    <w:rsid w:val="00725D4A"/>
    <w:rsid w:val="00725F84"/>
    <w:rsid w:val="007264F7"/>
    <w:rsid w:val="0073067F"/>
    <w:rsid w:val="00730D1A"/>
    <w:rsid w:val="00732AE2"/>
    <w:rsid w:val="0073480E"/>
    <w:rsid w:val="0073484A"/>
    <w:rsid w:val="0073490C"/>
    <w:rsid w:val="00734DBE"/>
    <w:rsid w:val="00735E8F"/>
    <w:rsid w:val="0073682B"/>
    <w:rsid w:val="00736B29"/>
    <w:rsid w:val="00736CC2"/>
    <w:rsid w:val="0073727A"/>
    <w:rsid w:val="00740796"/>
    <w:rsid w:val="00741962"/>
    <w:rsid w:val="00741986"/>
    <w:rsid w:val="007432D6"/>
    <w:rsid w:val="00743F80"/>
    <w:rsid w:val="007442C3"/>
    <w:rsid w:val="0074500E"/>
    <w:rsid w:val="00745858"/>
    <w:rsid w:val="00751416"/>
    <w:rsid w:val="0075239E"/>
    <w:rsid w:val="00752B38"/>
    <w:rsid w:val="00753968"/>
    <w:rsid w:val="00753AE2"/>
    <w:rsid w:val="00753B55"/>
    <w:rsid w:val="00755AD2"/>
    <w:rsid w:val="00755BEB"/>
    <w:rsid w:val="00755C52"/>
    <w:rsid w:val="007560F1"/>
    <w:rsid w:val="007561AF"/>
    <w:rsid w:val="00756205"/>
    <w:rsid w:val="00756929"/>
    <w:rsid w:val="00757414"/>
    <w:rsid w:val="007579F7"/>
    <w:rsid w:val="00757AF1"/>
    <w:rsid w:val="0076146C"/>
    <w:rsid w:val="007615F8"/>
    <w:rsid w:val="007624CF"/>
    <w:rsid w:val="007626D1"/>
    <w:rsid w:val="0076274F"/>
    <w:rsid w:val="00762C7D"/>
    <w:rsid w:val="0076326D"/>
    <w:rsid w:val="00763349"/>
    <w:rsid w:val="007636E8"/>
    <w:rsid w:val="00764D11"/>
    <w:rsid w:val="007650A1"/>
    <w:rsid w:val="0076783F"/>
    <w:rsid w:val="007709FB"/>
    <w:rsid w:val="00770B72"/>
    <w:rsid w:val="00770C5D"/>
    <w:rsid w:val="007715C8"/>
    <w:rsid w:val="00771879"/>
    <w:rsid w:val="00771DEF"/>
    <w:rsid w:val="0077313A"/>
    <w:rsid w:val="00773C10"/>
    <w:rsid w:val="007743A0"/>
    <w:rsid w:val="00775903"/>
    <w:rsid w:val="0077630C"/>
    <w:rsid w:val="00777965"/>
    <w:rsid w:val="0078146A"/>
    <w:rsid w:val="00781AB6"/>
    <w:rsid w:val="007828AD"/>
    <w:rsid w:val="00782946"/>
    <w:rsid w:val="0078357F"/>
    <w:rsid w:val="00783D38"/>
    <w:rsid w:val="00783DE6"/>
    <w:rsid w:val="00784058"/>
    <w:rsid w:val="00784999"/>
    <w:rsid w:val="00785439"/>
    <w:rsid w:val="007865A2"/>
    <w:rsid w:val="0078661F"/>
    <w:rsid w:val="00786C96"/>
    <w:rsid w:val="007878FF"/>
    <w:rsid w:val="00787D37"/>
    <w:rsid w:val="007906E5"/>
    <w:rsid w:val="00790990"/>
    <w:rsid w:val="00790A0B"/>
    <w:rsid w:val="00791A61"/>
    <w:rsid w:val="00791D60"/>
    <w:rsid w:val="00793621"/>
    <w:rsid w:val="00793E00"/>
    <w:rsid w:val="00794215"/>
    <w:rsid w:val="0079486E"/>
    <w:rsid w:val="00794E43"/>
    <w:rsid w:val="00795A42"/>
    <w:rsid w:val="00796053"/>
    <w:rsid w:val="00796225"/>
    <w:rsid w:val="00796C19"/>
    <w:rsid w:val="0079740E"/>
    <w:rsid w:val="0079743E"/>
    <w:rsid w:val="00797C6C"/>
    <w:rsid w:val="007A1581"/>
    <w:rsid w:val="007A2573"/>
    <w:rsid w:val="007A32C6"/>
    <w:rsid w:val="007A39BB"/>
    <w:rsid w:val="007A4068"/>
    <w:rsid w:val="007A414C"/>
    <w:rsid w:val="007A478E"/>
    <w:rsid w:val="007A494C"/>
    <w:rsid w:val="007A5057"/>
    <w:rsid w:val="007A602F"/>
    <w:rsid w:val="007A62F3"/>
    <w:rsid w:val="007A6C0E"/>
    <w:rsid w:val="007A6D08"/>
    <w:rsid w:val="007A73DF"/>
    <w:rsid w:val="007B062E"/>
    <w:rsid w:val="007B0C76"/>
    <w:rsid w:val="007B13AD"/>
    <w:rsid w:val="007B1D6B"/>
    <w:rsid w:val="007B288D"/>
    <w:rsid w:val="007B39E5"/>
    <w:rsid w:val="007B4E2E"/>
    <w:rsid w:val="007B557A"/>
    <w:rsid w:val="007B5D1F"/>
    <w:rsid w:val="007B6810"/>
    <w:rsid w:val="007C0D74"/>
    <w:rsid w:val="007C11E8"/>
    <w:rsid w:val="007C1407"/>
    <w:rsid w:val="007C3352"/>
    <w:rsid w:val="007C393A"/>
    <w:rsid w:val="007C5D3E"/>
    <w:rsid w:val="007C5E34"/>
    <w:rsid w:val="007C656C"/>
    <w:rsid w:val="007D0FB1"/>
    <w:rsid w:val="007D1E44"/>
    <w:rsid w:val="007D2002"/>
    <w:rsid w:val="007D233F"/>
    <w:rsid w:val="007D3F46"/>
    <w:rsid w:val="007D4469"/>
    <w:rsid w:val="007D4CFC"/>
    <w:rsid w:val="007D4E43"/>
    <w:rsid w:val="007D4F38"/>
    <w:rsid w:val="007D5A8B"/>
    <w:rsid w:val="007D6908"/>
    <w:rsid w:val="007D78D1"/>
    <w:rsid w:val="007E0C41"/>
    <w:rsid w:val="007E0F39"/>
    <w:rsid w:val="007E120A"/>
    <w:rsid w:val="007E1421"/>
    <w:rsid w:val="007E144B"/>
    <w:rsid w:val="007E3C74"/>
    <w:rsid w:val="007E3CDC"/>
    <w:rsid w:val="007E545C"/>
    <w:rsid w:val="007E54E8"/>
    <w:rsid w:val="007E5A13"/>
    <w:rsid w:val="007E5A59"/>
    <w:rsid w:val="007E6851"/>
    <w:rsid w:val="007E7B1E"/>
    <w:rsid w:val="007F1A49"/>
    <w:rsid w:val="007F1C99"/>
    <w:rsid w:val="007F20F6"/>
    <w:rsid w:val="007F2531"/>
    <w:rsid w:val="007F2840"/>
    <w:rsid w:val="007F2D8D"/>
    <w:rsid w:val="007F3032"/>
    <w:rsid w:val="007F3092"/>
    <w:rsid w:val="007F37C7"/>
    <w:rsid w:val="007F41BA"/>
    <w:rsid w:val="007F4AA5"/>
    <w:rsid w:val="007F7943"/>
    <w:rsid w:val="00800449"/>
    <w:rsid w:val="00800928"/>
    <w:rsid w:val="00800D6E"/>
    <w:rsid w:val="00801481"/>
    <w:rsid w:val="008038D4"/>
    <w:rsid w:val="00804E7A"/>
    <w:rsid w:val="00804F2B"/>
    <w:rsid w:val="0080561B"/>
    <w:rsid w:val="008059DF"/>
    <w:rsid w:val="00805C05"/>
    <w:rsid w:val="00806027"/>
    <w:rsid w:val="00806031"/>
    <w:rsid w:val="00806269"/>
    <w:rsid w:val="00810172"/>
    <w:rsid w:val="00811EC5"/>
    <w:rsid w:val="008127D1"/>
    <w:rsid w:val="00812A3E"/>
    <w:rsid w:val="00812CE3"/>
    <w:rsid w:val="008144A3"/>
    <w:rsid w:val="00814878"/>
    <w:rsid w:val="00814F4A"/>
    <w:rsid w:val="0081505F"/>
    <w:rsid w:val="00815261"/>
    <w:rsid w:val="008161D7"/>
    <w:rsid w:val="0081685A"/>
    <w:rsid w:val="00816C4F"/>
    <w:rsid w:val="00817814"/>
    <w:rsid w:val="00820426"/>
    <w:rsid w:val="008205AC"/>
    <w:rsid w:val="008205E5"/>
    <w:rsid w:val="00821181"/>
    <w:rsid w:val="00821646"/>
    <w:rsid w:val="00821C14"/>
    <w:rsid w:val="00822C69"/>
    <w:rsid w:val="00822FBA"/>
    <w:rsid w:val="0082301F"/>
    <w:rsid w:val="008234ED"/>
    <w:rsid w:val="008235F0"/>
    <w:rsid w:val="00824AB6"/>
    <w:rsid w:val="00824C4F"/>
    <w:rsid w:val="00825086"/>
    <w:rsid w:val="008251FD"/>
    <w:rsid w:val="0082538A"/>
    <w:rsid w:val="00826002"/>
    <w:rsid w:val="00826950"/>
    <w:rsid w:val="00826CCF"/>
    <w:rsid w:val="00826DC3"/>
    <w:rsid w:val="00830AA3"/>
    <w:rsid w:val="0083130E"/>
    <w:rsid w:val="0083139B"/>
    <w:rsid w:val="008313B7"/>
    <w:rsid w:val="00831A26"/>
    <w:rsid w:val="008328B8"/>
    <w:rsid w:val="00832BD8"/>
    <w:rsid w:val="00834375"/>
    <w:rsid w:val="00834DD6"/>
    <w:rsid w:val="00835305"/>
    <w:rsid w:val="00835708"/>
    <w:rsid w:val="00835C33"/>
    <w:rsid w:val="00835D11"/>
    <w:rsid w:val="0083692D"/>
    <w:rsid w:val="00837B87"/>
    <w:rsid w:val="00840326"/>
    <w:rsid w:val="00840DC0"/>
    <w:rsid w:val="00840F76"/>
    <w:rsid w:val="00842436"/>
    <w:rsid w:val="00842E06"/>
    <w:rsid w:val="00843877"/>
    <w:rsid w:val="00844BE2"/>
    <w:rsid w:val="008463DC"/>
    <w:rsid w:val="00846803"/>
    <w:rsid w:val="0084767C"/>
    <w:rsid w:val="0085156D"/>
    <w:rsid w:val="00851FA3"/>
    <w:rsid w:val="008520ED"/>
    <w:rsid w:val="00852607"/>
    <w:rsid w:val="00852A09"/>
    <w:rsid w:val="00852F3F"/>
    <w:rsid w:val="00855762"/>
    <w:rsid w:val="00855A66"/>
    <w:rsid w:val="0085629D"/>
    <w:rsid w:val="00856CF9"/>
    <w:rsid w:val="00856D32"/>
    <w:rsid w:val="00856DB6"/>
    <w:rsid w:val="0085736C"/>
    <w:rsid w:val="0085758D"/>
    <w:rsid w:val="00857CB1"/>
    <w:rsid w:val="0086102A"/>
    <w:rsid w:val="008612B8"/>
    <w:rsid w:val="00861409"/>
    <w:rsid w:val="00861FD0"/>
    <w:rsid w:val="008624B9"/>
    <w:rsid w:val="00862762"/>
    <w:rsid w:val="008637A9"/>
    <w:rsid w:val="00863867"/>
    <w:rsid w:val="00864633"/>
    <w:rsid w:val="00865202"/>
    <w:rsid w:val="008654AE"/>
    <w:rsid w:val="00865B53"/>
    <w:rsid w:val="00866296"/>
    <w:rsid w:val="00867A59"/>
    <w:rsid w:val="0087097A"/>
    <w:rsid w:val="008710F5"/>
    <w:rsid w:val="00871359"/>
    <w:rsid w:val="00871E5D"/>
    <w:rsid w:val="00872162"/>
    <w:rsid w:val="00872614"/>
    <w:rsid w:val="0087281C"/>
    <w:rsid w:val="00872D19"/>
    <w:rsid w:val="00873150"/>
    <w:rsid w:val="0087321C"/>
    <w:rsid w:val="00873C3E"/>
    <w:rsid w:val="00873F4B"/>
    <w:rsid w:val="00873F70"/>
    <w:rsid w:val="0087453E"/>
    <w:rsid w:val="008760F6"/>
    <w:rsid w:val="00876B60"/>
    <w:rsid w:val="00876E6F"/>
    <w:rsid w:val="00877118"/>
    <w:rsid w:val="0087722E"/>
    <w:rsid w:val="00877AE5"/>
    <w:rsid w:val="00880EB7"/>
    <w:rsid w:val="00881698"/>
    <w:rsid w:val="00881FD6"/>
    <w:rsid w:val="00883879"/>
    <w:rsid w:val="0088523B"/>
    <w:rsid w:val="008864E6"/>
    <w:rsid w:val="00887DA4"/>
    <w:rsid w:val="0089057A"/>
    <w:rsid w:val="008917A0"/>
    <w:rsid w:val="0089184D"/>
    <w:rsid w:val="00891CA6"/>
    <w:rsid w:val="00891EFB"/>
    <w:rsid w:val="00892211"/>
    <w:rsid w:val="00892472"/>
    <w:rsid w:val="00892767"/>
    <w:rsid w:val="0089295F"/>
    <w:rsid w:val="00893727"/>
    <w:rsid w:val="008938F3"/>
    <w:rsid w:val="00893A6C"/>
    <w:rsid w:val="008951D0"/>
    <w:rsid w:val="00896210"/>
    <w:rsid w:val="00896A4E"/>
    <w:rsid w:val="00897440"/>
    <w:rsid w:val="00897EE8"/>
    <w:rsid w:val="008A06DC"/>
    <w:rsid w:val="008A08DF"/>
    <w:rsid w:val="008A098A"/>
    <w:rsid w:val="008A2E2E"/>
    <w:rsid w:val="008A30C0"/>
    <w:rsid w:val="008A3E16"/>
    <w:rsid w:val="008A4562"/>
    <w:rsid w:val="008A546B"/>
    <w:rsid w:val="008A61AB"/>
    <w:rsid w:val="008B0992"/>
    <w:rsid w:val="008B160C"/>
    <w:rsid w:val="008B1A69"/>
    <w:rsid w:val="008B1B09"/>
    <w:rsid w:val="008B221E"/>
    <w:rsid w:val="008B310B"/>
    <w:rsid w:val="008B3141"/>
    <w:rsid w:val="008B35EA"/>
    <w:rsid w:val="008B6D35"/>
    <w:rsid w:val="008C0430"/>
    <w:rsid w:val="008C2000"/>
    <w:rsid w:val="008C3D4D"/>
    <w:rsid w:val="008C3F2E"/>
    <w:rsid w:val="008C48B4"/>
    <w:rsid w:val="008C57FF"/>
    <w:rsid w:val="008C5BDF"/>
    <w:rsid w:val="008C5E50"/>
    <w:rsid w:val="008C5EA2"/>
    <w:rsid w:val="008C6607"/>
    <w:rsid w:val="008C733A"/>
    <w:rsid w:val="008D014C"/>
    <w:rsid w:val="008D0A14"/>
    <w:rsid w:val="008D0FFA"/>
    <w:rsid w:val="008D10A8"/>
    <w:rsid w:val="008D133F"/>
    <w:rsid w:val="008D1E9B"/>
    <w:rsid w:val="008D3AA3"/>
    <w:rsid w:val="008D45CC"/>
    <w:rsid w:val="008D4C4F"/>
    <w:rsid w:val="008D5508"/>
    <w:rsid w:val="008D6827"/>
    <w:rsid w:val="008D7517"/>
    <w:rsid w:val="008D7803"/>
    <w:rsid w:val="008D7C76"/>
    <w:rsid w:val="008D7E5E"/>
    <w:rsid w:val="008E078C"/>
    <w:rsid w:val="008E11CE"/>
    <w:rsid w:val="008E20D3"/>
    <w:rsid w:val="008E3210"/>
    <w:rsid w:val="008E351E"/>
    <w:rsid w:val="008E53C5"/>
    <w:rsid w:val="008E57C3"/>
    <w:rsid w:val="008E6062"/>
    <w:rsid w:val="008E65EA"/>
    <w:rsid w:val="008E707D"/>
    <w:rsid w:val="008E7142"/>
    <w:rsid w:val="008F0427"/>
    <w:rsid w:val="008F097A"/>
    <w:rsid w:val="008F165F"/>
    <w:rsid w:val="008F30EE"/>
    <w:rsid w:val="008F3E48"/>
    <w:rsid w:val="008F492E"/>
    <w:rsid w:val="008F574A"/>
    <w:rsid w:val="008F5C83"/>
    <w:rsid w:val="008F778E"/>
    <w:rsid w:val="00900F04"/>
    <w:rsid w:val="0090113D"/>
    <w:rsid w:val="009013B9"/>
    <w:rsid w:val="0090165E"/>
    <w:rsid w:val="00901D3F"/>
    <w:rsid w:val="00901E61"/>
    <w:rsid w:val="00902253"/>
    <w:rsid w:val="0090230F"/>
    <w:rsid w:val="0090237F"/>
    <w:rsid w:val="009027B1"/>
    <w:rsid w:val="00902AB4"/>
    <w:rsid w:val="00904F96"/>
    <w:rsid w:val="0090547A"/>
    <w:rsid w:val="009075E1"/>
    <w:rsid w:val="0090785D"/>
    <w:rsid w:val="00907BAE"/>
    <w:rsid w:val="00910A8F"/>
    <w:rsid w:val="0091183A"/>
    <w:rsid w:val="00911A98"/>
    <w:rsid w:val="00911B78"/>
    <w:rsid w:val="00911CA8"/>
    <w:rsid w:val="00912ED6"/>
    <w:rsid w:val="00913A78"/>
    <w:rsid w:val="00913E77"/>
    <w:rsid w:val="0091476A"/>
    <w:rsid w:val="009149AC"/>
    <w:rsid w:val="009153C4"/>
    <w:rsid w:val="009158E6"/>
    <w:rsid w:val="009160F2"/>
    <w:rsid w:val="00917C17"/>
    <w:rsid w:val="00920AB0"/>
    <w:rsid w:val="0092214F"/>
    <w:rsid w:val="009226E4"/>
    <w:rsid w:val="00923791"/>
    <w:rsid w:val="00923988"/>
    <w:rsid w:val="0092669B"/>
    <w:rsid w:val="0092700C"/>
    <w:rsid w:val="009272CC"/>
    <w:rsid w:val="00927F33"/>
    <w:rsid w:val="0093005A"/>
    <w:rsid w:val="0093097A"/>
    <w:rsid w:val="0093108F"/>
    <w:rsid w:val="009311B1"/>
    <w:rsid w:val="009311F9"/>
    <w:rsid w:val="009318E0"/>
    <w:rsid w:val="00932950"/>
    <w:rsid w:val="00932F3E"/>
    <w:rsid w:val="0093317D"/>
    <w:rsid w:val="00933308"/>
    <w:rsid w:val="00933C5C"/>
    <w:rsid w:val="00933E11"/>
    <w:rsid w:val="009342C9"/>
    <w:rsid w:val="00934F54"/>
    <w:rsid w:val="009353AF"/>
    <w:rsid w:val="009353B0"/>
    <w:rsid w:val="00937BF2"/>
    <w:rsid w:val="00937E93"/>
    <w:rsid w:val="0094032D"/>
    <w:rsid w:val="0094073F"/>
    <w:rsid w:val="0094203D"/>
    <w:rsid w:val="00942053"/>
    <w:rsid w:val="00942DEC"/>
    <w:rsid w:val="00942F0F"/>
    <w:rsid w:val="0094366A"/>
    <w:rsid w:val="009444B2"/>
    <w:rsid w:val="0094532C"/>
    <w:rsid w:val="00951216"/>
    <w:rsid w:val="00951C37"/>
    <w:rsid w:val="00951F46"/>
    <w:rsid w:val="009522DD"/>
    <w:rsid w:val="00952C42"/>
    <w:rsid w:val="00953673"/>
    <w:rsid w:val="00953814"/>
    <w:rsid w:val="00953AE5"/>
    <w:rsid w:val="00954875"/>
    <w:rsid w:val="00954EBE"/>
    <w:rsid w:val="00955C39"/>
    <w:rsid w:val="00956E68"/>
    <w:rsid w:val="009574AC"/>
    <w:rsid w:val="00961A8F"/>
    <w:rsid w:val="00961B75"/>
    <w:rsid w:val="00961E22"/>
    <w:rsid w:val="0096251B"/>
    <w:rsid w:val="009632E4"/>
    <w:rsid w:val="009635F5"/>
    <w:rsid w:val="00963676"/>
    <w:rsid w:val="009638E2"/>
    <w:rsid w:val="00964FFD"/>
    <w:rsid w:val="00965919"/>
    <w:rsid w:val="009665B5"/>
    <w:rsid w:val="00966B68"/>
    <w:rsid w:val="00971915"/>
    <w:rsid w:val="00971DEE"/>
    <w:rsid w:val="009728EC"/>
    <w:rsid w:val="00976E0B"/>
    <w:rsid w:val="0097759B"/>
    <w:rsid w:val="00977754"/>
    <w:rsid w:val="00977DA0"/>
    <w:rsid w:val="0098024E"/>
    <w:rsid w:val="009813E7"/>
    <w:rsid w:val="009814C4"/>
    <w:rsid w:val="009819B6"/>
    <w:rsid w:val="00982857"/>
    <w:rsid w:val="00982A39"/>
    <w:rsid w:val="00982D0F"/>
    <w:rsid w:val="0098305F"/>
    <w:rsid w:val="009830AD"/>
    <w:rsid w:val="00983C13"/>
    <w:rsid w:val="00984255"/>
    <w:rsid w:val="00984463"/>
    <w:rsid w:val="009849D5"/>
    <w:rsid w:val="00984DA9"/>
    <w:rsid w:val="00985013"/>
    <w:rsid w:val="00985123"/>
    <w:rsid w:val="009855BD"/>
    <w:rsid w:val="00985E4D"/>
    <w:rsid w:val="0098623B"/>
    <w:rsid w:val="00986777"/>
    <w:rsid w:val="0098724D"/>
    <w:rsid w:val="0098728D"/>
    <w:rsid w:val="00987B0D"/>
    <w:rsid w:val="00990803"/>
    <w:rsid w:val="009909EA"/>
    <w:rsid w:val="00991645"/>
    <w:rsid w:val="00991ED2"/>
    <w:rsid w:val="009935F0"/>
    <w:rsid w:val="00995209"/>
    <w:rsid w:val="009956A2"/>
    <w:rsid w:val="0099630C"/>
    <w:rsid w:val="0099660A"/>
    <w:rsid w:val="00996FD8"/>
    <w:rsid w:val="00997B79"/>
    <w:rsid w:val="009A0978"/>
    <w:rsid w:val="009A0C7F"/>
    <w:rsid w:val="009A0E00"/>
    <w:rsid w:val="009A0F38"/>
    <w:rsid w:val="009A1681"/>
    <w:rsid w:val="009A1D3B"/>
    <w:rsid w:val="009A480F"/>
    <w:rsid w:val="009A5006"/>
    <w:rsid w:val="009A64E4"/>
    <w:rsid w:val="009A697F"/>
    <w:rsid w:val="009A6F60"/>
    <w:rsid w:val="009A7E31"/>
    <w:rsid w:val="009B0153"/>
    <w:rsid w:val="009B0C23"/>
    <w:rsid w:val="009B166B"/>
    <w:rsid w:val="009B1B71"/>
    <w:rsid w:val="009B1DE3"/>
    <w:rsid w:val="009B229F"/>
    <w:rsid w:val="009B2926"/>
    <w:rsid w:val="009B2B0C"/>
    <w:rsid w:val="009B325D"/>
    <w:rsid w:val="009B331F"/>
    <w:rsid w:val="009B3A93"/>
    <w:rsid w:val="009B4E77"/>
    <w:rsid w:val="009B594B"/>
    <w:rsid w:val="009B5A5E"/>
    <w:rsid w:val="009B5E2E"/>
    <w:rsid w:val="009B6B51"/>
    <w:rsid w:val="009B6F9E"/>
    <w:rsid w:val="009B75BC"/>
    <w:rsid w:val="009C0E8F"/>
    <w:rsid w:val="009C1163"/>
    <w:rsid w:val="009C14F5"/>
    <w:rsid w:val="009C150A"/>
    <w:rsid w:val="009C1D5D"/>
    <w:rsid w:val="009C4044"/>
    <w:rsid w:val="009C551F"/>
    <w:rsid w:val="009C6405"/>
    <w:rsid w:val="009C6CB3"/>
    <w:rsid w:val="009C6F71"/>
    <w:rsid w:val="009C7186"/>
    <w:rsid w:val="009D176F"/>
    <w:rsid w:val="009D22B7"/>
    <w:rsid w:val="009D421C"/>
    <w:rsid w:val="009D4454"/>
    <w:rsid w:val="009D44CE"/>
    <w:rsid w:val="009D4557"/>
    <w:rsid w:val="009D4EC2"/>
    <w:rsid w:val="009D5161"/>
    <w:rsid w:val="009D53EE"/>
    <w:rsid w:val="009D549A"/>
    <w:rsid w:val="009D55F1"/>
    <w:rsid w:val="009D5751"/>
    <w:rsid w:val="009D58D1"/>
    <w:rsid w:val="009D6558"/>
    <w:rsid w:val="009E095C"/>
    <w:rsid w:val="009E13D9"/>
    <w:rsid w:val="009E1E1F"/>
    <w:rsid w:val="009E1EA9"/>
    <w:rsid w:val="009E3B6D"/>
    <w:rsid w:val="009E4A75"/>
    <w:rsid w:val="009E4CD6"/>
    <w:rsid w:val="009E4F91"/>
    <w:rsid w:val="009E4FCA"/>
    <w:rsid w:val="009E5445"/>
    <w:rsid w:val="009E6252"/>
    <w:rsid w:val="009E6E0C"/>
    <w:rsid w:val="009E7183"/>
    <w:rsid w:val="009E73DC"/>
    <w:rsid w:val="009F08E7"/>
    <w:rsid w:val="009F183B"/>
    <w:rsid w:val="009F28E0"/>
    <w:rsid w:val="009F3002"/>
    <w:rsid w:val="009F3616"/>
    <w:rsid w:val="009F3CF2"/>
    <w:rsid w:val="009F4F78"/>
    <w:rsid w:val="009F565A"/>
    <w:rsid w:val="009F569A"/>
    <w:rsid w:val="009F63D5"/>
    <w:rsid w:val="009F6C6A"/>
    <w:rsid w:val="009F7B61"/>
    <w:rsid w:val="00A005AE"/>
    <w:rsid w:val="00A01C55"/>
    <w:rsid w:val="00A02F13"/>
    <w:rsid w:val="00A034EA"/>
    <w:rsid w:val="00A03F74"/>
    <w:rsid w:val="00A05DCD"/>
    <w:rsid w:val="00A05FC5"/>
    <w:rsid w:val="00A064CF"/>
    <w:rsid w:val="00A07380"/>
    <w:rsid w:val="00A07F4A"/>
    <w:rsid w:val="00A07F76"/>
    <w:rsid w:val="00A10E62"/>
    <w:rsid w:val="00A125E0"/>
    <w:rsid w:val="00A12CC3"/>
    <w:rsid w:val="00A132C9"/>
    <w:rsid w:val="00A144F7"/>
    <w:rsid w:val="00A14C80"/>
    <w:rsid w:val="00A15B7A"/>
    <w:rsid w:val="00A16080"/>
    <w:rsid w:val="00A17280"/>
    <w:rsid w:val="00A176DD"/>
    <w:rsid w:val="00A20896"/>
    <w:rsid w:val="00A20F05"/>
    <w:rsid w:val="00A2148D"/>
    <w:rsid w:val="00A222EE"/>
    <w:rsid w:val="00A22981"/>
    <w:rsid w:val="00A23309"/>
    <w:rsid w:val="00A25D94"/>
    <w:rsid w:val="00A2611E"/>
    <w:rsid w:val="00A267B4"/>
    <w:rsid w:val="00A27BDF"/>
    <w:rsid w:val="00A310EE"/>
    <w:rsid w:val="00A31CD5"/>
    <w:rsid w:val="00A32783"/>
    <w:rsid w:val="00A3546F"/>
    <w:rsid w:val="00A364CB"/>
    <w:rsid w:val="00A36C20"/>
    <w:rsid w:val="00A36CB2"/>
    <w:rsid w:val="00A37705"/>
    <w:rsid w:val="00A40202"/>
    <w:rsid w:val="00A40583"/>
    <w:rsid w:val="00A4093C"/>
    <w:rsid w:val="00A40D18"/>
    <w:rsid w:val="00A41143"/>
    <w:rsid w:val="00A41236"/>
    <w:rsid w:val="00A4161D"/>
    <w:rsid w:val="00A42DF2"/>
    <w:rsid w:val="00A438CD"/>
    <w:rsid w:val="00A44895"/>
    <w:rsid w:val="00A4497E"/>
    <w:rsid w:val="00A44C9A"/>
    <w:rsid w:val="00A4594E"/>
    <w:rsid w:val="00A45EB0"/>
    <w:rsid w:val="00A45EE6"/>
    <w:rsid w:val="00A46AEF"/>
    <w:rsid w:val="00A50B50"/>
    <w:rsid w:val="00A50F81"/>
    <w:rsid w:val="00A516C4"/>
    <w:rsid w:val="00A521AE"/>
    <w:rsid w:val="00A52D25"/>
    <w:rsid w:val="00A53060"/>
    <w:rsid w:val="00A5392B"/>
    <w:rsid w:val="00A54F45"/>
    <w:rsid w:val="00A56ABE"/>
    <w:rsid w:val="00A57222"/>
    <w:rsid w:val="00A57B9F"/>
    <w:rsid w:val="00A60343"/>
    <w:rsid w:val="00A613F2"/>
    <w:rsid w:val="00A63138"/>
    <w:rsid w:val="00A635A5"/>
    <w:rsid w:val="00A63908"/>
    <w:rsid w:val="00A651FD"/>
    <w:rsid w:val="00A655D3"/>
    <w:rsid w:val="00A67BD1"/>
    <w:rsid w:val="00A706C0"/>
    <w:rsid w:val="00A70815"/>
    <w:rsid w:val="00A7172F"/>
    <w:rsid w:val="00A72268"/>
    <w:rsid w:val="00A72A21"/>
    <w:rsid w:val="00A72F8C"/>
    <w:rsid w:val="00A734B2"/>
    <w:rsid w:val="00A73F86"/>
    <w:rsid w:val="00A752CC"/>
    <w:rsid w:val="00A755E8"/>
    <w:rsid w:val="00A7628B"/>
    <w:rsid w:val="00A773BD"/>
    <w:rsid w:val="00A77F0A"/>
    <w:rsid w:val="00A8126C"/>
    <w:rsid w:val="00A8299B"/>
    <w:rsid w:val="00A82C05"/>
    <w:rsid w:val="00A82D69"/>
    <w:rsid w:val="00A83273"/>
    <w:rsid w:val="00A838A8"/>
    <w:rsid w:val="00A838B7"/>
    <w:rsid w:val="00A8423B"/>
    <w:rsid w:val="00A84925"/>
    <w:rsid w:val="00A84C23"/>
    <w:rsid w:val="00A84D7D"/>
    <w:rsid w:val="00A85661"/>
    <w:rsid w:val="00A85A4A"/>
    <w:rsid w:val="00A85DFB"/>
    <w:rsid w:val="00A86703"/>
    <w:rsid w:val="00A86FE1"/>
    <w:rsid w:val="00A87816"/>
    <w:rsid w:val="00A87BC5"/>
    <w:rsid w:val="00A904B6"/>
    <w:rsid w:val="00A9092C"/>
    <w:rsid w:val="00A90E86"/>
    <w:rsid w:val="00A91307"/>
    <w:rsid w:val="00A92596"/>
    <w:rsid w:val="00A92CD2"/>
    <w:rsid w:val="00A934EB"/>
    <w:rsid w:val="00A93507"/>
    <w:rsid w:val="00A93C74"/>
    <w:rsid w:val="00A94C48"/>
    <w:rsid w:val="00A95D7E"/>
    <w:rsid w:val="00A95EFF"/>
    <w:rsid w:val="00A96125"/>
    <w:rsid w:val="00A9691C"/>
    <w:rsid w:val="00A96BF0"/>
    <w:rsid w:val="00AA0679"/>
    <w:rsid w:val="00AA11EA"/>
    <w:rsid w:val="00AA19C8"/>
    <w:rsid w:val="00AA206C"/>
    <w:rsid w:val="00AA21AB"/>
    <w:rsid w:val="00AA327C"/>
    <w:rsid w:val="00AA4D35"/>
    <w:rsid w:val="00AA5189"/>
    <w:rsid w:val="00AA574B"/>
    <w:rsid w:val="00AA60D2"/>
    <w:rsid w:val="00AA6168"/>
    <w:rsid w:val="00AA79C4"/>
    <w:rsid w:val="00AA7D81"/>
    <w:rsid w:val="00AB09C5"/>
    <w:rsid w:val="00AB1425"/>
    <w:rsid w:val="00AB1817"/>
    <w:rsid w:val="00AB2061"/>
    <w:rsid w:val="00AB2169"/>
    <w:rsid w:val="00AB2AE2"/>
    <w:rsid w:val="00AB597B"/>
    <w:rsid w:val="00AB6C01"/>
    <w:rsid w:val="00AB72CA"/>
    <w:rsid w:val="00AB7E4A"/>
    <w:rsid w:val="00AC13DB"/>
    <w:rsid w:val="00AC1EE8"/>
    <w:rsid w:val="00AC1FEE"/>
    <w:rsid w:val="00AC2042"/>
    <w:rsid w:val="00AC31E7"/>
    <w:rsid w:val="00AC3792"/>
    <w:rsid w:val="00AC3A09"/>
    <w:rsid w:val="00AC3A42"/>
    <w:rsid w:val="00AC41BE"/>
    <w:rsid w:val="00AC4BFF"/>
    <w:rsid w:val="00AC5238"/>
    <w:rsid w:val="00AC5A1D"/>
    <w:rsid w:val="00AC7213"/>
    <w:rsid w:val="00AC755F"/>
    <w:rsid w:val="00AC76EC"/>
    <w:rsid w:val="00AC7979"/>
    <w:rsid w:val="00AD10DB"/>
    <w:rsid w:val="00AD1633"/>
    <w:rsid w:val="00AD199F"/>
    <w:rsid w:val="00AD1B0E"/>
    <w:rsid w:val="00AD259C"/>
    <w:rsid w:val="00AD3AF6"/>
    <w:rsid w:val="00AD3DA9"/>
    <w:rsid w:val="00AD4E8F"/>
    <w:rsid w:val="00AD4FEB"/>
    <w:rsid w:val="00AD5375"/>
    <w:rsid w:val="00AD55B2"/>
    <w:rsid w:val="00AD6B6E"/>
    <w:rsid w:val="00AD6EB6"/>
    <w:rsid w:val="00AD723B"/>
    <w:rsid w:val="00AE15AA"/>
    <w:rsid w:val="00AE26F4"/>
    <w:rsid w:val="00AE3C9B"/>
    <w:rsid w:val="00AE3FE5"/>
    <w:rsid w:val="00AE43F2"/>
    <w:rsid w:val="00AE5047"/>
    <w:rsid w:val="00AE643F"/>
    <w:rsid w:val="00AE73BD"/>
    <w:rsid w:val="00AE794B"/>
    <w:rsid w:val="00AF014D"/>
    <w:rsid w:val="00AF0833"/>
    <w:rsid w:val="00AF0A87"/>
    <w:rsid w:val="00AF11FA"/>
    <w:rsid w:val="00AF1425"/>
    <w:rsid w:val="00AF1AF2"/>
    <w:rsid w:val="00AF3575"/>
    <w:rsid w:val="00AF35E8"/>
    <w:rsid w:val="00AF381B"/>
    <w:rsid w:val="00AF3EA4"/>
    <w:rsid w:val="00AF3EE9"/>
    <w:rsid w:val="00AF49FD"/>
    <w:rsid w:val="00AF4AE3"/>
    <w:rsid w:val="00AF562F"/>
    <w:rsid w:val="00AF5AF5"/>
    <w:rsid w:val="00AF5B5E"/>
    <w:rsid w:val="00AF61B3"/>
    <w:rsid w:val="00AF632B"/>
    <w:rsid w:val="00AF7688"/>
    <w:rsid w:val="00B01618"/>
    <w:rsid w:val="00B01F45"/>
    <w:rsid w:val="00B02380"/>
    <w:rsid w:val="00B02567"/>
    <w:rsid w:val="00B02776"/>
    <w:rsid w:val="00B02841"/>
    <w:rsid w:val="00B032B1"/>
    <w:rsid w:val="00B03E52"/>
    <w:rsid w:val="00B04F5C"/>
    <w:rsid w:val="00B05E7F"/>
    <w:rsid w:val="00B06116"/>
    <w:rsid w:val="00B06D70"/>
    <w:rsid w:val="00B06E04"/>
    <w:rsid w:val="00B074F3"/>
    <w:rsid w:val="00B07545"/>
    <w:rsid w:val="00B075BB"/>
    <w:rsid w:val="00B10157"/>
    <w:rsid w:val="00B11FDB"/>
    <w:rsid w:val="00B123F5"/>
    <w:rsid w:val="00B125EE"/>
    <w:rsid w:val="00B12802"/>
    <w:rsid w:val="00B13C73"/>
    <w:rsid w:val="00B13FB5"/>
    <w:rsid w:val="00B1420D"/>
    <w:rsid w:val="00B14264"/>
    <w:rsid w:val="00B154C0"/>
    <w:rsid w:val="00B15CC1"/>
    <w:rsid w:val="00B161DA"/>
    <w:rsid w:val="00B16550"/>
    <w:rsid w:val="00B16720"/>
    <w:rsid w:val="00B171F8"/>
    <w:rsid w:val="00B21920"/>
    <w:rsid w:val="00B224EC"/>
    <w:rsid w:val="00B22843"/>
    <w:rsid w:val="00B22E09"/>
    <w:rsid w:val="00B239BE"/>
    <w:rsid w:val="00B24966"/>
    <w:rsid w:val="00B24AE5"/>
    <w:rsid w:val="00B25923"/>
    <w:rsid w:val="00B27313"/>
    <w:rsid w:val="00B30A40"/>
    <w:rsid w:val="00B30AF9"/>
    <w:rsid w:val="00B310F8"/>
    <w:rsid w:val="00B31251"/>
    <w:rsid w:val="00B31FDA"/>
    <w:rsid w:val="00B33526"/>
    <w:rsid w:val="00B3412B"/>
    <w:rsid w:val="00B3470E"/>
    <w:rsid w:val="00B34A30"/>
    <w:rsid w:val="00B34C4E"/>
    <w:rsid w:val="00B356EC"/>
    <w:rsid w:val="00B376BC"/>
    <w:rsid w:val="00B379AF"/>
    <w:rsid w:val="00B37F27"/>
    <w:rsid w:val="00B400CB"/>
    <w:rsid w:val="00B4069F"/>
    <w:rsid w:val="00B43669"/>
    <w:rsid w:val="00B44654"/>
    <w:rsid w:val="00B45BCE"/>
    <w:rsid w:val="00B45C3C"/>
    <w:rsid w:val="00B45EAE"/>
    <w:rsid w:val="00B465D0"/>
    <w:rsid w:val="00B47BD5"/>
    <w:rsid w:val="00B51F7C"/>
    <w:rsid w:val="00B51F8E"/>
    <w:rsid w:val="00B52CCF"/>
    <w:rsid w:val="00B53DD3"/>
    <w:rsid w:val="00B54011"/>
    <w:rsid w:val="00B55BCC"/>
    <w:rsid w:val="00B56A75"/>
    <w:rsid w:val="00B56FD3"/>
    <w:rsid w:val="00B570CC"/>
    <w:rsid w:val="00B604E9"/>
    <w:rsid w:val="00B60516"/>
    <w:rsid w:val="00B60553"/>
    <w:rsid w:val="00B60FCE"/>
    <w:rsid w:val="00B63416"/>
    <w:rsid w:val="00B639C1"/>
    <w:rsid w:val="00B63B00"/>
    <w:rsid w:val="00B646C0"/>
    <w:rsid w:val="00B64733"/>
    <w:rsid w:val="00B64F6E"/>
    <w:rsid w:val="00B65444"/>
    <w:rsid w:val="00B6622A"/>
    <w:rsid w:val="00B6657E"/>
    <w:rsid w:val="00B66EA0"/>
    <w:rsid w:val="00B67FEB"/>
    <w:rsid w:val="00B70120"/>
    <w:rsid w:val="00B703C7"/>
    <w:rsid w:val="00B70B3F"/>
    <w:rsid w:val="00B70D4E"/>
    <w:rsid w:val="00B70DDD"/>
    <w:rsid w:val="00B70F25"/>
    <w:rsid w:val="00B72836"/>
    <w:rsid w:val="00B7285A"/>
    <w:rsid w:val="00B73E36"/>
    <w:rsid w:val="00B7479B"/>
    <w:rsid w:val="00B7507C"/>
    <w:rsid w:val="00B757BF"/>
    <w:rsid w:val="00B75882"/>
    <w:rsid w:val="00B75A8A"/>
    <w:rsid w:val="00B76525"/>
    <w:rsid w:val="00B774E6"/>
    <w:rsid w:val="00B80282"/>
    <w:rsid w:val="00B803B4"/>
    <w:rsid w:val="00B805E3"/>
    <w:rsid w:val="00B810B5"/>
    <w:rsid w:val="00B8175A"/>
    <w:rsid w:val="00B82F52"/>
    <w:rsid w:val="00B83CCD"/>
    <w:rsid w:val="00B84197"/>
    <w:rsid w:val="00B84283"/>
    <w:rsid w:val="00B85093"/>
    <w:rsid w:val="00B85558"/>
    <w:rsid w:val="00B8561F"/>
    <w:rsid w:val="00B85D80"/>
    <w:rsid w:val="00B86002"/>
    <w:rsid w:val="00B86912"/>
    <w:rsid w:val="00B8779A"/>
    <w:rsid w:val="00B87801"/>
    <w:rsid w:val="00B8783C"/>
    <w:rsid w:val="00B87D12"/>
    <w:rsid w:val="00B90077"/>
    <w:rsid w:val="00B91412"/>
    <w:rsid w:val="00B91752"/>
    <w:rsid w:val="00B91E38"/>
    <w:rsid w:val="00B91F91"/>
    <w:rsid w:val="00B92C33"/>
    <w:rsid w:val="00B92C38"/>
    <w:rsid w:val="00B933E3"/>
    <w:rsid w:val="00B938DA"/>
    <w:rsid w:val="00B955A2"/>
    <w:rsid w:val="00B96158"/>
    <w:rsid w:val="00B967F5"/>
    <w:rsid w:val="00B96839"/>
    <w:rsid w:val="00B96ACD"/>
    <w:rsid w:val="00B9738C"/>
    <w:rsid w:val="00B97502"/>
    <w:rsid w:val="00BA088B"/>
    <w:rsid w:val="00BA0B7D"/>
    <w:rsid w:val="00BA0EF6"/>
    <w:rsid w:val="00BA14B7"/>
    <w:rsid w:val="00BA2160"/>
    <w:rsid w:val="00BA21B1"/>
    <w:rsid w:val="00BA36E8"/>
    <w:rsid w:val="00BA43CD"/>
    <w:rsid w:val="00BA4559"/>
    <w:rsid w:val="00BA4C41"/>
    <w:rsid w:val="00BA4D68"/>
    <w:rsid w:val="00BA4E02"/>
    <w:rsid w:val="00BA4ED9"/>
    <w:rsid w:val="00BA57C0"/>
    <w:rsid w:val="00BA625A"/>
    <w:rsid w:val="00BA6B83"/>
    <w:rsid w:val="00BA745E"/>
    <w:rsid w:val="00BA791D"/>
    <w:rsid w:val="00BB005A"/>
    <w:rsid w:val="00BB03CC"/>
    <w:rsid w:val="00BB0714"/>
    <w:rsid w:val="00BB26BD"/>
    <w:rsid w:val="00BB27F6"/>
    <w:rsid w:val="00BB29A2"/>
    <w:rsid w:val="00BB310F"/>
    <w:rsid w:val="00BB34D9"/>
    <w:rsid w:val="00BB3780"/>
    <w:rsid w:val="00BB44B8"/>
    <w:rsid w:val="00BB479D"/>
    <w:rsid w:val="00BB498F"/>
    <w:rsid w:val="00BB499C"/>
    <w:rsid w:val="00BB5635"/>
    <w:rsid w:val="00BB77CC"/>
    <w:rsid w:val="00BC04AE"/>
    <w:rsid w:val="00BC071D"/>
    <w:rsid w:val="00BC16A1"/>
    <w:rsid w:val="00BC196F"/>
    <w:rsid w:val="00BC1BE5"/>
    <w:rsid w:val="00BC21B5"/>
    <w:rsid w:val="00BC2A40"/>
    <w:rsid w:val="00BC2C91"/>
    <w:rsid w:val="00BC35AA"/>
    <w:rsid w:val="00BC3AFE"/>
    <w:rsid w:val="00BC3D23"/>
    <w:rsid w:val="00BC410F"/>
    <w:rsid w:val="00BC47FC"/>
    <w:rsid w:val="00BC4965"/>
    <w:rsid w:val="00BC5486"/>
    <w:rsid w:val="00BC5C52"/>
    <w:rsid w:val="00BC64F1"/>
    <w:rsid w:val="00BD090C"/>
    <w:rsid w:val="00BD1039"/>
    <w:rsid w:val="00BD12A6"/>
    <w:rsid w:val="00BD25F2"/>
    <w:rsid w:val="00BD2C55"/>
    <w:rsid w:val="00BD394B"/>
    <w:rsid w:val="00BD4AF6"/>
    <w:rsid w:val="00BD4E31"/>
    <w:rsid w:val="00BD5B7A"/>
    <w:rsid w:val="00BD5DAD"/>
    <w:rsid w:val="00BD6443"/>
    <w:rsid w:val="00BE0C69"/>
    <w:rsid w:val="00BE0D7C"/>
    <w:rsid w:val="00BE15CF"/>
    <w:rsid w:val="00BE1A3C"/>
    <w:rsid w:val="00BE1D37"/>
    <w:rsid w:val="00BE27CF"/>
    <w:rsid w:val="00BE281C"/>
    <w:rsid w:val="00BE38EF"/>
    <w:rsid w:val="00BE4330"/>
    <w:rsid w:val="00BE450E"/>
    <w:rsid w:val="00BE5583"/>
    <w:rsid w:val="00BE6477"/>
    <w:rsid w:val="00BE656A"/>
    <w:rsid w:val="00BE68D5"/>
    <w:rsid w:val="00BF0FC6"/>
    <w:rsid w:val="00BF166A"/>
    <w:rsid w:val="00BF302D"/>
    <w:rsid w:val="00BF4C71"/>
    <w:rsid w:val="00BF51A4"/>
    <w:rsid w:val="00BF55EB"/>
    <w:rsid w:val="00BF5C39"/>
    <w:rsid w:val="00BF617F"/>
    <w:rsid w:val="00BF633D"/>
    <w:rsid w:val="00BF71D8"/>
    <w:rsid w:val="00C001F7"/>
    <w:rsid w:val="00C0069A"/>
    <w:rsid w:val="00C0077A"/>
    <w:rsid w:val="00C00BD6"/>
    <w:rsid w:val="00C00DA7"/>
    <w:rsid w:val="00C01BF8"/>
    <w:rsid w:val="00C02D42"/>
    <w:rsid w:val="00C03338"/>
    <w:rsid w:val="00C03DAC"/>
    <w:rsid w:val="00C0403E"/>
    <w:rsid w:val="00C040F7"/>
    <w:rsid w:val="00C043D9"/>
    <w:rsid w:val="00C05BD0"/>
    <w:rsid w:val="00C06143"/>
    <w:rsid w:val="00C064A9"/>
    <w:rsid w:val="00C06910"/>
    <w:rsid w:val="00C069FB"/>
    <w:rsid w:val="00C06A75"/>
    <w:rsid w:val="00C06FC1"/>
    <w:rsid w:val="00C07C3D"/>
    <w:rsid w:val="00C11011"/>
    <w:rsid w:val="00C116D2"/>
    <w:rsid w:val="00C11F0F"/>
    <w:rsid w:val="00C11F2A"/>
    <w:rsid w:val="00C11FF5"/>
    <w:rsid w:val="00C123D6"/>
    <w:rsid w:val="00C12BE6"/>
    <w:rsid w:val="00C136AF"/>
    <w:rsid w:val="00C139AA"/>
    <w:rsid w:val="00C13A56"/>
    <w:rsid w:val="00C13B94"/>
    <w:rsid w:val="00C140E7"/>
    <w:rsid w:val="00C1652B"/>
    <w:rsid w:val="00C16A50"/>
    <w:rsid w:val="00C16E8A"/>
    <w:rsid w:val="00C179AC"/>
    <w:rsid w:val="00C17FE0"/>
    <w:rsid w:val="00C2048F"/>
    <w:rsid w:val="00C20CC0"/>
    <w:rsid w:val="00C21246"/>
    <w:rsid w:val="00C2196F"/>
    <w:rsid w:val="00C23233"/>
    <w:rsid w:val="00C23C98"/>
    <w:rsid w:val="00C258C0"/>
    <w:rsid w:val="00C263B3"/>
    <w:rsid w:val="00C27180"/>
    <w:rsid w:val="00C30611"/>
    <w:rsid w:val="00C309D1"/>
    <w:rsid w:val="00C3125B"/>
    <w:rsid w:val="00C317DA"/>
    <w:rsid w:val="00C31BCF"/>
    <w:rsid w:val="00C31F06"/>
    <w:rsid w:val="00C3396A"/>
    <w:rsid w:val="00C33CC8"/>
    <w:rsid w:val="00C342A8"/>
    <w:rsid w:val="00C343C7"/>
    <w:rsid w:val="00C34D66"/>
    <w:rsid w:val="00C35DE4"/>
    <w:rsid w:val="00C36616"/>
    <w:rsid w:val="00C40FAC"/>
    <w:rsid w:val="00C419CF"/>
    <w:rsid w:val="00C425CC"/>
    <w:rsid w:val="00C4283E"/>
    <w:rsid w:val="00C44147"/>
    <w:rsid w:val="00C44B68"/>
    <w:rsid w:val="00C45AE2"/>
    <w:rsid w:val="00C45EEE"/>
    <w:rsid w:val="00C4601C"/>
    <w:rsid w:val="00C46789"/>
    <w:rsid w:val="00C47828"/>
    <w:rsid w:val="00C513BA"/>
    <w:rsid w:val="00C5268A"/>
    <w:rsid w:val="00C530E3"/>
    <w:rsid w:val="00C533C6"/>
    <w:rsid w:val="00C5402C"/>
    <w:rsid w:val="00C54858"/>
    <w:rsid w:val="00C54E41"/>
    <w:rsid w:val="00C55D31"/>
    <w:rsid w:val="00C57314"/>
    <w:rsid w:val="00C577B3"/>
    <w:rsid w:val="00C57C9C"/>
    <w:rsid w:val="00C60380"/>
    <w:rsid w:val="00C611F9"/>
    <w:rsid w:val="00C62533"/>
    <w:rsid w:val="00C62ED2"/>
    <w:rsid w:val="00C63306"/>
    <w:rsid w:val="00C6383B"/>
    <w:rsid w:val="00C6395F"/>
    <w:rsid w:val="00C65824"/>
    <w:rsid w:val="00C6675D"/>
    <w:rsid w:val="00C66967"/>
    <w:rsid w:val="00C66FAA"/>
    <w:rsid w:val="00C675A7"/>
    <w:rsid w:val="00C67B21"/>
    <w:rsid w:val="00C70C20"/>
    <w:rsid w:val="00C71D53"/>
    <w:rsid w:val="00C73440"/>
    <w:rsid w:val="00C737E4"/>
    <w:rsid w:val="00C741DE"/>
    <w:rsid w:val="00C74D29"/>
    <w:rsid w:val="00C74DAC"/>
    <w:rsid w:val="00C75220"/>
    <w:rsid w:val="00C76A9A"/>
    <w:rsid w:val="00C76C80"/>
    <w:rsid w:val="00C77315"/>
    <w:rsid w:val="00C778EA"/>
    <w:rsid w:val="00C808BC"/>
    <w:rsid w:val="00C80B11"/>
    <w:rsid w:val="00C82627"/>
    <w:rsid w:val="00C82F0F"/>
    <w:rsid w:val="00C835A9"/>
    <w:rsid w:val="00C838CB"/>
    <w:rsid w:val="00C85498"/>
    <w:rsid w:val="00C90425"/>
    <w:rsid w:val="00C90D8A"/>
    <w:rsid w:val="00C9127E"/>
    <w:rsid w:val="00C91385"/>
    <w:rsid w:val="00C91394"/>
    <w:rsid w:val="00C915FE"/>
    <w:rsid w:val="00C92F21"/>
    <w:rsid w:val="00C9395A"/>
    <w:rsid w:val="00C93C44"/>
    <w:rsid w:val="00C93D80"/>
    <w:rsid w:val="00C9621D"/>
    <w:rsid w:val="00C97F03"/>
    <w:rsid w:val="00CA03AA"/>
    <w:rsid w:val="00CA1597"/>
    <w:rsid w:val="00CA183A"/>
    <w:rsid w:val="00CA2804"/>
    <w:rsid w:val="00CA28E1"/>
    <w:rsid w:val="00CA33DF"/>
    <w:rsid w:val="00CA4A6E"/>
    <w:rsid w:val="00CA4E48"/>
    <w:rsid w:val="00CA556E"/>
    <w:rsid w:val="00CA5793"/>
    <w:rsid w:val="00CA5DFC"/>
    <w:rsid w:val="00CA5EC5"/>
    <w:rsid w:val="00CA638D"/>
    <w:rsid w:val="00CB0595"/>
    <w:rsid w:val="00CB0718"/>
    <w:rsid w:val="00CB14D3"/>
    <w:rsid w:val="00CB258E"/>
    <w:rsid w:val="00CB2EA2"/>
    <w:rsid w:val="00CB3D36"/>
    <w:rsid w:val="00CB44F6"/>
    <w:rsid w:val="00CB5829"/>
    <w:rsid w:val="00CB5D48"/>
    <w:rsid w:val="00CB62DF"/>
    <w:rsid w:val="00CB68F0"/>
    <w:rsid w:val="00CB7266"/>
    <w:rsid w:val="00CB7E02"/>
    <w:rsid w:val="00CC0DCB"/>
    <w:rsid w:val="00CC11F5"/>
    <w:rsid w:val="00CC12FC"/>
    <w:rsid w:val="00CC1407"/>
    <w:rsid w:val="00CC28AD"/>
    <w:rsid w:val="00CC444E"/>
    <w:rsid w:val="00CC4663"/>
    <w:rsid w:val="00CC53F5"/>
    <w:rsid w:val="00CC565C"/>
    <w:rsid w:val="00CC65CD"/>
    <w:rsid w:val="00CC7235"/>
    <w:rsid w:val="00CD020A"/>
    <w:rsid w:val="00CD0D6D"/>
    <w:rsid w:val="00CD13CF"/>
    <w:rsid w:val="00CD32F5"/>
    <w:rsid w:val="00CD3BC1"/>
    <w:rsid w:val="00CD3D62"/>
    <w:rsid w:val="00CD4067"/>
    <w:rsid w:val="00CD4616"/>
    <w:rsid w:val="00CD49D5"/>
    <w:rsid w:val="00CD4E87"/>
    <w:rsid w:val="00CD4F6C"/>
    <w:rsid w:val="00CD52B2"/>
    <w:rsid w:val="00CD5B85"/>
    <w:rsid w:val="00CE0A33"/>
    <w:rsid w:val="00CE0C8A"/>
    <w:rsid w:val="00CE19B7"/>
    <w:rsid w:val="00CE30B4"/>
    <w:rsid w:val="00CE327F"/>
    <w:rsid w:val="00CE4DFE"/>
    <w:rsid w:val="00CE4E83"/>
    <w:rsid w:val="00CE567A"/>
    <w:rsid w:val="00CE6AE2"/>
    <w:rsid w:val="00CE6D32"/>
    <w:rsid w:val="00CE7006"/>
    <w:rsid w:val="00CE7A3B"/>
    <w:rsid w:val="00CF0264"/>
    <w:rsid w:val="00CF08DA"/>
    <w:rsid w:val="00CF0C33"/>
    <w:rsid w:val="00CF14A3"/>
    <w:rsid w:val="00CF1E2D"/>
    <w:rsid w:val="00CF2715"/>
    <w:rsid w:val="00CF45BD"/>
    <w:rsid w:val="00CF497B"/>
    <w:rsid w:val="00CF4FF1"/>
    <w:rsid w:val="00CF53F8"/>
    <w:rsid w:val="00CF5CEC"/>
    <w:rsid w:val="00CF62D4"/>
    <w:rsid w:val="00CF6B06"/>
    <w:rsid w:val="00CF7D2C"/>
    <w:rsid w:val="00D004F2"/>
    <w:rsid w:val="00D00F8C"/>
    <w:rsid w:val="00D0283A"/>
    <w:rsid w:val="00D03C4A"/>
    <w:rsid w:val="00D03E29"/>
    <w:rsid w:val="00D051EB"/>
    <w:rsid w:val="00D0548E"/>
    <w:rsid w:val="00D05909"/>
    <w:rsid w:val="00D07051"/>
    <w:rsid w:val="00D07062"/>
    <w:rsid w:val="00D07158"/>
    <w:rsid w:val="00D075EB"/>
    <w:rsid w:val="00D07DC4"/>
    <w:rsid w:val="00D10301"/>
    <w:rsid w:val="00D10F50"/>
    <w:rsid w:val="00D12070"/>
    <w:rsid w:val="00D12135"/>
    <w:rsid w:val="00D123BE"/>
    <w:rsid w:val="00D12FD3"/>
    <w:rsid w:val="00D131AD"/>
    <w:rsid w:val="00D1465A"/>
    <w:rsid w:val="00D146F7"/>
    <w:rsid w:val="00D166B7"/>
    <w:rsid w:val="00D169F6"/>
    <w:rsid w:val="00D17784"/>
    <w:rsid w:val="00D17A11"/>
    <w:rsid w:val="00D20393"/>
    <w:rsid w:val="00D2234D"/>
    <w:rsid w:val="00D22393"/>
    <w:rsid w:val="00D227E6"/>
    <w:rsid w:val="00D230AF"/>
    <w:rsid w:val="00D24C24"/>
    <w:rsid w:val="00D24DC4"/>
    <w:rsid w:val="00D24F10"/>
    <w:rsid w:val="00D253F0"/>
    <w:rsid w:val="00D25650"/>
    <w:rsid w:val="00D25698"/>
    <w:rsid w:val="00D25C07"/>
    <w:rsid w:val="00D25C24"/>
    <w:rsid w:val="00D30086"/>
    <w:rsid w:val="00D3158F"/>
    <w:rsid w:val="00D3212B"/>
    <w:rsid w:val="00D33480"/>
    <w:rsid w:val="00D33855"/>
    <w:rsid w:val="00D347DC"/>
    <w:rsid w:val="00D3498E"/>
    <w:rsid w:val="00D34A8D"/>
    <w:rsid w:val="00D34C32"/>
    <w:rsid w:val="00D357D0"/>
    <w:rsid w:val="00D35C96"/>
    <w:rsid w:val="00D35E2F"/>
    <w:rsid w:val="00D36059"/>
    <w:rsid w:val="00D3757A"/>
    <w:rsid w:val="00D37C08"/>
    <w:rsid w:val="00D37CFC"/>
    <w:rsid w:val="00D4035E"/>
    <w:rsid w:val="00D404D8"/>
    <w:rsid w:val="00D40BBC"/>
    <w:rsid w:val="00D40C1C"/>
    <w:rsid w:val="00D421C1"/>
    <w:rsid w:val="00D42574"/>
    <w:rsid w:val="00D42930"/>
    <w:rsid w:val="00D43427"/>
    <w:rsid w:val="00D43C18"/>
    <w:rsid w:val="00D452AE"/>
    <w:rsid w:val="00D45377"/>
    <w:rsid w:val="00D45497"/>
    <w:rsid w:val="00D460A2"/>
    <w:rsid w:val="00D46490"/>
    <w:rsid w:val="00D468B9"/>
    <w:rsid w:val="00D46991"/>
    <w:rsid w:val="00D46B6E"/>
    <w:rsid w:val="00D4748D"/>
    <w:rsid w:val="00D475B3"/>
    <w:rsid w:val="00D4778D"/>
    <w:rsid w:val="00D47A2C"/>
    <w:rsid w:val="00D50903"/>
    <w:rsid w:val="00D50DFD"/>
    <w:rsid w:val="00D5125B"/>
    <w:rsid w:val="00D5241B"/>
    <w:rsid w:val="00D52A7A"/>
    <w:rsid w:val="00D52AB1"/>
    <w:rsid w:val="00D52FC5"/>
    <w:rsid w:val="00D53012"/>
    <w:rsid w:val="00D538AC"/>
    <w:rsid w:val="00D54142"/>
    <w:rsid w:val="00D54CEB"/>
    <w:rsid w:val="00D561E7"/>
    <w:rsid w:val="00D56245"/>
    <w:rsid w:val="00D565C9"/>
    <w:rsid w:val="00D57D69"/>
    <w:rsid w:val="00D60280"/>
    <w:rsid w:val="00D6159D"/>
    <w:rsid w:val="00D6205F"/>
    <w:rsid w:val="00D6209C"/>
    <w:rsid w:val="00D62F6C"/>
    <w:rsid w:val="00D638B1"/>
    <w:rsid w:val="00D63D33"/>
    <w:rsid w:val="00D63F95"/>
    <w:rsid w:val="00D646A8"/>
    <w:rsid w:val="00D64757"/>
    <w:rsid w:val="00D6477A"/>
    <w:rsid w:val="00D6491B"/>
    <w:rsid w:val="00D64DF9"/>
    <w:rsid w:val="00D65D6A"/>
    <w:rsid w:val="00D660A9"/>
    <w:rsid w:val="00D6715E"/>
    <w:rsid w:val="00D67546"/>
    <w:rsid w:val="00D709D3"/>
    <w:rsid w:val="00D70BF0"/>
    <w:rsid w:val="00D71DA3"/>
    <w:rsid w:val="00D7228C"/>
    <w:rsid w:val="00D730F7"/>
    <w:rsid w:val="00D7450B"/>
    <w:rsid w:val="00D74735"/>
    <w:rsid w:val="00D74A2C"/>
    <w:rsid w:val="00D7538D"/>
    <w:rsid w:val="00D76FE9"/>
    <w:rsid w:val="00D7757A"/>
    <w:rsid w:val="00D7774C"/>
    <w:rsid w:val="00D80353"/>
    <w:rsid w:val="00D80355"/>
    <w:rsid w:val="00D80719"/>
    <w:rsid w:val="00D8117F"/>
    <w:rsid w:val="00D81260"/>
    <w:rsid w:val="00D81747"/>
    <w:rsid w:val="00D81922"/>
    <w:rsid w:val="00D81963"/>
    <w:rsid w:val="00D82ECB"/>
    <w:rsid w:val="00D8373D"/>
    <w:rsid w:val="00D8390D"/>
    <w:rsid w:val="00D83EB8"/>
    <w:rsid w:val="00D8475F"/>
    <w:rsid w:val="00D84A01"/>
    <w:rsid w:val="00D859FD"/>
    <w:rsid w:val="00D85D1F"/>
    <w:rsid w:val="00D86872"/>
    <w:rsid w:val="00D86FEF"/>
    <w:rsid w:val="00D87D90"/>
    <w:rsid w:val="00D90EFE"/>
    <w:rsid w:val="00D9178C"/>
    <w:rsid w:val="00D9198B"/>
    <w:rsid w:val="00D91AD0"/>
    <w:rsid w:val="00D92F47"/>
    <w:rsid w:val="00D93482"/>
    <w:rsid w:val="00D94260"/>
    <w:rsid w:val="00D9538C"/>
    <w:rsid w:val="00D95468"/>
    <w:rsid w:val="00D956FC"/>
    <w:rsid w:val="00D95A00"/>
    <w:rsid w:val="00D95DF1"/>
    <w:rsid w:val="00D9625B"/>
    <w:rsid w:val="00D96A00"/>
    <w:rsid w:val="00DA081A"/>
    <w:rsid w:val="00DA0EC1"/>
    <w:rsid w:val="00DA1252"/>
    <w:rsid w:val="00DA1308"/>
    <w:rsid w:val="00DA1858"/>
    <w:rsid w:val="00DA300E"/>
    <w:rsid w:val="00DA315C"/>
    <w:rsid w:val="00DA31BF"/>
    <w:rsid w:val="00DA46DF"/>
    <w:rsid w:val="00DA47F2"/>
    <w:rsid w:val="00DA51A0"/>
    <w:rsid w:val="00DA57B6"/>
    <w:rsid w:val="00DA58D1"/>
    <w:rsid w:val="00DA627D"/>
    <w:rsid w:val="00DA680F"/>
    <w:rsid w:val="00DA7851"/>
    <w:rsid w:val="00DA79B2"/>
    <w:rsid w:val="00DA7A8F"/>
    <w:rsid w:val="00DA7E67"/>
    <w:rsid w:val="00DB0A58"/>
    <w:rsid w:val="00DB19AC"/>
    <w:rsid w:val="00DB22AA"/>
    <w:rsid w:val="00DB306D"/>
    <w:rsid w:val="00DB342C"/>
    <w:rsid w:val="00DB366C"/>
    <w:rsid w:val="00DB3E27"/>
    <w:rsid w:val="00DB4CA9"/>
    <w:rsid w:val="00DB71C9"/>
    <w:rsid w:val="00DB7BE2"/>
    <w:rsid w:val="00DC10B0"/>
    <w:rsid w:val="00DC1A77"/>
    <w:rsid w:val="00DC430D"/>
    <w:rsid w:val="00DC4D11"/>
    <w:rsid w:val="00DC504F"/>
    <w:rsid w:val="00DC55E2"/>
    <w:rsid w:val="00DC5C45"/>
    <w:rsid w:val="00DC6465"/>
    <w:rsid w:val="00DC6772"/>
    <w:rsid w:val="00DC6B46"/>
    <w:rsid w:val="00DC6D1E"/>
    <w:rsid w:val="00DC6F22"/>
    <w:rsid w:val="00DC7453"/>
    <w:rsid w:val="00DD0113"/>
    <w:rsid w:val="00DD09F6"/>
    <w:rsid w:val="00DD10DA"/>
    <w:rsid w:val="00DD11CE"/>
    <w:rsid w:val="00DD1BD7"/>
    <w:rsid w:val="00DD2627"/>
    <w:rsid w:val="00DD2D28"/>
    <w:rsid w:val="00DD38D1"/>
    <w:rsid w:val="00DD3B2D"/>
    <w:rsid w:val="00DD483F"/>
    <w:rsid w:val="00DD5B46"/>
    <w:rsid w:val="00DD5C3A"/>
    <w:rsid w:val="00DD685C"/>
    <w:rsid w:val="00DD6E81"/>
    <w:rsid w:val="00DD6F6A"/>
    <w:rsid w:val="00DD7EB4"/>
    <w:rsid w:val="00DE0BC9"/>
    <w:rsid w:val="00DE0FF8"/>
    <w:rsid w:val="00DE1C85"/>
    <w:rsid w:val="00DE3EAB"/>
    <w:rsid w:val="00DE4F3A"/>
    <w:rsid w:val="00DE611E"/>
    <w:rsid w:val="00DE617A"/>
    <w:rsid w:val="00DE6472"/>
    <w:rsid w:val="00DF0CB5"/>
    <w:rsid w:val="00DF2137"/>
    <w:rsid w:val="00DF3D88"/>
    <w:rsid w:val="00DF4675"/>
    <w:rsid w:val="00DF5114"/>
    <w:rsid w:val="00DF592A"/>
    <w:rsid w:val="00DF5A6B"/>
    <w:rsid w:val="00DF7CEE"/>
    <w:rsid w:val="00DF7D6F"/>
    <w:rsid w:val="00E00202"/>
    <w:rsid w:val="00E00EB5"/>
    <w:rsid w:val="00E0137D"/>
    <w:rsid w:val="00E013A7"/>
    <w:rsid w:val="00E01C9E"/>
    <w:rsid w:val="00E01ED8"/>
    <w:rsid w:val="00E02D68"/>
    <w:rsid w:val="00E030E3"/>
    <w:rsid w:val="00E03344"/>
    <w:rsid w:val="00E03FA3"/>
    <w:rsid w:val="00E0474F"/>
    <w:rsid w:val="00E0502C"/>
    <w:rsid w:val="00E051AB"/>
    <w:rsid w:val="00E058DB"/>
    <w:rsid w:val="00E0766B"/>
    <w:rsid w:val="00E07782"/>
    <w:rsid w:val="00E07EB5"/>
    <w:rsid w:val="00E10403"/>
    <w:rsid w:val="00E106C8"/>
    <w:rsid w:val="00E1095F"/>
    <w:rsid w:val="00E119AB"/>
    <w:rsid w:val="00E12FC7"/>
    <w:rsid w:val="00E13614"/>
    <w:rsid w:val="00E13640"/>
    <w:rsid w:val="00E13AE2"/>
    <w:rsid w:val="00E14237"/>
    <w:rsid w:val="00E14525"/>
    <w:rsid w:val="00E146E7"/>
    <w:rsid w:val="00E14872"/>
    <w:rsid w:val="00E15390"/>
    <w:rsid w:val="00E15693"/>
    <w:rsid w:val="00E15D0D"/>
    <w:rsid w:val="00E161D1"/>
    <w:rsid w:val="00E16A13"/>
    <w:rsid w:val="00E205A2"/>
    <w:rsid w:val="00E208CF"/>
    <w:rsid w:val="00E20E12"/>
    <w:rsid w:val="00E218C3"/>
    <w:rsid w:val="00E22D59"/>
    <w:rsid w:val="00E23965"/>
    <w:rsid w:val="00E24051"/>
    <w:rsid w:val="00E24A2D"/>
    <w:rsid w:val="00E24C41"/>
    <w:rsid w:val="00E2553A"/>
    <w:rsid w:val="00E25650"/>
    <w:rsid w:val="00E25BB0"/>
    <w:rsid w:val="00E268B8"/>
    <w:rsid w:val="00E27E5F"/>
    <w:rsid w:val="00E306D8"/>
    <w:rsid w:val="00E30C56"/>
    <w:rsid w:val="00E31971"/>
    <w:rsid w:val="00E32479"/>
    <w:rsid w:val="00E33A3A"/>
    <w:rsid w:val="00E34CD3"/>
    <w:rsid w:val="00E35B39"/>
    <w:rsid w:val="00E35BC8"/>
    <w:rsid w:val="00E35FCD"/>
    <w:rsid w:val="00E36657"/>
    <w:rsid w:val="00E37ECB"/>
    <w:rsid w:val="00E40BB5"/>
    <w:rsid w:val="00E41885"/>
    <w:rsid w:val="00E418A2"/>
    <w:rsid w:val="00E4212A"/>
    <w:rsid w:val="00E42166"/>
    <w:rsid w:val="00E42181"/>
    <w:rsid w:val="00E42728"/>
    <w:rsid w:val="00E42B0D"/>
    <w:rsid w:val="00E43A90"/>
    <w:rsid w:val="00E44AA8"/>
    <w:rsid w:val="00E46C87"/>
    <w:rsid w:val="00E46DD8"/>
    <w:rsid w:val="00E472DE"/>
    <w:rsid w:val="00E474DA"/>
    <w:rsid w:val="00E47B34"/>
    <w:rsid w:val="00E50E81"/>
    <w:rsid w:val="00E51E3A"/>
    <w:rsid w:val="00E5230D"/>
    <w:rsid w:val="00E52713"/>
    <w:rsid w:val="00E52F0E"/>
    <w:rsid w:val="00E54295"/>
    <w:rsid w:val="00E54979"/>
    <w:rsid w:val="00E54EDD"/>
    <w:rsid w:val="00E5519C"/>
    <w:rsid w:val="00E55B61"/>
    <w:rsid w:val="00E55D97"/>
    <w:rsid w:val="00E56286"/>
    <w:rsid w:val="00E566CA"/>
    <w:rsid w:val="00E57E15"/>
    <w:rsid w:val="00E601E1"/>
    <w:rsid w:val="00E607BB"/>
    <w:rsid w:val="00E60810"/>
    <w:rsid w:val="00E609C1"/>
    <w:rsid w:val="00E61082"/>
    <w:rsid w:val="00E6137C"/>
    <w:rsid w:val="00E61695"/>
    <w:rsid w:val="00E619CD"/>
    <w:rsid w:val="00E6421B"/>
    <w:rsid w:val="00E65699"/>
    <w:rsid w:val="00E65D12"/>
    <w:rsid w:val="00E66541"/>
    <w:rsid w:val="00E66AD3"/>
    <w:rsid w:val="00E66D32"/>
    <w:rsid w:val="00E66E97"/>
    <w:rsid w:val="00E67FB0"/>
    <w:rsid w:val="00E7084E"/>
    <w:rsid w:val="00E711B2"/>
    <w:rsid w:val="00E712EA"/>
    <w:rsid w:val="00E72DE3"/>
    <w:rsid w:val="00E738BE"/>
    <w:rsid w:val="00E73B2B"/>
    <w:rsid w:val="00E752CE"/>
    <w:rsid w:val="00E76ADD"/>
    <w:rsid w:val="00E770C6"/>
    <w:rsid w:val="00E77189"/>
    <w:rsid w:val="00E77AEE"/>
    <w:rsid w:val="00E8126E"/>
    <w:rsid w:val="00E81529"/>
    <w:rsid w:val="00E815FE"/>
    <w:rsid w:val="00E817C6"/>
    <w:rsid w:val="00E82EE1"/>
    <w:rsid w:val="00E8326D"/>
    <w:rsid w:val="00E84629"/>
    <w:rsid w:val="00E84F44"/>
    <w:rsid w:val="00E866F7"/>
    <w:rsid w:val="00E8695F"/>
    <w:rsid w:val="00E86E38"/>
    <w:rsid w:val="00E86E67"/>
    <w:rsid w:val="00E87075"/>
    <w:rsid w:val="00E878BF"/>
    <w:rsid w:val="00E9050A"/>
    <w:rsid w:val="00E90D09"/>
    <w:rsid w:val="00E91CE0"/>
    <w:rsid w:val="00E9207F"/>
    <w:rsid w:val="00E93FBB"/>
    <w:rsid w:val="00E9407B"/>
    <w:rsid w:val="00E943F1"/>
    <w:rsid w:val="00E95762"/>
    <w:rsid w:val="00E9615C"/>
    <w:rsid w:val="00E962FC"/>
    <w:rsid w:val="00E971AB"/>
    <w:rsid w:val="00E97487"/>
    <w:rsid w:val="00E97F63"/>
    <w:rsid w:val="00EA02F6"/>
    <w:rsid w:val="00EA041C"/>
    <w:rsid w:val="00EA05F1"/>
    <w:rsid w:val="00EA1469"/>
    <w:rsid w:val="00EA1BAA"/>
    <w:rsid w:val="00EA1D5D"/>
    <w:rsid w:val="00EA23E7"/>
    <w:rsid w:val="00EA2A97"/>
    <w:rsid w:val="00EA2B6B"/>
    <w:rsid w:val="00EA397B"/>
    <w:rsid w:val="00EA43CC"/>
    <w:rsid w:val="00EA47F2"/>
    <w:rsid w:val="00EA4B3D"/>
    <w:rsid w:val="00EA5459"/>
    <w:rsid w:val="00EA62F1"/>
    <w:rsid w:val="00EA6BD9"/>
    <w:rsid w:val="00EA75CB"/>
    <w:rsid w:val="00EB02EB"/>
    <w:rsid w:val="00EB0DA6"/>
    <w:rsid w:val="00EB10DB"/>
    <w:rsid w:val="00EB28FD"/>
    <w:rsid w:val="00EB3B2E"/>
    <w:rsid w:val="00EB3E07"/>
    <w:rsid w:val="00EB40AB"/>
    <w:rsid w:val="00EB40C9"/>
    <w:rsid w:val="00EB4ED5"/>
    <w:rsid w:val="00EB509B"/>
    <w:rsid w:val="00EB70A3"/>
    <w:rsid w:val="00EB7C06"/>
    <w:rsid w:val="00EB7F39"/>
    <w:rsid w:val="00EC0CA3"/>
    <w:rsid w:val="00EC1F40"/>
    <w:rsid w:val="00EC3989"/>
    <w:rsid w:val="00EC3F86"/>
    <w:rsid w:val="00EC4585"/>
    <w:rsid w:val="00EC49E9"/>
    <w:rsid w:val="00EC4B97"/>
    <w:rsid w:val="00EC7061"/>
    <w:rsid w:val="00EC78B6"/>
    <w:rsid w:val="00EC7E7A"/>
    <w:rsid w:val="00ED0448"/>
    <w:rsid w:val="00ED1B62"/>
    <w:rsid w:val="00ED1F1B"/>
    <w:rsid w:val="00ED2AED"/>
    <w:rsid w:val="00ED2D5A"/>
    <w:rsid w:val="00ED344C"/>
    <w:rsid w:val="00ED3B4B"/>
    <w:rsid w:val="00ED44C9"/>
    <w:rsid w:val="00ED4C71"/>
    <w:rsid w:val="00ED5689"/>
    <w:rsid w:val="00ED5B8C"/>
    <w:rsid w:val="00ED5D95"/>
    <w:rsid w:val="00ED6939"/>
    <w:rsid w:val="00ED7488"/>
    <w:rsid w:val="00ED7946"/>
    <w:rsid w:val="00EE0610"/>
    <w:rsid w:val="00EE1413"/>
    <w:rsid w:val="00EE3037"/>
    <w:rsid w:val="00EE5463"/>
    <w:rsid w:val="00EE68FE"/>
    <w:rsid w:val="00EE6DEB"/>
    <w:rsid w:val="00EE7D70"/>
    <w:rsid w:val="00EF08E6"/>
    <w:rsid w:val="00EF12E7"/>
    <w:rsid w:val="00EF1953"/>
    <w:rsid w:val="00EF1BAE"/>
    <w:rsid w:val="00EF226C"/>
    <w:rsid w:val="00EF2770"/>
    <w:rsid w:val="00EF2D4C"/>
    <w:rsid w:val="00EF3E8F"/>
    <w:rsid w:val="00EF5109"/>
    <w:rsid w:val="00EF576E"/>
    <w:rsid w:val="00EF64B3"/>
    <w:rsid w:val="00EF70FD"/>
    <w:rsid w:val="00EF726C"/>
    <w:rsid w:val="00EF75F8"/>
    <w:rsid w:val="00EF7C7F"/>
    <w:rsid w:val="00EF7FC0"/>
    <w:rsid w:val="00F004E2"/>
    <w:rsid w:val="00F018E1"/>
    <w:rsid w:val="00F023D8"/>
    <w:rsid w:val="00F02DEE"/>
    <w:rsid w:val="00F033A2"/>
    <w:rsid w:val="00F03A00"/>
    <w:rsid w:val="00F03B62"/>
    <w:rsid w:val="00F04116"/>
    <w:rsid w:val="00F04E76"/>
    <w:rsid w:val="00F0515C"/>
    <w:rsid w:val="00F05208"/>
    <w:rsid w:val="00F05F79"/>
    <w:rsid w:val="00F07517"/>
    <w:rsid w:val="00F07F47"/>
    <w:rsid w:val="00F10BFC"/>
    <w:rsid w:val="00F10C81"/>
    <w:rsid w:val="00F11064"/>
    <w:rsid w:val="00F11CAD"/>
    <w:rsid w:val="00F125EA"/>
    <w:rsid w:val="00F15E58"/>
    <w:rsid w:val="00F15FA0"/>
    <w:rsid w:val="00F16783"/>
    <w:rsid w:val="00F16DFF"/>
    <w:rsid w:val="00F216AD"/>
    <w:rsid w:val="00F21FCF"/>
    <w:rsid w:val="00F239D2"/>
    <w:rsid w:val="00F23A0D"/>
    <w:rsid w:val="00F24C36"/>
    <w:rsid w:val="00F2696C"/>
    <w:rsid w:val="00F2749F"/>
    <w:rsid w:val="00F274F9"/>
    <w:rsid w:val="00F30108"/>
    <w:rsid w:val="00F307A8"/>
    <w:rsid w:val="00F30B2B"/>
    <w:rsid w:val="00F313C4"/>
    <w:rsid w:val="00F315A6"/>
    <w:rsid w:val="00F31CE3"/>
    <w:rsid w:val="00F31CEC"/>
    <w:rsid w:val="00F32248"/>
    <w:rsid w:val="00F3231C"/>
    <w:rsid w:val="00F324F0"/>
    <w:rsid w:val="00F32922"/>
    <w:rsid w:val="00F339D8"/>
    <w:rsid w:val="00F33B15"/>
    <w:rsid w:val="00F34102"/>
    <w:rsid w:val="00F34A2B"/>
    <w:rsid w:val="00F3561E"/>
    <w:rsid w:val="00F36691"/>
    <w:rsid w:val="00F366D9"/>
    <w:rsid w:val="00F36926"/>
    <w:rsid w:val="00F37CE2"/>
    <w:rsid w:val="00F37EA9"/>
    <w:rsid w:val="00F40B1A"/>
    <w:rsid w:val="00F41F33"/>
    <w:rsid w:val="00F42CA2"/>
    <w:rsid w:val="00F433AF"/>
    <w:rsid w:val="00F438BE"/>
    <w:rsid w:val="00F4465E"/>
    <w:rsid w:val="00F4486A"/>
    <w:rsid w:val="00F450B9"/>
    <w:rsid w:val="00F457B7"/>
    <w:rsid w:val="00F46286"/>
    <w:rsid w:val="00F46B06"/>
    <w:rsid w:val="00F46C3E"/>
    <w:rsid w:val="00F477C3"/>
    <w:rsid w:val="00F47AD3"/>
    <w:rsid w:val="00F508A5"/>
    <w:rsid w:val="00F51299"/>
    <w:rsid w:val="00F51D3D"/>
    <w:rsid w:val="00F51E07"/>
    <w:rsid w:val="00F52207"/>
    <w:rsid w:val="00F533AB"/>
    <w:rsid w:val="00F535FB"/>
    <w:rsid w:val="00F53657"/>
    <w:rsid w:val="00F54079"/>
    <w:rsid w:val="00F54B59"/>
    <w:rsid w:val="00F54C61"/>
    <w:rsid w:val="00F576F9"/>
    <w:rsid w:val="00F61251"/>
    <w:rsid w:val="00F61786"/>
    <w:rsid w:val="00F62372"/>
    <w:rsid w:val="00F63111"/>
    <w:rsid w:val="00F6346B"/>
    <w:rsid w:val="00F634EA"/>
    <w:rsid w:val="00F63599"/>
    <w:rsid w:val="00F63849"/>
    <w:rsid w:val="00F63AC3"/>
    <w:rsid w:val="00F63D0F"/>
    <w:rsid w:val="00F6498F"/>
    <w:rsid w:val="00F64B08"/>
    <w:rsid w:val="00F64B37"/>
    <w:rsid w:val="00F65195"/>
    <w:rsid w:val="00F663F6"/>
    <w:rsid w:val="00F66577"/>
    <w:rsid w:val="00F67A06"/>
    <w:rsid w:val="00F70138"/>
    <w:rsid w:val="00F706CD"/>
    <w:rsid w:val="00F7187A"/>
    <w:rsid w:val="00F72527"/>
    <w:rsid w:val="00F73211"/>
    <w:rsid w:val="00F734B2"/>
    <w:rsid w:val="00F74488"/>
    <w:rsid w:val="00F74929"/>
    <w:rsid w:val="00F74A29"/>
    <w:rsid w:val="00F74C40"/>
    <w:rsid w:val="00F753E0"/>
    <w:rsid w:val="00F76934"/>
    <w:rsid w:val="00F76F5C"/>
    <w:rsid w:val="00F779E3"/>
    <w:rsid w:val="00F80DA8"/>
    <w:rsid w:val="00F80F50"/>
    <w:rsid w:val="00F82CCD"/>
    <w:rsid w:val="00F83081"/>
    <w:rsid w:val="00F839AE"/>
    <w:rsid w:val="00F83BE3"/>
    <w:rsid w:val="00F844A3"/>
    <w:rsid w:val="00F85134"/>
    <w:rsid w:val="00F85338"/>
    <w:rsid w:val="00F85918"/>
    <w:rsid w:val="00F86937"/>
    <w:rsid w:val="00F869DB"/>
    <w:rsid w:val="00F86B70"/>
    <w:rsid w:val="00F86DC2"/>
    <w:rsid w:val="00F87CE4"/>
    <w:rsid w:val="00F905BD"/>
    <w:rsid w:val="00F906AB"/>
    <w:rsid w:val="00F90949"/>
    <w:rsid w:val="00F91630"/>
    <w:rsid w:val="00F95024"/>
    <w:rsid w:val="00F96712"/>
    <w:rsid w:val="00F9681C"/>
    <w:rsid w:val="00F96F76"/>
    <w:rsid w:val="00F974AF"/>
    <w:rsid w:val="00F97515"/>
    <w:rsid w:val="00F9788D"/>
    <w:rsid w:val="00F97C8C"/>
    <w:rsid w:val="00FA1E83"/>
    <w:rsid w:val="00FA22EC"/>
    <w:rsid w:val="00FA24EE"/>
    <w:rsid w:val="00FA281B"/>
    <w:rsid w:val="00FA2BC5"/>
    <w:rsid w:val="00FA2FE5"/>
    <w:rsid w:val="00FA302D"/>
    <w:rsid w:val="00FA34A7"/>
    <w:rsid w:val="00FA3C0A"/>
    <w:rsid w:val="00FA3EF5"/>
    <w:rsid w:val="00FA441E"/>
    <w:rsid w:val="00FA4CDC"/>
    <w:rsid w:val="00FA58E1"/>
    <w:rsid w:val="00FA6627"/>
    <w:rsid w:val="00FA6B62"/>
    <w:rsid w:val="00FA7B20"/>
    <w:rsid w:val="00FA7C10"/>
    <w:rsid w:val="00FA7DB3"/>
    <w:rsid w:val="00FB0AB6"/>
    <w:rsid w:val="00FB28AE"/>
    <w:rsid w:val="00FB3344"/>
    <w:rsid w:val="00FB3B62"/>
    <w:rsid w:val="00FB403D"/>
    <w:rsid w:val="00FB41AA"/>
    <w:rsid w:val="00FB5265"/>
    <w:rsid w:val="00FB58A8"/>
    <w:rsid w:val="00FB6675"/>
    <w:rsid w:val="00FB7209"/>
    <w:rsid w:val="00FB7A41"/>
    <w:rsid w:val="00FB7C87"/>
    <w:rsid w:val="00FC065F"/>
    <w:rsid w:val="00FC109A"/>
    <w:rsid w:val="00FC2505"/>
    <w:rsid w:val="00FC29C3"/>
    <w:rsid w:val="00FC33CF"/>
    <w:rsid w:val="00FC4097"/>
    <w:rsid w:val="00FC4DC8"/>
    <w:rsid w:val="00FC55DF"/>
    <w:rsid w:val="00FC618A"/>
    <w:rsid w:val="00FC6357"/>
    <w:rsid w:val="00FC6FBF"/>
    <w:rsid w:val="00FC708C"/>
    <w:rsid w:val="00FC724E"/>
    <w:rsid w:val="00FC7413"/>
    <w:rsid w:val="00FC7501"/>
    <w:rsid w:val="00FC7A96"/>
    <w:rsid w:val="00FD0970"/>
    <w:rsid w:val="00FD0D01"/>
    <w:rsid w:val="00FD1AF6"/>
    <w:rsid w:val="00FD1FC6"/>
    <w:rsid w:val="00FD217D"/>
    <w:rsid w:val="00FD226D"/>
    <w:rsid w:val="00FD238A"/>
    <w:rsid w:val="00FD29C9"/>
    <w:rsid w:val="00FD31B3"/>
    <w:rsid w:val="00FD42B7"/>
    <w:rsid w:val="00FD4D6E"/>
    <w:rsid w:val="00FD4EAA"/>
    <w:rsid w:val="00FD7219"/>
    <w:rsid w:val="00FD72E7"/>
    <w:rsid w:val="00FD7491"/>
    <w:rsid w:val="00FE03D7"/>
    <w:rsid w:val="00FE09BF"/>
    <w:rsid w:val="00FE1655"/>
    <w:rsid w:val="00FE2653"/>
    <w:rsid w:val="00FE2ACF"/>
    <w:rsid w:val="00FE2C26"/>
    <w:rsid w:val="00FE4853"/>
    <w:rsid w:val="00FE4F73"/>
    <w:rsid w:val="00FE55C5"/>
    <w:rsid w:val="00FE57CF"/>
    <w:rsid w:val="00FE59F7"/>
    <w:rsid w:val="00FE5A9E"/>
    <w:rsid w:val="00FE5E19"/>
    <w:rsid w:val="00FE6663"/>
    <w:rsid w:val="00FE7138"/>
    <w:rsid w:val="00FE7AF2"/>
    <w:rsid w:val="00FF1375"/>
    <w:rsid w:val="00FF23D0"/>
    <w:rsid w:val="00FF3C62"/>
    <w:rsid w:val="00FF3F2A"/>
    <w:rsid w:val="00FF40F1"/>
    <w:rsid w:val="00FF4269"/>
    <w:rsid w:val="00FF4431"/>
    <w:rsid w:val="00FF4DE9"/>
    <w:rsid w:val="00FF53BE"/>
    <w:rsid w:val="00FF6AD4"/>
    <w:rsid w:val="00FF6F1E"/>
    <w:rsid w:val="00FF6F5A"/>
    <w:rsid w:val="00FF752D"/>
    <w:rsid w:val="00FF7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F1823"/>
  <w15:chartTrackingRefBased/>
  <w15:docId w15:val="{9FA161F4-AE9A-40F3-A546-BB945D757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405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57AF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C57C9C"/>
    <w:rPr>
      <w:sz w:val="16"/>
      <w:szCs w:val="16"/>
    </w:rPr>
  </w:style>
  <w:style w:type="paragraph" w:styleId="CommentText">
    <w:name w:val="annotation text"/>
    <w:basedOn w:val="Normal"/>
    <w:link w:val="CommentTextChar"/>
    <w:uiPriority w:val="99"/>
    <w:unhideWhenUsed/>
    <w:rsid w:val="00C57C9C"/>
    <w:pPr>
      <w:spacing w:line="240" w:lineRule="auto"/>
    </w:pPr>
    <w:rPr>
      <w:sz w:val="20"/>
      <w:szCs w:val="20"/>
    </w:rPr>
  </w:style>
  <w:style w:type="character" w:customStyle="1" w:styleId="CommentTextChar">
    <w:name w:val="Comment Text Char"/>
    <w:basedOn w:val="DefaultParagraphFont"/>
    <w:link w:val="CommentText"/>
    <w:uiPriority w:val="99"/>
    <w:rsid w:val="00C57C9C"/>
    <w:rPr>
      <w:sz w:val="20"/>
      <w:szCs w:val="20"/>
    </w:rPr>
  </w:style>
  <w:style w:type="paragraph" w:styleId="CommentSubject">
    <w:name w:val="annotation subject"/>
    <w:basedOn w:val="CommentText"/>
    <w:next w:val="CommentText"/>
    <w:link w:val="CommentSubjectChar"/>
    <w:uiPriority w:val="99"/>
    <w:semiHidden/>
    <w:unhideWhenUsed/>
    <w:rsid w:val="00C57C9C"/>
    <w:rPr>
      <w:b/>
      <w:bCs/>
    </w:rPr>
  </w:style>
  <w:style w:type="character" w:customStyle="1" w:styleId="CommentSubjectChar">
    <w:name w:val="Comment Subject Char"/>
    <w:basedOn w:val="CommentTextChar"/>
    <w:link w:val="CommentSubject"/>
    <w:uiPriority w:val="99"/>
    <w:semiHidden/>
    <w:rsid w:val="00C57C9C"/>
    <w:rPr>
      <w:b/>
      <w:bCs/>
      <w:sz w:val="20"/>
      <w:szCs w:val="20"/>
    </w:rPr>
  </w:style>
  <w:style w:type="paragraph" w:styleId="BalloonText">
    <w:name w:val="Balloon Text"/>
    <w:basedOn w:val="Normal"/>
    <w:link w:val="BalloonTextChar"/>
    <w:uiPriority w:val="99"/>
    <w:semiHidden/>
    <w:unhideWhenUsed/>
    <w:rsid w:val="00C57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C9C"/>
    <w:rPr>
      <w:rFonts w:ascii="Segoe UI" w:hAnsi="Segoe UI" w:cs="Segoe UI"/>
      <w:sz w:val="18"/>
      <w:szCs w:val="18"/>
    </w:rPr>
  </w:style>
  <w:style w:type="paragraph" w:styleId="Revision">
    <w:name w:val="Revision"/>
    <w:hidden/>
    <w:uiPriority w:val="99"/>
    <w:semiHidden/>
    <w:rsid w:val="00BC64F1"/>
    <w:pPr>
      <w:spacing w:after="0" w:line="240" w:lineRule="auto"/>
    </w:pPr>
  </w:style>
  <w:style w:type="paragraph" w:styleId="Header">
    <w:name w:val="header"/>
    <w:basedOn w:val="Normal"/>
    <w:link w:val="HeaderChar"/>
    <w:uiPriority w:val="99"/>
    <w:unhideWhenUsed/>
    <w:rsid w:val="00B22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843"/>
  </w:style>
  <w:style w:type="paragraph" w:styleId="Footer">
    <w:name w:val="footer"/>
    <w:basedOn w:val="Normal"/>
    <w:link w:val="FooterChar"/>
    <w:uiPriority w:val="99"/>
    <w:unhideWhenUsed/>
    <w:rsid w:val="00B22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2843"/>
  </w:style>
  <w:style w:type="character" w:styleId="Hyperlink">
    <w:name w:val="Hyperlink"/>
    <w:basedOn w:val="DefaultParagraphFont"/>
    <w:uiPriority w:val="99"/>
    <w:unhideWhenUsed/>
    <w:rsid w:val="00B161DA"/>
    <w:rPr>
      <w:color w:val="0563C1" w:themeColor="hyperlink"/>
      <w:u w:val="single"/>
    </w:rPr>
  </w:style>
  <w:style w:type="character" w:customStyle="1" w:styleId="UnresolvedMention1">
    <w:name w:val="Unresolved Mention1"/>
    <w:basedOn w:val="DefaultParagraphFont"/>
    <w:uiPriority w:val="99"/>
    <w:semiHidden/>
    <w:unhideWhenUsed/>
    <w:rsid w:val="00880EB7"/>
    <w:rPr>
      <w:color w:val="605E5C"/>
      <w:shd w:val="clear" w:color="auto" w:fill="E1DFDD"/>
    </w:rPr>
  </w:style>
  <w:style w:type="character" w:customStyle="1" w:styleId="Heading1Char">
    <w:name w:val="Heading 1 Char"/>
    <w:basedOn w:val="DefaultParagraphFont"/>
    <w:link w:val="Heading1"/>
    <w:uiPriority w:val="9"/>
    <w:rsid w:val="0014405E"/>
    <w:rPr>
      <w:rFonts w:ascii="Times New Roman" w:eastAsia="Times New Roman" w:hAnsi="Times New Roman" w:cs="Times New Roman"/>
      <w:b/>
      <w:bCs/>
      <w:kern w:val="36"/>
      <w:sz w:val="48"/>
      <w:szCs w:val="48"/>
      <w:lang w:eastAsia="en-GB"/>
    </w:rPr>
  </w:style>
  <w:style w:type="character" w:customStyle="1" w:styleId="author-list">
    <w:name w:val="author-list"/>
    <w:basedOn w:val="DefaultParagraphFont"/>
    <w:rsid w:val="0014405E"/>
  </w:style>
  <w:style w:type="character" w:customStyle="1" w:styleId="more-authors-label">
    <w:name w:val="more-authors-label"/>
    <w:basedOn w:val="DefaultParagraphFont"/>
    <w:rsid w:val="0014405E"/>
  </w:style>
  <w:style w:type="character" w:customStyle="1" w:styleId="doilabel">
    <w:name w:val="doi__label"/>
    <w:basedOn w:val="DefaultParagraphFont"/>
    <w:rsid w:val="0014405E"/>
  </w:style>
  <w:style w:type="character" w:customStyle="1" w:styleId="nlmyear">
    <w:name w:val="nlm_year"/>
    <w:basedOn w:val="DefaultParagraphFont"/>
    <w:rsid w:val="00370F5F"/>
  </w:style>
  <w:style w:type="character" w:customStyle="1" w:styleId="nlmarticle-title">
    <w:name w:val="nlm_article-title"/>
    <w:basedOn w:val="DefaultParagraphFont"/>
    <w:rsid w:val="00370F5F"/>
  </w:style>
  <w:style w:type="character" w:customStyle="1" w:styleId="nlmfpage">
    <w:name w:val="nlm_fpage"/>
    <w:basedOn w:val="DefaultParagraphFont"/>
    <w:rsid w:val="00370F5F"/>
  </w:style>
  <w:style w:type="character" w:customStyle="1" w:styleId="nlmlpage">
    <w:name w:val="nlm_lpage"/>
    <w:basedOn w:val="DefaultParagraphFont"/>
    <w:rsid w:val="00370F5F"/>
  </w:style>
  <w:style w:type="character" w:styleId="FollowedHyperlink">
    <w:name w:val="FollowedHyperlink"/>
    <w:basedOn w:val="DefaultParagraphFont"/>
    <w:uiPriority w:val="99"/>
    <w:semiHidden/>
    <w:unhideWhenUsed/>
    <w:rsid w:val="004A5926"/>
    <w:rPr>
      <w:color w:val="954F72" w:themeColor="followedHyperlink"/>
      <w:u w:val="single"/>
    </w:rPr>
  </w:style>
  <w:style w:type="character" w:customStyle="1" w:styleId="article-doi">
    <w:name w:val="article-doi"/>
    <w:basedOn w:val="DefaultParagraphFont"/>
    <w:rsid w:val="00140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1851">
      <w:bodyDiv w:val="1"/>
      <w:marLeft w:val="0"/>
      <w:marRight w:val="0"/>
      <w:marTop w:val="0"/>
      <w:marBottom w:val="0"/>
      <w:divBdr>
        <w:top w:val="none" w:sz="0" w:space="0" w:color="auto"/>
        <w:left w:val="none" w:sz="0" w:space="0" w:color="auto"/>
        <w:bottom w:val="none" w:sz="0" w:space="0" w:color="auto"/>
        <w:right w:val="none" w:sz="0" w:space="0" w:color="auto"/>
      </w:divBdr>
    </w:div>
    <w:div w:id="22172837">
      <w:bodyDiv w:val="1"/>
      <w:marLeft w:val="0"/>
      <w:marRight w:val="0"/>
      <w:marTop w:val="0"/>
      <w:marBottom w:val="0"/>
      <w:divBdr>
        <w:top w:val="none" w:sz="0" w:space="0" w:color="auto"/>
        <w:left w:val="none" w:sz="0" w:space="0" w:color="auto"/>
        <w:bottom w:val="none" w:sz="0" w:space="0" w:color="auto"/>
        <w:right w:val="none" w:sz="0" w:space="0" w:color="auto"/>
      </w:divBdr>
    </w:div>
    <w:div w:id="55710160">
      <w:bodyDiv w:val="1"/>
      <w:marLeft w:val="0"/>
      <w:marRight w:val="0"/>
      <w:marTop w:val="0"/>
      <w:marBottom w:val="0"/>
      <w:divBdr>
        <w:top w:val="none" w:sz="0" w:space="0" w:color="auto"/>
        <w:left w:val="none" w:sz="0" w:space="0" w:color="auto"/>
        <w:bottom w:val="none" w:sz="0" w:space="0" w:color="auto"/>
        <w:right w:val="none" w:sz="0" w:space="0" w:color="auto"/>
      </w:divBdr>
    </w:div>
    <w:div w:id="97872935">
      <w:bodyDiv w:val="1"/>
      <w:marLeft w:val="0"/>
      <w:marRight w:val="0"/>
      <w:marTop w:val="0"/>
      <w:marBottom w:val="0"/>
      <w:divBdr>
        <w:top w:val="none" w:sz="0" w:space="0" w:color="auto"/>
        <w:left w:val="none" w:sz="0" w:space="0" w:color="auto"/>
        <w:bottom w:val="none" w:sz="0" w:space="0" w:color="auto"/>
        <w:right w:val="none" w:sz="0" w:space="0" w:color="auto"/>
      </w:divBdr>
    </w:div>
    <w:div w:id="99646884">
      <w:bodyDiv w:val="1"/>
      <w:marLeft w:val="0"/>
      <w:marRight w:val="0"/>
      <w:marTop w:val="0"/>
      <w:marBottom w:val="0"/>
      <w:divBdr>
        <w:top w:val="none" w:sz="0" w:space="0" w:color="auto"/>
        <w:left w:val="none" w:sz="0" w:space="0" w:color="auto"/>
        <w:bottom w:val="none" w:sz="0" w:space="0" w:color="auto"/>
        <w:right w:val="none" w:sz="0" w:space="0" w:color="auto"/>
      </w:divBdr>
    </w:div>
    <w:div w:id="102310659">
      <w:bodyDiv w:val="1"/>
      <w:marLeft w:val="0"/>
      <w:marRight w:val="0"/>
      <w:marTop w:val="0"/>
      <w:marBottom w:val="0"/>
      <w:divBdr>
        <w:top w:val="none" w:sz="0" w:space="0" w:color="auto"/>
        <w:left w:val="none" w:sz="0" w:space="0" w:color="auto"/>
        <w:bottom w:val="none" w:sz="0" w:space="0" w:color="auto"/>
        <w:right w:val="none" w:sz="0" w:space="0" w:color="auto"/>
      </w:divBdr>
      <w:divsChild>
        <w:div w:id="1504277306">
          <w:marLeft w:val="0"/>
          <w:marRight w:val="0"/>
          <w:marTop w:val="0"/>
          <w:marBottom w:val="0"/>
          <w:divBdr>
            <w:top w:val="none" w:sz="0" w:space="0" w:color="auto"/>
            <w:left w:val="none" w:sz="0" w:space="0" w:color="auto"/>
            <w:bottom w:val="none" w:sz="0" w:space="0" w:color="auto"/>
            <w:right w:val="none" w:sz="0" w:space="0" w:color="auto"/>
          </w:divBdr>
        </w:div>
        <w:div w:id="363403519">
          <w:marLeft w:val="0"/>
          <w:marRight w:val="0"/>
          <w:marTop w:val="0"/>
          <w:marBottom w:val="0"/>
          <w:divBdr>
            <w:top w:val="none" w:sz="0" w:space="0" w:color="auto"/>
            <w:left w:val="none" w:sz="0" w:space="0" w:color="auto"/>
            <w:bottom w:val="none" w:sz="0" w:space="0" w:color="auto"/>
            <w:right w:val="none" w:sz="0" w:space="0" w:color="auto"/>
          </w:divBdr>
        </w:div>
        <w:div w:id="2011710641">
          <w:marLeft w:val="0"/>
          <w:marRight w:val="0"/>
          <w:marTop w:val="0"/>
          <w:marBottom w:val="0"/>
          <w:divBdr>
            <w:top w:val="none" w:sz="0" w:space="0" w:color="auto"/>
            <w:left w:val="none" w:sz="0" w:space="0" w:color="auto"/>
            <w:bottom w:val="none" w:sz="0" w:space="0" w:color="auto"/>
            <w:right w:val="none" w:sz="0" w:space="0" w:color="auto"/>
          </w:divBdr>
        </w:div>
        <w:div w:id="1311473453">
          <w:marLeft w:val="0"/>
          <w:marRight w:val="0"/>
          <w:marTop w:val="0"/>
          <w:marBottom w:val="0"/>
          <w:divBdr>
            <w:top w:val="none" w:sz="0" w:space="0" w:color="auto"/>
            <w:left w:val="none" w:sz="0" w:space="0" w:color="auto"/>
            <w:bottom w:val="none" w:sz="0" w:space="0" w:color="auto"/>
            <w:right w:val="none" w:sz="0" w:space="0" w:color="auto"/>
          </w:divBdr>
        </w:div>
        <w:div w:id="220024584">
          <w:marLeft w:val="0"/>
          <w:marRight w:val="0"/>
          <w:marTop w:val="0"/>
          <w:marBottom w:val="0"/>
          <w:divBdr>
            <w:top w:val="none" w:sz="0" w:space="0" w:color="auto"/>
            <w:left w:val="none" w:sz="0" w:space="0" w:color="auto"/>
            <w:bottom w:val="none" w:sz="0" w:space="0" w:color="auto"/>
            <w:right w:val="none" w:sz="0" w:space="0" w:color="auto"/>
          </w:divBdr>
        </w:div>
        <w:div w:id="195894310">
          <w:marLeft w:val="0"/>
          <w:marRight w:val="0"/>
          <w:marTop w:val="0"/>
          <w:marBottom w:val="0"/>
          <w:divBdr>
            <w:top w:val="none" w:sz="0" w:space="0" w:color="auto"/>
            <w:left w:val="none" w:sz="0" w:space="0" w:color="auto"/>
            <w:bottom w:val="none" w:sz="0" w:space="0" w:color="auto"/>
            <w:right w:val="none" w:sz="0" w:space="0" w:color="auto"/>
          </w:divBdr>
        </w:div>
        <w:div w:id="1641883040">
          <w:marLeft w:val="0"/>
          <w:marRight w:val="0"/>
          <w:marTop w:val="0"/>
          <w:marBottom w:val="0"/>
          <w:divBdr>
            <w:top w:val="none" w:sz="0" w:space="0" w:color="auto"/>
            <w:left w:val="none" w:sz="0" w:space="0" w:color="auto"/>
            <w:bottom w:val="none" w:sz="0" w:space="0" w:color="auto"/>
            <w:right w:val="none" w:sz="0" w:space="0" w:color="auto"/>
          </w:divBdr>
        </w:div>
        <w:div w:id="1812600210">
          <w:marLeft w:val="0"/>
          <w:marRight w:val="0"/>
          <w:marTop w:val="0"/>
          <w:marBottom w:val="0"/>
          <w:divBdr>
            <w:top w:val="none" w:sz="0" w:space="0" w:color="auto"/>
            <w:left w:val="none" w:sz="0" w:space="0" w:color="auto"/>
            <w:bottom w:val="none" w:sz="0" w:space="0" w:color="auto"/>
            <w:right w:val="none" w:sz="0" w:space="0" w:color="auto"/>
          </w:divBdr>
        </w:div>
        <w:div w:id="354964567">
          <w:marLeft w:val="0"/>
          <w:marRight w:val="0"/>
          <w:marTop w:val="0"/>
          <w:marBottom w:val="0"/>
          <w:divBdr>
            <w:top w:val="none" w:sz="0" w:space="0" w:color="auto"/>
            <w:left w:val="none" w:sz="0" w:space="0" w:color="auto"/>
            <w:bottom w:val="none" w:sz="0" w:space="0" w:color="auto"/>
            <w:right w:val="none" w:sz="0" w:space="0" w:color="auto"/>
          </w:divBdr>
        </w:div>
        <w:div w:id="650215361">
          <w:marLeft w:val="0"/>
          <w:marRight w:val="0"/>
          <w:marTop w:val="0"/>
          <w:marBottom w:val="0"/>
          <w:divBdr>
            <w:top w:val="none" w:sz="0" w:space="0" w:color="auto"/>
            <w:left w:val="none" w:sz="0" w:space="0" w:color="auto"/>
            <w:bottom w:val="none" w:sz="0" w:space="0" w:color="auto"/>
            <w:right w:val="none" w:sz="0" w:space="0" w:color="auto"/>
          </w:divBdr>
        </w:div>
        <w:div w:id="711535220">
          <w:marLeft w:val="0"/>
          <w:marRight w:val="0"/>
          <w:marTop w:val="0"/>
          <w:marBottom w:val="0"/>
          <w:divBdr>
            <w:top w:val="none" w:sz="0" w:space="0" w:color="auto"/>
            <w:left w:val="none" w:sz="0" w:space="0" w:color="auto"/>
            <w:bottom w:val="none" w:sz="0" w:space="0" w:color="auto"/>
            <w:right w:val="none" w:sz="0" w:space="0" w:color="auto"/>
          </w:divBdr>
        </w:div>
        <w:div w:id="802116646">
          <w:marLeft w:val="0"/>
          <w:marRight w:val="0"/>
          <w:marTop w:val="0"/>
          <w:marBottom w:val="0"/>
          <w:divBdr>
            <w:top w:val="none" w:sz="0" w:space="0" w:color="auto"/>
            <w:left w:val="none" w:sz="0" w:space="0" w:color="auto"/>
            <w:bottom w:val="none" w:sz="0" w:space="0" w:color="auto"/>
            <w:right w:val="none" w:sz="0" w:space="0" w:color="auto"/>
          </w:divBdr>
        </w:div>
        <w:div w:id="1180974837">
          <w:marLeft w:val="0"/>
          <w:marRight w:val="0"/>
          <w:marTop w:val="0"/>
          <w:marBottom w:val="0"/>
          <w:divBdr>
            <w:top w:val="none" w:sz="0" w:space="0" w:color="auto"/>
            <w:left w:val="none" w:sz="0" w:space="0" w:color="auto"/>
            <w:bottom w:val="none" w:sz="0" w:space="0" w:color="auto"/>
            <w:right w:val="none" w:sz="0" w:space="0" w:color="auto"/>
          </w:divBdr>
        </w:div>
        <w:div w:id="1695304826">
          <w:marLeft w:val="0"/>
          <w:marRight w:val="0"/>
          <w:marTop w:val="0"/>
          <w:marBottom w:val="0"/>
          <w:divBdr>
            <w:top w:val="none" w:sz="0" w:space="0" w:color="auto"/>
            <w:left w:val="none" w:sz="0" w:space="0" w:color="auto"/>
            <w:bottom w:val="none" w:sz="0" w:space="0" w:color="auto"/>
            <w:right w:val="none" w:sz="0" w:space="0" w:color="auto"/>
          </w:divBdr>
        </w:div>
        <w:div w:id="1966308153">
          <w:marLeft w:val="0"/>
          <w:marRight w:val="0"/>
          <w:marTop w:val="0"/>
          <w:marBottom w:val="0"/>
          <w:divBdr>
            <w:top w:val="none" w:sz="0" w:space="0" w:color="auto"/>
            <w:left w:val="none" w:sz="0" w:space="0" w:color="auto"/>
            <w:bottom w:val="none" w:sz="0" w:space="0" w:color="auto"/>
            <w:right w:val="none" w:sz="0" w:space="0" w:color="auto"/>
          </w:divBdr>
        </w:div>
        <w:div w:id="1641500598">
          <w:marLeft w:val="0"/>
          <w:marRight w:val="0"/>
          <w:marTop w:val="0"/>
          <w:marBottom w:val="0"/>
          <w:divBdr>
            <w:top w:val="none" w:sz="0" w:space="0" w:color="auto"/>
            <w:left w:val="none" w:sz="0" w:space="0" w:color="auto"/>
            <w:bottom w:val="none" w:sz="0" w:space="0" w:color="auto"/>
            <w:right w:val="none" w:sz="0" w:space="0" w:color="auto"/>
          </w:divBdr>
        </w:div>
        <w:div w:id="271059500">
          <w:marLeft w:val="0"/>
          <w:marRight w:val="0"/>
          <w:marTop w:val="0"/>
          <w:marBottom w:val="0"/>
          <w:divBdr>
            <w:top w:val="none" w:sz="0" w:space="0" w:color="auto"/>
            <w:left w:val="none" w:sz="0" w:space="0" w:color="auto"/>
            <w:bottom w:val="none" w:sz="0" w:space="0" w:color="auto"/>
            <w:right w:val="none" w:sz="0" w:space="0" w:color="auto"/>
          </w:divBdr>
        </w:div>
        <w:div w:id="1020401627">
          <w:marLeft w:val="0"/>
          <w:marRight w:val="0"/>
          <w:marTop w:val="0"/>
          <w:marBottom w:val="0"/>
          <w:divBdr>
            <w:top w:val="none" w:sz="0" w:space="0" w:color="auto"/>
            <w:left w:val="none" w:sz="0" w:space="0" w:color="auto"/>
            <w:bottom w:val="none" w:sz="0" w:space="0" w:color="auto"/>
            <w:right w:val="none" w:sz="0" w:space="0" w:color="auto"/>
          </w:divBdr>
        </w:div>
        <w:div w:id="1130703832">
          <w:marLeft w:val="0"/>
          <w:marRight w:val="0"/>
          <w:marTop w:val="0"/>
          <w:marBottom w:val="0"/>
          <w:divBdr>
            <w:top w:val="none" w:sz="0" w:space="0" w:color="auto"/>
            <w:left w:val="none" w:sz="0" w:space="0" w:color="auto"/>
            <w:bottom w:val="none" w:sz="0" w:space="0" w:color="auto"/>
            <w:right w:val="none" w:sz="0" w:space="0" w:color="auto"/>
          </w:divBdr>
        </w:div>
        <w:div w:id="441917451">
          <w:marLeft w:val="0"/>
          <w:marRight w:val="0"/>
          <w:marTop w:val="0"/>
          <w:marBottom w:val="0"/>
          <w:divBdr>
            <w:top w:val="none" w:sz="0" w:space="0" w:color="auto"/>
            <w:left w:val="none" w:sz="0" w:space="0" w:color="auto"/>
            <w:bottom w:val="none" w:sz="0" w:space="0" w:color="auto"/>
            <w:right w:val="none" w:sz="0" w:space="0" w:color="auto"/>
          </w:divBdr>
        </w:div>
        <w:div w:id="1468357871">
          <w:marLeft w:val="0"/>
          <w:marRight w:val="0"/>
          <w:marTop w:val="0"/>
          <w:marBottom w:val="0"/>
          <w:divBdr>
            <w:top w:val="none" w:sz="0" w:space="0" w:color="auto"/>
            <w:left w:val="none" w:sz="0" w:space="0" w:color="auto"/>
            <w:bottom w:val="none" w:sz="0" w:space="0" w:color="auto"/>
            <w:right w:val="none" w:sz="0" w:space="0" w:color="auto"/>
          </w:divBdr>
        </w:div>
        <w:div w:id="1728725209">
          <w:marLeft w:val="0"/>
          <w:marRight w:val="0"/>
          <w:marTop w:val="0"/>
          <w:marBottom w:val="0"/>
          <w:divBdr>
            <w:top w:val="none" w:sz="0" w:space="0" w:color="auto"/>
            <w:left w:val="none" w:sz="0" w:space="0" w:color="auto"/>
            <w:bottom w:val="none" w:sz="0" w:space="0" w:color="auto"/>
            <w:right w:val="none" w:sz="0" w:space="0" w:color="auto"/>
          </w:divBdr>
        </w:div>
        <w:div w:id="1616477732">
          <w:marLeft w:val="0"/>
          <w:marRight w:val="0"/>
          <w:marTop w:val="0"/>
          <w:marBottom w:val="0"/>
          <w:divBdr>
            <w:top w:val="none" w:sz="0" w:space="0" w:color="auto"/>
            <w:left w:val="none" w:sz="0" w:space="0" w:color="auto"/>
            <w:bottom w:val="none" w:sz="0" w:space="0" w:color="auto"/>
            <w:right w:val="none" w:sz="0" w:space="0" w:color="auto"/>
          </w:divBdr>
        </w:div>
        <w:div w:id="1389375681">
          <w:marLeft w:val="0"/>
          <w:marRight w:val="0"/>
          <w:marTop w:val="0"/>
          <w:marBottom w:val="0"/>
          <w:divBdr>
            <w:top w:val="none" w:sz="0" w:space="0" w:color="auto"/>
            <w:left w:val="none" w:sz="0" w:space="0" w:color="auto"/>
            <w:bottom w:val="none" w:sz="0" w:space="0" w:color="auto"/>
            <w:right w:val="none" w:sz="0" w:space="0" w:color="auto"/>
          </w:divBdr>
        </w:div>
        <w:div w:id="1828670035">
          <w:marLeft w:val="0"/>
          <w:marRight w:val="0"/>
          <w:marTop w:val="0"/>
          <w:marBottom w:val="0"/>
          <w:divBdr>
            <w:top w:val="none" w:sz="0" w:space="0" w:color="auto"/>
            <w:left w:val="none" w:sz="0" w:space="0" w:color="auto"/>
            <w:bottom w:val="none" w:sz="0" w:space="0" w:color="auto"/>
            <w:right w:val="none" w:sz="0" w:space="0" w:color="auto"/>
          </w:divBdr>
        </w:div>
        <w:div w:id="2009402379">
          <w:marLeft w:val="0"/>
          <w:marRight w:val="0"/>
          <w:marTop w:val="0"/>
          <w:marBottom w:val="0"/>
          <w:divBdr>
            <w:top w:val="none" w:sz="0" w:space="0" w:color="auto"/>
            <w:left w:val="none" w:sz="0" w:space="0" w:color="auto"/>
            <w:bottom w:val="none" w:sz="0" w:space="0" w:color="auto"/>
            <w:right w:val="none" w:sz="0" w:space="0" w:color="auto"/>
          </w:divBdr>
        </w:div>
        <w:div w:id="401605244">
          <w:marLeft w:val="0"/>
          <w:marRight w:val="0"/>
          <w:marTop w:val="0"/>
          <w:marBottom w:val="0"/>
          <w:divBdr>
            <w:top w:val="none" w:sz="0" w:space="0" w:color="auto"/>
            <w:left w:val="none" w:sz="0" w:space="0" w:color="auto"/>
            <w:bottom w:val="none" w:sz="0" w:space="0" w:color="auto"/>
            <w:right w:val="none" w:sz="0" w:space="0" w:color="auto"/>
          </w:divBdr>
        </w:div>
        <w:div w:id="1303073779">
          <w:marLeft w:val="0"/>
          <w:marRight w:val="0"/>
          <w:marTop w:val="0"/>
          <w:marBottom w:val="0"/>
          <w:divBdr>
            <w:top w:val="none" w:sz="0" w:space="0" w:color="auto"/>
            <w:left w:val="none" w:sz="0" w:space="0" w:color="auto"/>
            <w:bottom w:val="none" w:sz="0" w:space="0" w:color="auto"/>
            <w:right w:val="none" w:sz="0" w:space="0" w:color="auto"/>
          </w:divBdr>
        </w:div>
        <w:div w:id="568075802">
          <w:marLeft w:val="0"/>
          <w:marRight w:val="0"/>
          <w:marTop w:val="0"/>
          <w:marBottom w:val="0"/>
          <w:divBdr>
            <w:top w:val="none" w:sz="0" w:space="0" w:color="auto"/>
            <w:left w:val="none" w:sz="0" w:space="0" w:color="auto"/>
            <w:bottom w:val="none" w:sz="0" w:space="0" w:color="auto"/>
            <w:right w:val="none" w:sz="0" w:space="0" w:color="auto"/>
          </w:divBdr>
        </w:div>
        <w:div w:id="937061411">
          <w:marLeft w:val="0"/>
          <w:marRight w:val="0"/>
          <w:marTop w:val="0"/>
          <w:marBottom w:val="0"/>
          <w:divBdr>
            <w:top w:val="none" w:sz="0" w:space="0" w:color="auto"/>
            <w:left w:val="none" w:sz="0" w:space="0" w:color="auto"/>
            <w:bottom w:val="none" w:sz="0" w:space="0" w:color="auto"/>
            <w:right w:val="none" w:sz="0" w:space="0" w:color="auto"/>
          </w:divBdr>
        </w:div>
        <w:div w:id="463623220">
          <w:marLeft w:val="0"/>
          <w:marRight w:val="0"/>
          <w:marTop w:val="0"/>
          <w:marBottom w:val="0"/>
          <w:divBdr>
            <w:top w:val="none" w:sz="0" w:space="0" w:color="auto"/>
            <w:left w:val="none" w:sz="0" w:space="0" w:color="auto"/>
            <w:bottom w:val="none" w:sz="0" w:space="0" w:color="auto"/>
            <w:right w:val="none" w:sz="0" w:space="0" w:color="auto"/>
          </w:divBdr>
        </w:div>
        <w:div w:id="1909487522">
          <w:marLeft w:val="0"/>
          <w:marRight w:val="0"/>
          <w:marTop w:val="0"/>
          <w:marBottom w:val="0"/>
          <w:divBdr>
            <w:top w:val="none" w:sz="0" w:space="0" w:color="auto"/>
            <w:left w:val="none" w:sz="0" w:space="0" w:color="auto"/>
            <w:bottom w:val="none" w:sz="0" w:space="0" w:color="auto"/>
            <w:right w:val="none" w:sz="0" w:space="0" w:color="auto"/>
          </w:divBdr>
        </w:div>
        <w:div w:id="637227413">
          <w:marLeft w:val="0"/>
          <w:marRight w:val="0"/>
          <w:marTop w:val="0"/>
          <w:marBottom w:val="0"/>
          <w:divBdr>
            <w:top w:val="none" w:sz="0" w:space="0" w:color="auto"/>
            <w:left w:val="none" w:sz="0" w:space="0" w:color="auto"/>
            <w:bottom w:val="none" w:sz="0" w:space="0" w:color="auto"/>
            <w:right w:val="none" w:sz="0" w:space="0" w:color="auto"/>
          </w:divBdr>
        </w:div>
        <w:div w:id="1761874500">
          <w:marLeft w:val="0"/>
          <w:marRight w:val="0"/>
          <w:marTop w:val="0"/>
          <w:marBottom w:val="0"/>
          <w:divBdr>
            <w:top w:val="none" w:sz="0" w:space="0" w:color="auto"/>
            <w:left w:val="none" w:sz="0" w:space="0" w:color="auto"/>
            <w:bottom w:val="none" w:sz="0" w:space="0" w:color="auto"/>
            <w:right w:val="none" w:sz="0" w:space="0" w:color="auto"/>
          </w:divBdr>
        </w:div>
        <w:div w:id="996886292">
          <w:marLeft w:val="0"/>
          <w:marRight w:val="0"/>
          <w:marTop w:val="0"/>
          <w:marBottom w:val="0"/>
          <w:divBdr>
            <w:top w:val="none" w:sz="0" w:space="0" w:color="auto"/>
            <w:left w:val="none" w:sz="0" w:space="0" w:color="auto"/>
            <w:bottom w:val="none" w:sz="0" w:space="0" w:color="auto"/>
            <w:right w:val="none" w:sz="0" w:space="0" w:color="auto"/>
          </w:divBdr>
        </w:div>
        <w:div w:id="2054772918">
          <w:marLeft w:val="0"/>
          <w:marRight w:val="0"/>
          <w:marTop w:val="0"/>
          <w:marBottom w:val="0"/>
          <w:divBdr>
            <w:top w:val="none" w:sz="0" w:space="0" w:color="auto"/>
            <w:left w:val="none" w:sz="0" w:space="0" w:color="auto"/>
            <w:bottom w:val="none" w:sz="0" w:space="0" w:color="auto"/>
            <w:right w:val="none" w:sz="0" w:space="0" w:color="auto"/>
          </w:divBdr>
        </w:div>
        <w:div w:id="1934321298">
          <w:marLeft w:val="0"/>
          <w:marRight w:val="0"/>
          <w:marTop w:val="0"/>
          <w:marBottom w:val="0"/>
          <w:divBdr>
            <w:top w:val="none" w:sz="0" w:space="0" w:color="auto"/>
            <w:left w:val="none" w:sz="0" w:space="0" w:color="auto"/>
            <w:bottom w:val="none" w:sz="0" w:space="0" w:color="auto"/>
            <w:right w:val="none" w:sz="0" w:space="0" w:color="auto"/>
          </w:divBdr>
        </w:div>
        <w:div w:id="136804987">
          <w:marLeft w:val="0"/>
          <w:marRight w:val="0"/>
          <w:marTop w:val="0"/>
          <w:marBottom w:val="0"/>
          <w:divBdr>
            <w:top w:val="none" w:sz="0" w:space="0" w:color="auto"/>
            <w:left w:val="none" w:sz="0" w:space="0" w:color="auto"/>
            <w:bottom w:val="none" w:sz="0" w:space="0" w:color="auto"/>
            <w:right w:val="none" w:sz="0" w:space="0" w:color="auto"/>
          </w:divBdr>
        </w:div>
        <w:div w:id="2053842073">
          <w:marLeft w:val="0"/>
          <w:marRight w:val="0"/>
          <w:marTop w:val="0"/>
          <w:marBottom w:val="0"/>
          <w:divBdr>
            <w:top w:val="none" w:sz="0" w:space="0" w:color="auto"/>
            <w:left w:val="none" w:sz="0" w:space="0" w:color="auto"/>
            <w:bottom w:val="none" w:sz="0" w:space="0" w:color="auto"/>
            <w:right w:val="none" w:sz="0" w:space="0" w:color="auto"/>
          </w:divBdr>
        </w:div>
        <w:div w:id="525405676">
          <w:marLeft w:val="0"/>
          <w:marRight w:val="0"/>
          <w:marTop w:val="0"/>
          <w:marBottom w:val="0"/>
          <w:divBdr>
            <w:top w:val="none" w:sz="0" w:space="0" w:color="auto"/>
            <w:left w:val="none" w:sz="0" w:space="0" w:color="auto"/>
            <w:bottom w:val="none" w:sz="0" w:space="0" w:color="auto"/>
            <w:right w:val="none" w:sz="0" w:space="0" w:color="auto"/>
          </w:divBdr>
        </w:div>
        <w:div w:id="541937343">
          <w:marLeft w:val="0"/>
          <w:marRight w:val="0"/>
          <w:marTop w:val="0"/>
          <w:marBottom w:val="0"/>
          <w:divBdr>
            <w:top w:val="none" w:sz="0" w:space="0" w:color="auto"/>
            <w:left w:val="none" w:sz="0" w:space="0" w:color="auto"/>
            <w:bottom w:val="none" w:sz="0" w:space="0" w:color="auto"/>
            <w:right w:val="none" w:sz="0" w:space="0" w:color="auto"/>
          </w:divBdr>
        </w:div>
      </w:divsChild>
    </w:div>
    <w:div w:id="137963674">
      <w:bodyDiv w:val="1"/>
      <w:marLeft w:val="0"/>
      <w:marRight w:val="0"/>
      <w:marTop w:val="0"/>
      <w:marBottom w:val="0"/>
      <w:divBdr>
        <w:top w:val="none" w:sz="0" w:space="0" w:color="auto"/>
        <w:left w:val="none" w:sz="0" w:space="0" w:color="auto"/>
        <w:bottom w:val="none" w:sz="0" w:space="0" w:color="auto"/>
        <w:right w:val="none" w:sz="0" w:space="0" w:color="auto"/>
      </w:divBdr>
    </w:div>
    <w:div w:id="139688661">
      <w:bodyDiv w:val="1"/>
      <w:marLeft w:val="0"/>
      <w:marRight w:val="0"/>
      <w:marTop w:val="0"/>
      <w:marBottom w:val="0"/>
      <w:divBdr>
        <w:top w:val="none" w:sz="0" w:space="0" w:color="auto"/>
        <w:left w:val="none" w:sz="0" w:space="0" w:color="auto"/>
        <w:bottom w:val="none" w:sz="0" w:space="0" w:color="auto"/>
        <w:right w:val="none" w:sz="0" w:space="0" w:color="auto"/>
      </w:divBdr>
    </w:div>
    <w:div w:id="144472837">
      <w:bodyDiv w:val="1"/>
      <w:marLeft w:val="0"/>
      <w:marRight w:val="0"/>
      <w:marTop w:val="0"/>
      <w:marBottom w:val="0"/>
      <w:divBdr>
        <w:top w:val="none" w:sz="0" w:space="0" w:color="auto"/>
        <w:left w:val="none" w:sz="0" w:space="0" w:color="auto"/>
        <w:bottom w:val="none" w:sz="0" w:space="0" w:color="auto"/>
        <w:right w:val="none" w:sz="0" w:space="0" w:color="auto"/>
      </w:divBdr>
    </w:div>
    <w:div w:id="167598322">
      <w:bodyDiv w:val="1"/>
      <w:marLeft w:val="0"/>
      <w:marRight w:val="0"/>
      <w:marTop w:val="0"/>
      <w:marBottom w:val="0"/>
      <w:divBdr>
        <w:top w:val="none" w:sz="0" w:space="0" w:color="auto"/>
        <w:left w:val="none" w:sz="0" w:space="0" w:color="auto"/>
        <w:bottom w:val="none" w:sz="0" w:space="0" w:color="auto"/>
        <w:right w:val="none" w:sz="0" w:space="0" w:color="auto"/>
      </w:divBdr>
    </w:div>
    <w:div w:id="182323329">
      <w:bodyDiv w:val="1"/>
      <w:marLeft w:val="0"/>
      <w:marRight w:val="0"/>
      <w:marTop w:val="0"/>
      <w:marBottom w:val="0"/>
      <w:divBdr>
        <w:top w:val="none" w:sz="0" w:space="0" w:color="auto"/>
        <w:left w:val="none" w:sz="0" w:space="0" w:color="auto"/>
        <w:bottom w:val="none" w:sz="0" w:space="0" w:color="auto"/>
        <w:right w:val="none" w:sz="0" w:space="0" w:color="auto"/>
      </w:divBdr>
    </w:div>
    <w:div w:id="230390025">
      <w:bodyDiv w:val="1"/>
      <w:marLeft w:val="0"/>
      <w:marRight w:val="0"/>
      <w:marTop w:val="0"/>
      <w:marBottom w:val="0"/>
      <w:divBdr>
        <w:top w:val="none" w:sz="0" w:space="0" w:color="auto"/>
        <w:left w:val="none" w:sz="0" w:space="0" w:color="auto"/>
        <w:bottom w:val="none" w:sz="0" w:space="0" w:color="auto"/>
        <w:right w:val="none" w:sz="0" w:space="0" w:color="auto"/>
      </w:divBdr>
    </w:div>
    <w:div w:id="319236577">
      <w:bodyDiv w:val="1"/>
      <w:marLeft w:val="0"/>
      <w:marRight w:val="0"/>
      <w:marTop w:val="0"/>
      <w:marBottom w:val="0"/>
      <w:divBdr>
        <w:top w:val="none" w:sz="0" w:space="0" w:color="auto"/>
        <w:left w:val="none" w:sz="0" w:space="0" w:color="auto"/>
        <w:bottom w:val="none" w:sz="0" w:space="0" w:color="auto"/>
        <w:right w:val="none" w:sz="0" w:space="0" w:color="auto"/>
      </w:divBdr>
    </w:div>
    <w:div w:id="319357699">
      <w:bodyDiv w:val="1"/>
      <w:marLeft w:val="0"/>
      <w:marRight w:val="0"/>
      <w:marTop w:val="0"/>
      <w:marBottom w:val="0"/>
      <w:divBdr>
        <w:top w:val="none" w:sz="0" w:space="0" w:color="auto"/>
        <w:left w:val="none" w:sz="0" w:space="0" w:color="auto"/>
        <w:bottom w:val="none" w:sz="0" w:space="0" w:color="auto"/>
        <w:right w:val="none" w:sz="0" w:space="0" w:color="auto"/>
      </w:divBdr>
    </w:div>
    <w:div w:id="329065317">
      <w:bodyDiv w:val="1"/>
      <w:marLeft w:val="0"/>
      <w:marRight w:val="0"/>
      <w:marTop w:val="0"/>
      <w:marBottom w:val="0"/>
      <w:divBdr>
        <w:top w:val="none" w:sz="0" w:space="0" w:color="auto"/>
        <w:left w:val="none" w:sz="0" w:space="0" w:color="auto"/>
        <w:bottom w:val="none" w:sz="0" w:space="0" w:color="auto"/>
        <w:right w:val="none" w:sz="0" w:space="0" w:color="auto"/>
      </w:divBdr>
    </w:div>
    <w:div w:id="336074875">
      <w:bodyDiv w:val="1"/>
      <w:marLeft w:val="0"/>
      <w:marRight w:val="0"/>
      <w:marTop w:val="0"/>
      <w:marBottom w:val="0"/>
      <w:divBdr>
        <w:top w:val="none" w:sz="0" w:space="0" w:color="auto"/>
        <w:left w:val="none" w:sz="0" w:space="0" w:color="auto"/>
        <w:bottom w:val="none" w:sz="0" w:space="0" w:color="auto"/>
        <w:right w:val="none" w:sz="0" w:space="0" w:color="auto"/>
      </w:divBdr>
    </w:div>
    <w:div w:id="336663543">
      <w:bodyDiv w:val="1"/>
      <w:marLeft w:val="0"/>
      <w:marRight w:val="0"/>
      <w:marTop w:val="0"/>
      <w:marBottom w:val="0"/>
      <w:divBdr>
        <w:top w:val="none" w:sz="0" w:space="0" w:color="auto"/>
        <w:left w:val="none" w:sz="0" w:space="0" w:color="auto"/>
        <w:bottom w:val="none" w:sz="0" w:space="0" w:color="auto"/>
        <w:right w:val="none" w:sz="0" w:space="0" w:color="auto"/>
      </w:divBdr>
    </w:div>
    <w:div w:id="414976992">
      <w:bodyDiv w:val="1"/>
      <w:marLeft w:val="0"/>
      <w:marRight w:val="0"/>
      <w:marTop w:val="0"/>
      <w:marBottom w:val="0"/>
      <w:divBdr>
        <w:top w:val="none" w:sz="0" w:space="0" w:color="auto"/>
        <w:left w:val="none" w:sz="0" w:space="0" w:color="auto"/>
        <w:bottom w:val="none" w:sz="0" w:space="0" w:color="auto"/>
        <w:right w:val="none" w:sz="0" w:space="0" w:color="auto"/>
      </w:divBdr>
    </w:div>
    <w:div w:id="475954966">
      <w:bodyDiv w:val="1"/>
      <w:marLeft w:val="0"/>
      <w:marRight w:val="0"/>
      <w:marTop w:val="0"/>
      <w:marBottom w:val="0"/>
      <w:divBdr>
        <w:top w:val="none" w:sz="0" w:space="0" w:color="auto"/>
        <w:left w:val="none" w:sz="0" w:space="0" w:color="auto"/>
        <w:bottom w:val="none" w:sz="0" w:space="0" w:color="auto"/>
        <w:right w:val="none" w:sz="0" w:space="0" w:color="auto"/>
      </w:divBdr>
    </w:div>
    <w:div w:id="482039459">
      <w:bodyDiv w:val="1"/>
      <w:marLeft w:val="0"/>
      <w:marRight w:val="0"/>
      <w:marTop w:val="0"/>
      <w:marBottom w:val="0"/>
      <w:divBdr>
        <w:top w:val="none" w:sz="0" w:space="0" w:color="auto"/>
        <w:left w:val="none" w:sz="0" w:space="0" w:color="auto"/>
        <w:bottom w:val="none" w:sz="0" w:space="0" w:color="auto"/>
        <w:right w:val="none" w:sz="0" w:space="0" w:color="auto"/>
      </w:divBdr>
    </w:div>
    <w:div w:id="525097122">
      <w:bodyDiv w:val="1"/>
      <w:marLeft w:val="0"/>
      <w:marRight w:val="0"/>
      <w:marTop w:val="0"/>
      <w:marBottom w:val="0"/>
      <w:divBdr>
        <w:top w:val="none" w:sz="0" w:space="0" w:color="auto"/>
        <w:left w:val="none" w:sz="0" w:space="0" w:color="auto"/>
        <w:bottom w:val="none" w:sz="0" w:space="0" w:color="auto"/>
        <w:right w:val="none" w:sz="0" w:space="0" w:color="auto"/>
      </w:divBdr>
    </w:div>
    <w:div w:id="529074608">
      <w:bodyDiv w:val="1"/>
      <w:marLeft w:val="0"/>
      <w:marRight w:val="0"/>
      <w:marTop w:val="0"/>
      <w:marBottom w:val="0"/>
      <w:divBdr>
        <w:top w:val="none" w:sz="0" w:space="0" w:color="auto"/>
        <w:left w:val="none" w:sz="0" w:space="0" w:color="auto"/>
        <w:bottom w:val="none" w:sz="0" w:space="0" w:color="auto"/>
        <w:right w:val="none" w:sz="0" w:space="0" w:color="auto"/>
      </w:divBdr>
    </w:div>
    <w:div w:id="534122316">
      <w:bodyDiv w:val="1"/>
      <w:marLeft w:val="0"/>
      <w:marRight w:val="0"/>
      <w:marTop w:val="0"/>
      <w:marBottom w:val="0"/>
      <w:divBdr>
        <w:top w:val="none" w:sz="0" w:space="0" w:color="auto"/>
        <w:left w:val="none" w:sz="0" w:space="0" w:color="auto"/>
        <w:bottom w:val="none" w:sz="0" w:space="0" w:color="auto"/>
        <w:right w:val="none" w:sz="0" w:space="0" w:color="auto"/>
      </w:divBdr>
      <w:divsChild>
        <w:div w:id="188766004">
          <w:marLeft w:val="0"/>
          <w:marRight w:val="0"/>
          <w:marTop w:val="0"/>
          <w:marBottom w:val="0"/>
          <w:divBdr>
            <w:top w:val="none" w:sz="0" w:space="0" w:color="auto"/>
            <w:left w:val="none" w:sz="0" w:space="0" w:color="auto"/>
            <w:bottom w:val="none" w:sz="0" w:space="0" w:color="auto"/>
            <w:right w:val="none" w:sz="0" w:space="0" w:color="auto"/>
          </w:divBdr>
        </w:div>
        <w:div w:id="406541559">
          <w:marLeft w:val="0"/>
          <w:marRight w:val="0"/>
          <w:marTop w:val="0"/>
          <w:marBottom w:val="0"/>
          <w:divBdr>
            <w:top w:val="none" w:sz="0" w:space="0" w:color="auto"/>
            <w:left w:val="none" w:sz="0" w:space="0" w:color="auto"/>
            <w:bottom w:val="none" w:sz="0" w:space="0" w:color="auto"/>
            <w:right w:val="none" w:sz="0" w:space="0" w:color="auto"/>
          </w:divBdr>
        </w:div>
        <w:div w:id="787890495">
          <w:marLeft w:val="0"/>
          <w:marRight w:val="0"/>
          <w:marTop w:val="0"/>
          <w:marBottom w:val="0"/>
          <w:divBdr>
            <w:top w:val="none" w:sz="0" w:space="0" w:color="auto"/>
            <w:left w:val="none" w:sz="0" w:space="0" w:color="auto"/>
            <w:bottom w:val="none" w:sz="0" w:space="0" w:color="auto"/>
            <w:right w:val="none" w:sz="0" w:space="0" w:color="auto"/>
          </w:divBdr>
        </w:div>
        <w:div w:id="598221486">
          <w:marLeft w:val="0"/>
          <w:marRight w:val="0"/>
          <w:marTop w:val="0"/>
          <w:marBottom w:val="0"/>
          <w:divBdr>
            <w:top w:val="none" w:sz="0" w:space="0" w:color="auto"/>
            <w:left w:val="none" w:sz="0" w:space="0" w:color="auto"/>
            <w:bottom w:val="none" w:sz="0" w:space="0" w:color="auto"/>
            <w:right w:val="none" w:sz="0" w:space="0" w:color="auto"/>
          </w:divBdr>
        </w:div>
        <w:div w:id="175270702">
          <w:marLeft w:val="0"/>
          <w:marRight w:val="0"/>
          <w:marTop w:val="0"/>
          <w:marBottom w:val="0"/>
          <w:divBdr>
            <w:top w:val="none" w:sz="0" w:space="0" w:color="auto"/>
            <w:left w:val="none" w:sz="0" w:space="0" w:color="auto"/>
            <w:bottom w:val="none" w:sz="0" w:space="0" w:color="auto"/>
            <w:right w:val="none" w:sz="0" w:space="0" w:color="auto"/>
          </w:divBdr>
        </w:div>
        <w:div w:id="1538007208">
          <w:marLeft w:val="0"/>
          <w:marRight w:val="0"/>
          <w:marTop w:val="0"/>
          <w:marBottom w:val="0"/>
          <w:divBdr>
            <w:top w:val="none" w:sz="0" w:space="0" w:color="auto"/>
            <w:left w:val="none" w:sz="0" w:space="0" w:color="auto"/>
            <w:bottom w:val="none" w:sz="0" w:space="0" w:color="auto"/>
            <w:right w:val="none" w:sz="0" w:space="0" w:color="auto"/>
          </w:divBdr>
        </w:div>
        <w:div w:id="1559822540">
          <w:marLeft w:val="0"/>
          <w:marRight w:val="0"/>
          <w:marTop w:val="0"/>
          <w:marBottom w:val="0"/>
          <w:divBdr>
            <w:top w:val="none" w:sz="0" w:space="0" w:color="auto"/>
            <w:left w:val="none" w:sz="0" w:space="0" w:color="auto"/>
            <w:bottom w:val="none" w:sz="0" w:space="0" w:color="auto"/>
            <w:right w:val="none" w:sz="0" w:space="0" w:color="auto"/>
          </w:divBdr>
        </w:div>
        <w:div w:id="507255846">
          <w:marLeft w:val="0"/>
          <w:marRight w:val="0"/>
          <w:marTop w:val="0"/>
          <w:marBottom w:val="0"/>
          <w:divBdr>
            <w:top w:val="none" w:sz="0" w:space="0" w:color="auto"/>
            <w:left w:val="none" w:sz="0" w:space="0" w:color="auto"/>
            <w:bottom w:val="none" w:sz="0" w:space="0" w:color="auto"/>
            <w:right w:val="none" w:sz="0" w:space="0" w:color="auto"/>
          </w:divBdr>
        </w:div>
        <w:div w:id="7371710">
          <w:marLeft w:val="0"/>
          <w:marRight w:val="0"/>
          <w:marTop w:val="0"/>
          <w:marBottom w:val="0"/>
          <w:divBdr>
            <w:top w:val="none" w:sz="0" w:space="0" w:color="auto"/>
            <w:left w:val="none" w:sz="0" w:space="0" w:color="auto"/>
            <w:bottom w:val="none" w:sz="0" w:space="0" w:color="auto"/>
            <w:right w:val="none" w:sz="0" w:space="0" w:color="auto"/>
          </w:divBdr>
        </w:div>
        <w:div w:id="1327048142">
          <w:marLeft w:val="0"/>
          <w:marRight w:val="0"/>
          <w:marTop w:val="0"/>
          <w:marBottom w:val="0"/>
          <w:divBdr>
            <w:top w:val="none" w:sz="0" w:space="0" w:color="auto"/>
            <w:left w:val="none" w:sz="0" w:space="0" w:color="auto"/>
            <w:bottom w:val="none" w:sz="0" w:space="0" w:color="auto"/>
            <w:right w:val="none" w:sz="0" w:space="0" w:color="auto"/>
          </w:divBdr>
        </w:div>
        <w:div w:id="1871721197">
          <w:marLeft w:val="0"/>
          <w:marRight w:val="0"/>
          <w:marTop w:val="0"/>
          <w:marBottom w:val="0"/>
          <w:divBdr>
            <w:top w:val="none" w:sz="0" w:space="0" w:color="auto"/>
            <w:left w:val="none" w:sz="0" w:space="0" w:color="auto"/>
            <w:bottom w:val="none" w:sz="0" w:space="0" w:color="auto"/>
            <w:right w:val="none" w:sz="0" w:space="0" w:color="auto"/>
          </w:divBdr>
        </w:div>
        <w:div w:id="1411586312">
          <w:marLeft w:val="0"/>
          <w:marRight w:val="0"/>
          <w:marTop w:val="0"/>
          <w:marBottom w:val="0"/>
          <w:divBdr>
            <w:top w:val="none" w:sz="0" w:space="0" w:color="auto"/>
            <w:left w:val="none" w:sz="0" w:space="0" w:color="auto"/>
            <w:bottom w:val="none" w:sz="0" w:space="0" w:color="auto"/>
            <w:right w:val="none" w:sz="0" w:space="0" w:color="auto"/>
          </w:divBdr>
        </w:div>
        <w:div w:id="1159273534">
          <w:marLeft w:val="0"/>
          <w:marRight w:val="0"/>
          <w:marTop w:val="0"/>
          <w:marBottom w:val="0"/>
          <w:divBdr>
            <w:top w:val="none" w:sz="0" w:space="0" w:color="auto"/>
            <w:left w:val="none" w:sz="0" w:space="0" w:color="auto"/>
            <w:bottom w:val="none" w:sz="0" w:space="0" w:color="auto"/>
            <w:right w:val="none" w:sz="0" w:space="0" w:color="auto"/>
          </w:divBdr>
        </w:div>
        <w:div w:id="398795219">
          <w:marLeft w:val="0"/>
          <w:marRight w:val="0"/>
          <w:marTop w:val="0"/>
          <w:marBottom w:val="0"/>
          <w:divBdr>
            <w:top w:val="none" w:sz="0" w:space="0" w:color="auto"/>
            <w:left w:val="none" w:sz="0" w:space="0" w:color="auto"/>
            <w:bottom w:val="none" w:sz="0" w:space="0" w:color="auto"/>
            <w:right w:val="none" w:sz="0" w:space="0" w:color="auto"/>
          </w:divBdr>
        </w:div>
        <w:div w:id="573668070">
          <w:marLeft w:val="0"/>
          <w:marRight w:val="0"/>
          <w:marTop w:val="0"/>
          <w:marBottom w:val="0"/>
          <w:divBdr>
            <w:top w:val="none" w:sz="0" w:space="0" w:color="auto"/>
            <w:left w:val="none" w:sz="0" w:space="0" w:color="auto"/>
            <w:bottom w:val="none" w:sz="0" w:space="0" w:color="auto"/>
            <w:right w:val="none" w:sz="0" w:space="0" w:color="auto"/>
          </w:divBdr>
        </w:div>
        <w:div w:id="2004813973">
          <w:marLeft w:val="0"/>
          <w:marRight w:val="0"/>
          <w:marTop w:val="0"/>
          <w:marBottom w:val="0"/>
          <w:divBdr>
            <w:top w:val="none" w:sz="0" w:space="0" w:color="auto"/>
            <w:left w:val="none" w:sz="0" w:space="0" w:color="auto"/>
            <w:bottom w:val="none" w:sz="0" w:space="0" w:color="auto"/>
            <w:right w:val="none" w:sz="0" w:space="0" w:color="auto"/>
          </w:divBdr>
        </w:div>
        <w:div w:id="1007320568">
          <w:marLeft w:val="0"/>
          <w:marRight w:val="0"/>
          <w:marTop w:val="0"/>
          <w:marBottom w:val="0"/>
          <w:divBdr>
            <w:top w:val="none" w:sz="0" w:space="0" w:color="auto"/>
            <w:left w:val="none" w:sz="0" w:space="0" w:color="auto"/>
            <w:bottom w:val="none" w:sz="0" w:space="0" w:color="auto"/>
            <w:right w:val="none" w:sz="0" w:space="0" w:color="auto"/>
          </w:divBdr>
        </w:div>
        <w:div w:id="954823817">
          <w:marLeft w:val="0"/>
          <w:marRight w:val="0"/>
          <w:marTop w:val="0"/>
          <w:marBottom w:val="0"/>
          <w:divBdr>
            <w:top w:val="none" w:sz="0" w:space="0" w:color="auto"/>
            <w:left w:val="none" w:sz="0" w:space="0" w:color="auto"/>
            <w:bottom w:val="none" w:sz="0" w:space="0" w:color="auto"/>
            <w:right w:val="none" w:sz="0" w:space="0" w:color="auto"/>
          </w:divBdr>
        </w:div>
        <w:div w:id="1183284458">
          <w:marLeft w:val="0"/>
          <w:marRight w:val="0"/>
          <w:marTop w:val="0"/>
          <w:marBottom w:val="0"/>
          <w:divBdr>
            <w:top w:val="none" w:sz="0" w:space="0" w:color="auto"/>
            <w:left w:val="none" w:sz="0" w:space="0" w:color="auto"/>
            <w:bottom w:val="none" w:sz="0" w:space="0" w:color="auto"/>
            <w:right w:val="none" w:sz="0" w:space="0" w:color="auto"/>
          </w:divBdr>
        </w:div>
        <w:div w:id="1507478465">
          <w:marLeft w:val="0"/>
          <w:marRight w:val="0"/>
          <w:marTop w:val="0"/>
          <w:marBottom w:val="0"/>
          <w:divBdr>
            <w:top w:val="none" w:sz="0" w:space="0" w:color="auto"/>
            <w:left w:val="none" w:sz="0" w:space="0" w:color="auto"/>
            <w:bottom w:val="none" w:sz="0" w:space="0" w:color="auto"/>
            <w:right w:val="none" w:sz="0" w:space="0" w:color="auto"/>
          </w:divBdr>
        </w:div>
        <w:div w:id="1158156047">
          <w:marLeft w:val="0"/>
          <w:marRight w:val="0"/>
          <w:marTop w:val="0"/>
          <w:marBottom w:val="0"/>
          <w:divBdr>
            <w:top w:val="none" w:sz="0" w:space="0" w:color="auto"/>
            <w:left w:val="none" w:sz="0" w:space="0" w:color="auto"/>
            <w:bottom w:val="none" w:sz="0" w:space="0" w:color="auto"/>
            <w:right w:val="none" w:sz="0" w:space="0" w:color="auto"/>
          </w:divBdr>
        </w:div>
        <w:div w:id="1050766519">
          <w:marLeft w:val="0"/>
          <w:marRight w:val="0"/>
          <w:marTop w:val="0"/>
          <w:marBottom w:val="0"/>
          <w:divBdr>
            <w:top w:val="none" w:sz="0" w:space="0" w:color="auto"/>
            <w:left w:val="none" w:sz="0" w:space="0" w:color="auto"/>
            <w:bottom w:val="none" w:sz="0" w:space="0" w:color="auto"/>
            <w:right w:val="none" w:sz="0" w:space="0" w:color="auto"/>
          </w:divBdr>
        </w:div>
        <w:div w:id="1074739925">
          <w:marLeft w:val="0"/>
          <w:marRight w:val="0"/>
          <w:marTop w:val="0"/>
          <w:marBottom w:val="0"/>
          <w:divBdr>
            <w:top w:val="none" w:sz="0" w:space="0" w:color="auto"/>
            <w:left w:val="none" w:sz="0" w:space="0" w:color="auto"/>
            <w:bottom w:val="none" w:sz="0" w:space="0" w:color="auto"/>
            <w:right w:val="none" w:sz="0" w:space="0" w:color="auto"/>
          </w:divBdr>
        </w:div>
        <w:div w:id="212667716">
          <w:marLeft w:val="0"/>
          <w:marRight w:val="0"/>
          <w:marTop w:val="0"/>
          <w:marBottom w:val="0"/>
          <w:divBdr>
            <w:top w:val="none" w:sz="0" w:space="0" w:color="auto"/>
            <w:left w:val="none" w:sz="0" w:space="0" w:color="auto"/>
            <w:bottom w:val="none" w:sz="0" w:space="0" w:color="auto"/>
            <w:right w:val="none" w:sz="0" w:space="0" w:color="auto"/>
          </w:divBdr>
        </w:div>
        <w:div w:id="13265422">
          <w:marLeft w:val="0"/>
          <w:marRight w:val="0"/>
          <w:marTop w:val="0"/>
          <w:marBottom w:val="0"/>
          <w:divBdr>
            <w:top w:val="none" w:sz="0" w:space="0" w:color="auto"/>
            <w:left w:val="none" w:sz="0" w:space="0" w:color="auto"/>
            <w:bottom w:val="none" w:sz="0" w:space="0" w:color="auto"/>
            <w:right w:val="none" w:sz="0" w:space="0" w:color="auto"/>
          </w:divBdr>
        </w:div>
        <w:div w:id="1191531757">
          <w:marLeft w:val="0"/>
          <w:marRight w:val="0"/>
          <w:marTop w:val="0"/>
          <w:marBottom w:val="0"/>
          <w:divBdr>
            <w:top w:val="none" w:sz="0" w:space="0" w:color="auto"/>
            <w:left w:val="none" w:sz="0" w:space="0" w:color="auto"/>
            <w:bottom w:val="none" w:sz="0" w:space="0" w:color="auto"/>
            <w:right w:val="none" w:sz="0" w:space="0" w:color="auto"/>
          </w:divBdr>
        </w:div>
      </w:divsChild>
    </w:div>
    <w:div w:id="607271515">
      <w:bodyDiv w:val="1"/>
      <w:marLeft w:val="0"/>
      <w:marRight w:val="0"/>
      <w:marTop w:val="0"/>
      <w:marBottom w:val="0"/>
      <w:divBdr>
        <w:top w:val="none" w:sz="0" w:space="0" w:color="auto"/>
        <w:left w:val="none" w:sz="0" w:space="0" w:color="auto"/>
        <w:bottom w:val="none" w:sz="0" w:space="0" w:color="auto"/>
        <w:right w:val="none" w:sz="0" w:space="0" w:color="auto"/>
      </w:divBdr>
    </w:div>
    <w:div w:id="610281230">
      <w:bodyDiv w:val="1"/>
      <w:marLeft w:val="0"/>
      <w:marRight w:val="0"/>
      <w:marTop w:val="0"/>
      <w:marBottom w:val="0"/>
      <w:divBdr>
        <w:top w:val="none" w:sz="0" w:space="0" w:color="auto"/>
        <w:left w:val="none" w:sz="0" w:space="0" w:color="auto"/>
        <w:bottom w:val="none" w:sz="0" w:space="0" w:color="auto"/>
        <w:right w:val="none" w:sz="0" w:space="0" w:color="auto"/>
      </w:divBdr>
    </w:div>
    <w:div w:id="670723118">
      <w:bodyDiv w:val="1"/>
      <w:marLeft w:val="0"/>
      <w:marRight w:val="0"/>
      <w:marTop w:val="0"/>
      <w:marBottom w:val="0"/>
      <w:divBdr>
        <w:top w:val="none" w:sz="0" w:space="0" w:color="auto"/>
        <w:left w:val="none" w:sz="0" w:space="0" w:color="auto"/>
        <w:bottom w:val="none" w:sz="0" w:space="0" w:color="auto"/>
        <w:right w:val="none" w:sz="0" w:space="0" w:color="auto"/>
      </w:divBdr>
    </w:div>
    <w:div w:id="704716176">
      <w:bodyDiv w:val="1"/>
      <w:marLeft w:val="0"/>
      <w:marRight w:val="0"/>
      <w:marTop w:val="0"/>
      <w:marBottom w:val="0"/>
      <w:divBdr>
        <w:top w:val="none" w:sz="0" w:space="0" w:color="auto"/>
        <w:left w:val="none" w:sz="0" w:space="0" w:color="auto"/>
        <w:bottom w:val="none" w:sz="0" w:space="0" w:color="auto"/>
        <w:right w:val="none" w:sz="0" w:space="0" w:color="auto"/>
      </w:divBdr>
    </w:div>
    <w:div w:id="742457742">
      <w:bodyDiv w:val="1"/>
      <w:marLeft w:val="0"/>
      <w:marRight w:val="0"/>
      <w:marTop w:val="0"/>
      <w:marBottom w:val="0"/>
      <w:divBdr>
        <w:top w:val="none" w:sz="0" w:space="0" w:color="auto"/>
        <w:left w:val="none" w:sz="0" w:space="0" w:color="auto"/>
        <w:bottom w:val="none" w:sz="0" w:space="0" w:color="auto"/>
        <w:right w:val="none" w:sz="0" w:space="0" w:color="auto"/>
      </w:divBdr>
    </w:div>
    <w:div w:id="776408650">
      <w:bodyDiv w:val="1"/>
      <w:marLeft w:val="0"/>
      <w:marRight w:val="0"/>
      <w:marTop w:val="0"/>
      <w:marBottom w:val="0"/>
      <w:divBdr>
        <w:top w:val="none" w:sz="0" w:space="0" w:color="auto"/>
        <w:left w:val="none" w:sz="0" w:space="0" w:color="auto"/>
        <w:bottom w:val="none" w:sz="0" w:space="0" w:color="auto"/>
        <w:right w:val="none" w:sz="0" w:space="0" w:color="auto"/>
      </w:divBdr>
    </w:div>
    <w:div w:id="797919281">
      <w:bodyDiv w:val="1"/>
      <w:marLeft w:val="0"/>
      <w:marRight w:val="0"/>
      <w:marTop w:val="0"/>
      <w:marBottom w:val="0"/>
      <w:divBdr>
        <w:top w:val="none" w:sz="0" w:space="0" w:color="auto"/>
        <w:left w:val="none" w:sz="0" w:space="0" w:color="auto"/>
        <w:bottom w:val="none" w:sz="0" w:space="0" w:color="auto"/>
        <w:right w:val="none" w:sz="0" w:space="0" w:color="auto"/>
      </w:divBdr>
    </w:div>
    <w:div w:id="799541194">
      <w:bodyDiv w:val="1"/>
      <w:marLeft w:val="0"/>
      <w:marRight w:val="0"/>
      <w:marTop w:val="0"/>
      <w:marBottom w:val="0"/>
      <w:divBdr>
        <w:top w:val="none" w:sz="0" w:space="0" w:color="auto"/>
        <w:left w:val="none" w:sz="0" w:space="0" w:color="auto"/>
        <w:bottom w:val="none" w:sz="0" w:space="0" w:color="auto"/>
        <w:right w:val="none" w:sz="0" w:space="0" w:color="auto"/>
      </w:divBdr>
    </w:div>
    <w:div w:id="850148155">
      <w:bodyDiv w:val="1"/>
      <w:marLeft w:val="0"/>
      <w:marRight w:val="0"/>
      <w:marTop w:val="0"/>
      <w:marBottom w:val="0"/>
      <w:divBdr>
        <w:top w:val="none" w:sz="0" w:space="0" w:color="auto"/>
        <w:left w:val="none" w:sz="0" w:space="0" w:color="auto"/>
        <w:bottom w:val="none" w:sz="0" w:space="0" w:color="auto"/>
        <w:right w:val="none" w:sz="0" w:space="0" w:color="auto"/>
      </w:divBdr>
    </w:div>
    <w:div w:id="952590062">
      <w:bodyDiv w:val="1"/>
      <w:marLeft w:val="0"/>
      <w:marRight w:val="0"/>
      <w:marTop w:val="0"/>
      <w:marBottom w:val="0"/>
      <w:divBdr>
        <w:top w:val="none" w:sz="0" w:space="0" w:color="auto"/>
        <w:left w:val="none" w:sz="0" w:space="0" w:color="auto"/>
        <w:bottom w:val="none" w:sz="0" w:space="0" w:color="auto"/>
        <w:right w:val="none" w:sz="0" w:space="0" w:color="auto"/>
      </w:divBdr>
    </w:div>
    <w:div w:id="1077943122">
      <w:bodyDiv w:val="1"/>
      <w:marLeft w:val="0"/>
      <w:marRight w:val="0"/>
      <w:marTop w:val="0"/>
      <w:marBottom w:val="0"/>
      <w:divBdr>
        <w:top w:val="none" w:sz="0" w:space="0" w:color="auto"/>
        <w:left w:val="none" w:sz="0" w:space="0" w:color="auto"/>
        <w:bottom w:val="none" w:sz="0" w:space="0" w:color="auto"/>
        <w:right w:val="none" w:sz="0" w:space="0" w:color="auto"/>
      </w:divBdr>
    </w:div>
    <w:div w:id="1094327074">
      <w:bodyDiv w:val="1"/>
      <w:marLeft w:val="0"/>
      <w:marRight w:val="0"/>
      <w:marTop w:val="0"/>
      <w:marBottom w:val="0"/>
      <w:divBdr>
        <w:top w:val="none" w:sz="0" w:space="0" w:color="auto"/>
        <w:left w:val="none" w:sz="0" w:space="0" w:color="auto"/>
        <w:bottom w:val="none" w:sz="0" w:space="0" w:color="auto"/>
        <w:right w:val="none" w:sz="0" w:space="0" w:color="auto"/>
      </w:divBdr>
    </w:div>
    <w:div w:id="1101488369">
      <w:bodyDiv w:val="1"/>
      <w:marLeft w:val="0"/>
      <w:marRight w:val="0"/>
      <w:marTop w:val="0"/>
      <w:marBottom w:val="0"/>
      <w:divBdr>
        <w:top w:val="none" w:sz="0" w:space="0" w:color="auto"/>
        <w:left w:val="none" w:sz="0" w:space="0" w:color="auto"/>
        <w:bottom w:val="none" w:sz="0" w:space="0" w:color="auto"/>
        <w:right w:val="none" w:sz="0" w:space="0" w:color="auto"/>
      </w:divBdr>
    </w:div>
    <w:div w:id="1108282104">
      <w:bodyDiv w:val="1"/>
      <w:marLeft w:val="0"/>
      <w:marRight w:val="0"/>
      <w:marTop w:val="0"/>
      <w:marBottom w:val="0"/>
      <w:divBdr>
        <w:top w:val="none" w:sz="0" w:space="0" w:color="auto"/>
        <w:left w:val="none" w:sz="0" w:space="0" w:color="auto"/>
        <w:bottom w:val="none" w:sz="0" w:space="0" w:color="auto"/>
        <w:right w:val="none" w:sz="0" w:space="0" w:color="auto"/>
      </w:divBdr>
    </w:div>
    <w:div w:id="1120341971">
      <w:bodyDiv w:val="1"/>
      <w:marLeft w:val="0"/>
      <w:marRight w:val="0"/>
      <w:marTop w:val="0"/>
      <w:marBottom w:val="0"/>
      <w:divBdr>
        <w:top w:val="none" w:sz="0" w:space="0" w:color="auto"/>
        <w:left w:val="none" w:sz="0" w:space="0" w:color="auto"/>
        <w:bottom w:val="none" w:sz="0" w:space="0" w:color="auto"/>
        <w:right w:val="none" w:sz="0" w:space="0" w:color="auto"/>
      </w:divBdr>
    </w:div>
    <w:div w:id="1134636069">
      <w:bodyDiv w:val="1"/>
      <w:marLeft w:val="0"/>
      <w:marRight w:val="0"/>
      <w:marTop w:val="0"/>
      <w:marBottom w:val="0"/>
      <w:divBdr>
        <w:top w:val="none" w:sz="0" w:space="0" w:color="auto"/>
        <w:left w:val="none" w:sz="0" w:space="0" w:color="auto"/>
        <w:bottom w:val="none" w:sz="0" w:space="0" w:color="auto"/>
        <w:right w:val="none" w:sz="0" w:space="0" w:color="auto"/>
      </w:divBdr>
    </w:div>
    <w:div w:id="1140919804">
      <w:bodyDiv w:val="1"/>
      <w:marLeft w:val="0"/>
      <w:marRight w:val="0"/>
      <w:marTop w:val="0"/>
      <w:marBottom w:val="0"/>
      <w:divBdr>
        <w:top w:val="none" w:sz="0" w:space="0" w:color="auto"/>
        <w:left w:val="none" w:sz="0" w:space="0" w:color="auto"/>
        <w:bottom w:val="none" w:sz="0" w:space="0" w:color="auto"/>
        <w:right w:val="none" w:sz="0" w:space="0" w:color="auto"/>
      </w:divBdr>
    </w:div>
    <w:div w:id="1189609828">
      <w:bodyDiv w:val="1"/>
      <w:marLeft w:val="0"/>
      <w:marRight w:val="0"/>
      <w:marTop w:val="0"/>
      <w:marBottom w:val="0"/>
      <w:divBdr>
        <w:top w:val="none" w:sz="0" w:space="0" w:color="auto"/>
        <w:left w:val="none" w:sz="0" w:space="0" w:color="auto"/>
        <w:bottom w:val="none" w:sz="0" w:space="0" w:color="auto"/>
        <w:right w:val="none" w:sz="0" w:space="0" w:color="auto"/>
      </w:divBdr>
    </w:div>
    <w:div w:id="1197158372">
      <w:bodyDiv w:val="1"/>
      <w:marLeft w:val="0"/>
      <w:marRight w:val="0"/>
      <w:marTop w:val="0"/>
      <w:marBottom w:val="0"/>
      <w:divBdr>
        <w:top w:val="none" w:sz="0" w:space="0" w:color="auto"/>
        <w:left w:val="none" w:sz="0" w:space="0" w:color="auto"/>
        <w:bottom w:val="none" w:sz="0" w:space="0" w:color="auto"/>
        <w:right w:val="none" w:sz="0" w:space="0" w:color="auto"/>
      </w:divBdr>
    </w:div>
    <w:div w:id="1212234556">
      <w:bodyDiv w:val="1"/>
      <w:marLeft w:val="0"/>
      <w:marRight w:val="0"/>
      <w:marTop w:val="0"/>
      <w:marBottom w:val="0"/>
      <w:divBdr>
        <w:top w:val="none" w:sz="0" w:space="0" w:color="auto"/>
        <w:left w:val="none" w:sz="0" w:space="0" w:color="auto"/>
        <w:bottom w:val="none" w:sz="0" w:space="0" w:color="auto"/>
        <w:right w:val="none" w:sz="0" w:space="0" w:color="auto"/>
      </w:divBdr>
    </w:div>
    <w:div w:id="1214200046">
      <w:bodyDiv w:val="1"/>
      <w:marLeft w:val="0"/>
      <w:marRight w:val="0"/>
      <w:marTop w:val="0"/>
      <w:marBottom w:val="0"/>
      <w:divBdr>
        <w:top w:val="none" w:sz="0" w:space="0" w:color="auto"/>
        <w:left w:val="none" w:sz="0" w:space="0" w:color="auto"/>
        <w:bottom w:val="none" w:sz="0" w:space="0" w:color="auto"/>
        <w:right w:val="none" w:sz="0" w:space="0" w:color="auto"/>
      </w:divBdr>
    </w:div>
    <w:div w:id="1257443512">
      <w:bodyDiv w:val="1"/>
      <w:marLeft w:val="0"/>
      <w:marRight w:val="0"/>
      <w:marTop w:val="0"/>
      <w:marBottom w:val="0"/>
      <w:divBdr>
        <w:top w:val="none" w:sz="0" w:space="0" w:color="auto"/>
        <w:left w:val="none" w:sz="0" w:space="0" w:color="auto"/>
        <w:bottom w:val="none" w:sz="0" w:space="0" w:color="auto"/>
        <w:right w:val="none" w:sz="0" w:space="0" w:color="auto"/>
      </w:divBdr>
    </w:div>
    <w:div w:id="1295331312">
      <w:bodyDiv w:val="1"/>
      <w:marLeft w:val="0"/>
      <w:marRight w:val="0"/>
      <w:marTop w:val="0"/>
      <w:marBottom w:val="0"/>
      <w:divBdr>
        <w:top w:val="none" w:sz="0" w:space="0" w:color="auto"/>
        <w:left w:val="none" w:sz="0" w:space="0" w:color="auto"/>
        <w:bottom w:val="none" w:sz="0" w:space="0" w:color="auto"/>
        <w:right w:val="none" w:sz="0" w:space="0" w:color="auto"/>
      </w:divBdr>
    </w:div>
    <w:div w:id="1298220693">
      <w:bodyDiv w:val="1"/>
      <w:marLeft w:val="0"/>
      <w:marRight w:val="0"/>
      <w:marTop w:val="0"/>
      <w:marBottom w:val="0"/>
      <w:divBdr>
        <w:top w:val="none" w:sz="0" w:space="0" w:color="auto"/>
        <w:left w:val="none" w:sz="0" w:space="0" w:color="auto"/>
        <w:bottom w:val="none" w:sz="0" w:space="0" w:color="auto"/>
        <w:right w:val="none" w:sz="0" w:space="0" w:color="auto"/>
      </w:divBdr>
    </w:div>
    <w:div w:id="1317026767">
      <w:bodyDiv w:val="1"/>
      <w:marLeft w:val="0"/>
      <w:marRight w:val="0"/>
      <w:marTop w:val="0"/>
      <w:marBottom w:val="0"/>
      <w:divBdr>
        <w:top w:val="none" w:sz="0" w:space="0" w:color="auto"/>
        <w:left w:val="none" w:sz="0" w:space="0" w:color="auto"/>
        <w:bottom w:val="none" w:sz="0" w:space="0" w:color="auto"/>
        <w:right w:val="none" w:sz="0" w:space="0" w:color="auto"/>
      </w:divBdr>
    </w:div>
    <w:div w:id="1326934066">
      <w:bodyDiv w:val="1"/>
      <w:marLeft w:val="0"/>
      <w:marRight w:val="0"/>
      <w:marTop w:val="0"/>
      <w:marBottom w:val="0"/>
      <w:divBdr>
        <w:top w:val="none" w:sz="0" w:space="0" w:color="auto"/>
        <w:left w:val="none" w:sz="0" w:space="0" w:color="auto"/>
        <w:bottom w:val="none" w:sz="0" w:space="0" w:color="auto"/>
        <w:right w:val="none" w:sz="0" w:space="0" w:color="auto"/>
      </w:divBdr>
    </w:div>
    <w:div w:id="1372457451">
      <w:bodyDiv w:val="1"/>
      <w:marLeft w:val="0"/>
      <w:marRight w:val="0"/>
      <w:marTop w:val="0"/>
      <w:marBottom w:val="0"/>
      <w:divBdr>
        <w:top w:val="none" w:sz="0" w:space="0" w:color="auto"/>
        <w:left w:val="none" w:sz="0" w:space="0" w:color="auto"/>
        <w:bottom w:val="none" w:sz="0" w:space="0" w:color="auto"/>
        <w:right w:val="none" w:sz="0" w:space="0" w:color="auto"/>
      </w:divBdr>
    </w:div>
    <w:div w:id="1425300183">
      <w:bodyDiv w:val="1"/>
      <w:marLeft w:val="0"/>
      <w:marRight w:val="0"/>
      <w:marTop w:val="0"/>
      <w:marBottom w:val="0"/>
      <w:divBdr>
        <w:top w:val="none" w:sz="0" w:space="0" w:color="auto"/>
        <w:left w:val="none" w:sz="0" w:space="0" w:color="auto"/>
        <w:bottom w:val="none" w:sz="0" w:space="0" w:color="auto"/>
        <w:right w:val="none" w:sz="0" w:space="0" w:color="auto"/>
      </w:divBdr>
    </w:div>
    <w:div w:id="1527673855">
      <w:bodyDiv w:val="1"/>
      <w:marLeft w:val="0"/>
      <w:marRight w:val="0"/>
      <w:marTop w:val="0"/>
      <w:marBottom w:val="0"/>
      <w:divBdr>
        <w:top w:val="none" w:sz="0" w:space="0" w:color="auto"/>
        <w:left w:val="none" w:sz="0" w:space="0" w:color="auto"/>
        <w:bottom w:val="none" w:sz="0" w:space="0" w:color="auto"/>
        <w:right w:val="none" w:sz="0" w:space="0" w:color="auto"/>
      </w:divBdr>
    </w:div>
    <w:div w:id="1562473041">
      <w:bodyDiv w:val="1"/>
      <w:marLeft w:val="0"/>
      <w:marRight w:val="0"/>
      <w:marTop w:val="0"/>
      <w:marBottom w:val="0"/>
      <w:divBdr>
        <w:top w:val="none" w:sz="0" w:space="0" w:color="auto"/>
        <w:left w:val="none" w:sz="0" w:space="0" w:color="auto"/>
        <w:bottom w:val="none" w:sz="0" w:space="0" w:color="auto"/>
        <w:right w:val="none" w:sz="0" w:space="0" w:color="auto"/>
      </w:divBdr>
    </w:div>
    <w:div w:id="1569925602">
      <w:bodyDiv w:val="1"/>
      <w:marLeft w:val="0"/>
      <w:marRight w:val="0"/>
      <w:marTop w:val="0"/>
      <w:marBottom w:val="0"/>
      <w:divBdr>
        <w:top w:val="none" w:sz="0" w:space="0" w:color="auto"/>
        <w:left w:val="none" w:sz="0" w:space="0" w:color="auto"/>
        <w:bottom w:val="none" w:sz="0" w:space="0" w:color="auto"/>
        <w:right w:val="none" w:sz="0" w:space="0" w:color="auto"/>
      </w:divBdr>
    </w:div>
    <w:div w:id="1583485021">
      <w:bodyDiv w:val="1"/>
      <w:marLeft w:val="0"/>
      <w:marRight w:val="0"/>
      <w:marTop w:val="0"/>
      <w:marBottom w:val="0"/>
      <w:divBdr>
        <w:top w:val="none" w:sz="0" w:space="0" w:color="auto"/>
        <w:left w:val="none" w:sz="0" w:space="0" w:color="auto"/>
        <w:bottom w:val="none" w:sz="0" w:space="0" w:color="auto"/>
        <w:right w:val="none" w:sz="0" w:space="0" w:color="auto"/>
      </w:divBdr>
    </w:div>
    <w:div w:id="1588885784">
      <w:bodyDiv w:val="1"/>
      <w:marLeft w:val="0"/>
      <w:marRight w:val="0"/>
      <w:marTop w:val="0"/>
      <w:marBottom w:val="0"/>
      <w:divBdr>
        <w:top w:val="none" w:sz="0" w:space="0" w:color="auto"/>
        <w:left w:val="none" w:sz="0" w:space="0" w:color="auto"/>
        <w:bottom w:val="none" w:sz="0" w:space="0" w:color="auto"/>
        <w:right w:val="none" w:sz="0" w:space="0" w:color="auto"/>
      </w:divBdr>
    </w:div>
    <w:div w:id="1610359461">
      <w:bodyDiv w:val="1"/>
      <w:marLeft w:val="0"/>
      <w:marRight w:val="0"/>
      <w:marTop w:val="0"/>
      <w:marBottom w:val="0"/>
      <w:divBdr>
        <w:top w:val="none" w:sz="0" w:space="0" w:color="auto"/>
        <w:left w:val="none" w:sz="0" w:space="0" w:color="auto"/>
        <w:bottom w:val="none" w:sz="0" w:space="0" w:color="auto"/>
        <w:right w:val="none" w:sz="0" w:space="0" w:color="auto"/>
      </w:divBdr>
    </w:div>
    <w:div w:id="1638220272">
      <w:bodyDiv w:val="1"/>
      <w:marLeft w:val="0"/>
      <w:marRight w:val="0"/>
      <w:marTop w:val="0"/>
      <w:marBottom w:val="0"/>
      <w:divBdr>
        <w:top w:val="none" w:sz="0" w:space="0" w:color="auto"/>
        <w:left w:val="none" w:sz="0" w:space="0" w:color="auto"/>
        <w:bottom w:val="none" w:sz="0" w:space="0" w:color="auto"/>
        <w:right w:val="none" w:sz="0" w:space="0" w:color="auto"/>
      </w:divBdr>
    </w:div>
    <w:div w:id="1647582799">
      <w:bodyDiv w:val="1"/>
      <w:marLeft w:val="0"/>
      <w:marRight w:val="0"/>
      <w:marTop w:val="0"/>
      <w:marBottom w:val="0"/>
      <w:divBdr>
        <w:top w:val="none" w:sz="0" w:space="0" w:color="auto"/>
        <w:left w:val="none" w:sz="0" w:space="0" w:color="auto"/>
        <w:bottom w:val="none" w:sz="0" w:space="0" w:color="auto"/>
        <w:right w:val="none" w:sz="0" w:space="0" w:color="auto"/>
      </w:divBdr>
    </w:div>
    <w:div w:id="1650135345">
      <w:bodyDiv w:val="1"/>
      <w:marLeft w:val="0"/>
      <w:marRight w:val="0"/>
      <w:marTop w:val="0"/>
      <w:marBottom w:val="0"/>
      <w:divBdr>
        <w:top w:val="none" w:sz="0" w:space="0" w:color="auto"/>
        <w:left w:val="none" w:sz="0" w:space="0" w:color="auto"/>
        <w:bottom w:val="none" w:sz="0" w:space="0" w:color="auto"/>
        <w:right w:val="none" w:sz="0" w:space="0" w:color="auto"/>
      </w:divBdr>
    </w:div>
    <w:div w:id="1689794074">
      <w:bodyDiv w:val="1"/>
      <w:marLeft w:val="0"/>
      <w:marRight w:val="0"/>
      <w:marTop w:val="0"/>
      <w:marBottom w:val="0"/>
      <w:divBdr>
        <w:top w:val="none" w:sz="0" w:space="0" w:color="auto"/>
        <w:left w:val="none" w:sz="0" w:space="0" w:color="auto"/>
        <w:bottom w:val="none" w:sz="0" w:space="0" w:color="auto"/>
        <w:right w:val="none" w:sz="0" w:space="0" w:color="auto"/>
      </w:divBdr>
    </w:div>
    <w:div w:id="1698121747">
      <w:bodyDiv w:val="1"/>
      <w:marLeft w:val="0"/>
      <w:marRight w:val="0"/>
      <w:marTop w:val="0"/>
      <w:marBottom w:val="0"/>
      <w:divBdr>
        <w:top w:val="none" w:sz="0" w:space="0" w:color="auto"/>
        <w:left w:val="none" w:sz="0" w:space="0" w:color="auto"/>
        <w:bottom w:val="none" w:sz="0" w:space="0" w:color="auto"/>
        <w:right w:val="none" w:sz="0" w:space="0" w:color="auto"/>
      </w:divBdr>
    </w:div>
    <w:div w:id="1738937430">
      <w:bodyDiv w:val="1"/>
      <w:marLeft w:val="0"/>
      <w:marRight w:val="0"/>
      <w:marTop w:val="0"/>
      <w:marBottom w:val="0"/>
      <w:divBdr>
        <w:top w:val="none" w:sz="0" w:space="0" w:color="auto"/>
        <w:left w:val="none" w:sz="0" w:space="0" w:color="auto"/>
        <w:bottom w:val="none" w:sz="0" w:space="0" w:color="auto"/>
        <w:right w:val="none" w:sz="0" w:space="0" w:color="auto"/>
      </w:divBdr>
    </w:div>
    <w:div w:id="1745368839">
      <w:bodyDiv w:val="1"/>
      <w:marLeft w:val="0"/>
      <w:marRight w:val="0"/>
      <w:marTop w:val="0"/>
      <w:marBottom w:val="0"/>
      <w:divBdr>
        <w:top w:val="none" w:sz="0" w:space="0" w:color="auto"/>
        <w:left w:val="none" w:sz="0" w:space="0" w:color="auto"/>
        <w:bottom w:val="none" w:sz="0" w:space="0" w:color="auto"/>
        <w:right w:val="none" w:sz="0" w:space="0" w:color="auto"/>
      </w:divBdr>
    </w:div>
    <w:div w:id="1786846962">
      <w:bodyDiv w:val="1"/>
      <w:marLeft w:val="0"/>
      <w:marRight w:val="0"/>
      <w:marTop w:val="0"/>
      <w:marBottom w:val="0"/>
      <w:divBdr>
        <w:top w:val="none" w:sz="0" w:space="0" w:color="auto"/>
        <w:left w:val="none" w:sz="0" w:space="0" w:color="auto"/>
        <w:bottom w:val="none" w:sz="0" w:space="0" w:color="auto"/>
        <w:right w:val="none" w:sz="0" w:space="0" w:color="auto"/>
      </w:divBdr>
    </w:div>
    <w:div w:id="1810709627">
      <w:bodyDiv w:val="1"/>
      <w:marLeft w:val="0"/>
      <w:marRight w:val="0"/>
      <w:marTop w:val="0"/>
      <w:marBottom w:val="0"/>
      <w:divBdr>
        <w:top w:val="none" w:sz="0" w:space="0" w:color="auto"/>
        <w:left w:val="none" w:sz="0" w:space="0" w:color="auto"/>
        <w:bottom w:val="none" w:sz="0" w:space="0" w:color="auto"/>
        <w:right w:val="none" w:sz="0" w:space="0" w:color="auto"/>
      </w:divBdr>
    </w:div>
    <w:div w:id="1840610985">
      <w:bodyDiv w:val="1"/>
      <w:marLeft w:val="0"/>
      <w:marRight w:val="0"/>
      <w:marTop w:val="0"/>
      <w:marBottom w:val="0"/>
      <w:divBdr>
        <w:top w:val="none" w:sz="0" w:space="0" w:color="auto"/>
        <w:left w:val="none" w:sz="0" w:space="0" w:color="auto"/>
        <w:bottom w:val="none" w:sz="0" w:space="0" w:color="auto"/>
        <w:right w:val="none" w:sz="0" w:space="0" w:color="auto"/>
      </w:divBdr>
    </w:div>
    <w:div w:id="1842232871">
      <w:bodyDiv w:val="1"/>
      <w:marLeft w:val="0"/>
      <w:marRight w:val="0"/>
      <w:marTop w:val="0"/>
      <w:marBottom w:val="0"/>
      <w:divBdr>
        <w:top w:val="none" w:sz="0" w:space="0" w:color="auto"/>
        <w:left w:val="none" w:sz="0" w:space="0" w:color="auto"/>
        <w:bottom w:val="none" w:sz="0" w:space="0" w:color="auto"/>
        <w:right w:val="none" w:sz="0" w:space="0" w:color="auto"/>
      </w:divBdr>
    </w:div>
    <w:div w:id="1879006352">
      <w:bodyDiv w:val="1"/>
      <w:marLeft w:val="0"/>
      <w:marRight w:val="0"/>
      <w:marTop w:val="0"/>
      <w:marBottom w:val="0"/>
      <w:divBdr>
        <w:top w:val="none" w:sz="0" w:space="0" w:color="auto"/>
        <w:left w:val="none" w:sz="0" w:space="0" w:color="auto"/>
        <w:bottom w:val="none" w:sz="0" w:space="0" w:color="auto"/>
        <w:right w:val="none" w:sz="0" w:space="0" w:color="auto"/>
      </w:divBdr>
    </w:div>
    <w:div w:id="1889535287">
      <w:bodyDiv w:val="1"/>
      <w:marLeft w:val="0"/>
      <w:marRight w:val="0"/>
      <w:marTop w:val="0"/>
      <w:marBottom w:val="0"/>
      <w:divBdr>
        <w:top w:val="none" w:sz="0" w:space="0" w:color="auto"/>
        <w:left w:val="none" w:sz="0" w:space="0" w:color="auto"/>
        <w:bottom w:val="none" w:sz="0" w:space="0" w:color="auto"/>
        <w:right w:val="none" w:sz="0" w:space="0" w:color="auto"/>
      </w:divBdr>
    </w:div>
    <w:div w:id="1889756067">
      <w:bodyDiv w:val="1"/>
      <w:marLeft w:val="0"/>
      <w:marRight w:val="0"/>
      <w:marTop w:val="0"/>
      <w:marBottom w:val="0"/>
      <w:divBdr>
        <w:top w:val="none" w:sz="0" w:space="0" w:color="auto"/>
        <w:left w:val="none" w:sz="0" w:space="0" w:color="auto"/>
        <w:bottom w:val="none" w:sz="0" w:space="0" w:color="auto"/>
        <w:right w:val="none" w:sz="0" w:space="0" w:color="auto"/>
      </w:divBdr>
    </w:div>
    <w:div w:id="1897742479">
      <w:bodyDiv w:val="1"/>
      <w:marLeft w:val="0"/>
      <w:marRight w:val="0"/>
      <w:marTop w:val="0"/>
      <w:marBottom w:val="0"/>
      <w:divBdr>
        <w:top w:val="none" w:sz="0" w:space="0" w:color="auto"/>
        <w:left w:val="none" w:sz="0" w:space="0" w:color="auto"/>
        <w:bottom w:val="none" w:sz="0" w:space="0" w:color="auto"/>
        <w:right w:val="none" w:sz="0" w:space="0" w:color="auto"/>
      </w:divBdr>
    </w:div>
    <w:div w:id="1933971307">
      <w:bodyDiv w:val="1"/>
      <w:marLeft w:val="0"/>
      <w:marRight w:val="0"/>
      <w:marTop w:val="0"/>
      <w:marBottom w:val="0"/>
      <w:divBdr>
        <w:top w:val="none" w:sz="0" w:space="0" w:color="auto"/>
        <w:left w:val="none" w:sz="0" w:space="0" w:color="auto"/>
        <w:bottom w:val="none" w:sz="0" w:space="0" w:color="auto"/>
        <w:right w:val="none" w:sz="0" w:space="0" w:color="auto"/>
      </w:divBdr>
    </w:div>
    <w:div w:id="1950045143">
      <w:bodyDiv w:val="1"/>
      <w:marLeft w:val="0"/>
      <w:marRight w:val="0"/>
      <w:marTop w:val="0"/>
      <w:marBottom w:val="0"/>
      <w:divBdr>
        <w:top w:val="none" w:sz="0" w:space="0" w:color="auto"/>
        <w:left w:val="none" w:sz="0" w:space="0" w:color="auto"/>
        <w:bottom w:val="none" w:sz="0" w:space="0" w:color="auto"/>
        <w:right w:val="none" w:sz="0" w:space="0" w:color="auto"/>
      </w:divBdr>
    </w:div>
    <w:div w:id="1956281177">
      <w:bodyDiv w:val="1"/>
      <w:marLeft w:val="0"/>
      <w:marRight w:val="0"/>
      <w:marTop w:val="0"/>
      <w:marBottom w:val="0"/>
      <w:divBdr>
        <w:top w:val="none" w:sz="0" w:space="0" w:color="auto"/>
        <w:left w:val="none" w:sz="0" w:space="0" w:color="auto"/>
        <w:bottom w:val="none" w:sz="0" w:space="0" w:color="auto"/>
        <w:right w:val="none" w:sz="0" w:space="0" w:color="auto"/>
      </w:divBdr>
    </w:div>
    <w:div w:id="1966621406">
      <w:bodyDiv w:val="1"/>
      <w:marLeft w:val="0"/>
      <w:marRight w:val="0"/>
      <w:marTop w:val="0"/>
      <w:marBottom w:val="0"/>
      <w:divBdr>
        <w:top w:val="none" w:sz="0" w:space="0" w:color="auto"/>
        <w:left w:val="none" w:sz="0" w:space="0" w:color="auto"/>
        <w:bottom w:val="none" w:sz="0" w:space="0" w:color="auto"/>
        <w:right w:val="none" w:sz="0" w:space="0" w:color="auto"/>
      </w:divBdr>
    </w:div>
    <w:div w:id="1978794886">
      <w:bodyDiv w:val="1"/>
      <w:marLeft w:val="0"/>
      <w:marRight w:val="0"/>
      <w:marTop w:val="0"/>
      <w:marBottom w:val="0"/>
      <w:divBdr>
        <w:top w:val="none" w:sz="0" w:space="0" w:color="auto"/>
        <w:left w:val="none" w:sz="0" w:space="0" w:color="auto"/>
        <w:bottom w:val="none" w:sz="0" w:space="0" w:color="auto"/>
        <w:right w:val="none" w:sz="0" w:space="0" w:color="auto"/>
      </w:divBdr>
    </w:div>
    <w:div w:id="2020543039">
      <w:bodyDiv w:val="1"/>
      <w:marLeft w:val="0"/>
      <w:marRight w:val="0"/>
      <w:marTop w:val="0"/>
      <w:marBottom w:val="0"/>
      <w:divBdr>
        <w:top w:val="none" w:sz="0" w:space="0" w:color="auto"/>
        <w:left w:val="none" w:sz="0" w:space="0" w:color="auto"/>
        <w:bottom w:val="none" w:sz="0" w:space="0" w:color="auto"/>
        <w:right w:val="none" w:sz="0" w:space="0" w:color="auto"/>
      </w:divBdr>
    </w:div>
    <w:div w:id="2075078209">
      <w:bodyDiv w:val="1"/>
      <w:marLeft w:val="0"/>
      <w:marRight w:val="0"/>
      <w:marTop w:val="0"/>
      <w:marBottom w:val="0"/>
      <w:divBdr>
        <w:top w:val="none" w:sz="0" w:space="0" w:color="auto"/>
        <w:left w:val="none" w:sz="0" w:space="0" w:color="auto"/>
        <w:bottom w:val="none" w:sz="0" w:space="0" w:color="auto"/>
        <w:right w:val="none" w:sz="0" w:space="0" w:color="auto"/>
      </w:divBdr>
    </w:div>
    <w:div w:id="2106881176">
      <w:bodyDiv w:val="1"/>
      <w:marLeft w:val="0"/>
      <w:marRight w:val="0"/>
      <w:marTop w:val="0"/>
      <w:marBottom w:val="0"/>
      <w:divBdr>
        <w:top w:val="none" w:sz="0" w:space="0" w:color="auto"/>
        <w:left w:val="none" w:sz="0" w:space="0" w:color="auto"/>
        <w:bottom w:val="none" w:sz="0" w:space="0" w:color="auto"/>
        <w:right w:val="none" w:sz="0" w:space="0" w:color="auto"/>
      </w:divBdr>
    </w:div>
    <w:div w:id="2139058013">
      <w:bodyDiv w:val="1"/>
      <w:marLeft w:val="0"/>
      <w:marRight w:val="0"/>
      <w:marTop w:val="0"/>
      <w:marBottom w:val="0"/>
      <w:divBdr>
        <w:top w:val="none" w:sz="0" w:space="0" w:color="auto"/>
        <w:left w:val="none" w:sz="0" w:space="0" w:color="auto"/>
        <w:bottom w:val="none" w:sz="0" w:space="0" w:color="auto"/>
        <w:right w:val="none" w:sz="0" w:space="0" w:color="auto"/>
      </w:divBdr>
    </w:div>
    <w:div w:id="214056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prints.lse.ac.uk/58946"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2DB65AB6443D46BBB8389E41C48C61" ma:contentTypeVersion="7" ma:contentTypeDescription="Create a new document." ma:contentTypeScope="" ma:versionID="82ede8ba6721bf082522b7a0fd3ce376">
  <xsd:schema xmlns:xsd="http://www.w3.org/2001/XMLSchema" xmlns:xs="http://www.w3.org/2001/XMLSchema" xmlns:p="http://schemas.microsoft.com/office/2006/metadata/properties" xmlns:ns3="2e31ef04-33b7-4c64-ae36-8aaf428b3837" targetNamespace="http://schemas.microsoft.com/office/2006/metadata/properties" ma:root="true" ma:fieldsID="dfcf93c30b25b1bef075c728dbdd455f" ns3:_="">
    <xsd:import namespace="2e31ef04-33b7-4c64-ae36-8aaf428b38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31ef04-33b7-4c64-ae36-8aaf428b38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A200D-94EF-4734-B6DC-30EF3ECB914F}">
  <ds:schemaRefs>
    <ds:schemaRef ds:uri="http://purl.org/dc/terms/"/>
    <ds:schemaRef ds:uri="http://schemas.openxmlformats.org/package/2006/metadata/core-properties"/>
    <ds:schemaRef ds:uri="http://purl.org/dc/dcmitype/"/>
    <ds:schemaRef ds:uri="2e31ef04-33b7-4c64-ae36-8aaf428b3837"/>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46E4EF6-804B-4F61-B1A9-14B63EB11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31ef04-33b7-4c64-ae36-8aaf428b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4700E7-AD3A-4C96-ADA7-0FF0B01FCE5E}">
  <ds:schemaRefs>
    <ds:schemaRef ds:uri="http://schemas.microsoft.com/sharepoint/v3/contenttype/forms"/>
  </ds:schemaRefs>
</ds:datastoreItem>
</file>

<file path=customXml/itemProps4.xml><?xml version="1.0" encoding="utf-8"?>
<ds:datastoreItem xmlns:ds="http://schemas.openxmlformats.org/officeDocument/2006/customXml" ds:itemID="{8DA65D90-8535-4274-88FC-6EBEF7B5D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9461</Words>
  <Characters>53933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College London</Company>
  <LinksUpToDate>false</LinksUpToDate>
  <CharactersWithSpaces>63268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Coulter</dc:creator>
  <cp:keywords/>
  <dc:description/>
  <cp:lastModifiedBy>Berrington A.M.</cp:lastModifiedBy>
  <cp:revision>2</cp:revision>
  <cp:lastPrinted>2019-12-19T12:43:00Z</cp:lastPrinted>
  <dcterms:created xsi:type="dcterms:W3CDTF">2020-01-13T09:02:00Z</dcterms:created>
  <dcterms:modified xsi:type="dcterms:W3CDTF">2020-01-13T09:02:00Z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0x010100B32DB65AB6443D46BBB8389E41C48C61</vt:lpwstr>
  </property>
</Properties>
</file>