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4E6A83" w14:textId="7544AD7C" w:rsidR="00AF53E7" w:rsidRPr="00BB18B9" w:rsidRDefault="00AF53E7" w:rsidP="00BD1D2F">
      <w:pPr>
        <w:suppressAutoHyphens/>
        <w:spacing w:line="360" w:lineRule="auto"/>
        <w:jc w:val="both"/>
        <w:outlineLvl w:val="0"/>
        <w:rPr>
          <w:b/>
          <w:lang w:val="en-US"/>
        </w:rPr>
      </w:pPr>
      <w:bookmarkStart w:id="0" w:name="_GoBack"/>
      <w:bookmarkEnd w:id="0"/>
    </w:p>
    <w:p w14:paraId="6658DF75" w14:textId="2FF90499" w:rsidR="009F6D6E" w:rsidRPr="002C30A4" w:rsidRDefault="00AF0748" w:rsidP="009F6D6E">
      <w:pPr>
        <w:spacing w:line="360" w:lineRule="auto"/>
        <w:jc w:val="center"/>
        <w:rPr>
          <w:b/>
          <w:sz w:val="32"/>
        </w:rPr>
      </w:pPr>
      <w:r>
        <w:rPr>
          <w:b/>
          <w:sz w:val="32"/>
        </w:rPr>
        <w:t>Oil price shocks and</w:t>
      </w:r>
      <w:r w:rsidR="00564E5C">
        <w:rPr>
          <w:b/>
          <w:sz w:val="32"/>
        </w:rPr>
        <w:t xml:space="preserve"> EMU</w:t>
      </w:r>
      <w:r>
        <w:rPr>
          <w:b/>
          <w:sz w:val="32"/>
        </w:rPr>
        <w:t xml:space="preserve"> sovereign yield spreads </w:t>
      </w:r>
    </w:p>
    <w:p w14:paraId="7A816A5C" w14:textId="77777777" w:rsidR="009F6D6E" w:rsidRDefault="009F6D6E" w:rsidP="009F6D6E">
      <w:pPr>
        <w:jc w:val="center"/>
      </w:pPr>
    </w:p>
    <w:p w14:paraId="51DA49FA" w14:textId="77777777" w:rsidR="009F6D6E" w:rsidRDefault="009F6D6E" w:rsidP="009F6D6E">
      <w:pPr>
        <w:jc w:val="center"/>
      </w:pPr>
    </w:p>
    <w:p w14:paraId="3E54CDB8" w14:textId="77777777" w:rsidR="009F6D6E" w:rsidRPr="00616910" w:rsidRDefault="009F6D6E" w:rsidP="009F6D6E">
      <w:pPr>
        <w:spacing w:line="360" w:lineRule="auto"/>
        <w:jc w:val="both"/>
        <w:rPr>
          <w:b/>
        </w:rPr>
      </w:pPr>
    </w:p>
    <w:p w14:paraId="0C22FCCF" w14:textId="00FA3D6F" w:rsidR="00825A70" w:rsidRDefault="00825A70" w:rsidP="00825A70">
      <w:pPr>
        <w:jc w:val="center"/>
        <w:rPr>
          <w:b/>
        </w:rPr>
      </w:pPr>
      <w:r>
        <w:rPr>
          <w:b/>
        </w:rPr>
        <w:t>Abstract</w:t>
      </w:r>
    </w:p>
    <w:p w14:paraId="18CA4D41" w14:textId="77777777" w:rsidR="00947ACE" w:rsidRDefault="00947ACE" w:rsidP="009F6D6E">
      <w:pPr>
        <w:jc w:val="both"/>
        <w:rPr>
          <w:shd w:val="clear" w:color="auto" w:fill="FFFFFF"/>
        </w:rPr>
      </w:pPr>
    </w:p>
    <w:p w14:paraId="5664D3C6" w14:textId="14672234" w:rsidR="009F6D6E" w:rsidRPr="007F37C2" w:rsidRDefault="009F6D6E" w:rsidP="000C724C">
      <w:pPr>
        <w:spacing w:line="360" w:lineRule="auto"/>
        <w:jc w:val="both"/>
      </w:pPr>
      <w:r w:rsidRPr="00294AEE">
        <w:rPr>
          <w:shd w:val="clear" w:color="auto" w:fill="FFFFFF"/>
        </w:rPr>
        <w:t xml:space="preserve">This study </w:t>
      </w:r>
      <w:r w:rsidR="00714666">
        <w:rPr>
          <w:color w:val="000000" w:themeColor="text1"/>
          <w:shd w:val="clear" w:color="auto" w:fill="FFFFFF"/>
        </w:rPr>
        <w:t>examines</w:t>
      </w:r>
      <w:r w:rsidR="00CB345A" w:rsidRPr="001B459F">
        <w:rPr>
          <w:color w:val="000000" w:themeColor="text1"/>
          <w:shd w:val="clear" w:color="auto" w:fill="FFFFFF"/>
        </w:rPr>
        <w:t xml:space="preserve"> </w:t>
      </w:r>
      <w:r w:rsidR="00CC343B" w:rsidRPr="001B459F">
        <w:rPr>
          <w:color w:val="000000" w:themeColor="text1"/>
          <w:shd w:val="clear" w:color="auto" w:fill="FFFFFF"/>
        </w:rPr>
        <w:t>for the first time the</w:t>
      </w:r>
      <w:r w:rsidR="00714666">
        <w:rPr>
          <w:color w:val="000000" w:themeColor="text1"/>
          <w:shd w:val="clear" w:color="auto" w:fill="FFFFFF"/>
        </w:rPr>
        <w:t xml:space="preserve"> relationship among the</w:t>
      </w:r>
      <w:r w:rsidR="00CC343B" w:rsidRPr="001B459F">
        <w:rPr>
          <w:color w:val="000000" w:themeColor="text1"/>
          <w:shd w:val="clear" w:color="auto" w:fill="FFFFFF"/>
        </w:rPr>
        <w:t xml:space="preserve"> oil price</w:t>
      </w:r>
      <w:r w:rsidR="00714666">
        <w:rPr>
          <w:color w:val="000000" w:themeColor="text1"/>
          <w:shd w:val="clear" w:color="auto" w:fill="FFFFFF"/>
        </w:rPr>
        <w:t xml:space="preserve"> shocks and </w:t>
      </w:r>
      <w:r w:rsidR="00CC343B" w:rsidRPr="001B459F">
        <w:rPr>
          <w:color w:val="000000" w:themeColor="text1"/>
          <w:shd w:val="clear" w:color="auto" w:fill="FFFFFF"/>
        </w:rPr>
        <w:t xml:space="preserve">the sovereign yield spreads in the </w:t>
      </w:r>
      <w:r w:rsidR="00D66256" w:rsidRPr="001B459F">
        <w:rPr>
          <w:color w:val="000000" w:themeColor="text1"/>
          <w:shd w:val="clear" w:color="auto" w:fill="FFFFFF"/>
        </w:rPr>
        <w:t>EMU</w:t>
      </w:r>
      <w:r w:rsidR="00714666">
        <w:rPr>
          <w:color w:val="000000" w:themeColor="text1"/>
          <w:shd w:val="clear" w:color="auto" w:fill="FFFFFF"/>
        </w:rPr>
        <w:t xml:space="preserve"> (</w:t>
      </w:r>
      <w:r w:rsidR="00B40F09">
        <w:rPr>
          <w:color w:val="000000" w:themeColor="text1"/>
          <w:shd w:val="clear" w:color="auto" w:fill="FFFFFF"/>
        </w:rPr>
        <w:t>which is collectively</w:t>
      </w:r>
      <w:r w:rsidR="006814FC" w:rsidRPr="001B459F">
        <w:rPr>
          <w:color w:val="000000" w:themeColor="text1"/>
          <w:shd w:val="clear" w:color="auto" w:fill="FFFFFF"/>
        </w:rPr>
        <w:t xml:space="preserve"> the largest oil-importer of the world</w:t>
      </w:r>
      <w:r w:rsidR="00714666">
        <w:rPr>
          <w:color w:val="000000" w:themeColor="text1"/>
          <w:shd w:val="clear" w:color="auto" w:fill="FFFFFF"/>
        </w:rPr>
        <w:t>)</w:t>
      </w:r>
      <w:r w:rsidR="00B235B1">
        <w:rPr>
          <w:color w:val="000000" w:themeColor="text1"/>
          <w:shd w:val="clear" w:color="auto" w:fill="FFFFFF"/>
        </w:rPr>
        <w:t>,</w:t>
      </w:r>
      <w:r w:rsidR="00714666">
        <w:rPr>
          <w:color w:val="000000" w:themeColor="text1"/>
          <w:shd w:val="clear" w:color="auto" w:fill="FFFFFF"/>
        </w:rPr>
        <w:t xml:space="preserve"> in a time-varying environment</w:t>
      </w:r>
      <w:r w:rsidR="006814FC" w:rsidRPr="001B459F">
        <w:rPr>
          <w:color w:val="000000" w:themeColor="text1"/>
          <w:shd w:val="clear" w:color="auto" w:fill="FFFFFF"/>
        </w:rPr>
        <w:t xml:space="preserve">. In particular, we </w:t>
      </w:r>
      <w:r w:rsidRPr="00294AEE">
        <w:rPr>
          <w:shd w:val="clear" w:color="auto" w:fill="FFFFFF"/>
        </w:rPr>
        <w:t xml:space="preserve">examine the </w:t>
      </w:r>
      <w:r w:rsidR="00025EFF">
        <w:rPr>
          <w:shd w:val="clear" w:color="auto" w:fill="FFFFFF"/>
        </w:rPr>
        <w:t>time-varying correlation between oil price shocks and the 10-year sovereign yield spread of core and pe</w:t>
      </w:r>
      <w:r w:rsidR="006D7A67">
        <w:rPr>
          <w:shd w:val="clear" w:color="auto" w:fill="FFFFFF"/>
        </w:rPr>
        <w:t>riphery cou</w:t>
      </w:r>
      <w:r w:rsidR="00764557">
        <w:rPr>
          <w:shd w:val="clear" w:color="auto" w:fill="FFFFFF"/>
        </w:rPr>
        <w:t>ntries in the EMU</w:t>
      </w:r>
      <w:r w:rsidR="00D83AD6">
        <w:rPr>
          <w:shd w:val="clear" w:color="auto" w:fill="FFFFFF"/>
        </w:rPr>
        <w:t xml:space="preserve">, by </w:t>
      </w:r>
      <w:r w:rsidR="0025622C">
        <w:rPr>
          <w:shd w:val="clear" w:color="auto" w:fill="FFFFFF"/>
        </w:rPr>
        <w:t>employ</w:t>
      </w:r>
      <w:r w:rsidR="00D83AD6">
        <w:rPr>
          <w:shd w:val="clear" w:color="auto" w:fill="FFFFFF"/>
        </w:rPr>
        <w:t>ing</w:t>
      </w:r>
      <w:r w:rsidR="0025622C">
        <w:rPr>
          <w:shd w:val="clear" w:color="auto" w:fill="FFFFFF"/>
        </w:rPr>
        <w:t xml:space="preserve"> a</w:t>
      </w:r>
      <w:r w:rsidR="002F05CC">
        <w:rPr>
          <w:shd w:val="clear" w:color="auto" w:fill="FFFFFF"/>
        </w:rPr>
        <w:t xml:space="preserve"> scalar-BEKK framework.</w:t>
      </w:r>
      <w:r w:rsidR="006D7A67">
        <w:rPr>
          <w:shd w:val="clear" w:color="auto" w:fill="FFFFFF"/>
        </w:rPr>
        <w:t xml:space="preserve"> </w:t>
      </w:r>
      <w:r w:rsidR="004C04C7">
        <w:rPr>
          <w:shd w:val="clear" w:color="auto" w:fill="FFFFFF"/>
        </w:rPr>
        <w:t xml:space="preserve">The </w:t>
      </w:r>
      <w:r w:rsidR="0090705A">
        <w:rPr>
          <w:shd w:val="clear" w:color="auto" w:fill="FFFFFF"/>
        </w:rPr>
        <w:t>main finding</w:t>
      </w:r>
      <w:r w:rsidR="001B55E3">
        <w:rPr>
          <w:shd w:val="clear" w:color="auto" w:fill="FFFFFF"/>
        </w:rPr>
        <w:t>s reveal that the correlation</w:t>
      </w:r>
      <w:r w:rsidR="0036369C">
        <w:rPr>
          <w:shd w:val="clear" w:color="auto" w:fill="FFFFFF"/>
        </w:rPr>
        <w:t>s</w:t>
      </w:r>
      <w:r w:rsidR="001B55E3">
        <w:rPr>
          <w:shd w:val="clear" w:color="auto" w:fill="FFFFFF"/>
        </w:rPr>
        <w:t xml:space="preserve"> between sovereign yield spreads and oil price shocks</w:t>
      </w:r>
      <w:r w:rsidR="005B723C">
        <w:rPr>
          <w:shd w:val="clear" w:color="auto" w:fill="FFFFFF"/>
        </w:rPr>
        <w:t xml:space="preserve"> </w:t>
      </w:r>
      <w:r w:rsidR="0036369C">
        <w:rPr>
          <w:shd w:val="clear" w:color="auto" w:fill="FFFFFF"/>
        </w:rPr>
        <w:t xml:space="preserve">are </w:t>
      </w:r>
      <w:r w:rsidR="004C04C7">
        <w:rPr>
          <w:shd w:val="clear" w:color="auto" w:fill="FFFFFF"/>
        </w:rPr>
        <w:t>indeed</w:t>
      </w:r>
      <w:r w:rsidR="001B55E3">
        <w:rPr>
          <w:shd w:val="clear" w:color="auto" w:fill="FFFFFF"/>
        </w:rPr>
        <w:t xml:space="preserve"> time-varying and </w:t>
      </w:r>
      <w:r w:rsidR="00B40F09">
        <w:rPr>
          <w:shd w:val="clear" w:color="auto" w:fill="FFFFFF"/>
        </w:rPr>
        <w:t>are</w:t>
      </w:r>
      <w:r w:rsidR="007F37C2" w:rsidRPr="007F37C2">
        <w:rPr>
          <w:shd w:val="clear" w:color="auto" w:fill="FFFFFF"/>
        </w:rPr>
        <w:t xml:space="preserve"> influenced by</w:t>
      </w:r>
      <w:r w:rsidR="007F37C2">
        <w:rPr>
          <w:shd w:val="clear" w:color="auto" w:fill="FFFFFF"/>
        </w:rPr>
        <w:t xml:space="preserve"> </w:t>
      </w:r>
      <w:r w:rsidR="007F37C2" w:rsidRPr="007F37C2">
        <w:rPr>
          <w:shd w:val="clear" w:color="auto" w:fill="FFFFFF"/>
        </w:rPr>
        <w:t>specific economic and geopolitical events that took place during the study period.</w:t>
      </w:r>
      <w:r w:rsidR="007F37C2">
        <w:rPr>
          <w:shd w:val="clear" w:color="auto" w:fill="FFFFFF"/>
        </w:rPr>
        <w:t xml:space="preserve"> </w:t>
      </w:r>
      <w:r w:rsidR="00CB345A">
        <w:t xml:space="preserve">Furthermore, even though the correlation patterns are constantly low or zero prior to the </w:t>
      </w:r>
      <w:r w:rsidR="00CB345A" w:rsidRPr="00CA5D81">
        <w:t>Great Recession</w:t>
      </w:r>
      <w:r w:rsidR="00CB345A" w:rsidRPr="0080194C">
        <w:t>, a change is revealed in the post-2008</w:t>
      </w:r>
      <w:r w:rsidR="005505C3" w:rsidRPr="0080194C">
        <w:t xml:space="preserve"> period</w:t>
      </w:r>
      <w:r w:rsidR="00CB345A" w:rsidRPr="0080194C">
        <w:t xml:space="preserve">, </w:t>
      </w:r>
      <w:r w:rsidR="005505C3" w:rsidRPr="0080194C">
        <w:t xml:space="preserve">when </w:t>
      </w:r>
      <w:r w:rsidR="00CB345A" w:rsidRPr="0080194C">
        <w:t xml:space="preserve">correlations </w:t>
      </w:r>
      <w:r w:rsidR="005505C3" w:rsidRPr="0080194C">
        <w:t xml:space="preserve">become </w:t>
      </w:r>
      <w:r w:rsidR="00CB345A" w:rsidRPr="0080194C">
        <w:t xml:space="preserve">moderate and </w:t>
      </w:r>
      <w:r w:rsidR="005505C3" w:rsidRPr="0080194C">
        <w:t>more volatile</w:t>
      </w:r>
      <w:r w:rsidR="00CB345A" w:rsidRPr="0080194C">
        <w:t>. Finally</w:t>
      </w:r>
      <w:r w:rsidR="00CB345A" w:rsidRPr="002A0523">
        <w:t>,</w:t>
      </w:r>
      <w:r w:rsidR="00CB345A">
        <w:t xml:space="preserve"> </w:t>
      </w:r>
      <w:r w:rsidR="003A2CA6">
        <w:t xml:space="preserve">we </w:t>
      </w:r>
      <w:r w:rsidR="00C24D55">
        <w:t xml:space="preserve">do not </w:t>
      </w:r>
      <w:r w:rsidR="00B40F09">
        <w:t>observe</w:t>
      </w:r>
      <w:r w:rsidR="003A2CA6">
        <w:t xml:space="preserve"> </w:t>
      </w:r>
      <w:r w:rsidR="00C24D55">
        <w:t>noteworthy</w:t>
      </w:r>
      <w:r w:rsidR="0080194C">
        <w:t xml:space="preserve"> </w:t>
      </w:r>
      <w:r w:rsidR="00CB345A">
        <w:t>difference</w:t>
      </w:r>
      <w:r w:rsidR="003A2CA6">
        <w:t>s</w:t>
      </w:r>
      <w:r w:rsidR="00CB345A">
        <w:t xml:space="preserve"> in the correlation behaviour between core and peripher</w:t>
      </w:r>
      <w:r w:rsidR="004B51C7">
        <w:t>y countries</w:t>
      </w:r>
      <w:r w:rsidR="003A2CA6">
        <w:t xml:space="preserve"> to different oil price shocks</w:t>
      </w:r>
      <w:r w:rsidR="00CB345A">
        <w:t xml:space="preserve">. </w:t>
      </w:r>
      <w:r w:rsidRPr="00294AEE">
        <w:rPr>
          <w:shd w:val="clear" w:color="auto" w:fill="FFFFFF"/>
        </w:rPr>
        <w:t xml:space="preserve">The findings of this study </w:t>
      </w:r>
      <w:r w:rsidR="00BA0647">
        <w:rPr>
          <w:shd w:val="clear" w:color="auto" w:fill="FFFFFF"/>
        </w:rPr>
        <w:t xml:space="preserve">are particularly useful and </w:t>
      </w:r>
      <w:r w:rsidRPr="00294AEE">
        <w:rPr>
          <w:shd w:val="clear" w:color="auto" w:fill="FFFFFF"/>
        </w:rPr>
        <w:t xml:space="preserve">provide valuable information to </w:t>
      </w:r>
      <w:r w:rsidR="003A2CA6">
        <w:rPr>
          <w:shd w:val="clear" w:color="auto" w:fill="FFFFFF"/>
        </w:rPr>
        <w:t>marketplace partic</w:t>
      </w:r>
      <w:r w:rsidR="00D83AD6">
        <w:rPr>
          <w:shd w:val="clear" w:color="auto" w:fill="FFFFFF"/>
        </w:rPr>
        <w:t>i</w:t>
      </w:r>
      <w:r w:rsidR="003A2CA6">
        <w:rPr>
          <w:shd w:val="clear" w:color="auto" w:fill="FFFFFF"/>
        </w:rPr>
        <w:t>pants</w:t>
      </w:r>
      <w:r w:rsidRPr="00294AEE">
        <w:rPr>
          <w:shd w:val="clear" w:color="auto" w:fill="FFFFFF"/>
        </w:rPr>
        <w:t>.</w:t>
      </w:r>
    </w:p>
    <w:p w14:paraId="751D3B27" w14:textId="77777777" w:rsidR="009F6D6E" w:rsidRDefault="009F6D6E" w:rsidP="009F6D6E">
      <w:pPr>
        <w:jc w:val="both"/>
      </w:pPr>
    </w:p>
    <w:p w14:paraId="362E6291" w14:textId="2C8835C9" w:rsidR="003A2CA6" w:rsidRDefault="003A2CA6" w:rsidP="00CB345A">
      <w:pPr>
        <w:suppressAutoHyphens/>
        <w:spacing w:line="360" w:lineRule="auto"/>
        <w:jc w:val="both"/>
      </w:pPr>
    </w:p>
    <w:p w14:paraId="475C0421" w14:textId="77777777" w:rsidR="007F37C2" w:rsidRDefault="007F37C2" w:rsidP="007F37C2">
      <w:pPr>
        <w:suppressAutoHyphens/>
        <w:spacing w:line="360" w:lineRule="auto"/>
        <w:jc w:val="both"/>
      </w:pPr>
    </w:p>
    <w:p w14:paraId="5FE3A7D9" w14:textId="3BAB0AB8" w:rsidR="003A2CA6" w:rsidRDefault="003A2CA6" w:rsidP="00CB345A">
      <w:pPr>
        <w:suppressAutoHyphens/>
        <w:spacing w:line="360" w:lineRule="auto"/>
        <w:jc w:val="both"/>
      </w:pPr>
    </w:p>
    <w:p w14:paraId="2BC71B59" w14:textId="1070EB65" w:rsidR="003A2CA6" w:rsidRDefault="003A2CA6" w:rsidP="00CB345A">
      <w:pPr>
        <w:suppressAutoHyphens/>
        <w:spacing w:line="360" w:lineRule="auto"/>
        <w:jc w:val="both"/>
      </w:pPr>
    </w:p>
    <w:p w14:paraId="57032ECC" w14:textId="77777777" w:rsidR="003A2CA6" w:rsidRDefault="003A2CA6" w:rsidP="00CB345A">
      <w:pPr>
        <w:suppressAutoHyphens/>
        <w:spacing w:line="360" w:lineRule="auto"/>
        <w:jc w:val="both"/>
      </w:pPr>
    </w:p>
    <w:p w14:paraId="48948FB5" w14:textId="77777777" w:rsidR="009332E6" w:rsidRDefault="009332E6" w:rsidP="009F6D6E">
      <w:pPr>
        <w:spacing w:line="360" w:lineRule="auto"/>
        <w:jc w:val="both"/>
        <w:rPr>
          <w:b/>
        </w:rPr>
      </w:pPr>
    </w:p>
    <w:p w14:paraId="0659EA33" w14:textId="1CC94FAF" w:rsidR="009F6D6E" w:rsidRPr="00C02DF3" w:rsidRDefault="009F6D6E" w:rsidP="009F6D6E">
      <w:pPr>
        <w:spacing w:line="360" w:lineRule="auto"/>
        <w:jc w:val="both"/>
      </w:pPr>
      <w:r w:rsidRPr="00C02DF3">
        <w:rPr>
          <w:b/>
        </w:rPr>
        <w:t>Keywords</w:t>
      </w:r>
      <w:r>
        <w:t>:</w:t>
      </w:r>
      <w:r w:rsidRPr="00C02DF3">
        <w:t xml:space="preserve"> </w:t>
      </w:r>
      <w:r w:rsidR="00736FEB">
        <w:t xml:space="preserve">EMU </w:t>
      </w:r>
      <w:r w:rsidR="002F05CC">
        <w:t xml:space="preserve">countries, </w:t>
      </w:r>
      <w:r w:rsidR="00736FEB">
        <w:t>EMU core</w:t>
      </w:r>
      <w:r w:rsidR="00564E5C">
        <w:t xml:space="preserve"> and</w:t>
      </w:r>
      <w:r w:rsidR="00736FEB">
        <w:t xml:space="preserve"> periphery, </w:t>
      </w:r>
      <w:r w:rsidR="002F05CC">
        <w:t>Oil price shocks, Scalar-BEKK, Time-varying correlation, 10-year sovereign yield spread</w:t>
      </w:r>
    </w:p>
    <w:p w14:paraId="427A5907" w14:textId="77777777" w:rsidR="00E76EB8" w:rsidRPr="00690C59" w:rsidRDefault="009F6D6E" w:rsidP="00E76EB8">
      <w:pPr>
        <w:spacing w:line="360" w:lineRule="auto"/>
        <w:jc w:val="both"/>
        <w:rPr>
          <w:b/>
          <w:lang w:val="fr-FR"/>
        </w:rPr>
      </w:pPr>
      <w:r w:rsidRPr="00690C59">
        <w:rPr>
          <w:b/>
          <w:lang w:val="fr-FR"/>
        </w:rPr>
        <w:t xml:space="preserve">JEL </w:t>
      </w:r>
      <w:proofErr w:type="gramStart"/>
      <w:r w:rsidRPr="00690C59">
        <w:rPr>
          <w:b/>
          <w:lang w:val="fr-FR"/>
        </w:rPr>
        <w:t>classification:</w:t>
      </w:r>
      <w:proofErr w:type="gramEnd"/>
      <w:r w:rsidRPr="00690C59">
        <w:rPr>
          <w:b/>
          <w:lang w:val="fr-FR"/>
        </w:rPr>
        <w:t xml:space="preserve"> </w:t>
      </w:r>
      <w:r w:rsidRPr="00690C59">
        <w:rPr>
          <w:lang w:val="fr-FR"/>
        </w:rPr>
        <w:t>C22, C51, G13, G15, Q40</w:t>
      </w:r>
    </w:p>
    <w:p w14:paraId="6AB64BB7" w14:textId="77777777" w:rsidR="00736FEB" w:rsidRPr="00690C59" w:rsidRDefault="00736FEB" w:rsidP="00E76EB8">
      <w:pPr>
        <w:spacing w:line="360" w:lineRule="auto"/>
        <w:jc w:val="both"/>
        <w:rPr>
          <w:b/>
          <w:lang w:val="fr-FR"/>
        </w:rPr>
        <w:sectPr w:rsidR="00736FEB" w:rsidRPr="00690C59">
          <w:footerReference w:type="even" r:id="rId8"/>
          <w:footerReference w:type="default" r:id="rId9"/>
          <w:pgSz w:w="11906" w:h="16838"/>
          <w:pgMar w:top="1440" w:right="1800" w:bottom="1440" w:left="1800" w:header="720" w:footer="720" w:gutter="0"/>
          <w:cols w:space="720"/>
        </w:sectPr>
      </w:pPr>
    </w:p>
    <w:p w14:paraId="6E839414" w14:textId="77777777" w:rsidR="00EF66CC" w:rsidRDefault="0064406C" w:rsidP="00E76EB8">
      <w:pPr>
        <w:spacing w:line="360" w:lineRule="auto"/>
        <w:jc w:val="both"/>
        <w:rPr>
          <w:b/>
        </w:rPr>
      </w:pPr>
      <w:r>
        <w:rPr>
          <w:b/>
        </w:rPr>
        <w:lastRenderedPageBreak/>
        <w:t>1. Introduction</w:t>
      </w:r>
    </w:p>
    <w:p w14:paraId="7E1EF8F9" w14:textId="33D0F03F" w:rsidR="00F02225" w:rsidRDefault="008B7840" w:rsidP="003774CD">
      <w:pPr>
        <w:suppressAutoHyphens/>
        <w:spacing w:line="360" w:lineRule="auto"/>
        <w:jc w:val="both"/>
      </w:pPr>
      <w:r>
        <w:t xml:space="preserve">The oil market is of </w:t>
      </w:r>
      <w:r w:rsidR="00CE2105">
        <w:t>fundamental</w:t>
      </w:r>
      <w:r>
        <w:t xml:space="preserve"> im</w:t>
      </w:r>
      <w:r w:rsidR="00CE2105">
        <w:t xml:space="preserve">portance for the global economy. It is thus unsurprising that developments in the oil market are monitored and reported by </w:t>
      </w:r>
      <w:r w:rsidR="00CE7567">
        <w:t xml:space="preserve">the </w:t>
      </w:r>
      <w:r w:rsidR="00CE2105">
        <w:t>media</w:t>
      </w:r>
      <w:r w:rsidR="00564E5C">
        <w:rPr>
          <w:rStyle w:val="FootnoteReference"/>
        </w:rPr>
        <w:footnoteReference w:id="1"/>
      </w:r>
      <w:r w:rsidR="00CE2105">
        <w:t xml:space="preserve"> and </w:t>
      </w:r>
      <w:r w:rsidR="00564E5C">
        <w:t xml:space="preserve">they </w:t>
      </w:r>
      <w:r w:rsidR="00CE2105">
        <w:t xml:space="preserve">are </w:t>
      </w:r>
      <w:r>
        <w:t xml:space="preserve">at the </w:t>
      </w:r>
      <w:r w:rsidR="008F647C">
        <w:t>core</w:t>
      </w:r>
      <w:r>
        <w:t xml:space="preserve"> of debate </w:t>
      </w:r>
      <w:r w:rsidR="008F647C">
        <w:t xml:space="preserve">among businesses, economists, </w:t>
      </w:r>
      <w:r w:rsidR="00CE2105">
        <w:t>governments</w:t>
      </w:r>
      <w:r w:rsidR="008F647C">
        <w:t xml:space="preserve">, and </w:t>
      </w:r>
      <w:r w:rsidR="00CE2105">
        <w:t xml:space="preserve">financial </w:t>
      </w:r>
      <w:r w:rsidR="008F647C">
        <w:t xml:space="preserve">market </w:t>
      </w:r>
      <w:r w:rsidR="00CE2105">
        <w:t>participants</w:t>
      </w:r>
      <w:r w:rsidR="002978B6">
        <w:t>.</w:t>
      </w:r>
      <w:r w:rsidR="00FF3290">
        <w:rPr>
          <w:rStyle w:val="FootnoteReference"/>
        </w:rPr>
        <w:footnoteReference w:id="2"/>
      </w:r>
    </w:p>
    <w:p w14:paraId="365F6C07" w14:textId="2DFE49AE" w:rsidR="00F84A85" w:rsidRPr="00897230" w:rsidRDefault="004B5A49" w:rsidP="001F144B">
      <w:pPr>
        <w:suppressAutoHyphens/>
        <w:spacing w:line="360" w:lineRule="auto"/>
        <w:jc w:val="both"/>
        <w:rPr>
          <w:rStyle w:val="CommentReference"/>
          <w:sz w:val="24"/>
          <w:szCs w:val="24"/>
        </w:rPr>
      </w:pPr>
      <w:r>
        <w:t xml:space="preserve">Since the seminal paper by Hamilton (1983), there is a wealth of literature on the effects of oil price changes on economic activity. Indeed, </w:t>
      </w:r>
      <w:r w:rsidRPr="004B5A49">
        <w:rPr>
          <w:rFonts w:eastAsia="Calibri"/>
          <w:lang w:eastAsia="en-GB"/>
        </w:rPr>
        <w:t xml:space="preserve">developments in the oil market and consequently oil price </w:t>
      </w:r>
      <w:r w:rsidR="001448C8" w:rsidRPr="004B5A49">
        <w:rPr>
          <w:rFonts w:eastAsia="Calibri"/>
          <w:lang w:eastAsia="en-GB"/>
        </w:rPr>
        <w:t>fluctuations</w:t>
      </w:r>
      <w:r w:rsidRPr="004B5A49">
        <w:rPr>
          <w:rFonts w:eastAsia="Calibri"/>
          <w:lang w:eastAsia="en-GB"/>
        </w:rPr>
        <w:t xml:space="preserve"> generate responses</w:t>
      </w:r>
      <w:r w:rsidR="00B12A53">
        <w:rPr>
          <w:rFonts w:eastAsia="Calibri"/>
          <w:lang w:eastAsia="en-GB"/>
        </w:rPr>
        <w:t xml:space="preserve"> from macroeconomic indicators</w:t>
      </w:r>
      <w:r w:rsidR="008B671E">
        <w:rPr>
          <w:rFonts w:eastAsia="Calibri"/>
          <w:lang w:eastAsia="en-GB"/>
        </w:rPr>
        <w:t xml:space="preserve"> </w:t>
      </w:r>
      <w:r w:rsidRPr="004B5A49">
        <w:rPr>
          <w:rFonts w:eastAsia="Calibri"/>
          <w:lang w:eastAsia="en-GB"/>
        </w:rPr>
        <w:t>since oil is an important input in industrial production. Specifically, an increase in oil prices results in higher production costs</w:t>
      </w:r>
      <w:r w:rsidR="0052684A">
        <w:rPr>
          <w:rFonts w:eastAsia="Calibri"/>
          <w:lang w:eastAsia="en-GB"/>
        </w:rPr>
        <w:t xml:space="preserve"> or higher income (depending on the status of the economy as oil-importer or oil-exporter), which</w:t>
      </w:r>
      <w:r w:rsidRPr="004B5A49">
        <w:rPr>
          <w:rFonts w:eastAsia="Calibri"/>
          <w:lang w:eastAsia="en-GB"/>
        </w:rPr>
        <w:t xml:space="preserve"> drive</w:t>
      </w:r>
      <w:r w:rsidR="0052684A">
        <w:rPr>
          <w:rFonts w:eastAsia="Calibri"/>
          <w:lang w:eastAsia="en-GB"/>
        </w:rPr>
        <w:t>s</w:t>
      </w:r>
      <w:r w:rsidR="000547E4">
        <w:rPr>
          <w:rFonts w:eastAsia="Calibri"/>
          <w:lang w:eastAsia="en-GB"/>
        </w:rPr>
        <w:t xml:space="preserve"> inflation towards</w:t>
      </w:r>
      <w:r w:rsidRPr="004B5A49">
        <w:rPr>
          <w:rFonts w:eastAsia="Calibri"/>
          <w:lang w:eastAsia="en-GB"/>
        </w:rPr>
        <w:t xml:space="preserve"> higher levels</w:t>
      </w:r>
      <w:r w:rsidR="00DC3BFD">
        <w:rPr>
          <w:rFonts w:eastAsia="Calibri"/>
          <w:lang w:eastAsia="en-GB"/>
        </w:rPr>
        <w:t>.</w:t>
      </w:r>
      <w:r w:rsidR="0052684A">
        <w:rPr>
          <w:rStyle w:val="FootnoteReference"/>
          <w:rFonts w:eastAsia="Calibri"/>
          <w:lang w:eastAsia="en-GB"/>
        </w:rPr>
        <w:footnoteReference w:id="3"/>
      </w:r>
      <w:r w:rsidR="008D6428">
        <w:rPr>
          <w:rFonts w:eastAsia="Calibri"/>
          <w:lang w:eastAsia="en-GB"/>
        </w:rPr>
        <w:t xml:space="preserve"> </w:t>
      </w:r>
      <w:r w:rsidR="00663398">
        <w:t xml:space="preserve">Additionally, higher oil prices may have a significant direct impact on government </w:t>
      </w:r>
      <w:r w:rsidR="0052684A">
        <w:t>budgets</w:t>
      </w:r>
      <w:r w:rsidR="00663398">
        <w:t>.</w:t>
      </w:r>
      <w:r w:rsidR="00663398">
        <w:rPr>
          <w:rStyle w:val="FootnoteReference"/>
        </w:rPr>
        <w:footnoteReference w:id="4"/>
      </w:r>
      <w:r w:rsidR="00663398">
        <w:t xml:space="preserve"> </w:t>
      </w:r>
      <w:r w:rsidR="003774CD">
        <w:t xml:space="preserve">For instance, </w:t>
      </w:r>
      <w:r w:rsidR="003774CD" w:rsidRPr="003774CD">
        <w:t>oil-exporting countries</w:t>
      </w:r>
      <w:r w:rsidR="00E43A55">
        <w:t>,</w:t>
      </w:r>
      <w:r w:rsidR="003774CD">
        <w:t xml:space="preserve"> due to higher income</w:t>
      </w:r>
      <w:r w:rsidR="00E43A55">
        <w:t>,</w:t>
      </w:r>
      <w:r w:rsidR="003774CD">
        <w:t xml:space="preserve"> are expected to experience improvements in their macroeconomic balances</w:t>
      </w:r>
      <w:r w:rsidR="0052684A">
        <w:t xml:space="preserve">, whereas oil-importing countries are faced with uncertainty since increased oil prices could require government interventions, which could create budgetary risks. </w:t>
      </w:r>
    </w:p>
    <w:p w14:paraId="0F62FA26" w14:textId="36568E8E" w:rsidR="00992596" w:rsidRDefault="001448C8" w:rsidP="00937CBD">
      <w:pPr>
        <w:suppressAutoHyphens/>
        <w:spacing w:line="360" w:lineRule="auto"/>
        <w:jc w:val="both"/>
      </w:pPr>
      <w:r>
        <w:t>I</w:t>
      </w:r>
      <w:r w:rsidR="009F5058">
        <w:t xml:space="preserve">n </w:t>
      </w:r>
      <w:r w:rsidR="000F1E7E">
        <w:t>recent years, empirical work</w:t>
      </w:r>
      <w:r w:rsidR="003F0519">
        <w:t>s</w:t>
      </w:r>
      <w:r w:rsidR="000F1E7E">
        <w:t xml:space="preserve"> by Ha</w:t>
      </w:r>
      <w:r w:rsidR="00F84A85">
        <w:t>milton (2009</w:t>
      </w:r>
      <w:proofErr w:type="gramStart"/>
      <w:r w:rsidR="00F84A85">
        <w:t>a,b</w:t>
      </w:r>
      <w:proofErr w:type="gramEnd"/>
      <w:r w:rsidR="00F84A85">
        <w:t>), Kilian (2009) and</w:t>
      </w:r>
      <w:r w:rsidR="000F1E7E">
        <w:t xml:space="preserve"> Kilian and Park (2009</w:t>
      </w:r>
      <w:r w:rsidR="00F84A85">
        <w:t xml:space="preserve">) </w:t>
      </w:r>
      <w:r w:rsidR="000547E4">
        <w:t xml:space="preserve">have </w:t>
      </w:r>
      <w:r w:rsidR="000F1E7E">
        <w:t>recognise</w:t>
      </w:r>
      <w:r w:rsidR="000547E4">
        <w:t>d</w:t>
      </w:r>
      <w:r w:rsidR="000F1E7E">
        <w:t xml:space="preserve"> the </w:t>
      </w:r>
      <w:r w:rsidR="00B84526">
        <w:t xml:space="preserve">importance </w:t>
      </w:r>
      <w:r w:rsidR="000547E4">
        <w:t>of exploring</w:t>
      </w:r>
      <w:r w:rsidR="000F1E7E">
        <w:t xml:space="preserve"> the origin of oil price shock</w:t>
      </w:r>
      <w:r w:rsidR="003F0519">
        <w:t>s</w:t>
      </w:r>
      <w:r w:rsidR="00EB3561">
        <w:rPr>
          <w:rStyle w:val="FootnoteReference"/>
        </w:rPr>
        <w:footnoteReference w:id="5"/>
      </w:r>
      <w:r w:rsidR="003F0519">
        <w:t xml:space="preserve"> </w:t>
      </w:r>
      <w:r w:rsidR="000F1E7E">
        <w:t xml:space="preserve">and consequently the reactions </w:t>
      </w:r>
      <w:r w:rsidR="003F0519">
        <w:t xml:space="preserve">of </w:t>
      </w:r>
      <w:r w:rsidR="00B235B1">
        <w:t xml:space="preserve">economic indicators and </w:t>
      </w:r>
      <w:r w:rsidR="00EB3561">
        <w:t xml:space="preserve">financial markets </w:t>
      </w:r>
      <w:r w:rsidR="003F0519">
        <w:t>to these shocks</w:t>
      </w:r>
      <w:r w:rsidR="000F1E7E">
        <w:t>.</w:t>
      </w:r>
      <w:r w:rsidR="00F84A85">
        <w:t xml:space="preserve"> </w:t>
      </w:r>
      <w:r w:rsidR="00EC7BFE" w:rsidRPr="00C8627F">
        <w:t xml:space="preserve">In this regard, </w:t>
      </w:r>
      <w:r w:rsidR="00EC7BFE">
        <w:t xml:space="preserve">a growing number of studies have analysed how the stock market </w:t>
      </w:r>
      <w:r w:rsidR="00EC7BFE">
        <w:lastRenderedPageBreak/>
        <w:t>performance responds to different oil price shocks.</w:t>
      </w:r>
      <w:r w:rsidR="00EC7BFE">
        <w:rPr>
          <w:rStyle w:val="FootnoteReference"/>
        </w:rPr>
        <w:footnoteReference w:id="6"/>
      </w:r>
      <w:r w:rsidR="00182C39">
        <w:t xml:space="preserve"> </w:t>
      </w:r>
      <w:r w:rsidR="00DB728A">
        <w:t>In short</w:t>
      </w:r>
      <w:r w:rsidR="00431D13">
        <w:t xml:space="preserve">, </w:t>
      </w:r>
      <w:r w:rsidR="00DB728A">
        <w:t xml:space="preserve">the existing literature shows that </w:t>
      </w:r>
      <w:r w:rsidR="00431D13">
        <w:t xml:space="preserve">positive </w:t>
      </w:r>
      <w:r w:rsidR="00431D13" w:rsidRPr="00431D13">
        <w:t>aggregate demand shock</w:t>
      </w:r>
      <w:r w:rsidR="00431D13">
        <w:t xml:space="preserve">s are </w:t>
      </w:r>
      <w:r w:rsidR="00431D13" w:rsidRPr="00431D13">
        <w:t xml:space="preserve">associated with increases in economic activity </w:t>
      </w:r>
      <w:r w:rsidR="00431D13">
        <w:t xml:space="preserve">and </w:t>
      </w:r>
      <w:r w:rsidR="00431D13" w:rsidRPr="00431D13">
        <w:t>can be regarded as positive news</w:t>
      </w:r>
      <w:r w:rsidR="00431D13">
        <w:t xml:space="preserve"> for stock markets</w:t>
      </w:r>
      <w:r w:rsidR="000547E4">
        <w:t>, driving their prices towards</w:t>
      </w:r>
      <w:r w:rsidR="00DB728A">
        <w:t xml:space="preserve"> higher levels</w:t>
      </w:r>
      <w:r w:rsidR="00431D13">
        <w:t xml:space="preserve">. </w:t>
      </w:r>
      <w:r w:rsidR="000547E4">
        <w:t>In</w:t>
      </w:r>
      <w:r w:rsidR="0090614A">
        <w:t xml:space="preserve"> contrast, </w:t>
      </w:r>
      <w:r w:rsidR="0090614A" w:rsidRPr="0090614A">
        <w:t>positive</w:t>
      </w:r>
      <w:r w:rsidR="0090614A">
        <w:t xml:space="preserve"> </w:t>
      </w:r>
      <w:r w:rsidR="0090614A" w:rsidRPr="0090614A">
        <w:t>precautionary demand shocks</w:t>
      </w:r>
      <w:r w:rsidR="00431D13">
        <w:t xml:space="preserve"> </w:t>
      </w:r>
      <w:r w:rsidR="0090614A">
        <w:t xml:space="preserve">are associated with increasing </w:t>
      </w:r>
      <w:r w:rsidR="0090614A" w:rsidRPr="0090614A">
        <w:t>concerns about future oil supply shortfalls</w:t>
      </w:r>
      <w:r w:rsidR="0090614A">
        <w:t xml:space="preserve"> and a fall in economic activity</w:t>
      </w:r>
      <w:r w:rsidR="00DB728A">
        <w:t>,</w:t>
      </w:r>
      <w:r w:rsidR="0090614A">
        <w:t xml:space="preserve"> which is transmitted to </w:t>
      </w:r>
      <w:r w:rsidR="0090614A" w:rsidRPr="0090614A">
        <w:t>stock markets</w:t>
      </w:r>
      <w:r w:rsidR="00DB728A">
        <w:t>, pushing them to bearish territories</w:t>
      </w:r>
      <w:r w:rsidR="0090614A" w:rsidRPr="0090614A">
        <w:t>.</w:t>
      </w:r>
      <w:r w:rsidR="0090614A">
        <w:t xml:space="preserve"> Finally, </w:t>
      </w:r>
      <w:r w:rsidR="00DB728A">
        <w:t>stock markets do not seem to be significantly impacted by supply-side shocks</w:t>
      </w:r>
      <w:r w:rsidR="0090614A">
        <w:t>.</w:t>
      </w:r>
    </w:p>
    <w:p w14:paraId="29BD2701" w14:textId="4298334E" w:rsidR="006A754A" w:rsidRDefault="009F5058" w:rsidP="006A754A">
      <w:pPr>
        <w:suppressAutoHyphens/>
        <w:spacing w:line="360" w:lineRule="auto"/>
        <w:jc w:val="both"/>
      </w:pPr>
      <w:r>
        <w:t xml:space="preserve">Despite this wealth of evidence on the </w:t>
      </w:r>
      <w:r w:rsidR="00A53270">
        <w:t>relationship between</w:t>
      </w:r>
      <w:r>
        <w:t xml:space="preserve"> oil prices</w:t>
      </w:r>
      <w:r w:rsidR="00DB728A">
        <w:t xml:space="preserve"> (and shocks)</w:t>
      </w:r>
      <w:r>
        <w:t xml:space="preserve"> </w:t>
      </w:r>
      <w:r w:rsidR="00A53270">
        <w:t>and</w:t>
      </w:r>
      <w:r>
        <w:t xml:space="preserve"> the </w:t>
      </w:r>
      <w:r w:rsidR="00A53270">
        <w:t xml:space="preserve">wider </w:t>
      </w:r>
      <w:r>
        <w:t xml:space="preserve">economy </w:t>
      </w:r>
      <w:r w:rsidR="00A53270">
        <w:t>or</w:t>
      </w:r>
      <w:r>
        <w:t xml:space="preserve"> financial markets, the literature has remained relatively distant f</w:t>
      </w:r>
      <w:r w:rsidR="00DD2BC6">
        <w:t>rom the effects of the former on</w:t>
      </w:r>
      <w:r>
        <w:t xml:space="preserve"> the sovereign risk of a country</w:t>
      </w:r>
      <w:r w:rsidR="00B235B1">
        <w:t>, as this is expressed by bond yield spreads</w:t>
      </w:r>
      <w:r>
        <w:t>.</w:t>
      </w:r>
      <w:r w:rsidR="00DD2BC6">
        <w:t xml:space="preserve"> The interest i</w:t>
      </w:r>
      <w:r w:rsidR="006A754A">
        <w:t xml:space="preserve">n this relationship stems from the fact that </w:t>
      </w:r>
      <w:r w:rsidR="006A754A" w:rsidRPr="002C1FB6">
        <w:t>oil price</w:t>
      </w:r>
      <w:r w:rsidR="000D2665">
        <w:t>s and their</w:t>
      </w:r>
      <w:r w:rsidR="006A754A" w:rsidRPr="002C1FB6">
        <w:t xml:space="preserve"> </w:t>
      </w:r>
      <w:r w:rsidR="006A754A">
        <w:t>shocks</w:t>
      </w:r>
      <w:r w:rsidR="006A754A" w:rsidRPr="002C1FB6">
        <w:t xml:space="preserve"> can be considered as sources of macroeconomic </w:t>
      </w:r>
      <w:r w:rsidR="006A754A">
        <w:t xml:space="preserve">and financial </w:t>
      </w:r>
      <w:r w:rsidR="003700D7">
        <w:t>instability</w:t>
      </w:r>
      <w:r w:rsidR="006A754A">
        <w:t>, given their aforementioned effects</w:t>
      </w:r>
      <w:r w:rsidR="003700D7">
        <w:t xml:space="preserve"> (Bouri et al., 2018)</w:t>
      </w:r>
      <w:r w:rsidR="006A754A" w:rsidRPr="002C1FB6">
        <w:t xml:space="preserve">. </w:t>
      </w:r>
    </w:p>
    <w:p w14:paraId="56777722" w14:textId="3628C95C" w:rsidR="000D2665" w:rsidRDefault="000D2665" w:rsidP="000D2665">
      <w:pPr>
        <w:suppressAutoHyphens/>
        <w:spacing w:line="360" w:lineRule="auto"/>
        <w:jc w:val="both"/>
      </w:pPr>
      <w:r>
        <w:t>We further argue that it is not only the</w:t>
      </w:r>
      <w:r w:rsidRPr="009F12D5">
        <w:t xml:space="preserve"> oil price</w:t>
      </w:r>
      <w:r>
        <w:t xml:space="preserve"> shocks that might ex</w:t>
      </w:r>
      <w:r w:rsidR="00C04C97">
        <w:t xml:space="preserve">ert an impact on sovereign risk. Additionally, allowance should be made for </w:t>
      </w:r>
      <w:r>
        <w:t xml:space="preserve">the reverse channel, through which </w:t>
      </w:r>
      <w:r w:rsidRPr="00C73D23">
        <w:t>sovereign risk</w:t>
      </w:r>
      <w:r>
        <w:t xml:space="preserve"> impacts oil prices, </w:t>
      </w:r>
      <w:r w:rsidR="00C72F57">
        <w:t xml:space="preserve">which </w:t>
      </w:r>
      <w:r>
        <w:t>appears to hold as well. In</w:t>
      </w:r>
      <w:r w:rsidR="00C72F57">
        <w:t xml:space="preserve"> particular, the widening of</w:t>
      </w:r>
      <w:r>
        <w:t xml:space="preserve"> sovereign risk spreads signifies a greater degree of default risk, which could subsequently lead to a reduction in aggregate demand and thus lower demand for oil. </w:t>
      </w:r>
      <w:r w:rsidR="00E32016">
        <w:t xml:space="preserve">In addition, </w:t>
      </w:r>
      <w:r w:rsidR="005C33F7">
        <w:t>higher sovereign risk might lead to lower uncertainty about future oil supply shortfalls</w:t>
      </w:r>
      <w:r w:rsidR="005164C2">
        <w:t>,</w:t>
      </w:r>
      <w:r w:rsidR="005C33F7">
        <w:t xml:space="preserve"> given the lower demand for oil. Finally, </w:t>
      </w:r>
      <w:r w:rsidR="00E32016">
        <w:t xml:space="preserve">higher sovereign risk could </w:t>
      </w:r>
      <w:r w:rsidR="005C33F7">
        <w:t>lead oil producers to limit</w:t>
      </w:r>
      <w:r w:rsidR="00BB34A2">
        <w:t xml:space="preserve"> oil supply and therefore a </w:t>
      </w:r>
      <w:r w:rsidR="00E32016">
        <w:t>decrease in oil production</w:t>
      </w:r>
      <w:r w:rsidR="00BB34A2">
        <w:t xml:space="preserve"> is somewhat expected. </w:t>
      </w:r>
      <w:r w:rsidR="00D863C4">
        <w:t>However, unexpected changes in oil supply (disruptions) could be also considered as exogenous, driven by political events in oil-producing countries (see Kilian and Murphy, 2014</w:t>
      </w:r>
      <w:r w:rsidR="00D863C4" w:rsidRPr="0097396B">
        <w:t>).</w:t>
      </w:r>
      <w:r w:rsidR="00D863C4">
        <w:t xml:space="preserve"> </w:t>
      </w:r>
      <w:r>
        <w:t xml:space="preserve">Overall, oil prices are expected to decline in </w:t>
      </w:r>
      <w:r w:rsidR="00412CFA">
        <w:t xml:space="preserve">response to an </w:t>
      </w:r>
      <w:r>
        <w:t>economic downturn.</w:t>
      </w:r>
    </w:p>
    <w:p w14:paraId="0769CB71" w14:textId="5A43940B" w:rsidR="003D1D04" w:rsidRDefault="00412CFA" w:rsidP="003D1D04">
      <w:pPr>
        <w:suppressAutoHyphens/>
        <w:spacing w:line="360" w:lineRule="auto"/>
        <w:jc w:val="both"/>
      </w:pPr>
      <w:r>
        <w:t>The motivation for</w:t>
      </w:r>
      <w:r w:rsidR="00A221B3" w:rsidRPr="00A221B3">
        <w:t xml:space="preserve"> investigating the correlation between oil price shocks and sovereign yield spreads stems not only from the </w:t>
      </w:r>
      <w:r w:rsidR="00BA569A">
        <w:t xml:space="preserve">limited empirical research and the </w:t>
      </w:r>
      <w:r w:rsidR="007C4DD8">
        <w:t>theoretical arguments</w:t>
      </w:r>
      <w:r>
        <w:t>,</w:t>
      </w:r>
      <w:r w:rsidR="007C4DD8">
        <w:t xml:space="preserve"> mentioned above</w:t>
      </w:r>
      <w:r w:rsidR="00BA569A">
        <w:t>,</w:t>
      </w:r>
      <w:r w:rsidR="007C4DD8">
        <w:t xml:space="preserve"> but also fr</w:t>
      </w:r>
      <w:r w:rsidR="0086736F">
        <w:t>o</w:t>
      </w:r>
      <w:r w:rsidR="007C4DD8">
        <w:t xml:space="preserve">m </w:t>
      </w:r>
      <w:r w:rsidR="0086736F">
        <w:t>reports by financial institutions</w:t>
      </w:r>
      <w:r w:rsidR="0086736F">
        <w:rPr>
          <w:rStyle w:val="FootnoteReference"/>
        </w:rPr>
        <w:footnoteReference w:id="7"/>
      </w:r>
      <w:r w:rsidR="0086736F">
        <w:t xml:space="preserve"> and </w:t>
      </w:r>
      <w:r w:rsidR="00A221B3" w:rsidRPr="00A221B3">
        <w:t xml:space="preserve">the </w:t>
      </w:r>
      <w:r w:rsidR="0086736F">
        <w:lastRenderedPageBreak/>
        <w:t xml:space="preserve">anecdotal evidence presented in the </w:t>
      </w:r>
      <w:r w:rsidR="00A221B3" w:rsidRPr="00A221B3">
        <w:t>financial press</w:t>
      </w:r>
      <w:r w:rsidR="001425FC">
        <w:rPr>
          <w:rStyle w:val="FootnoteReference"/>
        </w:rPr>
        <w:footnoteReference w:id="8"/>
      </w:r>
      <w:r w:rsidR="0086736F">
        <w:t>,</w:t>
      </w:r>
      <w:r w:rsidR="00A221B3" w:rsidRPr="00A221B3">
        <w:t xml:space="preserve"> </w:t>
      </w:r>
      <w:r w:rsidR="0086736F">
        <w:t>which</w:t>
      </w:r>
      <w:r w:rsidR="007C4DD8">
        <w:t xml:space="preserve"> place emphasis on the relationship between</w:t>
      </w:r>
      <w:r w:rsidR="00A221B3" w:rsidRPr="00A221B3">
        <w:t xml:space="preserve"> oil prices (or their shocks) </w:t>
      </w:r>
      <w:r w:rsidR="007C4DD8">
        <w:t>and</w:t>
      </w:r>
      <w:r w:rsidR="00A221B3" w:rsidRPr="00A221B3">
        <w:t xml:space="preserve"> sovereign yield spreads</w:t>
      </w:r>
      <w:r w:rsidR="00907478">
        <w:t>.</w:t>
      </w:r>
      <w:r w:rsidR="0086736F">
        <w:t xml:space="preserve"> Similarly, i</w:t>
      </w:r>
      <w:r w:rsidR="007C4DD8">
        <w:t xml:space="preserve">t is no coincidence that </w:t>
      </w:r>
      <w:r>
        <w:t xml:space="preserve">the </w:t>
      </w:r>
      <w:r w:rsidR="007C4DD8">
        <w:t>media</w:t>
      </w:r>
      <w:r w:rsidR="003D1D04">
        <w:t xml:space="preserve"> </w:t>
      </w:r>
      <w:r w:rsidR="00AE1185">
        <w:t>suggest</w:t>
      </w:r>
      <w:r w:rsidR="0009141B">
        <w:t>s</w:t>
      </w:r>
      <w:r w:rsidR="004E6DB7">
        <w:t xml:space="preserve"> that lower oil prices present</w:t>
      </w:r>
      <w:r w:rsidR="007C4DD8" w:rsidRPr="00AB60A3">
        <w:t xml:space="preserve"> a serious challenge to US government deb</w:t>
      </w:r>
      <w:r w:rsidR="007C4DD8" w:rsidRPr="00622B05">
        <w:t xml:space="preserve">t </w:t>
      </w:r>
      <w:r w:rsidR="0009141B">
        <w:t>as</w:t>
      </w:r>
      <w:r w:rsidR="0009141B" w:rsidRPr="00622B05">
        <w:t xml:space="preserve"> </w:t>
      </w:r>
      <w:r w:rsidR="003D1D04" w:rsidRPr="00622B05">
        <w:t xml:space="preserve">they are </w:t>
      </w:r>
      <w:r w:rsidR="007C4DD8" w:rsidRPr="00622B05">
        <w:t>associated with a lower demand for US government bonds</w:t>
      </w:r>
      <w:r w:rsidR="003D1D04" w:rsidRPr="00622B05">
        <w:t xml:space="preserve"> (</w:t>
      </w:r>
      <w:r w:rsidR="00622B05" w:rsidRPr="00622B05">
        <w:t>CNBC, 2014</w:t>
      </w:r>
      <w:r w:rsidR="003D1D04" w:rsidRPr="00622B05">
        <w:t>)</w:t>
      </w:r>
      <w:r w:rsidR="0009141B">
        <w:t>,</w:t>
      </w:r>
      <w:r w:rsidR="003D1D04">
        <w:t xml:space="preserve"> and that </w:t>
      </w:r>
      <w:r w:rsidR="003D1D04" w:rsidRPr="00AB60A3">
        <w:t>lower oil prices trigger a reduction in euro zone sovereign bond yields for both core and periphery countries</w:t>
      </w:r>
      <w:r w:rsidR="004E6DB7">
        <w:t>, given their beneficial</w:t>
      </w:r>
      <w:r w:rsidR="003D1D04">
        <w:t xml:space="preserve"> effects on </w:t>
      </w:r>
      <w:r w:rsidR="003D1D04" w:rsidRPr="00AB60A3">
        <w:t>inflation</w:t>
      </w:r>
      <w:r w:rsidR="003D1D04">
        <w:t xml:space="preserve"> (Oxford Economics, 2014).</w:t>
      </w:r>
    </w:p>
    <w:p w14:paraId="58ED53AB" w14:textId="5EB0BD74" w:rsidR="00A221B3" w:rsidRDefault="00BA569A" w:rsidP="008D3B20">
      <w:pPr>
        <w:spacing w:line="360" w:lineRule="auto"/>
        <w:jc w:val="both"/>
      </w:pPr>
      <w:r>
        <w:t>Nevertheless, the importance of the present study is also motivated by the EU’s dependency o</w:t>
      </w:r>
      <w:r w:rsidR="00797A2A">
        <w:t>n</w:t>
      </w:r>
      <w:r>
        <w:t xml:space="preserve"> imported crude oil. Figure 1 </w:t>
      </w:r>
      <w:r w:rsidR="006C3ECF">
        <w:t xml:space="preserve">depicts </w:t>
      </w:r>
      <w:r w:rsidR="00C25705" w:rsidRPr="00C25705">
        <w:t xml:space="preserve">the oil import dependency for all 28 </w:t>
      </w:r>
      <w:r w:rsidR="00E66DCA">
        <w:t>EU</w:t>
      </w:r>
      <w:r w:rsidR="00C25705">
        <w:t xml:space="preserve"> </w:t>
      </w:r>
      <w:r w:rsidR="00C25705" w:rsidRPr="00C25705">
        <w:t>member states</w:t>
      </w:r>
      <w:r w:rsidR="006C3ECF">
        <w:t xml:space="preserve">, revealing that European countries import more than 80%, on average, of their oil needs. Such </w:t>
      </w:r>
      <w:r w:rsidR="004E6DB7">
        <w:t>a figure indica</w:t>
      </w:r>
      <w:r w:rsidR="006C3ECF">
        <w:t>tes the potential impact of oil pri</w:t>
      </w:r>
      <w:r w:rsidR="004E6DB7">
        <w:t xml:space="preserve">ce fluctuations </w:t>
      </w:r>
      <w:r w:rsidR="006C3ECF">
        <w:t>on the import co</w:t>
      </w:r>
      <w:r w:rsidR="004E6DB7">
        <w:t>sts of these countries, exerting pressure on</w:t>
      </w:r>
      <w:r w:rsidR="006C3ECF">
        <w:t xml:space="preserve"> their trade balance and hence their economic performance</w:t>
      </w:r>
      <w:r w:rsidR="00AD5A11" w:rsidRPr="00AD5A11">
        <w:t xml:space="preserve">. </w:t>
      </w:r>
    </w:p>
    <w:p w14:paraId="075FE8FC" w14:textId="77777777" w:rsidR="00BE4721" w:rsidRPr="00721400" w:rsidRDefault="00BE4721" w:rsidP="008D3B20">
      <w:pPr>
        <w:spacing w:line="360" w:lineRule="auto"/>
        <w:jc w:val="both"/>
        <w:rPr>
          <w:color w:val="00B050"/>
        </w:rPr>
      </w:pPr>
    </w:p>
    <w:p w14:paraId="3439D5A4" w14:textId="0579ADF2" w:rsidR="005209E5" w:rsidRDefault="00965D07" w:rsidP="00965D07">
      <w:pPr>
        <w:spacing w:line="360" w:lineRule="auto"/>
        <w:jc w:val="center"/>
      </w:pPr>
      <w:r w:rsidRPr="00965D07">
        <w:t>[</w:t>
      </w:r>
      <w:r w:rsidR="00797F92">
        <w:t xml:space="preserve">PLEASE INSERT </w:t>
      </w:r>
      <w:r w:rsidRPr="00965D07">
        <w:t>FIGURE 1 HERE]</w:t>
      </w:r>
    </w:p>
    <w:p w14:paraId="2812CF55" w14:textId="77777777" w:rsidR="00BE4721" w:rsidRPr="00965D07" w:rsidRDefault="00BE4721" w:rsidP="00965D07">
      <w:pPr>
        <w:spacing w:line="360" w:lineRule="auto"/>
        <w:jc w:val="center"/>
      </w:pPr>
    </w:p>
    <w:p w14:paraId="0CD02249" w14:textId="1720881B" w:rsidR="006A754A" w:rsidRDefault="00954BF6" w:rsidP="006A754A">
      <w:pPr>
        <w:suppressAutoHyphens/>
        <w:spacing w:line="360" w:lineRule="auto"/>
        <w:jc w:val="both"/>
      </w:pPr>
      <w:r>
        <w:t>Against this background</w:t>
      </w:r>
      <w:r w:rsidR="002C1FB6" w:rsidRPr="002C1FB6">
        <w:t xml:space="preserve">, </w:t>
      </w:r>
      <w:r w:rsidR="007D3AEB">
        <w:t xml:space="preserve">the aim of this study is to </w:t>
      </w:r>
      <w:r w:rsidR="008D3B20">
        <w:t>cont</w:t>
      </w:r>
      <w:r w:rsidR="0092735C">
        <w:t>ribute towards the limited investigation</w:t>
      </w:r>
      <w:r w:rsidR="008D3B20">
        <w:t xml:space="preserve"> of the link between </w:t>
      </w:r>
      <w:r w:rsidR="008D3B20" w:rsidRPr="008D3B20">
        <w:t>oil price</w:t>
      </w:r>
      <w:r w:rsidR="008D3B20">
        <w:t>s</w:t>
      </w:r>
      <w:r w:rsidR="008D3B20" w:rsidRPr="008D3B20">
        <w:t xml:space="preserve"> (or their shocks)</w:t>
      </w:r>
      <w:r w:rsidR="008D3B20">
        <w:t xml:space="preserve"> </w:t>
      </w:r>
      <w:r w:rsidR="008D3B20" w:rsidRPr="008D3B20">
        <w:t>and sovereign yield spreads</w:t>
      </w:r>
      <w:r w:rsidR="00FA6CDB">
        <w:t xml:space="preserve">. </w:t>
      </w:r>
      <w:r w:rsidR="0092735C">
        <w:t xml:space="preserve">We attempt to satisfy this </w:t>
      </w:r>
      <w:r>
        <w:t xml:space="preserve">aim </w:t>
      </w:r>
      <w:r w:rsidR="007D3AEB">
        <w:t>by assessing the relationship between sovereign risk and oil prices shocks using a time-varying framework.</w:t>
      </w:r>
      <w:r w:rsidR="006A754A">
        <w:t xml:space="preserve"> More specifically, this study employs the </w:t>
      </w:r>
      <w:r w:rsidR="002C1FB6" w:rsidRPr="002C1FB6">
        <w:t xml:space="preserve">sovereign yield spreads </w:t>
      </w:r>
      <w:r w:rsidR="0092735C">
        <w:t xml:space="preserve">as a numerical representation of </w:t>
      </w:r>
      <w:r w:rsidR="002C1FB6" w:rsidRPr="002C1FB6">
        <w:t xml:space="preserve">sovereign risk. </w:t>
      </w:r>
      <w:r w:rsidR="006A754A">
        <w:t>This choice is justified by</w:t>
      </w:r>
      <w:r w:rsidR="002C1FB6" w:rsidRPr="002C1FB6">
        <w:t xml:space="preserve"> the fact that sovereign yield spreads provide substantial information regarding </w:t>
      </w:r>
      <w:r w:rsidR="006A754A">
        <w:t xml:space="preserve">a </w:t>
      </w:r>
      <w:r w:rsidR="002C1FB6" w:rsidRPr="002C1FB6">
        <w:t>country’s creditworthiness (the ability to serve its debt)</w:t>
      </w:r>
      <w:r w:rsidR="006A754A">
        <w:t xml:space="preserve"> and they are </w:t>
      </w:r>
      <w:r w:rsidR="006A754A" w:rsidRPr="002C1FB6">
        <w:t xml:space="preserve">affected by unexpected changes to the key macroeconomic indicators and unexpected developments </w:t>
      </w:r>
      <w:r w:rsidR="006A754A">
        <w:t>in</w:t>
      </w:r>
      <w:r w:rsidR="006A754A" w:rsidRPr="002C1FB6">
        <w:t xml:space="preserve"> the financial markets. </w:t>
      </w:r>
    </w:p>
    <w:p w14:paraId="28CCFAAE" w14:textId="2DC10AB9" w:rsidR="000C37F7" w:rsidRDefault="001C4561" w:rsidP="00937CBD">
      <w:pPr>
        <w:suppressAutoHyphens/>
        <w:spacing w:line="360" w:lineRule="auto"/>
        <w:jc w:val="both"/>
      </w:pPr>
      <w:r>
        <w:t>To date, t</w:t>
      </w:r>
      <w:r w:rsidR="00EA74E6">
        <w:t>here are</w:t>
      </w:r>
      <w:r w:rsidR="009F5058">
        <w:t xml:space="preserve"> only</w:t>
      </w:r>
      <w:r w:rsidR="00EA74E6">
        <w:t xml:space="preserve"> few </w:t>
      </w:r>
      <w:r w:rsidR="00DA0547">
        <w:t xml:space="preserve">studies that focus on this </w:t>
      </w:r>
      <w:r w:rsidR="00EA74E6">
        <w:t>relationship</w:t>
      </w:r>
      <w:r w:rsidR="002104E3">
        <w:rPr>
          <w:color w:val="000000" w:themeColor="text1"/>
        </w:rPr>
        <w:t xml:space="preserve">, </w:t>
      </w:r>
      <w:r w:rsidR="009F5058">
        <w:rPr>
          <w:color w:val="000000" w:themeColor="text1"/>
        </w:rPr>
        <w:t xml:space="preserve">(see, for instance, </w:t>
      </w:r>
      <w:r w:rsidR="00EA74E6">
        <w:t>Bouri et al.</w:t>
      </w:r>
      <w:r w:rsidR="009F5058">
        <w:t xml:space="preserve">, </w:t>
      </w:r>
      <w:r w:rsidR="00EA74E6">
        <w:t>2018</w:t>
      </w:r>
      <w:r w:rsidR="00F00D40">
        <w:t>,</w:t>
      </w:r>
      <w:r w:rsidR="009F5058">
        <w:t xml:space="preserve"> </w:t>
      </w:r>
      <w:r w:rsidR="00EA74E6">
        <w:rPr>
          <w:color w:val="000000" w:themeColor="text1"/>
        </w:rPr>
        <w:t>Bouri et al.</w:t>
      </w:r>
      <w:r w:rsidR="009F5058">
        <w:rPr>
          <w:color w:val="000000" w:themeColor="text1"/>
        </w:rPr>
        <w:t>,</w:t>
      </w:r>
      <w:r w:rsidR="00EA74E6">
        <w:rPr>
          <w:color w:val="000000" w:themeColor="text1"/>
        </w:rPr>
        <w:t xml:space="preserve"> 2017</w:t>
      </w:r>
      <w:r w:rsidR="00F00D40">
        <w:rPr>
          <w:color w:val="000000" w:themeColor="text1"/>
        </w:rPr>
        <w:t>,</w:t>
      </w:r>
      <w:r w:rsidR="009F5058">
        <w:rPr>
          <w:color w:val="000000" w:themeColor="text1"/>
        </w:rPr>
        <w:t xml:space="preserve"> </w:t>
      </w:r>
      <w:r w:rsidR="00EA74E6">
        <w:rPr>
          <w:color w:val="000000" w:themeColor="text1"/>
        </w:rPr>
        <w:t>Lee et al.</w:t>
      </w:r>
      <w:r w:rsidR="009F5058">
        <w:rPr>
          <w:color w:val="000000" w:themeColor="text1"/>
        </w:rPr>
        <w:t>,</w:t>
      </w:r>
      <w:r w:rsidR="00EA74E6">
        <w:rPr>
          <w:color w:val="000000" w:themeColor="text1"/>
        </w:rPr>
        <w:t xml:space="preserve"> 2017</w:t>
      </w:r>
      <w:r w:rsidR="00F00D40">
        <w:rPr>
          <w:color w:val="000000" w:themeColor="text1"/>
        </w:rPr>
        <w:t>,</w:t>
      </w:r>
      <w:r w:rsidR="00286045">
        <w:rPr>
          <w:color w:val="000000" w:themeColor="text1"/>
        </w:rPr>
        <w:t xml:space="preserve"> </w:t>
      </w:r>
      <w:r w:rsidR="00EA74E6">
        <w:rPr>
          <w:color w:val="000000" w:themeColor="text1"/>
        </w:rPr>
        <w:t>Shahzad et al.</w:t>
      </w:r>
      <w:r w:rsidR="00286045">
        <w:rPr>
          <w:color w:val="000000" w:themeColor="text1"/>
        </w:rPr>
        <w:t>,</w:t>
      </w:r>
      <w:r w:rsidR="00EA74E6">
        <w:rPr>
          <w:color w:val="000000" w:themeColor="text1"/>
        </w:rPr>
        <w:t xml:space="preserve"> 2017</w:t>
      </w:r>
      <w:r w:rsidR="00F00D40">
        <w:rPr>
          <w:color w:val="000000" w:themeColor="text1"/>
        </w:rPr>
        <w:t>,</w:t>
      </w:r>
      <w:r w:rsidR="00286045">
        <w:rPr>
          <w:color w:val="000000" w:themeColor="text1"/>
        </w:rPr>
        <w:t xml:space="preserve"> </w:t>
      </w:r>
      <w:r w:rsidR="00EA74E6">
        <w:rPr>
          <w:color w:val="000000" w:themeColor="text1"/>
        </w:rPr>
        <w:t>Wegener et al.</w:t>
      </w:r>
      <w:r w:rsidR="00286045">
        <w:rPr>
          <w:color w:val="000000" w:themeColor="text1"/>
        </w:rPr>
        <w:t>,</w:t>
      </w:r>
      <w:r w:rsidR="00EA74E6">
        <w:rPr>
          <w:color w:val="000000" w:themeColor="text1"/>
        </w:rPr>
        <w:t xml:space="preserve"> 2016</w:t>
      </w:r>
      <w:r w:rsidR="00F00D40">
        <w:rPr>
          <w:color w:val="000000" w:themeColor="text1"/>
        </w:rPr>
        <w:t>,</w:t>
      </w:r>
      <w:r w:rsidR="00286045">
        <w:rPr>
          <w:color w:val="000000" w:themeColor="text1"/>
        </w:rPr>
        <w:t xml:space="preserve"> </w:t>
      </w:r>
      <w:proofErr w:type="spellStart"/>
      <w:r w:rsidR="00F00D40">
        <w:rPr>
          <w:color w:val="000000" w:themeColor="text1"/>
        </w:rPr>
        <w:t>Aizenman</w:t>
      </w:r>
      <w:proofErr w:type="spellEnd"/>
      <w:r w:rsidR="00F00D40">
        <w:rPr>
          <w:color w:val="000000" w:themeColor="text1"/>
        </w:rPr>
        <w:t xml:space="preserve"> et al., 2013,</w:t>
      </w:r>
      <w:r w:rsidR="008762AB">
        <w:rPr>
          <w:color w:val="000000" w:themeColor="text1"/>
        </w:rPr>
        <w:t xml:space="preserve"> </w:t>
      </w:r>
      <w:r w:rsidR="008B3819">
        <w:rPr>
          <w:color w:val="000000" w:themeColor="text1"/>
        </w:rPr>
        <w:t>Alexandre and d</w:t>
      </w:r>
      <w:r w:rsidR="00EA74E6">
        <w:rPr>
          <w:color w:val="000000" w:themeColor="text1"/>
        </w:rPr>
        <w:t>e</w:t>
      </w:r>
      <w:r w:rsidR="008B3819">
        <w:rPr>
          <w:color w:val="000000" w:themeColor="text1"/>
        </w:rPr>
        <w:t xml:space="preserve"> Benoist</w:t>
      </w:r>
      <w:r w:rsidR="00286045">
        <w:rPr>
          <w:color w:val="000000" w:themeColor="text1"/>
        </w:rPr>
        <w:t xml:space="preserve">, </w:t>
      </w:r>
      <w:r w:rsidR="00EA74E6">
        <w:rPr>
          <w:color w:val="000000" w:themeColor="text1"/>
        </w:rPr>
        <w:t xml:space="preserve">2010). </w:t>
      </w:r>
      <w:r w:rsidR="00D6480D">
        <w:rPr>
          <w:color w:val="000000" w:themeColor="text1"/>
        </w:rPr>
        <w:t xml:space="preserve">For example, </w:t>
      </w:r>
      <w:r w:rsidR="000F7F51">
        <w:rPr>
          <w:color w:val="000000" w:themeColor="text1"/>
        </w:rPr>
        <w:t xml:space="preserve">Wegener et al. (2016) point out that higher oil prices contribute to reductions in </w:t>
      </w:r>
      <w:r w:rsidR="00D216CB">
        <w:rPr>
          <w:color w:val="000000" w:themeColor="text1"/>
        </w:rPr>
        <w:t>the sovereign risk of oil-</w:t>
      </w:r>
      <w:r w:rsidR="000F7F51">
        <w:rPr>
          <w:color w:val="000000" w:themeColor="text1"/>
        </w:rPr>
        <w:t xml:space="preserve">producing countries. </w:t>
      </w:r>
      <w:r w:rsidR="003C642F">
        <w:rPr>
          <w:color w:val="000000" w:themeColor="text1"/>
        </w:rPr>
        <w:t>Shahzad et al. (2017)</w:t>
      </w:r>
      <w:r w:rsidR="000F7F51">
        <w:rPr>
          <w:color w:val="000000" w:themeColor="text1"/>
        </w:rPr>
        <w:t>, on the other hand,</w:t>
      </w:r>
      <w:r w:rsidR="003C642F">
        <w:rPr>
          <w:color w:val="000000" w:themeColor="text1"/>
        </w:rPr>
        <w:t xml:space="preserve"> show </w:t>
      </w:r>
      <w:r w:rsidR="003C642F">
        <w:rPr>
          <w:color w:val="000000" w:themeColor="text1"/>
        </w:rPr>
        <w:lastRenderedPageBreak/>
        <w:t>that higher oil price volatility triggers an increase in the sovereign risk of oil-exporting countries.</w:t>
      </w:r>
      <w:r w:rsidR="000F7F51">
        <w:rPr>
          <w:color w:val="000000" w:themeColor="text1"/>
        </w:rPr>
        <w:t xml:space="preserve"> </w:t>
      </w:r>
      <w:r w:rsidR="00D6480D">
        <w:rPr>
          <w:color w:val="000000" w:themeColor="text1"/>
        </w:rPr>
        <w:t>By distinguish</w:t>
      </w:r>
      <w:r w:rsidR="00CE291A">
        <w:rPr>
          <w:color w:val="000000" w:themeColor="text1"/>
        </w:rPr>
        <w:t>ing</w:t>
      </w:r>
      <w:r w:rsidR="00D6480D">
        <w:rPr>
          <w:color w:val="000000" w:themeColor="text1"/>
        </w:rPr>
        <w:t xml:space="preserve"> between oil-exporting and oil-importing countries, </w:t>
      </w:r>
      <w:r w:rsidR="000F7F51">
        <w:rPr>
          <w:color w:val="000000" w:themeColor="text1"/>
        </w:rPr>
        <w:t>Lee et al. (2017) document that increasing oil prices cause a reduction (incr</w:t>
      </w:r>
      <w:r w:rsidR="0061473E">
        <w:rPr>
          <w:color w:val="000000" w:themeColor="text1"/>
        </w:rPr>
        <w:t>ease) in</w:t>
      </w:r>
      <w:r w:rsidR="000F7F51">
        <w:rPr>
          <w:color w:val="000000" w:themeColor="text1"/>
        </w:rPr>
        <w:t xml:space="preserve"> the sovereign risk of </w:t>
      </w:r>
      <w:r w:rsidR="007D26D5">
        <w:t>oil-exporters (importers).</w:t>
      </w:r>
      <w:r w:rsidR="000F7F51">
        <w:t xml:space="preserve"> </w:t>
      </w:r>
      <w:r w:rsidR="00DC12F3">
        <w:t xml:space="preserve">In a similar fashion, </w:t>
      </w:r>
      <w:r w:rsidR="000F7F51">
        <w:t xml:space="preserve">Bouri et al. (2018) show that the sovereign risk of oil-exporters (importers) is more sensitive to positive (negative) shocks in oil volatility. </w:t>
      </w:r>
      <w:r w:rsidR="00286045">
        <w:rPr>
          <w:color w:val="000000" w:themeColor="text1"/>
        </w:rPr>
        <w:t>Nevertheless</w:t>
      </w:r>
      <w:r w:rsidR="00E128B8">
        <w:rPr>
          <w:color w:val="000000" w:themeColor="text1"/>
        </w:rPr>
        <w:t xml:space="preserve">, </w:t>
      </w:r>
      <w:r w:rsidR="00F950E7">
        <w:rPr>
          <w:color w:val="000000" w:themeColor="text1"/>
        </w:rPr>
        <w:t>the existing</w:t>
      </w:r>
      <w:r w:rsidR="00E128B8">
        <w:rPr>
          <w:color w:val="000000" w:themeColor="text1"/>
        </w:rPr>
        <w:t xml:space="preserve"> literature</w:t>
      </w:r>
      <w:r w:rsidR="0061473E">
        <w:rPr>
          <w:color w:val="000000" w:themeColor="text1"/>
        </w:rPr>
        <w:t>:</w:t>
      </w:r>
      <w:r w:rsidR="00E128B8">
        <w:rPr>
          <w:color w:val="000000" w:themeColor="text1"/>
        </w:rPr>
        <w:t xml:space="preserve"> </w:t>
      </w:r>
      <w:r w:rsidR="00F950E7">
        <w:rPr>
          <w:color w:val="000000" w:themeColor="text1"/>
        </w:rPr>
        <w:t xml:space="preserve">i) </w:t>
      </w:r>
      <w:r w:rsidR="00E128B8">
        <w:rPr>
          <w:color w:val="000000" w:themeColor="text1"/>
        </w:rPr>
        <w:t>provide</w:t>
      </w:r>
      <w:r w:rsidR="00F950E7">
        <w:rPr>
          <w:color w:val="000000" w:themeColor="text1"/>
        </w:rPr>
        <w:t>s</w:t>
      </w:r>
      <w:r w:rsidR="00E128B8">
        <w:rPr>
          <w:color w:val="000000" w:themeColor="text1"/>
        </w:rPr>
        <w:t xml:space="preserve"> limited</w:t>
      </w:r>
      <w:r w:rsidR="00632B1E">
        <w:t xml:space="preserve"> </w:t>
      </w:r>
      <w:r w:rsidR="00A86373">
        <w:t>evidence on the</w:t>
      </w:r>
      <w:r w:rsidR="004C4EF0">
        <w:t xml:space="preserve"> relationship between oil price movements and sovereign risk</w:t>
      </w:r>
      <w:r w:rsidR="0061473E">
        <w:t>;</w:t>
      </w:r>
      <w:r>
        <w:t xml:space="preserve"> ii) does not </w:t>
      </w:r>
      <w:r w:rsidR="002848BF">
        <w:t xml:space="preserve">fully </w:t>
      </w:r>
      <w:r>
        <w:t>consider the heterogeneous effects of the different oil price shocks</w:t>
      </w:r>
      <w:r w:rsidR="0061473E">
        <w:t>;</w:t>
      </w:r>
      <w:r w:rsidR="00632B1E">
        <w:t xml:space="preserve"> </w:t>
      </w:r>
      <w:r w:rsidR="003A296D">
        <w:t xml:space="preserve">and </w:t>
      </w:r>
      <w:r w:rsidR="00F950E7">
        <w:t>i</w:t>
      </w:r>
      <w:r>
        <w:t>i</w:t>
      </w:r>
      <w:r w:rsidR="0061473E">
        <w:t xml:space="preserve">i) </w:t>
      </w:r>
      <w:r w:rsidR="00F950E7">
        <w:t xml:space="preserve">is </w:t>
      </w:r>
      <w:r w:rsidR="002848BF">
        <w:t xml:space="preserve">mainly </w:t>
      </w:r>
      <w:r w:rsidR="00F950E7">
        <w:t>based on a static rather than a dynamic environment</w:t>
      </w:r>
      <w:r w:rsidR="003A296D">
        <w:t>.</w:t>
      </w:r>
    </w:p>
    <w:p w14:paraId="3E1ECC0A" w14:textId="08351E15" w:rsidR="00201993" w:rsidRDefault="00322889" w:rsidP="00A850F1">
      <w:pPr>
        <w:suppressAutoHyphens/>
        <w:spacing w:line="360" w:lineRule="auto"/>
        <w:jc w:val="both"/>
      </w:pPr>
      <w:r>
        <w:t>Specifically, o</w:t>
      </w:r>
      <w:r w:rsidR="00CE291A">
        <w:t xml:space="preserve">ur contribution to the existing literature is threefold. First, </w:t>
      </w:r>
      <w:r>
        <w:t>this study sheds</w:t>
      </w:r>
      <w:r w:rsidR="00744ABC">
        <w:t xml:space="preserve"> </w:t>
      </w:r>
      <w:r w:rsidR="00954BF6">
        <w:t xml:space="preserve">a </w:t>
      </w:r>
      <w:r w:rsidR="00744ABC">
        <w:t>new</w:t>
      </w:r>
      <w:r>
        <w:t xml:space="preserve"> light on the </w:t>
      </w:r>
      <w:r w:rsidR="00744ABC">
        <w:t>relation</w:t>
      </w:r>
      <w:r>
        <w:t xml:space="preserve"> between unanticipated changes in the oil price and sovereign yield spreads</w:t>
      </w:r>
      <w:r w:rsidR="008A0531">
        <w:t>, measured as the difference in</w:t>
      </w:r>
      <w:r w:rsidR="00735931">
        <w:t xml:space="preserve"> 10-year sovereign bond yields between member</w:t>
      </w:r>
      <w:r w:rsidR="000525F5">
        <w:t>s</w:t>
      </w:r>
      <w:r w:rsidR="00735931">
        <w:t xml:space="preserve"> of the European Monetary Union and Germany</w:t>
      </w:r>
      <w:r>
        <w:t xml:space="preserve">. </w:t>
      </w:r>
      <w:r w:rsidR="00744ABC">
        <w:t xml:space="preserve">Second, this study </w:t>
      </w:r>
      <w:r w:rsidR="008F069C">
        <w:t>examine</w:t>
      </w:r>
      <w:r w:rsidR="00BC3DE7">
        <w:t>s</w:t>
      </w:r>
      <w:r w:rsidR="008F069C">
        <w:t xml:space="preserve"> the role of </w:t>
      </w:r>
      <w:r w:rsidR="00D83ACC">
        <w:t xml:space="preserve">the </w:t>
      </w:r>
      <w:r w:rsidR="008F069C">
        <w:t xml:space="preserve">origin of </w:t>
      </w:r>
      <w:r w:rsidR="008A0531">
        <w:t xml:space="preserve">the </w:t>
      </w:r>
      <w:r w:rsidR="008F069C">
        <w:t>oil price shocks in the aforementioned relation. To</w:t>
      </w:r>
      <w:r w:rsidR="008A0531">
        <w:t xml:space="preserve"> this end, we disentangle </w:t>
      </w:r>
      <w:r w:rsidR="008F069C">
        <w:t>th</w:t>
      </w:r>
      <w:r w:rsidR="008A0531">
        <w:t>ree structural oil price shocks: i) shocks to world oil supply;</w:t>
      </w:r>
      <w:r w:rsidR="008F069C">
        <w:t xml:space="preserve"> ii) oil price shocks arising f</w:t>
      </w:r>
      <w:r w:rsidR="008A0531">
        <w:t>rom changes in aggregate demand;</w:t>
      </w:r>
      <w:r w:rsidR="008F069C">
        <w:t xml:space="preserve"> and iii) </w:t>
      </w:r>
      <w:r w:rsidR="00D83ACC">
        <w:t>precautionary (</w:t>
      </w:r>
      <w:r w:rsidR="00406207">
        <w:t xml:space="preserve">or </w:t>
      </w:r>
      <w:r w:rsidR="008F069C">
        <w:t>oil-</w:t>
      </w:r>
      <w:r w:rsidR="00D83ACC">
        <w:t xml:space="preserve">market </w:t>
      </w:r>
      <w:r w:rsidR="008F069C">
        <w:t>specific</w:t>
      </w:r>
      <w:r w:rsidR="00D83ACC">
        <w:t>)</w:t>
      </w:r>
      <w:r w:rsidR="008F069C">
        <w:t xml:space="preserve"> demand shocks. </w:t>
      </w:r>
      <w:r w:rsidR="00735931">
        <w:t xml:space="preserve">Third, this </w:t>
      </w:r>
      <w:r w:rsidR="00F950E7">
        <w:rPr>
          <w:color w:val="000000" w:themeColor="text1"/>
        </w:rPr>
        <w:t xml:space="preserve">study </w:t>
      </w:r>
      <w:r w:rsidR="00285027">
        <w:rPr>
          <w:color w:val="000000" w:themeColor="text1"/>
        </w:rPr>
        <w:t>complements the existing literature</w:t>
      </w:r>
      <w:r w:rsidR="00E10F11">
        <w:rPr>
          <w:color w:val="000000" w:themeColor="text1"/>
        </w:rPr>
        <w:t xml:space="preserve"> by examining </w:t>
      </w:r>
      <w:r w:rsidR="00F8014A">
        <w:rPr>
          <w:color w:val="000000" w:themeColor="text1"/>
        </w:rPr>
        <w:t>th</w:t>
      </w:r>
      <w:r w:rsidR="0048666C">
        <w:rPr>
          <w:color w:val="000000" w:themeColor="text1"/>
        </w:rPr>
        <w:t>e</w:t>
      </w:r>
      <w:r w:rsidR="00F8014A">
        <w:rPr>
          <w:color w:val="000000" w:themeColor="text1"/>
        </w:rPr>
        <w:t xml:space="preserve"> </w:t>
      </w:r>
      <w:r w:rsidR="00F8014A" w:rsidRPr="00FC5FAC">
        <w:t>relationship</w:t>
      </w:r>
      <w:r w:rsidR="00F8014A">
        <w:t xml:space="preserve"> </w:t>
      </w:r>
      <w:r w:rsidR="0048666C">
        <w:t xml:space="preserve">between oil price </w:t>
      </w:r>
      <w:r w:rsidR="00EF6544">
        <w:t>shocks</w:t>
      </w:r>
      <w:r w:rsidR="0048666C">
        <w:t xml:space="preserve"> and EMU </w:t>
      </w:r>
      <w:r w:rsidR="00E32CD8">
        <w:t xml:space="preserve">sovereign yield spreads </w:t>
      </w:r>
      <w:r w:rsidR="00F8014A" w:rsidRPr="00FC5FAC">
        <w:t xml:space="preserve">in a time-varying </w:t>
      </w:r>
      <w:r w:rsidR="00F8014A">
        <w:t>framework</w:t>
      </w:r>
      <w:r w:rsidR="00735931">
        <w:t>.</w:t>
      </w:r>
      <w:r w:rsidR="00837021">
        <w:rPr>
          <w:rStyle w:val="FootnoteReference"/>
        </w:rPr>
        <w:footnoteReference w:id="9"/>
      </w:r>
      <w:r w:rsidR="000C37F7">
        <w:t xml:space="preserve"> </w:t>
      </w:r>
      <w:r w:rsidR="00735931">
        <w:t>To this end, w</w:t>
      </w:r>
      <w:r w:rsidR="00201993">
        <w:t>e employ a set of</w:t>
      </w:r>
      <w:r w:rsidR="000C37F7">
        <w:t xml:space="preserve"> core and </w:t>
      </w:r>
      <w:r w:rsidR="000C37F7" w:rsidRPr="00F11B5A">
        <w:t>peripher</w:t>
      </w:r>
      <w:r w:rsidR="00201993">
        <w:t xml:space="preserve">y oil-importing </w:t>
      </w:r>
      <w:r w:rsidR="000C37F7" w:rsidRPr="00FC5FAC">
        <w:t>member</w:t>
      </w:r>
      <w:r w:rsidR="000C37F7">
        <w:t>s</w:t>
      </w:r>
      <w:r w:rsidR="000C37F7" w:rsidRPr="00FC5FAC">
        <w:t xml:space="preserve"> of the </w:t>
      </w:r>
      <w:r w:rsidR="000C37F7">
        <w:t>Economic and Monetary Union (EMU).</w:t>
      </w:r>
      <w:r w:rsidR="002407EF">
        <w:t xml:space="preserve"> </w:t>
      </w:r>
      <w:r w:rsidR="00C122C8">
        <w:t xml:space="preserve">It is worth noting </w:t>
      </w:r>
      <w:r w:rsidR="002848BF">
        <w:rPr>
          <w:color w:val="000000" w:themeColor="text1"/>
        </w:rPr>
        <w:t>t</w:t>
      </w:r>
      <w:r w:rsidR="00C122C8">
        <w:rPr>
          <w:color w:val="000000" w:themeColor="text1"/>
        </w:rPr>
        <w:t xml:space="preserve">hat </w:t>
      </w:r>
      <w:r w:rsidR="002848BF">
        <w:rPr>
          <w:color w:val="000000" w:themeColor="text1"/>
        </w:rPr>
        <w:t>EMU</w:t>
      </w:r>
      <w:r w:rsidR="00C122C8">
        <w:rPr>
          <w:color w:val="000000" w:themeColor="text1"/>
        </w:rPr>
        <w:t xml:space="preserve"> is </w:t>
      </w:r>
      <w:r w:rsidR="001D3B1F">
        <w:rPr>
          <w:color w:val="000000" w:themeColor="text1"/>
        </w:rPr>
        <w:t xml:space="preserve">on aggregate </w:t>
      </w:r>
      <w:r w:rsidR="00201993">
        <w:rPr>
          <w:color w:val="000000" w:themeColor="text1"/>
        </w:rPr>
        <w:t>the largest oil-importer in</w:t>
      </w:r>
      <w:r w:rsidR="00285027">
        <w:rPr>
          <w:color w:val="000000" w:themeColor="text1"/>
        </w:rPr>
        <w:t xml:space="preserve"> the world</w:t>
      </w:r>
      <w:r w:rsidR="002848BF">
        <w:rPr>
          <w:color w:val="000000" w:themeColor="text1"/>
        </w:rPr>
        <w:t xml:space="preserve">. </w:t>
      </w:r>
    </w:p>
    <w:p w14:paraId="4002D8E8" w14:textId="7CA951E4" w:rsidR="00A850F1" w:rsidRDefault="001D3B1F" w:rsidP="00A850F1">
      <w:pPr>
        <w:suppressAutoHyphens/>
        <w:spacing w:line="360" w:lineRule="auto"/>
        <w:jc w:val="both"/>
      </w:pPr>
      <w:r>
        <w:t>T</w:t>
      </w:r>
      <w:r w:rsidRPr="00F11B5A">
        <w:t xml:space="preserve">he </w:t>
      </w:r>
      <w:r w:rsidR="004E6532" w:rsidRPr="00F11B5A">
        <w:t>distinction betwe</w:t>
      </w:r>
      <w:r w:rsidR="004E6532">
        <w:t xml:space="preserve">en core and </w:t>
      </w:r>
      <w:r w:rsidR="004E6532" w:rsidRPr="00F11B5A">
        <w:t>peripher</w:t>
      </w:r>
      <w:r w:rsidR="00201993">
        <w:t>y countries can</w:t>
      </w:r>
      <w:r w:rsidR="00F42CF3">
        <w:t xml:space="preserve"> be</w:t>
      </w:r>
      <w:r w:rsidR="00201993">
        <w:t xml:space="preserve"> justifi</w:t>
      </w:r>
      <w:r w:rsidR="004E6532">
        <w:t xml:space="preserve">ed </w:t>
      </w:r>
      <w:r w:rsidR="00201993">
        <w:t xml:space="preserve">by the view that </w:t>
      </w:r>
      <w:r w:rsidR="004E6532">
        <w:t xml:space="preserve">weaker periphery economies </w:t>
      </w:r>
      <w:r w:rsidR="004E6532" w:rsidRPr="009E2808">
        <w:rPr>
          <w:color w:val="000000" w:themeColor="text1"/>
        </w:rPr>
        <w:t>are expected to be more responsive</w:t>
      </w:r>
      <w:r w:rsidR="004E6532">
        <w:rPr>
          <w:color w:val="000000" w:themeColor="text1"/>
        </w:rPr>
        <w:t xml:space="preserve"> to </w:t>
      </w:r>
      <w:r w:rsidR="004E6532" w:rsidRPr="009E2808">
        <w:rPr>
          <w:color w:val="000000" w:themeColor="text1"/>
        </w:rPr>
        <w:t>oil price fluctuations</w:t>
      </w:r>
      <w:r w:rsidR="004E6532">
        <w:rPr>
          <w:color w:val="000000" w:themeColor="text1"/>
        </w:rPr>
        <w:t xml:space="preserve"> compared to </w:t>
      </w:r>
      <w:r w:rsidR="004E6532">
        <w:t>stronger core economies</w:t>
      </w:r>
      <w:r w:rsidR="00747F19">
        <w:t xml:space="preserve"> (see </w:t>
      </w:r>
      <w:proofErr w:type="spellStart"/>
      <w:r w:rsidR="00747F19">
        <w:t>Aizenman</w:t>
      </w:r>
      <w:proofErr w:type="spellEnd"/>
      <w:r w:rsidR="00747F19">
        <w:t xml:space="preserve"> et al., 2013)</w:t>
      </w:r>
      <w:r w:rsidR="004E6532">
        <w:t xml:space="preserve">. </w:t>
      </w:r>
      <w:r w:rsidR="00A34524">
        <w:t xml:space="preserve">Indeed, this could be </w:t>
      </w:r>
      <w:r>
        <w:t xml:space="preserve">the case for the </w:t>
      </w:r>
      <w:r w:rsidR="008200B7">
        <w:t>periphery countries due to</w:t>
      </w:r>
      <w:r w:rsidR="006D3332">
        <w:t xml:space="preserve"> their</w:t>
      </w:r>
      <w:r w:rsidR="00201993">
        <w:t>:</w:t>
      </w:r>
      <w:r w:rsidR="008200B7">
        <w:t xml:space="preserve"> </w:t>
      </w:r>
      <w:r w:rsidR="006D3332">
        <w:t>i)</w:t>
      </w:r>
      <w:r w:rsidR="000343B1">
        <w:t xml:space="preserve"> </w:t>
      </w:r>
      <w:r w:rsidR="008200B7">
        <w:t>differences in</w:t>
      </w:r>
      <w:r>
        <w:t xml:space="preserve"> </w:t>
      </w:r>
      <w:r w:rsidR="008200B7">
        <w:t xml:space="preserve">terms of </w:t>
      </w:r>
      <w:r>
        <w:t>trade</w:t>
      </w:r>
      <w:r w:rsidR="00201993">
        <w:t>,</w:t>
      </w:r>
      <w:r>
        <w:t xml:space="preserve"> </w:t>
      </w:r>
      <w:r w:rsidR="008200B7">
        <w:t xml:space="preserve">compared to core countries </w:t>
      </w:r>
      <w:r>
        <w:t>(</w:t>
      </w:r>
      <w:r w:rsidR="008200B7">
        <w:t>i.e. they run current account deficits</w:t>
      </w:r>
      <w:r>
        <w:t>)</w:t>
      </w:r>
      <w:r w:rsidR="00201993">
        <w:t>;</w:t>
      </w:r>
      <w:r w:rsidR="000343B1">
        <w:t xml:space="preserve"> </w:t>
      </w:r>
      <w:r w:rsidR="0048666C">
        <w:t>ii)</w:t>
      </w:r>
      <w:r w:rsidR="006D3332">
        <w:t xml:space="preserve"> slower adjustment</w:t>
      </w:r>
      <w:r>
        <w:t xml:space="preserve"> to external shocks</w:t>
      </w:r>
      <w:r w:rsidR="00A850F1">
        <w:t xml:space="preserve"> </w:t>
      </w:r>
      <w:r w:rsidR="00A850F1" w:rsidRPr="00404CDB">
        <w:t>(see</w:t>
      </w:r>
      <w:r w:rsidR="00A850F1">
        <w:t xml:space="preserve"> </w:t>
      </w:r>
      <w:proofErr w:type="spellStart"/>
      <w:r w:rsidR="00A850F1">
        <w:t>Celi</w:t>
      </w:r>
      <w:proofErr w:type="spellEnd"/>
      <w:r w:rsidR="00A850F1">
        <w:t xml:space="preserve"> et al., 2017)</w:t>
      </w:r>
      <w:r w:rsidR="00201993">
        <w:t>;</w:t>
      </w:r>
      <w:r w:rsidR="006D3332">
        <w:t xml:space="preserve"> and iii) high dependence on imported energy (see Gibson et al</w:t>
      </w:r>
      <w:r w:rsidR="0048666C">
        <w:t>.</w:t>
      </w:r>
      <w:r w:rsidR="006D3332">
        <w:t>, 2012)</w:t>
      </w:r>
      <w:r w:rsidR="006650D9">
        <w:t>.</w:t>
      </w:r>
    </w:p>
    <w:p w14:paraId="39683B4F" w14:textId="0D8698F7" w:rsidR="00327877" w:rsidRDefault="00327877" w:rsidP="00A850F1">
      <w:pPr>
        <w:suppressAutoHyphens/>
        <w:spacing w:line="360" w:lineRule="auto"/>
        <w:jc w:val="both"/>
      </w:pPr>
      <w:r>
        <w:lastRenderedPageBreak/>
        <w:t>The empirical methodology proceeds in two steps. In the first step, we estimate a structural VAR model, which helps us uncover the three structural oil price shocks, as in</w:t>
      </w:r>
      <w:r w:rsidR="00FB5FD3">
        <w:t xml:space="preserve"> Kilian (2009)</w:t>
      </w:r>
      <w:r>
        <w:t xml:space="preserve">. In </w:t>
      </w:r>
      <w:r w:rsidR="00FB5FD3">
        <w:t>the</w:t>
      </w:r>
      <w:r>
        <w:t xml:space="preserve"> second step, we </w:t>
      </w:r>
      <w:r w:rsidR="00D24045">
        <w:t>interplay</w:t>
      </w:r>
      <w:r>
        <w:t xml:space="preserve"> the structural oil price shocks </w:t>
      </w:r>
      <w:r w:rsidR="00D24045">
        <w:t>with sovereign yield spreads in a multivariate GARCH (MGARCH) model.  By way of the M</w:t>
      </w:r>
      <w:r w:rsidR="00FB5FD3">
        <w:t>G</w:t>
      </w:r>
      <w:r w:rsidR="00D24045">
        <w:t xml:space="preserve">ARCH model, we estimate the time-varying correlations among oil price shocks and sovereign yield spreads.  </w:t>
      </w:r>
    </w:p>
    <w:p w14:paraId="556AFFD9" w14:textId="78CFD02F" w:rsidR="003D1622" w:rsidRDefault="00A85726" w:rsidP="00A85726">
      <w:pPr>
        <w:suppressAutoHyphens/>
        <w:spacing w:line="360" w:lineRule="auto"/>
        <w:jc w:val="both"/>
      </w:pPr>
      <w:r w:rsidRPr="008E2845">
        <w:t>Our main findings reveal the following empirical regularities</w:t>
      </w:r>
      <w:r w:rsidR="00E21D73">
        <w:t xml:space="preserve">. First, </w:t>
      </w:r>
      <w:r w:rsidRPr="008E2845">
        <w:t>correlation</w:t>
      </w:r>
      <w:r w:rsidR="00E21D73">
        <w:t>s</w:t>
      </w:r>
      <w:r w:rsidRPr="008E2845">
        <w:t xml:space="preserve"> between sovereign yield spreads and different oil price shocks </w:t>
      </w:r>
      <w:r w:rsidR="00E21D73">
        <w:t>show</w:t>
      </w:r>
      <w:r w:rsidRPr="008E2845">
        <w:t xml:space="preserve"> a time-varying behaviour</w:t>
      </w:r>
      <w:r w:rsidR="00E21D73">
        <w:t>,</w:t>
      </w:r>
      <w:r w:rsidR="003A2CA6">
        <w:t xml:space="preserve"> </w:t>
      </w:r>
      <w:r w:rsidRPr="008E2845">
        <w:t>which alternates between positive and negative values and exhibit</w:t>
      </w:r>
      <w:r w:rsidR="00954BF6">
        <w:t>s</w:t>
      </w:r>
      <w:r w:rsidRPr="008E2845">
        <w:t xml:space="preserve"> heterogeneous patterns</w:t>
      </w:r>
      <w:r w:rsidR="00FB5FD3">
        <w:t xml:space="preserve"> among the three shocks</w:t>
      </w:r>
      <w:r w:rsidR="00397FCA">
        <w:t>.</w:t>
      </w:r>
      <w:r w:rsidRPr="008E2845">
        <w:t xml:space="preserve"> </w:t>
      </w:r>
      <w:r w:rsidR="00397FCA">
        <w:t>S</w:t>
      </w:r>
      <w:r w:rsidR="00FB5FD3" w:rsidRPr="00FA6CDB">
        <w:t>econd,</w:t>
      </w:r>
      <w:r w:rsidR="003D1622">
        <w:t xml:space="preserve"> </w:t>
      </w:r>
      <w:r w:rsidR="003D1622" w:rsidRPr="003D1622">
        <w:t>although correlations appear to fluctuate at relatively low values in the pre-2008 period, this pattern changes to relatively moderate and more volatile correlatio</w:t>
      </w:r>
      <w:r w:rsidR="00397FCA">
        <w:t xml:space="preserve">ns in after </w:t>
      </w:r>
      <w:r w:rsidR="003D1622">
        <w:t>2008</w:t>
      </w:r>
      <w:r w:rsidR="00397FCA">
        <w:t>.</w:t>
      </w:r>
      <w:r w:rsidR="003D1622">
        <w:t xml:space="preserve"> </w:t>
      </w:r>
      <w:r w:rsidR="00397FCA">
        <w:t>T</w:t>
      </w:r>
      <w:r w:rsidR="00FB5FD3" w:rsidRPr="00FA6CDB">
        <w:t>hir</w:t>
      </w:r>
      <w:r w:rsidR="00FB5FD3">
        <w:t>d,</w:t>
      </w:r>
      <w:r w:rsidRPr="008E2845">
        <w:t xml:space="preserve"> we </w:t>
      </w:r>
      <w:r w:rsidR="00653558">
        <w:t xml:space="preserve">do not </w:t>
      </w:r>
      <w:r w:rsidR="00397FCA">
        <w:t>produce</w:t>
      </w:r>
      <w:r w:rsidRPr="008E2845">
        <w:t xml:space="preserve"> </w:t>
      </w:r>
      <w:r w:rsidR="00653558">
        <w:t>noticeable</w:t>
      </w:r>
      <w:r w:rsidR="00F15904">
        <w:t xml:space="preserve"> </w:t>
      </w:r>
      <w:r w:rsidRPr="008E2845">
        <w:t>evidence of differentiation in the correlation patterns of the sovereign yield sp</w:t>
      </w:r>
      <w:r w:rsidR="00295F84">
        <w:t xml:space="preserve">reads </w:t>
      </w:r>
      <w:r w:rsidR="0083190B">
        <w:t xml:space="preserve">and different oil price shocks </w:t>
      </w:r>
      <w:r w:rsidR="00295F84">
        <w:t>between</w:t>
      </w:r>
      <w:r w:rsidR="00397FCA">
        <w:t xml:space="preserve"> </w:t>
      </w:r>
      <w:r w:rsidR="0083190B">
        <w:t>core and periphery countries</w:t>
      </w:r>
      <w:r w:rsidRPr="008E2845">
        <w:t xml:space="preserve">. </w:t>
      </w:r>
    </w:p>
    <w:p w14:paraId="02B39A19" w14:textId="43019923" w:rsidR="00837021" w:rsidRDefault="00DD3D4A" w:rsidP="002748A7">
      <w:pPr>
        <w:suppressAutoHyphens/>
        <w:spacing w:line="360" w:lineRule="auto"/>
        <w:jc w:val="both"/>
      </w:pPr>
      <w:r>
        <w:t>The rest of this paper is structured as follows. Section 2 discusses the existing literature</w:t>
      </w:r>
      <w:r w:rsidR="006E5D4B">
        <w:t xml:space="preserve"> in the field </w:t>
      </w:r>
      <w:r w:rsidR="00790354">
        <w:t>and presents the hypotheses under investigation</w:t>
      </w:r>
      <w:r>
        <w:t>. Section 3 describes the data used and provides a preliminary analysis. Section 4 presents the econometric model employed in this study. The empirical findings are reported and analysed in Secti</w:t>
      </w:r>
      <w:r w:rsidR="008C4740">
        <w:t>on 5. Finally, Section 6</w:t>
      </w:r>
      <w:r>
        <w:t xml:space="preserve"> concludes the study.</w:t>
      </w:r>
    </w:p>
    <w:p w14:paraId="1D529761" w14:textId="77777777" w:rsidR="008668BB" w:rsidRDefault="008668BB" w:rsidP="002748A7">
      <w:pPr>
        <w:suppressAutoHyphens/>
        <w:spacing w:line="360" w:lineRule="auto"/>
        <w:jc w:val="both"/>
        <w:rPr>
          <w:color w:val="FF0000"/>
        </w:rPr>
      </w:pPr>
    </w:p>
    <w:p w14:paraId="3708849B" w14:textId="678409D7" w:rsidR="00EF66CC" w:rsidRDefault="008D10AC" w:rsidP="002748A7">
      <w:pPr>
        <w:suppressAutoHyphens/>
        <w:spacing w:line="360" w:lineRule="auto"/>
        <w:jc w:val="both"/>
        <w:rPr>
          <w:b/>
        </w:rPr>
      </w:pPr>
      <w:r>
        <w:rPr>
          <w:b/>
        </w:rPr>
        <w:t xml:space="preserve">2. </w:t>
      </w:r>
      <w:r w:rsidR="008B367A">
        <w:rPr>
          <w:b/>
        </w:rPr>
        <w:t xml:space="preserve">Brief </w:t>
      </w:r>
      <w:r>
        <w:rPr>
          <w:b/>
        </w:rPr>
        <w:t>review</w:t>
      </w:r>
      <w:r w:rsidR="008B367A">
        <w:rPr>
          <w:b/>
        </w:rPr>
        <w:t xml:space="preserve"> of the l</w:t>
      </w:r>
      <w:r w:rsidR="008B367A" w:rsidRPr="008B367A">
        <w:rPr>
          <w:b/>
        </w:rPr>
        <w:t>iterature</w:t>
      </w:r>
      <w:r w:rsidR="00BD0386">
        <w:rPr>
          <w:b/>
        </w:rPr>
        <w:t>, theoretical channels between oil prices and government bond yiel</w:t>
      </w:r>
      <w:r w:rsidR="007A0286">
        <w:rPr>
          <w:b/>
        </w:rPr>
        <w:t>d</w:t>
      </w:r>
      <w:r w:rsidR="00BD0386">
        <w:rPr>
          <w:b/>
        </w:rPr>
        <w:t>s</w:t>
      </w:r>
      <w:r w:rsidR="0033102F">
        <w:rPr>
          <w:b/>
        </w:rPr>
        <w:t xml:space="preserve"> and hypotheses development</w:t>
      </w:r>
    </w:p>
    <w:p w14:paraId="6D7BA5FE" w14:textId="513C4B54" w:rsidR="007A0286" w:rsidRPr="007A0286" w:rsidRDefault="007A0286" w:rsidP="00897230">
      <w:pPr>
        <w:suppressAutoHyphens/>
        <w:spacing w:line="360" w:lineRule="auto"/>
        <w:jc w:val="both"/>
        <w:rPr>
          <w:i/>
        </w:rPr>
      </w:pPr>
      <w:r w:rsidRPr="007A0286">
        <w:rPr>
          <w:i/>
        </w:rPr>
        <w:t>2.1 Brief review of the literature</w:t>
      </w:r>
    </w:p>
    <w:p w14:paraId="316416FE" w14:textId="26C9A65A" w:rsidR="00897230" w:rsidRDefault="006E5D4B" w:rsidP="00897230">
      <w:pPr>
        <w:suppressAutoHyphens/>
        <w:spacing w:line="360" w:lineRule="auto"/>
        <w:jc w:val="both"/>
      </w:pPr>
      <w:r>
        <w:t xml:space="preserve">As </w:t>
      </w:r>
      <w:r w:rsidR="00183E2C">
        <w:t xml:space="preserve">was mentioned in </w:t>
      </w:r>
      <w:r w:rsidR="00AF6FF5">
        <w:t>Section 1</w:t>
      </w:r>
      <w:r w:rsidR="00183E2C">
        <w:t>, oil price changes exert</w:t>
      </w:r>
      <w:r>
        <w:t xml:space="preserve"> a significant impact on the econom</w:t>
      </w:r>
      <w:r w:rsidR="00CE3CCD">
        <w:t>y</w:t>
      </w:r>
      <w:r>
        <w:t xml:space="preserve"> and trigger responses from macroeconomic indicators. </w:t>
      </w:r>
      <w:r w:rsidR="00183E2C">
        <w:t>Indeed, Hamilton (1983)</w:t>
      </w:r>
      <w:r w:rsidR="00CE3CCD">
        <w:t xml:space="preserve"> was among the first to c</w:t>
      </w:r>
      <w:r w:rsidR="00183E2C">
        <w:t xml:space="preserve">oncentrate the attention of </w:t>
      </w:r>
      <w:r w:rsidR="00CE3CCD">
        <w:t xml:space="preserve">researchers on the important role that oil prices play in </w:t>
      </w:r>
      <w:r w:rsidR="00183E2C">
        <w:t xml:space="preserve">determining </w:t>
      </w:r>
      <w:r w:rsidR="00CE3CCD">
        <w:t xml:space="preserve">economic activity. </w:t>
      </w:r>
      <w:r w:rsidR="00897230" w:rsidRPr="00182620">
        <w:t xml:space="preserve">Overall, </w:t>
      </w:r>
      <w:r w:rsidR="00897230">
        <w:t xml:space="preserve">there is a wealth of literature which provides empirical evidence that </w:t>
      </w:r>
      <w:r w:rsidR="00183E2C">
        <w:t>oil prices have</w:t>
      </w:r>
      <w:r w:rsidR="00897230">
        <w:t xml:space="preserve"> significant effects</w:t>
      </w:r>
      <w:r w:rsidR="00897230" w:rsidRPr="00182620">
        <w:t xml:space="preserve"> on the economy</w:t>
      </w:r>
      <w:r w:rsidR="00897230">
        <w:t>.</w:t>
      </w:r>
      <w:r w:rsidR="00897230">
        <w:rPr>
          <w:rStyle w:val="CommentReference"/>
        </w:rPr>
        <w:t xml:space="preserve"> </w:t>
      </w:r>
      <w:r w:rsidR="00897230">
        <w:t xml:space="preserve">An in-depth review of the related literature can be found in </w:t>
      </w:r>
      <w:proofErr w:type="spellStart"/>
      <w:r w:rsidR="00897230">
        <w:t>Degiannakis</w:t>
      </w:r>
      <w:proofErr w:type="spellEnd"/>
      <w:r w:rsidR="00897230">
        <w:t xml:space="preserve"> et al. (</w:t>
      </w:r>
      <w:r w:rsidR="00F32F4D">
        <w:t>2018</w:t>
      </w:r>
      <w:r w:rsidR="00897230">
        <w:t>).</w:t>
      </w:r>
    </w:p>
    <w:p w14:paraId="26A209BE" w14:textId="127C8034" w:rsidR="0018298B" w:rsidRPr="001769A9" w:rsidRDefault="007C1019" w:rsidP="00404CDB">
      <w:pPr>
        <w:suppressAutoHyphens/>
        <w:spacing w:line="360" w:lineRule="auto"/>
        <w:jc w:val="both"/>
        <w:rPr>
          <w:color w:val="000000" w:themeColor="text1"/>
        </w:rPr>
      </w:pPr>
      <w:r>
        <w:t xml:space="preserve">In addition, </w:t>
      </w:r>
      <w:r w:rsidR="00152107">
        <w:t xml:space="preserve">since </w:t>
      </w:r>
      <w:r w:rsidR="00152107" w:rsidRPr="00FC5FAC">
        <w:t>unexpected oil price changes</w:t>
      </w:r>
      <w:r w:rsidR="00152107">
        <w:t xml:space="preserve"> appear to exert a significan</w:t>
      </w:r>
      <w:r w:rsidR="00183E2C">
        <w:t>t impact on the economy</w:t>
      </w:r>
      <w:r w:rsidR="00152107">
        <w:t xml:space="preserve">, it is reasonable to ask whether oil price fluctuations affect the risk level of the economy. </w:t>
      </w:r>
      <w:r w:rsidR="00183E2C">
        <w:t>The existing literature along</w:t>
      </w:r>
      <w:r w:rsidR="0018298B">
        <w:t xml:space="preserve"> this line of research attempts to explore </w:t>
      </w:r>
      <w:r w:rsidR="0018298B">
        <w:rPr>
          <w:color w:val="000000" w:themeColor="text1"/>
        </w:rPr>
        <w:lastRenderedPageBreak/>
        <w:t xml:space="preserve">the channel which suggests that oil price movements </w:t>
      </w:r>
      <w:r w:rsidR="001769A9">
        <w:rPr>
          <w:color w:val="000000" w:themeColor="text1"/>
        </w:rPr>
        <w:t xml:space="preserve">are of consequence for </w:t>
      </w:r>
      <w:r w:rsidR="0018298B">
        <w:rPr>
          <w:color w:val="000000" w:themeColor="text1"/>
        </w:rPr>
        <w:t>sovereign risk.</w:t>
      </w:r>
      <w:r w:rsidR="0018298B">
        <w:t xml:space="preserve"> </w:t>
      </w:r>
      <w:r w:rsidR="0018298B">
        <w:rPr>
          <w:color w:val="000000" w:themeColor="text1"/>
        </w:rPr>
        <w:t xml:space="preserve">Some related studies which have considered this relationship include papers by </w:t>
      </w:r>
      <w:r w:rsidR="0018298B">
        <w:t xml:space="preserve">Bouri et al. </w:t>
      </w:r>
      <w:r w:rsidR="0018298B" w:rsidRPr="0084323B">
        <w:rPr>
          <w:lang w:val="fr-FR"/>
        </w:rPr>
        <w:t xml:space="preserve">(2018), </w:t>
      </w:r>
      <w:r w:rsidR="0018298B" w:rsidRPr="0084323B">
        <w:rPr>
          <w:color w:val="000000" w:themeColor="text1"/>
          <w:lang w:val="fr-FR"/>
        </w:rPr>
        <w:t xml:space="preserve">Bouri et al. (2017), Lee et al. (2017), </w:t>
      </w:r>
      <w:proofErr w:type="spellStart"/>
      <w:r w:rsidR="0018298B" w:rsidRPr="0084323B">
        <w:rPr>
          <w:color w:val="000000" w:themeColor="text1"/>
          <w:lang w:val="fr-FR"/>
        </w:rPr>
        <w:t>Shahzad</w:t>
      </w:r>
      <w:proofErr w:type="spellEnd"/>
      <w:r w:rsidR="0018298B" w:rsidRPr="0084323B">
        <w:rPr>
          <w:color w:val="000000" w:themeColor="text1"/>
          <w:lang w:val="fr-FR"/>
        </w:rPr>
        <w:t xml:space="preserve"> et al. (2017), Wegener et al. </w:t>
      </w:r>
      <w:r w:rsidR="0018298B">
        <w:rPr>
          <w:color w:val="000000" w:themeColor="text1"/>
        </w:rPr>
        <w:t>(201</w:t>
      </w:r>
      <w:r w:rsidR="00042E3D">
        <w:rPr>
          <w:color w:val="000000" w:themeColor="text1"/>
        </w:rPr>
        <w:t>6)</w:t>
      </w:r>
      <w:r w:rsidR="00EA227E">
        <w:rPr>
          <w:color w:val="000000" w:themeColor="text1"/>
        </w:rPr>
        <w:t>,</w:t>
      </w:r>
      <w:r w:rsidR="00042E3D">
        <w:rPr>
          <w:color w:val="000000" w:themeColor="text1"/>
        </w:rPr>
        <w:t xml:space="preserve"> </w:t>
      </w:r>
      <w:proofErr w:type="spellStart"/>
      <w:r w:rsidR="008762AB">
        <w:rPr>
          <w:color w:val="000000" w:themeColor="text1"/>
        </w:rPr>
        <w:t>Aizenman</w:t>
      </w:r>
      <w:proofErr w:type="spellEnd"/>
      <w:r w:rsidR="008762AB">
        <w:rPr>
          <w:color w:val="000000" w:themeColor="text1"/>
        </w:rPr>
        <w:t xml:space="preserve"> et al. (2013) </w:t>
      </w:r>
      <w:r w:rsidR="00042E3D">
        <w:rPr>
          <w:color w:val="000000" w:themeColor="text1"/>
        </w:rPr>
        <w:t>and Alexandre and d</w:t>
      </w:r>
      <w:r w:rsidR="0018298B">
        <w:rPr>
          <w:color w:val="000000" w:themeColor="text1"/>
        </w:rPr>
        <w:t xml:space="preserve">e </w:t>
      </w:r>
      <w:r w:rsidR="00042E3D">
        <w:rPr>
          <w:color w:val="000000" w:themeColor="text1"/>
        </w:rPr>
        <w:t xml:space="preserve">Benoist </w:t>
      </w:r>
      <w:r w:rsidR="0018298B">
        <w:rPr>
          <w:color w:val="000000" w:themeColor="text1"/>
        </w:rPr>
        <w:t>(2010).</w:t>
      </w:r>
    </w:p>
    <w:p w14:paraId="082A2891" w14:textId="14182E34" w:rsidR="00396F51" w:rsidRPr="00CD45C2" w:rsidRDefault="00CD45C2" w:rsidP="00EF42BF">
      <w:pPr>
        <w:spacing w:line="360" w:lineRule="auto"/>
        <w:jc w:val="both"/>
      </w:pPr>
      <w:r>
        <w:t xml:space="preserve">In </w:t>
      </w:r>
      <w:r>
        <w:rPr>
          <w:color w:val="000000" w:themeColor="text1"/>
        </w:rPr>
        <w:t>particular</w:t>
      </w:r>
      <w:r w:rsidR="008A4BFC">
        <w:rPr>
          <w:color w:val="000000" w:themeColor="text1"/>
        </w:rPr>
        <w:t>,</w:t>
      </w:r>
      <w:r w:rsidR="002F43CF">
        <w:rPr>
          <w:color w:val="000000" w:themeColor="text1"/>
        </w:rPr>
        <w:t xml:space="preserve"> </w:t>
      </w:r>
      <w:r w:rsidR="00042E3D">
        <w:rPr>
          <w:color w:val="000000" w:themeColor="text1"/>
        </w:rPr>
        <w:t>Alexandre and d</w:t>
      </w:r>
      <w:r w:rsidR="00682FE2">
        <w:rPr>
          <w:color w:val="000000" w:themeColor="text1"/>
        </w:rPr>
        <w:t xml:space="preserve">e </w:t>
      </w:r>
      <w:r w:rsidR="00042E3D">
        <w:rPr>
          <w:color w:val="000000" w:themeColor="text1"/>
        </w:rPr>
        <w:t xml:space="preserve">Benoist </w:t>
      </w:r>
      <w:r w:rsidR="00396F51">
        <w:rPr>
          <w:color w:val="000000" w:themeColor="text1"/>
        </w:rPr>
        <w:t xml:space="preserve">(2010) examine the effect of </w:t>
      </w:r>
      <w:r w:rsidR="00333D98">
        <w:rPr>
          <w:color w:val="000000" w:themeColor="text1"/>
        </w:rPr>
        <w:t xml:space="preserve">changes in </w:t>
      </w:r>
      <w:r w:rsidR="00396F51">
        <w:rPr>
          <w:color w:val="000000" w:themeColor="text1"/>
        </w:rPr>
        <w:t xml:space="preserve">oil prices on government </w:t>
      </w:r>
      <w:r w:rsidR="00396F51">
        <w:t xml:space="preserve">bond risk premiums of emerging countries. They use the Emerging Market Bond Index Global (EMBIG) </w:t>
      </w:r>
      <w:r w:rsidR="00333D98">
        <w:t>index as a measure</w:t>
      </w:r>
      <w:r w:rsidR="00396F51">
        <w:t xml:space="preserve"> of global risk. They employ a panel analysis and argue that the risk premium of </w:t>
      </w:r>
      <w:r w:rsidR="00396F51">
        <w:rPr>
          <w:color w:val="000000" w:themeColor="text1"/>
        </w:rPr>
        <w:t xml:space="preserve">government </w:t>
      </w:r>
      <w:r w:rsidR="00396F51">
        <w:t>bonds is positively and significantly affected by highe</w:t>
      </w:r>
      <w:r w:rsidR="001329BF">
        <w:t xml:space="preserve">r oil prices. </w:t>
      </w:r>
      <w:r w:rsidR="005346E2" w:rsidRPr="009C0488">
        <w:t xml:space="preserve">Concerning </w:t>
      </w:r>
      <w:r w:rsidR="00E66DCA">
        <w:t>the EU</w:t>
      </w:r>
      <w:r w:rsidR="005346E2">
        <w:t xml:space="preserve"> market</w:t>
      </w:r>
      <w:r w:rsidR="005346E2" w:rsidRPr="009C0488">
        <w:t xml:space="preserve">, </w:t>
      </w:r>
      <w:proofErr w:type="spellStart"/>
      <w:r w:rsidR="005346E2" w:rsidRPr="009C0488">
        <w:t>Aizenman</w:t>
      </w:r>
      <w:proofErr w:type="spellEnd"/>
      <w:r w:rsidR="005346E2" w:rsidRPr="009C0488">
        <w:t xml:space="preserve"> et al. (201</w:t>
      </w:r>
      <w:r w:rsidR="005346E2">
        <w:t>3</w:t>
      </w:r>
      <w:r w:rsidR="005346E2" w:rsidRPr="009C0488">
        <w:t>)</w:t>
      </w:r>
      <w:r w:rsidR="005346E2">
        <w:t xml:space="preserve"> employ a generalis</w:t>
      </w:r>
      <w:r w:rsidR="005346E2" w:rsidRPr="00CF7AAB">
        <w:t>ed method of moment</w:t>
      </w:r>
      <w:r w:rsidR="00480D3A">
        <w:t>s</w:t>
      </w:r>
      <w:r w:rsidR="005346E2" w:rsidRPr="00CF7AAB">
        <w:t xml:space="preserve"> approach</w:t>
      </w:r>
      <w:r w:rsidR="005346E2">
        <w:t xml:space="preserve"> and suggest that rises in w</w:t>
      </w:r>
      <w:r w:rsidR="005346E2" w:rsidRPr="009C0488">
        <w:t xml:space="preserve">orld commodity </w:t>
      </w:r>
      <w:r w:rsidR="001329BF">
        <w:t xml:space="preserve">prices </w:t>
      </w:r>
      <w:r w:rsidR="005346E2" w:rsidRPr="009C0488">
        <w:t>and oil price</w:t>
      </w:r>
      <w:r w:rsidR="001329BF">
        <w:t>s</w:t>
      </w:r>
      <w:r w:rsidR="005346E2">
        <w:t xml:space="preserve"> lead to lower </w:t>
      </w:r>
      <w:r w:rsidR="005346E2" w:rsidRPr="00883D71">
        <w:t>sovereign CDS spreads</w:t>
      </w:r>
      <w:r w:rsidR="005346E2">
        <w:t>.</w:t>
      </w:r>
      <w:r w:rsidR="001329BF">
        <w:t xml:space="preserve"> They argue that this could be explained by the fact that global economic conditions are largely strong when both prices are increasing.</w:t>
      </w:r>
      <w:r w:rsidR="00EF42BF">
        <w:t xml:space="preserve"> </w:t>
      </w:r>
      <w:r w:rsidR="00396F51">
        <w:t xml:space="preserve">Furthermore, </w:t>
      </w:r>
      <w:r w:rsidR="004F1559">
        <w:rPr>
          <w:color w:val="000000" w:themeColor="text1"/>
        </w:rPr>
        <w:t xml:space="preserve">Wegener et al. (2016) use data </w:t>
      </w:r>
      <w:r w:rsidR="00333D98">
        <w:rPr>
          <w:rFonts w:eastAsia="Calibri"/>
          <w:lang w:val="en-US"/>
        </w:rPr>
        <w:t>from nine oil-</w:t>
      </w:r>
      <w:r w:rsidR="004F1559" w:rsidRPr="00A318D2">
        <w:rPr>
          <w:rFonts w:eastAsia="Calibri"/>
          <w:lang w:val="en-US"/>
        </w:rPr>
        <w:t>producing countries</w:t>
      </w:r>
      <w:r w:rsidR="004F1559">
        <w:rPr>
          <w:rFonts w:eastAsia="Calibri"/>
          <w:lang w:val="en-US"/>
        </w:rPr>
        <w:t xml:space="preserve"> to </w:t>
      </w:r>
      <w:r w:rsidR="004F1559">
        <w:rPr>
          <w:color w:val="000000" w:themeColor="text1"/>
        </w:rPr>
        <w:t xml:space="preserve">investigate the relationship between </w:t>
      </w:r>
      <w:r w:rsidR="004F1559" w:rsidRPr="00A318D2">
        <w:rPr>
          <w:rFonts w:eastAsia="Calibri"/>
          <w:lang w:val="en-US"/>
        </w:rPr>
        <w:t>oil prices</w:t>
      </w:r>
      <w:r w:rsidR="004F1559">
        <w:rPr>
          <w:rFonts w:eastAsia="Calibri"/>
          <w:lang w:val="en-US"/>
        </w:rPr>
        <w:t xml:space="preserve"> and </w:t>
      </w:r>
      <w:r w:rsidR="004F07A1">
        <w:rPr>
          <w:rFonts w:eastAsia="Calibri"/>
          <w:lang w:val="en-US"/>
        </w:rPr>
        <w:t>sovereign</w:t>
      </w:r>
      <w:r w:rsidR="005B32E8">
        <w:rPr>
          <w:rFonts w:eastAsia="Calibri"/>
          <w:lang w:val="en-US"/>
        </w:rPr>
        <w:t xml:space="preserve"> </w:t>
      </w:r>
      <w:r w:rsidR="004F1559" w:rsidRPr="00A318D2">
        <w:rPr>
          <w:rFonts w:eastAsia="Calibri"/>
          <w:lang w:val="en-US"/>
        </w:rPr>
        <w:t>CDS</w:t>
      </w:r>
      <w:r w:rsidR="004F1559">
        <w:rPr>
          <w:rFonts w:eastAsia="Calibri"/>
          <w:lang w:val="en-US"/>
        </w:rPr>
        <w:t xml:space="preserve"> spreads. The</w:t>
      </w:r>
      <w:r w:rsidR="001260CD">
        <w:rPr>
          <w:rFonts w:eastAsia="Calibri"/>
          <w:lang w:val="en-US"/>
        </w:rPr>
        <w:t>y</w:t>
      </w:r>
      <w:r w:rsidR="004F1559">
        <w:rPr>
          <w:rFonts w:eastAsia="Calibri"/>
          <w:lang w:val="en-US"/>
        </w:rPr>
        <w:t xml:space="preserve"> employ </w:t>
      </w:r>
      <w:r w:rsidR="004F1559" w:rsidRPr="00A318D2">
        <w:rPr>
          <w:rFonts w:eastAsia="Calibri"/>
          <w:lang w:val="en-US"/>
        </w:rPr>
        <w:t>bivariate VAR-GARCH-in-mean models</w:t>
      </w:r>
      <w:r w:rsidR="004F1559">
        <w:rPr>
          <w:rFonts w:eastAsia="Calibri"/>
          <w:lang w:val="en-US"/>
        </w:rPr>
        <w:t xml:space="preserve"> and document that </w:t>
      </w:r>
      <w:r w:rsidR="004F1559" w:rsidRPr="00A318D2">
        <w:rPr>
          <w:rFonts w:eastAsia="Calibri"/>
          <w:lang w:val="en-US"/>
        </w:rPr>
        <w:t>positive oil price shocks lead to lower sovereign CDS spreads.</w:t>
      </w:r>
      <w:r w:rsidR="002F43CF">
        <w:rPr>
          <w:rFonts w:eastAsia="Calibri"/>
          <w:lang w:val="en-US"/>
        </w:rPr>
        <w:t xml:space="preserve"> </w:t>
      </w:r>
    </w:p>
    <w:p w14:paraId="5462FE2B" w14:textId="75E5B277" w:rsidR="00BB0EF6" w:rsidRPr="00396F51" w:rsidRDefault="00396F51" w:rsidP="00775A8E">
      <w:pPr>
        <w:suppressAutoHyphens/>
        <w:spacing w:line="360" w:lineRule="auto"/>
        <w:jc w:val="both"/>
        <w:rPr>
          <w:color w:val="000000" w:themeColor="text1"/>
        </w:rPr>
      </w:pPr>
      <w:r>
        <w:rPr>
          <w:color w:val="000000" w:themeColor="text1"/>
        </w:rPr>
        <w:t>Additionally,</w:t>
      </w:r>
      <w:r w:rsidR="00524226">
        <w:rPr>
          <w:color w:val="000000" w:themeColor="text1"/>
        </w:rPr>
        <w:t xml:space="preserve"> </w:t>
      </w:r>
      <w:r w:rsidR="002F43CF">
        <w:rPr>
          <w:color w:val="000000" w:themeColor="text1"/>
        </w:rPr>
        <w:t xml:space="preserve">Bouri et al. (2017) investigate </w:t>
      </w:r>
      <w:r w:rsidR="002F43CF" w:rsidRPr="005B60FF">
        <w:rPr>
          <w:rFonts w:eastAsia="Calibri"/>
          <w:lang w:val="en-US"/>
        </w:rPr>
        <w:t>the volatility tr</w:t>
      </w:r>
      <w:r w:rsidR="002F43CF">
        <w:rPr>
          <w:rFonts w:eastAsia="Calibri"/>
          <w:lang w:val="en-US"/>
        </w:rPr>
        <w:t xml:space="preserve">ansmission from commodities markets (including oil) to sovereign CDS </w:t>
      </w:r>
      <w:r w:rsidR="002F43CF" w:rsidRPr="005B60FF">
        <w:rPr>
          <w:rFonts w:eastAsia="Calibri"/>
          <w:lang w:val="en-US"/>
        </w:rPr>
        <w:t>spreads</w:t>
      </w:r>
      <w:r w:rsidR="002F43CF">
        <w:rPr>
          <w:rFonts w:eastAsia="Calibri"/>
          <w:lang w:val="en-US"/>
        </w:rPr>
        <w:t xml:space="preserve"> for a sample of </w:t>
      </w:r>
      <w:r w:rsidR="002F43CF" w:rsidRPr="005B60FF">
        <w:rPr>
          <w:rFonts w:eastAsia="Calibri"/>
          <w:lang w:val="en-US"/>
        </w:rPr>
        <w:t>emerging and frontier</w:t>
      </w:r>
      <w:r w:rsidR="002F43CF">
        <w:rPr>
          <w:rFonts w:eastAsia="Calibri"/>
          <w:lang w:val="en-US"/>
        </w:rPr>
        <w:t xml:space="preserve"> </w:t>
      </w:r>
      <w:r w:rsidR="002F43CF" w:rsidRPr="005B60FF">
        <w:rPr>
          <w:rFonts w:eastAsia="Calibri"/>
          <w:lang w:val="en-US"/>
        </w:rPr>
        <w:t>markets</w:t>
      </w:r>
      <w:r w:rsidR="002F43CF">
        <w:rPr>
          <w:rFonts w:eastAsia="Calibri"/>
          <w:lang w:val="en-US"/>
        </w:rPr>
        <w:t xml:space="preserve">. They employ a Lagrange Multiplier methodology and report that sovereign CDS </w:t>
      </w:r>
      <w:r w:rsidR="002F43CF" w:rsidRPr="005B60FF">
        <w:rPr>
          <w:rFonts w:eastAsia="Calibri"/>
          <w:lang w:val="en-US"/>
        </w:rPr>
        <w:t>spreads</w:t>
      </w:r>
      <w:r w:rsidR="002F43CF">
        <w:rPr>
          <w:rFonts w:eastAsia="Calibri"/>
          <w:lang w:val="en-US"/>
        </w:rPr>
        <w:t xml:space="preserve"> are significantly affected by commodity price volatility</w:t>
      </w:r>
      <w:r w:rsidR="00BB0EF6">
        <w:rPr>
          <w:rFonts w:eastAsia="Calibri"/>
          <w:lang w:val="en-US"/>
        </w:rPr>
        <w:t>.</w:t>
      </w:r>
      <w:r w:rsidR="00BB0EF6">
        <w:rPr>
          <w:color w:val="000000" w:themeColor="text1"/>
          <w:lang w:val="en-US"/>
        </w:rPr>
        <w:t xml:space="preserve"> </w:t>
      </w:r>
      <w:r>
        <w:rPr>
          <w:color w:val="000000" w:themeColor="text1"/>
          <w:lang w:val="en-US"/>
        </w:rPr>
        <w:t xml:space="preserve">Moreover, </w:t>
      </w:r>
      <w:r w:rsidR="008D489E">
        <w:rPr>
          <w:color w:val="000000" w:themeColor="text1"/>
        </w:rPr>
        <w:t xml:space="preserve">Shahzad et al. (2017) examine the </w:t>
      </w:r>
      <w:r w:rsidR="00333D98">
        <w:rPr>
          <w:rFonts w:eastAsia="Calibri"/>
          <w:lang w:val="en-US"/>
        </w:rPr>
        <w:t xml:space="preserve">predictability from </w:t>
      </w:r>
      <w:r w:rsidR="008D489E" w:rsidRPr="008D489E">
        <w:rPr>
          <w:rFonts w:eastAsia="Calibri"/>
          <w:lang w:val="en-US"/>
        </w:rPr>
        <w:t>oil market</w:t>
      </w:r>
      <w:r w:rsidR="008D489E">
        <w:rPr>
          <w:rFonts w:eastAsia="Calibri"/>
          <w:lang w:val="en-US"/>
        </w:rPr>
        <w:t xml:space="preserve"> </w:t>
      </w:r>
      <w:r w:rsidR="008D489E" w:rsidRPr="008D489E">
        <w:rPr>
          <w:rFonts w:eastAsia="Calibri"/>
          <w:lang w:val="en-US"/>
        </w:rPr>
        <w:t>uncertainty to th</w:t>
      </w:r>
      <w:r w:rsidR="008D489E">
        <w:rPr>
          <w:rFonts w:eastAsia="Calibri"/>
          <w:lang w:val="en-US"/>
        </w:rPr>
        <w:t>e sovereign CDS</w:t>
      </w:r>
      <w:r w:rsidR="008D489E" w:rsidRPr="008D489E">
        <w:rPr>
          <w:rFonts w:eastAsia="Calibri"/>
          <w:lang w:val="en-US"/>
        </w:rPr>
        <w:t xml:space="preserve"> spreads</w:t>
      </w:r>
      <w:r w:rsidR="00BB1347">
        <w:rPr>
          <w:rFonts w:eastAsia="Calibri"/>
          <w:lang w:val="en-US"/>
        </w:rPr>
        <w:t xml:space="preserve"> by using data </w:t>
      </w:r>
      <w:r w:rsidR="00996AEF">
        <w:rPr>
          <w:rFonts w:eastAsia="Calibri"/>
          <w:lang w:val="en-US"/>
        </w:rPr>
        <w:t xml:space="preserve">from </w:t>
      </w:r>
      <w:r w:rsidR="00BB1347" w:rsidRPr="008D489E">
        <w:rPr>
          <w:rFonts w:eastAsia="Calibri"/>
          <w:lang w:val="en-US"/>
        </w:rPr>
        <w:t>oil-exporting countries</w:t>
      </w:r>
      <w:r w:rsidR="00BB1347">
        <w:rPr>
          <w:rFonts w:eastAsia="Calibri"/>
          <w:lang w:val="en-US"/>
        </w:rPr>
        <w:t>. The</w:t>
      </w:r>
      <w:r w:rsidR="00BB0EF6">
        <w:rPr>
          <w:rFonts w:eastAsia="Calibri"/>
          <w:lang w:val="en-US"/>
        </w:rPr>
        <w:t>y</w:t>
      </w:r>
      <w:r w:rsidR="00BB1347">
        <w:rPr>
          <w:rFonts w:eastAsia="Calibri"/>
          <w:lang w:val="en-US"/>
        </w:rPr>
        <w:t xml:space="preserve"> employ a </w:t>
      </w:r>
      <w:r w:rsidR="00BB1347" w:rsidRPr="008D489E">
        <w:rPr>
          <w:rFonts w:eastAsia="Calibri"/>
          <w:lang w:val="en-US"/>
        </w:rPr>
        <w:t>modified bootstrap-rolling</w:t>
      </w:r>
      <w:r w:rsidR="00BB1347">
        <w:rPr>
          <w:rFonts w:eastAsia="Calibri"/>
          <w:lang w:val="en-US"/>
        </w:rPr>
        <w:t xml:space="preserve"> </w:t>
      </w:r>
      <w:r w:rsidR="00BB1347" w:rsidRPr="008D489E">
        <w:rPr>
          <w:rFonts w:eastAsia="Calibri"/>
          <w:lang w:val="en-US"/>
        </w:rPr>
        <w:t>window</w:t>
      </w:r>
      <w:r w:rsidR="00BB1347">
        <w:rPr>
          <w:rFonts w:eastAsia="Calibri"/>
          <w:lang w:val="en-US"/>
        </w:rPr>
        <w:t xml:space="preserve"> </w:t>
      </w:r>
      <w:r w:rsidR="00BB1347" w:rsidRPr="008D489E">
        <w:rPr>
          <w:rFonts w:eastAsia="Calibri"/>
          <w:lang w:val="en-US"/>
        </w:rPr>
        <w:t>approach</w:t>
      </w:r>
      <w:r w:rsidR="00BB1347">
        <w:rPr>
          <w:rFonts w:eastAsia="Calibri"/>
          <w:lang w:val="en-US"/>
        </w:rPr>
        <w:t xml:space="preserve"> and find </w:t>
      </w:r>
      <w:r w:rsidR="004F19B0">
        <w:rPr>
          <w:rFonts w:eastAsia="Calibri"/>
          <w:lang w:val="en-US"/>
        </w:rPr>
        <w:t xml:space="preserve">a directional predictability from oil </w:t>
      </w:r>
      <w:r w:rsidR="00333D98">
        <w:rPr>
          <w:rFonts w:eastAsia="Calibri"/>
          <w:lang w:val="en-US"/>
        </w:rPr>
        <w:t xml:space="preserve">price </w:t>
      </w:r>
      <w:r w:rsidR="004F19B0">
        <w:rPr>
          <w:rFonts w:eastAsia="Calibri"/>
          <w:lang w:val="en-US"/>
        </w:rPr>
        <w:t xml:space="preserve">volatility to sovereign CDS spreads. They conclude that </w:t>
      </w:r>
      <w:r w:rsidR="00BB1347">
        <w:rPr>
          <w:rFonts w:eastAsia="Calibri"/>
          <w:lang w:val="en-US"/>
        </w:rPr>
        <w:t xml:space="preserve">higher oil </w:t>
      </w:r>
      <w:r w:rsidR="00333D98">
        <w:rPr>
          <w:rFonts w:eastAsia="Calibri"/>
          <w:lang w:val="en-US"/>
        </w:rPr>
        <w:t xml:space="preserve">price </w:t>
      </w:r>
      <w:r w:rsidR="00BB1347">
        <w:rPr>
          <w:rFonts w:eastAsia="Calibri"/>
          <w:lang w:val="en-US"/>
        </w:rPr>
        <w:t xml:space="preserve">volatility </w:t>
      </w:r>
      <w:r w:rsidR="004F19B0">
        <w:rPr>
          <w:rFonts w:eastAsia="Calibri"/>
          <w:lang w:val="en-US"/>
        </w:rPr>
        <w:t>contributes to increases in sovereign risk.</w:t>
      </w:r>
      <w:r w:rsidR="00775A8E">
        <w:rPr>
          <w:rFonts w:eastAsia="Calibri"/>
          <w:lang w:val="en-US"/>
        </w:rPr>
        <w:t xml:space="preserve"> </w:t>
      </w:r>
    </w:p>
    <w:p w14:paraId="74BD9A00" w14:textId="59C5833E" w:rsidR="00E052BB" w:rsidRPr="00333D98" w:rsidRDefault="00333D98" w:rsidP="00E052BB">
      <w:pPr>
        <w:spacing w:line="360" w:lineRule="auto"/>
        <w:jc w:val="both"/>
        <w:rPr>
          <w:color w:val="000000" w:themeColor="text1"/>
        </w:rPr>
      </w:pPr>
      <w:r>
        <w:rPr>
          <w:color w:val="000000" w:themeColor="text1"/>
        </w:rPr>
        <w:t>In</w:t>
      </w:r>
      <w:r w:rsidR="003C4B2C">
        <w:rPr>
          <w:color w:val="000000" w:themeColor="text1"/>
        </w:rPr>
        <w:t xml:space="preserve"> a similar vein, </w:t>
      </w:r>
      <w:r w:rsidR="00775A8E">
        <w:rPr>
          <w:color w:val="000000" w:themeColor="text1"/>
        </w:rPr>
        <w:t>Lee et al. (2017)</w:t>
      </w:r>
      <w:r w:rsidR="003C4B2C">
        <w:rPr>
          <w:color w:val="000000" w:themeColor="text1"/>
        </w:rPr>
        <w:t xml:space="preserve"> </w:t>
      </w:r>
      <w:r w:rsidR="008A0C40">
        <w:rPr>
          <w:color w:val="000000" w:themeColor="text1"/>
        </w:rPr>
        <w:t xml:space="preserve">investigate the relationship between oil price shocks and </w:t>
      </w:r>
      <w:r>
        <w:rPr>
          <w:color w:val="000000" w:themeColor="text1"/>
        </w:rPr>
        <w:t xml:space="preserve">sovereign risk using </w:t>
      </w:r>
      <w:r w:rsidR="008A0C40">
        <w:rPr>
          <w:color w:val="000000" w:themeColor="text1"/>
        </w:rPr>
        <w:t>the International Country Risk Guide (ICRG) data. The</w:t>
      </w:r>
      <w:r w:rsidR="00996AEF">
        <w:rPr>
          <w:color w:val="000000" w:themeColor="text1"/>
        </w:rPr>
        <w:t>y</w:t>
      </w:r>
      <w:r w:rsidR="008A0C40">
        <w:rPr>
          <w:color w:val="000000" w:themeColor="text1"/>
        </w:rPr>
        <w:t xml:space="preserve"> employ a Structural V</w:t>
      </w:r>
      <w:r w:rsidR="002742DB">
        <w:rPr>
          <w:color w:val="000000" w:themeColor="text1"/>
        </w:rPr>
        <w:t xml:space="preserve">ector </w:t>
      </w:r>
      <w:r w:rsidR="008A0C40">
        <w:rPr>
          <w:color w:val="000000" w:themeColor="text1"/>
        </w:rPr>
        <w:t>A</w:t>
      </w:r>
      <w:r w:rsidR="002742DB">
        <w:rPr>
          <w:color w:val="000000" w:themeColor="text1"/>
        </w:rPr>
        <w:t xml:space="preserve">utoregressive model for a sample of </w:t>
      </w:r>
      <w:r w:rsidR="002742DB" w:rsidRPr="008B181D">
        <w:rPr>
          <w:rFonts w:eastAsia="Calibri"/>
          <w:lang w:val="en-US"/>
        </w:rPr>
        <w:t>oil-exporting and oil-importing countries</w:t>
      </w:r>
      <w:r w:rsidR="00BB0EF6">
        <w:rPr>
          <w:rFonts w:eastAsia="Calibri"/>
          <w:lang w:val="en-US"/>
        </w:rPr>
        <w:t xml:space="preserve">. Specifically, they </w:t>
      </w:r>
      <w:r w:rsidR="00CA20E0">
        <w:rPr>
          <w:rFonts w:eastAsia="Calibri"/>
          <w:lang w:val="en-US"/>
        </w:rPr>
        <w:t>indicate that oil price sh</w:t>
      </w:r>
      <w:r w:rsidR="006A5A0D">
        <w:rPr>
          <w:rFonts w:eastAsia="Calibri"/>
          <w:lang w:val="en-US"/>
        </w:rPr>
        <w:t>ocks exert a reduction (increase</w:t>
      </w:r>
      <w:r w:rsidR="00CA20E0">
        <w:rPr>
          <w:rFonts w:eastAsia="Calibri"/>
          <w:lang w:val="en-US"/>
        </w:rPr>
        <w:t>) in sovereign risk for oil-exporting (</w:t>
      </w:r>
      <w:r w:rsidR="00CA20E0" w:rsidRPr="008B181D">
        <w:rPr>
          <w:rFonts w:eastAsia="Calibri"/>
          <w:lang w:val="en-US"/>
        </w:rPr>
        <w:t>oil-importing</w:t>
      </w:r>
      <w:r w:rsidR="00CA20E0">
        <w:rPr>
          <w:rFonts w:eastAsia="Calibri"/>
          <w:lang w:val="en-US"/>
        </w:rPr>
        <w:t>)</w:t>
      </w:r>
      <w:r w:rsidR="00CA20E0" w:rsidRPr="008B181D">
        <w:rPr>
          <w:rFonts w:eastAsia="Calibri"/>
          <w:lang w:val="en-US"/>
        </w:rPr>
        <w:t xml:space="preserve"> countries</w:t>
      </w:r>
      <w:r w:rsidR="00CA20E0">
        <w:rPr>
          <w:rFonts w:eastAsia="Calibri"/>
          <w:lang w:val="en-US"/>
        </w:rPr>
        <w:t xml:space="preserve">. The authors highlight the importance of supply-side (demand-side) oil price shocks to the sovereign risk of </w:t>
      </w:r>
      <w:r w:rsidR="00CA20E0">
        <w:rPr>
          <w:color w:val="000000" w:themeColor="text1"/>
        </w:rPr>
        <w:t xml:space="preserve">net </w:t>
      </w:r>
      <w:r w:rsidR="00CA20E0">
        <w:rPr>
          <w:rFonts w:eastAsia="Calibri"/>
          <w:lang w:val="en-US"/>
        </w:rPr>
        <w:t>oil-exporting (</w:t>
      </w:r>
      <w:r w:rsidR="00CA20E0" w:rsidRPr="008B181D">
        <w:rPr>
          <w:rFonts w:eastAsia="Calibri"/>
          <w:lang w:val="en-US"/>
        </w:rPr>
        <w:t>oil-importing</w:t>
      </w:r>
      <w:r w:rsidR="00CA20E0">
        <w:rPr>
          <w:rFonts w:eastAsia="Calibri"/>
          <w:lang w:val="en-US"/>
        </w:rPr>
        <w:t>)</w:t>
      </w:r>
      <w:r w:rsidR="00CA20E0" w:rsidRPr="008B181D">
        <w:rPr>
          <w:rFonts w:eastAsia="Calibri"/>
          <w:lang w:val="en-US"/>
        </w:rPr>
        <w:t xml:space="preserve"> countries</w:t>
      </w:r>
      <w:r w:rsidR="00CA20E0">
        <w:rPr>
          <w:rFonts w:eastAsia="Calibri"/>
          <w:lang w:val="en-US"/>
        </w:rPr>
        <w:t>.</w:t>
      </w:r>
      <w:r w:rsidR="00330A3C">
        <w:rPr>
          <w:rFonts w:eastAsia="Calibri"/>
          <w:lang w:val="en-US"/>
        </w:rPr>
        <w:t xml:space="preserve"> </w:t>
      </w:r>
      <w:r w:rsidR="00E052BB">
        <w:t>Finally, Bouri et a</w:t>
      </w:r>
      <w:r w:rsidR="00931436">
        <w:t>l. (2018) examine the connection</w:t>
      </w:r>
      <w:r w:rsidR="00E052BB">
        <w:t xml:space="preserve"> between oil </w:t>
      </w:r>
      <w:r w:rsidR="00931436">
        <w:t xml:space="preserve">price </w:t>
      </w:r>
      <w:r w:rsidR="00E052BB">
        <w:t>volatility shocks and sovereign risk for BRICS oil-</w:t>
      </w:r>
      <w:r w:rsidR="00E052BB">
        <w:lastRenderedPageBreak/>
        <w:t>exporting (Brazil and Russia) and oil-importing (</w:t>
      </w:r>
      <w:r w:rsidR="00E052BB" w:rsidRPr="00330A3C">
        <w:t>China</w:t>
      </w:r>
      <w:r w:rsidR="00E052BB">
        <w:t xml:space="preserve"> and India) countries. They employ a</w:t>
      </w:r>
      <w:r w:rsidR="00E052BB" w:rsidRPr="00E052BB">
        <w:rPr>
          <w:rFonts w:eastAsia="Calibri"/>
          <w:color w:val="000000"/>
          <w:lang w:val="en-US"/>
        </w:rPr>
        <w:t xml:space="preserve"> </w:t>
      </w:r>
      <w:r w:rsidR="00E052BB" w:rsidRPr="00330A3C">
        <w:rPr>
          <w:rFonts w:eastAsia="Calibri"/>
          <w:color w:val="000000"/>
          <w:lang w:val="en-US"/>
        </w:rPr>
        <w:t>bivariate cross-</w:t>
      </w:r>
      <w:proofErr w:type="spellStart"/>
      <w:r w:rsidR="00E052BB" w:rsidRPr="00330A3C">
        <w:rPr>
          <w:rFonts w:eastAsia="Calibri"/>
          <w:color w:val="000000"/>
          <w:lang w:val="en-US"/>
        </w:rPr>
        <w:t>quantilogram</w:t>
      </w:r>
      <w:proofErr w:type="spellEnd"/>
      <w:r w:rsidR="00E052BB" w:rsidRPr="00330A3C">
        <w:rPr>
          <w:rFonts w:eastAsia="Calibri"/>
          <w:color w:val="000000"/>
          <w:lang w:val="en-US"/>
        </w:rPr>
        <w:t xml:space="preserve"> approach</w:t>
      </w:r>
      <w:r w:rsidR="00E052BB">
        <w:t xml:space="preserve"> to </w:t>
      </w:r>
      <w:r w:rsidR="00E052BB" w:rsidRPr="00330A3C">
        <w:rPr>
          <w:rFonts w:eastAsia="Calibri"/>
          <w:color w:val="000000"/>
          <w:lang w:val="en-US"/>
        </w:rPr>
        <w:t xml:space="preserve">measure the directional predictability </w:t>
      </w:r>
      <w:r w:rsidR="00E052BB">
        <w:t xml:space="preserve">and document that low (high) oil </w:t>
      </w:r>
      <w:r w:rsidR="00931436">
        <w:t xml:space="preserve">price </w:t>
      </w:r>
      <w:r w:rsidR="00E052BB">
        <w:t xml:space="preserve">volatility predicts </w:t>
      </w:r>
      <w:r w:rsidR="00E052BB" w:rsidRPr="00330A3C">
        <w:rPr>
          <w:rFonts w:eastAsia="Calibri"/>
          <w:color w:val="000000"/>
          <w:lang w:val="en-US"/>
        </w:rPr>
        <w:t>low (high) sovereign risk</w:t>
      </w:r>
      <w:r w:rsidR="00E052BB">
        <w:rPr>
          <w:rFonts w:eastAsia="Calibri"/>
          <w:color w:val="000000"/>
          <w:lang w:val="en-US"/>
        </w:rPr>
        <w:t>.</w:t>
      </w:r>
    </w:p>
    <w:p w14:paraId="45E55845" w14:textId="784B363F" w:rsidR="000C2603" w:rsidRDefault="00A56F6E" w:rsidP="00BE6701">
      <w:pPr>
        <w:spacing w:line="360" w:lineRule="auto"/>
        <w:jc w:val="both"/>
      </w:pPr>
      <w:r>
        <w:t>In general</w:t>
      </w:r>
      <w:r w:rsidR="00610391">
        <w:t>,</w:t>
      </w:r>
      <w:r w:rsidR="00524226">
        <w:t xml:space="preserve"> there is</w:t>
      </w:r>
      <w:r w:rsidR="00CB2238">
        <w:t xml:space="preserve"> limited evidence on the </w:t>
      </w:r>
      <w:r w:rsidR="00524226">
        <w:t>relationship between oil pric</w:t>
      </w:r>
      <w:r w:rsidR="002B664F">
        <w:t xml:space="preserve">e movements and sovereign risk. It should be noted that the aforementioned studies </w:t>
      </w:r>
      <w:r w:rsidR="003B3852">
        <w:t>employ static econometric approaches</w:t>
      </w:r>
      <w:r w:rsidR="00FE5252">
        <w:t>.</w:t>
      </w:r>
      <w:r w:rsidR="000125F3">
        <w:t xml:space="preserve"> </w:t>
      </w:r>
      <w:r w:rsidR="00603702" w:rsidRPr="00603702">
        <w:t xml:space="preserve">One notable exception is the study by Shahzad et al. (2017) who employ a time-varying approach based on the modified bootstrap rolling-window procedure. However, rolling-window approaches suffer from the identification of the appropriate </w:t>
      </w:r>
      <w:r w:rsidR="001D6244">
        <w:t xml:space="preserve">window </w:t>
      </w:r>
      <w:r w:rsidR="00603702" w:rsidRPr="00603702">
        <w:t>size</w:t>
      </w:r>
      <w:r w:rsidR="00A21651">
        <w:t xml:space="preserve"> </w:t>
      </w:r>
      <w:r w:rsidR="00BF75C2">
        <w:t>and from</w:t>
      </w:r>
      <w:r w:rsidR="00461B15">
        <w:t xml:space="preserve"> weak expression </w:t>
      </w:r>
      <w:r w:rsidR="00931436">
        <w:t>of test</w:t>
      </w:r>
      <w:r w:rsidR="00BF75C2">
        <w:t xml:space="preserve"> statistics</w:t>
      </w:r>
      <w:r w:rsidR="00603702" w:rsidRPr="00603702">
        <w:t>. Indeed, the shorter (longer) the rolling-window</w:t>
      </w:r>
      <w:r w:rsidR="00931436">
        <w:t>,</w:t>
      </w:r>
      <w:r w:rsidR="00603702" w:rsidRPr="00603702">
        <w:t xml:space="preserve"> the higher (lower) the irregular trends</w:t>
      </w:r>
      <w:r w:rsidR="003623A2">
        <w:t xml:space="preserve"> regarding the estimation of the model parameters and therefore </w:t>
      </w:r>
      <w:r w:rsidR="00931436">
        <w:t xml:space="preserve">the less (more) accurate </w:t>
      </w:r>
      <w:r w:rsidR="003623A2">
        <w:t>parameter estimation would be</w:t>
      </w:r>
      <w:r w:rsidR="00931436">
        <w:t xml:space="preserve">. Furthermore, </w:t>
      </w:r>
      <w:r w:rsidR="00603702" w:rsidRPr="00603702">
        <w:t>adding (deleting) one observation at th</w:t>
      </w:r>
      <w:r w:rsidR="00931436">
        <w:t>e end (beginning) of the sample entails a</w:t>
      </w:r>
      <w:r w:rsidR="00603702" w:rsidRPr="00603702">
        <w:t xml:space="preserve"> loss of observations.</w:t>
      </w:r>
      <w:r w:rsidR="007C5A64">
        <w:t xml:space="preserve"> </w:t>
      </w:r>
      <w:r w:rsidR="00D45C07">
        <w:t>In this regard, our time-varying framework does not</w:t>
      </w:r>
      <w:r w:rsidR="0009167F">
        <w:t xml:space="preserve"> suffer from these limitations.</w:t>
      </w:r>
    </w:p>
    <w:p w14:paraId="786D183A" w14:textId="77777777" w:rsidR="00377B56" w:rsidRPr="0009167F" w:rsidRDefault="00377B56" w:rsidP="00BE6701">
      <w:pPr>
        <w:spacing w:line="360" w:lineRule="auto"/>
        <w:jc w:val="both"/>
      </w:pPr>
    </w:p>
    <w:p w14:paraId="569479E8" w14:textId="7C2C62CA" w:rsidR="007A0286" w:rsidRPr="007A0286" w:rsidRDefault="007A0286" w:rsidP="001260CD">
      <w:pPr>
        <w:spacing w:line="360" w:lineRule="auto"/>
        <w:jc w:val="both"/>
        <w:rPr>
          <w:i/>
          <w:color w:val="000000" w:themeColor="text1"/>
        </w:rPr>
      </w:pPr>
      <w:r>
        <w:rPr>
          <w:i/>
          <w:color w:val="000000" w:themeColor="text1"/>
        </w:rPr>
        <w:t>2.2 Theoretical channels between oil prices and government bond yields</w:t>
      </w:r>
    </w:p>
    <w:p w14:paraId="680AB286" w14:textId="77777777" w:rsidR="00AF6FF5" w:rsidRDefault="003D3A99" w:rsidP="00843969">
      <w:pPr>
        <w:spacing w:line="360" w:lineRule="auto"/>
        <w:jc w:val="both"/>
        <w:rPr>
          <w:color w:val="000000" w:themeColor="text1"/>
        </w:rPr>
      </w:pPr>
      <w:r w:rsidRPr="003D3A99">
        <w:rPr>
          <w:color w:val="000000" w:themeColor="text1"/>
        </w:rPr>
        <w:t>In atte</w:t>
      </w:r>
      <w:r>
        <w:rPr>
          <w:color w:val="000000" w:themeColor="text1"/>
        </w:rPr>
        <w:t xml:space="preserve">mpting to better understand the importance of the relationship between </w:t>
      </w:r>
      <w:r w:rsidRPr="003D3A99">
        <w:rPr>
          <w:color w:val="000000" w:themeColor="text1"/>
        </w:rPr>
        <w:t>oil prices and government bond yields</w:t>
      </w:r>
      <w:r>
        <w:rPr>
          <w:color w:val="000000" w:themeColor="text1"/>
        </w:rPr>
        <w:t xml:space="preserve">, a number of theoretical channels </w:t>
      </w:r>
      <w:r w:rsidR="00AF6FF5">
        <w:rPr>
          <w:color w:val="000000" w:themeColor="text1"/>
        </w:rPr>
        <w:t>by which</w:t>
      </w:r>
      <w:r>
        <w:rPr>
          <w:color w:val="000000" w:themeColor="text1"/>
        </w:rPr>
        <w:t xml:space="preserve"> oil price movements </w:t>
      </w:r>
      <w:r w:rsidR="00492722" w:rsidRPr="003D3A99">
        <w:rPr>
          <w:color w:val="000000" w:themeColor="text1"/>
        </w:rPr>
        <w:t>may interact with</w:t>
      </w:r>
      <w:r w:rsidR="00492722">
        <w:rPr>
          <w:color w:val="000000" w:themeColor="text1"/>
        </w:rPr>
        <w:t xml:space="preserve"> </w:t>
      </w:r>
      <w:r w:rsidR="00492722" w:rsidRPr="003D3A99">
        <w:rPr>
          <w:color w:val="000000" w:themeColor="text1"/>
        </w:rPr>
        <w:t>government bond yields</w:t>
      </w:r>
      <w:r w:rsidR="00492722" w:rsidRPr="00492722">
        <w:rPr>
          <w:color w:val="000000" w:themeColor="text1"/>
        </w:rPr>
        <w:t xml:space="preserve"> </w:t>
      </w:r>
      <w:r w:rsidR="009D08EB">
        <w:rPr>
          <w:color w:val="000000" w:themeColor="text1"/>
        </w:rPr>
        <w:t xml:space="preserve">changes </w:t>
      </w:r>
      <w:r w:rsidR="00AF6FF5">
        <w:rPr>
          <w:color w:val="000000" w:themeColor="text1"/>
        </w:rPr>
        <w:t>are</w:t>
      </w:r>
      <w:r w:rsidR="00492722">
        <w:rPr>
          <w:color w:val="000000" w:themeColor="text1"/>
        </w:rPr>
        <w:t xml:space="preserve"> </w:t>
      </w:r>
      <w:r w:rsidR="00AF6FF5">
        <w:rPr>
          <w:color w:val="000000" w:themeColor="text1"/>
        </w:rPr>
        <w:t>outlined here</w:t>
      </w:r>
      <w:r w:rsidR="00492722">
        <w:rPr>
          <w:color w:val="000000" w:themeColor="text1"/>
        </w:rPr>
        <w:t xml:space="preserve">. </w:t>
      </w:r>
    </w:p>
    <w:p w14:paraId="4DF63621" w14:textId="612BCAA9" w:rsidR="003D3A99" w:rsidRDefault="00492722" w:rsidP="00843969">
      <w:pPr>
        <w:spacing w:line="360" w:lineRule="auto"/>
        <w:jc w:val="both"/>
        <w:rPr>
          <w:color w:val="000000" w:themeColor="text1"/>
        </w:rPr>
      </w:pPr>
      <w:r>
        <w:rPr>
          <w:color w:val="000000" w:themeColor="text1"/>
        </w:rPr>
        <w:t xml:space="preserve">For instance, oil price changes </w:t>
      </w:r>
      <w:r w:rsidR="003D3A99">
        <w:rPr>
          <w:color w:val="000000" w:themeColor="text1"/>
        </w:rPr>
        <w:t xml:space="preserve">can impact </w:t>
      </w:r>
      <w:r w:rsidR="003D3A99" w:rsidRPr="003D3A99">
        <w:rPr>
          <w:color w:val="000000" w:themeColor="text1"/>
        </w:rPr>
        <w:t>government bond yields</w:t>
      </w:r>
      <w:r>
        <w:rPr>
          <w:color w:val="000000" w:themeColor="text1"/>
        </w:rPr>
        <w:t xml:space="preserve"> </w:t>
      </w:r>
      <w:r w:rsidR="003D3A99" w:rsidRPr="003D3A99">
        <w:rPr>
          <w:color w:val="000000" w:themeColor="text1"/>
        </w:rPr>
        <w:t>via</w:t>
      </w:r>
      <w:r w:rsidR="003D3A99">
        <w:rPr>
          <w:color w:val="000000" w:themeColor="text1"/>
        </w:rPr>
        <w:t xml:space="preserve"> </w:t>
      </w:r>
      <w:r w:rsidR="0026388D">
        <w:rPr>
          <w:color w:val="000000" w:themeColor="text1"/>
        </w:rPr>
        <w:t>four</w:t>
      </w:r>
      <w:r w:rsidR="009D08EB">
        <w:rPr>
          <w:color w:val="000000" w:themeColor="text1"/>
        </w:rPr>
        <w:t xml:space="preserve"> potential channels, namely, </w:t>
      </w:r>
      <w:r w:rsidR="003D3A99">
        <w:rPr>
          <w:color w:val="000000" w:themeColor="text1"/>
        </w:rPr>
        <w:t>(i) the production costs</w:t>
      </w:r>
      <w:r w:rsidR="009D08EB">
        <w:rPr>
          <w:color w:val="000000" w:themeColor="text1"/>
        </w:rPr>
        <w:t xml:space="preserve"> channel</w:t>
      </w:r>
      <w:r w:rsidR="003D3A99">
        <w:rPr>
          <w:color w:val="000000" w:themeColor="text1"/>
        </w:rPr>
        <w:t>,</w:t>
      </w:r>
      <w:r w:rsidR="00843969" w:rsidRPr="00843969">
        <w:rPr>
          <w:color w:val="000000" w:themeColor="text1"/>
        </w:rPr>
        <w:t xml:space="preserve"> </w:t>
      </w:r>
      <w:r w:rsidR="003D3A99">
        <w:rPr>
          <w:color w:val="000000" w:themeColor="text1"/>
        </w:rPr>
        <w:t xml:space="preserve">(ii) </w:t>
      </w:r>
      <w:r w:rsidR="00843969" w:rsidRPr="00843969">
        <w:rPr>
          <w:color w:val="000000" w:themeColor="text1"/>
        </w:rPr>
        <w:t>inflation expectati</w:t>
      </w:r>
      <w:r w:rsidR="003D3A99">
        <w:rPr>
          <w:color w:val="000000" w:themeColor="text1"/>
        </w:rPr>
        <w:t>ons</w:t>
      </w:r>
      <w:r w:rsidR="009D08EB">
        <w:rPr>
          <w:color w:val="000000" w:themeColor="text1"/>
        </w:rPr>
        <w:t xml:space="preserve"> channel</w:t>
      </w:r>
      <w:r w:rsidR="003D3A99">
        <w:rPr>
          <w:color w:val="000000" w:themeColor="text1"/>
        </w:rPr>
        <w:t xml:space="preserve">, </w:t>
      </w:r>
      <w:r w:rsidR="005512F3">
        <w:rPr>
          <w:color w:val="000000" w:themeColor="text1"/>
        </w:rPr>
        <w:t xml:space="preserve">(iii) </w:t>
      </w:r>
      <w:r w:rsidR="003D3A99">
        <w:rPr>
          <w:color w:val="000000" w:themeColor="text1"/>
        </w:rPr>
        <w:t xml:space="preserve">net exports </w:t>
      </w:r>
      <w:r w:rsidR="009D08EB">
        <w:rPr>
          <w:color w:val="000000" w:themeColor="text1"/>
        </w:rPr>
        <w:t xml:space="preserve">channel </w:t>
      </w:r>
      <w:r w:rsidR="003D3A99">
        <w:rPr>
          <w:color w:val="000000" w:themeColor="text1"/>
        </w:rPr>
        <w:t>and (iv) budget balance</w:t>
      </w:r>
      <w:r w:rsidR="009D08EB">
        <w:rPr>
          <w:color w:val="000000" w:themeColor="text1"/>
        </w:rPr>
        <w:t xml:space="preserve"> channel</w:t>
      </w:r>
      <w:r w:rsidR="003D3A99">
        <w:rPr>
          <w:color w:val="000000" w:themeColor="text1"/>
        </w:rPr>
        <w:t>.</w:t>
      </w:r>
    </w:p>
    <w:p w14:paraId="59645041" w14:textId="535D2232" w:rsidR="0096560A" w:rsidRDefault="008B2509" w:rsidP="00557543">
      <w:pPr>
        <w:spacing w:line="360" w:lineRule="auto"/>
        <w:jc w:val="both"/>
        <w:rPr>
          <w:color w:val="000000" w:themeColor="text1"/>
        </w:rPr>
      </w:pPr>
      <w:r>
        <w:rPr>
          <w:color w:val="000000" w:themeColor="text1"/>
        </w:rPr>
        <w:t>First</w:t>
      </w:r>
      <w:r w:rsidR="009306D4">
        <w:rPr>
          <w:color w:val="000000" w:themeColor="text1"/>
        </w:rPr>
        <w:t xml:space="preserve">, </w:t>
      </w:r>
      <w:r w:rsidR="003D3A99" w:rsidRPr="003D3A99">
        <w:rPr>
          <w:color w:val="000000" w:themeColor="text1"/>
        </w:rPr>
        <w:t>oil prices a</w:t>
      </w:r>
      <w:r w:rsidR="009306D4">
        <w:rPr>
          <w:color w:val="000000" w:themeColor="text1"/>
        </w:rPr>
        <w:t xml:space="preserve">ffect the production costs due to the fact that </w:t>
      </w:r>
      <w:r w:rsidR="003D3A99" w:rsidRPr="003D3A99">
        <w:rPr>
          <w:color w:val="000000" w:themeColor="text1"/>
        </w:rPr>
        <w:t xml:space="preserve">higher oil prices </w:t>
      </w:r>
      <w:proofErr w:type="gramStart"/>
      <w:r w:rsidR="003D3A99" w:rsidRPr="003D3A99">
        <w:rPr>
          <w:color w:val="000000" w:themeColor="text1"/>
        </w:rPr>
        <w:t>leads</w:t>
      </w:r>
      <w:proofErr w:type="gramEnd"/>
      <w:r w:rsidR="003D3A99" w:rsidRPr="003D3A99">
        <w:rPr>
          <w:color w:val="000000" w:themeColor="text1"/>
        </w:rPr>
        <w:t xml:space="preserve"> to increased production costs and thus lower production. This reduces the economic activity and hence deteriorates the growth prospects of an oil-importing economy, which is r</w:t>
      </w:r>
      <w:r w:rsidR="009306D4">
        <w:rPr>
          <w:color w:val="000000" w:themeColor="text1"/>
        </w:rPr>
        <w:t xml:space="preserve">eflected in higher </w:t>
      </w:r>
      <w:r w:rsidR="00095BFE" w:rsidRPr="003D3A99">
        <w:rPr>
          <w:color w:val="000000" w:themeColor="text1"/>
        </w:rPr>
        <w:t>government</w:t>
      </w:r>
      <w:r w:rsidR="00095BFE">
        <w:rPr>
          <w:color w:val="000000" w:themeColor="text1"/>
        </w:rPr>
        <w:t xml:space="preserve"> </w:t>
      </w:r>
      <w:r w:rsidR="009306D4">
        <w:rPr>
          <w:color w:val="000000" w:themeColor="text1"/>
        </w:rPr>
        <w:t>bond yields</w:t>
      </w:r>
      <w:r w:rsidR="00557543">
        <w:rPr>
          <w:color w:val="000000" w:themeColor="text1"/>
        </w:rPr>
        <w:t xml:space="preserve">. </w:t>
      </w:r>
      <w:r>
        <w:rPr>
          <w:color w:val="000000" w:themeColor="text1"/>
        </w:rPr>
        <w:t>Second</w:t>
      </w:r>
      <w:r w:rsidR="009306D4" w:rsidRPr="009306D4">
        <w:rPr>
          <w:color w:val="000000" w:themeColor="text1"/>
        </w:rPr>
        <w:t>,</w:t>
      </w:r>
      <w:r w:rsidR="009306D4">
        <w:rPr>
          <w:color w:val="000000" w:themeColor="text1"/>
        </w:rPr>
        <w:t xml:space="preserve"> </w:t>
      </w:r>
      <w:r w:rsidR="003D3A99" w:rsidRPr="003D3A99">
        <w:rPr>
          <w:color w:val="000000" w:themeColor="text1"/>
        </w:rPr>
        <w:t>oil price</w:t>
      </w:r>
      <w:r w:rsidR="009306D4">
        <w:rPr>
          <w:color w:val="000000" w:themeColor="text1"/>
        </w:rPr>
        <w:t xml:space="preserve">s affect inflation expectations because </w:t>
      </w:r>
      <w:r w:rsidR="003D3A99" w:rsidRPr="003D3A99">
        <w:rPr>
          <w:color w:val="000000" w:themeColor="text1"/>
        </w:rPr>
        <w:t>higher oil prices l</w:t>
      </w:r>
      <w:r w:rsidR="00557543">
        <w:rPr>
          <w:color w:val="000000" w:themeColor="text1"/>
        </w:rPr>
        <w:t>ead to higher consumer prices. S</w:t>
      </w:r>
      <w:r w:rsidR="003D3A99" w:rsidRPr="003D3A99">
        <w:rPr>
          <w:color w:val="000000" w:themeColor="text1"/>
        </w:rPr>
        <w:t xml:space="preserve">ince oil is a major component of CPI, </w:t>
      </w:r>
      <w:r w:rsidR="00557543">
        <w:rPr>
          <w:color w:val="000000" w:themeColor="text1"/>
        </w:rPr>
        <w:t>this leads</w:t>
      </w:r>
      <w:r w:rsidR="003D3A99" w:rsidRPr="003D3A99">
        <w:rPr>
          <w:color w:val="000000" w:themeColor="text1"/>
        </w:rPr>
        <w:t xml:space="preserve"> to higher inflation expectations</w:t>
      </w:r>
      <w:r>
        <w:rPr>
          <w:color w:val="000000" w:themeColor="text1"/>
        </w:rPr>
        <w:t>,</w:t>
      </w:r>
      <w:r w:rsidR="00557543">
        <w:rPr>
          <w:color w:val="000000" w:themeColor="text1"/>
        </w:rPr>
        <w:t xml:space="preserve"> which in turn </w:t>
      </w:r>
      <w:r w:rsidR="003D3A99" w:rsidRPr="003D3A99">
        <w:rPr>
          <w:color w:val="000000" w:themeColor="text1"/>
        </w:rPr>
        <w:t>put</w:t>
      </w:r>
      <w:r w:rsidR="00557543">
        <w:rPr>
          <w:color w:val="000000" w:themeColor="text1"/>
        </w:rPr>
        <w:t>s</w:t>
      </w:r>
      <w:r w:rsidR="003D3A99" w:rsidRPr="003D3A99">
        <w:rPr>
          <w:color w:val="000000" w:themeColor="text1"/>
        </w:rPr>
        <w:t xml:space="preserve"> </w:t>
      </w:r>
      <w:r>
        <w:rPr>
          <w:color w:val="000000" w:themeColor="text1"/>
        </w:rPr>
        <w:t xml:space="preserve">an </w:t>
      </w:r>
      <w:r w:rsidR="003D3A99" w:rsidRPr="003D3A99">
        <w:rPr>
          <w:color w:val="000000" w:themeColor="text1"/>
        </w:rPr>
        <w:t xml:space="preserve">upward pressure on </w:t>
      </w:r>
      <w:r w:rsidR="00095BFE" w:rsidRPr="003D3A99">
        <w:rPr>
          <w:color w:val="000000" w:themeColor="text1"/>
        </w:rPr>
        <w:t xml:space="preserve">government </w:t>
      </w:r>
      <w:r w:rsidR="003D3A99" w:rsidRPr="003D3A99">
        <w:rPr>
          <w:color w:val="000000" w:themeColor="text1"/>
        </w:rPr>
        <w:t>bond</w:t>
      </w:r>
      <w:r w:rsidR="00557543">
        <w:rPr>
          <w:color w:val="000000" w:themeColor="text1"/>
        </w:rPr>
        <w:t xml:space="preserve"> yields. </w:t>
      </w:r>
      <w:r>
        <w:rPr>
          <w:color w:val="000000" w:themeColor="text1"/>
        </w:rPr>
        <w:t>Third</w:t>
      </w:r>
      <w:r w:rsidR="009306D4">
        <w:rPr>
          <w:color w:val="000000" w:themeColor="text1"/>
        </w:rPr>
        <w:t>,</w:t>
      </w:r>
      <w:r>
        <w:rPr>
          <w:color w:val="000000" w:themeColor="text1"/>
        </w:rPr>
        <w:t xml:space="preserve"> higher</w:t>
      </w:r>
      <w:r w:rsidR="009306D4">
        <w:rPr>
          <w:color w:val="000000" w:themeColor="text1"/>
        </w:rPr>
        <w:t xml:space="preserve"> </w:t>
      </w:r>
      <w:r w:rsidR="003D3A99" w:rsidRPr="003D3A99">
        <w:rPr>
          <w:color w:val="000000" w:themeColor="text1"/>
        </w:rPr>
        <w:t>oil</w:t>
      </w:r>
      <w:r w:rsidR="009306D4">
        <w:rPr>
          <w:color w:val="000000" w:themeColor="text1"/>
        </w:rPr>
        <w:t xml:space="preserve"> prices </w:t>
      </w:r>
      <w:r w:rsidR="003D3A99" w:rsidRPr="003D3A99">
        <w:rPr>
          <w:color w:val="000000" w:themeColor="text1"/>
        </w:rPr>
        <w:t>increase import costs for oil-importers</w:t>
      </w:r>
      <w:r>
        <w:rPr>
          <w:color w:val="000000" w:themeColor="text1"/>
        </w:rPr>
        <w:t>. This</w:t>
      </w:r>
      <w:r w:rsidR="003D3A99" w:rsidRPr="003D3A99">
        <w:rPr>
          <w:color w:val="000000" w:themeColor="text1"/>
        </w:rPr>
        <w:t xml:space="preserve"> deter</w:t>
      </w:r>
      <w:r w:rsidR="00557543">
        <w:rPr>
          <w:color w:val="000000" w:themeColor="text1"/>
        </w:rPr>
        <w:t>iorates net exports and thus</w:t>
      </w:r>
      <w:r w:rsidR="003D3A99" w:rsidRPr="003D3A99">
        <w:rPr>
          <w:color w:val="000000" w:themeColor="text1"/>
        </w:rPr>
        <w:t xml:space="preserve"> the aggregate economic activity, which is r</w:t>
      </w:r>
      <w:r w:rsidR="009306D4">
        <w:rPr>
          <w:color w:val="000000" w:themeColor="text1"/>
        </w:rPr>
        <w:t>eflecte</w:t>
      </w:r>
      <w:r w:rsidR="00557543">
        <w:rPr>
          <w:color w:val="000000" w:themeColor="text1"/>
        </w:rPr>
        <w:t xml:space="preserve">d in higher </w:t>
      </w:r>
      <w:r w:rsidR="00095BFE" w:rsidRPr="003D3A99">
        <w:rPr>
          <w:color w:val="000000" w:themeColor="text1"/>
        </w:rPr>
        <w:t>government</w:t>
      </w:r>
      <w:r w:rsidR="00095BFE">
        <w:rPr>
          <w:color w:val="000000" w:themeColor="text1"/>
        </w:rPr>
        <w:t xml:space="preserve"> </w:t>
      </w:r>
      <w:r w:rsidR="00557543">
        <w:rPr>
          <w:color w:val="000000" w:themeColor="text1"/>
        </w:rPr>
        <w:t xml:space="preserve">bond yields. </w:t>
      </w:r>
      <w:r w:rsidR="00C734A4">
        <w:rPr>
          <w:color w:val="000000" w:themeColor="text1"/>
        </w:rPr>
        <w:t>Fourth</w:t>
      </w:r>
      <w:r w:rsidR="009306D4">
        <w:rPr>
          <w:color w:val="000000" w:themeColor="text1"/>
        </w:rPr>
        <w:t xml:space="preserve">, </w:t>
      </w:r>
      <w:r w:rsidR="003D3A99" w:rsidRPr="003D3A99">
        <w:rPr>
          <w:color w:val="000000" w:themeColor="text1"/>
        </w:rPr>
        <w:t>oil prices af</w:t>
      </w:r>
      <w:r w:rsidR="009306D4">
        <w:rPr>
          <w:color w:val="000000" w:themeColor="text1"/>
        </w:rPr>
        <w:t xml:space="preserve">fect </w:t>
      </w:r>
      <w:r>
        <w:rPr>
          <w:color w:val="000000" w:themeColor="text1"/>
        </w:rPr>
        <w:t xml:space="preserve">a </w:t>
      </w:r>
      <w:r w:rsidR="009306D4">
        <w:rPr>
          <w:color w:val="000000" w:themeColor="text1"/>
        </w:rPr>
        <w:t>budget balance</w:t>
      </w:r>
      <w:r>
        <w:rPr>
          <w:color w:val="000000" w:themeColor="text1"/>
        </w:rPr>
        <w:t>,</w:t>
      </w:r>
      <w:r w:rsidR="009306D4">
        <w:rPr>
          <w:color w:val="000000" w:themeColor="text1"/>
        </w:rPr>
        <w:t xml:space="preserve"> owing to the fact that </w:t>
      </w:r>
      <w:r w:rsidR="003D3A99" w:rsidRPr="003D3A99">
        <w:rPr>
          <w:color w:val="000000" w:themeColor="text1"/>
        </w:rPr>
        <w:t xml:space="preserve">higher oil prices </w:t>
      </w:r>
      <w:r>
        <w:rPr>
          <w:color w:val="000000" w:themeColor="text1"/>
        </w:rPr>
        <w:t>trigger</w:t>
      </w:r>
      <w:r w:rsidRPr="003D3A99">
        <w:rPr>
          <w:color w:val="000000" w:themeColor="text1"/>
        </w:rPr>
        <w:t xml:space="preserve"> </w:t>
      </w:r>
      <w:r w:rsidR="003D3A99" w:rsidRPr="003D3A99">
        <w:rPr>
          <w:color w:val="000000" w:themeColor="text1"/>
        </w:rPr>
        <w:t xml:space="preserve">government spending </w:t>
      </w:r>
      <w:r w:rsidR="003D3A99" w:rsidRPr="003D3A99">
        <w:rPr>
          <w:color w:val="000000" w:themeColor="text1"/>
        </w:rPr>
        <w:lastRenderedPageBreak/>
        <w:t xml:space="preserve">through higher subsidies or energy spending. This leads to increased deficits or </w:t>
      </w:r>
      <w:r w:rsidRPr="003D3A99">
        <w:rPr>
          <w:color w:val="000000" w:themeColor="text1"/>
        </w:rPr>
        <w:t>reduce</w:t>
      </w:r>
      <w:r>
        <w:rPr>
          <w:color w:val="000000" w:themeColor="text1"/>
        </w:rPr>
        <w:t>d</w:t>
      </w:r>
      <w:r w:rsidRPr="003D3A99">
        <w:rPr>
          <w:color w:val="000000" w:themeColor="text1"/>
        </w:rPr>
        <w:t xml:space="preserve"> </w:t>
      </w:r>
      <w:r w:rsidR="003D3A99" w:rsidRPr="003D3A99">
        <w:rPr>
          <w:color w:val="000000" w:themeColor="text1"/>
        </w:rPr>
        <w:t>surpluses, which in both ca</w:t>
      </w:r>
      <w:r w:rsidR="009306D4">
        <w:rPr>
          <w:color w:val="000000" w:themeColor="text1"/>
        </w:rPr>
        <w:t>ses</w:t>
      </w:r>
      <w:r w:rsidR="00C734A4">
        <w:rPr>
          <w:color w:val="000000" w:themeColor="text1"/>
        </w:rPr>
        <w:t xml:space="preserve"> results in</w:t>
      </w:r>
      <w:r w:rsidR="009306D4">
        <w:rPr>
          <w:color w:val="000000" w:themeColor="text1"/>
        </w:rPr>
        <w:t xml:space="preserve"> higher </w:t>
      </w:r>
      <w:r w:rsidR="00095BFE" w:rsidRPr="003D3A99">
        <w:rPr>
          <w:color w:val="000000" w:themeColor="text1"/>
        </w:rPr>
        <w:t>government</w:t>
      </w:r>
      <w:r w:rsidR="00095BFE">
        <w:rPr>
          <w:color w:val="000000" w:themeColor="text1"/>
        </w:rPr>
        <w:t xml:space="preserve"> </w:t>
      </w:r>
      <w:r w:rsidR="009306D4">
        <w:rPr>
          <w:color w:val="000000" w:themeColor="text1"/>
        </w:rPr>
        <w:t>bond yields</w:t>
      </w:r>
      <w:r w:rsidR="00557543">
        <w:rPr>
          <w:color w:val="000000" w:themeColor="text1"/>
        </w:rPr>
        <w:t xml:space="preserve">. </w:t>
      </w:r>
    </w:p>
    <w:p w14:paraId="02C493F8" w14:textId="37097E92" w:rsidR="00B45654" w:rsidRDefault="00557543" w:rsidP="00557543">
      <w:pPr>
        <w:spacing w:line="360" w:lineRule="auto"/>
        <w:jc w:val="both"/>
        <w:rPr>
          <w:color w:val="000000" w:themeColor="text1"/>
        </w:rPr>
      </w:pPr>
      <w:r>
        <w:rPr>
          <w:color w:val="000000" w:themeColor="text1"/>
        </w:rPr>
        <w:t xml:space="preserve">Overall, with reference to the theoretical transmission </w:t>
      </w:r>
      <w:r w:rsidRPr="00557543">
        <w:rPr>
          <w:color w:val="000000" w:themeColor="text1"/>
        </w:rPr>
        <w:t>channels</w:t>
      </w:r>
      <w:r w:rsidR="008B2509">
        <w:rPr>
          <w:color w:val="000000" w:themeColor="text1"/>
        </w:rPr>
        <w:t>,</w:t>
      </w:r>
      <w:r w:rsidRPr="00557543">
        <w:rPr>
          <w:color w:val="000000" w:themeColor="text1"/>
        </w:rPr>
        <w:t xml:space="preserve"> through which oil</w:t>
      </w:r>
      <w:r>
        <w:rPr>
          <w:color w:val="000000" w:themeColor="text1"/>
        </w:rPr>
        <w:t xml:space="preserve"> price movements may affect the macroeconomic activity</w:t>
      </w:r>
      <w:r w:rsidR="00C734A4">
        <w:rPr>
          <w:color w:val="000000" w:themeColor="text1"/>
        </w:rPr>
        <w:t>,</w:t>
      </w:r>
      <w:r w:rsidR="00095BFE">
        <w:rPr>
          <w:color w:val="000000" w:themeColor="text1"/>
        </w:rPr>
        <w:t xml:space="preserve"> and hence macroeconomic indicator</w:t>
      </w:r>
      <w:r w:rsidR="0026388D">
        <w:rPr>
          <w:color w:val="000000" w:themeColor="text1"/>
        </w:rPr>
        <w:t>s</w:t>
      </w:r>
      <w:r>
        <w:rPr>
          <w:color w:val="000000" w:themeColor="text1"/>
        </w:rPr>
        <w:t xml:space="preserve">, </w:t>
      </w:r>
      <w:r w:rsidRPr="00557543">
        <w:rPr>
          <w:color w:val="000000" w:themeColor="text1"/>
        </w:rPr>
        <w:t>the reader is directed to</w:t>
      </w:r>
      <w:r>
        <w:rPr>
          <w:color w:val="000000" w:themeColor="text1"/>
        </w:rPr>
        <w:t xml:space="preserve"> authors such as </w:t>
      </w:r>
      <w:r w:rsidR="00B45654" w:rsidRPr="00B45654">
        <w:rPr>
          <w:color w:val="000000" w:themeColor="text1"/>
        </w:rPr>
        <w:t>Chen et al. (2014),</w:t>
      </w:r>
      <w:r w:rsidR="00B45654">
        <w:rPr>
          <w:color w:val="000000" w:themeColor="text1"/>
        </w:rPr>
        <w:t xml:space="preserve"> </w:t>
      </w:r>
      <w:proofErr w:type="spellStart"/>
      <w:r w:rsidR="00D20450" w:rsidRPr="00D20450">
        <w:rPr>
          <w:color w:val="000000" w:themeColor="text1"/>
        </w:rPr>
        <w:t>Filis</w:t>
      </w:r>
      <w:proofErr w:type="spellEnd"/>
      <w:r w:rsidR="00D20450" w:rsidRPr="00D20450">
        <w:rPr>
          <w:color w:val="000000" w:themeColor="text1"/>
        </w:rPr>
        <w:t xml:space="preserve"> and </w:t>
      </w:r>
      <w:proofErr w:type="spellStart"/>
      <w:r w:rsidR="00D20450" w:rsidRPr="00D20450">
        <w:rPr>
          <w:color w:val="000000" w:themeColor="text1"/>
        </w:rPr>
        <w:t>Chatziantoniou</w:t>
      </w:r>
      <w:proofErr w:type="spellEnd"/>
      <w:r w:rsidR="00D20450">
        <w:rPr>
          <w:color w:val="000000" w:themeColor="text1"/>
        </w:rPr>
        <w:t xml:space="preserve"> (</w:t>
      </w:r>
      <w:r w:rsidR="00D20450" w:rsidRPr="00D20450">
        <w:rPr>
          <w:color w:val="000000" w:themeColor="text1"/>
        </w:rPr>
        <w:t>2014</w:t>
      </w:r>
      <w:r w:rsidR="00D20450">
        <w:rPr>
          <w:color w:val="000000" w:themeColor="text1"/>
        </w:rPr>
        <w:t xml:space="preserve">), </w:t>
      </w:r>
      <w:r w:rsidR="0096560A" w:rsidRPr="00B45654">
        <w:rPr>
          <w:color w:val="000000" w:themeColor="text1"/>
        </w:rPr>
        <w:t>Rahm</w:t>
      </w:r>
      <w:r w:rsidR="0096560A">
        <w:rPr>
          <w:color w:val="000000" w:themeColor="text1"/>
        </w:rPr>
        <w:t xml:space="preserve">an and </w:t>
      </w:r>
      <w:proofErr w:type="spellStart"/>
      <w:r w:rsidR="0096560A">
        <w:rPr>
          <w:color w:val="000000" w:themeColor="text1"/>
        </w:rPr>
        <w:t>Serletis</w:t>
      </w:r>
      <w:proofErr w:type="spellEnd"/>
      <w:r w:rsidR="0096560A">
        <w:rPr>
          <w:color w:val="000000" w:themeColor="text1"/>
        </w:rPr>
        <w:t xml:space="preserve"> (2011), </w:t>
      </w:r>
      <w:r w:rsidR="00B45654" w:rsidRPr="00B45654">
        <w:rPr>
          <w:color w:val="000000" w:themeColor="text1"/>
        </w:rPr>
        <w:t xml:space="preserve">Segal (2011), </w:t>
      </w:r>
      <w:proofErr w:type="spellStart"/>
      <w:r w:rsidR="00B45654" w:rsidRPr="00B45654">
        <w:rPr>
          <w:color w:val="000000" w:themeColor="text1"/>
        </w:rPr>
        <w:t>Nakov</w:t>
      </w:r>
      <w:proofErr w:type="spellEnd"/>
      <w:r w:rsidR="00B45654" w:rsidRPr="00B45654">
        <w:rPr>
          <w:color w:val="000000" w:themeColor="text1"/>
        </w:rPr>
        <w:t xml:space="preserve"> and </w:t>
      </w:r>
      <w:proofErr w:type="spellStart"/>
      <w:r w:rsidR="00B45654" w:rsidRPr="00B45654">
        <w:rPr>
          <w:color w:val="000000" w:themeColor="text1"/>
        </w:rPr>
        <w:t>Pescatori</w:t>
      </w:r>
      <w:proofErr w:type="spellEnd"/>
      <w:r w:rsidR="00B45654" w:rsidRPr="00B45654">
        <w:rPr>
          <w:color w:val="000000" w:themeColor="text1"/>
        </w:rPr>
        <w:t xml:space="preserve"> (2010),</w:t>
      </w:r>
      <w:r w:rsidR="00B45654">
        <w:rPr>
          <w:color w:val="000000" w:themeColor="text1"/>
        </w:rPr>
        <w:t xml:space="preserve"> </w:t>
      </w:r>
      <w:r w:rsidR="0096560A">
        <w:rPr>
          <w:color w:val="000000" w:themeColor="text1"/>
        </w:rPr>
        <w:t xml:space="preserve">Tang et </w:t>
      </w:r>
      <w:r w:rsidR="0096560A" w:rsidRPr="00B45654">
        <w:rPr>
          <w:color w:val="000000" w:themeColor="text1"/>
        </w:rPr>
        <w:t xml:space="preserve">al. (2010), </w:t>
      </w:r>
      <w:r w:rsidR="00B45654" w:rsidRPr="00B45654">
        <w:rPr>
          <w:color w:val="000000" w:themeColor="text1"/>
        </w:rPr>
        <w:t xml:space="preserve">Miller and </w:t>
      </w:r>
      <w:proofErr w:type="spellStart"/>
      <w:r w:rsidR="00B45654" w:rsidRPr="00B45654">
        <w:rPr>
          <w:color w:val="000000" w:themeColor="text1"/>
        </w:rPr>
        <w:t>Ratti</w:t>
      </w:r>
      <w:proofErr w:type="spellEnd"/>
      <w:r w:rsidR="00B45654" w:rsidRPr="00B45654">
        <w:rPr>
          <w:color w:val="000000" w:themeColor="text1"/>
        </w:rPr>
        <w:t xml:space="preserve"> (2009), </w:t>
      </w:r>
      <w:proofErr w:type="spellStart"/>
      <w:r w:rsidR="00B45654" w:rsidRPr="00B45654">
        <w:rPr>
          <w:color w:val="000000" w:themeColor="text1"/>
        </w:rPr>
        <w:t>Cologni</w:t>
      </w:r>
      <w:proofErr w:type="spellEnd"/>
      <w:r w:rsidR="00B45654" w:rsidRPr="00B45654">
        <w:rPr>
          <w:color w:val="000000" w:themeColor="text1"/>
        </w:rPr>
        <w:t xml:space="preserve"> and </w:t>
      </w:r>
      <w:proofErr w:type="spellStart"/>
      <w:r w:rsidR="00B45654" w:rsidRPr="00B45654">
        <w:rPr>
          <w:color w:val="000000" w:themeColor="text1"/>
        </w:rPr>
        <w:t>Manera</w:t>
      </w:r>
      <w:proofErr w:type="spellEnd"/>
      <w:r w:rsidR="00B45654" w:rsidRPr="00B45654">
        <w:rPr>
          <w:color w:val="000000" w:themeColor="text1"/>
        </w:rPr>
        <w:t xml:space="preserve"> (2008),</w:t>
      </w:r>
      <w:r w:rsidR="00B45654">
        <w:rPr>
          <w:color w:val="000000" w:themeColor="text1"/>
        </w:rPr>
        <w:t xml:space="preserve"> </w:t>
      </w:r>
      <w:proofErr w:type="spellStart"/>
      <w:r w:rsidR="00B45654">
        <w:rPr>
          <w:color w:val="000000" w:themeColor="text1"/>
        </w:rPr>
        <w:t>Cunado</w:t>
      </w:r>
      <w:proofErr w:type="spellEnd"/>
      <w:r w:rsidR="00B45654">
        <w:rPr>
          <w:color w:val="000000" w:themeColor="text1"/>
        </w:rPr>
        <w:t xml:space="preserve"> and Perez de </w:t>
      </w:r>
      <w:proofErr w:type="spellStart"/>
      <w:r w:rsidR="00B45654">
        <w:rPr>
          <w:color w:val="000000" w:themeColor="text1"/>
        </w:rPr>
        <w:t>Gracia</w:t>
      </w:r>
      <w:proofErr w:type="spellEnd"/>
      <w:r w:rsidR="00B45654">
        <w:rPr>
          <w:color w:val="000000" w:themeColor="text1"/>
        </w:rPr>
        <w:t xml:space="preserve"> (</w:t>
      </w:r>
      <w:r w:rsidR="00B45654" w:rsidRPr="00B45654">
        <w:rPr>
          <w:color w:val="000000" w:themeColor="text1"/>
        </w:rPr>
        <w:t>2005).</w:t>
      </w:r>
    </w:p>
    <w:p w14:paraId="6643DA3F" w14:textId="481435F0" w:rsidR="00843969" w:rsidRDefault="009D08EB" w:rsidP="00843969">
      <w:pPr>
        <w:spacing w:line="360" w:lineRule="auto"/>
        <w:jc w:val="both"/>
        <w:rPr>
          <w:color w:val="000000" w:themeColor="text1"/>
        </w:rPr>
      </w:pPr>
      <w:r>
        <w:rPr>
          <w:color w:val="000000" w:themeColor="text1"/>
        </w:rPr>
        <w:t xml:space="preserve">In addition, </w:t>
      </w:r>
      <w:r w:rsidRPr="003D3A99">
        <w:rPr>
          <w:color w:val="000000" w:themeColor="text1"/>
        </w:rPr>
        <w:t>government</w:t>
      </w:r>
      <w:r>
        <w:rPr>
          <w:color w:val="000000" w:themeColor="text1"/>
        </w:rPr>
        <w:t xml:space="preserve"> bond yields</w:t>
      </w:r>
      <w:r>
        <w:t xml:space="preserve"> changes may also influence oil price movements</w:t>
      </w:r>
      <w:r w:rsidR="00C734A4">
        <w:t>,</w:t>
      </w:r>
      <w:r>
        <w:t xml:space="preserve"> and hence the reverse channel seems to work. More specifically, </w:t>
      </w:r>
      <w:r w:rsidRPr="003D3A99">
        <w:rPr>
          <w:color w:val="000000" w:themeColor="text1"/>
        </w:rPr>
        <w:t>government</w:t>
      </w:r>
      <w:r>
        <w:rPr>
          <w:color w:val="000000" w:themeColor="text1"/>
        </w:rPr>
        <w:t xml:space="preserve"> bond yields</w:t>
      </w:r>
      <w:r>
        <w:t xml:space="preserve"> </w:t>
      </w:r>
      <w:r w:rsidR="00843969" w:rsidRPr="00843969">
        <w:rPr>
          <w:color w:val="000000" w:themeColor="text1"/>
        </w:rPr>
        <w:t xml:space="preserve">reflect the growth prospects of an economy. An economy that is growing, as reflected by decreasing </w:t>
      </w:r>
      <w:r w:rsidRPr="003D3A99">
        <w:rPr>
          <w:color w:val="000000" w:themeColor="text1"/>
        </w:rPr>
        <w:t>government</w:t>
      </w:r>
      <w:r w:rsidRPr="00843969">
        <w:rPr>
          <w:color w:val="000000" w:themeColor="text1"/>
        </w:rPr>
        <w:t xml:space="preserve"> </w:t>
      </w:r>
      <w:r w:rsidR="00843969" w:rsidRPr="00843969">
        <w:rPr>
          <w:color w:val="000000" w:themeColor="text1"/>
        </w:rPr>
        <w:t>bond yields, has higher employment, which leads to higher income and thus spending. This</w:t>
      </w:r>
      <w:r w:rsidR="008B2509">
        <w:rPr>
          <w:color w:val="000000" w:themeColor="text1"/>
        </w:rPr>
        <w:t xml:space="preserve"> </w:t>
      </w:r>
      <w:r w:rsidR="008E67C9">
        <w:rPr>
          <w:color w:val="000000" w:themeColor="text1"/>
        </w:rPr>
        <w:t>stimulates</w:t>
      </w:r>
      <w:r w:rsidR="00843969" w:rsidRPr="00843969">
        <w:rPr>
          <w:color w:val="000000" w:themeColor="text1"/>
        </w:rPr>
        <w:t xml:space="preserve"> production and</w:t>
      </w:r>
      <w:r w:rsidR="00C47E10">
        <w:rPr>
          <w:color w:val="000000" w:themeColor="text1"/>
        </w:rPr>
        <w:t>,</w:t>
      </w:r>
      <w:r w:rsidR="00843969" w:rsidRPr="00843969">
        <w:rPr>
          <w:color w:val="000000" w:themeColor="text1"/>
        </w:rPr>
        <w:t xml:space="preserve"> </w:t>
      </w:r>
      <w:r w:rsidR="008E67C9">
        <w:rPr>
          <w:color w:val="000000" w:themeColor="text1"/>
        </w:rPr>
        <w:t>consequently</w:t>
      </w:r>
      <w:r w:rsidR="00C47E10">
        <w:rPr>
          <w:color w:val="000000" w:themeColor="text1"/>
        </w:rPr>
        <w:t>,</w:t>
      </w:r>
      <w:r w:rsidR="008E67C9">
        <w:rPr>
          <w:color w:val="000000" w:themeColor="text1"/>
        </w:rPr>
        <w:t xml:space="preserve"> </w:t>
      </w:r>
      <w:r w:rsidR="00843969" w:rsidRPr="00843969">
        <w:rPr>
          <w:color w:val="000000" w:themeColor="text1"/>
        </w:rPr>
        <w:t>demand for production inputs. Oil is a major production input</w:t>
      </w:r>
      <w:r w:rsidR="008B2509">
        <w:rPr>
          <w:color w:val="000000" w:themeColor="text1"/>
        </w:rPr>
        <w:t>;</w:t>
      </w:r>
      <w:r w:rsidR="008B2509" w:rsidRPr="00843969">
        <w:rPr>
          <w:color w:val="000000" w:themeColor="text1"/>
        </w:rPr>
        <w:t xml:space="preserve"> </w:t>
      </w:r>
      <w:r w:rsidR="00C47E10">
        <w:rPr>
          <w:color w:val="000000" w:themeColor="text1"/>
        </w:rPr>
        <w:t>therefore,</w:t>
      </w:r>
      <w:r w:rsidR="00C47E10" w:rsidRPr="00843969">
        <w:rPr>
          <w:color w:val="000000" w:themeColor="text1"/>
        </w:rPr>
        <w:t xml:space="preserve"> </w:t>
      </w:r>
      <w:r w:rsidR="00843969" w:rsidRPr="00843969">
        <w:rPr>
          <w:color w:val="000000" w:themeColor="text1"/>
        </w:rPr>
        <w:t>its demand will increase, leading</w:t>
      </w:r>
      <w:r w:rsidR="00C47E10">
        <w:rPr>
          <w:color w:val="000000" w:themeColor="text1"/>
        </w:rPr>
        <w:t xml:space="preserve"> to a rise in oil prices</w:t>
      </w:r>
      <w:r w:rsidR="00843969" w:rsidRPr="00843969">
        <w:rPr>
          <w:color w:val="000000" w:themeColor="text1"/>
        </w:rPr>
        <w:t>.</w:t>
      </w:r>
    </w:p>
    <w:p w14:paraId="06C97BD2" w14:textId="3F32C964" w:rsidR="008B6147" w:rsidRDefault="00BD25C6" w:rsidP="001260CD">
      <w:pPr>
        <w:spacing w:line="360" w:lineRule="auto"/>
        <w:jc w:val="both"/>
        <w:rPr>
          <w:color w:val="000000" w:themeColor="text1"/>
        </w:rPr>
      </w:pPr>
      <w:r>
        <w:rPr>
          <w:color w:val="000000" w:themeColor="text1"/>
        </w:rPr>
        <w:t xml:space="preserve">Nevertheless, as previously mentioned, </w:t>
      </w:r>
      <w:r w:rsidRPr="00BD25C6">
        <w:rPr>
          <w:color w:val="000000" w:themeColor="text1"/>
        </w:rPr>
        <w:t>the literature in this area of research</w:t>
      </w:r>
      <w:r>
        <w:rPr>
          <w:color w:val="000000" w:themeColor="text1"/>
        </w:rPr>
        <w:t xml:space="preserve"> does not pay particular attention to the origin of the oil price shock in investigating the</w:t>
      </w:r>
      <w:r w:rsidRPr="00BD25C6">
        <w:rPr>
          <w:color w:val="000000" w:themeColor="text1"/>
        </w:rPr>
        <w:t xml:space="preserve"> relationship between</w:t>
      </w:r>
      <w:r>
        <w:rPr>
          <w:color w:val="000000" w:themeColor="text1"/>
        </w:rPr>
        <w:t xml:space="preserve"> different oil price shocks and sovereign yield spreads.</w:t>
      </w:r>
      <w:r w:rsidR="00952762">
        <w:rPr>
          <w:color w:val="000000" w:themeColor="text1"/>
        </w:rPr>
        <w:t xml:space="preserve"> In our study, the latter represents </w:t>
      </w:r>
      <w:r w:rsidR="00952762">
        <w:t>the difference</w:t>
      </w:r>
      <w:r w:rsidR="00952762" w:rsidRPr="00485938">
        <w:t xml:space="preserve"> </w:t>
      </w:r>
      <w:r w:rsidR="00952762">
        <w:t>between the 10-year government bond yield</w:t>
      </w:r>
      <w:r w:rsidR="00C734A4">
        <w:t>,</w:t>
      </w:r>
      <w:r w:rsidR="00952762">
        <w:t xml:space="preserve"> </w:t>
      </w:r>
      <w:r w:rsidR="00952762" w:rsidRPr="00FC5FAC">
        <w:t>issued by a</w:t>
      </w:r>
      <w:r w:rsidR="00952762">
        <w:t>n EMU member-</w:t>
      </w:r>
      <w:r w:rsidR="00952762" w:rsidRPr="00FC5FAC">
        <w:t>country</w:t>
      </w:r>
      <w:r w:rsidR="00C734A4">
        <w:t>,</w:t>
      </w:r>
      <w:r w:rsidR="00952762" w:rsidRPr="00485938">
        <w:t xml:space="preserve"> </w:t>
      </w:r>
      <w:r w:rsidR="00952762">
        <w:t xml:space="preserve">and the German </w:t>
      </w:r>
      <w:r w:rsidR="00952762" w:rsidRPr="00FC5FAC">
        <w:t>(Bund)</w:t>
      </w:r>
      <w:r w:rsidR="00952762">
        <w:t xml:space="preserve"> 10-year bond yield.</w:t>
      </w:r>
      <w:r w:rsidR="00952762">
        <w:rPr>
          <w:color w:val="000000" w:themeColor="text1"/>
        </w:rPr>
        <w:t xml:space="preserve"> Having established the theoretical motivation between oil price changes and </w:t>
      </w:r>
      <w:r w:rsidR="00952762" w:rsidRPr="003D3A99">
        <w:rPr>
          <w:color w:val="000000" w:themeColor="text1"/>
        </w:rPr>
        <w:t>government</w:t>
      </w:r>
      <w:r w:rsidR="00952762" w:rsidRPr="00843969">
        <w:rPr>
          <w:color w:val="000000" w:themeColor="text1"/>
        </w:rPr>
        <w:t xml:space="preserve"> bond yields</w:t>
      </w:r>
      <w:r w:rsidR="00952762">
        <w:rPr>
          <w:color w:val="000000" w:themeColor="text1"/>
        </w:rPr>
        <w:t>, t</w:t>
      </w:r>
      <w:r w:rsidR="00952762" w:rsidRPr="00952762">
        <w:rPr>
          <w:color w:val="000000" w:themeColor="text1"/>
        </w:rPr>
        <w:t>he aim of this study is to fill this void.</w:t>
      </w:r>
    </w:p>
    <w:p w14:paraId="1C0AF610" w14:textId="109B70E5" w:rsidR="001260CD" w:rsidRDefault="001260CD" w:rsidP="001260CD">
      <w:pPr>
        <w:spacing w:line="360" w:lineRule="auto"/>
        <w:jc w:val="both"/>
        <w:rPr>
          <w:color w:val="000000" w:themeColor="text1"/>
        </w:rPr>
      </w:pPr>
      <w:r>
        <w:rPr>
          <w:color w:val="000000" w:themeColor="text1"/>
        </w:rPr>
        <w:t xml:space="preserve">Overall, we examine the time-varying correlation between different oil price shocks based on their origin and the 10-year </w:t>
      </w:r>
      <w:r w:rsidRPr="00F7460A">
        <w:rPr>
          <w:color w:val="000000" w:themeColor="text1"/>
        </w:rPr>
        <w:t>sovereign yield spread</w:t>
      </w:r>
      <w:r>
        <w:rPr>
          <w:color w:val="000000" w:themeColor="text1"/>
        </w:rPr>
        <w:t xml:space="preserve"> as a proxy of sovereign risk. </w:t>
      </w:r>
      <w:r w:rsidR="000E485D">
        <w:rPr>
          <w:color w:val="000000" w:themeColor="text1"/>
        </w:rPr>
        <w:t>W</w:t>
      </w:r>
      <w:r>
        <w:rPr>
          <w:color w:val="000000" w:themeColor="text1"/>
        </w:rPr>
        <w:t xml:space="preserve">e seek to expand the existing literature not only in terms of disaggregating the impact </w:t>
      </w:r>
      <w:r w:rsidR="00C734A4">
        <w:rPr>
          <w:color w:val="000000" w:themeColor="text1"/>
        </w:rPr>
        <w:t xml:space="preserve">of oil price shocks </w:t>
      </w:r>
      <w:r>
        <w:rPr>
          <w:color w:val="000000" w:themeColor="text1"/>
        </w:rPr>
        <w:t xml:space="preserve">on </w:t>
      </w:r>
      <w:r w:rsidRPr="00F7460A">
        <w:rPr>
          <w:color w:val="000000" w:themeColor="text1"/>
        </w:rPr>
        <w:t>sovereign yield spread</w:t>
      </w:r>
      <w:r w:rsidR="00931436">
        <w:rPr>
          <w:color w:val="000000" w:themeColor="text1"/>
        </w:rPr>
        <w:t>s</w:t>
      </w:r>
      <w:r>
        <w:rPr>
          <w:color w:val="000000" w:themeColor="text1"/>
        </w:rPr>
        <w:t xml:space="preserve"> but also in</w:t>
      </w:r>
      <w:r w:rsidR="00931436">
        <w:rPr>
          <w:color w:val="000000" w:themeColor="text1"/>
        </w:rPr>
        <w:t xml:space="preserve"> terms of investigat</w:t>
      </w:r>
      <w:r>
        <w:rPr>
          <w:color w:val="000000" w:themeColor="text1"/>
        </w:rPr>
        <w:t>ing this relationship in a time-varying rather than a static econometric framework across EMU members.</w:t>
      </w:r>
    </w:p>
    <w:p w14:paraId="6D6C8C31" w14:textId="77777777" w:rsidR="00377B56" w:rsidRDefault="00377B56" w:rsidP="001260CD">
      <w:pPr>
        <w:spacing w:line="360" w:lineRule="auto"/>
        <w:jc w:val="both"/>
        <w:rPr>
          <w:color w:val="000000" w:themeColor="text1"/>
        </w:rPr>
      </w:pPr>
    </w:p>
    <w:p w14:paraId="2E0C7FF4" w14:textId="3183197C" w:rsidR="007A0286" w:rsidRPr="007A0286" w:rsidRDefault="007A0286" w:rsidP="001260CD">
      <w:pPr>
        <w:spacing w:line="360" w:lineRule="auto"/>
        <w:jc w:val="both"/>
        <w:rPr>
          <w:i/>
          <w:color w:val="000000" w:themeColor="text1"/>
        </w:rPr>
      </w:pPr>
      <w:r w:rsidRPr="007A0286">
        <w:rPr>
          <w:i/>
          <w:color w:val="000000" w:themeColor="text1"/>
        </w:rPr>
        <w:t>2.3 Hypotheses development</w:t>
      </w:r>
    </w:p>
    <w:p w14:paraId="2D581AE4" w14:textId="16614E7B" w:rsidR="00424EEA" w:rsidRDefault="00424EEA" w:rsidP="001260CD">
      <w:pPr>
        <w:spacing w:line="360" w:lineRule="auto"/>
        <w:jc w:val="both"/>
        <w:rPr>
          <w:color w:val="000000" w:themeColor="text1"/>
        </w:rPr>
      </w:pPr>
      <w:r>
        <w:rPr>
          <w:color w:val="000000" w:themeColor="text1"/>
        </w:rPr>
        <w:t xml:space="preserve">Given the aforementioned literature, </w:t>
      </w:r>
      <w:r>
        <w:t xml:space="preserve">we focus on the anticipated time-varying correlation between </w:t>
      </w:r>
      <w:r w:rsidRPr="006B4BA5">
        <w:rPr>
          <w:color w:val="000000" w:themeColor="text1"/>
        </w:rPr>
        <w:t>sovereign yield spreads</w:t>
      </w:r>
      <w:r>
        <w:rPr>
          <w:color w:val="000000" w:themeColor="text1"/>
        </w:rPr>
        <w:t xml:space="preserve"> of </w:t>
      </w:r>
      <w:r w:rsidRPr="0044094C">
        <w:rPr>
          <w:color w:val="000000" w:themeColor="text1"/>
        </w:rPr>
        <w:t>core and periphery countries</w:t>
      </w:r>
      <w:r>
        <w:rPr>
          <w:color w:val="000000" w:themeColor="text1"/>
        </w:rPr>
        <w:t xml:space="preserve"> and </w:t>
      </w:r>
      <w:r w:rsidR="0019794E">
        <w:rPr>
          <w:color w:val="000000" w:themeColor="text1"/>
        </w:rPr>
        <w:t>oil</w:t>
      </w:r>
      <w:r w:rsidRPr="00F12873">
        <w:rPr>
          <w:color w:val="000000" w:themeColor="text1"/>
        </w:rPr>
        <w:t xml:space="preserve"> </w:t>
      </w:r>
      <w:r w:rsidR="0019794E">
        <w:rPr>
          <w:color w:val="000000" w:themeColor="text1"/>
        </w:rPr>
        <w:t>price</w:t>
      </w:r>
      <w:r>
        <w:rPr>
          <w:color w:val="000000" w:themeColor="text1"/>
        </w:rPr>
        <w:t xml:space="preserve"> </w:t>
      </w:r>
      <w:r w:rsidRPr="00F12873">
        <w:rPr>
          <w:color w:val="000000" w:themeColor="text1"/>
        </w:rPr>
        <w:t>shocks</w:t>
      </w:r>
      <w:r>
        <w:rPr>
          <w:color w:val="000000" w:themeColor="text1"/>
        </w:rPr>
        <w:t>. Thus, we posit the following hypotheses:</w:t>
      </w:r>
    </w:p>
    <w:p w14:paraId="3819E830" w14:textId="32AD7F89" w:rsidR="00424EEA" w:rsidRDefault="00424EEA" w:rsidP="00424EEA">
      <w:pPr>
        <w:spacing w:line="360" w:lineRule="auto"/>
        <w:jc w:val="both"/>
        <w:rPr>
          <w:i/>
        </w:rPr>
      </w:pPr>
      <w:r w:rsidRPr="00C02DF3">
        <w:rPr>
          <w:b/>
          <w:i/>
        </w:rPr>
        <w:lastRenderedPageBreak/>
        <w:t>Hypothesis 1:</w:t>
      </w:r>
      <w:r w:rsidRPr="00C02DF3">
        <w:rPr>
          <w:i/>
        </w:rPr>
        <w:t xml:space="preserve"> </w:t>
      </w:r>
      <w:r>
        <w:rPr>
          <w:i/>
        </w:rPr>
        <w:t>N</w:t>
      </w:r>
      <w:r w:rsidRPr="00424EEA">
        <w:rPr>
          <w:i/>
        </w:rPr>
        <w:t>e</w:t>
      </w:r>
      <w:r w:rsidR="0019794E">
        <w:rPr>
          <w:i/>
        </w:rPr>
        <w:t>gative correlations are anticipated</w:t>
      </w:r>
      <w:r w:rsidRPr="00424EEA">
        <w:rPr>
          <w:i/>
        </w:rPr>
        <w:t xml:space="preserve"> between sovereign yield spreads and positive supply-side shocks.</w:t>
      </w:r>
    </w:p>
    <w:p w14:paraId="39076869" w14:textId="5D375501" w:rsidR="00424EEA" w:rsidRDefault="00424EEA" w:rsidP="00424EEA">
      <w:pPr>
        <w:spacing w:line="360" w:lineRule="auto"/>
        <w:jc w:val="both"/>
        <w:rPr>
          <w:color w:val="000000" w:themeColor="text1"/>
        </w:rPr>
      </w:pPr>
      <w:r>
        <w:rPr>
          <w:color w:val="000000" w:themeColor="text1"/>
        </w:rPr>
        <w:t xml:space="preserve">Since both EMU </w:t>
      </w:r>
      <w:r w:rsidRPr="0044094C">
        <w:rPr>
          <w:color w:val="000000" w:themeColor="text1"/>
        </w:rPr>
        <w:t>core and periphery countries</w:t>
      </w:r>
      <w:r>
        <w:rPr>
          <w:color w:val="000000" w:themeColor="text1"/>
        </w:rPr>
        <w:t xml:space="preserve"> are oil-importing, we </w:t>
      </w:r>
      <w:r w:rsidRPr="006B4BA5">
        <w:rPr>
          <w:color w:val="000000" w:themeColor="text1"/>
        </w:rPr>
        <w:t>argue that an oil price decrease</w:t>
      </w:r>
      <w:r w:rsidR="00763E13">
        <w:rPr>
          <w:color w:val="000000" w:themeColor="text1"/>
        </w:rPr>
        <w:t xml:space="preserve">, due to increased </w:t>
      </w:r>
      <w:r w:rsidR="001D6244">
        <w:rPr>
          <w:color w:val="000000" w:themeColor="text1"/>
        </w:rPr>
        <w:t xml:space="preserve">oil </w:t>
      </w:r>
      <w:r w:rsidR="00763E13">
        <w:rPr>
          <w:color w:val="000000" w:themeColor="text1"/>
        </w:rPr>
        <w:t>production,</w:t>
      </w:r>
      <w:r w:rsidR="00821768">
        <w:rPr>
          <w:color w:val="000000" w:themeColor="text1"/>
        </w:rPr>
        <w:t xml:space="preserve"> promotes</w:t>
      </w:r>
      <w:r w:rsidRPr="006B4BA5">
        <w:rPr>
          <w:color w:val="000000" w:themeColor="text1"/>
        </w:rPr>
        <w:t xml:space="preserve"> a drop in the cost of </w:t>
      </w:r>
      <w:r w:rsidR="001D6244" w:rsidRPr="006B4BA5">
        <w:rPr>
          <w:color w:val="000000" w:themeColor="text1"/>
        </w:rPr>
        <w:t>import</w:t>
      </w:r>
      <w:r w:rsidR="001D6244">
        <w:rPr>
          <w:color w:val="000000" w:themeColor="text1"/>
        </w:rPr>
        <w:t>ed</w:t>
      </w:r>
      <w:r w:rsidR="001D6244" w:rsidRPr="006B4BA5">
        <w:rPr>
          <w:color w:val="000000" w:themeColor="text1"/>
        </w:rPr>
        <w:t xml:space="preserve"> </w:t>
      </w:r>
      <w:r w:rsidRPr="006B4BA5">
        <w:rPr>
          <w:color w:val="000000" w:themeColor="text1"/>
        </w:rPr>
        <w:t>oil</w:t>
      </w:r>
      <w:r>
        <w:rPr>
          <w:color w:val="000000" w:themeColor="text1"/>
        </w:rPr>
        <w:t>,</w:t>
      </w:r>
      <w:r w:rsidRPr="006B4BA5">
        <w:rPr>
          <w:color w:val="000000" w:themeColor="text1"/>
        </w:rPr>
        <w:t xml:space="preserve"> which improves the current account balance. </w:t>
      </w:r>
      <w:r w:rsidR="008E2113">
        <w:rPr>
          <w:color w:val="000000" w:themeColor="text1"/>
        </w:rPr>
        <w:t xml:space="preserve">As a consequence of </w:t>
      </w:r>
      <w:r w:rsidRPr="006B4BA5">
        <w:rPr>
          <w:color w:val="000000" w:themeColor="text1"/>
        </w:rPr>
        <w:t xml:space="preserve">a reduction in </w:t>
      </w:r>
      <w:r w:rsidR="008E2113">
        <w:rPr>
          <w:color w:val="000000" w:themeColor="text1"/>
        </w:rPr>
        <w:t>the current account deficit</w:t>
      </w:r>
      <w:r w:rsidRPr="006B4BA5">
        <w:rPr>
          <w:color w:val="000000" w:themeColor="text1"/>
        </w:rPr>
        <w:t xml:space="preserve"> </w:t>
      </w:r>
      <w:r w:rsidR="008E2113">
        <w:rPr>
          <w:color w:val="000000" w:themeColor="text1"/>
        </w:rPr>
        <w:t>there is reduced concern</w:t>
      </w:r>
      <w:r w:rsidRPr="006B4BA5">
        <w:rPr>
          <w:color w:val="000000" w:themeColor="text1"/>
        </w:rPr>
        <w:t xml:space="preserve"> for the country </w:t>
      </w:r>
      <w:r w:rsidR="008E2113">
        <w:rPr>
          <w:color w:val="000000" w:themeColor="text1"/>
        </w:rPr>
        <w:t>to raise funds in order to service</w:t>
      </w:r>
      <w:r w:rsidRPr="006B4BA5">
        <w:rPr>
          <w:color w:val="000000" w:themeColor="text1"/>
        </w:rPr>
        <w:t xml:space="preserve"> the external debt. </w:t>
      </w:r>
      <w:r w:rsidR="001D6244">
        <w:rPr>
          <w:color w:val="000000" w:themeColor="text1"/>
        </w:rPr>
        <w:t xml:space="preserve">In </w:t>
      </w:r>
      <w:r w:rsidR="008E2113">
        <w:rPr>
          <w:color w:val="000000" w:themeColor="text1"/>
        </w:rPr>
        <w:t xml:space="preserve">the case of </w:t>
      </w:r>
      <w:r w:rsidR="001D6244">
        <w:rPr>
          <w:color w:val="000000" w:themeColor="text1"/>
        </w:rPr>
        <w:t>such developments, s</w:t>
      </w:r>
      <w:r w:rsidR="008E2113">
        <w:rPr>
          <w:color w:val="000000" w:themeColor="text1"/>
        </w:rPr>
        <w:t>preads are expected to decrease</w:t>
      </w:r>
      <w:r w:rsidR="001D6244">
        <w:rPr>
          <w:color w:val="000000" w:themeColor="text1"/>
        </w:rPr>
        <w:t xml:space="preserve"> since countries are expected </w:t>
      </w:r>
      <w:r w:rsidR="008E2113">
        <w:rPr>
          <w:color w:val="000000" w:themeColor="text1"/>
        </w:rPr>
        <w:t>to be more responsive relative</w:t>
      </w:r>
      <w:r w:rsidR="001D6244">
        <w:rPr>
          <w:color w:val="000000" w:themeColor="text1"/>
        </w:rPr>
        <w:t xml:space="preserve"> to the benchmark country (e.g. Germany for the EMU member states), given that the yield of the latter has narrower variability margins.</w:t>
      </w:r>
    </w:p>
    <w:p w14:paraId="6BB3D147" w14:textId="6EF52DE8" w:rsidR="0019794E" w:rsidRPr="0019794E" w:rsidRDefault="00424EEA" w:rsidP="0019794E">
      <w:pPr>
        <w:spacing w:line="360" w:lineRule="auto"/>
        <w:jc w:val="both"/>
        <w:rPr>
          <w:i/>
        </w:rPr>
      </w:pPr>
      <w:r>
        <w:rPr>
          <w:b/>
          <w:i/>
        </w:rPr>
        <w:t>Hypothesis 2</w:t>
      </w:r>
      <w:r w:rsidRPr="00C02DF3">
        <w:rPr>
          <w:b/>
          <w:i/>
        </w:rPr>
        <w:t>:</w:t>
      </w:r>
      <w:r w:rsidRPr="00C02DF3">
        <w:rPr>
          <w:i/>
        </w:rPr>
        <w:t xml:space="preserve"> </w:t>
      </w:r>
      <w:r w:rsidR="0019794E" w:rsidRPr="0019794E">
        <w:rPr>
          <w:i/>
          <w:color w:val="000000" w:themeColor="text1"/>
        </w:rPr>
        <w:t>N</w:t>
      </w:r>
      <w:r w:rsidRPr="0019794E">
        <w:rPr>
          <w:i/>
          <w:color w:val="000000" w:themeColor="text1"/>
        </w:rPr>
        <w:t xml:space="preserve">egative correlations are anticipated between sovereign yield spreads and positive aggregate demand shocks. </w:t>
      </w:r>
    </w:p>
    <w:p w14:paraId="4EEF1E02" w14:textId="6A05E6DA" w:rsidR="0019794E" w:rsidRDefault="00763E13" w:rsidP="00424EEA">
      <w:pPr>
        <w:suppressAutoHyphens/>
        <w:spacing w:line="360" w:lineRule="auto"/>
        <w:jc w:val="both"/>
        <w:rPr>
          <w:color w:val="000000" w:themeColor="text1"/>
        </w:rPr>
      </w:pPr>
      <w:r>
        <w:rPr>
          <w:color w:val="000000" w:themeColor="text1"/>
        </w:rPr>
        <w:t>A</w:t>
      </w:r>
      <w:r w:rsidR="00424EEA" w:rsidRPr="006B4BA5">
        <w:rPr>
          <w:color w:val="000000" w:themeColor="text1"/>
        </w:rPr>
        <w:t xml:space="preserve"> positive aggregate demand shock </w:t>
      </w:r>
      <w:r>
        <w:rPr>
          <w:color w:val="000000" w:themeColor="text1"/>
        </w:rPr>
        <w:t>is</w:t>
      </w:r>
      <w:r w:rsidR="00424EEA" w:rsidRPr="006B4BA5">
        <w:rPr>
          <w:color w:val="000000" w:themeColor="text1"/>
        </w:rPr>
        <w:t xml:space="preserve"> associated with increases in economic activity</w:t>
      </w:r>
      <w:r>
        <w:rPr>
          <w:color w:val="000000" w:themeColor="text1"/>
        </w:rPr>
        <w:t xml:space="preserve"> and thus</w:t>
      </w:r>
      <w:r w:rsidR="00424EEA" w:rsidRPr="006B4BA5">
        <w:rPr>
          <w:color w:val="000000" w:themeColor="text1"/>
        </w:rPr>
        <w:t xml:space="preserve"> oil price</w:t>
      </w:r>
      <w:r>
        <w:rPr>
          <w:color w:val="000000" w:themeColor="text1"/>
        </w:rPr>
        <w:t>s</w:t>
      </w:r>
      <w:r w:rsidR="00424EEA" w:rsidRPr="006B4BA5">
        <w:rPr>
          <w:color w:val="000000" w:themeColor="text1"/>
        </w:rPr>
        <w:t xml:space="preserve"> </w:t>
      </w:r>
      <w:r w:rsidR="008E2113">
        <w:rPr>
          <w:color w:val="000000" w:themeColor="text1"/>
        </w:rPr>
        <w:t xml:space="preserve">also </w:t>
      </w:r>
      <w:r w:rsidR="00424EEA" w:rsidRPr="006B4BA5">
        <w:rPr>
          <w:color w:val="000000" w:themeColor="text1"/>
        </w:rPr>
        <w:t>increase. Th</w:t>
      </w:r>
      <w:r>
        <w:rPr>
          <w:color w:val="000000" w:themeColor="text1"/>
        </w:rPr>
        <w:t>e higher economic activity, despite increased oil prices,</w:t>
      </w:r>
      <w:r w:rsidR="00424EEA" w:rsidRPr="006B4BA5">
        <w:rPr>
          <w:color w:val="000000" w:themeColor="text1"/>
        </w:rPr>
        <w:t xml:space="preserve"> contributes to a stable business and financial environment and reduces the uncertainty in the </w:t>
      </w:r>
      <w:r>
        <w:rPr>
          <w:color w:val="000000" w:themeColor="text1"/>
        </w:rPr>
        <w:t>economy</w:t>
      </w:r>
      <w:r w:rsidR="00424EEA" w:rsidRPr="006B4BA5">
        <w:rPr>
          <w:color w:val="000000" w:themeColor="text1"/>
        </w:rPr>
        <w:t xml:space="preserve">. </w:t>
      </w:r>
      <w:r>
        <w:rPr>
          <w:color w:val="000000" w:themeColor="text1"/>
        </w:rPr>
        <w:t xml:space="preserve">Such developments are expected to </w:t>
      </w:r>
      <w:r w:rsidR="001D445F">
        <w:rPr>
          <w:color w:val="000000" w:themeColor="text1"/>
        </w:rPr>
        <w:t xml:space="preserve">have a greater positive impact on the least strong economies as opposed to the anchor country (e.g. Germany), </w:t>
      </w:r>
      <w:r>
        <w:rPr>
          <w:color w:val="000000" w:themeColor="text1"/>
        </w:rPr>
        <w:t>lead</w:t>
      </w:r>
      <w:r w:rsidR="001D445F">
        <w:rPr>
          <w:color w:val="000000" w:themeColor="text1"/>
        </w:rPr>
        <w:t>ing</w:t>
      </w:r>
      <w:r>
        <w:rPr>
          <w:color w:val="000000" w:themeColor="text1"/>
        </w:rPr>
        <w:t xml:space="preserve"> to a decline in </w:t>
      </w:r>
      <w:r w:rsidR="00424EEA" w:rsidRPr="006B4BA5">
        <w:rPr>
          <w:color w:val="000000" w:themeColor="text1"/>
        </w:rPr>
        <w:t>sovereign yield spreads.</w:t>
      </w:r>
      <w:r w:rsidR="00424EEA">
        <w:rPr>
          <w:color w:val="000000" w:themeColor="text1"/>
        </w:rPr>
        <w:t xml:space="preserve"> </w:t>
      </w:r>
    </w:p>
    <w:p w14:paraId="35DDB73E" w14:textId="30522DC9" w:rsidR="0019794E" w:rsidRPr="00A74F29" w:rsidRDefault="0019794E" w:rsidP="00A74F29">
      <w:pPr>
        <w:spacing w:line="360" w:lineRule="auto"/>
        <w:jc w:val="both"/>
        <w:rPr>
          <w:i/>
        </w:rPr>
      </w:pPr>
      <w:r>
        <w:rPr>
          <w:b/>
          <w:i/>
        </w:rPr>
        <w:t>Hypothesis 3</w:t>
      </w:r>
      <w:r w:rsidRPr="00C02DF3">
        <w:rPr>
          <w:b/>
          <w:i/>
        </w:rPr>
        <w:t>:</w:t>
      </w:r>
      <w:r w:rsidRPr="00C02DF3">
        <w:rPr>
          <w:i/>
        </w:rPr>
        <w:t xml:space="preserve"> </w:t>
      </w:r>
      <w:r w:rsidRPr="0019794E">
        <w:rPr>
          <w:i/>
          <w:color w:val="000000" w:themeColor="text1"/>
        </w:rPr>
        <w:t>P</w:t>
      </w:r>
      <w:r w:rsidR="00424EEA" w:rsidRPr="0019794E">
        <w:rPr>
          <w:i/>
          <w:color w:val="000000" w:themeColor="text1"/>
        </w:rPr>
        <w:t xml:space="preserve">ositive correlations are anticipated between sovereign yield spreads and positive precautionary demand shocks. </w:t>
      </w:r>
    </w:p>
    <w:p w14:paraId="6C3D4DB9" w14:textId="2AE0238E" w:rsidR="00424EEA" w:rsidRPr="00283282" w:rsidRDefault="00424EEA" w:rsidP="00424EEA">
      <w:pPr>
        <w:suppressAutoHyphens/>
        <w:spacing w:line="360" w:lineRule="auto"/>
        <w:jc w:val="both"/>
        <w:rPr>
          <w:color w:val="000000" w:themeColor="text1"/>
        </w:rPr>
      </w:pPr>
      <w:r>
        <w:rPr>
          <w:color w:val="000000" w:themeColor="text1"/>
        </w:rPr>
        <w:t>More specifically</w:t>
      </w:r>
      <w:r w:rsidRPr="006B4BA5">
        <w:rPr>
          <w:color w:val="000000" w:themeColor="text1"/>
        </w:rPr>
        <w:t xml:space="preserve">, a positive precautionary demand shock represents fears about future oil supply shortfalls and therefore </w:t>
      </w:r>
      <w:r w:rsidR="008E2113">
        <w:rPr>
          <w:color w:val="000000" w:themeColor="text1"/>
        </w:rPr>
        <w:t xml:space="preserve">stimulates </w:t>
      </w:r>
      <w:r w:rsidRPr="006B4BA5">
        <w:rPr>
          <w:color w:val="000000" w:themeColor="text1"/>
        </w:rPr>
        <w:t xml:space="preserve">an increase in </w:t>
      </w:r>
      <w:r w:rsidR="008E2113">
        <w:rPr>
          <w:color w:val="000000" w:themeColor="text1"/>
        </w:rPr>
        <w:t xml:space="preserve">the </w:t>
      </w:r>
      <w:r w:rsidRPr="006B4BA5">
        <w:rPr>
          <w:color w:val="000000" w:themeColor="text1"/>
        </w:rPr>
        <w:t>oil price. This creates a weak business and financial environment</w:t>
      </w:r>
      <w:r w:rsidR="008E2113">
        <w:rPr>
          <w:color w:val="000000" w:themeColor="text1"/>
        </w:rPr>
        <w:t xml:space="preserve">, with a resultant </w:t>
      </w:r>
      <w:r w:rsidRPr="006B4BA5">
        <w:rPr>
          <w:color w:val="000000" w:themeColor="text1"/>
        </w:rPr>
        <w:t xml:space="preserve">fall in economic activity. </w:t>
      </w:r>
      <w:r w:rsidR="00763E13">
        <w:rPr>
          <w:color w:val="000000" w:themeColor="text1"/>
        </w:rPr>
        <w:t xml:space="preserve">This is </w:t>
      </w:r>
      <w:r>
        <w:rPr>
          <w:color w:val="000000" w:themeColor="text1"/>
        </w:rPr>
        <w:t xml:space="preserve">expected to have </w:t>
      </w:r>
      <w:r w:rsidR="00763E13">
        <w:rPr>
          <w:color w:val="000000" w:themeColor="text1"/>
        </w:rPr>
        <w:t>negative</w:t>
      </w:r>
      <w:r>
        <w:rPr>
          <w:color w:val="000000" w:themeColor="text1"/>
        </w:rPr>
        <w:t xml:space="preserve"> impact to the least strong economies</w:t>
      </w:r>
      <w:r w:rsidR="008E2113">
        <w:rPr>
          <w:color w:val="000000" w:themeColor="text1"/>
        </w:rPr>
        <w:t xml:space="preserve">, with the consequence that </w:t>
      </w:r>
      <w:r>
        <w:rPr>
          <w:color w:val="000000" w:themeColor="text1"/>
        </w:rPr>
        <w:t>the</w:t>
      </w:r>
      <w:r w:rsidRPr="006B4BA5">
        <w:rPr>
          <w:color w:val="000000" w:themeColor="text1"/>
        </w:rPr>
        <w:t xml:space="preserve"> sovereign yield spread</w:t>
      </w:r>
      <w:r>
        <w:rPr>
          <w:color w:val="000000" w:themeColor="text1"/>
        </w:rPr>
        <w:t xml:space="preserve"> is</w:t>
      </w:r>
      <w:r w:rsidRPr="006B4BA5">
        <w:rPr>
          <w:color w:val="000000" w:themeColor="text1"/>
        </w:rPr>
        <w:t xml:space="preserve"> expected to widen</w:t>
      </w:r>
      <w:r>
        <w:rPr>
          <w:color w:val="000000" w:themeColor="text1"/>
        </w:rPr>
        <w:t xml:space="preserve"> between the least strong economy and the </w:t>
      </w:r>
      <w:r w:rsidR="001D6244">
        <w:rPr>
          <w:color w:val="000000" w:themeColor="text1"/>
        </w:rPr>
        <w:t xml:space="preserve">benchmark </w:t>
      </w:r>
      <w:r>
        <w:rPr>
          <w:color w:val="000000" w:themeColor="text1"/>
        </w:rPr>
        <w:t>country</w:t>
      </w:r>
      <w:r w:rsidRPr="006B4BA5">
        <w:rPr>
          <w:color w:val="000000" w:themeColor="text1"/>
        </w:rPr>
        <w:t>.</w:t>
      </w:r>
      <w:r>
        <w:rPr>
          <w:color w:val="000000" w:themeColor="text1"/>
        </w:rPr>
        <w:t xml:space="preserve"> </w:t>
      </w:r>
    </w:p>
    <w:p w14:paraId="47806276" w14:textId="77777777" w:rsidR="001064F6" w:rsidRDefault="001064F6" w:rsidP="002748A7">
      <w:pPr>
        <w:suppressAutoHyphens/>
        <w:spacing w:line="360" w:lineRule="auto"/>
        <w:jc w:val="both"/>
        <w:rPr>
          <w:b/>
        </w:rPr>
      </w:pPr>
    </w:p>
    <w:p w14:paraId="21FE721A" w14:textId="085888AF" w:rsidR="00EF66CC" w:rsidRDefault="0064406C" w:rsidP="002748A7">
      <w:pPr>
        <w:suppressAutoHyphens/>
        <w:spacing w:line="360" w:lineRule="auto"/>
        <w:jc w:val="both"/>
        <w:rPr>
          <w:b/>
        </w:rPr>
      </w:pPr>
      <w:r>
        <w:rPr>
          <w:b/>
        </w:rPr>
        <w:t>3. Data description</w:t>
      </w:r>
      <w:r w:rsidR="005B6276">
        <w:rPr>
          <w:b/>
        </w:rPr>
        <w:t xml:space="preserve"> and preliminary analysis</w:t>
      </w:r>
    </w:p>
    <w:p w14:paraId="396C1295" w14:textId="6071665A" w:rsidR="00EF66CC" w:rsidRDefault="00702F84" w:rsidP="002748A7">
      <w:pPr>
        <w:suppressAutoHyphens/>
        <w:spacing w:line="360" w:lineRule="auto"/>
        <w:jc w:val="both"/>
      </w:pPr>
      <w:r>
        <w:t xml:space="preserve">In this study, </w:t>
      </w:r>
      <w:r w:rsidR="00FA1C33">
        <w:t>w</w:t>
      </w:r>
      <w:r w:rsidR="0064406C">
        <w:t>e use monthly data</w:t>
      </w:r>
      <w:r w:rsidR="0047389B">
        <w:t>,</w:t>
      </w:r>
      <w:r w:rsidR="000B3362">
        <w:t xml:space="preserve"> from January 1999 to January 2016,</w:t>
      </w:r>
      <w:r w:rsidR="0047389B">
        <w:t xml:space="preserve"> on</w:t>
      </w:r>
      <w:r w:rsidR="0064406C">
        <w:t xml:space="preserve"> world oil production, </w:t>
      </w:r>
      <w:r w:rsidR="0047389B">
        <w:t xml:space="preserve">a </w:t>
      </w:r>
      <w:r w:rsidR="0064406C">
        <w:t xml:space="preserve">global economic activity index and the crude oil spot price </w:t>
      </w:r>
      <w:r w:rsidR="0047389B">
        <w:t xml:space="preserve">for the purpose of estimating </w:t>
      </w:r>
      <w:r w:rsidR="0064406C">
        <w:t>the three oil price shocks</w:t>
      </w:r>
      <w:r w:rsidR="0047389B">
        <w:t>,</w:t>
      </w:r>
      <w:r w:rsidR="00BE4343">
        <w:t xml:space="preserve"> as suggested by Kilian (2009)</w:t>
      </w:r>
      <w:r w:rsidR="007649CF">
        <w:t xml:space="preserve">, </w:t>
      </w:r>
      <w:r w:rsidR="0047389B">
        <w:t xml:space="preserve">related to the supply of oil, </w:t>
      </w:r>
      <w:r w:rsidR="00EA5AD0">
        <w:t>aggregate demand and precautionary</w:t>
      </w:r>
      <w:r w:rsidR="0047389B">
        <w:t xml:space="preserve"> demand</w:t>
      </w:r>
      <w:r w:rsidR="00BE4343">
        <w:t>.</w:t>
      </w:r>
      <w:r w:rsidR="0064406C">
        <w:t xml:space="preserve"> The data for the world oil production </w:t>
      </w:r>
      <w:r w:rsidR="0047389B">
        <w:t>are</w:t>
      </w:r>
      <w:r w:rsidR="007649CF">
        <w:t xml:space="preserve"> </w:t>
      </w:r>
      <w:r w:rsidR="0064406C">
        <w:t>obtained from Energy Information Administration (EIA)</w:t>
      </w:r>
      <w:r w:rsidR="002E1C47">
        <w:t>.</w:t>
      </w:r>
      <w:r w:rsidR="0064406C">
        <w:t xml:space="preserve"> Following Kilian (2009), we employ the global economic activity index with </w:t>
      </w:r>
      <w:r w:rsidR="00C42E59">
        <w:t xml:space="preserve">the </w:t>
      </w:r>
      <w:r w:rsidR="0064406C">
        <w:t xml:space="preserve">aim </w:t>
      </w:r>
      <w:r w:rsidR="00C42E59">
        <w:t xml:space="preserve">of </w:t>
      </w:r>
      <w:r w:rsidR="00C42E59">
        <w:lastRenderedPageBreak/>
        <w:t xml:space="preserve">representing </w:t>
      </w:r>
      <w:r w:rsidR="0064406C">
        <w:t xml:space="preserve">the global business cycle. </w:t>
      </w:r>
      <w:r w:rsidR="00B13BC9">
        <w:t>Kilian p</w:t>
      </w:r>
      <w:r w:rsidR="00C42E59">
        <w:t>rovides a thorough explanation o</w:t>
      </w:r>
      <w:r w:rsidR="00B13BC9">
        <w:t>n his personal website of how this index is constructed.</w:t>
      </w:r>
      <w:r w:rsidR="003A2A97">
        <w:rPr>
          <w:rStyle w:val="FootnoteReference"/>
        </w:rPr>
        <w:footnoteReference w:id="10"/>
      </w:r>
      <w:r w:rsidR="0064406C">
        <w:t xml:space="preserve"> In addition, </w:t>
      </w:r>
      <w:r w:rsidR="00C307CB">
        <w:t xml:space="preserve">we </w:t>
      </w:r>
      <w:r w:rsidR="00C42E59">
        <w:t xml:space="preserve">choose </w:t>
      </w:r>
      <w:r w:rsidR="00C307CB">
        <w:t>the Brent crude oil price</w:t>
      </w:r>
      <w:r w:rsidR="00C42E59">
        <w:t xml:space="preserve"> to serve as </w:t>
      </w:r>
      <w:r w:rsidR="00C2020A">
        <w:t>the spot price</w:t>
      </w:r>
      <w:r w:rsidR="00145D8C">
        <w:t>, considering that</w:t>
      </w:r>
      <w:r w:rsidR="005C629F">
        <w:t xml:space="preserve"> </w:t>
      </w:r>
      <w:r w:rsidR="00C42E59">
        <w:t xml:space="preserve">the </w:t>
      </w:r>
      <w:r w:rsidR="009A2DB6">
        <w:t xml:space="preserve">Brent </w:t>
      </w:r>
      <w:r w:rsidR="00C42E59">
        <w:t xml:space="preserve">price </w:t>
      </w:r>
      <w:r w:rsidR="009A2DB6">
        <w:t xml:space="preserve">is a global crude oil benchmark. Specifically, Brent </w:t>
      </w:r>
      <w:r w:rsidR="002B6D50">
        <w:t xml:space="preserve">is used to </w:t>
      </w:r>
      <w:r w:rsidR="00B15B47">
        <w:t xml:space="preserve">price crude oil </w:t>
      </w:r>
      <w:r w:rsidR="009554A4">
        <w:t xml:space="preserve">that is </w:t>
      </w:r>
      <w:r w:rsidR="00B15B47">
        <w:t xml:space="preserve">produced </w:t>
      </w:r>
      <w:r w:rsidR="009554A4">
        <w:t xml:space="preserve">and traded </w:t>
      </w:r>
      <w:r w:rsidR="004A6B51">
        <w:t>in different parts of the world such as Europe, the Mediterranean, Africa</w:t>
      </w:r>
      <w:r w:rsidR="008D7015">
        <w:t>,</w:t>
      </w:r>
      <w:r w:rsidR="004A6B51">
        <w:t xml:space="preserve"> </w:t>
      </w:r>
      <w:r w:rsidR="00C42E59">
        <w:t xml:space="preserve">as well as </w:t>
      </w:r>
      <w:r w:rsidR="002E0E5B">
        <w:t xml:space="preserve">Australia and </w:t>
      </w:r>
      <w:r w:rsidR="004A6B51">
        <w:t>some Asian countries.</w:t>
      </w:r>
      <w:r w:rsidR="004A6B51">
        <w:rPr>
          <w:rStyle w:val="FootnoteReference"/>
        </w:rPr>
        <w:footnoteReference w:id="11"/>
      </w:r>
      <w:r w:rsidR="005553D7">
        <w:t xml:space="preserve"> </w:t>
      </w:r>
      <w:r w:rsidR="00052161">
        <w:t xml:space="preserve">Our decision to employ </w:t>
      </w:r>
      <w:r w:rsidR="00C42E59">
        <w:t xml:space="preserve">the </w:t>
      </w:r>
      <w:r w:rsidR="00D7257D">
        <w:t>Brent oil price is strongly</w:t>
      </w:r>
      <w:r w:rsidR="00052161">
        <w:t xml:space="preserve"> motivated by the fact that </w:t>
      </w:r>
      <w:r w:rsidR="00D7257D">
        <w:t xml:space="preserve">this type of crude oil is </w:t>
      </w:r>
      <w:r w:rsidR="00EB5E42">
        <w:t xml:space="preserve">extracted </w:t>
      </w:r>
      <w:r w:rsidR="00BD6D15">
        <w:t xml:space="preserve">from </w:t>
      </w:r>
      <w:r w:rsidR="00C42E59">
        <w:t xml:space="preserve">the </w:t>
      </w:r>
      <w:r w:rsidR="00BD6D15" w:rsidRPr="008066EA">
        <w:t>North Sea</w:t>
      </w:r>
      <w:r w:rsidR="00BD6D15">
        <w:t xml:space="preserve"> and mainly used locally in Europe. </w:t>
      </w:r>
      <w:r w:rsidR="00C307CB">
        <w:t xml:space="preserve">Data for the Brent crude oil </w:t>
      </w:r>
      <w:r w:rsidR="00F115E9">
        <w:t>price are collected from</w:t>
      </w:r>
      <w:r w:rsidR="005D7B3D">
        <w:t xml:space="preserve"> </w:t>
      </w:r>
      <w:proofErr w:type="spellStart"/>
      <w:r w:rsidR="00C307CB">
        <w:t>Datastream</w:t>
      </w:r>
      <w:proofErr w:type="spellEnd"/>
      <w:r w:rsidR="00EA5AD0">
        <w:t xml:space="preserve"> and are expressed in dollar terms</w:t>
      </w:r>
      <w:r w:rsidR="00C307CB">
        <w:t>.</w:t>
      </w:r>
      <w:r w:rsidR="005C629F">
        <w:t xml:space="preserve"> </w:t>
      </w:r>
      <w:r w:rsidR="00EA5AD0">
        <w:t xml:space="preserve">The oil (nominal) spot price is deflated by the US Consumer Price Index (CPI) in order to get the real oil price. The data on </w:t>
      </w:r>
      <w:r w:rsidR="00067E6A">
        <w:t xml:space="preserve">the </w:t>
      </w:r>
      <w:r w:rsidR="00EA5AD0">
        <w:t xml:space="preserve">CPI are available from the Bureau of </w:t>
      </w:r>
      <w:proofErr w:type="spellStart"/>
      <w:r w:rsidR="00EA5AD0">
        <w:t>Labor</w:t>
      </w:r>
      <w:proofErr w:type="spellEnd"/>
      <w:r w:rsidR="00EA5AD0">
        <w:t xml:space="preserve"> Statistics </w:t>
      </w:r>
      <w:r w:rsidR="00EA5AD0" w:rsidRPr="00A50E5C">
        <w:t xml:space="preserve">(BLS) </w:t>
      </w:r>
      <w:r w:rsidR="00EA5AD0">
        <w:t xml:space="preserve">of the United States. </w:t>
      </w:r>
    </w:p>
    <w:p w14:paraId="2CBFFEFE" w14:textId="3AEBC4E3" w:rsidR="005674D5" w:rsidRDefault="00702F84" w:rsidP="00D25963">
      <w:pPr>
        <w:suppressAutoHyphens/>
        <w:spacing w:line="360" w:lineRule="auto"/>
        <w:jc w:val="both"/>
      </w:pPr>
      <w:r>
        <w:t xml:space="preserve">In addition, we collect monthly data </w:t>
      </w:r>
      <w:r w:rsidR="0064406C">
        <w:t xml:space="preserve">for the 10-year benchmark bond yields for eleven European countries, namely, Austria, Belgium, Finland, France, Germany, Greece, Ireland, Italy, </w:t>
      </w:r>
      <w:r w:rsidR="008679CE">
        <w:t>Netherlands, Portugal and Spain</w:t>
      </w:r>
      <w:r w:rsidR="00C30A14">
        <w:t>.</w:t>
      </w:r>
      <w:r w:rsidR="00D96514">
        <w:rPr>
          <w:rStyle w:val="FootnoteReference"/>
        </w:rPr>
        <w:footnoteReference w:id="12"/>
      </w:r>
      <w:r w:rsidR="00005400">
        <w:rPr>
          <w:vertAlign w:val="superscript"/>
        </w:rPr>
        <w:t>,</w:t>
      </w:r>
      <w:r w:rsidR="00005400">
        <w:rPr>
          <w:rStyle w:val="FootnoteReference"/>
        </w:rPr>
        <w:footnoteReference w:id="13"/>
      </w:r>
      <w:r w:rsidR="008679CE">
        <w:t xml:space="preserve"> </w:t>
      </w:r>
      <w:r w:rsidR="0064406C">
        <w:t>The dat</w:t>
      </w:r>
      <w:r>
        <w:t xml:space="preserve">a are retrieved from </w:t>
      </w:r>
      <w:proofErr w:type="spellStart"/>
      <w:r>
        <w:t>Datastream</w:t>
      </w:r>
      <w:proofErr w:type="spellEnd"/>
      <w:r w:rsidR="00DE7362">
        <w:t xml:space="preserve">. </w:t>
      </w:r>
      <w:r w:rsidR="00EA5AD0">
        <w:t>We</w:t>
      </w:r>
      <w:r w:rsidR="00485938">
        <w:t xml:space="preserve"> construct the</w:t>
      </w:r>
      <w:r w:rsidR="000E2EFD">
        <w:t xml:space="preserve"> </w:t>
      </w:r>
      <w:r w:rsidR="000E2EFD" w:rsidRPr="00FC5FAC">
        <w:t>10-year sovereign yield spread</w:t>
      </w:r>
      <w:r w:rsidR="00EA5AD0">
        <w:t>s</w:t>
      </w:r>
      <w:r w:rsidR="000E2EFD">
        <w:t xml:space="preserve"> </w:t>
      </w:r>
      <w:r w:rsidR="000E2EFD" w:rsidRPr="00FC5FAC">
        <w:t xml:space="preserve">as </w:t>
      </w:r>
      <w:r w:rsidR="00485938">
        <w:t>the difference</w:t>
      </w:r>
      <w:r w:rsidR="00485938" w:rsidRPr="00485938">
        <w:t xml:space="preserve"> </w:t>
      </w:r>
      <w:r w:rsidR="00485938">
        <w:t xml:space="preserve">between the 10-year government bond yield </w:t>
      </w:r>
      <w:r w:rsidR="00485938" w:rsidRPr="00FC5FAC">
        <w:t>issued by a</w:t>
      </w:r>
      <w:r w:rsidR="00EA5AD0">
        <w:t>n EMU member-</w:t>
      </w:r>
      <w:r w:rsidR="00485938" w:rsidRPr="00FC5FAC">
        <w:t>country</w:t>
      </w:r>
      <w:r w:rsidR="00485938" w:rsidRPr="00485938">
        <w:t xml:space="preserve"> </w:t>
      </w:r>
      <w:r w:rsidR="00485938">
        <w:t xml:space="preserve">and the German </w:t>
      </w:r>
      <w:r w:rsidR="004722F2" w:rsidRPr="00FC5FAC">
        <w:t>(Bund)</w:t>
      </w:r>
      <w:r w:rsidR="004722F2">
        <w:t xml:space="preserve"> </w:t>
      </w:r>
      <w:r w:rsidR="00485938">
        <w:t>10-year bond yield (both yields of equal maturity).</w:t>
      </w:r>
      <w:r w:rsidR="004722F2">
        <w:t xml:space="preserve"> </w:t>
      </w:r>
      <w:r w:rsidR="0097396B" w:rsidRPr="0097396B">
        <w:t>This</w:t>
      </w:r>
      <w:r w:rsidR="00EA5AD0">
        <w:t xml:space="preserve"> choice</w:t>
      </w:r>
      <w:r w:rsidR="0097396B" w:rsidRPr="0097396B">
        <w:t xml:space="preserve"> is attributed to the fact that Germany’s 10-year government bonds are considered </w:t>
      </w:r>
      <w:r w:rsidR="00EA5AD0">
        <w:t>to have the</w:t>
      </w:r>
      <w:r w:rsidR="0097396B" w:rsidRPr="0097396B">
        <w:t xml:space="preserve"> highest credit quality and liquidity (see </w:t>
      </w:r>
      <w:proofErr w:type="spellStart"/>
      <w:r w:rsidR="0097396B" w:rsidRPr="0097396B">
        <w:t>Ejsing</w:t>
      </w:r>
      <w:proofErr w:type="spellEnd"/>
      <w:r w:rsidR="0097396B" w:rsidRPr="0097396B">
        <w:t xml:space="preserve"> and </w:t>
      </w:r>
      <w:proofErr w:type="spellStart"/>
      <w:r w:rsidR="0097396B" w:rsidRPr="0097396B">
        <w:t>Sihvonen</w:t>
      </w:r>
      <w:proofErr w:type="spellEnd"/>
      <w:r w:rsidR="0097396B" w:rsidRPr="0097396B">
        <w:t>, 2009).</w:t>
      </w:r>
      <w:r w:rsidR="0097396B">
        <w:t xml:space="preserve"> </w:t>
      </w:r>
    </w:p>
    <w:p w14:paraId="01632498" w14:textId="08DA7420" w:rsidR="008B7D3C" w:rsidRDefault="004722F2" w:rsidP="00D25963">
      <w:pPr>
        <w:suppressAutoHyphens/>
        <w:spacing w:line="360" w:lineRule="auto"/>
        <w:jc w:val="both"/>
      </w:pPr>
      <w:r w:rsidRPr="00FC5FAC">
        <w:t xml:space="preserve">The choice of the 10-year (long-term) sovereign yield spread is </w:t>
      </w:r>
      <w:r>
        <w:t xml:space="preserve">further </w:t>
      </w:r>
      <w:r w:rsidRPr="00FC5FAC">
        <w:t>justified by the fact that the longer the time to maturity, the larger the yield fluctuation (risk) and</w:t>
      </w:r>
      <w:r w:rsidR="00900116">
        <w:t>,</w:t>
      </w:r>
      <w:r w:rsidRPr="00FC5FAC">
        <w:t xml:space="preserve"> </w:t>
      </w:r>
      <w:r w:rsidRPr="00FC5FAC">
        <w:lastRenderedPageBreak/>
        <w:t>consequently</w:t>
      </w:r>
      <w:r w:rsidR="00900116">
        <w:t>,</w:t>
      </w:r>
      <w:r w:rsidRPr="00FC5FAC">
        <w:t xml:space="preserve"> the greater</w:t>
      </w:r>
      <w:r>
        <w:t xml:space="preserve"> the uncertainty in the market. </w:t>
      </w:r>
      <w:r w:rsidRPr="00FC5FAC">
        <w:t xml:space="preserve">Overall, the convergence of </w:t>
      </w:r>
      <w:r>
        <w:t xml:space="preserve">sovereign yield </w:t>
      </w:r>
      <w:r w:rsidRPr="00FC5FAC">
        <w:t xml:space="preserve">spreads is considered as a factor which reduces the uncertainty </w:t>
      </w:r>
      <w:r>
        <w:t xml:space="preserve">of allowing </w:t>
      </w:r>
      <w:r w:rsidRPr="00FC5FAC">
        <w:t xml:space="preserve">an immediate and less stressful </w:t>
      </w:r>
      <w:r>
        <w:t>access to debt financing</w:t>
      </w:r>
      <w:r w:rsidRPr="00FC5FAC">
        <w:t xml:space="preserve"> </w:t>
      </w:r>
      <w:r>
        <w:t>by m</w:t>
      </w:r>
      <w:r w:rsidRPr="00FC5FAC">
        <w:t>arket participants</w:t>
      </w:r>
      <w:r>
        <w:t xml:space="preserve"> in financial markets and motivates investment within converging countries </w:t>
      </w:r>
      <w:r w:rsidRPr="00FC5FAC">
        <w:t xml:space="preserve">(see </w:t>
      </w:r>
      <w:proofErr w:type="spellStart"/>
      <w:r>
        <w:t>Côté</w:t>
      </w:r>
      <w:proofErr w:type="spellEnd"/>
      <w:r>
        <w:t xml:space="preserve"> and Graham, </w:t>
      </w:r>
      <w:r w:rsidRPr="007666E1">
        <w:t>2004</w:t>
      </w:r>
      <w:r>
        <w:t>)</w:t>
      </w:r>
      <w:r w:rsidRPr="00FC5FAC">
        <w:t xml:space="preserve">. This promotes the integration of the European bond markets and consequently endorses financial stability.  </w:t>
      </w:r>
    </w:p>
    <w:p w14:paraId="1B4BC126" w14:textId="7D6FA58E" w:rsidR="002660B7" w:rsidRDefault="006C014F" w:rsidP="00235462">
      <w:pPr>
        <w:suppressAutoHyphens/>
        <w:spacing w:line="360" w:lineRule="auto"/>
        <w:jc w:val="both"/>
      </w:pPr>
      <w:r>
        <w:t xml:space="preserve">In addition, in order to </w:t>
      </w:r>
      <w:r w:rsidR="008D7015">
        <w:t>address a potential</w:t>
      </w:r>
      <w:r>
        <w:t xml:space="preserve"> omitted variable</w:t>
      </w:r>
      <w:r w:rsidR="008B1831">
        <w:t xml:space="preserve"> bias</w:t>
      </w:r>
      <w:r w:rsidR="008D7015">
        <w:rPr>
          <w:rStyle w:val="FootnoteReference"/>
        </w:rPr>
        <w:footnoteReference w:id="14"/>
      </w:r>
      <w:r w:rsidR="001606BB">
        <w:t>, we collect data on</w:t>
      </w:r>
      <w:r>
        <w:t xml:space="preserve"> </w:t>
      </w:r>
      <w:r w:rsidRPr="006C014F">
        <w:t>the European economic policy uncertainty index, the European monetary policy uncertainty index, the European stock market volatility index</w:t>
      </w:r>
      <w:r w:rsidR="008B1187">
        <w:t xml:space="preserve"> </w:t>
      </w:r>
      <w:r w:rsidRPr="006C014F">
        <w:t>and the realised oil price volatility</w:t>
      </w:r>
      <w:r w:rsidR="009E4DD2">
        <w:t xml:space="preserve">, which impact both the bond yields and oil prices (see, for instance, </w:t>
      </w:r>
      <w:r w:rsidR="006B257E" w:rsidRPr="007A3828">
        <w:t>Husted et al.</w:t>
      </w:r>
      <w:r w:rsidR="006B257E">
        <w:t xml:space="preserve">, </w:t>
      </w:r>
      <w:r w:rsidR="006B257E" w:rsidRPr="007A3828">
        <w:t>2017</w:t>
      </w:r>
      <w:r w:rsidR="006B257E">
        <w:t xml:space="preserve">, </w:t>
      </w:r>
      <w:r w:rsidR="008F4122" w:rsidRPr="007A3828">
        <w:t>Shahzad et al.</w:t>
      </w:r>
      <w:r w:rsidR="008F4122">
        <w:t xml:space="preserve">, </w:t>
      </w:r>
      <w:r w:rsidR="008F4122" w:rsidRPr="007A3828">
        <w:t>2017</w:t>
      </w:r>
      <w:r w:rsidR="006B257E">
        <w:t xml:space="preserve">, </w:t>
      </w:r>
      <w:r w:rsidR="006B257E" w:rsidRPr="007A3828">
        <w:t>Bernal et al.</w:t>
      </w:r>
      <w:r w:rsidR="006B257E">
        <w:t xml:space="preserve">, </w:t>
      </w:r>
      <w:r w:rsidR="006B257E" w:rsidRPr="007A3828">
        <w:t>2016</w:t>
      </w:r>
      <w:r w:rsidR="006B257E">
        <w:t xml:space="preserve">, Afonso et al., 2015, </w:t>
      </w:r>
      <w:proofErr w:type="spellStart"/>
      <w:r w:rsidR="006B257E" w:rsidRPr="007A3828">
        <w:t>Antonakakis</w:t>
      </w:r>
      <w:proofErr w:type="spellEnd"/>
      <w:r w:rsidR="006B257E" w:rsidRPr="007A3828">
        <w:t xml:space="preserve"> et al.</w:t>
      </w:r>
      <w:r w:rsidR="006B257E">
        <w:t xml:space="preserve">, </w:t>
      </w:r>
      <w:r w:rsidR="006B257E" w:rsidRPr="007A3828">
        <w:t>201</w:t>
      </w:r>
      <w:r w:rsidR="006B257E">
        <w:t xml:space="preserve">4, </w:t>
      </w:r>
      <w:proofErr w:type="spellStart"/>
      <w:r w:rsidR="001E05D4" w:rsidRPr="007A3828">
        <w:t>Anzuini</w:t>
      </w:r>
      <w:proofErr w:type="spellEnd"/>
      <w:r w:rsidR="001E05D4" w:rsidRPr="007A3828">
        <w:t xml:space="preserve"> et al.</w:t>
      </w:r>
      <w:r w:rsidR="001E05D4">
        <w:t xml:space="preserve">, </w:t>
      </w:r>
      <w:r w:rsidR="001E05D4" w:rsidRPr="007A3828">
        <w:t>2012</w:t>
      </w:r>
      <w:r w:rsidR="001E05D4">
        <w:t>,</w:t>
      </w:r>
      <w:r w:rsidR="001E05D4" w:rsidRPr="001E05D4">
        <w:t xml:space="preserve"> </w:t>
      </w:r>
      <w:r w:rsidR="001E05D4" w:rsidRPr="007A3828">
        <w:t>Barsky and Kilian</w:t>
      </w:r>
      <w:r w:rsidR="001E05D4">
        <w:t xml:space="preserve">, </w:t>
      </w:r>
      <w:r w:rsidR="001E05D4" w:rsidRPr="007A3828">
        <w:t>2002</w:t>
      </w:r>
      <w:r w:rsidR="001E05D4">
        <w:t>,</w:t>
      </w:r>
      <w:r w:rsidR="00B10157">
        <w:t xml:space="preserve"> </w:t>
      </w:r>
      <w:r w:rsidR="009E4DD2" w:rsidRPr="007A3828">
        <w:t xml:space="preserve">Arora and </w:t>
      </w:r>
      <w:proofErr w:type="spellStart"/>
      <w:r w:rsidR="009E4DD2" w:rsidRPr="007A3828">
        <w:t>Cerisola</w:t>
      </w:r>
      <w:proofErr w:type="spellEnd"/>
      <w:r w:rsidR="009E4DD2">
        <w:t xml:space="preserve">, </w:t>
      </w:r>
      <w:r w:rsidR="009E4DD2" w:rsidRPr="007A3828">
        <w:t>2001</w:t>
      </w:r>
      <w:r w:rsidR="00B10157">
        <w:t>)</w:t>
      </w:r>
      <w:r w:rsidRPr="006C014F">
        <w:t>.</w:t>
      </w:r>
      <w:r w:rsidR="008F22B9">
        <w:t xml:space="preserve"> </w:t>
      </w:r>
      <w:r>
        <w:t xml:space="preserve">Monthly data for </w:t>
      </w:r>
      <w:r w:rsidRPr="006C014F">
        <w:t>the European economic policy uncertainty index</w:t>
      </w:r>
      <w:r w:rsidR="00B27BA7">
        <w:t xml:space="preserve"> </w:t>
      </w:r>
      <w:r>
        <w:t xml:space="preserve">and the </w:t>
      </w:r>
      <w:r w:rsidRPr="006C014F">
        <w:t>European stock market volatility index</w:t>
      </w:r>
      <w:r w:rsidR="002660B7">
        <w:rPr>
          <w:rStyle w:val="FootnoteReference"/>
        </w:rPr>
        <w:footnoteReference w:id="15"/>
      </w:r>
      <w:r>
        <w:t xml:space="preserve"> have been extracted from </w:t>
      </w:r>
      <w:proofErr w:type="spellStart"/>
      <w:r>
        <w:t>Datastream</w:t>
      </w:r>
      <w:proofErr w:type="spellEnd"/>
      <w:r>
        <w:t xml:space="preserve">, whereas monthly data for </w:t>
      </w:r>
      <w:r w:rsidRPr="006C014F">
        <w:t>the European monetary policy uncertainty index</w:t>
      </w:r>
      <w:r>
        <w:t xml:space="preserve"> have been retrieved from </w:t>
      </w:r>
      <w:r w:rsidR="003D7B14">
        <w:t>the Federal Reserve database.</w:t>
      </w:r>
      <w:r w:rsidR="003D7B14">
        <w:rPr>
          <w:rStyle w:val="FootnoteReference"/>
        </w:rPr>
        <w:footnoteReference w:id="16"/>
      </w:r>
      <w:r w:rsidR="002660B7">
        <w:t xml:space="preserve"> Furthermore, </w:t>
      </w:r>
      <w:r w:rsidR="00775689">
        <w:t xml:space="preserve">the </w:t>
      </w:r>
      <w:r w:rsidR="00FA6CDB">
        <w:t xml:space="preserve">monthly </w:t>
      </w:r>
      <w:r w:rsidR="00D176D4">
        <w:t xml:space="preserve">oil </w:t>
      </w:r>
      <w:r w:rsidR="008E2893">
        <w:t xml:space="preserve">price </w:t>
      </w:r>
      <w:r w:rsidR="00775689">
        <w:t xml:space="preserve">realised volatility </w:t>
      </w:r>
      <w:r w:rsidR="008E2893">
        <w:t>is constructed using</w:t>
      </w:r>
      <w:r w:rsidR="00D176D4">
        <w:t xml:space="preserve"> the </w:t>
      </w:r>
      <w:r w:rsidR="00FA6CDB">
        <w:t>daily data</w:t>
      </w:r>
      <w:r w:rsidR="008E2893">
        <w:t xml:space="preserve"> on the Brent crude oil price</w:t>
      </w:r>
      <w:r w:rsidR="00FA6CDB">
        <w:t xml:space="preserve"> </w:t>
      </w:r>
      <w:r w:rsidR="00D176D4">
        <w:t>during</w:t>
      </w:r>
      <w:r w:rsidR="00FA6CDB">
        <w:t xml:space="preserve"> the </w:t>
      </w:r>
      <w:r w:rsidR="000B3362">
        <w:t xml:space="preserve">study </w:t>
      </w:r>
      <w:r w:rsidR="00FA6CDB">
        <w:t xml:space="preserve">period, which </w:t>
      </w:r>
      <w:r w:rsidR="00D176D4">
        <w:t>are</w:t>
      </w:r>
      <w:r w:rsidR="00FA6CDB">
        <w:t xml:space="preserve"> obtained from </w:t>
      </w:r>
      <w:proofErr w:type="spellStart"/>
      <w:r w:rsidR="00FA6CDB">
        <w:t>Datastream</w:t>
      </w:r>
      <w:proofErr w:type="spellEnd"/>
      <w:r w:rsidR="00FA6CDB">
        <w:t xml:space="preserve">. </w:t>
      </w:r>
      <w:r w:rsidR="00D176D4">
        <w:t xml:space="preserve">Section 4.2 describes the method employed for the construction of the monthly oil </w:t>
      </w:r>
      <w:r w:rsidR="008E2893">
        <w:t xml:space="preserve">price </w:t>
      </w:r>
      <w:r w:rsidR="00D176D4">
        <w:t>realised volatility.</w:t>
      </w:r>
    </w:p>
    <w:p w14:paraId="537F907E" w14:textId="0881E25D" w:rsidR="00235462" w:rsidRDefault="00804A5F" w:rsidP="00235462">
      <w:pPr>
        <w:suppressAutoHyphens/>
        <w:spacing w:line="360" w:lineRule="auto"/>
        <w:jc w:val="both"/>
      </w:pPr>
      <w:r>
        <w:t xml:space="preserve">Thus, our sample consists of five </w:t>
      </w:r>
      <w:r w:rsidR="002E0E5B">
        <w:t xml:space="preserve">EMU </w:t>
      </w:r>
      <w:r>
        <w:t xml:space="preserve">core countries (Austria, Belgium, Finland, France and Netherlands) and five </w:t>
      </w:r>
      <w:r w:rsidR="002E0E5B">
        <w:t xml:space="preserve">EMU </w:t>
      </w:r>
      <w:r>
        <w:t>periphery countries (Greece, Ireland, Italy, Portugal and Spain).</w:t>
      </w:r>
      <w:r w:rsidR="009B7831">
        <w:t xml:space="preserve"> </w:t>
      </w:r>
      <w:r w:rsidR="006820F1">
        <w:t>Considering</w:t>
      </w:r>
      <w:r w:rsidR="00235462">
        <w:t xml:space="preserve"> the </w:t>
      </w:r>
      <w:r w:rsidR="002E0E5B">
        <w:t xml:space="preserve">EMU </w:t>
      </w:r>
      <w:r w:rsidR="00235462">
        <w:t xml:space="preserve">core countries, our sample ranges from January 1999 to </w:t>
      </w:r>
      <w:r w:rsidR="000619EC">
        <w:t xml:space="preserve">January </w:t>
      </w:r>
      <w:r w:rsidR="00235462">
        <w:t xml:space="preserve">2016. The choice of the data period is motivated by the fact that all countries </w:t>
      </w:r>
      <w:r w:rsidR="00823712">
        <w:t xml:space="preserve">have belonged to </w:t>
      </w:r>
      <w:r w:rsidR="00235462">
        <w:t>the EMU since January 1999. It is worth notin</w:t>
      </w:r>
      <w:r w:rsidR="00823712">
        <w:t>g that the data for Greece extend</w:t>
      </w:r>
      <w:r w:rsidR="00235462">
        <w:t xml:space="preserve"> from January 2001</w:t>
      </w:r>
      <w:r w:rsidR="00823712">
        <w:t>,</w:t>
      </w:r>
      <w:r w:rsidR="00235462">
        <w:t xml:space="preserve"> onwards</w:t>
      </w:r>
      <w:r w:rsidR="00823712">
        <w:t>, as the country joined</w:t>
      </w:r>
      <w:r w:rsidR="00D25723">
        <w:t xml:space="preserve"> the Eurozone </w:t>
      </w:r>
      <w:r w:rsidR="00823712">
        <w:t xml:space="preserve">in </w:t>
      </w:r>
      <w:r w:rsidR="00D25723">
        <w:t>that year</w:t>
      </w:r>
      <w:r w:rsidR="00823712">
        <w:t xml:space="preserve">. </w:t>
      </w:r>
      <w:r w:rsidR="00235462">
        <w:t xml:space="preserve">Thus, </w:t>
      </w:r>
      <w:r w:rsidR="00E401E5">
        <w:t xml:space="preserve">a shorter </w:t>
      </w:r>
      <w:r w:rsidR="00581FD1">
        <w:t xml:space="preserve">period from January 2001 to </w:t>
      </w:r>
      <w:r w:rsidR="000619EC">
        <w:t xml:space="preserve">January </w:t>
      </w:r>
      <w:r w:rsidR="00581FD1">
        <w:t>2016</w:t>
      </w:r>
      <w:r w:rsidR="00E401E5">
        <w:t xml:space="preserve"> is under consideration for the </w:t>
      </w:r>
      <w:r w:rsidR="002E0E5B">
        <w:t xml:space="preserve">EMU </w:t>
      </w:r>
      <w:r w:rsidR="00E401E5">
        <w:t>periphery countries.</w:t>
      </w:r>
      <w:r w:rsidR="00AE678B">
        <w:t xml:space="preserve"> </w:t>
      </w:r>
      <w:r w:rsidR="00823712">
        <w:t>T</w:t>
      </w:r>
      <w:r w:rsidR="00AE678B">
        <w:t xml:space="preserve">he period of </w:t>
      </w:r>
      <w:r w:rsidR="00823712">
        <w:t xml:space="preserve">analysis </w:t>
      </w:r>
      <w:r w:rsidR="00AE678B">
        <w:t xml:space="preserve">runs until January 2016 due to data availability for </w:t>
      </w:r>
      <w:r w:rsidR="00AE678B" w:rsidRPr="00AE678B">
        <w:t>the European monetary policy uncertainty index</w:t>
      </w:r>
      <w:r w:rsidR="00AE678B">
        <w:t xml:space="preserve"> </w:t>
      </w:r>
      <w:r w:rsidR="00823712">
        <w:t xml:space="preserve">that was devised </w:t>
      </w:r>
      <w:r w:rsidR="00AE678B">
        <w:t xml:space="preserve">by Husted et al. (2016b).  </w:t>
      </w:r>
    </w:p>
    <w:p w14:paraId="737C64D2" w14:textId="7CB09600" w:rsidR="003627F6" w:rsidRDefault="0035780D" w:rsidP="0035780D">
      <w:pPr>
        <w:suppressAutoHyphens/>
        <w:spacing w:line="360" w:lineRule="auto"/>
        <w:jc w:val="both"/>
      </w:pPr>
      <w:r>
        <w:lastRenderedPageBreak/>
        <w:t>Figure</w:t>
      </w:r>
      <w:r w:rsidR="000A4B64">
        <w:t>s</w:t>
      </w:r>
      <w:r>
        <w:t xml:space="preserve"> </w:t>
      </w:r>
      <w:r w:rsidR="0014225B">
        <w:t>2</w:t>
      </w:r>
      <w:r>
        <w:t xml:space="preserve"> </w:t>
      </w:r>
      <w:r w:rsidR="000A4B64">
        <w:t xml:space="preserve">and </w:t>
      </w:r>
      <w:r w:rsidR="0014225B">
        <w:t>3</w:t>
      </w:r>
      <w:r w:rsidR="000A4B64">
        <w:t xml:space="preserve"> exhibit</w:t>
      </w:r>
      <w:r w:rsidR="00ED28B8">
        <w:t xml:space="preserve"> the evolution of the series under consideration </w:t>
      </w:r>
      <w:r w:rsidR="000A4B64">
        <w:t xml:space="preserve">and show some interesting regularities. </w:t>
      </w:r>
      <w:r w:rsidR="00ED28B8">
        <w:t xml:space="preserve">With reference to oil-related variables, </w:t>
      </w:r>
      <w:r w:rsidR="00E66609">
        <w:t xml:space="preserve">the </w:t>
      </w:r>
      <w:r>
        <w:t xml:space="preserve">global economic activity index </w:t>
      </w:r>
      <w:r w:rsidR="00604E10">
        <w:t>show</w:t>
      </w:r>
      <w:r w:rsidR="00FC3749">
        <w:t>s</w:t>
      </w:r>
      <w:r w:rsidR="00604E10">
        <w:t xml:space="preserve"> a</w:t>
      </w:r>
      <w:r w:rsidR="00E66609">
        <w:t xml:space="preserve"> tendency to increase </w:t>
      </w:r>
      <w:r w:rsidR="00604E10">
        <w:t>during the period 2004-2007, which is influenced by the</w:t>
      </w:r>
      <w:r>
        <w:t xml:space="preserve"> rising global demand for industrial commodities from emerging countries</w:t>
      </w:r>
      <w:r w:rsidR="00604E10">
        <w:t>. Following this episode, we observe that it</w:t>
      </w:r>
      <w:r w:rsidR="00D333D5">
        <w:t xml:space="preserve"> </w:t>
      </w:r>
      <w:r>
        <w:t>suffers a significant drop during the peak months of the Great Recession</w:t>
      </w:r>
      <w:r w:rsidR="00FF15FF">
        <w:t xml:space="preserve"> </w:t>
      </w:r>
      <w:r w:rsidR="00FF15FF" w:rsidRPr="00FF15FF">
        <w:t>(</w:t>
      </w:r>
      <w:r w:rsidR="00E4714D">
        <w:rPr>
          <w:color w:val="000000" w:themeColor="text1"/>
        </w:rPr>
        <w:t>i.e. late-</w:t>
      </w:r>
      <w:r w:rsidR="00575347">
        <w:rPr>
          <w:color w:val="000000" w:themeColor="text1"/>
        </w:rPr>
        <w:t>2008</w:t>
      </w:r>
      <w:r w:rsidR="00FF15FF" w:rsidRPr="00FF15FF">
        <w:t>)</w:t>
      </w:r>
      <w:r w:rsidR="00604E10">
        <w:t>, yet again reflecting the (negative) global economic conditions of this period</w:t>
      </w:r>
      <w:r w:rsidR="00A32C41">
        <w:t>. In addition, a significant trough is</w:t>
      </w:r>
      <w:r>
        <w:t xml:space="preserve"> </w:t>
      </w:r>
      <w:r w:rsidR="00604E10">
        <w:t xml:space="preserve">also </w:t>
      </w:r>
      <w:r>
        <w:t>obs</w:t>
      </w:r>
      <w:r w:rsidR="00A32C41">
        <w:t xml:space="preserve">erved during the period of </w:t>
      </w:r>
      <w:r w:rsidR="00B23173">
        <w:t>2014-</w:t>
      </w:r>
      <w:r w:rsidR="00E54840">
        <w:t>2015</w:t>
      </w:r>
      <w:r w:rsidR="00E66609">
        <w:t xml:space="preserve">, corresponding to the </w:t>
      </w:r>
      <w:r>
        <w:t>globa</w:t>
      </w:r>
      <w:r w:rsidR="00E66609">
        <w:t>l economic slowdown</w:t>
      </w:r>
      <w:r w:rsidR="00BC7321">
        <w:t>. Furthermore,</w:t>
      </w:r>
      <w:r w:rsidR="001F7629">
        <w:t xml:space="preserve"> </w:t>
      </w:r>
      <w:r w:rsidR="00982CAC">
        <w:t xml:space="preserve">the graph of the real oil return features </w:t>
      </w:r>
      <w:r>
        <w:t xml:space="preserve">significant troughs and </w:t>
      </w:r>
      <w:r w:rsidR="00982CAC">
        <w:t>relatively high volatility within the year</w:t>
      </w:r>
      <w:r>
        <w:t>s</w:t>
      </w:r>
      <w:r w:rsidR="00982CAC">
        <w:t>,</w:t>
      </w:r>
      <w:r>
        <w:t xml:space="preserve"> 2001 (</w:t>
      </w:r>
      <w:r w:rsidR="00E37A35">
        <w:t xml:space="preserve">the terrorist </w:t>
      </w:r>
      <w:r w:rsidR="007C24A4">
        <w:t xml:space="preserve">attack </w:t>
      </w:r>
      <w:r w:rsidRPr="0071671B">
        <w:t>of September 2001</w:t>
      </w:r>
      <w:r w:rsidR="00982CAC">
        <w:t xml:space="preserve">), </w:t>
      </w:r>
      <w:r>
        <w:t>2003 (</w:t>
      </w:r>
      <w:r w:rsidRPr="0071671B">
        <w:t>the second Iraq war</w:t>
      </w:r>
      <w:r>
        <w:t>)</w:t>
      </w:r>
      <w:r w:rsidR="00A32C41">
        <w:t xml:space="preserve">, </w:t>
      </w:r>
      <w:r w:rsidR="00604E10">
        <w:t>2007-09</w:t>
      </w:r>
      <w:r w:rsidR="00982CAC">
        <w:t xml:space="preserve"> (the Great Recession) and </w:t>
      </w:r>
      <w:r w:rsidR="00A32C41">
        <w:t>2014-</w:t>
      </w:r>
      <w:r w:rsidR="0092026A">
        <w:t>2015</w:t>
      </w:r>
      <w:r>
        <w:t>. World oil production</w:t>
      </w:r>
      <w:r w:rsidR="00BC3513">
        <w:t xml:space="preserve"> growth</w:t>
      </w:r>
      <w:r>
        <w:t xml:space="preserve"> do</w:t>
      </w:r>
      <w:r w:rsidR="001F49D9">
        <w:t>es</w:t>
      </w:r>
      <w:r>
        <w:t xml:space="preserve"> not seem to show similar patterns and exhibits a relatively low and stable volatility (with the exception of</w:t>
      </w:r>
      <w:r w:rsidR="0017778C">
        <w:t xml:space="preserve"> the</w:t>
      </w:r>
      <w:r>
        <w:t xml:space="preserve"> </w:t>
      </w:r>
      <w:r w:rsidR="0017778C">
        <w:t xml:space="preserve">period </w:t>
      </w:r>
      <w:r>
        <w:t>1999-2004</w:t>
      </w:r>
      <w:r w:rsidR="0017778C">
        <w:t>,</w:t>
      </w:r>
      <w:r w:rsidR="000D547A">
        <w:t xml:space="preserve"> which is characterised by abrupt changes</w:t>
      </w:r>
      <w:r w:rsidR="00575347">
        <w:t>).</w:t>
      </w:r>
      <w:r>
        <w:t xml:space="preserve"> </w:t>
      </w:r>
      <w:r w:rsidR="000D547A">
        <w:t xml:space="preserve">The latter can be attributed to </w:t>
      </w:r>
      <w:r w:rsidR="00982CAC">
        <w:t xml:space="preserve">several </w:t>
      </w:r>
      <w:r w:rsidR="000D547A">
        <w:t>decisions</w:t>
      </w:r>
      <w:r w:rsidR="00982CAC">
        <w:t xml:space="preserve"> by OPEC</w:t>
      </w:r>
      <w:r w:rsidR="000D547A">
        <w:t xml:space="preserve"> </w:t>
      </w:r>
      <w:r w:rsidR="000E34FC">
        <w:t xml:space="preserve">to cut or raise </w:t>
      </w:r>
      <w:r w:rsidR="000E34FC" w:rsidRPr="000E34FC">
        <w:t>production</w:t>
      </w:r>
      <w:r w:rsidR="000E34FC">
        <w:t xml:space="preserve"> quotas</w:t>
      </w:r>
      <w:r w:rsidR="00982CAC">
        <w:t>, which were</w:t>
      </w:r>
      <w:r w:rsidR="000E34FC">
        <w:t xml:space="preserve"> </w:t>
      </w:r>
      <w:r w:rsidR="000E34FC" w:rsidRPr="000E34FC">
        <w:t>associated with</w:t>
      </w:r>
      <w:r w:rsidR="000E34FC">
        <w:t xml:space="preserve"> </w:t>
      </w:r>
      <w:r w:rsidR="000D547A">
        <w:t xml:space="preserve">the </w:t>
      </w:r>
      <w:r w:rsidR="000D547A" w:rsidRPr="000D547A">
        <w:t>early</w:t>
      </w:r>
      <w:r w:rsidR="00087F01">
        <w:t>-</w:t>
      </w:r>
      <w:r w:rsidR="000D547A" w:rsidRPr="000D547A">
        <w:t>2000 recession, the t</w:t>
      </w:r>
      <w:r w:rsidR="000D547A">
        <w:t>errorist attack of 9/11 (2001)</w:t>
      </w:r>
      <w:r w:rsidR="000E34FC">
        <w:t xml:space="preserve">, </w:t>
      </w:r>
      <w:r w:rsidR="007C24A4">
        <w:t xml:space="preserve">the </w:t>
      </w:r>
      <w:r w:rsidR="000E34FC">
        <w:t xml:space="preserve">political unrest in </w:t>
      </w:r>
      <w:r w:rsidR="000E34FC" w:rsidRPr="000E34FC">
        <w:t>Nigeria</w:t>
      </w:r>
      <w:r w:rsidR="000E34FC">
        <w:t xml:space="preserve"> and Venezuela (</w:t>
      </w:r>
      <w:r w:rsidR="007C24A4">
        <w:t xml:space="preserve">both in </w:t>
      </w:r>
      <w:r w:rsidR="000E34FC">
        <w:t xml:space="preserve">2003) </w:t>
      </w:r>
      <w:r w:rsidR="000D547A">
        <w:t xml:space="preserve">and </w:t>
      </w:r>
      <w:r w:rsidR="000D547A" w:rsidRPr="000D547A">
        <w:t>the second Iraq war (2003)</w:t>
      </w:r>
      <w:r w:rsidR="000D547A">
        <w:t>.</w:t>
      </w:r>
    </w:p>
    <w:p w14:paraId="044AE626" w14:textId="7859E31A" w:rsidR="0047152F" w:rsidRDefault="00876062" w:rsidP="004569E1">
      <w:pPr>
        <w:suppressAutoHyphens/>
        <w:spacing w:line="360" w:lineRule="auto"/>
        <w:jc w:val="both"/>
      </w:pPr>
      <w:r>
        <w:t xml:space="preserve">Turning to the evolution of sovereign yield spreads, </w:t>
      </w:r>
      <w:r w:rsidR="00653509">
        <w:t>w</w:t>
      </w:r>
      <w:r w:rsidR="004A7C11">
        <w:t>e observe a convergence in performance</w:t>
      </w:r>
      <w:r w:rsidR="004D683F">
        <w:t>,</w:t>
      </w:r>
      <w:r w:rsidR="0003673E">
        <w:t xml:space="preserve"> </w:t>
      </w:r>
      <w:r w:rsidR="002808A5">
        <w:t xml:space="preserve">which is similar for all </w:t>
      </w:r>
      <w:r w:rsidR="0003673E">
        <w:t>core and periphery countries</w:t>
      </w:r>
      <w:r w:rsidR="004D683F">
        <w:t>,</w:t>
      </w:r>
      <w:r w:rsidR="004F0EB6">
        <w:t xml:space="preserve"> until the early stages of the Great Recession.</w:t>
      </w:r>
      <w:r w:rsidR="00171D14">
        <w:t xml:space="preserve"> </w:t>
      </w:r>
      <w:r w:rsidR="004D683F">
        <w:t>Since 2008, though, we observe</w:t>
      </w:r>
      <w:r w:rsidR="00171D14">
        <w:t xml:space="preserve"> an increasing trend</w:t>
      </w:r>
      <w:r w:rsidR="004D683F">
        <w:t xml:space="preserve"> in all spreads</w:t>
      </w:r>
      <w:r w:rsidR="002772CD">
        <w:t>, signify</w:t>
      </w:r>
      <w:r w:rsidR="00171D14">
        <w:t xml:space="preserve">ing the </w:t>
      </w:r>
      <w:r w:rsidR="004D683F">
        <w:t xml:space="preserve">effects of the financial crisis since the </w:t>
      </w:r>
      <w:r w:rsidR="00171D14">
        <w:t>collapse</w:t>
      </w:r>
      <w:r w:rsidR="000A4548">
        <w:t xml:space="preserve"> of </w:t>
      </w:r>
      <w:r w:rsidR="008D034E">
        <w:t xml:space="preserve">the </w:t>
      </w:r>
      <w:r w:rsidR="000A4548">
        <w:t>Lehman Brothers</w:t>
      </w:r>
      <w:r w:rsidR="00880C93">
        <w:t>.</w:t>
      </w:r>
      <w:r w:rsidR="00113239">
        <w:t xml:space="preserve"> </w:t>
      </w:r>
      <w:r w:rsidR="004D683F">
        <w:t xml:space="preserve">This increasing pattern becomes more prevalent in the post-2010 period, which reflects the start of the European debt crisis, when Greece requested financial aid from the </w:t>
      </w:r>
      <w:r w:rsidR="00F32A91" w:rsidRPr="007B03B3">
        <w:t>International Monetary Fund</w:t>
      </w:r>
      <w:r w:rsidR="004D683F">
        <w:t>.</w:t>
      </w:r>
      <w:r w:rsidR="00880C93">
        <w:t xml:space="preserve"> </w:t>
      </w:r>
      <w:r w:rsidR="004D683F">
        <w:t>In most cases</w:t>
      </w:r>
      <w:r w:rsidR="00F841D0">
        <w:t>,</w:t>
      </w:r>
      <w:r w:rsidR="004D683F">
        <w:t xml:space="preserve"> the spreads tend to exhibit a declining pattern in the post-2012 period</w:t>
      </w:r>
      <w:r w:rsidR="004569E1">
        <w:t xml:space="preserve">. </w:t>
      </w:r>
      <w:r w:rsidR="00000827">
        <w:t>This c</w:t>
      </w:r>
      <w:r w:rsidR="004D683F">
        <w:t>ould be</w:t>
      </w:r>
      <w:r w:rsidR="00000827">
        <w:t xml:space="preserve"> explained by </w:t>
      </w:r>
      <w:r w:rsidR="00CC57A9">
        <w:t xml:space="preserve">the effectiveness of </w:t>
      </w:r>
      <w:r w:rsidR="007E7F46">
        <w:t xml:space="preserve">fiscal </w:t>
      </w:r>
      <w:r w:rsidR="00B25E49">
        <w:t xml:space="preserve">stimulus </w:t>
      </w:r>
      <w:r w:rsidR="007E7F46">
        <w:t xml:space="preserve">policies </w:t>
      </w:r>
      <w:r w:rsidR="004A7C11">
        <w:t xml:space="preserve">that were </w:t>
      </w:r>
      <w:r w:rsidR="007E7F46">
        <w:t>undertaken</w:t>
      </w:r>
      <w:r w:rsidR="00CC57A9">
        <w:t xml:space="preserve"> by European governments in order to </w:t>
      </w:r>
      <w:r w:rsidR="000C4C71">
        <w:t>promote</w:t>
      </w:r>
      <w:r w:rsidR="009D785A" w:rsidRPr="009D785A">
        <w:t xml:space="preserve"> </w:t>
      </w:r>
      <w:r w:rsidR="009D785A">
        <w:t>economic and financial stability</w:t>
      </w:r>
      <w:r w:rsidR="004A7C11">
        <w:t xml:space="preserve"> in </w:t>
      </w:r>
      <w:r w:rsidR="004D683F">
        <w:t>response to the debt crisis</w:t>
      </w:r>
      <w:r w:rsidR="009D785A">
        <w:t xml:space="preserve">. In addition, </w:t>
      </w:r>
      <w:r w:rsidR="00545D81">
        <w:t>the decreasing div</w:t>
      </w:r>
      <w:r w:rsidR="004A7C11">
        <w:t>ergence can be further explained</w:t>
      </w:r>
      <w:r w:rsidR="00545D81">
        <w:t xml:space="preserve"> by the </w:t>
      </w:r>
      <w:r w:rsidR="004C595B">
        <w:t>ECB</w:t>
      </w:r>
      <w:r w:rsidR="00E051CB">
        <w:t xml:space="preserve"> announcement </w:t>
      </w:r>
      <w:r w:rsidR="00380B2E">
        <w:t xml:space="preserve">in 2015 </w:t>
      </w:r>
      <w:r w:rsidR="00E051CB">
        <w:t xml:space="preserve">to implement a </w:t>
      </w:r>
      <w:r w:rsidR="00E051CB" w:rsidRPr="00E051CB">
        <w:t>quantitative easing (QE)</w:t>
      </w:r>
      <w:r w:rsidR="00E051CB">
        <w:t xml:space="preserve"> programme</w:t>
      </w:r>
      <w:r w:rsidR="0067295F">
        <w:t xml:space="preserve">, known as </w:t>
      </w:r>
      <w:r w:rsidR="00364186">
        <w:t xml:space="preserve">the </w:t>
      </w:r>
      <w:r w:rsidR="0067295F" w:rsidRPr="0067295F">
        <w:t xml:space="preserve">Expanded </w:t>
      </w:r>
      <w:r w:rsidR="0067295F">
        <w:t>Asset Purchase Programme (EAPP).</w:t>
      </w:r>
      <w:r w:rsidR="00595144">
        <w:rPr>
          <w:rStyle w:val="FootnoteReference"/>
        </w:rPr>
        <w:footnoteReference w:id="17"/>
      </w:r>
      <w:r w:rsidR="0067295F">
        <w:t xml:space="preserve"> </w:t>
      </w:r>
    </w:p>
    <w:p w14:paraId="2B6A4D10" w14:textId="77777777" w:rsidR="008F262E" w:rsidRDefault="008F262E" w:rsidP="004569E1">
      <w:pPr>
        <w:suppressAutoHyphens/>
        <w:spacing w:line="360" w:lineRule="auto"/>
        <w:jc w:val="both"/>
      </w:pPr>
    </w:p>
    <w:p w14:paraId="486BFC92" w14:textId="2D5C338C" w:rsidR="00492381" w:rsidRDefault="00492381" w:rsidP="00492381">
      <w:pPr>
        <w:spacing w:line="360" w:lineRule="auto"/>
        <w:jc w:val="center"/>
      </w:pPr>
      <w:r>
        <w:lastRenderedPageBreak/>
        <w:t xml:space="preserve">[PLEASE INSERT FIGURES </w:t>
      </w:r>
      <w:r w:rsidR="000E208C">
        <w:t>2</w:t>
      </w:r>
      <w:r w:rsidR="00901E23">
        <w:t xml:space="preserve"> AND </w:t>
      </w:r>
      <w:r w:rsidR="000E208C">
        <w:t>3</w:t>
      </w:r>
      <w:r w:rsidR="00901E23">
        <w:t xml:space="preserve"> </w:t>
      </w:r>
      <w:r>
        <w:t>HERE]</w:t>
      </w:r>
    </w:p>
    <w:p w14:paraId="2B8CD8EF" w14:textId="77777777" w:rsidR="008F262E" w:rsidRDefault="008F262E" w:rsidP="008914AF">
      <w:pPr>
        <w:spacing w:line="360" w:lineRule="auto"/>
        <w:jc w:val="both"/>
      </w:pPr>
    </w:p>
    <w:p w14:paraId="0443CC53" w14:textId="5C39AC1E" w:rsidR="008914AF" w:rsidRDefault="008914AF" w:rsidP="008914AF">
      <w:pPr>
        <w:spacing w:line="360" w:lineRule="auto"/>
        <w:jc w:val="both"/>
      </w:pPr>
      <w:r>
        <w:t>More sp</w:t>
      </w:r>
      <w:r w:rsidR="00364186">
        <w:t>ecifically, the collapse o</w:t>
      </w:r>
      <w:r w:rsidR="00A004B5">
        <w:t>f Lehman Brothers and especiall</w:t>
      </w:r>
      <w:r w:rsidR="00364186">
        <w:t>y</w:t>
      </w:r>
      <w:r>
        <w:t xml:space="preserve"> the European debt crisis in post-2010 revealed the actual differences among the EMU countries that</w:t>
      </w:r>
      <w:r w:rsidR="00364186">
        <w:t xml:space="preserve"> were not previously evident</w:t>
      </w:r>
      <w:r>
        <w:t>. In fact, differences in credit and liquidity risks influenced the government bond yie</w:t>
      </w:r>
      <w:r w:rsidR="00364186">
        <w:t>lds of the EMU countries and caused</w:t>
      </w:r>
      <w:r>
        <w:t xml:space="preserve"> </w:t>
      </w:r>
      <w:r w:rsidRPr="00585EE3">
        <w:t>sovereign yield spreads to widen</w:t>
      </w:r>
      <w:r>
        <w:t xml:space="preserve"> (see </w:t>
      </w:r>
      <w:proofErr w:type="spellStart"/>
      <w:r>
        <w:t>Dewachter</w:t>
      </w:r>
      <w:proofErr w:type="spellEnd"/>
      <w:r w:rsidRPr="00356262">
        <w:t xml:space="preserve"> et al., 2015)</w:t>
      </w:r>
      <w:r>
        <w:t xml:space="preserve">. This confirms the argument that bonds </w:t>
      </w:r>
      <w:r w:rsidR="00364186">
        <w:t xml:space="preserve">that were </w:t>
      </w:r>
      <w:r>
        <w:t xml:space="preserve">issued by EMU countries should have never been considered as substitutes (see </w:t>
      </w:r>
      <w:proofErr w:type="spellStart"/>
      <w:r>
        <w:t>Favero</w:t>
      </w:r>
      <w:proofErr w:type="spellEnd"/>
      <w:r>
        <w:t>, 2013</w:t>
      </w:r>
      <w:r w:rsidRPr="00356262">
        <w:t>)</w:t>
      </w:r>
      <w:r>
        <w:t xml:space="preserve">. Overall, the period after the Great Recession indicated the vulnerability of the </w:t>
      </w:r>
      <w:r>
        <w:rPr>
          <w:color w:val="000000" w:themeColor="text1"/>
        </w:rPr>
        <w:t xml:space="preserve">Eurozone and </w:t>
      </w:r>
      <w:r>
        <w:t xml:space="preserve">raised concerns about the macroeconomic and financial stability of core and periphery countries. </w:t>
      </w:r>
    </w:p>
    <w:p w14:paraId="0739529E" w14:textId="1035C4A9" w:rsidR="00656B19" w:rsidRDefault="00364186" w:rsidP="008914AF">
      <w:pPr>
        <w:spacing w:line="360" w:lineRule="auto"/>
        <w:jc w:val="both"/>
      </w:pPr>
      <w:r>
        <w:t>In this study</w:t>
      </w:r>
      <w:r w:rsidR="008914AF">
        <w:t xml:space="preserve">, </w:t>
      </w:r>
      <w:r w:rsidR="008914AF" w:rsidRPr="00585EE3">
        <w:t>sovereign yield spreads</w:t>
      </w:r>
      <w:r w:rsidR="008914AF">
        <w:t xml:space="preserve"> reflect the differences between government bonds yields </w:t>
      </w:r>
      <w:r>
        <w:t>that were issued by EMU countries and</w:t>
      </w:r>
      <w:r w:rsidR="008914AF">
        <w:t xml:space="preserve"> the German Bund </w:t>
      </w:r>
      <w:r>
        <w:t>yield. T</w:t>
      </w:r>
      <w:r w:rsidR="008914AF">
        <w:t xml:space="preserve">he fact that </w:t>
      </w:r>
      <w:r w:rsidR="008914AF" w:rsidRPr="00585EE3">
        <w:t>sovereign yield spreads</w:t>
      </w:r>
      <w:r w:rsidR="008914AF">
        <w:t xml:space="preserve"> widen</w:t>
      </w:r>
      <w:r>
        <w:t>ed</w:t>
      </w:r>
      <w:r w:rsidR="008914AF">
        <w:t xml:space="preserve"> substantially during the pea</w:t>
      </w:r>
      <w:r>
        <w:t xml:space="preserve">k months of the Great Recession emphasises </w:t>
      </w:r>
      <w:r w:rsidR="008914AF">
        <w:t xml:space="preserve">the key role of Germany as the anchor country. Indeed, during this period of </w:t>
      </w:r>
      <w:r w:rsidR="008914AF" w:rsidRPr="00585EE3">
        <w:t>tightening financial conditions</w:t>
      </w:r>
      <w:r w:rsidR="008914AF">
        <w:t xml:space="preserve">, the German Bund appeared to act as a ‘flight-to-quality’ government security for the market participants who traded in the European government bond markets. </w:t>
      </w:r>
      <w:r>
        <w:t xml:space="preserve">Specifically, </w:t>
      </w:r>
      <w:r w:rsidR="008914AF" w:rsidRPr="0082254E">
        <w:t>German government bonds are characterised by safe</w:t>
      </w:r>
      <w:r>
        <w:t>ty and liquidity which explains</w:t>
      </w:r>
      <w:r w:rsidR="008914AF" w:rsidRPr="0082254E">
        <w:t xml:space="preserve"> why the German yield experienced a decreasing trend</w:t>
      </w:r>
      <w:r w:rsidR="00D63DA7">
        <w:t>.</w:t>
      </w:r>
      <w:r w:rsidR="00656B19">
        <w:rPr>
          <w:rStyle w:val="FootnoteReference"/>
        </w:rPr>
        <w:footnoteReference w:id="18"/>
      </w:r>
      <w:r w:rsidR="008914AF" w:rsidRPr="0082254E">
        <w:t xml:space="preserve"> </w:t>
      </w:r>
    </w:p>
    <w:p w14:paraId="46EB90B5" w14:textId="63FF9F82" w:rsidR="008914AF" w:rsidRDefault="008914AF" w:rsidP="008914AF">
      <w:pPr>
        <w:spacing w:line="360" w:lineRule="auto"/>
        <w:jc w:val="both"/>
      </w:pPr>
      <w:r w:rsidRPr="001F3AA8">
        <w:t>It should be mentioned that government bond yields of core countries experienced a similar decreasing trend</w:t>
      </w:r>
      <w:r w:rsidR="009B0D6B">
        <w:t xml:space="preserve">, but to a lesser extent, </w:t>
      </w:r>
      <w:r w:rsidRPr="001F3AA8">
        <w:t xml:space="preserve">compared with the German Bund. This can be attributed to the fact that the </w:t>
      </w:r>
      <w:r w:rsidR="008D7015">
        <w:t>government bonds</w:t>
      </w:r>
      <w:r w:rsidR="008D7015" w:rsidRPr="001F3AA8">
        <w:t xml:space="preserve"> </w:t>
      </w:r>
      <w:r w:rsidRPr="001F3AA8">
        <w:t xml:space="preserve">of core countries were also regarded as </w:t>
      </w:r>
      <w:r w:rsidR="009B0D6B">
        <w:t xml:space="preserve">relatively </w:t>
      </w:r>
      <w:r w:rsidRPr="001F3AA8">
        <w:t>safe and liquid assets</w:t>
      </w:r>
      <w:r w:rsidR="001122C1">
        <w:t>, although not comparable to the German Bund</w:t>
      </w:r>
      <w:r w:rsidRPr="001F3AA8">
        <w:t>. However, the yields for the periphery countries exhibit</w:t>
      </w:r>
      <w:r>
        <w:t>ed</w:t>
      </w:r>
      <w:r w:rsidRPr="001F3AA8">
        <w:t xml:space="preserve"> increasing trends and appeared to be more un</w:t>
      </w:r>
      <w:r w:rsidR="00BD5535">
        <w:t xml:space="preserve">stable. </w:t>
      </w:r>
      <w:r w:rsidR="00E85C6E">
        <w:t>A plausible explanation is that</w:t>
      </w:r>
      <w:r w:rsidRPr="001F3AA8">
        <w:t xml:space="preserve"> these bond</w:t>
      </w:r>
      <w:r w:rsidR="008D7015">
        <w:t>s</w:t>
      </w:r>
      <w:r w:rsidRPr="001F3AA8">
        <w:t xml:space="preserve"> are </w:t>
      </w:r>
      <w:r w:rsidR="00E85C6E">
        <w:t xml:space="preserve">perceived to be of lower </w:t>
      </w:r>
      <w:r w:rsidRPr="001F3AA8">
        <w:t xml:space="preserve">quality compared with those bonds issued by core countries. Therefore, </w:t>
      </w:r>
      <w:r w:rsidRPr="001F3AA8">
        <w:lastRenderedPageBreak/>
        <w:t xml:space="preserve">differences in </w:t>
      </w:r>
      <w:r w:rsidR="008D7015">
        <w:t xml:space="preserve">the </w:t>
      </w:r>
      <w:r w:rsidR="00E85C6E">
        <w:t xml:space="preserve">quality </w:t>
      </w:r>
      <w:r w:rsidRPr="001F3AA8">
        <w:t>possibly provide a p</w:t>
      </w:r>
      <w:r w:rsidR="00E85C6E">
        <w:t>lausible explanation for</w:t>
      </w:r>
      <w:r w:rsidRPr="001F3AA8">
        <w:t xml:space="preserve"> these unique asymmetric patterns of bond yields of core and periphery countries against the Ge</w:t>
      </w:r>
      <w:r w:rsidR="005B15DB">
        <w:t xml:space="preserve">rman Bund during the </w:t>
      </w:r>
      <w:r w:rsidRPr="001F3AA8">
        <w:t>financial turmoil in the second half of 2008</w:t>
      </w:r>
      <w:r w:rsidR="005B15DB">
        <w:t xml:space="preserve"> and the European debt crisis in </w:t>
      </w:r>
      <w:r w:rsidR="00056445">
        <w:t xml:space="preserve">the </w:t>
      </w:r>
      <w:r w:rsidR="005B15DB">
        <w:t>post-2010</w:t>
      </w:r>
      <w:r w:rsidR="00056445">
        <w:t xml:space="preserve"> period</w:t>
      </w:r>
      <w:r w:rsidRPr="001F3AA8">
        <w:t>.</w:t>
      </w:r>
      <w:r w:rsidR="005B15DB">
        <w:t xml:space="preserve"> </w:t>
      </w:r>
      <w:r w:rsidR="00F65FB7">
        <w:t xml:space="preserve">Figure </w:t>
      </w:r>
      <w:r w:rsidR="0014225B">
        <w:t>4</w:t>
      </w:r>
      <w:r w:rsidR="00F65FB7">
        <w:t xml:space="preserve"> </w:t>
      </w:r>
      <w:r w:rsidR="00056445">
        <w:t xml:space="preserve">exhibits </w:t>
      </w:r>
      <w:r w:rsidR="00F65FB7">
        <w:t>t</w:t>
      </w:r>
      <w:r w:rsidR="00E85C6E">
        <w:t>he differences in the evolution</w:t>
      </w:r>
      <w:r w:rsidR="00F65FB7">
        <w:t xml:space="preserve"> of sovereign </w:t>
      </w:r>
      <w:r w:rsidR="00BC7ED5">
        <w:t>bond yields</w:t>
      </w:r>
      <w:r w:rsidR="00F65FB7">
        <w:t xml:space="preserve"> in the EMU.</w:t>
      </w:r>
    </w:p>
    <w:p w14:paraId="609730A4" w14:textId="77777777" w:rsidR="008D5054" w:rsidRDefault="008D5054" w:rsidP="008914AF">
      <w:pPr>
        <w:spacing w:line="360" w:lineRule="auto"/>
        <w:jc w:val="both"/>
      </w:pPr>
    </w:p>
    <w:p w14:paraId="56FB5DA1" w14:textId="5BC0ADFC" w:rsidR="008914AF" w:rsidRDefault="00B52055" w:rsidP="00F65FB7">
      <w:pPr>
        <w:spacing w:line="360" w:lineRule="auto"/>
        <w:jc w:val="center"/>
      </w:pPr>
      <w:r>
        <w:t xml:space="preserve">[PLEASE INSERT FIGURE </w:t>
      </w:r>
      <w:r w:rsidR="0014225B">
        <w:t>4</w:t>
      </w:r>
      <w:r>
        <w:t xml:space="preserve"> HERE]</w:t>
      </w:r>
    </w:p>
    <w:p w14:paraId="12817B68" w14:textId="77777777" w:rsidR="008D5054" w:rsidRDefault="008D5054" w:rsidP="00A40E36">
      <w:pPr>
        <w:suppressAutoHyphens/>
        <w:spacing w:line="360" w:lineRule="auto"/>
        <w:jc w:val="both"/>
      </w:pPr>
    </w:p>
    <w:p w14:paraId="71C552CA" w14:textId="63721AEE" w:rsidR="00A40E36" w:rsidRDefault="00A40E36" w:rsidP="00A40E36">
      <w:pPr>
        <w:suppressAutoHyphens/>
        <w:spacing w:line="360" w:lineRule="auto"/>
        <w:jc w:val="both"/>
      </w:pPr>
      <w:r>
        <w:t>Table 1 reports the descriptive statistics of the series. As expected, sovereign yield spreads of the periphery countries exhibit the highest volatility compared wit</w:t>
      </w:r>
      <w:r w:rsidR="006C7F08">
        <w:t>h those</w:t>
      </w:r>
      <w:r w:rsidR="00496EE5" w:rsidRPr="00496EE5">
        <w:t xml:space="preserve"> </w:t>
      </w:r>
      <w:r w:rsidR="00496EE5">
        <w:t>sovereign yield spreads</w:t>
      </w:r>
      <w:r w:rsidR="006C7F08">
        <w:t xml:space="preserve"> </w:t>
      </w:r>
      <w:r>
        <w:t xml:space="preserve">of the core countries. This is </w:t>
      </w:r>
      <w:r w:rsidR="00E85C6E">
        <w:t xml:space="preserve">indicated </w:t>
      </w:r>
      <w:r>
        <w:t>by their standard deviation</w:t>
      </w:r>
      <w:r w:rsidR="00E85C6E">
        <w:t>s</w:t>
      </w:r>
      <w:r>
        <w:t>. In addition, none of the series are normally distributed</w:t>
      </w:r>
      <w:r w:rsidR="00DE5E17">
        <w:t xml:space="preserve"> (with the exception of world oil production</w:t>
      </w:r>
      <w:r w:rsidR="00496BDF">
        <w:t xml:space="preserve"> and </w:t>
      </w:r>
      <w:r w:rsidR="00E85C6E">
        <w:t xml:space="preserve">the </w:t>
      </w:r>
      <w:r w:rsidR="00496BDF">
        <w:t>global economic activity index</w:t>
      </w:r>
      <w:r w:rsidR="00DE5E17">
        <w:t>)</w:t>
      </w:r>
      <w:r w:rsidR="00E85C6E">
        <w:t>. This is clearly shown</w:t>
      </w:r>
      <w:r>
        <w:t xml:space="preserve"> by </w:t>
      </w:r>
      <w:r w:rsidR="00E85C6E">
        <w:t xml:space="preserve">values of </w:t>
      </w:r>
      <w:r>
        <w:t xml:space="preserve">the </w:t>
      </w:r>
      <w:proofErr w:type="spellStart"/>
      <w:r>
        <w:t>Jarque</w:t>
      </w:r>
      <w:proofErr w:type="spellEnd"/>
      <w:r>
        <w:t xml:space="preserve">-Bera statistic, </w:t>
      </w:r>
      <w:r w:rsidR="00E85C6E">
        <w:t xml:space="preserve">and standardised measures of </w:t>
      </w:r>
      <w:r>
        <w:t xml:space="preserve">skewness and kurtosis. </w:t>
      </w:r>
    </w:p>
    <w:p w14:paraId="2B7FFB9F" w14:textId="77777777" w:rsidR="008D5054" w:rsidRDefault="008D5054" w:rsidP="00A40E36">
      <w:pPr>
        <w:suppressAutoHyphens/>
        <w:spacing w:line="360" w:lineRule="auto"/>
        <w:jc w:val="both"/>
      </w:pPr>
    </w:p>
    <w:p w14:paraId="3A0602D9" w14:textId="77777777" w:rsidR="00A40E36" w:rsidRDefault="00A40E36" w:rsidP="00A40E36">
      <w:pPr>
        <w:spacing w:line="360" w:lineRule="auto"/>
        <w:jc w:val="center"/>
      </w:pPr>
      <w:r>
        <w:t>[PLEASE INSERT TABLE 1 HERE]</w:t>
      </w:r>
    </w:p>
    <w:p w14:paraId="58534DFF" w14:textId="77777777" w:rsidR="008D5054" w:rsidRDefault="008D5054" w:rsidP="00D72480">
      <w:pPr>
        <w:suppressAutoHyphens/>
        <w:spacing w:line="360" w:lineRule="auto"/>
        <w:jc w:val="both"/>
      </w:pPr>
    </w:p>
    <w:p w14:paraId="30CD78F1" w14:textId="3DE78F01" w:rsidR="004359D7" w:rsidRDefault="00457940" w:rsidP="00D72480">
      <w:pPr>
        <w:suppressAutoHyphens/>
        <w:spacing w:line="360" w:lineRule="auto"/>
        <w:jc w:val="both"/>
      </w:pPr>
      <w:r>
        <w:t xml:space="preserve">Table 2 summarises the </w:t>
      </w:r>
      <w:r w:rsidR="00B65E76">
        <w:t xml:space="preserve">results of the </w:t>
      </w:r>
      <w:r w:rsidRPr="00C02DF3">
        <w:t>Augmented Dickey-Fuller (ADF) (Dickey and Fuller, 1981) and Phil</w:t>
      </w:r>
      <w:r w:rsidR="00F841D0">
        <w:t>l</w:t>
      </w:r>
      <w:r w:rsidRPr="00C02DF3">
        <w:t>ips-</w:t>
      </w:r>
      <w:proofErr w:type="spellStart"/>
      <w:r w:rsidRPr="00C02DF3">
        <w:t>Perron</w:t>
      </w:r>
      <w:proofErr w:type="spellEnd"/>
      <w:r w:rsidRPr="00C02DF3">
        <w:t xml:space="preserve"> (PP) (Phillips and </w:t>
      </w:r>
      <w:proofErr w:type="spellStart"/>
      <w:r w:rsidRPr="00C02DF3">
        <w:t>Perron</w:t>
      </w:r>
      <w:proofErr w:type="spellEnd"/>
      <w:r w:rsidRPr="00C02DF3">
        <w:t>, 1988) unit root tests</w:t>
      </w:r>
      <w:r>
        <w:t>. Accord</w:t>
      </w:r>
      <w:r w:rsidR="00E044EA">
        <w:t>ing to Panels A and B</w:t>
      </w:r>
      <w:r>
        <w:t xml:space="preserve">, </w:t>
      </w:r>
      <w:r w:rsidR="00B65E76">
        <w:t xml:space="preserve">there is present a unit root </w:t>
      </w:r>
      <w:r w:rsidRPr="00533BDC">
        <w:t>for</w:t>
      </w:r>
      <w:r>
        <w:t xml:space="preserve"> all core and periphery countries</w:t>
      </w:r>
      <w:r w:rsidR="00B65E76">
        <w:t xml:space="preserve">’ sovereign yield spreads. Applying a first-difference transformation, we achieve </w:t>
      </w:r>
      <w:r w:rsidRPr="00B514FA">
        <w:rPr>
          <w:color w:val="000000" w:themeColor="text1"/>
        </w:rPr>
        <w:t xml:space="preserve">stationarity </w:t>
      </w:r>
      <w:r w:rsidR="00B65E76">
        <w:rPr>
          <w:color w:val="000000" w:themeColor="text1"/>
        </w:rPr>
        <w:t>in these series</w:t>
      </w:r>
      <w:r w:rsidR="00B65E76">
        <w:t xml:space="preserve">. </w:t>
      </w:r>
      <w:r>
        <w:t xml:space="preserve">Similarly, world oil production and </w:t>
      </w:r>
      <w:r w:rsidR="00B65E76">
        <w:t xml:space="preserve">the </w:t>
      </w:r>
      <w:r>
        <w:t xml:space="preserve">oil spot price do not </w:t>
      </w:r>
      <w:r w:rsidRPr="00724567">
        <w:t>appear to be stationary in levels and thus the</w:t>
      </w:r>
      <w:r>
        <w:t xml:space="preserve"> null hypothesis of unit root cannot be</w:t>
      </w:r>
      <w:r w:rsidRPr="00724567">
        <w:t xml:space="preserve"> rejected.</w:t>
      </w:r>
      <w:r>
        <w:t xml:space="preserve"> Thus, we proceed with the first difference transformation of these two variables.</w:t>
      </w:r>
      <w:r w:rsidR="00756D4A">
        <w:t xml:space="preserve"> </w:t>
      </w:r>
      <w:r w:rsidR="00B65E76">
        <w:t>In contrast</w:t>
      </w:r>
      <w:r w:rsidR="00D72480">
        <w:t xml:space="preserve">, </w:t>
      </w:r>
      <w:r w:rsidR="00B65E76">
        <w:t xml:space="preserve">the series on </w:t>
      </w:r>
      <w:r w:rsidR="008D7015">
        <w:t xml:space="preserve">the </w:t>
      </w:r>
      <w:r w:rsidR="00D72480">
        <w:t>global economic activity index is stationary by construction</w:t>
      </w:r>
      <w:r w:rsidR="00B65E76">
        <w:t>,</w:t>
      </w:r>
      <w:r w:rsidR="00D72480">
        <w:t xml:space="preserve"> since it reflects the global business cycle (Kilian and Murphy, 2014). </w:t>
      </w:r>
      <w:r w:rsidR="004359D7">
        <w:t xml:space="preserve">Finally, </w:t>
      </w:r>
      <w:r w:rsidR="00B65E76">
        <w:t xml:space="preserve">the series on </w:t>
      </w:r>
      <w:r w:rsidR="00D176D4">
        <w:t>the control variables (</w:t>
      </w:r>
      <w:r w:rsidR="004359D7" w:rsidRPr="004359D7">
        <w:t>European economi</w:t>
      </w:r>
      <w:r w:rsidR="004359D7">
        <w:t>c policy uncertainty index</w:t>
      </w:r>
      <w:r w:rsidR="004359D7" w:rsidRPr="004359D7">
        <w:t>, the European monetar</w:t>
      </w:r>
      <w:r w:rsidR="004359D7">
        <w:t>y policy uncertainty index</w:t>
      </w:r>
      <w:r w:rsidR="004359D7" w:rsidRPr="004359D7">
        <w:t>, the European stock mark</w:t>
      </w:r>
      <w:r w:rsidR="004359D7">
        <w:t>et volatility index</w:t>
      </w:r>
      <w:r w:rsidR="004359D7" w:rsidRPr="004359D7">
        <w:t xml:space="preserve"> and the rea</w:t>
      </w:r>
      <w:r w:rsidR="004359D7">
        <w:t>lised oil price volatility</w:t>
      </w:r>
      <w:r w:rsidR="00D176D4">
        <w:t>)</w:t>
      </w:r>
      <w:r w:rsidR="00B65E76">
        <w:t xml:space="preserve"> are stationary, </w:t>
      </w:r>
      <w:r w:rsidR="00D176D4">
        <w:t xml:space="preserve">according to </w:t>
      </w:r>
      <w:r w:rsidR="00B65E76">
        <w:t xml:space="preserve">the results of </w:t>
      </w:r>
      <w:r w:rsidR="00D176D4">
        <w:t>the unit root test</w:t>
      </w:r>
      <w:r w:rsidR="002C1287">
        <w:t>s</w:t>
      </w:r>
      <w:r w:rsidR="00D176D4">
        <w:t>.</w:t>
      </w:r>
    </w:p>
    <w:p w14:paraId="7765DE25" w14:textId="77777777" w:rsidR="00DB297F" w:rsidRDefault="00DB297F" w:rsidP="00D72480">
      <w:pPr>
        <w:suppressAutoHyphens/>
        <w:spacing w:line="360" w:lineRule="auto"/>
        <w:jc w:val="both"/>
      </w:pPr>
    </w:p>
    <w:p w14:paraId="3243161B" w14:textId="77777777" w:rsidR="00457940" w:rsidRDefault="00457940" w:rsidP="00457940">
      <w:pPr>
        <w:spacing w:line="360" w:lineRule="auto"/>
        <w:jc w:val="center"/>
      </w:pPr>
      <w:r>
        <w:t>[PLEASE INSERT TABLE 2 HERE]</w:t>
      </w:r>
    </w:p>
    <w:p w14:paraId="64A21EC3" w14:textId="77777777" w:rsidR="00EB7153" w:rsidRDefault="00EB7153" w:rsidP="009C4546">
      <w:pPr>
        <w:spacing w:line="360" w:lineRule="auto"/>
        <w:jc w:val="both"/>
      </w:pPr>
    </w:p>
    <w:p w14:paraId="15298A05" w14:textId="0E4CF432" w:rsidR="00815C41" w:rsidRDefault="00457940" w:rsidP="009C4546">
      <w:pPr>
        <w:spacing w:line="360" w:lineRule="auto"/>
        <w:jc w:val="both"/>
      </w:pPr>
      <w:r>
        <w:lastRenderedPageBreak/>
        <w:t xml:space="preserve">Table 3 </w:t>
      </w:r>
      <w:r w:rsidR="00797F92">
        <w:t>reports</w:t>
      </w:r>
      <w:r>
        <w:t xml:space="preserve"> the unconditional correlation</w:t>
      </w:r>
      <w:r w:rsidR="008D7015">
        <w:t>s</w:t>
      </w:r>
      <w:r>
        <w:t xml:space="preserve"> </w:t>
      </w:r>
      <w:r w:rsidR="008D7015">
        <w:t xml:space="preserve">among </w:t>
      </w:r>
      <w:r>
        <w:t>sovereign yield spreads (</w:t>
      </w:r>
      <w:r>
        <w:rPr>
          <w:color w:val="000000" w:themeColor="text1"/>
        </w:rPr>
        <w:t>in</w:t>
      </w:r>
      <w:r w:rsidRPr="00B514FA">
        <w:rPr>
          <w:color w:val="000000" w:themeColor="text1"/>
        </w:rPr>
        <w:t xml:space="preserve"> first differences</w:t>
      </w:r>
      <w:r>
        <w:rPr>
          <w:color w:val="000000" w:themeColor="text1"/>
        </w:rPr>
        <w:t xml:space="preserve">) and </w:t>
      </w:r>
      <w:r w:rsidR="00677A4D">
        <w:rPr>
          <w:color w:val="000000" w:themeColor="text1"/>
        </w:rPr>
        <w:t>the three oil price shocks</w:t>
      </w:r>
      <w:r w:rsidR="007201EF">
        <w:rPr>
          <w:color w:val="000000" w:themeColor="text1"/>
        </w:rPr>
        <w:t>,</w:t>
      </w:r>
      <w:r w:rsidR="00677A4D">
        <w:rPr>
          <w:color w:val="000000" w:themeColor="text1"/>
        </w:rPr>
        <w:t xml:space="preserve"> based on a linear relationship. </w:t>
      </w:r>
      <w:r w:rsidR="007201EF">
        <w:rPr>
          <w:color w:val="000000" w:themeColor="text1"/>
        </w:rPr>
        <w:t>W</w:t>
      </w:r>
      <w:r w:rsidR="00815C41">
        <w:rPr>
          <w:color w:val="000000" w:themeColor="text1"/>
        </w:rPr>
        <w:t xml:space="preserve">e notice that negative </w:t>
      </w:r>
      <w:r w:rsidR="00815C41">
        <w:t>unconditional correlations</w:t>
      </w:r>
      <w:r w:rsidR="00815C41">
        <w:rPr>
          <w:color w:val="000000" w:themeColor="text1"/>
        </w:rPr>
        <w:t xml:space="preserve"> are </w:t>
      </w:r>
      <w:r w:rsidR="008D7015">
        <w:rPr>
          <w:color w:val="000000" w:themeColor="text1"/>
        </w:rPr>
        <w:t xml:space="preserve">estimated </w:t>
      </w:r>
      <w:r w:rsidR="00815C41">
        <w:rPr>
          <w:color w:val="000000" w:themeColor="text1"/>
        </w:rPr>
        <w:t xml:space="preserve">between </w:t>
      </w:r>
      <w:r w:rsidR="00815C41">
        <w:t xml:space="preserve">sovereign yield spreads and </w:t>
      </w:r>
      <w:r w:rsidR="00815C41">
        <w:rPr>
          <w:color w:val="000000" w:themeColor="text1"/>
        </w:rPr>
        <w:t>supply-side shocks</w:t>
      </w:r>
      <w:r w:rsidR="009C3DD1">
        <w:rPr>
          <w:color w:val="000000" w:themeColor="text1"/>
        </w:rPr>
        <w:t xml:space="preserve"> </w:t>
      </w:r>
      <w:r w:rsidR="009C3DD1" w:rsidRPr="009C3DD1">
        <w:rPr>
          <w:color w:val="000000" w:themeColor="text1"/>
        </w:rPr>
        <w:t xml:space="preserve">(with the exception of </w:t>
      </w:r>
      <w:r w:rsidR="009C3DD1">
        <w:rPr>
          <w:color w:val="000000" w:themeColor="text1"/>
        </w:rPr>
        <w:t>Greece</w:t>
      </w:r>
      <w:r w:rsidR="009C3DD1" w:rsidRPr="009C3DD1">
        <w:rPr>
          <w:color w:val="000000" w:themeColor="text1"/>
        </w:rPr>
        <w:t>)</w:t>
      </w:r>
      <w:r w:rsidR="0017778C">
        <w:rPr>
          <w:color w:val="000000" w:themeColor="text1"/>
        </w:rPr>
        <w:t>,</w:t>
      </w:r>
      <w:r w:rsidR="009C3DD1">
        <w:rPr>
          <w:color w:val="000000" w:themeColor="text1"/>
        </w:rPr>
        <w:t xml:space="preserve"> as expected. </w:t>
      </w:r>
      <w:r w:rsidR="00815C41">
        <w:rPr>
          <w:color w:val="000000" w:themeColor="text1"/>
        </w:rPr>
        <w:t xml:space="preserve">In addition, </w:t>
      </w:r>
      <w:r w:rsidR="0017778C">
        <w:rPr>
          <w:color w:val="000000" w:themeColor="text1"/>
        </w:rPr>
        <w:t xml:space="preserve">contrary to our initial hypothesis, </w:t>
      </w:r>
      <w:r w:rsidR="00815C41">
        <w:rPr>
          <w:color w:val="000000" w:themeColor="text1"/>
        </w:rPr>
        <w:t xml:space="preserve">we observe positive </w:t>
      </w:r>
      <w:r w:rsidR="00815C41">
        <w:t xml:space="preserve">unconditional correlations </w:t>
      </w:r>
      <w:r w:rsidR="00815C41">
        <w:rPr>
          <w:color w:val="000000" w:themeColor="text1"/>
        </w:rPr>
        <w:t xml:space="preserve">between </w:t>
      </w:r>
      <w:r w:rsidR="00815C41">
        <w:t>sovereign yield spreads and aggregate demand shocks</w:t>
      </w:r>
      <w:r w:rsidR="009C3DD1">
        <w:t xml:space="preserve"> </w:t>
      </w:r>
      <w:r w:rsidR="009C3DD1" w:rsidRPr="009C3DD1">
        <w:t>(with t</w:t>
      </w:r>
      <w:r w:rsidR="009C3DD1">
        <w:t>he exception of the Netherlands</w:t>
      </w:r>
      <w:r w:rsidR="009C3DD1" w:rsidRPr="009C3DD1">
        <w:t xml:space="preserve">). </w:t>
      </w:r>
      <w:r w:rsidR="00815C41">
        <w:rPr>
          <w:color w:val="000000" w:themeColor="text1"/>
        </w:rPr>
        <w:t xml:space="preserve">It is also evident that the </w:t>
      </w:r>
      <w:r w:rsidR="00815C41">
        <w:t xml:space="preserve">unconditional correlations </w:t>
      </w:r>
      <w:r w:rsidR="00815C41">
        <w:rPr>
          <w:color w:val="000000" w:themeColor="text1"/>
        </w:rPr>
        <w:t xml:space="preserve">between </w:t>
      </w:r>
      <w:r w:rsidR="00815C41">
        <w:t xml:space="preserve">sovereign yield spreads and </w:t>
      </w:r>
      <w:r w:rsidR="00815C41">
        <w:rPr>
          <w:color w:val="000000" w:themeColor="text1"/>
        </w:rPr>
        <w:t>precautionary demand shocks are negative (with the exception of</w:t>
      </w:r>
      <w:r w:rsidR="00FE37EE">
        <w:rPr>
          <w:color w:val="000000" w:themeColor="text1"/>
        </w:rPr>
        <w:t xml:space="preserve"> Ireland</w:t>
      </w:r>
      <w:r w:rsidR="00815C41">
        <w:rPr>
          <w:color w:val="000000" w:themeColor="text1"/>
        </w:rPr>
        <w:t>)</w:t>
      </w:r>
      <w:r w:rsidR="0017778C">
        <w:rPr>
          <w:color w:val="000000" w:themeColor="text1"/>
        </w:rPr>
        <w:t>,</w:t>
      </w:r>
      <w:r w:rsidR="00815C41">
        <w:rPr>
          <w:color w:val="000000" w:themeColor="text1"/>
        </w:rPr>
        <w:t xml:space="preserve"> which is</w:t>
      </w:r>
      <w:r w:rsidR="0017778C">
        <w:rPr>
          <w:color w:val="000000" w:themeColor="text1"/>
        </w:rPr>
        <w:t xml:space="preserve"> also</w:t>
      </w:r>
      <w:r w:rsidR="00815C41">
        <w:rPr>
          <w:color w:val="000000" w:themeColor="text1"/>
        </w:rPr>
        <w:t xml:space="preserve"> </w:t>
      </w:r>
      <w:r w:rsidR="0017778C">
        <w:rPr>
          <w:color w:val="000000" w:themeColor="text1"/>
        </w:rPr>
        <w:t xml:space="preserve">not </w:t>
      </w:r>
      <w:r w:rsidR="00815C41">
        <w:rPr>
          <w:color w:val="000000" w:themeColor="text1"/>
        </w:rPr>
        <w:t xml:space="preserve">anticipated. </w:t>
      </w:r>
      <w:r w:rsidR="00443191">
        <w:rPr>
          <w:color w:val="000000" w:themeColor="text1"/>
        </w:rPr>
        <w:t xml:space="preserve">It should be noted that the findings from Table </w:t>
      </w:r>
      <w:r w:rsidR="00D374FC">
        <w:rPr>
          <w:color w:val="000000" w:themeColor="text1"/>
        </w:rPr>
        <w:t>3</w:t>
      </w:r>
      <w:r w:rsidR="00443191">
        <w:rPr>
          <w:color w:val="000000" w:themeColor="text1"/>
        </w:rPr>
        <w:t xml:space="preserve"> hold for the whole period either for core or periphery countries. </w:t>
      </w:r>
      <w:r w:rsidR="00797F92">
        <w:rPr>
          <w:color w:val="000000" w:themeColor="text1"/>
        </w:rPr>
        <w:t xml:space="preserve">Furthermore, in Table 4 we report the unconditional correlations during the pre- and post-Great Recession periods, which clearly show a change in </w:t>
      </w:r>
      <w:r w:rsidR="00E64A87">
        <w:rPr>
          <w:color w:val="000000" w:themeColor="text1"/>
        </w:rPr>
        <w:t xml:space="preserve">relationships, </w:t>
      </w:r>
      <w:r w:rsidR="00797F92">
        <w:rPr>
          <w:color w:val="000000" w:themeColor="text1"/>
        </w:rPr>
        <w:t>especially for the aggregate and precautionary demand shocks. These preliminary results motivate the use of a time-varying framework</w:t>
      </w:r>
      <w:r w:rsidR="0053787A">
        <w:rPr>
          <w:color w:val="000000" w:themeColor="text1"/>
        </w:rPr>
        <w:t>.</w:t>
      </w:r>
      <w:r w:rsidR="00797F92">
        <w:rPr>
          <w:color w:val="000000" w:themeColor="text1"/>
        </w:rPr>
        <w:t xml:space="preserve"> </w:t>
      </w:r>
      <w:r w:rsidR="008D7015">
        <w:rPr>
          <w:color w:val="000000" w:themeColor="text1"/>
        </w:rPr>
        <w:t>Thus</w:t>
      </w:r>
      <w:r w:rsidR="00797F92">
        <w:rPr>
          <w:color w:val="000000" w:themeColor="text1"/>
        </w:rPr>
        <w:t>, i</w:t>
      </w:r>
      <w:r w:rsidR="00E64A87">
        <w:t>n order to acquire</w:t>
      </w:r>
      <w:r w:rsidR="00815C41">
        <w:t xml:space="preserve"> a thorough picture about the </w:t>
      </w:r>
      <w:r w:rsidR="00815C41">
        <w:rPr>
          <w:color w:val="000000" w:themeColor="text1"/>
        </w:rPr>
        <w:t>time-varying correlation</w:t>
      </w:r>
      <w:r w:rsidR="00815C41">
        <w:t>s</w:t>
      </w:r>
      <w:r w:rsidR="00815C41" w:rsidRPr="00815C41">
        <w:rPr>
          <w:color w:val="000000" w:themeColor="text1"/>
        </w:rPr>
        <w:t xml:space="preserve"> </w:t>
      </w:r>
      <w:r w:rsidR="00815C41">
        <w:rPr>
          <w:color w:val="000000" w:themeColor="text1"/>
        </w:rPr>
        <w:t>of the said relationship</w:t>
      </w:r>
      <w:r w:rsidR="00E64A87">
        <w:rPr>
          <w:color w:val="000000" w:themeColor="text1"/>
        </w:rPr>
        <w:t>s</w:t>
      </w:r>
      <w:r w:rsidR="00815C41">
        <w:rPr>
          <w:color w:val="000000" w:themeColor="text1"/>
        </w:rPr>
        <w:t xml:space="preserve">, </w:t>
      </w:r>
      <w:r w:rsidR="00815C41">
        <w:t>a more in-depth analysis is carried out in Section 5</w:t>
      </w:r>
      <w:r w:rsidR="00E64A87">
        <w:t>.</w:t>
      </w:r>
      <w:r w:rsidR="00577539">
        <w:rPr>
          <w:rStyle w:val="FootnoteReference"/>
        </w:rPr>
        <w:footnoteReference w:id="19"/>
      </w:r>
    </w:p>
    <w:p w14:paraId="3940DCAF" w14:textId="77777777" w:rsidR="00EB7153" w:rsidRPr="00A2702C" w:rsidRDefault="00EB7153" w:rsidP="009C4546">
      <w:pPr>
        <w:spacing w:line="360" w:lineRule="auto"/>
        <w:jc w:val="both"/>
        <w:rPr>
          <w:color w:val="000000" w:themeColor="text1"/>
        </w:rPr>
      </w:pPr>
    </w:p>
    <w:p w14:paraId="2916F426" w14:textId="4732B2F4" w:rsidR="00354FED" w:rsidRPr="00901E23" w:rsidRDefault="00450761" w:rsidP="00164C1D">
      <w:pPr>
        <w:spacing w:line="360" w:lineRule="auto"/>
        <w:jc w:val="center"/>
      </w:pPr>
      <w:r>
        <w:t>[PLEASE INSERT TABLE</w:t>
      </w:r>
      <w:r w:rsidR="004262C6">
        <w:t>S</w:t>
      </w:r>
      <w:r>
        <w:t xml:space="preserve"> 3 </w:t>
      </w:r>
      <w:r w:rsidR="004262C6">
        <w:t xml:space="preserve">AND 4 </w:t>
      </w:r>
      <w:r>
        <w:t>HERE]</w:t>
      </w:r>
    </w:p>
    <w:p w14:paraId="70A1168A" w14:textId="77777777" w:rsidR="00BE6701" w:rsidRDefault="00BE6701" w:rsidP="004D132B">
      <w:pPr>
        <w:suppressAutoHyphens/>
        <w:spacing w:line="360" w:lineRule="auto"/>
        <w:jc w:val="both"/>
        <w:rPr>
          <w:b/>
        </w:rPr>
      </w:pPr>
    </w:p>
    <w:p w14:paraId="6EEAA9EF" w14:textId="77777777" w:rsidR="004D132B" w:rsidRPr="004D132B" w:rsidRDefault="00976A9A" w:rsidP="004D132B">
      <w:pPr>
        <w:suppressAutoHyphens/>
        <w:spacing w:line="360" w:lineRule="auto"/>
        <w:jc w:val="both"/>
        <w:rPr>
          <w:b/>
        </w:rPr>
      </w:pPr>
      <w:r>
        <w:rPr>
          <w:b/>
        </w:rPr>
        <w:t>4. Methodology</w:t>
      </w:r>
    </w:p>
    <w:p w14:paraId="3B863521" w14:textId="77777777" w:rsidR="004D132B" w:rsidRPr="00445E12" w:rsidRDefault="004D132B" w:rsidP="00506BC2">
      <w:pPr>
        <w:spacing w:line="360" w:lineRule="auto"/>
        <w:jc w:val="both"/>
        <w:rPr>
          <w:i/>
        </w:rPr>
      </w:pPr>
      <w:r w:rsidRPr="00445E12">
        <w:rPr>
          <w:i/>
        </w:rPr>
        <w:t>4.1 Structural VAR model</w:t>
      </w:r>
      <w:r w:rsidR="00733638" w:rsidRPr="00445E12">
        <w:rPr>
          <w:i/>
        </w:rPr>
        <w:t xml:space="preserve"> and historical decomposition</w:t>
      </w:r>
    </w:p>
    <w:p w14:paraId="26B0FDD8" w14:textId="457D2034" w:rsidR="00506BC2" w:rsidRDefault="00EE4BA0" w:rsidP="00506BC2">
      <w:pPr>
        <w:spacing w:line="360" w:lineRule="auto"/>
        <w:jc w:val="both"/>
      </w:pPr>
      <w:r>
        <w:t xml:space="preserve">To </w:t>
      </w:r>
      <w:r>
        <w:rPr>
          <w:color w:val="000000" w:themeColor="text1"/>
        </w:rPr>
        <w:t xml:space="preserve">disaggregate different oil price shocks based on their origin, a SVAR model inspired by Kilian (2009) is employed. </w:t>
      </w:r>
      <w:r w:rsidR="004557E2">
        <w:rPr>
          <w:color w:val="000000" w:themeColor="text1"/>
        </w:rPr>
        <w:t>As previous</w:t>
      </w:r>
      <w:r w:rsidR="00EB3FB2">
        <w:rPr>
          <w:color w:val="000000" w:themeColor="text1"/>
        </w:rPr>
        <w:t>ly</w:t>
      </w:r>
      <w:r w:rsidR="004557E2">
        <w:rPr>
          <w:color w:val="000000" w:themeColor="text1"/>
        </w:rPr>
        <w:t xml:space="preserve"> mentioned, we </w:t>
      </w:r>
      <w:r w:rsidR="00EB3FB2">
        <w:t>decompose</w:t>
      </w:r>
      <w:r w:rsidR="004557E2">
        <w:t xml:space="preserve"> the oil price into supply-side shocks identified by changes in world oil production</w:t>
      </w:r>
      <w:r w:rsidR="00506BC2">
        <w:t xml:space="preserve"> </w:t>
      </w:r>
      <w:r w:rsidR="00506BC2" w:rsidRPr="0071671B">
        <w:t>(</w:t>
      </w:r>
      <m:oMath>
        <m:sSub>
          <m:sSubPr>
            <m:ctrlPr>
              <w:rPr>
                <w:rFonts w:ascii="Cambria Math" w:hAnsi="Cambria Math"/>
                <w:i/>
              </w:rPr>
            </m:ctrlPr>
          </m:sSubPr>
          <m:e>
            <m:r>
              <w:rPr>
                <w:rFonts w:ascii="Cambria Math" w:hAnsi="Cambria Math"/>
              </w:rPr>
              <m:t>DPRO</m:t>
            </m:r>
          </m:e>
          <m:sub>
            <m:r>
              <w:rPr>
                <w:rFonts w:ascii="Cambria Math" w:hAnsi="Cambria Math"/>
              </w:rPr>
              <m:t>t</m:t>
            </m:r>
          </m:sub>
        </m:sSub>
      </m:oMath>
      <w:r w:rsidR="00506BC2">
        <w:t>)</w:t>
      </w:r>
      <w:r w:rsidR="004557E2">
        <w:t xml:space="preserve">, aggregate demand shocks approximated by the global economic activity index </w:t>
      </w:r>
      <w:r w:rsidR="00506BC2" w:rsidRPr="0071671B">
        <w:t>(</w:t>
      </w:r>
      <m:oMath>
        <m:sSub>
          <m:sSubPr>
            <m:ctrlPr>
              <w:rPr>
                <w:rFonts w:ascii="Cambria Math" w:hAnsi="Cambria Math"/>
                <w:i/>
              </w:rPr>
            </m:ctrlPr>
          </m:sSubPr>
          <m:e>
            <m:r>
              <w:rPr>
                <w:rFonts w:ascii="Cambria Math" w:hAnsi="Cambria Math"/>
              </w:rPr>
              <m:t>GEA</m:t>
            </m:r>
          </m:e>
          <m:sub>
            <m:r>
              <w:rPr>
                <w:rFonts w:ascii="Cambria Math" w:hAnsi="Cambria Math"/>
              </w:rPr>
              <m:t>t</m:t>
            </m:r>
          </m:sub>
        </m:sSub>
      </m:oMath>
      <w:r w:rsidR="00506BC2">
        <w:t>)</w:t>
      </w:r>
      <w:r w:rsidR="00506BC2" w:rsidRPr="0071671B">
        <w:t xml:space="preserve"> </w:t>
      </w:r>
      <w:r w:rsidR="004557E2">
        <w:t xml:space="preserve">and precautionary demand shocks </w:t>
      </w:r>
      <w:r w:rsidR="00EB3FB2">
        <w:t>represented</w:t>
      </w:r>
      <w:r w:rsidR="004557E2">
        <w:t xml:space="preserve"> by </w:t>
      </w:r>
      <w:r w:rsidR="00506BC2">
        <w:t xml:space="preserve">changes in the Brent </w:t>
      </w:r>
      <w:r w:rsidR="00EA3875">
        <w:t xml:space="preserve">real </w:t>
      </w:r>
      <w:r w:rsidR="00506BC2">
        <w:t xml:space="preserve">oil price </w:t>
      </w:r>
      <w:r w:rsidR="00506BC2" w:rsidRPr="0071671B">
        <w:t>(</w:t>
      </w:r>
      <m:oMath>
        <m:sSub>
          <m:sSubPr>
            <m:ctrlPr>
              <w:rPr>
                <w:rFonts w:ascii="Cambria Math" w:hAnsi="Cambria Math"/>
                <w:i/>
              </w:rPr>
            </m:ctrlPr>
          </m:sSubPr>
          <m:e>
            <m:r>
              <w:rPr>
                <w:rFonts w:ascii="Cambria Math" w:hAnsi="Cambria Math"/>
              </w:rPr>
              <m:t>DROP</m:t>
            </m:r>
          </m:e>
          <m:sub>
            <m:r>
              <w:rPr>
                <w:rFonts w:ascii="Cambria Math" w:hAnsi="Cambria Math"/>
              </w:rPr>
              <m:t>t</m:t>
            </m:r>
          </m:sub>
        </m:sSub>
      </m:oMath>
      <w:r w:rsidR="00506BC2" w:rsidRPr="0071671B">
        <w:t>).</w:t>
      </w:r>
      <w:r w:rsidR="00506BC2">
        <w:t xml:space="preserve"> </w:t>
      </w:r>
      <w:r w:rsidR="00013E85">
        <w:t xml:space="preserve">We highlight that </w:t>
      </w:r>
      <w:r w:rsidR="00952A2C">
        <w:rPr>
          <w:i/>
        </w:rPr>
        <w:t>D</w:t>
      </w:r>
      <w:r w:rsidR="00506BC2" w:rsidRPr="0071671B">
        <w:t xml:space="preserve"> represents the first difference between the values in month </w:t>
      </w:r>
      <w:r w:rsidR="00506BC2" w:rsidRPr="0071671B">
        <w:rPr>
          <w:i/>
        </w:rPr>
        <w:t>t</w:t>
      </w:r>
      <w:r w:rsidR="00506BC2" w:rsidRPr="0071671B">
        <w:t xml:space="preserve"> and month </w:t>
      </w:r>
      <w:r w:rsidR="00506BC2" w:rsidRPr="0071671B">
        <w:rPr>
          <w:i/>
        </w:rPr>
        <w:t>t</w:t>
      </w:r>
      <w:r w:rsidR="008D7015">
        <w:rPr>
          <w:i/>
        </w:rPr>
        <w:t>-</w:t>
      </w:r>
      <w:r w:rsidR="00EB3FB2">
        <w:rPr>
          <w:i/>
        </w:rPr>
        <w:t>i</w:t>
      </w:r>
      <w:r w:rsidR="00506BC2" w:rsidRPr="0071671B">
        <w:t xml:space="preserve">. </w:t>
      </w:r>
    </w:p>
    <w:p w14:paraId="6F070C8D" w14:textId="36F9F6F0" w:rsidR="00110A5E" w:rsidRDefault="00753E38" w:rsidP="00653D63">
      <w:pPr>
        <w:spacing w:line="360" w:lineRule="auto"/>
        <w:jc w:val="both"/>
      </w:pPr>
      <w:r>
        <w:t xml:space="preserve">The use of the SVAR requires </w:t>
      </w:r>
      <w:r w:rsidR="00F42702">
        <w:t>imposing</w:t>
      </w:r>
      <w:r>
        <w:t xml:space="preserve"> </w:t>
      </w:r>
      <w:r w:rsidRPr="0071671B">
        <w:t>restrictions</w:t>
      </w:r>
      <w:r>
        <w:t xml:space="preserve"> </w:t>
      </w:r>
      <w:r w:rsidR="00EB3FB2">
        <w:t>on the parameters which are indicating</w:t>
      </w:r>
      <w:r>
        <w:t xml:space="preserve"> the </w:t>
      </w:r>
      <w:r w:rsidRPr="0071671B">
        <w:t xml:space="preserve">contemporaneous relationships </w:t>
      </w:r>
      <w:r>
        <w:t>among the</w:t>
      </w:r>
      <w:r w:rsidRPr="0071671B">
        <w:t xml:space="preserve"> endogenous variables.</w:t>
      </w:r>
      <w:r>
        <w:t xml:space="preserve"> </w:t>
      </w:r>
      <w:r w:rsidR="00080ECE">
        <w:t xml:space="preserve">These restrictions are used to identify the </w:t>
      </w:r>
      <w:r w:rsidR="00080ECE" w:rsidRPr="0071671B">
        <w:t>stru</w:t>
      </w:r>
      <w:r w:rsidR="00080ECE">
        <w:t xml:space="preserve">ctural innovations of the model and are </w:t>
      </w:r>
      <w:r w:rsidR="008D7015">
        <w:t xml:space="preserve">dictated </w:t>
      </w:r>
      <w:r w:rsidR="00080ECE">
        <w:lastRenderedPageBreak/>
        <w:t>by the economic theory. Moreover, t</w:t>
      </w:r>
      <w:r w:rsidR="00080ECE" w:rsidRPr="0071671B">
        <w:t xml:space="preserve">he impulse response analysis </w:t>
      </w:r>
      <w:r w:rsidR="008D7015">
        <w:t>helps us</w:t>
      </w:r>
      <w:r w:rsidR="00080ECE">
        <w:t xml:space="preserve"> ascertain </w:t>
      </w:r>
      <w:r w:rsidR="00AC579C">
        <w:t xml:space="preserve">the impact of an unexpected innovation in one </w:t>
      </w:r>
      <w:r w:rsidR="004E2696">
        <w:t xml:space="preserve">endogenous </w:t>
      </w:r>
      <w:r w:rsidR="00AC579C">
        <w:t xml:space="preserve">variable on </w:t>
      </w:r>
      <w:r w:rsidR="008D7015">
        <w:t xml:space="preserve">the </w:t>
      </w:r>
      <w:r w:rsidR="00AC579C">
        <w:t xml:space="preserve">other variables in the </w:t>
      </w:r>
      <w:r w:rsidR="004E2696">
        <w:t>system.</w:t>
      </w:r>
      <w:r w:rsidR="00AC34EB">
        <w:t xml:space="preserve"> Expressed </w:t>
      </w:r>
      <w:r w:rsidR="004E2696">
        <w:t xml:space="preserve">differently, we examine </w:t>
      </w:r>
      <w:r w:rsidR="00080ECE" w:rsidRPr="0071671B">
        <w:t xml:space="preserve">the response of </w:t>
      </w:r>
      <w:r w:rsidR="00EB3FB2">
        <w:t>an endogenous variable</w:t>
      </w:r>
      <w:r w:rsidR="00080ECE" w:rsidRPr="0071671B">
        <w:t xml:space="preserve"> to </w:t>
      </w:r>
      <w:r w:rsidR="008D7015">
        <w:t xml:space="preserve">a </w:t>
      </w:r>
      <w:r w:rsidR="00080ECE" w:rsidRPr="0071671B">
        <w:t>one standard deviation shock</w:t>
      </w:r>
      <w:r w:rsidR="00EB3FB2">
        <w:t>, to either itself or another variable entering the system</w:t>
      </w:r>
      <w:r w:rsidR="00080ECE" w:rsidRPr="0071671B">
        <w:t>.</w:t>
      </w:r>
    </w:p>
    <w:p w14:paraId="7C796931" w14:textId="247F2DEF" w:rsidR="00653D63" w:rsidRDefault="00523409" w:rsidP="00653D63">
      <w:pPr>
        <w:spacing w:line="360" w:lineRule="auto"/>
        <w:jc w:val="both"/>
      </w:pPr>
      <w:r>
        <w:t>The representation of the SVAR model</w:t>
      </w:r>
      <w:r w:rsidR="00653D63" w:rsidRPr="0071671B">
        <w:t xml:space="preserve"> of order </w:t>
      </w:r>
      <w:r w:rsidR="00653D63" w:rsidRPr="0071671B">
        <w:rPr>
          <w:i/>
        </w:rPr>
        <w:t xml:space="preserve">k </w:t>
      </w:r>
      <w:r w:rsidR="00653D63" w:rsidRPr="0071671B">
        <w:t xml:space="preserve">(where the order </w:t>
      </w:r>
      <w:r w:rsidR="00653D63" w:rsidRPr="0071671B">
        <w:rPr>
          <w:i/>
        </w:rPr>
        <w:t>k</w:t>
      </w:r>
      <w:r w:rsidR="00653D63" w:rsidRPr="0071671B">
        <w:t xml:space="preserve"> </w:t>
      </w:r>
      <w:r w:rsidR="003832B1" w:rsidRPr="0071671B">
        <w:t>denotes</w:t>
      </w:r>
      <w:r w:rsidR="003832B1">
        <w:t xml:space="preserve"> the maximum</w:t>
      </w:r>
      <w:r w:rsidR="00653D63" w:rsidRPr="0071671B">
        <w:t xml:space="preserve"> number of lag length </w:t>
      </w:r>
      <w:r w:rsidR="003832B1" w:rsidRPr="0071671B">
        <w:t>reflected</w:t>
      </w:r>
      <w:r w:rsidR="00653D63" w:rsidRPr="0071671B">
        <w:t xml:space="preserve"> in the model) </w:t>
      </w:r>
      <w:r>
        <w:t>takes the following form</w:t>
      </w:r>
      <w:r w:rsidR="00653D63" w:rsidRPr="0071671B">
        <w:t>:</w:t>
      </w:r>
    </w:p>
    <w:p w14:paraId="3E11E099" w14:textId="77777777" w:rsidR="003F4EB2" w:rsidRDefault="003F4EB2" w:rsidP="00653D63">
      <w:pPr>
        <w:spacing w:line="36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646"/>
      </w:tblGrid>
      <w:tr w:rsidR="00327025" w14:paraId="16B4FFDF" w14:textId="77777777" w:rsidTr="00327025">
        <w:tc>
          <w:tcPr>
            <w:tcW w:w="7650" w:type="dxa"/>
            <w:vAlign w:val="center"/>
          </w:tcPr>
          <w:p w14:paraId="480E7884" w14:textId="636037AD" w:rsidR="00327025" w:rsidRDefault="00FA2618" w:rsidP="00327025">
            <w:pPr>
              <w:jc w:val="center"/>
            </w:pPr>
            <m:oMath>
              <m:sSub>
                <m:sSubPr>
                  <m:ctrlPr>
                    <w:rPr>
                      <w:rFonts w:ascii="Cambria Math" w:hAnsi="Cambria Math"/>
                      <w:i/>
                    </w:rPr>
                  </m:ctrlPr>
                </m:sSubPr>
                <m:e>
                  <m:r>
                    <w:rPr>
                      <w:rFonts w:ascii="Cambria Math" w:hAnsi="Cambria Math"/>
                    </w:rPr>
                    <m:t xml:space="preserve"> A</m:t>
                  </m:r>
                </m:e>
                <m:sub>
                  <m:r>
                    <w:rPr>
                      <w:rFonts w:ascii="Cambria Math" w:hAnsi="Cambria Math"/>
                    </w:rPr>
                    <m:t xml:space="preserve">0  </m:t>
                  </m:r>
                </m:sub>
              </m:sSub>
              <m:sSub>
                <m:sSubPr>
                  <m:ctrlPr>
                    <w:rPr>
                      <w:rFonts w:ascii="Cambria Math" w:hAnsi="Cambria Math"/>
                      <w:i/>
                    </w:rPr>
                  </m:ctrlPr>
                </m:sSubPr>
                <m:e>
                  <m:r>
                    <w:rPr>
                      <w:rFonts w:ascii="Cambria Math" w:hAnsi="Cambria Math"/>
                    </w:rPr>
                    <m:t>Z</m:t>
                  </m:r>
                </m:e>
                <m:sub>
                  <m:r>
                    <w:rPr>
                      <w:rFonts w:ascii="Cambria Math" w:hAnsi="Cambria Math"/>
                    </w:rPr>
                    <m:t xml:space="preserve">t </m:t>
                  </m:r>
                </m:sub>
              </m:sSub>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 xml:space="preserve">0 </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b>
                    <m:sSubPr>
                      <m:ctrlPr>
                        <w:rPr>
                          <w:rFonts w:ascii="Cambria Math" w:hAnsi="Cambria Math"/>
                          <w:i/>
                        </w:rPr>
                      </m:ctrlPr>
                    </m:sSubPr>
                    <m:e>
                      <m:r>
                        <w:rPr>
                          <w:rFonts w:ascii="Cambria Math" w:hAnsi="Cambria Math"/>
                        </w:rPr>
                        <m:t>A</m:t>
                      </m:r>
                    </m:e>
                    <m:sub>
                      <m:r>
                        <w:rPr>
                          <w:rFonts w:ascii="Cambria Math" w:hAnsi="Cambria Math"/>
                        </w:rPr>
                        <m:t>i</m:t>
                      </m:r>
                    </m:sub>
                  </m:sSub>
                </m:e>
              </m:nary>
              <m:sSub>
                <m:sSubPr>
                  <m:ctrlPr>
                    <w:rPr>
                      <w:rFonts w:ascii="Cambria Math" w:hAnsi="Cambria Math"/>
                      <w:i/>
                    </w:rPr>
                  </m:ctrlPr>
                </m:sSubPr>
                <m:e>
                  <m:r>
                    <w:rPr>
                      <w:rFonts w:ascii="Cambria Math" w:hAnsi="Cambria Math"/>
                    </w:rPr>
                    <m:t>Z</m:t>
                  </m:r>
                </m:e>
                <m:sub>
                  <m:r>
                    <w:rPr>
                      <w:rFonts w:ascii="Cambria Math" w:hAnsi="Cambria Math"/>
                    </w:rPr>
                    <m:t xml:space="preserve">t-i </m:t>
                  </m:r>
                </m:sub>
              </m:sSub>
              <m:r>
                <w:rPr>
                  <w:rFonts w:ascii="Cambria Math" w:hAnsi="Cambria Math"/>
                </w:rPr>
                <m:t xml:space="preserve">+ </m:t>
              </m:r>
              <m:sSub>
                <m:sSubPr>
                  <m:ctrlPr>
                    <w:rPr>
                      <w:rFonts w:ascii="Cambria Math" w:hAnsi="Cambria Math"/>
                      <w:i/>
                    </w:rPr>
                  </m:ctrlPr>
                </m:sSubPr>
                <m:e>
                  <m:r>
                    <w:rPr>
                      <w:rFonts w:ascii="Cambria Math" w:hAnsi="Cambria Math"/>
                    </w:rPr>
                    <m:t>ε</m:t>
                  </m:r>
                </m:e>
                <m:sub>
                  <m:r>
                    <w:rPr>
                      <w:rFonts w:ascii="Cambria Math" w:hAnsi="Cambria Math"/>
                    </w:rPr>
                    <m:t>t</m:t>
                  </m:r>
                </m:sub>
              </m:sSub>
            </m:oMath>
            <w:r w:rsidR="003F4EB2">
              <w:t>,</w:t>
            </w:r>
          </w:p>
        </w:tc>
        <w:tc>
          <w:tcPr>
            <w:tcW w:w="646" w:type="dxa"/>
            <w:vAlign w:val="center"/>
          </w:tcPr>
          <w:p w14:paraId="6E3231FF" w14:textId="03E618CB" w:rsidR="00327025" w:rsidRDefault="00327025" w:rsidP="00327025">
            <w:pPr>
              <w:jc w:val="center"/>
            </w:pPr>
            <w:r>
              <w:t>(1)</w:t>
            </w:r>
          </w:p>
        </w:tc>
      </w:tr>
    </w:tbl>
    <w:p w14:paraId="058DB9AC" w14:textId="77777777" w:rsidR="00327025" w:rsidRPr="0071671B" w:rsidRDefault="00327025" w:rsidP="00653D63">
      <w:pPr>
        <w:spacing w:line="360" w:lineRule="auto"/>
        <w:jc w:val="both"/>
      </w:pPr>
    </w:p>
    <w:p w14:paraId="29E3B1ED" w14:textId="5B89B19B" w:rsidR="00653D63" w:rsidRDefault="003E1DE7" w:rsidP="00653D63">
      <w:pPr>
        <w:spacing w:line="360" w:lineRule="auto"/>
        <w:jc w:val="both"/>
      </w:pPr>
      <w:r>
        <w:t>w</w:t>
      </w:r>
      <w:r w:rsidR="00653D63" w:rsidRPr="0071671B">
        <w:t>here</w:t>
      </w:r>
      <w:r w:rsidR="00EE24E3">
        <w:t xml:space="preserve"> </w:t>
      </w:r>
      <m:oMath>
        <m:sSub>
          <m:sSubPr>
            <m:ctrlPr>
              <w:rPr>
                <w:rFonts w:ascii="Cambria Math" w:hAnsi="Cambria Math"/>
                <w:i/>
              </w:rPr>
            </m:ctrlPr>
          </m:sSubPr>
          <m:e>
            <m:r>
              <w:rPr>
                <w:rFonts w:ascii="Cambria Math" w:hAnsi="Cambria Math"/>
              </w:rPr>
              <m:t>Z</m:t>
            </m:r>
          </m:e>
          <m:sub>
            <m:r>
              <w:rPr>
                <w:rFonts w:ascii="Cambria Math" w:hAnsi="Cambria Math"/>
              </w:rPr>
              <m:t>t</m:t>
            </m:r>
          </m:sub>
        </m:sSub>
      </m:oMath>
      <w:r w:rsidR="00EE24E3">
        <w:t xml:space="preserve"> is the (3x1) vector of the three</w:t>
      </w:r>
      <w:r w:rsidR="00EE24E3" w:rsidRPr="0071671B">
        <w:t xml:space="preserve"> </w:t>
      </w:r>
      <w:r w:rsidR="00EE24E3">
        <w:t xml:space="preserve">aforementioned </w:t>
      </w:r>
      <w:r w:rsidR="00EE24E3" w:rsidRPr="0071671B">
        <w:t>endogenous v</w:t>
      </w:r>
      <w:r w:rsidR="00EE24E3">
        <w:t>ariables</w:t>
      </w:r>
      <w:r w:rsidR="00EE24E3" w:rsidRPr="0071671B">
        <w:t xml:space="preserve">, i.e. </w:t>
      </w:r>
      <m:oMath>
        <m:sSub>
          <m:sSubPr>
            <m:ctrlPr>
              <w:rPr>
                <w:rFonts w:ascii="Cambria Math" w:hAnsi="Cambria Math"/>
                <w:i/>
              </w:rPr>
            </m:ctrlPr>
          </m:sSubPr>
          <m:e>
            <m:r>
              <w:rPr>
                <w:rFonts w:ascii="Cambria Math" w:hAnsi="Cambria Math"/>
              </w:rPr>
              <m:t>Z</m:t>
            </m:r>
          </m:e>
          <m:sub>
            <m:r>
              <w:rPr>
                <w:rFonts w:ascii="Cambria Math" w:hAnsi="Cambria Math"/>
              </w:rPr>
              <m:t>t</m:t>
            </m:r>
          </m:sub>
        </m:sSub>
      </m:oMath>
      <w:r w:rsidR="00EE24E3" w:rsidRPr="0071671B">
        <w:t>= (</w:t>
      </w:r>
      <m:oMath>
        <m:sSub>
          <m:sSubPr>
            <m:ctrlPr>
              <w:rPr>
                <w:rFonts w:ascii="Cambria Math" w:hAnsi="Cambria Math"/>
                <w:i/>
              </w:rPr>
            </m:ctrlPr>
          </m:sSubPr>
          <m:e>
            <m:r>
              <w:rPr>
                <w:rFonts w:ascii="Cambria Math" w:hAnsi="Cambria Math"/>
              </w:rPr>
              <m:t>DPRO</m:t>
            </m:r>
          </m:e>
          <m:sub>
            <m:r>
              <w:rPr>
                <w:rFonts w:ascii="Cambria Math" w:hAnsi="Cambria Math"/>
              </w:rPr>
              <m:t>t</m:t>
            </m:r>
          </m:sub>
        </m:sSub>
        <m:sSub>
          <m:sSubPr>
            <m:ctrlPr>
              <w:rPr>
                <w:rFonts w:ascii="Cambria Math" w:hAnsi="Cambria Math"/>
                <w:i/>
              </w:rPr>
            </m:ctrlPr>
          </m:sSubPr>
          <m:e>
            <m:r>
              <w:rPr>
                <w:rFonts w:ascii="Cambria Math" w:hAnsi="Cambria Math"/>
              </w:rPr>
              <m:t>,GEA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DROP</m:t>
            </m:r>
          </m:e>
          <m:sub>
            <m:r>
              <w:rPr>
                <w:rFonts w:ascii="Cambria Math" w:hAnsi="Cambria Math"/>
              </w:rPr>
              <m:t>t</m:t>
            </m:r>
          </m:sub>
        </m:sSub>
        <m:r>
          <w:rPr>
            <w:rFonts w:ascii="Cambria Math" w:hAnsi="Cambria Math"/>
          </w:rPr>
          <m:t>,</m:t>
        </m:r>
      </m:oMath>
      <w:r w:rsidR="00EE24E3">
        <w:t>)</w:t>
      </w:r>
      <w:r w:rsidR="00863705">
        <w:t>,</w:t>
      </w:r>
      <w:r w:rsidR="00B57D75">
        <w:t xml:space="preserve"> </w:t>
      </w:r>
      <m:oMath>
        <m:sSub>
          <m:sSubPr>
            <m:ctrlPr>
              <w:rPr>
                <w:rFonts w:ascii="Cambria Math" w:hAnsi="Cambria Math"/>
                <w:i/>
              </w:rPr>
            </m:ctrlPr>
          </m:sSubPr>
          <m:e>
            <m:r>
              <w:rPr>
                <w:rFonts w:ascii="Cambria Math" w:hAnsi="Cambria Math"/>
              </w:rPr>
              <m:t>A</m:t>
            </m:r>
          </m:e>
          <m:sub>
            <m:r>
              <w:rPr>
                <w:rFonts w:ascii="Cambria Math" w:hAnsi="Cambria Math"/>
              </w:rPr>
              <m:t xml:space="preserve">0 </m:t>
            </m:r>
          </m:sub>
        </m:sSub>
      </m:oMath>
      <w:r w:rsidR="00EE24E3">
        <w:t>represents the (3x3</w:t>
      </w:r>
      <w:r w:rsidR="00653D63" w:rsidRPr="0071671B">
        <w:t xml:space="preserve">) matrix which </w:t>
      </w:r>
      <w:r w:rsidR="008712C4" w:rsidRPr="0071671B">
        <w:t>includes</w:t>
      </w:r>
      <w:r w:rsidR="008712C4">
        <w:t xml:space="preserve"> </w:t>
      </w:r>
      <w:r w:rsidR="006B05A9" w:rsidRPr="0071671B">
        <w:t xml:space="preserve">the contemporaneous relations among the </w:t>
      </w:r>
      <w:r w:rsidR="00EB3FB2">
        <w:t>variables</w:t>
      </w:r>
      <w:r w:rsidR="00653D63" w:rsidRPr="0071671B">
        <w:t xml:space="preserve">,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00863705">
        <w:t xml:space="preserve"> is the (3</w:t>
      </w:r>
      <w:r w:rsidR="00653D63" w:rsidRPr="0071671B">
        <w:t xml:space="preserve">x1) </w:t>
      </w:r>
      <w:r w:rsidR="008712C4">
        <w:t>vector</w:t>
      </w:r>
      <w:r w:rsidR="00D4360A">
        <w:t xml:space="preserve"> of intercept (constant) terms</w:t>
      </w:r>
      <w:r w:rsidR="00653D63" w:rsidRPr="0071671B">
        <w:t xml:space="preserve">,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1F73BF">
        <w:t xml:space="preserve"> is the (3x3</w:t>
      </w:r>
      <w:r w:rsidR="00BA0A6E">
        <w:t>) matrix of coefficient parameters</w:t>
      </w:r>
      <w:r w:rsidR="00653D63" w:rsidRPr="0071671B">
        <w:t xml:space="preserve"> </w:t>
      </w:r>
      <w:r w:rsidR="001F73BF">
        <w:t xml:space="preserve">which need </w:t>
      </w:r>
      <w:r w:rsidR="00653D63" w:rsidRPr="0071671B">
        <w:t xml:space="preserve">to be estimated for </w:t>
      </w:r>
      <w:r w:rsidR="00653D63" w:rsidRPr="00BC4AB4">
        <w:rPr>
          <w:i/>
        </w:rPr>
        <w:t>ί</w:t>
      </w:r>
      <w:r w:rsidR="00653D63" w:rsidRPr="0071671B">
        <w:rPr>
          <w:i/>
        </w:rPr>
        <w:t xml:space="preserve"> = 1,2,3....k</w:t>
      </w:r>
      <w:r w:rsidR="00653D63" w:rsidRPr="0071671B">
        <w:t xml:space="preserve"> , </w:t>
      </w:r>
      <m:oMath>
        <m:sSub>
          <m:sSubPr>
            <m:ctrlPr>
              <w:rPr>
                <w:rFonts w:ascii="Cambria Math" w:hAnsi="Cambria Math"/>
                <w:i/>
              </w:rPr>
            </m:ctrlPr>
          </m:sSubPr>
          <m:e>
            <m:r>
              <w:rPr>
                <w:rFonts w:ascii="Cambria Math" w:hAnsi="Cambria Math"/>
              </w:rPr>
              <m:t>Z</m:t>
            </m:r>
          </m:e>
          <m:sub>
            <m:r>
              <w:rPr>
                <w:rFonts w:ascii="Cambria Math" w:hAnsi="Cambria Math"/>
              </w:rPr>
              <m:t>t-i</m:t>
            </m:r>
          </m:sub>
        </m:sSub>
      </m:oMath>
      <w:r w:rsidR="00653D63" w:rsidRPr="0071671B">
        <w:t xml:space="preserve"> is the vector of lagged endogenous variables and </w:t>
      </w:r>
      <m:oMath>
        <m:sSub>
          <m:sSubPr>
            <m:ctrlPr>
              <w:rPr>
                <w:rFonts w:ascii="Cambria Math" w:hAnsi="Cambria Math"/>
                <w:i/>
              </w:rPr>
            </m:ctrlPr>
          </m:sSubPr>
          <m:e>
            <m:r>
              <w:rPr>
                <w:rFonts w:ascii="Cambria Math" w:hAnsi="Cambria Math"/>
              </w:rPr>
              <m:t>ε</m:t>
            </m:r>
          </m:e>
          <m:sub>
            <m:r>
              <w:rPr>
                <w:rFonts w:ascii="Cambria Math" w:hAnsi="Cambria Math"/>
              </w:rPr>
              <m:t>t</m:t>
            </m:r>
          </m:sub>
        </m:sSub>
      </m:oMath>
      <w:r w:rsidR="001F73BF">
        <w:t xml:space="preserve"> is a (3</w:t>
      </w:r>
      <w:r w:rsidR="00653D63" w:rsidRPr="0071671B">
        <w:t>x1) vecto</w:t>
      </w:r>
      <w:r w:rsidR="00893E59">
        <w:t xml:space="preserve">r of </w:t>
      </w:r>
      <w:r w:rsidR="00893E59" w:rsidRPr="0071671B">
        <w:t>serially and mutually uncorrelated</w:t>
      </w:r>
      <w:r w:rsidR="00893E59">
        <w:t xml:space="preserve"> </w:t>
      </w:r>
      <w:r w:rsidR="00D4360A">
        <w:t>structural shocks (</w:t>
      </w:r>
      <w:r w:rsidR="00653D63" w:rsidRPr="0071671B">
        <w:t>disturbances) which are assume</w:t>
      </w:r>
      <w:r w:rsidR="00893E59">
        <w:t>d to have zero covariance</w:t>
      </w:r>
      <w:r w:rsidR="00653D63" w:rsidRPr="0071671B">
        <w:t xml:space="preserve">. </w:t>
      </w:r>
    </w:p>
    <w:p w14:paraId="1F2D89BF" w14:textId="2DACCD58" w:rsidR="006C7B08" w:rsidRDefault="00A9498F" w:rsidP="00653D63">
      <w:pPr>
        <w:spacing w:line="360" w:lineRule="auto"/>
        <w:jc w:val="both"/>
      </w:pPr>
      <w:r>
        <w:t xml:space="preserve">In addition, the </w:t>
      </w:r>
      <w:r w:rsidRPr="0071671B">
        <w:t>variance covariance matrix of the structural shocks</w:t>
      </w:r>
      <w:r>
        <w:t xml:space="preserve"> can be illustrated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646"/>
      </w:tblGrid>
      <w:tr w:rsidR="00327025" w14:paraId="0A8C209D" w14:textId="77777777" w:rsidTr="001639C1">
        <w:trPr>
          <w:jc w:val="center"/>
        </w:trPr>
        <w:tc>
          <w:tcPr>
            <w:tcW w:w="7650" w:type="dxa"/>
            <w:vAlign w:val="center"/>
          </w:tcPr>
          <w:p w14:paraId="2FF0CF7F" w14:textId="2DEDFE87" w:rsidR="00327025" w:rsidRDefault="00327025" w:rsidP="00C93D95">
            <w:pPr>
              <w:spacing w:line="360" w:lineRule="auto"/>
              <w:jc w:val="center"/>
            </w:pPr>
            <w:r w:rsidRPr="0071671B">
              <w:t>E</w:t>
            </w:r>
            <w:r>
              <w:t xml:space="preserve"> (</w:t>
            </w:r>
            <m:oMath>
              <m:sSub>
                <m:sSubPr>
                  <m:ctrlPr>
                    <w:rPr>
                      <w:rFonts w:ascii="Cambria Math" w:hAnsi="Cambria Math"/>
                      <w:i/>
                    </w:rPr>
                  </m:ctrlPr>
                </m:sSubPr>
                <m:e>
                  <m:r>
                    <w:rPr>
                      <w:rFonts w:ascii="Cambria Math" w:hAnsi="Cambria Math"/>
                    </w:rPr>
                    <m:t>ε</m:t>
                  </m:r>
                </m:e>
                <m:sub>
                  <m:r>
                    <w:rPr>
                      <w:rFonts w:ascii="Cambria Math" w:hAnsi="Cambria Math"/>
                    </w:rPr>
                    <m:t>t</m:t>
                  </m:r>
                </m:sub>
              </m:sSub>
              <m:sSubSup>
                <m:sSubSupPr>
                  <m:ctrlPr>
                    <w:rPr>
                      <w:rFonts w:ascii="Cambria Math" w:hAnsi="Cambria Math"/>
                      <w:i/>
                    </w:rPr>
                  </m:ctrlPr>
                </m:sSubSupPr>
                <m:e>
                  <m:r>
                    <w:rPr>
                      <w:rFonts w:ascii="Cambria Math" w:hAnsi="Cambria Math"/>
                    </w:rPr>
                    <m:t>ε</m:t>
                  </m:r>
                </m:e>
                <m:sub>
                  <m:r>
                    <w:rPr>
                      <w:rFonts w:ascii="Cambria Math" w:hAnsi="Cambria Math"/>
                    </w:rPr>
                    <m:t>t</m:t>
                  </m:r>
                </m:sub>
                <m:sup>
                  <m:r>
                    <w:rPr>
                      <w:rFonts w:ascii="Cambria Math" w:hAnsi="Cambria Math"/>
                    </w:rPr>
                    <m:t>'</m:t>
                  </m:r>
                </m:sup>
              </m:sSubSup>
              <m:r>
                <w:rPr>
                  <w:rFonts w:ascii="Cambria Math" w:hAnsi="Cambria Math"/>
                </w:rPr>
                <m:t>)</m:t>
              </m:r>
            </m:oMath>
            <w:r w:rsidRPr="0071671B">
              <w:t xml:space="preserve"> </w:t>
            </w:r>
            <w:r>
              <w:t xml:space="preserve"> </w:t>
            </w:r>
            <w:r w:rsidRPr="0071671B">
              <w:t xml:space="preserve">= </w:t>
            </w:r>
            <m:oMath>
              <m:r>
                <w:rPr>
                  <w:rFonts w:ascii="Cambria Math" w:hAnsi="Cambria Math"/>
                </w:rPr>
                <m:t xml:space="preserve">D </m:t>
              </m:r>
              <m:r>
                <m:rPr>
                  <m:sty m:val="p"/>
                </m:rPr>
                <w:rPr>
                  <w:rFonts w:ascii="Cambria Math" w:hAnsi="Cambria Math"/>
                </w:rPr>
                <m:t>=</m:t>
              </m:r>
              <m:r>
                <w:rPr>
                  <w:rFonts w:ascii="Cambria Math" w:hAnsi="Cambria Math"/>
                </w:rPr>
                <m:t xml:space="preserve"> </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σ</m:t>
                            </m:r>
                          </m:e>
                          <m:sub>
                            <m:r>
                              <w:rPr>
                                <w:rFonts w:ascii="Cambria Math" w:hAnsi="Cambria Math"/>
                              </w:rPr>
                              <m:t>SS</m:t>
                            </m:r>
                          </m:sub>
                          <m:sup>
                            <m:r>
                              <w:rPr>
                                <w:rFonts w:ascii="Cambria Math" w:hAnsi="Cambria Math"/>
                              </w:rPr>
                              <m:t>2</m:t>
                            </m:r>
                          </m:sup>
                        </m:sSubSup>
                      </m:e>
                      <m:e>
                        <m:r>
                          <w:rPr>
                            <w:rFonts w:ascii="Cambria Math" w:hAnsi="Cambria Math"/>
                          </w:rPr>
                          <m:t>0</m:t>
                        </m:r>
                      </m:e>
                      <m:e>
                        <m:r>
                          <w:rPr>
                            <w:rFonts w:ascii="Cambria Math" w:hAnsi="Cambria Math"/>
                          </w:rPr>
                          <m:t>0</m:t>
                        </m:r>
                      </m:e>
                    </m:mr>
                    <m:mr>
                      <m:e>
                        <m:r>
                          <w:rPr>
                            <w:rFonts w:ascii="Cambria Math" w:hAnsi="Cambria Math"/>
                          </w:rPr>
                          <m:t>0</m:t>
                        </m:r>
                      </m:e>
                      <m:e>
                        <m:sSubSup>
                          <m:sSubSupPr>
                            <m:ctrlPr>
                              <w:rPr>
                                <w:rFonts w:ascii="Cambria Math" w:hAnsi="Cambria Math"/>
                                <w:i/>
                              </w:rPr>
                            </m:ctrlPr>
                          </m:sSubSupPr>
                          <m:e>
                            <m:r>
                              <w:rPr>
                                <w:rFonts w:ascii="Cambria Math" w:hAnsi="Cambria Math"/>
                              </w:rPr>
                              <m:t>σ</m:t>
                            </m:r>
                          </m:e>
                          <m:sub>
                            <m:r>
                              <w:rPr>
                                <w:rFonts w:ascii="Cambria Math" w:hAnsi="Cambria Math"/>
                              </w:rPr>
                              <m:t>AD</m:t>
                            </m:r>
                          </m:sub>
                          <m:sup>
                            <m:r>
                              <w:rPr>
                                <w:rFonts w:ascii="Cambria Math" w:hAnsi="Cambria Math"/>
                              </w:rPr>
                              <m:t>2</m:t>
                            </m:r>
                          </m:sup>
                        </m:sSubSup>
                      </m:e>
                      <m:e>
                        <m:r>
                          <w:rPr>
                            <w:rFonts w:ascii="Cambria Math" w:hAnsi="Cambria Math"/>
                          </w:rPr>
                          <m:t>0</m:t>
                        </m:r>
                      </m:e>
                    </m:mr>
                    <m:mr>
                      <m:e>
                        <m:r>
                          <w:rPr>
                            <w:rFonts w:ascii="Cambria Math" w:hAnsi="Cambria Math"/>
                          </w:rPr>
                          <m:t>0</m:t>
                        </m:r>
                      </m:e>
                      <m:e>
                        <m:r>
                          <w:rPr>
                            <w:rFonts w:ascii="Cambria Math" w:hAnsi="Cambria Math"/>
                          </w:rPr>
                          <m:t>0</m:t>
                        </m:r>
                      </m:e>
                      <m:e>
                        <m:sSubSup>
                          <m:sSubSupPr>
                            <m:ctrlPr>
                              <w:rPr>
                                <w:rFonts w:ascii="Cambria Math" w:hAnsi="Cambria Math"/>
                                <w:i/>
                              </w:rPr>
                            </m:ctrlPr>
                          </m:sSubSupPr>
                          <m:e>
                            <m:r>
                              <w:rPr>
                                <w:rFonts w:ascii="Cambria Math" w:hAnsi="Cambria Math"/>
                              </w:rPr>
                              <m:t>σ</m:t>
                            </m:r>
                          </m:e>
                          <m:sub>
                            <m:r>
                              <w:rPr>
                                <w:rFonts w:ascii="Cambria Math" w:hAnsi="Cambria Math"/>
                              </w:rPr>
                              <m:t>PD</m:t>
                            </m:r>
                          </m:sub>
                          <m:sup>
                            <m:r>
                              <w:rPr>
                                <w:rFonts w:ascii="Cambria Math" w:hAnsi="Cambria Math"/>
                              </w:rPr>
                              <m:t>2</m:t>
                            </m:r>
                          </m:sup>
                        </m:sSubSup>
                      </m:e>
                    </m:mr>
                  </m:m>
                </m:e>
              </m:d>
            </m:oMath>
            <w:r w:rsidR="003F4EB2">
              <w:t>.</w:t>
            </w:r>
          </w:p>
        </w:tc>
        <w:tc>
          <w:tcPr>
            <w:tcW w:w="646" w:type="dxa"/>
            <w:vAlign w:val="center"/>
          </w:tcPr>
          <w:p w14:paraId="4454F6C8" w14:textId="75DFB752" w:rsidR="00327025" w:rsidRDefault="00327025" w:rsidP="002E665D">
            <w:pPr>
              <w:jc w:val="center"/>
            </w:pPr>
            <w:r>
              <w:t>(2)</w:t>
            </w:r>
          </w:p>
        </w:tc>
      </w:tr>
    </w:tbl>
    <w:p w14:paraId="6D19B5BF" w14:textId="4FD2D11E" w:rsidR="006F679B" w:rsidRDefault="005C3E96" w:rsidP="00500183">
      <w:pPr>
        <w:spacing w:line="360" w:lineRule="auto"/>
        <w:jc w:val="both"/>
      </w:pPr>
      <w:r>
        <w:t xml:space="preserve">We emphasise that </w:t>
      </w:r>
      <w:r w:rsidRPr="0071671B">
        <w:t>the variance covariance matrix of the stru</w:t>
      </w:r>
      <w:r>
        <w:t xml:space="preserve">ctural shocks is </w:t>
      </w:r>
      <w:r w:rsidRPr="0071671B">
        <w:t>diagonal</w:t>
      </w:r>
      <w:r>
        <w:t xml:space="preserve">, given that </w:t>
      </w:r>
      <w:r w:rsidR="006C7B08" w:rsidRPr="0071671B">
        <w:t>the structural shocks are assumed to be orthogonal and therefore mutually uncorrel</w:t>
      </w:r>
      <w:r>
        <w:t>ated.</w:t>
      </w:r>
      <w:r w:rsidR="00BB129B">
        <w:t xml:space="preserve"> </w:t>
      </w:r>
      <w:r w:rsidR="008D7015">
        <w:t>In Equation 2,</w:t>
      </w:r>
      <w:r w:rsidR="00490270">
        <w:t xml:space="preserve"> </w:t>
      </w:r>
      <w:r w:rsidR="00490270" w:rsidRPr="0071671B">
        <w:rPr>
          <w:i/>
        </w:rPr>
        <w:t>E</w:t>
      </w:r>
      <w:r w:rsidR="00490270" w:rsidRPr="0071671B">
        <w:t xml:space="preserve"> is the uncon</w:t>
      </w:r>
      <w:r w:rsidR="00490270">
        <w:t xml:space="preserve">ditional expectations operation, </w:t>
      </w:r>
      <w:r w:rsidR="00490270" w:rsidRPr="00BC4AB4">
        <w:rPr>
          <w:i/>
        </w:rPr>
        <w:t>σ</w:t>
      </w:r>
      <w:r w:rsidR="00490270" w:rsidRPr="0071671B">
        <w:rPr>
          <w:i/>
          <w:vertAlign w:val="superscript"/>
        </w:rPr>
        <w:t>2</w:t>
      </w:r>
      <w:r w:rsidR="00490270" w:rsidRPr="0071671B">
        <w:t xml:space="preserve"> </w:t>
      </w:r>
      <w:r w:rsidR="008D7015">
        <w:t>is</w:t>
      </w:r>
      <w:r w:rsidR="008D7015" w:rsidRPr="0071671B">
        <w:t xml:space="preserve"> </w:t>
      </w:r>
      <w:r w:rsidR="00490270" w:rsidRPr="0071671B">
        <w:t>the variance</w:t>
      </w:r>
      <w:r w:rsidR="008D7015">
        <w:t xml:space="preserve"> of a random disturbance term</w:t>
      </w:r>
      <w:r w:rsidR="00FC1164">
        <w:t xml:space="preserve"> and</w:t>
      </w:r>
      <w:r w:rsidR="00490270" w:rsidRPr="0071671B">
        <w:t xml:space="preserve"> </w:t>
      </w:r>
      <w:r w:rsidR="00490270" w:rsidRPr="0071671B">
        <w:rPr>
          <w:i/>
        </w:rPr>
        <w:t xml:space="preserve">D </w:t>
      </w:r>
      <w:r w:rsidR="00490270">
        <w:t>is a diagonal matrix</w:t>
      </w:r>
      <w:r w:rsidR="00BB129B" w:rsidRPr="0071671B">
        <w:t>.</w:t>
      </w:r>
    </w:p>
    <w:p w14:paraId="0E5E4877" w14:textId="7308A0E1" w:rsidR="00653D63" w:rsidRDefault="004C0814" w:rsidP="00653D63">
      <w:pPr>
        <w:spacing w:line="360" w:lineRule="auto"/>
        <w:jc w:val="both"/>
      </w:pPr>
      <w:r>
        <w:t>To estimate the SVAR model</w:t>
      </w:r>
      <w:r w:rsidR="008749C5">
        <w:t xml:space="preserve">, a </w:t>
      </w:r>
      <w:r w:rsidR="008749C5" w:rsidRPr="0071671B">
        <w:t>reduced form represent</w:t>
      </w:r>
      <w:r w:rsidR="008749C5">
        <w:t xml:space="preserve">ation is </w:t>
      </w:r>
      <w:r w:rsidR="00500183">
        <w:t xml:space="preserve">required to be </w:t>
      </w:r>
      <w:r w:rsidR="008749C5">
        <w:t>implemented</w:t>
      </w:r>
      <w:r w:rsidR="00524602">
        <w:t xml:space="preserve">. </w:t>
      </w:r>
      <w:r w:rsidR="00357997">
        <w:t>Therefore, a</w:t>
      </w:r>
      <w:r w:rsidR="00653D63" w:rsidRPr="0071671B">
        <w:t xml:space="preserve"> reduced form represent</w:t>
      </w:r>
      <w:r w:rsidR="002A0513">
        <w:t>ation of the SVAR model</w:t>
      </w:r>
      <w:r w:rsidR="00653D63" w:rsidRPr="0071671B">
        <w:t xml:space="preserve"> is </w:t>
      </w:r>
      <w:r w:rsidR="00BA1053" w:rsidRPr="0071671B">
        <w:t>indicated</w:t>
      </w:r>
      <w:r w:rsidR="00653D63" w:rsidRPr="0071671B">
        <w:t xml:space="preserve">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646"/>
      </w:tblGrid>
      <w:tr w:rsidR="00327025" w14:paraId="4AE89350" w14:textId="77777777" w:rsidTr="002E665D">
        <w:tc>
          <w:tcPr>
            <w:tcW w:w="7650" w:type="dxa"/>
            <w:vAlign w:val="center"/>
          </w:tcPr>
          <w:p w14:paraId="7B559D91" w14:textId="220CA54F" w:rsidR="00327025" w:rsidRDefault="00FA2618" w:rsidP="00327025">
            <w:pPr>
              <w:jc w:val="center"/>
            </w:pPr>
            <m:oMath>
              <m:sSub>
                <m:sSubPr>
                  <m:ctrlPr>
                    <w:rPr>
                      <w:rFonts w:ascii="Cambria Math" w:hAnsi="Cambria Math"/>
                      <w:i/>
                    </w:rPr>
                  </m:ctrlPr>
                </m:sSubPr>
                <m:e>
                  <m:r>
                    <w:rPr>
                      <w:rFonts w:ascii="Cambria Math" w:hAnsi="Cambria Math"/>
                    </w:rPr>
                    <m:t>Z</m:t>
                  </m:r>
                </m:e>
                <m:sub>
                  <m:r>
                    <w:rPr>
                      <w:rFonts w:ascii="Cambria Math" w:hAnsi="Cambria Math"/>
                    </w:rPr>
                    <m:t xml:space="preserve">t </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 xml:space="preserve">0 </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b>
                    <m:sSubPr>
                      <m:ctrlPr>
                        <w:rPr>
                          <w:rFonts w:ascii="Cambria Math" w:hAnsi="Cambria Math"/>
                          <w:i/>
                        </w:rPr>
                      </m:ctrlPr>
                    </m:sSubPr>
                    <m:e>
                      <m:r>
                        <w:rPr>
                          <w:rFonts w:ascii="Cambria Math" w:hAnsi="Cambria Math"/>
                        </w:rPr>
                        <m:t>B</m:t>
                      </m:r>
                    </m:e>
                    <m:sub>
                      <m:r>
                        <w:rPr>
                          <w:rFonts w:ascii="Cambria Math" w:hAnsi="Cambria Math"/>
                        </w:rPr>
                        <m:t>i</m:t>
                      </m:r>
                    </m:sub>
                  </m:sSub>
                </m:e>
              </m:nary>
              <m:sSub>
                <m:sSubPr>
                  <m:ctrlPr>
                    <w:rPr>
                      <w:rFonts w:ascii="Cambria Math" w:hAnsi="Cambria Math"/>
                      <w:i/>
                    </w:rPr>
                  </m:ctrlPr>
                </m:sSubPr>
                <m:e>
                  <m:r>
                    <w:rPr>
                      <w:rFonts w:ascii="Cambria Math" w:hAnsi="Cambria Math"/>
                    </w:rPr>
                    <m:t>Z</m:t>
                  </m:r>
                </m:e>
                <m:sub>
                  <m:r>
                    <w:rPr>
                      <w:rFonts w:ascii="Cambria Math" w:hAnsi="Cambria Math"/>
                    </w:rPr>
                    <m:t xml:space="preserve">t-i </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t</m:t>
                  </m:r>
                </m:sub>
              </m:sSub>
            </m:oMath>
            <w:r w:rsidR="00BD13EF">
              <w:t>.</w:t>
            </w:r>
          </w:p>
        </w:tc>
        <w:tc>
          <w:tcPr>
            <w:tcW w:w="646" w:type="dxa"/>
            <w:vAlign w:val="center"/>
          </w:tcPr>
          <w:p w14:paraId="1E8AB904" w14:textId="01DC49DB" w:rsidR="00327025" w:rsidRDefault="00327025" w:rsidP="002E665D">
            <w:pPr>
              <w:jc w:val="center"/>
            </w:pPr>
            <w:r>
              <w:t>(3)</w:t>
            </w:r>
          </w:p>
        </w:tc>
      </w:tr>
    </w:tbl>
    <w:p w14:paraId="4A1339BF" w14:textId="77777777" w:rsidR="00327025" w:rsidRDefault="00327025" w:rsidP="00653D63">
      <w:pPr>
        <w:spacing w:line="360" w:lineRule="auto"/>
        <w:jc w:val="both"/>
      </w:pPr>
    </w:p>
    <w:p w14:paraId="1A588D83" w14:textId="74B5BC1F" w:rsidR="00802AC1" w:rsidRDefault="00524602" w:rsidP="00653D63">
      <w:pPr>
        <w:spacing w:line="360" w:lineRule="auto"/>
        <w:jc w:val="both"/>
      </w:pPr>
      <w:r>
        <w:t xml:space="preserve">This process implies that we </w:t>
      </w:r>
      <w:r w:rsidRPr="0071671B">
        <w:t>multi</w:t>
      </w:r>
      <w:r>
        <w:t>ply all parts of the equation (1</w:t>
      </w:r>
      <w:r w:rsidRPr="0071671B">
        <w:t xml:space="preserve">) by </w:t>
      </w:r>
      <m:oMath>
        <m:sSubSup>
          <m:sSubSupPr>
            <m:ctrlPr>
              <w:rPr>
                <w:rFonts w:ascii="Cambria Math" w:hAnsi="Cambria Math"/>
                <w:i/>
              </w:rPr>
            </m:ctrlPr>
          </m:sSubSupPr>
          <m:e>
            <m:r>
              <w:rPr>
                <w:rFonts w:ascii="Cambria Math" w:hAnsi="Cambria Math"/>
              </w:rPr>
              <m:t>A</m:t>
            </m:r>
          </m:e>
          <m:sub>
            <m:r>
              <w:rPr>
                <w:rFonts w:ascii="Cambria Math" w:hAnsi="Cambria Math"/>
              </w:rPr>
              <m:t>0</m:t>
            </m:r>
          </m:sub>
          <m:sup>
            <m:r>
              <w:rPr>
                <w:rFonts w:ascii="Cambria Math" w:hAnsi="Cambria Math"/>
              </w:rPr>
              <m:t>-1</m:t>
            </m:r>
          </m:sup>
        </m:sSubSup>
      </m:oMath>
      <w:r w:rsidRPr="0071671B">
        <w:t xml:space="preserve">. This process implies that </w:t>
      </w:r>
      <m:oMath>
        <m:sSub>
          <m:sSubPr>
            <m:ctrlPr>
              <w:rPr>
                <w:rFonts w:ascii="Cambria Math" w:hAnsi="Cambria Math"/>
                <w:i/>
              </w:rPr>
            </m:ctrlPr>
          </m:sSubPr>
          <m:e>
            <m:r>
              <w:rPr>
                <w:rFonts w:ascii="Cambria Math" w:hAnsi="Cambria Math"/>
              </w:rPr>
              <m:t>β</m:t>
            </m:r>
          </m:e>
          <m:sub>
            <m:r>
              <w:rPr>
                <w:rFonts w:ascii="Cambria Math" w:hAnsi="Cambria Math"/>
              </w:rPr>
              <m:t xml:space="preserve">0 </m:t>
            </m:r>
          </m:sub>
        </m:sSub>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0</m:t>
            </m:r>
          </m:sub>
          <m:sup>
            <m:r>
              <w:rPr>
                <w:rFonts w:ascii="Cambria Math" w:hAnsi="Cambria Math"/>
              </w:rPr>
              <m:t>-1</m:t>
            </m:r>
          </m:sup>
        </m:sSubSup>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 xml:space="preserve"> </m:t>
        </m:r>
      </m:oMath>
      <w:r w:rsidRPr="0071671B">
        <w:t xml:space="preserve">, </w:t>
      </w:r>
      <m:oMath>
        <m:sSub>
          <m:sSubPr>
            <m:ctrlPr>
              <w:rPr>
                <w:rFonts w:ascii="Cambria Math" w:hAnsi="Cambria Math"/>
                <w:i/>
              </w:rPr>
            </m:ctrlPr>
          </m:sSubPr>
          <m:e>
            <m:r>
              <w:rPr>
                <w:rFonts w:ascii="Cambria Math" w:hAnsi="Cambria Math"/>
              </w:rPr>
              <m:t>B</m:t>
            </m:r>
          </m:e>
          <m:sub>
            <m:r>
              <w:rPr>
                <w:rFonts w:ascii="Cambria Math" w:hAnsi="Cambria Math"/>
              </w:rPr>
              <m:t xml:space="preserve">i </m:t>
            </m:r>
          </m:sub>
        </m:sSub>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0</m:t>
            </m:r>
          </m:sub>
          <m:sup>
            <m:r>
              <w:rPr>
                <w:rFonts w:ascii="Cambria Math" w:hAnsi="Cambria Math"/>
              </w:rPr>
              <m:t>-1</m:t>
            </m:r>
          </m:sup>
        </m:sSubSup>
        <m:sSub>
          <m:sSubPr>
            <m:ctrlPr>
              <w:rPr>
                <w:rFonts w:ascii="Cambria Math" w:hAnsi="Cambria Math"/>
                <w:i/>
              </w:rPr>
            </m:ctrlPr>
          </m:sSubPr>
          <m:e>
            <m:r>
              <w:rPr>
                <w:rFonts w:ascii="Cambria Math" w:hAnsi="Cambria Math"/>
              </w:rPr>
              <m:t>A</m:t>
            </m:r>
          </m:e>
          <m:sub>
            <m:r>
              <w:rPr>
                <w:rFonts w:ascii="Cambria Math" w:hAnsi="Cambria Math"/>
              </w:rPr>
              <m:t>i</m:t>
            </m:r>
          </m:sub>
        </m:sSub>
      </m:oMath>
      <w:r w:rsidRPr="0071671B">
        <w:t xml:space="preserve"> , and </w:t>
      </w:r>
      <m:oMath>
        <m:sSub>
          <m:sSubPr>
            <m:ctrlPr>
              <w:rPr>
                <w:rFonts w:ascii="Cambria Math" w:hAnsi="Cambria Math"/>
                <w:i/>
              </w:rPr>
            </m:ctrlPr>
          </m:sSubPr>
          <m:e>
            <m:r>
              <w:rPr>
                <w:rFonts w:ascii="Cambria Math" w:hAnsi="Cambria Math"/>
              </w:rPr>
              <m:t>e</m:t>
            </m:r>
          </m:e>
          <m:sub>
            <m:r>
              <w:rPr>
                <w:rFonts w:ascii="Cambria Math" w:hAnsi="Cambria Math"/>
              </w:rPr>
              <m:t>t</m:t>
            </m:r>
          </m:sub>
        </m:sSub>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0</m:t>
            </m:r>
          </m:sub>
          <m:sup>
            <m:r>
              <w:rPr>
                <w:rFonts w:ascii="Cambria Math" w:hAnsi="Cambria Math"/>
              </w:rPr>
              <m:t>-1</m:t>
            </m:r>
          </m:sup>
        </m:sSubSup>
        <m:sSub>
          <m:sSubPr>
            <m:ctrlPr>
              <w:rPr>
                <w:rFonts w:ascii="Cambria Math" w:hAnsi="Cambria Math"/>
                <w:i/>
              </w:rPr>
            </m:ctrlPr>
          </m:sSubPr>
          <m:e>
            <m:r>
              <w:rPr>
                <w:rFonts w:ascii="Cambria Math" w:hAnsi="Cambria Math"/>
              </w:rPr>
              <m:t>ε</m:t>
            </m:r>
          </m:e>
          <m:sub>
            <m:r>
              <w:rPr>
                <w:rFonts w:ascii="Cambria Math" w:hAnsi="Cambria Math"/>
              </w:rPr>
              <m:t>t</m:t>
            </m:r>
          </m:sub>
        </m:sSub>
      </m:oMath>
      <w:r>
        <w:t xml:space="preserve">. We notice that </w:t>
      </w:r>
      <w:r w:rsidR="00F56F74" w:rsidRPr="0071671B">
        <w:t>the reduced form errors</w:t>
      </w:r>
      <w:r w:rsidR="00F56F74">
        <w:t xml:space="preserve"> (</w:t>
      </w:r>
      <w:r w:rsidR="00EB3FB2">
        <w:t>disturbance terms</w:t>
      </w:r>
      <w:r w:rsidR="00F56F74">
        <w:t xml:space="preserve">) </w:t>
      </w:r>
      <m:oMath>
        <m:sSub>
          <m:sSubPr>
            <m:ctrlPr>
              <w:rPr>
                <w:rFonts w:ascii="Cambria Math" w:hAnsi="Cambria Math"/>
                <w:i/>
              </w:rPr>
            </m:ctrlPr>
          </m:sSubPr>
          <m:e>
            <m:r>
              <w:rPr>
                <w:rFonts w:ascii="Cambria Math" w:hAnsi="Cambria Math"/>
              </w:rPr>
              <m:t>e</m:t>
            </m:r>
          </m:e>
          <m:sub>
            <m:r>
              <w:rPr>
                <w:rFonts w:ascii="Cambria Math" w:hAnsi="Cambria Math"/>
              </w:rPr>
              <m:t>t</m:t>
            </m:r>
          </m:sub>
        </m:sSub>
      </m:oMath>
      <w:r w:rsidR="00F56F74">
        <w:t xml:space="preserve"> </w:t>
      </w:r>
      <w:r w:rsidR="00F56F74" w:rsidRPr="0071671B">
        <w:t>are linear combi</w:t>
      </w:r>
      <w:r w:rsidR="00F56F74">
        <w:t>nation</w:t>
      </w:r>
      <w:r w:rsidR="008D7015">
        <w:t>s</w:t>
      </w:r>
      <w:r w:rsidR="00F56F74">
        <w:t xml:space="preserve"> of the structural shocks</w:t>
      </w:r>
      <w:r w:rsidR="00F56F74" w:rsidRPr="0071671B">
        <w:t xml:space="preserve"> </w:t>
      </w:r>
      <m:oMath>
        <m:sSub>
          <m:sSubPr>
            <m:ctrlPr>
              <w:rPr>
                <w:rFonts w:ascii="Cambria Math" w:hAnsi="Cambria Math"/>
                <w:i/>
              </w:rPr>
            </m:ctrlPr>
          </m:sSubPr>
          <m:e>
            <m:r>
              <w:rPr>
                <w:rFonts w:ascii="Cambria Math" w:hAnsi="Cambria Math"/>
              </w:rPr>
              <m:t>ε</m:t>
            </m:r>
          </m:e>
          <m:sub>
            <m:r>
              <w:rPr>
                <w:rFonts w:ascii="Cambria Math" w:hAnsi="Cambria Math"/>
              </w:rPr>
              <m:t xml:space="preserve">t </m:t>
            </m:r>
          </m:sub>
        </m:sSub>
      </m:oMath>
      <w:r w:rsidR="00F56F74">
        <w:t>.</w:t>
      </w:r>
      <w:r w:rsidR="006C7B08">
        <w:t xml:space="preserve"> </w:t>
      </w:r>
      <w:r w:rsidR="00F262E2">
        <w:lastRenderedPageBreak/>
        <w:t xml:space="preserve">In line with the previous analysis, </w:t>
      </w:r>
      <w:r w:rsidR="00653D63" w:rsidRPr="0071671B">
        <w:t>the variance covariance matrix of the reduced fo</w:t>
      </w:r>
      <w:r w:rsidR="00F262E2">
        <w:t xml:space="preserve">rm errors </w:t>
      </w:r>
      <w:r w:rsidR="00802AC1">
        <w:t>can be represented as</w:t>
      </w:r>
      <w:r w:rsidR="00653D63" w:rsidRPr="0071671B">
        <w:t>:</w:t>
      </w:r>
    </w:p>
    <w:p w14:paraId="7AFEEA31" w14:textId="77777777" w:rsidR="00B57D75" w:rsidRDefault="00B57D75" w:rsidP="00653D63">
      <w:pPr>
        <w:spacing w:line="36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646"/>
      </w:tblGrid>
      <w:tr w:rsidR="00327025" w14:paraId="147E4A1E" w14:textId="77777777" w:rsidTr="002E665D">
        <w:tc>
          <w:tcPr>
            <w:tcW w:w="7650" w:type="dxa"/>
            <w:vAlign w:val="center"/>
          </w:tcPr>
          <w:p w14:paraId="696DD1F2" w14:textId="2C6AAFC9" w:rsidR="00327025" w:rsidRDefault="00327025" w:rsidP="00DF7FF5">
            <w:pPr>
              <w:spacing w:line="360" w:lineRule="auto"/>
              <w:jc w:val="center"/>
            </w:pPr>
            <m:oMath>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t</m:t>
                      </m:r>
                    </m:sub>
                  </m:sSub>
                  <m:sSubSup>
                    <m:sSubSupPr>
                      <m:ctrlPr>
                        <w:rPr>
                          <w:rFonts w:ascii="Cambria Math" w:hAnsi="Cambria Math"/>
                          <w:i/>
                        </w:rPr>
                      </m:ctrlPr>
                    </m:sSubSupPr>
                    <m:e>
                      <m:r>
                        <w:rPr>
                          <w:rFonts w:ascii="Cambria Math" w:hAnsi="Cambria Math"/>
                        </w:rPr>
                        <m:t>e</m:t>
                      </m:r>
                    </m:e>
                    <m:sub>
                      <m:r>
                        <w:rPr>
                          <w:rFonts w:ascii="Cambria Math" w:hAnsi="Cambria Math"/>
                        </w:rPr>
                        <m:t>t</m:t>
                      </m:r>
                    </m:sub>
                    <m:sup>
                      <m:r>
                        <w:rPr>
                          <w:rFonts w:ascii="Cambria Math" w:hAnsi="Cambria Math"/>
                        </w:rPr>
                        <m:t>'</m:t>
                      </m:r>
                    </m:sup>
                  </m:sSubSup>
                </m:e>
              </m:d>
              <m:r>
                <w:rPr>
                  <w:rFonts w:ascii="Cambria Math" w:hAnsi="Cambria Math"/>
                </w:rPr>
                <m:t>=E</m:t>
              </m:r>
              <m:d>
                <m:dPr>
                  <m:begChr m:val="["/>
                  <m:endChr m:val="]"/>
                  <m:ctrlPr>
                    <w:rPr>
                      <w:rFonts w:ascii="Cambria Math" w:hAnsi="Cambria Math"/>
                      <w:i/>
                    </w:rPr>
                  </m:ctrlPr>
                </m:dPr>
                <m:e>
                  <m:d>
                    <m:dPr>
                      <m:ctrlPr>
                        <w:rPr>
                          <w:rFonts w:ascii="Cambria Math" w:hAnsi="Cambria Math"/>
                          <w:i/>
                        </w:rPr>
                      </m:ctrlPr>
                    </m:dPr>
                    <m:e>
                      <m:sSubSup>
                        <m:sSubSupPr>
                          <m:ctrlPr>
                            <w:rPr>
                              <w:rFonts w:ascii="Cambria Math" w:hAnsi="Cambria Math"/>
                              <w:i/>
                            </w:rPr>
                          </m:ctrlPr>
                        </m:sSubSupPr>
                        <m:e>
                          <m:r>
                            <w:rPr>
                              <w:rFonts w:ascii="Cambria Math" w:hAnsi="Cambria Math"/>
                            </w:rPr>
                            <m:t>A</m:t>
                          </m:r>
                        </m:e>
                        <m:sub>
                          <m:r>
                            <w:rPr>
                              <w:rFonts w:ascii="Cambria Math" w:hAnsi="Cambria Math"/>
                            </w:rPr>
                            <m:t>0</m:t>
                          </m:r>
                        </m:sub>
                        <m:sup>
                          <m:r>
                            <w:rPr>
                              <w:rFonts w:ascii="Cambria Math" w:hAnsi="Cambria Math"/>
                            </w:rPr>
                            <m:t>-1</m:t>
                          </m:r>
                        </m:sup>
                      </m:sSubSup>
                      <m:sSub>
                        <m:sSubPr>
                          <m:ctrlPr>
                            <w:rPr>
                              <w:rFonts w:ascii="Cambria Math" w:hAnsi="Cambria Math"/>
                              <w:i/>
                            </w:rPr>
                          </m:ctrlPr>
                        </m:sSubPr>
                        <m:e>
                          <m:r>
                            <w:rPr>
                              <w:rFonts w:ascii="Cambria Math" w:hAnsi="Cambria Math"/>
                            </w:rPr>
                            <m:t>ε</m:t>
                          </m:r>
                        </m:e>
                        <m:sub>
                          <m:r>
                            <w:rPr>
                              <w:rFonts w:ascii="Cambria Math" w:hAnsi="Cambria Math"/>
                            </w:rPr>
                            <m:t>t</m:t>
                          </m:r>
                        </m:sub>
                      </m:sSub>
                    </m:e>
                  </m:d>
                  <m:d>
                    <m:dPr>
                      <m:ctrlPr>
                        <w:rPr>
                          <w:rFonts w:ascii="Cambria Math" w:hAnsi="Cambria Math"/>
                          <w:i/>
                        </w:rPr>
                      </m:ctrlPr>
                    </m:dPr>
                    <m:e>
                      <m:sSubSup>
                        <m:sSubSupPr>
                          <m:ctrlPr>
                            <w:rPr>
                              <w:rFonts w:ascii="Cambria Math" w:hAnsi="Cambria Math"/>
                              <w:i/>
                            </w:rPr>
                          </m:ctrlPr>
                        </m:sSubSupPr>
                        <m:e>
                          <m:r>
                            <w:rPr>
                              <w:rFonts w:ascii="Cambria Math" w:hAnsi="Cambria Math"/>
                            </w:rPr>
                            <m:t>A</m:t>
                          </m:r>
                        </m:e>
                        <m:sub>
                          <m:r>
                            <w:rPr>
                              <w:rFonts w:ascii="Cambria Math" w:hAnsi="Cambria Math"/>
                            </w:rPr>
                            <m:t>0</m:t>
                          </m:r>
                        </m:sub>
                        <m:sup>
                          <m:r>
                            <w:rPr>
                              <w:rFonts w:ascii="Cambria Math" w:hAnsi="Cambria Math"/>
                            </w:rPr>
                            <m:t>-1</m:t>
                          </m:r>
                        </m:sup>
                      </m:sSubSup>
                      <m:sSub>
                        <m:sSubPr>
                          <m:ctrlPr>
                            <w:rPr>
                              <w:rFonts w:ascii="Cambria Math" w:hAnsi="Cambria Math"/>
                              <w:i/>
                            </w:rPr>
                          </m:ctrlPr>
                        </m:sSubPr>
                        <m:e>
                          <m:r>
                            <w:rPr>
                              <w:rFonts w:ascii="Cambria Math" w:hAnsi="Cambria Math"/>
                            </w:rPr>
                            <m:t>ε</m:t>
                          </m:r>
                        </m:e>
                        <m:sub>
                          <m:r>
                            <w:rPr>
                              <w:rFonts w:ascii="Cambria Math" w:hAnsi="Cambria Math"/>
                            </w:rPr>
                            <m:t>t</m:t>
                          </m:r>
                        </m:sub>
                      </m:sSub>
                    </m:e>
                  </m:d>
                  <m:r>
                    <w:rPr>
                      <w:rFonts w:ascii="Cambria Math" w:hAnsi="Cambria Math"/>
                    </w:rPr>
                    <m:t>'</m:t>
                  </m:r>
                </m:e>
              </m:d>
              <m:r>
                <w:rPr>
                  <w:rFonts w:ascii="Cambria Math" w:hAnsi="Cambria Math"/>
                </w:rPr>
                <m:t>=E</m:t>
              </m:r>
              <m:d>
                <m:dPr>
                  <m:ctrlPr>
                    <w:rPr>
                      <w:rFonts w:ascii="Cambria Math" w:hAnsi="Cambria Math"/>
                      <w:i/>
                    </w:rPr>
                  </m:ctrlPr>
                </m:dPr>
                <m:e>
                  <m:sSubSup>
                    <m:sSubSupPr>
                      <m:ctrlPr>
                        <w:rPr>
                          <w:rFonts w:ascii="Cambria Math" w:hAnsi="Cambria Math"/>
                          <w:i/>
                        </w:rPr>
                      </m:ctrlPr>
                    </m:sSubSupPr>
                    <m:e>
                      <m:r>
                        <w:rPr>
                          <w:rFonts w:ascii="Cambria Math" w:hAnsi="Cambria Math"/>
                        </w:rPr>
                        <m:t>A</m:t>
                      </m:r>
                    </m:e>
                    <m:sub>
                      <m:r>
                        <w:rPr>
                          <w:rFonts w:ascii="Cambria Math" w:hAnsi="Cambria Math"/>
                        </w:rPr>
                        <m:t>0</m:t>
                      </m:r>
                    </m:sub>
                    <m:sup>
                      <m:r>
                        <w:rPr>
                          <w:rFonts w:ascii="Cambria Math" w:hAnsi="Cambria Math"/>
                        </w:rPr>
                        <m:t>-1</m:t>
                      </m:r>
                    </m:sup>
                  </m:sSubSup>
                  <m:sSubSup>
                    <m:sSubSupPr>
                      <m:ctrlPr>
                        <w:rPr>
                          <w:rFonts w:ascii="Cambria Math" w:hAnsi="Cambria Math"/>
                          <w:i/>
                        </w:rPr>
                      </m:ctrlPr>
                    </m:sSubSupPr>
                    <m:e>
                      <m:sSub>
                        <m:sSubPr>
                          <m:ctrlPr>
                            <w:rPr>
                              <w:rFonts w:ascii="Cambria Math" w:hAnsi="Cambria Math"/>
                              <w:i/>
                            </w:rPr>
                          </m:ctrlPr>
                        </m:sSubPr>
                        <m:e>
                          <m:r>
                            <w:rPr>
                              <w:rFonts w:ascii="Cambria Math" w:hAnsi="Cambria Math"/>
                            </w:rPr>
                            <m:t>ε</m:t>
                          </m:r>
                        </m:e>
                        <m:sub>
                          <m:r>
                            <w:rPr>
                              <w:rFonts w:ascii="Cambria Math" w:hAnsi="Cambria Math"/>
                            </w:rPr>
                            <m:t>t</m:t>
                          </m:r>
                        </m:sub>
                      </m:sSub>
                      <m:r>
                        <w:rPr>
                          <w:rFonts w:ascii="Cambria Math" w:hAnsi="Cambria Math"/>
                        </w:rPr>
                        <m:t>ε</m:t>
                      </m:r>
                    </m:e>
                    <m:sub>
                      <m:r>
                        <w:rPr>
                          <w:rFonts w:ascii="Cambria Math" w:hAnsi="Cambria Math"/>
                        </w:rPr>
                        <m:t>t</m:t>
                      </m:r>
                    </m:sub>
                    <m:sup>
                      <m:r>
                        <w:rPr>
                          <w:rFonts w:ascii="Cambria Math" w:hAnsi="Cambria Math"/>
                        </w:rPr>
                        <m:t>'</m:t>
                      </m:r>
                    </m:sup>
                  </m:sSubSup>
                  <m:sSubSup>
                    <m:sSubSupPr>
                      <m:ctrlPr>
                        <w:rPr>
                          <w:rFonts w:ascii="Cambria Math" w:hAnsi="Cambria Math"/>
                          <w:i/>
                        </w:rPr>
                      </m:ctrlPr>
                    </m:sSubSupPr>
                    <m:e>
                      <m:r>
                        <w:rPr>
                          <w:rFonts w:ascii="Cambria Math" w:hAnsi="Cambria Math"/>
                        </w:rPr>
                        <m:t>A</m:t>
                      </m:r>
                    </m:e>
                    <m:sub>
                      <m:r>
                        <w:rPr>
                          <w:rFonts w:ascii="Cambria Math" w:hAnsi="Cambria Math"/>
                        </w:rPr>
                        <m:t>0</m:t>
                      </m:r>
                    </m:sub>
                    <m:sup>
                      <m:r>
                        <w:rPr>
                          <w:rFonts w:ascii="Cambria Math" w:hAnsi="Cambria Math"/>
                        </w:rPr>
                        <m:t>-1'</m:t>
                      </m:r>
                    </m:sup>
                  </m:sSubSup>
                </m:e>
              </m:d>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0</m:t>
                  </m:r>
                </m:sub>
                <m:sup>
                  <m:r>
                    <w:rPr>
                      <w:rFonts w:ascii="Cambria Math" w:hAnsi="Cambria Math"/>
                    </w:rPr>
                    <m:t>-1</m:t>
                  </m:r>
                </m:sup>
              </m:sSubSup>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rPr>
                        <m:t>t</m:t>
                      </m:r>
                    </m:sub>
                  </m:sSub>
                  <m:sSubSup>
                    <m:sSubSupPr>
                      <m:ctrlPr>
                        <w:rPr>
                          <w:rFonts w:ascii="Cambria Math" w:hAnsi="Cambria Math"/>
                          <w:i/>
                        </w:rPr>
                      </m:ctrlPr>
                    </m:sSubSupPr>
                    <m:e>
                      <m:r>
                        <w:rPr>
                          <w:rFonts w:ascii="Cambria Math" w:hAnsi="Cambria Math"/>
                        </w:rPr>
                        <m:t>ε</m:t>
                      </m:r>
                    </m:e>
                    <m:sub>
                      <m:r>
                        <w:rPr>
                          <w:rFonts w:ascii="Cambria Math" w:hAnsi="Cambria Math"/>
                        </w:rPr>
                        <m:t>t</m:t>
                      </m:r>
                    </m:sub>
                    <m:sup>
                      <m:r>
                        <w:rPr>
                          <w:rFonts w:ascii="Cambria Math" w:hAnsi="Cambria Math"/>
                        </w:rPr>
                        <m:t>'</m:t>
                      </m:r>
                    </m:sup>
                  </m:sSubSup>
                </m:e>
              </m:d>
              <m:sSubSup>
                <m:sSubSupPr>
                  <m:ctrlPr>
                    <w:rPr>
                      <w:rFonts w:ascii="Cambria Math" w:hAnsi="Cambria Math"/>
                      <w:i/>
                    </w:rPr>
                  </m:ctrlPr>
                </m:sSubSupPr>
                <m:e>
                  <m:r>
                    <w:rPr>
                      <w:rFonts w:ascii="Cambria Math" w:hAnsi="Cambria Math"/>
                    </w:rPr>
                    <m:t>A</m:t>
                  </m:r>
                </m:e>
                <m:sub>
                  <m:r>
                    <w:rPr>
                      <w:rFonts w:ascii="Cambria Math" w:hAnsi="Cambria Math"/>
                    </w:rPr>
                    <m:t>0</m:t>
                  </m:r>
                </m:sub>
                <m:sup>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0</m:t>
                  </m:r>
                </m:sub>
                <m:sup>
                  <m:r>
                    <w:rPr>
                      <w:rFonts w:ascii="Cambria Math" w:hAnsi="Cambria Math"/>
                    </w:rPr>
                    <m:t>-1</m:t>
                  </m:r>
                </m:sup>
              </m:sSubSup>
              <m:r>
                <w:rPr>
                  <w:rFonts w:ascii="Cambria Math" w:hAnsi="Cambria Math"/>
                </w:rPr>
                <m:t>D</m:t>
              </m:r>
              <m:sSubSup>
                <m:sSubSupPr>
                  <m:ctrlPr>
                    <w:rPr>
                      <w:rFonts w:ascii="Cambria Math" w:hAnsi="Cambria Math"/>
                      <w:i/>
                    </w:rPr>
                  </m:ctrlPr>
                </m:sSubSupPr>
                <m:e>
                  <m:r>
                    <w:rPr>
                      <w:rFonts w:ascii="Cambria Math" w:hAnsi="Cambria Math"/>
                    </w:rPr>
                    <m:t>A</m:t>
                  </m:r>
                </m:e>
                <m:sub>
                  <m:r>
                    <w:rPr>
                      <w:rFonts w:ascii="Cambria Math" w:hAnsi="Cambria Math"/>
                    </w:rPr>
                    <m:t>0</m:t>
                  </m:r>
                </m:sub>
                <m:sup>
                  <m:r>
                    <w:rPr>
                      <w:rFonts w:ascii="Cambria Math" w:hAnsi="Cambria Math"/>
                    </w:rPr>
                    <m:t>-1'</m:t>
                  </m:r>
                </m:sup>
              </m:sSubSup>
              <m:r>
                <w:rPr>
                  <w:rFonts w:ascii="Cambria Math" w:hAnsi="Cambria Math"/>
                </w:rPr>
                <m:t>=Ω</m:t>
              </m:r>
            </m:oMath>
            <w:r w:rsidR="00DF7FF5">
              <w:t>.</w:t>
            </w:r>
          </w:p>
        </w:tc>
        <w:tc>
          <w:tcPr>
            <w:tcW w:w="646" w:type="dxa"/>
            <w:vAlign w:val="center"/>
          </w:tcPr>
          <w:p w14:paraId="351C29D9" w14:textId="77C89EEB" w:rsidR="00327025" w:rsidRDefault="00327025" w:rsidP="002E665D">
            <w:pPr>
              <w:jc w:val="center"/>
            </w:pPr>
            <w:r>
              <w:t>(4)</w:t>
            </w:r>
          </w:p>
        </w:tc>
      </w:tr>
    </w:tbl>
    <w:p w14:paraId="0390EA01" w14:textId="77777777" w:rsidR="00327025" w:rsidRDefault="00327025" w:rsidP="00653D63">
      <w:pPr>
        <w:spacing w:line="360" w:lineRule="auto"/>
        <w:jc w:val="both"/>
      </w:pPr>
    </w:p>
    <w:p w14:paraId="079B565D" w14:textId="69DFEE30" w:rsidR="00653D63" w:rsidRDefault="00077DB2" w:rsidP="00653D63">
      <w:pPr>
        <w:spacing w:line="360" w:lineRule="auto"/>
        <w:jc w:val="both"/>
      </w:pPr>
      <w:r>
        <w:t xml:space="preserve">It is worth noting that </w:t>
      </w:r>
      <w:r w:rsidRPr="0071671B">
        <w:t>the reduced form error</w:t>
      </w:r>
      <w:r w:rsidR="00EA3875">
        <w:t xml:space="preserve">s </w:t>
      </w:r>
      <w:r>
        <w:t>are correlated</w:t>
      </w:r>
      <w:r w:rsidR="00EB3FB2">
        <w:t xml:space="preserve"> across equations</w:t>
      </w:r>
      <w:r w:rsidR="00030319">
        <w:t>,</w:t>
      </w:r>
      <w:r>
        <w:t xml:space="preserve"> which is in contrast with the </w:t>
      </w:r>
      <w:r w:rsidRPr="0071671B">
        <w:t>structural shocks</w:t>
      </w:r>
      <w:r w:rsidR="00030319">
        <w:t xml:space="preserve">, and </w:t>
      </w:r>
      <w:r>
        <w:t xml:space="preserve">are </w:t>
      </w:r>
      <w:r w:rsidRPr="0071671B">
        <w:t>assumed to be orthogonal and therefore mutually uncorrelated</w:t>
      </w:r>
      <w:r>
        <w:t>. A</w:t>
      </w:r>
      <w:r w:rsidRPr="0071671B">
        <w:t xml:space="preserve"> symmetric positive definite matrix</w:t>
      </w:r>
      <w:r w:rsidRPr="00077DB2">
        <w:rPr>
          <w:i/>
        </w:rPr>
        <w:t xml:space="preserve"> </w:t>
      </w:r>
      <w:r w:rsidRPr="00BD2FF7">
        <w:rPr>
          <w:i/>
        </w:rPr>
        <w:t>Ω</w:t>
      </w:r>
      <w:r>
        <w:rPr>
          <w:i/>
        </w:rPr>
        <w:t xml:space="preserve"> </w:t>
      </w:r>
      <w:r>
        <w:t xml:space="preserve">denotes that </w:t>
      </w:r>
      <w:r w:rsidR="00653D63" w:rsidRPr="0071671B">
        <w:t>the entries above or below the principal di</w:t>
      </w:r>
      <w:r>
        <w:t>agonal are non-zero</w:t>
      </w:r>
      <w:r w:rsidR="00653D63" w:rsidRPr="0071671B">
        <w:t>.</w:t>
      </w:r>
      <w:r w:rsidR="00653D63" w:rsidRPr="0071671B">
        <w:rPr>
          <w:color w:val="FF0000"/>
        </w:rPr>
        <w:t xml:space="preserve"> </w:t>
      </w:r>
      <w:r w:rsidRPr="00077DB2">
        <w:rPr>
          <w:color w:val="000000" w:themeColor="text1"/>
        </w:rPr>
        <w:t xml:space="preserve">In this regard, </w:t>
      </w:r>
      <w:r>
        <w:rPr>
          <w:color w:val="000000" w:themeColor="text1"/>
        </w:rPr>
        <w:t xml:space="preserve">it is necessary to </w:t>
      </w:r>
      <w:proofErr w:type="spellStart"/>
      <w:r w:rsidR="00F616E8" w:rsidRPr="0071671B">
        <w:t>orthogonalise</w:t>
      </w:r>
      <w:proofErr w:type="spellEnd"/>
      <w:r w:rsidR="00F616E8" w:rsidRPr="0071671B">
        <w:t xml:space="preserve"> t</w:t>
      </w:r>
      <w:r w:rsidR="00C05A07">
        <w:t xml:space="preserve">he reduced form errors by imposing </w:t>
      </w:r>
      <w:r w:rsidR="00653D63" w:rsidRPr="0071671B">
        <w:t xml:space="preserve">a structural decomposition. </w:t>
      </w:r>
      <w:r w:rsidR="00D81F0A">
        <w:t>Equation (5</w:t>
      </w:r>
      <w:r w:rsidR="00653D63" w:rsidRPr="0071671B">
        <w:t>) shows how the vector of reduced form errors (</w:t>
      </w:r>
      <m:oMath>
        <m:sSub>
          <m:sSubPr>
            <m:ctrlPr>
              <w:rPr>
                <w:rFonts w:ascii="Cambria Math" w:hAnsi="Cambria Math"/>
                <w:i/>
              </w:rPr>
            </m:ctrlPr>
          </m:sSubPr>
          <m:e>
            <m:r>
              <w:rPr>
                <w:rFonts w:ascii="Cambria Math" w:hAnsi="Cambria Math"/>
              </w:rPr>
              <m:t>e</m:t>
            </m:r>
          </m:e>
          <m:sub>
            <m:r>
              <w:rPr>
                <w:rFonts w:ascii="Cambria Math" w:hAnsi="Cambria Math"/>
              </w:rPr>
              <m:t>t</m:t>
            </m:r>
          </m:sub>
        </m:sSub>
      </m:oMath>
      <w:r w:rsidR="00653D63" w:rsidRPr="0071671B">
        <w:t xml:space="preserve">) can be decomposed into structural disturbances </w:t>
      </w:r>
      <m:oMath>
        <m:sSub>
          <m:sSubPr>
            <m:ctrlPr>
              <w:rPr>
                <w:rFonts w:ascii="Cambria Math" w:hAnsi="Cambria Math"/>
                <w:i/>
              </w:rPr>
            </m:ctrlPr>
          </m:sSubPr>
          <m:e>
            <m:r>
              <w:rPr>
                <w:rFonts w:ascii="Cambria Math" w:hAnsi="Cambria Math"/>
              </w:rPr>
              <m:t>(ε</m:t>
            </m:r>
          </m:e>
          <m:sub>
            <m:r>
              <w:rPr>
                <w:rFonts w:ascii="Cambria Math" w:hAnsi="Cambria Math"/>
              </w:rPr>
              <m:t>t</m:t>
            </m:r>
          </m:sub>
        </m:sSub>
      </m:oMath>
      <w:r w:rsidR="00653D63" w:rsidRPr="0071671B">
        <w:t>):</w:t>
      </w:r>
    </w:p>
    <w:p w14:paraId="2A777220" w14:textId="77777777" w:rsidR="008B2A31" w:rsidRDefault="008B2A31" w:rsidP="00653D63">
      <w:pPr>
        <w:spacing w:line="36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646"/>
      </w:tblGrid>
      <w:tr w:rsidR="00327025" w14:paraId="405B286B" w14:textId="77777777" w:rsidTr="002E665D">
        <w:tc>
          <w:tcPr>
            <w:tcW w:w="7650" w:type="dxa"/>
            <w:vAlign w:val="center"/>
          </w:tcPr>
          <w:p w14:paraId="09844D7E" w14:textId="2CE89838" w:rsidR="00327025" w:rsidRDefault="00FA2618" w:rsidP="002E665D">
            <w:pPr>
              <w:jc w:val="center"/>
            </w:pPr>
            <m:oMath>
              <m:sSub>
                <m:sSubPr>
                  <m:ctrlPr>
                    <w:rPr>
                      <w:rFonts w:ascii="Cambria Math" w:hAnsi="Cambria Math"/>
                      <w:i/>
                    </w:rPr>
                  </m:ctrlPr>
                </m:sSubPr>
                <m:e>
                  <m:r>
                    <w:rPr>
                      <w:rFonts w:ascii="Cambria Math" w:hAnsi="Cambria Math"/>
                    </w:rPr>
                    <m:t>e</m:t>
                  </m:r>
                </m:e>
                <m:sub>
                  <m:r>
                    <w:rPr>
                      <w:rFonts w:ascii="Cambria Math" w:hAnsi="Cambria Math"/>
                    </w:rPr>
                    <m:t>t</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e</m:t>
                            </m:r>
                          </m:e>
                          <m:sub>
                            <m:r>
                              <w:rPr>
                                <w:rFonts w:ascii="Cambria Math" w:hAnsi="Cambria Math"/>
                              </w:rPr>
                              <m:t>DPRO,t</m:t>
                            </m:r>
                          </m:sub>
                        </m:sSub>
                      </m:e>
                    </m:mr>
                    <m:mr>
                      <m:e>
                        <m:sSub>
                          <m:sSubPr>
                            <m:ctrlPr>
                              <w:rPr>
                                <w:rFonts w:ascii="Cambria Math" w:hAnsi="Cambria Math"/>
                                <w:i/>
                              </w:rPr>
                            </m:ctrlPr>
                          </m:sSubPr>
                          <m:e>
                            <m:r>
                              <w:rPr>
                                <w:rFonts w:ascii="Cambria Math" w:hAnsi="Cambria Math"/>
                              </w:rPr>
                              <m:t>e</m:t>
                            </m:r>
                          </m:e>
                          <m:sub>
                            <m:r>
                              <w:rPr>
                                <w:rFonts w:ascii="Cambria Math" w:hAnsi="Cambria Math"/>
                              </w:rPr>
                              <m:t>GEA,t</m:t>
                            </m:r>
                          </m:sub>
                        </m:sSub>
                      </m:e>
                    </m:mr>
                    <m:mr>
                      <m:e>
                        <m:sSub>
                          <m:sSubPr>
                            <m:ctrlPr>
                              <w:rPr>
                                <w:rFonts w:ascii="Cambria Math" w:hAnsi="Cambria Math"/>
                                <w:i/>
                              </w:rPr>
                            </m:ctrlPr>
                          </m:sSubPr>
                          <m:e>
                            <m:r>
                              <w:rPr>
                                <w:rFonts w:ascii="Cambria Math" w:hAnsi="Cambria Math"/>
                              </w:rPr>
                              <m:t>e</m:t>
                            </m:r>
                          </m:e>
                          <m:sub>
                            <m:r>
                              <w:rPr>
                                <w:rFonts w:ascii="Cambria Math" w:hAnsi="Cambria Math"/>
                              </w:rPr>
                              <m:t>DROP,t</m:t>
                            </m:r>
                          </m:sub>
                        </m:sSub>
                      </m:e>
                    </m:mr>
                  </m:m>
                </m:e>
              </m:d>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0</m:t>
                  </m:r>
                </m:sub>
                <m:sup>
                  <m:r>
                    <w:rPr>
                      <w:rFonts w:ascii="Cambria Math" w:hAnsi="Cambria Math"/>
                    </w:rPr>
                    <m:t>-1</m:t>
                  </m:r>
                </m:sup>
              </m:sSubSup>
              <m:sSub>
                <m:sSubPr>
                  <m:ctrlPr>
                    <w:rPr>
                      <w:rFonts w:ascii="Cambria Math" w:hAnsi="Cambria Math"/>
                      <w:i/>
                    </w:rPr>
                  </m:ctrlPr>
                </m:sSubPr>
                <m:e>
                  <m:r>
                    <w:rPr>
                      <w:rFonts w:ascii="Cambria Math" w:hAnsi="Cambria Math"/>
                    </w:rPr>
                    <m:t>ε</m:t>
                  </m:r>
                </m:e>
                <m:sub>
                  <m:r>
                    <w:rPr>
                      <w:rFonts w:ascii="Cambria Math" w:hAnsi="Cambria Math"/>
                    </w:rPr>
                    <m:t>t</m:t>
                  </m:r>
                </m:sub>
              </m:sSub>
              <m:r>
                <w:rPr>
                  <w:rFonts w:ascii="Cambria Math" w:hAnsi="Cambria Math"/>
                </w:rPr>
                <m:t xml:space="preserve">= </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α</m:t>
                            </m:r>
                          </m:e>
                          <m:sub>
                            <m:r>
                              <w:rPr>
                                <w:rFonts w:ascii="Cambria Math" w:hAnsi="Cambria Math"/>
                              </w:rPr>
                              <m:t>11</m:t>
                            </m:r>
                          </m:sub>
                        </m:sSub>
                      </m:e>
                      <m:e>
                        <m:r>
                          <w:rPr>
                            <w:rFonts w:ascii="Cambria Math" w:hAnsi="Cambria Math"/>
                          </w:rPr>
                          <m:t>0</m:t>
                        </m:r>
                      </m:e>
                      <m:e>
                        <m:r>
                          <w:rPr>
                            <w:rFonts w:ascii="Cambria Math" w:hAnsi="Cambria Math"/>
                          </w:rPr>
                          <m:t>0</m:t>
                        </m:r>
                      </m:e>
                    </m:mr>
                    <m:mr>
                      <m:e>
                        <m:sSub>
                          <m:sSubPr>
                            <m:ctrlPr>
                              <w:rPr>
                                <w:rFonts w:ascii="Cambria Math" w:hAnsi="Cambria Math"/>
                                <w:i/>
                              </w:rPr>
                            </m:ctrlPr>
                          </m:sSubPr>
                          <m:e>
                            <m:r>
                              <w:rPr>
                                <w:rFonts w:ascii="Cambria Math" w:hAnsi="Cambria Math"/>
                              </w:rPr>
                              <m:t>α</m:t>
                            </m:r>
                          </m:e>
                          <m:sub>
                            <m:r>
                              <w:rPr>
                                <w:rFonts w:ascii="Cambria Math" w:hAnsi="Cambria Math"/>
                              </w:rPr>
                              <m:t>21</m:t>
                            </m:r>
                          </m:sub>
                        </m:sSub>
                      </m:e>
                      <m:e>
                        <m:sSub>
                          <m:sSubPr>
                            <m:ctrlPr>
                              <w:rPr>
                                <w:rFonts w:ascii="Cambria Math" w:hAnsi="Cambria Math"/>
                                <w:i/>
                              </w:rPr>
                            </m:ctrlPr>
                          </m:sSubPr>
                          <m:e>
                            <m:r>
                              <w:rPr>
                                <w:rFonts w:ascii="Cambria Math" w:hAnsi="Cambria Math"/>
                              </w:rPr>
                              <m:t>α</m:t>
                            </m:r>
                          </m:e>
                          <m:sub>
                            <m:r>
                              <w:rPr>
                                <w:rFonts w:ascii="Cambria Math" w:hAnsi="Cambria Math"/>
                              </w:rPr>
                              <m:t>22</m:t>
                            </m:r>
                          </m:sub>
                        </m:sSub>
                      </m:e>
                      <m:e>
                        <m:r>
                          <w:rPr>
                            <w:rFonts w:ascii="Cambria Math" w:hAnsi="Cambria Math"/>
                          </w:rPr>
                          <m:t>0</m:t>
                        </m:r>
                      </m:e>
                    </m:mr>
                    <m:mr>
                      <m:e>
                        <m:sSub>
                          <m:sSubPr>
                            <m:ctrlPr>
                              <w:rPr>
                                <w:rFonts w:ascii="Cambria Math" w:hAnsi="Cambria Math"/>
                                <w:i/>
                              </w:rPr>
                            </m:ctrlPr>
                          </m:sSubPr>
                          <m:e>
                            <m:r>
                              <w:rPr>
                                <w:rFonts w:ascii="Cambria Math" w:hAnsi="Cambria Math"/>
                              </w:rPr>
                              <m:t>α</m:t>
                            </m:r>
                          </m:e>
                          <m:sub>
                            <m:r>
                              <w:rPr>
                                <w:rFonts w:ascii="Cambria Math" w:hAnsi="Cambria Math"/>
                              </w:rPr>
                              <m:t>31</m:t>
                            </m:r>
                          </m:sub>
                        </m:sSub>
                      </m:e>
                      <m:e>
                        <m:sSub>
                          <m:sSubPr>
                            <m:ctrlPr>
                              <w:rPr>
                                <w:rFonts w:ascii="Cambria Math" w:hAnsi="Cambria Math"/>
                                <w:i/>
                              </w:rPr>
                            </m:ctrlPr>
                          </m:sSubPr>
                          <m:e>
                            <m:r>
                              <w:rPr>
                                <w:rFonts w:ascii="Cambria Math" w:hAnsi="Cambria Math"/>
                              </w:rPr>
                              <m:t>α</m:t>
                            </m:r>
                          </m:e>
                          <m:sub>
                            <m:r>
                              <w:rPr>
                                <w:rFonts w:ascii="Cambria Math" w:hAnsi="Cambria Math"/>
                              </w:rPr>
                              <m:t>32</m:t>
                            </m:r>
                          </m:sub>
                        </m:sSub>
                      </m:e>
                      <m:e>
                        <m:sSub>
                          <m:sSubPr>
                            <m:ctrlPr>
                              <w:rPr>
                                <w:rFonts w:ascii="Cambria Math" w:hAnsi="Cambria Math"/>
                                <w:i/>
                              </w:rPr>
                            </m:ctrlPr>
                          </m:sSubPr>
                          <m:e>
                            <m:r>
                              <w:rPr>
                                <w:rFonts w:ascii="Cambria Math" w:hAnsi="Cambria Math"/>
                              </w:rPr>
                              <m:t>α</m:t>
                            </m:r>
                          </m:e>
                          <m:sub>
                            <m:r>
                              <w:rPr>
                                <w:rFonts w:ascii="Cambria Math" w:hAnsi="Cambria Math"/>
                              </w:rPr>
                              <m:t>33</m:t>
                            </m:r>
                          </m:sub>
                        </m:sSub>
                      </m:e>
                    </m:mr>
                  </m:m>
                </m:e>
              </m:d>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ε</m:t>
                            </m:r>
                          </m:e>
                          <m:sub>
                            <m:r>
                              <w:rPr>
                                <w:rFonts w:ascii="Cambria Math" w:hAnsi="Cambria Math"/>
                              </w:rPr>
                              <m:t>SS,t</m:t>
                            </m:r>
                          </m:sub>
                        </m:sSub>
                      </m:e>
                    </m:mr>
                    <m:mr>
                      <m:e>
                        <m:sSub>
                          <m:sSubPr>
                            <m:ctrlPr>
                              <w:rPr>
                                <w:rFonts w:ascii="Cambria Math" w:hAnsi="Cambria Math"/>
                                <w:i/>
                              </w:rPr>
                            </m:ctrlPr>
                          </m:sSubPr>
                          <m:e>
                            <m:r>
                              <w:rPr>
                                <w:rFonts w:ascii="Cambria Math" w:hAnsi="Cambria Math"/>
                              </w:rPr>
                              <m:t>ε</m:t>
                            </m:r>
                          </m:e>
                          <m:sub>
                            <m:r>
                              <w:rPr>
                                <w:rFonts w:ascii="Cambria Math" w:hAnsi="Cambria Math"/>
                              </w:rPr>
                              <m:t>AD,t</m:t>
                            </m:r>
                          </m:sub>
                        </m:sSub>
                      </m:e>
                    </m:mr>
                    <m:mr>
                      <m:e>
                        <m:sSub>
                          <m:sSubPr>
                            <m:ctrlPr>
                              <w:rPr>
                                <w:rFonts w:ascii="Cambria Math" w:hAnsi="Cambria Math"/>
                                <w:i/>
                              </w:rPr>
                            </m:ctrlPr>
                          </m:sSubPr>
                          <m:e>
                            <m:r>
                              <w:rPr>
                                <w:rFonts w:ascii="Cambria Math" w:hAnsi="Cambria Math"/>
                              </w:rPr>
                              <m:t>ε</m:t>
                            </m:r>
                          </m:e>
                          <m:sub>
                            <m:r>
                              <w:rPr>
                                <w:rFonts w:ascii="Cambria Math" w:hAnsi="Cambria Math"/>
                              </w:rPr>
                              <m:t>PD,t</m:t>
                            </m:r>
                          </m:sub>
                        </m:sSub>
                      </m:e>
                    </m:mr>
                  </m:m>
                </m:e>
              </m:d>
            </m:oMath>
            <w:r w:rsidR="00DF7FF5">
              <w:t>,</w:t>
            </w:r>
          </w:p>
        </w:tc>
        <w:tc>
          <w:tcPr>
            <w:tcW w:w="646" w:type="dxa"/>
            <w:vAlign w:val="center"/>
          </w:tcPr>
          <w:p w14:paraId="339D9B4A" w14:textId="1BA4AC08" w:rsidR="00327025" w:rsidRDefault="00327025" w:rsidP="002E665D">
            <w:pPr>
              <w:jc w:val="center"/>
            </w:pPr>
            <w:r>
              <w:t>(5)</w:t>
            </w:r>
          </w:p>
        </w:tc>
      </w:tr>
    </w:tbl>
    <w:p w14:paraId="6D4CF44A" w14:textId="19DEF8DD" w:rsidR="00A37B99" w:rsidRDefault="00A37B99" w:rsidP="00653D63">
      <w:pPr>
        <w:spacing w:line="360" w:lineRule="auto"/>
        <w:jc w:val="both"/>
      </w:pPr>
    </w:p>
    <w:p w14:paraId="3C44B82A" w14:textId="6A6EFA9C" w:rsidR="008C5B19" w:rsidRDefault="00653D63" w:rsidP="00AE6FD4">
      <w:pPr>
        <w:spacing w:line="360" w:lineRule="auto"/>
        <w:jc w:val="both"/>
      </w:pPr>
      <w:r w:rsidRPr="0071671B">
        <w:t>where,</w:t>
      </w:r>
      <w:r w:rsidR="00524602">
        <w:t xml:space="preserve"> </w:t>
      </w:r>
      <m:oMath>
        <m:sSub>
          <m:sSubPr>
            <m:ctrlPr>
              <w:rPr>
                <w:rFonts w:ascii="Cambria Math" w:hAnsi="Cambria Math"/>
                <w:i/>
              </w:rPr>
            </m:ctrlPr>
          </m:sSubPr>
          <m:e>
            <m:r>
              <w:rPr>
                <w:rFonts w:ascii="Cambria Math" w:hAnsi="Cambria Math"/>
              </w:rPr>
              <m:t>ε</m:t>
            </m:r>
          </m:e>
          <m:sub>
            <m:r>
              <w:rPr>
                <w:rFonts w:ascii="Cambria Math" w:hAnsi="Cambria Math"/>
              </w:rPr>
              <m:t>SS,t</m:t>
            </m:r>
          </m:sub>
        </m:sSub>
        <m:r>
          <w:rPr>
            <w:rFonts w:ascii="Cambria Math" w:hAnsi="Cambria Math"/>
          </w:rPr>
          <m:t xml:space="preserve"> </m:t>
        </m:r>
      </m:oMath>
      <w:r w:rsidR="00776C2F">
        <w:t>denote</w:t>
      </w:r>
      <w:proofErr w:type="spellStart"/>
      <w:r w:rsidR="001017C6">
        <w:t>s</w:t>
      </w:r>
      <w:proofErr w:type="spellEnd"/>
      <w:r w:rsidRPr="0071671B">
        <w:t xml:space="preserve"> the supply-side shocks </w:t>
      </w:r>
      <w:r w:rsidR="00BA30FC">
        <w:t>origi</w:t>
      </w:r>
      <w:r w:rsidR="00BA30FC" w:rsidRPr="0071671B">
        <w:t>nated</w:t>
      </w:r>
      <w:r w:rsidRPr="0071671B">
        <w:t xml:space="preserve"> from the world oil production, </w:t>
      </w:r>
      <m:oMath>
        <m:sSub>
          <m:sSubPr>
            <m:ctrlPr>
              <w:rPr>
                <w:rFonts w:ascii="Cambria Math" w:hAnsi="Cambria Math"/>
                <w:i/>
              </w:rPr>
            </m:ctrlPr>
          </m:sSubPr>
          <m:e>
            <m:r>
              <w:rPr>
                <w:rFonts w:ascii="Cambria Math" w:hAnsi="Cambria Math"/>
              </w:rPr>
              <m:t>ε</m:t>
            </m:r>
          </m:e>
          <m:sub>
            <m:r>
              <w:rPr>
                <w:rFonts w:ascii="Cambria Math" w:hAnsi="Cambria Math"/>
              </w:rPr>
              <m:t>AD,t</m:t>
            </m:r>
          </m:sub>
        </m:sSub>
        <m:r>
          <w:rPr>
            <w:rFonts w:ascii="Cambria Math" w:hAnsi="Cambria Math"/>
          </w:rPr>
          <m:t xml:space="preserve"> </m:t>
        </m:r>
      </m:oMath>
      <w:r w:rsidRPr="0071671B">
        <w:t xml:space="preserve">represents the aggregate demand shocks </w:t>
      </w:r>
      <w:r w:rsidR="00BA30FC">
        <w:t>related to</w:t>
      </w:r>
      <w:r w:rsidR="00776C2F">
        <w:t xml:space="preserve"> the global economic activity and</w:t>
      </w:r>
      <w:r w:rsidRPr="0071671B">
        <w:t xml:space="preserve"> </w:t>
      </w:r>
      <m:oMath>
        <m:sSub>
          <m:sSubPr>
            <m:ctrlPr>
              <w:rPr>
                <w:rFonts w:ascii="Cambria Math" w:hAnsi="Cambria Math"/>
                <w:i/>
              </w:rPr>
            </m:ctrlPr>
          </m:sSubPr>
          <m:e>
            <m:r>
              <w:rPr>
                <w:rFonts w:ascii="Cambria Math" w:hAnsi="Cambria Math"/>
              </w:rPr>
              <m:t>ε</m:t>
            </m:r>
          </m:e>
          <m:sub>
            <m:r>
              <w:rPr>
                <w:rFonts w:ascii="Cambria Math" w:hAnsi="Cambria Math"/>
              </w:rPr>
              <m:t>PD,t</m:t>
            </m:r>
          </m:sub>
        </m:sSub>
      </m:oMath>
      <w:r w:rsidR="00776C2F">
        <w:t xml:space="preserve"> </w:t>
      </w:r>
      <w:r w:rsidR="00BA30FC">
        <w:t>indicates</w:t>
      </w:r>
      <w:r w:rsidRPr="0071671B">
        <w:t xml:space="preserve"> the precautionary demand shocks </w:t>
      </w:r>
      <w:r w:rsidR="00BA30FC">
        <w:t>associated with</w:t>
      </w:r>
      <w:r w:rsidR="00776C2F" w:rsidRPr="0071671B">
        <w:t xml:space="preserve"> the real oil price</w:t>
      </w:r>
      <w:r w:rsidR="003E1DE7">
        <w:t>.</w:t>
      </w:r>
      <w:r w:rsidR="00524602">
        <w:t xml:space="preserve"> </w:t>
      </w:r>
      <w:r w:rsidR="00D511AA">
        <w:t xml:space="preserve">Following Kilian (2009), we impose </w:t>
      </w:r>
      <w:r w:rsidR="00D511AA" w:rsidRPr="0071671B">
        <w:t>short-run restrictions</w:t>
      </w:r>
      <w:r w:rsidR="00D511AA">
        <w:t xml:space="preserve"> on t</w:t>
      </w:r>
      <w:r w:rsidR="00D511AA" w:rsidRPr="0071671B">
        <w:t>he lower triangular matrix</w:t>
      </w:r>
      <w:r w:rsidR="00D511AA">
        <w:t xml:space="preserve"> </w:t>
      </w:r>
      <m:oMath>
        <m:sSubSup>
          <m:sSubSupPr>
            <m:ctrlPr>
              <w:rPr>
                <w:rFonts w:ascii="Cambria Math" w:hAnsi="Cambria Math"/>
                <w:i/>
              </w:rPr>
            </m:ctrlPr>
          </m:sSubSupPr>
          <m:e>
            <m:r>
              <w:rPr>
                <w:rFonts w:ascii="Cambria Math" w:hAnsi="Cambria Math"/>
              </w:rPr>
              <m:t>A</m:t>
            </m:r>
          </m:e>
          <m:sub>
            <m:r>
              <w:rPr>
                <w:rFonts w:ascii="Cambria Math" w:hAnsi="Cambria Math"/>
              </w:rPr>
              <m:t>0</m:t>
            </m:r>
          </m:sub>
          <m:sup>
            <m:r>
              <w:rPr>
                <w:rFonts w:ascii="Cambria Math" w:hAnsi="Cambria Math"/>
              </w:rPr>
              <m:t>-1</m:t>
            </m:r>
          </m:sup>
        </m:sSubSup>
      </m:oMath>
      <w:r w:rsidR="00D511AA">
        <w:t xml:space="preserve"> with </w:t>
      </w:r>
      <w:r w:rsidR="008D7015">
        <w:t xml:space="preserve">the </w:t>
      </w:r>
      <w:r w:rsidR="00D511AA">
        <w:t xml:space="preserve">aim </w:t>
      </w:r>
      <w:r w:rsidR="00BA30FC">
        <w:t>of</w:t>
      </w:r>
      <w:r w:rsidR="00D511AA">
        <w:t xml:space="preserve"> detect</w:t>
      </w:r>
      <w:r w:rsidR="00BA30FC">
        <w:t>ing</w:t>
      </w:r>
      <w:r w:rsidR="00D511AA">
        <w:t xml:space="preserve"> </w:t>
      </w:r>
      <w:r w:rsidR="00D511AA" w:rsidRPr="0071671B">
        <w:t>the structural shocks</w:t>
      </w:r>
      <w:r w:rsidR="00D511AA">
        <w:t xml:space="preserve"> of the model. </w:t>
      </w:r>
      <w:r w:rsidR="0019180D">
        <w:t xml:space="preserve">These </w:t>
      </w:r>
      <w:r w:rsidR="0072118F" w:rsidRPr="0071671B">
        <w:t>short-run restrictions</w:t>
      </w:r>
      <w:r w:rsidR="0072118F">
        <w:t xml:space="preserve"> </w:t>
      </w:r>
      <w:r w:rsidR="00705AEE">
        <w:t xml:space="preserve">allow us to set </w:t>
      </w:r>
      <w:r w:rsidR="00705AEE" w:rsidRPr="0071671B">
        <w:t>all entries located above the principal diagonal to zero.</w:t>
      </w:r>
      <w:r w:rsidR="00114EEE">
        <w:t xml:space="preserve"> </w:t>
      </w:r>
      <w:r w:rsidR="002E50AB">
        <w:t xml:space="preserve">It </w:t>
      </w:r>
      <w:r w:rsidR="00FE4232">
        <w:t>must</w:t>
      </w:r>
      <w:r w:rsidR="002E50AB">
        <w:t xml:space="preserve"> be mentioned that these </w:t>
      </w:r>
      <w:r w:rsidR="002E50AB" w:rsidRPr="0071671B">
        <w:t>short-run restrictions</w:t>
      </w:r>
      <w:r w:rsidR="002E50AB">
        <w:t xml:space="preserve"> have been well demonstrated</w:t>
      </w:r>
      <w:r w:rsidR="00FE4232">
        <w:t xml:space="preserve">, </w:t>
      </w:r>
      <w:r w:rsidR="002E50AB">
        <w:t xml:space="preserve">explained </w:t>
      </w:r>
      <w:r w:rsidR="00FE4232">
        <w:t xml:space="preserve">and verified </w:t>
      </w:r>
      <w:r w:rsidR="002E50AB">
        <w:t>in Kilian’s (2009) structural analysis.</w:t>
      </w:r>
    </w:p>
    <w:p w14:paraId="3359F1B5" w14:textId="510C614B" w:rsidR="000B2CD6" w:rsidRDefault="008D650E" w:rsidP="00AE6FD4">
      <w:pPr>
        <w:spacing w:line="360" w:lineRule="auto"/>
        <w:jc w:val="both"/>
      </w:pPr>
      <w:r>
        <w:t>The</w:t>
      </w:r>
      <w:r w:rsidR="00114EEE">
        <w:t xml:space="preserve"> </w:t>
      </w:r>
      <w:r w:rsidR="00114EEE" w:rsidRPr="0071671B">
        <w:t>short-run restrictions</w:t>
      </w:r>
      <w:r w:rsidR="00114EEE">
        <w:t xml:space="preserve"> </w:t>
      </w:r>
      <w:r w:rsidR="00BA30FC">
        <w:t>which are imposed</w:t>
      </w:r>
      <w:r w:rsidR="00114EEE">
        <w:t xml:space="preserve"> </w:t>
      </w:r>
      <w:r w:rsidR="008C5B19">
        <w:t>in Equation (5</w:t>
      </w:r>
      <w:r w:rsidR="008C5B19" w:rsidRPr="0071671B">
        <w:t>)</w:t>
      </w:r>
      <w:r w:rsidR="00BA30FC">
        <w:t xml:space="preserve"> are rationalised</w:t>
      </w:r>
      <w:r w:rsidR="008C5B19" w:rsidRPr="0071671B">
        <w:t xml:space="preserve"> </w:t>
      </w:r>
      <w:r w:rsidR="00835788">
        <w:t>as follow</w:t>
      </w:r>
      <w:r w:rsidR="00F25565">
        <w:t xml:space="preserve">s. </w:t>
      </w:r>
      <w:r w:rsidR="00C5546F">
        <w:t>F</w:t>
      </w:r>
      <w:r w:rsidR="000B2CD6">
        <w:t>irst,</w:t>
      </w:r>
      <w:r w:rsidR="0083062E">
        <w:t xml:space="preserve"> </w:t>
      </w:r>
      <w:r w:rsidR="00771FED" w:rsidRPr="0071671B">
        <w:t>world oil production</w:t>
      </w:r>
      <w:r w:rsidR="00771FED">
        <w:t xml:space="preserve"> </w:t>
      </w:r>
      <w:r w:rsidR="00F13FA9">
        <w:t xml:space="preserve">may not react </w:t>
      </w:r>
      <w:r w:rsidR="00F13FA9" w:rsidRPr="0071671B">
        <w:t>contemporaneously</w:t>
      </w:r>
      <w:r w:rsidR="00F13FA9">
        <w:t xml:space="preserve"> to changes in global demand for industrial commodities and changes in oil prices. </w:t>
      </w:r>
      <w:r w:rsidR="00BA30FC">
        <w:t xml:space="preserve">For this </w:t>
      </w:r>
      <w:proofErr w:type="gramStart"/>
      <w:r w:rsidR="00BA30FC">
        <w:t>reason</w:t>
      </w:r>
      <w:proofErr w:type="gramEnd"/>
      <w:r w:rsidR="00F13FA9">
        <w:t xml:space="preserve"> </w:t>
      </w:r>
      <w:r w:rsidR="007D0273">
        <w:t xml:space="preserve">it takes time for the </w:t>
      </w:r>
      <w:r w:rsidR="0094464F" w:rsidRPr="0071671B">
        <w:t>world oil production</w:t>
      </w:r>
      <w:r w:rsidR="0094464F">
        <w:t xml:space="preserve"> to adjust to these changes and consequently </w:t>
      </w:r>
      <w:r w:rsidR="00BA30FC">
        <w:t>involves</w:t>
      </w:r>
      <w:r w:rsidR="0094464F">
        <w:t xml:space="preserve"> </w:t>
      </w:r>
      <w:r w:rsidR="00195EFC">
        <w:t>high adjustment costs</w:t>
      </w:r>
      <w:r w:rsidR="0094464F">
        <w:t xml:space="preserve">. Nevertheless, </w:t>
      </w:r>
      <w:r w:rsidR="0094464F" w:rsidRPr="0071671B">
        <w:t>world oil production</w:t>
      </w:r>
      <w:r w:rsidR="0094464F">
        <w:t xml:space="preserve"> responds </w:t>
      </w:r>
      <w:r w:rsidR="0094464F" w:rsidRPr="0071671B">
        <w:t>contemporaneously</w:t>
      </w:r>
      <w:r w:rsidR="0094464F">
        <w:t xml:space="preserve"> to </w:t>
      </w:r>
      <w:r w:rsidR="0094464F" w:rsidRPr="0071671B">
        <w:t>supply-side shocks</w:t>
      </w:r>
      <w:r w:rsidR="00DD07E9">
        <w:t xml:space="preserve">. These short-run </w:t>
      </w:r>
      <w:r w:rsidR="00DD07E9" w:rsidRPr="0071671B">
        <w:t>restrictions</w:t>
      </w:r>
      <w:r w:rsidR="00DD07E9">
        <w:t xml:space="preserve"> are observed </w:t>
      </w:r>
      <w:r w:rsidR="00DD07E9" w:rsidRPr="0071671B">
        <w:t xml:space="preserve">in the first row as: </w:t>
      </w:r>
      <m:oMath>
        <m:sSub>
          <m:sSubPr>
            <m:ctrlPr>
              <w:rPr>
                <w:rFonts w:ascii="Cambria Math" w:hAnsi="Cambria Math"/>
                <w:i/>
              </w:rPr>
            </m:ctrlPr>
          </m:sSubPr>
          <m:e>
            <m:r>
              <w:rPr>
                <w:rFonts w:ascii="Cambria Math" w:hAnsi="Cambria Math"/>
              </w:rPr>
              <m:t>α</m:t>
            </m:r>
          </m:e>
          <m:sub>
            <m:r>
              <w:rPr>
                <w:rFonts w:ascii="Cambria Math" w:hAnsi="Cambria Math"/>
              </w:rPr>
              <m:t>12</m:t>
            </m:r>
          </m:sub>
        </m:sSub>
        <m:r>
          <w:rPr>
            <w:rFonts w:ascii="Cambria Math" w:hAnsi="Cambria Math"/>
          </w:rPr>
          <m:t>=0</m:t>
        </m:r>
      </m:oMath>
      <w:r w:rsidR="00DD07E9" w:rsidRPr="0071671B">
        <w:t xml:space="preserve">, </w:t>
      </w:r>
      <m:oMath>
        <m:sSub>
          <m:sSubPr>
            <m:ctrlPr>
              <w:rPr>
                <w:rFonts w:ascii="Cambria Math" w:hAnsi="Cambria Math"/>
                <w:i/>
              </w:rPr>
            </m:ctrlPr>
          </m:sSubPr>
          <m:e>
            <m:r>
              <w:rPr>
                <w:rFonts w:ascii="Cambria Math" w:hAnsi="Cambria Math"/>
              </w:rPr>
              <m:t>α</m:t>
            </m:r>
          </m:e>
          <m:sub>
            <m:r>
              <w:rPr>
                <w:rFonts w:ascii="Cambria Math" w:hAnsi="Cambria Math"/>
              </w:rPr>
              <m:t>13</m:t>
            </m:r>
          </m:sub>
        </m:sSub>
        <m:r>
          <w:rPr>
            <w:rFonts w:ascii="Cambria Math" w:hAnsi="Cambria Math"/>
          </w:rPr>
          <m:t>=0</m:t>
        </m:r>
      </m:oMath>
      <w:r w:rsidR="00DD07E9">
        <w:t xml:space="preserve">, </w:t>
      </w:r>
      <w:r w:rsidR="00DD07E9" w:rsidRPr="0071671B">
        <w:t xml:space="preserve">and a non-zero </w:t>
      </w:r>
      <m:oMath>
        <m:sSub>
          <m:sSubPr>
            <m:ctrlPr>
              <w:rPr>
                <w:rFonts w:ascii="Cambria Math" w:hAnsi="Cambria Math"/>
                <w:i/>
              </w:rPr>
            </m:ctrlPr>
          </m:sSubPr>
          <m:e>
            <m:r>
              <w:rPr>
                <w:rFonts w:ascii="Cambria Math" w:hAnsi="Cambria Math"/>
              </w:rPr>
              <m:t>α</m:t>
            </m:r>
          </m:e>
          <m:sub>
            <m:r>
              <w:rPr>
                <w:rFonts w:ascii="Cambria Math" w:hAnsi="Cambria Math"/>
              </w:rPr>
              <m:t>11</m:t>
            </m:r>
          </m:sub>
        </m:sSub>
      </m:oMath>
      <w:r w:rsidR="000B2CD6">
        <w:t>.</w:t>
      </w:r>
    </w:p>
    <w:p w14:paraId="23170F1F" w14:textId="77777777" w:rsidR="00901DF6" w:rsidRDefault="000B2CD6" w:rsidP="00901DF6">
      <w:pPr>
        <w:spacing w:line="360" w:lineRule="auto"/>
        <w:jc w:val="both"/>
      </w:pPr>
      <w:r>
        <w:lastRenderedPageBreak/>
        <w:t>Second,</w:t>
      </w:r>
      <w:r w:rsidR="00BA5D5D">
        <w:t xml:space="preserve"> </w:t>
      </w:r>
      <w:r w:rsidR="00E7574D">
        <w:t xml:space="preserve">global economic activity is not </w:t>
      </w:r>
      <w:r w:rsidR="00E7574D" w:rsidRPr="0071671B">
        <w:t>instantaneous</w:t>
      </w:r>
      <w:r w:rsidR="00E7574D">
        <w:t xml:space="preserve">ly influenced by changes in oil prices </w:t>
      </w:r>
      <w:r w:rsidR="00A3451B">
        <w:t xml:space="preserve">due to the </w:t>
      </w:r>
      <w:r w:rsidR="00CA2A33">
        <w:t xml:space="preserve">sluggishness of global </w:t>
      </w:r>
      <w:r w:rsidR="00E7574D">
        <w:t xml:space="preserve">real economy </w:t>
      </w:r>
      <w:r w:rsidR="00CA2A33">
        <w:t xml:space="preserve">to react to these changes. However, global economic activity is </w:t>
      </w:r>
      <w:r w:rsidR="00CA2A33" w:rsidRPr="0071671B">
        <w:t>contemporaneously</w:t>
      </w:r>
      <w:r w:rsidR="00CA2A33">
        <w:t xml:space="preserve"> affected by </w:t>
      </w:r>
      <w:r w:rsidR="00CA2A33" w:rsidRPr="0071671B">
        <w:t>supply-side shocks</w:t>
      </w:r>
      <w:r w:rsidR="00CA2A33">
        <w:t xml:space="preserve"> and </w:t>
      </w:r>
      <w:r w:rsidR="00CA2A33" w:rsidRPr="0071671B">
        <w:t>aggregate demand shocks</w:t>
      </w:r>
      <w:r w:rsidR="00DD07E9">
        <w:t>. Similarly, w</w:t>
      </w:r>
      <w:r w:rsidR="00DD07E9" w:rsidRPr="0071671B">
        <w:t>e observe the</w:t>
      </w:r>
      <w:r w:rsidR="00DD07E9">
        <w:t xml:space="preserve">se short-run </w:t>
      </w:r>
      <w:r w:rsidR="00DD07E9" w:rsidRPr="0071671B">
        <w:t>restrictions</w:t>
      </w:r>
      <w:r w:rsidR="00DD07E9" w:rsidRPr="00DD07E9">
        <w:t xml:space="preserve"> </w:t>
      </w:r>
      <w:r w:rsidR="00DD07E9" w:rsidRPr="0071671B">
        <w:t xml:space="preserve">in the second row as: </w:t>
      </w:r>
      <m:oMath>
        <m:sSub>
          <m:sSubPr>
            <m:ctrlPr>
              <w:rPr>
                <w:rFonts w:ascii="Cambria Math" w:hAnsi="Cambria Math"/>
                <w:i/>
              </w:rPr>
            </m:ctrlPr>
          </m:sSubPr>
          <m:e>
            <m:r>
              <w:rPr>
                <w:rFonts w:ascii="Cambria Math" w:hAnsi="Cambria Math"/>
              </w:rPr>
              <m:t>α</m:t>
            </m:r>
          </m:e>
          <m:sub>
            <m:r>
              <w:rPr>
                <w:rFonts w:ascii="Cambria Math" w:hAnsi="Cambria Math"/>
              </w:rPr>
              <m:t>23</m:t>
            </m:r>
          </m:sub>
        </m:sSub>
        <m:r>
          <w:rPr>
            <w:rFonts w:ascii="Cambria Math" w:hAnsi="Cambria Math"/>
          </w:rPr>
          <m:t>=0</m:t>
        </m:r>
      </m:oMath>
      <w:r w:rsidR="00DD07E9" w:rsidRPr="0071671B">
        <w:t xml:space="preserve">, and a non-zero </w:t>
      </w:r>
      <m:oMath>
        <m:sSub>
          <m:sSubPr>
            <m:ctrlPr>
              <w:rPr>
                <w:rFonts w:ascii="Cambria Math" w:hAnsi="Cambria Math"/>
                <w:i/>
              </w:rPr>
            </m:ctrlPr>
          </m:sSubPr>
          <m:e>
            <m:r>
              <w:rPr>
                <w:rFonts w:ascii="Cambria Math" w:hAnsi="Cambria Math"/>
              </w:rPr>
              <m:t>α</m:t>
            </m:r>
          </m:e>
          <m:sub>
            <m:r>
              <w:rPr>
                <w:rFonts w:ascii="Cambria Math" w:hAnsi="Cambria Math"/>
              </w:rPr>
              <m:t>21</m:t>
            </m:r>
          </m:sub>
        </m:sSub>
      </m:oMath>
      <w:r w:rsidR="00DD07E9" w:rsidRPr="0071671B">
        <w:t xml:space="preserve"> and </w:t>
      </w:r>
      <m:oMath>
        <m:sSub>
          <m:sSubPr>
            <m:ctrlPr>
              <w:rPr>
                <w:rFonts w:ascii="Cambria Math" w:hAnsi="Cambria Math"/>
                <w:i/>
              </w:rPr>
            </m:ctrlPr>
          </m:sSubPr>
          <m:e>
            <m:r>
              <w:rPr>
                <w:rFonts w:ascii="Cambria Math" w:hAnsi="Cambria Math"/>
              </w:rPr>
              <m:t>α</m:t>
            </m:r>
          </m:e>
          <m:sub>
            <m:r>
              <w:rPr>
                <w:rFonts w:ascii="Cambria Math" w:hAnsi="Cambria Math"/>
              </w:rPr>
              <m:t>22</m:t>
            </m:r>
          </m:sub>
        </m:sSub>
      </m:oMath>
      <w:r>
        <w:t>. Third,</w:t>
      </w:r>
      <w:r w:rsidR="00CA2A33">
        <w:t xml:space="preserve"> changes in oil prices are affected within the same month by </w:t>
      </w:r>
      <w:r w:rsidR="00CA2A33" w:rsidRPr="0071671B">
        <w:t>supply-side shocks</w:t>
      </w:r>
      <w:r w:rsidR="00CA2A33">
        <w:t xml:space="preserve">, </w:t>
      </w:r>
      <w:r w:rsidR="00CA2A33" w:rsidRPr="0071671B">
        <w:t>aggregate demand shocks</w:t>
      </w:r>
      <w:r w:rsidR="00CA2A33">
        <w:t xml:space="preserve"> and its </w:t>
      </w:r>
      <w:r w:rsidR="00CA2A33" w:rsidRPr="0071671B">
        <w:t>own innovations</w:t>
      </w:r>
      <w:r w:rsidR="00CA2A33">
        <w:t xml:space="preserve">. We summarise that all </w:t>
      </w:r>
      <w:r w:rsidR="00CA2A33" w:rsidRPr="0071671B">
        <w:t>types of shocks are allowed to contemporaneously impact oil prices.</w:t>
      </w:r>
      <w:r w:rsidR="00AD3DB6">
        <w:t xml:space="preserve"> </w:t>
      </w:r>
      <w:r w:rsidR="00794123" w:rsidRPr="0071671B">
        <w:t xml:space="preserve">This is </w:t>
      </w:r>
      <w:r w:rsidR="000676FA" w:rsidRPr="0071671B">
        <w:t>demonstrated</w:t>
      </w:r>
      <w:r w:rsidR="00794123" w:rsidRPr="0071671B">
        <w:t xml:space="preserve"> by non</w:t>
      </w:r>
      <w:r w:rsidR="000676FA">
        <w:t>-zero coefficients in the third</w:t>
      </w:r>
      <w:r w:rsidR="00794123" w:rsidRPr="0071671B">
        <w:t xml:space="preserve"> row. </w:t>
      </w:r>
    </w:p>
    <w:p w14:paraId="59C69EF7" w14:textId="4678DF39" w:rsidR="00901DF6" w:rsidRDefault="00901DF6" w:rsidP="00AE6FD4">
      <w:pPr>
        <w:spacing w:line="360" w:lineRule="auto"/>
        <w:jc w:val="both"/>
      </w:pPr>
      <w:r>
        <w:t xml:space="preserve">Next, we proceed to the historical decomposition in order to test the effects of the three oil price shocks on real oil </w:t>
      </w:r>
      <w:r w:rsidR="00BA30FC">
        <w:t xml:space="preserve">price </w:t>
      </w:r>
      <w:r>
        <w:t>returns</w:t>
      </w:r>
      <w:r w:rsidR="009C6162">
        <w:t xml:space="preserve"> </w:t>
      </w:r>
      <w:r w:rsidRPr="0071671B">
        <w:t>at each point in time</w:t>
      </w:r>
      <w:r>
        <w:t xml:space="preserve">. Given that the SVAR is already estimated, we follow </w:t>
      </w:r>
      <w:r w:rsidRPr="0071671B">
        <w:t>Burbidge and Harrison (198</w:t>
      </w:r>
      <w:r w:rsidR="00895E72">
        <w:t>5</w:t>
      </w:r>
      <w:r w:rsidRPr="0071671B">
        <w:t xml:space="preserve">) </w:t>
      </w:r>
      <w:r>
        <w:t xml:space="preserve">who indicate that </w:t>
      </w:r>
      <w:r w:rsidRPr="0071671B">
        <w:t xml:space="preserve">this </w:t>
      </w:r>
      <w:r>
        <w:t>technique</w:t>
      </w:r>
      <w:r w:rsidRPr="0071671B">
        <w:t xml:space="preserve"> involves three stages.</w:t>
      </w:r>
      <w:r>
        <w:t xml:space="preserve"> Initially, a SVAR model is utilised to allow the identification of the three </w:t>
      </w:r>
      <w:r w:rsidRPr="0071671B">
        <w:t>oil price shocks.</w:t>
      </w:r>
      <w:r>
        <w:t xml:space="preserve"> </w:t>
      </w:r>
      <w:r w:rsidR="00BA30FC">
        <w:t>Next</w:t>
      </w:r>
      <w:r>
        <w:t xml:space="preserve">, we </w:t>
      </w:r>
      <w:r w:rsidRPr="0071671B">
        <w:t>forecast the endogenous variables.</w:t>
      </w:r>
      <w:r w:rsidRPr="00BE1515">
        <w:t xml:space="preserve"> </w:t>
      </w:r>
      <w:r w:rsidRPr="0071671B">
        <w:t>Finally,</w:t>
      </w:r>
      <w:r w:rsidRPr="00CF654C">
        <w:t xml:space="preserve"> </w:t>
      </w:r>
      <w:r w:rsidRPr="0071671B">
        <w:t>we decompose the forecast errors into the cumulative contribution</w:t>
      </w:r>
      <w:r>
        <w:t xml:space="preserve">s of the </w:t>
      </w:r>
      <w:r w:rsidRPr="0071671B">
        <w:t xml:space="preserve">structural </w:t>
      </w:r>
      <w:r>
        <w:t xml:space="preserve">oil price </w:t>
      </w:r>
      <w:r w:rsidRPr="0071671B">
        <w:t>shocks.</w:t>
      </w:r>
      <w:r>
        <w:t xml:space="preserve"> Thus, the </w:t>
      </w:r>
      <w:r w:rsidRPr="0071671B">
        <w:t>cumulative effects</w:t>
      </w:r>
      <w:r>
        <w:t xml:space="preserve"> </w:t>
      </w:r>
      <w:r w:rsidRPr="0071671B">
        <w:t xml:space="preserve">from </w:t>
      </w:r>
      <w:r>
        <w:t xml:space="preserve">the three </w:t>
      </w:r>
      <w:r w:rsidRPr="0071671B">
        <w:t xml:space="preserve">structural </w:t>
      </w:r>
      <w:r>
        <w:t xml:space="preserve">oil price </w:t>
      </w:r>
      <w:r w:rsidRPr="0071671B">
        <w:t>shocks</w:t>
      </w:r>
      <w:r>
        <w:t xml:space="preserve"> on the</w:t>
      </w:r>
      <w:r w:rsidRPr="00DC3A44">
        <w:rPr>
          <w:sz w:val="20"/>
          <w:szCs w:val="20"/>
        </w:rPr>
        <w:t xml:space="preserve"> </w:t>
      </w:r>
      <w:r>
        <w:t xml:space="preserve">real oil </w:t>
      </w:r>
      <w:r w:rsidRPr="00DC3A44">
        <w:t>returns</w:t>
      </w:r>
      <w:r>
        <w:t xml:space="preserve"> are used as explanatory variables and allow identifying the importance of each shock </w:t>
      </w:r>
      <w:r w:rsidRPr="0071671B">
        <w:t>at each point in time</w:t>
      </w:r>
      <w:r>
        <w:t xml:space="preserve">. To this end, Kilian and Park (2009) suggest that the computation of the historical decomposition is important in order to gain a clearer understanding of the cumulative effect of these shocks on the real oil returns. </w:t>
      </w:r>
    </w:p>
    <w:p w14:paraId="61397F4C" w14:textId="77777777" w:rsidR="0084468B" w:rsidRDefault="0084468B" w:rsidP="00AE6FD4">
      <w:pPr>
        <w:spacing w:line="360" w:lineRule="auto"/>
        <w:jc w:val="both"/>
      </w:pPr>
    </w:p>
    <w:p w14:paraId="59C11F05" w14:textId="77777777" w:rsidR="005C043B" w:rsidRPr="00CE3AC8" w:rsidRDefault="001A77E4" w:rsidP="00AE6FD4">
      <w:pPr>
        <w:spacing w:line="360" w:lineRule="auto"/>
        <w:jc w:val="both"/>
        <w:rPr>
          <w:i/>
        </w:rPr>
      </w:pPr>
      <w:r w:rsidRPr="00CE3AC8">
        <w:rPr>
          <w:i/>
        </w:rPr>
        <w:t>4.2</w:t>
      </w:r>
      <w:r w:rsidR="00512569" w:rsidRPr="00CE3AC8">
        <w:rPr>
          <w:i/>
        </w:rPr>
        <w:t xml:space="preserve"> Scalar-BEKK model</w:t>
      </w:r>
    </w:p>
    <w:p w14:paraId="60CFE772" w14:textId="3D498514" w:rsidR="00707AB1" w:rsidRPr="00CE3AC8" w:rsidRDefault="002F7267" w:rsidP="00341348">
      <w:pPr>
        <w:spacing w:line="360" w:lineRule="auto"/>
        <w:jc w:val="both"/>
      </w:pPr>
      <w:r w:rsidRPr="00CE3AC8">
        <w:t xml:space="preserve">In order to investigate </w:t>
      </w:r>
      <w:r w:rsidR="00324293" w:rsidRPr="00CE3AC8">
        <w:t xml:space="preserve">the dynamic correlation between different oil price shocks and the 10-year sovereign yield spread, a </w:t>
      </w:r>
      <w:r w:rsidR="002C006D" w:rsidRPr="00CE3AC8">
        <w:t xml:space="preserve">time-varying framework </w:t>
      </w:r>
      <w:r w:rsidR="00BA30FC">
        <w:t>is adopted</w:t>
      </w:r>
      <w:r w:rsidR="002A7186" w:rsidRPr="00CE3AC8">
        <w:t xml:space="preserve">. </w:t>
      </w:r>
      <w:r w:rsidR="00DF5805" w:rsidRPr="00CE3AC8">
        <w:t xml:space="preserve">The </w:t>
      </w:r>
      <w:r w:rsidR="00564874" w:rsidRPr="00CE3AC8">
        <w:t xml:space="preserve">Baba-Engle-Kraft-Kroner (BEKK) </w:t>
      </w:r>
      <w:r w:rsidR="00BA30FC">
        <w:t xml:space="preserve">model </w:t>
      </w:r>
      <w:r w:rsidR="00564874" w:rsidRPr="00CE3AC8">
        <w:t xml:space="preserve">described in Engle and Kroner (1995) and the </w:t>
      </w:r>
      <w:r w:rsidR="00DF5805" w:rsidRPr="00CE3AC8">
        <w:t>dynamic cond</w:t>
      </w:r>
      <w:r w:rsidR="003F5661" w:rsidRPr="00CE3AC8">
        <w:t xml:space="preserve">itional correlation (DCC) model introduced by Engle (2002) </w:t>
      </w:r>
      <w:r w:rsidR="008F3D53" w:rsidRPr="00CE3AC8">
        <w:t xml:space="preserve">can be viewed as </w:t>
      </w:r>
      <w:r w:rsidR="00007B45" w:rsidRPr="00CE3AC8">
        <w:t xml:space="preserve">the most commonly used </w:t>
      </w:r>
      <w:r w:rsidR="008F3D53" w:rsidRPr="00CE3AC8">
        <w:t xml:space="preserve">time-varying frameworks that successfully estimate dynamic </w:t>
      </w:r>
      <w:r w:rsidR="000F1621" w:rsidRPr="00CE3AC8">
        <w:t xml:space="preserve">conditional </w:t>
      </w:r>
      <w:r w:rsidR="008F3D53" w:rsidRPr="00CE3AC8">
        <w:t>correlation</w:t>
      </w:r>
      <w:r w:rsidR="00F61FF6" w:rsidRPr="00CE3AC8">
        <w:t>s</w:t>
      </w:r>
      <w:r w:rsidR="008F3D53" w:rsidRPr="00CE3AC8">
        <w:t xml:space="preserve"> between time series.</w:t>
      </w:r>
      <w:r w:rsidR="00BF405C" w:rsidRPr="00CE3AC8">
        <w:t xml:space="preserve"> </w:t>
      </w:r>
      <w:r w:rsidR="006F715D" w:rsidRPr="00CE3AC8">
        <w:t>Both models are considered as multivariate</w:t>
      </w:r>
      <w:r w:rsidR="000F1621" w:rsidRPr="00CE3AC8">
        <w:t xml:space="preserve"> </w:t>
      </w:r>
      <w:r w:rsidR="008C05B0" w:rsidRPr="00CE3AC8">
        <w:rPr>
          <w:color w:val="222222"/>
          <w:shd w:val="clear" w:color="auto" w:fill="FFFFFF"/>
        </w:rPr>
        <w:t>generalis</w:t>
      </w:r>
      <w:r w:rsidR="000F1621" w:rsidRPr="00CE3AC8">
        <w:rPr>
          <w:color w:val="222222"/>
          <w:shd w:val="clear" w:color="auto" w:fill="FFFFFF"/>
        </w:rPr>
        <w:t>ed autoregressive conditional heteroscedasticity (MGARCH) specifications</w:t>
      </w:r>
      <w:r w:rsidR="00007B45" w:rsidRPr="00CE3AC8">
        <w:rPr>
          <w:color w:val="222222"/>
          <w:shd w:val="clear" w:color="auto" w:fill="FFFFFF"/>
        </w:rPr>
        <w:t>.</w:t>
      </w:r>
      <w:r w:rsidR="00707AB1" w:rsidRPr="00CE3AC8">
        <w:t xml:space="preserve"> </w:t>
      </w:r>
      <w:r w:rsidR="00BF405C" w:rsidRPr="00CE3AC8">
        <w:t xml:space="preserve">However, </w:t>
      </w:r>
      <w:r w:rsidR="00EF4698" w:rsidRPr="00CE3AC8">
        <w:t>empirical evidence</w:t>
      </w:r>
      <w:r w:rsidR="00BA30FC">
        <w:t xml:space="preserve"> that has been supplied by</w:t>
      </w:r>
      <w:r w:rsidR="00EF4698" w:rsidRPr="00CE3AC8">
        <w:t xml:space="preserve"> </w:t>
      </w:r>
      <w:proofErr w:type="spellStart"/>
      <w:r w:rsidR="00EF4698" w:rsidRPr="00CE3AC8">
        <w:t>Capor</w:t>
      </w:r>
      <w:r w:rsidR="00BF405C" w:rsidRPr="00CE3AC8">
        <w:t>in</w:t>
      </w:r>
      <w:proofErr w:type="spellEnd"/>
      <w:r w:rsidR="00BF405C" w:rsidRPr="00CE3AC8">
        <w:t xml:space="preserve"> and McAleer (</w:t>
      </w:r>
      <w:r w:rsidR="00760BB6" w:rsidRPr="00CE3AC8">
        <w:t>2008, 2012</w:t>
      </w:r>
      <w:r w:rsidR="00BC7DD3" w:rsidRPr="00CE3AC8">
        <w:t>) i</w:t>
      </w:r>
      <w:r w:rsidR="00341348" w:rsidRPr="00CE3AC8">
        <w:t>ndicate</w:t>
      </w:r>
      <w:r w:rsidR="003F61C9">
        <w:t>s</w:t>
      </w:r>
      <w:r w:rsidR="00341348" w:rsidRPr="00CE3AC8">
        <w:t xml:space="preserve"> the superiority of BEKK </w:t>
      </w:r>
      <w:r w:rsidR="00707AB1" w:rsidRPr="00CE3AC8">
        <w:t>for esti</w:t>
      </w:r>
      <w:r w:rsidR="00341348" w:rsidRPr="00CE3AC8">
        <w:t xml:space="preserve">mating conditional correlations. </w:t>
      </w:r>
      <w:proofErr w:type="spellStart"/>
      <w:r w:rsidR="008D0C8D" w:rsidRPr="00CE3AC8">
        <w:t>Filis</w:t>
      </w:r>
      <w:proofErr w:type="spellEnd"/>
      <w:r w:rsidR="008D0C8D" w:rsidRPr="00CE3AC8">
        <w:t xml:space="preserve"> (2014) and </w:t>
      </w:r>
      <w:proofErr w:type="spellStart"/>
      <w:r w:rsidR="008D0C8D" w:rsidRPr="00CE3AC8">
        <w:t>Broadstock</w:t>
      </w:r>
      <w:proofErr w:type="spellEnd"/>
      <w:r w:rsidR="008D0C8D" w:rsidRPr="00CE3AC8">
        <w:t xml:space="preserve"> and </w:t>
      </w:r>
      <w:proofErr w:type="spellStart"/>
      <w:r w:rsidR="008D0C8D" w:rsidRPr="00CE3AC8">
        <w:t>Filis</w:t>
      </w:r>
      <w:proofErr w:type="spellEnd"/>
      <w:r w:rsidR="008D0C8D" w:rsidRPr="00CE3AC8">
        <w:t xml:space="preserve"> (2013) </w:t>
      </w:r>
      <w:r w:rsidR="00BA30FC">
        <w:t>show respect for</w:t>
      </w:r>
      <w:r w:rsidR="00172834" w:rsidRPr="00CE3AC8">
        <w:t xml:space="preserve"> the empirical findings </w:t>
      </w:r>
      <w:r w:rsidR="00BA30FC">
        <w:t>of</w:t>
      </w:r>
      <w:r w:rsidR="00172834" w:rsidRPr="00CE3AC8">
        <w:t xml:space="preserve"> </w:t>
      </w:r>
      <w:proofErr w:type="spellStart"/>
      <w:r w:rsidR="00172834" w:rsidRPr="00CE3AC8">
        <w:t>Caporin</w:t>
      </w:r>
      <w:proofErr w:type="spellEnd"/>
      <w:r w:rsidR="00172834" w:rsidRPr="00CE3AC8">
        <w:t xml:space="preserve"> and McAleer </w:t>
      </w:r>
      <w:r w:rsidR="00901D2B" w:rsidRPr="00CE3AC8">
        <w:t xml:space="preserve">(2008, 2012) </w:t>
      </w:r>
      <w:r w:rsidR="00172834" w:rsidRPr="00CE3AC8">
        <w:t xml:space="preserve">in their research regarding the </w:t>
      </w:r>
      <w:r w:rsidR="00172834" w:rsidRPr="00CE3AC8">
        <w:lastRenderedPageBreak/>
        <w:t>use of time-varying models</w:t>
      </w:r>
      <w:r w:rsidR="001B205F" w:rsidRPr="00CE3AC8">
        <w:t xml:space="preserve"> and underline the advantages </w:t>
      </w:r>
      <w:r w:rsidR="00BA30FC">
        <w:t>of</w:t>
      </w:r>
      <w:r w:rsidR="001B205F" w:rsidRPr="00CE3AC8">
        <w:t xml:space="preserve"> employ</w:t>
      </w:r>
      <w:r w:rsidR="00BA30FC">
        <w:t>ing</w:t>
      </w:r>
      <w:r w:rsidR="001B205F" w:rsidRPr="00CE3AC8">
        <w:t xml:space="preserve"> a BEKK model. </w:t>
      </w:r>
      <w:r w:rsidR="00172834" w:rsidRPr="00CE3AC8">
        <w:t>Thus</w:t>
      </w:r>
      <w:r w:rsidR="008D0C8D" w:rsidRPr="00CE3AC8">
        <w:t>, we</w:t>
      </w:r>
      <w:r w:rsidR="00341348" w:rsidRPr="00CE3AC8">
        <w:t xml:space="preserve"> adopt a BEKK framework instead of using the DCC framework.</w:t>
      </w:r>
    </w:p>
    <w:p w14:paraId="22EED815" w14:textId="77777777" w:rsidR="00EE0DB2" w:rsidRPr="00CE3AC8" w:rsidRDefault="004847D6" w:rsidP="00341348">
      <w:pPr>
        <w:spacing w:line="360" w:lineRule="auto"/>
        <w:jc w:val="both"/>
      </w:pPr>
      <w:r w:rsidRPr="00CE3AC8">
        <w:t xml:space="preserve">Turning our attention to the BEKK framework, </w:t>
      </w:r>
      <w:r w:rsidR="001C11E2" w:rsidRPr="00CE3AC8">
        <w:t xml:space="preserve">we should not lose sight </w:t>
      </w:r>
      <w:r w:rsidR="009004C7" w:rsidRPr="00CE3AC8">
        <w:t xml:space="preserve">of the fact that </w:t>
      </w:r>
      <w:r w:rsidR="001B1570" w:rsidRPr="00CE3AC8">
        <w:t xml:space="preserve">a standard </w:t>
      </w:r>
      <w:r w:rsidR="00FE6C21" w:rsidRPr="00CE3AC8">
        <w:t xml:space="preserve">(general) </w:t>
      </w:r>
      <w:r w:rsidR="001B1570" w:rsidRPr="00CE3AC8">
        <w:t xml:space="preserve">BEKK </w:t>
      </w:r>
      <w:r w:rsidR="009432BF" w:rsidRPr="00CE3AC8">
        <w:t xml:space="preserve">contains </w:t>
      </w:r>
      <w:r w:rsidR="00101164" w:rsidRPr="00CE3AC8">
        <w:t xml:space="preserve">a large number of parameters </w:t>
      </w:r>
      <w:r w:rsidR="00FE6C21" w:rsidRPr="00CE3AC8">
        <w:t xml:space="preserve">and computational problems. </w:t>
      </w:r>
      <w:r w:rsidR="00326FD0" w:rsidRPr="00CE3AC8">
        <w:t xml:space="preserve">For example, a </w:t>
      </w:r>
      <w:r w:rsidR="00FE6736" w:rsidRPr="00CE3AC8">
        <w:t xml:space="preserve">standard BEKK </w:t>
      </w:r>
      <w:r w:rsidR="00326FD0" w:rsidRPr="00CE3AC8">
        <w:t xml:space="preserve">requires the estimation of </w:t>
      </w:r>
      <w:r w:rsidR="00326FD0" w:rsidRPr="00CE3AC8">
        <w:rPr>
          <w:i/>
        </w:rPr>
        <w:t>(</w:t>
      </w:r>
      <w:proofErr w:type="gramStart"/>
      <w:r w:rsidR="00326FD0" w:rsidRPr="00CE3AC8">
        <w:rPr>
          <w:i/>
        </w:rPr>
        <w:t>n(</w:t>
      </w:r>
      <w:proofErr w:type="gramEnd"/>
      <w:r w:rsidR="00326FD0" w:rsidRPr="00CE3AC8">
        <w:rPr>
          <w:i/>
        </w:rPr>
        <w:t xml:space="preserve">n + 1) / 2) + </w:t>
      </w:r>
      <w:r w:rsidR="00FE6736" w:rsidRPr="00CE3AC8">
        <w:rPr>
          <w:i/>
        </w:rPr>
        <w:t>2</w:t>
      </w:r>
      <w:r w:rsidR="00326FD0" w:rsidRPr="00CE3AC8">
        <w:rPr>
          <w:i/>
        </w:rPr>
        <w:t>n</w:t>
      </w:r>
      <w:r w:rsidR="00326FD0" w:rsidRPr="00CE3AC8">
        <w:rPr>
          <w:i/>
          <w:vertAlign w:val="superscript"/>
        </w:rPr>
        <w:t xml:space="preserve">2 </w:t>
      </w:r>
      <w:r w:rsidR="00326FD0" w:rsidRPr="00CE3AC8">
        <w:t>parameters.</w:t>
      </w:r>
      <w:r w:rsidR="00DB494F" w:rsidRPr="00CE3AC8">
        <w:t xml:space="preserve"> </w:t>
      </w:r>
      <w:r w:rsidR="00FE6C21" w:rsidRPr="00CE3AC8">
        <w:t>These issues are improved with</w:t>
      </w:r>
      <w:r w:rsidR="00101164" w:rsidRPr="00CE3AC8">
        <w:t xml:space="preserve"> the use of a scalar-BEKK</w:t>
      </w:r>
      <w:r w:rsidR="00FE6736" w:rsidRPr="00CE3AC8">
        <w:rPr>
          <w:i/>
        </w:rPr>
        <w:t xml:space="preserve"> </w:t>
      </w:r>
      <w:r w:rsidR="00E72F53" w:rsidRPr="00CE3AC8">
        <w:t xml:space="preserve">in which the number of </w:t>
      </w:r>
      <w:r w:rsidR="009228FA" w:rsidRPr="00CE3AC8">
        <w:t xml:space="preserve">estimated </w:t>
      </w:r>
      <w:r w:rsidR="00E72F53" w:rsidRPr="00CE3AC8">
        <w:t xml:space="preserve">parameters is </w:t>
      </w:r>
      <w:r w:rsidR="00752A78" w:rsidRPr="00CE3AC8">
        <w:t>significant</w:t>
      </w:r>
      <w:r w:rsidR="00E72F53" w:rsidRPr="00CE3AC8">
        <w:t>ly smaller</w:t>
      </w:r>
      <w:r w:rsidR="00C0096E" w:rsidRPr="00CE3AC8">
        <w:t xml:space="preserve"> as </w:t>
      </w:r>
      <w:r w:rsidR="00C0096E" w:rsidRPr="00CE3AC8">
        <w:rPr>
          <w:i/>
        </w:rPr>
        <w:t>(</w:t>
      </w:r>
      <w:proofErr w:type="gramStart"/>
      <w:r w:rsidR="00C0096E" w:rsidRPr="00CE3AC8">
        <w:rPr>
          <w:i/>
        </w:rPr>
        <w:t>n(</w:t>
      </w:r>
      <w:proofErr w:type="gramEnd"/>
      <w:r w:rsidR="00C0096E" w:rsidRPr="00CE3AC8">
        <w:rPr>
          <w:i/>
        </w:rPr>
        <w:t>n + 1) / 2) + 2</w:t>
      </w:r>
      <w:r w:rsidR="00C0096E" w:rsidRPr="00CE3AC8">
        <w:t xml:space="preserve"> parameters</w:t>
      </w:r>
      <w:r w:rsidR="002415F9" w:rsidRPr="00CE3AC8">
        <w:t xml:space="preserve"> require estimation.</w:t>
      </w:r>
    </w:p>
    <w:p w14:paraId="3FE46509" w14:textId="17807DCB" w:rsidR="002C006D" w:rsidRDefault="00264AE9" w:rsidP="00F911D3">
      <w:pPr>
        <w:spacing w:line="360" w:lineRule="auto"/>
        <w:jc w:val="both"/>
      </w:pPr>
      <w:r w:rsidRPr="00CE3AC8">
        <w:t>The structure of the scalar-BEKK</w:t>
      </w:r>
      <w:r w:rsidR="00460804" w:rsidRPr="00CE3AC8">
        <w:t xml:space="preserve"> can be presented as:</w:t>
      </w:r>
    </w:p>
    <w:p w14:paraId="37669F00" w14:textId="77777777" w:rsidR="00B57D75" w:rsidRPr="00CE3AC8" w:rsidRDefault="00B57D75" w:rsidP="00F911D3">
      <w:pPr>
        <w:spacing w:line="36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646"/>
      </w:tblGrid>
      <w:tr w:rsidR="00032F8D" w:rsidRPr="00B375E2" w14:paraId="2B0786FD" w14:textId="77777777" w:rsidTr="00D3506D">
        <w:tc>
          <w:tcPr>
            <w:tcW w:w="7650" w:type="dxa"/>
            <w:vAlign w:val="center"/>
          </w:tcPr>
          <w:p w14:paraId="604DDB41" w14:textId="03F71292" w:rsidR="00032F8D" w:rsidRPr="00CE3AC8" w:rsidRDefault="00FA2618" w:rsidP="00032F8D">
            <w:pPr>
              <w:spacing w:line="360" w:lineRule="auto"/>
              <w:jc w:val="both"/>
            </w:pPr>
            <m:oMathPara>
              <m:oMath>
                <m:sSub>
                  <m:sSubPr>
                    <m:ctrlPr>
                      <w:rPr>
                        <w:rFonts w:ascii="Cambria Math" w:hAnsi="Cambria Math"/>
                        <w:i/>
                      </w:rPr>
                    </m:ctrlPr>
                  </m:sSubPr>
                  <m:e>
                    <m:r>
                      <m:rPr>
                        <m:sty m:val="bi"/>
                      </m:rPr>
                      <w:rPr>
                        <w:rFonts w:ascii="Cambria Math" w:hAnsi="Cambria Math"/>
                      </w:rPr>
                      <m:t>y</m:t>
                    </m:r>
                  </m:e>
                  <m:sub>
                    <m:r>
                      <w:rPr>
                        <w:rFonts w:ascii="Cambria Math" w:hAnsi="Cambria Math"/>
                      </w:rPr>
                      <m:t>t</m:t>
                    </m:r>
                  </m:sub>
                </m:sSub>
                <m:r>
                  <w:rPr>
                    <w:rFonts w:ascii="Cambria Math" w:hAnsi="Cambria Math"/>
                  </w:rPr>
                  <m:t>=</m:t>
                </m:r>
                <m:r>
                  <m:rPr>
                    <m:sty m:val="bi"/>
                  </m:rPr>
                  <w:rPr>
                    <w:rFonts w:ascii="Cambria Math" w:hAnsi="Cambria Math"/>
                    <w:b/>
                    <w:i/>
                  </w:rPr>
                  <w:sym w:font="Symbol" w:char="F06D"/>
                </m:r>
                <m:r>
                  <w:rPr>
                    <w:rFonts w:ascii="Cambria Math" w:hAnsi="Cambria Math"/>
                  </w:rPr>
                  <m:t>+</m:t>
                </m:r>
                <m:sSub>
                  <m:sSubPr>
                    <m:ctrlPr>
                      <w:rPr>
                        <w:rFonts w:ascii="Cambria Math" w:hAnsi="Cambria Math"/>
                        <w:i/>
                      </w:rPr>
                    </m:ctrlPr>
                  </m:sSubPr>
                  <m:e>
                    <m:r>
                      <m:rPr>
                        <m:sty m:val="bi"/>
                      </m:rPr>
                      <w:rPr>
                        <w:rFonts w:ascii="Cambria Math" w:hAnsi="Cambria Math"/>
                      </w:rPr>
                      <m:t>δ X</m:t>
                    </m:r>
                  </m:e>
                  <m:sub>
                    <m:r>
                      <w:rPr>
                        <w:rFonts w:ascii="Cambria Math" w:hAnsi="Cambria Math"/>
                      </w:rPr>
                      <m:t>t-1</m:t>
                    </m:r>
                  </m:sub>
                </m:sSub>
                <m:r>
                  <w:rPr>
                    <w:rFonts w:ascii="Cambria Math" w:hAnsi="Cambria Math"/>
                  </w:rPr>
                  <m:t>+</m:t>
                </m:r>
                <m:sSub>
                  <m:sSubPr>
                    <m:ctrlPr>
                      <w:rPr>
                        <w:rFonts w:ascii="Cambria Math" w:hAnsi="Cambria Math"/>
                        <w:i/>
                      </w:rPr>
                    </m:ctrlPr>
                  </m:sSubPr>
                  <m:e>
                    <m:r>
                      <m:rPr>
                        <m:sty m:val="bi"/>
                      </m:rPr>
                      <w:rPr>
                        <w:rFonts w:ascii="Cambria Math" w:hAnsi="Cambria Math"/>
                        <w:b/>
                        <w:i/>
                      </w:rPr>
                      <w:sym w:font="Symbol" w:char="F065"/>
                    </m:r>
                  </m:e>
                  <m:sub>
                    <m:r>
                      <w:rPr>
                        <w:rFonts w:ascii="Cambria Math" w:hAnsi="Cambria Math"/>
                      </w:rPr>
                      <m:t>t</m:t>
                    </m:r>
                  </m:sub>
                </m:sSub>
              </m:oMath>
            </m:oMathPara>
          </w:p>
          <w:p w14:paraId="25E13909" w14:textId="77777777" w:rsidR="00032F8D" w:rsidRPr="00CE3AC8" w:rsidRDefault="00FA2618" w:rsidP="00032F8D">
            <w:pPr>
              <w:spacing w:line="360" w:lineRule="auto"/>
              <w:jc w:val="both"/>
            </w:pPr>
            <m:oMathPara>
              <m:oMath>
                <m:sSub>
                  <m:sSubPr>
                    <m:ctrlPr>
                      <w:rPr>
                        <w:rFonts w:ascii="Cambria Math" w:hAnsi="Cambria Math"/>
                        <w:i/>
                      </w:rPr>
                    </m:ctrlPr>
                  </m:sSubPr>
                  <m:e>
                    <m:r>
                      <m:rPr>
                        <m:sty m:val="bi"/>
                      </m:rPr>
                      <w:rPr>
                        <w:rFonts w:ascii="Cambria Math" w:hAnsi="Cambria Math"/>
                        <w:b/>
                        <w:i/>
                      </w:rPr>
                      <w:sym w:font="Symbol" w:char="F065"/>
                    </m:r>
                  </m:e>
                  <m:sub>
                    <m:r>
                      <w:rPr>
                        <w:rFonts w:ascii="Cambria Math" w:hAnsi="Cambria Math"/>
                      </w:rPr>
                      <m:t>t</m:t>
                    </m:r>
                  </m:sub>
                </m:sSub>
                <m:r>
                  <w:rPr>
                    <w:rFonts w:ascii="Cambria Math" w:hAnsi="Cambria Math"/>
                  </w:rPr>
                  <m:t>=</m:t>
                </m:r>
                <m:sSubSup>
                  <m:sSubSupPr>
                    <m:ctrlPr>
                      <w:rPr>
                        <w:rFonts w:ascii="Cambria Math" w:hAnsi="Cambria Math"/>
                        <w:i/>
                      </w:rPr>
                    </m:ctrlPr>
                  </m:sSubSupPr>
                  <m:e>
                    <m:r>
                      <m:rPr>
                        <m:sty m:val="bi"/>
                      </m:rPr>
                      <w:rPr>
                        <w:rFonts w:ascii="Cambria Math" w:hAnsi="Cambria Math"/>
                      </w:rPr>
                      <m:t>H</m:t>
                    </m:r>
                  </m:e>
                  <m:sub>
                    <m:r>
                      <w:rPr>
                        <w:rFonts w:ascii="Cambria Math" w:hAnsi="Cambria Math"/>
                      </w:rPr>
                      <m:t>t</m:t>
                    </m:r>
                  </m:sub>
                  <m:sup>
                    <m:r>
                      <w:rPr>
                        <w:rFonts w:ascii="Cambria Math" w:hAnsi="Cambria Math"/>
                      </w:rPr>
                      <m:t>1/2</m:t>
                    </m:r>
                  </m:sup>
                </m:sSubSup>
                <m:sSub>
                  <m:sSubPr>
                    <m:ctrlPr>
                      <w:rPr>
                        <w:rFonts w:ascii="Cambria Math" w:hAnsi="Cambria Math"/>
                        <w:i/>
                      </w:rPr>
                    </m:ctrlPr>
                  </m:sSubPr>
                  <m:e>
                    <m:r>
                      <m:rPr>
                        <m:sty m:val="bi"/>
                      </m:rPr>
                      <w:rPr>
                        <w:rFonts w:ascii="Cambria Math" w:hAnsi="Cambria Math"/>
                      </w:rPr>
                      <m:t>z</m:t>
                    </m:r>
                  </m:e>
                  <m:sub>
                    <m:r>
                      <w:rPr>
                        <w:rFonts w:ascii="Cambria Math" w:hAnsi="Cambria Math"/>
                      </w:rPr>
                      <m:t>t</m:t>
                    </m:r>
                  </m:sub>
                </m:sSub>
              </m:oMath>
            </m:oMathPara>
          </w:p>
          <w:p w14:paraId="4C55E1BD" w14:textId="67E92D3D" w:rsidR="00032F8D" w:rsidRPr="00CE3AC8" w:rsidRDefault="00FA2618" w:rsidP="00032F8D">
            <w:pPr>
              <w:spacing w:line="360" w:lineRule="auto"/>
              <w:jc w:val="both"/>
            </w:pPr>
            <m:oMathPara>
              <m:oMath>
                <m:sSub>
                  <m:sSubPr>
                    <m:ctrlPr>
                      <w:rPr>
                        <w:rFonts w:ascii="Cambria Math" w:hAnsi="Cambria Math"/>
                        <w:i/>
                      </w:rPr>
                    </m:ctrlPr>
                  </m:sSubPr>
                  <m:e>
                    <m:r>
                      <m:rPr>
                        <m:sty m:val="bi"/>
                      </m:rPr>
                      <w:rPr>
                        <w:rFonts w:ascii="Cambria Math" w:hAnsi="Cambria Math"/>
                      </w:rPr>
                      <m:t>z</m:t>
                    </m:r>
                  </m:e>
                  <m:sub>
                    <m:r>
                      <w:rPr>
                        <w:rFonts w:ascii="Cambria Math" w:hAnsi="Cambria Math"/>
                      </w:rPr>
                      <m:t>t</m:t>
                    </m:r>
                  </m:sub>
                </m:sSub>
                <m:r>
                  <w:rPr>
                    <w:rFonts w:ascii="Cambria Math" w:hAnsi="Cambria Math"/>
                    <w:i/>
                  </w:rPr>
                  <w:sym w:font="Symbol" w:char="F07E"/>
                </m:r>
                <m:r>
                  <w:rPr>
                    <w:rFonts w:ascii="Cambria Math" w:hAnsi="Cambria Math"/>
                  </w:rPr>
                  <m:t xml:space="preserve"> NID</m:t>
                </m:r>
                <m:d>
                  <m:dPr>
                    <m:ctrlPr>
                      <w:rPr>
                        <w:rFonts w:ascii="Cambria Math" w:hAnsi="Cambria Math"/>
                        <w:i/>
                      </w:rPr>
                    </m:ctrlPr>
                  </m:dPr>
                  <m:e>
                    <m:r>
                      <m:rPr>
                        <m:sty m:val="bi"/>
                      </m:rPr>
                      <w:rPr>
                        <w:rFonts w:ascii="Cambria Math" w:hAnsi="Cambria Math"/>
                      </w:rPr>
                      <m:t>0</m:t>
                    </m:r>
                    <m:r>
                      <w:rPr>
                        <w:rFonts w:ascii="Cambria Math" w:hAnsi="Cambria Math"/>
                      </w:rPr>
                      <m:t xml:space="preserve">, </m:t>
                    </m:r>
                    <m:sSub>
                      <m:sSubPr>
                        <m:ctrlPr>
                          <w:rPr>
                            <w:rFonts w:ascii="Cambria Math" w:hAnsi="Cambria Math"/>
                            <w:i/>
                          </w:rPr>
                        </m:ctrlPr>
                      </m:sSubPr>
                      <m:e>
                        <m:r>
                          <m:rPr>
                            <m:sty m:val="bi"/>
                          </m:rPr>
                          <w:rPr>
                            <w:rFonts w:ascii="Cambria Math" w:hAnsi="Cambria Math"/>
                          </w:rPr>
                          <m:t>I</m:t>
                        </m:r>
                      </m:e>
                      <m:sub>
                        <m:r>
                          <w:rPr>
                            <w:rFonts w:ascii="Cambria Math" w:hAnsi="Cambria Math"/>
                          </w:rPr>
                          <m:t>N</m:t>
                        </m:r>
                      </m:sub>
                    </m:sSub>
                  </m:e>
                </m:d>
              </m:oMath>
            </m:oMathPara>
          </w:p>
          <w:p w14:paraId="1D6400F2" w14:textId="7A126B37" w:rsidR="00032F8D" w:rsidRPr="00CE3AC8" w:rsidRDefault="00FA2618" w:rsidP="00032F8D">
            <w:pPr>
              <w:spacing w:line="360" w:lineRule="auto"/>
              <w:jc w:val="both"/>
            </w:pPr>
            <m:oMathPara>
              <m:oMath>
                <m:sSub>
                  <m:sSubPr>
                    <m:ctrlPr>
                      <w:rPr>
                        <w:rFonts w:ascii="Cambria Math" w:hAnsi="Cambria Math"/>
                        <w:i/>
                      </w:rPr>
                    </m:ctrlPr>
                  </m:sSubPr>
                  <m:e>
                    <m:r>
                      <m:rPr>
                        <m:sty m:val="bi"/>
                      </m:rPr>
                      <w:rPr>
                        <w:rFonts w:ascii="Cambria Math" w:hAnsi="Cambria Math"/>
                      </w:rPr>
                      <m:t>H</m:t>
                    </m:r>
                  </m:e>
                  <m:sub>
                    <m:r>
                      <w:rPr>
                        <w:rFonts w:ascii="Cambria Math" w:hAnsi="Cambria Math"/>
                      </w:rPr>
                      <m:t>t</m:t>
                    </m:r>
                  </m:sub>
                </m:sSub>
                <m:r>
                  <w:rPr>
                    <w:rFonts w:ascii="Cambria Math" w:hAnsi="Cambria Math"/>
                  </w:rPr>
                  <m:t>=</m:t>
                </m:r>
                <m:sSubSup>
                  <m:sSubSupPr>
                    <m:ctrlPr>
                      <w:rPr>
                        <w:rFonts w:ascii="Cambria Math" w:hAnsi="Cambria Math"/>
                        <w:i/>
                      </w:rPr>
                    </m:ctrlPr>
                  </m:sSubSupPr>
                  <m:e>
                    <m:r>
                      <m:rPr>
                        <m:sty m:val="bi"/>
                      </m:rPr>
                      <w:rPr>
                        <w:rFonts w:ascii="Cambria Math" w:hAnsi="Cambria Math"/>
                      </w:rPr>
                      <m:t>H</m:t>
                    </m:r>
                  </m:e>
                  <m:sub>
                    <m:r>
                      <w:rPr>
                        <w:rFonts w:ascii="Cambria Math" w:hAnsi="Cambria Math"/>
                      </w:rPr>
                      <m:t>t</m:t>
                    </m:r>
                  </m:sub>
                  <m:sup>
                    <m:r>
                      <w:rPr>
                        <w:rFonts w:ascii="Cambria Math" w:hAnsi="Cambria Math"/>
                      </w:rPr>
                      <m:t>1/2</m:t>
                    </m:r>
                  </m:sup>
                </m:sSubSup>
                <m:sSubSup>
                  <m:sSubSupPr>
                    <m:ctrlPr>
                      <w:rPr>
                        <w:rFonts w:ascii="Cambria Math" w:hAnsi="Cambria Math"/>
                        <w:i/>
                      </w:rPr>
                    </m:ctrlPr>
                  </m:sSubSupPr>
                  <m:e>
                    <m:r>
                      <w:rPr>
                        <w:rFonts w:ascii="Cambria Math" w:hAnsi="Cambria Math"/>
                      </w:rPr>
                      <m:t>(</m:t>
                    </m:r>
                    <m:r>
                      <m:rPr>
                        <m:sty m:val="bi"/>
                      </m:rPr>
                      <w:rPr>
                        <w:rFonts w:ascii="Cambria Math" w:hAnsi="Cambria Math"/>
                      </w:rPr>
                      <m:t>H</m:t>
                    </m:r>
                  </m:e>
                  <m:sub>
                    <m:r>
                      <w:rPr>
                        <w:rFonts w:ascii="Cambria Math" w:hAnsi="Cambria Math"/>
                      </w:rPr>
                      <m:t>t</m:t>
                    </m:r>
                  </m:sub>
                  <m:sup>
                    <m:r>
                      <w:rPr>
                        <w:rFonts w:ascii="Cambria Math" w:hAnsi="Cambria Math"/>
                      </w:rPr>
                      <m:t>1/2</m:t>
                    </m:r>
                  </m:sup>
                </m:sSubSup>
                <m:sSup>
                  <m:sSupPr>
                    <m:ctrlPr>
                      <w:rPr>
                        <w:rFonts w:ascii="Cambria Math" w:hAnsi="Cambria Math"/>
                        <w:i/>
                      </w:rPr>
                    </m:ctrlPr>
                  </m:sSupPr>
                  <m:e>
                    <m:r>
                      <w:rPr>
                        <w:rFonts w:ascii="Cambria Math" w:hAnsi="Cambria Math"/>
                      </w:rPr>
                      <m:t>)</m:t>
                    </m:r>
                  </m:e>
                  <m:sup>
                    <m:r>
                      <w:rPr>
                        <w:rFonts w:ascii="Cambria Math" w:hAnsi="Cambria Math"/>
                      </w:rPr>
                      <m:t>'</m:t>
                    </m:r>
                  </m:sup>
                </m:sSup>
              </m:oMath>
            </m:oMathPara>
          </w:p>
        </w:tc>
        <w:tc>
          <w:tcPr>
            <w:tcW w:w="646" w:type="dxa"/>
            <w:vAlign w:val="center"/>
          </w:tcPr>
          <w:p w14:paraId="20850B19" w14:textId="77EE02E9" w:rsidR="00032F8D" w:rsidRPr="00CE3AC8" w:rsidRDefault="00032F8D" w:rsidP="002E665D">
            <w:pPr>
              <w:jc w:val="center"/>
            </w:pPr>
            <w:r w:rsidRPr="00CE3AC8">
              <w:t>(6)</w:t>
            </w:r>
          </w:p>
        </w:tc>
      </w:tr>
    </w:tbl>
    <w:p w14:paraId="19306F6D" w14:textId="77777777" w:rsidR="00B57D75" w:rsidRDefault="00B57D75" w:rsidP="007F5788">
      <w:pPr>
        <w:spacing w:line="360" w:lineRule="auto"/>
        <w:jc w:val="both"/>
      </w:pPr>
    </w:p>
    <w:p w14:paraId="46901988" w14:textId="1DD54122" w:rsidR="00DC0114" w:rsidRPr="00CE3AC8" w:rsidRDefault="00C57AA0" w:rsidP="007F5788">
      <w:pPr>
        <w:spacing w:line="360" w:lineRule="auto"/>
        <w:jc w:val="both"/>
      </w:pPr>
      <w:r w:rsidRPr="00CE3AC8">
        <w:t xml:space="preserve">In this context, the </w:t>
      </w:r>
      <w:r w:rsidRPr="00CE3AC8">
        <w:rPr>
          <w:i/>
        </w:rPr>
        <w:t>(n x 1)</w:t>
      </w:r>
      <w:r w:rsidRPr="00CE3AC8">
        <w:t xml:space="preserve"> vector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rsidRPr="00CE3AC8">
        <w:t xml:space="preserve"> </w:t>
      </w:r>
      <w:r w:rsidR="00D3506D">
        <w:t>relates</w:t>
      </w:r>
      <w:r w:rsidRPr="00CE3AC8">
        <w:t xml:space="preserve"> to the multivariate stochastic process to be predicted and contains the variables of interest. Specifically, </w:t>
      </w:r>
      <m:oMath>
        <m:sSub>
          <m:sSubPr>
            <m:ctrlPr>
              <w:rPr>
                <w:rFonts w:ascii="Cambria Math" w:hAnsi="Cambria Math"/>
                <w:i/>
              </w:rPr>
            </m:ctrlPr>
          </m:sSubPr>
          <m:e>
            <m:r>
              <m:rPr>
                <m:sty m:val="bi"/>
              </m:rP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2,t</m:t>
            </m:r>
          </m:sub>
        </m:sSub>
        <m:r>
          <w:rPr>
            <w:rFonts w:ascii="Cambria Math" w:hAnsi="Cambria Math"/>
          </w:rPr>
          <m:t>)'</m:t>
        </m:r>
      </m:oMath>
      <w:r w:rsidR="00BA30FC">
        <w:t xml:space="preserve">, </w:t>
      </w:r>
      <w:r w:rsidRPr="00CE3AC8">
        <w:t xml:space="preserve">where </w:t>
      </w:r>
      <m:oMath>
        <m:sSub>
          <m:sSubPr>
            <m:ctrlPr>
              <w:rPr>
                <w:rFonts w:ascii="Cambria Math" w:hAnsi="Cambria Math"/>
                <w:i/>
              </w:rPr>
            </m:ctrlPr>
          </m:sSubPr>
          <m:e>
            <m:r>
              <w:rPr>
                <w:rFonts w:ascii="Cambria Math" w:hAnsi="Cambria Math"/>
              </w:rPr>
              <m:t>y</m:t>
            </m:r>
          </m:e>
          <m:sub>
            <m:r>
              <w:rPr>
                <w:rFonts w:ascii="Cambria Math" w:hAnsi="Cambria Math"/>
              </w:rPr>
              <m:t>1,t</m:t>
            </m:r>
          </m:sub>
        </m:sSub>
      </m:oMath>
      <w:r w:rsidRPr="00CE3AC8">
        <w:t xml:space="preserve"> denotes </w:t>
      </w:r>
      <w:r w:rsidR="00901D2B" w:rsidRPr="00CE3AC8">
        <w:t xml:space="preserve">each one of </w:t>
      </w:r>
      <w:r w:rsidRPr="00CE3AC8">
        <w:t xml:space="preserve">the oil price shocks and </w:t>
      </w:r>
      <m:oMath>
        <m:sSub>
          <m:sSubPr>
            <m:ctrlPr>
              <w:rPr>
                <w:rFonts w:ascii="Cambria Math" w:hAnsi="Cambria Math"/>
                <w:i/>
              </w:rPr>
            </m:ctrlPr>
          </m:sSubPr>
          <m:e>
            <m:r>
              <w:rPr>
                <w:rFonts w:ascii="Cambria Math" w:hAnsi="Cambria Math"/>
              </w:rPr>
              <m:t>y</m:t>
            </m:r>
          </m:e>
          <m:sub>
            <m:r>
              <w:rPr>
                <w:rFonts w:ascii="Cambria Math" w:hAnsi="Cambria Math"/>
              </w:rPr>
              <m:t>2,t</m:t>
            </m:r>
          </m:sub>
        </m:sSub>
      </m:oMath>
      <w:r w:rsidRPr="00CE3AC8">
        <w:t xml:space="preserve"> represents the </w:t>
      </w:r>
      <w:r w:rsidR="00ED3B8C" w:rsidRPr="00CE3AC8">
        <w:t xml:space="preserve">10-year </w:t>
      </w:r>
      <w:r w:rsidRPr="00CE3AC8">
        <w:t xml:space="preserve">sovereign yield spread, at time </w:t>
      </w:r>
      <w:r w:rsidRPr="00CE3AC8">
        <w:rPr>
          <w:i/>
        </w:rPr>
        <w:t>t</w:t>
      </w:r>
      <w:r w:rsidRPr="00CE3AC8">
        <w:t xml:space="preserve">. Similarly, </w:t>
      </w:r>
      <m:oMath>
        <m:sSub>
          <m:sSubPr>
            <m:ctrlPr>
              <w:rPr>
                <w:rFonts w:ascii="Cambria Math" w:hAnsi="Cambria Math"/>
                <w:i/>
              </w:rPr>
            </m:ctrlPr>
          </m:sSubPr>
          <m:e>
            <m:r>
              <m:rPr>
                <m:sty m:val="bi"/>
              </m:rPr>
              <w:rPr>
                <w:rFonts w:ascii="Cambria Math" w:hAnsi="Cambria Math"/>
                <w:b/>
                <w:i/>
              </w:rPr>
              <w:sym w:font="Symbol" w:char="F065"/>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i/>
              </w:rPr>
              <w:sym w:font="Symbol" w:char="F065"/>
            </m:r>
          </m:e>
          <m:sub>
            <m:r>
              <w:rPr>
                <w:rFonts w:ascii="Cambria Math" w:hAnsi="Cambria Math"/>
              </w:rPr>
              <m:t>1,t</m:t>
            </m:r>
          </m:sub>
        </m:sSub>
        <m:r>
          <w:rPr>
            <w:rFonts w:ascii="Cambria Math" w:hAnsi="Cambria Math"/>
          </w:rPr>
          <m:t>,</m:t>
        </m:r>
        <m:sSub>
          <m:sSubPr>
            <m:ctrlPr>
              <w:rPr>
                <w:rFonts w:ascii="Cambria Math" w:hAnsi="Cambria Math"/>
                <w:i/>
              </w:rPr>
            </m:ctrlPr>
          </m:sSubPr>
          <m:e>
            <m:r>
              <w:rPr>
                <w:rFonts w:ascii="Cambria Math" w:hAnsi="Cambria Math"/>
                <w:i/>
              </w:rPr>
              <w:sym w:font="Symbol" w:char="F065"/>
            </m:r>
          </m:e>
          <m:sub>
            <m:r>
              <w:rPr>
                <w:rFonts w:ascii="Cambria Math" w:hAnsi="Cambria Math"/>
              </w:rPr>
              <m:t>2,t</m:t>
            </m:r>
          </m:sub>
        </m:sSub>
        <m:r>
          <w:rPr>
            <w:rFonts w:ascii="Cambria Math" w:hAnsi="Cambria Math"/>
          </w:rPr>
          <m:t>)'</m:t>
        </m:r>
      </m:oMath>
      <w:r w:rsidRPr="00CE3AC8">
        <w:t xml:space="preserve"> is the vector of </w:t>
      </w:r>
      <w:r w:rsidR="00281391" w:rsidRPr="00CE3AC8">
        <w:t xml:space="preserve">unexpected </w:t>
      </w:r>
      <w:r w:rsidRPr="00CE3AC8">
        <w:t xml:space="preserve">random shocks (errors) </w:t>
      </w:r>
      <w:r w:rsidR="004D4EFB" w:rsidRPr="00CE3AC8">
        <w:t xml:space="preserve">and reflects the innovations (news) for each variable </w:t>
      </w:r>
      <w:r w:rsidRPr="00CE3AC8">
        <w:t xml:space="preserve">at time </w:t>
      </w:r>
      <w:r w:rsidRPr="00CE3AC8">
        <w:rPr>
          <w:i/>
        </w:rPr>
        <w:t>t</w:t>
      </w:r>
      <w:r w:rsidRPr="00CE3AC8">
        <w:t xml:space="preserve">. </w:t>
      </w:r>
      <w:r w:rsidR="00782928" w:rsidRPr="00CE3AC8">
        <w:t>Thus, the innovations are shocks to the variables of interest.</w:t>
      </w:r>
      <w:r w:rsidR="007C7A2D" w:rsidRPr="00CE3AC8">
        <w:t xml:space="preserve"> </w:t>
      </w:r>
      <w:r w:rsidR="000B3AFE" w:rsidRPr="00CE3AC8">
        <w:t xml:space="preserve">Furthermore, </w:t>
      </w:r>
      <w:r w:rsidR="00644E54" w:rsidRPr="00CE3AC8">
        <w:t xml:space="preserve">the vector </w:t>
      </w:r>
      <m:oMath>
        <m:r>
          <m:rPr>
            <m:sty m:val="bi"/>
          </m:rPr>
          <w:rPr>
            <w:rFonts w:ascii="Cambria Math" w:hAnsi="Cambria Math"/>
            <w:b/>
            <w:i/>
          </w:rPr>
          <w:sym w:font="Symbol" w:char="F06D"/>
        </m:r>
      </m:oMath>
      <w:r w:rsidR="00644E54" w:rsidRPr="00CE3AC8">
        <w:t xml:space="preserve"> represents the </w:t>
      </w:r>
      <w:r w:rsidR="00A534E7" w:rsidRPr="00CE3AC8">
        <w:t xml:space="preserve">constant vector of </w:t>
      </w:r>
      <w:r w:rsidR="00644E54" w:rsidRPr="00CE3AC8">
        <w:t>mean</w:t>
      </w:r>
      <w:r w:rsidR="00A534E7" w:rsidRPr="00CE3AC8">
        <w:t>s</w:t>
      </w:r>
      <w:r w:rsidR="00644E54" w:rsidRPr="00CE3AC8">
        <w:t>,</w:t>
      </w:r>
      <w:r w:rsidR="007C7A2D" w:rsidRPr="00CE3AC8">
        <w:t xml:space="preserve"> </w:t>
      </w:r>
      <m:oMath>
        <m:sSubSup>
          <m:sSubSupPr>
            <m:ctrlPr>
              <w:rPr>
                <w:rFonts w:ascii="Cambria Math" w:hAnsi="Cambria Math"/>
                <w:i/>
              </w:rPr>
            </m:ctrlPr>
          </m:sSubSupPr>
          <m:e>
            <m:r>
              <m:rPr>
                <m:sty m:val="bi"/>
              </m:rPr>
              <w:rPr>
                <w:rFonts w:ascii="Cambria Math" w:hAnsi="Cambria Math"/>
              </w:rPr>
              <m:t>H</m:t>
            </m:r>
          </m:e>
          <m:sub>
            <m:r>
              <w:rPr>
                <w:rFonts w:ascii="Cambria Math" w:hAnsi="Cambria Math"/>
              </w:rPr>
              <m:t>t</m:t>
            </m:r>
          </m:sub>
          <m:sup>
            <m:r>
              <w:rPr>
                <w:rFonts w:ascii="Cambria Math" w:hAnsi="Cambria Math"/>
              </w:rPr>
              <m:t>1/2</m:t>
            </m:r>
          </m:sup>
        </m:sSubSup>
      </m:oMath>
      <w:r w:rsidR="00695923" w:rsidRPr="00CE3AC8">
        <w:t xml:space="preserve"> is a </w:t>
      </w:r>
      <w:r w:rsidR="00695923" w:rsidRPr="00CE3AC8">
        <w:rPr>
          <w:i/>
        </w:rPr>
        <w:t>(n x n)</w:t>
      </w:r>
      <w:r w:rsidR="00DB43C2" w:rsidRPr="00CE3AC8">
        <w:t xml:space="preserve"> </w:t>
      </w:r>
      <w:r w:rsidR="00695923" w:rsidRPr="00CE3AC8">
        <w:t>matrix</w:t>
      </w:r>
      <w:r w:rsidR="00812705" w:rsidRPr="00CE3AC8">
        <w:t>,</w:t>
      </w:r>
      <w:r w:rsidR="00695923" w:rsidRPr="00CE3AC8">
        <w:t xml:space="preserve"> </w:t>
      </w:r>
      <w:r w:rsidR="006F4008" w:rsidRPr="00CE3AC8">
        <w:t xml:space="preserve">which is </w:t>
      </w:r>
      <w:r w:rsidR="00F12CD6" w:rsidRPr="00CE3AC8">
        <w:t>obtained by a Cholesky decomposition</w:t>
      </w:r>
      <w:r w:rsidR="00EC6844" w:rsidRPr="00CE3AC8">
        <w:t>,</w:t>
      </w:r>
      <w:r w:rsidR="006A000E" w:rsidRPr="00CE3AC8">
        <w:t xml:space="preserve"> </w:t>
      </w:r>
      <m:oMath>
        <m:sSub>
          <m:sSubPr>
            <m:ctrlPr>
              <w:rPr>
                <w:rFonts w:ascii="Cambria Math" w:hAnsi="Cambria Math"/>
                <w:i/>
              </w:rPr>
            </m:ctrlPr>
          </m:sSubPr>
          <m:e>
            <m:r>
              <m:rPr>
                <m:sty m:val="bi"/>
              </m:rPr>
              <w:rPr>
                <w:rFonts w:ascii="Cambria Math" w:hAnsi="Cambria Math"/>
              </w:rPr>
              <m:t>z</m:t>
            </m:r>
          </m:e>
          <m:sub>
            <m:r>
              <w:rPr>
                <w:rFonts w:ascii="Cambria Math" w:hAnsi="Cambria Math"/>
              </w:rPr>
              <m:t>t</m:t>
            </m:r>
          </m:sub>
        </m:sSub>
      </m:oMath>
      <w:r w:rsidR="006A000E" w:rsidRPr="00CE3AC8">
        <w:t xml:space="preserve"> </w:t>
      </w:r>
      <w:r w:rsidR="005727DC" w:rsidRPr="00CE3AC8">
        <w:t xml:space="preserve">is a </w:t>
      </w:r>
      <w:r w:rsidR="005727DC" w:rsidRPr="00CE3AC8">
        <w:rPr>
          <w:i/>
        </w:rPr>
        <w:t>(n x 1)</w:t>
      </w:r>
      <w:r w:rsidR="005727DC" w:rsidRPr="00CE3AC8">
        <w:t xml:space="preserve"> vector process which is </w:t>
      </w:r>
      <w:r w:rsidR="00A81BDA" w:rsidRPr="00CE3AC8">
        <w:t>assumed to follow a standard normal distribution</w:t>
      </w:r>
      <w:r w:rsidR="005727DC" w:rsidRPr="00CE3AC8">
        <w:t xml:space="preserve"> such that </w:t>
      </w:r>
      <m:oMath>
        <m:r>
          <w:rPr>
            <w:rFonts w:ascii="Cambria Math" w:hAnsi="Cambria Math"/>
          </w:rPr>
          <m:t>E(</m:t>
        </m:r>
        <m:sSub>
          <m:sSubPr>
            <m:ctrlPr>
              <w:rPr>
                <w:rFonts w:ascii="Cambria Math" w:hAnsi="Cambria Math"/>
                <w:i/>
              </w:rPr>
            </m:ctrlPr>
          </m:sSubPr>
          <m:e>
            <m:r>
              <m:rPr>
                <m:sty m:val="bi"/>
              </m:rPr>
              <w:rPr>
                <w:rFonts w:ascii="Cambria Math" w:hAnsi="Cambria Math"/>
              </w:rPr>
              <m:t>z</m:t>
            </m:r>
          </m:e>
          <m:sub>
            <m:r>
              <w:rPr>
                <w:rFonts w:ascii="Cambria Math" w:hAnsi="Cambria Math"/>
              </w:rPr>
              <m:t>t</m:t>
            </m:r>
          </m:sub>
        </m:sSub>
        <m:r>
          <w:rPr>
            <w:rFonts w:ascii="Cambria Math" w:hAnsi="Cambria Math"/>
          </w:rPr>
          <m:t>)=</m:t>
        </m:r>
        <m:r>
          <m:rPr>
            <m:sty m:val="bi"/>
          </m:rPr>
          <w:rPr>
            <w:rFonts w:ascii="Cambria Math" w:hAnsi="Cambria Math"/>
          </w:rPr>
          <m:t>0</m:t>
        </m:r>
      </m:oMath>
      <w:r w:rsidR="005727DC" w:rsidRPr="00CE3AC8">
        <w:t xml:space="preserve"> and </w:t>
      </w:r>
      <m:oMath>
        <m:sSub>
          <m:sSubPr>
            <m:ctrlPr>
              <w:rPr>
                <w:rFonts w:ascii="Cambria Math" w:hAnsi="Cambria Math"/>
                <w:i/>
              </w:rPr>
            </m:ctrlPr>
          </m:sSubPr>
          <m:e>
            <m:r>
              <w:rPr>
                <w:rFonts w:ascii="Cambria Math" w:hAnsi="Cambria Math"/>
              </w:rPr>
              <m:t>Var</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z</m:t>
                    </m:r>
                  </m:e>
                  <m:sub>
                    <m:r>
                      <w:rPr>
                        <w:rFonts w:ascii="Cambria Math" w:hAnsi="Cambria Math"/>
                      </w:rPr>
                      <m:t>t</m:t>
                    </m:r>
                  </m:sub>
                </m:sSub>
              </m:e>
            </m:d>
            <m:r>
              <w:rPr>
                <w:rFonts w:ascii="Cambria Math" w:hAnsi="Cambria Math"/>
              </w:rPr>
              <m:t>=E(</m:t>
            </m:r>
            <m:r>
              <m:rPr>
                <m:sty m:val="bi"/>
              </m:rPr>
              <w:rPr>
                <w:rFonts w:ascii="Cambria Math" w:hAnsi="Cambria Math"/>
              </w:rPr>
              <m:t>z</m:t>
            </m:r>
          </m:e>
          <m:sub>
            <m:r>
              <w:rPr>
                <w:rFonts w:ascii="Cambria Math" w:hAnsi="Cambria Math"/>
              </w:rPr>
              <m:t>t</m:t>
            </m:r>
          </m:sub>
        </m:sSub>
        <m:sSubSup>
          <m:sSubSupPr>
            <m:ctrlPr>
              <w:rPr>
                <w:rFonts w:ascii="Cambria Math" w:hAnsi="Cambria Math"/>
                <w:i/>
              </w:rPr>
            </m:ctrlPr>
          </m:sSubSupPr>
          <m:e>
            <m:r>
              <m:rPr>
                <m:sty m:val="bi"/>
              </m:rPr>
              <w:rPr>
                <w:rFonts w:ascii="Cambria Math" w:hAnsi="Cambria Math"/>
              </w:rPr>
              <m:t>z</m:t>
            </m:r>
          </m:e>
          <m:sub>
            <m:r>
              <w:rPr>
                <w:rFonts w:ascii="Cambria Math" w:hAnsi="Cambria Math"/>
              </w:rPr>
              <m:t>t</m:t>
            </m:r>
          </m:sub>
          <m:sup>
            <m:r>
              <w:rPr>
                <w:rFonts w:ascii="Cambria Math" w:hAnsi="Cambria Math"/>
              </w:rPr>
              <m:t>'</m:t>
            </m:r>
          </m:sup>
        </m:sSubSup>
        <m:r>
          <w:rPr>
            <w:rFonts w:ascii="Cambria Math" w:hAnsi="Cambria Math"/>
          </w:rPr>
          <m:t>)=</m:t>
        </m:r>
        <m:sSub>
          <m:sSubPr>
            <m:ctrlPr>
              <w:rPr>
                <w:rFonts w:ascii="Cambria Math" w:hAnsi="Cambria Math"/>
                <w:i/>
              </w:rPr>
            </m:ctrlPr>
          </m:sSubPr>
          <m:e>
            <m:r>
              <m:rPr>
                <m:sty m:val="bi"/>
              </m:rPr>
              <w:rPr>
                <w:rFonts w:ascii="Cambria Math" w:hAnsi="Cambria Math"/>
              </w:rPr>
              <m:t>I</m:t>
            </m:r>
          </m:e>
          <m:sub>
            <m:r>
              <w:rPr>
                <w:rFonts w:ascii="Cambria Math" w:hAnsi="Cambria Math"/>
              </w:rPr>
              <m:t>N</m:t>
            </m:r>
          </m:sub>
        </m:sSub>
      </m:oMath>
      <w:r w:rsidR="00104CEA" w:rsidRPr="00CE3AC8">
        <w:t xml:space="preserve"> with the latter (</w:t>
      </w:r>
      <m:oMath>
        <m:sSub>
          <m:sSubPr>
            <m:ctrlPr>
              <w:rPr>
                <w:rFonts w:ascii="Cambria Math" w:hAnsi="Cambria Math"/>
                <w:i/>
              </w:rPr>
            </m:ctrlPr>
          </m:sSubPr>
          <m:e>
            <m:r>
              <m:rPr>
                <m:sty m:val="bi"/>
              </m:rPr>
              <w:rPr>
                <w:rFonts w:ascii="Cambria Math" w:hAnsi="Cambria Math"/>
              </w:rPr>
              <m:t>I</m:t>
            </m:r>
          </m:e>
          <m:sub>
            <m:r>
              <w:rPr>
                <w:rFonts w:ascii="Cambria Math" w:hAnsi="Cambria Math"/>
              </w:rPr>
              <m:t>N</m:t>
            </m:r>
          </m:sub>
        </m:sSub>
      </m:oMath>
      <w:r w:rsidR="00104CEA" w:rsidRPr="00CE3AC8">
        <w:t>) to express a</w:t>
      </w:r>
      <w:r w:rsidR="0054753E" w:rsidRPr="00CE3AC8">
        <w:t>n</w:t>
      </w:r>
      <w:r w:rsidR="00104CEA" w:rsidRPr="00CE3AC8">
        <w:t xml:space="preserve"> </w:t>
      </w:r>
      <w:r w:rsidR="00104CEA" w:rsidRPr="00CE3AC8">
        <w:rPr>
          <w:i/>
        </w:rPr>
        <w:t>(n x n)</w:t>
      </w:r>
      <w:r w:rsidR="00104CEA" w:rsidRPr="00CE3AC8">
        <w:t xml:space="preserve"> identity matrix. </w:t>
      </w:r>
    </w:p>
    <w:p w14:paraId="241A1FA3" w14:textId="2B334AF8" w:rsidR="007F5788" w:rsidRPr="00CE3AC8" w:rsidRDefault="007F5788" w:rsidP="007F5788">
      <w:pPr>
        <w:spacing w:line="360" w:lineRule="auto"/>
        <w:jc w:val="both"/>
      </w:pPr>
      <w:r w:rsidRPr="00CE3AC8">
        <w:t xml:space="preserve">In the spirit of </w:t>
      </w:r>
      <w:proofErr w:type="spellStart"/>
      <w:r w:rsidRPr="00CE3AC8">
        <w:t>Degiannakis</w:t>
      </w:r>
      <w:proofErr w:type="spellEnd"/>
      <w:r w:rsidRPr="00CE3AC8">
        <w:t xml:space="preserve"> et al. (2016), a set of control variables (</w:t>
      </w:r>
      <m:oMath>
        <m:r>
          <m:rPr>
            <m:sty m:val="bi"/>
          </m:rPr>
          <w:rPr>
            <w:rFonts w:ascii="Cambria Math" w:hAnsi="Cambria Math"/>
          </w:rPr>
          <m:t>X</m:t>
        </m:r>
      </m:oMath>
      <w:r w:rsidRPr="00CE3AC8">
        <w:t xml:space="preserve">) are also included in </w:t>
      </w:r>
      <w:r w:rsidR="00BA30FC">
        <w:t xml:space="preserve">the </w:t>
      </w:r>
      <w:r w:rsidRPr="00CE3AC8">
        <w:t xml:space="preserve">mean equation, </w:t>
      </w:r>
      <w:r w:rsidR="00BA30FC">
        <w:t>in order</w:t>
      </w:r>
      <w:r w:rsidRPr="00CE3AC8">
        <w:t xml:space="preserve"> to accommodate any omitted variable bias</w:t>
      </w:r>
      <w:r w:rsidR="00CD6159">
        <w:t>, as discussed in Section 3</w:t>
      </w:r>
      <w:r w:rsidRPr="00CE3AC8">
        <w:t xml:space="preserve">. In particular, vector </w:t>
      </w:r>
      <m:oMath>
        <m:r>
          <m:rPr>
            <m:sty m:val="bi"/>
          </m:rPr>
          <w:rPr>
            <w:rFonts w:ascii="Cambria Math" w:hAnsi="Cambria Math"/>
          </w:rPr>
          <m:t>X</m:t>
        </m:r>
      </m:oMath>
      <w:r w:rsidRPr="00CE3AC8">
        <w:t xml:space="preserve"> includes the European Economic Policy Uncertainty</w:t>
      </w:r>
      <w:r w:rsidR="00DD0C57" w:rsidRPr="00CE3AC8">
        <w:t xml:space="preserve"> (EPU)</w:t>
      </w:r>
      <w:r w:rsidRPr="00CE3AC8">
        <w:t>, European Monetary Policy Uncertainty</w:t>
      </w:r>
      <w:r w:rsidR="00DD0C57" w:rsidRPr="00CE3AC8">
        <w:t xml:space="preserve"> (MPU)</w:t>
      </w:r>
      <w:r w:rsidR="00D3506D">
        <w:t>, as well as</w:t>
      </w:r>
      <w:r w:rsidRPr="00CE3AC8">
        <w:t xml:space="preserve"> stock market and oil price volatilities</w:t>
      </w:r>
      <w:r w:rsidR="00DD0C57" w:rsidRPr="00CE3AC8">
        <w:t xml:space="preserve"> (VOL and ROV, respectively)</w:t>
      </w:r>
      <w:r w:rsidR="003702A1">
        <w:rPr>
          <w:rStyle w:val="FootnoteReference"/>
        </w:rPr>
        <w:footnoteReference w:id="20"/>
      </w:r>
      <w:r w:rsidR="00BA30FC">
        <w:t>.</w:t>
      </w:r>
      <w:r w:rsidRPr="00CE3AC8">
        <w:t xml:space="preserve"> </w:t>
      </w:r>
      <w:r w:rsidR="00CD6159">
        <w:t>T</w:t>
      </w:r>
      <w:r w:rsidR="00DD0C57" w:rsidRPr="00CE3AC8">
        <w:t xml:space="preserve">heir inclusion allows us to separate </w:t>
      </w:r>
      <w:r w:rsidR="00DD0C57" w:rsidRPr="00CE3AC8">
        <w:lastRenderedPageBreak/>
        <w:t xml:space="preserve">any impact of the aforementioned variables </w:t>
      </w:r>
      <w:r w:rsidR="00BA30FC">
        <w:t>on</w:t>
      </w:r>
      <w:r w:rsidR="00DD0C57" w:rsidRPr="00CE3AC8">
        <w:t xml:space="preserve"> the time-varying relationship between oil price shocks and bond yield spreads</w:t>
      </w:r>
      <w:r w:rsidR="00D3506D">
        <w:t>.</w:t>
      </w:r>
      <w:r w:rsidR="00E9201A" w:rsidRPr="00CE3AC8">
        <w:rPr>
          <w:rStyle w:val="FootnoteReference"/>
        </w:rPr>
        <w:footnoteReference w:id="21"/>
      </w:r>
      <w:r w:rsidR="00DD0C57" w:rsidRPr="00CE3AC8">
        <w:t xml:space="preserve"> </w:t>
      </w:r>
      <w:r w:rsidR="00F91D1A" w:rsidRPr="00CE3AC8">
        <w:t xml:space="preserve">Finally, </w:t>
      </w:r>
      <m:oMath>
        <m:r>
          <m:rPr>
            <m:sty m:val="bi"/>
          </m:rPr>
          <w:rPr>
            <w:rFonts w:ascii="Cambria Math" w:hAnsi="Cambria Math"/>
          </w:rPr>
          <m:t>δ</m:t>
        </m:r>
      </m:oMath>
      <w:r w:rsidR="00F91D1A" w:rsidRPr="00CE3AC8">
        <w:t xml:space="preserve"> denotes vector of coefficients to be estimated for each control variable. </w:t>
      </w:r>
      <w:r w:rsidR="00AC5897" w:rsidRPr="00CE3AC8">
        <w:t>We</w:t>
      </w:r>
      <w:r w:rsidR="00DC0114" w:rsidRPr="00CE3AC8">
        <w:t xml:space="preserve"> also estimate the </w:t>
      </w:r>
      <w:r w:rsidR="0071290B" w:rsidRPr="00CE3AC8">
        <w:t>s</w:t>
      </w:r>
      <w:r w:rsidR="00DC0114" w:rsidRPr="00CE3AC8">
        <w:t>calar-BEKK model excluding the vector of the control variables (</w:t>
      </w:r>
      <m:oMath>
        <m:r>
          <m:rPr>
            <m:sty m:val="bi"/>
          </m:rPr>
          <w:rPr>
            <w:rFonts w:ascii="Cambria Math" w:hAnsi="Cambria Math"/>
          </w:rPr>
          <m:t>X</m:t>
        </m:r>
      </m:oMath>
      <w:r w:rsidR="00DC0114" w:rsidRPr="00CE3AC8">
        <w:t>) from the mean equation so to allow relevant comparisons.</w:t>
      </w:r>
    </w:p>
    <w:p w14:paraId="0D312490" w14:textId="3F1FF47B" w:rsidR="00903260" w:rsidRPr="00CE3AC8" w:rsidRDefault="000F2323" w:rsidP="00642FA0">
      <w:pPr>
        <w:spacing w:line="360" w:lineRule="auto"/>
        <w:jc w:val="both"/>
      </w:pPr>
      <w:r w:rsidRPr="00CE3AC8">
        <w:t>T</w:t>
      </w:r>
      <w:r w:rsidR="0015376A" w:rsidRPr="00CE3AC8">
        <w:t>he variance-covariance matrix</w:t>
      </w:r>
      <w:r w:rsidR="00AB5C17">
        <w:t xml:space="preserve">, </w:t>
      </w:r>
      <m:oMath>
        <m:sSub>
          <m:sSubPr>
            <m:ctrlPr>
              <w:rPr>
                <w:rFonts w:ascii="Cambria Math" w:hAnsi="Cambria Math"/>
                <w:i/>
              </w:rPr>
            </m:ctrlPr>
          </m:sSubPr>
          <m:e>
            <m:r>
              <m:rPr>
                <m:sty m:val="bi"/>
              </m:rPr>
              <w:rPr>
                <w:rFonts w:ascii="Cambria Math" w:hAnsi="Cambria Math"/>
              </w:rPr>
              <m:t>H</m:t>
            </m:r>
          </m:e>
          <m:sub>
            <m:r>
              <w:rPr>
                <w:rFonts w:ascii="Cambria Math" w:hAnsi="Cambria Math"/>
              </w:rPr>
              <m:t>t</m:t>
            </m:r>
          </m:sub>
        </m:sSub>
      </m:oMath>
      <w:r w:rsidR="00223ED6" w:rsidRPr="00CE3AC8">
        <w:t xml:space="preserve">, </w:t>
      </w:r>
      <w:r w:rsidRPr="00CE3AC8">
        <w:t>is estimated assuming a first-order GARCH process, such as that</w:t>
      </w:r>
      <w:r w:rsidR="00642FA0" w:rsidRPr="00CE3AC8">
        <w:t>:</w:t>
      </w:r>
    </w:p>
    <w:p w14:paraId="44B234B1" w14:textId="77777777" w:rsidR="00774294" w:rsidRPr="00CE3AC8" w:rsidRDefault="00774294" w:rsidP="00642FA0">
      <w:pPr>
        <w:spacing w:line="36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646"/>
      </w:tblGrid>
      <w:tr w:rsidR="00032F8D" w:rsidRPr="00B375E2" w14:paraId="31AD84FA" w14:textId="77777777" w:rsidTr="002E665D">
        <w:tc>
          <w:tcPr>
            <w:tcW w:w="7650" w:type="dxa"/>
            <w:vAlign w:val="center"/>
          </w:tcPr>
          <w:p w14:paraId="14A1D617" w14:textId="34938A57" w:rsidR="00032F8D" w:rsidRPr="00CE3AC8" w:rsidRDefault="00FA2618" w:rsidP="00950804">
            <w:pPr>
              <w:jc w:val="center"/>
            </w:pPr>
            <m:oMath>
              <m:sSub>
                <m:sSubPr>
                  <m:ctrlPr>
                    <w:rPr>
                      <w:rFonts w:ascii="Cambria Math" w:hAnsi="Cambria Math"/>
                      <w:i/>
                    </w:rPr>
                  </m:ctrlPr>
                </m:sSubPr>
                <m:e>
                  <m:r>
                    <m:rPr>
                      <m:sty m:val="bi"/>
                    </m:rPr>
                    <w:rPr>
                      <w:rFonts w:ascii="Cambria Math" w:hAnsi="Cambria Math"/>
                    </w:rPr>
                    <m:t>H</m:t>
                  </m:r>
                </m:e>
                <m:sub>
                  <m:r>
                    <w:rPr>
                      <w:rFonts w:ascii="Cambria Math" w:hAnsi="Cambria Math"/>
                    </w:rPr>
                    <m:t>t</m:t>
                  </m:r>
                </m:sub>
              </m:sSub>
              <m:r>
                <w:rPr>
                  <w:rFonts w:ascii="Cambria Math" w:hAnsi="Cambria Math"/>
                </w:rPr>
                <m:t>=</m:t>
              </m:r>
              <m:sSup>
                <m:sSupPr>
                  <m:ctrlPr>
                    <w:rPr>
                      <w:rFonts w:ascii="Cambria Math" w:hAnsi="Cambria Math"/>
                      <w:i/>
                    </w:rPr>
                  </m:ctrlPr>
                </m:sSupPr>
                <m:e>
                  <m:r>
                    <m:rPr>
                      <m:sty m:val="bi"/>
                    </m:rPr>
                    <w:rPr>
                      <w:rFonts w:ascii="Cambria Math" w:hAnsi="Cambria Math"/>
                    </w:rPr>
                    <m:t>CC</m:t>
                  </m:r>
                </m:e>
                <m:sup>
                  <m:r>
                    <w:rPr>
                      <w:rFonts w:ascii="Cambria Math" w:hAnsi="Cambria Math"/>
                    </w:rPr>
                    <m:t>'</m:t>
                  </m:r>
                </m:sup>
              </m:sSup>
              <m:r>
                <w:rPr>
                  <w:rFonts w:ascii="Cambria Math" w:hAnsi="Cambria Math"/>
                </w:rPr>
                <m:t>+</m:t>
              </m:r>
              <m:sSub>
                <m:sSubPr>
                  <m:ctrlPr>
                    <w:rPr>
                      <w:rFonts w:ascii="Cambria Math" w:hAnsi="Cambria Math"/>
                      <w:i/>
                    </w:rPr>
                  </m:ctrlPr>
                </m:sSubPr>
                <m:e>
                  <m:r>
                    <m:rPr>
                      <m:sty m:val="bi"/>
                    </m:rPr>
                    <w:rPr>
                      <w:rFonts w:ascii="Cambria Math" w:hAnsi="Cambria Math"/>
                    </w:rPr>
                    <m:t>A</m:t>
                  </m:r>
                  <m:r>
                    <m:rPr>
                      <m:sty m:val="bi"/>
                    </m:rPr>
                    <w:rPr>
                      <w:rFonts w:ascii="Cambria Math" w:hAnsi="Cambria Math"/>
                      <w:b/>
                      <w:i/>
                    </w:rPr>
                    <w:sym w:font="Symbol" w:char="F065"/>
                  </m:r>
                </m:e>
                <m:sub>
                  <m:r>
                    <w:rPr>
                      <w:rFonts w:ascii="Cambria Math" w:hAnsi="Cambria Math"/>
                    </w:rPr>
                    <m:t>t-1</m:t>
                  </m:r>
                </m:sub>
              </m:sSub>
              <m:sSup>
                <m:sSupPr>
                  <m:ctrlPr>
                    <w:rPr>
                      <w:rFonts w:ascii="Cambria Math" w:hAnsi="Cambria Math"/>
                      <w:i/>
                    </w:rPr>
                  </m:ctrlPr>
                </m:sSupPr>
                <m:e>
                  <m:sSubSup>
                    <m:sSubSupPr>
                      <m:ctrlPr>
                        <w:rPr>
                          <w:rFonts w:ascii="Cambria Math" w:hAnsi="Cambria Math"/>
                          <w:i/>
                        </w:rPr>
                      </m:ctrlPr>
                    </m:sSubSupPr>
                    <m:e>
                      <m:r>
                        <m:rPr>
                          <m:sty m:val="bi"/>
                        </m:rPr>
                        <w:rPr>
                          <w:rFonts w:ascii="Cambria Math" w:hAnsi="Cambria Math"/>
                          <w:b/>
                          <w:i/>
                        </w:rPr>
                        <w:sym w:font="Symbol" w:char="F065"/>
                      </m:r>
                      <m:r>
                        <w:rPr>
                          <w:rFonts w:ascii="Cambria Math" w:hAnsi="Cambria Math"/>
                        </w:rPr>
                        <m:t xml:space="preserve"> </m:t>
                      </m:r>
                    </m:e>
                    <m:sub>
                      <m:r>
                        <w:rPr>
                          <w:rFonts w:ascii="Cambria Math" w:hAnsi="Cambria Math"/>
                        </w:rPr>
                        <m:t>t-1</m:t>
                      </m:r>
                    </m:sub>
                    <m:sup>
                      <m:r>
                        <w:rPr>
                          <w:rFonts w:ascii="Cambria Math" w:hAnsi="Cambria Math"/>
                        </w:rPr>
                        <m:t>'</m:t>
                      </m:r>
                    </m:sup>
                  </m:sSubSup>
                  <m:r>
                    <m:rPr>
                      <m:sty m:val="bi"/>
                    </m:rPr>
                    <w:rPr>
                      <w:rFonts w:ascii="Cambria Math" w:hAnsi="Cambria Math"/>
                    </w:rPr>
                    <m:t>A</m:t>
                  </m:r>
                </m:e>
                <m:sup>
                  <m:r>
                    <w:rPr>
                      <w:rFonts w:ascii="Cambria Math" w:hAnsi="Cambria Math"/>
                    </w:rPr>
                    <m:t>'</m:t>
                  </m:r>
                </m:sup>
              </m:sSup>
              <m:r>
                <w:rPr>
                  <w:rFonts w:ascii="Cambria Math" w:hAnsi="Cambria Math"/>
                </w:rPr>
                <m:t>+</m:t>
              </m:r>
              <m:sSub>
                <m:sSubPr>
                  <m:ctrlPr>
                    <w:rPr>
                      <w:rFonts w:ascii="Cambria Math" w:hAnsi="Cambria Math"/>
                      <w:i/>
                    </w:rPr>
                  </m:ctrlPr>
                </m:sSubPr>
                <m:e>
                  <m:r>
                    <m:rPr>
                      <m:sty m:val="bi"/>
                    </m:rPr>
                    <w:rPr>
                      <w:rFonts w:ascii="Cambria Math" w:hAnsi="Cambria Math"/>
                    </w:rPr>
                    <m:t>BH</m:t>
                  </m:r>
                </m:e>
                <m:sub>
                  <m:r>
                    <w:rPr>
                      <w:rFonts w:ascii="Cambria Math" w:hAnsi="Cambria Math"/>
                    </w:rPr>
                    <m:t>t-1</m:t>
                  </m:r>
                </m:sub>
              </m:sSub>
              <m:sSup>
                <m:sSupPr>
                  <m:ctrlPr>
                    <w:rPr>
                      <w:rFonts w:ascii="Cambria Math" w:hAnsi="Cambria Math"/>
                      <w:i/>
                    </w:rPr>
                  </m:ctrlPr>
                </m:sSupPr>
                <m:e>
                  <m:r>
                    <m:rPr>
                      <m:sty m:val="bi"/>
                    </m:rPr>
                    <w:rPr>
                      <w:rFonts w:ascii="Cambria Math" w:hAnsi="Cambria Math"/>
                    </w:rPr>
                    <m:t>B</m:t>
                  </m:r>
                </m:e>
                <m:sup>
                  <m:r>
                    <w:rPr>
                      <w:rFonts w:ascii="Cambria Math" w:hAnsi="Cambria Math"/>
                    </w:rPr>
                    <m:t>'</m:t>
                  </m:r>
                </m:sup>
              </m:sSup>
            </m:oMath>
            <w:r w:rsidR="00950804" w:rsidRPr="00CE3AC8">
              <w:t>,</w:t>
            </w:r>
          </w:p>
        </w:tc>
        <w:tc>
          <w:tcPr>
            <w:tcW w:w="646" w:type="dxa"/>
            <w:vAlign w:val="center"/>
          </w:tcPr>
          <w:p w14:paraId="1F9EFF1B" w14:textId="58B25418" w:rsidR="00032F8D" w:rsidRPr="00CE3AC8" w:rsidRDefault="00032F8D" w:rsidP="008B2A31">
            <w:pPr>
              <w:jc w:val="center"/>
            </w:pPr>
            <w:r w:rsidRPr="00CE3AC8">
              <w:t>(</w:t>
            </w:r>
            <w:r w:rsidR="0015376A" w:rsidRPr="00CE3AC8">
              <w:t>7</w:t>
            </w:r>
            <w:r w:rsidRPr="00CE3AC8">
              <w:t>)</w:t>
            </w:r>
          </w:p>
        </w:tc>
      </w:tr>
    </w:tbl>
    <w:p w14:paraId="0F2B1984" w14:textId="77777777" w:rsidR="008B2A31" w:rsidRPr="00B375E2" w:rsidRDefault="008B2A31" w:rsidP="00AE6FD4">
      <w:pPr>
        <w:spacing w:line="360" w:lineRule="auto"/>
        <w:jc w:val="both"/>
        <w:rPr>
          <w:highlight w:val="yellow"/>
        </w:rPr>
      </w:pPr>
    </w:p>
    <w:p w14:paraId="78083FA1" w14:textId="32BFE29E" w:rsidR="00C30C77" w:rsidRPr="00CE3AC8" w:rsidRDefault="00ED4551" w:rsidP="00AE6FD4">
      <w:pPr>
        <w:spacing w:line="360" w:lineRule="auto"/>
        <w:jc w:val="both"/>
      </w:pPr>
      <w:r w:rsidRPr="00CE3AC8">
        <w:t>where</w:t>
      </w:r>
      <w:r w:rsidR="00037425" w:rsidRPr="00CE3AC8">
        <w:t xml:space="preserve"> </w:t>
      </w:r>
      <w:r w:rsidR="00037425" w:rsidRPr="00CE3AC8">
        <w:rPr>
          <w:b/>
          <w:i/>
        </w:rPr>
        <w:t>C</w:t>
      </w:r>
      <w:r w:rsidR="00037425" w:rsidRPr="00CE3AC8">
        <w:t xml:space="preserve"> is </w:t>
      </w:r>
      <w:r w:rsidR="00C503A4" w:rsidRPr="00CE3AC8">
        <w:t>an</w:t>
      </w:r>
      <w:r w:rsidR="00037425" w:rsidRPr="00CE3AC8">
        <w:t xml:space="preserve"> </w:t>
      </w:r>
      <w:r w:rsidR="00037425" w:rsidRPr="00CE3AC8">
        <w:rPr>
          <w:i/>
        </w:rPr>
        <w:t>(n x n)</w:t>
      </w:r>
      <w:r w:rsidR="003270A8" w:rsidRPr="00CE3AC8">
        <w:t xml:space="preserve"> lower triangular matrix, </w:t>
      </w:r>
      <w:r w:rsidR="00FE44D7" w:rsidRPr="00CE3AC8">
        <w:t xml:space="preserve">whereas the </w:t>
      </w:r>
      <w:r w:rsidR="00FE44D7" w:rsidRPr="00CE3AC8">
        <w:rPr>
          <w:b/>
          <w:i/>
        </w:rPr>
        <w:t>A</w:t>
      </w:r>
      <w:r w:rsidR="00FE44D7" w:rsidRPr="00CE3AC8">
        <w:t xml:space="preserve"> and </w:t>
      </w:r>
      <w:r w:rsidR="00FE44D7" w:rsidRPr="00CE3AC8">
        <w:rPr>
          <w:b/>
          <w:i/>
        </w:rPr>
        <w:t>B</w:t>
      </w:r>
      <w:r w:rsidR="00FE44D7" w:rsidRPr="00CE3AC8">
        <w:t xml:space="preserve"> </w:t>
      </w:r>
      <w:r w:rsidR="00431B4A" w:rsidRPr="00CE3AC8">
        <w:t xml:space="preserve">are </w:t>
      </w:r>
      <w:r w:rsidR="00774294" w:rsidRPr="00CE3AC8">
        <w:rPr>
          <w:i/>
        </w:rPr>
        <w:t xml:space="preserve">(n x n) </w:t>
      </w:r>
      <w:r w:rsidR="00431B4A" w:rsidRPr="00CE3AC8">
        <w:t>square parameter matrices</w:t>
      </w:r>
      <w:r w:rsidR="00DB3311" w:rsidRPr="00CE3AC8">
        <w:t>.</w:t>
      </w:r>
      <w:r w:rsidR="00411A82" w:rsidRPr="00CE3AC8">
        <w:t xml:space="preserve"> </w:t>
      </w:r>
      <w:r w:rsidR="00C30C77" w:rsidRPr="00CE3AC8">
        <w:t xml:space="preserve">Specifically, matrix </w:t>
      </w:r>
      <w:r w:rsidR="00C30C77" w:rsidRPr="00CE3AC8">
        <w:rPr>
          <w:b/>
          <w:i/>
        </w:rPr>
        <w:t>A</w:t>
      </w:r>
      <w:r w:rsidR="00C30C77" w:rsidRPr="00CE3AC8">
        <w:t xml:space="preserve"> reflects the ne</w:t>
      </w:r>
      <w:r w:rsidR="00913F48" w:rsidRPr="00CE3AC8">
        <w:t>ws shock and</w:t>
      </w:r>
      <w:r w:rsidR="00C30C77" w:rsidRPr="00CE3AC8">
        <w:t xml:space="preserve"> matrix </w:t>
      </w:r>
      <w:r w:rsidR="00C30C77" w:rsidRPr="00CE3AC8">
        <w:rPr>
          <w:b/>
          <w:i/>
        </w:rPr>
        <w:t>B</w:t>
      </w:r>
      <w:r w:rsidR="00C30C77" w:rsidRPr="00CE3AC8">
        <w:t xml:space="preserve"> represents the persistence in conditional volatility. </w:t>
      </w:r>
    </w:p>
    <w:p w14:paraId="0BCDEC02" w14:textId="20466CF8" w:rsidR="009228BF" w:rsidRPr="00CE3AC8" w:rsidRDefault="00BD0B71" w:rsidP="00AE6FD4">
      <w:pPr>
        <w:spacing w:line="360" w:lineRule="auto"/>
        <w:jc w:val="both"/>
      </w:pPr>
      <w:r w:rsidRPr="00CE3AC8">
        <w:t xml:space="preserve">In addition, </w:t>
      </w:r>
      <w:r w:rsidR="004C2D20" w:rsidRPr="00CE3AC8">
        <w:t xml:space="preserve">as proposed by </w:t>
      </w:r>
      <w:r w:rsidR="007E38D5" w:rsidRPr="00CE3AC8">
        <w:t xml:space="preserve">Ding and Engle (2001) </w:t>
      </w:r>
      <w:r w:rsidRPr="00CE3AC8">
        <w:t xml:space="preserve">the </w:t>
      </w:r>
      <w:r w:rsidR="003C627D" w:rsidRPr="00CE3AC8">
        <w:t>scalar-</w:t>
      </w:r>
      <w:r w:rsidRPr="00CE3AC8">
        <w:t xml:space="preserve">BEKK representation implies that </w:t>
      </w:r>
      <w:r w:rsidRPr="00CE3AC8">
        <w:rPr>
          <w:b/>
          <w:i/>
        </w:rPr>
        <w:t>A</w:t>
      </w:r>
      <w:r w:rsidRPr="00CE3AC8">
        <w:t xml:space="preserve"> = </w:t>
      </w:r>
      <w:r w:rsidRPr="00CE3AC8">
        <w:rPr>
          <w:i/>
        </w:rPr>
        <w:sym w:font="Symbol" w:char="F061"/>
      </w:r>
      <w:r w:rsidR="00B560FC" w:rsidRPr="00CE3AC8">
        <w:rPr>
          <w:i/>
        </w:rPr>
        <w:t xml:space="preserve"> </w:t>
      </w:r>
      <m:oMath>
        <m:sSub>
          <m:sSubPr>
            <m:ctrlPr>
              <w:rPr>
                <w:rFonts w:ascii="Cambria Math" w:hAnsi="Cambria Math"/>
                <w:i/>
              </w:rPr>
            </m:ctrlPr>
          </m:sSubPr>
          <m:e>
            <m:r>
              <m:rPr>
                <m:sty m:val="bi"/>
              </m:rPr>
              <w:rPr>
                <w:rFonts w:ascii="Cambria Math" w:hAnsi="Cambria Math"/>
              </w:rPr>
              <m:t>I</m:t>
            </m:r>
          </m:e>
          <m:sub>
            <m:r>
              <w:rPr>
                <w:rFonts w:ascii="Cambria Math" w:hAnsi="Cambria Math"/>
              </w:rPr>
              <m:t>N</m:t>
            </m:r>
          </m:sub>
        </m:sSub>
      </m:oMath>
      <w:r w:rsidRPr="00CE3AC8">
        <w:rPr>
          <w:vertAlign w:val="subscript"/>
        </w:rPr>
        <w:t xml:space="preserve"> </w:t>
      </w:r>
      <w:r w:rsidRPr="00CE3AC8">
        <w:t xml:space="preserve">and </w:t>
      </w:r>
      <w:r w:rsidRPr="00CE3AC8">
        <w:rPr>
          <w:b/>
          <w:i/>
        </w:rPr>
        <w:t>B</w:t>
      </w:r>
      <w:r w:rsidRPr="00CE3AC8">
        <w:t xml:space="preserve"> = </w:t>
      </w:r>
      <w:r w:rsidRPr="00CE3AC8">
        <w:rPr>
          <w:i/>
        </w:rPr>
        <w:sym w:font="Symbol" w:char="F062"/>
      </w:r>
      <m:oMath>
        <m:r>
          <w:rPr>
            <w:rFonts w:ascii="Cambria Math" w:hAnsi="Cambria Math"/>
          </w:rPr>
          <m:t xml:space="preserve"> </m:t>
        </m:r>
        <m:sSub>
          <m:sSubPr>
            <m:ctrlPr>
              <w:rPr>
                <w:rFonts w:ascii="Cambria Math" w:hAnsi="Cambria Math"/>
                <w:i/>
              </w:rPr>
            </m:ctrlPr>
          </m:sSubPr>
          <m:e>
            <m:r>
              <m:rPr>
                <m:sty m:val="bi"/>
              </m:rPr>
              <w:rPr>
                <w:rFonts w:ascii="Cambria Math" w:hAnsi="Cambria Math"/>
              </w:rPr>
              <m:t>I</m:t>
            </m:r>
          </m:e>
          <m:sub>
            <m:r>
              <w:rPr>
                <w:rFonts w:ascii="Cambria Math" w:hAnsi="Cambria Math"/>
              </w:rPr>
              <m:t>N</m:t>
            </m:r>
          </m:sub>
        </m:sSub>
      </m:oMath>
      <w:r w:rsidR="00056445" w:rsidRPr="00CE3AC8">
        <w:t>,</w:t>
      </w:r>
      <w:r w:rsidR="00350CF8" w:rsidRPr="00CE3AC8">
        <w:rPr>
          <w:vertAlign w:val="subscript"/>
        </w:rPr>
        <w:t xml:space="preserve"> </w:t>
      </w:r>
      <w:r w:rsidR="00260878" w:rsidRPr="00CE3AC8">
        <w:t xml:space="preserve">where </w:t>
      </w:r>
      <w:r w:rsidR="00260878" w:rsidRPr="00CE3AC8">
        <w:rPr>
          <w:i/>
        </w:rPr>
        <w:sym w:font="Symbol" w:char="F061"/>
      </w:r>
      <w:r w:rsidR="00260878" w:rsidRPr="00CE3AC8">
        <w:t xml:space="preserve"> and </w:t>
      </w:r>
      <w:r w:rsidR="00260878" w:rsidRPr="00CE3AC8">
        <w:rPr>
          <w:i/>
        </w:rPr>
        <w:sym w:font="Symbol" w:char="F062"/>
      </w:r>
      <w:r w:rsidR="00260878" w:rsidRPr="00CE3AC8">
        <w:t xml:space="preserve"> are </w:t>
      </w:r>
      <w:r w:rsidR="004B20BE" w:rsidRPr="00CE3AC8">
        <w:t xml:space="preserve">positive </w:t>
      </w:r>
      <w:r w:rsidR="00C83C5C" w:rsidRPr="00CE3AC8">
        <w:t>scalars</w:t>
      </w:r>
      <w:r w:rsidR="00431B4A" w:rsidRPr="00CE3AC8">
        <w:t>.</w:t>
      </w:r>
      <w:r w:rsidR="005A05B5" w:rsidRPr="00CE3AC8">
        <w:t xml:space="preserve"> </w:t>
      </w:r>
      <w:r w:rsidR="009228BF" w:rsidRPr="00CE3AC8">
        <w:t xml:space="preserve">Hence, </w:t>
      </w:r>
      <w:r w:rsidR="009228BF" w:rsidRPr="00CE3AC8">
        <w:rPr>
          <w:b/>
          <w:i/>
        </w:rPr>
        <w:t>A</w:t>
      </w:r>
      <w:r w:rsidR="009228BF" w:rsidRPr="00CE3AC8">
        <w:t xml:space="preserve"> and </w:t>
      </w:r>
      <w:r w:rsidR="009228BF" w:rsidRPr="00CE3AC8">
        <w:rPr>
          <w:b/>
          <w:i/>
        </w:rPr>
        <w:t>B</w:t>
      </w:r>
      <w:r w:rsidR="009228BF" w:rsidRPr="00CE3AC8">
        <w:t xml:space="preserve"> are </w:t>
      </w:r>
      <w:r w:rsidR="000A42C3" w:rsidRPr="00CE3AC8">
        <w:t>matrices of on</w:t>
      </w:r>
      <w:r w:rsidR="009C246D" w:rsidRPr="00CE3AC8">
        <w:t>e</w:t>
      </w:r>
      <w:r w:rsidR="000A42C3" w:rsidRPr="00CE3AC8">
        <w:t xml:space="preserve">s and </w:t>
      </w:r>
      <w:r w:rsidR="009228BF" w:rsidRPr="00CE3AC8">
        <w:t xml:space="preserve">proportional to the </w:t>
      </w:r>
      <m:oMath>
        <m:sSub>
          <m:sSubPr>
            <m:ctrlPr>
              <w:rPr>
                <w:rFonts w:ascii="Cambria Math" w:hAnsi="Cambria Math"/>
                <w:i/>
              </w:rPr>
            </m:ctrlPr>
          </m:sSubPr>
          <m:e>
            <m:r>
              <w:rPr>
                <w:rFonts w:ascii="Cambria Math" w:hAnsi="Cambria Math"/>
              </w:rPr>
              <m:t>I</m:t>
            </m:r>
          </m:e>
          <m:sub>
            <m:r>
              <w:rPr>
                <w:rFonts w:ascii="Cambria Math" w:hAnsi="Cambria Math"/>
              </w:rPr>
              <m:t>N</m:t>
            </m:r>
          </m:sub>
        </m:sSub>
      </m:oMath>
      <w:r w:rsidR="009228BF" w:rsidRPr="00CE3AC8">
        <w:t xml:space="preserve"> and the </w:t>
      </w:r>
      <w:r w:rsidR="003C627D" w:rsidRPr="00CE3AC8">
        <w:t>scalar-</w:t>
      </w:r>
      <w:r w:rsidR="009228BF" w:rsidRPr="00CE3AC8">
        <w:t>BEKK can be written as:</w:t>
      </w:r>
    </w:p>
    <w:p w14:paraId="223A7D72" w14:textId="77777777" w:rsidR="008B2A31" w:rsidRPr="00CE3AC8" w:rsidRDefault="008B2A31" w:rsidP="00AE6FD4">
      <w:pPr>
        <w:spacing w:line="36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646"/>
      </w:tblGrid>
      <w:tr w:rsidR="008B2A31" w:rsidRPr="00CE3AC8" w14:paraId="040B036B" w14:textId="77777777" w:rsidTr="002E665D">
        <w:tc>
          <w:tcPr>
            <w:tcW w:w="7650" w:type="dxa"/>
            <w:vAlign w:val="center"/>
          </w:tcPr>
          <w:p w14:paraId="452581DC" w14:textId="6BD6DE49" w:rsidR="008B2A31" w:rsidRPr="00CE3AC8" w:rsidRDefault="00FA2618" w:rsidP="008B2A31">
            <w:pPr>
              <w:jc w:val="both"/>
            </w:pPr>
            <m:oMathPara>
              <m:oMath>
                <m:sSub>
                  <m:sSubPr>
                    <m:ctrlPr>
                      <w:rPr>
                        <w:rFonts w:ascii="Cambria Math" w:hAnsi="Cambria Math"/>
                        <w:i/>
                      </w:rPr>
                    </m:ctrlPr>
                  </m:sSubPr>
                  <m:e>
                    <m:r>
                      <m:rPr>
                        <m:sty m:val="bi"/>
                      </m:rPr>
                      <w:rPr>
                        <w:rFonts w:ascii="Cambria Math" w:hAnsi="Cambria Math"/>
                      </w:rPr>
                      <m:t>H</m:t>
                    </m:r>
                  </m:e>
                  <m:sub>
                    <m:r>
                      <w:rPr>
                        <w:rFonts w:ascii="Cambria Math" w:hAnsi="Cambria Math"/>
                      </w:rPr>
                      <m:t>t</m:t>
                    </m:r>
                  </m:sub>
                </m:sSub>
                <m:r>
                  <w:rPr>
                    <w:rFonts w:ascii="Cambria Math" w:hAnsi="Cambria Math"/>
                  </w:rPr>
                  <m:t>=</m:t>
                </m:r>
                <m:sSup>
                  <m:sSupPr>
                    <m:ctrlPr>
                      <w:rPr>
                        <w:rFonts w:ascii="Cambria Math" w:hAnsi="Cambria Math"/>
                        <w:i/>
                      </w:rPr>
                    </m:ctrlPr>
                  </m:sSupPr>
                  <m:e>
                    <m:r>
                      <m:rPr>
                        <m:sty m:val="bi"/>
                      </m:rPr>
                      <w:rPr>
                        <w:rFonts w:ascii="Cambria Math" w:hAnsi="Cambria Math"/>
                      </w:rPr>
                      <m:t>CC</m:t>
                    </m:r>
                  </m:e>
                  <m:sup>
                    <m:r>
                      <w:rPr>
                        <w:rFonts w:ascii="Cambria Math" w:hAnsi="Cambria Math"/>
                      </w:rPr>
                      <m:t>'</m:t>
                    </m:r>
                  </m:sup>
                </m:sSup>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α</m:t>
                        </m:r>
                      </m:e>
                      <m:sup>
                        <m:r>
                          <w:rPr>
                            <w:rFonts w:ascii="Cambria Math" w:hAnsi="Cambria Math"/>
                          </w:rPr>
                          <m:t>2</m:t>
                        </m:r>
                      </m:sup>
                    </m:sSup>
                    <m:r>
                      <w:rPr>
                        <w:rFonts w:ascii="Cambria Math" w:hAnsi="Cambria Math"/>
                      </w:rPr>
                      <m:t>(</m:t>
                    </m:r>
                    <m:r>
                      <m:rPr>
                        <m:sty m:val="bi"/>
                      </m:rPr>
                      <w:rPr>
                        <w:rFonts w:ascii="Cambria Math" w:hAnsi="Cambria Math"/>
                        <w:b/>
                        <w:i/>
                      </w:rPr>
                      <w:sym w:font="Symbol" w:char="F065"/>
                    </m:r>
                  </m:e>
                  <m:sub>
                    <m:r>
                      <w:rPr>
                        <w:rFonts w:ascii="Cambria Math" w:hAnsi="Cambria Math"/>
                      </w:rPr>
                      <m:t>t-1</m:t>
                    </m:r>
                  </m:sub>
                </m:sSub>
                <m:sSubSup>
                  <m:sSubSupPr>
                    <m:ctrlPr>
                      <w:rPr>
                        <w:rFonts w:ascii="Cambria Math" w:hAnsi="Cambria Math"/>
                        <w:i/>
                      </w:rPr>
                    </m:ctrlPr>
                  </m:sSubSupPr>
                  <m:e>
                    <m:r>
                      <m:rPr>
                        <m:sty m:val="bi"/>
                      </m:rPr>
                      <w:rPr>
                        <w:rFonts w:ascii="Cambria Math" w:hAnsi="Cambria Math"/>
                        <w:b/>
                        <w:i/>
                      </w:rPr>
                      <w:sym w:font="Symbol" w:char="F065"/>
                    </m:r>
                    <m:r>
                      <w:rPr>
                        <w:rFonts w:ascii="Cambria Math" w:hAnsi="Cambria Math"/>
                      </w:rPr>
                      <m:t xml:space="preserve"> </m:t>
                    </m:r>
                  </m:e>
                  <m:sub>
                    <m:r>
                      <w:rPr>
                        <w:rFonts w:ascii="Cambria Math" w:hAnsi="Cambria Math"/>
                      </w:rPr>
                      <m:t>t-1</m:t>
                    </m:r>
                  </m:sub>
                  <m:sup>
                    <m:r>
                      <w:rPr>
                        <w:rFonts w:ascii="Cambria Math" w:hAnsi="Cambria Math"/>
                      </w:rPr>
                      <m:t>'</m:t>
                    </m:r>
                  </m:sup>
                </m:sSubSup>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β</m:t>
                        </m:r>
                      </m:e>
                      <m:sup>
                        <m:r>
                          <w:rPr>
                            <w:rFonts w:ascii="Cambria Math" w:hAnsi="Cambria Math"/>
                          </w:rPr>
                          <m:t>2</m:t>
                        </m:r>
                      </m:sup>
                    </m:sSup>
                    <m:r>
                      <m:rPr>
                        <m:sty m:val="bi"/>
                      </m:rPr>
                      <w:rPr>
                        <w:rFonts w:ascii="Cambria Math" w:hAnsi="Cambria Math"/>
                      </w:rPr>
                      <m:t>H</m:t>
                    </m:r>
                  </m:e>
                  <m:sub>
                    <m:r>
                      <w:rPr>
                        <w:rFonts w:ascii="Cambria Math" w:hAnsi="Cambria Math"/>
                      </w:rPr>
                      <m:t>t-1</m:t>
                    </m:r>
                  </m:sub>
                </m:sSub>
              </m:oMath>
            </m:oMathPara>
          </w:p>
        </w:tc>
        <w:tc>
          <w:tcPr>
            <w:tcW w:w="646" w:type="dxa"/>
            <w:vAlign w:val="center"/>
          </w:tcPr>
          <w:p w14:paraId="4AF3BF9F" w14:textId="588883B3" w:rsidR="008B2A31" w:rsidRPr="00CE3AC8" w:rsidRDefault="008B2A31" w:rsidP="008B2A31">
            <w:pPr>
              <w:jc w:val="center"/>
            </w:pPr>
            <w:r w:rsidRPr="00CE3AC8">
              <w:t>(</w:t>
            </w:r>
            <w:r w:rsidR="0015376A" w:rsidRPr="00CE3AC8">
              <w:t>8</w:t>
            </w:r>
            <w:r w:rsidRPr="00CE3AC8">
              <w:t>)</w:t>
            </w:r>
          </w:p>
        </w:tc>
      </w:tr>
    </w:tbl>
    <w:p w14:paraId="36EAAFB1" w14:textId="77777777" w:rsidR="008B2A31" w:rsidRPr="00CE3AC8" w:rsidRDefault="008B2A31" w:rsidP="00AE6FD4">
      <w:pPr>
        <w:spacing w:line="360" w:lineRule="auto"/>
        <w:jc w:val="both"/>
      </w:pPr>
    </w:p>
    <w:p w14:paraId="3C506D38" w14:textId="2C8C3255" w:rsidR="00233B45" w:rsidRPr="00CE3AC8" w:rsidRDefault="00B81F2F" w:rsidP="00AE6FD4">
      <w:pPr>
        <w:spacing w:line="360" w:lineRule="auto"/>
        <w:jc w:val="both"/>
      </w:pPr>
      <w:r w:rsidRPr="00CE3AC8">
        <w:t xml:space="preserve">which in turn indicates a single parameter in each of the two matrices and consequently </w:t>
      </w:r>
      <w:r w:rsidR="003C627D" w:rsidRPr="00CE3AC8">
        <w:t>suggests the scalar-BEKK as the most res</w:t>
      </w:r>
      <w:r w:rsidR="003B4C8C" w:rsidRPr="00CE3AC8">
        <w:t xml:space="preserve">tricted version of BEKK models. </w:t>
      </w:r>
      <w:r w:rsidR="00AC5897" w:rsidRPr="00CE3AC8">
        <w:t xml:space="preserve">The </w:t>
      </w:r>
      <w:r w:rsidR="00A718C4" w:rsidRPr="00CE3AC8">
        <w:t>matrix</w:t>
      </w:r>
      <w:r w:rsidR="00AC5897" w:rsidRPr="00CE3AC8">
        <w:t xml:space="preserve"> of constants</w:t>
      </w:r>
      <w:r w:rsidR="00A718C4" w:rsidRPr="00CE3AC8">
        <w:t xml:space="preserve"> is decomposed into two triangular matrices</w:t>
      </w:r>
      <w:r w:rsidR="00AC5897" w:rsidRPr="00CE3AC8">
        <w:t xml:space="preserve">, </w:t>
      </w:r>
      <m:oMath>
        <m:r>
          <m:rPr>
            <m:sty m:val="bi"/>
          </m:rPr>
          <w:rPr>
            <w:rFonts w:ascii="Cambria Math" w:hAnsi="Cambria Math"/>
          </w:rPr>
          <m:t>C</m:t>
        </m:r>
      </m:oMath>
      <w:r w:rsidR="00A718C4" w:rsidRPr="00CE3AC8">
        <w:t xml:space="preserve"> </w:t>
      </w:r>
      <w:r w:rsidR="00AC5897" w:rsidRPr="00CE3AC8">
        <w:t xml:space="preserve">and </w:t>
      </w:r>
      <m:oMath>
        <m:sSup>
          <m:sSupPr>
            <m:ctrlPr>
              <w:rPr>
                <w:rFonts w:ascii="Cambria Math" w:hAnsi="Cambria Math"/>
                <w:i/>
              </w:rPr>
            </m:ctrlPr>
          </m:sSupPr>
          <m:e>
            <m:r>
              <m:rPr>
                <m:sty m:val="bi"/>
              </m:rPr>
              <w:rPr>
                <w:rFonts w:ascii="Cambria Math" w:hAnsi="Cambria Math"/>
              </w:rPr>
              <m:t>C</m:t>
            </m:r>
          </m:e>
          <m:sup>
            <m:r>
              <w:rPr>
                <w:rFonts w:ascii="Cambria Math" w:hAnsi="Cambria Math"/>
              </w:rPr>
              <m:t>'</m:t>
            </m:r>
          </m:sup>
        </m:sSup>
      </m:oMath>
      <w:r w:rsidR="00AC5897" w:rsidRPr="00CE3AC8">
        <w:t xml:space="preserve">, </w:t>
      </w:r>
      <w:r w:rsidR="00A718C4" w:rsidRPr="00CE3AC8">
        <w:t xml:space="preserve">to ensure that </w:t>
      </w:r>
      <m:oMath>
        <m:sSup>
          <m:sSupPr>
            <m:ctrlPr>
              <w:rPr>
                <w:rFonts w:ascii="Cambria Math" w:hAnsi="Cambria Math"/>
                <w:i/>
              </w:rPr>
            </m:ctrlPr>
          </m:sSupPr>
          <m:e>
            <m:r>
              <m:rPr>
                <m:sty m:val="bi"/>
              </m:rPr>
              <w:rPr>
                <w:rFonts w:ascii="Cambria Math" w:hAnsi="Cambria Math"/>
              </w:rPr>
              <m:t>CC</m:t>
            </m:r>
          </m:e>
          <m:sup>
            <m:r>
              <w:rPr>
                <w:rFonts w:ascii="Cambria Math" w:hAnsi="Cambria Math"/>
              </w:rPr>
              <m:t>'</m:t>
            </m:r>
          </m:sup>
        </m:sSup>
      </m:oMath>
      <w:r w:rsidR="00B560FC" w:rsidRPr="00CE3AC8">
        <w:t xml:space="preserve"> </w:t>
      </w:r>
      <w:r w:rsidR="001975C7" w:rsidRPr="00CE3AC8">
        <w:t>is a positive definite matrix</w:t>
      </w:r>
      <w:r w:rsidR="001D4FCC" w:rsidRPr="00CE3AC8">
        <w:t>.</w:t>
      </w:r>
      <w:r w:rsidR="00AC5897" w:rsidRPr="00CE3AC8">
        <w:t xml:space="preserve"> Consequently,</w:t>
      </w:r>
      <w:r w:rsidR="001975C7" w:rsidRPr="00CE3AC8">
        <w:t xml:space="preserve"> </w:t>
      </w:r>
      <m:oMath>
        <m:sSub>
          <m:sSubPr>
            <m:ctrlPr>
              <w:rPr>
                <w:rFonts w:ascii="Cambria Math" w:hAnsi="Cambria Math"/>
                <w:i/>
              </w:rPr>
            </m:ctrlPr>
          </m:sSubPr>
          <m:e>
            <m:r>
              <m:rPr>
                <m:sty m:val="bi"/>
              </m:rPr>
              <w:rPr>
                <w:rFonts w:ascii="Cambria Math" w:hAnsi="Cambria Math"/>
              </w:rPr>
              <m:t>H</m:t>
            </m:r>
          </m:e>
          <m:sub>
            <m:r>
              <w:rPr>
                <w:rFonts w:ascii="Cambria Math" w:hAnsi="Cambria Math"/>
              </w:rPr>
              <m:t>t</m:t>
            </m:r>
          </m:sub>
        </m:sSub>
      </m:oMath>
      <w:r w:rsidR="005A05B5" w:rsidRPr="00CE3AC8">
        <w:t xml:space="preserve"> is </w:t>
      </w:r>
      <w:r w:rsidR="001975C7" w:rsidRPr="00CE3AC8">
        <w:t xml:space="preserve">also </w:t>
      </w:r>
      <w:r w:rsidR="005A05B5" w:rsidRPr="00CE3AC8">
        <w:t>positive definite</w:t>
      </w:r>
      <w:r w:rsidR="001975C7" w:rsidRPr="00CE3AC8">
        <w:t xml:space="preserve">. </w:t>
      </w:r>
      <w:r w:rsidR="00757D3F" w:rsidRPr="00CE3AC8">
        <w:t xml:space="preserve"> </w:t>
      </w:r>
    </w:p>
    <w:p w14:paraId="747AD1C9" w14:textId="6462F204" w:rsidR="00037425" w:rsidRPr="00CE3AC8" w:rsidRDefault="00AD4FE2" w:rsidP="00AE6FD4">
      <w:pPr>
        <w:spacing w:line="360" w:lineRule="auto"/>
        <w:jc w:val="both"/>
      </w:pPr>
      <w:r w:rsidRPr="00CE3AC8">
        <w:t>Finally, the time-varying correlation</w:t>
      </w:r>
      <w:r w:rsidR="00D81151" w:rsidRPr="00CE3AC8">
        <w:t xml:space="preserve"> at time </w:t>
      </w:r>
      <w:r w:rsidR="00D81151" w:rsidRPr="00CE3AC8">
        <w:rPr>
          <w:i/>
        </w:rPr>
        <w:t>t</w:t>
      </w:r>
      <w:r w:rsidRPr="00CE3AC8">
        <w:t xml:space="preserve"> </w:t>
      </w:r>
      <w:r w:rsidR="003565FA" w:rsidRPr="00CE3AC8">
        <w:t>(</w:t>
      </w:r>
      <m:oMath>
        <m:sSub>
          <m:sSubPr>
            <m:ctrlPr>
              <w:rPr>
                <w:rFonts w:ascii="Cambria Math" w:hAnsi="Cambria Math"/>
                <w:i/>
              </w:rPr>
            </m:ctrlPr>
          </m:sSubPr>
          <m:e>
            <m:r>
              <w:rPr>
                <w:rFonts w:ascii="Cambria Math" w:hAnsi="Cambria Math"/>
                <w:i/>
              </w:rPr>
              <w:sym w:font="Symbol" w:char="F072"/>
            </m:r>
          </m:e>
          <m:sub>
            <m:r>
              <w:rPr>
                <w:rFonts w:ascii="Cambria Math" w:hAnsi="Cambria Math"/>
              </w:rPr>
              <m:t>t</m:t>
            </m:r>
          </m:sub>
        </m:sSub>
      </m:oMath>
      <w:r w:rsidR="003565FA" w:rsidRPr="00CE3AC8">
        <w:t xml:space="preserve">) </w:t>
      </w:r>
      <w:r w:rsidRPr="00CE3AC8">
        <w:t xml:space="preserve">between </w:t>
      </w:r>
      <w:r w:rsidR="00165A1F" w:rsidRPr="00CE3AC8">
        <w:t xml:space="preserve">two series </w:t>
      </w:r>
      <w:r w:rsidR="00165A1F" w:rsidRPr="00CE3AC8">
        <w:rPr>
          <w:i/>
        </w:rPr>
        <w:t>i</w:t>
      </w:r>
      <w:r w:rsidR="00165A1F" w:rsidRPr="00CE3AC8">
        <w:t xml:space="preserve"> </w:t>
      </w:r>
      <w:r w:rsidR="006B6462" w:rsidRPr="00CE3AC8">
        <w:t xml:space="preserve">(10-year sovereign yield spread) </w:t>
      </w:r>
      <w:r w:rsidR="00165A1F" w:rsidRPr="00CE3AC8">
        <w:t xml:space="preserve">and </w:t>
      </w:r>
      <w:r w:rsidR="00165A1F" w:rsidRPr="00CE3AC8">
        <w:rPr>
          <w:i/>
        </w:rPr>
        <w:t>j</w:t>
      </w:r>
      <w:r w:rsidR="00165A1F" w:rsidRPr="00CE3AC8">
        <w:t xml:space="preserve"> </w:t>
      </w:r>
      <w:r w:rsidR="006B6462" w:rsidRPr="00CE3AC8">
        <w:t xml:space="preserve">(each of the oil price shocks) </w:t>
      </w:r>
      <w:r w:rsidR="00165A1F" w:rsidRPr="00CE3AC8">
        <w:t>is expressed as:</w:t>
      </w:r>
    </w:p>
    <w:p w14:paraId="42EB5FB1" w14:textId="77777777" w:rsidR="008B2A31" w:rsidRPr="00CE3AC8" w:rsidRDefault="008B2A31" w:rsidP="00AE6FD4">
      <w:pPr>
        <w:spacing w:line="36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646"/>
      </w:tblGrid>
      <w:tr w:rsidR="008B2A31" w:rsidRPr="00CE3AC8" w14:paraId="08FFD57E" w14:textId="77777777" w:rsidTr="002E665D">
        <w:tc>
          <w:tcPr>
            <w:tcW w:w="7650" w:type="dxa"/>
            <w:vAlign w:val="center"/>
          </w:tcPr>
          <w:p w14:paraId="796B4C56" w14:textId="292B5182" w:rsidR="008B2A31" w:rsidRPr="00CE3AC8" w:rsidRDefault="00FA2618" w:rsidP="008B2A31">
            <w:pPr>
              <w:jc w:val="both"/>
            </w:pPr>
            <m:oMathPara>
              <m:oMath>
                <m:sSub>
                  <m:sSubPr>
                    <m:ctrlPr>
                      <w:rPr>
                        <w:rFonts w:ascii="Cambria Math" w:hAnsi="Cambria Math"/>
                        <w:i/>
                      </w:rPr>
                    </m:ctrlPr>
                  </m:sSubPr>
                  <m:e>
                    <m:r>
                      <w:rPr>
                        <w:rFonts w:ascii="Cambria Math" w:hAnsi="Cambria Math"/>
                        <w:i/>
                      </w:rPr>
                      <w:sym w:font="Symbol" w:char="F072"/>
                    </m:r>
                  </m:e>
                  <m:sub>
                    <m:r>
                      <w:rPr>
                        <w:rFonts w:ascii="Cambria Math" w:hAnsi="Cambria Math"/>
                      </w:rPr>
                      <m:t>ij,t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ij,t</m:t>
                        </m:r>
                      </m:sub>
                    </m:sSub>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h</m:t>
                            </m:r>
                          </m:e>
                          <m:sub>
                            <m:r>
                              <w:rPr>
                                <w:rFonts w:ascii="Cambria Math" w:hAnsi="Cambria Math"/>
                              </w:rPr>
                              <m:t>ii,t</m:t>
                            </m:r>
                          </m:sub>
                        </m:sSub>
                      </m:e>
                    </m:rad>
                    <m:rad>
                      <m:radPr>
                        <m:degHide m:val="1"/>
                        <m:ctrlPr>
                          <w:rPr>
                            <w:rFonts w:ascii="Cambria Math" w:hAnsi="Cambria Math"/>
                            <w:i/>
                          </w:rPr>
                        </m:ctrlPr>
                      </m:radPr>
                      <m:deg/>
                      <m:e>
                        <m:sSub>
                          <m:sSubPr>
                            <m:ctrlPr>
                              <w:rPr>
                                <w:rFonts w:ascii="Cambria Math" w:hAnsi="Cambria Math"/>
                                <w:i/>
                              </w:rPr>
                            </m:ctrlPr>
                          </m:sSubPr>
                          <m:e>
                            <m:r>
                              <w:rPr>
                                <w:rFonts w:ascii="Cambria Math" w:hAnsi="Cambria Math"/>
                              </w:rPr>
                              <m:t>h</m:t>
                            </m:r>
                          </m:e>
                          <m:sub>
                            <m:r>
                              <w:rPr>
                                <w:rFonts w:ascii="Cambria Math" w:hAnsi="Cambria Math"/>
                              </w:rPr>
                              <m:t>jj,t</m:t>
                            </m:r>
                          </m:sub>
                        </m:sSub>
                      </m:e>
                    </m:rad>
                  </m:den>
                </m:f>
              </m:oMath>
            </m:oMathPara>
          </w:p>
        </w:tc>
        <w:tc>
          <w:tcPr>
            <w:tcW w:w="646" w:type="dxa"/>
            <w:vAlign w:val="center"/>
          </w:tcPr>
          <w:p w14:paraId="245C6E4A" w14:textId="653C0ADC" w:rsidR="008B2A31" w:rsidRPr="00CE3AC8" w:rsidRDefault="008B2A31" w:rsidP="008B2A31">
            <w:pPr>
              <w:jc w:val="center"/>
            </w:pPr>
            <w:r w:rsidRPr="00CE3AC8">
              <w:t>(</w:t>
            </w:r>
            <w:r w:rsidR="0015376A" w:rsidRPr="00CE3AC8">
              <w:t>9</w:t>
            </w:r>
            <w:r w:rsidRPr="00CE3AC8">
              <w:t>)</w:t>
            </w:r>
          </w:p>
        </w:tc>
      </w:tr>
    </w:tbl>
    <w:p w14:paraId="26CF010F" w14:textId="1BA76890" w:rsidR="005C043B" w:rsidRPr="00CE3AC8" w:rsidRDefault="005C043B" w:rsidP="00AE6FD4">
      <w:pPr>
        <w:spacing w:line="360" w:lineRule="auto"/>
        <w:jc w:val="both"/>
      </w:pPr>
    </w:p>
    <w:p w14:paraId="6E686BCC" w14:textId="5888D3F1" w:rsidR="007B2E38" w:rsidRDefault="00CA6DFA" w:rsidP="00AE6FD4">
      <w:pPr>
        <w:spacing w:line="360" w:lineRule="auto"/>
        <w:jc w:val="both"/>
      </w:pPr>
      <w:r w:rsidRPr="00CE3AC8">
        <w:lastRenderedPageBreak/>
        <w:t xml:space="preserve">where the numerator expresses the non-diagonal element of </w:t>
      </w:r>
      <m:oMath>
        <m:sSub>
          <m:sSubPr>
            <m:ctrlPr>
              <w:rPr>
                <w:rFonts w:ascii="Cambria Math" w:hAnsi="Cambria Math"/>
                <w:i/>
              </w:rPr>
            </m:ctrlPr>
          </m:sSubPr>
          <m:e>
            <m:r>
              <m:rPr>
                <m:sty m:val="bi"/>
              </m:rPr>
              <w:rPr>
                <w:rFonts w:ascii="Cambria Math" w:hAnsi="Cambria Math"/>
              </w:rPr>
              <m:t>H</m:t>
            </m:r>
          </m:e>
          <m:sub>
            <m:r>
              <w:rPr>
                <w:rFonts w:ascii="Cambria Math" w:hAnsi="Cambria Math"/>
              </w:rPr>
              <m:t>t</m:t>
            </m:r>
          </m:sub>
        </m:sSub>
      </m:oMath>
      <w:r w:rsidRPr="00CE3AC8">
        <w:t xml:space="preserve"> </w:t>
      </w:r>
      <w:r w:rsidR="00BC5628" w:rsidRPr="00CE3AC8">
        <w:t xml:space="preserve">(the time-varying </w:t>
      </w:r>
      <w:r w:rsidR="00C30C77" w:rsidRPr="00CE3AC8">
        <w:t xml:space="preserve">conditional </w:t>
      </w:r>
      <w:r w:rsidR="00BC5628" w:rsidRPr="00CE3AC8">
        <w:t>covariance term</w:t>
      </w:r>
      <w:r w:rsidR="00C30C77" w:rsidRPr="00CE3AC8">
        <w:t xml:space="preserve"> between </w:t>
      </w:r>
      <w:r w:rsidR="00C30C77" w:rsidRPr="00CE3AC8">
        <w:rPr>
          <w:i/>
        </w:rPr>
        <w:t>i</w:t>
      </w:r>
      <w:r w:rsidR="00C30C77" w:rsidRPr="00CE3AC8">
        <w:t xml:space="preserve"> and </w:t>
      </w:r>
      <w:r w:rsidR="00C30C77" w:rsidRPr="00CE3AC8">
        <w:rPr>
          <w:i/>
        </w:rPr>
        <w:t>j</w:t>
      </w:r>
      <w:r w:rsidR="00BC5628" w:rsidRPr="00CE3AC8">
        <w:t xml:space="preserve">) </w:t>
      </w:r>
      <w:r w:rsidRPr="00CE3AC8">
        <w:t>and the denominator states the</w:t>
      </w:r>
      <w:r w:rsidR="00BA30FC">
        <w:t xml:space="preserve"> square roots of the</w:t>
      </w:r>
      <w:r w:rsidRPr="00CE3AC8">
        <w:t xml:space="preserve"> diagonal elements of </w:t>
      </w:r>
      <m:oMath>
        <m:sSub>
          <m:sSubPr>
            <m:ctrlPr>
              <w:rPr>
                <w:rFonts w:ascii="Cambria Math" w:hAnsi="Cambria Math"/>
                <w:i/>
              </w:rPr>
            </m:ctrlPr>
          </m:sSubPr>
          <m:e>
            <m:r>
              <m:rPr>
                <m:sty m:val="bi"/>
              </m:rPr>
              <w:rPr>
                <w:rFonts w:ascii="Cambria Math" w:hAnsi="Cambria Math"/>
              </w:rPr>
              <m:t>H</m:t>
            </m:r>
          </m:e>
          <m:sub>
            <m:r>
              <w:rPr>
                <w:rFonts w:ascii="Cambria Math" w:hAnsi="Cambria Math"/>
              </w:rPr>
              <m:t>t</m:t>
            </m:r>
          </m:sub>
        </m:sSub>
      </m:oMath>
      <w:r w:rsidR="009373A2" w:rsidRPr="00CE3AC8">
        <w:t xml:space="preserve"> (the time-varying </w:t>
      </w:r>
      <w:r w:rsidR="00C30C77" w:rsidRPr="00CE3AC8">
        <w:t xml:space="preserve">conditional volatilities of </w:t>
      </w:r>
      <w:r w:rsidR="00C30C77" w:rsidRPr="00CE3AC8">
        <w:rPr>
          <w:i/>
        </w:rPr>
        <w:t>i</w:t>
      </w:r>
      <w:r w:rsidR="00C30C77" w:rsidRPr="00CE3AC8">
        <w:t xml:space="preserve"> and </w:t>
      </w:r>
      <w:r w:rsidR="00C30C77" w:rsidRPr="00CE3AC8">
        <w:rPr>
          <w:i/>
        </w:rPr>
        <w:t>j</w:t>
      </w:r>
      <w:r w:rsidR="009373A2" w:rsidRPr="00CE3AC8">
        <w:t>)</w:t>
      </w:r>
      <w:r w:rsidR="00254A0C" w:rsidRPr="00CE3AC8">
        <w:t xml:space="preserve">. </w:t>
      </w:r>
      <w:r w:rsidR="00B871E6" w:rsidRPr="00CE3AC8">
        <w:t xml:space="preserve">Overall, </w:t>
      </w:r>
      <w:r w:rsidR="000C0E0C" w:rsidRPr="00CE3AC8">
        <w:t>technical details for the estimation process of</w:t>
      </w:r>
      <w:r w:rsidR="00B871E6" w:rsidRPr="00CE3AC8">
        <w:t xml:space="preserve"> </w:t>
      </w:r>
      <w:r w:rsidR="000C0E0C" w:rsidRPr="00CE3AC8">
        <w:t xml:space="preserve">the scalar-BEKK are available in </w:t>
      </w:r>
      <w:proofErr w:type="spellStart"/>
      <w:r w:rsidR="000C0E0C" w:rsidRPr="00CE3AC8">
        <w:t>Xekalaki</w:t>
      </w:r>
      <w:proofErr w:type="spellEnd"/>
      <w:r w:rsidR="00463E49" w:rsidRPr="00CE3AC8">
        <w:t xml:space="preserve"> </w:t>
      </w:r>
      <w:r w:rsidR="000C0E0C" w:rsidRPr="00CE3AC8">
        <w:t xml:space="preserve">and </w:t>
      </w:r>
      <w:proofErr w:type="spellStart"/>
      <w:r w:rsidR="000C0E0C" w:rsidRPr="00CE3AC8">
        <w:t>Degiannakis</w:t>
      </w:r>
      <w:proofErr w:type="spellEnd"/>
      <w:r w:rsidR="000C0E0C" w:rsidRPr="00CE3AC8">
        <w:t xml:space="preserve"> (2010). </w:t>
      </w:r>
      <w:r w:rsidR="00254A0C" w:rsidRPr="00CE3AC8">
        <w:t>Having explained the empirical framework, we further proceed to inve</w:t>
      </w:r>
      <w:r w:rsidR="00F60532" w:rsidRPr="00CE3AC8">
        <w:t xml:space="preserve">stigate the time-varying </w:t>
      </w:r>
      <w:r w:rsidR="00254A0C" w:rsidRPr="00CE3AC8">
        <w:t>correlation between the variables under consideration.</w:t>
      </w:r>
    </w:p>
    <w:p w14:paraId="36FC58A9" w14:textId="77777777" w:rsidR="00354FED" w:rsidRDefault="00354FED" w:rsidP="00AE6FD4">
      <w:pPr>
        <w:spacing w:line="360" w:lineRule="auto"/>
        <w:jc w:val="both"/>
      </w:pPr>
    </w:p>
    <w:p w14:paraId="09E22670" w14:textId="77777777" w:rsidR="00551018" w:rsidRDefault="00551018" w:rsidP="00551018">
      <w:pPr>
        <w:suppressAutoHyphens/>
        <w:spacing w:line="360" w:lineRule="auto"/>
        <w:jc w:val="both"/>
        <w:rPr>
          <w:b/>
        </w:rPr>
      </w:pPr>
      <w:r>
        <w:rPr>
          <w:b/>
        </w:rPr>
        <w:t>5. Empirical analysis</w:t>
      </w:r>
    </w:p>
    <w:p w14:paraId="660BB33B" w14:textId="322B9988" w:rsidR="00551018" w:rsidRPr="003B53B1" w:rsidRDefault="00551018" w:rsidP="00551018">
      <w:pPr>
        <w:suppressAutoHyphens/>
        <w:spacing w:line="360" w:lineRule="auto"/>
        <w:jc w:val="both"/>
        <w:rPr>
          <w:i/>
        </w:rPr>
      </w:pPr>
      <w:r w:rsidRPr="003B53B1">
        <w:rPr>
          <w:i/>
        </w:rPr>
        <w:t>5.1 Historical decomposition of oil price shocks</w:t>
      </w:r>
      <w:r w:rsidR="002B1634">
        <w:rPr>
          <w:i/>
        </w:rPr>
        <w:t xml:space="preserve"> and the time-line of major events</w:t>
      </w:r>
    </w:p>
    <w:p w14:paraId="69E7D904" w14:textId="55AE7060" w:rsidR="007B3F02" w:rsidRDefault="008235F6" w:rsidP="00551018">
      <w:pPr>
        <w:suppressAutoHyphens/>
        <w:spacing w:line="360" w:lineRule="auto"/>
        <w:jc w:val="both"/>
      </w:pPr>
      <w:r>
        <w:t>The historical decomposition of the real oil</w:t>
      </w:r>
      <w:r w:rsidR="00B21FBC">
        <w:t xml:space="preserve"> price</w:t>
      </w:r>
      <w:r>
        <w:t xml:space="preserve"> returns and consequently the cumulative effect of supp</w:t>
      </w:r>
      <w:r w:rsidR="00FF5A4D">
        <w:t>ly-</w:t>
      </w:r>
      <w:r>
        <w:t>side shocks, aggregate demand shock</w:t>
      </w:r>
      <w:r w:rsidR="000D0832">
        <w:t>s</w:t>
      </w:r>
      <w:r>
        <w:t xml:space="preserve"> and precautionary dema</w:t>
      </w:r>
      <w:r w:rsidR="00676309">
        <w:t xml:space="preserve">nd shocks on the real oil </w:t>
      </w:r>
      <w:r w:rsidR="00B21FBC">
        <w:t xml:space="preserve">price </w:t>
      </w:r>
      <w:r>
        <w:t xml:space="preserve">returns </w:t>
      </w:r>
      <w:r w:rsidR="00F23865">
        <w:t xml:space="preserve">are </w:t>
      </w:r>
      <w:r w:rsidR="007B775B">
        <w:t xml:space="preserve">presented in Figure </w:t>
      </w:r>
      <w:r w:rsidR="0014225B">
        <w:t>5</w:t>
      </w:r>
      <w:r w:rsidR="000D0832">
        <w:t>. It is evident that precautionary demand shocks have a higher historical contribution</w:t>
      </w:r>
      <w:r w:rsidR="00F3576A">
        <w:t>,</w:t>
      </w:r>
      <w:r w:rsidR="000D0832">
        <w:t xml:space="preserve"> followed by aggregate demand shocks</w:t>
      </w:r>
      <w:r w:rsidR="00150181">
        <w:t xml:space="preserve"> and then supply-side shocks</w:t>
      </w:r>
      <w:r w:rsidR="000D0832">
        <w:t xml:space="preserve">. </w:t>
      </w:r>
      <w:r w:rsidR="005A4485">
        <w:t xml:space="preserve">It is worth noting that the historical contribution </w:t>
      </w:r>
      <w:r w:rsidR="00CD68DD">
        <w:t>of precautionary demand shocks ha</w:t>
      </w:r>
      <w:r w:rsidR="005A4485">
        <w:t xml:space="preserve">s </w:t>
      </w:r>
      <w:r w:rsidR="007B775B">
        <w:t xml:space="preserve">mainly </w:t>
      </w:r>
      <w:r w:rsidR="005A4485">
        <w:t xml:space="preserve">fluctuated between -20% and 20%. Similarly, the percentage level of </w:t>
      </w:r>
      <w:r w:rsidR="00CD68DD">
        <w:t>aggregate demand shocks ha</w:t>
      </w:r>
      <w:r w:rsidR="007B775B">
        <w:t>s mostly ranged between -5% and 5%. Finally, the percentage contri</w:t>
      </w:r>
      <w:r w:rsidR="00CD68DD">
        <w:t>bution of supply-side shocks ha</w:t>
      </w:r>
      <w:r w:rsidR="007B775B">
        <w:t>s not exceed</w:t>
      </w:r>
      <w:r w:rsidR="00CD68DD">
        <w:t>ed</w:t>
      </w:r>
      <w:r w:rsidR="007B775B">
        <w:t xml:space="preserve"> the level of </w:t>
      </w:r>
      <w:r w:rsidR="007B775B">
        <w:sym w:font="Symbol" w:char="F0B1"/>
      </w:r>
      <w:r w:rsidR="007B775B">
        <w:t xml:space="preserve">0.5%. </w:t>
      </w:r>
      <w:r w:rsidR="00CD68DD">
        <w:t>Overall, real oil returns appear</w:t>
      </w:r>
      <w:r w:rsidR="00150181">
        <w:t xml:space="preserve"> to be more responsive to geopolitical events and generally fears about the future availability of oil.</w:t>
      </w:r>
    </w:p>
    <w:p w14:paraId="7E7D4E95" w14:textId="3EA90460" w:rsidR="003C2C5A" w:rsidRDefault="00ED12AA" w:rsidP="00551018">
      <w:pPr>
        <w:suppressAutoHyphens/>
        <w:spacing w:line="360" w:lineRule="auto"/>
        <w:jc w:val="both"/>
      </w:pPr>
      <w:r>
        <w:t xml:space="preserve">The higher magnitude of precautionary demand shocks at each point in time can be explained by the fact that geopolitical risk includes a </w:t>
      </w:r>
      <w:r w:rsidR="00517E43">
        <w:t xml:space="preserve">broad </w:t>
      </w:r>
      <w:r>
        <w:t xml:space="preserve">range of </w:t>
      </w:r>
      <w:r w:rsidR="00CD68DD">
        <w:t>interrelated</w:t>
      </w:r>
      <w:r w:rsidR="00517E43">
        <w:t xml:space="preserve"> </w:t>
      </w:r>
      <w:r>
        <w:t>events</w:t>
      </w:r>
      <w:r w:rsidR="00CD68DD">
        <w:t>,</w:t>
      </w:r>
      <w:r>
        <w:t xml:space="preserve"> such as </w:t>
      </w:r>
      <w:r w:rsidR="00920F8A">
        <w:t xml:space="preserve">political </w:t>
      </w:r>
      <w:r w:rsidR="00267599">
        <w:t>instability</w:t>
      </w:r>
      <w:r w:rsidR="002C13EF">
        <w:t xml:space="preserve">, military conflicts, </w:t>
      </w:r>
      <w:r w:rsidR="00CD68DD">
        <w:t>terrorist</w:t>
      </w:r>
      <w:r w:rsidR="00517E43">
        <w:t xml:space="preserve"> attacks, civil wars, </w:t>
      </w:r>
      <w:r w:rsidR="00760138" w:rsidRPr="00760138">
        <w:t>embargo</w:t>
      </w:r>
      <w:r w:rsidR="00760138">
        <w:t>s,</w:t>
      </w:r>
      <w:r w:rsidR="00760138" w:rsidRPr="00760138">
        <w:t xml:space="preserve"> </w:t>
      </w:r>
      <w:r w:rsidR="00517E43">
        <w:t xml:space="preserve">financial and macroeconomic uncertainty, </w:t>
      </w:r>
      <w:r w:rsidR="00CD68DD">
        <w:t>supply constraints o</w:t>
      </w:r>
      <w:r w:rsidR="0096210A">
        <w:t>n commodities</w:t>
      </w:r>
      <w:r w:rsidR="00FA0EC6">
        <w:t xml:space="preserve"> and other globally trade </w:t>
      </w:r>
      <w:r w:rsidR="00562CB5">
        <w:t>assets</w:t>
      </w:r>
      <w:r w:rsidR="00702666">
        <w:t>.</w:t>
      </w:r>
      <w:r w:rsidR="0096210A">
        <w:t xml:space="preserve"> </w:t>
      </w:r>
      <w:r w:rsidR="00494A20">
        <w:t>On the other hand, aggregate demand shocks do not seem to influen</w:t>
      </w:r>
      <w:r w:rsidR="00676309">
        <w:t xml:space="preserve">ce significantly real oil </w:t>
      </w:r>
      <w:r w:rsidR="00494A20">
        <w:t xml:space="preserve">returns until the </w:t>
      </w:r>
      <w:r w:rsidR="006F2660">
        <w:t>onset of the Great Recession. These</w:t>
      </w:r>
      <w:r w:rsidR="000954FE">
        <w:t xml:space="preserve"> shocks appear t</w:t>
      </w:r>
      <w:r w:rsidR="00CD68DD">
        <w:t>o have a great</w:t>
      </w:r>
      <w:r w:rsidR="000954FE">
        <w:t xml:space="preserve">er impact on </w:t>
      </w:r>
      <w:r w:rsidR="006F2660">
        <w:t xml:space="preserve">the </w:t>
      </w:r>
      <w:r w:rsidR="00DD26F2">
        <w:t xml:space="preserve">sharp fall in oil price during the period 2007-2009 and </w:t>
      </w:r>
      <w:r w:rsidR="008A0CC4">
        <w:t xml:space="preserve">the period </w:t>
      </w:r>
      <w:r w:rsidR="00087601">
        <w:t>2014-2015</w:t>
      </w:r>
      <w:r w:rsidR="00DD26F2">
        <w:t>.</w:t>
      </w:r>
      <w:r w:rsidR="00F45408">
        <w:t xml:space="preserve"> Finally, supply-</w:t>
      </w:r>
      <w:r w:rsidR="008A0CC4">
        <w:t xml:space="preserve">side shocks </w:t>
      </w:r>
      <w:r w:rsidR="001F4E35">
        <w:t xml:space="preserve">do not seem to </w:t>
      </w:r>
      <w:r w:rsidR="008A0CC4">
        <w:t xml:space="preserve">contribute </w:t>
      </w:r>
      <w:r w:rsidR="001F4E35">
        <w:t xml:space="preserve">significantly </w:t>
      </w:r>
      <w:r w:rsidR="00676309">
        <w:t xml:space="preserve">to real oil </w:t>
      </w:r>
      <w:r w:rsidR="008A0CC4">
        <w:t xml:space="preserve">returns </w:t>
      </w:r>
      <w:r w:rsidR="001F4E35">
        <w:t xml:space="preserve">since </w:t>
      </w:r>
      <w:r w:rsidR="008A0CC4">
        <w:t xml:space="preserve">the </w:t>
      </w:r>
      <w:r w:rsidR="00837FA5">
        <w:t>magnitude is very small.</w:t>
      </w:r>
    </w:p>
    <w:p w14:paraId="2E76FB49" w14:textId="77777777" w:rsidR="00F66662" w:rsidRPr="00AF3D75" w:rsidRDefault="00F66662" w:rsidP="00551018">
      <w:pPr>
        <w:suppressAutoHyphens/>
        <w:spacing w:line="360" w:lineRule="auto"/>
        <w:jc w:val="both"/>
      </w:pPr>
    </w:p>
    <w:p w14:paraId="3AA16DBA" w14:textId="2592F204" w:rsidR="00F23865" w:rsidRDefault="00F329C6" w:rsidP="000557BA">
      <w:pPr>
        <w:spacing w:line="360" w:lineRule="auto"/>
        <w:jc w:val="center"/>
      </w:pPr>
      <w:r>
        <w:t xml:space="preserve">[PLEASE INSERT FIGURE </w:t>
      </w:r>
      <w:r w:rsidR="0014225B">
        <w:t>5</w:t>
      </w:r>
      <w:r w:rsidR="00492381">
        <w:t xml:space="preserve"> HERE]</w:t>
      </w:r>
    </w:p>
    <w:p w14:paraId="115B5CC5" w14:textId="77777777" w:rsidR="00F66662" w:rsidRPr="000557BA" w:rsidRDefault="00F66662" w:rsidP="000557BA">
      <w:pPr>
        <w:spacing w:line="360" w:lineRule="auto"/>
        <w:jc w:val="center"/>
      </w:pPr>
    </w:p>
    <w:p w14:paraId="0CE5FFB5" w14:textId="0C476754" w:rsidR="00DA24BA" w:rsidRDefault="00F23865" w:rsidP="00DA24BA">
      <w:pPr>
        <w:spacing w:line="360" w:lineRule="auto"/>
        <w:jc w:val="both"/>
      </w:pPr>
      <w:r>
        <w:lastRenderedPageBreak/>
        <w:t>Next, we</w:t>
      </w:r>
      <w:r w:rsidR="00E80E7A">
        <w:t xml:space="preserve"> concentrate on </w:t>
      </w:r>
      <w:r w:rsidR="000B4754">
        <w:t xml:space="preserve">specific </w:t>
      </w:r>
      <w:r>
        <w:t xml:space="preserve">events during </w:t>
      </w:r>
      <w:r w:rsidR="000B4754">
        <w:t xml:space="preserve">which significant oil price </w:t>
      </w:r>
      <w:r w:rsidR="005021CC">
        <w:t>movements (</w:t>
      </w:r>
      <w:r w:rsidR="000B4754">
        <w:t>peaks and troughs</w:t>
      </w:r>
      <w:r w:rsidR="005021CC">
        <w:t>)</w:t>
      </w:r>
      <w:r w:rsidR="000B4754">
        <w:t xml:space="preserve"> took place</w:t>
      </w:r>
      <w:r w:rsidR="005021CC">
        <w:t xml:space="preserve"> and generated</w:t>
      </w:r>
      <w:r>
        <w:t xml:space="preserve"> either supply-side </w:t>
      </w:r>
      <w:r w:rsidR="00240048">
        <w:t>or demand-side oil price shocks</w:t>
      </w:r>
      <w:r w:rsidR="000B4754">
        <w:t>.</w:t>
      </w:r>
      <w:r w:rsidR="00911971">
        <w:rPr>
          <w:rStyle w:val="FootnoteReference"/>
        </w:rPr>
        <w:footnoteReference w:id="22"/>
      </w:r>
      <w:r w:rsidR="000B4754">
        <w:t xml:space="preserve"> </w:t>
      </w:r>
      <w:r w:rsidR="00CD68DD">
        <w:t>Through</w:t>
      </w:r>
      <w:r w:rsidR="00301EEC">
        <w:t xml:space="preserve"> a time</w:t>
      </w:r>
      <w:r w:rsidR="00527E0F">
        <w:t>-</w:t>
      </w:r>
      <w:r w:rsidR="00301EEC">
        <w:t>line, w</w:t>
      </w:r>
      <w:r w:rsidR="00820059">
        <w:t xml:space="preserve">e pay particular attention </w:t>
      </w:r>
      <w:r w:rsidR="009A3080">
        <w:t>to</w:t>
      </w:r>
      <w:r w:rsidR="00976074">
        <w:t xml:space="preserve"> </w:t>
      </w:r>
      <w:r w:rsidR="006F5300">
        <w:t xml:space="preserve">the </w:t>
      </w:r>
      <w:r w:rsidR="00087F01">
        <w:t>early-</w:t>
      </w:r>
      <w:r w:rsidR="008829FC">
        <w:t>2000</w:t>
      </w:r>
      <w:r w:rsidR="00BF2567">
        <w:t xml:space="preserve"> </w:t>
      </w:r>
      <w:r w:rsidR="00931D73">
        <w:t>recession</w:t>
      </w:r>
      <w:r w:rsidR="00BF2567">
        <w:t>,</w:t>
      </w:r>
      <w:r w:rsidR="00931D73">
        <w:t xml:space="preserve"> </w:t>
      </w:r>
      <w:r w:rsidR="00BF2567">
        <w:t>t</w:t>
      </w:r>
      <w:r w:rsidR="00976074">
        <w:t>he</w:t>
      </w:r>
      <w:r w:rsidR="008C3E5C">
        <w:t xml:space="preserve"> terrorist attack </w:t>
      </w:r>
      <w:r w:rsidR="00976074">
        <w:t>of 9/11 (</w:t>
      </w:r>
      <w:r w:rsidR="009A3080">
        <w:t>2001</w:t>
      </w:r>
      <w:r w:rsidR="00976074">
        <w:t>)</w:t>
      </w:r>
      <w:r w:rsidR="009A3080">
        <w:t xml:space="preserve">, </w:t>
      </w:r>
      <w:r w:rsidR="00976074">
        <w:t>the second Iraq war (</w:t>
      </w:r>
      <w:r w:rsidR="00373C1D">
        <w:t>2003</w:t>
      </w:r>
      <w:r w:rsidR="00976074">
        <w:t>)</w:t>
      </w:r>
      <w:r w:rsidR="00373C1D">
        <w:t xml:space="preserve">, </w:t>
      </w:r>
      <w:r w:rsidR="00C94FDC">
        <w:t xml:space="preserve">the </w:t>
      </w:r>
      <w:r w:rsidR="00C94FDC" w:rsidRPr="00C94FDC">
        <w:t>Atlantic hurricanes</w:t>
      </w:r>
      <w:r w:rsidR="00976074">
        <w:t xml:space="preserve"> (</w:t>
      </w:r>
      <w:r w:rsidR="00110E3F">
        <w:t>late-</w:t>
      </w:r>
      <w:r w:rsidR="00C94FDC">
        <w:t>2005</w:t>
      </w:r>
      <w:r w:rsidR="00976074">
        <w:t>)</w:t>
      </w:r>
      <w:r w:rsidR="00C94FDC">
        <w:t xml:space="preserve">, </w:t>
      </w:r>
      <w:r w:rsidR="00866A33">
        <w:t xml:space="preserve">the increased demand for oil from emerging market countries such as China </w:t>
      </w:r>
      <w:r w:rsidR="00976074">
        <w:t>(</w:t>
      </w:r>
      <w:r w:rsidR="00866A33">
        <w:t>2006-2007</w:t>
      </w:r>
      <w:r w:rsidR="00976074">
        <w:t>), the Great Recession (</w:t>
      </w:r>
      <w:r w:rsidR="00866A33">
        <w:t>2007-2009</w:t>
      </w:r>
      <w:r w:rsidR="00976074">
        <w:t>)</w:t>
      </w:r>
      <w:r w:rsidR="00866A33">
        <w:t xml:space="preserve">, </w:t>
      </w:r>
      <w:r w:rsidR="00161111">
        <w:t xml:space="preserve">the European debt crisis </w:t>
      </w:r>
      <w:r w:rsidR="00DA24BA">
        <w:t>(</w:t>
      </w:r>
      <w:r w:rsidR="00596A5F">
        <w:t>2010-2013</w:t>
      </w:r>
      <w:r w:rsidR="00161111">
        <w:t>), the Arab Spring together with continuing geopolitical turmoil in the Middle East (2011-2014) and finally the oil price crash (mid-2014</w:t>
      </w:r>
      <w:r w:rsidR="00087F01">
        <w:t xml:space="preserve"> - early-</w:t>
      </w:r>
      <w:r w:rsidR="00161111">
        <w:t xml:space="preserve">2015). </w:t>
      </w:r>
      <w:r w:rsidR="00301EEC">
        <w:t xml:space="preserve">Linking these episodes with the oil price shocks, </w:t>
      </w:r>
      <w:r w:rsidR="002F18DE">
        <w:t>we note that</w:t>
      </w:r>
      <w:r w:rsidR="00DA24BA">
        <w:t xml:space="preserve"> supply-side shocks are typically associated with OPEC’s decision</w:t>
      </w:r>
      <w:r w:rsidR="004E1192">
        <w:t>s</w:t>
      </w:r>
      <w:r w:rsidR="00DA24BA">
        <w:t xml:space="preserve"> to cut</w:t>
      </w:r>
      <w:r w:rsidR="00D660C6">
        <w:t xml:space="preserve"> or increase production quotas and natural disasters which cause a physical disruption in oil supply. </w:t>
      </w:r>
      <w:r w:rsidR="00301EEC">
        <w:t>On the other hand</w:t>
      </w:r>
      <w:r w:rsidR="00D660C6">
        <w:t xml:space="preserve">, aggregate demand shocks originate </w:t>
      </w:r>
      <w:r w:rsidR="00301EEC">
        <w:t xml:space="preserve">during </w:t>
      </w:r>
      <w:r w:rsidR="00D660C6">
        <w:t>turbulent economic periods, whereas</w:t>
      </w:r>
      <w:r w:rsidR="00AE25A9">
        <w:t xml:space="preserve"> </w:t>
      </w:r>
      <w:r w:rsidR="00D660C6">
        <w:t xml:space="preserve">precautionary demand shocks are linked with </w:t>
      </w:r>
      <w:r w:rsidR="00301EEC">
        <w:t xml:space="preserve">episodes of </w:t>
      </w:r>
      <w:r w:rsidR="00DA24BA">
        <w:t>geopolitical uncertainty</w:t>
      </w:r>
      <w:r w:rsidR="00D660C6">
        <w:t>.</w:t>
      </w:r>
      <w:r w:rsidR="00DA24BA">
        <w:t xml:space="preserve"> </w:t>
      </w:r>
    </w:p>
    <w:p w14:paraId="2A53B78A" w14:textId="77777777" w:rsidR="00377B56" w:rsidRDefault="00377B56" w:rsidP="00DA24BA">
      <w:pPr>
        <w:spacing w:line="360" w:lineRule="auto"/>
        <w:jc w:val="both"/>
      </w:pPr>
    </w:p>
    <w:p w14:paraId="440C72EA" w14:textId="28080902" w:rsidR="002C1451" w:rsidRPr="00203045" w:rsidRDefault="005021CC" w:rsidP="002C1451">
      <w:pPr>
        <w:suppressAutoHyphens/>
        <w:spacing w:line="360" w:lineRule="auto"/>
        <w:jc w:val="both"/>
        <w:rPr>
          <w:i/>
        </w:rPr>
      </w:pPr>
      <w:r w:rsidRPr="00203045">
        <w:rPr>
          <w:i/>
        </w:rPr>
        <w:t>5.2</w:t>
      </w:r>
      <w:r w:rsidR="00393597">
        <w:rPr>
          <w:i/>
        </w:rPr>
        <w:t>.</w:t>
      </w:r>
      <w:r w:rsidR="002C1451" w:rsidRPr="00203045">
        <w:rPr>
          <w:i/>
        </w:rPr>
        <w:t xml:space="preserve"> Time-varying correlation </w:t>
      </w:r>
      <w:r w:rsidR="00FC4088" w:rsidRPr="00203045">
        <w:rPr>
          <w:i/>
        </w:rPr>
        <w:t>b</w:t>
      </w:r>
      <w:r w:rsidR="00203045" w:rsidRPr="00203045">
        <w:rPr>
          <w:i/>
        </w:rPr>
        <w:t xml:space="preserve">etween oil price shocks and </w:t>
      </w:r>
      <w:r w:rsidR="00737CE1" w:rsidRPr="00203045">
        <w:rPr>
          <w:i/>
        </w:rPr>
        <w:t>sovereign yield spread</w:t>
      </w:r>
      <w:r w:rsidR="00203045" w:rsidRPr="00203045">
        <w:rPr>
          <w:i/>
        </w:rPr>
        <w:t>s</w:t>
      </w:r>
    </w:p>
    <w:p w14:paraId="0103D04B" w14:textId="52EC057B" w:rsidR="00791592" w:rsidRPr="00791592" w:rsidRDefault="00791592" w:rsidP="008F7F8F">
      <w:pPr>
        <w:spacing w:line="360" w:lineRule="auto"/>
        <w:jc w:val="both"/>
        <w:rPr>
          <w:i/>
        </w:rPr>
      </w:pPr>
      <w:r w:rsidRPr="00791592">
        <w:rPr>
          <w:i/>
        </w:rPr>
        <w:t>5.2.1 Key research findings</w:t>
      </w:r>
    </w:p>
    <w:p w14:paraId="2CA1462A" w14:textId="51BB3828" w:rsidR="00BC69F2" w:rsidRDefault="002C6631" w:rsidP="002B0EE9">
      <w:pPr>
        <w:spacing w:line="360" w:lineRule="auto"/>
        <w:jc w:val="both"/>
      </w:pPr>
      <w:r>
        <w:t>Figure</w:t>
      </w:r>
      <w:r w:rsidR="00737CE1">
        <w:t>s</w:t>
      </w:r>
      <w:r>
        <w:t xml:space="preserve"> </w:t>
      </w:r>
      <w:r w:rsidR="000E208C">
        <w:t>6</w:t>
      </w:r>
      <w:r w:rsidR="00203045">
        <w:t xml:space="preserve"> </w:t>
      </w:r>
      <w:r w:rsidR="00BF73FA">
        <w:t>-</w:t>
      </w:r>
      <w:r w:rsidR="00C46DB2">
        <w:t xml:space="preserve"> </w:t>
      </w:r>
      <w:r w:rsidR="000E208C">
        <w:t>10</w:t>
      </w:r>
      <w:r w:rsidR="00203045">
        <w:t xml:space="preserve"> </w:t>
      </w:r>
      <w:r>
        <w:t xml:space="preserve">exhibit the time-varying correlations between </w:t>
      </w:r>
      <w:r w:rsidR="00737CE1">
        <w:t xml:space="preserve">each of </w:t>
      </w:r>
      <w:r>
        <w:t>the three oil price shocks and the 10</w:t>
      </w:r>
      <w:r w:rsidR="00203045">
        <w:t>-year sovereign yield spread of each core</w:t>
      </w:r>
      <w:r w:rsidR="00737CE1">
        <w:t xml:space="preserve"> </w:t>
      </w:r>
      <w:r w:rsidR="00203045">
        <w:t>country</w:t>
      </w:r>
      <w:r w:rsidR="00C46DB2">
        <w:t>, while Figures 1</w:t>
      </w:r>
      <w:r w:rsidR="000E208C">
        <w:t>1</w:t>
      </w:r>
      <w:r w:rsidR="00BF73FA">
        <w:t xml:space="preserve"> -</w:t>
      </w:r>
      <w:r w:rsidR="00393597">
        <w:t xml:space="preserve"> 1</w:t>
      </w:r>
      <w:r w:rsidR="000E208C">
        <w:t>5</w:t>
      </w:r>
      <w:r w:rsidR="00393597">
        <w:t xml:space="preserve"> display the time-varying correlations between each of the three oil price shocks and the 10-year sovereign yield spread of each periphery country.</w:t>
      </w:r>
      <w:r w:rsidR="008F7F8F">
        <w:t xml:space="preserve"> </w:t>
      </w:r>
      <w:r w:rsidR="002B0EE9">
        <w:t xml:space="preserve">It should be mentioned that we observe the </w:t>
      </w:r>
      <w:r w:rsidR="002B0EE9" w:rsidRPr="002B0EE9">
        <w:t>time-varying correlations</w:t>
      </w:r>
      <w:r w:rsidR="00CD68DD">
        <w:t xml:space="preserve"> having included</w:t>
      </w:r>
      <w:r w:rsidR="002B0EE9">
        <w:t xml:space="preserve"> the control variables to capture the omitted variable bias issue (</w:t>
      </w:r>
      <w:r w:rsidR="00E22A1E">
        <w:t>solid</w:t>
      </w:r>
      <w:r w:rsidR="00CD68DD">
        <w:t xml:space="preserve"> line). Also, we </w:t>
      </w:r>
      <w:r w:rsidR="002B0EE9">
        <w:t xml:space="preserve">provide the </w:t>
      </w:r>
      <w:r w:rsidR="002B0EE9" w:rsidRPr="002B0EE9">
        <w:t>time-varying correlations</w:t>
      </w:r>
      <w:r w:rsidR="00CD68DD">
        <w:t xml:space="preserve"> having excluded</w:t>
      </w:r>
      <w:r w:rsidR="002B0EE9">
        <w:t xml:space="preserve"> the control variables (</w:t>
      </w:r>
      <w:r w:rsidR="00E22A1E">
        <w:t>dashed</w:t>
      </w:r>
      <w:r w:rsidR="002B0EE9">
        <w:t xml:space="preserve"> line).</w:t>
      </w:r>
    </w:p>
    <w:p w14:paraId="1666498D" w14:textId="77777777" w:rsidR="00AB56C1" w:rsidRPr="002B0EE9" w:rsidRDefault="00AB56C1" w:rsidP="002B0EE9">
      <w:pPr>
        <w:spacing w:line="360" w:lineRule="auto"/>
        <w:jc w:val="both"/>
      </w:pPr>
    </w:p>
    <w:p w14:paraId="420D73DA" w14:textId="5BF44F48" w:rsidR="00BC69F2" w:rsidRDefault="000935B5" w:rsidP="00BC69F2">
      <w:pPr>
        <w:spacing w:line="360" w:lineRule="auto"/>
        <w:jc w:val="center"/>
      </w:pPr>
      <w:r>
        <w:t xml:space="preserve">[PLEASE INSERT FIGURES </w:t>
      </w:r>
      <w:r w:rsidR="0014225B">
        <w:t>6</w:t>
      </w:r>
      <w:r>
        <w:t xml:space="preserve"> </w:t>
      </w:r>
      <w:r w:rsidR="00872CE7">
        <w:t>–</w:t>
      </w:r>
      <w:r w:rsidR="00E65AA5">
        <w:t xml:space="preserve"> </w:t>
      </w:r>
      <w:r w:rsidR="00872CE7">
        <w:t>1</w:t>
      </w:r>
      <w:r w:rsidR="0014225B">
        <w:t>5</w:t>
      </w:r>
      <w:r w:rsidR="00872CE7">
        <w:t xml:space="preserve"> </w:t>
      </w:r>
      <w:r w:rsidR="00BC69F2">
        <w:t>HERE]</w:t>
      </w:r>
    </w:p>
    <w:p w14:paraId="469254BF" w14:textId="77777777" w:rsidR="00AB56C1" w:rsidRDefault="00AB56C1" w:rsidP="00BC69F2">
      <w:pPr>
        <w:spacing w:line="360" w:lineRule="auto"/>
        <w:jc w:val="center"/>
      </w:pPr>
    </w:p>
    <w:p w14:paraId="5EDA323F" w14:textId="363E934D" w:rsidR="001F0135" w:rsidRPr="00872C3A" w:rsidRDefault="008F7F8F" w:rsidP="00BB2D79">
      <w:pPr>
        <w:spacing w:line="360" w:lineRule="auto"/>
        <w:jc w:val="both"/>
      </w:pPr>
      <w:r>
        <w:t xml:space="preserve">Primarily, </w:t>
      </w:r>
      <w:r w:rsidR="00CD68DD">
        <w:t xml:space="preserve">we focus our attention </w:t>
      </w:r>
      <w:r w:rsidR="00E82D09">
        <w:t>o</w:t>
      </w:r>
      <w:r w:rsidR="00CD68DD">
        <w:t>n</w:t>
      </w:r>
      <w:r w:rsidR="00E82D09">
        <w:t xml:space="preserve"> some note</w:t>
      </w:r>
      <w:r w:rsidR="00841592">
        <w:t>worthy features in order to paint an initial picture of</w:t>
      </w:r>
      <w:r w:rsidR="00E82D09">
        <w:t xml:space="preserve"> the aforementioned relationship.</w:t>
      </w:r>
      <w:r w:rsidR="00E82D09" w:rsidRPr="00E82D09">
        <w:t xml:space="preserve"> </w:t>
      </w:r>
      <w:r w:rsidR="00E82D09">
        <w:t xml:space="preserve">It is evident that the correlations of both core and periphery </w:t>
      </w:r>
      <w:r w:rsidR="00E82D09" w:rsidRPr="00FC4088">
        <w:t>countries</w:t>
      </w:r>
      <w:r w:rsidR="00E82D09">
        <w:t xml:space="preserve"> are time-</w:t>
      </w:r>
      <w:r w:rsidR="002B081B">
        <w:t>varying, which</w:t>
      </w:r>
      <w:r w:rsidR="00A46F5A">
        <w:t xml:space="preserve"> </w:t>
      </w:r>
      <w:r w:rsidR="00E82D09">
        <w:t xml:space="preserve">justifies the use of a dynamic </w:t>
      </w:r>
      <w:r w:rsidR="00E82D09">
        <w:lastRenderedPageBreak/>
        <w:t xml:space="preserve">rather than a static approach. </w:t>
      </w:r>
      <w:r w:rsidR="00841592">
        <w:t>Furthermore</w:t>
      </w:r>
      <w:r w:rsidR="00BB4BD1">
        <w:t>, we observe that the c</w:t>
      </w:r>
      <w:r w:rsidR="00841592">
        <w:t>orrelation patterns fluctuate and contain</w:t>
      </w:r>
      <w:r w:rsidR="00BB4BD1">
        <w:t xml:space="preserve"> both positive and negative values. </w:t>
      </w:r>
      <w:r w:rsidR="00872C3A">
        <w:t>It is also apparent that</w:t>
      </w:r>
      <w:r w:rsidR="00E82D09">
        <w:t xml:space="preserve"> </w:t>
      </w:r>
      <w:r w:rsidR="00872C3A">
        <w:t xml:space="preserve">correlations are </w:t>
      </w:r>
      <w:r w:rsidR="00E82D09" w:rsidRPr="00FC4088">
        <w:t xml:space="preserve">influenced by the origin of the oil price shock and hence the trend of the correlations exhibits </w:t>
      </w:r>
      <w:r w:rsidR="00E82D09">
        <w:t>heterogeneous behaviour</w:t>
      </w:r>
      <w:r w:rsidR="00872C3A">
        <w:t xml:space="preserve"> with respect </w:t>
      </w:r>
      <w:r w:rsidR="00E82D09">
        <w:t xml:space="preserve">to different oil price shocks during different time periods. </w:t>
      </w:r>
      <w:r w:rsidR="00EC5C1D">
        <w:t xml:space="preserve">More importantly, the </w:t>
      </w:r>
      <w:r w:rsidR="00B9300D">
        <w:t xml:space="preserve">differences in the </w:t>
      </w:r>
      <w:r w:rsidR="00EC5C1D">
        <w:t>two time-varying correlation lines suggest that the control variables are</w:t>
      </w:r>
      <w:r w:rsidR="00950804">
        <w:t>, on the whole,</w:t>
      </w:r>
      <w:r w:rsidR="00872C3A">
        <w:t xml:space="preserve"> fundamental to </w:t>
      </w:r>
      <w:r w:rsidR="00EC5C1D">
        <w:t xml:space="preserve">determining the relationship between oil prices shocks and </w:t>
      </w:r>
      <w:r w:rsidR="00B9300D">
        <w:t xml:space="preserve">yield spreads. </w:t>
      </w:r>
      <w:r w:rsidR="00FB0BBA">
        <w:rPr>
          <w:color w:val="000000" w:themeColor="text1"/>
        </w:rPr>
        <w:t xml:space="preserve">Therefore, </w:t>
      </w:r>
      <w:r w:rsidR="00B9300D">
        <w:rPr>
          <w:color w:val="000000" w:themeColor="text1"/>
        </w:rPr>
        <w:t>these first</w:t>
      </w:r>
      <w:r w:rsidR="00872C3A">
        <w:rPr>
          <w:color w:val="000000" w:themeColor="text1"/>
        </w:rPr>
        <w:t xml:space="preserve"> observations provide support for</w:t>
      </w:r>
      <w:r w:rsidR="00B9300D">
        <w:rPr>
          <w:color w:val="000000" w:themeColor="text1"/>
        </w:rPr>
        <w:t xml:space="preserve"> the choice of our econometric framework and </w:t>
      </w:r>
      <w:r w:rsidR="00FB0BBA">
        <w:rPr>
          <w:color w:val="000000" w:themeColor="text1"/>
        </w:rPr>
        <w:t xml:space="preserve">confirm that the origin of the oil price shock significantly matters to the correlation patterns and requires particular attention when we examine the </w:t>
      </w:r>
      <w:r w:rsidR="00FB0BBA" w:rsidRPr="004A39B8">
        <w:rPr>
          <w:color w:val="000000" w:themeColor="text1"/>
        </w:rPr>
        <w:t>link</w:t>
      </w:r>
      <w:r w:rsidR="00FB0BBA">
        <w:rPr>
          <w:color w:val="000000" w:themeColor="text1"/>
        </w:rPr>
        <w:t xml:space="preserve"> between oil prices and sovereign risk.</w:t>
      </w:r>
    </w:p>
    <w:p w14:paraId="0D6433D6" w14:textId="562EE62B" w:rsidR="00B9300D" w:rsidRPr="00B9300D" w:rsidRDefault="00B9300D" w:rsidP="00B9300D">
      <w:pPr>
        <w:spacing w:line="360" w:lineRule="auto"/>
        <w:jc w:val="both"/>
      </w:pPr>
      <w:r w:rsidRPr="00B9300D">
        <w:t xml:space="preserve">Turning our attention to country-specific time-varying correlations (focusing on the solid lines), </w:t>
      </w:r>
      <w:r w:rsidR="00872C3A">
        <w:t xml:space="preserve">it would seem that they do not </w:t>
      </w:r>
      <w:r w:rsidRPr="00B9300D">
        <w:t>provide</w:t>
      </w:r>
      <w:r w:rsidR="001F0135" w:rsidRPr="00B9300D">
        <w:t xml:space="preserve"> </w:t>
      </w:r>
      <w:r w:rsidR="00872C3A">
        <w:t>support for</w:t>
      </w:r>
      <w:r w:rsidRPr="00B9300D">
        <w:t xml:space="preserve"> </w:t>
      </w:r>
      <w:r w:rsidR="001F0135" w:rsidRPr="00B9300D">
        <w:t>our first hypothesis</w:t>
      </w:r>
      <w:r w:rsidRPr="00B9300D">
        <w:t xml:space="preserve">. In particular, the correlations are fluctuating very close to zero for all countries, </w:t>
      </w:r>
      <w:r w:rsidR="00872C3A">
        <w:t xml:space="preserve">except in </w:t>
      </w:r>
      <w:r w:rsidRPr="00B9300D">
        <w:t>the cas</w:t>
      </w:r>
      <w:r w:rsidR="002E0028">
        <w:t>es of France and Belgium</w:t>
      </w:r>
      <w:r w:rsidRPr="00B9300D">
        <w:t xml:space="preserve"> (positive in the post-G</w:t>
      </w:r>
      <w:r w:rsidR="003B3227">
        <w:t>reat Recession</w:t>
      </w:r>
      <w:r w:rsidRPr="00B9300D">
        <w:t xml:space="preserve"> period), as well as</w:t>
      </w:r>
      <w:r w:rsidR="00872C3A">
        <w:t xml:space="preserve"> </w:t>
      </w:r>
      <w:r w:rsidRPr="00B9300D">
        <w:t>a clear negati</w:t>
      </w:r>
      <w:r w:rsidR="002E0028">
        <w:t>ve correlation during 2001-2005</w:t>
      </w:r>
      <w:r w:rsidR="00872C3A">
        <w:t>, which</w:t>
      </w:r>
      <w:r w:rsidR="002E0028">
        <w:t xml:space="preserve"> is evident for all core countries.</w:t>
      </w:r>
    </w:p>
    <w:p w14:paraId="53E3E593" w14:textId="56CF6DE7" w:rsidR="001F0135" w:rsidRDefault="00B9300D" w:rsidP="00B9300D">
      <w:pPr>
        <w:spacing w:line="360" w:lineRule="auto"/>
        <w:jc w:val="both"/>
      </w:pPr>
      <w:r w:rsidRPr="00B9300D">
        <w:t>As far a</w:t>
      </w:r>
      <w:r w:rsidR="00872C3A">
        <w:t>s the aggregate demand shocks are</w:t>
      </w:r>
      <w:r w:rsidRPr="00B9300D">
        <w:t xml:space="preserve"> concerned, the results reveal that the </w:t>
      </w:r>
      <w:r w:rsidR="00872C3A">
        <w:t>second hypothesis seems to hold</w:t>
      </w:r>
      <w:r w:rsidRPr="00B9300D">
        <w:t xml:space="preserve"> as on the whole,</w:t>
      </w:r>
      <w:r w:rsidR="00872C3A">
        <w:t xml:space="preserve"> the correlations are negative. The only </w:t>
      </w:r>
      <w:r w:rsidRPr="00B9300D">
        <w:t xml:space="preserve">exception </w:t>
      </w:r>
      <w:r w:rsidR="00872C3A">
        <w:t xml:space="preserve">of substance is the 2009-2011 period, over which </w:t>
      </w:r>
      <w:r w:rsidR="00AC5897">
        <w:t>the</w:t>
      </w:r>
      <w:r w:rsidR="00AC5897" w:rsidRPr="00B9300D">
        <w:t xml:space="preserve"> </w:t>
      </w:r>
      <w:r w:rsidRPr="00B9300D">
        <w:t xml:space="preserve">correlations between aggregate demand shocks and yield spreads are positive. </w:t>
      </w:r>
      <w:r w:rsidR="001F0135" w:rsidRPr="00B9300D">
        <w:t>Finally</w:t>
      </w:r>
      <w:r w:rsidR="00872C3A">
        <w:t>, we maintain</w:t>
      </w:r>
      <w:r w:rsidR="001F0135">
        <w:t xml:space="preserve"> that our third hypothes</w:t>
      </w:r>
      <w:r w:rsidR="0056079B">
        <w:t xml:space="preserve">is is largely confirmed since a positive correlation pattern is clearly exhibited </w:t>
      </w:r>
      <w:r>
        <w:t>for all countries, with very few ex</w:t>
      </w:r>
      <w:r w:rsidR="00872C3A">
        <w:t>ce</w:t>
      </w:r>
      <w:r>
        <w:t>ptions (e.g.</w:t>
      </w:r>
      <w:r w:rsidR="00872C3A">
        <w:t>,</w:t>
      </w:r>
      <w:r>
        <w:t xml:space="preserve"> in France </w:t>
      </w:r>
      <w:r w:rsidR="00230F90">
        <w:t xml:space="preserve">and Belgium during </w:t>
      </w:r>
      <w:r w:rsidR="00230F90" w:rsidRPr="00230F90">
        <w:t>2014-2015</w:t>
      </w:r>
      <w:r w:rsidR="00872C3A">
        <w:t xml:space="preserve"> and </w:t>
      </w:r>
      <w:r w:rsidR="00230F90">
        <w:t xml:space="preserve">2009, </w:t>
      </w:r>
      <w:r w:rsidR="00872C3A">
        <w:t>as well as</w:t>
      </w:r>
      <w:r w:rsidR="00230F90" w:rsidRPr="00230F90">
        <w:t xml:space="preserve"> in France</w:t>
      </w:r>
      <w:r w:rsidR="00872C3A">
        <w:t>, alone,</w:t>
      </w:r>
      <w:r w:rsidR="00230F90">
        <w:t xml:space="preserve"> </w:t>
      </w:r>
      <w:r>
        <w:t>during 2005-2006</w:t>
      </w:r>
      <w:r w:rsidR="0056079B" w:rsidRPr="0056079B">
        <w:t>.</w:t>
      </w:r>
      <w:r w:rsidR="00CE1E40">
        <w:t xml:space="preserve"> </w:t>
      </w:r>
      <w:r w:rsidR="00D13B4F" w:rsidRPr="00FF3785">
        <w:t>Therefore</w:t>
      </w:r>
      <w:r w:rsidR="00BB2D79" w:rsidRPr="00FF3785">
        <w:t>, w</w:t>
      </w:r>
      <w:r w:rsidR="00872C3A">
        <w:t>e document that the correlation</w:t>
      </w:r>
      <w:r w:rsidR="00BB2D79" w:rsidRPr="00FF3785">
        <w:t xml:space="preserve"> patt</w:t>
      </w:r>
      <w:r w:rsidR="00872C3A">
        <w:t xml:space="preserve">erns broadly show more conformity </w:t>
      </w:r>
      <w:r w:rsidR="00BB2D79" w:rsidRPr="00FF3785">
        <w:t>to our expectations regarding aggregate demand shocks</w:t>
      </w:r>
      <w:r w:rsidR="00CE1E40" w:rsidRPr="00CE1E40">
        <w:t xml:space="preserve"> </w:t>
      </w:r>
      <w:r w:rsidR="00CE1E40">
        <w:t xml:space="preserve">and </w:t>
      </w:r>
      <w:r w:rsidR="00CE1E40" w:rsidRPr="00CE1E40">
        <w:t>precautionary demand shocks</w:t>
      </w:r>
      <w:r w:rsidR="00D13B4F" w:rsidRPr="00FF3785">
        <w:t>,</w:t>
      </w:r>
      <w:r w:rsidR="00FF3785" w:rsidRPr="00FF3785">
        <w:t xml:space="preserve"> </w:t>
      </w:r>
      <w:r w:rsidR="00D13B4F" w:rsidRPr="00FF3785">
        <w:t>which reinforces</w:t>
      </w:r>
      <w:r w:rsidR="00872C3A">
        <w:t xml:space="preserve"> our decision to construct</w:t>
      </w:r>
      <w:r w:rsidR="00BB2D79" w:rsidRPr="00FF3785">
        <w:t xml:space="preserve"> and test three hypotheses.</w:t>
      </w:r>
    </w:p>
    <w:p w14:paraId="642055E1" w14:textId="68B5018C" w:rsidR="000835F6" w:rsidRDefault="005606FE" w:rsidP="00606896">
      <w:pPr>
        <w:spacing w:line="360" w:lineRule="auto"/>
        <w:jc w:val="both"/>
      </w:pPr>
      <w:r>
        <w:t xml:space="preserve">It is interesting to observe that </w:t>
      </w:r>
      <w:r w:rsidR="00B20573">
        <w:t>correlation</w:t>
      </w:r>
      <w:r w:rsidR="0065272D">
        <w:t xml:space="preserve"> levels are </w:t>
      </w:r>
      <w:r>
        <w:t>relatively close</w:t>
      </w:r>
      <w:r w:rsidR="0065272D">
        <w:t xml:space="preserve"> to zero </w:t>
      </w:r>
      <w:r w:rsidR="00027A51">
        <w:t xml:space="preserve">until the </w:t>
      </w:r>
      <w:r w:rsidR="00AF3C0C">
        <w:t>beginning of the Great Recession</w:t>
      </w:r>
      <w:r w:rsidR="0065272D">
        <w:t>, which primarily holds for the EMU periphery countries</w:t>
      </w:r>
      <w:r w:rsidR="00027A51">
        <w:t>.</w:t>
      </w:r>
      <w:r w:rsidR="00956487">
        <w:t xml:space="preserve"> This can be attributed to the fact that </w:t>
      </w:r>
      <w:r w:rsidR="00987375">
        <w:t xml:space="preserve">this period is closely related to the first years of transition to EMU and coincides with the </w:t>
      </w:r>
      <w:r w:rsidR="00987375" w:rsidRPr="00956487">
        <w:t xml:space="preserve">convergence of </w:t>
      </w:r>
      <w:r w:rsidR="00F657A2">
        <w:t xml:space="preserve">sovereign </w:t>
      </w:r>
      <w:r w:rsidR="00987375" w:rsidRPr="00956487">
        <w:t>bond yields</w:t>
      </w:r>
      <w:r w:rsidR="003B3227">
        <w:t xml:space="preserve"> (especially for the EMU periphery)</w:t>
      </w:r>
      <w:r w:rsidR="00E65AA5">
        <w:t xml:space="preserve"> and thus the minimis</w:t>
      </w:r>
      <w:r w:rsidR="001179C4">
        <w:t xml:space="preserve">ation of </w:t>
      </w:r>
      <w:r w:rsidR="00F657A2">
        <w:t>spreads</w:t>
      </w:r>
      <w:r w:rsidR="00987375" w:rsidRPr="00956487">
        <w:t xml:space="preserve"> (see, for examp</w:t>
      </w:r>
      <w:r w:rsidR="00E50401">
        <w:t xml:space="preserve">le, </w:t>
      </w:r>
      <w:proofErr w:type="spellStart"/>
      <w:r w:rsidR="00E50401">
        <w:t>Baele</w:t>
      </w:r>
      <w:proofErr w:type="spellEnd"/>
      <w:r w:rsidR="00E50401">
        <w:t xml:space="preserve"> et al., 2004,</w:t>
      </w:r>
      <w:r w:rsidR="00987375" w:rsidRPr="00956487">
        <w:t xml:space="preserve"> </w:t>
      </w:r>
      <w:r w:rsidR="00E50401">
        <w:t xml:space="preserve">Pagano and Von </w:t>
      </w:r>
      <w:proofErr w:type="spellStart"/>
      <w:r w:rsidR="00E50401">
        <w:t>Thadden</w:t>
      </w:r>
      <w:proofErr w:type="spellEnd"/>
      <w:r w:rsidR="00E50401">
        <w:t xml:space="preserve"> 2004,</w:t>
      </w:r>
      <w:r w:rsidR="00FB5201">
        <w:t xml:space="preserve"> </w:t>
      </w:r>
      <w:proofErr w:type="spellStart"/>
      <w:r w:rsidR="00E50401">
        <w:rPr>
          <w:color w:val="000000" w:themeColor="text1"/>
        </w:rPr>
        <w:t>Codogno</w:t>
      </w:r>
      <w:proofErr w:type="spellEnd"/>
      <w:r w:rsidR="00E50401">
        <w:rPr>
          <w:color w:val="000000" w:themeColor="text1"/>
        </w:rPr>
        <w:t xml:space="preserve"> et al., 2003,</w:t>
      </w:r>
      <w:r w:rsidR="00AE5613" w:rsidRPr="005F0F46">
        <w:rPr>
          <w:color w:val="000000" w:themeColor="text1"/>
        </w:rPr>
        <w:t xml:space="preserve"> </w:t>
      </w:r>
      <w:r w:rsidR="00AE5613" w:rsidRPr="009400BD">
        <w:t>Hartmann et al., 2003</w:t>
      </w:r>
      <w:r w:rsidR="00E50401">
        <w:t>,</w:t>
      </w:r>
      <w:r w:rsidR="00AE5613">
        <w:t xml:space="preserve"> </w:t>
      </w:r>
      <w:r w:rsidR="00987375" w:rsidRPr="00956487">
        <w:t>Adam et al., 2002).</w:t>
      </w:r>
      <w:r w:rsidR="00987375">
        <w:t xml:space="preserve"> Indeed, since the beginning of the transition un</w:t>
      </w:r>
      <w:r w:rsidR="00B674BB">
        <w:t>til the early stage of the</w:t>
      </w:r>
      <w:r w:rsidR="00987375">
        <w:t xml:space="preserve"> Great Recession, </w:t>
      </w:r>
      <w:r w:rsidR="005E0AB7">
        <w:t>the difference</w:t>
      </w:r>
      <w:r w:rsidR="005E0AB7" w:rsidRPr="00485938">
        <w:t xml:space="preserve"> </w:t>
      </w:r>
      <w:r w:rsidR="005E0AB7">
        <w:t xml:space="preserve">between the 10-year bond </w:t>
      </w:r>
      <w:r w:rsidR="005E0AB7">
        <w:lastRenderedPageBreak/>
        <w:t xml:space="preserve">yield </w:t>
      </w:r>
      <w:r w:rsidR="005E0AB7" w:rsidRPr="00FC5FAC">
        <w:t>issued by a</w:t>
      </w:r>
      <w:r w:rsidR="005E0AB7">
        <w:t>n EMU member-</w:t>
      </w:r>
      <w:r w:rsidR="005E0AB7" w:rsidRPr="00FC5FAC">
        <w:t>country</w:t>
      </w:r>
      <w:r w:rsidR="005E0AB7" w:rsidRPr="00485938">
        <w:t xml:space="preserve"> </w:t>
      </w:r>
      <w:r w:rsidR="005E0AB7">
        <w:t xml:space="preserve">and the German 10-year bond yield fluctuated </w:t>
      </w:r>
      <w:r w:rsidR="00E50401">
        <w:t>with</w:t>
      </w:r>
      <w:r w:rsidR="005E0AB7">
        <w:t xml:space="preserve">in a </w:t>
      </w:r>
      <w:r w:rsidR="00EB6C6F">
        <w:t xml:space="preserve">very </w:t>
      </w:r>
      <w:r w:rsidR="005E0AB7">
        <w:t>narrow range.</w:t>
      </w:r>
      <w:r w:rsidR="00550792">
        <w:t xml:space="preserve"> </w:t>
      </w:r>
      <w:r w:rsidR="003E2876" w:rsidRPr="008A00DE">
        <w:t xml:space="preserve">In this regard, macroeconomic imbalances </w:t>
      </w:r>
      <w:r w:rsidR="0043467B">
        <w:t xml:space="preserve">between </w:t>
      </w:r>
      <w:r w:rsidR="003E2876" w:rsidRPr="008A00DE">
        <w:t xml:space="preserve">core and periphery </w:t>
      </w:r>
      <w:r w:rsidR="00E50401">
        <w:t xml:space="preserve">countries </w:t>
      </w:r>
      <w:r w:rsidR="003E2876" w:rsidRPr="008A00DE">
        <w:t>seemed to be ignored</w:t>
      </w:r>
      <w:r w:rsidR="00126542">
        <w:t xml:space="preserve"> by the bond markets,</w:t>
      </w:r>
      <w:r w:rsidR="003E2876" w:rsidRPr="008A00DE">
        <w:t xml:space="preserve"> which explains our findings of low </w:t>
      </w:r>
      <w:r w:rsidR="000C75DD">
        <w:t xml:space="preserve">or nearly zero </w:t>
      </w:r>
      <w:r w:rsidR="003B3227">
        <w:t xml:space="preserve">correlation </w:t>
      </w:r>
      <w:r w:rsidR="003E2876" w:rsidRPr="008A00DE">
        <w:t>patterns between sovereign yield spreads and oil price shocks</w:t>
      </w:r>
      <w:r w:rsidR="00126542">
        <w:t>.</w:t>
      </w:r>
      <w:r w:rsidR="00CB7320">
        <w:t xml:space="preserve"> </w:t>
      </w:r>
      <w:r w:rsidR="009A6891">
        <w:rPr>
          <w:color w:val="000000" w:themeColor="text1"/>
        </w:rPr>
        <w:t xml:space="preserve">Furthermore, </w:t>
      </w:r>
      <w:r w:rsidR="009A6891" w:rsidRPr="002E644F">
        <w:t xml:space="preserve">our results interestingly suggest that </w:t>
      </w:r>
      <w:r w:rsidR="009A6891">
        <w:t xml:space="preserve">since mid-2008 (which coincides with the most severe stage of the Great Recession) onwards, our correlations do not exhibit this low or almost zero patterns but instead they reveal moderate correlation levels with more volatile behaviour. Indeed, </w:t>
      </w:r>
      <w:r w:rsidR="009A6891" w:rsidRPr="008A00DE">
        <w:t xml:space="preserve">the deterioration of the macroeconomic fundamentals raised questions regarding the degree of </w:t>
      </w:r>
      <w:r w:rsidR="009A6891">
        <w:t xml:space="preserve">financial </w:t>
      </w:r>
      <w:r w:rsidR="009A6891" w:rsidRPr="008A00DE">
        <w:t xml:space="preserve">integration </w:t>
      </w:r>
      <w:r w:rsidR="009A6891">
        <w:t xml:space="preserve">of the European government bond markets </w:t>
      </w:r>
      <w:r w:rsidR="009A6891" w:rsidRPr="008A00DE">
        <w:t>and shed mor</w:t>
      </w:r>
      <w:r w:rsidR="009A6891">
        <w:t xml:space="preserve">e light on the actual relationship </w:t>
      </w:r>
      <w:r w:rsidR="009A6891" w:rsidRPr="008A00DE">
        <w:t>between sovereign yield spreads and oil price shocks</w:t>
      </w:r>
      <w:r w:rsidR="009A6891">
        <w:t>.</w:t>
      </w:r>
    </w:p>
    <w:p w14:paraId="03093E97" w14:textId="77777777" w:rsidR="00377B56" w:rsidRPr="0089383D" w:rsidRDefault="00377B56" w:rsidP="00606896">
      <w:pPr>
        <w:spacing w:line="360" w:lineRule="auto"/>
        <w:jc w:val="both"/>
      </w:pPr>
    </w:p>
    <w:p w14:paraId="5E4FA60A" w14:textId="51708161" w:rsidR="00791592" w:rsidRPr="00791592" w:rsidRDefault="00791592" w:rsidP="00606896">
      <w:pPr>
        <w:spacing w:line="360" w:lineRule="auto"/>
        <w:jc w:val="both"/>
        <w:rPr>
          <w:i/>
        </w:rPr>
      </w:pPr>
      <w:r w:rsidRPr="00791592">
        <w:rPr>
          <w:i/>
        </w:rPr>
        <w:t>5.2.2 Pre-Great Recession period</w:t>
      </w:r>
    </w:p>
    <w:p w14:paraId="787DF816" w14:textId="5AE4AB5D" w:rsidR="001C0ACB" w:rsidRPr="00792665" w:rsidRDefault="005F002D" w:rsidP="00606896">
      <w:pPr>
        <w:spacing w:line="360" w:lineRule="auto"/>
        <w:jc w:val="both"/>
      </w:pPr>
      <w:r>
        <w:t xml:space="preserve">We continue our analysis </w:t>
      </w:r>
      <w:r w:rsidR="004C5202">
        <w:t xml:space="preserve">by investigating the </w:t>
      </w:r>
      <w:r w:rsidR="00B164C8" w:rsidRPr="00B164C8">
        <w:t>time-varying correlations</w:t>
      </w:r>
      <w:r w:rsidR="00B164C8">
        <w:t xml:space="preserve"> </w:t>
      </w:r>
      <w:r w:rsidR="009C3514">
        <w:t>between the</w:t>
      </w:r>
      <w:r>
        <w:t xml:space="preserve"> sovereign yield spreads o</w:t>
      </w:r>
      <w:r w:rsidR="00792665">
        <w:t>f core and periphery countries and</w:t>
      </w:r>
      <w:r>
        <w:t xml:space="preserve"> differ</w:t>
      </w:r>
      <w:r w:rsidR="004C5202">
        <w:t>ent oil price shocks during</w:t>
      </w:r>
      <w:r>
        <w:t xml:space="preserve"> specific episodes</w:t>
      </w:r>
      <w:r w:rsidR="005C4E6B">
        <w:t xml:space="preserve"> that were identified in the previous section</w:t>
      </w:r>
      <w:r>
        <w:t>.</w:t>
      </w:r>
      <w:r w:rsidR="004C5202">
        <w:t xml:space="preserve"> </w:t>
      </w:r>
      <w:r w:rsidR="000876F6">
        <w:t xml:space="preserve">Initially, </w:t>
      </w:r>
      <w:r w:rsidR="004E0D36">
        <w:rPr>
          <w:color w:val="000000" w:themeColor="text1"/>
        </w:rPr>
        <w:t>we refer to the</w:t>
      </w:r>
      <w:r w:rsidR="001C0ACB">
        <w:rPr>
          <w:color w:val="000000" w:themeColor="text1"/>
        </w:rPr>
        <w:t xml:space="preserve"> pre-Great Recession period.</w:t>
      </w:r>
      <w:r w:rsidR="004E0D36">
        <w:rPr>
          <w:color w:val="000000" w:themeColor="text1"/>
        </w:rPr>
        <w:t xml:space="preserve"> </w:t>
      </w:r>
    </w:p>
    <w:p w14:paraId="06067BAF" w14:textId="5ACD4EDA" w:rsidR="009C3514" w:rsidRPr="00D22F07" w:rsidRDefault="001C0ACB" w:rsidP="00606896">
      <w:pPr>
        <w:spacing w:line="360" w:lineRule="auto"/>
        <w:jc w:val="both"/>
        <w:rPr>
          <w:color w:val="000000" w:themeColor="text1"/>
        </w:rPr>
      </w:pPr>
      <w:r>
        <w:rPr>
          <w:color w:val="000000" w:themeColor="text1"/>
        </w:rPr>
        <w:t xml:space="preserve">The </w:t>
      </w:r>
      <w:r w:rsidR="004E0D36">
        <w:rPr>
          <w:color w:val="000000" w:themeColor="text1"/>
        </w:rPr>
        <w:t>early</w:t>
      </w:r>
      <w:r w:rsidR="004A5A06">
        <w:rPr>
          <w:color w:val="000000" w:themeColor="text1"/>
        </w:rPr>
        <w:t>-</w:t>
      </w:r>
      <w:r w:rsidR="004E0D36">
        <w:rPr>
          <w:color w:val="000000" w:themeColor="text1"/>
        </w:rPr>
        <w:t xml:space="preserve">2000 </w:t>
      </w:r>
      <w:r w:rsidR="00F874E4" w:rsidRPr="00C4380C">
        <w:rPr>
          <w:color w:val="000000" w:themeColor="text1"/>
        </w:rPr>
        <w:t>period</w:t>
      </w:r>
      <w:r>
        <w:rPr>
          <w:color w:val="000000" w:themeColor="text1"/>
        </w:rPr>
        <w:t xml:space="preserve"> </w:t>
      </w:r>
      <w:r w:rsidR="00F874E4" w:rsidRPr="00C4380C">
        <w:rPr>
          <w:color w:val="000000" w:themeColor="text1"/>
        </w:rPr>
        <w:t xml:space="preserve">is characterised by a </w:t>
      </w:r>
      <w:r w:rsidR="004E0D36">
        <w:rPr>
          <w:color w:val="000000" w:themeColor="text1"/>
        </w:rPr>
        <w:t xml:space="preserve">recession in </w:t>
      </w:r>
      <w:r w:rsidR="000958EB">
        <w:t xml:space="preserve">the world’s largest </w:t>
      </w:r>
      <w:r w:rsidR="000958EB">
        <w:rPr>
          <w:color w:val="000000" w:themeColor="text1"/>
        </w:rPr>
        <w:t>developed</w:t>
      </w:r>
      <w:r w:rsidR="000958EB">
        <w:t xml:space="preserve"> economies </w:t>
      </w:r>
      <w:r w:rsidR="00EF56B0">
        <w:t>(US and EMU)</w:t>
      </w:r>
      <w:r w:rsidR="005C4E6B">
        <w:t xml:space="preserve"> </w:t>
      </w:r>
      <w:r w:rsidR="007B0671">
        <w:t>and</w:t>
      </w:r>
      <w:r w:rsidR="009C3514">
        <w:t xml:space="preserve"> </w:t>
      </w:r>
      <w:r w:rsidR="005C4E6B">
        <w:t xml:space="preserve">is </w:t>
      </w:r>
      <w:r>
        <w:t xml:space="preserve">primarily </w:t>
      </w:r>
      <w:r w:rsidR="007B0671">
        <w:t xml:space="preserve">associated with </w:t>
      </w:r>
      <w:r w:rsidR="009C3514">
        <w:t xml:space="preserve">a </w:t>
      </w:r>
      <w:r w:rsidR="00062D94">
        <w:t xml:space="preserve">negative </w:t>
      </w:r>
      <w:r w:rsidR="007A4701">
        <w:t>aggregate demand shock</w:t>
      </w:r>
      <w:r w:rsidR="00062D94">
        <w:t>, pushing oil prices to lower levels</w:t>
      </w:r>
      <w:r>
        <w:t>. The negative correlation</w:t>
      </w:r>
      <w:r w:rsidR="00062D94">
        <w:t>s of the bond yield</w:t>
      </w:r>
      <w:r w:rsidR="00A242B1">
        <w:t xml:space="preserve"> spread</w:t>
      </w:r>
      <w:r w:rsidR="00062D94">
        <w:t>s</w:t>
      </w:r>
      <w:r>
        <w:t xml:space="preserve"> with the latter shock</w:t>
      </w:r>
      <w:r w:rsidR="00850E4D">
        <w:rPr>
          <w:color w:val="000000" w:themeColor="text1"/>
        </w:rPr>
        <w:t xml:space="preserve"> </w:t>
      </w:r>
      <w:r w:rsidR="00062D94">
        <w:rPr>
          <w:color w:val="000000" w:themeColor="text1"/>
        </w:rPr>
        <w:t>are</w:t>
      </w:r>
      <w:r>
        <w:rPr>
          <w:color w:val="000000" w:themeColor="text1"/>
        </w:rPr>
        <w:t xml:space="preserve"> justified by the fact that </w:t>
      </w:r>
      <w:r w:rsidR="00850E4D">
        <w:rPr>
          <w:color w:val="000000" w:themeColor="text1"/>
        </w:rPr>
        <w:t>German</w:t>
      </w:r>
      <w:r w:rsidR="00062D94">
        <w:rPr>
          <w:color w:val="000000" w:themeColor="text1"/>
        </w:rPr>
        <w:t xml:space="preserve"> bond market was percei</w:t>
      </w:r>
      <w:r w:rsidR="009C3514">
        <w:rPr>
          <w:color w:val="000000" w:themeColor="text1"/>
        </w:rPr>
        <w:t>ved as a safe heaven, relative</w:t>
      </w:r>
      <w:r w:rsidR="00062D94">
        <w:rPr>
          <w:color w:val="000000" w:themeColor="text1"/>
        </w:rPr>
        <w:t xml:space="preserve"> to the other European bonds.</w:t>
      </w:r>
      <w:r w:rsidR="00EF1DAB">
        <w:t xml:space="preserve"> </w:t>
      </w:r>
      <w:r w:rsidR="00B164C8" w:rsidRPr="00B164C8">
        <w:t xml:space="preserve">This implies that </w:t>
      </w:r>
      <w:r w:rsidR="00B164C8">
        <w:t>bond yield</w:t>
      </w:r>
      <w:r w:rsidR="009C3514">
        <w:t>s exhibited an increasing trend. H</w:t>
      </w:r>
      <w:r w:rsidR="00B164C8">
        <w:t xml:space="preserve">owever, </w:t>
      </w:r>
      <w:r w:rsidR="00B164C8" w:rsidRPr="00B164C8">
        <w:t xml:space="preserve">the German Bund was less responsive to this event in comparison with the bond yields of the rest </w:t>
      </w:r>
      <w:r w:rsidR="009C3514">
        <w:t xml:space="preserve">of the </w:t>
      </w:r>
      <w:r w:rsidR="00B164C8" w:rsidRPr="00B164C8">
        <w:t>countries.</w:t>
      </w:r>
      <w:r w:rsidR="00B164C8">
        <w:t xml:space="preserve"> </w:t>
      </w:r>
      <w:r w:rsidR="00E13816">
        <w:rPr>
          <w:color w:val="000000" w:themeColor="text1"/>
        </w:rPr>
        <w:t xml:space="preserve">Since this period does not imply </w:t>
      </w:r>
      <w:r w:rsidR="006E4D0E">
        <w:rPr>
          <w:color w:val="000000" w:themeColor="text1"/>
        </w:rPr>
        <w:t xml:space="preserve">important </w:t>
      </w:r>
      <w:r w:rsidR="00E13816">
        <w:rPr>
          <w:color w:val="000000" w:themeColor="text1"/>
        </w:rPr>
        <w:t>supply-side or pr</w:t>
      </w:r>
      <w:r w:rsidR="006E4D0E">
        <w:rPr>
          <w:color w:val="000000" w:themeColor="text1"/>
        </w:rPr>
        <w:t xml:space="preserve">ecautionary demand events, </w:t>
      </w:r>
      <w:r w:rsidR="00810BC6">
        <w:rPr>
          <w:color w:val="000000" w:themeColor="text1"/>
        </w:rPr>
        <w:t xml:space="preserve">our findings </w:t>
      </w:r>
      <w:r w:rsidR="00EF1DAB">
        <w:rPr>
          <w:color w:val="000000" w:themeColor="text1"/>
        </w:rPr>
        <w:t xml:space="preserve">mostly </w:t>
      </w:r>
      <w:r w:rsidR="00810BC6">
        <w:rPr>
          <w:color w:val="000000" w:themeColor="text1"/>
        </w:rPr>
        <w:t>reveal evid</w:t>
      </w:r>
      <w:r w:rsidR="000876F6">
        <w:rPr>
          <w:color w:val="000000" w:themeColor="text1"/>
        </w:rPr>
        <w:t xml:space="preserve">ence of no correlation between </w:t>
      </w:r>
      <w:r w:rsidR="000876F6" w:rsidRPr="00C4380C">
        <w:rPr>
          <w:color w:val="000000" w:themeColor="text1"/>
        </w:rPr>
        <w:t>sovereign yield spreads</w:t>
      </w:r>
      <w:r w:rsidR="000876F6">
        <w:rPr>
          <w:color w:val="000000" w:themeColor="text1"/>
        </w:rPr>
        <w:t xml:space="preserve"> and supply-side or precautionary demand shocks.</w:t>
      </w:r>
    </w:p>
    <w:p w14:paraId="097D40EF" w14:textId="7A9983AC" w:rsidR="004B56C1" w:rsidRDefault="00606896" w:rsidP="002269A6">
      <w:pPr>
        <w:spacing w:line="360" w:lineRule="auto"/>
        <w:jc w:val="both"/>
        <w:rPr>
          <w:color w:val="000000" w:themeColor="text1"/>
        </w:rPr>
      </w:pPr>
      <w:r>
        <w:t xml:space="preserve">Next, </w:t>
      </w:r>
      <w:r w:rsidRPr="00504C33">
        <w:rPr>
          <w:color w:val="000000" w:themeColor="text1"/>
        </w:rPr>
        <w:t xml:space="preserve">we focus on the </w:t>
      </w:r>
      <w:r>
        <w:t>terrorist attack of</w:t>
      </w:r>
      <w:r w:rsidRPr="00504C33">
        <w:rPr>
          <w:color w:val="000000" w:themeColor="text1"/>
        </w:rPr>
        <w:t xml:space="preserve"> September (9/</w:t>
      </w:r>
      <w:r w:rsidR="00DF754C">
        <w:rPr>
          <w:color w:val="000000" w:themeColor="text1"/>
        </w:rPr>
        <w:t>11) 2001 in the US</w:t>
      </w:r>
      <w:r w:rsidR="00452772">
        <w:rPr>
          <w:color w:val="000000" w:themeColor="text1"/>
        </w:rPr>
        <w:t>,</w:t>
      </w:r>
      <w:r w:rsidR="00DF754C">
        <w:rPr>
          <w:color w:val="000000" w:themeColor="text1"/>
        </w:rPr>
        <w:t xml:space="preserve"> which </w:t>
      </w:r>
      <w:r w:rsidR="009C3514">
        <w:rPr>
          <w:color w:val="000000" w:themeColor="text1"/>
        </w:rPr>
        <w:t>exerted</w:t>
      </w:r>
      <w:r w:rsidR="001E29B4" w:rsidRPr="00504C33">
        <w:rPr>
          <w:color w:val="000000" w:themeColor="text1"/>
        </w:rPr>
        <w:t xml:space="preserve"> a strong negative impact </w:t>
      </w:r>
      <w:r w:rsidR="009C3514">
        <w:rPr>
          <w:color w:val="000000" w:themeColor="text1"/>
        </w:rPr>
        <w:t xml:space="preserve">on not only economic activity in the US </w:t>
      </w:r>
      <w:r w:rsidR="001E29B4" w:rsidRPr="00504C33">
        <w:rPr>
          <w:color w:val="000000" w:themeColor="text1"/>
        </w:rPr>
        <w:t xml:space="preserve">but also </w:t>
      </w:r>
      <w:r w:rsidR="009C3514">
        <w:rPr>
          <w:color w:val="000000" w:themeColor="text1"/>
        </w:rPr>
        <w:t xml:space="preserve">output </w:t>
      </w:r>
      <w:r w:rsidR="001E29B4" w:rsidRPr="00504C33">
        <w:rPr>
          <w:color w:val="000000" w:themeColor="text1"/>
        </w:rPr>
        <w:t xml:space="preserve">in </w:t>
      </w:r>
      <w:r w:rsidR="009C3514">
        <w:rPr>
          <w:color w:val="000000" w:themeColor="text1"/>
        </w:rPr>
        <w:t xml:space="preserve">the </w:t>
      </w:r>
      <w:r w:rsidR="001E29B4" w:rsidRPr="00504C33">
        <w:rPr>
          <w:color w:val="000000" w:themeColor="text1"/>
        </w:rPr>
        <w:t>global economy</w:t>
      </w:r>
      <w:r w:rsidR="009C3514">
        <w:rPr>
          <w:color w:val="000000" w:themeColor="text1"/>
        </w:rPr>
        <w:t>,</w:t>
      </w:r>
      <w:r w:rsidR="007B0671">
        <w:rPr>
          <w:color w:val="000000" w:themeColor="text1"/>
        </w:rPr>
        <w:t xml:space="preserve"> and caused</w:t>
      </w:r>
      <w:r w:rsidR="002269A6">
        <w:rPr>
          <w:color w:val="000000" w:themeColor="text1"/>
        </w:rPr>
        <w:t>, primarily,</w:t>
      </w:r>
      <w:r w:rsidR="007B0671">
        <w:rPr>
          <w:color w:val="000000" w:themeColor="text1"/>
        </w:rPr>
        <w:t xml:space="preserve"> </w:t>
      </w:r>
      <w:r w:rsidR="002269A6">
        <w:rPr>
          <w:color w:val="000000" w:themeColor="text1"/>
        </w:rPr>
        <w:t xml:space="preserve">a </w:t>
      </w:r>
      <w:r w:rsidR="00CA06E0">
        <w:rPr>
          <w:color w:val="000000" w:themeColor="text1"/>
        </w:rPr>
        <w:t xml:space="preserve">precautionary demand </w:t>
      </w:r>
      <w:r w:rsidR="005C4E6B">
        <w:rPr>
          <w:color w:val="000000" w:themeColor="text1"/>
        </w:rPr>
        <w:t>shock</w:t>
      </w:r>
      <w:r w:rsidR="005C565D">
        <w:rPr>
          <w:color w:val="000000" w:themeColor="text1"/>
        </w:rPr>
        <w:t xml:space="preserve">, driving the oil </w:t>
      </w:r>
      <w:r w:rsidR="009C3514">
        <w:rPr>
          <w:color w:val="000000" w:themeColor="text1"/>
        </w:rPr>
        <w:t>prices towards</w:t>
      </w:r>
      <w:r w:rsidR="005C565D">
        <w:rPr>
          <w:color w:val="000000" w:themeColor="text1"/>
        </w:rPr>
        <w:t xml:space="preserve"> higher levels</w:t>
      </w:r>
      <w:r w:rsidR="001E29B4" w:rsidRPr="00504C33">
        <w:rPr>
          <w:color w:val="000000" w:themeColor="text1"/>
        </w:rPr>
        <w:t>. Our findings indicate</w:t>
      </w:r>
      <w:r w:rsidR="002269A6">
        <w:rPr>
          <w:color w:val="000000" w:themeColor="text1"/>
        </w:rPr>
        <w:t>, on the whole,</w:t>
      </w:r>
      <w:r w:rsidR="001E29B4">
        <w:rPr>
          <w:color w:val="000000" w:themeColor="text1"/>
        </w:rPr>
        <w:t xml:space="preserve"> </w:t>
      </w:r>
      <w:r w:rsidR="002269A6">
        <w:rPr>
          <w:color w:val="000000" w:themeColor="text1"/>
        </w:rPr>
        <w:t>a</w:t>
      </w:r>
      <w:r w:rsidR="002376FF">
        <w:rPr>
          <w:color w:val="000000" w:themeColor="text1"/>
        </w:rPr>
        <w:t xml:space="preserve"> </w:t>
      </w:r>
      <w:r w:rsidR="00136FD1">
        <w:rPr>
          <w:color w:val="000000" w:themeColor="text1"/>
        </w:rPr>
        <w:t xml:space="preserve">positive </w:t>
      </w:r>
      <w:r w:rsidR="001E29B4">
        <w:rPr>
          <w:color w:val="000000" w:themeColor="text1"/>
        </w:rPr>
        <w:t>correlation be</w:t>
      </w:r>
      <w:r w:rsidR="008A6A31">
        <w:rPr>
          <w:color w:val="000000" w:themeColor="text1"/>
        </w:rPr>
        <w:t xml:space="preserve">tween sovereign yield spreads </w:t>
      </w:r>
      <w:r w:rsidR="001E29B4">
        <w:rPr>
          <w:color w:val="000000" w:themeColor="text1"/>
        </w:rPr>
        <w:t xml:space="preserve">and </w:t>
      </w:r>
      <w:r w:rsidR="001E29B4" w:rsidRPr="00504C33">
        <w:rPr>
          <w:color w:val="000000" w:themeColor="text1"/>
        </w:rPr>
        <w:t>precautionary demand shock</w:t>
      </w:r>
      <w:r w:rsidR="00B42860">
        <w:rPr>
          <w:color w:val="000000" w:themeColor="text1"/>
        </w:rPr>
        <w:t>s</w:t>
      </w:r>
      <w:r w:rsidR="002269A6">
        <w:rPr>
          <w:color w:val="000000" w:themeColor="text1"/>
        </w:rPr>
        <w:t>,</w:t>
      </w:r>
      <w:r w:rsidR="007324D4">
        <w:rPr>
          <w:color w:val="000000" w:themeColor="text1"/>
        </w:rPr>
        <w:t xml:space="preserve"> </w:t>
      </w:r>
      <w:r w:rsidR="00136FD1">
        <w:rPr>
          <w:color w:val="000000" w:themeColor="text1"/>
        </w:rPr>
        <w:t>which is</w:t>
      </w:r>
      <w:r w:rsidR="00D22F07">
        <w:rPr>
          <w:color w:val="000000" w:themeColor="text1"/>
        </w:rPr>
        <w:t xml:space="preserve">, as has been </w:t>
      </w:r>
      <w:r w:rsidR="002269A6">
        <w:rPr>
          <w:color w:val="000000" w:themeColor="text1"/>
        </w:rPr>
        <w:t>mentioned,</w:t>
      </w:r>
      <w:r w:rsidR="00136FD1">
        <w:rPr>
          <w:color w:val="000000" w:themeColor="text1"/>
        </w:rPr>
        <w:t xml:space="preserve"> in </w:t>
      </w:r>
      <w:r w:rsidR="002269A6">
        <w:rPr>
          <w:color w:val="000000" w:themeColor="text1"/>
        </w:rPr>
        <w:t xml:space="preserve">line </w:t>
      </w:r>
      <w:r w:rsidR="00136FD1">
        <w:rPr>
          <w:color w:val="000000" w:themeColor="text1"/>
        </w:rPr>
        <w:t xml:space="preserve">with </w:t>
      </w:r>
      <w:r w:rsidR="002269A6">
        <w:rPr>
          <w:color w:val="000000" w:themeColor="text1"/>
        </w:rPr>
        <w:t>our initial expectations</w:t>
      </w:r>
      <w:r w:rsidR="001E29B4">
        <w:rPr>
          <w:color w:val="000000" w:themeColor="text1"/>
        </w:rPr>
        <w:t xml:space="preserve">. </w:t>
      </w:r>
      <w:r w:rsidR="002376FF">
        <w:rPr>
          <w:color w:val="000000" w:themeColor="text1"/>
        </w:rPr>
        <w:t xml:space="preserve">Such behaviour </w:t>
      </w:r>
      <w:r w:rsidR="002269A6">
        <w:rPr>
          <w:color w:val="000000" w:themeColor="text1"/>
        </w:rPr>
        <w:t xml:space="preserve">is expected given that </w:t>
      </w:r>
      <w:r w:rsidR="002269A6" w:rsidRPr="00504C33">
        <w:rPr>
          <w:color w:val="000000" w:themeColor="text1"/>
        </w:rPr>
        <w:t>European countries</w:t>
      </w:r>
      <w:r w:rsidR="002269A6">
        <w:rPr>
          <w:color w:val="000000" w:themeColor="text1"/>
        </w:rPr>
        <w:t xml:space="preserve">, which are among the most prominent trade partners with the </w:t>
      </w:r>
      <w:r w:rsidR="002269A6">
        <w:rPr>
          <w:color w:val="000000" w:themeColor="text1"/>
        </w:rPr>
        <w:lastRenderedPageBreak/>
        <w:t>US,</w:t>
      </w:r>
      <w:r w:rsidR="002269A6" w:rsidRPr="00504C33">
        <w:rPr>
          <w:color w:val="000000" w:themeColor="text1"/>
        </w:rPr>
        <w:t xml:space="preserve"> are expected to </w:t>
      </w:r>
      <w:r w:rsidR="002269A6">
        <w:rPr>
          <w:color w:val="000000" w:themeColor="text1"/>
        </w:rPr>
        <w:t xml:space="preserve">be impacted by </w:t>
      </w:r>
      <w:r w:rsidR="005C565D">
        <w:rPr>
          <w:color w:val="000000" w:themeColor="text1"/>
        </w:rPr>
        <w:t>the</w:t>
      </w:r>
      <w:r w:rsidR="002269A6">
        <w:rPr>
          <w:color w:val="000000" w:themeColor="text1"/>
        </w:rPr>
        <w:t xml:space="preserve"> geopolitical </w:t>
      </w:r>
      <w:r w:rsidR="002269A6" w:rsidRPr="00504C33">
        <w:rPr>
          <w:color w:val="000000" w:themeColor="text1"/>
        </w:rPr>
        <w:t>uncertainty</w:t>
      </w:r>
      <w:r w:rsidR="002269A6">
        <w:rPr>
          <w:color w:val="000000" w:themeColor="text1"/>
        </w:rPr>
        <w:t xml:space="preserve"> caused by the terrorist attacks. Once again</w:t>
      </w:r>
      <w:r w:rsidR="005C565D">
        <w:rPr>
          <w:color w:val="000000" w:themeColor="text1"/>
        </w:rPr>
        <w:t>,</w:t>
      </w:r>
      <w:r w:rsidR="002269A6">
        <w:rPr>
          <w:color w:val="000000" w:themeColor="text1"/>
        </w:rPr>
        <w:t xml:space="preserve"> though, it is anticipated th</w:t>
      </w:r>
      <w:r w:rsidR="00D22F07">
        <w:rPr>
          <w:color w:val="000000" w:themeColor="text1"/>
        </w:rPr>
        <w:t>at Germany’s economy, and hence</w:t>
      </w:r>
      <w:r w:rsidR="002269A6">
        <w:rPr>
          <w:color w:val="000000" w:themeColor="text1"/>
        </w:rPr>
        <w:t xml:space="preserve"> its bond</w:t>
      </w:r>
      <w:r w:rsidR="00D22F07">
        <w:rPr>
          <w:color w:val="000000" w:themeColor="text1"/>
        </w:rPr>
        <w:t>,</w:t>
      </w:r>
      <w:r w:rsidR="002269A6">
        <w:rPr>
          <w:color w:val="000000" w:themeColor="text1"/>
        </w:rPr>
        <w:t xml:space="preserve"> would </w:t>
      </w:r>
      <w:r w:rsidR="00D22F07">
        <w:rPr>
          <w:color w:val="000000" w:themeColor="text1"/>
        </w:rPr>
        <w:t xml:space="preserve">be less sensitive than the </w:t>
      </w:r>
      <w:r w:rsidR="002269A6">
        <w:rPr>
          <w:color w:val="000000" w:themeColor="text1"/>
        </w:rPr>
        <w:t>remaining</w:t>
      </w:r>
      <w:r w:rsidR="001E29B4">
        <w:rPr>
          <w:color w:val="000000" w:themeColor="text1"/>
        </w:rPr>
        <w:t xml:space="preserve"> European government bond</w:t>
      </w:r>
      <w:r w:rsidR="002269A6">
        <w:rPr>
          <w:color w:val="000000" w:themeColor="text1"/>
        </w:rPr>
        <w:t>s</w:t>
      </w:r>
      <w:r w:rsidR="005C565D">
        <w:rPr>
          <w:color w:val="000000" w:themeColor="text1"/>
        </w:rPr>
        <w:t>, leading the bond yield spreads to higher levels.</w:t>
      </w:r>
    </w:p>
    <w:p w14:paraId="3179ADF8" w14:textId="0FCD5435" w:rsidR="005C565D" w:rsidRPr="005C565D" w:rsidRDefault="005C565D" w:rsidP="00812317">
      <w:pPr>
        <w:spacing w:line="360" w:lineRule="auto"/>
        <w:jc w:val="both"/>
        <w:rPr>
          <w:color w:val="000000" w:themeColor="text1"/>
        </w:rPr>
      </w:pPr>
      <w:r w:rsidRPr="005C565D">
        <w:rPr>
          <w:color w:val="000000" w:themeColor="text1"/>
        </w:rPr>
        <w:t>T</w:t>
      </w:r>
      <w:r w:rsidR="00A23643" w:rsidRPr="005C565D">
        <w:rPr>
          <w:color w:val="000000" w:themeColor="text1"/>
        </w:rPr>
        <w:t>he next period covers the second war</w:t>
      </w:r>
      <w:r w:rsidRPr="005C565D">
        <w:rPr>
          <w:color w:val="000000" w:themeColor="text1"/>
        </w:rPr>
        <w:t xml:space="preserve"> in Iraq </w:t>
      </w:r>
      <w:r w:rsidR="00C815B5">
        <w:rPr>
          <w:color w:val="000000" w:themeColor="text1"/>
        </w:rPr>
        <w:t xml:space="preserve">that occurred </w:t>
      </w:r>
      <w:r w:rsidRPr="005C565D">
        <w:rPr>
          <w:color w:val="000000" w:themeColor="text1"/>
        </w:rPr>
        <w:t>in 2003,</w:t>
      </w:r>
      <w:r w:rsidR="00A23643" w:rsidRPr="005C565D">
        <w:rPr>
          <w:color w:val="000000" w:themeColor="text1"/>
        </w:rPr>
        <w:t xml:space="preserve"> which is indicative of geopolitical uncertainty related to concerns about oil supply disruptions and consequently </w:t>
      </w:r>
      <w:r w:rsidR="00C815B5" w:rsidRPr="00C815B5">
        <w:rPr>
          <w:color w:val="000000" w:themeColor="text1"/>
        </w:rPr>
        <w:t>has the interpretation of a</w:t>
      </w:r>
      <w:r w:rsidR="00C815B5">
        <w:rPr>
          <w:color w:val="000000" w:themeColor="text1"/>
        </w:rPr>
        <w:t xml:space="preserve"> precautionary demand shock</w:t>
      </w:r>
      <w:r w:rsidR="00A23643" w:rsidRPr="005C565D">
        <w:rPr>
          <w:color w:val="000000" w:themeColor="text1"/>
        </w:rPr>
        <w:t xml:space="preserve">. Our results illustrate the expected correlations between sovereign yield spreads and the three oil price shocks. </w:t>
      </w:r>
      <w:r w:rsidR="00C815B5">
        <w:rPr>
          <w:color w:val="000000" w:themeColor="text1"/>
        </w:rPr>
        <w:t>Interestingly</w:t>
      </w:r>
      <w:r w:rsidRPr="005C565D">
        <w:rPr>
          <w:color w:val="000000" w:themeColor="text1"/>
        </w:rPr>
        <w:t>, though, the largest peaks in the correlations between yield spreads and precautionary</w:t>
      </w:r>
      <w:r w:rsidR="00C815B5">
        <w:rPr>
          <w:color w:val="000000" w:themeColor="text1"/>
        </w:rPr>
        <w:t xml:space="preserve"> demand shocks are observed for</w:t>
      </w:r>
      <w:r w:rsidRPr="005C565D">
        <w:rPr>
          <w:color w:val="000000" w:themeColor="text1"/>
        </w:rPr>
        <w:t xml:space="preserve"> the core EMU countries. This might suggest that the specific event caused more turbulence to the</w:t>
      </w:r>
      <w:r>
        <w:rPr>
          <w:color w:val="000000" w:themeColor="text1"/>
        </w:rPr>
        <w:t xml:space="preserve"> economies of the</w:t>
      </w:r>
      <w:r w:rsidRPr="005C565D">
        <w:rPr>
          <w:color w:val="000000" w:themeColor="text1"/>
        </w:rPr>
        <w:t xml:space="preserve">se countries rather than the EMU periphery. </w:t>
      </w:r>
    </w:p>
    <w:p w14:paraId="2831FFE9" w14:textId="2C7E6947" w:rsidR="0092688C" w:rsidRDefault="00A23643" w:rsidP="0092688C">
      <w:pPr>
        <w:spacing w:line="360" w:lineRule="auto"/>
        <w:jc w:val="both"/>
        <w:rPr>
          <w:color w:val="000000" w:themeColor="text1"/>
        </w:rPr>
      </w:pPr>
      <w:r w:rsidRPr="005C565D">
        <w:rPr>
          <w:color w:val="000000" w:themeColor="text1"/>
        </w:rPr>
        <w:t>Continuing our analy</w:t>
      </w:r>
      <w:r w:rsidR="000A49DC" w:rsidRPr="005C565D">
        <w:rPr>
          <w:color w:val="000000" w:themeColor="text1"/>
        </w:rPr>
        <w:t>sis, we concentrate on the late-</w:t>
      </w:r>
      <w:r w:rsidRPr="005C565D">
        <w:rPr>
          <w:color w:val="000000" w:themeColor="text1"/>
        </w:rPr>
        <w:t xml:space="preserve">2005 </w:t>
      </w:r>
      <w:r w:rsidR="00DA3E8E">
        <w:rPr>
          <w:color w:val="000000" w:themeColor="text1"/>
        </w:rPr>
        <w:t xml:space="preserve">period </w:t>
      </w:r>
      <w:r w:rsidRPr="005C565D">
        <w:rPr>
          <w:color w:val="000000" w:themeColor="text1"/>
        </w:rPr>
        <w:t xml:space="preserve">which </w:t>
      </w:r>
      <w:r w:rsidR="00DA3E8E">
        <w:rPr>
          <w:color w:val="000000" w:themeColor="text1"/>
        </w:rPr>
        <w:t xml:space="preserve">featured </w:t>
      </w:r>
      <w:r w:rsidRPr="005C565D">
        <w:rPr>
          <w:color w:val="000000" w:themeColor="text1"/>
        </w:rPr>
        <w:t xml:space="preserve">the impact of </w:t>
      </w:r>
      <w:r w:rsidR="00DA3E8E">
        <w:rPr>
          <w:color w:val="000000" w:themeColor="text1"/>
        </w:rPr>
        <w:t xml:space="preserve">the three </w:t>
      </w:r>
      <w:r w:rsidRPr="005C565D">
        <w:rPr>
          <w:color w:val="000000" w:themeColor="text1"/>
        </w:rPr>
        <w:t>Atlantic hurricanes</w:t>
      </w:r>
      <w:r w:rsidR="00DA3E8E">
        <w:rPr>
          <w:color w:val="000000" w:themeColor="text1"/>
        </w:rPr>
        <w:t>,</w:t>
      </w:r>
      <w:r w:rsidRPr="005C565D">
        <w:rPr>
          <w:color w:val="000000" w:themeColor="text1"/>
        </w:rPr>
        <w:t xml:space="preserve"> Katrina (August), Rita (September) and Wilma (October)</w:t>
      </w:r>
      <w:r w:rsidR="00DA3E8E">
        <w:rPr>
          <w:color w:val="000000" w:themeColor="text1"/>
        </w:rPr>
        <w:t>,</w:t>
      </w:r>
      <w:r w:rsidRPr="005C565D">
        <w:rPr>
          <w:color w:val="000000" w:themeColor="text1"/>
        </w:rPr>
        <w:t xml:space="preserve"> and triggered supply-side shocks. </w:t>
      </w:r>
      <w:r w:rsidR="005C565D" w:rsidRPr="0092688C">
        <w:rPr>
          <w:color w:val="000000" w:themeColor="text1"/>
        </w:rPr>
        <w:t>W</w:t>
      </w:r>
      <w:r w:rsidRPr="0092688C">
        <w:rPr>
          <w:color w:val="000000" w:themeColor="text1"/>
        </w:rPr>
        <w:t xml:space="preserve">e observe </w:t>
      </w:r>
      <w:r w:rsidR="005C565D" w:rsidRPr="0092688C">
        <w:rPr>
          <w:color w:val="000000" w:themeColor="text1"/>
        </w:rPr>
        <w:t>that</w:t>
      </w:r>
      <w:r w:rsidR="00DA3E8E">
        <w:rPr>
          <w:color w:val="000000" w:themeColor="text1"/>
        </w:rPr>
        <w:t>,</w:t>
      </w:r>
      <w:r w:rsidR="005C565D" w:rsidRPr="0092688C">
        <w:rPr>
          <w:color w:val="000000" w:themeColor="text1"/>
        </w:rPr>
        <w:t xml:space="preserve"> even though </w:t>
      </w:r>
      <w:r w:rsidRPr="0092688C">
        <w:rPr>
          <w:color w:val="000000" w:themeColor="text1"/>
        </w:rPr>
        <w:t xml:space="preserve">the anticipated correlations between sovereign yield spreads and the </w:t>
      </w:r>
      <w:r w:rsidR="0092688C" w:rsidRPr="0092688C">
        <w:rPr>
          <w:color w:val="000000" w:themeColor="text1"/>
        </w:rPr>
        <w:t>two demand-side</w:t>
      </w:r>
      <w:r w:rsidRPr="0092688C">
        <w:rPr>
          <w:color w:val="000000" w:themeColor="text1"/>
        </w:rPr>
        <w:t xml:space="preserve"> oil price shocks</w:t>
      </w:r>
      <w:r w:rsidR="005C565D" w:rsidRPr="0092688C">
        <w:rPr>
          <w:color w:val="000000" w:themeColor="text1"/>
        </w:rPr>
        <w:t xml:space="preserve"> </w:t>
      </w:r>
      <w:r w:rsidR="0092688C" w:rsidRPr="0092688C">
        <w:rPr>
          <w:color w:val="000000" w:themeColor="text1"/>
        </w:rPr>
        <w:t>are</w:t>
      </w:r>
      <w:r w:rsidR="005C565D" w:rsidRPr="0092688C">
        <w:rPr>
          <w:color w:val="000000" w:themeColor="text1"/>
        </w:rPr>
        <w:t xml:space="preserve"> evident</w:t>
      </w:r>
      <w:r w:rsidRPr="0092688C">
        <w:rPr>
          <w:color w:val="000000" w:themeColor="text1"/>
        </w:rPr>
        <w:t xml:space="preserve">, the </w:t>
      </w:r>
      <w:r w:rsidR="005C565D" w:rsidRPr="0092688C">
        <w:rPr>
          <w:color w:val="000000" w:themeColor="text1"/>
        </w:rPr>
        <w:t>correlation</w:t>
      </w:r>
      <w:r w:rsidR="00DA3E8E">
        <w:rPr>
          <w:color w:val="000000" w:themeColor="text1"/>
        </w:rPr>
        <w:t>s</w:t>
      </w:r>
      <w:r w:rsidR="005C565D" w:rsidRPr="0092688C">
        <w:rPr>
          <w:color w:val="000000" w:themeColor="text1"/>
        </w:rPr>
        <w:t xml:space="preserve"> with the supply-side shocks are mainly very close to zero</w:t>
      </w:r>
      <w:r w:rsidRPr="0092688C">
        <w:rPr>
          <w:color w:val="000000" w:themeColor="text1"/>
        </w:rPr>
        <w:t xml:space="preserve">. A plausible explanation </w:t>
      </w:r>
      <w:r w:rsidR="0092688C" w:rsidRPr="0092688C">
        <w:rPr>
          <w:color w:val="000000" w:themeColor="text1"/>
        </w:rPr>
        <w:t xml:space="preserve">for such </w:t>
      </w:r>
      <w:r w:rsidR="00DA3E8E">
        <w:rPr>
          <w:color w:val="000000" w:themeColor="text1"/>
        </w:rPr>
        <w:t xml:space="preserve">a </w:t>
      </w:r>
      <w:r w:rsidR="0092688C" w:rsidRPr="0092688C">
        <w:rPr>
          <w:color w:val="000000" w:themeColor="text1"/>
        </w:rPr>
        <w:t>finding can be traced to the empirical evidence which suggests that supply-side shocks do not seem to trigger any responses from the financial markets</w:t>
      </w:r>
      <w:r w:rsidR="001F664E">
        <w:rPr>
          <w:color w:val="000000" w:themeColor="text1"/>
        </w:rPr>
        <w:t xml:space="preserve">. This is in line with </w:t>
      </w:r>
      <w:r w:rsidR="00DA3E8E">
        <w:rPr>
          <w:color w:val="000000" w:themeColor="text1"/>
        </w:rPr>
        <w:t>previous studies which</w:t>
      </w:r>
      <w:r w:rsidR="001F664E" w:rsidRPr="001F664E">
        <w:rPr>
          <w:color w:val="000000" w:themeColor="text1"/>
        </w:rPr>
        <w:t xml:space="preserve"> have confirmed the insignificant</w:t>
      </w:r>
      <w:r w:rsidR="001F664E">
        <w:rPr>
          <w:color w:val="000000" w:themeColor="text1"/>
        </w:rPr>
        <w:t xml:space="preserve"> </w:t>
      </w:r>
      <w:r w:rsidR="001F664E" w:rsidRPr="001F664E">
        <w:rPr>
          <w:color w:val="000000" w:themeColor="text1"/>
        </w:rPr>
        <w:t>effects of supply</w:t>
      </w:r>
      <w:r w:rsidR="001F664E">
        <w:rPr>
          <w:color w:val="000000" w:themeColor="text1"/>
        </w:rPr>
        <w:t>-side shocks o</w:t>
      </w:r>
      <w:r w:rsidR="001F664E" w:rsidRPr="001F664E">
        <w:rPr>
          <w:color w:val="000000" w:themeColor="text1"/>
        </w:rPr>
        <w:t xml:space="preserve">n stock markets (see, </w:t>
      </w:r>
      <w:r w:rsidR="001F664E" w:rsidRPr="001F664E">
        <w:rPr>
          <w:i/>
          <w:iCs/>
          <w:color w:val="000000" w:themeColor="text1"/>
        </w:rPr>
        <w:t>inter alia</w:t>
      </w:r>
      <w:r w:rsidR="001F664E">
        <w:rPr>
          <w:iCs/>
          <w:color w:val="000000" w:themeColor="text1"/>
        </w:rPr>
        <w:t>,</w:t>
      </w:r>
      <w:r w:rsidR="001F664E" w:rsidRPr="001F664E">
        <w:rPr>
          <w:i/>
          <w:iCs/>
          <w:color w:val="000000" w:themeColor="text1"/>
        </w:rPr>
        <w:t xml:space="preserve"> </w:t>
      </w:r>
      <w:proofErr w:type="spellStart"/>
      <w:r w:rsidR="00DA3E8E">
        <w:rPr>
          <w:color w:val="000000" w:themeColor="text1"/>
        </w:rPr>
        <w:t>Degiannakis</w:t>
      </w:r>
      <w:proofErr w:type="spellEnd"/>
      <w:r w:rsidR="00DA3E8E">
        <w:rPr>
          <w:color w:val="000000" w:themeColor="text1"/>
        </w:rPr>
        <w:t xml:space="preserve"> et al., 2014,</w:t>
      </w:r>
      <w:r w:rsidR="001F664E" w:rsidRPr="001F664E">
        <w:rPr>
          <w:color w:val="000000" w:themeColor="text1"/>
        </w:rPr>
        <w:t xml:space="preserve"> </w:t>
      </w:r>
      <w:proofErr w:type="spellStart"/>
      <w:r w:rsidR="001F664E" w:rsidRPr="001F664E">
        <w:rPr>
          <w:color w:val="000000" w:themeColor="text1"/>
        </w:rPr>
        <w:t>Filis</w:t>
      </w:r>
      <w:proofErr w:type="spellEnd"/>
      <w:r w:rsidR="001F664E" w:rsidRPr="001F664E">
        <w:rPr>
          <w:color w:val="000000" w:themeColor="text1"/>
        </w:rPr>
        <w:t xml:space="preserve"> et al., 2011).</w:t>
      </w:r>
      <w:r w:rsidR="001F664E">
        <w:rPr>
          <w:color w:val="000000" w:themeColor="text1"/>
        </w:rPr>
        <w:t xml:space="preserve"> </w:t>
      </w:r>
      <w:r w:rsidR="00F72BDE" w:rsidRPr="0092688C">
        <w:rPr>
          <w:color w:val="000000" w:themeColor="text1"/>
        </w:rPr>
        <w:t xml:space="preserve">Therefore, </w:t>
      </w:r>
      <w:r w:rsidR="003F7572" w:rsidRPr="0092688C">
        <w:rPr>
          <w:color w:val="000000" w:themeColor="text1"/>
        </w:rPr>
        <w:t xml:space="preserve">oil supply disruptions </w:t>
      </w:r>
      <w:r w:rsidR="00F72BDE" w:rsidRPr="0092688C">
        <w:rPr>
          <w:color w:val="000000" w:themeColor="text1"/>
        </w:rPr>
        <w:t>during th</w:t>
      </w:r>
      <w:r w:rsidR="0092688C" w:rsidRPr="0092688C">
        <w:rPr>
          <w:color w:val="000000" w:themeColor="text1"/>
        </w:rPr>
        <w:t>is</w:t>
      </w:r>
      <w:r w:rsidR="00F72BDE" w:rsidRPr="0092688C">
        <w:rPr>
          <w:color w:val="000000" w:themeColor="text1"/>
        </w:rPr>
        <w:t xml:space="preserve"> period do</w:t>
      </w:r>
      <w:r w:rsidR="0092688C" w:rsidRPr="0092688C">
        <w:rPr>
          <w:color w:val="000000" w:themeColor="text1"/>
        </w:rPr>
        <w:t>es</w:t>
      </w:r>
      <w:r w:rsidR="00F72BDE" w:rsidRPr="0092688C">
        <w:rPr>
          <w:color w:val="000000" w:themeColor="text1"/>
        </w:rPr>
        <w:t xml:space="preserve"> not </w:t>
      </w:r>
      <w:r w:rsidRPr="0092688C">
        <w:rPr>
          <w:color w:val="000000" w:themeColor="text1"/>
        </w:rPr>
        <w:t xml:space="preserve">appear to </w:t>
      </w:r>
      <w:r w:rsidR="00DA3E8E">
        <w:rPr>
          <w:color w:val="000000" w:themeColor="text1"/>
        </w:rPr>
        <w:t>raise concerns i</w:t>
      </w:r>
      <w:r w:rsidR="00F72BDE" w:rsidRPr="0092688C">
        <w:rPr>
          <w:color w:val="000000" w:themeColor="text1"/>
        </w:rPr>
        <w:t xml:space="preserve">n </w:t>
      </w:r>
      <w:r w:rsidR="000A49DC" w:rsidRPr="0092688C">
        <w:rPr>
          <w:color w:val="000000" w:themeColor="text1"/>
        </w:rPr>
        <w:t xml:space="preserve">the </w:t>
      </w:r>
      <w:r w:rsidR="00F72BDE" w:rsidRPr="0092688C">
        <w:rPr>
          <w:color w:val="000000" w:themeColor="text1"/>
        </w:rPr>
        <w:t xml:space="preserve">European </w:t>
      </w:r>
      <w:r w:rsidR="003F4F1E" w:rsidRPr="0092688C">
        <w:rPr>
          <w:color w:val="000000" w:themeColor="text1"/>
        </w:rPr>
        <w:t xml:space="preserve">government </w:t>
      </w:r>
      <w:r w:rsidR="00F72BDE" w:rsidRPr="0092688C">
        <w:rPr>
          <w:color w:val="000000" w:themeColor="text1"/>
        </w:rPr>
        <w:t>bond markets.</w:t>
      </w:r>
      <w:r w:rsidR="005F6DA7" w:rsidRPr="0092688C">
        <w:rPr>
          <w:color w:val="000000" w:themeColor="text1"/>
        </w:rPr>
        <w:t xml:space="preserve"> </w:t>
      </w:r>
    </w:p>
    <w:p w14:paraId="2BB2297F" w14:textId="3F752A4E" w:rsidR="0014225B" w:rsidRDefault="0092688C" w:rsidP="0024681E">
      <w:pPr>
        <w:spacing w:line="360" w:lineRule="auto"/>
        <w:jc w:val="both"/>
        <w:rPr>
          <w:color w:val="000000" w:themeColor="text1"/>
        </w:rPr>
      </w:pPr>
      <w:r>
        <w:rPr>
          <w:color w:val="000000" w:themeColor="text1"/>
        </w:rPr>
        <w:t>Finally, t</w:t>
      </w:r>
      <w:r w:rsidR="00A17F5A" w:rsidRPr="00A70317">
        <w:rPr>
          <w:color w:val="000000" w:themeColor="text1"/>
        </w:rPr>
        <w:t>he period 2006-2007 is largely associated with the Chinese economic growth (rising demand for oil) and more generally the growth of emerging econ</w:t>
      </w:r>
      <w:r w:rsidR="00F25F8D">
        <w:rPr>
          <w:color w:val="000000" w:themeColor="text1"/>
        </w:rPr>
        <w:t>omies</w:t>
      </w:r>
      <w:r w:rsidR="00880F18">
        <w:rPr>
          <w:color w:val="000000" w:themeColor="text1"/>
        </w:rPr>
        <w:t>,</w:t>
      </w:r>
      <w:r w:rsidR="005D1B17">
        <w:rPr>
          <w:color w:val="000000" w:themeColor="text1"/>
        </w:rPr>
        <w:t xml:space="preserve"> which caused </w:t>
      </w:r>
      <w:r>
        <w:rPr>
          <w:color w:val="000000" w:themeColor="text1"/>
        </w:rPr>
        <w:t xml:space="preserve">positive </w:t>
      </w:r>
      <w:r w:rsidR="005D1B17" w:rsidRPr="005D1B17">
        <w:rPr>
          <w:color w:val="000000" w:themeColor="text1"/>
        </w:rPr>
        <w:t xml:space="preserve">aggregate </w:t>
      </w:r>
      <w:r w:rsidR="005D1B17">
        <w:rPr>
          <w:color w:val="000000" w:themeColor="text1"/>
        </w:rPr>
        <w:t>demand shocks</w:t>
      </w:r>
      <w:r w:rsidR="00F25F8D">
        <w:rPr>
          <w:color w:val="000000" w:themeColor="text1"/>
        </w:rPr>
        <w:t xml:space="preserve">. </w:t>
      </w:r>
      <w:r w:rsidR="00A17F5A" w:rsidRPr="00A70317">
        <w:rPr>
          <w:color w:val="000000" w:themeColor="text1"/>
        </w:rPr>
        <w:t xml:space="preserve">Our findings </w:t>
      </w:r>
      <w:r w:rsidR="00F060A3">
        <w:rPr>
          <w:color w:val="000000" w:themeColor="text1"/>
        </w:rPr>
        <w:t xml:space="preserve">mainly </w:t>
      </w:r>
      <w:r w:rsidR="005D3490">
        <w:rPr>
          <w:color w:val="000000" w:themeColor="text1"/>
        </w:rPr>
        <w:t xml:space="preserve">confirm the </w:t>
      </w:r>
      <w:r w:rsidR="00F060A3">
        <w:rPr>
          <w:color w:val="000000" w:themeColor="text1"/>
        </w:rPr>
        <w:t xml:space="preserve">anticipated </w:t>
      </w:r>
      <w:r w:rsidR="005D3490">
        <w:rPr>
          <w:color w:val="000000" w:themeColor="text1"/>
        </w:rPr>
        <w:t>negative</w:t>
      </w:r>
      <w:r w:rsidR="00F060A3">
        <w:rPr>
          <w:color w:val="000000" w:themeColor="text1"/>
        </w:rPr>
        <w:t xml:space="preserve"> </w:t>
      </w:r>
      <w:r w:rsidR="005D3490">
        <w:rPr>
          <w:color w:val="000000" w:themeColor="text1"/>
        </w:rPr>
        <w:t>correlation</w:t>
      </w:r>
      <w:r w:rsidR="00785F5D">
        <w:rPr>
          <w:color w:val="000000" w:themeColor="text1"/>
        </w:rPr>
        <w:t>s</w:t>
      </w:r>
      <w:r w:rsidR="005D3490">
        <w:rPr>
          <w:color w:val="000000" w:themeColor="text1"/>
        </w:rPr>
        <w:t xml:space="preserve"> between </w:t>
      </w:r>
      <w:r w:rsidR="005D3490" w:rsidRPr="001D2738">
        <w:rPr>
          <w:color w:val="000000" w:themeColor="text1"/>
        </w:rPr>
        <w:t>sovereign yield spreads</w:t>
      </w:r>
      <w:r w:rsidR="00881325">
        <w:rPr>
          <w:color w:val="000000" w:themeColor="text1"/>
        </w:rPr>
        <w:t xml:space="preserve"> </w:t>
      </w:r>
      <w:r w:rsidR="005D3490">
        <w:rPr>
          <w:color w:val="000000" w:themeColor="text1"/>
        </w:rPr>
        <w:t xml:space="preserve">and </w:t>
      </w:r>
      <w:r w:rsidR="005D3490" w:rsidRPr="00A70317">
        <w:rPr>
          <w:color w:val="000000" w:themeColor="text1"/>
        </w:rPr>
        <w:t>aggregate demand</w:t>
      </w:r>
      <w:r w:rsidR="00F060A3">
        <w:rPr>
          <w:color w:val="000000" w:themeColor="text1"/>
        </w:rPr>
        <w:t xml:space="preserve"> </w:t>
      </w:r>
      <w:r w:rsidR="005D3490" w:rsidRPr="00A70317">
        <w:rPr>
          <w:color w:val="000000" w:themeColor="text1"/>
        </w:rPr>
        <w:t>shocks</w:t>
      </w:r>
      <w:r>
        <w:rPr>
          <w:color w:val="000000" w:themeColor="text1"/>
        </w:rPr>
        <w:t xml:space="preserve">, although </w:t>
      </w:r>
      <w:r w:rsidR="00F060A3">
        <w:rPr>
          <w:color w:val="000000" w:themeColor="text1"/>
        </w:rPr>
        <w:t>i</w:t>
      </w:r>
      <w:r w:rsidR="00F060A3" w:rsidRPr="00A70317">
        <w:rPr>
          <w:color w:val="000000" w:themeColor="text1"/>
        </w:rPr>
        <w:t xml:space="preserve">t is apparent that the correlations </w:t>
      </w:r>
      <w:r w:rsidR="00785F5D">
        <w:rPr>
          <w:color w:val="000000" w:themeColor="text1"/>
        </w:rPr>
        <w:t>of the</w:t>
      </w:r>
      <w:r w:rsidR="00785F5D" w:rsidRPr="00A70317">
        <w:rPr>
          <w:color w:val="000000" w:themeColor="text1"/>
        </w:rPr>
        <w:t xml:space="preserve"> </w:t>
      </w:r>
      <w:r w:rsidR="00F060A3" w:rsidRPr="00A70317">
        <w:rPr>
          <w:color w:val="000000" w:themeColor="text1"/>
        </w:rPr>
        <w:t>periph</w:t>
      </w:r>
      <w:r w:rsidR="00F060A3">
        <w:rPr>
          <w:color w:val="000000" w:themeColor="text1"/>
        </w:rPr>
        <w:t xml:space="preserve">ery countries </w:t>
      </w:r>
      <w:r>
        <w:rPr>
          <w:color w:val="000000" w:themeColor="text1"/>
        </w:rPr>
        <w:t xml:space="preserve">are closer to </w:t>
      </w:r>
      <w:r w:rsidR="009256D4">
        <w:rPr>
          <w:color w:val="000000" w:themeColor="text1"/>
        </w:rPr>
        <w:t>zero</w:t>
      </w:r>
      <w:r w:rsidR="00F060A3" w:rsidRPr="00A70317">
        <w:rPr>
          <w:color w:val="000000" w:themeColor="text1"/>
        </w:rPr>
        <w:t>.</w:t>
      </w:r>
      <w:r w:rsidR="00F060A3">
        <w:rPr>
          <w:color w:val="000000" w:themeColor="text1"/>
        </w:rPr>
        <w:t xml:space="preserve"> </w:t>
      </w:r>
      <w:r w:rsidR="001C35A4">
        <w:rPr>
          <w:color w:val="000000" w:themeColor="text1"/>
        </w:rPr>
        <w:t xml:space="preserve">In fact, </w:t>
      </w:r>
      <w:r w:rsidR="00DE6EAD">
        <w:rPr>
          <w:color w:val="000000" w:themeColor="text1"/>
        </w:rPr>
        <w:t xml:space="preserve">during this period </w:t>
      </w:r>
      <w:r w:rsidR="001C35A4">
        <w:rPr>
          <w:color w:val="000000" w:themeColor="text1"/>
        </w:rPr>
        <w:t xml:space="preserve">the bond yields </w:t>
      </w:r>
      <w:r>
        <w:rPr>
          <w:color w:val="000000" w:themeColor="text1"/>
        </w:rPr>
        <w:t xml:space="preserve">of core EMU </w:t>
      </w:r>
      <w:r w:rsidR="001C35A4">
        <w:rPr>
          <w:color w:val="000000" w:themeColor="text1"/>
        </w:rPr>
        <w:t>countries</w:t>
      </w:r>
      <w:r w:rsidR="00880F18">
        <w:rPr>
          <w:color w:val="000000" w:themeColor="text1"/>
        </w:rPr>
        <w:t>,</w:t>
      </w:r>
      <w:r w:rsidR="001C35A4">
        <w:rPr>
          <w:color w:val="000000" w:themeColor="text1"/>
        </w:rPr>
        <w:t xml:space="preserve"> </w:t>
      </w:r>
      <w:r>
        <w:rPr>
          <w:color w:val="000000" w:themeColor="text1"/>
        </w:rPr>
        <w:t>vis-a-vis</w:t>
      </w:r>
      <w:r w:rsidR="001C35A4">
        <w:rPr>
          <w:color w:val="000000" w:themeColor="text1"/>
        </w:rPr>
        <w:t xml:space="preserve"> </w:t>
      </w:r>
      <w:r>
        <w:rPr>
          <w:color w:val="000000" w:themeColor="text1"/>
        </w:rPr>
        <w:t xml:space="preserve">the </w:t>
      </w:r>
      <w:r w:rsidR="001C35A4">
        <w:rPr>
          <w:color w:val="000000" w:themeColor="text1"/>
        </w:rPr>
        <w:t>German Bund</w:t>
      </w:r>
      <w:r w:rsidR="00880F18">
        <w:rPr>
          <w:color w:val="000000" w:themeColor="text1"/>
        </w:rPr>
        <w:t>,</w:t>
      </w:r>
      <w:r w:rsidR="001C35A4">
        <w:rPr>
          <w:color w:val="000000" w:themeColor="text1"/>
        </w:rPr>
        <w:t xml:space="preserve"> are decreasing</w:t>
      </w:r>
      <w:r>
        <w:rPr>
          <w:color w:val="000000" w:themeColor="text1"/>
        </w:rPr>
        <w:t>, while a flat yield spread is evident for the periphery countries.</w:t>
      </w:r>
      <w:r w:rsidR="001C35A4">
        <w:rPr>
          <w:color w:val="000000" w:themeColor="text1"/>
        </w:rPr>
        <w:t xml:space="preserve"> </w:t>
      </w:r>
      <w:r>
        <w:rPr>
          <w:color w:val="000000" w:themeColor="text1"/>
        </w:rPr>
        <w:t>Hence, we maintain that this behaviour explains the higher magnitude of the correlations o</w:t>
      </w:r>
      <w:r w:rsidR="00880F18">
        <w:rPr>
          <w:color w:val="000000" w:themeColor="text1"/>
        </w:rPr>
        <w:t>f the core countries, relative</w:t>
      </w:r>
      <w:r>
        <w:rPr>
          <w:color w:val="000000" w:themeColor="text1"/>
        </w:rPr>
        <w:t xml:space="preserve"> to the almost zero correlation level o</w:t>
      </w:r>
      <w:r w:rsidR="00880F18">
        <w:rPr>
          <w:color w:val="000000" w:themeColor="text1"/>
        </w:rPr>
        <w:t>f the periphery countries. Further</w:t>
      </w:r>
      <w:r>
        <w:rPr>
          <w:color w:val="000000" w:themeColor="text1"/>
        </w:rPr>
        <w:t xml:space="preserve">more, such </w:t>
      </w:r>
      <w:r w:rsidR="00880F18">
        <w:rPr>
          <w:color w:val="000000" w:themeColor="text1"/>
        </w:rPr>
        <w:t xml:space="preserve">a </w:t>
      </w:r>
      <w:r>
        <w:rPr>
          <w:color w:val="000000" w:themeColor="text1"/>
        </w:rPr>
        <w:t>finding may be also explained by the fact that the Chinese economy is engaging more with the core EMU countries.</w:t>
      </w:r>
    </w:p>
    <w:p w14:paraId="0CE4B8D9" w14:textId="77777777" w:rsidR="00544C2E" w:rsidRPr="0024681E" w:rsidRDefault="00544C2E" w:rsidP="0024681E">
      <w:pPr>
        <w:spacing w:line="360" w:lineRule="auto"/>
        <w:jc w:val="both"/>
        <w:rPr>
          <w:color w:val="000000" w:themeColor="text1"/>
        </w:rPr>
      </w:pPr>
    </w:p>
    <w:p w14:paraId="58CDD84B" w14:textId="254EE2B3" w:rsidR="003F3DE1" w:rsidRPr="009536A6" w:rsidRDefault="00791592" w:rsidP="00D678DF">
      <w:pPr>
        <w:suppressAutoHyphens/>
        <w:spacing w:line="360" w:lineRule="auto"/>
        <w:jc w:val="both"/>
        <w:rPr>
          <w:i/>
          <w:color w:val="000000" w:themeColor="text1"/>
        </w:rPr>
      </w:pPr>
      <w:r w:rsidRPr="00791592">
        <w:rPr>
          <w:i/>
          <w:color w:val="000000" w:themeColor="text1"/>
        </w:rPr>
        <w:t>5.2.</w:t>
      </w:r>
      <w:r>
        <w:rPr>
          <w:i/>
          <w:color w:val="000000" w:themeColor="text1"/>
        </w:rPr>
        <w:t>3</w:t>
      </w:r>
      <w:r w:rsidRPr="00791592">
        <w:rPr>
          <w:i/>
          <w:color w:val="000000" w:themeColor="text1"/>
        </w:rPr>
        <w:t xml:space="preserve"> </w:t>
      </w:r>
      <w:r w:rsidR="00CF5959">
        <w:rPr>
          <w:i/>
          <w:color w:val="000000" w:themeColor="text1"/>
        </w:rPr>
        <w:t xml:space="preserve">During and </w:t>
      </w:r>
      <w:r w:rsidR="005F3E22">
        <w:rPr>
          <w:i/>
          <w:color w:val="000000" w:themeColor="text1"/>
        </w:rPr>
        <w:t>after the Great Recession</w:t>
      </w:r>
    </w:p>
    <w:p w14:paraId="661336BA" w14:textId="7D794040" w:rsidR="003F3DE1" w:rsidRPr="002706B7" w:rsidRDefault="003F3DE1" w:rsidP="003F3DE1">
      <w:pPr>
        <w:suppressAutoHyphens/>
        <w:spacing w:line="360" w:lineRule="auto"/>
        <w:jc w:val="both"/>
      </w:pPr>
      <w:r w:rsidRPr="002706B7">
        <w:t xml:space="preserve">As far as the Great Recession (2007-2009) is concerned, </w:t>
      </w:r>
      <w:r w:rsidR="00922EAE" w:rsidRPr="002706B7">
        <w:t xml:space="preserve">we observe that </w:t>
      </w:r>
      <w:r w:rsidRPr="002706B7">
        <w:t xml:space="preserve">during the </w:t>
      </w:r>
      <w:r w:rsidR="00E75997" w:rsidRPr="002706B7">
        <w:t>second half</w:t>
      </w:r>
      <w:r w:rsidR="000D0D65" w:rsidRPr="002706B7">
        <w:t xml:space="preserve"> of this </w:t>
      </w:r>
      <w:r w:rsidR="00922EAE" w:rsidRPr="002706B7">
        <w:t>period</w:t>
      </w:r>
      <w:r w:rsidR="000D0D65" w:rsidRPr="002706B7">
        <w:t xml:space="preserve"> (i.e. late-</w:t>
      </w:r>
      <w:r w:rsidRPr="002706B7">
        <w:t>2008</w:t>
      </w:r>
      <w:r w:rsidR="00922EAE" w:rsidRPr="002706B7">
        <w:t xml:space="preserve"> to 2009</w:t>
      </w:r>
      <w:r w:rsidRPr="002706B7">
        <w:t xml:space="preserve">) a </w:t>
      </w:r>
      <w:r w:rsidR="002706B7" w:rsidRPr="002706B7">
        <w:t xml:space="preserve">strong </w:t>
      </w:r>
      <w:r w:rsidR="00ED5F51" w:rsidRPr="002706B7">
        <w:t xml:space="preserve">positive </w:t>
      </w:r>
      <w:r w:rsidRPr="002706B7">
        <w:t>correlation</w:t>
      </w:r>
      <w:r w:rsidR="002706B7" w:rsidRPr="002706B7">
        <w:t xml:space="preserve"> (especially with the supply-side and aggregate demand shocks)</w:t>
      </w:r>
      <w:r w:rsidRPr="002706B7">
        <w:t xml:space="preserve"> between sovereign yield spreads and the th</w:t>
      </w:r>
      <w:r w:rsidR="005F3E22">
        <w:t xml:space="preserve">ree oil price shocks </w:t>
      </w:r>
      <w:r w:rsidR="00922EAE" w:rsidRPr="002706B7">
        <w:t>for all countries (with the exception of Belgium and France)</w:t>
      </w:r>
      <w:r w:rsidR="002706B7" w:rsidRPr="002706B7">
        <w:t>.</w:t>
      </w:r>
      <w:r w:rsidR="00922EAE" w:rsidRPr="002706B7">
        <w:t xml:space="preserve"> </w:t>
      </w:r>
      <w:r w:rsidR="002706B7" w:rsidRPr="002706B7">
        <w:t>T</w:t>
      </w:r>
      <w:r w:rsidR="00922EAE" w:rsidRPr="002706B7">
        <w:t xml:space="preserve">his </w:t>
      </w:r>
      <w:r w:rsidR="002706B7" w:rsidRPr="002706B7">
        <w:t xml:space="preserve">is </w:t>
      </w:r>
      <w:r w:rsidR="005F3E22">
        <w:t xml:space="preserve">a </w:t>
      </w:r>
      <w:r w:rsidR="00922EAE" w:rsidRPr="002706B7">
        <w:t>period</w:t>
      </w:r>
      <w:r w:rsidR="002706B7" w:rsidRPr="002706B7">
        <w:t xml:space="preserve"> when we experienced</w:t>
      </w:r>
      <w:r w:rsidR="00922EAE" w:rsidRPr="002706B7">
        <w:t xml:space="preserve"> the collapse of the global oil prices from a peak of about $145 to $30 in less than a year</w:t>
      </w:r>
      <w:r w:rsidR="002706B7" w:rsidRPr="002706B7">
        <w:t>, while at the same time bond yield spreads were also decreasing (particularly between German Bund and the bond</w:t>
      </w:r>
      <w:r w:rsidR="00C93D95">
        <w:t xml:space="preserve">s </w:t>
      </w:r>
      <w:r w:rsidR="002706B7" w:rsidRPr="002706B7">
        <w:t xml:space="preserve">of the core EMU countries) </w:t>
      </w:r>
      <w:r w:rsidR="005F3E22">
        <w:t xml:space="preserve">in recognition </w:t>
      </w:r>
      <w:r w:rsidR="002706B7" w:rsidRPr="002706B7">
        <w:t xml:space="preserve">that the Great Recession was coming to an end. </w:t>
      </w:r>
      <w:r w:rsidR="00077A74" w:rsidRPr="002706B7">
        <w:t xml:space="preserve">The observed peak in most correlation figures during 2008-2009, while </w:t>
      </w:r>
      <w:r w:rsidR="009A382C">
        <w:t xml:space="preserve">accommodating </w:t>
      </w:r>
      <w:r w:rsidR="00077A74" w:rsidRPr="002706B7">
        <w:t>the effects of economic-related variables, provides further evidence of the close relationship between oil price shocks and bond yield spreads.</w:t>
      </w:r>
    </w:p>
    <w:p w14:paraId="56CE83A1" w14:textId="0EDB9B3E" w:rsidR="00A506F2" w:rsidRDefault="002351ED" w:rsidP="00FB1A30">
      <w:pPr>
        <w:spacing w:line="360" w:lineRule="auto"/>
        <w:jc w:val="both"/>
        <w:rPr>
          <w:color w:val="000000" w:themeColor="text1"/>
        </w:rPr>
      </w:pPr>
      <w:r>
        <w:rPr>
          <w:color w:val="000000" w:themeColor="text1"/>
        </w:rPr>
        <w:t xml:space="preserve">Continuing with </w:t>
      </w:r>
      <w:r w:rsidR="004F7472">
        <w:rPr>
          <w:color w:val="000000" w:themeColor="text1"/>
        </w:rPr>
        <w:t xml:space="preserve">the </w:t>
      </w:r>
      <w:r w:rsidRPr="002351ED">
        <w:rPr>
          <w:color w:val="000000" w:themeColor="text1"/>
        </w:rPr>
        <w:t xml:space="preserve">European debt crisis </w:t>
      </w:r>
      <w:r w:rsidR="004F7472">
        <w:rPr>
          <w:color w:val="000000" w:themeColor="text1"/>
        </w:rPr>
        <w:t xml:space="preserve">period that covers the remaining </w:t>
      </w:r>
      <w:r w:rsidR="00134859">
        <w:rPr>
          <w:color w:val="000000" w:themeColor="text1"/>
        </w:rPr>
        <w:t xml:space="preserve">part </w:t>
      </w:r>
      <w:r w:rsidR="004F7472">
        <w:rPr>
          <w:color w:val="000000" w:themeColor="text1"/>
        </w:rPr>
        <w:t>of our sam</w:t>
      </w:r>
      <w:r w:rsidR="009A382C">
        <w:rPr>
          <w:color w:val="000000" w:themeColor="text1"/>
        </w:rPr>
        <w:t>p</w:t>
      </w:r>
      <w:r w:rsidR="004F7472">
        <w:rPr>
          <w:color w:val="000000" w:themeColor="text1"/>
        </w:rPr>
        <w:t xml:space="preserve">le period </w:t>
      </w:r>
      <w:r w:rsidRPr="002351ED">
        <w:rPr>
          <w:color w:val="000000" w:themeColor="text1"/>
        </w:rPr>
        <w:t>(2010-201</w:t>
      </w:r>
      <w:r w:rsidR="004F7472">
        <w:rPr>
          <w:color w:val="000000" w:themeColor="text1"/>
        </w:rPr>
        <w:t>6</w:t>
      </w:r>
      <w:r w:rsidRPr="002351ED">
        <w:rPr>
          <w:color w:val="000000" w:themeColor="text1"/>
        </w:rPr>
        <w:t>)</w:t>
      </w:r>
      <w:r w:rsidR="004F7472">
        <w:rPr>
          <w:color w:val="000000" w:themeColor="text1"/>
        </w:rPr>
        <w:t xml:space="preserve">, </w:t>
      </w:r>
      <w:r w:rsidR="009A382C">
        <w:rPr>
          <w:color w:val="000000" w:themeColor="text1"/>
        </w:rPr>
        <w:t xml:space="preserve">we observe </w:t>
      </w:r>
      <w:r w:rsidR="004F7472">
        <w:rPr>
          <w:color w:val="000000" w:themeColor="text1"/>
        </w:rPr>
        <w:t xml:space="preserve">the considerable </w:t>
      </w:r>
      <w:r w:rsidR="000F0367">
        <w:rPr>
          <w:color w:val="000000" w:themeColor="text1"/>
        </w:rPr>
        <w:t>widen</w:t>
      </w:r>
      <w:r w:rsidR="004F7472">
        <w:rPr>
          <w:color w:val="000000" w:themeColor="text1"/>
        </w:rPr>
        <w:t>ing of the bond yield spreads</w:t>
      </w:r>
      <w:r w:rsidR="009A382C">
        <w:rPr>
          <w:color w:val="000000" w:themeColor="text1"/>
        </w:rPr>
        <w:t xml:space="preserve">, which </w:t>
      </w:r>
      <w:r w:rsidR="004F7472">
        <w:rPr>
          <w:color w:val="000000" w:themeColor="text1"/>
        </w:rPr>
        <w:t>coincided with several geopolitical events in the Middle East, as well as, the oil price slump in 2014-2015, when oil prices dropped by almost 75%</w:t>
      </w:r>
      <w:r w:rsidR="00E31630">
        <w:rPr>
          <w:color w:val="000000" w:themeColor="text1"/>
        </w:rPr>
        <w:t xml:space="preserve">. </w:t>
      </w:r>
      <w:r w:rsidR="009A382C">
        <w:rPr>
          <w:color w:val="000000" w:themeColor="text1"/>
        </w:rPr>
        <w:t>Having removed the potential effects of the economic-related variables (such as EPU, MPU and VOL), our finding</w:t>
      </w:r>
      <w:r w:rsidR="00EE0D61">
        <w:rPr>
          <w:color w:val="000000" w:themeColor="text1"/>
        </w:rPr>
        <w:t>s</w:t>
      </w:r>
      <w:r w:rsidR="009A382C">
        <w:rPr>
          <w:color w:val="000000" w:themeColor="text1"/>
        </w:rPr>
        <w:t xml:space="preserve"> reveal that the EMU bond yield</w:t>
      </w:r>
      <w:r w:rsidR="00EE0D61">
        <w:rPr>
          <w:color w:val="000000" w:themeColor="text1"/>
        </w:rPr>
        <w:t xml:space="preserve"> spread</w:t>
      </w:r>
      <w:r w:rsidR="009A382C">
        <w:rPr>
          <w:color w:val="000000" w:themeColor="text1"/>
        </w:rPr>
        <w:t>s are strongly positively related to the precautionary demand shocks caused by the Middle Eas</w:t>
      </w:r>
      <w:r w:rsidR="00EE0D61">
        <w:rPr>
          <w:color w:val="000000" w:themeColor="text1"/>
        </w:rPr>
        <w:t>t</w:t>
      </w:r>
      <w:r w:rsidR="009A382C">
        <w:rPr>
          <w:color w:val="000000" w:themeColor="text1"/>
        </w:rPr>
        <w:t xml:space="preserve"> unrest. At the same time, given that this period also triggered negative </w:t>
      </w:r>
      <w:r w:rsidR="00C3769C" w:rsidRPr="00C3769C">
        <w:rPr>
          <w:color w:val="000000" w:themeColor="text1"/>
        </w:rPr>
        <w:t>aggregate demand shocks</w:t>
      </w:r>
      <w:r w:rsidR="00C33E06">
        <w:rPr>
          <w:color w:val="000000" w:themeColor="text1"/>
        </w:rPr>
        <w:t xml:space="preserve"> in the oil market</w:t>
      </w:r>
      <w:r w:rsidR="009A382C">
        <w:rPr>
          <w:color w:val="000000" w:themeColor="text1"/>
        </w:rPr>
        <w:t xml:space="preserve">, we further observe the anticipated negative correlations </w:t>
      </w:r>
      <w:r w:rsidR="00824D2D" w:rsidRPr="00824D2D">
        <w:rPr>
          <w:color w:val="000000" w:themeColor="text1"/>
        </w:rPr>
        <w:t xml:space="preserve">between sovereign yield spreads </w:t>
      </w:r>
      <w:r w:rsidR="00824D2D">
        <w:rPr>
          <w:color w:val="000000" w:themeColor="text1"/>
        </w:rPr>
        <w:t>and aggregate demand shocks</w:t>
      </w:r>
      <w:r w:rsidR="009A382C">
        <w:rPr>
          <w:color w:val="000000" w:themeColor="text1"/>
        </w:rPr>
        <w:t>, which is particularly evident for the EMU periphery</w:t>
      </w:r>
      <w:r w:rsidR="00134859">
        <w:rPr>
          <w:color w:val="000000" w:themeColor="text1"/>
        </w:rPr>
        <w:t>, pos</w:t>
      </w:r>
      <w:r w:rsidR="007857AD">
        <w:rPr>
          <w:color w:val="000000" w:themeColor="text1"/>
        </w:rPr>
        <w:t>sibly due to the fact that these economies are more vulnerable to abrupt changes in the oil market</w:t>
      </w:r>
      <w:r w:rsidR="009A382C">
        <w:rPr>
          <w:color w:val="000000" w:themeColor="text1"/>
        </w:rPr>
        <w:t xml:space="preserve">. </w:t>
      </w:r>
    </w:p>
    <w:p w14:paraId="0426B5BA" w14:textId="48BAAFCF" w:rsidR="00B36234" w:rsidRDefault="008329D6" w:rsidP="00AC74C7">
      <w:pPr>
        <w:spacing w:line="360" w:lineRule="auto"/>
        <w:jc w:val="both"/>
        <w:rPr>
          <w:color w:val="000000" w:themeColor="text1"/>
        </w:rPr>
      </w:pPr>
      <w:r>
        <w:t xml:space="preserve">In addition, </w:t>
      </w:r>
      <w:r w:rsidR="00287BF9">
        <w:rPr>
          <w:color w:val="000000" w:themeColor="text1"/>
        </w:rPr>
        <w:t>o</w:t>
      </w:r>
      <w:r w:rsidR="00287BF9" w:rsidRPr="00D068A9">
        <w:rPr>
          <w:color w:val="000000" w:themeColor="text1"/>
        </w:rPr>
        <w:t xml:space="preserve">ur findings </w:t>
      </w:r>
      <w:r w:rsidR="00287BF9">
        <w:rPr>
          <w:color w:val="000000" w:themeColor="text1"/>
        </w:rPr>
        <w:t xml:space="preserve">suggest </w:t>
      </w:r>
      <w:r>
        <w:t xml:space="preserve">that </w:t>
      </w:r>
      <w:r w:rsidRPr="00E35040">
        <w:rPr>
          <w:color w:val="000000" w:themeColor="text1"/>
        </w:rPr>
        <w:t xml:space="preserve">the </w:t>
      </w:r>
      <w:r>
        <w:rPr>
          <w:color w:val="000000" w:themeColor="text1"/>
        </w:rPr>
        <w:t xml:space="preserve">correlations between sovereign yield spreads and </w:t>
      </w:r>
      <w:r w:rsidRPr="00E35040">
        <w:rPr>
          <w:color w:val="000000" w:themeColor="text1"/>
        </w:rPr>
        <w:t>supply-side shocks</w:t>
      </w:r>
      <w:r w:rsidR="007857AD">
        <w:rPr>
          <w:color w:val="000000" w:themeColor="text1"/>
        </w:rPr>
        <w:t xml:space="preserve"> during 2010-2016</w:t>
      </w:r>
      <w:r>
        <w:rPr>
          <w:color w:val="000000" w:themeColor="text1"/>
        </w:rPr>
        <w:t xml:space="preserve"> are </w:t>
      </w:r>
      <w:r w:rsidR="007857AD">
        <w:rPr>
          <w:color w:val="000000" w:themeColor="text1"/>
        </w:rPr>
        <w:t>virtually zero</w:t>
      </w:r>
      <w:r w:rsidR="00A506F2">
        <w:rPr>
          <w:color w:val="000000" w:themeColor="text1"/>
        </w:rPr>
        <w:t xml:space="preserve"> for all countries</w:t>
      </w:r>
      <w:r w:rsidR="007857AD">
        <w:rPr>
          <w:color w:val="000000" w:themeColor="text1"/>
        </w:rPr>
        <w:t>, with the exception</w:t>
      </w:r>
      <w:r w:rsidR="00134859">
        <w:rPr>
          <w:color w:val="000000" w:themeColor="text1"/>
        </w:rPr>
        <w:t>s of</w:t>
      </w:r>
      <w:r w:rsidR="007857AD">
        <w:rPr>
          <w:color w:val="000000" w:themeColor="text1"/>
        </w:rPr>
        <w:t xml:space="preserve"> the positive correlations in the cases of Belgium and France</w:t>
      </w:r>
      <w:r w:rsidR="00A86C91" w:rsidRPr="004C716F">
        <w:rPr>
          <w:color w:val="000000" w:themeColor="text1"/>
        </w:rPr>
        <w:t>.</w:t>
      </w:r>
      <w:r w:rsidR="007857AD">
        <w:rPr>
          <w:color w:val="000000" w:themeColor="text1"/>
        </w:rPr>
        <w:t xml:space="preserve"> </w:t>
      </w:r>
      <w:r w:rsidR="00134859">
        <w:rPr>
          <w:color w:val="000000" w:themeColor="text1"/>
        </w:rPr>
        <w:t>The Arab Spring</w:t>
      </w:r>
      <w:r w:rsidR="00A506F2">
        <w:rPr>
          <w:color w:val="000000" w:themeColor="text1"/>
        </w:rPr>
        <w:t xml:space="preserve"> caused precautionary demand oil price shocks, as </w:t>
      </w:r>
      <w:r w:rsidR="00134859">
        <w:rPr>
          <w:color w:val="000000" w:themeColor="text1"/>
        </w:rPr>
        <w:t xml:space="preserve">was </w:t>
      </w:r>
      <w:r w:rsidR="00A506F2">
        <w:rPr>
          <w:color w:val="000000" w:themeColor="text1"/>
        </w:rPr>
        <w:t>mentioned</w:t>
      </w:r>
      <w:r w:rsidR="00134859">
        <w:rPr>
          <w:color w:val="000000" w:themeColor="text1"/>
        </w:rPr>
        <w:t xml:space="preserve"> earlier</w:t>
      </w:r>
      <w:r w:rsidR="00A506F2">
        <w:rPr>
          <w:color w:val="000000" w:themeColor="text1"/>
        </w:rPr>
        <w:t xml:space="preserve">, while at the same time the real oil disruptions of the period also triggered some supply-side shocks. The fact that only Belgium and the French bond yield spreads are associated with the </w:t>
      </w:r>
      <w:r w:rsidR="006A3EEE">
        <w:rPr>
          <w:color w:val="000000" w:themeColor="text1"/>
        </w:rPr>
        <w:t xml:space="preserve">supply-side shocks can </w:t>
      </w:r>
      <w:r w:rsidR="007857AD">
        <w:rPr>
          <w:color w:val="000000" w:themeColor="text1"/>
        </w:rPr>
        <w:t xml:space="preserve">be explained by the fact that </w:t>
      </w:r>
      <w:r w:rsidR="00A506F2">
        <w:rPr>
          <w:color w:val="000000" w:themeColor="text1"/>
        </w:rPr>
        <w:t>these are the two countries within o</w:t>
      </w:r>
      <w:r w:rsidR="00134859">
        <w:rPr>
          <w:color w:val="000000" w:themeColor="text1"/>
        </w:rPr>
        <w:t>ur sample that have the strongest</w:t>
      </w:r>
      <w:r w:rsidR="00A506F2">
        <w:rPr>
          <w:color w:val="000000" w:themeColor="text1"/>
        </w:rPr>
        <w:t xml:space="preserve"> links with the </w:t>
      </w:r>
      <w:r w:rsidR="00AA2A9B">
        <w:rPr>
          <w:color w:val="000000" w:themeColor="text1"/>
        </w:rPr>
        <w:t>Arab oil producing countries</w:t>
      </w:r>
      <w:r w:rsidR="00A506F2">
        <w:rPr>
          <w:color w:val="000000" w:themeColor="text1"/>
        </w:rPr>
        <w:t>.</w:t>
      </w:r>
      <w:r w:rsidR="004C339E">
        <w:rPr>
          <w:color w:val="000000" w:themeColor="text1"/>
        </w:rPr>
        <w:t xml:space="preserve"> </w:t>
      </w:r>
      <w:r w:rsidR="004C339E">
        <w:rPr>
          <w:color w:val="000000" w:themeColor="text1"/>
        </w:rPr>
        <w:lastRenderedPageBreak/>
        <w:t xml:space="preserve">For instance, </w:t>
      </w:r>
      <w:r w:rsidR="00E53481">
        <w:rPr>
          <w:color w:val="000000" w:themeColor="text1"/>
        </w:rPr>
        <w:t>i</w:t>
      </w:r>
      <w:r w:rsidR="00E53481" w:rsidRPr="00E53481">
        <w:rPr>
          <w:color w:val="000000" w:themeColor="text1"/>
        </w:rPr>
        <w:t>n 2015, a</w:t>
      </w:r>
      <w:r w:rsidR="00E53481">
        <w:rPr>
          <w:color w:val="000000" w:themeColor="text1"/>
        </w:rPr>
        <w:t>bout 34</w:t>
      </w:r>
      <w:r w:rsidR="00E53481" w:rsidRPr="00E53481">
        <w:rPr>
          <w:color w:val="000000" w:themeColor="text1"/>
        </w:rPr>
        <w:t xml:space="preserve"> million tons of crude oil which were imported to France came from the </w:t>
      </w:r>
      <w:r w:rsidR="00E53481">
        <w:rPr>
          <w:color w:val="000000" w:themeColor="text1"/>
        </w:rPr>
        <w:t xml:space="preserve">North Africa and </w:t>
      </w:r>
      <w:r w:rsidR="00134859">
        <w:rPr>
          <w:color w:val="000000" w:themeColor="text1"/>
        </w:rPr>
        <w:t xml:space="preserve">the </w:t>
      </w:r>
      <w:r w:rsidR="00E53481">
        <w:rPr>
          <w:color w:val="000000" w:themeColor="text1"/>
        </w:rPr>
        <w:t>Middle East</w:t>
      </w:r>
      <w:r w:rsidR="004C339E">
        <w:rPr>
          <w:rStyle w:val="FootnoteReference"/>
          <w:color w:val="000000" w:themeColor="text1"/>
        </w:rPr>
        <w:footnoteReference w:id="23"/>
      </w:r>
      <w:r w:rsidR="00AA2A9B">
        <w:rPr>
          <w:color w:val="000000" w:themeColor="text1"/>
        </w:rPr>
        <w:t>.</w:t>
      </w:r>
    </w:p>
    <w:p w14:paraId="59D934EC" w14:textId="14B2DB75" w:rsidR="00AD083C" w:rsidRDefault="00AD083C" w:rsidP="00AC74C7">
      <w:pPr>
        <w:spacing w:line="360" w:lineRule="auto"/>
        <w:jc w:val="both"/>
        <w:rPr>
          <w:color w:val="000000" w:themeColor="text1"/>
        </w:rPr>
      </w:pPr>
      <w:r>
        <w:rPr>
          <w:color w:val="000000" w:themeColor="text1"/>
        </w:rPr>
        <w:t>Finally, w</w:t>
      </w:r>
      <w:r w:rsidR="00A17BE5" w:rsidRPr="00391B8A">
        <w:rPr>
          <w:color w:val="000000" w:themeColor="text1"/>
        </w:rPr>
        <w:t>ith refe</w:t>
      </w:r>
      <w:r w:rsidR="00087F01">
        <w:rPr>
          <w:color w:val="000000" w:themeColor="text1"/>
        </w:rPr>
        <w:t xml:space="preserve">rence to the </w:t>
      </w:r>
      <w:r>
        <w:rPr>
          <w:color w:val="000000" w:themeColor="text1"/>
        </w:rPr>
        <w:t xml:space="preserve">oil </w:t>
      </w:r>
      <w:r w:rsidR="00134859">
        <w:rPr>
          <w:color w:val="000000" w:themeColor="text1"/>
        </w:rPr>
        <w:t xml:space="preserve">price </w:t>
      </w:r>
      <w:r>
        <w:rPr>
          <w:color w:val="000000" w:themeColor="text1"/>
        </w:rPr>
        <w:t xml:space="preserve">slump of </w:t>
      </w:r>
      <w:r w:rsidR="00087F01">
        <w:rPr>
          <w:color w:val="000000" w:themeColor="text1"/>
        </w:rPr>
        <w:t>2014-</w:t>
      </w:r>
      <w:r w:rsidR="00A17BE5" w:rsidRPr="00391B8A">
        <w:rPr>
          <w:color w:val="000000" w:themeColor="text1"/>
        </w:rPr>
        <w:t xml:space="preserve">2015, it should be underlined that this </w:t>
      </w:r>
      <w:r w:rsidR="00DB030E" w:rsidRPr="00391B8A">
        <w:rPr>
          <w:color w:val="000000" w:themeColor="text1"/>
        </w:rPr>
        <w:t xml:space="preserve">period is dominated by </w:t>
      </w:r>
      <w:r w:rsidR="00A17BE5" w:rsidRPr="00391B8A">
        <w:rPr>
          <w:color w:val="000000" w:themeColor="text1"/>
        </w:rPr>
        <w:t>aggregate demand shock</w:t>
      </w:r>
      <w:r w:rsidR="00926D8C">
        <w:rPr>
          <w:color w:val="000000" w:themeColor="text1"/>
        </w:rPr>
        <w:t>s</w:t>
      </w:r>
      <w:r w:rsidR="00134859">
        <w:rPr>
          <w:color w:val="000000" w:themeColor="text1"/>
        </w:rPr>
        <w:t>, as well as</w:t>
      </w:r>
      <w:r>
        <w:rPr>
          <w:color w:val="000000" w:themeColor="text1"/>
        </w:rPr>
        <w:t xml:space="preserve"> supply-side shocks. It is evident that during this period the correlation between bond yield spreads and precautionary demand shocks are reverting to zero, while t</w:t>
      </w:r>
      <w:r w:rsidR="00932272">
        <w:rPr>
          <w:color w:val="000000" w:themeColor="text1"/>
        </w:rPr>
        <w:t>he expected</w:t>
      </w:r>
      <w:r w:rsidR="00DF5833" w:rsidRPr="00391B8A">
        <w:rPr>
          <w:color w:val="000000" w:themeColor="text1"/>
        </w:rPr>
        <w:t xml:space="preserve"> </w:t>
      </w:r>
      <w:r w:rsidR="00F130F3" w:rsidRPr="00391B8A">
        <w:rPr>
          <w:color w:val="000000" w:themeColor="text1"/>
        </w:rPr>
        <w:t>negative correlation</w:t>
      </w:r>
      <w:r w:rsidR="00DF5833" w:rsidRPr="00391B8A">
        <w:rPr>
          <w:color w:val="000000" w:themeColor="text1"/>
        </w:rPr>
        <w:t xml:space="preserve"> </w:t>
      </w:r>
      <w:r>
        <w:rPr>
          <w:color w:val="000000" w:themeColor="text1"/>
        </w:rPr>
        <w:t>with the</w:t>
      </w:r>
      <w:r w:rsidR="00DF5833" w:rsidRPr="00391B8A">
        <w:rPr>
          <w:color w:val="000000" w:themeColor="text1"/>
        </w:rPr>
        <w:t xml:space="preserve"> aggregate dem</w:t>
      </w:r>
      <w:r w:rsidR="00BF744C">
        <w:rPr>
          <w:color w:val="000000" w:themeColor="text1"/>
        </w:rPr>
        <w:t>and shocks is mostly confirmed</w:t>
      </w:r>
      <w:r w:rsidR="00DF5833" w:rsidRPr="00391B8A">
        <w:rPr>
          <w:color w:val="000000" w:themeColor="text1"/>
        </w:rPr>
        <w:t>.</w:t>
      </w:r>
      <w:r>
        <w:rPr>
          <w:color w:val="000000" w:themeColor="text1"/>
        </w:rPr>
        <w:t xml:space="preserve"> Once again, the lack of strong correlations between the bond yield spreads and the supply-side shocks during 2014-2015 reveals th</w:t>
      </w:r>
      <w:r w:rsidR="00EE0D61">
        <w:rPr>
          <w:color w:val="000000" w:themeColor="text1"/>
        </w:rPr>
        <w:t>e</w:t>
      </w:r>
      <w:r>
        <w:rPr>
          <w:color w:val="000000" w:themeColor="text1"/>
        </w:rPr>
        <w:t xml:space="preserve"> lack </w:t>
      </w:r>
      <w:r w:rsidR="00EE0D61">
        <w:rPr>
          <w:color w:val="000000" w:themeColor="text1"/>
        </w:rPr>
        <w:t xml:space="preserve">of </w:t>
      </w:r>
      <w:r>
        <w:rPr>
          <w:color w:val="000000" w:themeColor="text1"/>
        </w:rPr>
        <w:t xml:space="preserve">importance of such shocks to the financial markets. </w:t>
      </w:r>
    </w:p>
    <w:p w14:paraId="2C99DE9D" w14:textId="77777777" w:rsidR="00377B56" w:rsidRDefault="00377B56" w:rsidP="00AC74C7">
      <w:pPr>
        <w:spacing w:line="360" w:lineRule="auto"/>
        <w:jc w:val="both"/>
        <w:rPr>
          <w:color w:val="000000" w:themeColor="text1"/>
        </w:rPr>
      </w:pPr>
    </w:p>
    <w:p w14:paraId="56E40664" w14:textId="719C2498" w:rsidR="00AD083C" w:rsidRPr="00AD083C" w:rsidRDefault="00AD083C" w:rsidP="00AD083C">
      <w:pPr>
        <w:suppressAutoHyphens/>
        <w:spacing w:line="360" w:lineRule="auto"/>
        <w:jc w:val="both"/>
        <w:rPr>
          <w:i/>
          <w:color w:val="000000" w:themeColor="text1"/>
        </w:rPr>
      </w:pPr>
      <w:r w:rsidRPr="00791592">
        <w:rPr>
          <w:i/>
          <w:color w:val="000000" w:themeColor="text1"/>
        </w:rPr>
        <w:t>5.2.</w:t>
      </w:r>
      <w:r>
        <w:rPr>
          <w:i/>
          <w:color w:val="000000" w:themeColor="text1"/>
        </w:rPr>
        <w:t>4</w:t>
      </w:r>
      <w:r w:rsidRPr="00791592">
        <w:rPr>
          <w:i/>
          <w:color w:val="000000" w:themeColor="text1"/>
        </w:rPr>
        <w:t xml:space="preserve"> </w:t>
      </w:r>
      <w:r w:rsidR="001E3BED">
        <w:rPr>
          <w:i/>
          <w:color w:val="000000" w:themeColor="text1"/>
        </w:rPr>
        <w:t>S</w:t>
      </w:r>
      <w:r w:rsidR="005233DD">
        <w:rPr>
          <w:i/>
          <w:color w:val="000000" w:themeColor="text1"/>
        </w:rPr>
        <w:t>ome further remarks</w:t>
      </w:r>
    </w:p>
    <w:p w14:paraId="127BF08F" w14:textId="7B1B4418" w:rsidR="0046222C" w:rsidRPr="00B30621" w:rsidRDefault="00BA41A4" w:rsidP="005C7D37">
      <w:pPr>
        <w:spacing w:line="360" w:lineRule="auto"/>
        <w:jc w:val="both"/>
      </w:pPr>
      <w:r>
        <w:rPr>
          <w:color w:val="000000" w:themeColor="text1"/>
        </w:rPr>
        <w:t>Summarising our findings, we are able to point out</w:t>
      </w:r>
      <w:r w:rsidR="004D419F">
        <w:rPr>
          <w:color w:val="000000" w:themeColor="text1"/>
        </w:rPr>
        <w:t xml:space="preserve"> </w:t>
      </w:r>
      <w:r w:rsidR="002B081B">
        <w:rPr>
          <w:color w:val="000000" w:themeColor="text1"/>
        </w:rPr>
        <w:t>one additional</w:t>
      </w:r>
      <w:r w:rsidR="000D0D65">
        <w:rPr>
          <w:color w:val="000000" w:themeColor="text1"/>
        </w:rPr>
        <w:t xml:space="preserve"> </w:t>
      </w:r>
      <w:r w:rsidR="004D419F">
        <w:rPr>
          <w:color w:val="000000" w:themeColor="text1"/>
        </w:rPr>
        <w:t xml:space="preserve">interesting feature. </w:t>
      </w:r>
      <w:r w:rsidR="002B081B">
        <w:rPr>
          <w:color w:val="000000" w:themeColor="text1"/>
        </w:rPr>
        <w:t>In particular</w:t>
      </w:r>
      <w:r w:rsidR="004D419F">
        <w:rPr>
          <w:color w:val="000000" w:themeColor="text1"/>
        </w:rPr>
        <w:t xml:space="preserve">, </w:t>
      </w:r>
      <w:r w:rsidR="00AC74C7">
        <w:t xml:space="preserve">we </w:t>
      </w:r>
      <w:r w:rsidR="00257E82">
        <w:t xml:space="preserve">do not </w:t>
      </w:r>
      <w:r w:rsidR="00AC74C7">
        <w:t xml:space="preserve">observe </w:t>
      </w:r>
      <w:r w:rsidR="00257E82">
        <w:t xml:space="preserve">noticeable </w:t>
      </w:r>
      <w:r w:rsidR="00E21C2D">
        <w:t xml:space="preserve">differences </w:t>
      </w:r>
      <w:r w:rsidR="00AC74C7">
        <w:t>in the correlation patterns between core and periphery countries</w:t>
      </w:r>
      <w:r w:rsidR="00AD083C">
        <w:t>, although more persistent positive or negative relationships are reported for the EMU periphery countries</w:t>
      </w:r>
      <w:r w:rsidR="00AC74C7">
        <w:t xml:space="preserve">. </w:t>
      </w:r>
      <w:r w:rsidR="00AD083C">
        <w:t>A</w:t>
      </w:r>
      <w:r w:rsidR="00AC74C7">
        <w:t xml:space="preserve"> plausible explanation regarding the </w:t>
      </w:r>
      <w:r w:rsidR="00E15C3A">
        <w:t>very little</w:t>
      </w:r>
      <w:r w:rsidR="00AD083C">
        <w:t xml:space="preserve"> </w:t>
      </w:r>
      <w:r w:rsidR="00AC74C7">
        <w:t xml:space="preserve">evidence of differentiation </w:t>
      </w:r>
      <w:r w:rsidR="005925E5">
        <w:t>is that periphery countries</w:t>
      </w:r>
      <w:r w:rsidR="00AC74C7">
        <w:t xml:space="preserve"> appeared to be </w:t>
      </w:r>
      <w:r w:rsidR="00A56DF3">
        <w:t>more dependent o</w:t>
      </w:r>
      <w:r w:rsidR="00AC74C7">
        <w:t>n oil imports</w:t>
      </w:r>
      <w:r w:rsidR="00AD083C">
        <w:t xml:space="preserve"> (see, for instance, </w:t>
      </w:r>
      <w:r w:rsidR="00457ADE" w:rsidRPr="00457ADE">
        <w:t xml:space="preserve">Gibson </w:t>
      </w:r>
      <w:r w:rsidR="00457ADE" w:rsidRPr="000C724C">
        <w:t>et al.</w:t>
      </w:r>
      <w:r w:rsidR="00AD083C">
        <w:t xml:space="preserve">, </w:t>
      </w:r>
      <w:r w:rsidR="00457ADE" w:rsidRPr="00457ADE">
        <w:t>2012)</w:t>
      </w:r>
      <w:r w:rsidR="004E6A0A">
        <w:t xml:space="preserve">. </w:t>
      </w:r>
      <w:r w:rsidR="00AC74C7">
        <w:t xml:space="preserve">In contrast, core countries might be less dependent on oil imports since they </w:t>
      </w:r>
      <w:r w:rsidR="00A56DF3">
        <w:t xml:space="preserve">also </w:t>
      </w:r>
      <w:r w:rsidR="00AC74C7">
        <w:t xml:space="preserve">use </w:t>
      </w:r>
      <w:r w:rsidR="00AC74C7" w:rsidRPr="00C63385">
        <w:t>other sources of energy</w:t>
      </w:r>
      <w:r w:rsidR="00AC74C7">
        <w:t xml:space="preserve"> such as </w:t>
      </w:r>
      <w:r w:rsidR="00AC74C7" w:rsidRPr="0097310F">
        <w:t xml:space="preserve">renewable </w:t>
      </w:r>
      <w:r w:rsidR="005925E5">
        <w:t>or nuclear energy</w:t>
      </w:r>
      <w:r w:rsidR="00F3133C">
        <w:rPr>
          <w:rStyle w:val="FootnoteReference"/>
        </w:rPr>
        <w:footnoteReference w:id="24"/>
      </w:r>
      <w:r w:rsidR="00AA2A9B">
        <w:t>.</w:t>
      </w:r>
      <w:r w:rsidR="00AC74C7">
        <w:t xml:space="preserve"> </w:t>
      </w:r>
      <w:r w:rsidR="00E42C18">
        <w:t xml:space="preserve">Reasonably, </w:t>
      </w:r>
      <w:r w:rsidR="009113BA">
        <w:t xml:space="preserve">core countries will </w:t>
      </w:r>
      <w:r w:rsidR="00AC74C7">
        <w:t xml:space="preserve">also </w:t>
      </w:r>
      <w:r w:rsidR="009113BA">
        <w:t xml:space="preserve">be </w:t>
      </w:r>
      <w:r w:rsidR="00AC74C7">
        <w:t>aff</w:t>
      </w:r>
      <w:r w:rsidR="009113BA">
        <w:t>ected by oil price fluctuations. H</w:t>
      </w:r>
      <w:r w:rsidR="00AC74C7">
        <w:t>owever, the magnitude of these responses is expected to be</w:t>
      </w:r>
      <w:r w:rsidR="00AD083C">
        <w:t xml:space="preserve"> somewhat</w:t>
      </w:r>
      <w:r w:rsidR="00AC74C7">
        <w:t xml:space="preserve"> lower compared wit</w:t>
      </w:r>
      <w:r w:rsidR="00B30621">
        <w:t xml:space="preserve">h those of periphery countries. </w:t>
      </w:r>
    </w:p>
    <w:p w14:paraId="1AB5BA5B" w14:textId="39F10467" w:rsidR="00AF2176" w:rsidRDefault="0046222C" w:rsidP="005C7D37">
      <w:pPr>
        <w:spacing w:line="360" w:lineRule="auto"/>
        <w:jc w:val="both"/>
        <w:rPr>
          <w:color w:val="000000" w:themeColor="text1"/>
        </w:rPr>
      </w:pPr>
      <w:r>
        <w:rPr>
          <w:color w:val="000000" w:themeColor="text1"/>
        </w:rPr>
        <w:t>H</w:t>
      </w:r>
      <w:r w:rsidR="00213F2A">
        <w:rPr>
          <w:color w:val="000000" w:themeColor="text1"/>
        </w:rPr>
        <w:t>ence</w:t>
      </w:r>
      <w:r>
        <w:rPr>
          <w:color w:val="000000" w:themeColor="text1"/>
        </w:rPr>
        <w:t>, we</w:t>
      </w:r>
      <w:r w:rsidR="009113BA">
        <w:rPr>
          <w:color w:val="000000" w:themeColor="text1"/>
        </w:rPr>
        <w:t xml:space="preserve"> provide support for a</w:t>
      </w:r>
      <w:r w:rsidR="00213F2A">
        <w:rPr>
          <w:color w:val="000000" w:themeColor="text1"/>
        </w:rPr>
        <w:t xml:space="preserve"> </w:t>
      </w:r>
      <w:r w:rsidR="004A39B8" w:rsidRPr="004A39B8">
        <w:rPr>
          <w:color w:val="000000" w:themeColor="text1"/>
        </w:rPr>
        <w:t>link</w:t>
      </w:r>
      <w:r w:rsidR="00213F2A">
        <w:rPr>
          <w:color w:val="000000" w:themeColor="text1"/>
        </w:rPr>
        <w:t xml:space="preserve"> between </w:t>
      </w:r>
      <w:r>
        <w:rPr>
          <w:color w:val="000000" w:themeColor="text1"/>
        </w:rPr>
        <w:t xml:space="preserve">the </w:t>
      </w:r>
      <w:r w:rsidR="00213F2A">
        <w:rPr>
          <w:color w:val="000000" w:themeColor="text1"/>
        </w:rPr>
        <w:t xml:space="preserve">oil </w:t>
      </w:r>
      <w:r>
        <w:rPr>
          <w:color w:val="000000" w:themeColor="text1"/>
        </w:rPr>
        <w:t xml:space="preserve">market </w:t>
      </w:r>
      <w:r w:rsidR="00213F2A">
        <w:rPr>
          <w:color w:val="000000" w:themeColor="text1"/>
        </w:rPr>
        <w:t>and sovereign risk</w:t>
      </w:r>
      <w:r w:rsidR="004A39B8" w:rsidRPr="004A39B8">
        <w:rPr>
          <w:color w:val="000000" w:themeColor="text1"/>
        </w:rPr>
        <w:t>.</w:t>
      </w:r>
      <w:r w:rsidR="00213F2A">
        <w:rPr>
          <w:color w:val="000000" w:themeColor="text1"/>
        </w:rPr>
        <w:t xml:space="preserve"> </w:t>
      </w:r>
      <w:r>
        <w:rPr>
          <w:color w:val="000000" w:themeColor="text1"/>
        </w:rPr>
        <w:t>These</w:t>
      </w:r>
      <w:r w:rsidR="00D32895">
        <w:rPr>
          <w:color w:val="000000" w:themeColor="text1"/>
        </w:rPr>
        <w:t xml:space="preserve"> new insights </w:t>
      </w:r>
      <w:r>
        <w:rPr>
          <w:color w:val="000000" w:themeColor="text1"/>
        </w:rPr>
        <w:t>contribute greatly to</w:t>
      </w:r>
      <w:r w:rsidR="00D32895">
        <w:rPr>
          <w:color w:val="000000" w:themeColor="text1"/>
        </w:rPr>
        <w:t xml:space="preserve"> the existing literature. </w:t>
      </w:r>
      <w:r w:rsidR="001D4BA7">
        <w:rPr>
          <w:color w:val="000000" w:themeColor="text1"/>
        </w:rPr>
        <w:t xml:space="preserve">For example, a number of </w:t>
      </w:r>
      <w:r w:rsidR="001D4BA7" w:rsidRPr="001D4BA7">
        <w:rPr>
          <w:color w:val="000000" w:themeColor="text1"/>
        </w:rPr>
        <w:t xml:space="preserve">recent studies </w:t>
      </w:r>
      <w:r w:rsidR="001D4BA7">
        <w:rPr>
          <w:color w:val="000000" w:themeColor="text1"/>
        </w:rPr>
        <w:t xml:space="preserve">which examine the link between oil and </w:t>
      </w:r>
      <w:r w:rsidR="001D4BA7" w:rsidRPr="001D4BA7">
        <w:rPr>
          <w:color w:val="000000" w:themeColor="text1"/>
        </w:rPr>
        <w:t>sovereign risk</w:t>
      </w:r>
      <w:r w:rsidR="0067652E">
        <w:rPr>
          <w:rStyle w:val="FootnoteReference"/>
          <w:color w:val="000000" w:themeColor="text1"/>
        </w:rPr>
        <w:footnoteReference w:id="25"/>
      </w:r>
      <w:r w:rsidR="001D4BA7">
        <w:rPr>
          <w:color w:val="000000" w:themeColor="text1"/>
        </w:rPr>
        <w:t xml:space="preserve"> </w:t>
      </w:r>
      <w:r w:rsidR="0067652E">
        <w:rPr>
          <w:color w:val="000000" w:themeColor="text1"/>
        </w:rPr>
        <w:t xml:space="preserve">(i) </w:t>
      </w:r>
      <w:r w:rsidR="00027517" w:rsidRPr="00027517">
        <w:rPr>
          <w:color w:val="000000" w:themeColor="text1"/>
        </w:rPr>
        <w:t>do not</w:t>
      </w:r>
      <w:r>
        <w:rPr>
          <w:color w:val="000000" w:themeColor="text1"/>
        </w:rPr>
        <w:t xml:space="preserve"> </w:t>
      </w:r>
      <w:r w:rsidR="00027517" w:rsidRPr="00027517">
        <w:rPr>
          <w:color w:val="000000" w:themeColor="text1"/>
        </w:rPr>
        <w:t>concentrate their attention</w:t>
      </w:r>
      <w:r w:rsidR="00027517">
        <w:rPr>
          <w:color w:val="000000" w:themeColor="text1"/>
        </w:rPr>
        <w:t xml:space="preserve"> on the </w:t>
      </w:r>
      <w:r w:rsidR="009113BA">
        <w:rPr>
          <w:color w:val="000000" w:themeColor="text1"/>
        </w:rPr>
        <w:t>substantial</w:t>
      </w:r>
      <w:r w:rsidR="00C3106E">
        <w:rPr>
          <w:color w:val="000000" w:themeColor="text1"/>
        </w:rPr>
        <w:t xml:space="preserve"> European</w:t>
      </w:r>
      <w:r w:rsidR="00210CBC">
        <w:rPr>
          <w:color w:val="000000" w:themeColor="text1"/>
        </w:rPr>
        <w:t xml:space="preserve"> market</w:t>
      </w:r>
      <w:r w:rsidR="00C3106E" w:rsidRPr="00C3106E">
        <w:t xml:space="preserve"> </w:t>
      </w:r>
      <w:r w:rsidR="00C14ACC">
        <w:t>which is</w:t>
      </w:r>
      <w:r>
        <w:t>,</w:t>
      </w:r>
      <w:r w:rsidR="00C14ACC">
        <w:t xml:space="preserve"> on aggregate</w:t>
      </w:r>
      <w:r>
        <w:t>,</w:t>
      </w:r>
      <w:r w:rsidR="00C14ACC">
        <w:t xml:space="preserve"> </w:t>
      </w:r>
      <w:r w:rsidR="009113BA">
        <w:t>the largest oil-importer in</w:t>
      </w:r>
      <w:r w:rsidR="00CF4C7B">
        <w:t xml:space="preserve"> the world</w:t>
      </w:r>
      <w:r w:rsidR="0067652E">
        <w:t>, (ii)</w:t>
      </w:r>
      <w:r>
        <w:rPr>
          <w:color w:val="000000" w:themeColor="text1"/>
        </w:rPr>
        <w:t xml:space="preserve"> </w:t>
      </w:r>
      <w:r w:rsidR="0067652E">
        <w:rPr>
          <w:color w:val="000000" w:themeColor="text1"/>
        </w:rPr>
        <w:t xml:space="preserve">have not considered the disaggregation of oil prices to the different oil price shocks </w:t>
      </w:r>
      <w:r>
        <w:rPr>
          <w:color w:val="000000" w:themeColor="text1"/>
        </w:rPr>
        <w:t>and (i</w:t>
      </w:r>
      <w:r w:rsidR="0067652E">
        <w:rPr>
          <w:color w:val="000000" w:themeColor="text1"/>
        </w:rPr>
        <w:t>i</w:t>
      </w:r>
      <w:r w:rsidR="009113BA">
        <w:rPr>
          <w:color w:val="000000" w:themeColor="text1"/>
        </w:rPr>
        <w:t>i) have</w:t>
      </w:r>
      <w:r>
        <w:rPr>
          <w:color w:val="000000" w:themeColor="text1"/>
        </w:rPr>
        <w:t xml:space="preserve"> underplay</w:t>
      </w:r>
      <w:r w:rsidR="0067652E">
        <w:rPr>
          <w:color w:val="000000" w:themeColor="text1"/>
        </w:rPr>
        <w:t>ed</w:t>
      </w:r>
      <w:r>
        <w:rPr>
          <w:color w:val="000000" w:themeColor="text1"/>
        </w:rPr>
        <w:t xml:space="preserve"> the importance of the time-varying approach. However, we have convincingly shown in this study that the aforementioned relationship </w:t>
      </w:r>
      <w:r w:rsidR="009113BA">
        <w:rPr>
          <w:color w:val="000000" w:themeColor="text1"/>
        </w:rPr>
        <w:t xml:space="preserve">is </w:t>
      </w:r>
      <w:r w:rsidR="0067652E">
        <w:rPr>
          <w:color w:val="000000" w:themeColor="text1"/>
        </w:rPr>
        <w:t xml:space="preserve">dependent on </w:t>
      </w:r>
      <w:r w:rsidR="009113BA">
        <w:rPr>
          <w:color w:val="000000" w:themeColor="text1"/>
        </w:rPr>
        <w:t xml:space="preserve">not only </w:t>
      </w:r>
      <w:r w:rsidR="0067652E">
        <w:rPr>
          <w:color w:val="000000" w:themeColor="text1"/>
        </w:rPr>
        <w:t>the differe</w:t>
      </w:r>
      <w:r w:rsidR="009113BA">
        <w:rPr>
          <w:color w:val="000000" w:themeColor="text1"/>
        </w:rPr>
        <w:t xml:space="preserve">nt oil price shocks but </w:t>
      </w:r>
      <w:r w:rsidR="009113BA">
        <w:rPr>
          <w:color w:val="000000" w:themeColor="text1"/>
        </w:rPr>
        <w:lastRenderedPageBreak/>
        <w:t xml:space="preserve">also </w:t>
      </w:r>
      <w:r w:rsidR="0067652E">
        <w:rPr>
          <w:color w:val="000000" w:themeColor="text1"/>
        </w:rPr>
        <w:t>the different time periods when key economic and geopolitical events have taken place.</w:t>
      </w:r>
    </w:p>
    <w:p w14:paraId="386EFE52" w14:textId="06781D56" w:rsidR="006A2AEB" w:rsidRDefault="006A2AEB" w:rsidP="008638BC">
      <w:pPr>
        <w:suppressAutoHyphens/>
        <w:spacing w:line="360" w:lineRule="auto"/>
        <w:jc w:val="both"/>
        <w:rPr>
          <w:b/>
        </w:rPr>
      </w:pPr>
    </w:p>
    <w:p w14:paraId="68F6C30A" w14:textId="548391B9" w:rsidR="008638BC" w:rsidRPr="008638BC" w:rsidRDefault="004F7E3A" w:rsidP="008638BC">
      <w:pPr>
        <w:suppressAutoHyphens/>
        <w:spacing w:line="360" w:lineRule="auto"/>
        <w:jc w:val="both"/>
        <w:rPr>
          <w:b/>
        </w:rPr>
      </w:pPr>
      <w:r>
        <w:rPr>
          <w:b/>
        </w:rPr>
        <w:t>6</w:t>
      </w:r>
      <w:r w:rsidR="008638BC" w:rsidRPr="009E7212">
        <w:rPr>
          <w:b/>
        </w:rPr>
        <w:t>. Conclusion</w:t>
      </w:r>
    </w:p>
    <w:p w14:paraId="5DA554F6" w14:textId="06690E56" w:rsidR="00EE1715" w:rsidRDefault="008638BC" w:rsidP="00EE1715">
      <w:pPr>
        <w:suppressAutoHyphens/>
        <w:spacing w:line="360" w:lineRule="auto"/>
        <w:jc w:val="both"/>
      </w:pPr>
      <w:r w:rsidRPr="008638BC">
        <w:t xml:space="preserve">The </w:t>
      </w:r>
      <w:r>
        <w:t>aim of this study is to investigate the time-varying correlation bet</w:t>
      </w:r>
      <w:r w:rsidR="0003163A">
        <w:t>ween different shocks originating</w:t>
      </w:r>
      <w:r>
        <w:t xml:space="preserve"> from the oil market and the 10-year sovereign yield spread of core and periphery countries in the EMU.</w:t>
      </w:r>
      <w:r w:rsidR="00A12ECE">
        <w:t xml:space="preserve"> </w:t>
      </w:r>
      <w:r w:rsidR="00C90A48">
        <w:t>We employ</w:t>
      </w:r>
      <w:r w:rsidR="005A3EEB">
        <w:t xml:space="preserve"> a set </w:t>
      </w:r>
      <w:r w:rsidR="00C90A48">
        <w:t>of five core countries (Austria, Belgium, Finland, France and Netherlands) and five periphery countries (Greece, Irel</w:t>
      </w:r>
      <w:r w:rsidR="00EB4BD2">
        <w:t>and, Italy, Portugal and Spain)</w:t>
      </w:r>
      <w:r w:rsidR="00EE1715">
        <w:t xml:space="preserve">. </w:t>
      </w:r>
      <w:r w:rsidR="00004714">
        <w:t>In addition, we employ a set of control variables</w:t>
      </w:r>
      <w:r w:rsidR="000850A4">
        <w:t xml:space="preserve"> that impacts both the oil prices and sovereign yields,</w:t>
      </w:r>
      <w:r w:rsidR="00004714">
        <w:t xml:space="preserve"> in order to capture the omitted variable bias issue. </w:t>
      </w:r>
      <w:r w:rsidR="00C90A48">
        <w:t xml:space="preserve">We use monthly data over the period from January 1999 to </w:t>
      </w:r>
      <w:r w:rsidR="00004714">
        <w:t>January</w:t>
      </w:r>
      <w:r w:rsidR="000850A4">
        <w:t xml:space="preserve"> </w:t>
      </w:r>
      <w:r w:rsidR="00C90A48">
        <w:t xml:space="preserve">2016 for the core countries, whereas </w:t>
      </w:r>
      <w:r w:rsidR="00EE1715">
        <w:t xml:space="preserve">the sample period spans from January 2001 to </w:t>
      </w:r>
      <w:r w:rsidR="00FA141B">
        <w:t>January</w:t>
      </w:r>
      <w:r w:rsidR="000850A4">
        <w:t xml:space="preserve"> </w:t>
      </w:r>
      <w:r w:rsidR="00EE1715">
        <w:t>2016 for the periphery countries.</w:t>
      </w:r>
      <w:r w:rsidR="00E571F6">
        <w:t xml:space="preserve"> A scalar-BEKK </w:t>
      </w:r>
      <w:r w:rsidR="00116250">
        <w:t xml:space="preserve">time-varying framework </w:t>
      </w:r>
      <w:r w:rsidR="00E571F6">
        <w:t xml:space="preserve">is employed </w:t>
      </w:r>
      <w:r w:rsidR="00116250">
        <w:t>to explore the above relationship.</w:t>
      </w:r>
      <w:r w:rsidR="00BD6E31">
        <w:t xml:space="preserve"> Overall, this study </w:t>
      </w:r>
      <w:r w:rsidR="00284916">
        <w:t>expands the existing literature not only in examining the origin of the oil price change to test the aforementioned relationship but also in terms of introducing a time-varying rather than a static framework.</w:t>
      </w:r>
    </w:p>
    <w:p w14:paraId="21B4320D" w14:textId="3BBA93F8" w:rsidR="005C5557" w:rsidRPr="00333495" w:rsidRDefault="00C65C76" w:rsidP="005C5557">
      <w:pPr>
        <w:suppressAutoHyphens/>
        <w:spacing w:line="360" w:lineRule="auto"/>
        <w:jc w:val="both"/>
      </w:pPr>
      <w:r w:rsidRPr="00333495">
        <w:t xml:space="preserve">Our findings suggest </w:t>
      </w:r>
      <w:r w:rsidR="008B10C4" w:rsidRPr="00333495">
        <w:t>some interesting</w:t>
      </w:r>
      <w:r w:rsidR="005E5C7E" w:rsidRPr="00333495">
        <w:t xml:space="preserve"> empirical regularities</w:t>
      </w:r>
      <w:r w:rsidR="008B10C4" w:rsidRPr="00333495">
        <w:t xml:space="preserve">. </w:t>
      </w:r>
      <w:r w:rsidR="005C5557" w:rsidRPr="00333495">
        <w:t xml:space="preserve">First, </w:t>
      </w:r>
      <w:r w:rsidR="00333495">
        <w:t xml:space="preserve">we </w:t>
      </w:r>
      <w:r w:rsidR="000850A4">
        <w:t>cannot offer support to our first</w:t>
      </w:r>
      <w:r w:rsidR="00333495">
        <w:t xml:space="preserve"> hypothesis regarding </w:t>
      </w:r>
      <w:r w:rsidR="000850A4">
        <w:t xml:space="preserve">the </w:t>
      </w:r>
      <w:r w:rsidR="00333495">
        <w:t xml:space="preserve">negative correlation patterns between </w:t>
      </w:r>
      <w:r w:rsidR="00333495" w:rsidRPr="00333495">
        <w:t>supply-side shocks</w:t>
      </w:r>
      <w:r w:rsidR="00333495">
        <w:t xml:space="preserve"> and sovereign yield spreads</w:t>
      </w:r>
      <w:r w:rsidR="000850A4">
        <w:t>.</w:t>
      </w:r>
      <w:r w:rsidR="00333495">
        <w:t xml:space="preserve"> </w:t>
      </w:r>
      <w:r w:rsidR="000850A4">
        <w:t>By contrast</w:t>
      </w:r>
      <w:r w:rsidR="007263A5" w:rsidRPr="00333495">
        <w:t xml:space="preserve">, </w:t>
      </w:r>
      <w:r w:rsidR="000850A4">
        <w:t xml:space="preserve">our hypotheses regarding the two demand side shocks </w:t>
      </w:r>
      <w:r w:rsidR="007263A5" w:rsidRPr="00333495">
        <w:t xml:space="preserve">are generally </w:t>
      </w:r>
      <w:r w:rsidR="000850A4">
        <w:t>supported by the evidence provided in this study.</w:t>
      </w:r>
      <w:r w:rsidR="00333495">
        <w:t xml:space="preserve"> </w:t>
      </w:r>
      <w:r w:rsidR="005C5557" w:rsidRPr="00333495">
        <w:t xml:space="preserve">Second, the relationship between </w:t>
      </w:r>
      <w:r w:rsidR="00662819">
        <w:t xml:space="preserve">the </w:t>
      </w:r>
      <w:r w:rsidR="005C5557" w:rsidRPr="00333495">
        <w:t xml:space="preserve">different oil price shocks and sovereign yield spreads is indeed time-varying and </w:t>
      </w:r>
      <w:r w:rsidR="000850A4">
        <w:t>depend</w:t>
      </w:r>
      <w:r w:rsidR="00662819">
        <w:t>s</w:t>
      </w:r>
      <w:r w:rsidR="000850A4">
        <w:t xml:space="preserve"> on specific economic and geopolitical events that took place during the study period</w:t>
      </w:r>
      <w:r w:rsidR="005C5557" w:rsidRPr="00333495">
        <w:t xml:space="preserve">. </w:t>
      </w:r>
      <w:r w:rsidR="00662819">
        <w:t>Third</w:t>
      </w:r>
      <w:r w:rsidR="005C5557" w:rsidRPr="00333495">
        <w:t>, the co</w:t>
      </w:r>
      <w:r w:rsidR="00DA6568">
        <w:t>rrelation patterns appear to be</w:t>
      </w:r>
      <w:r w:rsidR="001F50EC" w:rsidRPr="00333495">
        <w:t xml:space="preserve"> less volatile </w:t>
      </w:r>
      <w:r w:rsidR="005C5557" w:rsidRPr="00333495">
        <w:t xml:space="preserve">in the pre-2008 period and passed into moderate and </w:t>
      </w:r>
      <w:r w:rsidR="00774B1C" w:rsidRPr="00333495">
        <w:t xml:space="preserve">more </w:t>
      </w:r>
      <w:r w:rsidR="005C5557" w:rsidRPr="00333495">
        <w:t xml:space="preserve">volatile patterns in the post-2008 period. Finally, we </w:t>
      </w:r>
      <w:r w:rsidR="00333495">
        <w:t xml:space="preserve">do not </w:t>
      </w:r>
      <w:r w:rsidR="005C5557" w:rsidRPr="00333495">
        <w:t xml:space="preserve">observe </w:t>
      </w:r>
      <w:r w:rsidR="00662819">
        <w:t xml:space="preserve">important </w:t>
      </w:r>
      <w:r w:rsidR="005C5557" w:rsidRPr="00333495">
        <w:t>evidence of differentiation in the correlation patterns regarding the behaviour of core and periphery countries to different oil price shocks</w:t>
      </w:r>
      <w:r w:rsidR="00333495">
        <w:t>.</w:t>
      </w:r>
      <w:r w:rsidR="005C5557" w:rsidRPr="00333495">
        <w:t xml:space="preserve"> </w:t>
      </w:r>
    </w:p>
    <w:p w14:paraId="26DCE5EA" w14:textId="64311C1C" w:rsidR="000463DC" w:rsidRDefault="00662819" w:rsidP="00400C4D">
      <w:pPr>
        <w:suppressAutoHyphens/>
        <w:spacing w:line="360" w:lineRule="auto"/>
        <w:jc w:val="both"/>
        <w:rPr>
          <w:color w:val="000000" w:themeColor="text1"/>
        </w:rPr>
      </w:pPr>
      <w:r>
        <w:t>Our finding</w:t>
      </w:r>
      <w:r w:rsidR="00DA6568">
        <w:t>s have important implications for</w:t>
      </w:r>
      <w:r>
        <w:t xml:space="preserve"> financial market participants</w:t>
      </w:r>
      <w:r w:rsidR="00DA6568">
        <w:t>,</w:t>
      </w:r>
      <w:r>
        <w:t xml:space="preserve"> in particular. For instance</w:t>
      </w:r>
      <w:r w:rsidR="0003134E">
        <w:t>,</w:t>
      </w:r>
      <w:r w:rsidR="00F054F8">
        <w:t xml:space="preserve"> </w:t>
      </w:r>
      <w:r w:rsidR="00F054F8">
        <w:rPr>
          <w:color w:val="000000" w:themeColor="text1"/>
        </w:rPr>
        <w:t>i</w:t>
      </w:r>
      <w:r w:rsidR="00897230" w:rsidRPr="00897230">
        <w:rPr>
          <w:color w:val="000000" w:themeColor="text1"/>
        </w:rPr>
        <w:t xml:space="preserve">t is worth noting </w:t>
      </w:r>
      <w:r w:rsidR="003622F0">
        <w:rPr>
          <w:color w:val="000000" w:themeColor="text1"/>
        </w:rPr>
        <w:t xml:space="preserve">that </w:t>
      </w:r>
      <w:r w:rsidR="00897230" w:rsidRPr="00897230">
        <w:rPr>
          <w:color w:val="000000" w:themeColor="text1"/>
        </w:rPr>
        <w:t xml:space="preserve">the time-varying correlations among oil price shocks and sovereign yield spreads </w:t>
      </w:r>
      <w:r w:rsidR="00131879">
        <w:rPr>
          <w:color w:val="000000" w:themeColor="text1"/>
        </w:rPr>
        <w:t>could inform</w:t>
      </w:r>
      <w:r w:rsidR="00897230" w:rsidRPr="00897230">
        <w:rPr>
          <w:color w:val="000000" w:themeColor="text1"/>
        </w:rPr>
        <w:t xml:space="preserve"> </w:t>
      </w:r>
      <w:r w:rsidR="00131879">
        <w:rPr>
          <w:color w:val="000000" w:themeColor="text1"/>
        </w:rPr>
        <w:t xml:space="preserve">their </w:t>
      </w:r>
      <w:r w:rsidR="00897230" w:rsidRPr="00897230">
        <w:rPr>
          <w:color w:val="000000" w:themeColor="text1"/>
        </w:rPr>
        <w:t>dynamic asset allocation and portfolio diversification</w:t>
      </w:r>
      <w:r w:rsidR="00131879">
        <w:rPr>
          <w:color w:val="000000" w:themeColor="text1"/>
        </w:rPr>
        <w:t xml:space="preserve"> strategies</w:t>
      </w:r>
      <w:r w:rsidR="00897230" w:rsidRPr="00897230">
        <w:rPr>
          <w:color w:val="000000" w:themeColor="text1"/>
        </w:rPr>
        <w:t xml:space="preserve">. Therefore, although </w:t>
      </w:r>
      <w:r w:rsidR="00BB4C03">
        <w:rPr>
          <w:color w:val="000000" w:themeColor="text1"/>
        </w:rPr>
        <w:t xml:space="preserve">(high quality) </w:t>
      </w:r>
      <w:r w:rsidR="00897230" w:rsidRPr="00897230">
        <w:rPr>
          <w:color w:val="000000" w:themeColor="text1"/>
        </w:rPr>
        <w:t xml:space="preserve">sovereign bonds can act as a hedging instrument in periods of </w:t>
      </w:r>
      <w:r w:rsidR="005D3A73">
        <w:rPr>
          <w:color w:val="000000" w:themeColor="text1"/>
        </w:rPr>
        <w:t>economic</w:t>
      </w:r>
      <w:r>
        <w:rPr>
          <w:color w:val="000000" w:themeColor="text1"/>
        </w:rPr>
        <w:t xml:space="preserve"> and geopolitical</w:t>
      </w:r>
      <w:r w:rsidR="005D3A73">
        <w:rPr>
          <w:color w:val="000000" w:themeColor="text1"/>
        </w:rPr>
        <w:t xml:space="preserve"> </w:t>
      </w:r>
      <w:r w:rsidR="00897230" w:rsidRPr="00897230">
        <w:rPr>
          <w:color w:val="000000" w:themeColor="text1"/>
        </w:rPr>
        <w:t>turmoil</w:t>
      </w:r>
      <w:r w:rsidR="003D7C70">
        <w:rPr>
          <w:color w:val="000000" w:themeColor="text1"/>
        </w:rPr>
        <w:t xml:space="preserve"> </w:t>
      </w:r>
      <w:r w:rsidR="003D7C70">
        <w:t xml:space="preserve">(see </w:t>
      </w:r>
      <w:proofErr w:type="spellStart"/>
      <w:r w:rsidR="003D7C70">
        <w:t>Bessler</w:t>
      </w:r>
      <w:proofErr w:type="spellEnd"/>
      <w:r w:rsidR="003D7C70">
        <w:t xml:space="preserve"> and Wolff, 2014</w:t>
      </w:r>
      <w:r w:rsidR="003D7C70" w:rsidRPr="0097396B">
        <w:t>)</w:t>
      </w:r>
      <w:r w:rsidR="00897230" w:rsidRPr="00897230">
        <w:rPr>
          <w:color w:val="000000" w:themeColor="text1"/>
        </w:rPr>
        <w:t xml:space="preserve">, </w:t>
      </w:r>
      <w:r w:rsidR="005D3A73">
        <w:rPr>
          <w:color w:val="000000" w:themeColor="text1"/>
        </w:rPr>
        <w:t xml:space="preserve">when bonds gain value, </w:t>
      </w:r>
      <w:r w:rsidR="00897230" w:rsidRPr="00897230">
        <w:rPr>
          <w:color w:val="000000" w:themeColor="text1"/>
        </w:rPr>
        <w:t xml:space="preserve">the degree to which they can be </w:t>
      </w:r>
      <w:r w:rsidR="00897230" w:rsidRPr="00897230">
        <w:rPr>
          <w:color w:val="000000" w:themeColor="text1"/>
        </w:rPr>
        <w:lastRenderedPageBreak/>
        <w:t>used to hedge risk</w:t>
      </w:r>
      <w:r w:rsidR="00DA6568">
        <w:rPr>
          <w:color w:val="000000" w:themeColor="text1"/>
        </w:rPr>
        <w:t>y</w:t>
      </w:r>
      <w:r w:rsidR="00897230" w:rsidRPr="00897230">
        <w:rPr>
          <w:color w:val="000000" w:themeColor="text1"/>
        </w:rPr>
        <w:t xml:space="preserve"> investments </w:t>
      </w:r>
      <w:r>
        <w:rPr>
          <w:color w:val="000000" w:themeColor="text1"/>
        </w:rPr>
        <w:t>will also d</w:t>
      </w:r>
      <w:r w:rsidR="00DA6568">
        <w:rPr>
          <w:color w:val="000000" w:themeColor="text1"/>
        </w:rPr>
        <w:t>epend on the oil price shocks over the period when</w:t>
      </w:r>
      <w:r>
        <w:rPr>
          <w:color w:val="000000" w:themeColor="text1"/>
        </w:rPr>
        <w:t xml:space="preserve"> such hedging is required</w:t>
      </w:r>
      <w:r w:rsidR="00897230" w:rsidRPr="00897230">
        <w:rPr>
          <w:color w:val="000000" w:themeColor="text1"/>
        </w:rPr>
        <w:t>.</w:t>
      </w:r>
      <w:r>
        <w:rPr>
          <w:color w:val="000000" w:themeColor="text1"/>
        </w:rPr>
        <w:t xml:space="preserve"> I</w:t>
      </w:r>
      <w:r w:rsidR="00DA6568">
        <w:rPr>
          <w:color w:val="000000" w:themeColor="text1"/>
        </w:rPr>
        <w:t xml:space="preserve">n addition, </w:t>
      </w:r>
      <w:r w:rsidR="00F25565">
        <w:rPr>
          <w:color w:val="000000" w:themeColor="text1"/>
        </w:rPr>
        <w:t xml:space="preserve">when contemplating investing </w:t>
      </w:r>
      <w:r>
        <w:rPr>
          <w:color w:val="000000" w:themeColor="text1"/>
        </w:rPr>
        <w:t xml:space="preserve">in both oil and bond markets, </w:t>
      </w:r>
      <w:r w:rsidR="00F25565">
        <w:rPr>
          <w:color w:val="000000" w:themeColor="text1"/>
        </w:rPr>
        <w:t xml:space="preserve">consideration should be given to </w:t>
      </w:r>
      <w:r>
        <w:rPr>
          <w:color w:val="000000" w:themeColor="text1"/>
        </w:rPr>
        <w:t>oil price developments, since aggregate demand shocks may serve in favour of great diversification opportunities (due to the negative correlations), whereas precautio</w:t>
      </w:r>
      <w:r w:rsidR="00DA6568">
        <w:rPr>
          <w:color w:val="000000" w:themeColor="text1"/>
        </w:rPr>
        <w:t>nary demand shocks could result</w:t>
      </w:r>
      <w:r>
        <w:rPr>
          <w:color w:val="000000" w:themeColor="text1"/>
        </w:rPr>
        <w:t xml:space="preserve"> in diminishing such opportunities (due to the positive correlations).</w:t>
      </w:r>
      <w:r w:rsidR="00897230" w:rsidRPr="00897230">
        <w:rPr>
          <w:color w:val="000000" w:themeColor="text1"/>
        </w:rPr>
        <w:t xml:space="preserve"> </w:t>
      </w:r>
    </w:p>
    <w:p w14:paraId="1BF37D8F" w14:textId="6BE8DE2F" w:rsidR="00F4677D" w:rsidRPr="00F4677D" w:rsidRDefault="00AB020B" w:rsidP="00F4677D">
      <w:pPr>
        <w:suppressAutoHyphens/>
        <w:spacing w:line="360" w:lineRule="auto"/>
        <w:jc w:val="both"/>
      </w:pPr>
      <w:r>
        <w:t xml:space="preserve">Further research </w:t>
      </w:r>
      <w:r w:rsidR="00865F33">
        <w:t xml:space="preserve">may examine </w:t>
      </w:r>
      <w:r w:rsidR="001522AB">
        <w:t xml:space="preserve">the time-varying relationship between oil prices </w:t>
      </w:r>
      <w:r w:rsidR="00F4677D">
        <w:t xml:space="preserve">(or their shocks) </w:t>
      </w:r>
      <w:r w:rsidR="001522AB">
        <w:t xml:space="preserve">and </w:t>
      </w:r>
      <w:r w:rsidR="008461C3">
        <w:t>the 10-year sovereign yield spread</w:t>
      </w:r>
      <w:r w:rsidR="001522AB">
        <w:t xml:space="preserve"> </w:t>
      </w:r>
      <w:r w:rsidR="00F4677D">
        <w:t xml:space="preserve">for </w:t>
      </w:r>
      <w:r w:rsidR="00DA6568">
        <w:t>economies that are not included</w:t>
      </w:r>
      <w:r w:rsidR="00F4677D">
        <w:t xml:space="preserve"> in this study</w:t>
      </w:r>
      <w:r w:rsidR="00DA6568">
        <w:t>,</w:t>
      </w:r>
      <w:r w:rsidR="00F4677D">
        <w:t xml:space="preserve"> such as </w:t>
      </w:r>
      <w:r w:rsidR="00213759">
        <w:t xml:space="preserve">Eastern European, </w:t>
      </w:r>
      <w:r w:rsidR="001522AB">
        <w:t>North America</w:t>
      </w:r>
      <w:r w:rsidR="00213759">
        <w:t>, Asian and Latin America</w:t>
      </w:r>
      <w:r w:rsidR="0049139A">
        <w:t xml:space="preserve"> countries</w:t>
      </w:r>
      <w:r w:rsidR="00662819">
        <w:t>, as well as,</w:t>
      </w:r>
      <w:r w:rsidR="0012337B">
        <w:t xml:space="preserve"> </w:t>
      </w:r>
      <w:r w:rsidR="0049139A">
        <w:t xml:space="preserve">for both oil-importing </w:t>
      </w:r>
      <w:r w:rsidR="00F4677D">
        <w:t xml:space="preserve">(i.e., China, Japan and the US) </w:t>
      </w:r>
      <w:r w:rsidR="0049139A">
        <w:t xml:space="preserve">and </w:t>
      </w:r>
      <w:r w:rsidR="00F4677D">
        <w:t xml:space="preserve">oil-exporting countries </w:t>
      </w:r>
      <w:r w:rsidR="00F4677D" w:rsidRPr="00F4677D">
        <w:t>(i.e., Norway, Russia, Canada and Mexico)</w:t>
      </w:r>
      <w:r w:rsidR="00F4677D">
        <w:t>.</w:t>
      </w:r>
      <w:r w:rsidR="00F4677D" w:rsidRPr="00F4677D">
        <w:t xml:space="preserve"> </w:t>
      </w:r>
      <w:r w:rsidR="006E7A45">
        <w:t>The use of CDS spreads as an alternative proxy to</w:t>
      </w:r>
      <w:r w:rsidR="00E2385C">
        <w:t xml:space="preserve"> </w:t>
      </w:r>
      <w:r w:rsidR="006E7A45">
        <w:t xml:space="preserve">measure sovereign risk is another promising area for further research. </w:t>
      </w:r>
      <w:r w:rsidR="0012337B">
        <w:t xml:space="preserve">Finally, another avenue for future research may </w:t>
      </w:r>
      <w:r w:rsidR="00DA6568">
        <w:t xml:space="preserve">be to </w:t>
      </w:r>
      <w:r w:rsidR="0012337B">
        <w:t xml:space="preserve">consider the </w:t>
      </w:r>
      <w:r w:rsidR="00F4677D">
        <w:t xml:space="preserve">examination of the </w:t>
      </w:r>
      <w:r w:rsidR="0012337B">
        <w:t xml:space="preserve">time-varying </w:t>
      </w:r>
      <w:r w:rsidR="00F4677D">
        <w:t>correlation</w:t>
      </w:r>
      <w:r w:rsidR="00662819">
        <w:t xml:space="preserve"> </w:t>
      </w:r>
      <w:r w:rsidR="00F4677D">
        <w:t>between o</w:t>
      </w:r>
      <w:r w:rsidR="0012337B">
        <w:t xml:space="preserve">il prices changes </w:t>
      </w:r>
      <w:r w:rsidR="00F4677D">
        <w:t>and</w:t>
      </w:r>
      <w:r w:rsidR="00662819">
        <w:t xml:space="preserve"> </w:t>
      </w:r>
      <w:r w:rsidR="0012337B">
        <w:t xml:space="preserve">short-term </w:t>
      </w:r>
      <w:r w:rsidR="0012337B" w:rsidRPr="00FC5FAC">
        <w:t>sovereign yield spreads</w:t>
      </w:r>
      <w:r w:rsidR="00D03DD9">
        <w:t>.</w:t>
      </w:r>
      <w:r w:rsidR="0012337B">
        <w:t xml:space="preserve"> </w:t>
      </w:r>
    </w:p>
    <w:p w14:paraId="53A6468C" w14:textId="2C7C7803" w:rsidR="002B081B" w:rsidRDefault="002B081B" w:rsidP="00CE3AC8">
      <w:pPr>
        <w:spacing w:line="360" w:lineRule="auto"/>
        <w:jc w:val="both"/>
      </w:pPr>
    </w:p>
    <w:p w14:paraId="3E14E155" w14:textId="6F775124" w:rsidR="00CE3AC8" w:rsidRPr="00CE3AC8" w:rsidRDefault="00CE3AC8" w:rsidP="00CE3AC8">
      <w:pPr>
        <w:spacing w:line="360" w:lineRule="auto"/>
        <w:jc w:val="center"/>
        <w:rPr>
          <w:b/>
        </w:rPr>
      </w:pPr>
      <w:r w:rsidRPr="00CE3AC8">
        <w:rPr>
          <w:b/>
        </w:rPr>
        <w:t>Acknowledgements</w:t>
      </w:r>
    </w:p>
    <w:p w14:paraId="36F4822A" w14:textId="2E6134AB" w:rsidR="00F66662" w:rsidRPr="005A226A" w:rsidRDefault="00CE3AC8" w:rsidP="005A226A">
      <w:pPr>
        <w:spacing w:line="360" w:lineRule="auto"/>
        <w:jc w:val="both"/>
      </w:pPr>
      <w:r w:rsidRPr="00CE3AC8">
        <w:t>We would like to thank the editor (Richard S.J. Tol) and two anonymous referees for their</w:t>
      </w:r>
      <w:r>
        <w:t xml:space="preserve"> </w:t>
      </w:r>
      <w:r w:rsidRPr="00CE3AC8">
        <w:t xml:space="preserve">invaluable comments and suggestions on a previous version of this paper. </w:t>
      </w:r>
      <w:r w:rsidR="005A226A" w:rsidRPr="005A226A">
        <w:t xml:space="preserve">We also thank </w:t>
      </w:r>
      <w:r w:rsidR="005A226A">
        <w:t xml:space="preserve">Robert </w:t>
      </w:r>
      <w:proofErr w:type="spellStart"/>
      <w:r w:rsidR="005A226A">
        <w:t>Gausden</w:t>
      </w:r>
      <w:proofErr w:type="spellEnd"/>
      <w:r w:rsidR="005A226A" w:rsidRPr="005A226A">
        <w:t xml:space="preserve"> for </w:t>
      </w:r>
      <w:r w:rsidR="005A226A">
        <w:t>his</w:t>
      </w:r>
      <w:r w:rsidR="005A226A" w:rsidRPr="005A226A">
        <w:t xml:space="preserve"> valuable comments on an earlier version of the paper. Finally, we would also like to thank the participants of the ISEFI 201</w:t>
      </w:r>
      <w:r w:rsidR="005A226A">
        <w:t>9</w:t>
      </w:r>
      <w:r w:rsidR="005A226A" w:rsidRPr="005A226A">
        <w:t xml:space="preserve"> conference.</w:t>
      </w:r>
      <w:r w:rsidRPr="00CE3AC8">
        <w:t xml:space="preserve"> The usual disclaimer applies.</w:t>
      </w:r>
    </w:p>
    <w:p w14:paraId="602DCD30" w14:textId="77777777" w:rsidR="00F66662" w:rsidRDefault="00F66662" w:rsidP="005A226A">
      <w:pPr>
        <w:spacing w:line="360" w:lineRule="auto"/>
        <w:rPr>
          <w:b/>
        </w:rPr>
      </w:pPr>
    </w:p>
    <w:p w14:paraId="47AD9F48" w14:textId="2CED5CA0" w:rsidR="009E7212" w:rsidRPr="009E7212" w:rsidRDefault="009E7212" w:rsidP="00950804">
      <w:pPr>
        <w:spacing w:line="360" w:lineRule="auto"/>
        <w:jc w:val="center"/>
        <w:rPr>
          <w:b/>
        </w:rPr>
      </w:pPr>
      <w:r w:rsidRPr="009E7212">
        <w:rPr>
          <w:b/>
        </w:rPr>
        <w:t>References</w:t>
      </w:r>
    </w:p>
    <w:p w14:paraId="6AC473E1" w14:textId="77777777" w:rsidR="00E22019" w:rsidRPr="00BE7038" w:rsidRDefault="00E22019" w:rsidP="00E22019">
      <w:pPr>
        <w:spacing w:line="360" w:lineRule="auto"/>
        <w:ind w:left="720" w:hanging="720"/>
        <w:jc w:val="both"/>
        <w:rPr>
          <w:lang w:val="it-IT"/>
        </w:rPr>
      </w:pPr>
      <w:r w:rsidRPr="0045440B">
        <w:t xml:space="preserve">Abhyankar, A., Xu, B., &amp; Wang, J. (2013). Oil Price Shocks and the Stock Market: Evidence from Japan. </w:t>
      </w:r>
      <w:r w:rsidRPr="00BE7038">
        <w:rPr>
          <w:i/>
          <w:iCs/>
          <w:lang w:val="it-IT"/>
        </w:rPr>
        <w:t>Energy Journal</w:t>
      </w:r>
      <w:r w:rsidRPr="00BE7038">
        <w:rPr>
          <w:lang w:val="it-IT"/>
        </w:rPr>
        <w:t xml:space="preserve">, </w:t>
      </w:r>
      <w:r w:rsidRPr="00BE7038">
        <w:rPr>
          <w:i/>
          <w:iCs/>
          <w:lang w:val="it-IT"/>
        </w:rPr>
        <w:t>34</w:t>
      </w:r>
      <w:r w:rsidRPr="00BE7038">
        <w:rPr>
          <w:lang w:val="it-IT"/>
        </w:rPr>
        <w:t>(2), 199-222.</w:t>
      </w:r>
    </w:p>
    <w:p w14:paraId="5DDD1218" w14:textId="08314BA9" w:rsidR="000F0EB9" w:rsidRDefault="000F0EB9" w:rsidP="000F0EB9">
      <w:pPr>
        <w:spacing w:line="360" w:lineRule="auto"/>
        <w:ind w:left="720" w:hanging="720"/>
        <w:jc w:val="both"/>
      </w:pPr>
      <w:r w:rsidRPr="00BE7038">
        <w:rPr>
          <w:lang w:val="it-IT"/>
        </w:rPr>
        <w:t xml:space="preserve">Adam, K., Jappelli, T., Menichini, A., Padula, M., &amp; Pagano, M. (2002). </w:t>
      </w:r>
      <w:r>
        <w:t>Analyse, compare, and apply alternative indicators and monitoring methodologies to measure the evolution of capital market integration in the European Union. Report to the European Commission, 1-95.</w:t>
      </w:r>
    </w:p>
    <w:p w14:paraId="2057118B" w14:textId="78D9EA54" w:rsidR="004F07A1" w:rsidRDefault="00DF725B" w:rsidP="004F07A1">
      <w:pPr>
        <w:spacing w:line="360" w:lineRule="auto"/>
        <w:ind w:left="720" w:hanging="720"/>
        <w:jc w:val="both"/>
      </w:pPr>
      <w:r w:rsidRPr="00DF725B">
        <w:t xml:space="preserve">Afonso, A., </w:t>
      </w:r>
      <w:proofErr w:type="spellStart"/>
      <w:r w:rsidRPr="00DF725B">
        <w:t>Arghyrou</w:t>
      </w:r>
      <w:proofErr w:type="spellEnd"/>
      <w:r w:rsidRPr="00DF725B">
        <w:t xml:space="preserve">, M. G., </w:t>
      </w:r>
      <w:proofErr w:type="spellStart"/>
      <w:r w:rsidRPr="00DF725B">
        <w:t>Bagdatoglou</w:t>
      </w:r>
      <w:proofErr w:type="spellEnd"/>
      <w:r w:rsidRPr="00DF725B">
        <w:t xml:space="preserve">, G., &amp; </w:t>
      </w:r>
      <w:proofErr w:type="spellStart"/>
      <w:r w:rsidRPr="00DF725B">
        <w:t>Kontonikas</w:t>
      </w:r>
      <w:proofErr w:type="spellEnd"/>
      <w:r w:rsidRPr="00DF725B">
        <w:t xml:space="preserve">, A. (2015). On the time-varying relationship between EMU sovereign spreads and their determinants. </w:t>
      </w:r>
      <w:r w:rsidRPr="00DF725B">
        <w:rPr>
          <w:i/>
        </w:rPr>
        <w:t>Economic Modelling</w:t>
      </w:r>
      <w:r w:rsidRPr="00DF725B">
        <w:t xml:space="preserve">, </w:t>
      </w:r>
      <w:r w:rsidRPr="00904B0B">
        <w:rPr>
          <w:i/>
        </w:rPr>
        <w:t>44</w:t>
      </w:r>
      <w:r w:rsidRPr="00DF725B">
        <w:t>, 363-371.</w:t>
      </w:r>
    </w:p>
    <w:p w14:paraId="5BF11798" w14:textId="7B9AFF0C" w:rsidR="00747F19" w:rsidRDefault="00747F19" w:rsidP="00E22019">
      <w:pPr>
        <w:spacing w:line="360" w:lineRule="auto"/>
        <w:ind w:left="720" w:hanging="720"/>
        <w:jc w:val="both"/>
      </w:pPr>
      <w:proofErr w:type="spellStart"/>
      <w:r w:rsidRPr="00747F19">
        <w:lastRenderedPageBreak/>
        <w:t>Aizenman</w:t>
      </w:r>
      <w:proofErr w:type="spellEnd"/>
      <w:r w:rsidRPr="00747F19">
        <w:t>,</w:t>
      </w:r>
      <w:r>
        <w:t xml:space="preserve"> J.,</w:t>
      </w:r>
      <w:r w:rsidRPr="00747F19">
        <w:t xml:space="preserve"> </w:t>
      </w:r>
      <w:proofErr w:type="spellStart"/>
      <w:r w:rsidRPr="00747F19">
        <w:t>Binici</w:t>
      </w:r>
      <w:proofErr w:type="spellEnd"/>
      <w:r w:rsidRPr="00747F19">
        <w:t>,</w:t>
      </w:r>
      <w:r>
        <w:t xml:space="preserve"> M.,</w:t>
      </w:r>
      <w:r w:rsidRPr="00747F19">
        <w:t xml:space="preserve"> </w:t>
      </w:r>
      <w:r>
        <w:t xml:space="preserve">&amp; </w:t>
      </w:r>
      <w:r w:rsidRPr="00747F19">
        <w:t>Michael Hutchison</w:t>
      </w:r>
      <w:r>
        <w:t>, M. (2013)</w:t>
      </w:r>
      <w:r w:rsidRPr="00747F19">
        <w:t xml:space="preserve"> Credit ratings and the pricing of sovereign debt during the euro crisis</w:t>
      </w:r>
      <w:r>
        <w:t>.</w:t>
      </w:r>
      <w:r w:rsidRPr="00747F19">
        <w:t xml:space="preserve"> </w:t>
      </w:r>
      <w:r w:rsidRPr="00F84FCD">
        <w:rPr>
          <w:i/>
        </w:rPr>
        <w:t>Oxford Review of Economic Policy</w:t>
      </w:r>
      <w:r w:rsidRPr="00747F19">
        <w:t xml:space="preserve">, </w:t>
      </w:r>
      <w:r w:rsidRPr="00F84FCD">
        <w:rPr>
          <w:i/>
        </w:rPr>
        <w:t>29</w:t>
      </w:r>
      <w:r>
        <w:t>(</w:t>
      </w:r>
      <w:r w:rsidRPr="00747F19">
        <w:t>3</w:t>
      </w:r>
      <w:r>
        <w:t>)</w:t>
      </w:r>
      <w:r w:rsidRPr="00747F19">
        <w:t>, 582</w:t>
      </w:r>
      <w:r>
        <w:t>-</w:t>
      </w:r>
      <w:r w:rsidRPr="00747F19">
        <w:t>609</w:t>
      </w:r>
      <w:r>
        <w:t xml:space="preserve">. </w:t>
      </w:r>
    </w:p>
    <w:p w14:paraId="096CBE7C" w14:textId="61CCF576" w:rsidR="00042E3D" w:rsidRDefault="00042E3D" w:rsidP="00E22019">
      <w:pPr>
        <w:spacing w:line="360" w:lineRule="auto"/>
        <w:ind w:left="720" w:hanging="720"/>
        <w:jc w:val="both"/>
      </w:pPr>
      <w:r>
        <w:t xml:space="preserve">Alexandre, H. and A. de Benoist (2010). Oil prices and government bond risk premiums. </w:t>
      </w:r>
      <w:r w:rsidRPr="00042E3D">
        <w:rPr>
          <w:i/>
        </w:rPr>
        <w:t>Lahore Journal of Business</w:t>
      </w:r>
      <w:r>
        <w:t xml:space="preserve">, </w:t>
      </w:r>
      <w:r w:rsidRPr="00042E3D">
        <w:rPr>
          <w:i/>
        </w:rPr>
        <w:t>1</w:t>
      </w:r>
      <w:r>
        <w:t>(1), 1-21.</w:t>
      </w:r>
    </w:p>
    <w:p w14:paraId="6B23E9FC" w14:textId="77777777" w:rsidR="000115D6" w:rsidRDefault="000115D6" w:rsidP="000115D6">
      <w:pPr>
        <w:spacing w:line="360" w:lineRule="auto"/>
        <w:ind w:left="720" w:hanging="720"/>
        <w:jc w:val="both"/>
      </w:pPr>
      <w:proofErr w:type="spellStart"/>
      <w:r w:rsidRPr="0045440B">
        <w:t>Angelidis</w:t>
      </w:r>
      <w:proofErr w:type="spellEnd"/>
      <w:r w:rsidRPr="0045440B">
        <w:t xml:space="preserve">, T., </w:t>
      </w:r>
      <w:proofErr w:type="spellStart"/>
      <w:r w:rsidRPr="0045440B">
        <w:t>Degiannakis</w:t>
      </w:r>
      <w:proofErr w:type="spellEnd"/>
      <w:r w:rsidRPr="0045440B">
        <w:t xml:space="preserve">, S., &amp; </w:t>
      </w:r>
      <w:proofErr w:type="spellStart"/>
      <w:r w:rsidRPr="0045440B">
        <w:t>Filis</w:t>
      </w:r>
      <w:proofErr w:type="spellEnd"/>
      <w:r w:rsidRPr="0045440B">
        <w:t xml:space="preserve">, G. (2015). US stock market regimes and oil price shocks. </w:t>
      </w:r>
      <w:r w:rsidRPr="0045440B">
        <w:rPr>
          <w:i/>
        </w:rPr>
        <w:t>Global Finance Journal</w:t>
      </w:r>
      <w:r w:rsidRPr="0045440B">
        <w:t xml:space="preserve">, </w:t>
      </w:r>
      <w:r w:rsidRPr="0045440B">
        <w:rPr>
          <w:i/>
        </w:rPr>
        <w:t>28</w:t>
      </w:r>
      <w:r w:rsidRPr="0045440B">
        <w:t>, 132-146.</w:t>
      </w:r>
    </w:p>
    <w:p w14:paraId="2443A664" w14:textId="77777777" w:rsidR="00C47C9D" w:rsidRPr="0045440B" w:rsidRDefault="00C47C9D" w:rsidP="00E22019">
      <w:pPr>
        <w:spacing w:line="360" w:lineRule="auto"/>
        <w:ind w:left="720" w:hanging="720"/>
        <w:jc w:val="both"/>
      </w:pPr>
      <w:proofErr w:type="spellStart"/>
      <w:r w:rsidRPr="00C47C9D">
        <w:t>Antonakakis</w:t>
      </w:r>
      <w:proofErr w:type="spellEnd"/>
      <w:r w:rsidRPr="00C47C9D">
        <w:t xml:space="preserve">, N., </w:t>
      </w:r>
      <w:proofErr w:type="spellStart"/>
      <w:r w:rsidRPr="00C47C9D">
        <w:t>Chatziantoniou</w:t>
      </w:r>
      <w:proofErr w:type="spellEnd"/>
      <w:r w:rsidRPr="00C47C9D">
        <w:t xml:space="preserve">, I., &amp; </w:t>
      </w:r>
      <w:proofErr w:type="spellStart"/>
      <w:r w:rsidRPr="00C47C9D">
        <w:t>Filis</w:t>
      </w:r>
      <w:proofErr w:type="spellEnd"/>
      <w:r w:rsidRPr="00C47C9D">
        <w:t xml:space="preserve">, G. (2014). Dynamic </w:t>
      </w:r>
      <w:proofErr w:type="spellStart"/>
      <w:r w:rsidRPr="00C47C9D">
        <w:t>spillovers</w:t>
      </w:r>
      <w:proofErr w:type="spellEnd"/>
      <w:r w:rsidRPr="00C47C9D">
        <w:t xml:space="preserve"> of oil price shocks and economic policy uncertainty. Energy Economics, 44, 433-447.</w:t>
      </w:r>
    </w:p>
    <w:p w14:paraId="52531614" w14:textId="6D1E777E" w:rsidR="00AB27DB" w:rsidRDefault="00AB27DB" w:rsidP="00E22019">
      <w:pPr>
        <w:spacing w:line="360" w:lineRule="auto"/>
        <w:ind w:left="720" w:hanging="720"/>
        <w:jc w:val="both"/>
      </w:pPr>
      <w:proofErr w:type="spellStart"/>
      <w:r w:rsidRPr="0045440B">
        <w:t>Antonakakis</w:t>
      </w:r>
      <w:proofErr w:type="spellEnd"/>
      <w:r w:rsidRPr="0045440B">
        <w:t xml:space="preserve">, N., </w:t>
      </w:r>
      <w:proofErr w:type="spellStart"/>
      <w:r w:rsidRPr="0045440B">
        <w:t>Chatziantoniou</w:t>
      </w:r>
      <w:proofErr w:type="spellEnd"/>
      <w:r w:rsidRPr="0045440B">
        <w:t xml:space="preserve">, I., &amp; </w:t>
      </w:r>
      <w:proofErr w:type="spellStart"/>
      <w:r w:rsidRPr="0045440B">
        <w:t>Filis</w:t>
      </w:r>
      <w:proofErr w:type="spellEnd"/>
      <w:r w:rsidRPr="0045440B">
        <w:t xml:space="preserve">, G. (2017). Oil shocks and stock markets: Dynamic connectedness under the prism of recent geopolitical and economic unrest. </w:t>
      </w:r>
      <w:r w:rsidRPr="0045440B">
        <w:rPr>
          <w:i/>
        </w:rPr>
        <w:t>International Review of Financial Analysis</w:t>
      </w:r>
      <w:r w:rsidRPr="0045440B">
        <w:t xml:space="preserve">, </w:t>
      </w:r>
      <w:r w:rsidRPr="0045440B">
        <w:rPr>
          <w:i/>
        </w:rPr>
        <w:t>50</w:t>
      </w:r>
      <w:r w:rsidRPr="0045440B">
        <w:t>, 1-26.</w:t>
      </w:r>
    </w:p>
    <w:p w14:paraId="44DAFEEE" w14:textId="63BACDA9" w:rsidR="00904B0B" w:rsidRDefault="00904B0B" w:rsidP="00904B0B">
      <w:pPr>
        <w:spacing w:line="360" w:lineRule="auto"/>
        <w:ind w:left="720" w:hanging="720"/>
        <w:jc w:val="both"/>
      </w:pPr>
      <w:proofErr w:type="spellStart"/>
      <w:r w:rsidRPr="0045440B">
        <w:t>Antonakakis</w:t>
      </w:r>
      <w:proofErr w:type="spellEnd"/>
      <w:r w:rsidRPr="0045440B">
        <w:t xml:space="preserve">, N., &amp; </w:t>
      </w:r>
      <w:proofErr w:type="spellStart"/>
      <w:r w:rsidRPr="0045440B">
        <w:t>Filis</w:t>
      </w:r>
      <w:proofErr w:type="spellEnd"/>
      <w:r w:rsidRPr="0045440B">
        <w:t xml:space="preserve">, G. (2013). Oil prices and stock market correlation: a time-varying approach. </w:t>
      </w:r>
      <w:r w:rsidRPr="0045440B">
        <w:rPr>
          <w:i/>
        </w:rPr>
        <w:t>International Journal of Energy and Statistics</w:t>
      </w:r>
      <w:r w:rsidRPr="0045440B">
        <w:t xml:space="preserve">, </w:t>
      </w:r>
      <w:r w:rsidRPr="0045440B">
        <w:rPr>
          <w:i/>
        </w:rPr>
        <w:t>1</w:t>
      </w:r>
      <w:r w:rsidRPr="0045440B">
        <w:t>(01), 17-29.</w:t>
      </w:r>
    </w:p>
    <w:p w14:paraId="1070C136" w14:textId="7E981552" w:rsidR="005F585A" w:rsidRDefault="005F585A" w:rsidP="005F585A">
      <w:pPr>
        <w:spacing w:line="360" w:lineRule="auto"/>
        <w:ind w:left="720" w:hanging="720"/>
        <w:jc w:val="both"/>
      </w:pPr>
      <w:proofErr w:type="spellStart"/>
      <w:r w:rsidRPr="005F585A">
        <w:t>Anzuini</w:t>
      </w:r>
      <w:proofErr w:type="spellEnd"/>
      <w:r w:rsidRPr="005F585A">
        <w:t>, A., Lombardi, M. J., &amp; Pagano, P. (2012). The impact of monetary policy shocks on commodity prices.</w:t>
      </w:r>
    </w:p>
    <w:p w14:paraId="5882EF9B" w14:textId="60D3B2FE" w:rsidR="00E108F1" w:rsidRDefault="00E108F1" w:rsidP="00E108F1">
      <w:pPr>
        <w:spacing w:line="360" w:lineRule="auto"/>
        <w:ind w:left="720" w:hanging="720"/>
        <w:jc w:val="both"/>
      </w:pPr>
      <w:proofErr w:type="spellStart"/>
      <w:r w:rsidRPr="00BE7038">
        <w:rPr>
          <w:lang w:val="fr-FR"/>
        </w:rPr>
        <w:t>Apergis</w:t>
      </w:r>
      <w:proofErr w:type="spellEnd"/>
      <w:r w:rsidRPr="00BE7038">
        <w:rPr>
          <w:lang w:val="fr-FR"/>
        </w:rPr>
        <w:t xml:space="preserve">, N. &amp; Miller, S. M. (2009). </w:t>
      </w:r>
      <w:r w:rsidRPr="0045440B">
        <w:t xml:space="preserve">Do structural oil-market shocks affect stock prices? </w:t>
      </w:r>
      <w:r w:rsidRPr="0045440B">
        <w:rPr>
          <w:i/>
        </w:rPr>
        <w:t>Energy Economics</w:t>
      </w:r>
      <w:r w:rsidRPr="0045440B">
        <w:t xml:space="preserve">, </w:t>
      </w:r>
      <w:r w:rsidRPr="0045440B">
        <w:rPr>
          <w:i/>
        </w:rPr>
        <w:t>31</w:t>
      </w:r>
      <w:r w:rsidRPr="0045440B">
        <w:t>(4), 569– 575.</w:t>
      </w:r>
    </w:p>
    <w:p w14:paraId="34869370" w14:textId="42ABDA5A" w:rsidR="00313BDA" w:rsidRDefault="00313BDA" w:rsidP="00E108F1">
      <w:pPr>
        <w:spacing w:line="360" w:lineRule="auto"/>
        <w:ind w:left="720" w:hanging="720"/>
        <w:jc w:val="both"/>
      </w:pPr>
      <w:proofErr w:type="spellStart"/>
      <w:r w:rsidRPr="00313BDA">
        <w:t>Arezki</w:t>
      </w:r>
      <w:proofErr w:type="spellEnd"/>
      <w:r w:rsidRPr="00313BDA">
        <w:t xml:space="preserve">, M. R., </w:t>
      </w:r>
      <w:proofErr w:type="spellStart"/>
      <w:r w:rsidRPr="00313BDA">
        <w:t>Jakab</w:t>
      </w:r>
      <w:proofErr w:type="spellEnd"/>
      <w:r w:rsidRPr="00313BDA">
        <w:t xml:space="preserve">, Z., </w:t>
      </w:r>
      <w:proofErr w:type="spellStart"/>
      <w:r w:rsidRPr="00313BDA">
        <w:t>Laxton</w:t>
      </w:r>
      <w:proofErr w:type="spellEnd"/>
      <w:r w:rsidRPr="00313BDA">
        <w:t xml:space="preserve">, M. D., Matsumoto, M. A., </w:t>
      </w:r>
      <w:proofErr w:type="spellStart"/>
      <w:r w:rsidRPr="00313BDA">
        <w:t>Nurbekyan</w:t>
      </w:r>
      <w:proofErr w:type="spellEnd"/>
      <w:r w:rsidRPr="00313BDA">
        <w:t>, A., Wang, H., &amp; Yao, J. (2017). Oil prices and the global economy. International Monetary Fund.</w:t>
      </w:r>
    </w:p>
    <w:p w14:paraId="5954BD87" w14:textId="247AFF1B" w:rsidR="00A2453C" w:rsidRDefault="00A2453C" w:rsidP="00A2453C">
      <w:pPr>
        <w:spacing w:line="360" w:lineRule="auto"/>
        <w:ind w:left="720" w:hanging="720"/>
        <w:jc w:val="both"/>
      </w:pPr>
      <w:r w:rsidRPr="00A2453C">
        <w:t xml:space="preserve">Arora, V., &amp; </w:t>
      </w:r>
      <w:proofErr w:type="spellStart"/>
      <w:r w:rsidRPr="00A2453C">
        <w:t>Cerisola</w:t>
      </w:r>
      <w:proofErr w:type="spellEnd"/>
      <w:r w:rsidRPr="00A2453C">
        <w:t xml:space="preserve">, M. (2001). How does US monetary policy influence sovereign spreads in emerging </w:t>
      </w:r>
      <w:proofErr w:type="gramStart"/>
      <w:r w:rsidRPr="00A2453C">
        <w:t>markets?.</w:t>
      </w:r>
      <w:proofErr w:type="gramEnd"/>
      <w:r w:rsidRPr="00A2453C">
        <w:t> </w:t>
      </w:r>
      <w:r w:rsidRPr="00A2453C">
        <w:rPr>
          <w:i/>
          <w:iCs/>
        </w:rPr>
        <w:t>IMF Staff papers</w:t>
      </w:r>
      <w:r w:rsidRPr="00A2453C">
        <w:t>, </w:t>
      </w:r>
      <w:r w:rsidRPr="00A2453C">
        <w:rPr>
          <w:i/>
          <w:iCs/>
        </w:rPr>
        <w:t>48</w:t>
      </w:r>
      <w:r w:rsidRPr="00A2453C">
        <w:t>(3), 474-498.</w:t>
      </w:r>
    </w:p>
    <w:p w14:paraId="4D74A252" w14:textId="77777777" w:rsidR="009C0357" w:rsidRPr="0045440B" w:rsidRDefault="009C0357" w:rsidP="00E22019">
      <w:pPr>
        <w:spacing w:line="360" w:lineRule="auto"/>
        <w:ind w:left="720" w:hanging="720"/>
        <w:jc w:val="both"/>
      </w:pPr>
      <w:proofErr w:type="spellStart"/>
      <w:r w:rsidRPr="009C0357">
        <w:t>Arouri</w:t>
      </w:r>
      <w:proofErr w:type="spellEnd"/>
      <w:r w:rsidRPr="009C0357">
        <w:t xml:space="preserve">, M. E. H., &amp; </w:t>
      </w:r>
      <w:proofErr w:type="spellStart"/>
      <w:r w:rsidRPr="009C0357">
        <w:t>Rault</w:t>
      </w:r>
      <w:proofErr w:type="spellEnd"/>
      <w:r w:rsidRPr="009C0357">
        <w:t xml:space="preserve">, C. (2012). Oil prices and stock markets in GCC countries: empirical evidence from panel analysis. </w:t>
      </w:r>
      <w:r w:rsidRPr="009C0357">
        <w:rPr>
          <w:i/>
        </w:rPr>
        <w:t>International Journal of Finance &amp; Economics</w:t>
      </w:r>
      <w:r w:rsidRPr="009C0357">
        <w:t xml:space="preserve">, </w:t>
      </w:r>
      <w:r w:rsidRPr="009C0357">
        <w:rPr>
          <w:i/>
        </w:rPr>
        <w:t>17</w:t>
      </w:r>
      <w:r w:rsidRPr="009C0357">
        <w:t>(3), 242-253.</w:t>
      </w:r>
    </w:p>
    <w:p w14:paraId="663047BE" w14:textId="35888E40" w:rsidR="000F0EB9" w:rsidRDefault="000F0EB9" w:rsidP="00EB44CB">
      <w:pPr>
        <w:spacing w:line="360" w:lineRule="auto"/>
        <w:ind w:left="720" w:hanging="720"/>
        <w:jc w:val="both"/>
      </w:pPr>
      <w:proofErr w:type="spellStart"/>
      <w:r w:rsidRPr="000F0EB9">
        <w:t>Baele</w:t>
      </w:r>
      <w:proofErr w:type="spellEnd"/>
      <w:r w:rsidRPr="000F0EB9">
        <w:t xml:space="preserve">, L., </w:t>
      </w:r>
      <w:proofErr w:type="spellStart"/>
      <w:r w:rsidRPr="000F0EB9">
        <w:t>Ferrando</w:t>
      </w:r>
      <w:proofErr w:type="spellEnd"/>
      <w:r w:rsidRPr="000F0EB9">
        <w:t xml:space="preserve">, A., </w:t>
      </w:r>
      <w:proofErr w:type="spellStart"/>
      <w:r w:rsidRPr="000F0EB9">
        <w:t>Hördahl</w:t>
      </w:r>
      <w:proofErr w:type="spellEnd"/>
      <w:r w:rsidRPr="000F0EB9">
        <w:t>, P., Krylova, E., &amp; Monnet, C. (2004). Measuring financial integration in the euro area.</w:t>
      </w:r>
    </w:p>
    <w:p w14:paraId="52BE0A22" w14:textId="101C003B" w:rsidR="009D498D" w:rsidRDefault="009D498D" w:rsidP="009D498D">
      <w:pPr>
        <w:spacing w:line="360" w:lineRule="auto"/>
        <w:ind w:left="720" w:hanging="720"/>
        <w:jc w:val="both"/>
      </w:pPr>
      <w:r>
        <w:t>Barsky, R. B. and Kilian, L. (2002). Do We Really Know that Oil Caused the Great Stagflation? A Monetary Alternative. NBER Macroeconomics Annual 2001: 137-183.</w:t>
      </w:r>
    </w:p>
    <w:p w14:paraId="52C6097C" w14:textId="2E5C1C71" w:rsidR="009D498D" w:rsidRDefault="009D498D" w:rsidP="009D498D">
      <w:pPr>
        <w:spacing w:line="360" w:lineRule="auto"/>
        <w:ind w:left="720" w:hanging="720"/>
        <w:jc w:val="both"/>
      </w:pPr>
      <w:r>
        <w:t xml:space="preserve">Barsky, R. B. and Kilian, L. (2004). Oil and the Macroeconomy since the 1970s. </w:t>
      </w:r>
      <w:r w:rsidRPr="009D498D">
        <w:rPr>
          <w:i/>
        </w:rPr>
        <w:t>Journal of Economic Perspectives</w:t>
      </w:r>
      <w:r>
        <w:t xml:space="preserve">, </w:t>
      </w:r>
      <w:r w:rsidRPr="009D498D">
        <w:t>18</w:t>
      </w:r>
      <w:r>
        <w:t>(4): 115-134.</w:t>
      </w:r>
    </w:p>
    <w:p w14:paraId="6E6E6368" w14:textId="6A711E18" w:rsidR="00EB44CB" w:rsidRDefault="00EB44CB" w:rsidP="00EB44CB">
      <w:pPr>
        <w:spacing w:line="360" w:lineRule="auto"/>
        <w:ind w:left="720" w:hanging="720"/>
        <w:jc w:val="both"/>
      </w:pPr>
      <w:r w:rsidRPr="0045440B">
        <w:lastRenderedPageBreak/>
        <w:t xml:space="preserve">Basher, S.A, </w:t>
      </w:r>
      <w:proofErr w:type="spellStart"/>
      <w:r w:rsidRPr="0045440B">
        <w:t>Haug</w:t>
      </w:r>
      <w:proofErr w:type="spellEnd"/>
      <w:r w:rsidRPr="0045440B">
        <w:t xml:space="preserve">, A. A. &amp; </w:t>
      </w:r>
      <w:proofErr w:type="spellStart"/>
      <w:r w:rsidRPr="0045440B">
        <w:t>Sadorsky.P</w:t>
      </w:r>
      <w:proofErr w:type="spellEnd"/>
      <w:r w:rsidRPr="0045440B">
        <w:t xml:space="preserve">. (2012). Oil Prices, Exchange Rates and Emerging Stock Markets. </w:t>
      </w:r>
      <w:r w:rsidRPr="0045440B">
        <w:rPr>
          <w:i/>
        </w:rPr>
        <w:t>Energy Economics</w:t>
      </w:r>
      <w:r w:rsidRPr="0045440B">
        <w:t xml:space="preserve">, </w:t>
      </w:r>
      <w:r w:rsidRPr="0045440B">
        <w:rPr>
          <w:i/>
        </w:rPr>
        <w:t>34</w:t>
      </w:r>
      <w:r w:rsidRPr="0045440B">
        <w:t>(1), 227-240.</w:t>
      </w:r>
    </w:p>
    <w:p w14:paraId="109C68E5" w14:textId="70953C91" w:rsidR="00D536FA" w:rsidRPr="0045440B" w:rsidRDefault="00D536FA" w:rsidP="00EB44CB">
      <w:pPr>
        <w:spacing w:line="360" w:lineRule="auto"/>
        <w:ind w:left="720" w:hanging="720"/>
        <w:jc w:val="both"/>
      </w:pPr>
      <w:r w:rsidRPr="00D536FA">
        <w:t xml:space="preserve">Basher, S. A., </w:t>
      </w:r>
      <w:proofErr w:type="spellStart"/>
      <w:r w:rsidRPr="00D536FA">
        <w:t>Haug</w:t>
      </w:r>
      <w:proofErr w:type="spellEnd"/>
      <w:r w:rsidRPr="00D536FA">
        <w:t xml:space="preserve">, A. A., &amp; </w:t>
      </w:r>
      <w:proofErr w:type="spellStart"/>
      <w:r w:rsidRPr="00D536FA">
        <w:t>Sadorsky</w:t>
      </w:r>
      <w:proofErr w:type="spellEnd"/>
      <w:r w:rsidRPr="00D536FA">
        <w:t xml:space="preserve">, P. (2016). The impact of oil shocks on exchange rates: a Markov-switching approach. </w:t>
      </w:r>
      <w:r w:rsidRPr="00904B0B">
        <w:rPr>
          <w:i/>
        </w:rPr>
        <w:t>Energy Economics</w:t>
      </w:r>
      <w:r w:rsidRPr="00D536FA">
        <w:t xml:space="preserve">, </w:t>
      </w:r>
      <w:r w:rsidRPr="00904B0B">
        <w:rPr>
          <w:i/>
        </w:rPr>
        <w:t>54</w:t>
      </w:r>
      <w:r w:rsidRPr="00D536FA">
        <w:t>, 11-23.</w:t>
      </w:r>
    </w:p>
    <w:p w14:paraId="3E95E96C" w14:textId="16F6B91F" w:rsidR="00EB44CB" w:rsidRDefault="00EB44CB" w:rsidP="00EB44CB">
      <w:pPr>
        <w:spacing w:line="360" w:lineRule="auto"/>
        <w:ind w:left="720" w:hanging="720"/>
        <w:jc w:val="both"/>
      </w:pPr>
      <w:r w:rsidRPr="0045440B">
        <w:t xml:space="preserve">Baumeister, C., &amp; </w:t>
      </w:r>
      <w:proofErr w:type="spellStart"/>
      <w:r w:rsidRPr="0045440B">
        <w:t>Peersman</w:t>
      </w:r>
      <w:proofErr w:type="spellEnd"/>
      <w:r w:rsidRPr="0045440B">
        <w:t xml:space="preserve">, G. (2013). Time-varying effects of oil supply shocks on the US economy. </w:t>
      </w:r>
      <w:r w:rsidRPr="0045440B">
        <w:rPr>
          <w:i/>
        </w:rPr>
        <w:t>American Economic Journal: Macroeconomics</w:t>
      </w:r>
      <w:r w:rsidRPr="0045440B">
        <w:t xml:space="preserve">, </w:t>
      </w:r>
      <w:r w:rsidRPr="0045440B">
        <w:rPr>
          <w:i/>
        </w:rPr>
        <w:t>5</w:t>
      </w:r>
      <w:r w:rsidRPr="0045440B">
        <w:t>(4), 1-28.</w:t>
      </w:r>
    </w:p>
    <w:p w14:paraId="1228989B" w14:textId="62F7FE3C" w:rsidR="00A21FB8" w:rsidRDefault="00A21FB8" w:rsidP="00A21FB8">
      <w:pPr>
        <w:spacing w:line="360" w:lineRule="auto"/>
        <w:ind w:left="720" w:hanging="720"/>
        <w:jc w:val="both"/>
      </w:pPr>
      <w:r w:rsidRPr="00A21FB8">
        <w:t xml:space="preserve">Bernal, O., </w:t>
      </w:r>
      <w:proofErr w:type="spellStart"/>
      <w:r w:rsidRPr="00A21FB8">
        <w:t>Gnabo</w:t>
      </w:r>
      <w:proofErr w:type="spellEnd"/>
      <w:r w:rsidRPr="00A21FB8">
        <w:t xml:space="preserve">, J. Y., &amp; </w:t>
      </w:r>
      <w:proofErr w:type="spellStart"/>
      <w:r w:rsidRPr="00A21FB8">
        <w:t>Guilmin</w:t>
      </w:r>
      <w:proofErr w:type="spellEnd"/>
      <w:r w:rsidRPr="00A21FB8">
        <w:t xml:space="preserve">, G. (2016). Economic policy uncertainty and risk </w:t>
      </w:r>
      <w:proofErr w:type="spellStart"/>
      <w:r w:rsidRPr="00A21FB8">
        <w:t>spillovers</w:t>
      </w:r>
      <w:proofErr w:type="spellEnd"/>
      <w:r w:rsidRPr="00A21FB8">
        <w:t xml:space="preserve"> in the Eurozone. </w:t>
      </w:r>
      <w:r w:rsidRPr="00A21FB8">
        <w:rPr>
          <w:i/>
          <w:iCs/>
        </w:rPr>
        <w:t>Journal of International Money and Finance</w:t>
      </w:r>
      <w:r w:rsidRPr="00A21FB8">
        <w:t>, </w:t>
      </w:r>
      <w:r w:rsidRPr="00A21FB8">
        <w:rPr>
          <w:i/>
          <w:iCs/>
        </w:rPr>
        <w:t>65</w:t>
      </w:r>
      <w:r w:rsidRPr="00A21FB8">
        <w:t>, 24-45.</w:t>
      </w:r>
    </w:p>
    <w:p w14:paraId="7481823D" w14:textId="00C707E5" w:rsidR="003D7C70" w:rsidRDefault="003D7C70" w:rsidP="00EB44CB">
      <w:pPr>
        <w:spacing w:line="360" w:lineRule="auto"/>
        <w:ind w:left="720" w:hanging="720"/>
        <w:jc w:val="both"/>
      </w:pPr>
      <w:proofErr w:type="spellStart"/>
      <w:r w:rsidRPr="003D7C70">
        <w:t>Bessler</w:t>
      </w:r>
      <w:proofErr w:type="spellEnd"/>
      <w:r w:rsidRPr="003D7C70">
        <w:t xml:space="preserve">, W., &amp; Wolff, D. (2014). Hedging European government bond portfolios during the recent sovereign debt crisis. </w:t>
      </w:r>
      <w:r w:rsidRPr="003D7C70">
        <w:rPr>
          <w:i/>
        </w:rPr>
        <w:t>Journal of International Financial Markets, Institutions and Money</w:t>
      </w:r>
      <w:r w:rsidRPr="003D7C70">
        <w:t xml:space="preserve">, </w:t>
      </w:r>
      <w:r w:rsidRPr="003D7C70">
        <w:rPr>
          <w:i/>
        </w:rPr>
        <w:t>33</w:t>
      </w:r>
      <w:r w:rsidRPr="003D7C70">
        <w:t>, 379-399.</w:t>
      </w:r>
    </w:p>
    <w:p w14:paraId="6A774E69" w14:textId="77777777" w:rsidR="00210648" w:rsidRDefault="00210648" w:rsidP="00E22019">
      <w:pPr>
        <w:spacing w:line="360" w:lineRule="auto"/>
        <w:ind w:left="720" w:hanging="720"/>
        <w:jc w:val="both"/>
      </w:pPr>
      <w:proofErr w:type="spellStart"/>
      <w:r w:rsidRPr="00210648">
        <w:t>Bhar</w:t>
      </w:r>
      <w:proofErr w:type="spellEnd"/>
      <w:r w:rsidRPr="00210648">
        <w:t xml:space="preserve">, R., &amp; </w:t>
      </w:r>
      <w:proofErr w:type="spellStart"/>
      <w:r w:rsidRPr="00210648">
        <w:t>Nikolova</w:t>
      </w:r>
      <w:proofErr w:type="spellEnd"/>
      <w:r w:rsidRPr="00210648">
        <w:t xml:space="preserve">, B. (2010). Global oil prices, oil industry and equity </w:t>
      </w:r>
      <w:proofErr w:type="gramStart"/>
      <w:r w:rsidRPr="00210648">
        <w:t>returns</w:t>
      </w:r>
      <w:proofErr w:type="gramEnd"/>
      <w:r w:rsidRPr="00210648">
        <w:t xml:space="preserve">: Russian experience. </w:t>
      </w:r>
      <w:r w:rsidRPr="00210648">
        <w:rPr>
          <w:i/>
        </w:rPr>
        <w:t>Scottish Journal of Political Economy</w:t>
      </w:r>
      <w:r w:rsidRPr="00210648">
        <w:t xml:space="preserve">, </w:t>
      </w:r>
      <w:r w:rsidRPr="00210648">
        <w:rPr>
          <w:i/>
        </w:rPr>
        <w:t>57</w:t>
      </w:r>
      <w:r w:rsidRPr="00210648">
        <w:t>(2), 169-186.</w:t>
      </w:r>
    </w:p>
    <w:p w14:paraId="7E07FE7D" w14:textId="77777777" w:rsidR="00AD612B" w:rsidRDefault="00AD612B" w:rsidP="00E22019">
      <w:pPr>
        <w:spacing w:line="360" w:lineRule="auto"/>
        <w:ind w:left="720" w:hanging="720"/>
        <w:jc w:val="both"/>
      </w:pPr>
      <w:proofErr w:type="spellStart"/>
      <w:r w:rsidRPr="00AD612B">
        <w:t>Boldanov</w:t>
      </w:r>
      <w:proofErr w:type="spellEnd"/>
      <w:r w:rsidRPr="00AD612B">
        <w:t xml:space="preserve">, R., </w:t>
      </w:r>
      <w:proofErr w:type="spellStart"/>
      <w:r w:rsidRPr="00AD612B">
        <w:t>Degiannakis</w:t>
      </w:r>
      <w:proofErr w:type="spellEnd"/>
      <w:r w:rsidRPr="00AD612B">
        <w:t xml:space="preserve">, S., &amp; </w:t>
      </w:r>
      <w:proofErr w:type="spellStart"/>
      <w:r w:rsidRPr="00AD612B">
        <w:t>Filis</w:t>
      </w:r>
      <w:proofErr w:type="spellEnd"/>
      <w:r w:rsidRPr="00AD612B">
        <w:t xml:space="preserve">, G. (2016). Time-varying correlation between oil and stock market volatilities: Evidence from oil-importing and oil-exporting countries. </w:t>
      </w:r>
      <w:r w:rsidRPr="00AD612B">
        <w:rPr>
          <w:i/>
        </w:rPr>
        <w:t>International Review of Financial Analysis</w:t>
      </w:r>
      <w:r w:rsidRPr="00AD612B">
        <w:t xml:space="preserve">, </w:t>
      </w:r>
      <w:r w:rsidRPr="00AD612B">
        <w:rPr>
          <w:i/>
        </w:rPr>
        <w:t>48</w:t>
      </w:r>
      <w:r w:rsidRPr="00AD612B">
        <w:t>, 209-220.</w:t>
      </w:r>
    </w:p>
    <w:p w14:paraId="13BAF447" w14:textId="77777777" w:rsidR="00F00756" w:rsidRDefault="00F00756" w:rsidP="00E22019">
      <w:pPr>
        <w:spacing w:line="360" w:lineRule="auto"/>
        <w:ind w:left="720" w:hanging="720"/>
        <w:jc w:val="both"/>
      </w:pPr>
      <w:r w:rsidRPr="00F00756">
        <w:t xml:space="preserve">Bouri, E., de </w:t>
      </w:r>
      <w:proofErr w:type="spellStart"/>
      <w:r w:rsidRPr="00F00756">
        <w:t>Boyrie</w:t>
      </w:r>
      <w:proofErr w:type="spellEnd"/>
      <w:r w:rsidRPr="00F00756">
        <w:t xml:space="preserve">, M. E., &amp; Pavlova, I. (2017). Volatility transmission from commodity markets to sovereign CDS spreads in emerging and frontier countries. </w:t>
      </w:r>
      <w:r w:rsidRPr="00F00756">
        <w:rPr>
          <w:i/>
        </w:rPr>
        <w:t>International Review of Financial Analysis</w:t>
      </w:r>
      <w:r w:rsidRPr="00F00756">
        <w:t xml:space="preserve">, </w:t>
      </w:r>
      <w:r w:rsidRPr="00F00756">
        <w:rPr>
          <w:i/>
        </w:rPr>
        <w:t>49</w:t>
      </w:r>
      <w:r w:rsidRPr="00F00756">
        <w:t>, 155-165.</w:t>
      </w:r>
    </w:p>
    <w:p w14:paraId="063A0CCE" w14:textId="77777777" w:rsidR="00F00756" w:rsidRPr="0045440B" w:rsidRDefault="00F00756" w:rsidP="00E22019">
      <w:pPr>
        <w:spacing w:line="360" w:lineRule="auto"/>
        <w:ind w:left="720" w:hanging="720"/>
        <w:jc w:val="both"/>
      </w:pPr>
      <w:r w:rsidRPr="00F00756">
        <w:t xml:space="preserve">Bouri, E., Shahzad, S. J. H., Raza, N., &amp; </w:t>
      </w:r>
      <w:proofErr w:type="spellStart"/>
      <w:r w:rsidRPr="00F00756">
        <w:t>Roubaud</w:t>
      </w:r>
      <w:proofErr w:type="spellEnd"/>
      <w:r w:rsidRPr="00F00756">
        <w:t xml:space="preserve">, D. (2018). Oil volatility and sovereign risk of BRICS. </w:t>
      </w:r>
      <w:r w:rsidRPr="00F00756">
        <w:rPr>
          <w:i/>
        </w:rPr>
        <w:t>Energy Economics</w:t>
      </w:r>
      <w:r w:rsidRPr="00F00756">
        <w:t xml:space="preserve">, </w:t>
      </w:r>
      <w:r w:rsidRPr="00F00756">
        <w:rPr>
          <w:i/>
        </w:rPr>
        <w:t>70</w:t>
      </w:r>
      <w:r w:rsidRPr="00F00756">
        <w:t>, 258-269.</w:t>
      </w:r>
    </w:p>
    <w:p w14:paraId="7C09F979" w14:textId="77777777" w:rsidR="004E1A69" w:rsidRPr="0045440B" w:rsidRDefault="004E1A69" w:rsidP="004E1A69">
      <w:pPr>
        <w:spacing w:line="360" w:lineRule="auto"/>
        <w:ind w:left="720" w:hanging="720"/>
        <w:jc w:val="both"/>
      </w:pPr>
      <w:proofErr w:type="spellStart"/>
      <w:r w:rsidRPr="0045440B">
        <w:t>Broadstock</w:t>
      </w:r>
      <w:proofErr w:type="spellEnd"/>
      <w:r w:rsidRPr="0045440B">
        <w:t xml:space="preserve">, D. C., Cao, H., &amp; Zhang, D. (2012). Oil shocks and their impact on energy related stocks in China. </w:t>
      </w:r>
      <w:r w:rsidRPr="0045440B">
        <w:rPr>
          <w:i/>
        </w:rPr>
        <w:t>Energy Economics</w:t>
      </w:r>
      <w:r w:rsidRPr="0045440B">
        <w:t xml:space="preserve">, </w:t>
      </w:r>
      <w:r w:rsidRPr="0045440B">
        <w:rPr>
          <w:i/>
        </w:rPr>
        <w:t>34</w:t>
      </w:r>
      <w:r w:rsidRPr="0045440B">
        <w:t>(6), 1888-1895.</w:t>
      </w:r>
    </w:p>
    <w:p w14:paraId="25B49177" w14:textId="77777777" w:rsidR="0062220F" w:rsidRPr="0045440B" w:rsidRDefault="0062220F" w:rsidP="004E1A69">
      <w:pPr>
        <w:spacing w:line="360" w:lineRule="auto"/>
        <w:ind w:left="720" w:hanging="720"/>
        <w:jc w:val="both"/>
      </w:pPr>
      <w:proofErr w:type="spellStart"/>
      <w:r w:rsidRPr="0045440B">
        <w:t>Broadstock</w:t>
      </w:r>
      <w:proofErr w:type="spellEnd"/>
      <w:r w:rsidRPr="0045440B">
        <w:t xml:space="preserve">, D. C., &amp; </w:t>
      </w:r>
      <w:proofErr w:type="spellStart"/>
      <w:r w:rsidRPr="0045440B">
        <w:t>Filis</w:t>
      </w:r>
      <w:proofErr w:type="spellEnd"/>
      <w:r w:rsidRPr="0045440B">
        <w:t xml:space="preserve">, G. (2014). Oil price shocks and stock market returns: New evidence from the United States and China. </w:t>
      </w:r>
      <w:r w:rsidRPr="0045440B">
        <w:rPr>
          <w:i/>
        </w:rPr>
        <w:t>Journal of International Financial Markets, Institutions and Money</w:t>
      </w:r>
      <w:r w:rsidRPr="0045440B">
        <w:t xml:space="preserve">, </w:t>
      </w:r>
      <w:r w:rsidRPr="0045440B">
        <w:rPr>
          <w:i/>
        </w:rPr>
        <w:t>33</w:t>
      </w:r>
      <w:r w:rsidRPr="0045440B">
        <w:t>, 417-433.</w:t>
      </w:r>
    </w:p>
    <w:p w14:paraId="1BEAF13F" w14:textId="61F8A934" w:rsidR="00EB28BB" w:rsidRDefault="00EB28BB" w:rsidP="00E22019">
      <w:pPr>
        <w:spacing w:line="360" w:lineRule="auto"/>
        <w:ind w:left="720" w:hanging="720"/>
        <w:jc w:val="both"/>
      </w:pPr>
      <w:r w:rsidRPr="0045440B">
        <w:t xml:space="preserve">Burbidge, J., &amp; Harrison, A. (1985). An historical decomposition of the great depression to determine the role of money. </w:t>
      </w:r>
      <w:r w:rsidRPr="0045440B">
        <w:rPr>
          <w:i/>
        </w:rPr>
        <w:t>Journal of Monetary Economics</w:t>
      </w:r>
      <w:r w:rsidRPr="0045440B">
        <w:t xml:space="preserve">, </w:t>
      </w:r>
      <w:r w:rsidRPr="0045440B">
        <w:rPr>
          <w:i/>
        </w:rPr>
        <w:t>16</w:t>
      </w:r>
      <w:r w:rsidRPr="0045440B">
        <w:t>(1), 45-54.</w:t>
      </w:r>
    </w:p>
    <w:p w14:paraId="38A812E1" w14:textId="08A8254A" w:rsidR="009C5988" w:rsidRDefault="009C5988" w:rsidP="009C5988">
      <w:pPr>
        <w:spacing w:line="360" w:lineRule="auto"/>
        <w:ind w:left="720" w:hanging="720"/>
        <w:jc w:val="both"/>
      </w:pPr>
      <w:proofErr w:type="spellStart"/>
      <w:r w:rsidRPr="0045440B">
        <w:t>Caporin</w:t>
      </w:r>
      <w:proofErr w:type="spellEnd"/>
      <w:r w:rsidRPr="0045440B">
        <w:t xml:space="preserve">, M., &amp; McAleer, M. (2008). Scalar BEKK and indirect DCC. </w:t>
      </w:r>
      <w:r w:rsidRPr="0045440B">
        <w:rPr>
          <w:i/>
        </w:rPr>
        <w:t>Journal of Forecasting</w:t>
      </w:r>
      <w:r w:rsidRPr="0045440B">
        <w:t xml:space="preserve">, </w:t>
      </w:r>
      <w:r w:rsidRPr="0045440B">
        <w:rPr>
          <w:i/>
        </w:rPr>
        <w:t>27</w:t>
      </w:r>
      <w:r w:rsidRPr="0045440B">
        <w:t>(6), 537-549.</w:t>
      </w:r>
    </w:p>
    <w:p w14:paraId="07D1527F" w14:textId="77777777" w:rsidR="0081072E" w:rsidRPr="0045440B" w:rsidRDefault="0081072E" w:rsidP="0081072E">
      <w:pPr>
        <w:spacing w:line="360" w:lineRule="auto"/>
        <w:ind w:left="720" w:hanging="720"/>
        <w:jc w:val="both"/>
      </w:pPr>
      <w:proofErr w:type="spellStart"/>
      <w:r w:rsidRPr="0045440B">
        <w:lastRenderedPageBreak/>
        <w:t>Caporin</w:t>
      </w:r>
      <w:proofErr w:type="spellEnd"/>
      <w:r w:rsidRPr="0045440B">
        <w:t xml:space="preserve">, M., &amp; McAleer, M. (2012). Do we really need both BEKK and DCC? A tale of two multivariate GARCH models. </w:t>
      </w:r>
      <w:r w:rsidRPr="0045440B">
        <w:rPr>
          <w:i/>
        </w:rPr>
        <w:t>Journal of Economic Surveys</w:t>
      </w:r>
      <w:r w:rsidRPr="0045440B">
        <w:t xml:space="preserve">, </w:t>
      </w:r>
      <w:r w:rsidRPr="0045440B">
        <w:rPr>
          <w:i/>
        </w:rPr>
        <w:t>26</w:t>
      </w:r>
      <w:r w:rsidRPr="0045440B">
        <w:t>(4), 736-751.</w:t>
      </w:r>
    </w:p>
    <w:p w14:paraId="394C9BEA" w14:textId="6E8A5372" w:rsidR="008F1B00" w:rsidRPr="0045440B" w:rsidRDefault="008F1B00" w:rsidP="0081072E">
      <w:pPr>
        <w:spacing w:line="360" w:lineRule="auto"/>
        <w:ind w:left="720" w:hanging="720"/>
        <w:jc w:val="both"/>
      </w:pPr>
      <w:r w:rsidRPr="00BE7038">
        <w:rPr>
          <w:lang w:val="it-IT"/>
        </w:rPr>
        <w:t>Celi, G., Ginzburg, A., Guarascio, D., &amp; Simonazzi, A. (2017). </w:t>
      </w:r>
      <w:r w:rsidRPr="008F1B00">
        <w:rPr>
          <w:iCs/>
        </w:rPr>
        <w:t>Crisis in the European Monetary Union:</w:t>
      </w:r>
      <w:r w:rsidRPr="008F1B00">
        <w:rPr>
          <w:i/>
          <w:iCs/>
        </w:rPr>
        <w:t xml:space="preserve"> A Core-periphery Perspective</w:t>
      </w:r>
      <w:r w:rsidRPr="008F1B00">
        <w:t>. Routledge.</w:t>
      </w:r>
    </w:p>
    <w:p w14:paraId="062B4B64" w14:textId="798A4D50" w:rsidR="00246C11" w:rsidRDefault="00246C11" w:rsidP="00E22019">
      <w:pPr>
        <w:spacing w:line="360" w:lineRule="auto"/>
        <w:ind w:left="720" w:hanging="720"/>
        <w:jc w:val="both"/>
      </w:pPr>
      <w:r w:rsidRPr="0045440B">
        <w:t xml:space="preserve">Chang, C. L., McAleer, M., &amp; </w:t>
      </w:r>
      <w:proofErr w:type="spellStart"/>
      <w:r w:rsidRPr="0045440B">
        <w:t>Tansuchat</w:t>
      </w:r>
      <w:proofErr w:type="spellEnd"/>
      <w:r w:rsidRPr="0045440B">
        <w:t xml:space="preserve">, R. (2013). Conditional correlations and volatility </w:t>
      </w:r>
      <w:proofErr w:type="spellStart"/>
      <w:r w:rsidRPr="0045440B">
        <w:t>spillovers</w:t>
      </w:r>
      <w:proofErr w:type="spellEnd"/>
      <w:r w:rsidRPr="0045440B">
        <w:t xml:space="preserve"> between crude oil and stock index returns. </w:t>
      </w:r>
      <w:r w:rsidRPr="0045440B">
        <w:rPr>
          <w:i/>
          <w:iCs/>
        </w:rPr>
        <w:t>The North American Journal of Economics and Finance</w:t>
      </w:r>
      <w:r w:rsidRPr="0045440B">
        <w:t>, </w:t>
      </w:r>
      <w:r w:rsidRPr="0045440B">
        <w:rPr>
          <w:i/>
          <w:iCs/>
        </w:rPr>
        <w:t>25</w:t>
      </w:r>
      <w:r w:rsidRPr="0045440B">
        <w:t>, 116-138.</w:t>
      </w:r>
    </w:p>
    <w:p w14:paraId="49C5010E" w14:textId="6A86BEA8" w:rsidR="00B45654" w:rsidRDefault="00B45654" w:rsidP="00E22019">
      <w:pPr>
        <w:spacing w:line="360" w:lineRule="auto"/>
        <w:ind w:left="720" w:hanging="720"/>
        <w:jc w:val="both"/>
      </w:pPr>
      <w:r w:rsidRPr="00B45654">
        <w:t xml:space="preserve">Chen, W., </w:t>
      </w:r>
      <w:proofErr w:type="spellStart"/>
      <w:r w:rsidRPr="00B45654">
        <w:t>Hamori</w:t>
      </w:r>
      <w:proofErr w:type="spellEnd"/>
      <w:r w:rsidRPr="00B45654">
        <w:t xml:space="preserve">, S., &amp; </w:t>
      </w:r>
      <w:proofErr w:type="spellStart"/>
      <w:r w:rsidRPr="00B45654">
        <w:t>Kinkyo</w:t>
      </w:r>
      <w:proofErr w:type="spellEnd"/>
      <w:r w:rsidRPr="00B45654">
        <w:t>, T. (2014). Macroeconomic impacts of oil prices and underlying financial shocks. </w:t>
      </w:r>
      <w:r w:rsidRPr="00B45654">
        <w:rPr>
          <w:i/>
          <w:iCs/>
        </w:rPr>
        <w:t>Journal of International Financial Markets, Institutions and Money</w:t>
      </w:r>
      <w:r w:rsidRPr="00B45654">
        <w:t>, </w:t>
      </w:r>
      <w:r w:rsidRPr="00B45654">
        <w:rPr>
          <w:i/>
          <w:iCs/>
        </w:rPr>
        <w:t>29</w:t>
      </w:r>
      <w:r w:rsidRPr="00B45654">
        <w:t>, 1-12.</w:t>
      </w:r>
    </w:p>
    <w:p w14:paraId="55C76D08" w14:textId="77777777" w:rsidR="00A8021D" w:rsidRPr="0045440B" w:rsidRDefault="00A8021D" w:rsidP="00E22019">
      <w:pPr>
        <w:spacing w:line="360" w:lineRule="auto"/>
        <w:ind w:left="720" w:hanging="720"/>
        <w:jc w:val="both"/>
      </w:pPr>
      <w:r w:rsidRPr="0045440B">
        <w:t xml:space="preserve">Choi, K., &amp; </w:t>
      </w:r>
      <w:proofErr w:type="spellStart"/>
      <w:r w:rsidRPr="0045440B">
        <w:t>Hammoudeh</w:t>
      </w:r>
      <w:proofErr w:type="spellEnd"/>
      <w:r w:rsidRPr="0045440B">
        <w:t xml:space="preserve">, S. (2010). Volatility </w:t>
      </w:r>
      <w:proofErr w:type="spellStart"/>
      <w:r w:rsidRPr="0045440B">
        <w:t>behavior</w:t>
      </w:r>
      <w:proofErr w:type="spellEnd"/>
      <w:r w:rsidRPr="0045440B">
        <w:t xml:space="preserve"> of oil, industrial commodity and stock markets in a regime-switching environment. </w:t>
      </w:r>
      <w:r w:rsidRPr="0045440B">
        <w:rPr>
          <w:i/>
        </w:rPr>
        <w:t>Energy Policy</w:t>
      </w:r>
      <w:r w:rsidRPr="0045440B">
        <w:t xml:space="preserve">, </w:t>
      </w:r>
      <w:r w:rsidRPr="0045440B">
        <w:rPr>
          <w:i/>
        </w:rPr>
        <w:t>38</w:t>
      </w:r>
      <w:r w:rsidRPr="0045440B">
        <w:t>(8), 4388−4399.</w:t>
      </w:r>
    </w:p>
    <w:p w14:paraId="3DDB1EE8" w14:textId="204E00B2" w:rsidR="00103A37" w:rsidRDefault="00B33EA4" w:rsidP="00103A37">
      <w:pPr>
        <w:spacing w:line="360" w:lineRule="auto"/>
        <w:ind w:left="720" w:hanging="720"/>
        <w:jc w:val="both"/>
      </w:pPr>
      <w:r>
        <w:t xml:space="preserve">CNBC (2014). </w:t>
      </w:r>
      <w:r w:rsidRPr="00B33EA4">
        <w:t>Oil price fallout: Producers struggle as GDP grows</w:t>
      </w:r>
      <w:r>
        <w:t xml:space="preserve">, by </w:t>
      </w:r>
      <w:r w:rsidRPr="00B33EA4">
        <w:t>Jenny Cosgrave</w:t>
      </w:r>
      <w:r>
        <w:t>, December 11</w:t>
      </w:r>
      <w:r w:rsidRPr="00B33EA4">
        <w:rPr>
          <w:vertAlign w:val="superscript"/>
        </w:rPr>
        <w:t>th</w:t>
      </w:r>
      <w:r w:rsidR="00BB6465">
        <w:t>,</w:t>
      </w:r>
      <w:r w:rsidR="00CE061B">
        <w:t xml:space="preserve"> </w:t>
      </w:r>
      <w:r w:rsidRPr="00B33EA4">
        <w:t>https://www.cnbc.com/2014/12/11/how-the-falling-oil-price-effects-bond-yields-gdp-and-producers.html</w:t>
      </w:r>
    </w:p>
    <w:p w14:paraId="5DA4D165" w14:textId="239974C1" w:rsidR="00103A37" w:rsidRDefault="00012FCD" w:rsidP="00103A37">
      <w:pPr>
        <w:spacing w:line="360" w:lineRule="auto"/>
        <w:ind w:left="720" w:hanging="720"/>
        <w:jc w:val="both"/>
      </w:pPr>
      <w:r w:rsidRPr="00C56978">
        <w:t xml:space="preserve">CNBC (2018). Rising </w:t>
      </w:r>
      <w:r w:rsidR="00103A37">
        <w:t>oil prices, once a big negative</w:t>
      </w:r>
      <w:r w:rsidRPr="00C56978">
        <w:t xml:space="preserve"> may now be a wash for the US economy,</w:t>
      </w:r>
      <w:r w:rsidR="00103A37">
        <w:t xml:space="preserve"> by S. </w:t>
      </w:r>
      <w:proofErr w:type="spellStart"/>
      <w:r w:rsidRPr="00C56978">
        <w:t>Liesman</w:t>
      </w:r>
      <w:proofErr w:type="spellEnd"/>
      <w:r w:rsidR="00694636">
        <w:t xml:space="preserve"> May 14</w:t>
      </w:r>
      <w:r w:rsidR="00103A37" w:rsidRPr="00103A37">
        <w:rPr>
          <w:vertAlign w:val="superscript"/>
        </w:rPr>
        <w:t>th</w:t>
      </w:r>
      <w:r w:rsidR="00103A37">
        <w:t xml:space="preserve">, </w:t>
      </w:r>
      <w:hyperlink r:id="rId10" w:history="1">
        <w:r w:rsidR="00103A37" w:rsidRPr="00103A37">
          <w:rPr>
            <w:rStyle w:val="Hyperlink"/>
            <w:color w:val="auto"/>
            <w:u w:val="none"/>
          </w:rPr>
          <w:t>https://www.cnbc.com/2018/05/14/rising-oil-prices-may-now-be-a-positive-for-the-</w:t>
        </w:r>
      </w:hyperlink>
      <w:r w:rsidR="00103A37" w:rsidRPr="00103A37">
        <w:t>us-economy.html</w:t>
      </w:r>
      <w:r w:rsidR="00BB6465">
        <w:t xml:space="preserve">   </w:t>
      </w:r>
    </w:p>
    <w:p w14:paraId="490CD9A1" w14:textId="7ECFC117" w:rsidR="005E384B" w:rsidRDefault="005E384B" w:rsidP="005E384B">
      <w:pPr>
        <w:spacing w:line="360" w:lineRule="auto"/>
        <w:ind w:left="720" w:hanging="720"/>
        <w:jc w:val="both"/>
      </w:pPr>
      <w:r w:rsidRPr="005E384B">
        <w:t>CNBC (2018).</w:t>
      </w:r>
      <w:r>
        <w:t xml:space="preserve"> </w:t>
      </w:r>
      <w:r w:rsidRPr="005E384B">
        <w:t>Treasury yields rise as surge in oil prices boost inflation outlook; j</w:t>
      </w:r>
      <w:r>
        <w:t>obs report misses expectations, by Thomas Franck December 7</w:t>
      </w:r>
      <w:r w:rsidRPr="005E384B">
        <w:rPr>
          <w:vertAlign w:val="superscript"/>
        </w:rPr>
        <w:t>th</w:t>
      </w:r>
      <w:r>
        <w:t xml:space="preserve">, </w:t>
      </w:r>
      <w:r w:rsidRPr="005E384B">
        <w:t>https://www.cnbc.com/2018/12/07/treasury-yields-move-ahead-of-nonfarm-payrolls.html</w:t>
      </w:r>
    </w:p>
    <w:p w14:paraId="1E3EBACC" w14:textId="397E0F78" w:rsidR="003253A4" w:rsidRDefault="00C56978" w:rsidP="003253A4">
      <w:pPr>
        <w:spacing w:line="360" w:lineRule="auto"/>
        <w:ind w:left="720" w:hanging="720"/>
        <w:jc w:val="both"/>
      </w:pPr>
      <w:r w:rsidRPr="00C56978">
        <w:t>CNNMoney (2018). India is freaking out about rising oil prices, by Rishi Iyengar. May 18</w:t>
      </w:r>
      <w:r w:rsidRPr="00131EDD">
        <w:rPr>
          <w:vertAlign w:val="superscript"/>
        </w:rPr>
        <w:t>th</w:t>
      </w:r>
      <w:r w:rsidR="00131EDD">
        <w:t>,</w:t>
      </w:r>
      <w:r w:rsidRPr="00C56978">
        <w:t xml:space="preserve"> </w:t>
      </w:r>
      <w:hyperlink r:id="rId11" w:history="1">
        <w:r w:rsidR="00DF336D" w:rsidRPr="00694636">
          <w:rPr>
            <w:rStyle w:val="Hyperlink"/>
            <w:color w:val="auto"/>
            <w:u w:val="none"/>
          </w:rPr>
          <w:t>http://money.cnn.com/2018/05/18/news/economy/oil-prices-india-saudi-arabia/index.html</w:t>
        </w:r>
      </w:hyperlink>
    </w:p>
    <w:p w14:paraId="77FC33B8" w14:textId="1C0BDC9C" w:rsidR="00DF336D" w:rsidRDefault="00DF336D" w:rsidP="003253A4">
      <w:pPr>
        <w:spacing w:line="360" w:lineRule="auto"/>
        <w:ind w:left="720" w:hanging="720"/>
        <w:jc w:val="both"/>
      </w:pPr>
      <w:r w:rsidRPr="00BE7038">
        <w:rPr>
          <w:lang w:val="it-IT"/>
        </w:rPr>
        <w:t xml:space="preserve">Codogno, L., Favero, C., &amp; Missale, A. (2003). </w:t>
      </w:r>
      <w:r w:rsidRPr="00DF336D">
        <w:t xml:space="preserve">Yield spreads on EMU government bonds. </w:t>
      </w:r>
      <w:r w:rsidRPr="00DF336D">
        <w:rPr>
          <w:i/>
        </w:rPr>
        <w:t>Economic Policy</w:t>
      </w:r>
      <w:r w:rsidRPr="00DF336D">
        <w:t xml:space="preserve">, </w:t>
      </w:r>
      <w:r w:rsidRPr="00DF336D">
        <w:rPr>
          <w:i/>
        </w:rPr>
        <w:t>18</w:t>
      </w:r>
      <w:r w:rsidRPr="00DF336D">
        <w:t>(37), 503-532.</w:t>
      </w:r>
    </w:p>
    <w:p w14:paraId="6C198D91" w14:textId="77777777" w:rsidR="00747290" w:rsidRPr="0045440B" w:rsidRDefault="00747290" w:rsidP="00E22019">
      <w:pPr>
        <w:spacing w:line="360" w:lineRule="auto"/>
        <w:ind w:left="720" w:hanging="720"/>
        <w:jc w:val="both"/>
      </w:pPr>
      <w:proofErr w:type="spellStart"/>
      <w:r w:rsidRPr="0045440B">
        <w:t>Cologni</w:t>
      </w:r>
      <w:proofErr w:type="spellEnd"/>
      <w:r w:rsidRPr="0045440B">
        <w:t xml:space="preserve">, A., &amp; </w:t>
      </w:r>
      <w:proofErr w:type="spellStart"/>
      <w:r w:rsidRPr="0045440B">
        <w:t>Manera</w:t>
      </w:r>
      <w:proofErr w:type="spellEnd"/>
      <w:r w:rsidRPr="0045440B">
        <w:t xml:space="preserve">, M. (2008). Oil prices, inflation and interest rates in a structural cointegrated VAR model for the G-7 countries. </w:t>
      </w:r>
      <w:r w:rsidRPr="0045440B">
        <w:rPr>
          <w:i/>
        </w:rPr>
        <w:t>Energy economics</w:t>
      </w:r>
      <w:r w:rsidRPr="0045440B">
        <w:t xml:space="preserve">, </w:t>
      </w:r>
      <w:r w:rsidRPr="0045440B">
        <w:rPr>
          <w:i/>
        </w:rPr>
        <w:t>30</w:t>
      </w:r>
      <w:r w:rsidRPr="0045440B">
        <w:t>(3), 856-888.</w:t>
      </w:r>
    </w:p>
    <w:p w14:paraId="0BF8CE4A" w14:textId="2286B673" w:rsidR="00A8507D" w:rsidRDefault="00A8507D" w:rsidP="00E22019">
      <w:pPr>
        <w:spacing w:line="360" w:lineRule="auto"/>
        <w:ind w:left="720" w:hanging="720"/>
        <w:jc w:val="both"/>
      </w:pPr>
      <w:proofErr w:type="spellStart"/>
      <w:r w:rsidRPr="00A8507D">
        <w:lastRenderedPageBreak/>
        <w:t>Côté</w:t>
      </w:r>
      <w:proofErr w:type="spellEnd"/>
      <w:r w:rsidRPr="00A8507D">
        <w:t>, D., &amp; Graham, C. (2004). Convergence of government bond yields in the Euro Zone: The role of policy harmonization. Bank of Canada. Working Paper 2004-23</w:t>
      </w:r>
    </w:p>
    <w:p w14:paraId="11245C8B" w14:textId="3183F685" w:rsidR="002B15E0" w:rsidRDefault="007F5788" w:rsidP="00E22019">
      <w:pPr>
        <w:spacing w:line="360" w:lineRule="auto"/>
        <w:ind w:left="720" w:hanging="720"/>
        <w:jc w:val="both"/>
      </w:pPr>
      <w:proofErr w:type="spellStart"/>
      <w:r w:rsidRPr="007F5788">
        <w:t>Degiannakis</w:t>
      </w:r>
      <w:proofErr w:type="spellEnd"/>
      <w:r w:rsidRPr="007F5788">
        <w:t xml:space="preserve">, S., Duffy, D., </w:t>
      </w:r>
      <w:proofErr w:type="spellStart"/>
      <w:r w:rsidRPr="007F5788">
        <w:t>Filis</w:t>
      </w:r>
      <w:proofErr w:type="spellEnd"/>
      <w:r w:rsidRPr="007F5788">
        <w:t xml:space="preserve">, G., &amp; </w:t>
      </w:r>
      <w:proofErr w:type="spellStart"/>
      <w:r w:rsidRPr="007F5788">
        <w:t>Livada</w:t>
      </w:r>
      <w:proofErr w:type="spellEnd"/>
      <w:r w:rsidRPr="007F5788">
        <w:t xml:space="preserve">, A. (2016). Business cycle synchronisation in EMU: Can fiscal policy bring member-countries </w:t>
      </w:r>
      <w:proofErr w:type="gramStart"/>
      <w:r w:rsidRPr="007F5788">
        <w:t>closer?.</w:t>
      </w:r>
      <w:proofErr w:type="gramEnd"/>
      <w:r w:rsidRPr="007F5788">
        <w:t xml:space="preserve"> </w:t>
      </w:r>
      <w:r w:rsidRPr="007F5788">
        <w:rPr>
          <w:i/>
        </w:rPr>
        <w:t>Economic Modelling</w:t>
      </w:r>
      <w:r w:rsidRPr="007F5788">
        <w:t>, 52, 551-563.</w:t>
      </w:r>
    </w:p>
    <w:p w14:paraId="5A5490C2" w14:textId="49605EDF" w:rsidR="002B15E0" w:rsidRDefault="002B15E0" w:rsidP="00E22019">
      <w:pPr>
        <w:spacing w:line="360" w:lineRule="auto"/>
        <w:ind w:left="720" w:hanging="720"/>
        <w:jc w:val="both"/>
      </w:pPr>
      <w:proofErr w:type="spellStart"/>
      <w:r w:rsidRPr="002B15E0">
        <w:t>Degiannakis</w:t>
      </w:r>
      <w:proofErr w:type="spellEnd"/>
      <w:r w:rsidRPr="002B15E0">
        <w:t xml:space="preserve">, S., </w:t>
      </w:r>
      <w:proofErr w:type="spellStart"/>
      <w:r w:rsidRPr="002B15E0">
        <w:t>Filis</w:t>
      </w:r>
      <w:proofErr w:type="spellEnd"/>
      <w:r w:rsidRPr="002B15E0">
        <w:t>, G., &amp; Arora, V. (2018). Oil Prices and Stock Markets: A Review of the Theory and Empirical Evidence. </w:t>
      </w:r>
      <w:r w:rsidRPr="002B15E0">
        <w:rPr>
          <w:i/>
          <w:iCs/>
        </w:rPr>
        <w:t>Energy Journal</w:t>
      </w:r>
      <w:r w:rsidRPr="002B15E0">
        <w:t>, </w:t>
      </w:r>
      <w:r w:rsidRPr="002B15E0">
        <w:rPr>
          <w:i/>
          <w:iCs/>
        </w:rPr>
        <w:t>39</w:t>
      </w:r>
      <w:r w:rsidRPr="002B15E0">
        <w:t>(5).</w:t>
      </w:r>
    </w:p>
    <w:p w14:paraId="01585DD0" w14:textId="1E7820D7" w:rsidR="009C5988" w:rsidRDefault="009C5988" w:rsidP="009C5988">
      <w:pPr>
        <w:spacing w:line="360" w:lineRule="auto"/>
        <w:ind w:left="720" w:hanging="720"/>
        <w:jc w:val="both"/>
      </w:pPr>
      <w:proofErr w:type="spellStart"/>
      <w:r w:rsidRPr="000228F7">
        <w:t>Degiannakis</w:t>
      </w:r>
      <w:proofErr w:type="spellEnd"/>
      <w:r w:rsidRPr="000228F7">
        <w:t xml:space="preserve">, S., </w:t>
      </w:r>
      <w:proofErr w:type="spellStart"/>
      <w:r w:rsidRPr="000228F7">
        <w:t>Filis</w:t>
      </w:r>
      <w:proofErr w:type="spellEnd"/>
      <w:r w:rsidRPr="000228F7">
        <w:t xml:space="preserve">, G., &amp; </w:t>
      </w:r>
      <w:proofErr w:type="spellStart"/>
      <w:r w:rsidRPr="000228F7">
        <w:t>Floros</w:t>
      </w:r>
      <w:proofErr w:type="spellEnd"/>
      <w:r w:rsidRPr="000228F7">
        <w:t xml:space="preserve">, C. (2013). Oil and stock returns: Evidence from European industrial sector indices in a time-varying environment. </w:t>
      </w:r>
      <w:r w:rsidRPr="000228F7">
        <w:rPr>
          <w:i/>
          <w:iCs/>
        </w:rPr>
        <w:t>Journal of International Financial Markets, Institutions and Money</w:t>
      </w:r>
      <w:r w:rsidRPr="000228F7">
        <w:t xml:space="preserve">, </w:t>
      </w:r>
      <w:r w:rsidRPr="000228F7">
        <w:rPr>
          <w:i/>
          <w:iCs/>
        </w:rPr>
        <w:t>26</w:t>
      </w:r>
      <w:r w:rsidRPr="000228F7">
        <w:t>, 175-191.</w:t>
      </w:r>
    </w:p>
    <w:p w14:paraId="42086828" w14:textId="45058F54" w:rsidR="00E551FD" w:rsidRDefault="00E551FD" w:rsidP="00E22019">
      <w:pPr>
        <w:spacing w:line="360" w:lineRule="auto"/>
        <w:ind w:left="720" w:hanging="720"/>
        <w:jc w:val="both"/>
      </w:pPr>
      <w:proofErr w:type="spellStart"/>
      <w:r w:rsidRPr="0045440B">
        <w:t>Degiannakis</w:t>
      </w:r>
      <w:proofErr w:type="spellEnd"/>
      <w:r w:rsidRPr="0045440B">
        <w:t xml:space="preserve">, S., </w:t>
      </w:r>
      <w:proofErr w:type="spellStart"/>
      <w:r w:rsidRPr="0045440B">
        <w:t>Filis</w:t>
      </w:r>
      <w:proofErr w:type="spellEnd"/>
      <w:r w:rsidRPr="0045440B">
        <w:t xml:space="preserve">, G., &amp; Kizys, R. (2014). The Effects of Oil Price Shocks on Stock Market Volatility: Evidence from European Data. </w:t>
      </w:r>
      <w:r w:rsidRPr="0045440B">
        <w:rPr>
          <w:i/>
        </w:rPr>
        <w:t>Energy Journal</w:t>
      </w:r>
      <w:r w:rsidRPr="0045440B">
        <w:t xml:space="preserve">, </w:t>
      </w:r>
      <w:r w:rsidRPr="0045440B">
        <w:rPr>
          <w:i/>
        </w:rPr>
        <w:t>35</w:t>
      </w:r>
      <w:r w:rsidRPr="0045440B">
        <w:t>(1), 35-36.</w:t>
      </w:r>
    </w:p>
    <w:p w14:paraId="617698EA" w14:textId="77777777" w:rsidR="00585F59" w:rsidRDefault="00585F59" w:rsidP="00E22019">
      <w:pPr>
        <w:spacing w:line="360" w:lineRule="auto"/>
        <w:ind w:left="720" w:hanging="720"/>
        <w:jc w:val="both"/>
      </w:pPr>
      <w:proofErr w:type="spellStart"/>
      <w:r w:rsidRPr="0045440B">
        <w:t>Dewachter</w:t>
      </w:r>
      <w:proofErr w:type="spellEnd"/>
      <w:r w:rsidRPr="0045440B">
        <w:t xml:space="preserve">, H., </w:t>
      </w:r>
      <w:proofErr w:type="spellStart"/>
      <w:r w:rsidRPr="0045440B">
        <w:t>Iania</w:t>
      </w:r>
      <w:proofErr w:type="spellEnd"/>
      <w:r w:rsidRPr="0045440B">
        <w:t xml:space="preserve">, L., </w:t>
      </w:r>
      <w:proofErr w:type="spellStart"/>
      <w:r w:rsidRPr="0045440B">
        <w:t>Lyrio</w:t>
      </w:r>
      <w:proofErr w:type="spellEnd"/>
      <w:r w:rsidRPr="0045440B">
        <w:t xml:space="preserve">, M., &amp; de Sola </w:t>
      </w:r>
      <w:proofErr w:type="spellStart"/>
      <w:r w:rsidRPr="0045440B">
        <w:t>Perea</w:t>
      </w:r>
      <w:proofErr w:type="spellEnd"/>
      <w:r w:rsidRPr="0045440B">
        <w:t>, M. (2015). A macro-financial analysis of the euro area sovereign bond market. </w:t>
      </w:r>
      <w:r w:rsidRPr="0045440B">
        <w:rPr>
          <w:i/>
          <w:iCs/>
        </w:rPr>
        <w:t>Journal of Banking &amp; Finance</w:t>
      </w:r>
      <w:r w:rsidRPr="0045440B">
        <w:t>, </w:t>
      </w:r>
      <w:r w:rsidRPr="0045440B">
        <w:rPr>
          <w:i/>
          <w:iCs/>
        </w:rPr>
        <w:t>50</w:t>
      </w:r>
      <w:r w:rsidRPr="0045440B">
        <w:t>, 308-325.</w:t>
      </w:r>
    </w:p>
    <w:p w14:paraId="1DD5458B" w14:textId="77777777" w:rsidR="00AF1195" w:rsidRDefault="00AF1195" w:rsidP="00E22019">
      <w:pPr>
        <w:spacing w:line="360" w:lineRule="auto"/>
        <w:ind w:left="720" w:hanging="720"/>
        <w:jc w:val="both"/>
      </w:pPr>
      <w:r w:rsidRPr="00AF1195">
        <w:t xml:space="preserve">Dickey, D.A., &amp; Fuller, W.A. (1981). Likelihood ratio statistics for autoregressive time series with a unit root. </w:t>
      </w:r>
      <w:proofErr w:type="spellStart"/>
      <w:r w:rsidRPr="00AF1195">
        <w:rPr>
          <w:i/>
        </w:rPr>
        <w:t>Econometrica</w:t>
      </w:r>
      <w:proofErr w:type="spellEnd"/>
      <w:r w:rsidRPr="00AF1195">
        <w:t xml:space="preserve">, </w:t>
      </w:r>
      <w:r w:rsidRPr="00AF1195">
        <w:rPr>
          <w:i/>
        </w:rPr>
        <w:t>49</w:t>
      </w:r>
      <w:r w:rsidRPr="00AF1195">
        <w:t>(4), 1057–1072.</w:t>
      </w:r>
    </w:p>
    <w:p w14:paraId="19D994A1" w14:textId="77777777" w:rsidR="003B0934" w:rsidRPr="0045440B" w:rsidRDefault="003B0934" w:rsidP="00E22019">
      <w:pPr>
        <w:spacing w:line="360" w:lineRule="auto"/>
        <w:ind w:left="720" w:hanging="720"/>
        <w:jc w:val="both"/>
      </w:pPr>
      <w:r w:rsidRPr="003B0934">
        <w:t>Ding, Z., &amp; Engle, R. F. (2001). Large scale conditional covariance matrix model</w:t>
      </w:r>
      <w:r>
        <w:t>l</w:t>
      </w:r>
      <w:r w:rsidRPr="003B0934">
        <w:t>ing, estimation and testing.</w:t>
      </w:r>
      <w:r>
        <w:t xml:space="preserve"> Academia Economic Papers, 29, 157-184. </w:t>
      </w:r>
    </w:p>
    <w:p w14:paraId="6B6F88EB" w14:textId="024A4EC7" w:rsidR="00754D95" w:rsidRDefault="00754D95" w:rsidP="00EB28BB">
      <w:pPr>
        <w:spacing w:line="360" w:lineRule="auto"/>
        <w:ind w:left="720" w:hanging="720"/>
        <w:jc w:val="both"/>
      </w:pPr>
      <w:r w:rsidRPr="00754D95">
        <w:t>ECB (2016). Global implications of low oil prices. Economic Bulletin, Issue 4</w:t>
      </w:r>
      <w:r>
        <w:t>.</w:t>
      </w:r>
      <w:r w:rsidRPr="00754D95">
        <w:t xml:space="preserve">  </w:t>
      </w:r>
    </w:p>
    <w:p w14:paraId="4CA459B6" w14:textId="2F8C6DBC" w:rsidR="00A03BA2" w:rsidRPr="0045440B" w:rsidRDefault="00A03BA2" w:rsidP="00EB28BB">
      <w:pPr>
        <w:spacing w:line="360" w:lineRule="auto"/>
        <w:ind w:left="720" w:hanging="720"/>
        <w:jc w:val="both"/>
      </w:pPr>
      <w:proofErr w:type="spellStart"/>
      <w:r w:rsidRPr="00A03BA2">
        <w:t>Ejsing</w:t>
      </w:r>
      <w:proofErr w:type="spellEnd"/>
      <w:r w:rsidRPr="00A03BA2">
        <w:t xml:space="preserve">, J.W., </w:t>
      </w:r>
      <w:proofErr w:type="spellStart"/>
      <w:r w:rsidRPr="00A03BA2">
        <w:t>Sihvonen</w:t>
      </w:r>
      <w:proofErr w:type="spellEnd"/>
      <w:r w:rsidRPr="00A03BA2">
        <w:t xml:space="preserve">, J., </w:t>
      </w:r>
      <w:r w:rsidR="00BC448B">
        <w:t>(</w:t>
      </w:r>
      <w:r w:rsidRPr="00A03BA2">
        <w:t>2009</w:t>
      </w:r>
      <w:r w:rsidR="00BC448B">
        <w:t>)</w:t>
      </w:r>
      <w:r w:rsidRPr="00A03BA2">
        <w:t>. Liquidity Premia in German Government Bonds. European Central Bank Working Paper 1081.</w:t>
      </w:r>
    </w:p>
    <w:p w14:paraId="4A707FB8" w14:textId="77777777" w:rsidR="00EB28BB" w:rsidRPr="0045440B" w:rsidRDefault="00EB28BB" w:rsidP="00EB28BB">
      <w:pPr>
        <w:spacing w:line="360" w:lineRule="auto"/>
        <w:ind w:left="720" w:hanging="720"/>
        <w:jc w:val="both"/>
      </w:pPr>
      <w:r w:rsidRPr="0045440B">
        <w:t xml:space="preserve">Engle, R. (2002). Dynamic conditional correlation: A simple class of multivariate generalized autoregressive conditional heteroskedasticity models. </w:t>
      </w:r>
      <w:r w:rsidRPr="0045440B">
        <w:rPr>
          <w:i/>
        </w:rPr>
        <w:t>Journal of Business &amp; Economic Statistics</w:t>
      </w:r>
      <w:r w:rsidRPr="0045440B">
        <w:t xml:space="preserve">, </w:t>
      </w:r>
      <w:r w:rsidRPr="0045440B">
        <w:rPr>
          <w:i/>
        </w:rPr>
        <w:t>20</w:t>
      </w:r>
      <w:r w:rsidRPr="0045440B">
        <w:t>(3), 339-350.</w:t>
      </w:r>
    </w:p>
    <w:p w14:paraId="58E094B4" w14:textId="58C75CFE" w:rsidR="00EB28BB" w:rsidRDefault="00EB28BB" w:rsidP="00EB28BB">
      <w:pPr>
        <w:spacing w:line="360" w:lineRule="auto"/>
        <w:ind w:left="720" w:hanging="720"/>
        <w:jc w:val="both"/>
      </w:pPr>
      <w:r w:rsidRPr="0045440B">
        <w:t xml:space="preserve">Engle, R. F., &amp; Kroner, K. F. (1995). Multivariate simultaneous generalized ARCH. </w:t>
      </w:r>
      <w:r w:rsidRPr="0045440B">
        <w:rPr>
          <w:i/>
        </w:rPr>
        <w:t>Econometric theory</w:t>
      </w:r>
      <w:r w:rsidRPr="0045440B">
        <w:t xml:space="preserve">, </w:t>
      </w:r>
      <w:r w:rsidRPr="0045440B">
        <w:rPr>
          <w:i/>
        </w:rPr>
        <w:t>11</w:t>
      </w:r>
      <w:r w:rsidRPr="0045440B">
        <w:t>(1), 122-150.</w:t>
      </w:r>
    </w:p>
    <w:p w14:paraId="734761B9" w14:textId="69B04F48" w:rsidR="00AD5A11" w:rsidRDefault="00AD5A11" w:rsidP="00EB28BB">
      <w:pPr>
        <w:spacing w:line="360" w:lineRule="auto"/>
        <w:ind w:left="720" w:hanging="720"/>
        <w:jc w:val="both"/>
      </w:pPr>
      <w:r w:rsidRPr="00AD5A11">
        <w:t>Eurostat (2018). Oil and petroleum products - a statistical overview.</w:t>
      </w:r>
    </w:p>
    <w:p w14:paraId="3273955A" w14:textId="11B59932" w:rsidR="00CF5A4F" w:rsidRDefault="00CF5A4F" w:rsidP="00EB28BB">
      <w:pPr>
        <w:spacing w:line="360" w:lineRule="auto"/>
        <w:ind w:left="720" w:hanging="720"/>
        <w:jc w:val="both"/>
      </w:pPr>
      <w:proofErr w:type="spellStart"/>
      <w:r w:rsidRPr="00CF5A4F">
        <w:t>Favero</w:t>
      </w:r>
      <w:proofErr w:type="spellEnd"/>
      <w:r w:rsidRPr="00CF5A4F">
        <w:t xml:space="preserve">, C. A. (2013). Modelling and forecasting government bond spreads in the euro area: a GVAR model. </w:t>
      </w:r>
      <w:r w:rsidRPr="0098405C">
        <w:rPr>
          <w:i/>
        </w:rPr>
        <w:t>Journal of Econometrics</w:t>
      </w:r>
      <w:r w:rsidRPr="00CF5A4F">
        <w:t xml:space="preserve">, </w:t>
      </w:r>
      <w:r w:rsidRPr="0098405C">
        <w:rPr>
          <w:i/>
        </w:rPr>
        <w:t>177</w:t>
      </w:r>
      <w:r w:rsidRPr="00CF5A4F">
        <w:t>(2), 343-356.</w:t>
      </w:r>
    </w:p>
    <w:p w14:paraId="3471B07C" w14:textId="4F5313A5" w:rsidR="00BC448B" w:rsidRDefault="00BC448B" w:rsidP="00BC448B">
      <w:pPr>
        <w:spacing w:line="360" w:lineRule="auto"/>
        <w:ind w:left="720" w:hanging="720"/>
        <w:jc w:val="both"/>
      </w:pPr>
      <w:proofErr w:type="spellStart"/>
      <w:r w:rsidRPr="0045440B">
        <w:t>Filis</w:t>
      </w:r>
      <w:proofErr w:type="spellEnd"/>
      <w:r w:rsidRPr="0045440B">
        <w:t xml:space="preserve">, G. (2014). Time-varying co-movements between stock market returns and oil price shocks. </w:t>
      </w:r>
      <w:r w:rsidRPr="0045440B">
        <w:rPr>
          <w:i/>
        </w:rPr>
        <w:t>International Journal of Energy and Statistics</w:t>
      </w:r>
      <w:r w:rsidRPr="0045440B">
        <w:t xml:space="preserve">, </w:t>
      </w:r>
      <w:r w:rsidRPr="0045440B">
        <w:rPr>
          <w:i/>
        </w:rPr>
        <w:t>2</w:t>
      </w:r>
      <w:r w:rsidRPr="0045440B">
        <w:t>(01), 27-42.</w:t>
      </w:r>
    </w:p>
    <w:p w14:paraId="41257EE7" w14:textId="2C121CA9" w:rsidR="008965B6" w:rsidRPr="00BC448B" w:rsidRDefault="008965B6" w:rsidP="008965B6">
      <w:pPr>
        <w:spacing w:line="360" w:lineRule="auto"/>
        <w:ind w:left="720" w:hanging="720"/>
        <w:jc w:val="both"/>
      </w:pPr>
      <w:proofErr w:type="spellStart"/>
      <w:r w:rsidRPr="0045440B">
        <w:lastRenderedPageBreak/>
        <w:t>Filis</w:t>
      </w:r>
      <w:proofErr w:type="spellEnd"/>
      <w:r w:rsidRPr="0045440B">
        <w:t xml:space="preserve">, G., &amp; </w:t>
      </w:r>
      <w:proofErr w:type="spellStart"/>
      <w:r w:rsidRPr="0045440B">
        <w:t>Chatziantoniou</w:t>
      </w:r>
      <w:proofErr w:type="spellEnd"/>
      <w:r w:rsidRPr="0045440B">
        <w:t xml:space="preserve">, I. (2014). Financial and monetary policy responses to oil price shocks: evidence from oil-importing and oil-exporting countries. </w:t>
      </w:r>
      <w:r w:rsidRPr="0045440B">
        <w:rPr>
          <w:i/>
        </w:rPr>
        <w:t>Review of Quantitative Finance and Accounting</w:t>
      </w:r>
      <w:r w:rsidRPr="0045440B">
        <w:t xml:space="preserve">, </w:t>
      </w:r>
      <w:r w:rsidRPr="0045440B">
        <w:rPr>
          <w:i/>
        </w:rPr>
        <w:t>42</w:t>
      </w:r>
      <w:r w:rsidRPr="0045440B">
        <w:t>(4), 709-729.</w:t>
      </w:r>
    </w:p>
    <w:p w14:paraId="197B00C0" w14:textId="77777777" w:rsidR="00E93E65" w:rsidRPr="0045440B" w:rsidRDefault="00E93E65" w:rsidP="00E22019">
      <w:pPr>
        <w:spacing w:line="360" w:lineRule="auto"/>
        <w:ind w:left="720" w:hanging="720"/>
        <w:jc w:val="both"/>
      </w:pPr>
      <w:proofErr w:type="spellStart"/>
      <w:r w:rsidRPr="0045440B">
        <w:t>Filis</w:t>
      </w:r>
      <w:proofErr w:type="spellEnd"/>
      <w:r w:rsidRPr="0045440B">
        <w:t xml:space="preserve">, G., </w:t>
      </w:r>
      <w:proofErr w:type="spellStart"/>
      <w:r w:rsidRPr="0045440B">
        <w:t>Degiannakis</w:t>
      </w:r>
      <w:proofErr w:type="spellEnd"/>
      <w:r w:rsidRPr="0045440B">
        <w:t xml:space="preserve">, S., &amp; </w:t>
      </w:r>
      <w:proofErr w:type="spellStart"/>
      <w:r w:rsidRPr="0045440B">
        <w:t>Floros</w:t>
      </w:r>
      <w:proofErr w:type="spellEnd"/>
      <w:r w:rsidRPr="0045440B">
        <w:t xml:space="preserve">, C. (2011). Dynamic correlation between stock market and oil prices: The case of oil-importing and oil-exporting countries. </w:t>
      </w:r>
      <w:r w:rsidRPr="0045440B">
        <w:rPr>
          <w:i/>
        </w:rPr>
        <w:t>International Review of Financial Analysis</w:t>
      </w:r>
      <w:r w:rsidRPr="0045440B">
        <w:t xml:space="preserve">, </w:t>
      </w:r>
      <w:r w:rsidRPr="0045440B">
        <w:rPr>
          <w:i/>
        </w:rPr>
        <w:t>20</w:t>
      </w:r>
      <w:r w:rsidRPr="0045440B">
        <w:t>(3), 152−164.</w:t>
      </w:r>
    </w:p>
    <w:p w14:paraId="0C6B5349" w14:textId="13B1F6D1" w:rsidR="005E384B" w:rsidRDefault="005354B7" w:rsidP="005E384B">
      <w:pPr>
        <w:spacing w:line="360" w:lineRule="auto"/>
        <w:ind w:left="720" w:hanging="720"/>
        <w:jc w:val="both"/>
      </w:pPr>
      <w:r w:rsidRPr="005354B7">
        <w:t xml:space="preserve">Financial Times (2018). Do oil rises point to a tipping point for bond yields? By Michael Mackenzie, Roger Blitz and Alexandra </w:t>
      </w:r>
      <w:proofErr w:type="spellStart"/>
      <w:r w:rsidRPr="005354B7">
        <w:t>Scaggs</w:t>
      </w:r>
      <w:proofErr w:type="spellEnd"/>
      <w:r w:rsidRPr="005354B7">
        <w:t>. April, 22</w:t>
      </w:r>
      <w:r w:rsidR="005E51A7" w:rsidRPr="005E51A7">
        <w:rPr>
          <w:vertAlign w:val="superscript"/>
        </w:rPr>
        <w:t>nd</w:t>
      </w:r>
      <w:r w:rsidR="005E51A7">
        <w:t>.</w:t>
      </w:r>
      <w:r w:rsidRPr="005354B7">
        <w:t xml:space="preserve"> </w:t>
      </w:r>
      <w:hyperlink r:id="rId12" w:history="1">
        <w:r w:rsidR="006D3332" w:rsidRPr="00294A67">
          <w:rPr>
            <w:rStyle w:val="Hyperlink"/>
            <w:color w:val="auto"/>
            <w:u w:val="none"/>
          </w:rPr>
          <w:t>https://www.ft.com/content/d1427264-4482-11e8-93cf-67ac3a6482fd</w:t>
        </w:r>
      </w:hyperlink>
      <w:r w:rsidR="006D3332" w:rsidRPr="00294A67">
        <w:t>.</w:t>
      </w:r>
    </w:p>
    <w:p w14:paraId="02A060E9" w14:textId="542AE3A0" w:rsidR="006D3332" w:rsidRDefault="006D3332" w:rsidP="00B64232">
      <w:pPr>
        <w:spacing w:line="360" w:lineRule="auto"/>
        <w:ind w:left="720" w:hanging="720"/>
        <w:jc w:val="both"/>
      </w:pPr>
      <w:r>
        <w:t xml:space="preserve">Gibson, H.D., Stephen G. Hall, S.G., &amp; George S. </w:t>
      </w:r>
      <w:proofErr w:type="spellStart"/>
      <w:r>
        <w:t>Tavlas</w:t>
      </w:r>
      <w:proofErr w:type="spellEnd"/>
      <w:r>
        <w:t xml:space="preserve">, G.S. (2012) The Greek financial crisis: Growing imbalances and sovereign spreads. </w:t>
      </w:r>
      <w:r w:rsidRPr="00F84FCD">
        <w:rPr>
          <w:i/>
        </w:rPr>
        <w:t>Journal of International Money and Finance</w:t>
      </w:r>
      <w:r>
        <w:t xml:space="preserve">, </w:t>
      </w:r>
      <w:r w:rsidRPr="00F84FCD">
        <w:rPr>
          <w:i/>
        </w:rPr>
        <w:t>31</w:t>
      </w:r>
      <w:r>
        <w:t>(3)</w:t>
      </w:r>
      <w:r w:rsidR="00B64232">
        <w:t xml:space="preserve">, </w:t>
      </w:r>
      <w:r>
        <w:t>498-516</w:t>
      </w:r>
      <w:r w:rsidR="00B64232">
        <w:t xml:space="preserve">. </w:t>
      </w:r>
    </w:p>
    <w:p w14:paraId="25009E9D" w14:textId="77777777" w:rsidR="0075556E" w:rsidRPr="0045440B" w:rsidRDefault="0075556E" w:rsidP="005131C0">
      <w:pPr>
        <w:spacing w:line="360" w:lineRule="auto"/>
        <w:ind w:left="720" w:hanging="720"/>
        <w:jc w:val="both"/>
      </w:pPr>
      <w:r w:rsidRPr="00FA2618">
        <w:rPr>
          <w:lang w:val="es-ES"/>
        </w:rPr>
        <w:t xml:space="preserve">Gupta, R., &amp; Modise, M. P. (2013). </w:t>
      </w:r>
      <w:r w:rsidRPr="0045440B">
        <w:t xml:space="preserve">Does the source of oil price shocks matter for South African stock returns? A structural VAR </w:t>
      </w:r>
      <w:proofErr w:type="gramStart"/>
      <w:r w:rsidRPr="0045440B">
        <w:t>approach</w:t>
      </w:r>
      <w:proofErr w:type="gramEnd"/>
      <w:r w:rsidRPr="0045440B">
        <w:t>. </w:t>
      </w:r>
      <w:r w:rsidRPr="0045440B">
        <w:rPr>
          <w:i/>
          <w:iCs/>
        </w:rPr>
        <w:t>Energy Economics</w:t>
      </w:r>
      <w:r w:rsidRPr="0045440B">
        <w:t>, </w:t>
      </w:r>
      <w:r w:rsidRPr="0045440B">
        <w:rPr>
          <w:i/>
          <w:iCs/>
        </w:rPr>
        <w:t>40</w:t>
      </w:r>
      <w:r w:rsidRPr="0045440B">
        <w:t>, 825-831.</w:t>
      </w:r>
    </w:p>
    <w:p w14:paraId="23D1A4EF" w14:textId="77777777" w:rsidR="00D332E1" w:rsidRPr="0045440B" w:rsidRDefault="00D332E1" w:rsidP="00E22019">
      <w:pPr>
        <w:spacing w:line="360" w:lineRule="auto"/>
        <w:ind w:left="720" w:hanging="720"/>
        <w:jc w:val="both"/>
      </w:pPr>
      <w:r w:rsidRPr="0045440B">
        <w:t xml:space="preserve">Hamilton, J. D. (1983). Oil and the macroeconomy since World War II. </w:t>
      </w:r>
      <w:r w:rsidRPr="0045440B">
        <w:rPr>
          <w:i/>
        </w:rPr>
        <w:t>Journal of political economy</w:t>
      </w:r>
      <w:r w:rsidRPr="0045440B">
        <w:t xml:space="preserve">, </w:t>
      </w:r>
      <w:r w:rsidRPr="0045440B">
        <w:rPr>
          <w:i/>
        </w:rPr>
        <w:t>91</w:t>
      </w:r>
      <w:r w:rsidRPr="0045440B">
        <w:t>(2), 228-248.</w:t>
      </w:r>
    </w:p>
    <w:p w14:paraId="73E3B247" w14:textId="77777777" w:rsidR="00741304" w:rsidRPr="0045440B" w:rsidRDefault="00741304" w:rsidP="00741304">
      <w:pPr>
        <w:spacing w:line="360" w:lineRule="auto"/>
        <w:ind w:left="720" w:hanging="720"/>
        <w:jc w:val="both"/>
      </w:pPr>
      <w:r w:rsidRPr="0045440B">
        <w:t xml:space="preserve">Hamilton, J. D. (2009a). Causes and Consequences of the Oil Shock of 2007–08. Brookings Papers on Economic Activity, </w:t>
      </w:r>
      <w:r w:rsidRPr="0045440B">
        <w:rPr>
          <w:i/>
        </w:rPr>
        <w:t>40</w:t>
      </w:r>
      <w:r w:rsidRPr="0045440B">
        <w:t>(1), 215–261.</w:t>
      </w:r>
    </w:p>
    <w:p w14:paraId="013B3220" w14:textId="78D0446C" w:rsidR="00741304" w:rsidRDefault="00741304" w:rsidP="00741304">
      <w:pPr>
        <w:spacing w:line="360" w:lineRule="auto"/>
        <w:ind w:left="720" w:hanging="720"/>
        <w:jc w:val="both"/>
      </w:pPr>
      <w:r w:rsidRPr="0045440B">
        <w:t xml:space="preserve">Hamilton, J. D. (2009b). Understanding Crude Oil Prices. </w:t>
      </w:r>
      <w:r w:rsidRPr="0045440B">
        <w:rPr>
          <w:i/>
        </w:rPr>
        <w:t>Energy Journal</w:t>
      </w:r>
      <w:r w:rsidRPr="0045440B">
        <w:t xml:space="preserve">, </w:t>
      </w:r>
      <w:r w:rsidRPr="0045440B">
        <w:rPr>
          <w:i/>
        </w:rPr>
        <w:t>30</w:t>
      </w:r>
      <w:r w:rsidRPr="0045440B">
        <w:t xml:space="preserve">(2), 179–206. </w:t>
      </w:r>
    </w:p>
    <w:p w14:paraId="68DDDE7D" w14:textId="17071758" w:rsidR="001D26E9" w:rsidRDefault="001D26E9" w:rsidP="00741304">
      <w:pPr>
        <w:spacing w:line="360" w:lineRule="auto"/>
        <w:ind w:left="720" w:hanging="720"/>
        <w:jc w:val="both"/>
      </w:pPr>
      <w:r w:rsidRPr="001D26E9">
        <w:t xml:space="preserve">Hartmann, P., </w:t>
      </w:r>
      <w:proofErr w:type="spellStart"/>
      <w:r w:rsidRPr="001D26E9">
        <w:t>Maddaloni</w:t>
      </w:r>
      <w:proofErr w:type="spellEnd"/>
      <w:r w:rsidRPr="001D26E9">
        <w:t xml:space="preserve">, A., &amp; </w:t>
      </w:r>
      <w:proofErr w:type="spellStart"/>
      <w:r w:rsidRPr="001D26E9">
        <w:t>Manganelli</w:t>
      </w:r>
      <w:proofErr w:type="spellEnd"/>
      <w:r w:rsidRPr="001D26E9">
        <w:t>, S. (2003). The Euro</w:t>
      </w:r>
      <w:r w:rsidRPr="001D26E9">
        <w:rPr>
          <w:rFonts w:ascii="Cambria Math" w:hAnsi="Cambria Math" w:cs="Cambria Math"/>
        </w:rPr>
        <w:t>‐</w:t>
      </w:r>
      <w:r w:rsidRPr="001D26E9">
        <w:t xml:space="preserve">area Financial System: Structure, Integration, and Policy Initiatives. </w:t>
      </w:r>
      <w:r w:rsidRPr="001D26E9">
        <w:rPr>
          <w:i/>
        </w:rPr>
        <w:t>Oxford Review of Economic Policy</w:t>
      </w:r>
      <w:r w:rsidRPr="001D26E9">
        <w:t xml:space="preserve">, </w:t>
      </w:r>
      <w:r w:rsidRPr="001D26E9">
        <w:rPr>
          <w:i/>
        </w:rPr>
        <w:t>19</w:t>
      </w:r>
      <w:r w:rsidRPr="001D26E9">
        <w:t>(1), 180-213.</w:t>
      </w:r>
    </w:p>
    <w:p w14:paraId="0AD094B2" w14:textId="705B58E4" w:rsidR="002E1B30" w:rsidRDefault="002E1B30" w:rsidP="00741304">
      <w:pPr>
        <w:spacing w:line="360" w:lineRule="auto"/>
        <w:ind w:left="720" w:hanging="720"/>
        <w:jc w:val="both"/>
      </w:pPr>
      <w:r w:rsidRPr="002E1B30">
        <w:t>Husted, L. F., Rogers, J. H., &amp; Sun, B. (2016</w:t>
      </w:r>
      <w:r w:rsidR="005F585A">
        <w:t>b</w:t>
      </w:r>
      <w:r w:rsidRPr="002E1B30">
        <w:t>). </w:t>
      </w:r>
      <w:r w:rsidRPr="002E1B30">
        <w:rPr>
          <w:i/>
          <w:iCs/>
        </w:rPr>
        <w:t>Measuring Cross Country Monetary Policy Uncertainty</w:t>
      </w:r>
      <w:r w:rsidRPr="002E1B30">
        <w:t> (No. 2016-11-23). Board of Governors of the Federal Reserve System (US).</w:t>
      </w:r>
    </w:p>
    <w:p w14:paraId="3D4D7D72" w14:textId="66D1E8F0" w:rsidR="00C56978" w:rsidRDefault="00C56978" w:rsidP="00741304">
      <w:pPr>
        <w:spacing w:line="360" w:lineRule="auto"/>
        <w:ind w:left="720" w:hanging="720"/>
        <w:jc w:val="both"/>
      </w:pPr>
      <w:r w:rsidRPr="00C56978">
        <w:t>International Monetary Fund (2016). World Economic Outlook: Too Slow for Too Long. Washington, April.</w:t>
      </w:r>
    </w:p>
    <w:p w14:paraId="0AF95587" w14:textId="77777777" w:rsidR="009511A2" w:rsidRPr="0045440B" w:rsidRDefault="009511A2" w:rsidP="009511A2">
      <w:pPr>
        <w:spacing w:line="360" w:lineRule="auto"/>
        <w:ind w:left="720" w:hanging="720"/>
        <w:jc w:val="both"/>
      </w:pPr>
      <w:r w:rsidRPr="0045440B">
        <w:t>Jones, C. M., &amp; Kaul, G. (1996). Oil and the stock markets. </w:t>
      </w:r>
      <w:r w:rsidRPr="0045440B">
        <w:rPr>
          <w:i/>
          <w:iCs/>
        </w:rPr>
        <w:t>The Journal of Finance</w:t>
      </w:r>
      <w:r w:rsidRPr="0045440B">
        <w:t>, </w:t>
      </w:r>
      <w:r w:rsidRPr="0045440B">
        <w:rPr>
          <w:i/>
          <w:iCs/>
        </w:rPr>
        <w:t>51</w:t>
      </w:r>
      <w:r w:rsidRPr="0045440B">
        <w:t>(2), 463-491.</w:t>
      </w:r>
    </w:p>
    <w:p w14:paraId="1A52CE9F" w14:textId="77777777" w:rsidR="00AB27DB" w:rsidRDefault="00AB27DB" w:rsidP="00741304">
      <w:pPr>
        <w:spacing w:line="360" w:lineRule="auto"/>
        <w:ind w:left="720" w:hanging="720"/>
        <w:jc w:val="both"/>
      </w:pPr>
      <w:r w:rsidRPr="0045440B">
        <w:t xml:space="preserve">Kang, W., de </w:t>
      </w:r>
      <w:proofErr w:type="spellStart"/>
      <w:r w:rsidRPr="0045440B">
        <w:t>Gracia</w:t>
      </w:r>
      <w:proofErr w:type="spellEnd"/>
      <w:r w:rsidRPr="0045440B">
        <w:t xml:space="preserve">, F. P., &amp; </w:t>
      </w:r>
      <w:proofErr w:type="spellStart"/>
      <w:r w:rsidRPr="0045440B">
        <w:t>Ratti</w:t>
      </w:r>
      <w:proofErr w:type="spellEnd"/>
      <w:r w:rsidRPr="0045440B">
        <w:t xml:space="preserve">, R. A. (2017). Oil price shocks, policy uncertainty, and stock returns of oil and gas corporations. </w:t>
      </w:r>
      <w:r w:rsidRPr="0045440B">
        <w:rPr>
          <w:i/>
        </w:rPr>
        <w:t>Journal of International Money and Finance</w:t>
      </w:r>
      <w:r w:rsidRPr="0045440B">
        <w:t xml:space="preserve">, </w:t>
      </w:r>
      <w:r w:rsidRPr="0045440B">
        <w:rPr>
          <w:i/>
        </w:rPr>
        <w:t>70</w:t>
      </w:r>
      <w:r w:rsidRPr="0045440B">
        <w:t>, 344-359.</w:t>
      </w:r>
    </w:p>
    <w:p w14:paraId="4045FA35" w14:textId="6CF9B0BD" w:rsidR="000415EB" w:rsidRDefault="000415EB" w:rsidP="000415EB">
      <w:pPr>
        <w:spacing w:line="360" w:lineRule="auto"/>
        <w:ind w:left="851" w:hanging="851"/>
        <w:jc w:val="both"/>
      </w:pPr>
      <w:r w:rsidRPr="0036468A">
        <w:lastRenderedPageBreak/>
        <w:t xml:space="preserve">Kang, W., </w:t>
      </w:r>
      <w:proofErr w:type="spellStart"/>
      <w:r w:rsidRPr="0036468A">
        <w:t>Ratti</w:t>
      </w:r>
      <w:proofErr w:type="spellEnd"/>
      <w:r w:rsidRPr="0036468A">
        <w:t>, R. A., &amp; Yoon, K. H. (2015). The impact of oil price shocks on the stock market return and volatility relationship. </w:t>
      </w:r>
      <w:r w:rsidRPr="0036468A">
        <w:rPr>
          <w:i/>
          <w:iCs/>
        </w:rPr>
        <w:t>Journal of International Financial Markets, Institutions and Money</w:t>
      </w:r>
      <w:r w:rsidRPr="0036468A">
        <w:t>, </w:t>
      </w:r>
      <w:r w:rsidRPr="0036468A">
        <w:rPr>
          <w:i/>
          <w:iCs/>
        </w:rPr>
        <w:t>34</w:t>
      </w:r>
      <w:r w:rsidRPr="0036468A">
        <w:t>, 41-54.</w:t>
      </w:r>
    </w:p>
    <w:p w14:paraId="41FE2F3B" w14:textId="30D730F5" w:rsidR="00E0292E" w:rsidRPr="0045440B" w:rsidRDefault="00E0292E" w:rsidP="00E0292E">
      <w:pPr>
        <w:spacing w:line="360" w:lineRule="auto"/>
        <w:ind w:left="851" w:hanging="851"/>
        <w:jc w:val="both"/>
      </w:pPr>
      <w:proofErr w:type="spellStart"/>
      <w:r w:rsidRPr="00E0292E">
        <w:t>KfW</w:t>
      </w:r>
      <w:proofErr w:type="spellEnd"/>
      <w:r w:rsidRPr="00E0292E">
        <w:t xml:space="preserve"> (2017)</w:t>
      </w:r>
      <w:r>
        <w:t xml:space="preserve">. </w:t>
      </w:r>
      <w:r w:rsidRPr="00E0292E">
        <w:t>Oil prices and bond yields</w:t>
      </w:r>
      <w:r w:rsidR="00CE061B">
        <w:t xml:space="preserve">, </w:t>
      </w:r>
      <w:r w:rsidRPr="00E0292E">
        <w:t xml:space="preserve">hand-in-hand again, by Sebastian </w:t>
      </w:r>
      <w:proofErr w:type="spellStart"/>
      <w:r w:rsidRPr="00E0292E">
        <w:t>Wanke</w:t>
      </w:r>
      <w:proofErr w:type="spellEnd"/>
      <w:r w:rsidRPr="00E0292E">
        <w:t>, July27</w:t>
      </w:r>
      <w:proofErr w:type="gramStart"/>
      <w:r w:rsidRPr="00E0292E">
        <w:rPr>
          <w:vertAlign w:val="superscript"/>
        </w:rPr>
        <w:t>th</w:t>
      </w:r>
      <w:r>
        <w:t>,</w:t>
      </w:r>
      <w:r w:rsidRPr="00662819">
        <w:t>https://www.kfw.de/PDF/DownloadCenter/Konzernthemen/Research/PDF-</w:t>
      </w:r>
      <w:r w:rsidRPr="00E0292E">
        <w:t>Dokumente-Volkswirtschaft-Kompakt/One-Pager-2017-EN/VK-No.-140-July-2017-Oil-prices-and-bond-yields.pdf</w:t>
      </w:r>
      <w:proofErr w:type="gramEnd"/>
    </w:p>
    <w:p w14:paraId="75CD748A" w14:textId="77777777" w:rsidR="001752A3" w:rsidRDefault="001752A3" w:rsidP="00E22019">
      <w:pPr>
        <w:spacing w:line="360" w:lineRule="auto"/>
        <w:ind w:left="720" w:hanging="720"/>
        <w:jc w:val="both"/>
      </w:pPr>
      <w:r w:rsidRPr="0045440B">
        <w:t xml:space="preserve">Kilian, L. (2009). Not all oil price shocks are alike: Disentangling demand and supply shocks in the crude oil market. </w:t>
      </w:r>
      <w:r w:rsidRPr="0045440B">
        <w:rPr>
          <w:i/>
        </w:rPr>
        <w:t>The American Economic Review</w:t>
      </w:r>
      <w:r w:rsidRPr="0045440B">
        <w:t xml:space="preserve">, </w:t>
      </w:r>
      <w:r w:rsidRPr="0045440B">
        <w:rPr>
          <w:i/>
        </w:rPr>
        <w:t>99</w:t>
      </w:r>
      <w:r w:rsidRPr="0045440B">
        <w:t>(3), 1053-1069.</w:t>
      </w:r>
    </w:p>
    <w:p w14:paraId="39F0D6E5" w14:textId="4DE24946" w:rsidR="006F4056" w:rsidRDefault="006F4056" w:rsidP="006F4056">
      <w:pPr>
        <w:spacing w:line="360" w:lineRule="auto"/>
        <w:ind w:left="851" w:hanging="851"/>
        <w:jc w:val="both"/>
      </w:pPr>
      <w:r w:rsidRPr="007C5220">
        <w:t xml:space="preserve">Kilian, L., &amp; Lewis, L. T. (2011). Does the Fed respond to oil price </w:t>
      </w:r>
      <w:proofErr w:type="gramStart"/>
      <w:r w:rsidRPr="007C5220">
        <w:t>shocks?.</w:t>
      </w:r>
      <w:proofErr w:type="gramEnd"/>
      <w:r w:rsidR="008965B6">
        <w:t xml:space="preserve"> </w:t>
      </w:r>
      <w:r w:rsidRPr="007C5220">
        <w:rPr>
          <w:i/>
          <w:iCs/>
        </w:rPr>
        <w:t>The Economic Journal</w:t>
      </w:r>
      <w:r w:rsidRPr="007C5220">
        <w:t>, </w:t>
      </w:r>
      <w:r w:rsidRPr="007C5220">
        <w:rPr>
          <w:i/>
          <w:iCs/>
        </w:rPr>
        <w:t>121</w:t>
      </w:r>
      <w:r w:rsidRPr="007C5220">
        <w:t>(555), 1047-1072.</w:t>
      </w:r>
    </w:p>
    <w:p w14:paraId="0FC44A53" w14:textId="33FBB7D6" w:rsidR="006F4056" w:rsidRPr="006F4056" w:rsidRDefault="006F4056" w:rsidP="006F4056">
      <w:pPr>
        <w:spacing w:line="360" w:lineRule="auto"/>
        <w:ind w:left="851" w:hanging="851"/>
        <w:jc w:val="both"/>
        <w:rPr>
          <w:rFonts w:eastAsia="MS Mincho"/>
        </w:rPr>
      </w:pPr>
      <w:r w:rsidRPr="00A60D0C">
        <w:rPr>
          <w:rFonts w:eastAsia="MS Mincho"/>
        </w:rPr>
        <w:t xml:space="preserve">Kilian, L., &amp; Murphy, D. P. (2014). The role of inventories and speculative trading in the global market for crude oil. </w:t>
      </w:r>
      <w:r w:rsidRPr="00A60D0C">
        <w:rPr>
          <w:rFonts w:eastAsia="MS Mincho"/>
          <w:i/>
        </w:rPr>
        <w:t>Journal of Applied Econometrics</w:t>
      </w:r>
      <w:r w:rsidRPr="00A60D0C">
        <w:rPr>
          <w:rFonts w:eastAsia="MS Mincho"/>
        </w:rPr>
        <w:t>.</w:t>
      </w:r>
    </w:p>
    <w:p w14:paraId="65FCB69C" w14:textId="77777777" w:rsidR="001752A3" w:rsidRPr="0045440B" w:rsidRDefault="001752A3" w:rsidP="00E22019">
      <w:pPr>
        <w:spacing w:line="360" w:lineRule="auto"/>
        <w:ind w:left="720" w:hanging="720"/>
        <w:jc w:val="both"/>
      </w:pPr>
      <w:r w:rsidRPr="0045440B">
        <w:t>Kilian, J &amp; Park, C. (2009). The Impact of Oil Price Shocks on the U.S. Stock Market,</w:t>
      </w:r>
      <w:r w:rsidRPr="0045440B">
        <w:rPr>
          <w:i/>
        </w:rPr>
        <w:t xml:space="preserve"> International Economic Review</w:t>
      </w:r>
      <w:r w:rsidRPr="0045440B">
        <w:t xml:space="preserve">, </w:t>
      </w:r>
      <w:r w:rsidRPr="0045440B">
        <w:rPr>
          <w:i/>
        </w:rPr>
        <w:t>50</w:t>
      </w:r>
      <w:r w:rsidRPr="0045440B">
        <w:t>(4), 1267-1287.</w:t>
      </w:r>
    </w:p>
    <w:p w14:paraId="10F1AA96" w14:textId="77777777" w:rsidR="009429D9" w:rsidRPr="0045440B" w:rsidRDefault="009429D9" w:rsidP="003B5705">
      <w:pPr>
        <w:spacing w:line="360" w:lineRule="auto"/>
        <w:ind w:left="851" w:hanging="851"/>
        <w:jc w:val="both"/>
        <w:rPr>
          <w:rFonts w:eastAsia="MS Mincho"/>
        </w:rPr>
      </w:pPr>
      <w:r w:rsidRPr="009429D9">
        <w:rPr>
          <w:rFonts w:eastAsia="MS Mincho"/>
        </w:rPr>
        <w:t xml:space="preserve">Lee, C. C., Lee, C. C., &amp; Ning, S. L. (2017). Dynamic relationship of oil price shocks and country risks. </w:t>
      </w:r>
      <w:r w:rsidRPr="009429D9">
        <w:rPr>
          <w:rFonts w:eastAsia="MS Mincho"/>
          <w:i/>
        </w:rPr>
        <w:t>Energy Economics</w:t>
      </w:r>
      <w:r w:rsidRPr="009429D9">
        <w:rPr>
          <w:rFonts w:eastAsia="MS Mincho"/>
        </w:rPr>
        <w:t xml:space="preserve">, </w:t>
      </w:r>
      <w:r w:rsidRPr="009429D9">
        <w:rPr>
          <w:rFonts w:eastAsia="MS Mincho"/>
          <w:i/>
        </w:rPr>
        <w:t>66</w:t>
      </w:r>
      <w:r w:rsidRPr="009429D9">
        <w:rPr>
          <w:rFonts w:eastAsia="MS Mincho"/>
        </w:rPr>
        <w:t>, 571-581.</w:t>
      </w:r>
    </w:p>
    <w:p w14:paraId="05B25A52" w14:textId="77777777" w:rsidR="00671C43" w:rsidRPr="0045440B" w:rsidRDefault="00671C43" w:rsidP="00E22019">
      <w:pPr>
        <w:spacing w:line="360" w:lineRule="auto"/>
        <w:ind w:left="720" w:hanging="720"/>
        <w:jc w:val="both"/>
      </w:pPr>
      <w:proofErr w:type="spellStart"/>
      <w:r w:rsidRPr="0045440B">
        <w:t>Maltritz</w:t>
      </w:r>
      <w:proofErr w:type="spellEnd"/>
      <w:r w:rsidRPr="0045440B">
        <w:t xml:space="preserve">, D. (2012). Determinants of sovereign yield spreads in the Eurozone: A Bayesian approach. </w:t>
      </w:r>
      <w:r w:rsidRPr="0045440B">
        <w:rPr>
          <w:i/>
        </w:rPr>
        <w:t>Journal of International Money and Finance</w:t>
      </w:r>
      <w:r w:rsidRPr="0045440B">
        <w:t xml:space="preserve">, </w:t>
      </w:r>
      <w:r w:rsidRPr="0045440B">
        <w:rPr>
          <w:i/>
        </w:rPr>
        <w:t>31</w:t>
      </w:r>
      <w:r w:rsidRPr="0045440B">
        <w:t>(3), 657-672.</w:t>
      </w:r>
    </w:p>
    <w:p w14:paraId="263FA467" w14:textId="77777777" w:rsidR="00C33F6B" w:rsidRDefault="00C33F6B" w:rsidP="00E22019">
      <w:pPr>
        <w:spacing w:line="360" w:lineRule="auto"/>
        <w:ind w:left="720" w:hanging="720"/>
        <w:jc w:val="both"/>
      </w:pPr>
      <w:r w:rsidRPr="0045440B">
        <w:t xml:space="preserve">Miller, J. I., &amp; </w:t>
      </w:r>
      <w:proofErr w:type="spellStart"/>
      <w:r w:rsidRPr="0045440B">
        <w:t>Ratti</w:t>
      </w:r>
      <w:proofErr w:type="spellEnd"/>
      <w:r w:rsidRPr="0045440B">
        <w:t xml:space="preserve">, R. A. (2009). Crude oil and stock markets: Stability, instability, and bubbles. </w:t>
      </w:r>
      <w:r w:rsidRPr="0045440B">
        <w:rPr>
          <w:i/>
        </w:rPr>
        <w:t>Energy Economics</w:t>
      </w:r>
      <w:r w:rsidRPr="0045440B">
        <w:t xml:space="preserve">, </w:t>
      </w:r>
      <w:r w:rsidRPr="0045440B">
        <w:rPr>
          <w:i/>
        </w:rPr>
        <w:t>31</w:t>
      </w:r>
      <w:r w:rsidRPr="0045440B">
        <w:t>(4), 559-568.</w:t>
      </w:r>
    </w:p>
    <w:p w14:paraId="7292C820" w14:textId="77777777" w:rsidR="00941044" w:rsidRDefault="00941044" w:rsidP="00E22019">
      <w:pPr>
        <w:spacing w:line="360" w:lineRule="auto"/>
        <w:ind w:left="720" w:hanging="720"/>
        <w:jc w:val="both"/>
      </w:pPr>
      <w:r w:rsidRPr="00941044">
        <w:t xml:space="preserve">Mohanty, S. K., &amp; </w:t>
      </w:r>
      <w:proofErr w:type="spellStart"/>
      <w:r w:rsidRPr="00941044">
        <w:t>Nandha</w:t>
      </w:r>
      <w:proofErr w:type="spellEnd"/>
      <w:r w:rsidRPr="00941044">
        <w:t xml:space="preserve">, M. (2011). Oil risk exposure: the case of the US oil and gas sector. </w:t>
      </w:r>
      <w:r w:rsidRPr="00941044">
        <w:rPr>
          <w:i/>
        </w:rPr>
        <w:t>Financial review</w:t>
      </w:r>
      <w:r w:rsidRPr="00941044">
        <w:t xml:space="preserve">, </w:t>
      </w:r>
      <w:r w:rsidRPr="00941044">
        <w:rPr>
          <w:i/>
        </w:rPr>
        <w:t>46</w:t>
      </w:r>
      <w:r w:rsidRPr="00941044">
        <w:t>(1), 165-191.</w:t>
      </w:r>
    </w:p>
    <w:p w14:paraId="537EDCBB" w14:textId="15A941A3" w:rsidR="00166BB7" w:rsidRPr="0045440B" w:rsidRDefault="00166BB7" w:rsidP="00FB226B">
      <w:pPr>
        <w:spacing w:line="360" w:lineRule="auto"/>
        <w:ind w:left="720" w:hanging="720"/>
        <w:jc w:val="both"/>
      </w:pPr>
      <w:r w:rsidRPr="00166BB7">
        <w:t>Office for Budget Responsibility. Oil prices and the economy, March 2015. http://obr.uk/box/oil-prices-and-the-economy/</w:t>
      </w:r>
    </w:p>
    <w:p w14:paraId="53FB44DC" w14:textId="79A080D2" w:rsidR="00294A67" w:rsidRPr="00294A67" w:rsidRDefault="00294A67" w:rsidP="00294A67">
      <w:pPr>
        <w:spacing w:line="360" w:lineRule="auto"/>
        <w:ind w:left="720" w:hanging="720"/>
        <w:jc w:val="both"/>
      </w:pPr>
      <w:r>
        <w:t xml:space="preserve">Oxford Economics (2014). </w:t>
      </w:r>
      <w:r w:rsidRPr="00294A67">
        <w:t>UK economy may be boosted by falling oil prices</w:t>
      </w:r>
      <w:r>
        <w:t xml:space="preserve">, by </w:t>
      </w:r>
      <w:r w:rsidRPr="00294A67">
        <w:t>John Bulford</w:t>
      </w:r>
      <w:r>
        <w:t>, December 10</w:t>
      </w:r>
      <w:r w:rsidRPr="007626E0">
        <w:rPr>
          <w:vertAlign w:val="superscript"/>
        </w:rPr>
        <w:t>th</w:t>
      </w:r>
      <w:r>
        <w:t xml:space="preserve">, </w:t>
      </w:r>
      <w:r w:rsidRPr="00294A67">
        <w:t>https://www.vistapartners.co.uk/uk-economy-may-be-boosted-by-falling-oil-prices/</w:t>
      </w:r>
    </w:p>
    <w:p w14:paraId="13D8791F" w14:textId="61DF74D4" w:rsidR="000F0EB9" w:rsidRDefault="000F0EB9" w:rsidP="00FB226B">
      <w:pPr>
        <w:spacing w:line="360" w:lineRule="auto"/>
        <w:ind w:left="720" w:hanging="720"/>
        <w:jc w:val="both"/>
      </w:pPr>
      <w:r w:rsidRPr="000F0EB9">
        <w:t xml:space="preserve">Pagano, M., &amp; Von </w:t>
      </w:r>
      <w:proofErr w:type="spellStart"/>
      <w:r w:rsidRPr="000F0EB9">
        <w:t>Thadden</w:t>
      </w:r>
      <w:proofErr w:type="spellEnd"/>
      <w:r w:rsidRPr="000F0EB9">
        <w:t xml:space="preserve">, E. L. (2004). The European bond markets under EMU. </w:t>
      </w:r>
      <w:r w:rsidRPr="001D6B2A">
        <w:rPr>
          <w:i/>
        </w:rPr>
        <w:t>Oxford review of economic policy</w:t>
      </w:r>
      <w:r w:rsidRPr="000F0EB9">
        <w:t xml:space="preserve">, </w:t>
      </w:r>
      <w:r w:rsidRPr="001D6B2A">
        <w:rPr>
          <w:i/>
        </w:rPr>
        <w:t>20</w:t>
      </w:r>
      <w:r w:rsidRPr="000F0EB9">
        <w:t>(4), 531-554.</w:t>
      </w:r>
    </w:p>
    <w:p w14:paraId="7B3B7386" w14:textId="586A1774" w:rsidR="00472619" w:rsidRDefault="00472619" w:rsidP="00472619">
      <w:pPr>
        <w:spacing w:line="360" w:lineRule="auto"/>
        <w:ind w:left="720" w:hanging="720"/>
        <w:jc w:val="both"/>
      </w:pPr>
      <w:r w:rsidRPr="00472619">
        <w:t>Pastor, L., &amp; Veronesi, P. (2012). Uncertainty about government policy and stock prices. </w:t>
      </w:r>
      <w:r w:rsidRPr="00472619">
        <w:rPr>
          <w:i/>
          <w:iCs/>
        </w:rPr>
        <w:t>The journal of Finance</w:t>
      </w:r>
      <w:r w:rsidRPr="00472619">
        <w:t>, </w:t>
      </w:r>
      <w:r w:rsidRPr="00472619">
        <w:rPr>
          <w:i/>
          <w:iCs/>
        </w:rPr>
        <w:t>67</w:t>
      </w:r>
      <w:r w:rsidRPr="00472619">
        <w:t>(4), 1219-1264.</w:t>
      </w:r>
    </w:p>
    <w:p w14:paraId="7AB477F1" w14:textId="6EF6CAFD" w:rsidR="00AF1195" w:rsidRDefault="00AF1195" w:rsidP="00256AA5">
      <w:pPr>
        <w:spacing w:line="360" w:lineRule="auto"/>
        <w:ind w:left="720" w:hanging="720"/>
        <w:jc w:val="both"/>
      </w:pPr>
      <w:r w:rsidRPr="00AF1195">
        <w:lastRenderedPageBreak/>
        <w:t xml:space="preserve">Phillips, P.C., &amp; </w:t>
      </w:r>
      <w:proofErr w:type="spellStart"/>
      <w:r w:rsidRPr="00AF1195">
        <w:t>Perron</w:t>
      </w:r>
      <w:proofErr w:type="spellEnd"/>
      <w:r w:rsidRPr="00AF1195">
        <w:t xml:space="preserve">, P. (1988). Testing for a unit root in time series regression. </w:t>
      </w:r>
      <w:proofErr w:type="spellStart"/>
      <w:r w:rsidRPr="00AF1195">
        <w:rPr>
          <w:i/>
        </w:rPr>
        <w:t>Biometrika</w:t>
      </w:r>
      <w:proofErr w:type="spellEnd"/>
      <w:r w:rsidRPr="00AF1195">
        <w:t xml:space="preserve">, </w:t>
      </w:r>
      <w:r w:rsidRPr="00AF1195">
        <w:rPr>
          <w:i/>
        </w:rPr>
        <w:t>75</w:t>
      </w:r>
      <w:r w:rsidRPr="00AF1195">
        <w:t>(2), 335−346.</w:t>
      </w:r>
    </w:p>
    <w:p w14:paraId="18A4CBCC" w14:textId="0AEA9F14" w:rsidR="00AB12C3" w:rsidRDefault="00AB12C3" w:rsidP="009511A2">
      <w:pPr>
        <w:spacing w:line="360" w:lineRule="auto"/>
        <w:ind w:left="720" w:hanging="720"/>
        <w:jc w:val="both"/>
      </w:pPr>
      <w:r>
        <w:t xml:space="preserve">Reuters (2019). </w:t>
      </w:r>
      <w:r w:rsidRPr="00AB12C3">
        <w:t>Oil price rise pushes up euro zone debt yields</w:t>
      </w:r>
      <w:r>
        <w:t xml:space="preserve">. By </w:t>
      </w:r>
      <w:proofErr w:type="spellStart"/>
      <w:r w:rsidRPr="00AB12C3">
        <w:t>Dhara</w:t>
      </w:r>
      <w:proofErr w:type="spellEnd"/>
      <w:r w:rsidRPr="00AB12C3">
        <w:t xml:space="preserve"> Ranasinghe</w:t>
      </w:r>
      <w:r>
        <w:t>. April, 23</w:t>
      </w:r>
      <w:r w:rsidRPr="007402FF">
        <w:rPr>
          <w:vertAlign w:val="superscript"/>
        </w:rPr>
        <w:t>rd</w:t>
      </w:r>
      <w:r>
        <w:t xml:space="preserve">. </w:t>
      </w:r>
      <w:r w:rsidRPr="00AB12C3">
        <w:t>https://uk.reuters.com/article/eurozone-bonds/oil-price-rise-pushes-up-euro-zone-debt-yields-idUKL5N22515B</w:t>
      </w:r>
      <w:r>
        <w:t>.</w:t>
      </w:r>
    </w:p>
    <w:p w14:paraId="2185A52D" w14:textId="1D4AA728" w:rsidR="005B3571" w:rsidRDefault="005B3571" w:rsidP="00F66662">
      <w:pPr>
        <w:spacing w:line="360" w:lineRule="auto"/>
        <w:ind w:left="720" w:hanging="720"/>
        <w:jc w:val="both"/>
      </w:pPr>
      <w:proofErr w:type="spellStart"/>
      <w:r w:rsidRPr="0045440B">
        <w:t>Sadorsky</w:t>
      </w:r>
      <w:proofErr w:type="spellEnd"/>
      <w:r w:rsidRPr="0045440B">
        <w:t xml:space="preserve">, P. (2014). </w:t>
      </w:r>
      <w:proofErr w:type="spellStart"/>
      <w:r w:rsidRPr="0045440B">
        <w:t>Modeling</w:t>
      </w:r>
      <w:proofErr w:type="spellEnd"/>
      <w:r w:rsidRPr="0045440B">
        <w:t xml:space="preserve"> volatility and correlations between emerging market stock prices and the prices of copper, oil and wheat. </w:t>
      </w:r>
      <w:r w:rsidRPr="0045440B">
        <w:rPr>
          <w:i/>
          <w:iCs/>
        </w:rPr>
        <w:t>Energy Economics</w:t>
      </w:r>
      <w:r w:rsidRPr="0045440B">
        <w:t>, </w:t>
      </w:r>
      <w:r w:rsidRPr="0045440B">
        <w:rPr>
          <w:i/>
          <w:iCs/>
        </w:rPr>
        <w:t>43</w:t>
      </w:r>
      <w:r w:rsidRPr="0045440B">
        <w:t>, 72-81.</w:t>
      </w:r>
    </w:p>
    <w:p w14:paraId="53FB63E6" w14:textId="78C28991" w:rsidR="00EC4520" w:rsidRDefault="00EC4520" w:rsidP="00F66662">
      <w:pPr>
        <w:spacing w:line="360" w:lineRule="auto"/>
        <w:ind w:left="720" w:hanging="720"/>
        <w:jc w:val="both"/>
      </w:pPr>
      <w:r w:rsidRPr="00EC4520">
        <w:t>Segal, P. (2011). Oil price shocks and the macroeconomy. </w:t>
      </w:r>
      <w:r w:rsidRPr="00EC4520">
        <w:rPr>
          <w:i/>
          <w:iCs/>
        </w:rPr>
        <w:t>Oxford Review of Economic Policy</w:t>
      </w:r>
      <w:r w:rsidRPr="00EC4520">
        <w:t>, </w:t>
      </w:r>
      <w:r w:rsidRPr="00EC4520">
        <w:rPr>
          <w:i/>
          <w:iCs/>
        </w:rPr>
        <w:t>27</w:t>
      </w:r>
      <w:r w:rsidRPr="00EC4520">
        <w:t>(1), 169-185.</w:t>
      </w:r>
    </w:p>
    <w:p w14:paraId="1F1E807F" w14:textId="77777777" w:rsidR="009429D9" w:rsidRPr="0045440B" w:rsidRDefault="009429D9" w:rsidP="005B3571">
      <w:pPr>
        <w:spacing w:after="160" w:line="360" w:lineRule="auto"/>
        <w:ind w:left="720" w:hanging="720"/>
        <w:jc w:val="both"/>
      </w:pPr>
      <w:r w:rsidRPr="009429D9">
        <w:t xml:space="preserve">Shahzad, S. J. H., </w:t>
      </w:r>
      <w:proofErr w:type="spellStart"/>
      <w:r w:rsidRPr="009429D9">
        <w:t>Naifar</w:t>
      </w:r>
      <w:proofErr w:type="spellEnd"/>
      <w:r w:rsidRPr="009429D9">
        <w:t xml:space="preserve">, N., </w:t>
      </w:r>
      <w:proofErr w:type="spellStart"/>
      <w:r w:rsidRPr="009429D9">
        <w:t>Hammoudeh</w:t>
      </w:r>
      <w:proofErr w:type="spellEnd"/>
      <w:r w:rsidRPr="009429D9">
        <w:t xml:space="preserve">, S., &amp; </w:t>
      </w:r>
      <w:proofErr w:type="spellStart"/>
      <w:r w:rsidRPr="009429D9">
        <w:t>Roubaud</w:t>
      </w:r>
      <w:proofErr w:type="spellEnd"/>
      <w:r w:rsidRPr="009429D9">
        <w:t>, D. (2017). Directional predictability from oil market uncertainty to sovereign credit spreads of oil-exporting countries: Evidence from rolling windows and cross</w:t>
      </w:r>
      <w:r>
        <w:t>-</w:t>
      </w:r>
      <w:proofErr w:type="spellStart"/>
      <w:r w:rsidRPr="009429D9">
        <w:t>quantilogram</w:t>
      </w:r>
      <w:proofErr w:type="spellEnd"/>
      <w:r w:rsidRPr="009429D9">
        <w:t xml:space="preserve"> analysis. </w:t>
      </w:r>
      <w:r w:rsidRPr="009429D9">
        <w:rPr>
          <w:i/>
        </w:rPr>
        <w:t>Energy Economics</w:t>
      </w:r>
      <w:r w:rsidRPr="009429D9">
        <w:t xml:space="preserve">, </w:t>
      </w:r>
      <w:r w:rsidRPr="009429D9">
        <w:rPr>
          <w:i/>
        </w:rPr>
        <w:t>68</w:t>
      </w:r>
      <w:r w:rsidRPr="009429D9">
        <w:t>, 327-339.</w:t>
      </w:r>
    </w:p>
    <w:p w14:paraId="0E95E7F5" w14:textId="4A7DEAE3" w:rsidR="002A6C84" w:rsidRDefault="002A6C84" w:rsidP="002A6C84">
      <w:pPr>
        <w:spacing w:line="360" w:lineRule="auto"/>
        <w:ind w:left="720" w:hanging="720"/>
        <w:jc w:val="both"/>
      </w:pPr>
      <w:r w:rsidRPr="0045440B">
        <w:t xml:space="preserve">Tang, W., Wu, L., &amp; Zhang, Z. (2010). Oil price shocks and their short-and long-term effects on the Chinese economy. </w:t>
      </w:r>
      <w:r w:rsidRPr="0045440B">
        <w:rPr>
          <w:i/>
        </w:rPr>
        <w:t>Energy Economics</w:t>
      </w:r>
      <w:r w:rsidRPr="0045440B">
        <w:t xml:space="preserve">, </w:t>
      </w:r>
      <w:r w:rsidRPr="0045440B">
        <w:rPr>
          <w:i/>
        </w:rPr>
        <w:t>32</w:t>
      </w:r>
      <w:r w:rsidRPr="0045440B">
        <w:t>, S3-S14.</w:t>
      </w:r>
    </w:p>
    <w:p w14:paraId="2BED8CDE" w14:textId="02FB4438" w:rsidR="00EB497D" w:rsidRDefault="00EB497D" w:rsidP="002A6C84">
      <w:pPr>
        <w:spacing w:line="360" w:lineRule="auto"/>
        <w:ind w:left="720" w:hanging="720"/>
        <w:jc w:val="both"/>
      </w:pPr>
      <w:proofErr w:type="spellStart"/>
      <w:r w:rsidRPr="00EB497D">
        <w:t>Vrontisi</w:t>
      </w:r>
      <w:proofErr w:type="spellEnd"/>
      <w:r w:rsidRPr="00EB497D">
        <w:t xml:space="preserve">, Z., </w:t>
      </w:r>
      <w:proofErr w:type="spellStart"/>
      <w:r w:rsidRPr="00EB497D">
        <w:t>Kitous</w:t>
      </w:r>
      <w:proofErr w:type="spellEnd"/>
      <w:r w:rsidRPr="00EB497D">
        <w:t xml:space="preserve">, A., </w:t>
      </w:r>
      <w:proofErr w:type="spellStart"/>
      <w:r w:rsidRPr="00EB497D">
        <w:t>Saveyn</w:t>
      </w:r>
      <w:proofErr w:type="spellEnd"/>
      <w:r w:rsidRPr="00EB497D">
        <w:t xml:space="preserve">, B., &amp; </w:t>
      </w:r>
      <w:proofErr w:type="spellStart"/>
      <w:r w:rsidRPr="00EB497D">
        <w:t>Vandyck</w:t>
      </w:r>
      <w:proofErr w:type="spellEnd"/>
      <w:r w:rsidRPr="00EB497D">
        <w:t>, T. (2015). Impact of low oil prices on the EU economy (No. JRC98188). Joint Research Centre (Seville site).</w:t>
      </w:r>
    </w:p>
    <w:p w14:paraId="1F4DBAA2" w14:textId="554D488E" w:rsidR="00CE5257" w:rsidRDefault="00CE5257" w:rsidP="00CE5257">
      <w:pPr>
        <w:spacing w:line="360" w:lineRule="auto"/>
        <w:ind w:left="720" w:hanging="720"/>
        <w:jc w:val="both"/>
      </w:pPr>
      <w:proofErr w:type="spellStart"/>
      <w:r w:rsidRPr="00CE5257">
        <w:t>Xekalaki</w:t>
      </w:r>
      <w:proofErr w:type="spellEnd"/>
      <w:r w:rsidRPr="00CE5257">
        <w:t xml:space="preserve">, E., &amp; </w:t>
      </w:r>
      <w:proofErr w:type="spellStart"/>
      <w:r w:rsidRPr="00CE5257">
        <w:t>Degiannakis</w:t>
      </w:r>
      <w:proofErr w:type="spellEnd"/>
      <w:r w:rsidRPr="00CE5257">
        <w:t>, S. (2010). ARCH models for financial applications. John Wiley &amp; Sons.</w:t>
      </w:r>
    </w:p>
    <w:p w14:paraId="10E5598A" w14:textId="2EC88FF6" w:rsidR="00A30429" w:rsidRPr="0045440B" w:rsidRDefault="00A30429" w:rsidP="00CE5257">
      <w:pPr>
        <w:spacing w:line="360" w:lineRule="auto"/>
        <w:ind w:left="720" w:hanging="720"/>
        <w:jc w:val="both"/>
      </w:pPr>
      <w:r w:rsidRPr="00A30429">
        <w:t xml:space="preserve">Wang, J., &amp; </w:t>
      </w:r>
      <w:proofErr w:type="spellStart"/>
      <w:r w:rsidRPr="00A30429">
        <w:t>Ngene</w:t>
      </w:r>
      <w:proofErr w:type="spellEnd"/>
      <w:r w:rsidRPr="00A30429">
        <w:t xml:space="preserve">, G. (2017). Symmetric and asymmetric nonlinear causalities between oil prices and the US economic sectors. </w:t>
      </w:r>
      <w:r w:rsidRPr="0098405C">
        <w:rPr>
          <w:i/>
        </w:rPr>
        <w:t>Review of Quantitative Finance and Accounting</w:t>
      </w:r>
      <w:r w:rsidRPr="00A30429">
        <w:t>, 1-20.</w:t>
      </w:r>
    </w:p>
    <w:p w14:paraId="03FDADF9" w14:textId="77777777" w:rsidR="002A6C84" w:rsidRDefault="002A6C84" w:rsidP="002A6C84">
      <w:pPr>
        <w:spacing w:line="360" w:lineRule="auto"/>
        <w:ind w:left="720" w:hanging="720"/>
        <w:jc w:val="both"/>
      </w:pPr>
      <w:r w:rsidRPr="0045440B">
        <w:t xml:space="preserve">Wang, Y., Wu, C., &amp; Yang, L. (2013). Oil price shocks and stock market activities: Evidence from oil-importing and oil-exporting countries. </w:t>
      </w:r>
      <w:r w:rsidRPr="0045440B">
        <w:rPr>
          <w:i/>
        </w:rPr>
        <w:t>Journal of Comparative Economics</w:t>
      </w:r>
      <w:r w:rsidRPr="0045440B">
        <w:t xml:space="preserve">, </w:t>
      </w:r>
      <w:r w:rsidRPr="0045440B">
        <w:rPr>
          <w:i/>
        </w:rPr>
        <w:t>41</w:t>
      </w:r>
      <w:r w:rsidRPr="0045440B">
        <w:t>(4), 1220-1239.</w:t>
      </w:r>
    </w:p>
    <w:p w14:paraId="3607EA1F" w14:textId="77777777" w:rsidR="00FA3C6D" w:rsidRDefault="00FA3C6D" w:rsidP="002A6C84">
      <w:pPr>
        <w:spacing w:line="360" w:lineRule="auto"/>
        <w:ind w:left="720" w:hanging="720"/>
        <w:jc w:val="both"/>
      </w:pPr>
      <w:r w:rsidRPr="00FA3C6D">
        <w:t xml:space="preserve">Wegener, C., Basse, T., Kunze, F., &amp; von </w:t>
      </w:r>
      <w:proofErr w:type="spellStart"/>
      <w:r w:rsidRPr="00FA3C6D">
        <w:t>Mettenheim</w:t>
      </w:r>
      <w:proofErr w:type="spellEnd"/>
      <w:r w:rsidRPr="00FA3C6D">
        <w:t xml:space="preserve">, H. J. (2016). Oil prices and sovereign credit risk of oil producing countries: an empirical investigation. </w:t>
      </w:r>
      <w:r w:rsidRPr="00FA3C6D">
        <w:rPr>
          <w:i/>
        </w:rPr>
        <w:t>Quantitative Finance</w:t>
      </w:r>
      <w:r w:rsidRPr="00FA3C6D">
        <w:t xml:space="preserve">, </w:t>
      </w:r>
      <w:r w:rsidRPr="00FA3C6D">
        <w:rPr>
          <w:i/>
        </w:rPr>
        <w:t>16</w:t>
      </w:r>
      <w:r w:rsidRPr="00FA3C6D">
        <w:t>(12), 1961-1968.</w:t>
      </w:r>
    </w:p>
    <w:p w14:paraId="68AD77BC" w14:textId="77777777" w:rsidR="00E9661A" w:rsidRPr="00EA0080" w:rsidRDefault="00E9661A" w:rsidP="00E9661A">
      <w:pPr>
        <w:suppressAutoHyphens/>
        <w:spacing w:line="360" w:lineRule="auto"/>
        <w:jc w:val="both"/>
        <w:rPr>
          <w:color w:val="00B050"/>
        </w:rPr>
      </w:pPr>
    </w:p>
    <w:p w14:paraId="61D74448" w14:textId="77777777" w:rsidR="00EC5E50" w:rsidRDefault="00EC5E50" w:rsidP="00642A09">
      <w:pPr>
        <w:spacing w:line="360" w:lineRule="auto"/>
        <w:ind w:left="720" w:hanging="720"/>
        <w:jc w:val="both"/>
      </w:pPr>
    </w:p>
    <w:p w14:paraId="318F45D8" w14:textId="77777777" w:rsidR="00E03589" w:rsidRDefault="00E03589" w:rsidP="004F52A6">
      <w:pPr>
        <w:spacing w:line="360" w:lineRule="auto"/>
        <w:jc w:val="both"/>
      </w:pPr>
    </w:p>
    <w:p w14:paraId="30CF9224" w14:textId="77777777" w:rsidR="00CF2DBA" w:rsidRDefault="00CF2DBA" w:rsidP="004F52A6">
      <w:pPr>
        <w:spacing w:line="360" w:lineRule="auto"/>
        <w:jc w:val="both"/>
        <w:sectPr w:rsidR="00CF2DBA">
          <w:pgSz w:w="11906" w:h="16838"/>
          <w:pgMar w:top="1440" w:right="1800" w:bottom="1440" w:left="1800" w:header="720" w:footer="720" w:gutter="0"/>
          <w:cols w:space="720"/>
        </w:sectPr>
      </w:pPr>
    </w:p>
    <w:p w14:paraId="26B3E671" w14:textId="78831438" w:rsidR="00CF2DBA" w:rsidRPr="00CF2DBA" w:rsidRDefault="00CF2DBA" w:rsidP="00CF2DBA">
      <w:pPr>
        <w:spacing w:line="360" w:lineRule="auto"/>
        <w:jc w:val="center"/>
        <w:rPr>
          <w:b/>
        </w:rPr>
      </w:pPr>
      <w:r w:rsidRPr="00CF2DBA">
        <w:rPr>
          <w:b/>
        </w:rPr>
        <w:lastRenderedPageBreak/>
        <w:t>TABLES</w:t>
      </w:r>
    </w:p>
    <w:p w14:paraId="2A06F0D2" w14:textId="77777777" w:rsidR="00CF2DBA" w:rsidRDefault="00CF2DBA" w:rsidP="004F52A6">
      <w:pPr>
        <w:spacing w:line="360" w:lineRule="auto"/>
        <w:jc w:val="both"/>
      </w:pPr>
    </w:p>
    <w:tbl>
      <w:tblPr>
        <w:tblStyle w:val="TableGrid"/>
        <w:tblW w:w="125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1"/>
        <w:gridCol w:w="1119"/>
        <w:gridCol w:w="1208"/>
        <w:gridCol w:w="1116"/>
        <w:gridCol w:w="1199"/>
        <w:gridCol w:w="1009"/>
        <w:gridCol w:w="1468"/>
        <w:gridCol w:w="1301"/>
        <w:gridCol w:w="1589"/>
        <w:gridCol w:w="1143"/>
      </w:tblGrid>
      <w:tr w:rsidR="00E03589" w14:paraId="48A301CD" w14:textId="77777777" w:rsidTr="00677B10">
        <w:trPr>
          <w:trHeight w:val="284"/>
          <w:jc w:val="center"/>
        </w:trPr>
        <w:tc>
          <w:tcPr>
            <w:tcW w:w="12523" w:type="dxa"/>
            <w:gridSpan w:val="10"/>
            <w:tcBorders>
              <w:top w:val="single" w:sz="4" w:space="0" w:color="auto"/>
              <w:bottom w:val="single" w:sz="4" w:space="0" w:color="auto"/>
            </w:tcBorders>
          </w:tcPr>
          <w:p w14:paraId="7297E7C2" w14:textId="77777777" w:rsidR="00E03589" w:rsidRDefault="00E03589" w:rsidP="0097396B">
            <w:r w:rsidRPr="0071671B">
              <w:rPr>
                <w:b/>
              </w:rPr>
              <w:t>T</w:t>
            </w:r>
            <w:r w:rsidR="0056543F">
              <w:rPr>
                <w:b/>
              </w:rPr>
              <w:t xml:space="preserve">able </w:t>
            </w:r>
            <w:r w:rsidR="0068555A">
              <w:rPr>
                <w:b/>
              </w:rPr>
              <w:t>1</w:t>
            </w:r>
            <w:r>
              <w:rPr>
                <w:b/>
              </w:rPr>
              <w:t>: Descriptive statistics</w:t>
            </w:r>
          </w:p>
        </w:tc>
      </w:tr>
      <w:tr w:rsidR="00E03589" w14:paraId="0F0FB039" w14:textId="77777777" w:rsidTr="00677B10">
        <w:trPr>
          <w:trHeight w:val="274"/>
          <w:jc w:val="center"/>
        </w:trPr>
        <w:tc>
          <w:tcPr>
            <w:tcW w:w="12523" w:type="dxa"/>
            <w:gridSpan w:val="10"/>
            <w:tcBorders>
              <w:top w:val="single" w:sz="4" w:space="0" w:color="auto"/>
            </w:tcBorders>
          </w:tcPr>
          <w:p w14:paraId="3088E6EC" w14:textId="77777777" w:rsidR="00E03589" w:rsidRDefault="00E03589" w:rsidP="0097396B">
            <w:pPr>
              <w:jc w:val="center"/>
            </w:pPr>
            <w:r>
              <w:t>Panel A – Core countries</w:t>
            </w:r>
          </w:p>
        </w:tc>
      </w:tr>
      <w:tr w:rsidR="00E03589" w14:paraId="6B9E532C" w14:textId="77777777" w:rsidTr="00CF2DBA">
        <w:trPr>
          <w:trHeight w:val="284"/>
          <w:jc w:val="center"/>
        </w:trPr>
        <w:tc>
          <w:tcPr>
            <w:tcW w:w="1371" w:type="dxa"/>
            <w:tcBorders>
              <w:top w:val="single" w:sz="4" w:space="0" w:color="auto"/>
            </w:tcBorders>
          </w:tcPr>
          <w:p w14:paraId="67E82EEE" w14:textId="77777777" w:rsidR="00E03589" w:rsidRDefault="00E03589" w:rsidP="0097396B">
            <w:pPr>
              <w:jc w:val="center"/>
            </w:pPr>
          </w:p>
        </w:tc>
        <w:tc>
          <w:tcPr>
            <w:tcW w:w="1119" w:type="dxa"/>
            <w:tcBorders>
              <w:top w:val="single" w:sz="4" w:space="0" w:color="auto"/>
              <w:bottom w:val="single" w:sz="4" w:space="0" w:color="auto"/>
            </w:tcBorders>
          </w:tcPr>
          <w:p w14:paraId="515D5174" w14:textId="77777777" w:rsidR="00E03589" w:rsidRDefault="00E03589" w:rsidP="0097396B">
            <w:pPr>
              <w:jc w:val="center"/>
            </w:pPr>
            <w:r>
              <w:t>Mean</w:t>
            </w:r>
          </w:p>
        </w:tc>
        <w:tc>
          <w:tcPr>
            <w:tcW w:w="1208" w:type="dxa"/>
            <w:tcBorders>
              <w:top w:val="single" w:sz="4" w:space="0" w:color="auto"/>
              <w:bottom w:val="single" w:sz="4" w:space="0" w:color="auto"/>
            </w:tcBorders>
          </w:tcPr>
          <w:p w14:paraId="040AA5B0" w14:textId="77777777" w:rsidR="00E03589" w:rsidRDefault="00E03589" w:rsidP="0097396B">
            <w:pPr>
              <w:jc w:val="center"/>
            </w:pPr>
            <w:r>
              <w:t>Median</w:t>
            </w:r>
          </w:p>
        </w:tc>
        <w:tc>
          <w:tcPr>
            <w:tcW w:w="1116" w:type="dxa"/>
            <w:tcBorders>
              <w:top w:val="single" w:sz="4" w:space="0" w:color="auto"/>
              <w:bottom w:val="single" w:sz="4" w:space="0" w:color="auto"/>
            </w:tcBorders>
          </w:tcPr>
          <w:p w14:paraId="2782FC8C" w14:textId="77777777" w:rsidR="00E03589" w:rsidRDefault="00E03589" w:rsidP="0097396B">
            <w:pPr>
              <w:jc w:val="center"/>
            </w:pPr>
            <w:r>
              <w:t>Max.</w:t>
            </w:r>
          </w:p>
        </w:tc>
        <w:tc>
          <w:tcPr>
            <w:tcW w:w="1199" w:type="dxa"/>
            <w:tcBorders>
              <w:top w:val="single" w:sz="4" w:space="0" w:color="auto"/>
              <w:bottom w:val="single" w:sz="4" w:space="0" w:color="auto"/>
            </w:tcBorders>
          </w:tcPr>
          <w:p w14:paraId="671F55C2" w14:textId="77777777" w:rsidR="00E03589" w:rsidRDefault="00E03589" w:rsidP="0097396B">
            <w:pPr>
              <w:jc w:val="center"/>
            </w:pPr>
            <w:r>
              <w:t>Min.</w:t>
            </w:r>
          </w:p>
        </w:tc>
        <w:tc>
          <w:tcPr>
            <w:tcW w:w="1009" w:type="dxa"/>
            <w:tcBorders>
              <w:top w:val="single" w:sz="4" w:space="0" w:color="auto"/>
              <w:bottom w:val="single" w:sz="4" w:space="0" w:color="auto"/>
            </w:tcBorders>
          </w:tcPr>
          <w:p w14:paraId="3829D795" w14:textId="77777777" w:rsidR="00E03589" w:rsidRDefault="00E03589" w:rsidP="0097396B">
            <w:pPr>
              <w:jc w:val="center"/>
            </w:pPr>
            <w:proofErr w:type="spellStart"/>
            <w:r>
              <w:t>St.Dev</w:t>
            </w:r>
            <w:proofErr w:type="spellEnd"/>
            <w:r>
              <w:t>.</w:t>
            </w:r>
          </w:p>
        </w:tc>
        <w:tc>
          <w:tcPr>
            <w:tcW w:w="1468" w:type="dxa"/>
            <w:tcBorders>
              <w:top w:val="single" w:sz="4" w:space="0" w:color="auto"/>
              <w:bottom w:val="single" w:sz="4" w:space="0" w:color="auto"/>
            </w:tcBorders>
          </w:tcPr>
          <w:p w14:paraId="38403C61" w14:textId="77777777" w:rsidR="00E03589" w:rsidRDefault="00E03589" w:rsidP="0097396B">
            <w:pPr>
              <w:jc w:val="center"/>
            </w:pPr>
            <w:r>
              <w:t>Skewness</w:t>
            </w:r>
          </w:p>
        </w:tc>
        <w:tc>
          <w:tcPr>
            <w:tcW w:w="1301" w:type="dxa"/>
            <w:tcBorders>
              <w:top w:val="single" w:sz="4" w:space="0" w:color="auto"/>
              <w:bottom w:val="single" w:sz="4" w:space="0" w:color="auto"/>
            </w:tcBorders>
          </w:tcPr>
          <w:p w14:paraId="1359397F" w14:textId="77777777" w:rsidR="00E03589" w:rsidRDefault="00E03589" w:rsidP="0097396B">
            <w:pPr>
              <w:jc w:val="center"/>
            </w:pPr>
            <w:r>
              <w:t>Kurtosis</w:t>
            </w:r>
          </w:p>
        </w:tc>
        <w:tc>
          <w:tcPr>
            <w:tcW w:w="1589" w:type="dxa"/>
            <w:tcBorders>
              <w:top w:val="single" w:sz="4" w:space="0" w:color="auto"/>
              <w:bottom w:val="single" w:sz="4" w:space="0" w:color="auto"/>
            </w:tcBorders>
          </w:tcPr>
          <w:p w14:paraId="60FF71F6" w14:textId="77777777" w:rsidR="00E03589" w:rsidRDefault="00E03589" w:rsidP="0097396B">
            <w:pPr>
              <w:jc w:val="center"/>
            </w:pPr>
            <w:r>
              <w:t>J-B</w:t>
            </w:r>
          </w:p>
        </w:tc>
        <w:tc>
          <w:tcPr>
            <w:tcW w:w="1143" w:type="dxa"/>
            <w:tcBorders>
              <w:top w:val="single" w:sz="4" w:space="0" w:color="auto"/>
              <w:bottom w:val="single" w:sz="4" w:space="0" w:color="auto"/>
            </w:tcBorders>
          </w:tcPr>
          <w:p w14:paraId="42C3C661" w14:textId="77777777" w:rsidR="00E03589" w:rsidRDefault="00E03589" w:rsidP="0097396B">
            <w:pPr>
              <w:jc w:val="center"/>
            </w:pPr>
            <w:r>
              <w:t>Prob.</w:t>
            </w:r>
          </w:p>
        </w:tc>
      </w:tr>
      <w:tr w:rsidR="00E03589" w14:paraId="302B4527" w14:textId="77777777" w:rsidTr="00CF2DBA">
        <w:trPr>
          <w:trHeight w:val="274"/>
          <w:jc w:val="center"/>
        </w:trPr>
        <w:tc>
          <w:tcPr>
            <w:tcW w:w="1371" w:type="dxa"/>
          </w:tcPr>
          <w:p w14:paraId="33E9BA51" w14:textId="77777777" w:rsidR="00E03589" w:rsidRDefault="00E03589" w:rsidP="0097396B">
            <w:pPr>
              <w:jc w:val="center"/>
            </w:pPr>
            <w:proofErr w:type="spellStart"/>
            <w:r>
              <w:t>saus</w:t>
            </w:r>
            <w:proofErr w:type="spellEnd"/>
          </w:p>
        </w:tc>
        <w:tc>
          <w:tcPr>
            <w:tcW w:w="1119" w:type="dxa"/>
            <w:tcBorders>
              <w:top w:val="single" w:sz="4" w:space="0" w:color="auto"/>
            </w:tcBorders>
          </w:tcPr>
          <w:p w14:paraId="289D8EAB" w14:textId="0208BBE7" w:rsidR="00E03589" w:rsidRDefault="00131EBA" w:rsidP="0097396B">
            <w:pPr>
              <w:jc w:val="center"/>
            </w:pPr>
            <w:r>
              <w:t>0.2666</w:t>
            </w:r>
          </w:p>
        </w:tc>
        <w:tc>
          <w:tcPr>
            <w:tcW w:w="1208" w:type="dxa"/>
            <w:tcBorders>
              <w:top w:val="single" w:sz="4" w:space="0" w:color="auto"/>
            </w:tcBorders>
          </w:tcPr>
          <w:p w14:paraId="3F76F669" w14:textId="75D13AA3" w:rsidR="00E03589" w:rsidRDefault="00131EBA" w:rsidP="0097396B">
            <w:pPr>
              <w:jc w:val="center"/>
            </w:pPr>
            <w:r>
              <w:t>0.2226</w:t>
            </w:r>
          </w:p>
        </w:tc>
        <w:tc>
          <w:tcPr>
            <w:tcW w:w="1116" w:type="dxa"/>
            <w:tcBorders>
              <w:top w:val="single" w:sz="4" w:space="0" w:color="auto"/>
            </w:tcBorders>
          </w:tcPr>
          <w:p w14:paraId="51D7EE23" w14:textId="77777777" w:rsidR="00E03589" w:rsidRDefault="00E03589" w:rsidP="0097396B">
            <w:pPr>
              <w:jc w:val="center"/>
            </w:pPr>
            <w:r>
              <w:t>1.5390</w:t>
            </w:r>
          </w:p>
        </w:tc>
        <w:tc>
          <w:tcPr>
            <w:tcW w:w="1199" w:type="dxa"/>
            <w:tcBorders>
              <w:top w:val="single" w:sz="4" w:space="0" w:color="auto"/>
            </w:tcBorders>
          </w:tcPr>
          <w:p w14:paraId="63D7A64E" w14:textId="77777777" w:rsidR="00E03589" w:rsidRDefault="00E03589" w:rsidP="0097396B">
            <w:pPr>
              <w:jc w:val="center"/>
            </w:pPr>
            <w:r>
              <w:t>-0.0589</w:t>
            </w:r>
          </w:p>
        </w:tc>
        <w:tc>
          <w:tcPr>
            <w:tcW w:w="1009" w:type="dxa"/>
            <w:tcBorders>
              <w:top w:val="single" w:sz="4" w:space="0" w:color="auto"/>
            </w:tcBorders>
          </w:tcPr>
          <w:p w14:paraId="6313E642" w14:textId="67D0AA6F" w:rsidR="00E03589" w:rsidRDefault="00131EBA" w:rsidP="0097396B">
            <w:pPr>
              <w:jc w:val="center"/>
            </w:pPr>
            <w:r>
              <w:t>0.2675</w:t>
            </w:r>
          </w:p>
        </w:tc>
        <w:tc>
          <w:tcPr>
            <w:tcW w:w="1468" w:type="dxa"/>
            <w:tcBorders>
              <w:top w:val="single" w:sz="4" w:space="0" w:color="auto"/>
            </w:tcBorders>
          </w:tcPr>
          <w:p w14:paraId="0D756FB6" w14:textId="6F9A8485" w:rsidR="00E03589" w:rsidRDefault="00131EBA" w:rsidP="0097396B">
            <w:pPr>
              <w:jc w:val="center"/>
            </w:pPr>
            <w:r>
              <w:t>1.7477</w:t>
            </w:r>
          </w:p>
        </w:tc>
        <w:tc>
          <w:tcPr>
            <w:tcW w:w="1301" w:type="dxa"/>
            <w:tcBorders>
              <w:top w:val="single" w:sz="4" w:space="0" w:color="auto"/>
            </w:tcBorders>
          </w:tcPr>
          <w:p w14:paraId="6D4B44A6" w14:textId="6E599295" w:rsidR="00E03589" w:rsidRDefault="00131EBA" w:rsidP="0097396B">
            <w:pPr>
              <w:jc w:val="center"/>
            </w:pPr>
            <w:r>
              <w:t>6.8298</w:t>
            </w:r>
          </w:p>
        </w:tc>
        <w:tc>
          <w:tcPr>
            <w:tcW w:w="1589" w:type="dxa"/>
            <w:tcBorders>
              <w:top w:val="single" w:sz="4" w:space="0" w:color="auto"/>
            </w:tcBorders>
          </w:tcPr>
          <w:p w14:paraId="7B958299" w14:textId="009B34D5" w:rsidR="00E03589" w:rsidRDefault="00131EBA" w:rsidP="0097396B">
            <w:pPr>
              <w:jc w:val="center"/>
            </w:pPr>
            <w:r>
              <w:t>229.6466</w:t>
            </w:r>
            <w:r w:rsidR="00E03589">
              <w:t>***</w:t>
            </w:r>
          </w:p>
        </w:tc>
        <w:tc>
          <w:tcPr>
            <w:tcW w:w="1143" w:type="dxa"/>
            <w:tcBorders>
              <w:top w:val="single" w:sz="4" w:space="0" w:color="auto"/>
            </w:tcBorders>
          </w:tcPr>
          <w:p w14:paraId="31C00FCF" w14:textId="77777777" w:rsidR="00E03589" w:rsidRDefault="00E03589" w:rsidP="0097396B">
            <w:pPr>
              <w:jc w:val="center"/>
            </w:pPr>
            <w:r>
              <w:t>0.0000</w:t>
            </w:r>
          </w:p>
        </w:tc>
      </w:tr>
      <w:tr w:rsidR="00E03589" w14:paraId="256CE966" w14:textId="77777777" w:rsidTr="00CF2DBA">
        <w:trPr>
          <w:trHeight w:val="284"/>
          <w:jc w:val="center"/>
        </w:trPr>
        <w:tc>
          <w:tcPr>
            <w:tcW w:w="1371" w:type="dxa"/>
          </w:tcPr>
          <w:p w14:paraId="0708B18D" w14:textId="77777777" w:rsidR="00E03589" w:rsidRDefault="00E03589" w:rsidP="0097396B">
            <w:pPr>
              <w:jc w:val="center"/>
            </w:pPr>
            <w:proofErr w:type="spellStart"/>
            <w:r>
              <w:t>sbel</w:t>
            </w:r>
            <w:proofErr w:type="spellEnd"/>
          </w:p>
        </w:tc>
        <w:tc>
          <w:tcPr>
            <w:tcW w:w="1119" w:type="dxa"/>
          </w:tcPr>
          <w:p w14:paraId="73903387" w14:textId="4A2C1AFF" w:rsidR="00E03589" w:rsidRDefault="00131EBA" w:rsidP="0097396B">
            <w:pPr>
              <w:jc w:val="center"/>
            </w:pPr>
            <w:r>
              <w:t>0.4469</w:t>
            </w:r>
          </w:p>
        </w:tc>
        <w:tc>
          <w:tcPr>
            <w:tcW w:w="1208" w:type="dxa"/>
          </w:tcPr>
          <w:p w14:paraId="7E15C2EB" w14:textId="63FD7CA0" w:rsidR="00E03589" w:rsidRDefault="00131EBA" w:rsidP="0097396B">
            <w:pPr>
              <w:jc w:val="center"/>
            </w:pPr>
            <w:r>
              <w:t>0.3065</w:t>
            </w:r>
          </w:p>
        </w:tc>
        <w:tc>
          <w:tcPr>
            <w:tcW w:w="1116" w:type="dxa"/>
          </w:tcPr>
          <w:p w14:paraId="23E39B66" w14:textId="77777777" w:rsidR="00E03589" w:rsidRDefault="00E03589" w:rsidP="0097396B">
            <w:pPr>
              <w:jc w:val="center"/>
            </w:pPr>
            <w:r>
              <w:t>2.6570</w:t>
            </w:r>
          </w:p>
        </w:tc>
        <w:tc>
          <w:tcPr>
            <w:tcW w:w="1199" w:type="dxa"/>
          </w:tcPr>
          <w:p w14:paraId="6DCD4C6D" w14:textId="77777777" w:rsidR="00E03589" w:rsidRDefault="00E03589" w:rsidP="0097396B">
            <w:pPr>
              <w:jc w:val="center"/>
            </w:pPr>
            <w:r>
              <w:t>-0.0156</w:t>
            </w:r>
          </w:p>
        </w:tc>
        <w:tc>
          <w:tcPr>
            <w:tcW w:w="1009" w:type="dxa"/>
          </w:tcPr>
          <w:p w14:paraId="77F9F086" w14:textId="20D08E0F" w:rsidR="00E03589" w:rsidRDefault="00131EBA" w:rsidP="0097396B">
            <w:pPr>
              <w:jc w:val="center"/>
            </w:pPr>
            <w:r>
              <w:t>0.4961</w:t>
            </w:r>
          </w:p>
        </w:tc>
        <w:tc>
          <w:tcPr>
            <w:tcW w:w="1468" w:type="dxa"/>
          </w:tcPr>
          <w:p w14:paraId="4A8D397E" w14:textId="737BD94A" w:rsidR="00E03589" w:rsidRDefault="00131EBA" w:rsidP="0097396B">
            <w:pPr>
              <w:jc w:val="center"/>
            </w:pPr>
            <w:r>
              <w:t>2.1033</w:t>
            </w:r>
          </w:p>
        </w:tc>
        <w:tc>
          <w:tcPr>
            <w:tcW w:w="1301" w:type="dxa"/>
          </w:tcPr>
          <w:p w14:paraId="26E37782" w14:textId="580ED980" w:rsidR="00E03589" w:rsidRDefault="00131EBA" w:rsidP="0097396B">
            <w:pPr>
              <w:jc w:val="center"/>
            </w:pPr>
            <w:r>
              <w:t>7.9199</w:t>
            </w:r>
          </w:p>
        </w:tc>
        <w:tc>
          <w:tcPr>
            <w:tcW w:w="1589" w:type="dxa"/>
          </w:tcPr>
          <w:p w14:paraId="7F6C7CCE" w14:textId="09C71F6E" w:rsidR="00E03589" w:rsidRDefault="00131EBA" w:rsidP="0097396B">
            <w:pPr>
              <w:jc w:val="center"/>
            </w:pPr>
            <w:r>
              <w:t>357.8997</w:t>
            </w:r>
            <w:r w:rsidR="00E03589">
              <w:t>***</w:t>
            </w:r>
          </w:p>
        </w:tc>
        <w:tc>
          <w:tcPr>
            <w:tcW w:w="1143" w:type="dxa"/>
          </w:tcPr>
          <w:p w14:paraId="7FFCEF15" w14:textId="77777777" w:rsidR="00E03589" w:rsidRDefault="00E03589" w:rsidP="0097396B">
            <w:pPr>
              <w:jc w:val="center"/>
            </w:pPr>
            <w:r>
              <w:t>0.0000</w:t>
            </w:r>
          </w:p>
        </w:tc>
      </w:tr>
      <w:tr w:rsidR="00E03589" w14:paraId="7E27B2C8" w14:textId="77777777" w:rsidTr="00CF2DBA">
        <w:trPr>
          <w:trHeight w:val="284"/>
          <w:jc w:val="center"/>
        </w:trPr>
        <w:tc>
          <w:tcPr>
            <w:tcW w:w="1371" w:type="dxa"/>
          </w:tcPr>
          <w:p w14:paraId="5E42AFC4" w14:textId="77777777" w:rsidR="00E03589" w:rsidRDefault="00E03589" w:rsidP="0097396B">
            <w:pPr>
              <w:jc w:val="center"/>
            </w:pPr>
            <w:proofErr w:type="spellStart"/>
            <w:r>
              <w:t>sfin</w:t>
            </w:r>
            <w:proofErr w:type="spellEnd"/>
          </w:p>
        </w:tc>
        <w:tc>
          <w:tcPr>
            <w:tcW w:w="1119" w:type="dxa"/>
          </w:tcPr>
          <w:p w14:paraId="3F5DD782" w14:textId="5C87CAB6" w:rsidR="00E03589" w:rsidRDefault="00131EBA" w:rsidP="0097396B">
            <w:pPr>
              <w:jc w:val="center"/>
            </w:pPr>
            <w:r>
              <w:t>0.1639</w:t>
            </w:r>
          </w:p>
        </w:tc>
        <w:tc>
          <w:tcPr>
            <w:tcW w:w="1208" w:type="dxa"/>
          </w:tcPr>
          <w:p w14:paraId="0E215FE2" w14:textId="1788D2BF" w:rsidR="00E03589" w:rsidRDefault="00131EBA" w:rsidP="0097396B">
            <w:pPr>
              <w:jc w:val="center"/>
            </w:pPr>
            <w:r>
              <w:t>0.1739</w:t>
            </w:r>
          </w:p>
        </w:tc>
        <w:tc>
          <w:tcPr>
            <w:tcW w:w="1116" w:type="dxa"/>
          </w:tcPr>
          <w:p w14:paraId="316829C9" w14:textId="77777777" w:rsidR="00E03589" w:rsidRDefault="00E03589" w:rsidP="0097396B">
            <w:pPr>
              <w:jc w:val="center"/>
            </w:pPr>
            <w:r>
              <w:t>0.7845</w:t>
            </w:r>
          </w:p>
        </w:tc>
        <w:tc>
          <w:tcPr>
            <w:tcW w:w="1199" w:type="dxa"/>
          </w:tcPr>
          <w:p w14:paraId="0417BED8" w14:textId="77777777" w:rsidR="00E03589" w:rsidRDefault="00E03589" w:rsidP="0097396B">
            <w:pPr>
              <w:jc w:val="center"/>
            </w:pPr>
            <w:r>
              <w:t>-0.1593</w:t>
            </w:r>
          </w:p>
        </w:tc>
        <w:tc>
          <w:tcPr>
            <w:tcW w:w="1009" w:type="dxa"/>
          </w:tcPr>
          <w:p w14:paraId="1E010823" w14:textId="1560F6D1" w:rsidR="00E03589" w:rsidRDefault="00131EBA" w:rsidP="0097396B">
            <w:pPr>
              <w:jc w:val="center"/>
            </w:pPr>
            <w:r>
              <w:t>0.1612</w:t>
            </w:r>
          </w:p>
        </w:tc>
        <w:tc>
          <w:tcPr>
            <w:tcW w:w="1468" w:type="dxa"/>
          </w:tcPr>
          <w:p w14:paraId="28A1EBE0" w14:textId="0FE75936" w:rsidR="00E03589" w:rsidRDefault="00131EBA" w:rsidP="0097396B">
            <w:pPr>
              <w:jc w:val="center"/>
            </w:pPr>
            <w:r>
              <w:t>0.4830</w:t>
            </w:r>
          </w:p>
        </w:tc>
        <w:tc>
          <w:tcPr>
            <w:tcW w:w="1301" w:type="dxa"/>
          </w:tcPr>
          <w:p w14:paraId="66E2BCF3" w14:textId="5E5B3182" w:rsidR="00E03589" w:rsidRDefault="00131EBA" w:rsidP="0097396B">
            <w:pPr>
              <w:jc w:val="center"/>
            </w:pPr>
            <w:r>
              <w:t>3.6371</w:t>
            </w:r>
          </w:p>
        </w:tc>
        <w:tc>
          <w:tcPr>
            <w:tcW w:w="1589" w:type="dxa"/>
          </w:tcPr>
          <w:p w14:paraId="2377A88C" w14:textId="6277314F" w:rsidR="00E03589" w:rsidRDefault="00131EBA" w:rsidP="0097396B">
            <w:pPr>
              <w:jc w:val="center"/>
            </w:pPr>
            <w:r>
              <w:t>11.4377</w:t>
            </w:r>
            <w:r w:rsidR="00E03589">
              <w:t>***</w:t>
            </w:r>
          </w:p>
        </w:tc>
        <w:tc>
          <w:tcPr>
            <w:tcW w:w="1143" w:type="dxa"/>
          </w:tcPr>
          <w:p w14:paraId="4089B669" w14:textId="42AA4CC7" w:rsidR="00E03589" w:rsidRDefault="00131EBA" w:rsidP="0097396B">
            <w:pPr>
              <w:jc w:val="center"/>
            </w:pPr>
            <w:r>
              <w:t>0.0032</w:t>
            </w:r>
          </w:p>
        </w:tc>
      </w:tr>
      <w:tr w:rsidR="00E03589" w14:paraId="4002EF0E" w14:textId="77777777" w:rsidTr="00CF2DBA">
        <w:trPr>
          <w:trHeight w:val="274"/>
          <w:jc w:val="center"/>
        </w:trPr>
        <w:tc>
          <w:tcPr>
            <w:tcW w:w="1371" w:type="dxa"/>
          </w:tcPr>
          <w:p w14:paraId="54029E49" w14:textId="77777777" w:rsidR="00E03589" w:rsidRDefault="00E03589" w:rsidP="0097396B">
            <w:pPr>
              <w:jc w:val="center"/>
            </w:pPr>
            <w:proofErr w:type="spellStart"/>
            <w:r>
              <w:t>sfra</w:t>
            </w:r>
            <w:proofErr w:type="spellEnd"/>
          </w:p>
        </w:tc>
        <w:tc>
          <w:tcPr>
            <w:tcW w:w="1119" w:type="dxa"/>
          </w:tcPr>
          <w:p w14:paraId="037F4BA3" w14:textId="5720AFDD" w:rsidR="00E03589" w:rsidRDefault="00CF07D6" w:rsidP="0097396B">
            <w:pPr>
              <w:jc w:val="center"/>
            </w:pPr>
            <w:r>
              <w:t>0.2601</w:t>
            </w:r>
          </w:p>
        </w:tc>
        <w:tc>
          <w:tcPr>
            <w:tcW w:w="1208" w:type="dxa"/>
          </w:tcPr>
          <w:p w14:paraId="45855C05" w14:textId="09D307D4" w:rsidR="00E03589" w:rsidRDefault="00CF07D6" w:rsidP="0097396B">
            <w:pPr>
              <w:jc w:val="center"/>
            </w:pPr>
            <w:r>
              <w:t>0.1462</w:t>
            </w:r>
          </w:p>
        </w:tc>
        <w:tc>
          <w:tcPr>
            <w:tcW w:w="1116" w:type="dxa"/>
          </w:tcPr>
          <w:p w14:paraId="28280150" w14:textId="77777777" w:rsidR="00E03589" w:rsidRDefault="00E03589" w:rsidP="0097396B">
            <w:pPr>
              <w:jc w:val="center"/>
            </w:pPr>
            <w:r>
              <w:t>1.5550</w:t>
            </w:r>
          </w:p>
        </w:tc>
        <w:tc>
          <w:tcPr>
            <w:tcW w:w="1199" w:type="dxa"/>
          </w:tcPr>
          <w:p w14:paraId="21C71735" w14:textId="77777777" w:rsidR="00E03589" w:rsidRDefault="00E03589" w:rsidP="0097396B">
            <w:pPr>
              <w:jc w:val="center"/>
            </w:pPr>
            <w:r>
              <w:t>-0.0132</w:t>
            </w:r>
          </w:p>
        </w:tc>
        <w:tc>
          <w:tcPr>
            <w:tcW w:w="1009" w:type="dxa"/>
          </w:tcPr>
          <w:p w14:paraId="6DD2081F" w14:textId="30E8D6B9" w:rsidR="00E03589" w:rsidRDefault="00CF07D6" w:rsidP="0097396B">
            <w:pPr>
              <w:jc w:val="center"/>
            </w:pPr>
            <w:r>
              <w:t>0.2901</w:t>
            </w:r>
          </w:p>
        </w:tc>
        <w:tc>
          <w:tcPr>
            <w:tcW w:w="1468" w:type="dxa"/>
          </w:tcPr>
          <w:p w14:paraId="2D8E6C1F" w14:textId="5549F33D" w:rsidR="00E03589" w:rsidRDefault="00CF07D6" w:rsidP="0097396B">
            <w:pPr>
              <w:jc w:val="center"/>
            </w:pPr>
            <w:r>
              <w:t>1.8523</w:t>
            </w:r>
          </w:p>
        </w:tc>
        <w:tc>
          <w:tcPr>
            <w:tcW w:w="1301" w:type="dxa"/>
          </w:tcPr>
          <w:p w14:paraId="4BD6B99A" w14:textId="6955F740" w:rsidR="00E03589" w:rsidRDefault="00CF07D6" w:rsidP="0097396B">
            <w:pPr>
              <w:jc w:val="center"/>
            </w:pPr>
            <w:r>
              <w:t>7.0080</w:t>
            </w:r>
          </w:p>
        </w:tc>
        <w:tc>
          <w:tcPr>
            <w:tcW w:w="1589" w:type="dxa"/>
          </w:tcPr>
          <w:p w14:paraId="079B28B5" w14:textId="4C0ABA03" w:rsidR="00E03589" w:rsidRDefault="00CF07D6" w:rsidP="0097396B">
            <w:pPr>
              <w:jc w:val="center"/>
            </w:pPr>
            <w:r>
              <w:t>254.4446</w:t>
            </w:r>
            <w:r w:rsidR="00E03589">
              <w:t>***</w:t>
            </w:r>
          </w:p>
        </w:tc>
        <w:tc>
          <w:tcPr>
            <w:tcW w:w="1143" w:type="dxa"/>
          </w:tcPr>
          <w:p w14:paraId="66756079" w14:textId="77777777" w:rsidR="00E03589" w:rsidRDefault="00E03589" w:rsidP="0097396B">
            <w:pPr>
              <w:jc w:val="center"/>
            </w:pPr>
            <w:r>
              <w:t>0.0000</w:t>
            </w:r>
          </w:p>
        </w:tc>
      </w:tr>
      <w:tr w:rsidR="00E03589" w14:paraId="1EBEDE60" w14:textId="77777777" w:rsidTr="00CF2DBA">
        <w:trPr>
          <w:trHeight w:val="284"/>
          <w:jc w:val="center"/>
        </w:trPr>
        <w:tc>
          <w:tcPr>
            <w:tcW w:w="1371" w:type="dxa"/>
          </w:tcPr>
          <w:p w14:paraId="4B99B18B" w14:textId="77777777" w:rsidR="00E03589" w:rsidRDefault="00E03589" w:rsidP="0097396B">
            <w:pPr>
              <w:jc w:val="center"/>
            </w:pPr>
            <w:proofErr w:type="spellStart"/>
            <w:r>
              <w:t>snet</w:t>
            </w:r>
            <w:proofErr w:type="spellEnd"/>
          </w:p>
        </w:tc>
        <w:tc>
          <w:tcPr>
            <w:tcW w:w="1119" w:type="dxa"/>
          </w:tcPr>
          <w:p w14:paraId="623D09F2" w14:textId="0E1C6F8C" w:rsidR="00E03589" w:rsidRDefault="00CF07D6" w:rsidP="0097396B">
            <w:pPr>
              <w:jc w:val="center"/>
            </w:pPr>
            <w:r>
              <w:t>0.1755</w:t>
            </w:r>
          </w:p>
        </w:tc>
        <w:tc>
          <w:tcPr>
            <w:tcW w:w="1208" w:type="dxa"/>
          </w:tcPr>
          <w:p w14:paraId="5AB36AB2" w14:textId="5F45AD4D" w:rsidR="00E03589" w:rsidRDefault="00CF07D6" w:rsidP="0097396B">
            <w:pPr>
              <w:jc w:val="center"/>
            </w:pPr>
            <w:r>
              <w:t>0.1483</w:t>
            </w:r>
          </w:p>
        </w:tc>
        <w:tc>
          <w:tcPr>
            <w:tcW w:w="1116" w:type="dxa"/>
          </w:tcPr>
          <w:p w14:paraId="30110A14" w14:textId="77777777" w:rsidR="00E03589" w:rsidRDefault="00E03589" w:rsidP="0097396B">
            <w:pPr>
              <w:jc w:val="center"/>
            </w:pPr>
            <w:r>
              <w:t>0.6322</w:t>
            </w:r>
          </w:p>
        </w:tc>
        <w:tc>
          <w:tcPr>
            <w:tcW w:w="1199" w:type="dxa"/>
          </w:tcPr>
          <w:p w14:paraId="18BC6BD2" w14:textId="77777777" w:rsidR="00E03589" w:rsidRDefault="00E03589" w:rsidP="0097396B">
            <w:pPr>
              <w:jc w:val="center"/>
            </w:pPr>
            <w:r>
              <w:t>-0.0512</w:t>
            </w:r>
          </w:p>
        </w:tc>
        <w:tc>
          <w:tcPr>
            <w:tcW w:w="1009" w:type="dxa"/>
          </w:tcPr>
          <w:p w14:paraId="0F8126DE" w14:textId="1EB2C357" w:rsidR="00E03589" w:rsidRDefault="00E03589" w:rsidP="0097396B">
            <w:pPr>
              <w:jc w:val="center"/>
            </w:pPr>
            <w:r>
              <w:t>0</w:t>
            </w:r>
            <w:r w:rsidR="00CF07D6">
              <w:t>.1498</w:t>
            </w:r>
          </w:p>
        </w:tc>
        <w:tc>
          <w:tcPr>
            <w:tcW w:w="1468" w:type="dxa"/>
          </w:tcPr>
          <w:p w14:paraId="68BCC260" w14:textId="38786BA0" w:rsidR="00E03589" w:rsidRDefault="00CF07D6" w:rsidP="0097396B">
            <w:pPr>
              <w:jc w:val="center"/>
            </w:pPr>
            <w:r>
              <w:t>1.0489</w:t>
            </w:r>
          </w:p>
        </w:tc>
        <w:tc>
          <w:tcPr>
            <w:tcW w:w="1301" w:type="dxa"/>
          </w:tcPr>
          <w:p w14:paraId="2C79D1C4" w14:textId="12BA3B94" w:rsidR="00E03589" w:rsidRDefault="00CF07D6" w:rsidP="0097396B">
            <w:pPr>
              <w:jc w:val="center"/>
            </w:pPr>
            <w:r>
              <w:t>3.8293</w:t>
            </w:r>
          </w:p>
        </w:tc>
        <w:tc>
          <w:tcPr>
            <w:tcW w:w="1589" w:type="dxa"/>
          </w:tcPr>
          <w:p w14:paraId="58710D77" w14:textId="3B3C5858" w:rsidR="00E03589" w:rsidRDefault="00CF07D6" w:rsidP="0097396B">
            <w:pPr>
              <w:jc w:val="center"/>
            </w:pPr>
            <w:r>
              <w:t>43.4613</w:t>
            </w:r>
            <w:r w:rsidR="00E03589">
              <w:t>***</w:t>
            </w:r>
          </w:p>
        </w:tc>
        <w:tc>
          <w:tcPr>
            <w:tcW w:w="1143" w:type="dxa"/>
          </w:tcPr>
          <w:p w14:paraId="041E7017" w14:textId="77777777" w:rsidR="00E03589" w:rsidRDefault="00E03589" w:rsidP="0097396B">
            <w:pPr>
              <w:jc w:val="center"/>
            </w:pPr>
            <w:r>
              <w:t>0.0000</w:t>
            </w:r>
          </w:p>
        </w:tc>
      </w:tr>
      <w:tr w:rsidR="00E03589" w14:paraId="2BCED9A6" w14:textId="77777777" w:rsidTr="00677B10">
        <w:trPr>
          <w:trHeight w:val="284"/>
          <w:jc w:val="center"/>
        </w:trPr>
        <w:tc>
          <w:tcPr>
            <w:tcW w:w="12523" w:type="dxa"/>
            <w:gridSpan w:val="10"/>
            <w:tcBorders>
              <w:top w:val="single" w:sz="4" w:space="0" w:color="auto"/>
              <w:bottom w:val="single" w:sz="4" w:space="0" w:color="auto"/>
            </w:tcBorders>
          </w:tcPr>
          <w:p w14:paraId="1B65CF4F" w14:textId="77777777" w:rsidR="00E03589" w:rsidRDefault="00E03589" w:rsidP="0097396B">
            <w:pPr>
              <w:jc w:val="center"/>
            </w:pPr>
            <w:r>
              <w:t>Panel B – Periphery countries</w:t>
            </w:r>
          </w:p>
        </w:tc>
      </w:tr>
      <w:tr w:rsidR="00E03589" w14:paraId="7F07D04E" w14:textId="77777777" w:rsidTr="00CF2DBA">
        <w:trPr>
          <w:trHeight w:val="284"/>
          <w:jc w:val="center"/>
        </w:trPr>
        <w:tc>
          <w:tcPr>
            <w:tcW w:w="1371" w:type="dxa"/>
            <w:tcBorders>
              <w:top w:val="single" w:sz="4" w:space="0" w:color="auto"/>
            </w:tcBorders>
          </w:tcPr>
          <w:p w14:paraId="398087E0" w14:textId="77777777" w:rsidR="00E03589" w:rsidRDefault="00E03589" w:rsidP="0097396B">
            <w:pPr>
              <w:jc w:val="center"/>
            </w:pPr>
          </w:p>
        </w:tc>
        <w:tc>
          <w:tcPr>
            <w:tcW w:w="1119" w:type="dxa"/>
            <w:tcBorders>
              <w:top w:val="single" w:sz="4" w:space="0" w:color="auto"/>
              <w:bottom w:val="single" w:sz="4" w:space="0" w:color="auto"/>
            </w:tcBorders>
          </w:tcPr>
          <w:p w14:paraId="12E97CA9" w14:textId="77777777" w:rsidR="00E03589" w:rsidRDefault="00E03589" w:rsidP="0097396B">
            <w:pPr>
              <w:jc w:val="center"/>
            </w:pPr>
            <w:r>
              <w:t>Mean</w:t>
            </w:r>
          </w:p>
        </w:tc>
        <w:tc>
          <w:tcPr>
            <w:tcW w:w="1208" w:type="dxa"/>
            <w:tcBorders>
              <w:top w:val="single" w:sz="4" w:space="0" w:color="auto"/>
              <w:bottom w:val="single" w:sz="4" w:space="0" w:color="auto"/>
            </w:tcBorders>
          </w:tcPr>
          <w:p w14:paraId="22602288" w14:textId="77777777" w:rsidR="00E03589" w:rsidRDefault="00E03589" w:rsidP="0097396B">
            <w:pPr>
              <w:jc w:val="center"/>
            </w:pPr>
            <w:r>
              <w:t>Median</w:t>
            </w:r>
          </w:p>
        </w:tc>
        <w:tc>
          <w:tcPr>
            <w:tcW w:w="1116" w:type="dxa"/>
            <w:tcBorders>
              <w:top w:val="single" w:sz="4" w:space="0" w:color="auto"/>
              <w:bottom w:val="single" w:sz="4" w:space="0" w:color="auto"/>
            </w:tcBorders>
          </w:tcPr>
          <w:p w14:paraId="5D198BA7" w14:textId="77777777" w:rsidR="00E03589" w:rsidRDefault="00E03589" w:rsidP="0097396B">
            <w:pPr>
              <w:jc w:val="center"/>
            </w:pPr>
            <w:r>
              <w:t>Max.</w:t>
            </w:r>
          </w:p>
        </w:tc>
        <w:tc>
          <w:tcPr>
            <w:tcW w:w="1199" w:type="dxa"/>
            <w:tcBorders>
              <w:top w:val="single" w:sz="4" w:space="0" w:color="auto"/>
              <w:bottom w:val="single" w:sz="4" w:space="0" w:color="auto"/>
            </w:tcBorders>
          </w:tcPr>
          <w:p w14:paraId="380F741D" w14:textId="77777777" w:rsidR="00E03589" w:rsidRDefault="00E03589" w:rsidP="0097396B">
            <w:pPr>
              <w:jc w:val="center"/>
            </w:pPr>
            <w:r>
              <w:t>Min.</w:t>
            </w:r>
          </w:p>
        </w:tc>
        <w:tc>
          <w:tcPr>
            <w:tcW w:w="1009" w:type="dxa"/>
            <w:tcBorders>
              <w:top w:val="single" w:sz="4" w:space="0" w:color="auto"/>
              <w:bottom w:val="single" w:sz="4" w:space="0" w:color="auto"/>
            </w:tcBorders>
          </w:tcPr>
          <w:p w14:paraId="43E64C55" w14:textId="77777777" w:rsidR="00E03589" w:rsidRDefault="00E03589" w:rsidP="0097396B">
            <w:pPr>
              <w:jc w:val="center"/>
            </w:pPr>
            <w:proofErr w:type="spellStart"/>
            <w:r>
              <w:t>St.Dev</w:t>
            </w:r>
            <w:proofErr w:type="spellEnd"/>
            <w:r>
              <w:t>.</w:t>
            </w:r>
          </w:p>
        </w:tc>
        <w:tc>
          <w:tcPr>
            <w:tcW w:w="1468" w:type="dxa"/>
            <w:tcBorders>
              <w:top w:val="single" w:sz="4" w:space="0" w:color="auto"/>
              <w:bottom w:val="single" w:sz="4" w:space="0" w:color="auto"/>
            </w:tcBorders>
          </w:tcPr>
          <w:p w14:paraId="750B43E0" w14:textId="77777777" w:rsidR="00E03589" w:rsidRDefault="00E03589" w:rsidP="0097396B">
            <w:pPr>
              <w:jc w:val="center"/>
            </w:pPr>
            <w:r>
              <w:t>Skewness</w:t>
            </w:r>
          </w:p>
        </w:tc>
        <w:tc>
          <w:tcPr>
            <w:tcW w:w="1301" w:type="dxa"/>
            <w:tcBorders>
              <w:top w:val="single" w:sz="4" w:space="0" w:color="auto"/>
              <w:bottom w:val="single" w:sz="4" w:space="0" w:color="auto"/>
            </w:tcBorders>
          </w:tcPr>
          <w:p w14:paraId="4C37D0E6" w14:textId="77777777" w:rsidR="00E03589" w:rsidRDefault="00E03589" w:rsidP="0097396B">
            <w:pPr>
              <w:jc w:val="center"/>
            </w:pPr>
            <w:r>
              <w:t>Kurtosis</w:t>
            </w:r>
          </w:p>
        </w:tc>
        <w:tc>
          <w:tcPr>
            <w:tcW w:w="1589" w:type="dxa"/>
            <w:tcBorders>
              <w:top w:val="single" w:sz="4" w:space="0" w:color="auto"/>
              <w:bottom w:val="single" w:sz="4" w:space="0" w:color="auto"/>
            </w:tcBorders>
          </w:tcPr>
          <w:p w14:paraId="1455F062" w14:textId="77777777" w:rsidR="00E03589" w:rsidRDefault="00E03589" w:rsidP="0097396B">
            <w:pPr>
              <w:jc w:val="center"/>
            </w:pPr>
            <w:r>
              <w:t>J-B</w:t>
            </w:r>
          </w:p>
        </w:tc>
        <w:tc>
          <w:tcPr>
            <w:tcW w:w="1143" w:type="dxa"/>
            <w:tcBorders>
              <w:top w:val="single" w:sz="4" w:space="0" w:color="auto"/>
              <w:bottom w:val="single" w:sz="4" w:space="0" w:color="auto"/>
            </w:tcBorders>
          </w:tcPr>
          <w:p w14:paraId="3FF39780" w14:textId="77777777" w:rsidR="00E03589" w:rsidRDefault="00E03589" w:rsidP="0097396B">
            <w:pPr>
              <w:jc w:val="center"/>
            </w:pPr>
            <w:r>
              <w:t>Prob.</w:t>
            </w:r>
          </w:p>
        </w:tc>
      </w:tr>
      <w:tr w:rsidR="00E03589" w14:paraId="0BF0856B" w14:textId="77777777" w:rsidTr="00CF2DBA">
        <w:trPr>
          <w:trHeight w:val="274"/>
          <w:jc w:val="center"/>
        </w:trPr>
        <w:tc>
          <w:tcPr>
            <w:tcW w:w="1371" w:type="dxa"/>
          </w:tcPr>
          <w:p w14:paraId="69CF3320" w14:textId="77777777" w:rsidR="00E03589" w:rsidRDefault="00E03589" w:rsidP="0097396B">
            <w:pPr>
              <w:jc w:val="center"/>
            </w:pPr>
            <w:proofErr w:type="spellStart"/>
            <w:r>
              <w:t>sgre</w:t>
            </w:r>
            <w:proofErr w:type="spellEnd"/>
          </w:p>
        </w:tc>
        <w:tc>
          <w:tcPr>
            <w:tcW w:w="1119" w:type="dxa"/>
            <w:tcBorders>
              <w:top w:val="single" w:sz="4" w:space="0" w:color="auto"/>
            </w:tcBorders>
          </w:tcPr>
          <w:p w14:paraId="4CE936F4" w14:textId="346D2702" w:rsidR="00E03589" w:rsidRDefault="007A6266" w:rsidP="0097396B">
            <w:pPr>
              <w:jc w:val="center"/>
            </w:pPr>
            <w:r>
              <w:t>4.8634</w:t>
            </w:r>
          </w:p>
        </w:tc>
        <w:tc>
          <w:tcPr>
            <w:tcW w:w="1208" w:type="dxa"/>
            <w:tcBorders>
              <w:top w:val="single" w:sz="4" w:space="0" w:color="auto"/>
            </w:tcBorders>
          </w:tcPr>
          <w:p w14:paraId="29EE10CC" w14:textId="597D233E" w:rsidR="00E03589" w:rsidRDefault="007A6266" w:rsidP="0097396B">
            <w:pPr>
              <w:jc w:val="center"/>
            </w:pPr>
            <w:r>
              <w:t>0.6355</w:t>
            </w:r>
          </w:p>
        </w:tc>
        <w:tc>
          <w:tcPr>
            <w:tcW w:w="1116" w:type="dxa"/>
            <w:tcBorders>
              <w:top w:val="single" w:sz="4" w:space="0" w:color="auto"/>
            </w:tcBorders>
          </w:tcPr>
          <w:p w14:paraId="2D073A00" w14:textId="77777777" w:rsidR="00E03589" w:rsidRDefault="00E03589" w:rsidP="0097396B">
            <w:pPr>
              <w:jc w:val="center"/>
            </w:pPr>
            <w:r>
              <w:t>36.9890</w:t>
            </w:r>
          </w:p>
        </w:tc>
        <w:tc>
          <w:tcPr>
            <w:tcW w:w="1199" w:type="dxa"/>
            <w:tcBorders>
              <w:top w:val="single" w:sz="4" w:space="0" w:color="auto"/>
            </w:tcBorders>
          </w:tcPr>
          <w:p w14:paraId="0948EE51" w14:textId="77777777" w:rsidR="00E03589" w:rsidRDefault="00E03589" w:rsidP="0097396B">
            <w:pPr>
              <w:jc w:val="center"/>
            </w:pPr>
            <w:r>
              <w:t>0.0799</w:t>
            </w:r>
          </w:p>
        </w:tc>
        <w:tc>
          <w:tcPr>
            <w:tcW w:w="1009" w:type="dxa"/>
            <w:tcBorders>
              <w:top w:val="single" w:sz="4" w:space="0" w:color="auto"/>
            </w:tcBorders>
          </w:tcPr>
          <w:p w14:paraId="4DEB4482" w14:textId="39C89380" w:rsidR="00E03589" w:rsidRDefault="007A6266" w:rsidP="0097396B">
            <w:pPr>
              <w:jc w:val="center"/>
            </w:pPr>
            <w:r>
              <w:t>7.2359</w:t>
            </w:r>
          </w:p>
        </w:tc>
        <w:tc>
          <w:tcPr>
            <w:tcW w:w="1468" w:type="dxa"/>
            <w:tcBorders>
              <w:top w:val="single" w:sz="4" w:space="0" w:color="auto"/>
            </w:tcBorders>
          </w:tcPr>
          <w:p w14:paraId="55B01A13" w14:textId="296A4E97" w:rsidR="00E03589" w:rsidRDefault="007A6266" w:rsidP="0097396B">
            <w:pPr>
              <w:jc w:val="center"/>
            </w:pPr>
            <w:r>
              <w:t>2.1980</w:t>
            </w:r>
          </w:p>
        </w:tc>
        <w:tc>
          <w:tcPr>
            <w:tcW w:w="1301" w:type="dxa"/>
            <w:tcBorders>
              <w:top w:val="single" w:sz="4" w:space="0" w:color="auto"/>
            </w:tcBorders>
          </w:tcPr>
          <w:p w14:paraId="5FE5257D" w14:textId="7620C8D4" w:rsidR="00E03589" w:rsidRDefault="007A6266" w:rsidP="0097396B">
            <w:pPr>
              <w:jc w:val="center"/>
            </w:pPr>
            <w:r>
              <w:t>8.3443</w:t>
            </w:r>
          </w:p>
        </w:tc>
        <w:tc>
          <w:tcPr>
            <w:tcW w:w="1589" w:type="dxa"/>
            <w:tcBorders>
              <w:top w:val="single" w:sz="4" w:space="0" w:color="auto"/>
            </w:tcBorders>
          </w:tcPr>
          <w:p w14:paraId="74DC1D66" w14:textId="33B1CC80" w:rsidR="00E03589" w:rsidRDefault="007A6266" w:rsidP="0097396B">
            <w:pPr>
              <w:jc w:val="center"/>
            </w:pPr>
            <w:r>
              <w:t>361.1355</w:t>
            </w:r>
            <w:r w:rsidR="00E03589">
              <w:t>***</w:t>
            </w:r>
          </w:p>
        </w:tc>
        <w:tc>
          <w:tcPr>
            <w:tcW w:w="1143" w:type="dxa"/>
            <w:tcBorders>
              <w:top w:val="single" w:sz="4" w:space="0" w:color="auto"/>
            </w:tcBorders>
          </w:tcPr>
          <w:p w14:paraId="3B60CEF6" w14:textId="77777777" w:rsidR="00E03589" w:rsidRDefault="00E03589" w:rsidP="0097396B">
            <w:pPr>
              <w:jc w:val="center"/>
            </w:pPr>
            <w:r>
              <w:t>0.0000</w:t>
            </w:r>
          </w:p>
        </w:tc>
      </w:tr>
      <w:tr w:rsidR="00E03589" w14:paraId="1DBDD204" w14:textId="77777777" w:rsidTr="00CF2DBA">
        <w:trPr>
          <w:trHeight w:val="284"/>
          <w:jc w:val="center"/>
        </w:trPr>
        <w:tc>
          <w:tcPr>
            <w:tcW w:w="1371" w:type="dxa"/>
          </w:tcPr>
          <w:p w14:paraId="253B0961" w14:textId="77777777" w:rsidR="00E03589" w:rsidRDefault="00E03589" w:rsidP="0097396B">
            <w:pPr>
              <w:jc w:val="center"/>
            </w:pPr>
            <w:r>
              <w:t>sire</w:t>
            </w:r>
          </w:p>
        </w:tc>
        <w:tc>
          <w:tcPr>
            <w:tcW w:w="1119" w:type="dxa"/>
          </w:tcPr>
          <w:p w14:paraId="64E387DB" w14:textId="6A6A9910" w:rsidR="00E03589" w:rsidRDefault="0017265B" w:rsidP="0097396B">
            <w:pPr>
              <w:jc w:val="center"/>
            </w:pPr>
            <w:r>
              <w:t>1.3456</w:t>
            </w:r>
          </w:p>
        </w:tc>
        <w:tc>
          <w:tcPr>
            <w:tcW w:w="1208" w:type="dxa"/>
          </w:tcPr>
          <w:p w14:paraId="07DFD08D" w14:textId="736B3723" w:rsidR="00E03589" w:rsidRDefault="0017265B" w:rsidP="0097396B">
            <w:pPr>
              <w:jc w:val="center"/>
            </w:pPr>
            <w:r>
              <w:t>0.3180</w:t>
            </w:r>
          </w:p>
        </w:tc>
        <w:tc>
          <w:tcPr>
            <w:tcW w:w="1116" w:type="dxa"/>
          </w:tcPr>
          <w:p w14:paraId="30506B98" w14:textId="77777777" w:rsidR="00E03589" w:rsidRDefault="00E03589" w:rsidP="0097396B">
            <w:pPr>
              <w:jc w:val="center"/>
            </w:pPr>
            <w:r>
              <w:t>10.2210</w:t>
            </w:r>
          </w:p>
        </w:tc>
        <w:tc>
          <w:tcPr>
            <w:tcW w:w="1199" w:type="dxa"/>
          </w:tcPr>
          <w:p w14:paraId="183C6CCE" w14:textId="77777777" w:rsidR="00E03589" w:rsidRDefault="00E03589" w:rsidP="0097396B">
            <w:pPr>
              <w:jc w:val="center"/>
            </w:pPr>
            <w:r>
              <w:t>-0.2368</w:t>
            </w:r>
          </w:p>
        </w:tc>
        <w:tc>
          <w:tcPr>
            <w:tcW w:w="1009" w:type="dxa"/>
          </w:tcPr>
          <w:p w14:paraId="6126D25B" w14:textId="1D0F3594" w:rsidR="00E03589" w:rsidRDefault="0017265B" w:rsidP="0097396B">
            <w:pPr>
              <w:jc w:val="center"/>
            </w:pPr>
            <w:r>
              <w:t>2.0364</w:t>
            </w:r>
          </w:p>
        </w:tc>
        <w:tc>
          <w:tcPr>
            <w:tcW w:w="1468" w:type="dxa"/>
          </w:tcPr>
          <w:p w14:paraId="2960DDC1" w14:textId="51138CFF" w:rsidR="00E03589" w:rsidRDefault="0017265B" w:rsidP="0097396B">
            <w:pPr>
              <w:jc w:val="center"/>
            </w:pPr>
            <w:r>
              <w:t>1.8000</w:t>
            </w:r>
          </w:p>
        </w:tc>
        <w:tc>
          <w:tcPr>
            <w:tcW w:w="1301" w:type="dxa"/>
          </w:tcPr>
          <w:p w14:paraId="0427EFC9" w14:textId="54DA6C1D" w:rsidR="00E03589" w:rsidRDefault="0017265B" w:rsidP="0097396B">
            <w:pPr>
              <w:jc w:val="center"/>
            </w:pPr>
            <w:r>
              <w:t>5.7016</w:t>
            </w:r>
          </w:p>
        </w:tc>
        <w:tc>
          <w:tcPr>
            <w:tcW w:w="1589" w:type="dxa"/>
          </w:tcPr>
          <w:p w14:paraId="0B26AE1E" w14:textId="013D1563" w:rsidR="00E03589" w:rsidRDefault="0017265B" w:rsidP="0097396B">
            <w:pPr>
              <w:jc w:val="center"/>
            </w:pPr>
            <w:r>
              <w:t>152.7883</w:t>
            </w:r>
            <w:r w:rsidR="00E03589">
              <w:t>***</w:t>
            </w:r>
          </w:p>
        </w:tc>
        <w:tc>
          <w:tcPr>
            <w:tcW w:w="1143" w:type="dxa"/>
          </w:tcPr>
          <w:p w14:paraId="65F25BEF" w14:textId="77777777" w:rsidR="00E03589" w:rsidRDefault="00E03589" w:rsidP="0097396B">
            <w:pPr>
              <w:jc w:val="center"/>
            </w:pPr>
            <w:r>
              <w:t>0.0000</w:t>
            </w:r>
          </w:p>
        </w:tc>
      </w:tr>
      <w:tr w:rsidR="00E03589" w14:paraId="4BD2D1C5" w14:textId="77777777" w:rsidTr="00CF2DBA">
        <w:trPr>
          <w:trHeight w:val="274"/>
          <w:jc w:val="center"/>
        </w:trPr>
        <w:tc>
          <w:tcPr>
            <w:tcW w:w="1371" w:type="dxa"/>
          </w:tcPr>
          <w:p w14:paraId="162EB667" w14:textId="77777777" w:rsidR="00E03589" w:rsidRDefault="00E03589" w:rsidP="0097396B">
            <w:pPr>
              <w:jc w:val="center"/>
            </w:pPr>
            <w:proofErr w:type="spellStart"/>
            <w:r>
              <w:t>sita</w:t>
            </w:r>
            <w:proofErr w:type="spellEnd"/>
          </w:p>
        </w:tc>
        <w:tc>
          <w:tcPr>
            <w:tcW w:w="1119" w:type="dxa"/>
          </w:tcPr>
          <w:p w14:paraId="191843D2" w14:textId="73D92520" w:rsidR="00E03589" w:rsidRDefault="0017265B" w:rsidP="0097396B">
            <w:pPr>
              <w:jc w:val="center"/>
            </w:pPr>
            <w:r>
              <w:t>1.0925</w:t>
            </w:r>
          </w:p>
        </w:tc>
        <w:tc>
          <w:tcPr>
            <w:tcW w:w="1208" w:type="dxa"/>
          </w:tcPr>
          <w:p w14:paraId="52EE7DD2" w14:textId="5716CD98" w:rsidR="00E03589" w:rsidRDefault="0017265B" w:rsidP="0097396B">
            <w:pPr>
              <w:jc w:val="center"/>
            </w:pPr>
            <w:r>
              <w:t>0.4991</w:t>
            </w:r>
          </w:p>
        </w:tc>
        <w:tc>
          <w:tcPr>
            <w:tcW w:w="1116" w:type="dxa"/>
          </w:tcPr>
          <w:p w14:paraId="225DB36A" w14:textId="77777777" w:rsidR="00E03589" w:rsidRDefault="00E03589" w:rsidP="0097396B">
            <w:pPr>
              <w:jc w:val="center"/>
            </w:pPr>
            <w:r>
              <w:t>4.7950</w:t>
            </w:r>
          </w:p>
        </w:tc>
        <w:tc>
          <w:tcPr>
            <w:tcW w:w="1199" w:type="dxa"/>
          </w:tcPr>
          <w:p w14:paraId="7FB89FFA" w14:textId="77777777" w:rsidR="00E03589" w:rsidRDefault="00E03589" w:rsidP="0097396B">
            <w:pPr>
              <w:jc w:val="center"/>
            </w:pPr>
            <w:r>
              <w:t>0.0805</w:t>
            </w:r>
          </w:p>
        </w:tc>
        <w:tc>
          <w:tcPr>
            <w:tcW w:w="1009" w:type="dxa"/>
          </w:tcPr>
          <w:p w14:paraId="68DE3C0B" w14:textId="3915EA99" w:rsidR="00E03589" w:rsidRDefault="0017265B" w:rsidP="0097396B">
            <w:pPr>
              <w:jc w:val="center"/>
            </w:pPr>
            <w:r>
              <w:t>1.1815</w:t>
            </w:r>
          </w:p>
        </w:tc>
        <w:tc>
          <w:tcPr>
            <w:tcW w:w="1468" w:type="dxa"/>
          </w:tcPr>
          <w:p w14:paraId="30B26683" w14:textId="43994764" w:rsidR="00E03589" w:rsidRDefault="0017265B" w:rsidP="0097396B">
            <w:pPr>
              <w:jc w:val="center"/>
            </w:pPr>
            <w:r>
              <w:t>1.4621</w:t>
            </w:r>
          </w:p>
        </w:tc>
        <w:tc>
          <w:tcPr>
            <w:tcW w:w="1301" w:type="dxa"/>
          </w:tcPr>
          <w:p w14:paraId="47137460" w14:textId="407DA3AD" w:rsidR="00E03589" w:rsidRDefault="0017265B" w:rsidP="0097396B">
            <w:pPr>
              <w:jc w:val="center"/>
            </w:pPr>
            <w:r>
              <w:t>4.3509</w:t>
            </w:r>
          </w:p>
        </w:tc>
        <w:tc>
          <w:tcPr>
            <w:tcW w:w="1589" w:type="dxa"/>
          </w:tcPr>
          <w:p w14:paraId="506456F9" w14:textId="474774AB" w:rsidR="00E03589" w:rsidRDefault="0017265B" w:rsidP="0097396B">
            <w:pPr>
              <w:jc w:val="center"/>
            </w:pPr>
            <w:r>
              <w:t>78.2523</w:t>
            </w:r>
            <w:r w:rsidR="00E03589">
              <w:t>***</w:t>
            </w:r>
          </w:p>
        </w:tc>
        <w:tc>
          <w:tcPr>
            <w:tcW w:w="1143" w:type="dxa"/>
          </w:tcPr>
          <w:p w14:paraId="34696EF7" w14:textId="77777777" w:rsidR="00E03589" w:rsidRDefault="00E03589" w:rsidP="0097396B">
            <w:pPr>
              <w:jc w:val="center"/>
            </w:pPr>
            <w:r>
              <w:t>0.0000</w:t>
            </w:r>
          </w:p>
        </w:tc>
      </w:tr>
      <w:tr w:rsidR="00E03589" w14:paraId="188963A3" w14:textId="77777777" w:rsidTr="00CF2DBA">
        <w:trPr>
          <w:trHeight w:val="284"/>
          <w:jc w:val="center"/>
        </w:trPr>
        <w:tc>
          <w:tcPr>
            <w:tcW w:w="1371" w:type="dxa"/>
          </w:tcPr>
          <w:p w14:paraId="71C65CD0" w14:textId="77777777" w:rsidR="00E03589" w:rsidRDefault="00E03589" w:rsidP="0097396B">
            <w:pPr>
              <w:jc w:val="center"/>
            </w:pPr>
            <w:proofErr w:type="spellStart"/>
            <w:r>
              <w:t>spor</w:t>
            </w:r>
            <w:proofErr w:type="spellEnd"/>
          </w:p>
        </w:tc>
        <w:tc>
          <w:tcPr>
            <w:tcW w:w="1119" w:type="dxa"/>
          </w:tcPr>
          <w:p w14:paraId="61E38721" w14:textId="58E53B0E" w:rsidR="00E03589" w:rsidRDefault="00A61484" w:rsidP="0097396B">
            <w:pPr>
              <w:jc w:val="center"/>
            </w:pPr>
            <w:r>
              <w:t>2.0178</w:t>
            </w:r>
          </w:p>
        </w:tc>
        <w:tc>
          <w:tcPr>
            <w:tcW w:w="1208" w:type="dxa"/>
          </w:tcPr>
          <w:p w14:paraId="70C3E8A8" w14:textId="002D0F05" w:rsidR="00E03589" w:rsidRDefault="00A61484" w:rsidP="0097396B">
            <w:pPr>
              <w:jc w:val="center"/>
            </w:pPr>
            <w:r>
              <w:t>0.4370</w:t>
            </w:r>
          </w:p>
        </w:tc>
        <w:tc>
          <w:tcPr>
            <w:tcW w:w="1116" w:type="dxa"/>
          </w:tcPr>
          <w:p w14:paraId="26C175E9" w14:textId="77777777" w:rsidR="00E03589" w:rsidRDefault="00E03589" w:rsidP="0097396B">
            <w:pPr>
              <w:jc w:val="center"/>
            </w:pPr>
            <w:r>
              <w:t>11.7670</w:t>
            </w:r>
          </w:p>
        </w:tc>
        <w:tc>
          <w:tcPr>
            <w:tcW w:w="1199" w:type="dxa"/>
          </w:tcPr>
          <w:p w14:paraId="66D52F4E" w14:textId="77777777" w:rsidR="00E03589" w:rsidRDefault="00E03589" w:rsidP="0097396B">
            <w:pPr>
              <w:jc w:val="center"/>
            </w:pPr>
            <w:r>
              <w:t>-0.0355</w:t>
            </w:r>
          </w:p>
        </w:tc>
        <w:tc>
          <w:tcPr>
            <w:tcW w:w="1009" w:type="dxa"/>
          </w:tcPr>
          <w:p w14:paraId="1B849E00" w14:textId="15322D92" w:rsidR="00E03589" w:rsidRDefault="00A61484" w:rsidP="0097396B">
            <w:pPr>
              <w:jc w:val="center"/>
            </w:pPr>
            <w:r>
              <w:t>2.8724</w:t>
            </w:r>
          </w:p>
        </w:tc>
        <w:tc>
          <w:tcPr>
            <w:tcW w:w="1468" w:type="dxa"/>
          </w:tcPr>
          <w:p w14:paraId="49AE3799" w14:textId="7837CF43" w:rsidR="00E03589" w:rsidRDefault="00A61484" w:rsidP="0097396B">
            <w:pPr>
              <w:jc w:val="center"/>
            </w:pPr>
            <w:r>
              <w:t>1.7381</w:t>
            </w:r>
          </w:p>
        </w:tc>
        <w:tc>
          <w:tcPr>
            <w:tcW w:w="1301" w:type="dxa"/>
          </w:tcPr>
          <w:p w14:paraId="3B97BB01" w14:textId="52F6418E" w:rsidR="00E03589" w:rsidRDefault="00A61484" w:rsidP="0097396B">
            <w:pPr>
              <w:jc w:val="center"/>
            </w:pPr>
            <w:r>
              <w:t>5.1430</w:t>
            </w:r>
          </w:p>
        </w:tc>
        <w:tc>
          <w:tcPr>
            <w:tcW w:w="1589" w:type="dxa"/>
          </w:tcPr>
          <w:p w14:paraId="46EDE7B6" w14:textId="7EB8A44E" w:rsidR="00E03589" w:rsidRDefault="00A61484" w:rsidP="0097396B">
            <w:pPr>
              <w:jc w:val="center"/>
            </w:pPr>
            <w:r>
              <w:t>125.7706</w:t>
            </w:r>
            <w:r w:rsidR="00E03589">
              <w:t>***</w:t>
            </w:r>
          </w:p>
        </w:tc>
        <w:tc>
          <w:tcPr>
            <w:tcW w:w="1143" w:type="dxa"/>
          </w:tcPr>
          <w:p w14:paraId="2FDEFC7F" w14:textId="77777777" w:rsidR="00E03589" w:rsidRDefault="00E03589" w:rsidP="0097396B">
            <w:pPr>
              <w:jc w:val="center"/>
            </w:pPr>
            <w:r>
              <w:t>0.0000</w:t>
            </w:r>
          </w:p>
        </w:tc>
      </w:tr>
      <w:tr w:rsidR="00E03589" w14:paraId="2C0550B4" w14:textId="77777777" w:rsidTr="00CF2DBA">
        <w:trPr>
          <w:trHeight w:val="284"/>
          <w:jc w:val="center"/>
        </w:trPr>
        <w:tc>
          <w:tcPr>
            <w:tcW w:w="1371" w:type="dxa"/>
          </w:tcPr>
          <w:p w14:paraId="69C03356" w14:textId="77777777" w:rsidR="00E03589" w:rsidRDefault="00E03589" w:rsidP="0097396B">
            <w:pPr>
              <w:jc w:val="center"/>
            </w:pPr>
            <w:proofErr w:type="spellStart"/>
            <w:r>
              <w:t>sspa</w:t>
            </w:r>
            <w:proofErr w:type="spellEnd"/>
          </w:p>
        </w:tc>
        <w:tc>
          <w:tcPr>
            <w:tcW w:w="1119" w:type="dxa"/>
          </w:tcPr>
          <w:p w14:paraId="0D7E6341" w14:textId="70C3E13B" w:rsidR="00E03589" w:rsidRDefault="008F4274" w:rsidP="0097396B">
            <w:pPr>
              <w:jc w:val="center"/>
            </w:pPr>
            <w:r>
              <w:t>1.0599</w:t>
            </w:r>
          </w:p>
        </w:tc>
        <w:tc>
          <w:tcPr>
            <w:tcW w:w="1208" w:type="dxa"/>
          </w:tcPr>
          <w:p w14:paraId="44B27580" w14:textId="24D5E09E" w:rsidR="00E03589" w:rsidRDefault="008F4274" w:rsidP="0097396B">
            <w:pPr>
              <w:jc w:val="center"/>
            </w:pPr>
            <w:r>
              <w:t>0.3406</w:t>
            </w:r>
          </w:p>
        </w:tc>
        <w:tc>
          <w:tcPr>
            <w:tcW w:w="1116" w:type="dxa"/>
          </w:tcPr>
          <w:p w14:paraId="0D5294E2" w14:textId="77777777" w:rsidR="00E03589" w:rsidRDefault="00E03589" w:rsidP="0097396B">
            <w:pPr>
              <w:jc w:val="center"/>
            </w:pPr>
            <w:r>
              <w:t>5.5220</w:t>
            </w:r>
          </w:p>
        </w:tc>
        <w:tc>
          <w:tcPr>
            <w:tcW w:w="1199" w:type="dxa"/>
          </w:tcPr>
          <w:p w14:paraId="34264C5D" w14:textId="77777777" w:rsidR="00E03589" w:rsidRDefault="00E03589" w:rsidP="0097396B">
            <w:pPr>
              <w:jc w:val="center"/>
            </w:pPr>
            <w:r>
              <w:t>-0.0518</w:t>
            </w:r>
          </w:p>
        </w:tc>
        <w:tc>
          <w:tcPr>
            <w:tcW w:w="1009" w:type="dxa"/>
          </w:tcPr>
          <w:p w14:paraId="3C4C5058" w14:textId="345C6F05" w:rsidR="00E03589" w:rsidRDefault="008F4274" w:rsidP="0097396B">
            <w:pPr>
              <w:jc w:val="center"/>
            </w:pPr>
            <w:r>
              <w:t>1.3362</w:t>
            </w:r>
          </w:p>
        </w:tc>
        <w:tc>
          <w:tcPr>
            <w:tcW w:w="1468" w:type="dxa"/>
          </w:tcPr>
          <w:p w14:paraId="56B32186" w14:textId="1E606DD4" w:rsidR="00E03589" w:rsidRDefault="008F4274" w:rsidP="0097396B">
            <w:pPr>
              <w:jc w:val="center"/>
            </w:pPr>
            <w:r>
              <w:t>1.3832</w:t>
            </w:r>
          </w:p>
        </w:tc>
        <w:tc>
          <w:tcPr>
            <w:tcW w:w="1301" w:type="dxa"/>
          </w:tcPr>
          <w:p w14:paraId="3119FE8D" w14:textId="1115AB36" w:rsidR="00E03589" w:rsidRDefault="008F4274" w:rsidP="0097396B">
            <w:pPr>
              <w:jc w:val="center"/>
            </w:pPr>
            <w:r>
              <w:t>4.0842</w:t>
            </w:r>
          </w:p>
        </w:tc>
        <w:tc>
          <w:tcPr>
            <w:tcW w:w="1589" w:type="dxa"/>
          </w:tcPr>
          <w:p w14:paraId="4D473E24" w14:textId="74267514" w:rsidR="00E03589" w:rsidRDefault="008F4274" w:rsidP="0097396B">
            <w:pPr>
              <w:jc w:val="center"/>
            </w:pPr>
            <w:r>
              <w:t>66.5812</w:t>
            </w:r>
            <w:r w:rsidR="00E03589">
              <w:t>***</w:t>
            </w:r>
          </w:p>
        </w:tc>
        <w:tc>
          <w:tcPr>
            <w:tcW w:w="1143" w:type="dxa"/>
          </w:tcPr>
          <w:p w14:paraId="4127B987" w14:textId="77777777" w:rsidR="00E03589" w:rsidRDefault="00E03589" w:rsidP="0097396B">
            <w:pPr>
              <w:jc w:val="center"/>
            </w:pPr>
            <w:r>
              <w:t>0.0000</w:t>
            </w:r>
          </w:p>
        </w:tc>
      </w:tr>
      <w:tr w:rsidR="00E03589" w14:paraId="0A2D0D60" w14:textId="77777777" w:rsidTr="00677B10">
        <w:trPr>
          <w:trHeight w:val="284"/>
          <w:jc w:val="center"/>
        </w:trPr>
        <w:tc>
          <w:tcPr>
            <w:tcW w:w="12523" w:type="dxa"/>
            <w:gridSpan w:val="10"/>
            <w:tcBorders>
              <w:top w:val="single" w:sz="4" w:space="0" w:color="auto"/>
              <w:bottom w:val="single" w:sz="4" w:space="0" w:color="auto"/>
            </w:tcBorders>
          </w:tcPr>
          <w:p w14:paraId="62F5C901" w14:textId="230D3A9D" w:rsidR="00E03589" w:rsidRDefault="00E03589" w:rsidP="0097396B">
            <w:pPr>
              <w:jc w:val="center"/>
            </w:pPr>
            <w:r>
              <w:t xml:space="preserve">Panel C </w:t>
            </w:r>
            <w:r w:rsidR="00D0114E">
              <w:t>–</w:t>
            </w:r>
            <w:r>
              <w:t xml:space="preserve"> </w:t>
            </w:r>
            <w:r w:rsidR="00D0114E">
              <w:t>Oil-market specific variables</w:t>
            </w:r>
            <w:r w:rsidR="009B6353">
              <w:t xml:space="preserve"> and control variables</w:t>
            </w:r>
          </w:p>
        </w:tc>
      </w:tr>
      <w:tr w:rsidR="00E03589" w14:paraId="58AB1DF3" w14:textId="77777777" w:rsidTr="00CF2DBA">
        <w:trPr>
          <w:trHeight w:val="274"/>
          <w:jc w:val="center"/>
        </w:trPr>
        <w:tc>
          <w:tcPr>
            <w:tcW w:w="1371" w:type="dxa"/>
            <w:tcBorders>
              <w:top w:val="single" w:sz="4" w:space="0" w:color="auto"/>
            </w:tcBorders>
          </w:tcPr>
          <w:p w14:paraId="7D66BF76" w14:textId="77777777" w:rsidR="00E03589" w:rsidRDefault="00E03589" w:rsidP="0097396B">
            <w:pPr>
              <w:jc w:val="center"/>
            </w:pPr>
          </w:p>
        </w:tc>
        <w:tc>
          <w:tcPr>
            <w:tcW w:w="1119" w:type="dxa"/>
            <w:tcBorders>
              <w:top w:val="single" w:sz="4" w:space="0" w:color="auto"/>
              <w:bottom w:val="single" w:sz="4" w:space="0" w:color="auto"/>
            </w:tcBorders>
          </w:tcPr>
          <w:p w14:paraId="69CC1CC8" w14:textId="77777777" w:rsidR="00E03589" w:rsidRDefault="00E03589" w:rsidP="0097396B">
            <w:pPr>
              <w:jc w:val="center"/>
            </w:pPr>
            <w:r>
              <w:t>Mean</w:t>
            </w:r>
          </w:p>
        </w:tc>
        <w:tc>
          <w:tcPr>
            <w:tcW w:w="1208" w:type="dxa"/>
            <w:tcBorders>
              <w:top w:val="single" w:sz="4" w:space="0" w:color="auto"/>
              <w:bottom w:val="single" w:sz="4" w:space="0" w:color="auto"/>
            </w:tcBorders>
          </w:tcPr>
          <w:p w14:paraId="56791BDE" w14:textId="77777777" w:rsidR="00E03589" w:rsidRDefault="00E03589" w:rsidP="0097396B">
            <w:pPr>
              <w:jc w:val="center"/>
            </w:pPr>
            <w:r>
              <w:t>Median</w:t>
            </w:r>
          </w:p>
        </w:tc>
        <w:tc>
          <w:tcPr>
            <w:tcW w:w="1116" w:type="dxa"/>
            <w:tcBorders>
              <w:top w:val="single" w:sz="4" w:space="0" w:color="auto"/>
              <w:bottom w:val="single" w:sz="4" w:space="0" w:color="auto"/>
            </w:tcBorders>
          </w:tcPr>
          <w:p w14:paraId="7F2EED1C" w14:textId="77777777" w:rsidR="00E03589" w:rsidRDefault="00E03589" w:rsidP="0097396B">
            <w:pPr>
              <w:jc w:val="center"/>
            </w:pPr>
            <w:r>
              <w:t>Max.</w:t>
            </w:r>
          </w:p>
        </w:tc>
        <w:tc>
          <w:tcPr>
            <w:tcW w:w="1199" w:type="dxa"/>
            <w:tcBorders>
              <w:top w:val="single" w:sz="4" w:space="0" w:color="auto"/>
              <w:bottom w:val="single" w:sz="4" w:space="0" w:color="auto"/>
            </w:tcBorders>
          </w:tcPr>
          <w:p w14:paraId="464B46BB" w14:textId="77777777" w:rsidR="00E03589" w:rsidRDefault="00E03589" w:rsidP="0097396B">
            <w:pPr>
              <w:jc w:val="center"/>
            </w:pPr>
            <w:r>
              <w:t>Min.</w:t>
            </w:r>
          </w:p>
        </w:tc>
        <w:tc>
          <w:tcPr>
            <w:tcW w:w="1009" w:type="dxa"/>
            <w:tcBorders>
              <w:top w:val="single" w:sz="4" w:space="0" w:color="auto"/>
              <w:bottom w:val="single" w:sz="4" w:space="0" w:color="auto"/>
            </w:tcBorders>
          </w:tcPr>
          <w:p w14:paraId="50E53BA4" w14:textId="77777777" w:rsidR="00E03589" w:rsidRDefault="00E03589" w:rsidP="0097396B">
            <w:pPr>
              <w:jc w:val="center"/>
            </w:pPr>
            <w:proofErr w:type="spellStart"/>
            <w:r>
              <w:t>St.Dev</w:t>
            </w:r>
            <w:proofErr w:type="spellEnd"/>
            <w:r>
              <w:t>.</w:t>
            </w:r>
          </w:p>
        </w:tc>
        <w:tc>
          <w:tcPr>
            <w:tcW w:w="1468" w:type="dxa"/>
            <w:tcBorders>
              <w:top w:val="single" w:sz="4" w:space="0" w:color="auto"/>
              <w:bottom w:val="single" w:sz="4" w:space="0" w:color="auto"/>
            </w:tcBorders>
          </w:tcPr>
          <w:p w14:paraId="052DD5E7" w14:textId="77777777" w:rsidR="00E03589" w:rsidRDefault="00E03589" w:rsidP="0097396B">
            <w:pPr>
              <w:jc w:val="center"/>
            </w:pPr>
            <w:r>
              <w:t>Skewness</w:t>
            </w:r>
          </w:p>
        </w:tc>
        <w:tc>
          <w:tcPr>
            <w:tcW w:w="1301" w:type="dxa"/>
            <w:tcBorders>
              <w:top w:val="single" w:sz="4" w:space="0" w:color="auto"/>
              <w:bottom w:val="single" w:sz="4" w:space="0" w:color="auto"/>
            </w:tcBorders>
          </w:tcPr>
          <w:p w14:paraId="4A73B1CB" w14:textId="77777777" w:rsidR="00E03589" w:rsidRDefault="00E03589" w:rsidP="0097396B">
            <w:pPr>
              <w:jc w:val="center"/>
            </w:pPr>
            <w:r>
              <w:t>Kurtosis</w:t>
            </w:r>
          </w:p>
        </w:tc>
        <w:tc>
          <w:tcPr>
            <w:tcW w:w="1589" w:type="dxa"/>
            <w:tcBorders>
              <w:top w:val="single" w:sz="4" w:space="0" w:color="auto"/>
              <w:bottom w:val="single" w:sz="4" w:space="0" w:color="auto"/>
            </w:tcBorders>
          </w:tcPr>
          <w:p w14:paraId="53789F66" w14:textId="77777777" w:rsidR="00E03589" w:rsidRDefault="00E03589" w:rsidP="0097396B">
            <w:pPr>
              <w:jc w:val="center"/>
            </w:pPr>
            <w:r>
              <w:t>J-B</w:t>
            </w:r>
          </w:p>
        </w:tc>
        <w:tc>
          <w:tcPr>
            <w:tcW w:w="1143" w:type="dxa"/>
            <w:tcBorders>
              <w:top w:val="single" w:sz="4" w:space="0" w:color="auto"/>
              <w:bottom w:val="single" w:sz="4" w:space="0" w:color="auto"/>
            </w:tcBorders>
          </w:tcPr>
          <w:p w14:paraId="5587E00C" w14:textId="77777777" w:rsidR="00E03589" w:rsidRDefault="00E03589" w:rsidP="0097396B">
            <w:pPr>
              <w:jc w:val="center"/>
            </w:pPr>
            <w:r>
              <w:t>Prob.</w:t>
            </w:r>
          </w:p>
        </w:tc>
      </w:tr>
      <w:tr w:rsidR="00E03589" w14:paraId="711B232A" w14:textId="77777777" w:rsidTr="00CF2DBA">
        <w:trPr>
          <w:trHeight w:val="284"/>
          <w:jc w:val="center"/>
        </w:trPr>
        <w:tc>
          <w:tcPr>
            <w:tcW w:w="1371" w:type="dxa"/>
          </w:tcPr>
          <w:p w14:paraId="37A8DB34" w14:textId="77777777" w:rsidR="00E03589" w:rsidRDefault="00BE5140" w:rsidP="0097396B">
            <w:pPr>
              <w:jc w:val="center"/>
            </w:pPr>
            <w:r>
              <w:t>PRO</w:t>
            </w:r>
          </w:p>
        </w:tc>
        <w:tc>
          <w:tcPr>
            <w:tcW w:w="1119" w:type="dxa"/>
            <w:tcBorders>
              <w:top w:val="single" w:sz="4" w:space="0" w:color="auto"/>
            </w:tcBorders>
          </w:tcPr>
          <w:p w14:paraId="63EE3141" w14:textId="2F0EDCDE" w:rsidR="00E03589" w:rsidRDefault="008F4274" w:rsidP="0097396B">
            <w:pPr>
              <w:jc w:val="center"/>
            </w:pPr>
            <w:r>
              <w:t>72938.22</w:t>
            </w:r>
          </w:p>
        </w:tc>
        <w:tc>
          <w:tcPr>
            <w:tcW w:w="1208" w:type="dxa"/>
            <w:tcBorders>
              <w:top w:val="single" w:sz="4" w:space="0" w:color="auto"/>
            </w:tcBorders>
          </w:tcPr>
          <w:p w14:paraId="43E482E0" w14:textId="1815EA84" w:rsidR="00E03589" w:rsidRDefault="008F4274" w:rsidP="0097396B">
            <w:pPr>
              <w:jc w:val="center"/>
            </w:pPr>
            <w:r>
              <w:t>73448.49</w:t>
            </w:r>
          </w:p>
        </w:tc>
        <w:tc>
          <w:tcPr>
            <w:tcW w:w="1116" w:type="dxa"/>
            <w:tcBorders>
              <w:top w:val="single" w:sz="4" w:space="0" w:color="auto"/>
            </w:tcBorders>
          </w:tcPr>
          <w:p w14:paraId="307D934F" w14:textId="21D17037" w:rsidR="00E03589" w:rsidRDefault="008F4274" w:rsidP="0097396B">
            <w:pPr>
              <w:jc w:val="center"/>
            </w:pPr>
            <w:r>
              <w:t>81205.06</w:t>
            </w:r>
          </w:p>
        </w:tc>
        <w:tc>
          <w:tcPr>
            <w:tcW w:w="1199" w:type="dxa"/>
            <w:tcBorders>
              <w:top w:val="single" w:sz="4" w:space="0" w:color="auto"/>
            </w:tcBorders>
          </w:tcPr>
          <w:p w14:paraId="5C88FF8F" w14:textId="77777777" w:rsidR="00E03589" w:rsidRDefault="008A7ED8" w:rsidP="0097396B">
            <w:pPr>
              <w:jc w:val="center"/>
            </w:pPr>
            <w:r>
              <w:t>64798.05</w:t>
            </w:r>
          </w:p>
        </w:tc>
        <w:tc>
          <w:tcPr>
            <w:tcW w:w="1009" w:type="dxa"/>
            <w:tcBorders>
              <w:top w:val="single" w:sz="4" w:space="0" w:color="auto"/>
            </w:tcBorders>
          </w:tcPr>
          <w:p w14:paraId="0EC10431" w14:textId="664238DD" w:rsidR="00E03589" w:rsidRDefault="008F4274" w:rsidP="0097396B">
            <w:pPr>
              <w:jc w:val="center"/>
            </w:pPr>
            <w:r>
              <w:t>3901.09</w:t>
            </w:r>
          </w:p>
        </w:tc>
        <w:tc>
          <w:tcPr>
            <w:tcW w:w="1468" w:type="dxa"/>
            <w:tcBorders>
              <w:top w:val="single" w:sz="4" w:space="0" w:color="auto"/>
            </w:tcBorders>
          </w:tcPr>
          <w:p w14:paraId="1DCA8D37" w14:textId="5B96005B" w:rsidR="00E03589" w:rsidRDefault="008F4274" w:rsidP="0097396B">
            <w:pPr>
              <w:jc w:val="center"/>
            </w:pPr>
            <w:r>
              <w:t>-0.1050</w:t>
            </w:r>
          </w:p>
        </w:tc>
        <w:tc>
          <w:tcPr>
            <w:tcW w:w="1301" w:type="dxa"/>
            <w:tcBorders>
              <w:top w:val="single" w:sz="4" w:space="0" w:color="auto"/>
            </w:tcBorders>
          </w:tcPr>
          <w:p w14:paraId="7E984068" w14:textId="0A5A2E56" w:rsidR="00E03589" w:rsidRDefault="008F4274" w:rsidP="0097396B">
            <w:pPr>
              <w:jc w:val="center"/>
            </w:pPr>
            <w:r>
              <w:t>2.4700</w:t>
            </w:r>
          </w:p>
        </w:tc>
        <w:tc>
          <w:tcPr>
            <w:tcW w:w="1589" w:type="dxa"/>
            <w:tcBorders>
              <w:top w:val="single" w:sz="4" w:space="0" w:color="auto"/>
            </w:tcBorders>
          </w:tcPr>
          <w:p w14:paraId="31EBD649" w14:textId="356533F4" w:rsidR="00E03589" w:rsidRDefault="008F4274" w:rsidP="0097396B">
            <w:pPr>
              <w:jc w:val="center"/>
            </w:pPr>
            <w:r>
              <w:t>2.7762</w:t>
            </w:r>
          </w:p>
        </w:tc>
        <w:tc>
          <w:tcPr>
            <w:tcW w:w="1143" w:type="dxa"/>
            <w:tcBorders>
              <w:top w:val="single" w:sz="4" w:space="0" w:color="auto"/>
            </w:tcBorders>
          </w:tcPr>
          <w:p w14:paraId="3F8875C7" w14:textId="6FD92FE1" w:rsidR="00E03589" w:rsidRDefault="008F4274" w:rsidP="0097396B">
            <w:pPr>
              <w:jc w:val="center"/>
            </w:pPr>
            <w:r>
              <w:t>0.2495</w:t>
            </w:r>
          </w:p>
        </w:tc>
      </w:tr>
      <w:tr w:rsidR="00E03589" w14:paraId="7C530C8A" w14:textId="77777777" w:rsidTr="00CF2DBA">
        <w:trPr>
          <w:trHeight w:val="284"/>
          <w:jc w:val="center"/>
        </w:trPr>
        <w:tc>
          <w:tcPr>
            <w:tcW w:w="1371" w:type="dxa"/>
          </w:tcPr>
          <w:p w14:paraId="3920F439" w14:textId="77777777" w:rsidR="00E03589" w:rsidRDefault="00BE5140" w:rsidP="0097396B">
            <w:pPr>
              <w:jc w:val="center"/>
            </w:pPr>
            <w:r>
              <w:t>GEA</w:t>
            </w:r>
          </w:p>
        </w:tc>
        <w:tc>
          <w:tcPr>
            <w:tcW w:w="1119" w:type="dxa"/>
          </w:tcPr>
          <w:p w14:paraId="40461330" w14:textId="55735D7C" w:rsidR="00E03589" w:rsidRDefault="00746D4A" w:rsidP="0097396B">
            <w:pPr>
              <w:jc w:val="center"/>
            </w:pPr>
            <w:r>
              <w:t>0.0811</w:t>
            </w:r>
          </w:p>
        </w:tc>
        <w:tc>
          <w:tcPr>
            <w:tcW w:w="1208" w:type="dxa"/>
          </w:tcPr>
          <w:p w14:paraId="5B5AE22A" w14:textId="74B1457C" w:rsidR="00E03589" w:rsidRDefault="00746D4A" w:rsidP="0097396B">
            <w:pPr>
              <w:jc w:val="center"/>
            </w:pPr>
            <w:r>
              <w:t>0.0600</w:t>
            </w:r>
          </w:p>
        </w:tc>
        <w:tc>
          <w:tcPr>
            <w:tcW w:w="1116" w:type="dxa"/>
          </w:tcPr>
          <w:p w14:paraId="48A35B45" w14:textId="77777777" w:rsidR="00E03589" w:rsidRDefault="00E03589" w:rsidP="0097396B">
            <w:pPr>
              <w:jc w:val="center"/>
            </w:pPr>
            <w:r>
              <w:t>0.6636</w:t>
            </w:r>
          </w:p>
        </w:tc>
        <w:tc>
          <w:tcPr>
            <w:tcW w:w="1199" w:type="dxa"/>
          </w:tcPr>
          <w:p w14:paraId="3DF14321" w14:textId="6CD14C00" w:rsidR="00E03589" w:rsidRDefault="00746D4A" w:rsidP="0097396B">
            <w:pPr>
              <w:jc w:val="center"/>
            </w:pPr>
            <w:r>
              <w:t>-0.9557</w:t>
            </w:r>
          </w:p>
        </w:tc>
        <w:tc>
          <w:tcPr>
            <w:tcW w:w="1009" w:type="dxa"/>
          </w:tcPr>
          <w:p w14:paraId="6BA91364" w14:textId="24C21AC5" w:rsidR="00E03589" w:rsidRDefault="00746D4A" w:rsidP="0097396B">
            <w:pPr>
              <w:jc w:val="center"/>
            </w:pPr>
            <w:r>
              <w:t>0.3087</w:t>
            </w:r>
          </w:p>
        </w:tc>
        <w:tc>
          <w:tcPr>
            <w:tcW w:w="1468" w:type="dxa"/>
          </w:tcPr>
          <w:p w14:paraId="5059CB54" w14:textId="0B7B3775" w:rsidR="00E03589" w:rsidRDefault="00746D4A" w:rsidP="0097396B">
            <w:pPr>
              <w:jc w:val="center"/>
            </w:pPr>
            <w:r>
              <w:t>-0.1050</w:t>
            </w:r>
          </w:p>
        </w:tc>
        <w:tc>
          <w:tcPr>
            <w:tcW w:w="1301" w:type="dxa"/>
          </w:tcPr>
          <w:p w14:paraId="1FDA33DA" w14:textId="63C413C0" w:rsidR="00E03589" w:rsidRDefault="00746D4A" w:rsidP="0097396B">
            <w:pPr>
              <w:jc w:val="center"/>
            </w:pPr>
            <w:r>
              <w:t>2.5183</w:t>
            </w:r>
          </w:p>
        </w:tc>
        <w:tc>
          <w:tcPr>
            <w:tcW w:w="1589" w:type="dxa"/>
          </w:tcPr>
          <w:p w14:paraId="1103FFF9" w14:textId="0B1153E5" w:rsidR="00E03589" w:rsidRDefault="00746D4A" w:rsidP="0097396B">
            <w:pPr>
              <w:jc w:val="center"/>
            </w:pPr>
            <w:r>
              <w:t>2.7993</w:t>
            </w:r>
          </w:p>
        </w:tc>
        <w:tc>
          <w:tcPr>
            <w:tcW w:w="1143" w:type="dxa"/>
          </w:tcPr>
          <w:p w14:paraId="617FBBC3" w14:textId="77B43F86" w:rsidR="00E03589" w:rsidRDefault="00746D4A" w:rsidP="0097396B">
            <w:pPr>
              <w:jc w:val="center"/>
            </w:pPr>
            <w:r>
              <w:t>0.2467</w:t>
            </w:r>
          </w:p>
        </w:tc>
      </w:tr>
      <w:tr w:rsidR="00E03589" w14:paraId="2CD636FB" w14:textId="77777777" w:rsidTr="00CF2DBA">
        <w:trPr>
          <w:trHeight w:val="274"/>
          <w:jc w:val="center"/>
        </w:trPr>
        <w:tc>
          <w:tcPr>
            <w:tcW w:w="1371" w:type="dxa"/>
          </w:tcPr>
          <w:p w14:paraId="19150F22" w14:textId="77777777" w:rsidR="00E03589" w:rsidRDefault="00BE5140" w:rsidP="0097396B">
            <w:pPr>
              <w:jc w:val="center"/>
            </w:pPr>
            <w:r>
              <w:t>ROP</w:t>
            </w:r>
          </w:p>
        </w:tc>
        <w:tc>
          <w:tcPr>
            <w:tcW w:w="1119" w:type="dxa"/>
          </w:tcPr>
          <w:p w14:paraId="57F24EB6" w14:textId="5B426701" w:rsidR="00E03589" w:rsidRDefault="00746D4A" w:rsidP="0097396B">
            <w:pPr>
              <w:jc w:val="center"/>
            </w:pPr>
            <w:r>
              <w:t>29.6913</w:t>
            </w:r>
          </w:p>
        </w:tc>
        <w:tc>
          <w:tcPr>
            <w:tcW w:w="1208" w:type="dxa"/>
          </w:tcPr>
          <w:p w14:paraId="05C28146" w14:textId="3E9DD009" w:rsidR="00E03589" w:rsidRDefault="00746D4A" w:rsidP="0097396B">
            <w:pPr>
              <w:jc w:val="center"/>
            </w:pPr>
            <w:r>
              <w:t>27.5764</w:t>
            </w:r>
          </w:p>
        </w:tc>
        <w:tc>
          <w:tcPr>
            <w:tcW w:w="1116" w:type="dxa"/>
          </w:tcPr>
          <w:p w14:paraId="11E61627" w14:textId="77777777" w:rsidR="00E03589" w:rsidRDefault="00916B8C" w:rsidP="0097396B">
            <w:pPr>
              <w:jc w:val="center"/>
            </w:pPr>
            <w:r>
              <w:t>65.4427</w:t>
            </w:r>
          </w:p>
        </w:tc>
        <w:tc>
          <w:tcPr>
            <w:tcW w:w="1199" w:type="dxa"/>
          </w:tcPr>
          <w:p w14:paraId="42EC80BA" w14:textId="77777777" w:rsidR="00E03589" w:rsidRDefault="00916B8C" w:rsidP="0097396B">
            <w:pPr>
              <w:jc w:val="center"/>
            </w:pPr>
            <w:r>
              <w:t>6.0534</w:t>
            </w:r>
          </w:p>
        </w:tc>
        <w:tc>
          <w:tcPr>
            <w:tcW w:w="1009" w:type="dxa"/>
          </w:tcPr>
          <w:p w14:paraId="06134002" w14:textId="6B81BF88" w:rsidR="00E03589" w:rsidRDefault="00746D4A" w:rsidP="0097396B">
            <w:pPr>
              <w:jc w:val="center"/>
            </w:pPr>
            <w:r>
              <w:t>14.0001</w:t>
            </w:r>
          </w:p>
        </w:tc>
        <w:tc>
          <w:tcPr>
            <w:tcW w:w="1468" w:type="dxa"/>
          </w:tcPr>
          <w:p w14:paraId="2B8B3770" w14:textId="410F8F10" w:rsidR="00E03589" w:rsidRDefault="00746D4A" w:rsidP="0097396B">
            <w:pPr>
              <w:jc w:val="center"/>
            </w:pPr>
            <w:r>
              <w:t>0.3122</w:t>
            </w:r>
          </w:p>
        </w:tc>
        <w:tc>
          <w:tcPr>
            <w:tcW w:w="1301" w:type="dxa"/>
          </w:tcPr>
          <w:p w14:paraId="16DA8BB2" w14:textId="34DAD47F" w:rsidR="00E03589" w:rsidRDefault="00746D4A" w:rsidP="0097396B">
            <w:pPr>
              <w:jc w:val="center"/>
            </w:pPr>
            <w:r>
              <w:t>1.8856</w:t>
            </w:r>
          </w:p>
        </w:tc>
        <w:tc>
          <w:tcPr>
            <w:tcW w:w="1589" w:type="dxa"/>
          </w:tcPr>
          <w:p w14:paraId="592DF47E" w14:textId="2EEC5683" w:rsidR="00E03589" w:rsidRDefault="00746D4A" w:rsidP="0097396B">
            <w:pPr>
              <w:jc w:val="center"/>
            </w:pPr>
            <w:r>
              <w:t>13.9384</w:t>
            </w:r>
            <w:r w:rsidR="00E03589">
              <w:t>***</w:t>
            </w:r>
          </w:p>
        </w:tc>
        <w:tc>
          <w:tcPr>
            <w:tcW w:w="1143" w:type="dxa"/>
          </w:tcPr>
          <w:p w14:paraId="530974E4" w14:textId="4B7DE8CF" w:rsidR="00E03589" w:rsidRDefault="00916B8C" w:rsidP="0097396B">
            <w:pPr>
              <w:jc w:val="center"/>
            </w:pPr>
            <w:r>
              <w:t>0.000</w:t>
            </w:r>
            <w:r w:rsidR="00746D4A">
              <w:t>9</w:t>
            </w:r>
          </w:p>
        </w:tc>
      </w:tr>
      <w:tr w:rsidR="00C80EA4" w14:paraId="3F06B58E" w14:textId="77777777" w:rsidTr="00CF2DBA">
        <w:trPr>
          <w:trHeight w:val="274"/>
          <w:jc w:val="center"/>
        </w:trPr>
        <w:tc>
          <w:tcPr>
            <w:tcW w:w="1371" w:type="dxa"/>
          </w:tcPr>
          <w:p w14:paraId="0F287EDC" w14:textId="55C2F6CC" w:rsidR="00C80EA4" w:rsidRDefault="00C80EA4" w:rsidP="0097396B">
            <w:pPr>
              <w:jc w:val="center"/>
            </w:pPr>
            <w:r>
              <w:t>EPU</w:t>
            </w:r>
          </w:p>
        </w:tc>
        <w:tc>
          <w:tcPr>
            <w:tcW w:w="1119" w:type="dxa"/>
          </w:tcPr>
          <w:p w14:paraId="1F977A8B" w14:textId="076A2097" w:rsidR="00C80EA4" w:rsidRDefault="007F023D" w:rsidP="0097396B">
            <w:pPr>
              <w:jc w:val="center"/>
            </w:pPr>
            <w:r>
              <w:t>130.2943</w:t>
            </w:r>
          </w:p>
        </w:tc>
        <w:tc>
          <w:tcPr>
            <w:tcW w:w="1208" w:type="dxa"/>
          </w:tcPr>
          <w:p w14:paraId="1144D7F4" w14:textId="6281EBA5" w:rsidR="00C80EA4" w:rsidRDefault="007F023D" w:rsidP="0097396B">
            <w:pPr>
              <w:jc w:val="center"/>
            </w:pPr>
            <w:r>
              <w:t>119.9992</w:t>
            </w:r>
          </w:p>
        </w:tc>
        <w:tc>
          <w:tcPr>
            <w:tcW w:w="1116" w:type="dxa"/>
          </w:tcPr>
          <w:p w14:paraId="191D5AA0" w14:textId="54E4F8B4" w:rsidR="00C80EA4" w:rsidRDefault="007F023D" w:rsidP="0097396B">
            <w:pPr>
              <w:jc w:val="center"/>
            </w:pPr>
            <w:r>
              <w:t>304.6002</w:t>
            </w:r>
          </w:p>
        </w:tc>
        <w:tc>
          <w:tcPr>
            <w:tcW w:w="1199" w:type="dxa"/>
          </w:tcPr>
          <w:p w14:paraId="162A5B55" w14:textId="7F07031F" w:rsidR="00C80EA4" w:rsidRDefault="007F023D" w:rsidP="0097396B">
            <w:pPr>
              <w:jc w:val="center"/>
            </w:pPr>
            <w:r>
              <w:t>47.6923</w:t>
            </w:r>
          </w:p>
        </w:tc>
        <w:tc>
          <w:tcPr>
            <w:tcW w:w="1009" w:type="dxa"/>
          </w:tcPr>
          <w:p w14:paraId="71FE8FFC" w14:textId="5100E73A" w:rsidR="00C80EA4" w:rsidRDefault="007F023D" w:rsidP="0097396B">
            <w:pPr>
              <w:jc w:val="center"/>
            </w:pPr>
            <w:r>
              <w:t>52.4946</w:t>
            </w:r>
          </w:p>
        </w:tc>
        <w:tc>
          <w:tcPr>
            <w:tcW w:w="1468" w:type="dxa"/>
          </w:tcPr>
          <w:p w14:paraId="4DE6BB05" w14:textId="549C2CF4" w:rsidR="00C80EA4" w:rsidRDefault="007F023D" w:rsidP="0097396B">
            <w:pPr>
              <w:jc w:val="center"/>
            </w:pPr>
            <w:r>
              <w:t>0.6777</w:t>
            </w:r>
          </w:p>
        </w:tc>
        <w:tc>
          <w:tcPr>
            <w:tcW w:w="1301" w:type="dxa"/>
          </w:tcPr>
          <w:p w14:paraId="27A18E0D" w14:textId="6D1A56F1" w:rsidR="00C80EA4" w:rsidRDefault="007F023D" w:rsidP="0097396B">
            <w:pPr>
              <w:jc w:val="center"/>
            </w:pPr>
            <w:r>
              <w:t>2.8061</w:t>
            </w:r>
          </w:p>
        </w:tc>
        <w:tc>
          <w:tcPr>
            <w:tcW w:w="1589" w:type="dxa"/>
          </w:tcPr>
          <w:p w14:paraId="7BD35D63" w14:textId="505B9E50" w:rsidR="00C80EA4" w:rsidRDefault="007F023D" w:rsidP="0097396B">
            <w:pPr>
              <w:jc w:val="center"/>
            </w:pPr>
            <w:r>
              <w:t>16.0122***</w:t>
            </w:r>
          </w:p>
        </w:tc>
        <w:tc>
          <w:tcPr>
            <w:tcW w:w="1143" w:type="dxa"/>
          </w:tcPr>
          <w:p w14:paraId="76B2A8E8" w14:textId="74BCF4DE" w:rsidR="00C80EA4" w:rsidRDefault="007F023D" w:rsidP="0097396B">
            <w:pPr>
              <w:jc w:val="center"/>
            </w:pPr>
            <w:r>
              <w:t>0.0003</w:t>
            </w:r>
          </w:p>
        </w:tc>
      </w:tr>
      <w:tr w:rsidR="00C80EA4" w14:paraId="65BB593D" w14:textId="77777777" w:rsidTr="00CF2DBA">
        <w:trPr>
          <w:trHeight w:val="274"/>
          <w:jc w:val="center"/>
        </w:trPr>
        <w:tc>
          <w:tcPr>
            <w:tcW w:w="1371" w:type="dxa"/>
          </w:tcPr>
          <w:p w14:paraId="0FDA6C59" w14:textId="64F3130F" w:rsidR="00C80EA4" w:rsidRDefault="00C80EA4" w:rsidP="0097396B">
            <w:pPr>
              <w:jc w:val="center"/>
            </w:pPr>
            <w:r>
              <w:t>MPU</w:t>
            </w:r>
          </w:p>
        </w:tc>
        <w:tc>
          <w:tcPr>
            <w:tcW w:w="1119" w:type="dxa"/>
          </w:tcPr>
          <w:p w14:paraId="497B444F" w14:textId="35116236" w:rsidR="00C80EA4" w:rsidRDefault="007F023D" w:rsidP="0097396B">
            <w:pPr>
              <w:jc w:val="center"/>
            </w:pPr>
            <w:r>
              <w:t>100.1870</w:t>
            </w:r>
          </w:p>
        </w:tc>
        <w:tc>
          <w:tcPr>
            <w:tcW w:w="1208" w:type="dxa"/>
          </w:tcPr>
          <w:p w14:paraId="18F86A76" w14:textId="24243D5E" w:rsidR="00C80EA4" w:rsidRDefault="007F023D" w:rsidP="0097396B">
            <w:pPr>
              <w:jc w:val="center"/>
            </w:pPr>
            <w:r>
              <w:t>92.9904</w:t>
            </w:r>
          </w:p>
        </w:tc>
        <w:tc>
          <w:tcPr>
            <w:tcW w:w="1116" w:type="dxa"/>
          </w:tcPr>
          <w:p w14:paraId="0D18E997" w14:textId="44C83094" w:rsidR="00C80EA4" w:rsidRDefault="007F023D" w:rsidP="0097396B">
            <w:pPr>
              <w:jc w:val="center"/>
            </w:pPr>
            <w:r>
              <w:t>370.4282</w:t>
            </w:r>
          </w:p>
        </w:tc>
        <w:tc>
          <w:tcPr>
            <w:tcW w:w="1199" w:type="dxa"/>
          </w:tcPr>
          <w:p w14:paraId="0FC60C97" w14:textId="05B5872B" w:rsidR="00C80EA4" w:rsidRDefault="007F023D" w:rsidP="0097396B">
            <w:pPr>
              <w:jc w:val="center"/>
            </w:pPr>
            <w:r>
              <w:t>15.2935</w:t>
            </w:r>
          </w:p>
        </w:tc>
        <w:tc>
          <w:tcPr>
            <w:tcW w:w="1009" w:type="dxa"/>
          </w:tcPr>
          <w:p w14:paraId="3BDDC251" w14:textId="47C07325" w:rsidR="00C80EA4" w:rsidRDefault="007F023D" w:rsidP="0097396B">
            <w:pPr>
              <w:jc w:val="center"/>
            </w:pPr>
            <w:r>
              <w:t>52.4935</w:t>
            </w:r>
          </w:p>
        </w:tc>
        <w:tc>
          <w:tcPr>
            <w:tcW w:w="1468" w:type="dxa"/>
          </w:tcPr>
          <w:p w14:paraId="45745F83" w14:textId="39B8774F" w:rsidR="00C80EA4" w:rsidRDefault="007F023D" w:rsidP="0097396B">
            <w:pPr>
              <w:jc w:val="center"/>
            </w:pPr>
            <w:r>
              <w:t>1.6620</w:t>
            </w:r>
          </w:p>
        </w:tc>
        <w:tc>
          <w:tcPr>
            <w:tcW w:w="1301" w:type="dxa"/>
          </w:tcPr>
          <w:p w14:paraId="1C810660" w14:textId="57DE1237" w:rsidR="00C80EA4" w:rsidRDefault="007F023D" w:rsidP="0097396B">
            <w:pPr>
              <w:jc w:val="center"/>
            </w:pPr>
            <w:r>
              <w:t>7.8087</w:t>
            </w:r>
          </w:p>
        </w:tc>
        <w:tc>
          <w:tcPr>
            <w:tcW w:w="1589" w:type="dxa"/>
          </w:tcPr>
          <w:p w14:paraId="1CDE45ED" w14:textId="30197BAB" w:rsidR="00C80EA4" w:rsidRDefault="007F023D" w:rsidP="0097396B">
            <w:pPr>
              <w:jc w:val="center"/>
            </w:pPr>
            <w:r>
              <w:t>291.8889***</w:t>
            </w:r>
          </w:p>
        </w:tc>
        <w:tc>
          <w:tcPr>
            <w:tcW w:w="1143" w:type="dxa"/>
          </w:tcPr>
          <w:p w14:paraId="162D5FA7" w14:textId="335E1949" w:rsidR="00C80EA4" w:rsidRDefault="007F023D" w:rsidP="0097396B">
            <w:pPr>
              <w:jc w:val="center"/>
            </w:pPr>
            <w:r>
              <w:t>0.0000</w:t>
            </w:r>
          </w:p>
        </w:tc>
      </w:tr>
      <w:tr w:rsidR="00C80EA4" w14:paraId="7A5E298A" w14:textId="77777777" w:rsidTr="00CF2DBA">
        <w:trPr>
          <w:trHeight w:val="274"/>
          <w:jc w:val="center"/>
        </w:trPr>
        <w:tc>
          <w:tcPr>
            <w:tcW w:w="1371" w:type="dxa"/>
          </w:tcPr>
          <w:p w14:paraId="3F98C69B" w14:textId="65FF781C" w:rsidR="00C80EA4" w:rsidRDefault="00C80EA4" w:rsidP="0097396B">
            <w:pPr>
              <w:jc w:val="center"/>
            </w:pPr>
            <w:r>
              <w:t>VOL</w:t>
            </w:r>
          </w:p>
        </w:tc>
        <w:tc>
          <w:tcPr>
            <w:tcW w:w="1119" w:type="dxa"/>
          </w:tcPr>
          <w:p w14:paraId="6308055E" w14:textId="35D6BAE0" w:rsidR="00C80EA4" w:rsidRDefault="007F023D" w:rsidP="0097396B">
            <w:pPr>
              <w:jc w:val="center"/>
            </w:pPr>
            <w:r>
              <w:t>25.2468</w:t>
            </w:r>
          </w:p>
        </w:tc>
        <w:tc>
          <w:tcPr>
            <w:tcW w:w="1208" w:type="dxa"/>
          </w:tcPr>
          <w:p w14:paraId="45C2D7EA" w14:textId="321C005F" w:rsidR="00C80EA4" w:rsidRDefault="007F023D" w:rsidP="0097396B">
            <w:pPr>
              <w:jc w:val="center"/>
            </w:pPr>
            <w:r>
              <w:t>23.1200</w:t>
            </w:r>
          </w:p>
        </w:tc>
        <w:tc>
          <w:tcPr>
            <w:tcW w:w="1116" w:type="dxa"/>
          </w:tcPr>
          <w:p w14:paraId="5EE21402" w14:textId="6978345E" w:rsidR="00C80EA4" w:rsidRDefault="007F023D" w:rsidP="0097396B">
            <w:pPr>
              <w:jc w:val="center"/>
            </w:pPr>
            <w:r>
              <w:t>81.0300</w:t>
            </w:r>
          </w:p>
        </w:tc>
        <w:tc>
          <w:tcPr>
            <w:tcW w:w="1199" w:type="dxa"/>
          </w:tcPr>
          <w:p w14:paraId="22266F10" w14:textId="688FBD6B" w:rsidR="00C80EA4" w:rsidRDefault="007F023D" w:rsidP="0097396B">
            <w:pPr>
              <w:jc w:val="center"/>
            </w:pPr>
            <w:r>
              <w:t>11.9900</w:t>
            </w:r>
          </w:p>
        </w:tc>
        <w:tc>
          <w:tcPr>
            <w:tcW w:w="1009" w:type="dxa"/>
          </w:tcPr>
          <w:p w14:paraId="377F8697" w14:textId="2D8BE933" w:rsidR="00C80EA4" w:rsidRDefault="007F023D" w:rsidP="0097396B">
            <w:pPr>
              <w:jc w:val="center"/>
            </w:pPr>
            <w:r>
              <w:t>9.9416</w:t>
            </w:r>
          </w:p>
        </w:tc>
        <w:tc>
          <w:tcPr>
            <w:tcW w:w="1468" w:type="dxa"/>
          </w:tcPr>
          <w:p w14:paraId="325B172A" w14:textId="654AB08E" w:rsidR="00C80EA4" w:rsidRDefault="007F023D" w:rsidP="0097396B">
            <w:pPr>
              <w:jc w:val="center"/>
            </w:pPr>
            <w:r>
              <w:t>1.8443</w:t>
            </w:r>
          </w:p>
        </w:tc>
        <w:tc>
          <w:tcPr>
            <w:tcW w:w="1301" w:type="dxa"/>
          </w:tcPr>
          <w:p w14:paraId="6B946499" w14:textId="152B5D1E" w:rsidR="00C80EA4" w:rsidRDefault="007F023D" w:rsidP="0097396B">
            <w:pPr>
              <w:jc w:val="center"/>
            </w:pPr>
            <w:r>
              <w:t>8.3227</w:t>
            </w:r>
          </w:p>
        </w:tc>
        <w:tc>
          <w:tcPr>
            <w:tcW w:w="1589" w:type="dxa"/>
          </w:tcPr>
          <w:p w14:paraId="36E42038" w14:textId="362AF486" w:rsidR="00C80EA4" w:rsidRDefault="007F023D" w:rsidP="0097396B">
            <w:pPr>
              <w:jc w:val="center"/>
            </w:pPr>
            <w:r>
              <w:t>358.2069***</w:t>
            </w:r>
          </w:p>
        </w:tc>
        <w:tc>
          <w:tcPr>
            <w:tcW w:w="1143" w:type="dxa"/>
          </w:tcPr>
          <w:p w14:paraId="68B4C7B4" w14:textId="12C4E95A" w:rsidR="00C80EA4" w:rsidRDefault="007F023D" w:rsidP="0097396B">
            <w:pPr>
              <w:jc w:val="center"/>
            </w:pPr>
            <w:r>
              <w:t>0.0000</w:t>
            </w:r>
          </w:p>
        </w:tc>
      </w:tr>
      <w:tr w:rsidR="00C80EA4" w14:paraId="5B9D82F8" w14:textId="77777777" w:rsidTr="00CF2DBA">
        <w:trPr>
          <w:trHeight w:val="274"/>
          <w:jc w:val="center"/>
        </w:trPr>
        <w:tc>
          <w:tcPr>
            <w:tcW w:w="1371" w:type="dxa"/>
          </w:tcPr>
          <w:p w14:paraId="08B31802" w14:textId="533B7D13" w:rsidR="00C80EA4" w:rsidRDefault="00C80EA4" w:rsidP="0097396B">
            <w:pPr>
              <w:jc w:val="center"/>
            </w:pPr>
            <w:r>
              <w:t>ROV</w:t>
            </w:r>
          </w:p>
        </w:tc>
        <w:tc>
          <w:tcPr>
            <w:tcW w:w="1119" w:type="dxa"/>
          </w:tcPr>
          <w:p w14:paraId="59ACC636" w14:textId="0A42E6B8" w:rsidR="00C80EA4" w:rsidRDefault="007F023D" w:rsidP="0097396B">
            <w:pPr>
              <w:jc w:val="center"/>
            </w:pPr>
            <w:r>
              <w:t>33.3037</w:t>
            </w:r>
          </w:p>
        </w:tc>
        <w:tc>
          <w:tcPr>
            <w:tcW w:w="1208" w:type="dxa"/>
          </w:tcPr>
          <w:p w14:paraId="543CFC61" w14:textId="6CF90143" w:rsidR="00C80EA4" w:rsidRDefault="007F023D" w:rsidP="0097396B">
            <w:pPr>
              <w:jc w:val="center"/>
            </w:pPr>
            <w:r>
              <w:t>32.1759</w:t>
            </w:r>
          </w:p>
        </w:tc>
        <w:tc>
          <w:tcPr>
            <w:tcW w:w="1116" w:type="dxa"/>
          </w:tcPr>
          <w:p w14:paraId="42AAEB42" w14:textId="4FBF7ED6" w:rsidR="00C80EA4" w:rsidRDefault="007F023D" w:rsidP="0097396B">
            <w:pPr>
              <w:jc w:val="center"/>
            </w:pPr>
            <w:r>
              <w:t>102.6001</w:t>
            </w:r>
          </w:p>
        </w:tc>
        <w:tc>
          <w:tcPr>
            <w:tcW w:w="1199" w:type="dxa"/>
          </w:tcPr>
          <w:p w14:paraId="32100A89" w14:textId="2259647A" w:rsidR="00C80EA4" w:rsidRDefault="007F023D" w:rsidP="0097396B">
            <w:pPr>
              <w:jc w:val="center"/>
            </w:pPr>
            <w:r>
              <w:t>9.3144</w:t>
            </w:r>
          </w:p>
        </w:tc>
        <w:tc>
          <w:tcPr>
            <w:tcW w:w="1009" w:type="dxa"/>
          </w:tcPr>
          <w:p w14:paraId="2C70EF28" w14:textId="37EC86C3" w:rsidR="00C80EA4" w:rsidRDefault="007F023D" w:rsidP="0097396B">
            <w:pPr>
              <w:jc w:val="center"/>
            </w:pPr>
            <w:r>
              <w:t>14.2368</w:t>
            </w:r>
          </w:p>
        </w:tc>
        <w:tc>
          <w:tcPr>
            <w:tcW w:w="1468" w:type="dxa"/>
          </w:tcPr>
          <w:p w14:paraId="03938CA7" w14:textId="6DCFEB74" w:rsidR="00C80EA4" w:rsidRDefault="007F023D" w:rsidP="0097396B">
            <w:pPr>
              <w:jc w:val="center"/>
            </w:pPr>
            <w:r>
              <w:t>1.5768</w:t>
            </w:r>
          </w:p>
        </w:tc>
        <w:tc>
          <w:tcPr>
            <w:tcW w:w="1301" w:type="dxa"/>
          </w:tcPr>
          <w:p w14:paraId="4E87A235" w14:textId="305DDDF9" w:rsidR="00C80EA4" w:rsidRDefault="007F023D" w:rsidP="0097396B">
            <w:pPr>
              <w:jc w:val="center"/>
            </w:pPr>
            <w:r>
              <w:t>7.4579</w:t>
            </w:r>
          </w:p>
        </w:tc>
        <w:tc>
          <w:tcPr>
            <w:tcW w:w="1589" w:type="dxa"/>
          </w:tcPr>
          <w:p w14:paraId="4466A64B" w14:textId="48504117" w:rsidR="00C80EA4" w:rsidRDefault="007F023D" w:rsidP="0097396B">
            <w:pPr>
              <w:jc w:val="center"/>
            </w:pPr>
            <w:r>
              <w:t>254.6974***</w:t>
            </w:r>
          </w:p>
        </w:tc>
        <w:tc>
          <w:tcPr>
            <w:tcW w:w="1143" w:type="dxa"/>
          </w:tcPr>
          <w:p w14:paraId="31065953" w14:textId="46C29DFC" w:rsidR="00C80EA4" w:rsidRDefault="007F023D" w:rsidP="0097396B">
            <w:pPr>
              <w:jc w:val="center"/>
            </w:pPr>
            <w:r>
              <w:t>0.0000</w:t>
            </w:r>
          </w:p>
        </w:tc>
      </w:tr>
      <w:tr w:rsidR="00271FCE" w14:paraId="1B1EBB41" w14:textId="77777777" w:rsidTr="00677B10">
        <w:trPr>
          <w:trHeight w:val="284"/>
          <w:jc w:val="center"/>
        </w:trPr>
        <w:tc>
          <w:tcPr>
            <w:tcW w:w="12523" w:type="dxa"/>
            <w:gridSpan w:val="10"/>
            <w:tcBorders>
              <w:top w:val="single" w:sz="4" w:space="0" w:color="auto"/>
              <w:bottom w:val="single" w:sz="4" w:space="0" w:color="auto"/>
            </w:tcBorders>
          </w:tcPr>
          <w:p w14:paraId="31080118" w14:textId="4AFCB185" w:rsidR="005B105D" w:rsidRPr="00082A34" w:rsidRDefault="00271FCE" w:rsidP="00082A34">
            <w:pPr>
              <w:jc w:val="both"/>
              <w:rPr>
                <w:sz w:val="20"/>
                <w:szCs w:val="20"/>
              </w:rPr>
            </w:pPr>
            <w:r w:rsidRPr="0071671B">
              <w:rPr>
                <w:sz w:val="20"/>
                <w:szCs w:val="20"/>
              </w:rPr>
              <w:t xml:space="preserve">Note: </w:t>
            </w:r>
            <w:r w:rsidR="005B105D" w:rsidRPr="0071671B">
              <w:rPr>
                <w:sz w:val="20"/>
                <w:szCs w:val="20"/>
              </w:rPr>
              <w:t>This table summarises descriptive statistics (sample mean, median, maximum, minimum, stand</w:t>
            </w:r>
            <w:r w:rsidR="008966BF">
              <w:rPr>
                <w:sz w:val="20"/>
                <w:szCs w:val="20"/>
              </w:rPr>
              <w:t xml:space="preserve">ard deviation, skewness, </w:t>
            </w:r>
            <w:r w:rsidR="005B105D" w:rsidRPr="0071671B">
              <w:rPr>
                <w:sz w:val="20"/>
                <w:szCs w:val="20"/>
              </w:rPr>
              <w:t xml:space="preserve">kurtosis, the </w:t>
            </w:r>
            <w:proofErr w:type="spellStart"/>
            <w:r w:rsidR="005B105D" w:rsidRPr="0071671B">
              <w:rPr>
                <w:sz w:val="20"/>
                <w:szCs w:val="20"/>
              </w:rPr>
              <w:t>Jarque</w:t>
            </w:r>
            <w:proofErr w:type="spellEnd"/>
            <w:r w:rsidR="005B105D" w:rsidRPr="0071671B">
              <w:rPr>
                <w:sz w:val="20"/>
                <w:szCs w:val="20"/>
              </w:rPr>
              <w:t xml:space="preserve">-Bera test statistic, and the p-value associated to the </w:t>
            </w:r>
            <w:proofErr w:type="spellStart"/>
            <w:r w:rsidR="005B105D" w:rsidRPr="0071671B">
              <w:rPr>
                <w:sz w:val="20"/>
                <w:szCs w:val="20"/>
              </w:rPr>
              <w:t>Jarque</w:t>
            </w:r>
            <w:proofErr w:type="spellEnd"/>
            <w:r w:rsidR="005B105D" w:rsidRPr="0071671B">
              <w:rPr>
                <w:sz w:val="20"/>
                <w:szCs w:val="20"/>
              </w:rPr>
              <w:t>-Bera test statistic)</w:t>
            </w:r>
            <w:r w:rsidR="00265FCA">
              <w:rPr>
                <w:sz w:val="20"/>
                <w:szCs w:val="20"/>
              </w:rPr>
              <w:t xml:space="preserve">. Panel A shows 10-year sovereign </w:t>
            </w:r>
            <w:r w:rsidR="00A52D65">
              <w:rPr>
                <w:sz w:val="20"/>
                <w:szCs w:val="20"/>
              </w:rPr>
              <w:t>yield spreads over Germany of</w:t>
            </w:r>
            <w:r w:rsidR="00062E89">
              <w:rPr>
                <w:sz w:val="20"/>
                <w:szCs w:val="20"/>
              </w:rPr>
              <w:t xml:space="preserve"> </w:t>
            </w:r>
            <w:r w:rsidR="005B105D">
              <w:rPr>
                <w:sz w:val="20"/>
                <w:szCs w:val="20"/>
              </w:rPr>
              <w:t xml:space="preserve">core countries </w:t>
            </w:r>
            <w:r w:rsidR="005B105D">
              <w:rPr>
                <w:sz w:val="20"/>
                <w:szCs w:val="20"/>
              </w:rPr>
              <w:lastRenderedPageBreak/>
              <w:t>(Austria (</w:t>
            </w:r>
            <w:proofErr w:type="spellStart"/>
            <w:r w:rsidR="005B105D">
              <w:rPr>
                <w:sz w:val="20"/>
                <w:szCs w:val="20"/>
              </w:rPr>
              <w:t>saus</w:t>
            </w:r>
            <w:proofErr w:type="spellEnd"/>
            <w:r w:rsidR="005B105D">
              <w:rPr>
                <w:sz w:val="20"/>
                <w:szCs w:val="20"/>
              </w:rPr>
              <w:t>), Belgium (</w:t>
            </w:r>
            <w:proofErr w:type="spellStart"/>
            <w:r w:rsidR="005B105D">
              <w:rPr>
                <w:sz w:val="20"/>
                <w:szCs w:val="20"/>
              </w:rPr>
              <w:t>sbel</w:t>
            </w:r>
            <w:proofErr w:type="spellEnd"/>
            <w:r w:rsidR="005B105D">
              <w:rPr>
                <w:sz w:val="20"/>
                <w:szCs w:val="20"/>
              </w:rPr>
              <w:t>), Finland (</w:t>
            </w:r>
            <w:proofErr w:type="spellStart"/>
            <w:r w:rsidR="005B105D">
              <w:rPr>
                <w:sz w:val="20"/>
                <w:szCs w:val="20"/>
              </w:rPr>
              <w:t>sfin</w:t>
            </w:r>
            <w:proofErr w:type="spellEnd"/>
            <w:r w:rsidR="005B105D">
              <w:rPr>
                <w:sz w:val="20"/>
                <w:szCs w:val="20"/>
              </w:rPr>
              <w:t>), France (</w:t>
            </w:r>
            <w:proofErr w:type="spellStart"/>
            <w:r w:rsidR="005B105D">
              <w:rPr>
                <w:sz w:val="20"/>
                <w:szCs w:val="20"/>
              </w:rPr>
              <w:t>sfra</w:t>
            </w:r>
            <w:proofErr w:type="spellEnd"/>
            <w:r w:rsidR="005B105D">
              <w:rPr>
                <w:sz w:val="20"/>
                <w:szCs w:val="20"/>
              </w:rPr>
              <w:t>) and the Netherlands (</w:t>
            </w:r>
            <w:proofErr w:type="spellStart"/>
            <w:r w:rsidR="005B105D">
              <w:rPr>
                <w:sz w:val="20"/>
                <w:szCs w:val="20"/>
              </w:rPr>
              <w:t>snet</w:t>
            </w:r>
            <w:proofErr w:type="spellEnd"/>
            <w:r w:rsidR="005B105D">
              <w:rPr>
                <w:sz w:val="20"/>
                <w:szCs w:val="20"/>
              </w:rPr>
              <w:t>)). Panel B d</w:t>
            </w:r>
            <w:r w:rsidR="00265FCA">
              <w:rPr>
                <w:sz w:val="20"/>
                <w:szCs w:val="20"/>
              </w:rPr>
              <w:t xml:space="preserve">isplays 10-year sovereign </w:t>
            </w:r>
            <w:r w:rsidR="00A52D65">
              <w:rPr>
                <w:sz w:val="20"/>
                <w:szCs w:val="20"/>
              </w:rPr>
              <w:t>yield spreads over Germany of</w:t>
            </w:r>
            <w:r w:rsidR="00062E89">
              <w:rPr>
                <w:sz w:val="20"/>
                <w:szCs w:val="20"/>
              </w:rPr>
              <w:t xml:space="preserve"> </w:t>
            </w:r>
            <w:r w:rsidR="005B105D">
              <w:rPr>
                <w:sz w:val="20"/>
                <w:szCs w:val="20"/>
              </w:rPr>
              <w:t>periphery countries (Greece (</w:t>
            </w:r>
            <w:proofErr w:type="spellStart"/>
            <w:r w:rsidR="005B105D">
              <w:rPr>
                <w:sz w:val="20"/>
                <w:szCs w:val="20"/>
              </w:rPr>
              <w:t>sgre</w:t>
            </w:r>
            <w:proofErr w:type="spellEnd"/>
            <w:r w:rsidR="005B105D">
              <w:rPr>
                <w:sz w:val="20"/>
                <w:szCs w:val="20"/>
              </w:rPr>
              <w:t>), Ireland (sire), Italy (</w:t>
            </w:r>
            <w:proofErr w:type="spellStart"/>
            <w:r w:rsidR="005B105D">
              <w:rPr>
                <w:sz w:val="20"/>
                <w:szCs w:val="20"/>
              </w:rPr>
              <w:t>sita</w:t>
            </w:r>
            <w:proofErr w:type="spellEnd"/>
            <w:r w:rsidR="005B105D">
              <w:rPr>
                <w:sz w:val="20"/>
                <w:szCs w:val="20"/>
              </w:rPr>
              <w:t>), Portugal (</w:t>
            </w:r>
            <w:proofErr w:type="spellStart"/>
            <w:r w:rsidR="005B105D">
              <w:rPr>
                <w:sz w:val="20"/>
                <w:szCs w:val="20"/>
              </w:rPr>
              <w:t>spor</w:t>
            </w:r>
            <w:proofErr w:type="spellEnd"/>
            <w:r w:rsidR="005B105D">
              <w:rPr>
                <w:sz w:val="20"/>
                <w:szCs w:val="20"/>
              </w:rPr>
              <w:t xml:space="preserve">) and </w:t>
            </w:r>
            <w:r w:rsidR="007432B2">
              <w:rPr>
                <w:sz w:val="20"/>
                <w:szCs w:val="20"/>
              </w:rPr>
              <w:t>Spain (</w:t>
            </w:r>
            <w:proofErr w:type="spellStart"/>
            <w:r w:rsidR="007432B2">
              <w:rPr>
                <w:sz w:val="20"/>
                <w:szCs w:val="20"/>
              </w:rPr>
              <w:t>sspa</w:t>
            </w:r>
            <w:proofErr w:type="spellEnd"/>
            <w:r w:rsidR="007432B2">
              <w:rPr>
                <w:sz w:val="20"/>
                <w:szCs w:val="20"/>
              </w:rPr>
              <w:t>))</w:t>
            </w:r>
            <w:r w:rsidR="005B105D">
              <w:rPr>
                <w:sz w:val="20"/>
                <w:szCs w:val="20"/>
              </w:rPr>
              <w:t>. Panel C demonstrates</w:t>
            </w:r>
            <w:r w:rsidR="00082A34">
              <w:rPr>
                <w:sz w:val="20"/>
                <w:szCs w:val="20"/>
              </w:rPr>
              <w:t xml:space="preserve"> the variables used </w:t>
            </w:r>
            <w:r w:rsidR="00082A34" w:rsidRPr="00082A34">
              <w:rPr>
                <w:sz w:val="20"/>
                <w:szCs w:val="20"/>
              </w:rPr>
              <w:t>for the estimation of the oil price shocks</w:t>
            </w:r>
            <w:r w:rsidR="00082A34">
              <w:rPr>
                <w:sz w:val="20"/>
                <w:szCs w:val="20"/>
              </w:rPr>
              <w:t xml:space="preserve">, </w:t>
            </w:r>
            <w:r w:rsidR="00082A34" w:rsidRPr="0071671B">
              <w:rPr>
                <w:sz w:val="20"/>
                <w:szCs w:val="20"/>
              </w:rPr>
              <w:t>wo</w:t>
            </w:r>
            <w:r w:rsidR="007F098F">
              <w:rPr>
                <w:sz w:val="20"/>
                <w:szCs w:val="20"/>
              </w:rPr>
              <w:t xml:space="preserve">rld </w:t>
            </w:r>
            <w:r w:rsidR="00FB7AD7">
              <w:rPr>
                <w:sz w:val="20"/>
                <w:szCs w:val="20"/>
              </w:rPr>
              <w:t>oil production (</w:t>
            </w:r>
            <w:r w:rsidR="00BE5140">
              <w:rPr>
                <w:sz w:val="20"/>
                <w:szCs w:val="20"/>
              </w:rPr>
              <w:t>PRO</w:t>
            </w:r>
            <w:r w:rsidR="007F098F">
              <w:rPr>
                <w:sz w:val="20"/>
                <w:szCs w:val="20"/>
              </w:rPr>
              <w:t>)</w:t>
            </w:r>
            <w:r w:rsidR="004F52A6">
              <w:rPr>
                <w:sz w:val="20"/>
                <w:szCs w:val="20"/>
              </w:rPr>
              <w:t xml:space="preserve">, </w:t>
            </w:r>
            <w:r w:rsidR="004A5FD9">
              <w:rPr>
                <w:sz w:val="20"/>
                <w:szCs w:val="20"/>
              </w:rPr>
              <w:t>global economic activity index (GEA</w:t>
            </w:r>
            <w:r w:rsidR="004A5FD9" w:rsidRPr="0071671B">
              <w:rPr>
                <w:sz w:val="20"/>
                <w:szCs w:val="20"/>
              </w:rPr>
              <w:t>)</w:t>
            </w:r>
            <w:r w:rsidR="004A5FD9">
              <w:rPr>
                <w:sz w:val="20"/>
                <w:szCs w:val="20"/>
              </w:rPr>
              <w:t xml:space="preserve"> and </w:t>
            </w:r>
            <w:r w:rsidR="004F52A6">
              <w:rPr>
                <w:sz w:val="20"/>
                <w:szCs w:val="20"/>
              </w:rPr>
              <w:t xml:space="preserve">real oil </w:t>
            </w:r>
            <w:r w:rsidR="00FB7AD7">
              <w:rPr>
                <w:sz w:val="20"/>
                <w:szCs w:val="20"/>
              </w:rPr>
              <w:t>price</w:t>
            </w:r>
            <w:r w:rsidR="007F098F">
              <w:rPr>
                <w:sz w:val="20"/>
                <w:szCs w:val="20"/>
              </w:rPr>
              <w:t xml:space="preserve"> </w:t>
            </w:r>
            <w:r w:rsidR="00082A34" w:rsidRPr="0071671B">
              <w:rPr>
                <w:sz w:val="20"/>
                <w:szCs w:val="20"/>
              </w:rPr>
              <w:t>(</w:t>
            </w:r>
            <w:r w:rsidR="00BE5140">
              <w:rPr>
                <w:sz w:val="20"/>
                <w:szCs w:val="20"/>
              </w:rPr>
              <w:t>ROP</w:t>
            </w:r>
            <w:r w:rsidR="007F098F">
              <w:rPr>
                <w:sz w:val="20"/>
                <w:szCs w:val="20"/>
              </w:rPr>
              <w:t>)</w:t>
            </w:r>
            <w:r w:rsidR="00D176D4">
              <w:rPr>
                <w:sz w:val="20"/>
                <w:szCs w:val="20"/>
              </w:rPr>
              <w:t>, as well as, the control variables</w:t>
            </w:r>
            <w:r w:rsidR="00F20485" w:rsidRPr="00F20485">
              <w:rPr>
                <w:sz w:val="20"/>
                <w:szCs w:val="20"/>
              </w:rPr>
              <w:t xml:space="preserve"> European economic policy uncertainty index</w:t>
            </w:r>
            <w:r w:rsidR="00F20485">
              <w:rPr>
                <w:sz w:val="20"/>
                <w:szCs w:val="20"/>
              </w:rPr>
              <w:t xml:space="preserve"> (EPU)</w:t>
            </w:r>
            <w:r w:rsidR="00F20485" w:rsidRPr="00F20485">
              <w:rPr>
                <w:sz w:val="20"/>
                <w:szCs w:val="20"/>
              </w:rPr>
              <w:t>, the European monetary policy uncertainty index</w:t>
            </w:r>
            <w:r w:rsidR="00F20485">
              <w:rPr>
                <w:sz w:val="20"/>
                <w:szCs w:val="20"/>
              </w:rPr>
              <w:t xml:space="preserve"> (MPU)</w:t>
            </w:r>
            <w:r w:rsidR="00F20485" w:rsidRPr="00F20485">
              <w:rPr>
                <w:sz w:val="20"/>
                <w:szCs w:val="20"/>
              </w:rPr>
              <w:t xml:space="preserve">, the European stock market volatility index </w:t>
            </w:r>
            <w:r w:rsidR="00F20485">
              <w:rPr>
                <w:sz w:val="20"/>
                <w:szCs w:val="20"/>
              </w:rPr>
              <w:t xml:space="preserve">(VOL) </w:t>
            </w:r>
            <w:r w:rsidR="00F20485" w:rsidRPr="00F20485">
              <w:rPr>
                <w:sz w:val="20"/>
                <w:szCs w:val="20"/>
              </w:rPr>
              <w:t>and the realised oil price volatility</w:t>
            </w:r>
            <w:r w:rsidR="00F20485">
              <w:rPr>
                <w:sz w:val="20"/>
                <w:szCs w:val="20"/>
              </w:rPr>
              <w:t xml:space="preserve"> (ROV)</w:t>
            </w:r>
            <w:r w:rsidR="00F20485" w:rsidRPr="00F20485">
              <w:rPr>
                <w:sz w:val="20"/>
                <w:szCs w:val="20"/>
              </w:rPr>
              <w:t>.</w:t>
            </w:r>
            <w:r w:rsidR="00F20485">
              <w:rPr>
                <w:sz w:val="20"/>
                <w:szCs w:val="20"/>
              </w:rPr>
              <w:t xml:space="preserve"> </w:t>
            </w:r>
            <w:r w:rsidRPr="0071671B">
              <w:rPr>
                <w:sz w:val="20"/>
                <w:szCs w:val="20"/>
              </w:rPr>
              <w:t xml:space="preserve">Asterisk * (**, ***) denotes the 10% (5%, 1%) significance level. </w:t>
            </w:r>
            <w:r>
              <w:rPr>
                <w:sz w:val="20"/>
                <w:szCs w:val="20"/>
              </w:rPr>
              <w:t>For the core countries, the time period spans from January 1999</w:t>
            </w:r>
            <w:r w:rsidR="00566074">
              <w:rPr>
                <w:sz w:val="20"/>
                <w:szCs w:val="20"/>
              </w:rPr>
              <w:t xml:space="preserve"> to January</w:t>
            </w:r>
            <w:r>
              <w:rPr>
                <w:sz w:val="20"/>
                <w:szCs w:val="20"/>
              </w:rPr>
              <w:t xml:space="preserve"> 2016. For the periphery countries, the time period spans from January 2001</w:t>
            </w:r>
            <w:r w:rsidR="00566074">
              <w:rPr>
                <w:sz w:val="20"/>
                <w:szCs w:val="20"/>
              </w:rPr>
              <w:t xml:space="preserve"> to January</w:t>
            </w:r>
            <w:r w:rsidR="00082A34">
              <w:rPr>
                <w:sz w:val="20"/>
                <w:szCs w:val="20"/>
              </w:rPr>
              <w:t xml:space="preserve"> 2016.</w:t>
            </w:r>
          </w:p>
        </w:tc>
      </w:tr>
    </w:tbl>
    <w:p w14:paraId="050275AC" w14:textId="77777777" w:rsidR="004A03F6" w:rsidRDefault="004A03F6" w:rsidP="00AE6FD4">
      <w:pPr>
        <w:spacing w:line="360" w:lineRule="auto"/>
        <w:jc w:val="both"/>
      </w:pPr>
    </w:p>
    <w:p w14:paraId="6EBE7C91" w14:textId="77777777" w:rsidR="00CF2DBA" w:rsidRDefault="004A03F6" w:rsidP="004A03F6">
      <w:pPr>
        <w:tabs>
          <w:tab w:val="left" w:pos="1070"/>
        </w:tabs>
        <w:sectPr w:rsidR="00CF2DBA" w:rsidSect="00E03589">
          <w:pgSz w:w="16838" w:h="11906" w:orient="landscape"/>
          <w:pgMar w:top="1800" w:right="1440" w:bottom="1800" w:left="1440" w:header="720" w:footer="720" w:gutter="0"/>
          <w:cols w:space="720"/>
          <w:docGrid w:linePitch="326"/>
        </w:sectPr>
      </w:pPr>
      <w:r>
        <w:tab/>
      </w:r>
    </w:p>
    <w:p w14:paraId="39031A72" w14:textId="77777777" w:rsidR="004A03F6" w:rsidRDefault="004A03F6" w:rsidP="004A03F6">
      <w:pPr>
        <w:tabs>
          <w:tab w:val="left" w:pos="1070"/>
        </w:tabs>
      </w:pPr>
    </w:p>
    <w:tbl>
      <w:tblPr>
        <w:tblW w:w="7464" w:type="dxa"/>
        <w:jc w:val="center"/>
        <w:tblLook w:val="04A0" w:firstRow="1" w:lastRow="0" w:firstColumn="1" w:lastColumn="0" w:noHBand="0" w:noVBand="1"/>
      </w:tblPr>
      <w:tblGrid>
        <w:gridCol w:w="1441"/>
        <w:gridCol w:w="1420"/>
        <w:gridCol w:w="600"/>
        <w:gridCol w:w="1420"/>
        <w:gridCol w:w="620"/>
        <w:gridCol w:w="1380"/>
        <w:gridCol w:w="583"/>
      </w:tblGrid>
      <w:tr w:rsidR="004A03F6" w:rsidRPr="00FE0C18" w14:paraId="57404CBF" w14:textId="77777777" w:rsidTr="00CF2DBA">
        <w:trPr>
          <w:trHeight w:val="287"/>
          <w:jc w:val="center"/>
        </w:trPr>
        <w:tc>
          <w:tcPr>
            <w:tcW w:w="7464" w:type="dxa"/>
            <w:gridSpan w:val="7"/>
            <w:tcBorders>
              <w:top w:val="single" w:sz="4" w:space="0" w:color="auto"/>
              <w:left w:val="nil"/>
              <w:bottom w:val="single" w:sz="4" w:space="0" w:color="auto"/>
            </w:tcBorders>
            <w:shd w:val="clear" w:color="auto" w:fill="auto"/>
            <w:noWrap/>
            <w:vAlign w:val="bottom"/>
            <w:hideMark/>
          </w:tcPr>
          <w:p w14:paraId="471A4E72" w14:textId="3D5052C2" w:rsidR="004A03F6" w:rsidRPr="0071671B" w:rsidRDefault="004A03F6" w:rsidP="00DA24BA">
            <w:r>
              <w:rPr>
                <w:b/>
              </w:rPr>
              <w:t>Table 2</w:t>
            </w:r>
            <w:r w:rsidRPr="0071671B">
              <w:rPr>
                <w:b/>
              </w:rPr>
              <w:t>: Augmented Dickey-Fuller (1981) and Phil</w:t>
            </w:r>
            <w:r w:rsidR="001855F0">
              <w:rPr>
                <w:b/>
              </w:rPr>
              <w:t>l</w:t>
            </w:r>
            <w:r w:rsidR="006F01C3">
              <w:rPr>
                <w:b/>
              </w:rPr>
              <w:t>ips-</w:t>
            </w:r>
            <w:proofErr w:type="spellStart"/>
            <w:r w:rsidRPr="0071671B">
              <w:rPr>
                <w:b/>
              </w:rPr>
              <w:t>Perron</w:t>
            </w:r>
            <w:proofErr w:type="spellEnd"/>
            <w:r w:rsidRPr="0071671B">
              <w:rPr>
                <w:b/>
              </w:rPr>
              <w:t xml:space="preserve"> (1988) unit root tests.</w:t>
            </w:r>
          </w:p>
        </w:tc>
      </w:tr>
      <w:tr w:rsidR="004A03F6" w:rsidRPr="00BC4AB4" w14:paraId="2AEBB226" w14:textId="77777777" w:rsidTr="00CF2DBA">
        <w:trPr>
          <w:trHeight w:val="303"/>
          <w:jc w:val="center"/>
        </w:trPr>
        <w:tc>
          <w:tcPr>
            <w:tcW w:w="1441" w:type="dxa"/>
            <w:tcBorders>
              <w:top w:val="single" w:sz="4" w:space="0" w:color="auto"/>
              <w:left w:val="nil"/>
              <w:bottom w:val="single" w:sz="4" w:space="0" w:color="auto"/>
              <w:right w:val="nil"/>
            </w:tcBorders>
            <w:shd w:val="clear" w:color="auto" w:fill="auto"/>
            <w:noWrap/>
            <w:vAlign w:val="center"/>
            <w:hideMark/>
          </w:tcPr>
          <w:p w14:paraId="58CD135A" w14:textId="77777777" w:rsidR="004A03F6" w:rsidRPr="0071671B" w:rsidRDefault="004A03F6" w:rsidP="00DA24BA">
            <w:pPr>
              <w:jc w:val="center"/>
            </w:pPr>
          </w:p>
        </w:tc>
        <w:tc>
          <w:tcPr>
            <w:tcW w:w="6023" w:type="dxa"/>
            <w:gridSpan w:val="6"/>
            <w:tcBorders>
              <w:top w:val="single" w:sz="4" w:space="0" w:color="auto"/>
              <w:left w:val="nil"/>
              <w:bottom w:val="single" w:sz="4" w:space="0" w:color="auto"/>
              <w:right w:val="nil"/>
            </w:tcBorders>
            <w:shd w:val="clear" w:color="auto" w:fill="auto"/>
            <w:noWrap/>
            <w:vAlign w:val="center"/>
            <w:hideMark/>
          </w:tcPr>
          <w:p w14:paraId="4E6C46FA" w14:textId="77777777" w:rsidR="004A03F6" w:rsidRPr="00BC4AB4" w:rsidRDefault="004A03F6" w:rsidP="00DA24BA">
            <w:r w:rsidRPr="0071671B">
              <w:t xml:space="preserve">                     </w:t>
            </w:r>
            <w:r w:rsidRPr="00BC4AB4">
              <w:t>Panel A – ADF test</w:t>
            </w:r>
          </w:p>
        </w:tc>
      </w:tr>
      <w:tr w:rsidR="004A03F6" w:rsidRPr="00C063BF" w14:paraId="30591C37" w14:textId="77777777" w:rsidTr="00CF2DBA">
        <w:trPr>
          <w:trHeight w:val="303"/>
          <w:jc w:val="center"/>
        </w:trPr>
        <w:tc>
          <w:tcPr>
            <w:tcW w:w="1441" w:type="dxa"/>
            <w:tcBorders>
              <w:top w:val="single" w:sz="4" w:space="0" w:color="auto"/>
              <w:left w:val="nil"/>
              <w:bottom w:val="nil"/>
              <w:right w:val="nil"/>
            </w:tcBorders>
            <w:shd w:val="clear" w:color="auto" w:fill="auto"/>
            <w:noWrap/>
            <w:vAlign w:val="bottom"/>
            <w:hideMark/>
          </w:tcPr>
          <w:p w14:paraId="2F1E20AA" w14:textId="77777777" w:rsidR="004A03F6" w:rsidRPr="00C063BF" w:rsidRDefault="004A03F6" w:rsidP="00DA24BA">
            <w:pPr>
              <w:jc w:val="center"/>
            </w:pPr>
          </w:p>
        </w:tc>
        <w:tc>
          <w:tcPr>
            <w:tcW w:w="1420" w:type="dxa"/>
            <w:tcBorders>
              <w:top w:val="single" w:sz="4" w:space="0" w:color="auto"/>
              <w:left w:val="nil"/>
              <w:bottom w:val="nil"/>
              <w:right w:val="nil"/>
            </w:tcBorders>
            <w:shd w:val="clear" w:color="auto" w:fill="auto"/>
            <w:noWrap/>
            <w:vAlign w:val="center"/>
            <w:hideMark/>
          </w:tcPr>
          <w:p w14:paraId="31D7F0D3" w14:textId="77777777" w:rsidR="004A03F6" w:rsidRPr="00C063BF" w:rsidRDefault="004A03F6" w:rsidP="00DA24BA">
            <w:pPr>
              <w:jc w:val="center"/>
            </w:pPr>
            <w:r w:rsidRPr="00C063BF">
              <w:t>C</w:t>
            </w:r>
          </w:p>
        </w:tc>
        <w:tc>
          <w:tcPr>
            <w:tcW w:w="600" w:type="dxa"/>
            <w:tcBorders>
              <w:top w:val="single" w:sz="4" w:space="0" w:color="auto"/>
              <w:left w:val="nil"/>
              <w:bottom w:val="nil"/>
              <w:right w:val="nil"/>
            </w:tcBorders>
            <w:shd w:val="clear" w:color="auto" w:fill="auto"/>
            <w:noWrap/>
            <w:vAlign w:val="bottom"/>
            <w:hideMark/>
          </w:tcPr>
          <w:p w14:paraId="443EAB0A" w14:textId="77777777" w:rsidR="004A03F6" w:rsidRPr="00C063BF" w:rsidRDefault="004A03F6" w:rsidP="00DA24BA">
            <w:pPr>
              <w:jc w:val="center"/>
            </w:pPr>
          </w:p>
        </w:tc>
        <w:tc>
          <w:tcPr>
            <w:tcW w:w="1420" w:type="dxa"/>
            <w:tcBorders>
              <w:top w:val="single" w:sz="4" w:space="0" w:color="auto"/>
              <w:left w:val="nil"/>
              <w:bottom w:val="nil"/>
              <w:right w:val="nil"/>
            </w:tcBorders>
            <w:shd w:val="clear" w:color="auto" w:fill="auto"/>
            <w:noWrap/>
            <w:vAlign w:val="center"/>
            <w:hideMark/>
          </w:tcPr>
          <w:p w14:paraId="3334770D" w14:textId="77777777" w:rsidR="004A03F6" w:rsidRPr="00C063BF" w:rsidRDefault="004A03F6" w:rsidP="00DA24BA">
            <w:pPr>
              <w:jc w:val="center"/>
            </w:pPr>
            <w:r w:rsidRPr="00C063BF">
              <w:t>C&amp;T</w:t>
            </w:r>
          </w:p>
        </w:tc>
        <w:tc>
          <w:tcPr>
            <w:tcW w:w="620" w:type="dxa"/>
            <w:tcBorders>
              <w:top w:val="single" w:sz="4" w:space="0" w:color="auto"/>
              <w:left w:val="nil"/>
              <w:bottom w:val="nil"/>
              <w:right w:val="nil"/>
            </w:tcBorders>
            <w:shd w:val="clear" w:color="auto" w:fill="auto"/>
            <w:noWrap/>
            <w:vAlign w:val="bottom"/>
            <w:hideMark/>
          </w:tcPr>
          <w:p w14:paraId="7EC7EE15" w14:textId="77777777" w:rsidR="004A03F6" w:rsidRPr="00C063BF" w:rsidRDefault="004A03F6" w:rsidP="00DA24BA">
            <w:pPr>
              <w:jc w:val="center"/>
            </w:pPr>
          </w:p>
        </w:tc>
        <w:tc>
          <w:tcPr>
            <w:tcW w:w="1380" w:type="dxa"/>
            <w:tcBorders>
              <w:top w:val="single" w:sz="4" w:space="0" w:color="auto"/>
              <w:left w:val="nil"/>
              <w:bottom w:val="nil"/>
              <w:right w:val="nil"/>
            </w:tcBorders>
            <w:shd w:val="clear" w:color="auto" w:fill="auto"/>
            <w:noWrap/>
            <w:vAlign w:val="center"/>
            <w:hideMark/>
          </w:tcPr>
          <w:p w14:paraId="57059CF4" w14:textId="77777777" w:rsidR="004A03F6" w:rsidRPr="00C063BF" w:rsidRDefault="004A03F6" w:rsidP="00DA24BA">
            <w:pPr>
              <w:jc w:val="center"/>
            </w:pPr>
            <w:r w:rsidRPr="00C063BF">
              <w:t>N</w:t>
            </w:r>
          </w:p>
        </w:tc>
        <w:tc>
          <w:tcPr>
            <w:tcW w:w="583" w:type="dxa"/>
            <w:tcBorders>
              <w:top w:val="single" w:sz="4" w:space="0" w:color="auto"/>
              <w:left w:val="nil"/>
              <w:bottom w:val="nil"/>
              <w:right w:val="nil"/>
            </w:tcBorders>
            <w:shd w:val="clear" w:color="auto" w:fill="auto"/>
            <w:noWrap/>
            <w:vAlign w:val="bottom"/>
            <w:hideMark/>
          </w:tcPr>
          <w:p w14:paraId="0D632A44" w14:textId="77777777" w:rsidR="004A03F6" w:rsidRPr="00C063BF" w:rsidRDefault="004A03F6" w:rsidP="00DA24BA">
            <w:pPr>
              <w:jc w:val="center"/>
            </w:pPr>
          </w:p>
        </w:tc>
      </w:tr>
      <w:tr w:rsidR="004A03F6" w:rsidRPr="0040064B" w14:paraId="3E0D343E" w14:textId="77777777" w:rsidTr="00CF2DBA">
        <w:trPr>
          <w:trHeight w:val="303"/>
          <w:jc w:val="center"/>
        </w:trPr>
        <w:tc>
          <w:tcPr>
            <w:tcW w:w="1441" w:type="dxa"/>
            <w:tcBorders>
              <w:top w:val="nil"/>
              <w:left w:val="nil"/>
              <w:bottom w:val="nil"/>
              <w:right w:val="nil"/>
            </w:tcBorders>
            <w:shd w:val="clear" w:color="auto" w:fill="auto"/>
            <w:noWrap/>
            <w:vAlign w:val="center"/>
            <w:hideMark/>
          </w:tcPr>
          <w:p w14:paraId="659C3595" w14:textId="77777777" w:rsidR="004A03F6" w:rsidRPr="0040064B" w:rsidRDefault="004A03F6" w:rsidP="00DA24BA">
            <w:pPr>
              <w:jc w:val="center"/>
            </w:pPr>
            <w:proofErr w:type="spellStart"/>
            <w:r>
              <w:t>saus</w:t>
            </w:r>
            <w:proofErr w:type="spellEnd"/>
          </w:p>
        </w:tc>
        <w:tc>
          <w:tcPr>
            <w:tcW w:w="1420" w:type="dxa"/>
            <w:tcBorders>
              <w:top w:val="nil"/>
              <w:left w:val="nil"/>
              <w:bottom w:val="nil"/>
              <w:right w:val="nil"/>
            </w:tcBorders>
            <w:shd w:val="clear" w:color="auto" w:fill="auto"/>
            <w:noWrap/>
            <w:vAlign w:val="center"/>
            <w:hideMark/>
          </w:tcPr>
          <w:p w14:paraId="34C07989" w14:textId="77777777" w:rsidR="004A03F6" w:rsidRPr="0040064B" w:rsidRDefault="004A03F6" w:rsidP="00DA24BA">
            <w:pPr>
              <w:jc w:val="center"/>
            </w:pPr>
            <w:r>
              <w:t>-2.7088</w:t>
            </w:r>
          </w:p>
        </w:tc>
        <w:tc>
          <w:tcPr>
            <w:tcW w:w="600" w:type="dxa"/>
            <w:tcBorders>
              <w:top w:val="nil"/>
              <w:left w:val="nil"/>
              <w:bottom w:val="nil"/>
              <w:right w:val="nil"/>
            </w:tcBorders>
            <w:shd w:val="clear" w:color="auto" w:fill="auto"/>
            <w:noWrap/>
            <w:vAlign w:val="bottom"/>
            <w:hideMark/>
          </w:tcPr>
          <w:p w14:paraId="57033F88" w14:textId="77777777" w:rsidR="004A03F6" w:rsidRPr="0040064B" w:rsidRDefault="004A03F6" w:rsidP="00DA24BA">
            <w:pPr>
              <w:jc w:val="center"/>
            </w:pPr>
            <w:r>
              <w:t>*</w:t>
            </w:r>
          </w:p>
        </w:tc>
        <w:tc>
          <w:tcPr>
            <w:tcW w:w="1420" w:type="dxa"/>
            <w:tcBorders>
              <w:top w:val="nil"/>
              <w:left w:val="nil"/>
              <w:bottom w:val="nil"/>
              <w:right w:val="nil"/>
            </w:tcBorders>
            <w:shd w:val="clear" w:color="auto" w:fill="auto"/>
            <w:noWrap/>
            <w:vAlign w:val="center"/>
            <w:hideMark/>
          </w:tcPr>
          <w:p w14:paraId="32A9182D" w14:textId="77777777" w:rsidR="004A03F6" w:rsidRPr="0040064B" w:rsidRDefault="004A03F6" w:rsidP="00DA24BA">
            <w:pPr>
              <w:jc w:val="center"/>
            </w:pPr>
            <w:r>
              <w:t>-2.8710</w:t>
            </w:r>
          </w:p>
        </w:tc>
        <w:tc>
          <w:tcPr>
            <w:tcW w:w="620" w:type="dxa"/>
            <w:tcBorders>
              <w:top w:val="nil"/>
              <w:left w:val="nil"/>
              <w:bottom w:val="nil"/>
              <w:right w:val="nil"/>
            </w:tcBorders>
            <w:shd w:val="clear" w:color="auto" w:fill="auto"/>
            <w:noWrap/>
            <w:vAlign w:val="center"/>
            <w:hideMark/>
          </w:tcPr>
          <w:p w14:paraId="1C115309" w14:textId="77777777" w:rsidR="004A03F6" w:rsidRPr="0040064B" w:rsidRDefault="004A03F6" w:rsidP="00DA24BA">
            <w:pPr>
              <w:jc w:val="center"/>
            </w:pPr>
          </w:p>
        </w:tc>
        <w:tc>
          <w:tcPr>
            <w:tcW w:w="1380" w:type="dxa"/>
            <w:tcBorders>
              <w:top w:val="nil"/>
              <w:left w:val="nil"/>
              <w:bottom w:val="nil"/>
              <w:right w:val="nil"/>
            </w:tcBorders>
            <w:shd w:val="clear" w:color="auto" w:fill="auto"/>
            <w:noWrap/>
            <w:vAlign w:val="center"/>
            <w:hideMark/>
          </w:tcPr>
          <w:p w14:paraId="5FAB4E31" w14:textId="77777777" w:rsidR="004A03F6" w:rsidRPr="0040064B" w:rsidRDefault="004A03F6" w:rsidP="00DA24BA">
            <w:pPr>
              <w:jc w:val="center"/>
            </w:pPr>
            <w:r>
              <w:t>-1.7652</w:t>
            </w:r>
          </w:p>
        </w:tc>
        <w:tc>
          <w:tcPr>
            <w:tcW w:w="583" w:type="dxa"/>
            <w:tcBorders>
              <w:top w:val="nil"/>
              <w:left w:val="nil"/>
              <w:bottom w:val="nil"/>
              <w:right w:val="nil"/>
            </w:tcBorders>
            <w:shd w:val="clear" w:color="auto" w:fill="auto"/>
            <w:noWrap/>
            <w:vAlign w:val="center"/>
            <w:hideMark/>
          </w:tcPr>
          <w:p w14:paraId="49E3AA68" w14:textId="77777777" w:rsidR="004A03F6" w:rsidRPr="0040064B" w:rsidRDefault="004A03F6" w:rsidP="00DA24BA">
            <w:pPr>
              <w:jc w:val="center"/>
            </w:pPr>
            <w:r>
              <w:t>*</w:t>
            </w:r>
          </w:p>
        </w:tc>
      </w:tr>
      <w:tr w:rsidR="00295A62" w:rsidRPr="0040064B" w14:paraId="677B70D9" w14:textId="77777777" w:rsidTr="00CF2DBA">
        <w:trPr>
          <w:trHeight w:val="303"/>
          <w:jc w:val="center"/>
        </w:trPr>
        <w:tc>
          <w:tcPr>
            <w:tcW w:w="1441" w:type="dxa"/>
            <w:tcBorders>
              <w:top w:val="nil"/>
              <w:left w:val="nil"/>
              <w:bottom w:val="nil"/>
              <w:right w:val="nil"/>
            </w:tcBorders>
            <w:shd w:val="clear" w:color="auto" w:fill="auto"/>
            <w:noWrap/>
            <w:vAlign w:val="center"/>
          </w:tcPr>
          <w:p w14:paraId="2552AFDF" w14:textId="0D617938" w:rsidR="00295A62" w:rsidRDefault="00295A62" w:rsidP="00DA24BA">
            <w:pPr>
              <w:jc w:val="center"/>
            </w:pPr>
            <w:proofErr w:type="spellStart"/>
            <w:r>
              <w:t>dsaus</w:t>
            </w:r>
            <w:proofErr w:type="spellEnd"/>
          </w:p>
        </w:tc>
        <w:tc>
          <w:tcPr>
            <w:tcW w:w="1420" w:type="dxa"/>
            <w:tcBorders>
              <w:top w:val="nil"/>
              <w:left w:val="nil"/>
              <w:bottom w:val="nil"/>
              <w:right w:val="nil"/>
            </w:tcBorders>
            <w:shd w:val="clear" w:color="auto" w:fill="auto"/>
            <w:noWrap/>
            <w:vAlign w:val="center"/>
          </w:tcPr>
          <w:p w14:paraId="7031C2B8" w14:textId="559A84DA" w:rsidR="00295A62" w:rsidRDefault="001A084A" w:rsidP="00DA24BA">
            <w:pPr>
              <w:jc w:val="center"/>
            </w:pPr>
            <w:r>
              <w:t>-8.9493</w:t>
            </w:r>
          </w:p>
        </w:tc>
        <w:tc>
          <w:tcPr>
            <w:tcW w:w="600" w:type="dxa"/>
            <w:tcBorders>
              <w:top w:val="nil"/>
              <w:left w:val="nil"/>
              <w:bottom w:val="nil"/>
              <w:right w:val="nil"/>
            </w:tcBorders>
            <w:shd w:val="clear" w:color="auto" w:fill="auto"/>
            <w:noWrap/>
            <w:vAlign w:val="bottom"/>
          </w:tcPr>
          <w:p w14:paraId="4007FC56" w14:textId="6EF8FF9D" w:rsidR="00295A62" w:rsidRDefault="001A084A" w:rsidP="00DA24BA">
            <w:pPr>
              <w:jc w:val="center"/>
            </w:pPr>
            <w:r>
              <w:t>***</w:t>
            </w:r>
          </w:p>
        </w:tc>
        <w:tc>
          <w:tcPr>
            <w:tcW w:w="1420" w:type="dxa"/>
            <w:tcBorders>
              <w:top w:val="nil"/>
              <w:left w:val="nil"/>
              <w:bottom w:val="nil"/>
              <w:right w:val="nil"/>
            </w:tcBorders>
            <w:shd w:val="clear" w:color="auto" w:fill="auto"/>
            <w:noWrap/>
            <w:vAlign w:val="center"/>
          </w:tcPr>
          <w:p w14:paraId="0D6853E0" w14:textId="189D25D8" w:rsidR="00295A62" w:rsidRDefault="001A084A" w:rsidP="00DA24BA">
            <w:pPr>
              <w:jc w:val="center"/>
            </w:pPr>
            <w:r>
              <w:t>-8.9279</w:t>
            </w:r>
          </w:p>
        </w:tc>
        <w:tc>
          <w:tcPr>
            <w:tcW w:w="620" w:type="dxa"/>
            <w:tcBorders>
              <w:top w:val="nil"/>
              <w:left w:val="nil"/>
              <w:bottom w:val="nil"/>
              <w:right w:val="nil"/>
            </w:tcBorders>
            <w:shd w:val="clear" w:color="auto" w:fill="auto"/>
            <w:noWrap/>
            <w:vAlign w:val="center"/>
          </w:tcPr>
          <w:p w14:paraId="766669AD" w14:textId="7A39C082" w:rsidR="00295A62" w:rsidRPr="0040064B" w:rsidRDefault="001A084A" w:rsidP="005B6B84">
            <w:pPr>
              <w:jc w:val="center"/>
            </w:pPr>
            <w:r>
              <w:t>***</w:t>
            </w:r>
          </w:p>
        </w:tc>
        <w:tc>
          <w:tcPr>
            <w:tcW w:w="1380" w:type="dxa"/>
            <w:tcBorders>
              <w:top w:val="nil"/>
              <w:left w:val="nil"/>
              <w:bottom w:val="nil"/>
              <w:right w:val="nil"/>
            </w:tcBorders>
            <w:shd w:val="clear" w:color="auto" w:fill="auto"/>
            <w:noWrap/>
            <w:vAlign w:val="center"/>
          </w:tcPr>
          <w:p w14:paraId="51F0FF9E" w14:textId="0A68C29A" w:rsidR="00295A62" w:rsidRDefault="001A084A" w:rsidP="00DA24BA">
            <w:pPr>
              <w:jc w:val="center"/>
            </w:pPr>
            <w:r>
              <w:t>-8.9704</w:t>
            </w:r>
          </w:p>
        </w:tc>
        <w:tc>
          <w:tcPr>
            <w:tcW w:w="583" w:type="dxa"/>
            <w:tcBorders>
              <w:top w:val="nil"/>
              <w:left w:val="nil"/>
              <w:bottom w:val="nil"/>
              <w:right w:val="nil"/>
            </w:tcBorders>
            <w:shd w:val="clear" w:color="auto" w:fill="auto"/>
            <w:noWrap/>
            <w:vAlign w:val="center"/>
          </w:tcPr>
          <w:p w14:paraId="258B2E49" w14:textId="71285240" w:rsidR="00295A62" w:rsidRDefault="001A084A" w:rsidP="00DA24BA">
            <w:pPr>
              <w:jc w:val="center"/>
            </w:pPr>
            <w:r>
              <w:t>***</w:t>
            </w:r>
          </w:p>
        </w:tc>
      </w:tr>
      <w:tr w:rsidR="004A03F6" w:rsidRPr="0040064B" w14:paraId="32B9DB03" w14:textId="77777777" w:rsidTr="00CF2DBA">
        <w:trPr>
          <w:trHeight w:val="303"/>
          <w:jc w:val="center"/>
        </w:trPr>
        <w:tc>
          <w:tcPr>
            <w:tcW w:w="1441" w:type="dxa"/>
            <w:tcBorders>
              <w:top w:val="nil"/>
              <w:left w:val="nil"/>
              <w:bottom w:val="nil"/>
              <w:right w:val="nil"/>
            </w:tcBorders>
            <w:shd w:val="clear" w:color="auto" w:fill="auto"/>
            <w:noWrap/>
            <w:vAlign w:val="center"/>
          </w:tcPr>
          <w:p w14:paraId="1B9A0DE9" w14:textId="77777777" w:rsidR="004A03F6" w:rsidRPr="0040064B" w:rsidRDefault="004A03F6" w:rsidP="00DA24BA">
            <w:pPr>
              <w:jc w:val="center"/>
            </w:pPr>
            <w:proofErr w:type="spellStart"/>
            <w:r>
              <w:t>sbel</w:t>
            </w:r>
            <w:proofErr w:type="spellEnd"/>
          </w:p>
        </w:tc>
        <w:tc>
          <w:tcPr>
            <w:tcW w:w="1420" w:type="dxa"/>
            <w:tcBorders>
              <w:top w:val="nil"/>
              <w:left w:val="nil"/>
              <w:bottom w:val="nil"/>
              <w:right w:val="nil"/>
            </w:tcBorders>
            <w:shd w:val="clear" w:color="auto" w:fill="auto"/>
            <w:noWrap/>
            <w:vAlign w:val="center"/>
          </w:tcPr>
          <w:p w14:paraId="00145FE4" w14:textId="77777777" w:rsidR="004A03F6" w:rsidRPr="0040064B" w:rsidRDefault="004A03F6" w:rsidP="00DA24BA">
            <w:pPr>
              <w:jc w:val="center"/>
            </w:pPr>
            <w:r>
              <w:t>-2.1969</w:t>
            </w:r>
          </w:p>
        </w:tc>
        <w:tc>
          <w:tcPr>
            <w:tcW w:w="600" w:type="dxa"/>
            <w:tcBorders>
              <w:top w:val="nil"/>
              <w:left w:val="nil"/>
              <w:bottom w:val="nil"/>
              <w:right w:val="nil"/>
            </w:tcBorders>
            <w:shd w:val="clear" w:color="auto" w:fill="auto"/>
            <w:noWrap/>
            <w:vAlign w:val="center"/>
          </w:tcPr>
          <w:p w14:paraId="28AF62CE" w14:textId="77777777" w:rsidR="004A03F6" w:rsidRPr="0040064B" w:rsidRDefault="004A03F6" w:rsidP="00DA24BA">
            <w:pPr>
              <w:jc w:val="center"/>
            </w:pPr>
          </w:p>
        </w:tc>
        <w:tc>
          <w:tcPr>
            <w:tcW w:w="1420" w:type="dxa"/>
            <w:tcBorders>
              <w:top w:val="nil"/>
              <w:left w:val="nil"/>
              <w:bottom w:val="nil"/>
              <w:right w:val="nil"/>
            </w:tcBorders>
            <w:shd w:val="clear" w:color="auto" w:fill="auto"/>
            <w:noWrap/>
            <w:vAlign w:val="center"/>
          </w:tcPr>
          <w:p w14:paraId="6B6E3C6C" w14:textId="77777777" w:rsidR="004A03F6" w:rsidRPr="0040064B" w:rsidRDefault="004A03F6" w:rsidP="00DA24BA">
            <w:pPr>
              <w:jc w:val="center"/>
            </w:pPr>
            <w:r>
              <w:t>-2.3790</w:t>
            </w:r>
          </w:p>
        </w:tc>
        <w:tc>
          <w:tcPr>
            <w:tcW w:w="620" w:type="dxa"/>
            <w:tcBorders>
              <w:top w:val="nil"/>
              <w:left w:val="nil"/>
              <w:bottom w:val="nil"/>
              <w:right w:val="nil"/>
            </w:tcBorders>
            <w:shd w:val="clear" w:color="auto" w:fill="auto"/>
            <w:noWrap/>
            <w:vAlign w:val="center"/>
          </w:tcPr>
          <w:p w14:paraId="7F10DC90" w14:textId="77777777" w:rsidR="004A03F6" w:rsidRPr="0040064B" w:rsidRDefault="004A03F6" w:rsidP="005B6B84">
            <w:pPr>
              <w:jc w:val="center"/>
            </w:pPr>
          </w:p>
        </w:tc>
        <w:tc>
          <w:tcPr>
            <w:tcW w:w="1380" w:type="dxa"/>
            <w:tcBorders>
              <w:top w:val="nil"/>
              <w:left w:val="nil"/>
              <w:bottom w:val="nil"/>
              <w:right w:val="nil"/>
            </w:tcBorders>
            <w:shd w:val="clear" w:color="auto" w:fill="auto"/>
            <w:noWrap/>
            <w:vAlign w:val="center"/>
          </w:tcPr>
          <w:p w14:paraId="44EA7EB7" w14:textId="77777777" w:rsidR="004A03F6" w:rsidRPr="0040064B" w:rsidRDefault="004A03F6" w:rsidP="00DA24BA">
            <w:pPr>
              <w:jc w:val="center"/>
            </w:pPr>
            <w:r>
              <w:t>-1.2960</w:t>
            </w:r>
          </w:p>
        </w:tc>
        <w:tc>
          <w:tcPr>
            <w:tcW w:w="583" w:type="dxa"/>
            <w:tcBorders>
              <w:top w:val="nil"/>
              <w:left w:val="nil"/>
              <w:bottom w:val="nil"/>
              <w:right w:val="nil"/>
            </w:tcBorders>
            <w:shd w:val="clear" w:color="auto" w:fill="auto"/>
            <w:noWrap/>
            <w:vAlign w:val="center"/>
          </w:tcPr>
          <w:p w14:paraId="730C1CCD" w14:textId="77777777" w:rsidR="004A03F6" w:rsidRPr="0040064B" w:rsidRDefault="004A03F6" w:rsidP="00DA24BA">
            <w:pPr>
              <w:jc w:val="center"/>
            </w:pPr>
          </w:p>
        </w:tc>
      </w:tr>
      <w:tr w:rsidR="00295A62" w:rsidRPr="0040064B" w14:paraId="667EEB0F" w14:textId="77777777" w:rsidTr="00CF2DBA">
        <w:trPr>
          <w:trHeight w:val="303"/>
          <w:jc w:val="center"/>
        </w:trPr>
        <w:tc>
          <w:tcPr>
            <w:tcW w:w="1441" w:type="dxa"/>
            <w:tcBorders>
              <w:top w:val="nil"/>
              <w:left w:val="nil"/>
              <w:bottom w:val="nil"/>
              <w:right w:val="nil"/>
            </w:tcBorders>
            <w:shd w:val="clear" w:color="auto" w:fill="auto"/>
            <w:noWrap/>
            <w:vAlign w:val="center"/>
          </w:tcPr>
          <w:p w14:paraId="47D47B71" w14:textId="36A335BE" w:rsidR="00295A62" w:rsidRDefault="00295A62" w:rsidP="00DA24BA">
            <w:pPr>
              <w:jc w:val="center"/>
            </w:pPr>
            <w:proofErr w:type="spellStart"/>
            <w:r>
              <w:t>dsbel</w:t>
            </w:r>
            <w:proofErr w:type="spellEnd"/>
          </w:p>
        </w:tc>
        <w:tc>
          <w:tcPr>
            <w:tcW w:w="1420" w:type="dxa"/>
            <w:tcBorders>
              <w:top w:val="nil"/>
              <w:left w:val="nil"/>
              <w:bottom w:val="nil"/>
              <w:right w:val="nil"/>
            </w:tcBorders>
            <w:shd w:val="clear" w:color="auto" w:fill="auto"/>
            <w:noWrap/>
            <w:vAlign w:val="center"/>
          </w:tcPr>
          <w:p w14:paraId="3D908620" w14:textId="192992B8" w:rsidR="00295A62" w:rsidRDefault="00FF0FAB" w:rsidP="00DA24BA">
            <w:pPr>
              <w:jc w:val="center"/>
            </w:pPr>
            <w:r>
              <w:t>-8.7319</w:t>
            </w:r>
          </w:p>
        </w:tc>
        <w:tc>
          <w:tcPr>
            <w:tcW w:w="600" w:type="dxa"/>
            <w:tcBorders>
              <w:top w:val="nil"/>
              <w:left w:val="nil"/>
              <w:bottom w:val="nil"/>
              <w:right w:val="nil"/>
            </w:tcBorders>
            <w:shd w:val="clear" w:color="auto" w:fill="auto"/>
            <w:noWrap/>
            <w:vAlign w:val="center"/>
          </w:tcPr>
          <w:p w14:paraId="6C765EED" w14:textId="7F75CA2C" w:rsidR="00295A62" w:rsidRPr="0040064B" w:rsidRDefault="00FF0FAB" w:rsidP="00DA24BA">
            <w:pPr>
              <w:jc w:val="center"/>
            </w:pPr>
            <w:r>
              <w:t>***</w:t>
            </w:r>
          </w:p>
        </w:tc>
        <w:tc>
          <w:tcPr>
            <w:tcW w:w="1420" w:type="dxa"/>
            <w:tcBorders>
              <w:top w:val="nil"/>
              <w:left w:val="nil"/>
              <w:bottom w:val="nil"/>
              <w:right w:val="nil"/>
            </w:tcBorders>
            <w:shd w:val="clear" w:color="auto" w:fill="auto"/>
            <w:noWrap/>
            <w:vAlign w:val="center"/>
          </w:tcPr>
          <w:p w14:paraId="14249A1E" w14:textId="2D253052" w:rsidR="00295A62" w:rsidRDefault="00FF0FAB" w:rsidP="00DA24BA">
            <w:pPr>
              <w:jc w:val="center"/>
            </w:pPr>
            <w:r>
              <w:t>-8.7124</w:t>
            </w:r>
          </w:p>
        </w:tc>
        <w:tc>
          <w:tcPr>
            <w:tcW w:w="620" w:type="dxa"/>
            <w:tcBorders>
              <w:top w:val="nil"/>
              <w:left w:val="nil"/>
              <w:bottom w:val="nil"/>
              <w:right w:val="nil"/>
            </w:tcBorders>
            <w:shd w:val="clear" w:color="auto" w:fill="auto"/>
            <w:noWrap/>
            <w:vAlign w:val="center"/>
          </w:tcPr>
          <w:p w14:paraId="5B3939A7" w14:textId="2A4ECEC1" w:rsidR="00295A62" w:rsidRPr="0040064B" w:rsidRDefault="00FF0FAB" w:rsidP="005B6B84">
            <w:pPr>
              <w:jc w:val="center"/>
            </w:pPr>
            <w:r>
              <w:t>***</w:t>
            </w:r>
          </w:p>
        </w:tc>
        <w:tc>
          <w:tcPr>
            <w:tcW w:w="1380" w:type="dxa"/>
            <w:tcBorders>
              <w:top w:val="nil"/>
              <w:left w:val="nil"/>
              <w:bottom w:val="nil"/>
              <w:right w:val="nil"/>
            </w:tcBorders>
            <w:shd w:val="clear" w:color="auto" w:fill="auto"/>
            <w:noWrap/>
            <w:vAlign w:val="center"/>
          </w:tcPr>
          <w:p w14:paraId="3D65A3D2" w14:textId="20A633AF" w:rsidR="00295A62" w:rsidRDefault="00FF0FAB" w:rsidP="00DA24BA">
            <w:pPr>
              <w:jc w:val="center"/>
            </w:pPr>
            <w:r>
              <w:t>-8.7533</w:t>
            </w:r>
          </w:p>
        </w:tc>
        <w:tc>
          <w:tcPr>
            <w:tcW w:w="583" w:type="dxa"/>
            <w:tcBorders>
              <w:top w:val="nil"/>
              <w:left w:val="nil"/>
              <w:bottom w:val="nil"/>
              <w:right w:val="nil"/>
            </w:tcBorders>
            <w:shd w:val="clear" w:color="auto" w:fill="auto"/>
            <w:noWrap/>
            <w:vAlign w:val="center"/>
          </w:tcPr>
          <w:p w14:paraId="7F4A7532" w14:textId="3B5FCE99" w:rsidR="00295A62" w:rsidRPr="0040064B" w:rsidRDefault="00FF0FAB" w:rsidP="00DA24BA">
            <w:pPr>
              <w:jc w:val="center"/>
            </w:pPr>
            <w:r>
              <w:t>***</w:t>
            </w:r>
          </w:p>
        </w:tc>
      </w:tr>
      <w:tr w:rsidR="004A03F6" w:rsidRPr="0040064B" w14:paraId="705A1B26" w14:textId="77777777" w:rsidTr="00CF2DBA">
        <w:trPr>
          <w:trHeight w:val="303"/>
          <w:jc w:val="center"/>
        </w:trPr>
        <w:tc>
          <w:tcPr>
            <w:tcW w:w="1441" w:type="dxa"/>
            <w:tcBorders>
              <w:top w:val="nil"/>
              <w:left w:val="nil"/>
              <w:bottom w:val="nil"/>
              <w:right w:val="nil"/>
            </w:tcBorders>
            <w:shd w:val="clear" w:color="auto" w:fill="auto"/>
            <w:noWrap/>
            <w:vAlign w:val="center"/>
          </w:tcPr>
          <w:p w14:paraId="1F13C35B" w14:textId="77777777" w:rsidR="004A03F6" w:rsidRPr="0040064B" w:rsidRDefault="004A03F6" w:rsidP="00DA24BA">
            <w:pPr>
              <w:jc w:val="center"/>
            </w:pPr>
            <w:proofErr w:type="spellStart"/>
            <w:r>
              <w:t>sfin</w:t>
            </w:r>
            <w:proofErr w:type="spellEnd"/>
          </w:p>
        </w:tc>
        <w:tc>
          <w:tcPr>
            <w:tcW w:w="1420" w:type="dxa"/>
            <w:tcBorders>
              <w:top w:val="nil"/>
              <w:left w:val="nil"/>
              <w:bottom w:val="nil"/>
              <w:right w:val="nil"/>
            </w:tcBorders>
            <w:shd w:val="clear" w:color="auto" w:fill="auto"/>
            <w:noWrap/>
            <w:vAlign w:val="center"/>
          </w:tcPr>
          <w:p w14:paraId="543A358D" w14:textId="77777777" w:rsidR="004A03F6" w:rsidRPr="0040064B" w:rsidRDefault="004A03F6" w:rsidP="00DA24BA">
            <w:pPr>
              <w:jc w:val="center"/>
            </w:pPr>
            <w:r>
              <w:t>-2.8028</w:t>
            </w:r>
          </w:p>
        </w:tc>
        <w:tc>
          <w:tcPr>
            <w:tcW w:w="600" w:type="dxa"/>
            <w:tcBorders>
              <w:top w:val="nil"/>
              <w:left w:val="nil"/>
              <w:bottom w:val="nil"/>
              <w:right w:val="nil"/>
            </w:tcBorders>
            <w:shd w:val="clear" w:color="auto" w:fill="auto"/>
            <w:noWrap/>
            <w:vAlign w:val="bottom"/>
          </w:tcPr>
          <w:p w14:paraId="5825449A" w14:textId="77777777" w:rsidR="004A03F6" w:rsidRPr="0040064B" w:rsidRDefault="004A03F6" w:rsidP="00DA24BA">
            <w:pPr>
              <w:jc w:val="center"/>
            </w:pPr>
            <w:r w:rsidRPr="0040064B">
              <w:t>*</w:t>
            </w:r>
          </w:p>
        </w:tc>
        <w:tc>
          <w:tcPr>
            <w:tcW w:w="1420" w:type="dxa"/>
            <w:tcBorders>
              <w:top w:val="nil"/>
              <w:left w:val="nil"/>
              <w:bottom w:val="nil"/>
              <w:right w:val="nil"/>
            </w:tcBorders>
            <w:shd w:val="clear" w:color="auto" w:fill="auto"/>
            <w:noWrap/>
            <w:vAlign w:val="center"/>
          </w:tcPr>
          <w:p w14:paraId="28C5B4BE" w14:textId="77777777" w:rsidR="004A03F6" w:rsidRPr="0040064B" w:rsidRDefault="004A03F6" w:rsidP="00DA24BA">
            <w:pPr>
              <w:jc w:val="center"/>
            </w:pPr>
            <w:r>
              <w:t>-3.0270</w:t>
            </w:r>
          </w:p>
        </w:tc>
        <w:tc>
          <w:tcPr>
            <w:tcW w:w="620" w:type="dxa"/>
            <w:tcBorders>
              <w:top w:val="nil"/>
              <w:left w:val="nil"/>
              <w:bottom w:val="nil"/>
              <w:right w:val="nil"/>
            </w:tcBorders>
            <w:shd w:val="clear" w:color="auto" w:fill="auto"/>
            <w:noWrap/>
            <w:vAlign w:val="center"/>
          </w:tcPr>
          <w:p w14:paraId="43B3ACF9" w14:textId="77777777" w:rsidR="004A03F6" w:rsidRPr="0040064B" w:rsidRDefault="004A03F6" w:rsidP="005B6B84">
            <w:pPr>
              <w:jc w:val="center"/>
            </w:pPr>
          </w:p>
        </w:tc>
        <w:tc>
          <w:tcPr>
            <w:tcW w:w="1380" w:type="dxa"/>
            <w:tcBorders>
              <w:top w:val="nil"/>
              <w:left w:val="nil"/>
              <w:bottom w:val="nil"/>
              <w:right w:val="nil"/>
            </w:tcBorders>
            <w:shd w:val="clear" w:color="auto" w:fill="auto"/>
            <w:noWrap/>
            <w:vAlign w:val="center"/>
          </w:tcPr>
          <w:p w14:paraId="5EFF9F07" w14:textId="77777777" w:rsidR="004A03F6" w:rsidRPr="0040064B" w:rsidRDefault="004A03F6" w:rsidP="00DA24BA">
            <w:pPr>
              <w:jc w:val="center"/>
            </w:pPr>
            <w:r>
              <w:t>-1.8239</w:t>
            </w:r>
          </w:p>
        </w:tc>
        <w:tc>
          <w:tcPr>
            <w:tcW w:w="583" w:type="dxa"/>
            <w:tcBorders>
              <w:top w:val="nil"/>
              <w:left w:val="nil"/>
              <w:bottom w:val="nil"/>
              <w:right w:val="nil"/>
            </w:tcBorders>
            <w:shd w:val="clear" w:color="auto" w:fill="auto"/>
            <w:noWrap/>
            <w:vAlign w:val="center"/>
          </w:tcPr>
          <w:p w14:paraId="0F84AFD4" w14:textId="77777777" w:rsidR="004A03F6" w:rsidRPr="0040064B" w:rsidRDefault="004A03F6" w:rsidP="00DA24BA">
            <w:pPr>
              <w:jc w:val="center"/>
            </w:pPr>
            <w:r>
              <w:t>*</w:t>
            </w:r>
          </w:p>
        </w:tc>
      </w:tr>
      <w:tr w:rsidR="00295A62" w:rsidRPr="0040064B" w14:paraId="3530A6C2" w14:textId="77777777" w:rsidTr="00CF2DBA">
        <w:trPr>
          <w:trHeight w:val="303"/>
          <w:jc w:val="center"/>
        </w:trPr>
        <w:tc>
          <w:tcPr>
            <w:tcW w:w="1441" w:type="dxa"/>
            <w:tcBorders>
              <w:top w:val="nil"/>
              <w:left w:val="nil"/>
              <w:bottom w:val="nil"/>
              <w:right w:val="nil"/>
            </w:tcBorders>
            <w:shd w:val="clear" w:color="auto" w:fill="auto"/>
            <w:noWrap/>
            <w:vAlign w:val="center"/>
          </w:tcPr>
          <w:p w14:paraId="47119352" w14:textId="4B288C26" w:rsidR="00295A62" w:rsidRDefault="00295A62" w:rsidP="00DA24BA">
            <w:pPr>
              <w:jc w:val="center"/>
            </w:pPr>
            <w:proofErr w:type="spellStart"/>
            <w:r>
              <w:t>dsfin</w:t>
            </w:r>
            <w:proofErr w:type="spellEnd"/>
          </w:p>
        </w:tc>
        <w:tc>
          <w:tcPr>
            <w:tcW w:w="1420" w:type="dxa"/>
            <w:tcBorders>
              <w:top w:val="nil"/>
              <w:left w:val="nil"/>
              <w:bottom w:val="nil"/>
              <w:right w:val="nil"/>
            </w:tcBorders>
            <w:shd w:val="clear" w:color="auto" w:fill="auto"/>
            <w:noWrap/>
            <w:vAlign w:val="center"/>
          </w:tcPr>
          <w:p w14:paraId="084D8CF4" w14:textId="16DBE80A" w:rsidR="00295A62" w:rsidRDefault="006278A6" w:rsidP="00DA24BA">
            <w:pPr>
              <w:jc w:val="center"/>
            </w:pPr>
            <w:r>
              <w:t>-16.2675</w:t>
            </w:r>
          </w:p>
        </w:tc>
        <w:tc>
          <w:tcPr>
            <w:tcW w:w="600" w:type="dxa"/>
            <w:tcBorders>
              <w:top w:val="nil"/>
              <w:left w:val="nil"/>
              <w:bottom w:val="nil"/>
              <w:right w:val="nil"/>
            </w:tcBorders>
            <w:shd w:val="clear" w:color="auto" w:fill="auto"/>
            <w:noWrap/>
            <w:vAlign w:val="bottom"/>
          </w:tcPr>
          <w:p w14:paraId="22253027" w14:textId="7B1CA532" w:rsidR="00295A62" w:rsidRPr="0040064B" w:rsidRDefault="006278A6" w:rsidP="00DA24BA">
            <w:pPr>
              <w:jc w:val="center"/>
            </w:pPr>
            <w:r>
              <w:t>***</w:t>
            </w:r>
          </w:p>
        </w:tc>
        <w:tc>
          <w:tcPr>
            <w:tcW w:w="1420" w:type="dxa"/>
            <w:tcBorders>
              <w:top w:val="nil"/>
              <w:left w:val="nil"/>
              <w:bottom w:val="nil"/>
              <w:right w:val="nil"/>
            </w:tcBorders>
            <w:shd w:val="clear" w:color="auto" w:fill="auto"/>
            <w:noWrap/>
            <w:vAlign w:val="center"/>
          </w:tcPr>
          <w:p w14:paraId="07B514E6" w14:textId="28642114" w:rsidR="00295A62" w:rsidRDefault="006278A6" w:rsidP="00DA24BA">
            <w:pPr>
              <w:jc w:val="center"/>
            </w:pPr>
            <w:r>
              <w:t>-16.2329</w:t>
            </w:r>
          </w:p>
        </w:tc>
        <w:tc>
          <w:tcPr>
            <w:tcW w:w="620" w:type="dxa"/>
            <w:tcBorders>
              <w:top w:val="nil"/>
              <w:left w:val="nil"/>
              <w:bottom w:val="nil"/>
              <w:right w:val="nil"/>
            </w:tcBorders>
            <w:shd w:val="clear" w:color="auto" w:fill="auto"/>
            <w:noWrap/>
            <w:vAlign w:val="center"/>
          </w:tcPr>
          <w:p w14:paraId="48EF6F08" w14:textId="7CF3CE42" w:rsidR="00295A62" w:rsidRPr="0040064B" w:rsidRDefault="006278A6" w:rsidP="005B6B84">
            <w:pPr>
              <w:jc w:val="center"/>
            </w:pPr>
            <w:r>
              <w:t>***</w:t>
            </w:r>
          </w:p>
        </w:tc>
        <w:tc>
          <w:tcPr>
            <w:tcW w:w="1380" w:type="dxa"/>
            <w:tcBorders>
              <w:top w:val="nil"/>
              <w:left w:val="nil"/>
              <w:bottom w:val="nil"/>
              <w:right w:val="nil"/>
            </w:tcBorders>
            <w:shd w:val="clear" w:color="auto" w:fill="auto"/>
            <w:noWrap/>
            <w:vAlign w:val="center"/>
          </w:tcPr>
          <w:p w14:paraId="24835795" w14:textId="4EB0B6A6" w:rsidR="00295A62" w:rsidRDefault="006278A6" w:rsidP="00DA24BA">
            <w:pPr>
              <w:jc w:val="center"/>
            </w:pPr>
            <w:r>
              <w:t>-16.3079</w:t>
            </w:r>
          </w:p>
        </w:tc>
        <w:tc>
          <w:tcPr>
            <w:tcW w:w="583" w:type="dxa"/>
            <w:tcBorders>
              <w:top w:val="nil"/>
              <w:left w:val="nil"/>
              <w:bottom w:val="nil"/>
              <w:right w:val="nil"/>
            </w:tcBorders>
            <w:shd w:val="clear" w:color="auto" w:fill="auto"/>
            <w:noWrap/>
            <w:vAlign w:val="center"/>
          </w:tcPr>
          <w:p w14:paraId="5DC3A227" w14:textId="34824037" w:rsidR="00295A62" w:rsidRDefault="006278A6" w:rsidP="00DA24BA">
            <w:pPr>
              <w:jc w:val="center"/>
            </w:pPr>
            <w:r>
              <w:t>***</w:t>
            </w:r>
          </w:p>
        </w:tc>
      </w:tr>
      <w:tr w:rsidR="004A03F6" w:rsidRPr="0040064B" w14:paraId="21AE4489" w14:textId="77777777" w:rsidTr="00CF2DBA">
        <w:trPr>
          <w:trHeight w:val="303"/>
          <w:jc w:val="center"/>
        </w:trPr>
        <w:tc>
          <w:tcPr>
            <w:tcW w:w="1441" w:type="dxa"/>
            <w:tcBorders>
              <w:top w:val="nil"/>
              <w:left w:val="nil"/>
              <w:bottom w:val="nil"/>
              <w:right w:val="nil"/>
            </w:tcBorders>
            <w:shd w:val="clear" w:color="auto" w:fill="auto"/>
            <w:noWrap/>
            <w:vAlign w:val="center"/>
          </w:tcPr>
          <w:p w14:paraId="4BD0776A" w14:textId="77777777" w:rsidR="004A03F6" w:rsidRPr="0040064B" w:rsidRDefault="004A03F6" w:rsidP="00DA24BA">
            <w:pPr>
              <w:jc w:val="center"/>
            </w:pPr>
            <w:proofErr w:type="spellStart"/>
            <w:r>
              <w:t>sfra</w:t>
            </w:r>
            <w:proofErr w:type="spellEnd"/>
          </w:p>
        </w:tc>
        <w:tc>
          <w:tcPr>
            <w:tcW w:w="1420" w:type="dxa"/>
            <w:tcBorders>
              <w:top w:val="nil"/>
              <w:left w:val="nil"/>
              <w:bottom w:val="nil"/>
              <w:right w:val="nil"/>
            </w:tcBorders>
            <w:shd w:val="clear" w:color="auto" w:fill="auto"/>
            <w:noWrap/>
            <w:vAlign w:val="center"/>
          </w:tcPr>
          <w:p w14:paraId="17820C08" w14:textId="77777777" w:rsidR="004A03F6" w:rsidRPr="0040064B" w:rsidRDefault="004A03F6" w:rsidP="00DA24BA">
            <w:pPr>
              <w:jc w:val="center"/>
            </w:pPr>
            <w:r>
              <w:t>-1.6310</w:t>
            </w:r>
          </w:p>
        </w:tc>
        <w:tc>
          <w:tcPr>
            <w:tcW w:w="600" w:type="dxa"/>
            <w:tcBorders>
              <w:top w:val="nil"/>
              <w:left w:val="nil"/>
              <w:bottom w:val="nil"/>
              <w:right w:val="nil"/>
            </w:tcBorders>
            <w:shd w:val="clear" w:color="auto" w:fill="auto"/>
            <w:noWrap/>
            <w:vAlign w:val="center"/>
          </w:tcPr>
          <w:p w14:paraId="73143F4F" w14:textId="77777777" w:rsidR="004A03F6" w:rsidRPr="0040064B" w:rsidRDefault="004A03F6" w:rsidP="00DA24BA">
            <w:pPr>
              <w:jc w:val="center"/>
            </w:pPr>
          </w:p>
        </w:tc>
        <w:tc>
          <w:tcPr>
            <w:tcW w:w="1420" w:type="dxa"/>
            <w:tcBorders>
              <w:top w:val="nil"/>
              <w:left w:val="nil"/>
              <w:bottom w:val="nil"/>
              <w:right w:val="nil"/>
            </w:tcBorders>
            <w:shd w:val="clear" w:color="auto" w:fill="auto"/>
            <w:noWrap/>
            <w:vAlign w:val="center"/>
          </w:tcPr>
          <w:p w14:paraId="6ACDA093" w14:textId="77777777" w:rsidR="004A03F6" w:rsidRPr="0040064B" w:rsidRDefault="004A03F6" w:rsidP="00DA24BA">
            <w:pPr>
              <w:jc w:val="center"/>
            </w:pPr>
            <w:r>
              <w:t>-2.2344</w:t>
            </w:r>
          </w:p>
        </w:tc>
        <w:tc>
          <w:tcPr>
            <w:tcW w:w="620" w:type="dxa"/>
            <w:tcBorders>
              <w:top w:val="nil"/>
              <w:left w:val="nil"/>
              <w:bottom w:val="nil"/>
              <w:right w:val="nil"/>
            </w:tcBorders>
            <w:shd w:val="clear" w:color="auto" w:fill="auto"/>
            <w:noWrap/>
            <w:vAlign w:val="center"/>
          </w:tcPr>
          <w:p w14:paraId="6D961060" w14:textId="77777777" w:rsidR="004A03F6" w:rsidRPr="0040064B" w:rsidRDefault="004A03F6" w:rsidP="005B6B84">
            <w:pPr>
              <w:jc w:val="center"/>
            </w:pPr>
          </w:p>
        </w:tc>
        <w:tc>
          <w:tcPr>
            <w:tcW w:w="1380" w:type="dxa"/>
            <w:tcBorders>
              <w:top w:val="nil"/>
              <w:left w:val="nil"/>
              <w:bottom w:val="nil"/>
              <w:right w:val="nil"/>
            </w:tcBorders>
            <w:shd w:val="clear" w:color="auto" w:fill="auto"/>
            <w:noWrap/>
            <w:vAlign w:val="center"/>
          </w:tcPr>
          <w:p w14:paraId="30FF1F26" w14:textId="77777777" w:rsidR="004A03F6" w:rsidRPr="0040064B" w:rsidRDefault="004A03F6" w:rsidP="00DA24BA">
            <w:pPr>
              <w:jc w:val="center"/>
            </w:pPr>
            <w:r>
              <w:t>-0.8773</w:t>
            </w:r>
          </w:p>
        </w:tc>
        <w:tc>
          <w:tcPr>
            <w:tcW w:w="583" w:type="dxa"/>
            <w:tcBorders>
              <w:top w:val="nil"/>
              <w:left w:val="nil"/>
              <w:bottom w:val="nil"/>
              <w:right w:val="nil"/>
            </w:tcBorders>
            <w:shd w:val="clear" w:color="auto" w:fill="auto"/>
            <w:noWrap/>
            <w:vAlign w:val="center"/>
          </w:tcPr>
          <w:p w14:paraId="465ABA6A" w14:textId="77777777" w:rsidR="004A03F6" w:rsidRPr="0040064B" w:rsidRDefault="004A03F6" w:rsidP="00DA24BA">
            <w:pPr>
              <w:jc w:val="center"/>
            </w:pPr>
          </w:p>
        </w:tc>
      </w:tr>
      <w:tr w:rsidR="00295A62" w:rsidRPr="0040064B" w14:paraId="120A754E" w14:textId="77777777" w:rsidTr="00CF2DBA">
        <w:trPr>
          <w:trHeight w:val="303"/>
          <w:jc w:val="center"/>
        </w:trPr>
        <w:tc>
          <w:tcPr>
            <w:tcW w:w="1441" w:type="dxa"/>
            <w:tcBorders>
              <w:top w:val="nil"/>
              <w:left w:val="nil"/>
              <w:bottom w:val="nil"/>
              <w:right w:val="nil"/>
            </w:tcBorders>
            <w:shd w:val="clear" w:color="auto" w:fill="auto"/>
            <w:noWrap/>
            <w:vAlign w:val="center"/>
          </w:tcPr>
          <w:p w14:paraId="3BC36513" w14:textId="5F2414AD" w:rsidR="00295A62" w:rsidRDefault="00295A62" w:rsidP="00DA24BA">
            <w:pPr>
              <w:jc w:val="center"/>
            </w:pPr>
            <w:proofErr w:type="spellStart"/>
            <w:r>
              <w:t>dsfra</w:t>
            </w:r>
            <w:proofErr w:type="spellEnd"/>
          </w:p>
        </w:tc>
        <w:tc>
          <w:tcPr>
            <w:tcW w:w="1420" w:type="dxa"/>
            <w:tcBorders>
              <w:top w:val="nil"/>
              <w:left w:val="nil"/>
              <w:bottom w:val="nil"/>
              <w:right w:val="nil"/>
            </w:tcBorders>
            <w:shd w:val="clear" w:color="auto" w:fill="auto"/>
            <w:noWrap/>
            <w:vAlign w:val="center"/>
          </w:tcPr>
          <w:p w14:paraId="52094C37" w14:textId="368A5B43" w:rsidR="00295A62" w:rsidRDefault="005B6B84" w:rsidP="00DA24BA">
            <w:pPr>
              <w:jc w:val="center"/>
            </w:pPr>
            <w:r>
              <w:t>-10.6033</w:t>
            </w:r>
          </w:p>
        </w:tc>
        <w:tc>
          <w:tcPr>
            <w:tcW w:w="600" w:type="dxa"/>
            <w:tcBorders>
              <w:top w:val="nil"/>
              <w:left w:val="nil"/>
              <w:bottom w:val="nil"/>
              <w:right w:val="nil"/>
            </w:tcBorders>
            <w:shd w:val="clear" w:color="auto" w:fill="auto"/>
            <w:noWrap/>
            <w:vAlign w:val="center"/>
          </w:tcPr>
          <w:p w14:paraId="49BDAA4E" w14:textId="4B8D8361" w:rsidR="00295A62" w:rsidRDefault="005B6B84" w:rsidP="00DA24BA">
            <w:pPr>
              <w:jc w:val="center"/>
            </w:pPr>
            <w:r>
              <w:t>***</w:t>
            </w:r>
          </w:p>
        </w:tc>
        <w:tc>
          <w:tcPr>
            <w:tcW w:w="1420" w:type="dxa"/>
            <w:tcBorders>
              <w:top w:val="nil"/>
              <w:left w:val="nil"/>
              <w:bottom w:val="nil"/>
              <w:right w:val="nil"/>
            </w:tcBorders>
            <w:shd w:val="clear" w:color="auto" w:fill="auto"/>
            <w:noWrap/>
            <w:vAlign w:val="center"/>
          </w:tcPr>
          <w:p w14:paraId="0C3B4164" w14:textId="65DFD888" w:rsidR="00295A62" w:rsidRDefault="005B6B84" w:rsidP="00DA24BA">
            <w:pPr>
              <w:jc w:val="center"/>
            </w:pPr>
            <w:r>
              <w:t>-10.5759</w:t>
            </w:r>
          </w:p>
        </w:tc>
        <w:tc>
          <w:tcPr>
            <w:tcW w:w="620" w:type="dxa"/>
            <w:tcBorders>
              <w:top w:val="nil"/>
              <w:left w:val="nil"/>
              <w:bottom w:val="nil"/>
              <w:right w:val="nil"/>
            </w:tcBorders>
            <w:shd w:val="clear" w:color="auto" w:fill="auto"/>
            <w:noWrap/>
            <w:vAlign w:val="center"/>
          </w:tcPr>
          <w:p w14:paraId="58483EA4" w14:textId="20C60C13" w:rsidR="00295A62" w:rsidRDefault="005B6B84" w:rsidP="005B6B84">
            <w:pPr>
              <w:jc w:val="center"/>
            </w:pPr>
            <w:r>
              <w:t>***</w:t>
            </w:r>
          </w:p>
        </w:tc>
        <w:tc>
          <w:tcPr>
            <w:tcW w:w="1380" w:type="dxa"/>
            <w:tcBorders>
              <w:top w:val="nil"/>
              <w:left w:val="nil"/>
              <w:bottom w:val="nil"/>
              <w:right w:val="nil"/>
            </w:tcBorders>
            <w:shd w:val="clear" w:color="auto" w:fill="auto"/>
            <w:noWrap/>
            <w:vAlign w:val="center"/>
          </w:tcPr>
          <w:p w14:paraId="669804F3" w14:textId="6199F0A7" w:rsidR="00295A62" w:rsidRDefault="005B6B84" w:rsidP="00DA24BA">
            <w:pPr>
              <w:jc w:val="center"/>
            </w:pPr>
            <w:r>
              <w:t>-10.6243</w:t>
            </w:r>
          </w:p>
        </w:tc>
        <w:tc>
          <w:tcPr>
            <w:tcW w:w="583" w:type="dxa"/>
            <w:tcBorders>
              <w:top w:val="nil"/>
              <w:left w:val="nil"/>
              <w:bottom w:val="nil"/>
              <w:right w:val="nil"/>
            </w:tcBorders>
            <w:shd w:val="clear" w:color="auto" w:fill="auto"/>
            <w:noWrap/>
            <w:vAlign w:val="center"/>
          </w:tcPr>
          <w:p w14:paraId="7102C347" w14:textId="749DBC76" w:rsidR="00295A62" w:rsidRDefault="005B6B84" w:rsidP="00DA24BA">
            <w:pPr>
              <w:jc w:val="center"/>
            </w:pPr>
            <w:r>
              <w:t>***</w:t>
            </w:r>
          </w:p>
        </w:tc>
      </w:tr>
      <w:tr w:rsidR="004A03F6" w:rsidRPr="0040064B" w14:paraId="3B2C8AE2" w14:textId="77777777" w:rsidTr="00CF2DBA">
        <w:trPr>
          <w:trHeight w:val="303"/>
          <w:jc w:val="center"/>
        </w:trPr>
        <w:tc>
          <w:tcPr>
            <w:tcW w:w="1441" w:type="dxa"/>
            <w:tcBorders>
              <w:top w:val="nil"/>
              <w:left w:val="nil"/>
              <w:bottom w:val="nil"/>
              <w:right w:val="nil"/>
            </w:tcBorders>
            <w:shd w:val="clear" w:color="auto" w:fill="auto"/>
            <w:noWrap/>
            <w:vAlign w:val="center"/>
          </w:tcPr>
          <w:p w14:paraId="3587EEF2" w14:textId="77777777" w:rsidR="004A03F6" w:rsidRDefault="004A03F6" w:rsidP="00DA24BA">
            <w:pPr>
              <w:jc w:val="center"/>
            </w:pPr>
            <w:proofErr w:type="spellStart"/>
            <w:r>
              <w:t>snet</w:t>
            </w:r>
            <w:proofErr w:type="spellEnd"/>
          </w:p>
        </w:tc>
        <w:tc>
          <w:tcPr>
            <w:tcW w:w="1420" w:type="dxa"/>
            <w:tcBorders>
              <w:top w:val="nil"/>
              <w:left w:val="nil"/>
              <w:bottom w:val="nil"/>
              <w:right w:val="nil"/>
            </w:tcBorders>
            <w:shd w:val="clear" w:color="auto" w:fill="auto"/>
            <w:noWrap/>
            <w:vAlign w:val="center"/>
          </w:tcPr>
          <w:p w14:paraId="3AE69614" w14:textId="77777777" w:rsidR="004A03F6" w:rsidRDefault="004A03F6" w:rsidP="00DA24BA">
            <w:pPr>
              <w:jc w:val="center"/>
            </w:pPr>
            <w:r>
              <w:t>-2.9372</w:t>
            </w:r>
          </w:p>
        </w:tc>
        <w:tc>
          <w:tcPr>
            <w:tcW w:w="600" w:type="dxa"/>
            <w:tcBorders>
              <w:top w:val="nil"/>
              <w:left w:val="nil"/>
              <w:bottom w:val="nil"/>
              <w:right w:val="nil"/>
            </w:tcBorders>
            <w:shd w:val="clear" w:color="auto" w:fill="auto"/>
            <w:noWrap/>
            <w:vAlign w:val="center"/>
          </w:tcPr>
          <w:p w14:paraId="3B1840C7" w14:textId="77777777" w:rsidR="004A03F6" w:rsidRPr="0040064B" w:rsidRDefault="004A03F6" w:rsidP="00DA24BA">
            <w:pPr>
              <w:jc w:val="center"/>
            </w:pPr>
            <w:r>
              <w:t>**</w:t>
            </w:r>
          </w:p>
        </w:tc>
        <w:tc>
          <w:tcPr>
            <w:tcW w:w="1420" w:type="dxa"/>
            <w:tcBorders>
              <w:top w:val="nil"/>
              <w:left w:val="nil"/>
              <w:bottom w:val="nil"/>
              <w:right w:val="nil"/>
            </w:tcBorders>
            <w:shd w:val="clear" w:color="auto" w:fill="auto"/>
            <w:noWrap/>
            <w:vAlign w:val="center"/>
          </w:tcPr>
          <w:p w14:paraId="2C79DF05" w14:textId="77777777" w:rsidR="004A03F6" w:rsidRDefault="004A03F6" w:rsidP="00DA24BA">
            <w:pPr>
              <w:jc w:val="center"/>
            </w:pPr>
            <w:r>
              <w:t>-3.2860</w:t>
            </w:r>
          </w:p>
        </w:tc>
        <w:tc>
          <w:tcPr>
            <w:tcW w:w="620" w:type="dxa"/>
            <w:tcBorders>
              <w:top w:val="nil"/>
              <w:left w:val="nil"/>
              <w:bottom w:val="nil"/>
              <w:right w:val="nil"/>
            </w:tcBorders>
            <w:shd w:val="clear" w:color="auto" w:fill="auto"/>
            <w:noWrap/>
            <w:vAlign w:val="center"/>
          </w:tcPr>
          <w:p w14:paraId="5A6D9CA7" w14:textId="77777777" w:rsidR="004A03F6" w:rsidRPr="0040064B" w:rsidRDefault="004A03F6" w:rsidP="005B6B84">
            <w:pPr>
              <w:jc w:val="center"/>
            </w:pPr>
            <w:r>
              <w:t>*</w:t>
            </w:r>
          </w:p>
        </w:tc>
        <w:tc>
          <w:tcPr>
            <w:tcW w:w="1380" w:type="dxa"/>
            <w:tcBorders>
              <w:top w:val="nil"/>
              <w:left w:val="nil"/>
              <w:bottom w:val="nil"/>
              <w:right w:val="nil"/>
            </w:tcBorders>
            <w:shd w:val="clear" w:color="auto" w:fill="auto"/>
            <w:noWrap/>
            <w:vAlign w:val="center"/>
          </w:tcPr>
          <w:p w14:paraId="3A1FAAB4" w14:textId="77777777" w:rsidR="004A03F6" w:rsidRDefault="004A03F6" w:rsidP="00DA24BA">
            <w:pPr>
              <w:jc w:val="center"/>
            </w:pPr>
            <w:r>
              <w:t>-1.6924</w:t>
            </w:r>
          </w:p>
        </w:tc>
        <w:tc>
          <w:tcPr>
            <w:tcW w:w="583" w:type="dxa"/>
            <w:tcBorders>
              <w:top w:val="nil"/>
              <w:left w:val="nil"/>
              <w:bottom w:val="nil"/>
              <w:right w:val="nil"/>
            </w:tcBorders>
            <w:shd w:val="clear" w:color="auto" w:fill="auto"/>
            <w:noWrap/>
            <w:vAlign w:val="center"/>
          </w:tcPr>
          <w:p w14:paraId="6BE494C7" w14:textId="77777777" w:rsidR="004A03F6" w:rsidRPr="0040064B" w:rsidRDefault="004A03F6" w:rsidP="00DA24BA">
            <w:pPr>
              <w:jc w:val="center"/>
            </w:pPr>
            <w:r>
              <w:t>*</w:t>
            </w:r>
          </w:p>
        </w:tc>
      </w:tr>
      <w:tr w:rsidR="00295A62" w:rsidRPr="0040064B" w14:paraId="253201BF" w14:textId="77777777" w:rsidTr="00CF2DBA">
        <w:trPr>
          <w:trHeight w:val="303"/>
          <w:jc w:val="center"/>
        </w:trPr>
        <w:tc>
          <w:tcPr>
            <w:tcW w:w="1441" w:type="dxa"/>
            <w:tcBorders>
              <w:top w:val="nil"/>
              <w:left w:val="nil"/>
              <w:bottom w:val="nil"/>
              <w:right w:val="nil"/>
            </w:tcBorders>
            <w:shd w:val="clear" w:color="auto" w:fill="auto"/>
            <w:noWrap/>
            <w:vAlign w:val="center"/>
          </w:tcPr>
          <w:p w14:paraId="73A0888D" w14:textId="6EB83181" w:rsidR="00295A62" w:rsidRDefault="00295A62" w:rsidP="00DA24BA">
            <w:pPr>
              <w:jc w:val="center"/>
            </w:pPr>
            <w:proofErr w:type="spellStart"/>
            <w:r>
              <w:t>dsnet</w:t>
            </w:r>
            <w:proofErr w:type="spellEnd"/>
          </w:p>
        </w:tc>
        <w:tc>
          <w:tcPr>
            <w:tcW w:w="1420" w:type="dxa"/>
            <w:tcBorders>
              <w:top w:val="nil"/>
              <w:left w:val="nil"/>
              <w:bottom w:val="nil"/>
              <w:right w:val="nil"/>
            </w:tcBorders>
            <w:shd w:val="clear" w:color="auto" w:fill="auto"/>
            <w:noWrap/>
            <w:vAlign w:val="center"/>
          </w:tcPr>
          <w:p w14:paraId="70A37BA3" w14:textId="10925FB6" w:rsidR="00295A62" w:rsidRDefault="005B6B84" w:rsidP="00DA24BA">
            <w:pPr>
              <w:jc w:val="center"/>
            </w:pPr>
            <w:r>
              <w:t>-16.3071</w:t>
            </w:r>
          </w:p>
        </w:tc>
        <w:tc>
          <w:tcPr>
            <w:tcW w:w="600" w:type="dxa"/>
            <w:tcBorders>
              <w:top w:val="nil"/>
              <w:left w:val="nil"/>
              <w:bottom w:val="nil"/>
              <w:right w:val="nil"/>
            </w:tcBorders>
            <w:shd w:val="clear" w:color="auto" w:fill="auto"/>
            <w:noWrap/>
            <w:vAlign w:val="center"/>
          </w:tcPr>
          <w:p w14:paraId="4ACB0424" w14:textId="35B78F94" w:rsidR="00295A62" w:rsidRDefault="005B6B84" w:rsidP="00DA24BA">
            <w:pPr>
              <w:jc w:val="center"/>
            </w:pPr>
            <w:r>
              <w:t>***</w:t>
            </w:r>
          </w:p>
        </w:tc>
        <w:tc>
          <w:tcPr>
            <w:tcW w:w="1420" w:type="dxa"/>
            <w:tcBorders>
              <w:top w:val="nil"/>
              <w:left w:val="nil"/>
              <w:bottom w:val="nil"/>
              <w:right w:val="nil"/>
            </w:tcBorders>
            <w:shd w:val="clear" w:color="auto" w:fill="auto"/>
            <w:noWrap/>
            <w:vAlign w:val="center"/>
          </w:tcPr>
          <w:p w14:paraId="696AB084" w14:textId="07F2678C" w:rsidR="00295A62" w:rsidRDefault="005B6B84" w:rsidP="00DA24BA">
            <w:pPr>
              <w:jc w:val="center"/>
            </w:pPr>
            <w:r>
              <w:t>-16.2648</w:t>
            </w:r>
          </w:p>
        </w:tc>
        <w:tc>
          <w:tcPr>
            <w:tcW w:w="620" w:type="dxa"/>
            <w:tcBorders>
              <w:top w:val="nil"/>
              <w:left w:val="nil"/>
              <w:bottom w:val="nil"/>
              <w:right w:val="nil"/>
            </w:tcBorders>
            <w:shd w:val="clear" w:color="auto" w:fill="auto"/>
            <w:noWrap/>
            <w:vAlign w:val="center"/>
          </w:tcPr>
          <w:p w14:paraId="3D02B72F" w14:textId="348E4FC4" w:rsidR="00295A62" w:rsidRDefault="005B6B84" w:rsidP="00DA24BA">
            <w:r>
              <w:t>***</w:t>
            </w:r>
          </w:p>
        </w:tc>
        <w:tc>
          <w:tcPr>
            <w:tcW w:w="1380" w:type="dxa"/>
            <w:tcBorders>
              <w:top w:val="nil"/>
              <w:left w:val="nil"/>
              <w:bottom w:val="nil"/>
              <w:right w:val="nil"/>
            </w:tcBorders>
            <w:shd w:val="clear" w:color="auto" w:fill="auto"/>
            <w:noWrap/>
            <w:vAlign w:val="center"/>
          </w:tcPr>
          <w:p w14:paraId="2C3A49E3" w14:textId="3CDF2F6B" w:rsidR="00295A62" w:rsidRDefault="005B6B84" w:rsidP="00DA24BA">
            <w:pPr>
              <w:jc w:val="center"/>
            </w:pPr>
            <w:r>
              <w:t>-16.3470</w:t>
            </w:r>
          </w:p>
        </w:tc>
        <w:tc>
          <w:tcPr>
            <w:tcW w:w="583" w:type="dxa"/>
            <w:tcBorders>
              <w:top w:val="nil"/>
              <w:left w:val="nil"/>
              <w:bottom w:val="nil"/>
              <w:right w:val="nil"/>
            </w:tcBorders>
            <w:shd w:val="clear" w:color="auto" w:fill="auto"/>
            <w:noWrap/>
            <w:vAlign w:val="center"/>
          </w:tcPr>
          <w:p w14:paraId="53314BB3" w14:textId="26C91C1F" w:rsidR="00295A62" w:rsidRDefault="005B6B84" w:rsidP="00DA24BA">
            <w:pPr>
              <w:jc w:val="center"/>
            </w:pPr>
            <w:r>
              <w:t>***</w:t>
            </w:r>
          </w:p>
        </w:tc>
      </w:tr>
      <w:tr w:rsidR="004A03F6" w:rsidRPr="0040064B" w14:paraId="36F86FA2" w14:textId="77777777" w:rsidTr="00CF2DBA">
        <w:trPr>
          <w:trHeight w:val="303"/>
          <w:jc w:val="center"/>
        </w:trPr>
        <w:tc>
          <w:tcPr>
            <w:tcW w:w="1441" w:type="dxa"/>
            <w:tcBorders>
              <w:top w:val="nil"/>
              <w:left w:val="nil"/>
              <w:bottom w:val="nil"/>
              <w:right w:val="nil"/>
            </w:tcBorders>
            <w:shd w:val="clear" w:color="auto" w:fill="auto"/>
            <w:noWrap/>
            <w:vAlign w:val="center"/>
          </w:tcPr>
          <w:p w14:paraId="36D8CBDB" w14:textId="77777777" w:rsidR="004A03F6" w:rsidRPr="0040064B" w:rsidRDefault="004A03F6" w:rsidP="00DA24BA">
            <w:pPr>
              <w:jc w:val="center"/>
            </w:pPr>
            <w:proofErr w:type="spellStart"/>
            <w:r>
              <w:t>sgre</w:t>
            </w:r>
            <w:proofErr w:type="spellEnd"/>
          </w:p>
        </w:tc>
        <w:tc>
          <w:tcPr>
            <w:tcW w:w="1420" w:type="dxa"/>
            <w:tcBorders>
              <w:top w:val="nil"/>
              <w:left w:val="nil"/>
              <w:bottom w:val="nil"/>
              <w:right w:val="nil"/>
            </w:tcBorders>
            <w:shd w:val="clear" w:color="auto" w:fill="auto"/>
            <w:noWrap/>
            <w:vAlign w:val="center"/>
          </w:tcPr>
          <w:p w14:paraId="36115C89" w14:textId="77777777" w:rsidR="004A03F6" w:rsidRPr="0040064B" w:rsidRDefault="004A03F6" w:rsidP="00DA24BA">
            <w:pPr>
              <w:jc w:val="center"/>
            </w:pPr>
            <w:r>
              <w:t>-1.7686</w:t>
            </w:r>
          </w:p>
        </w:tc>
        <w:tc>
          <w:tcPr>
            <w:tcW w:w="600" w:type="dxa"/>
            <w:tcBorders>
              <w:top w:val="nil"/>
              <w:left w:val="nil"/>
              <w:bottom w:val="nil"/>
              <w:right w:val="nil"/>
            </w:tcBorders>
            <w:shd w:val="clear" w:color="auto" w:fill="auto"/>
            <w:noWrap/>
            <w:vAlign w:val="bottom"/>
          </w:tcPr>
          <w:p w14:paraId="5317D4A7" w14:textId="77777777" w:rsidR="004A03F6" w:rsidRPr="0040064B" w:rsidRDefault="004A03F6" w:rsidP="00DA24BA">
            <w:pPr>
              <w:jc w:val="center"/>
            </w:pPr>
          </w:p>
        </w:tc>
        <w:tc>
          <w:tcPr>
            <w:tcW w:w="1420" w:type="dxa"/>
            <w:tcBorders>
              <w:top w:val="nil"/>
              <w:left w:val="nil"/>
              <w:bottom w:val="nil"/>
              <w:right w:val="nil"/>
            </w:tcBorders>
            <w:shd w:val="clear" w:color="auto" w:fill="auto"/>
            <w:noWrap/>
            <w:vAlign w:val="center"/>
          </w:tcPr>
          <w:p w14:paraId="5445DF30" w14:textId="77777777" w:rsidR="004A03F6" w:rsidRPr="0040064B" w:rsidRDefault="004A03F6" w:rsidP="00DA24BA">
            <w:pPr>
              <w:jc w:val="center"/>
            </w:pPr>
            <w:r>
              <w:t>-2.0855</w:t>
            </w:r>
          </w:p>
        </w:tc>
        <w:tc>
          <w:tcPr>
            <w:tcW w:w="620" w:type="dxa"/>
            <w:tcBorders>
              <w:top w:val="nil"/>
              <w:left w:val="nil"/>
              <w:bottom w:val="nil"/>
              <w:right w:val="nil"/>
            </w:tcBorders>
            <w:shd w:val="clear" w:color="auto" w:fill="auto"/>
            <w:noWrap/>
            <w:vAlign w:val="center"/>
          </w:tcPr>
          <w:p w14:paraId="17900A15" w14:textId="77777777" w:rsidR="004A03F6" w:rsidRPr="0040064B" w:rsidRDefault="004A03F6" w:rsidP="00DA24BA">
            <w:pPr>
              <w:jc w:val="center"/>
            </w:pPr>
          </w:p>
        </w:tc>
        <w:tc>
          <w:tcPr>
            <w:tcW w:w="1380" w:type="dxa"/>
            <w:tcBorders>
              <w:top w:val="nil"/>
              <w:left w:val="nil"/>
              <w:bottom w:val="nil"/>
              <w:right w:val="nil"/>
            </w:tcBorders>
            <w:shd w:val="clear" w:color="auto" w:fill="auto"/>
            <w:noWrap/>
            <w:vAlign w:val="center"/>
          </w:tcPr>
          <w:p w14:paraId="0BDF92B6" w14:textId="77777777" w:rsidR="004A03F6" w:rsidRPr="0040064B" w:rsidRDefault="004A03F6" w:rsidP="00DA24BA">
            <w:pPr>
              <w:jc w:val="center"/>
            </w:pPr>
            <w:r>
              <w:t>-1.2711</w:t>
            </w:r>
          </w:p>
        </w:tc>
        <w:tc>
          <w:tcPr>
            <w:tcW w:w="583" w:type="dxa"/>
            <w:tcBorders>
              <w:top w:val="nil"/>
              <w:left w:val="nil"/>
              <w:bottom w:val="nil"/>
              <w:right w:val="nil"/>
            </w:tcBorders>
            <w:shd w:val="clear" w:color="auto" w:fill="auto"/>
            <w:noWrap/>
            <w:vAlign w:val="bottom"/>
          </w:tcPr>
          <w:p w14:paraId="1B0C03BF" w14:textId="77777777" w:rsidR="004A03F6" w:rsidRPr="0040064B" w:rsidRDefault="004A03F6" w:rsidP="00DA24BA">
            <w:pPr>
              <w:jc w:val="center"/>
            </w:pPr>
          </w:p>
        </w:tc>
      </w:tr>
      <w:tr w:rsidR="00295A62" w:rsidRPr="0040064B" w14:paraId="33E98894" w14:textId="77777777" w:rsidTr="00CF2DBA">
        <w:trPr>
          <w:trHeight w:val="303"/>
          <w:jc w:val="center"/>
        </w:trPr>
        <w:tc>
          <w:tcPr>
            <w:tcW w:w="1441" w:type="dxa"/>
            <w:tcBorders>
              <w:top w:val="nil"/>
              <w:left w:val="nil"/>
              <w:bottom w:val="nil"/>
              <w:right w:val="nil"/>
            </w:tcBorders>
            <w:shd w:val="clear" w:color="auto" w:fill="auto"/>
            <w:noWrap/>
            <w:vAlign w:val="center"/>
          </w:tcPr>
          <w:p w14:paraId="7E973F87" w14:textId="5B8A9F2B" w:rsidR="00295A62" w:rsidRDefault="00295A62" w:rsidP="00DA24BA">
            <w:pPr>
              <w:jc w:val="center"/>
            </w:pPr>
            <w:proofErr w:type="spellStart"/>
            <w:r>
              <w:t>dsgre</w:t>
            </w:r>
            <w:proofErr w:type="spellEnd"/>
          </w:p>
        </w:tc>
        <w:tc>
          <w:tcPr>
            <w:tcW w:w="1420" w:type="dxa"/>
            <w:tcBorders>
              <w:top w:val="nil"/>
              <w:left w:val="nil"/>
              <w:bottom w:val="nil"/>
              <w:right w:val="nil"/>
            </w:tcBorders>
            <w:shd w:val="clear" w:color="auto" w:fill="auto"/>
            <w:noWrap/>
            <w:vAlign w:val="center"/>
          </w:tcPr>
          <w:p w14:paraId="0B6D1961" w14:textId="47806097" w:rsidR="00295A62" w:rsidRDefault="009D2023" w:rsidP="00DA24BA">
            <w:pPr>
              <w:jc w:val="center"/>
            </w:pPr>
            <w:r>
              <w:t>-9.1172</w:t>
            </w:r>
          </w:p>
        </w:tc>
        <w:tc>
          <w:tcPr>
            <w:tcW w:w="600" w:type="dxa"/>
            <w:tcBorders>
              <w:top w:val="nil"/>
              <w:left w:val="nil"/>
              <w:bottom w:val="nil"/>
              <w:right w:val="nil"/>
            </w:tcBorders>
            <w:shd w:val="clear" w:color="auto" w:fill="auto"/>
            <w:noWrap/>
            <w:vAlign w:val="bottom"/>
          </w:tcPr>
          <w:p w14:paraId="7373511D" w14:textId="08C7FA24" w:rsidR="00295A62" w:rsidRPr="0040064B" w:rsidRDefault="009D2023" w:rsidP="00DA24BA">
            <w:pPr>
              <w:jc w:val="center"/>
            </w:pPr>
            <w:r>
              <w:t>***</w:t>
            </w:r>
          </w:p>
        </w:tc>
        <w:tc>
          <w:tcPr>
            <w:tcW w:w="1420" w:type="dxa"/>
            <w:tcBorders>
              <w:top w:val="nil"/>
              <w:left w:val="nil"/>
              <w:bottom w:val="nil"/>
              <w:right w:val="nil"/>
            </w:tcBorders>
            <w:shd w:val="clear" w:color="auto" w:fill="auto"/>
            <w:noWrap/>
            <w:vAlign w:val="center"/>
          </w:tcPr>
          <w:p w14:paraId="29FBAC30" w14:textId="0ED900EB" w:rsidR="00295A62" w:rsidRDefault="009D2023" w:rsidP="00DA24BA">
            <w:pPr>
              <w:jc w:val="center"/>
            </w:pPr>
            <w:r>
              <w:t>-9.0916</w:t>
            </w:r>
          </w:p>
        </w:tc>
        <w:tc>
          <w:tcPr>
            <w:tcW w:w="620" w:type="dxa"/>
            <w:tcBorders>
              <w:top w:val="nil"/>
              <w:left w:val="nil"/>
              <w:bottom w:val="nil"/>
              <w:right w:val="nil"/>
            </w:tcBorders>
            <w:shd w:val="clear" w:color="auto" w:fill="auto"/>
            <w:noWrap/>
            <w:vAlign w:val="center"/>
          </w:tcPr>
          <w:p w14:paraId="37098195" w14:textId="0F096FC7" w:rsidR="00295A62" w:rsidRPr="0040064B" w:rsidRDefault="009D2023" w:rsidP="00DA24BA">
            <w:pPr>
              <w:jc w:val="center"/>
            </w:pPr>
            <w:r>
              <w:t>***</w:t>
            </w:r>
          </w:p>
        </w:tc>
        <w:tc>
          <w:tcPr>
            <w:tcW w:w="1380" w:type="dxa"/>
            <w:tcBorders>
              <w:top w:val="nil"/>
              <w:left w:val="nil"/>
              <w:bottom w:val="nil"/>
              <w:right w:val="nil"/>
            </w:tcBorders>
            <w:shd w:val="clear" w:color="auto" w:fill="auto"/>
            <w:noWrap/>
            <w:vAlign w:val="center"/>
          </w:tcPr>
          <w:p w14:paraId="02BD0A4C" w14:textId="6A31431B" w:rsidR="00295A62" w:rsidRDefault="009D2023" w:rsidP="00DA24BA">
            <w:pPr>
              <w:jc w:val="center"/>
            </w:pPr>
            <w:r>
              <w:t>-9.1355</w:t>
            </w:r>
          </w:p>
        </w:tc>
        <w:tc>
          <w:tcPr>
            <w:tcW w:w="583" w:type="dxa"/>
            <w:tcBorders>
              <w:top w:val="nil"/>
              <w:left w:val="nil"/>
              <w:bottom w:val="nil"/>
              <w:right w:val="nil"/>
            </w:tcBorders>
            <w:shd w:val="clear" w:color="auto" w:fill="auto"/>
            <w:noWrap/>
            <w:vAlign w:val="bottom"/>
          </w:tcPr>
          <w:p w14:paraId="2940BEEE" w14:textId="5C82276D" w:rsidR="00295A62" w:rsidRPr="0040064B" w:rsidRDefault="009D2023" w:rsidP="00DA24BA">
            <w:pPr>
              <w:jc w:val="center"/>
            </w:pPr>
            <w:r>
              <w:t>***</w:t>
            </w:r>
          </w:p>
        </w:tc>
      </w:tr>
      <w:tr w:rsidR="004A03F6" w:rsidRPr="0040064B" w14:paraId="0F2A74A9" w14:textId="77777777" w:rsidTr="00CF2DBA">
        <w:trPr>
          <w:trHeight w:val="303"/>
          <w:jc w:val="center"/>
        </w:trPr>
        <w:tc>
          <w:tcPr>
            <w:tcW w:w="1441" w:type="dxa"/>
            <w:tcBorders>
              <w:top w:val="nil"/>
              <w:left w:val="nil"/>
              <w:bottom w:val="nil"/>
              <w:right w:val="nil"/>
            </w:tcBorders>
            <w:shd w:val="clear" w:color="auto" w:fill="auto"/>
            <w:noWrap/>
            <w:vAlign w:val="center"/>
          </w:tcPr>
          <w:p w14:paraId="73DF6AFF" w14:textId="77777777" w:rsidR="004A03F6" w:rsidRPr="0040064B" w:rsidRDefault="004A03F6" w:rsidP="00DA24BA">
            <w:pPr>
              <w:jc w:val="center"/>
            </w:pPr>
            <w:r>
              <w:t>sire</w:t>
            </w:r>
          </w:p>
        </w:tc>
        <w:tc>
          <w:tcPr>
            <w:tcW w:w="1420" w:type="dxa"/>
            <w:tcBorders>
              <w:top w:val="nil"/>
              <w:left w:val="nil"/>
              <w:bottom w:val="nil"/>
              <w:right w:val="nil"/>
            </w:tcBorders>
            <w:shd w:val="clear" w:color="auto" w:fill="auto"/>
            <w:noWrap/>
            <w:vAlign w:val="center"/>
          </w:tcPr>
          <w:p w14:paraId="5D18ADF9" w14:textId="77777777" w:rsidR="004A03F6" w:rsidRPr="0040064B" w:rsidRDefault="004A03F6" w:rsidP="00DA24BA">
            <w:pPr>
              <w:jc w:val="center"/>
            </w:pPr>
            <w:r>
              <w:t>-1.7243</w:t>
            </w:r>
          </w:p>
        </w:tc>
        <w:tc>
          <w:tcPr>
            <w:tcW w:w="600" w:type="dxa"/>
            <w:tcBorders>
              <w:top w:val="nil"/>
              <w:left w:val="nil"/>
              <w:bottom w:val="nil"/>
              <w:right w:val="nil"/>
            </w:tcBorders>
            <w:shd w:val="clear" w:color="auto" w:fill="auto"/>
            <w:noWrap/>
            <w:vAlign w:val="center"/>
          </w:tcPr>
          <w:p w14:paraId="16D714AF" w14:textId="77777777" w:rsidR="004A03F6" w:rsidRPr="0040064B" w:rsidRDefault="004A03F6" w:rsidP="00DA24BA">
            <w:pPr>
              <w:jc w:val="center"/>
            </w:pPr>
          </w:p>
        </w:tc>
        <w:tc>
          <w:tcPr>
            <w:tcW w:w="1420" w:type="dxa"/>
            <w:tcBorders>
              <w:top w:val="nil"/>
              <w:left w:val="nil"/>
              <w:bottom w:val="nil"/>
              <w:right w:val="nil"/>
            </w:tcBorders>
            <w:shd w:val="clear" w:color="auto" w:fill="auto"/>
            <w:noWrap/>
            <w:vAlign w:val="center"/>
          </w:tcPr>
          <w:p w14:paraId="54412E47" w14:textId="77777777" w:rsidR="004A03F6" w:rsidRPr="0040064B" w:rsidRDefault="004A03F6" w:rsidP="00DA24BA">
            <w:pPr>
              <w:jc w:val="center"/>
            </w:pPr>
            <w:r>
              <w:t>-1.6850</w:t>
            </w:r>
          </w:p>
        </w:tc>
        <w:tc>
          <w:tcPr>
            <w:tcW w:w="620" w:type="dxa"/>
            <w:tcBorders>
              <w:top w:val="nil"/>
              <w:left w:val="nil"/>
              <w:bottom w:val="nil"/>
              <w:right w:val="nil"/>
            </w:tcBorders>
            <w:shd w:val="clear" w:color="auto" w:fill="auto"/>
            <w:noWrap/>
            <w:vAlign w:val="center"/>
          </w:tcPr>
          <w:p w14:paraId="6399362D" w14:textId="77777777" w:rsidR="004A03F6" w:rsidRPr="0040064B" w:rsidRDefault="004A03F6" w:rsidP="00DA24BA">
            <w:pPr>
              <w:jc w:val="center"/>
            </w:pPr>
          </w:p>
        </w:tc>
        <w:tc>
          <w:tcPr>
            <w:tcW w:w="1380" w:type="dxa"/>
            <w:tcBorders>
              <w:top w:val="nil"/>
              <w:left w:val="nil"/>
              <w:bottom w:val="nil"/>
              <w:right w:val="nil"/>
            </w:tcBorders>
            <w:shd w:val="clear" w:color="auto" w:fill="auto"/>
            <w:noWrap/>
            <w:vAlign w:val="center"/>
          </w:tcPr>
          <w:p w14:paraId="07C05B21" w14:textId="77777777" w:rsidR="004A03F6" w:rsidRPr="0040064B" w:rsidRDefault="004A03F6" w:rsidP="00DA24BA">
            <w:pPr>
              <w:jc w:val="center"/>
            </w:pPr>
            <w:r>
              <w:t>-1.3778</w:t>
            </w:r>
          </w:p>
        </w:tc>
        <w:tc>
          <w:tcPr>
            <w:tcW w:w="583" w:type="dxa"/>
            <w:tcBorders>
              <w:top w:val="nil"/>
              <w:left w:val="nil"/>
              <w:bottom w:val="nil"/>
              <w:right w:val="nil"/>
            </w:tcBorders>
            <w:shd w:val="clear" w:color="auto" w:fill="auto"/>
            <w:noWrap/>
            <w:vAlign w:val="center"/>
          </w:tcPr>
          <w:p w14:paraId="7974C159" w14:textId="77777777" w:rsidR="004A03F6" w:rsidRPr="0040064B" w:rsidRDefault="004A03F6" w:rsidP="00DA24BA">
            <w:pPr>
              <w:jc w:val="center"/>
            </w:pPr>
          </w:p>
        </w:tc>
      </w:tr>
      <w:tr w:rsidR="00295A62" w:rsidRPr="0040064B" w14:paraId="7C5A26A8" w14:textId="77777777" w:rsidTr="00CF2DBA">
        <w:trPr>
          <w:trHeight w:val="303"/>
          <w:jc w:val="center"/>
        </w:trPr>
        <w:tc>
          <w:tcPr>
            <w:tcW w:w="1441" w:type="dxa"/>
            <w:tcBorders>
              <w:top w:val="nil"/>
              <w:left w:val="nil"/>
              <w:bottom w:val="nil"/>
              <w:right w:val="nil"/>
            </w:tcBorders>
            <w:shd w:val="clear" w:color="auto" w:fill="auto"/>
            <w:noWrap/>
            <w:vAlign w:val="center"/>
          </w:tcPr>
          <w:p w14:paraId="72020418" w14:textId="41FA2C60" w:rsidR="00295A62" w:rsidRDefault="00295A62" w:rsidP="00DA24BA">
            <w:pPr>
              <w:jc w:val="center"/>
            </w:pPr>
            <w:proofErr w:type="spellStart"/>
            <w:r>
              <w:t>dsire</w:t>
            </w:r>
            <w:proofErr w:type="spellEnd"/>
          </w:p>
        </w:tc>
        <w:tc>
          <w:tcPr>
            <w:tcW w:w="1420" w:type="dxa"/>
            <w:tcBorders>
              <w:top w:val="nil"/>
              <w:left w:val="nil"/>
              <w:bottom w:val="nil"/>
              <w:right w:val="nil"/>
            </w:tcBorders>
            <w:shd w:val="clear" w:color="auto" w:fill="auto"/>
            <w:noWrap/>
            <w:vAlign w:val="center"/>
          </w:tcPr>
          <w:p w14:paraId="5263F9BD" w14:textId="4FDF171F" w:rsidR="00295A62" w:rsidRDefault="00281C31" w:rsidP="00DA24BA">
            <w:pPr>
              <w:jc w:val="center"/>
            </w:pPr>
            <w:r>
              <w:t>-6.2504</w:t>
            </w:r>
          </w:p>
        </w:tc>
        <w:tc>
          <w:tcPr>
            <w:tcW w:w="600" w:type="dxa"/>
            <w:tcBorders>
              <w:top w:val="nil"/>
              <w:left w:val="nil"/>
              <w:bottom w:val="nil"/>
              <w:right w:val="nil"/>
            </w:tcBorders>
            <w:shd w:val="clear" w:color="auto" w:fill="auto"/>
            <w:noWrap/>
            <w:vAlign w:val="center"/>
          </w:tcPr>
          <w:p w14:paraId="6070AC96" w14:textId="25B37935" w:rsidR="00295A62" w:rsidRPr="0040064B" w:rsidRDefault="00281C31" w:rsidP="00DA24BA">
            <w:pPr>
              <w:jc w:val="center"/>
            </w:pPr>
            <w:r>
              <w:t>***</w:t>
            </w:r>
          </w:p>
        </w:tc>
        <w:tc>
          <w:tcPr>
            <w:tcW w:w="1420" w:type="dxa"/>
            <w:tcBorders>
              <w:top w:val="nil"/>
              <w:left w:val="nil"/>
              <w:bottom w:val="nil"/>
              <w:right w:val="nil"/>
            </w:tcBorders>
            <w:shd w:val="clear" w:color="auto" w:fill="auto"/>
            <w:noWrap/>
            <w:vAlign w:val="center"/>
          </w:tcPr>
          <w:p w14:paraId="5D99EA08" w14:textId="12CA71A1" w:rsidR="00295A62" w:rsidRDefault="00281C31" w:rsidP="00DA24BA">
            <w:pPr>
              <w:jc w:val="center"/>
            </w:pPr>
            <w:r>
              <w:t>-9.1809</w:t>
            </w:r>
          </w:p>
        </w:tc>
        <w:tc>
          <w:tcPr>
            <w:tcW w:w="620" w:type="dxa"/>
            <w:tcBorders>
              <w:top w:val="nil"/>
              <w:left w:val="nil"/>
              <w:bottom w:val="nil"/>
              <w:right w:val="nil"/>
            </w:tcBorders>
            <w:shd w:val="clear" w:color="auto" w:fill="auto"/>
            <w:noWrap/>
            <w:vAlign w:val="center"/>
          </w:tcPr>
          <w:p w14:paraId="74B41230" w14:textId="1E8865E0" w:rsidR="00295A62" w:rsidRPr="0040064B" w:rsidRDefault="00281C31" w:rsidP="00DA24BA">
            <w:pPr>
              <w:jc w:val="center"/>
            </w:pPr>
            <w:r>
              <w:t>***</w:t>
            </w:r>
          </w:p>
        </w:tc>
        <w:tc>
          <w:tcPr>
            <w:tcW w:w="1380" w:type="dxa"/>
            <w:tcBorders>
              <w:top w:val="nil"/>
              <w:left w:val="nil"/>
              <w:bottom w:val="nil"/>
              <w:right w:val="nil"/>
            </w:tcBorders>
            <w:shd w:val="clear" w:color="auto" w:fill="auto"/>
            <w:noWrap/>
            <w:vAlign w:val="center"/>
          </w:tcPr>
          <w:p w14:paraId="3B2AC11C" w14:textId="2CFAE54C" w:rsidR="00295A62" w:rsidRDefault="00281C31" w:rsidP="00DA24BA">
            <w:pPr>
              <w:jc w:val="center"/>
            </w:pPr>
            <w:r>
              <w:t>-6.26856</w:t>
            </w:r>
          </w:p>
        </w:tc>
        <w:tc>
          <w:tcPr>
            <w:tcW w:w="583" w:type="dxa"/>
            <w:tcBorders>
              <w:top w:val="nil"/>
              <w:left w:val="nil"/>
              <w:bottom w:val="nil"/>
              <w:right w:val="nil"/>
            </w:tcBorders>
            <w:shd w:val="clear" w:color="auto" w:fill="auto"/>
            <w:noWrap/>
            <w:vAlign w:val="center"/>
          </w:tcPr>
          <w:p w14:paraId="723F2ACE" w14:textId="41E3471C" w:rsidR="00295A62" w:rsidRPr="0040064B" w:rsidRDefault="00281C31" w:rsidP="00DA24BA">
            <w:pPr>
              <w:jc w:val="center"/>
            </w:pPr>
            <w:r>
              <w:t>***</w:t>
            </w:r>
          </w:p>
        </w:tc>
      </w:tr>
      <w:tr w:rsidR="004A03F6" w:rsidRPr="0040064B" w14:paraId="3F16041D" w14:textId="77777777" w:rsidTr="00CF2DBA">
        <w:trPr>
          <w:trHeight w:val="303"/>
          <w:jc w:val="center"/>
        </w:trPr>
        <w:tc>
          <w:tcPr>
            <w:tcW w:w="1441" w:type="dxa"/>
            <w:tcBorders>
              <w:top w:val="nil"/>
              <w:left w:val="nil"/>
              <w:bottom w:val="nil"/>
              <w:right w:val="nil"/>
            </w:tcBorders>
            <w:shd w:val="clear" w:color="auto" w:fill="auto"/>
            <w:noWrap/>
            <w:vAlign w:val="center"/>
          </w:tcPr>
          <w:p w14:paraId="6ACA3EA6" w14:textId="77777777" w:rsidR="004A03F6" w:rsidRPr="0040064B" w:rsidRDefault="004A03F6" w:rsidP="00DA24BA">
            <w:pPr>
              <w:jc w:val="center"/>
            </w:pPr>
            <w:proofErr w:type="spellStart"/>
            <w:r>
              <w:t>sita</w:t>
            </w:r>
            <w:proofErr w:type="spellEnd"/>
          </w:p>
        </w:tc>
        <w:tc>
          <w:tcPr>
            <w:tcW w:w="1420" w:type="dxa"/>
            <w:tcBorders>
              <w:top w:val="nil"/>
              <w:left w:val="nil"/>
              <w:bottom w:val="nil"/>
              <w:right w:val="nil"/>
            </w:tcBorders>
            <w:shd w:val="clear" w:color="auto" w:fill="auto"/>
            <w:noWrap/>
            <w:vAlign w:val="center"/>
          </w:tcPr>
          <w:p w14:paraId="6BD25C8A" w14:textId="77777777" w:rsidR="004A03F6" w:rsidRPr="0040064B" w:rsidRDefault="004A03F6" w:rsidP="00DA24BA">
            <w:pPr>
              <w:jc w:val="center"/>
            </w:pPr>
            <w:r>
              <w:t>-1.5794</w:t>
            </w:r>
          </w:p>
        </w:tc>
        <w:tc>
          <w:tcPr>
            <w:tcW w:w="600" w:type="dxa"/>
            <w:tcBorders>
              <w:top w:val="nil"/>
              <w:left w:val="nil"/>
              <w:bottom w:val="nil"/>
              <w:right w:val="nil"/>
            </w:tcBorders>
            <w:shd w:val="clear" w:color="auto" w:fill="auto"/>
            <w:noWrap/>
            <w:vAlign w:val="center"/>
          </w:tcPr>
          <w:p w14:paraId="00350C41" w14:textId="77777777" w:rsidR="004A03F6" w:rsidRPr="0040064B" w:rsidRDefault="004A03F6" w:rsidP="00DA24BA">
            <w:pPr>
              <w:jc w:val="center"/>
            </w:pPr>
          </w:p>
        </w:tc>
        <w:tc>
          <w:tcPr>
            <w:tcW w:w="1420" w:type="dxa"/>
            <w:tcBorders>
              <w:top w:val="nil"/>
              <w:left w:val="nil"/>
              <w:bottom w:val="nil"/>
              <w:right w:val="nil"/>
            </w:tcBorders>
            <w:shd w:val="clear" w:color="auto" w:fill="auto"/>
            <w:noWrap/>
            <w:vAlign w:val="center"/>
          </w:tcPr>
          <w:p w14:paraId="0E23BF4E" w14:textId="77777777" w:rsidR="004A03F6" w:rsidRPr="0040064B" w:rsidRDefault="004A03F6" w:rsidP="00DA24BA">
            <w:pPr>
              <w:jc w:val="center"/>
            </w:pPr>
            <w:r>
              <w:t>-2.0051</w:t>
            </w:r>
          </w:p>
        </w:tc>
        <w:tc>
          <w:tcPr>
            <w:tcW w:w="620" w:type="dxa"/>
            <w:tcBorders>
              <w:top w:val="nil"/>
              <w:left w:val="nil"/>
              <w:bottom w:val="nil"/>
              <w:right w:val="nil"/>
            </w:tcBorders>
            <w:shd w:val="clear" w:color="auto" w:fill="auto"/>
            <w:noWrap/>
            <w:vAlign w:val="center"/>
          </w:tcPr>
          <w:p w14:paraId="0C6ED4D4" w14:textId="77777777" w:rsidR="004A03F6" w:rsidRPr="0040064B" w:rsidRDefault="004A03F6" w:rsidP="00DA24BA">
            <w:pPr>
              <w:jc w:val="center"/>
            </w:pPr>
          </w:p>
        </w:tc>
        <w:tc>
          <w:tcPr>
            <w:tcW w:w="1380" w:type="dxa"/>
            <w:tcBorders>
              <w:top w:val="nil"/>
              <w:left w:val="nil"/>
              <w:bottom w:val="nil"/>
              <w:right w:val="nil"/>
            </w:tcBorders>
            <w:shd w:val="clear" w:color="auto" w:fill="auto"/>
            <w:noWrap/>
            <w:vAlign w:val="center"/>
          </w:tcPr>
          <w:p w14:paraId="12E7816C" w14:textId="77777777" w:rsidR="004A03F6" w:rsidRPr="0040064B" w:rsidRDefault="004A03F6" w:rsidP="00DA24BA">
            <w:pPr>
              <w:jc w:val="center"/>
            </w:pPr>
            <w:r>
              <w:t>-0.8458</w:t>
            </w:r>
          </w:p>
        </w:tc>
        <w:tc>
          <w:tcPr>
            <w:tcW w:w="583" w:type="dxa"/>
            <w:tcBorders>
              <w:top w:val="nil"/>
              <w:left w:val="nil"/>
              <w:bottom w:val="nil"/>
              <w:right w:val="nil"/>
            </w:tcBorders>
            <w:shd w:val="clear" w:color="auto" w:fill="auto"/>
            <w:noWrap/>
            <w:vAlign w:val="center"/>
          </w:tcPr>
          <w:p w14:paraId="565CBEF1" w14:textId="77777777" w:rsidR="004A03F6" w:rsidRPr="0040064B" w:rsidRDefault="004A03F6" w:rsidP="00DA24BA">
            <w:pPr>
              <w:jc w:val="center"/>
            </w:pPr>
          </w:p>
        </w:tc>
      </w:tr>
      <w:tr w:rsidR="00295A62" w:rsidRPr="0040064B" w14:paraId="665A3811" w14:textId="77777777" w:rsidTr="00CF2DBA">
        <w:trPr>
          <w:trHeight w:val="303"/>
          <w:jc w:val="center"/>
        </w:trPr>
        <w:tc>
          <w:tcPr>
            <w:tcW w:w="1441" w:type="dxa"/>
            <w:tcBorders>
              <w:top w:val="nil"/>
              <w:left w:val="nil"/>
              <w:bottom w:val="nil"/>
              <w:right w:val="nil"/>
            </w:tcBorders>
            <w:shd w:val="clear" w:color="auto" w:fill="auto"/>
            <w:noWrap/>
            <w:vAlign w:val="center"/>
          </w:tcPr>
          <w:p w14:paraId="64ACF4B9" w14:textId="01AED3CF" w:rsidR="00295A62" w:rsidRDefault="00295A62" w:rsidP="00DA24BA">
            <w:pPr>
              <w:jc w:val="center"/>
            </w:pPr>
            <w:proofErr w:type="spellStart"/>
            <w:r>
              <w:t>dsita</w:t>
            </w:r>
            <w:proofErr w:type="spellEnd"/>
          </w:p>
        </w:tc>
        <w:tc>
          <w:tcPr>
            <w:tcW w:w="1420" w:type="dxa"/>
            <w:tcBorders>
              <w:top w:val="nil"/>
              <w:left w:val="nil"/>
              <w:bottom w:val="nil"/>
              <w:right w:val="nil"/>
            </w:tcBorders>
            <w:shd w:val="clear" w:color="auto" w:fill="auto"/>
            <w:noWrap/>
            <w:vAlign w:val="center"/>
          </w:tcPr>
          <w:p w14:paraId="5A353EC3" w14:textId="6A6AC818" w:rsidR="00295A62" w:rsidRDefault="00FC0ADE" w:rsidP="00DA24BA">
            <w:pPr>
              <w:jc w:val="center"/>
            </w:pPr>
            <w:r>
              <w:t>-6.0029</w:t>
            </w:r>
          </w:p>
        </w:tc>
        <w:tc>
          <w:tcPr>
            <w:tcW w:w="600" w:type="dxa"/>
            <w:tcBorders>
              <w:top w:val="nil"/>
              <w:left w:val="nil"/>
              <w:bottom w:val="nil"/>
              <w:right w:val="nil"/>
            </w:tcBorders>
            <w:shd w:val="clear" w:color="auto" w:fill="auto"/>
            <w:noWrap/>
            <w:vAlign w:val="center"/>
          </w:tcPr>
          <w:p w14:paraId="47B5ABB6" w14:textId="1138BBE4" w:rsidR="00295A62" w:rsidRPr="0040064B" w:rsidRDefault="00FC0ADE" w:rsidP="00DA24BA">
            <w:pPr>
              <w:jc w:val="center"/>
            </w:pPr>
            <w:r>
              <w:t>***</w:t>
            </w:r>
          </w:p>
        </w:tc>
        <w:tc>
          <w:tcPr>
            <w:tcW w:w="1420" w:type="dxa"/>
            <w:tcBorders>
              <w:top w:val="nil"/>
              <w:left w:val="nil"/>
              <w:bottom w:val="nil"/>
              <w:right w:val="nil"/>
            </w:tcBorders>
            <w:shd w:val="clear" w:color="auto" w:fill="auto"/>
            <w:noWrap/>
            <w:vAlign w:val="center"/>
          </w:tcPr>
          <w:p w14:paraId="1F893C09" w14:textId="762FB8FE" w:rsidR="00295A62" w:rsidRDefault="00FC0ADE" w:rsidP="00DA24BA">
            <w:pPr>
              <w:jc w:val="center"/>
            </w:pPr>
            <w:r>
              <w:t>-6.0014</w:t>
            </w:r>
          </w:p>
        </w:tc>
        <w:tc>
          <w:tcPr>
            <w:tcW w:w="620" w:type="dxa"/>
            <w:tcBorders>
              <w:top w:val="nil"/>
              <w:left w:val="nil"/>
              <w:bottom w:val="nil"/>
              <w:right w:val="nil"/>
            </w:tcBorders>
            <w:shd w:val="clear" w:color="auto" w:fill="auto"/>
            <w:noWrap/>
            <w:vAlign w:val="center"/>
          </w:tcPr>
          <w:p w14:paraId="6ED0F3B8" w14:textId="437714E2" w:rsidR="00295A62" w:rsidRPr="0040064B" w:rsidRDefault="00FC0ADE" w:rsidP="00DA24BA">
            <w:pPr>
              <w:jc w:val="center"/>
            </w:pPr>
            <w:r>
              <w:t>***</w:t>
            </w:r>
          </w:p>
        </w:tc>
        <w:tc>
          <w:tcPr>
            <w:tcW w:w="1380" w:type="dxa"/>
            <w:tcBorders>
              <w:top w:val="nil"/>
              <w:left w:val="nil"/>
              <w:bottom w:val="nil"/>
              <w:right w:val="nil"/>
            </w:tcBorders>
            <w:shd w:val="clear" w:color="auto" w:fill="auto"/>
            <w:noWrap/>
            <w:vAlign w:val="center"/>
          </w:tcPr>
          <w:p w14:paraId="6122BA80" w14:textId="4A74EB4E" w:rsidR="00295A62" w:rsidRDefault="00FC0ADE" w:rsidP="00DA24BA">
            <w:pPr>
              <w:jc w:val="center"/>
            </w:pPr>
            <w:r>
              <w:t>-6.0154</w:t>
            </w:r>
          </w:p>
        </w:tc>
        <w:tc>
          <w:tcPr>
            <w:tcW w:w="583" w:type="dxa"/>
            <w:tcBorders>
              <w:top w:val="nil"/>
              <w:left w:val="nil"/>
              <w:bottom w:val="nil"/>
              <w:right w:val="nil"/>
            </w:tcBorders>
            <w:shd w:val="clear" w:color="auto" w:fill="auto"/>
            <w:noWrap/>
            <w:vAlign w:val="center"/>
          </w:tcPr>
          <w:p w14:paraId="0C59A6A1" w14:textId="24649E03" w:rsidR="00295A62" w:rsidRPr="0040064B" w:rsidRDefault="00FC0ADE" w:rsidP="00DA24BA">
            <w:pPr>
              <w:jc w:val="center"/>
            </w:pPr>
            <w:r>
              <w:t>***</w:t>
            </w:r>
          </w:p>
        </w:tc>
      </w:tr>
      <w:tr w:rsidR="004A03F6" w:rsidRPr="0040064B" w14:paraId="0EA6E612" w14:textId="77777777" w:rsidTr="00CF2DBA">
        <w:trPr>
          <w:trHeight w:val="303"/>
          <w:jc w:val="center"/>
        </w:trPr>
        <w:tc>
          <w:tcPr>
            <w:tcW w:w="1441" w:type="dxa"/>
            <w:tcBorders>
              <w:top w:val="nil"/>
              <w:left w:val="nil"/>
              <w:bottom w:val="nil"/>
              <w:right w:val="nil"/>
            </w:tcBorders>
            <w:shd w:val="clear" w:color="auto" w:fill="auto"/>
            <w:noWrap/>
            <w:vAlign w:val="center"/>
          </w:tcPr>
          <w:p w14:paraId="4AA8B369" w14:textId="77777777" w:rsidR="004A03F6" w:rsidRPr="0040064B" w:rsidRDefault="004A03F6" w:rsidP="00DA24BA">
            <w:pPr>
              <w:jc w:val="center"/>
            </w:pPr>
            <w:proofErr w:type="spellStart"/>
            <w:r>
              <w:t>spor</w:t>
            </w:r>
            <w:proofErr w:type="spellEnd"/>
          </w:p>
        </w:tc>
        <w:tc>
          <w:tcPr>
            <w:tcW w:w="1420" w:type="dxa"/>
            <w:tcBorders>
              <w:top w:val="nil"/>
              <w:left w:val="nil"/>
              <w:bottom w:val="nil"/>
              <w:right w:val="nil"/>
            </w:tcBorders>
            <w:shd w:val="clear" w:color="auto" w:fill="auto"/>
            <w:noWrap/>
            <w:vAlign w:val="center"/>
          </w:tcPr>
          <w:p w14:paraId="44F7AC0B" w14:textId="77777777" w:rsidR="004A03F6" w:rsidRPr="0040064B" w:rsidRDefault="004A03F6" w:rsidP="00DA24BA">
            <w:pPr>
              <w:jc w:val="center"/>
            </w:pPr>
            <w:r>
              <w:t>-2.0920</w:t>
            </w:r>
          </w:p>
        </w:tc>
        <w:tc>
          <w:tcPr>
            <w:tcW w:w="600" w:type="dxa"/>
            <w:tcBorders>
              <w:top w:val="nil"/>
              <w:left w:val="nil"/>
              <w:bottom w:val="nil"/>
              <w:right w:val="nil"/>
            </w:tcBorders>
            <w:shd w:val="clear" w:color="auto" w:fill="auto"/>
            <w:noWrap/>
            <w:vAlign w:val="center"/>
          </w:tcPr>
          <w:p w14:paraId="6C900739" w14:textId="77777777" w:rsidR="004A03F6" w:rsidRPr="0040064B" w:rsidRDefault="004A03F6" w:rsidP="00DA24BA">
            <w:pPr>
              <w:jc w:val="center"/>
            </w:pPr>
          </w:p>
        </w:tc>
        <w:tc>
          <w:tcPr>
            <w:tcW w:w="1420" w:type="dxa"/>
            <w:tcBorders>
              <w:top w:val="nil"/>
              <w:left w:val="nil"/>
              <w:bottom w:val="nil"/>
              <w:right w:val="nil"/>
            </w:tcBorders>
            <w:shd w:val="clear" w:color="auto" w:fill="auto"/>
            <w:noWrap/>
            <w:vAlign w:val="center"/>
          </w:tcPr>
          <w:p w14:paraId="6C71FEC1" w14:textId="77777777" w:rsidR="004A03F6" w:rsidRPr="0040064B" w:rsidRDefault="004A03F6" w:rsidP="00DA24BA">
            <w:pPr>
              <w:jc w:val="center"/>
            </w:pPr>
            <w:r>
              <w:t>-2.6250</w:t>
            </w:r>
          </w:p>
        </w:tc>
        <w:tc>
          <w:tcPr>
            <w:tcW w:w="620" w:type="dxa"/>
            <w:tcBorders>
              <w:top w:val="nil"/>
              <w:left w:val="nil"/>
              <w:bottom w:val="nil"/>
              <w:right w:val="nil"/>
            </w:tcBorders>
            <w:shd w:val="clear" w:color="auto" w:fill="auto"/>
            <w:noWrap/>
            <w:vAlign w:val="center"/>
          </w:tcPr>
          <w:p w14:paraId="6C47256D" w14:textId="77777777" w:rsidR="004A03F6" w:rsidRPr="0040064B" w:rsidRDefault="004A03F6" w:rsidP="00DA24BA">
            <w:pPr>
              <w:jc w:val="center"/>
            </w:pPr>
          </w:p>
        </w:tc>
        <w:tc>
          <w:tcPr>
            <w:tcW w:w="1380" w:type="dxa"/>
            <w:tcBorders>
              <w:top w:val="nil"/>
              <w:left w:val="nil"/>
              <w:bottom w:val="nil"/>
              <w:right w:val="nil"/>
            </w:tcBorders>
            <w:shd w:val="clear" w:color="auto" w:fill="auto"/>
            <w:noWrap/>
            <w:vAlign w:val="center"/>
          </w:tcPr>
          <w:p w14:paraId="0073B56C" w14:textId="77777777" w:rsidR="004A03F6" w:rsidRPr="0040064B" w:rsidRDefault="004A03F6" w:rsidP="00DA24BA">
            <w:pPr>
              <w:jc w:val="center"/>
            </w:pPr>
            <w:r>
              <w:t>-1.4610</w:t>
            </w:r>
          </w:p>
        </w:tc>
        <w:tc>
          <w:tcPr>
            <w:tcW w:w="583" w:type="dxa"/>
            <w:tcBorders>
              <w:top w:val="nil"/>
              <w:left w:val="nil"/>
              <w:bottom w:val="nil"/>
              <w:right w:val="nil"/>
            </w:tcBorders>
            <w:shd w:val="clear" w:color="auto" w:fill="auto"/>
            <w:noWrap/>
            <w:vAlign w:val="center"/>
          </w:tcPr>
          <w:p w14:paraId="72039638" w14:textId="77777777" w:rsidR="004A03F6" w:rsidRPr="0040064B" w:rsidRDefault="004A03F6" w:rsidP="00DA24BA">
            <w:pPr>
              <w:jc w:val="center"/>
            </w:pPr>
          </w:p>
        </w:tc>
      </w:tr>
      <w:tr w:rsidR="00295A62" w:rsidRPr="00C063BF" w14:paraId="7E6DB1D8" w14:textId="77777777" w:rsidTr="00CF2DBA">
        <w:trPr>
          <w:trHeight w:val="315"/>
          <w:jc w:val="center"/>
        </w:trPr>
        <w:tc>
          <w:tcPr>
            <w:tcW w:w="1441" w:type="dxa"/>
            <w:tcBorders>
              <w:top w:val="nil"/>
              <w:left w:val="nil"/>
              <w:bottom w:val="nil"/>
              <w:right w:val="nil"/>
            </w:tcBorders>
            <w:shd w:val="clear" w:color="auto" w:fill="auto"/>
            <w:noWrap/>
            <w:vAlign w:val="center"/>
          </w:tcPr>
          <w:p w14:paraId="268386D8" w14:textId="4C65B9D5" w:rsidR="00295A62" w:rsidRDefault="00295A62" w:rsidP="00DA24BA">
            <w:pPr>
              <w:jc w:val="center"/>
            </w:pPr>
            <w:proofErr w:type="spellStart"/>
            <w:r>
              <w:t>dspor</w:t>
            </w:r>
            <w:proofErr w:type="spellEnd"/>
          </w:p>
        </w:tc>
        <w:tc>
          <w:tcPr>
            <w:tcW w:w="1420" w:type="dxa"/>
            <w:tcBorders>
              <w:top w:val="nil"/>
              <w:left w:val="nil"/>
              <w:bottom w:val="nil"/>
              <w:right w:val="nil"/>
            </w:tcBorders>
            <w:shd w:val="clear" w:color="auto" w:fill="auto"/>
            <w:noWrap/>
            <w:vAlign w:val="center"/>
          </w:tcPr>
          <w:p w14:paraId="1ED8C544" w14:textId="2D816D60" w:rsidR="00295A62" w:rsidRDefault="00D6420B" w:rsidP="00DA24BA">
            <w:pPr>
              <w:jc w:val="center"/>
            </w:pPr>
            <w:r>
              <w:t>-3.2814</w:t>
            </w:r>
          </w:p>
        </w:tc>
        <w:tc>
          <w:tcPr>
            <w:tcW w:w="600" w:type="dxa"/>
            <w:tcBorders>
              <w:top w:val="nil"/>
              <w:left w:val="nil"/>
              <w:bottom w:val="nil"/>
              <w:right w:val="nil"/>
            </w:tcBorders>
            <w:shd w:val="clear" w:color="auto" w:fill="auto"/>
            <w:noWrap/>
            <w:vAlign w:val="center"/>
          </w:tcPr>
          <w:p w14:paraId="7D148F66" w14:textId="7F02272A" w:rsidR="00295A62" w:rsidRPr="00C063BF" w:rsidRDefault="00D6420B" w:rsidP="00DA24BA">
            <w:pPr>
              <w:jc w:val="center"/>
            </w:pPr>
            <w:r>
              <w:t>**</w:t>
            </w:r>
          </w:p>
        </w:tc>
        <w:tc>
          <w:tcPr>
            <w:tcW w:w="1420" w:type="dxa"/>
            <w:tcBorders>
              <w:top w:val="nil"/>
              <w:left w:val="nil"/>
              <w:bottom w:val="nil"/>
              <w:right w:val="nil"/>
            </w:tcBorders>
            <w:shd w:val="clear" w:color="auto" w:fill="auto"/>
            <w:noWrap/>
            <w:vAlign w:val="center"/>
          </w:tcPr>
          <w:p w14:paraId="18CE4A1F" w14:textId="4E9A9348" w:rsidR="00295A62" w:rsidRDefault="00D6420B" w:rsidP="00DA24BA">
            <w:pPr>
              <w:jc w:val="center"/>
            </w:pPr>
            <w:r>
              <w:t>-3.2767</w:t>
            </w:r>
          </w:p>
        </w:tc>
        <w:tc>
          <w:tcPr>
            <w:tcW w:w="620" w:type="dxa"/>
            <w:tcBorders>
              <w:top w:val="nil"/>
              <w:left w:val="nil"/>
              <w:bottom w:val="nil"/>
              <w:right w:val="nil"/>
            </w:tcBorders>
            <w:shd w:val="clear" w:color="auto" w:fill="auto"/>
            <w:noWrap/>
            <w:vAlign w:val="center"/>
          </w:tcPr>
          <w:p w14:paraId="3CFE49B9" w14:textId="6E176F76" w:rsidR="00295A62" w:rsidRPr="00C063BF" w:rsidRDefault="00803C1D" w:rsidP="00DA24BA">
            <w:pPr>
              <w:jc w:val="center"/>
            </w:pPr>
            <w:r>
              <w:t>*</w:t>
            </w:r>
          </w:p>
        </w:tc>
        <w:tc>
          <w:tcPr>
            <w:tcW w:w="1380" w:type="dxa"/>
            <w:tcBorders>
              <w:top w:val="nil"/>
              <w:left w:val="nil"/>
              <w:bottom w:val="nil"/>
              <w:right w:val="nil"/>
            </w:tcBorders>
            <w:shd w:val="clear" w:color="auto" w:fill="auto"/>
            <w:noWrap/>
            <w:vAlign w:val="center"/>
          </w:tcPr>
          <w:p w14:paraId="025F1C79" w14:textId="7965F8A7" w:rsidR="00295A62" w:rsidRDefault="00803C1D" w:rsidP="00DA24BA">
            <w:pPr>
              <w:jc w:val="center"/>
            </w:pPr>
            <w:r>
              <w:t>-3.2856</w:t>
            </w:r>
          </w:p>
        </w:tc>
        <w:tc>
          <w:tcPr>
            <w:tcW w:w="583" w:type="dxa"/>
            <w:tcBorders>
              <w:top w:val="nil"/>
              <w:left w:val="nil"/>
              <w:bottom w:val="nil"/>
              <w:right w:val="nil"/>
            </w:tcBorders>
            <w:shd w:val="clear" w:color="auto" w:fill="auto"/>
            <w:noWrap/>
            <w:vAlign w:val="center"/>
          </w:tcPr>
          <w:p w14:paraId="15D3EE67" w14:textId="7CF638C4" w:rsidR="00295A62" w:rsidRPr="00C063BF" w:rsidRDefault="00803C1D" w:rsidP="00DA24BA">
            <w:pPr>
              <w:jc w:val="center"/>
            </w:pPr>
            <w:r>
              <w:t>***</w:t>
            </w:r>
          </w:p>
        </w:tc>
      </w:tr>
      <w:tr w:rsidR="004A03F6" w:rsidRPr="00C063BF" w14:paraId="4B4D9520" w14:textId="77777777" w:rsidTr="00CF2DBA">
        <w:trPr>
          <w:trHeight w:val="315"/>
          <w:jc w:val="center"/>
        </w:trPr>
        <w:tc>
          <w:tcPr>
            <w:tcW w:w="1441" w:type="dxa"/>
            <w:tcBorders>
              <w:top w:val="nil"/>
              <w:left w:val="nil"/>
              <w:bottom w:val="nil"/>
              <w:right w:val="nil"/>
            </w:tcBorders>
            <w:shd w:val="clear" w:color="auto" w:fill="auto"/>
            <w:noWrap/>
            <w:vAlign w:val="center"/>
          </w:tcPr>
          <w:p w14:paraId="33D50BFE" w14:textId="77777777" w:rsidR="004A03F6" w:rsidRPr="00C063BF" w:rsidRDefault="004A03F6" w:rsidP="00DA24BA">
            <w:pPr>
              <w:jc w:val="center"/>
            </w:pPr>
            <w:proofErr w:type="spellStart"/>
            <w:r>
              <w:t>sspa</w:t>
            </w:r>
            <w:proofErr w:type="spellEnd"/>
          </w:p>
        </w:tc>
        <w:tc>
          <w:tcPr>
            <w:tcW w:w="1420" w:type="dxa"/>
            <w:tcBorders>
              <w:top w:val="nil"/>
              <w:left w:val="nil"/>
              <w:bottom w:val="nil"/>
              <w:right w:val="nil"/>
            </w:tcBorders>
            <w:shd w:val="clear" w:color="auto" w:fill="auto"/>
            <w:noWrap/>
            <w:vAlign w:val="center"/>
          </w:tcPr>
          <w:p w14:paraId="0F39E5BE" w14:textId="77777777" w:rsidR="004A03F6" w:rsidRPr="00C063BF" w:rsidRDefault="004A03F6" w:rsidP="00DA24BA">
            <w:pPr>
              <w:jc w:val="center"/>
            </w:pPr>
            <w:r>
              <w:t>-1.2199</w:t>
            </w:r>
          </w:p>
        </w:tc>
        <w:tc>
          <w:tcPr>
            <w:tcW w:w="600" w:type="dxa"/>
            <w:tcBorders>
              <w:top w:val="nil"/>
              <w:left w:val="nil"/>
              <w:bottom w:val="nil"/>
              <w:right w:val="nil"/>
            </w:tcBorders>
            <w:shd w:val="clear" w:color="auto" w:fill="auto"/>
            <w:noWrap/>
            <w:vAlign w:val="center"/>
          </w:tcPr>
          <w:p w14:paraId="3B2F7507" w14:textId="77777777" w:rsidR="004A03F6" w:rsidRPr="00C063BF" w:rsidRDefault="004A03F6" w:rsidP="00DA24BA">
            <w:pPr>
              <w:jc w:val="center"/>
            </w:pPr>
          </w:p>
        </w:tc>
        <w:tc>
          <w:tcPr>
            <w:tcW w:w="1420" w:type="dxa"/>
            <w:tcBorders>
              <w:top w:val="nil"/>
              <w:left w:val="nil"/>
              <w:bottom w:val="nil"/>
              <w:right w:val="nil"/>
            </w:tcBorders>
            <w:shd w:val="clear" w:color="auto" w:fill="auto"/>
            <w:noWrap/>
            <w:vAlign w:val="center"/>
          </w:tcPr>
          <w:p w14:paraId="26A96091" w14:textId="77777777" w:rsidR="004A03F6" w:rsidRPr="00C063BF" w:rsidRDefault="004A03F6" w:rsidP="00DA24BA">
            <w:pPr>
              <w:jc w:val="center"/>
            </w:pPr>
            <w:r>
              <w:t>-1.5896</w:t>
            </w:r>
          </w:p>
        </w:tc>
        <w:tc>
          <w:tcPr>
            <w:tcW w:w="620" w:type="dxa"/>
            <w:tcBorders>
              <w:top w:val="nil"/>
              <w:left w:val="nil"/>
              <w:bottom w:val="nil"/>
              <w:right w:val="nil"/>
            </w:tcBorders>
            <w:shd w:val="clear" w:color="auto" w:fill="auto"/>
            <w:noWrap/>
            <w:vAlign w:val="center"/>
          </w:tcPr>
          <w:p w14:paraId="4AEA580B" w14:textId="77777777" w:rsidR="004A03F6" w:rsidRPr="00C063BF" w:rsidRDefault="004A03F6" w:rsidP="00DA24BA">
            <w:pPr>
              <w:jc w:val="center"/>
            </w:pPr>
          </w:p>
        </w:tc>
        <w:tc>
          <w:tcPr>
            <w:tcW w:w="1380" w:type="dxa"/>
            <w:tcBorders>
              <w:top w:val="nil"/>
              <w:left w:val="nil"/>
              <w:bottom w:val="nil"/>
              <w:right w:val="nil"/>
            </w:tcBorders>
            <w:shd w:val="clear" w:color="auto" w:fill="auto"/>
            <w:noWrap/>
            <w:vAlign w:val="center"/>
          </w:tcPr>
          <w:p w14:paraId="1B406EC5" w14:textId="77777777" w:rsidR="004A03F6" w:rsidRPr="00C063BF" w:rsidRDefault="004A03F6" w:rsidP="00DA24BA">
            <w:pPr>
              <w:jc w:val="center"/>
            </w:pPr>
            <w:r>
              <w:t>-0.7525</w:t>
            </w:r>
          </w:p>
        </w:tc>
        <w:tc>
          <w:tcPr>
            <w:tcW w:w="583" w:type="dxa"/>
            <w:tcBorders>
              <w:top w:val="nil"/>
              <w:left w:val="nil"/>
              <w:bottom w:val="nil"/>
              <w:right w:val="nil"/>
            </w:tcBorders>
            <w:shd w:val="clear" w:color="auto" w:fill="auto"/>
            <w:noWrap/>
            <w:vAlign w:val="center"/>
          </w:tcPr>
          <w:p w14:paraId="11E64E11" w14:textId="77777777" w:rsidR="004A03F6" w:rsidRPr="00C063BF" w:rsidRDefault="004A03F6" w:rsidP="00DA24BA">
            <w:pPr>
              <w:jc w:val="center"/>
            </w:pPr>
          </w:p>
        </w:tc>
      </w:tr>
      <w:tr w:rsidR="00295A62" w:rsidRPr="00C063BF" w14:paraId="11440BAA" w14:textId="77777777" w:rsidTr="00CF2DBA">
        <w:trPr>
          <w:trHeight w:val="315"/>
          <w:jc w:val="center"/>
        </w:trPr>
        <w:tc>
          <w:tcPr>
            <w:tcW w:w="1441" w:type="dxa"/>
            <w:tcBorders>
              <w:top w:val="nil"/>
              <w:left w:val="nil"/>
              <w:bottom w:val="nil"/>
              <w:right w:val="nil"/>
            </w:tcBorders>
            <w:shd w:val="clear" w:color="auto" w:fill="auto"/>
            <w:noWrap/>
            <w:vAlign w:val="center"/>
          </w:tcPr>
          <w:p w14:paraId="02C76998" w14:textId="6D48E66F" w:rsidR="00295A62" w:rsidRDefault="00295A62" w:rsidP="00DA24BA">
            <w:pPr>
              <w:jc w:val="center"/>
            </w:pPr>
            <w:proofErr w:type="spellStart"/>
            <w:r>
              <w:t>dsspa</w:t>
            </w:r>
            <w:proofErr w:type="spellEnd"/>
          </w:p>
        </w:tc>
        <w:tc>
          <w:tcPr>
            <w:tcW w:w="1420" w:type="dxa"/>
            <w:tcBorders>
              <w:top w:val="nil"/>
              <w:left w:val="nil"/>
              <w:bottom w:val="nil"/>
              <w:right w:val="nil"/>
            </w:tcBorders>
            <w:shd w:val="clear" w:color="auto" w:fill="auto"/>
            <w:noWrap/>
            <w:vAlign w:val="center"/>
          </w:tcPr>
          <w:p w14:paraId="372AA4DE" w14:textId="27E2F2FB" w:rsidR="00295A62" w:rsidRDefault="006A2614" w:rsidP="00DA24BA">
            <w:pPr>
              <w:jc w:val="center"/>
            </w:pPr>
            <w:r>
              <w:t>-15.9153</w:t>
            </w:r>
          </w:p>
        </w:tc>
        <w:tc>
          <w:tcPr>
            <w:tcW w:w="600" w:type="dxa"/>
            <w:tcBorders>
              <w:top w:val="nil"/>
              <w:left w:val="nil"/>
              <w:bottom w:val="nil"/>
              <w:right w:val="nil"/>
            </w:tcBorders>
            <w:shd w:val="clear" w:color="auto" w:fill="auto"/>
            <w:noWrap/>
            <w:vAlign w:val="center"/>
          </w:tcPr>
          <w:p w14:paraId="7A039869" w14:textId="47932967" w:rsidR="00295A62" w:rsidRPr="00C063BF" w:rsidRDefault="006A2614" w:rsidP="00DA24BA">
            <w:pPr>
              <w:jc w:val="center"/>
            </w:pPr>
            <w:r>
              <w:t>***</w:t>
            </w:r>
          </w:p>
        </w:tc>
        <w:tc>
          <w:tcPr>
            <w:tcW w:w="1420" w:type="dxa"/>
            <w:tcBorders>
              <w:top w:val="nil"/>
              <w:left w:val="nil"/>
              <w:bottom w:val="nil"/>
              <w:right w:val="nil"/>
            </w:tcBorders>
            <w:shd w:val="clear" w:color="auto" w:fill="auto"/>
            <w:noWrap/>
            <w:vAlign w:val="center"/>
          </w:tcPr>
          <w:p w14:paraId="76FAFB16" w14:textId="0AFE3C2F" w:rsidR="00295A62" w:rsidRDefault="006A2614" w:rsidP="00DA24BA">
            <w:pPr>
              <w:jc w:val="center"/>
            </w:pPr>
            <w:r>
              <w:t>-15.8773</w:t>
            </w:r>
          </w:p>
        </w:tc>
        <w:tc>
          <w:tcPr>
            <w:tcW w:w="620" w:type="dxa"/>
            <w:tcBorders>
              <w:top w:val="nil"/>
              <w:left w:val="nil"/>
              <w:bottom w:val="nil"/>
              <w:right w:val="nil"/>
            </w:tcBorders>
            <w:shd w:val="clear" w:color="auto" w:fill="auto"/>
            <w:noWrap/>
            <w:vAlign w:val="center"/>
          </w:tcPr>
          <w:p w14:paraId="157F8071" w14:textId="24B49AFD" w:rsidR="00295A62" w:rsidRPr="00C063BF" w:rsidRDefault="006A2614" w:rsidP="00DA24BA">
            <w:pPr>
              <w:jc w:val="center"/>
            </w:pPr>
            <w:r>
              <w:t>***</w:t>
            </w:r>
          </w:p>
        </w:tc>
        <w:tc>
          <w:tcPr>
            <w:tcW w:w="1380" w:type="dxa"/>
            <w:tcBorders>
              <w:top w:val="nil"/>
              <w:left w:val="nil"/>
              <w:bottom w:val="nil"/>
              <w:right w:val="nil"/>
            </w:tcBorders>
            <w:shd w:val="clear" w:color="auto" w:fill="auto"/>
            <w:noWrap/>
            <w:vAlign w:val="center"/>
          </w:tcPr>
          <w:p w14:paraId="576F35DB" w14:textId="26A9F1C2" w:rsidR="00295A62" w:rsidRDefault="006A2614" w:rsidP="00DA24BA">
            <w:pPr>
              <w:jc w:val="center"/>
            </w:pPr>
            <w:r>
              <w:t>-15.9523</w:t>
            </w:r>
          </w:p>
        </w:tc>
        <w:tc>
          <w:tcPr>
            <w:tcW w:w="583" w:type="dxa"/>
            <w:tcBorders>
              <w:top w:val="nil"/>
              <w:left w:val="nil"/>
              <w:bottom w:val="nil"/>
              <w:right w:val="nil"/>
            </w:tcBorders>
            <w:shd w:val="clear" w:color="auto" w:fill="auto"/>
            <w:noWrap/>
            <w:vAlign w:val="center"/>
          </w:tcPr>
          <w:p w14:paraId="60720559" w14:textId="6F05A97A" w:rsidR="00295A62" w:rsidRPr="00C063BF" w:rsidRDefault="006A2614" w:rsidP="00DA24BA">
            <w:pPr>
              <w:jc w:val="center"/>
            </w:pPr>
            <w:r>
              <w:t>***</w:t>
            </w:r>
          </w:p>
        </w:tc>
      </w:tr>
      <w:tr w:rsidR="004A03F6" w:rsidRPr="00C063BF" w14:paraId="4E8150F3" w14:textId="77777777" w:rsidTr="00CF2DBA">
        <w:trPr>
          <w:trHeight w:val="303"/>
          <w:jc w:val="center"/>
        </w:trPr>
        <w:tc>
          <w:tcPr>
            <w:tcW w:w="1441" w:type="dxa"/>
            <w:tcBorders>
              <w:top w:val="nil"/>
              <w:left w:val="nil"/>
              <w:bottom w:val="nil"/>
              <w:right w:val="nil"/>
            </w:tcBorders>
            <w:shd w:val="clear" w:color="auto" w:fill="auto"/>
            <w:noWrap/>
            <w:vAlign w:val="center"/>
          </w:tcPr>
          <w:p w14:paraId="7A5EDA3E" w14:textId="77777777" w:rsidR="004A03F6" w:rsidRPr="00C063BF" w:rsidRDefault="004A03F6" w:rsidP="00DA24BA">
            <w:pPr>
              <w:jc w:val="center"/>
            </w:pPr>
            <w:r>
              <w:t>PRO</w:t>
            </w:r>
          </w:p>
        </w:tc>
        <w:tc>
          <w:tcPr>
            <w:tcW w:w="1420" w:type="dxa"/>
            <w:tcBorders>
              <w:top w:val="nil"/>
              <w:left w:val="nil"/>
              <w:bottom w:val="nil"/>
              <w:right w:val="nil"/>
            </w:tcBorders>
            <w:shd w:val="clear" w:color="auto" w:fill="auto"/>
            <w:noWrap/>
            <w:vAlign w:val="center"/>
          </w:tcPr>
          <w:p w14:paraId="23E772C3" w14:textId="77777777" w:rsidR="004A03F6" w:rsidRDefault="004A03F6" w:rsidP="00DA24BA">
            <w:pPr>
              <w:jc w:val="center"/>
            </w:pPr>
            <w:r>
              <w:t>-0.5032</w:t>
            </w:r>
          </w:p>
        </w:tc>
        <w:tc>
          <w:tcPr>
            <w:tcW w:w="600" w:type="dxa"/>
            <w:tcBorders>
              <w:top w:val="nil"/>
              <w:left w:val="nil"/>
              <w:bottom w:val="nil"/>
              <w:right w:val="nil"/>
            </w:tcBorders>
            <w:shd w:val="clear" w:color="auto" w:fill="auto"/>
            <w:noWrap/>
            <w:vAlign w:val="center"/>
          </w:tcPr>
          <w:p w14:paraId="012A6E99" w14:textId="77777777" w:rsidR="004A03F6" w:rsidRPr="00C063BF" w:rsidRDefault="004A03F6" w:rsidP="00DA24BA">
            <w:pPr>
              <w:jc w:val="center"/>
            </w:pPr>
          </w:p>
        </w:tc>
        <w:tc>
          <w:tcPr>
            <w:tcW w:w="1420" w:type="dxa"/>
            <w:tcBorders>
              <w:top w:val="nil"/>
              <w:left w:val="nil"/>
              <w:bottom w:val="nil"/>
              <w:right w:val="nil"/>
            </w:tcBorders>
            <w:shd w:val="clear" w:color="auto" w:fill="auto"/>
            <w:noWrap/>
            <w:vAlign w:val="center"/>
          </w:tcPr>
          <w:p w14:paraId="53E18932" w14:textId="77777777" w:rsidR="004A03F6" w:rsidRDefault="004A03F6" w:rsidP="00DA24BA">
            <w:pPr>
              <w:jc w:val="center"/>
            </w:pPr>
            <w:r>
              <w:t>-2.6831</w:t>
            </w:r>
          </w:p>
        </w:tc>
        <w:tc>
          <w:tcPr>
            <w:tcW w:w="620" w:type="dxa"/>
            <w:tcBorders>
              <w:top w:val="nil"/>
              <w:left w:val="nil"/>
              <w:bottom w:val="nil"/>
              <w:right w:val="nil"/>
            </w:tcBorders>
            <w:shd w:val="clear" w:color="auto" w:fill="auto"/>
            <w:noWrap/>
            <w:vAlign w:val="center"/>
          </w:tcPr>
          <w:p w14:paraId="0E59240D" w14:textId="77777777" w:rsidR="004A03F6" w:rsidRPr="00C063BF" w:rsidRDefault="004A03F6" w:rsidP="00DA24BA">
            <w:pPr>
              <w:jc w:val="center"/>
            </w:pPr>
          </w:p>
        </w:tc>
        <w:tc>
          <w:tcPr>
            <w:tcW w:w="1380" w:type="dxa"/>
            <w:tcBorders>
              <w:top w:val="nil"/>
              <w:left w:val="nil"/>
              <w:bottom w:val="nil"/>
              <w:right w:val="nil"/>
            </w:tcBorders>
            <w:shd w:val="clear" w:color="auto" w:fill="auto"/>
            <w:noWrap/>
            <w:vAlign w:val="center"/>
          </w:tcPr>
          <w:p w14:paraId="0CC8C059" w14:textId="77777777" w:rsidR="004A03F6" w:rsidRDefault="004A03F6" w:rsidP="00DA24BA">
            <w:pPr>
              <w:jc w:val="center"/>
            </w:pPr>
            <w:r>
              <w:t>1.8974</w:t>
            </w:r>
          </w:p>
        </w:tc>
        <w:tc>
          <w:tcPr>
            <w:tcW w:w="583" w:type="dxa"/>
            <w:tcBorders>
              <w:top w:val="nil"/>
              <w:left w:val="nil"/>
              <w:bottom w:val="nil"/>
              <w:right w:val="nil"/>
            </w:tcBorders>
            <w:shd w:val="clear" w:color="auto" w:fill="auto"/>
            <w:noWrap/>
            <w:vAlign w:val="center"/>
          </w:tcPr>
          <w:p w14:paraId="0C87BD99" w14:textId="77777777" w:rsidR="004A03F6" w:rsidRDefault="004A03F6" w:rsidP="00DA24BA">
            <w:pPr>
              <w:jc w:val="center"/>
            </w:pPr>
          </w:p>
        </w:tc>
      </w:tr>
      <w:tr w:rsidR="00295A62" w:rsidRPr="00C063BF" w14:paraId="7BB9B901" w14:textId="77777777" w:rsidTr="00CF2DBA">
        <w:trPr>
          <w:trHeight w:val="303"/>
          <w:jc w:val="center"/>
        </w:trPr>
        <w:tc>
          <w:tcPr>
            <w:tcW w:w="1441" w:type="dxa"/>
            <w:tcBorders>
              <w:top w:val="nil"/>
              <w:left w:val="nil"/>
              <w:bottom w:val="nil"/>
              <w:right w:val="nil"/>
            </w:tcBorders>
            <w:shd w:val="clear" w:color="auto" w:fill="auto"/>
            <w:noWrap/>
            <w:vAlign w:val="center"/>
          </w:tcPr>
          <w:p w14:paraId="6A53FED6" w14:textId="66053A19" w:rsidR="00295A62" w:rsidRDefault="00295A62" w:rsidP="00DA24BA">
            <w:pPr>
              <w:jc w:val="center"/>
            </w:pPr>
            <w:r>
              <w:t>DPRO</w:t>
            </w:r>
          </w:p>
        </w:tc>
        <w:tc>
          <w:tcPr>
            <w:tcW w:w="1420" w:type="dxa"/>
            <w:tcBorders>
              <w:top w:val="nil"/>
              <w:left w:val="nil"/>
              <w:bottom w:val="nil"/>
              <w:right w:val="nil"/>
            </w:tcBorders>
            <w:shd w:val="clear" w:color="auto" w:fill="auto"/>
            <w:noWrap/>
            <w:vAlign w:val="center"/>
          </w:tcPr>
          <w:p w14:paraId="33645519" w14:textId="7F84967F" w:rsidR="00295A62" w:rsidRDefault="00E84580" w:rsidP="00DA24BA">
            <w:pPr>
              <w:jc w:val="center"/>
            </w:pPr>
            <w:r>
              <w:t>-14.9021</w:t>
            </w:r>
          </w:p>
        </w:tc>
        <w:tc>
          <w:tcPr>
            <w:tcW w:w="600" w:type="dxa"/>
            <w:tcBorders>
              <w:top w:val="nil"/>
              <w:left w:val="nil"/>
              <w:bottom w:val="nil"/>
              <w:right w:val="nil"/>
            </w:tcBorders>
            <w:shd w:val="clear" w:color="auto" w:fill="auto"/>
            <w:noWrap/>
            <w:vAlign w:val="center"/>
          </w:tcPr>
          <w:p w14:paraId="2B217580" w14:textId="01DF7833" w:rsidR="00295A62" w:rsidRPr="00C063BF" w:rsidRDefault="00E84580" w:rsidP="00DA24BA">
            <w:pPr>
              <w:jc w:val="center"/>
            </w:pPr>
            <w:r>
              <w:t>***</w:t>
            </w:r>
          </w:p>
        </w:tc>
        <w:tc>
          <w:tcPr>
            <w:tcW w:w="1420" w:type="dxa"/>
            <w:tcBorders>
              <w:top w:val="nil"/>
              <w:left w:val="nil"/>
              <w:bottom w:val="nil"/>
              <w:right w:val="nil"/>
            </w:tcBorders>
            <w:shd w:val="clear" w:color="auto" w:fill="auto"/>
            <w:noWrap/>
            <w:vAlign w:val="center"/>
          </w:tcPr>
          <w:p w14:paraId="3DA58C09" w14:textId="000B704C" w:rsidR="00295A62" w:rsidRDefault="00E84580" w:rsidP="00DA24BA">
            <w:pPr>
              <w:jc w:val="center"/>
            </w:pPr>
            <w:r>
              <w:t>-14.8802</w:t>
            </w:r>
          </w:p>
        </w:tc>
        <w:tc>
          <w:tcPr>
            <w:tcW w:w="620" w:type="dxa"/>
            <w:tcBorders>
              <w:top w:val="nil"/>
              <w:left w:val="nil"/>
              <w:bottom w:val="nil"/>
              <w:right w:val="nil"/>
            </w:tcBorders>
            <w:shd w:val="clear" w:color="auto" w:fill="auto"/>
            <w:noWrap/>
            <w:vAlign w:val="center"/>
          </w:tcPr>
          <w:p w14:paraId="12FA1BA0" w14:textId="1EFC73C7" w:rsidR="00295A62" w:rsidRPr="00C063BF" w:rsidRDefault="00E84580" w:rsidP="00DA24BA">
            <w:pPr>
              <w:jc w:val="center"/>
            </w:pPr>
            <w:r>
              <w:t>***</w:t>
            </w:r>
          </w:p>
        </w:tc>
        <w:tc>
          <w:tcPr>
            <w:tcW w:w="1380" w:type="dxa"/>
            <w:tcBorders>
              <w:top w:val="nil"/>
              <w:left w:val="nil"/>
              <w:bottom w:val="nil"/>
              <w:right w:val="nil"/>
            </w:tcBorders>
            <w:shd w:val="clear" w:color="auto" w:fill="auto"/>
            <w:noWrap/>
            <w:vAlign w:val="center"/>
          </w:tcPr>
          <w:p w14:paraId="20028140" w14:textId="239A3ED5" w:rsidR="00295A62" w:rsidRDefault="00E84580" w:rsidP="00DA24BA">
            <w:pPr>
              <w:jc w:val="center"/>
            </w:pPr>
            <w:r>
              <w:t>-14.6785</w:t>
            </w:r>
          </w:p>
        </w:tc>
        <w:tc>
          <w:tcPr>
            <w:tcW w:w="583" w:type="dxa"/>
            <w:tcBorders>
              <w:top w:val="nil"/>
              <w:left w:val="nil"/>
              <w:bottom w:val="nil"/>
              <w:right w:val="nil"/>
            </w:tcBorders>
            <w:shd w:val="clear" w:color="auto" w:fill="auto"/>
            <w:noWrap/>
            <w:vAlign w:val="center"/>
          </w:tcPr>
          <w:p w14:paraId="1B25299A" w14:textId="05A15EFC" w:rsidR="00295A62" w:rsidRDefault="00E84580" w:rsidP="00DA24BA">
            <w:pPr>
              <w:jc w:val="center"/>
            </w:pPr>
            <w:r>
              <w:t>***</w:t>
            </w:r>
          </w:p>
        </w:tc>
      </w:tr>
      <w:tr w:rsidR="004A03F6" w:rsidRPr="00C063BF" w14:paraId="35709542" w14:textId="77777777" w:rsidTr="00CF2DBA">
        <w:trPr>
          <w:trHeight w:val="303"/>
          <w:jc w:val="center"/>
        </w:trPr>
        <w:tc>
          <w:tcPr>
            <w:tcW w:w="1441" w:type="dxa"/>
            <w:tcBorders>
              <w:top w:val="nil"/>
              <w:left w:val="nil"/>
              <w:bottom w:val="nil"/>
              <w:right w:val="nil"/>
            </w:tcBorders>
            <w:shd w:val="clear" w:color="auto" w:fill="auto"/>
            <w:noWrap/>
            <w:vAlign w:val="center"/>
          </w:tcPr>
          <w:p w14:paraId="520B6739" w14:textId="77777777" w:rsidR="004A03F6" w:rsidRPr="00C063BF" w:rsidRDefault="004A03F6" w:rsidP="00DA24BA">
            <w:pPr>
              <w:jc w:val="center"/>
            </w:pPr>
            <w:r>
              <w:t>GEA</w:t>
            </w:r>
          </w:p>
        </w:tc>
        <w:tc>
          <w:tcPr>
            <w:tcW w:w="1420" w:type="dxa"/>
            <w:tcBorders>
              <w:top w:val="nil"/>
              <w:left w:val="nil"/>
              <w:bottom w:val="nil"/>
              <w:right w:val="nil"/>
            </w:tcBorders>
            <w:shd w:val="clear" w:color="auto" w:fill="auto"/>
            <w:noWrap/>
            <w:vAlign w:val="center"/>
          </w:tcPr>
          <w:p w14:paraId="1A83D398" w14:textId="77777777" w:rsidR="004A03F6" w:rsidRDefault="004A03F6" w:rsidP="00DA24BA">
            <w:pPr>
              <w:jc w:val="center"/>
            </w:pPr>
            <w:r>
              <w:t>-2.7226</w:t>
            </w:r>
          </w:p>
        </w:tc>
        <w:tc>
          <w:tcPr>
            <w:tcW w:w="600" w:type="dxa"/>
            <w:tcBorders>
              <w:top w:val="nil"/>
              <w:left w:val="nil"/>
              <w:bottom w:val="nil"/>
              <w:right w:val="nil"/>
            </w:tcBorders>
            <w:shd w:val="clear" w:color="auto" w:fill="auto"/>
            <w:noWrap/>
            <w:vAlign w:val="center"/>
          </w:tcPr>
          <w:p w14:paraId="4E59388C" w14:textId="77777777" w:rsidR="004A03F6" w:rsidRPr="00C063BF" w:rsidRDefault="004A03F6" w:rsidP="00DA24BA">
            <w:pPr>
              <w:jc w:val="center"/>
            </w:pPr>
            <w:r>
              <w:t>*</w:t>
            </w:r>
          </w:p>
        </w:tc>
        <w:tc>
          <w:tcPr>
            <w:tcW w:w="1420" w:type="dxa"/>
            <w:tcBorders>
              <w:top w:val="nil"/>
              <w:left w:val="nil"/>
              <w:bottom w:val="nil"/>
              <w:right w:val="nil"/>
            </w:tcBorders>
            <w:shd w:val="clear" w:color="auto" w:fill="auto"/>
            <w:noWrap/>
            <w:vAlign w:val="center"/>
          </w:tcPr>
          <w:p w14:paraId="4FDB33E4" w14:textId="77777777" w:rsidR="004A03F6" w:rsidRDefault="004A03F6" w:rsidP="00DA24BA">
            <w:pPr>
              <w:jc w:val="center"/>
            </w:pPr>
            <w:r>
              <w:t>-3.0175</w:t>
            </w:r>
          </w:p>
        </w:tc>
        <w:tc>
          <w:tcPr>
            <w:tcW w:w="620" w:type="dxa"/>
            <w:tcBorders>
              <w:top w:val="nil"/>
              <w:left w:val="nil"/>
              <w:bottom w:val="nil"/>
              <w:right w:val="nil"/>
            </w:tcBorders>
            <w:shd w:val="clear" w:color="auto" w:fill="auto"/>
            <w:noWrap/>
            <w:vAlign w:val="center"/>
          </w:tcPr>
          <w:p w14:paraId="27629449" w14:textId="77777777" w:rsidR="004A03F6" w:rsidRPr="00C063BF" w:rsidRDefault="004A03F6" w:rsidP="00DA24BA">
            <w:pPr>
              <w:jc w:val="center"/>
            </w:pPr>
          </w:p>
        </w:tc>
        <w:tc>
          <w:tcPr>
            <w:tcW w:w="1380" w:type="dxa"/>
            <w:tcBorders>
              <w:top w:val="nil"/>
              <w:left w:val="nil"/>
              <w:bottom w:val="nil"/>
              <w:right w:val="nil"/>
            </w:tcBorders>
            <w:shd w:val="clear" w:color="auto" w:fill="auto"/>
            <w:noWrap/>
            <w:vAlign w:val="center"/>
          </w:tcPr>
          <w:p w14:paraId="0BDF81ED" w14:textId="77777777" w:rsidR="004A03F6" w:rsidRDefault="004A03F6" w:rsidP="00DA24BA">
            <w:pPr>
              <w:jc w:val="center"/>
            </w:pPr>
            <w:r>
              <w:t>-2.6725</w:t>
            </w:r>
          </w:p>
        </w:tc>
        <w:tc>
          <w:tcPr>
            <w:tcW w:w="583" w:type="dxa"/>
            <w:tcBorders>
              <w:top w:val="nil"/>
              <w:left w:val="nil"/>
              <w:bottom w:val="nil"/>
              <w:right w:val="nil"/>
            </w:tcBorders>
            <w:shd w:val="clear" w:color="auto" w:fill="auto"/>
            <w:noWrap/>
            <w:vAlign w:val="center"/>
          </w:tcPr>
          <w:p w14:paraId="18880691" w14:textId="77777777" w:rsidR="004A03F6" w:rsidRDefault="004A03F6" w:rsidP="00DA24BA">
            <w:pPr>
              <w:jc w:val="center"/>
            </w:pPr>
            <w:r>
              <w:t>***</w:t>
            </w:r>
          </w:p>
        </w:tc>
      </w:tr>
      <w:tr w:rsidR="004A03F6" w:rsidRPr="00C063BF" w14:paraId="2B571F56" w14:textId="77777777" w:rsidTr="00CF2DBA">
        <w:trPr>
          <w:trHeight w:val="303"/>
          <w:jc w:val="center"/>
        </w:trPr>
        <w:tc>
          <w:tcPr>
            <w:tcW w:w="1441" w:type="dxa"/>
            <w:tcBorders>
              <w:top w:val="nil"/>
              <w:left w:val="nil"/>
              <w:bottom w:val="nil"/>
              <w:right w:val="nil"/>
            </w:tcBorders>
            <w:shd w:val="clear" w:color="auto" w:fill="auto"/>
            <w:noWrap/>
            <w:vAlign w:val="center"/>
          </w:tcPr>
          <w:p w14:paraId="3B1AE1BD" w14:textId="77777777" w:rsidR="004A03F6" w:rsidRPr="00C063BF" w:rsidRDefault="004A03F6" w:rsidP="00DA24BA">
            <w:pPr>
              <w:jc w:val="center"/>
            </w:pPr>
            <w:r>
              <w:t>ROP</w:t>
            </w:r>
          </w:p>
        </w:tc>
        <w:tc>
          <w:tcPr>
            <w:tcW w:w="1420" w:type="dxa"/>
            <w:tcBorders>
              <w:top w:val="nil"/>
              <w:left w:val="nil"/>
              <w:bottom w:val="nil"/>
              <w:right w:val="nil"/>
            </w:tcBorders>
            <w:shd w:val="clear" w:color="auto" w:fill="auto"/>
            <w:noWrap/>
            <w:vAlign w:val="center"/>
          </w:tcPr>
          <w:p w14:paraId="1152E48F" w14:textId="77777777" w:rsidR="004A03F6" w:rsidRDefault="004A03F6" w:rsidP="00DA24BA">
            <w:pPr>
              <w:jc w:val="center"/>
            </w:pPr>
            <w:r>
              <w:t>-1.8713</w:t>
            </w:r>
          </w:p>
        </w:tc>
        <w:tc>
          <w:tcPr>
            <w:tcW w:w="600" w:type="dxa"/>
            <w:tcBorders>
              <w:top w:val="nil"/>
              <w:left w:val="nil"/>
              <w:bottom w:val="nil"/>
              <w:right w:val="nil"/>
            </w:tcBorders>
            <w:shd w:val="clear" w:color="auto" w:fill="auto"/>
            <w:noWrap/>
            <w:vAlign w:val="center"/>
          </w:tcPr>
          <w:p w14:paraId="3416EDB5" w14:textId="77777777" w:rsidR="004A03F6" w:rsidRPr="00C063BF" w:rsidRDefault="004A03F6" w:rsidP="00DA24BA">
            <w:pPr>
              <w:jc w:val="center"/>
            </w:pPr>
          </w:p>
        </w:tc>
        <w:tc>
          <w:tcPr>
            <w:tcW w:w="1420" w:type="dxa"/>
            <w:tcBorders>
              <w:top w:val="nil"/>
              <w:left w:val="nil"/>
              <w:bottom w:val="nil"/>
              <w:right w:val="nil"/>
            </w:tcBorders>
            <w:shd w:val="clear" w:color="auto" w:fill="auto"/>
            <w:noWrap/>
            <w:vAlign w:val="center"/>
          </w:tcPr>
          <w:p w14:paraId="6EAA1596" w14:textId="77777777" w:rsidR="004A03F6" w:rsidRDefault="004A03F6" w:rsidP="00DA24BA">
            <w:pPr>
              <w:jc w:val="center"/>
            </w:pPr>
            <w:r>
              <w:t>-1.5807</w:t>
            </w:r>
          </w:p>
        </w:tc>
        <w:tc>
          <w:tcPr>
            <w:tcW w:w="620" w:type="dxa"/>
            <w:tcBorders>
              <w:top w:val="nil"/>
              <w:left w:val="nil"/>
              <w:bottom w:val="nil"/>
              <w:right w:val="nil"/>
            </w:tcBorders>
            <w:shd w:val="clear" w:color="auto" w:fill="auto"/>
            <w:noWrap/>
            <w:vAlign w:val="center"/>
          </w:tcPr>
          <w:p w14:paraId="0E0B1DB9" w14:textId="77777777" w:rsidR="004A03F6" w:rsidRPr="00C063BF" w:rsidRDefault="004A03F6" w:rsidP="00DA24BA">
            <w:pPr>
              <w:jc w:val="center"/>
            </w:pPr>
          </w:p>
        </w:tc>
        <w:tc>
          <w:tcPr>
            <w:tcW w:w="1380" w:type="dxa"/>
            <w:tcBorders>
              <w:top w:val="nil"/>
              <w:left w:val="nil"/>
              <w:bottom w:val="nil"/>
              <w:right w:val="nil"/>
            </w:tcBorders>
            <w:shd w:val="clear" w:color="auto" w:fill="auto"/>
            <w:noWrap/>
            <w:vAlign w:val="center"/>
          </w:tcPr>
          <w:p w14:paraId="5B7FE9FE" w14:textId="77777777" w:rsidR="004A03F6" w:rsidRDefault="004A03F6" w:rsidP="00DA24BA">
            <w:pPr>
              <w:jc w:val="center"/>
            </w:pPr>
            <w:r>
              <w:t>-0.5179</w:t>
            </w:r>
          </w:p>
        </w:tc>
        <w:tc>
          <w:tcPr>
            <w:tcW w:w="583" w:type="dxa"/>
            <w:tcBorders>
              <w:top w:val="nil"/>
              <w:left w:val="nil"/>
              <w:bottom w:val="nil"/>
              <w:right w:val="nil"/>
            </w:tcBorders>
            <w:shd w:val="clear" w:color="auto" w:fill="auto"/>
            <w:noWrap/>
            <w:vAlign w:val="center"/>
          </w:tcPr>
          <w:p w14:paraId="5540A06B" w14:textId="77777777" w:rsidR="004A03F6" w:rsidRDefault="004A03F6" w:rsidP="00DA24BA">
            <w:pPr>
              <w:jc w:val="center"/>
            </w:pPr>
          </w:p>
        </w:tc>
      </w:tr>
      <w:tr w:rsidR="00295A62" w:rsidRPr="00C063BF" w14:paraId="1F04A929" w14:textId="77777777" w:rsidTr="00CF2DBA">
        <w:trPr>
          <w:trHeight w:val="303"/>
          <w:jc w:val="center"/>
        </w:trPr>
        <w:tc>
          <w:tcPr>
            <w:tcW w:w="1441" w:type="dxa"/>
            <w:tcBorders>
              <w:top w:val="nil"/>
              <w:left w:val="nil"/>
              <w:bottom w:val="nil"/>
              <w:right w:val="nil"/>
            </w:tcBorders>
            <w:shd w:val="clear" w:color="auto" w:fill="auto"/>
            <w:noWrap/>
            <w:vAlign w:val="center"/>
          </w:tcPr>
          <w:p w14:paraId="5BB77DBD" w14:textId="5785F6C5" w:rsidR="00295A62" w:rsidRDefault="00295A62" w:rsidP="00DA24BA">
            <w:pPr>
              <w:jc w:val="center"/>
            </w:pPr>
            <w:r>
              <w:t>DROP</w:t>
            </w:r>
          </w:p>
        </w:tc>
        <w:tc>
          <w:tcPr>
            <w:tcW w:w="1420" w:type="dxa"/>
            <w:tcBorders>
              <w:top w:val="nil"/>
              <w:left w:val="nil"/>
              <w:bottom w:val="nil"/>
              <w:right w:val="nil"/>
            </w:tcBorders>
            <w:shd w:val="clear" w:color="auto" w:fill="auto"/>
            <w:noWrap/>
            <w:vAlign w:val="center"/>
          </w:tcPr>
          <w:p w14:paraId="295F9919" w14:textId="6CD0D5BB" w:rsidR="00295A62" w:rsidRDefault="00087B1A" w:rsidP="00DA24BA">
            <w:pPr>
              <w:jc w:val="center"/>
            </w:pPr>
            <w:r>
              <w:t>-14.7486</w:t>
            </w:r>
          </w:p>
        </w:tc>
        <w:tc>
          <w:tcPr>
            <w:tcW w:w="600" w:type="dxa"/>
            <w:tcBorders>
              <w:top w:val="nil"/>
              <w:left w:val="nil"/>
              <w:bottom w:val="nil"/>
              <w:right w:val="nil"/>
            </w:tcBorders>
            <w:shd w:val="clear" w:color="auto" w:fill="auto"/>
            <w:noWrap/>
            <w:vAlign w:val="center"/>
          </w:tcPr>
          <w:p w14:paraId="53811AF7" w14:textId="1E9BC226" w:rsidR="00295A62" w:rsidRDefault="00087B1A" w:rsidP="00DA24BA">
            <w:pPr>
              <w:jc w:val="center"/>
            </w:pPr>
            <w:r>
              <w:t>***</w:t>
            </w:r>
          </w:p>
        </w:tc>
        <w:tc>
          <w:tcPr>
            <w:tcW w:w="1420" w:type="dxa"/>
            <w:tcBorders>
              <w:top w:val="nil"/>
              <w:left w:val="nil"/>
              <w:bottom w:val="nil"/>
              <w:right w:val="nil"/>
            </w:tcBorders>
            <w:shd w:val="clear" w:color="auto" w:fill="auto"/>
            <w:noWrap/>
            <w:vAlign w:val="center"/>
          </w:tcPr>
          <w:p w14:paraId="1AF44921" w14:textId="0712B027" w:rsidR="00295A62" w:rsidRDefault="00087B1A" w:rsidP="00DA24BA">
            <w:pPr>
              <w:jc w:val="center"/>
            </w:pPr>
            <w:r>
              <w:t>-15.1536</w:t>
            </w:r>
          </w:p>
        </w:tc>
        <w:tc>
          <w:tcPr>
            <w:tcW w:w="620" w:type="dxa"/>
            <w:tcBorders>
              <w:top w:val="nil"/>
              <w:left w:val="nil"/>
              <w:bottom w:val="nil"/>
              <w:right w:val="nil"/>
            </w:tcBorders>
            <w:shd w:val="clear" w:color="auto" w:fill="auto"/>
            <w:noWrap/>
            <w:vAlign w:val="center"/>
          </w:tcPr>
          <w:p w14:paraId="28A630D6" w14:textId="31EFCC93" w:rsidR="00295A62" w:rsidRDefault="00087B1A" w:rsidP="00DA24BA">
            <w:pPr>
              <w:jc w:val="center"/>
            </w:pPr>
            <w:r>
              <w:t>***</w:t>
            </w:r>
          </w:p>
        </w:tc>
        <w:tc>
          <w:tcPr>
            <w:tcW w:w="1380" w:type="dxa"/>
            <w:tcBorders>
              <w:top w:val="nil"/>
              <w:left w:val="nil"/>
              <w:bottom w:val="nil"/>
              <w:right w:val="nil"/>
            </w:tcBorders>
            <w:shd w:val="clear" w:color="auto" w:fill="auto"/>
            <w:noWrap/>
            <w:vAlign w:val="center"/>
          </w:tcPr>
          <w:p w14:paraId="0AAC3DEA" w14:textId="36129C3C" w:rsidR="00295A62" w:rsidRDefault="00087B1A" w:rsidP="00DA24BA">
            <w:pPr>
              <w:jc w:val="center"/>
            </w:pPr>
            <w:r>
              <w:t>-14.7706</w:t>
            </w:r>
          </w:p>
        </w:tc>
        <w:tc>
          <w:tcPr>
            <w:tcW w:w="583" w:type="dxa"/>
            <w:tcBorders>
              <w:top w:val="nil"/>
              <w:left w:val="nil"/>
              <w:bottom w:val="nil"/>
              <w:right w:val="nil"/>
            </w:tcBorders>
            <w:shd w:val="clear" w:color="auto" w:fill="auto"/>
            <w:noWrap/>
            <w:vAlign w:val="center"/>
          </w:tcPr>
          <w:p w14:paraId="0CCFE804" w14:textId="754380DB" w:rsidR="00295A62" w:rsidRDefault="00087B1A" w:rsidP="00DA24BA">
            <w:pPr>
              <w:jc w:val="center"/>
            </w:pPr>
            <w:r>
              <w:t>***</w:t>
            </w:r>
          </w:p>
        </w:tc>
      </w:tr>
      <w:tr w:rsidR="00566074" w:rsidRPr="00C063BF" w14:paraId="2A9336FC" w14:textId="77777777" w:rsidTr="00CF2DBA">
        <w:trPr>
          <w:trHeight w:val="303"/>
          <w:jc w:val="center"/>
        </w:trPr>
        <w:tc>
          <w:tcPr>
            <w:tcW w:w="1441" w:type="dxa"/>
            <w:tcBorders>
              <w:top w:val="nil"/>
              <w:left w:val="nil"/>
              <w:bottom w:val="nil"/>
              <w:right w:val="nil"/>
            </w:tcBorders>
            <w:shd w:val="clear" w:color="auto" w:fill="auto"/>
            <w:noWrap/>
            <w:vAlign w:val="center"/>
          </w:tcPr>
          <w:p w14:paraId="6C558C16" w14:textId="452C70AF" w:rsidR="00566074" w:rsidRDefault="00566074" w:rsidP="00DA24BA">
            <w:pPr>
              <w:jc w:val="center"/>
            </w:pPr>
            <w:r>
              <w:t>EPU</w:t>
            </w:r>
          </w:p>
        </w:tc>
        <w:tc>
          <w:tcPr>
            <w:tcW w:w="1420" w:type="dxa"/>
            <w:tcBorders>
              <w:top w:val="nil"/>
              <w:left w:val="nil"/>
              <w:bottom w:val="nil"/>
              <w:right w:val="nil"/>
            </w:tcBorders>
            <w:shd w:val="clear" w:color="auto" w:fill="auto"/>
            <w:noWrap/>
            <w:vAlign w:val="center"/>
          </w:tcPr>
          <w:p w14:paraId="28EC1829" w14:textId="02DFFBA1" w:rsidR="00566074" w:rsidRDefault="00F20485" w:rsidP="00DA24BA">
            <w:pPr>
              <w:jc w:val="center"/>
            </w:pPr>
            <w:r>
              <w:t>-4.2458</w:t>
            </w:r>
          </w:p>
        </w:tc>
        <w:tc>
          <w:tcPr>
            <w:tcW w:w="600" w:type="dxa"/>
            <w:tcBorders>
              <w:top w:val="nil"/>
              <w:left w:val="nil"/>
              <w:bottom w:val="nil"/>
              <w:right w:val="nil"/>
            </w:tcBorders>
            <w:shd w:val="clear" w:color="auto" w:fill="auto"/>
            <w:noWrap/>
            <w:vAlign w:val="center"/>
          </w:tcPr>
          <w:p w14:paraId="0467B397" w14:textId="469341D2" w:rsidR="00566074" w:rsidRPr="00C063BF" w:rsidRDefault="00F20485" w:rsidP="00DA24BA">
            <w:pPr>
              <w:jc w:val="center"/>
            </w:pPr>
            <w:r>
              <w:t>***</w:t>
            </w:r>
          </w:p>
        </w:tc>
        <w:tc>
          <w:tcPr>
            <w:tcW w:w="1420" w:type="dxa"/>
            <w:tcBorders>
              <w:top w:val="nil"/>
              <w:left w:val="nil"/>
              <w:bottom w:val="nil"/>
              <w:right w:val="nil"/>
            </w:tcBorders>
            <w:shd w:val="clear" w:color="auto" w:fill="auto"/>
            <w:noWrap/>
            <w:vAlign w:val="center"/>
          </w:tcPr>
          <w:p w14:paraId="19616167" w14:textId="5D94BC0E" w:rsidR="00566074" w:rsidRDefault="00F20485" w:rsidP="00DA24BA">
            <w:pPr>
              <w:jc w:val="center"/>
            </w:pPr>
            <w:r>
              <w:t>-5.4768</w:t>
            </w:r>
          </w:p>
        </w:tc>
        <w:tc>
          <w:tcPr>
            <w:tcW w:w="620" w:type="dxa"/>
            <w:tcBorders>
              <w:top w:val="nil"/>
              <w:left w:val="nil"/>
              <w:bottom w:val="nil"/>
              <w:right w:val="nil"/>
            </w:tcBorders>
            <w:shd w:val="clear" w:color="auto" w:fill="auto"/>
            <w:noWrap/>
            <w:vAlign w:val="center"/>
          </w:tcPr>
          <w:p w14:paraId="47E27313" w14:textId="578B2F73" w:rsidR="00566074" w:rsidRPr="00C063BF" w:rsidRDefault="00F20485" w:rsidP="00DA24BA">
            <w:pPr>
              <w:jc w:val="center"/>
            </w:pPr>
            <w:r>
              <w:t>***</w:t>
            </w:r>
          </w:p>
        </w:tc>
        <w:tc>
          <w:tcPr>
            <w:tcW w:w="1380" w:type="dxa"/>
            <w:tcBorders>
              <w:top w:val="nil"/>
              <w:left w:val="nil"/>
              <w:bottom w:val="nil"/>
              <w:right w:val="nil"/>
            </w:tcBorders>
            <w:shd w:val="clear" w:color="auto" w:fill="auto"/>
            <w:noWrap/>
            <w:vAlign w:val="center"/>
          </w:tcPr>
          <w:p w14:paraId="556584C1" w14:textId="39A5FC80" w:rsidR="00566074" w:rsidRDefault="00F20485" w:rsidP="00DA24BA">
            <w:pPr>
              <w:jc w:val="center"/>
            </w:pPr>
            <w:r>
              <w:t>-0.9633</w:t>
            </w:r>
          </w:p>
        </w:tc>
        <w:tc>
          <w:tcPr>
            <w:tcW w:w="583" w:type="dxa"/>
            <w:tcBorders>
              <w:top w:val="nil"/>
              <w:left w:val="nil"/>
              <w:bottom w:val="nil"/>
              <w:right w:val="nil"/>
            </w:tcBorders>
            <w:shd w:val="clear" w:color="auto" w:fill="auto"/>
            <w:noWrap/>
            <w:vAlign w:val="center"/>
          </w:tcPr>
          <w:p w14:paraId="32A2CCAF" w14:textId="77777777" w:rsidR="00566074" w:rsidRDefault="00566074" w:rsidP="00DA24BA">
            <w:pPr>
              <w:jc w:val="center"/>
            </w:pPr>
          </w:p>
        </w:tc>
      </w:tr>
      <w:tr w:rsidR="00566074" w:rsidRPr="00C063BF" w14:paraId="391D5E74" w14:textId="77777777" w:rsidTr="00CF2DBA">
        <w:trPr>
          <w:trHeight w:val="303"/>
          <w:jc w:val="center"/>
        </w:trPr>
        <w:tc>
          <w:tcPr>
            <w:tcW w:w="1441" w:type="dxa"/>
            <w:tcBorders>
              <w:top w:val="nil"/>
              <w:left w:val="nil"/>
              <w:bottom w:val="nil"/>
              <w:right w:val="nil"/>
            </w:tcBorders>
            <w:shd w:val="clear" w:color="auto" w:fill="auto"/>
            <w:noWrap/>
            <w:vAlign w:val="center"/>
          </w:tcPr>
          <w:p w14:paraId="64D3DEBF" w14:textId="762120C1" w:rsidR="00566074" w:rsidRDefault="00566074" w:rsidP="00DA24BA">
            <w:pPr>
              <w:jc w:val="center"/>
            </w:pPr>
            <w:r>
              <w:t>MPU</w:t>
            </w:r>
          </w:p>
        </w:tc>
        <w:tc>
          <w:tcPr>
            <w:tcW w:w="1420" w:type="dxa"/>
            <w:tcBorders>
              <w:top w:val="nil"/>
              <w:left w:val="nil"/>
              <w:bottom w:val="nil"/>
              <w:right w:val="nil"/>
            </w:tcBorders>
            <w:shd w:val="clear" w:color="auto" w:fill="auto"/>
            <w:noWrap/>
            <w:vAlign w:val="center"/>
          </w:tcPr>
          <w:p w14:paraId="2F15334F" w14:textId="35DE17C8" w:rsidR="00566074" w:rsidRDefault="00F20485" w:rsidP="00DA24BA">
            <w:pPr>
              <w:jc w:val="center"/>
            </w:pPr>
            <w:r>
              <w:t>-9.7248</w:t>
            </w:r>
          </w:p>
        </w:tc>
        <w:tc>
          <w:tcPr>
            <w:tcW w:w="600" w:type="dxa"/>
            <w:tcBorders>
              <w:top w:val="nil"/>
              <w:left w:val="nil"/>
              <w:bottom w:val="nil"/>
              <w:right w:val="nil"/>
            </w:tcBorders>
            <w:shd w:val="clear" w:color="auto" w:fill="auto"/>
            <w:noWrap/>
            <w:vAlign w:val="center"/>
          </w:tcPr>
          <w:p w14:paraId="5B5E2315" w14:textId="74BF6DDF" w:rsidR="00566074" w:rsidRPr="00C063BF" w:rsidRDefault="00F20485" w:rsidP="00DA24BA">
            <w:pPr>
              <w:jc w:val="center"/>
            </w:pPr>
            <w:r>
              <w:t>***</w:t>
            </w:r>
          </w:p>
        </w:tc>
        <w:tc>
          <w:tcPr>
            <w:tcW w:w="1420" w:type="dxa"/>
            <w:tcBorders>
              <w:top w:val="nil"/>
              <w:left w:val="nil"/>
              <w:bottom w:val="nil"/>
              <w:right w:val="nil"/>
            </w:tcBorders>
            <w:shd w:val="clear" w:color="auto" w:fill="auto"/>
            <w:noWrap/>
            <w:vAlign w:val="center"/>
          </w:tcPr>
          <w:p w14:paraId="4574BE1C" w14:textId="074B4742" w:rsidR="00566074" w:rsidRDefault="00F20485" w:rsidP="00DA24BA">
            <w:pPr>
              <w:jc w:val="center"/>
            </w:pPr>
            <w:r>
              <w:t>-9.7814</w:t>
            </w:r>
          </w:p>
        </w:tc>
        <w:tc>
          <w:tcPr>
            <w:tcW w:w="620" w:type="dxa"/>
            <w:tcBorders>
              <w:top w:val="nil"/>
              <w:left w:val="nil"/>
              <w:bottom w:val="nil"/>
              <w:right w:val="nil"/>
            </w:tcBorders>
            <w:shd w:val="clear" w:color="auto" w:fill="auto"/>
            <w:noWrap/>
            <w:vAlign w:val="center"/>
          </w:tcPr>
          <w:p w14:paraId="2AAE1E13" w14:textId="0BB6B67D" w:rsidR="00566074" w:rsidRPr="00C063BF" w:rsidRDefault="00F20485" w:rsidP="00DA24BA">
            <w:pPr>
              <w:jc w:val="center"/>
            </w:pPr>
            <w:r>
              <w:t>***</w:t>
            </w:r>
          </w:p>
        </w:tc>
        <w:tc>
          <w:tcPr>
            <w:tcW w:w="1380" w:type="dxa"/>
            <w:tcBorders>
              <w:top w:val="nil"/>
              <w:left w:val="nil"/>
              <w:bottom w:val="nil"/>
              <w:right w:val="nil"/>
            </w:tcBorders>
            <w:shd w:val="clear" w:color="auto" w:fill="auto"/>
            <w:noWrap/>
            <w:vAlign w:val="center"/>
          </w:tcPr>
          <w:p w14:paraId="74C499F0" w14:textId="7F8E83B5" w:rsidR="00566074" w:rsidRDefault="00F20485" w:rsidP="00DA24BA">
            <w:pPr>
              <w:jc w:val="center"/>
            </w:pPr>
            <w:r>
              <w:t>-1.9544</w:t>
            </w:r>
          </w:p>
        </w:tc>
        <w:tc>
          <w:tcPr>
            <w:tcW w:w="583" w:type="dxa"/>
            <w:tcBorders>
              <w:top w:val="nil"/>
              <w:left w:val="nil"/>
              <w:bottom w:val="nil"/>
              <w:right w:val="nil"/>
            </w:tcBorders>
            <w:shd w:val="clear" w:color="auto" w:fill="auto"/>
            <w:noWrap/>
            <w:vAlign w:val="center"/>
          </w:tcPr>
          <w:p w14:paraId="355280A1" w14:textId="3E9C62F4" w:rsidR="00566074" w:rsidRDefault="00F20485" w:rsidP="00DA24BA">
            <w:pPr>
              <w:jc w:val="center"/>
            </w:pPr>
            <w:r>
              <w:t>**</w:t>
            </w:r>
          </w:p>
        </w:tc>
      </w:tr>
      <w:tr w:rsidR="00566074" w:rsidRPr="00C063BF" w14:paraId="1373A3DA" w14:textId="77777777" w:rsidTr="00CF2DBA">
        <w:trPr>
          <w:trHeight w:val="303"/>
          <w:jc w:val="center"/>
        </w:trPr>
        <w:tc>
          <w:tcPr>
            <w:tcW w:w="1441" w:type="dxa"/>
            <w:tcBorders>
              <w:top w:val="nil"/>
              <w:left w:val="nil"/>
              <w:bottom w:val="nil"/>
              <w:right w:val="nil"/>
            </w:tcBorders>
            <w:shd w:val="clear" w:color="auto" w:fill="auto"/>
            <w:noWrap/>
            <w:vAlign w:val="center"/>
          </w:tcPr>
          <w:p w14:paraId="5FF08145" w14:textId="37548D43" w:rsidR="00566074" w:rsidRDefault="00566074" w:rsidP="00DA24BA">
            <w:pPr>
              <w:jc w:val="center"/>
            </w:pPr>
            <w:r>
              <w:t>VOL</w:t>
            </w:r>
          </w:p>
        </w:tc>
        <w:tc>
          <w:tcPr>
            <w:tcW w:w="1420" w:type="dxa"/>
            <w:tcBorders>
              <w:top w:val="nil"/>
              <w:left w:val="nil"/>
              <w:bottom w:val="nil"/>
              <w:right w:val="nil"/>
            </w:tcBorders>
            <w:shd w:val="clear" w:color="auto" w:fill="auto"/>
            <w:noWrap/>
            <w:vAlign w:val="center"/>
          </w:tcPr>
          <w:p w14:paraId="289C2CED" w14:textId="60576E5E" w:rsidR="00566074" w:rsidRDefault="00D65CE6" w:rsidP="00DA24BA">
            <w:pPr>
              <w:jc w:val="center"/>
            </w:pPr>
            <w:r>
              <w:t>-5.1159</w:t>
            </w:r>
          </w:p>
        </w:tc>
        <w:tc>
          <w:tcPr>
            <w:tcW w:w="600" w:type="dxa"/>
            <w:tcBorders>
              <w:top w:val="nil"/>
              <w:left w:val="nil"/>
              <w:bottom w:val="nil"/>
              <w:right w:val="nil"/>
            </w:tcBorders>
            <w:shd w:val="clear" w:color="auto" w:fill="auto"/>
            <w:noWrap/>
            <w:vAlign w:val="center"/>
          </w:tcPr>
          <w:p w14:paraId="0A74596A" w14:textId="758CC39E" w:rsidR="00566074" w:rsidRPr="00C063BF" w:rsidRDefault="00D65CE6" w:rsidP="00DA24BA">
            <w:pPr>
              <w:jc w:val="center"/>
            </w:pPr>
            <w:r>
              <w:t>***</w:t>
            </w:r>
          </w:p>
        </w:tc>
        <w:tc>
          <w:tcPr>
            <w:tcW w:w="1420" w:type="dxa"/>
            <w:tcBorders>
              <w:top w:val="nil"/>
              <w:left w:val="nil"/>
              <w:bottom w:val="nil"/>
              <w:right w:val="nil"/>
            </w:tcBorders>
            <w:shd w:val="clear" w:color="auto" w:fill="auto"/>
            <w:noWrap/>
            <w:vAlign w:val="center"/>
          </w:tcPr>
          <w:p w14:paraId="2C96FEC4" w14:textId="7A048453" w:rsidR="00566074" w:rsidRDefault="00D65CE6" w:rsidP="00DA24BA">
            <w:pPr>
              <w:jc w:val="center"/>
            </w:pPr>
            <w:r>
              <w:t>-5.1084</w:t>
            </w:r>
          </w:p>
        </w:tc>
        <w:tc>
          <w:tcPr>
            <w:tcW w:w="620" w:type="dxa"/>
            <w:tcBorders>
              <w:top w:val="nil"/>
              <w:left w:val="nil"/>
              <w:bottom w:val="nil"/>
              <w:right w:val="nil"/>
            </w:tcBorders>
            <w:shd w:val="clear" w:color="auto" w:fill="auto"/>
            <w:noWrap/>
            <w:vAlign w:val="center"/>
          </w:tcPr>
          <w:p w14:paraId="37B87514" w14:textId="6F1759C8" w:rsidR="00566074" w:rsidRPr="00C063BF" w:rsidRDefault="00D65CE6" w:rsidP="00DA24BA">
            <w:pPr>
              <w:jc w:val="center"/>
            </w:pPr>
            <w:r>
              <w:t>***</w:t>
            </w:r>
          </w:p>
        </w:tc>
        <w:tc>
          <w:tcPr>
            <w:tcW w:w="1380" w:type="dxa"/>
            <w:tcBorders>
              <w:top w:val="nil"/>
              <w:left w:val="nil"/>
              <w:bottom w:val="nil"/>
              <w:right w:val="nil"/>
            </w:tcBorders>
            <w:shd w:val="clear" w:color="auto" w:fill="auto"/>
            <w:noWrap/>
            <w:vAlign w:val="center"/>
          </w:tcPr>
          <w:p w14:paraId="3A704BDE" w14:textId="1A447142" w:rsidR="00566074" w:rsidRDefault="00D65CE6" w:rsidP="00DA24BA">
            <w:pPr>
              <w:jc w:val="center"/>
            </w:pPr>
            <w:r>
              <w:t>-1.2408</w:t>
            </w:r>
          </w:p>
        </w:tc>
        <w:tc>
          <w:tcPr>
            <w:tcW w:w="583" w:type="dxa"/>
            <w:tcBorders>
              <w:top w:val="nil"/>
              <w:left w:val="nil"/>
              <w:bottom w:val="nil"/>
              <w:right w:val="nil"/>
            </w:tcBorders>
            <w:shd w:val="clear" w:color="auto" w:fill="auto"/>
            <w:noWrap/>
            <w:vAlign w:val="center"/>
          </w:tcPr>
          <w:p w14:paraId="011B680E" w14:textId="77777777" w:rsidR="00566074" w:rsidRDefault="00566074" w:rsidP="00DA24BA">
            <w:pPr>
              <w:jc w:val="center"/>
            </w:pPr>
          </w:p>
        </w:tc>
      </w:tr>
      <w:tr w:rsidR="00566074" w:rsidRPr="00C063BF" w14:paraId="24B0ED9D" w14:textId="77777777" w:rsidTr="00CF2DBA">
        <w:trPr>
          <w:trHeight w:val="303"/>
          <w:jc w:val="center"/>
        </w:trPr>
        <w:tc>
          <w:tcPr>
            <w:tcW w:w="1441" w:type="dxa"/>
            <w:tcBorders>
              <w:top w:val="nil"/>
              <w:left w:val="nil"/>
              <w:bottom w:val="nil"/>
              <w:right w:val="nil"/>
            </w:tcBorders>
            <w:shd w:val="clear" w:color="auto" w:fill="auto"/>
            <w:noWrap/>
            <w:vAlign w:val="center"/>
          </w:tcPr>
          <w:p w14:paraId="57C8E02C" w14:textId="2491A955" w:rsidR="00566074" w:rsidRDefault="00566074" w:rsidP="00DA24BA">
            <w:pPr>
              <w:jc w:val="center"/>
            </w:pPr>
            <w:r>
              <w:t>ROV</w:t>
            </w:r>
          </w:p>
        </w:tc>
        <w:tc>
          <w:tcPr>
            <w:tcW w:w="1420" w:type="dxa"/>
            <w:tcBorders>
              <w:top w:val="nil"/>
              <w:left w:val="nil"/>
              <w:bottom w:val="nil"/>
              <w:right w:val="nil"/>
            </w:tcBorders>
            <w:shd w:val="clear" w:color="auto" w:fill="auto"/>
            <w:noWrap/>
            <w:vAlign w:val="center"/>
          </w:tcPr>
          <w:p w14:paraId="504CECDF" w14:textId="606FC436" w:rsidR="00566074" w:rsidRDefault="00D65CE6" w:rsidP="00DA24BA">
            <w:pPr>
              <w:jc w:val="center"/>
            </w:pPr>
            <w:r>
              <w:t>-4.1911</w:t>
            </w:r>
          </w:p>
        </w:tc>
        <w:tc>
          <w:tcPr>
            <w:tcW w:w="600" w:type="dxa"/>
            <w:tcBorders>
              <w:top w:val="nil"/>
              <w:left w:val="nil"/>
              <w:bottom w:val="nil"/>
              <w:right w:val="nil"/>
            </w:tcBorders>
            <w:shd w:val="clear" w:color="auto" w:fill="auto"/>
            <w:noWrap/>
            <w:vAlign w:val="center"/>
          </w:tcPr>
          <w:p w14:paraId="32280EA4" w14:textId="3149349F" w:rsidR="00566074" w:rsidRPr="00C063BF" w:rsidRDefault="00D65CE6" w:rsidP="00DA24BA">
            <w:pPr>
              <w:jc w:val="center"/>
            </w:pPr>
            <w:r>
              <w:t>***</w:t>
            </w:r>
          </w:p>
        </w:tc>
        <w:tc>
          <w:tcPr>
            <w:tcW w:w="1420" w:type="dxa"/>
            <w:tcBorders>
              <w:top w:val="nil"/>
              <w:left w:val="nil"/>
              <w:bottom w:val="nil"/>
              <w:right w:val="nil"/>
            </w:tcBorders>
            <w:shd w:val="clear" w:color="auto" w:fill="auto"/>
            <w:noWrap/>
            <w:vAlign w:val="center"/>
          </w:tcPr>
          <w:p w14:paraId="45C66512" w14:textId="0694E5D1" w:rsidR="00566074" w:rsidRDefault="00D65CE6" w:rsidP="00DA24BA">
            <w:pPr>
              <w:jc w:val="center"/>
            </w:pPr>
            <w:r>
              <w:t>-4.3059</w:t>
            </w:r>
          </w:p>
        </w:tc>
        <w:tc>
          <w:tcPr>
            <w:tcW w:w="620" w:type="dxa"/>
            <w:tcBorders>
              <w:top w:val="nil"/>
              <w:left w:val="nil"/>
              <w:bottom w:val="nil"/>
              <w:right w:val="nil"/>
            </w:tcBorders>
            <w:shd w:val="clear" w:color="auto" w:fill="auto"/>
            <w:noWrap/>
            <w:vAlign w:val="center"/>
          </w:tcPr>
          <w:p w14:paraId="672045EB" w14:textId="739A046C" w:rsidR="00566074" w:rsidRPr="00C063BF" w:rsidRDefault="00D65CE6" w:rsidP="00DA24BA">
            <w:pPr>
              <w:jc w:val="center"/>
            </w:pPr>
            <w:r>
              <w:t>***</w:t>
            </w:r>
          </w:p>
        </w:tc>
        <w:tc>
          <w:tcPr>
            <w:tcW w:w="1380" w:type="dxa"/>
            <w:tcBorders>
              <w:top w:val="nil"/>
              <w:left w:val="nil"/>
              <w:bottom w:val="nil"/>
              <w:right w:val="nil"/>
            </w:tcBorders>
            <w:shd w:val="clear" w:color="auto" w:fill="auto"/>
            <w:noWrap/>
            <w:vAlign w:val="center"/>
          </w:tcPr>
          <w:p w14:paraId="5C27352A" w14:textId="5EF5A12A" w:rsidR="00566074" w:rsidRDefault="00D65CE6" w:rsidP="00DA24BA">
            <w:pPr>
              <w:jc w:val="center"/>
            </w:pPr>
            <w:r>
              <w:t>-1.0974</w:t>
            </w:r>
          </w:p>
        </w:tc>
        <w:tc>
          <w:tcPr>
            <w:tcW w:w="583" w:type="dxa"/>
            <w:tcBorders>
              <w:top w:val="nil"/>
              <w:left w:val="nil"/>
              <w:bottom w:val="nil"/>
              <w:right w:val="nil"/>
            </w:tcBorders>
            <w:shd w:val="clear" w:color="auto" w:fill="auto"/>
            <w:noWrap/>
            <w:vAlign w:val="center"/>
          </w:tcPr>
          <w:p w14:paraId="672F8291" w14:textId="77777777" w:rsidR="00566074" w:rsidRDefault="00566074" w:rsidP="00DA24BA">
            <w:pPr>
              <w:jc w:val="center"/>
            </w:pPr>
          </w:p>
        </w:tc>
      </w:tr>
      <w:tr w:rsidR="004A03F6" w:rsidRPr="00BC4AB4" w14:paraId="3B020E02" w14:textId="77777777" w:rsidTr="00CF2DBA">
        <w:trPr>
          <w:trHeight w:val="303"/>
          <w:jc w:val="center"/>
        </w:trPr>
        <w:tc>
          <w:tcPr>
            <w:tcW w:w="7464" w:type="dxa"/>
            <w:gridSpan w:val="7"/>
            <w:tcBorders>
              <w:top w:val="single" w:sz="4" w:space="0" w:color="auto"/>
              <w:left w:val="nil"/>
              <w:bottom w:val="single" w:sz="4" w:space="0" w:color="auto"/>
              <w:right w:val="nil"/>
            </w:tcBorders>
            <w:shd w:val="clear" w:color="auto" w:fill="auto"/>
            <w:noWrap/>
            <w:vAlign w:val="center"/>
            <w:hideMark/>
          </w:tcPr>
          <w:p w14:paraId="4859E063" w14:textId="77777777" w:rsidR="004A03F6" w:rsidRPr="00BC4AB4" w:rsidRDefault="004A03F6" w:rsidP="00DA24BA">
            <w:pPr>
              <w:jc w:val="center"/>
            </w:pPr>
            <w:r w:rsidRPr="00BC4AB4">
              <w:t>Panel B – PP test</w:t>
            </w:r>
          </w:p>
        </w:tc>
      </w:tr>
      <w:tr w:rsidR="004A03F6" w:rsidRPr="00BC4AB4" w14:paraId="72E14A1B" w14:textId="77777777" w:rsidTr="00CF2DBA">
        <w:trPr>
          <w:trHeight w:val="303"/>
          <w:jc w:val="center"/>
        </w:trPr>
        <w:tc>
          <w:tcPr>
            <w:tcW w:w="1441" w:type="dxa"/>
            <w:tcBorders>
              <w:top w:val="single" w:sz="4" w:space="0" w:color="auto"/>
              <w:left w:val="nil"/>
              <w:bottom w:val="nil"/>
              <w:right w:val="nil"/>
            </w:tcBorders>
            <w:shd w:val="clear" w:color="auto" w:fill="auto"/>
            <w:noWrap/>
            <w:vAlign w:val="bottom"/>
            <w:hideMark/>
          </w:tcPr>
          <w:p w14:paraId="58E0269C" w14:textId="77777777" w:rsidR="004A03F6" w:rsidRPr="00C063BF" w:rsidRDefault="004A03F6" w:rsidP="00DA24BA">
            <w:pPr>
              <w:jc w:val="center"/>
            </w:pPr>
          </w:p>
        </w:tc>
        <w:tc>
          <w:tcPr>
            <w:tcW w:w="1420" w:type="dxa"/>
            <w:tcBorders>
              <w:top w:val="single" w:sz="4" w:space="0" w:color="auto"/>
              <w:left w:val="nil"/>
              <w:bottom w:val="nil"/>
              <w:right w:val="nil"/>
            </w:tcBorders>
            <w:shd w:val="clear" w:color="auto" w:fill="auto"/>
            <w:noWrap/>
            <w:vAlign w:val="center"/>
            <w:hideMark/>
          </w:tcPr>
          <w:p w14:paraId="2A361E3E" w14:textId="77777777" w:rsidR="004A03F6" w:rsidRPr="00C063BF" w:rsidRDefault="004A03F6" w:rsidP="00DA24BA">
            <w:pPr>
              <w:jc w:val="center"/>
            </w:pPr>
            <w:r w:rsidRPr="00C063BF">
              <w:t>C</w:t>
            </w:r>
          </w:p>
        </w:tc>
        <w:tc>
          <w:tcPr>
            <w:tcW w:w="600" w:type="dxa"/>
            <w:tcBorders>
              <w:top w:val="single" w:sz="4" w:space="0" w:color="auto"/>
              <w:left w:val="nil"/>
              <w:bottom w:val="nil"/>
              <w:right w:val="nil"/>
            </w:tcBorders>
            <w:shd w:val="clear" w:color="auto" w:fill="auto"/>
            <w:noWrap/>
            <w:vAlign w:val="bottom"/>
            <w:hideMark/>
          </w:tcPr>
          <w:p w14:paraId="7932F5C1" w14:textId="77777777" w:rsidR="004A03F6" w:rsidRPr="00C063BF" w:rsidRDefault="004A03F6" w:rsidP="00DA24BA">
            <w:pPr>
              <w:jc w:val="center"/>
            </w:pPr>
          </w:p>
        </w:tc>
        <w:tc>
          <w:tcPr>
            <w:tcW w:w="1420" w:type="dxa"/>
            <w:tcBorders>
              <w:top w:val="single" w:sz="4" w:space="0" w:color="auto"/>
              <w:left w:val="nil"/>
              <w:bottom w:val="nil"/>
              <w:right w:val="nil"/>
            </w:tcBorders>
            <w:shd w:val="clear" w:color="auto" w:fill="auto"/>
            <w:noWrap/>
            <w:vAlign w:val="center"/>
            <w:hideMark/>
          </w:tcPr>
          <w:p w14:paraId="330AE706" w14:textId="77777777" w:rsidR="004A03F6" w:rsidRPr="00C063BF" w:rsidRDefault="004A03F6" w:rsidP="00DA24BA">
            <w:pPr>
              <w:jc w:val="center"/>
            </w:pPr>
            <w:r w:rsidRPr="00C063BF">
              <w:t>C&amp;T</w:t>
            </w:r>
          </w:p>
        </w:tc>
        <w:tc>
          <w:tcPr>
            <w:tcW w:w="620" w:type="dxa"/>
            <w:tcBorders>
              <w:top w:val="single" w:sz="4" w:space="0" w:color="auto"/>
              <w:left w:val="nil"/>
              <w:bottom w:val="nil"/>
              <w:right w:val="nil"/>
            </w:tcBorders>
            <w:shd w:val="clear" w:color="auto" w:fill="auto"/>
            <w:noWrap/>
            <w:vAlign w:val="bottom"/>
            <w:hideMark/>
          </w:tcPr>
          <w:p w14:paraId="444D9909" w14:textId="77777777" w:rsidR="004A03F6" w:rsidRPr="00C063BF" w:rsidRDefault="004A03F6" w:rsidP="00DA24BA">
            <w:pPr>
              <w:jc w:val="center"/>
            </w:pPr>
          </w:p>
        </w:tc>
        <w:tc>
          <w:tcPr>
            <w:tcW w:w="1380" w:type="dxa"/>
            <w:tcBorders>
              <w:top w:val="single" w:sz="4" w:space="0" w:color="auto"/>
              <w:left w:val="nil"/>
              <w:bottom w:val="nil"/>
              <w:right w:val="nil"/>
            </w:tcBorders>
            <w:shd w:val="clear" w:color="auto" w:fill="auto"/>
            <w:noWrap/>
            <w:vAlign w:val="center"/>
            <w:hideMark/>
          </w:tcPr>
          <w:p w14:paraId="6FF4CF86" w14:textId="77777777" w:rsidR="004A03F6" w:rsidRPr="00C063BF" w:rsidRDefault="004A03F6" w:rsidP="00DA24BA">
            <w:pPr>
              <w:jc w:val="center"/>
            </w:pPr>
            <w:r w:rsidRPr="00C063BF">
              <w:t>N</w:t>
            </w:r>
          </w:p>
        </w:tc>
        <w:tc>
          <w:tcPr>
            <w:tcW w:w="583" w:type="dxa"/>
            <w:tcBorders>
              <w:top w:val="single" w:sz="4" w:space="0" w:color="auto"/>
              <w:left w:val="nil"/>
              <w:bottom w:val="nil"/>
              <w:right w:val="nil"/>
            </w:tcBorders>
            <w:shd w:val="clear" w:color="auto" w:fill="auto"/>
            <w:noWrap/>
            <w:vAlign w:val="bottom"/>
            <w:hideMark/>
          </w:tcPr>
          <w:p w14:paraId="1DCA3F0B" w14:textId="77777777" w:rsidR="004A03F6" w:rsidRPr="00C063BF" w:rsidRDefault="004A03F6" w:rsidP="00DA24BA">
            <w:pPr>
              <w:jc w:val="center"/>
            </w:pPr>
          </w:p>
        </w:tc>
      </w:tr>
      <w:tr w:rsidR="004A03F6" w:rsidRPr="0040064B" w14:paraId="37D72399" w14:textId="77777777" w:rsidTr="00CF2DBA">
        <w:trPr>
          <w:trHeight w:val="303"/>
          <w:jc w:val="center"/>
        </w:trPr>
        <w:tc>
          <w:tcPr>
            <w:tcW w:w="1441" w:type="dxa"/>
            <w:tcBorders>
              <w:top w:val="nil"/>
              <w:left w:val="nil"/>
              <w:bottom w:val="nil"/>
              <w:right w:val="nil"/>
            </w:tcBorders>
            <w:shd w:val="clear" w:color="auto" w:fill="auto"/>
            <w:noWrap/>
            <w:vAlign w:val="center"/>
            <w:hideMark/>
          </w:tcPr>
          <w:p w14:paraId="47E4E817" w14:textId="77777777" w:rsidR="004A03F6" w:rsidRPr="0040064B" w:rsidRDefault="004A03F6" w:rsidP="00DA24BA">
            <w:pPr>
              <w:jc w:val="center"/>
            </w:pPr>
            <w:proofErr w:type="spellStart"/>
            <w:r>
              <w:t>saus</w:t>
            </w:r>
            <w:proofErr w:type="spellEnd"/>
          </w:p>
        </w:tc>
        <w:tc>
          <w:tcPr>
            <w:tcW w:w="1420" w:type="dxa"/>
            <w:tcBorders>
              <w:top w:val="nil"/>
              <w:left w:val="nil"/>
              <w:bottom w:val="nil"/>
              <w:right w:val="nil"/>
            </w:tcBorders>
            <w:shd w:val="clear" w:color="auto" w:fill="auto"/>
            <w:noWrap/>
            <w:vAlign w:val="center"/>
            <w:hideMark/>
          </w:tcPr>
          <w:p w14:paraId="33A8A4FB" w14:textId="77777777" w:rsidR="004A03F6" w:rsidRPr="0040064B" w:rsidRDefault="004A03F6" w:rsidP="00DA24BA">
            <w:pPr>
              <w:jc w:val="center"/>
            </w:pPr>
            <w:r>
              <w:t>-2.9032</w:t>
            </w:r>
          </w:p>
        </w:tc>
        <w:tc>
          <w:tcPr>
            <w:tcW w:w="600" w:type="dxa"/>
            <w:tcBorders>
              <w:top w:val="nil"/>
              <w:left w:val="nil"/>
              <w:bottom w:val="nil"/>
              <w:right w:val="nil"/>
            </w:tcBorders>
            <w:shd w:val="clear" w:color="auto" w:fill="auto"/>
            <w:noWrap/>
            <w:vAlign w:val="bottom"/>
            <w:hideMark/>
          </w:tcPr>
          <w:p w14:paraId="67CDF6DD" w14:textId="77777777" w:rsidR="004A03F6" w:rsidRPr="0040064B" w:rsidRDefault="004A03F6" w:rsidP="00DA24BA">
            <w:pPr>
              <w:jc w:val="center"/>
            </w:pPr>
            <w:r>
              <w:t>**</w:t>
            </w:r>
          </w:p>
        </w:tc>
        <w:tc>
          <w:tcPr>
            <w:tcW w:w="1420" w:type="dxa"/>
            <w:tcBorders>
              <w:top w:val="nil"/>
              <w:left w:val="nil"/>
              <w:bottom w:val="nil"/>
              <w:right w:val="nil"/>
            </w:tcBorders>
            <w:shd w:val="clear" w:color="auto" w:fill="auto"/>
            <w:noWrap/>
            <w:vAlign w:val="center"/>
            <w:hideMark/>
          </w:tcPr>
          <w:p w14:paraId="638479A3" w14:textId="77777777" w:rsidR="004A03F6" w:rsidRPr="0040064B" w:rsidRDefault="004A03F6" w:rsidP="00DA24BA">
            <w:pPr>
              <w:jc w:val="center"/>
            </w:pPr>
            <w:r>
              <w:t>-3.1092</w:t>
            </w:r>
          </w:p>
        </w:tc>
        <w:tc>
          <w:tcPr>
            <w:tcW w:w="620" w:type="dxa"/>
            <w:tcBorders>
              <w:top w:val="nil"/>
              <w:left w:val="nil"/>
              <w:bottom w:val="nil"/>
              <w:right w:val="nil"/>
            </w:tcBorders>
            <w:shd w:val="clear" w:color="auto" w:fill="auto"/>
            <w:noWrap/>
            <w:vAlign w:val="center"/>
            <w:hideMark/>
          </w:tcPr>
          <w:p w14:paraId="6C3B5DFE" w14:textId="77777777" w:rsidR="004A03F6" w:rsidRPr="0040064B" w:rsidRDefault="004A03F6" w:rsidP="00DA24BA">
            <w:pPr>
              <w:jc w:val="center"/>
            </w:pPr>
          </w:p>
        </w:tc>
        <w:tc>
          <w:tcPr>
            <w:tcW w:w="1380" w:type="dxa"/>
            <w:tcBorders>
              <w:top w:val="nil"/>
              <w:left w:val="nil"/>
              <w:bottom w:val="nil"/>
              <w:right w:val="nil"/>
            </w:tcBorders>
            <w:shd w:val="clear" w:color="auto" w:fill="auto"/>
            <w:noWrap/>
            <w:vAlign w:val="center"/>
            <w:hideMark/>
          </w:tcPr>
          <w:p w14:paraId="3C91DC2C" w14:textId="77777777" w:rsidR="004A03F6" w:rsidRPr="0040064B" w:rsidRDefault="004A03F6" w:rsidP="00DA24BA">
            <w:pPr>
              <w:jc w:val="center"/>
            </w:pPr>
            <w:r>
              <w:t>-1.8194</w:t>
            </w:r>
          </w:p>
        </w:tc>
        <w:tc>
          <w:tcPr>
            <w:tcW w:w="583" w:type="dxa"/>
            <w:tcBorders>
              <w:top w:val="nil"/>
              <w:left w:val="nil"/>
              <w:bottom w:val="nil"/>
              <w:right w:val="nil"/>
            </w:tcBorders>
            <w:shd w:val="clear" w:color="auto" w:fill="auto"/>
            <w:noWrap/>
            <w:vAlign w:val="center"/>
            <w:hideMark/>
          </w:tcPr>
          <w:p w14:paraId="42B86A69" w14:textId="77777777" w:rsidR="004A03F6" w:rsidRPr="0040064B" w:rsidRDefault="004A03F6" w:rsidP="00DA24BA">
            <w:pPr>
              <w:jc w:val="center"/>
            </w:pPr>
            <w:r>
              <w:t>*</w:t>
            </w:r>
          </w:p>
        </w:tc>
      </w:tr>
      <w:tr w:rsidR="00BB4DA6" w:rsidRPr="0040064B" w14:paraId="7B9196DC" w14:textId="77777777" w:rsidTr="00CF2DBA">
        <w:trPr>
          <w:trHeight w:val="303"/>
          <w:jc w:val="center"/>
        </w:trPr>
        <w:tc>
          <w:tcPr>
            <w:tcW w:w="1441" w:type="dxa"/>
            <w:tcBorders>
              <w:top w:val="nil"/>
              <w:left w:val="nil"/>
              <w:bottom w:val="nil"/>
              <w:right w:val="nil"/>
            </w:tcBorders>
            <w:shd w:val="clear" w:color="auto" w:fill="auto"/>
            <w:noWrap/>
            <w:vAlign w:val="center"/>
          </w:tcPr>
          <w:p w14:paraId="2C5FC6FA" w14:textId="65F445A5" w:rsidR="00BB4DA6" w:rsidRDefault="00BB4DA6" w:rsidP="00DA24BA">
            <w:pPr>
              <w:jc w:val="center"/>
            </w:pPr>
            <w:proofErr w:type="spellStart"/>
            <w:r>
              <w:t>dsaus</w:t>
            </w:r>
            <w:proofErr w:type="spellEnd"/>
          </w:p>
        </w:tc>
        <w:tc>
          <w:tcPr>
            <w:tcW w:w="1420" w:type="dxa"/>
            <w:tcBorders>
              <w:top w:val="nil"/>
              <w:left w:val="nil"/>
              <w:bottom w:val="nil"/>
              <w:right w:val="nil"/>
            </w:tcBorders>
            <w:shd w:val="clear" w:color="auto" w:fill="auto"/>
            <w:noWrap/>
            <w:vAlign w:val="center"/>
          </w:tcPr>
          <w:p w14:paraId="7161293A" w14:textId="3B2309B5" w:rsidR="00BB4DA6" w:rsidRDefault="001A084A" w:rsidP="00DA24BA">
            <w:pPr>
              <w:jc w:val="center"/>
            </w:pPr>
            <w:r>
              <w:t>-15.9998</w:t>
            </w:r>
          </w:p>
        </w:tc>
        <w:tc>
          <w:tcPr>
            <w:tcW w:w="600" w:type="dxa"/>
            <w:tcBorders>
              <w:top w:val="nil"/>
              <w:left w:val="nil"/>
              <w:bottom w:val="nil"/>
              <w:right w:val="nil"/>
            </w:tcBorders>
            <w:shd w:val="clear" w:color="auto" w:fill="auto"/>
            <w:noWrap/>
            <w:vAlign w:val="bottom"/>
          </w:tcPr>
          <w:p w14:paraId="3777900E" w14:textId="77777777" w:rsidR="00BB4DA6" w:rsidRDefault="00BB4DA6" w:rsidP="00DA24BA">
            <w:pPr>
              <w:jc w:val="center"/>
            </w:pPr>
          </w:p>
        </w:tc>
        <w:tc>
          <w:tcPr>
            <w:tcW w:w="1420" w:type="dxa"/>
            <w:tcBorders>
              <w:top w:val="nil"/>
              <w:left w:val="nil"/>
              <w:bottom w:val="nil"/>
              <w:right w:val="nil"/>
            </w:tcBorders>
            <w:shd w:val="clear" w:color="auto" w:fill="auto"/>
            <w:noWrap/>
            <w:vAlign w:val="center"/>
          </w:tcPr>
          <w:p w14:paraId="00DE37D7" w14:textId="14B7FC34" w:rsidR="00BB4DA6" w:rsidRDefault="001A084A" w:rsidP="00DA24BA">
            <w:pPr>
              <w:jc w:val="center"/>
            </w:pPr>
            <w:r>
              <w:t>-15.9623</w:t>
            </w:r>
          </w:p>
        </w:tc>
        <w:tc>
          <w:tcPr>
            <w:tcW w:w="620" w:type="dxa"/>
            <w:tcBorders>
              <w:top w:val="nil"/>
              <w:left w:val="nil"/>
              <w:bottom w:val="nil"/>
              <w:right w:val="nil"/>
            </w:tcBorders>
            <w:shd w:val="clear" w:color="auto" w:fill="auto"/>
            <w:noWrap/>
            <w:vAlign w:val="center"/>
          </w:tcPr>
          <w:p w14:paraId="6810E2E8" w14:textId="77777777" w:rsidR="00BB4DA6" w:rsidRPr="0040064B" w:rsidRDefault="00BB4DA6" w:rsidP="00DA24BA">
            <w:pPr>
              <w:jc w:val="center"/>
            </w:pPr>
          </w:p>
        </w:tc>
        <w:tc>
          <w:tcPr>
            <w:tcW w:w="1380" w:type="dxa"/>
            <w:tcBorders>
              <w:top w:val="nil"/>
              <w:left w:val="nil"/>
              <w:bottom w:val="nil"/>
              <w:right w:val="nil"/>
            </w:tcBorders>
            <w:shd w:val="clear" w:color="auto" w:fill="auto"/>
            <w:noWrap/>
            <w:vAlign w:val="center"/>
          </w:tcPr>
          <w:p w14:paraId="6ADDDA23" w14:textId="3E426135" w:rsidR="00BB4DA6" w:rsidRDefault="001A084A" w:rsidP="00DA24BA">
            <w:pPr>
              <w:jc w:val="center"/>
            </w:pPr>
            <w:r>
              <w:t>-16.0356</w:t>
            </w:r>
          </w:p>
        </w:tc>
        <w:tc>
          <w:tcPr>
            <w:tcW w:w="583" w:type="dxa"/>
            <w:tcBorders>
              <w:top w:val="nil"/>
              <w:left w:val="nil"/>
              <w:bottom w:val="nil"/>
              <w:right w:val="nil"/>
            </w:tcBorders>
            <w:shd w:val="clear" w:color="auto" w:fill="auto"/>
            <w:noWrap/>
            <w:vAlign w:val="center"/>
          </w:tcPr>
          <w:p w14:paraId="5C065FAF" w14:textId="77777777" w:rsidR="00BB4DA6" w:rsidRDefault="00BB4DA6" w:rsidP="00DA24BA">
            <w:pPr>
              <w:jc w:val="center"/>
            </w:pPr>
          </w:p>
        </w:tc>
      </w:tr>
      <w:tr w:rsidR="004A03F6" w:rsidRPr="0040064B" w14:paraId="23689C93" w14:textId="77777777" w:rsidTr="00CF2DBA">
        <w:trPr>
          <w:trHeight w:val="303"/>
          <w:jc w:val="center"/>
        </w:trPr>
        <w:tc>
          <w:tcPr>
            <w:tcW w:w="1441" w:type="dxa"/>
            <w:tcBorders>
              <w:top w:val="nil"/>
              <w:left w:val="nil"/>
              <w:bottom w:val="nil"/>
              <w:right w:val="nil"/>
            </w:tcBorders>
            <w:shd w:val="clear" w:color="auto" w:fill="auto"/>
            <w:noWrap/>
            <w:vAlign w:val="center"/>
          </w:tcPr>
          <w:p w14:paraId="537D7C2C" w14:textId="77777777" w:rsidR="004A03F6" w:rsidRPr="0040064B" w:rsidRDefault="004A03F6" w:rsidP="00DA24BA">
            <w:pPr>
              <w:jc w:val="center"/>
            </w:pPr>
            <w:proofErr w:type="spellStart"/>
            <w:r>
              <w:t>sbel</w:t>
            </w:r>
            <w:proofErr w:type="spellEnd"/>
          </w:p>
        </w:tc>
        <w:tc>
          <w:tcPr>
            <w:tcW w:w="1420" w:type="dxa"/>
            <w:tcBorders>
              <w:top w:val="nil"/>
              <w:left w:val="nil"/>
              <w:bottom w:val="nil"/>
              <w:right w:val="nil"/>
            </w:tcBorders>
            <w:shd w:val="clear" w:color="auto" w:fill="auto"/>
            <w:noWrap/>
            <w:vAlign w:val="center"/>
          </w:tcPr>
          <w:p w14:paraId="10118ACA" w14:textId="77777777" w:rsidR="004A03F6" w:rsidRPr="0040064B" w:rsidRDefault="004A03F6" w:rsidP="00DA24BA">
            <w:pPr>
              <w:jc w:val="center"/>
            </w:pPr>
            <w:r>
              <w:t>-2.0776</w:t>
            </w:r>
          </w:p>
        </w:tc>
        <w:tc>
          <w:tcPr>
            <w:tcW w:w="600" w:type="dxa"/>
            <w:tcBorders>
              <w:top w:val="nil"/>
              <w:left w:val="nil"/>
              <w:bottom w:val="nil"/>
              <w:right w:val="nil"/>
            </w:tcBorders>
            <w:shd w:val="clear" w:color="auto" w:fill="auto"/>
            <w:noWrap/>
            <w:vAlign w:val="center"/>
          </w:tcPr>
          <w:p w14:paraId="0C0622F4" w14:textId="77777777" w:rsidR="004A03F6" w:rsidRPr="0040064B" w:rsidRDefault="004A03F6" w:rsidP="00DA24BA">
            <w:pPr>
              <w:jc w:val="center"/>
            </w:pPr>
          </w:p>
        </w:tc>
        <w:tc>
          <w:tcPr>
            <w:tcW w:w="1420" w:type="dxa"/>
            <w:tcBorders>
              <w:top w:val="nil"/>
              <w:left w:val="nil"/>
              <w:bottom w:val="nil"/>
              <w:right w:val="nil"/>
            </w:tcBorders>
            <w:shd w:val="clear" w:color="auto" w:fill="auto"/>
            <w:noWrap/>
            <w:vAlign w:val="center"/>
          </w:tcPr>
          <w:p w14:paraId="6277ADA0" w14:textId="77777777" w:rsidR="004A03F6" w:rsidRPr="0040064B" w:rsidRDefault="004A03F6" w:rsidP="00DA24BA">
            <w:pPr>
              <w:jc w:val="center"/>
            </w:pPr>
            <w:r>
              <w:t>-2.2072</w:t>
            </w:r>
          </w:p>
        </w:tc>
        <w:tc>
          <w:tcPr>
            <w:tcW w:w="620" w:type="dxa"/>
            <w:tcBorders>
              <w:top w:val="nil"/>
              <w:left w:val="nil"/>
              <w:bottom w:val="nil"/>
              <w:right w:val="nil"/>
            </w:tcBorders>
            <w:shd w:val="clear" w:color="auto" w:fill="auto"/>
            <w:noWrap/>
            <w:vAlign w:val="center"/>
          </w:tcPr>
          <w:p w14:paraId="244CBBCD" w14:textId="77777777" w:rsidR="004A03F6" w:rsidRPr="0040064B" w:rsidRDefault="004A03F6" w:rsidP="00DA24BA">
            <w:pPr>
              <w:jc w:val="center"/>
            </w:pPr>
          </w:p>
        </w:tc>
        <w:tc>
          <w:tcPr>
            <w:tcW w:w="1380" w:type="dxa"/>
            <w:tcBorders>
              <w:top w:val="nil"/>
              <w:left w:val="nil"/>
              <w:bottom w:val="nil"/>
              <w:right w:val="nil"/>
            </w:tcBorders>
            <w:shd w:val="clear" w:color="auto" w:fill="auto"/>
            <w:noWrap/>
            <w:vAlign w:val="center"/>
          </w:tcPr>
          <w:p w14:paraId="2ECD77CC" w14:textId="77777777" w:rsidR="004A03F6" w:rsidRPr="0040064B" w:rsidRDefault="004A03F6" w:rsidP="00DA24BA">
            <w:pPr>
              <w:jc w:val="center"/>
            </w:pPr>
            <w:r>
              <w:t>-1.4210</w:t>
            </w:r>
          </w:p>
        </w:tc>
        <w:tc>
          <w:tcPr>
            <w:tcW w:w="583" w:type="dxa"/>
            <w:tcBorders>
              <w:top w:val="nil"/>
              <w:left w:val="nil"/>
              <w:bottom w:val="nil"/>
              <w:right w:val="nil"/>
            </w:tcBorders>
            <w:shd w:val="clear" w:color="auto" w:fill="auto"/>
            <w:noWrap/>
            <w:vAlign w:val="center"/>
          </w:tcPr>
          <w:p w14:paraId="1B799C29" w14:textId="77777777" w:rsidR="004A03F6" w:rsidRPr="0040064B" w:rsidRDefault="004A03F6" w:rsidP="00DA24BA">
            <w:pPr>
              <w:jc w:val="center"/>
            </w:pPr>
          </w:p>
        </w:tc>
      </w:tr>
      <w:tr w:rsidR="00BB4DA6" w:rsidRPr="0040064B" w14:paraId="5F3C9CC3" w14:textId="77777777" w:rsidTr="00CF2DBA">
        <w:trPr>
          <w:trHeight w:val="303"/>
          <w:jc w:val="center"/>
        </w:trPr>
        <w:tc>
          <w:tcPr>
            <w:tcW w:w="1441" w:type="dxa"/>
            <w:tcBorders>
              <w:top w:val="nil"/>
              <w:left w:val="nil"/>
              <w:bottom w:val="nil"/>
              <w:right w:val="nil"/>
            </w:tcBorders>
            <w:shd w:val="clear" w:color="auto" w:fill="auto"/>
            <w:noWrap/>
            <w:vAlign w:val="center"/>
          </w:tcPr>
          <w:p w14:paraId="777E292B" w14:textId="50E54636" w:rsidR="00BB4DA6" w:rsidRDefault="00BB4DA6" w:rsidP="00DA24BA">
            <w:pPr>
              <w:jc w:val="center"/>
            </w:pPr>
            <w:proofErr w:type="spellStart"/>
            <w:r>
              <w:t>dsbel</w:t>
            </w:r>
            <w:proofErr w:type="spellEnd"/>
          </w:p>
        </w:tc>
        <w:tc>
          <w:tcPr>
            <w:tcW w:w="1420" w:type="dxa"/>
            <w:tcBorders>
              <w:top w:val="nil"/>
              <w:left w:val="nil"/>
              <w:bottom w:val="nil"/>
              <w:right w:val="nil"/>
            </w:tcBorders>
            <w:shd w:val="clear" w:color="auto" w:fill="auto"/>
            <w:noWrap/>
            <w:vAlign w:val="center"/>
          </w:tcPr>
          <w:p w14:paraId="3DFE4C1C" w14:textId="33945128" w:rsidR="00BB4DA6" w:rsidRDefault="00FF0FAB" w:rsidP="00DA24BA">
            <w:pPr>
              <w:jc w:val="center"/>
            </w:pPr>
            <w:r>
              <w:t>-13.1257</w:t>
            </w:r>
          </w:p>
        </w:tc>
        <w:tc>
          <w:tcPr>
            <w:tcW w:w="600" w:type="dxa"/>
            <w:tcBorders>
              <w:top w:val="nil"/>
              <w:left w:val="nil"/>
              <w:bottom w:val="nil"/>
              <w:right w:val="nil"/>
            </w:tcBorders>
            <w:shd w:val="clear" w:color="auto" w:fill="auto"/>
            <w:noWrap/>
            <w:vAlign w:val="bottom"/>
          </w:tcPr>
          <w:p w14:paraId="5FBAA0D1" w14:textId="5D29F83A" w:rsidR="00BB4DA6" w:rsidRDefault="00FF0FAB" w:rsidP="00DA24BA">
            <w:pPr>
              <w:jc w:val="center"/>
            </w:pPr>
            <w:r>
              <w:t>***</w:t>
            </w:r>
          </w:p>
        </w:tc>
        <w:tc>
          <w:tcPr>
            <w:tcW w:w="1420" w:type="dxa"/>
            <w:tcBorders>
              <w:top w:val="nil"/>
              <w:left w:val="nil"/>
              <w:bottom w:val="nil"/>
              <w:right w:val="nil"/>
            </w:tcBorders>
            <w:shd w:val="clear" w:color="auto" w:fill="auto"/>
            <w:noWrap/>
            <w:vAlign w:val="center"/>
          </w:tcPr>
          <w:p w14:paraId="15B8592E" w14:textId="18206B72" w:rsidR="00BB4DA6" w:rsidRDefault="00FF0FAB" w:rsidP="00DA24BA">
            <w:pPr>
              <w:jc w:val="center"/>
            </w:pPr>
            <w:r>
              <w:t>-13.0958</w:t>
            </w:r>
          </w:p>
        </w:tc>
        <w:tc>
          <w:tcPr>
            <w:tcW w:w="620" w:type="dxa"/>
            <w:tcBorders>
              <w:top w:val="nil"/>
              <w:left w:val="nil"/>
              <w:bottom w:val="nil"/>
              <w:right w:val="nil"/>
            </w:tcBorders>
            <w:shd w:val="clear" w:color="auto" w:fill="auto"/>
            <w:noWrap/>
            <w:vAlign w:val="center"/>
          </w:tcPr>
          <w:p w14:paraId="5C41F8B9" w14:textId="58ACED23" w:rsidR="00BB4DA6" w:rsidRPr="0040064B" w:rsidRDefault="00FF0FAB" w:rsidP="00DA24BA">
            <w:pPr>
              <w:jc w:val="center"/>
            </w:pPr>
            <w:r>
              <w:t>***</w:t>
            </w:r>
          </w:p>
        </w:tc>
        <w:tc>
          <w:tcPr>
            <w:tcW w:w="1380" w:type="dxa"/>
            <w:tcBorders>
              <w:top w:val="nil"/>
              <w:left w:val="nil"/>
              <w:bottom w:val="nil"/>
              <w:right w:val="nil"/>
            </w:tcBorders>
            <w:shd w:val="clear" w:color="auto" w:fill="auto"/>
            <w:noWrap/>
            <w:vAlign w:val="center"/>
          </w:tcPr>
          <w:p w14:paraId="69EFC831" w14:textId="2C157642" w:rsidR="00BB4DA6" w:rsidRDefault="00FF0FAB" w:rsidP="00DA24BA">
            <w:pPr>
              <w:jc w:val="center"/>
            </w:pPr>
            <w:r>
              <w:t>-13.1562</w:t>
            </w:r>
          </w:p>
        </w:tc>
        <w:tc>
          <w:tcPr>
            <w:tcW w:w="583" w:type="dxa"/>
            <w:tcBorders>
              <w:top w:val="nil"/>
              <w:left w:val="nil"/>
              <w:bottom w:val="nil"/>
              <w:right w:val="nil"/>
            </w:tcBorders>
            <w:shd w:val="clear" w:color="auto" w:fill="auto"/>
            <w:noWrap/>
            <w:vAlign w:val="bottom"/>
          </w:tcPr>
          <w:p w14:paraId="2EDFEABA" w14:textId="3DFCADD2" w:rsidR="00BB4DA6" w:rsidRPr="0040064B" w:rsidRDefault="00FF0FAB" w:rsidP="00DA24BA">
            <w:pPr>
              <w:jc w:val="center"/>
            </w:pPr>
            <w:r>
              <w:t>***</w:t>
            </w:r>
          </w:p>
        </w:tc>
      </w:tr>
      <w:tr w:rsidR="004A03F6" w:rsidRPr="0040064B" w14:paraId="25B31CDF" w14:textId="77777777" w:rsidTr="00CF2DBA">
        <w:trPr>
          <w:trHeight w:val="303"/>
          <w:jc w:val="center"/>
        </w:trPr>
        <w:tc>
          <w:tcPr>
            <w:tcW w:w="1441" w:type="dxa"/>
            <w:tcBorders>
              <w:top w:val="nil"/>
              <w:left w:val="nil"/>
              <w:bottom w:val="nil"/>
              <w:right w:val="nil"/>
            </w:tcBorders>
            <w:shd w:val="clear" w:color="auto" w:fill="auto"/>
            <w:noWrap/>
            <w:vAlign w:val="center"/>
          </w:tcPr>
          <w:p w14:paraId="7F4B7868" w14:textId="77777777" w:rsidR="004A03F6" w:rsidRPr="0040064B" w:rsidRDefault="004A03F6" w:rsidP="00DA24BA">
            <w:pPr>
              <w:jc w:val="center"/>
            </w:pPr>
            <w:proofErr w:type="spellStart"/>
            <w:r>
              <w:t>sfin</w:t>
            </w:r>
            <w:proofErr w:type="spellEnd"/>
          </w:p>
        </w:tc>
        <w:tc>
          <w:tcPr>
            <w:tcW w:w="1420" w:type="dxa"/>
            <w:tcBorders>
              <w:top w:val="nil"/>
              <w:left w:val="nil"/>
              <w:bottom w:val="nil"/>
              <w:right w:val="nil"/>
            </w:tcBorders>
            <w:shd w:val="clear" w:color="auto" w:fill="auto"/>
            <w:noWrap/>
            <w:vAlign w:val="center"/>
          </w:tcPr>
          <w:p w14:paraId="0D573927" w14:textId="77777777" w:rsidR="004A03F6" w:rsidRPr="0040064B" w:rsidRDefault="004A03F6" w:rsidP="00DA24BA">
            <w:pPr>
              <w:jc w:val="center"/>
            </w:pPr>
            <w:r>
              <w:t>-2.6528</w:t>
            </w:r>
          </w:p>
        </w:tc>
        <w:tc>
          <w:tcPr>
            <w:tcW w:w="600" w:type="dxa"/>
            <w:tcBorders>
              <w:top w:val="nil"/>
              <w:left w:val="nil"/>
              <w:bottom w:val="nil"/>
              <w:right w:val="nil"/>
            </w:tcBorders>
            <w:shd w:val="clear" w:color="auto" w:fill="auto"/>
            <w:noWrap/>
            <w:vAlign w:val="bottom"/>
          </w:tcPr>
          <w:p w14:paraId="66383AF2" w14:textId="77777777" w:rsidR="004A03F6" w:rsidRPr="0040064B" w:rsidRDefault="004A03F6" w:rsidP="00DA24BA">
            <w:pPr>
              <w:jc w:val="center"/>
            </w:pPr>
            <w:r>
              <w:t>*</w:t>
            </w:r>
          </w:p>
        </w:tc>
        <w:tc>
          <w:tcPr>
            <w:tcW w:w="1420" w:type="dxa"/>
            <w:tcBorders>
              <w:top w:val="nil"/>
              <w:left w:val="nil"/>
              <w:bottom w:val="nil"/>
              <w:right w:val="nil"/>
            </w:tcBorders>
            <w:shd w:val="clear" w:color="auto" w:fill="auto"/>
            <w:noWrap/>
            <w:vAlign w:val="center"/>
          </w:tcPr>
          <w:p w14:paraId="163A5572" w14:textId="77777777" w:rsidR="004A03F6" w:rsidRPr="0040064B" w:rsidRDefault="004A03F6" w:rsidP="00DA24BA">
            <w:pPr>
              <w:jc w:val="center"/>
            </w:pPr>
            <w:r>
              <w:t>-2.8500</w:t>
            </w:r>
          </w:p>
        </w:tc>
        <w:tc>
          <w:tcPr>
            <w:tcW w:w="620" w:type="dxa"/>
            <w:tcBorders>
              <w:top w:val="nil"/>
              <w:left w:val="nil"/>
              <w:bottom w:val="nil"/>
              <w:right w:val="nil"/>
            </w:tcBorders>
            <w:shd w:val="clear" w:color="auto" w:fill="auto"/>
            <w:noWrap/>
            <w:vAlign w:val="center"/>
          </w:tcPr>
          <w:p w14:paraId="56ECAFBC" w14:textId="77777777" w:rsidR="004A03F6" w:rsidRPr="0040064B" w:rsidRDefault="004A03F6" w:rsidP="00DA24BA">
            <w:pPr>
              <w:jc w:val="center"/>
            </w:pPr>
          </w:p>
        </w:tc>
        <w:tc>
          <w:tcPr>
            <w:tcW w:w="1380" w:type="dxa"/>
            <w:tcBorders>
              <w:top w:val="nil"/>
              <w:left w:val="nil"/>
              <w:bottom w:val="nil"/>
              <w:right w:val="nil"/>
            </w:tcBorders>
            <w:shd w:val="clear" w:color="auto" w:fill="auto"/>
            <w:noWrap/>
            <w:vAlign w:val="center"/>
          </w:tcPr>
          <w:p w14:paraId="511E9769" w14:textId="77777777" w:rsidR="004A03F6" w:rsidRPr="0040064B" w:rsidRDefault="004A03F6" w:rsidP="00DA24BA">
            <w:pPr>
              <w:jc w:val="center"/>
            </w:pPr>
            <w:r>
              <w:t>-1.5929</w:t>
            </w:r>
          </w:p>
        </w:tc>
        <w:tc>
          <w:tcPr>
            <w:tcW w:w="583" w:type="dxa"/>
            <w:tcBorders>
              <w:top w:val="nil"/>
              <w:left w:val="nil"/>
              <w:bottom w:val="nil"/>
              <w:right w:val="nil"/>
            </w:tcBorders>
            <w:shd w:val="clear" w:color="auto" w:fill="auto"/>
            <w:noWrap/>
            <w:vAlign w:val="bottom"/>
          </w:tcPr>
          <w:p w14:paraId="1DA3885D" w14:textId="77777777" w:rsidR="004A03F6" w:rsidRPr="0040064B" w:rsidRDefault="004A03F6" w:rsidP="00DA24BA">
            <w:pPr>
              <w:jc w:val="center"/>
            </w:pPr>
          </w:p>
        </w:tc>
      </w:tr>
      <w:tr w:rsidR="00BB4DA6" w:rsidRPr="0040064B" w14:paraId="15453A01" w14:textId="77777777" w:rsidTr="00CF2DBA">
        <w:trPr>
          <w:trHeight w:val="303"/>
          <w:jc w:val="center"/>
        </w:trPr>
        <w:tc>
          <w:tcPr>
            <w:tcW w:w="1441" w:type="dxa"/>
            <w:tcBorders>
              <w:top w:val="nil"/>
              <w:left w:val="nil"/>
              <w:bottom w:val="nil"/>
              <w:right w:val="nil"/>
            </w:tcBorders>
            <w:shd w:val="clear" w:color="auto" w:fill="auto"/>
            <w:noWrap/>
            <w:vAlign w:val="center"/>
          </w:tcPr>
          <w:p w14:paraId="370F3B9C" w14:textId="402FD5AC" w:rsidR="00BB4DA6" w:rsidRDefault="00BB4DA6" w:rsidP="00DA24BA">
            <w:pPr>
              <w:jc w:val="center"/>
            </w:pPr>
            <w:proofErr w:type="spellStart"/>
            <w:r>
              <w:t>dsfin</w:t>
            </w:r>
            <w:proofErr w:type="spellEnd"/>
          </w:p>
        </w:tc>
        <w:tc>
          <w:tcPr>
            <w:tcW w:w="1420" w:type="dxa"/>
            <w:tcBorders>
              <w:top w:val="nil"/>
              <w:left w:val="nil"/>
              <w:bottom w:val="nil"/>
              <w:right w:val="nil"/>
            </w:tcBorders>
            <w:shd w:val="clear" w:color="auto" w:fill="auto"/>
            <w:noWrap/>
            <w:vAlign w:val="center"/>
          </w:tcPr>
          <w:p w14:paraId="5E6E9A13" w14:textId="1B1993A4" w:rsidR="00BB4DA6" w:rsidRDefault="006278A6" w:rsidP="00DA24BA">
            <w:pPr>
              <w:jc w:val="center"/>
            </w:pPr>
            <w:r>
              <w:t>-16.3711</w:t>
            </w:r>
          </w:p>
        </w:tc>
        <w:tc>
          <w:tcPr>
            <w:tcW w:w="600" w:type="dxa"/>
            <w:tcBorders>
              <w:top w:val="nil"/>
              <w:left w:val="nil"/>
              <w:bottom w:val="nil"/>
              <w:right w:val="nil"/>
            </w:tcBorders>
            <w:shd w:val="clear" w:color="auto" w:fill="auto"/>
            <w:noWrap/>
            <w:vAlign w:val="bottom"/>
          </w:tcPr>
          <w:p w14:paraId="5419B2E7" w14:textId="3883D780" w:rsidR="00BB4DA6" w:rsidRDefault="006278A6" w:rsidP="00DA24BA">
            <w:pPr>
              <w:jc w:val="center"/>
            </w:pPr>
            <w:r>
              <w:t>***</w:t>
            </w:r>
          </w:p>
        </w:tc>
        <w:tc>
          <w:tcPr>
            <w:tcW w:w="1420" w:type="dxa"/>
            <w:tcBorders>
              <w:top w:val="nil"/>
              <w:left w:val="nil"/>
              <w:bottom w:val="nil"/>
              <w:right w:val="nil"/>
            </w:tcBorders>
            <w:shd w:val="clear" w:color="auto" w:fill="auto"/>
            <w:noWrap/>
            <w:vAlign w:val="center"/>
          </w:tcPr>
          <w:p w14:paraId="78F12640" w14:textId="5BFA2B49" w:rsidR="00BB4DA6" w:rsidRDefault="006278A6" w:rsidP="00DA24BA">
            <w:pPr>
              <w:jc w:val="center"/>
            </w:pPr>
            <w:r>
              <w:t>-16.3363</w:t>
            </w:r>
          </w:p>
        </w:tc>
        <w:tc>
          <w:tcPr>
            <w:tcW w:w="620" w:type="dxa"/>
            <w:tcBorders>
              <w:top w:val="nil"/>
              <w:left w:val="nil"/>
              <w:bottom w:val="nil"/>
              <w:right w:val="nil"/>
            </w:tcBorders>
            <w:shd w:val="clear" w:color="auto" w:fill="auto"/>
            <w:noWrap/>
            <w:vAlign w:val="center"/>
          </w:tcPr>
          <w:p w14:paraId="56555963" w14:textId="7CF261AA" w:rsidR="00BB4DA6" w:rsidRPr="0040064B" w:rsidRDefault="006278A6" w:rsidP="00DA24BA">
            <w:pPr>
              <w:jc w:val="center"/>
            </w:pPr>
            <w:r>
              <w:t>***</w:t>
            </w:r>
          </w:p>
        </w:tc>
        <w:tc>
          <w:tcPr>
            <w:tcW w:w="1380" w:type="dxa"/>
            <w:tcBorders>
              <w:top w:val="nil"/>
              <w:left w:val="nil"/>
              <w:bottom w:val="nil"/>
              <w:right w:val="nil"/>
            </w:tcBorders>
            <w:shd w:val="clear" w:color="auto" w:fill="auto"/>
            <w:noWrap/>
            <w:vAlign w:val="center"/>
          </w:tcPr>
          <w:p w14:paraId="235319C9" w14:textId="12B0440A" w:rsidR="00BB4DA6" w:rsidRDefault="006278A6" w:rsidP="00DA24BA">
            <w:pPr>
              <w:jc w:val="center"/>
            </w:pPr>
            <w:r>
              <w:t>-16.4130</w:t>
            </w:r>
          </w:p>
        </w:tc>
        <w:tc>
          <w:tcPr>
            <w:tcW w:w="583" w:type="dxa"/>
            <w:tcBorders>
              <w:top w:val="nil"/>
              <w:left w:val="nil"/>
              <w:bottom w:val="nil"/>
              <w:right w:val="nil"/>
            </w:tcBorders>
            <w:shd w:val="clear" w:color="auto" w:fill="auto"/>
            <w:noWrap/>
            <w:vAlign w:val="bottom"/>
          </w:tcPr>
          <w:p w14:paraId="4611004C" w14:textId="3F5FB9B0" w:rsidR="00BB4DA6" w:rsidRPr="0040064B" w:rsidRDefault="006278A6" w:rsidP="00DA24BA">
            <w:pPr>
              <w:jc w:val="center"/>
            </w:pPr>
            <w:r>
              <w:t>***</w:t>
            </w:r>
          </w:p>
        </w:tc>
      </w:tr>
      <w:tr w:rsidR="004A03F6" w:rsidRPr="0040064B" w14:paraId="19B7540E" w14:textId="77777777" w:rsidTr="00CF2DBA">
        <w:trPr>
          <w:trHeight w:val="303"/>
          <w:jc w:val="center"/>
        </w:trPr>
        <w:tc>
          <w:tcPr>
            <w:tcW w:w="1441" w:type="dxa"/>
            <w:tcBorders>
              <w:top w:val="nil"/>
              <w:left w:val="nil"/>
              <w:right w:val="nil"/>
            </w:tcBorders>
            <w:shd w:val="clear" w:color="auto" w:fill="auto"/>
            <w:noWrap/>
            <w:vAlign w:val="center"/>
          </w:tcPr>
          <w:p w14:paraId="63675C9E" w14:textId="77777777" w:rsidR="004A03F6" w:rsidRPr="0040064B" w:rsidRDefault="004A03F6" w:rsidP="00DA24BA">
            <w:pPr>
              <w:jc w:val="center"/>
            </w:pPr>
            <w:proofErr w:type="spellStart"/>
            <w:r>
              <w:t>sfra</w:t>
            </w:r>
            <w:proofErr w:type="spellEnd"/>
          </w:p>
        </w:tc>
        <w:tc>
          <w:tcPr>
            <w:tcW w:w="1420" w:type="dxa"/>
            <w:tcBorders>
              <w:top w:val="nil"/>
              <w:left w:val="nil"/>
              <w:right w:val="nil"/>
            </w:tcBorders>
            <w:shd w:val="clear" w:color="auto" w:fill="auto"/>
            <w:noWrap/>
            <w:vAlign w:val="center"/>
          </w:tcPr>
          <w:p w14:paraId="0F590FCA" w14:textId="77777777" w:rsidR="004A03F6" w:rsidRPr="0040064B" w:rsidRDefault="004A03F6" w:rsidP="00DA24BA">
            <w:pPr>
              <w:jc w:val="center"/>
            </w:pPr>
            <w:r>
              <w:t>-2.0494</w:t>
            </w:r>
          </w:p>
        </w:tc>
        <w:tc>
          <w:tcPr>
            <w:tcW w:w="600" w:type="dxa"/>
            <w:tcBorders>
              <w:top w:val="nil"/>
              <w:left w:val="nil"/>
              <w:right w:val="nil"/>
            </w:tcBorders>
            <w:shd w:val="clear" w:color="auto" w:fill="auto"/>
            <w:noWrap/>
            <w:vAlign w:val="center"/>
          </w:tcPr>
          <w:p w14:paraId="66BF6B8F" w14:textId="77777777" w:rsidR="004A03F6" w:rsidRPr="0040064B" w:rsidRDefault="004A03F6" w:rsidP="00DA24BA">
            <w:pPr>
              <w:jc w:val="center"/>
            </w:pPr>
          </w:p>
        </w:tc>
        <w:tc>
          <w:tcPr>
            <w:tcW w:w="1420" w:type="dxa"/>
            <w:tcBorders>
              <w:top w:val="nil"/>
              <w:left w:val="nil"/>
              <w:right w:val="nil"/>
            </w:tcBorders>
            <w:shd w:val="clear" w:color="auto" w:fill="auto"/>
            <w:noWrap/>
            <w:vAlign w:val="center"/>
          </w:tcPr>
          <w:p w14:paraId="588E291C" w14:textId="77777777" w:rsidR="004A03F6" w:rsidRPr="0040064B" w:rsidRDefault="004A03F6" w:rsidP="00DA24BA">
            <w:pPr>
              <w:jc w:val="center"/>
            </w:pPr>
            <w:r>
              <w:t>-2.9174</w:t>
            </w:r>
          </w:p>
        </w:tc>
        <w:tc>
          <w:tcPr>
            <w:tcW w:w="620" w:type="dxa"/>
            <w:tcBorders>
              <w:top w:val="nil"/>
              <w:left w:val="nil"/>
              <w:right w:val="nil"/>
            </w:tcBorders>
            <w:shd w:val="clear" w:color="auto" w:fill="auto"/>
            <w:noWrap/>
            <w:vAlign w:val="center"/>
          </w:tcPr>
          <w:p w14:paraId="60CC010B" w14:textId="77777777" w:rsidR="004A03F6" w:rsidRPr="0040064B" w:rsidRDefault="004A03F6" w:rsidP="00DA24BA">
            <w:pPr>
              <w:jc w:val="center"/>
            </w:pPr>
          </w:p>
        </w:tc>
        <w:tc>
          <w:tcPr>
            <w:tcW w:w="1380" w:type="dxa"/>
            <w:tcBorders>
              <w:top w:val="nil"/>
              <w:left w:val="nil"/>
              <w:right w:val="nil"/>
            </w:tcBorders>
            <w:shd w:val="clear" w:color="auto" w:fill="auto"/>
            <w:noWrap/>
            <w:vAlign w:val="center"/>
          </w:tcPr>
          <w:p w14:paraId="0D50F617" w14:textId="77777777" w:rsidR="004A03F6" w:rsidRPr="0040064B" w:rsidRDefault="004A03F6" w:rsidP="00DA24BA">
            <w:pPr>
              <w:jc w:val="center"/>
            </w:pPr>
            <w:r>
              <w:t>-1.1646</w:t>
            </w:r>
          </w:p>
        </w:tc>
        <w:tc>
          <w:tcPr>
            <w:tcW w:w="583" w:type="dxa"/>
            <w:tcBorders>
              <w:top w:val="nil"/>
              <w:left w:val="nil"/>
              <w:right w:val="nil"/>
            </w:tcBorders>
            <w:shd w:val="clear" w:color="auto" w:fill="auto"/>
            <w:noWrap/>
            <w:vAlign w:val="center"/>
          </w:tcPr>
          <w:p w14:paraId="75FD83D4" w14:textId="77777777" w:rsidR="004A03F6" w:rsidRPr="0040064B" w:rsidRDefault="004A03F6" w:rsidP="00DA24BA">
            <w:pPr>
              <w:jc w:val="center"/>
            </w:pPr>
          </w:p>
        </w:tc>
      </w:tr>
      <w:tr w:rsidR="00BB4DA6" w:rsidRPr="0040064B" w14:paraId="75D57054" w14:textId="77777777" w:rsidTr="00CF2DBA">
        <w:trPr>
          <w:trHeight w:val="303"/>
          <w:jc w:val="center"/>
        </w:trPr>
        <w:tc>
          <w:tcPr>
            <w:tcW w:w="1441" w:type="dxa"/>
            <w:tcBorders>
              <w:top w:val="nil"/>
              <w:left w:val="nil"/>
              <w:right w:val="nil"/>
            </w:tcBorders>
            <w:shd w:val="clear" w:color="auto" w:fill="auto"/>
            <w:noWrap/>
            <w:vAlign w:val="center"/>
          </w:tcPr>
          <w:p w14:paraId="143597F1" w14:textId="769FE4EA" w:rsidR="00BB4DA6" w:rsidRDefault="00BB4DA6" w:rsidP="00DA24BA">
            <w:pPr>
              <w:jc w:val="center"/>
            </w:pPr>
            <w:proofErr w:type="spellStart"/>
            <w:r>
              <w:t>dsfra</w:t>
            </w:r>
            <w:proofErr w:type="spellEnd"/>
          </w:p>
        </w:tc>
        <w:tc>
          <w:tcPr>
            <w:tcW w:w="1420" w:type="dxa"/>
            <w:tcBorders>
              <w:top w:val="nil"/>
              <w:left w:val="nil"/>
              <w:right w:val="nil"/>
            </w:tcBorders>
            <w:shd w:val="clear" w:color="auto" w:fill="auto"/>
            <w:noWrap/>
            <w:vAlign w:val="center"/>
          </w:tcPr>
          <w:p w14:paraId="6712C114" w14:textId="48CD4C50" w:rsidR="00BB4DA6" w:rsidRDefault="005B6B84" w:rsidP="00DA24BA">
            <w:pPr>
              <w:jc w:val="center"/>
            </w:pPr>
            <w:r>
              <w:t>-15.8530</w:t>
            </w:r>
          </w:p>
        </w:tc>
        <w:tc>
          <w:tcPr>
            <w:tcW w:w="600" w:type="dxa"/>
            <w:tcBorders>
              <w:top w:val="nil"/>
              <w:left w:val="nil"/>
              <w:right w:val="nil"/>
            </w:tcBorders>
            <w:shd w:val="clear" w:color="auto" w:fill="auto"/>
            <w:noWrap/>
            <w:vAlign w:val="center"/>
          </w:tcPr>
          <w:p w14:paraId="558615E0" w14:textId="3B28CE65" w:rsidR="00BB4DA6" w:rsidRPr="0040064B" w:rsidRDefault="005B6B84" w:rsidP="00DA24BA">
            <w:pPr>
              <w:jc w:val="center"/>
            </w:pPr>
            <w:r>
              <w:t>***</w:t>
            </w:r>
          </w:p>
        </w:tc>
        <w:tc>
          <w:tcPr>
            <w:tcW w:w="1420" w:type="dxa"/>
            <w:tcBorders>
              <w:top w:val="nil"/>
              <w:left w:val="nil"/>
              <w:right w:val="nil"/>
            </w:tcBorders>
            <w:shd w:val="clear" w:color="auto" w:fill="auto"/>
            <w:noWrap/>
            <w:vAlign w:val="center"/>
          </w:tcPr>
          <w:p w14:paraId="140204A6" w14:textId="7ADAD305" w:rsidR="00BB4DA6" w:rsidRDefault="005B6B84" w:rsidP="00DA24BA">
            <w:pPr>
              <w:jc w:val="center"/>
            </w:pPr>
            <w:r>
              <w:t>-15.8108</w:t>
            </w:r>
          </w:p>
        </w:tc>
        <w:tc>
          <w:tcPr>
            <w:tcW w:w="620" w:type="dxa"/>
            <w:tcBorders>
              <w:top w:val="nil"/>
              <w:left w:val="nil"/>
              <w:right w:val="nil"/>
            </w:tcBorders>
            <w:shd w:val="clear" w:color="auto" w:fill="auto"/>
            <w:noWrap/>
            <w:vAlign w:val="center"/>
          </w:tcPr>
          <w:p w14:paraId="2C7918B7" w14:textId="510F83A5" w:rsidR="00BB4DA6" w:rsidRPr="0040064B" w:rsidRDefault="005B6B84" w:rsidP="00DA24BA">
            <w:pPr>
              <w:jc w:val="center"/>
            </w:pPr>
            <w:r>
              <w:t>***</w:t>
            </w:r>
          </w:p>
        </w:tc>
        <w:tc>
          <w:tcPr>
            <w:tcW w:w="1380" w:type="dxa"/>
            <w:tcBorders>
              <w:top w:val="nil"/>
              <w:left w:val="nil"/>
              <w:right w:val="nil"/>
            </w:tcBorders>
            <w:shd w:val="clear" w:color="auto" w:fill="auto"/>
            <w:noWrap/>
            <w:vAlign w:val="center"/>
          </w:tcPr>
          <w:p w14:paraId="3CB5F81A" w14:textId="2099EF27" w:rsidR="00BB4DA6" w:rsidRDefault="005B6B84" w:rsidP="00DA24BA">
            <w:pPr>
              <w:jc w:val="center"/>
            </w:pPr>
            <w:r>
              <w:t>-15.8879</w:t>
            </w:r>
          </w:p>
        </w:tc>
        <w:tc>
          <w:tcPr>
            <w:tcW w:w="583" w:type="dxa"/>
            <w:tcBorders>
              <w:top w:val="nil"/>
              <w:left w:val="nil"/>
              <w:right w:val="nil"/>
            </w:tcBorders>
            <w:shd w:val="clear" w:color="auto" w:fill="auto"/>
            <w:noWrap/>
            <w:vAlign w:val="center"/>
          </w:tcPr>
          <w:p w14:paraId="2BFBCC32" w14:textId="2CE1AF1D" w:rsidR="00BB4DA6" w:rsidRPr="0040064B" w:rsidRDefault="005B6B84" w:rsidP="00DA24BA">
            <w:pPr>
              <w:jc w:val="center"/>
            </w:pPr>
            <w:r>
              <w:t>***</w:t>
            </w:r>
          </w:p>
        </w:tc>
      </w:tr>
      <w:tr w:rsidR="004A03F6" w:rsidRPr="0040064B" w14:paraId="4C7DCF49" w14:textId="77777777" w:rsidTr="00CF2DBA">
        <w:trPr>
          <w:trHeight w:val="303"/>
          <w:jc w:val="center"/>
        </w:trPr>
        <w:tc>
          <w:tcPr>
            <w:tcW w:w="1441" w:type="dxa"/>
            <w:tcBorders>
              <w:top w:val="nil"/>
              <w:left w:val="nil"/>
              <w:right w:val="nil"/>
            </w:tcBorders>
            <w:shd w:val="clear" w:color="auto" w:fill="auto"/>
            <w:noWrap/>
            <w:vAlign w:val="center"/>
          </w:tcPr>
          <w:p w14:paraId="29205044" w14:textId="77777777" w:rsidR="004A03F6" w:rsidRDefault="004A03F6" w:rsidP="00DA24BA">
            <w:pPr>
              <w:jc w:val="center"/>
            </w:pPr>
            <w:proofErr w:type="spellStart"/>
            <w:r>
              <w:t>snet</w:t>
            </w:r>
            <w:proofErr w:type="spellEnd"/>
          </w:p>
        </w:tc>
        <w:tc>
          <w:tcPr>
            <w:tcW w:w="1420" w:type="dxa"/>
            <w:tcBorders>
              <w:top w:val="nil"/>
              <w:left w:val="nil"/>
              <w:right w:val="nil"/>
            </w:tcBorders>
            <w:shd w:val="clear" w:color="auto" w:fill="auto"/>
            <w:noWrap/>
            <w:vAlign w:val="center"/>
          </w:tcPr>
          <w:p w14:paraId="57B3F680" w14:textId="77777777" w:rsidR="004A03F6" w:rsidRDefault="004A03F6" w:rsidP="00DA24BA">
            <w:pPr>
              <w:jc w:val="center"/>
            </w:pPr>
            <w:r>
              <w:t>-2.8441</w:t>
            </w:r>
          </w:p>
        </w:tc>
        <w:tc>
          <w:tcPr>
            <w:tcW w:w="600" w:type="dxa"/>
            <w:tcBorders>
              <w:top w:val="nil"/>
              <w:left w:val="nil"/>
              <w:right w:val="nil"/>
            </w:tcBorders>
            <w:shd w:val="clear" w:color="auto" w:fill="auto"/>
            <w:noWrap/>
            <w:vAlign w:val="center"/>
          </w:tcPr>
          <w:p w14:paraId="2E047660" w14:textId="77777777" w:rsidR="004A03F6" w:rsidRPr="0040064B" w:rsidRDefault="004A03F6" w:rsidP="00DA24BA">
            <w:pPr>
              <w:jc w:val="center"/>
            </w:pPr>
            <w:r>
              <w:t>*</w:t>
            </w:r>
          </w:p>
        </w:tc>
        <w:tc>
          <w:tcPr>
            <w:tcW w:w="1420" w:type="dxa"/>
            <w:tcBorders>
              <w:top w:val="nil"/>
              <w:left w:val="nil"/>
              <w:right w:val="nil"/>
            </w:tcBorders>
            <w:shd w:val="clear" w:color="auto" w:fill="auto"/>
            <w:noWrap/>
            <w:vAlign w:val="center"/>
          </w:tcPr>
          <w:p w14:paraId="7C3E0D99" w14:textId="77777777" w:rsidR="004A03F6" w:rsidRDefault="004A03F6" w:rsidP="00DA24BA">
            <w:pPr>
              <w:jc w:val="center"/>
            </w:pPr>
            <w:r>
              <w:t>-3.2584</w:t>
            </w:r>
          </w:p>
        </w:tc>
        <w:tc>
          <w:tcPr>
            <w:tcW w:w="620" w:type="dxa"/>
            <w:tcBorders>
              <w:top w:val="nil"/>
              <w:left w:val="nil"/>
              <w:right w:val="nil"/>
            </w:tcBorders>
            <w:shd w:val="clear" w:color="auto" w:fill="auto"/>
            <w:noWrap/>
            <w:vAlign w:val="center"/>
          </w:tcPr>
          <w:p w14:paraId="739CA6C8" w14:textId="77777777" w:rsidR="004A03F6" w:rsidRPr="0040064B" w:rsidRDefault="004A03F6" w:rsidP="00DA24BA">
            <w:pPr>
              <w:jc w:val="center"/>
            </w:pPr>
            <w:r>
              <w:t>*</w:t>
            </w:r>
          </w:p>
        </w:tc>
        <w:tc>
          <w:tcPr>
            <w:tcW w:w="1380" w:type="dxa"/>
            <w:tcBorders>
              <w:top w:val="nil"/>
              <w:left w:val="nil"/>
              <w:right w:val="nil"/>
            </w:tcBorders>
            <w:shd w:val="clear" w:color="auto" w:fill="auto"/>
            <w:noWrap/>
            <w:vAlign w:val="center"/>
          </w:tcPr>
          <w:p w14:paraId="5BB73EC4" w14:textId="77777777" w:rsidR="004A03F6" w:rsidRDefault="004A03F6" w:rsidP="00DA24BA">
            <w:pPr>
              <w:jc w:val="center"/>
            </w:pPr>
            <w:r>
              <w:t>-1.4514</w:t>
            </w:r>
          </w:p>
        </w:tc>
        <w:tc>
          <w:tcPr>
            <w:tcW w:w="583" w:type="dxa"/>
            <w:tcBorders>
              <w:top w:val="nil"/>
              <w:left w:val="nil"/>
              <w:right w:val="nil"/>
            </w:tcBorders>
            <w:shd w:val="clear" w:color="auto" w:fill="auto"/>
            <w:noWrap/>
            <w:vAlign w:val="center"/>
          </w:tcPr>
          <w:p w14:paraId="1FEFC5A3" w14:textId="77777777" w:rsidR="004A03F6" w:rsidRPr="0040064B" w:rsidRDefault="004A03F6" w:rsidP="00DA24BA">
            <w:pPr>
              <w:jc w:val="center"/>
            </w:pPr>
          </w:p>
        </w:tc>
      </w:tr>
      <w:tr w:rsidR="00BB4DA6" w:rsidRPr="0040064B" w14:paraId="7B59EA90" w14:textId="77777777" w:rsidTr="00CF2DBA">
        <w:trPr>
          <w:trHeight w:val="303"/>
          <w:jc w:val="center"/>
        </w:trPr>
        <w:tc>
          <w:tcPr>
            <w:tcW w:w="1441" w:type="dxa"/>
            <w:tcBorders>
              <w:left w:val="nil"/>
              <w:right w:val="nil"/>
            </w:tcBorders>
            <w:shd w:val="clear" w:color="auto" w:fill="auto"/>
            <w:noWrap/>
            <w:vAlign w:val="center"/>
          </w:tcPr>
          <w:p w14:paraId="3871D918" w14:textId="088DA3B4" w:rsidR="00BB4DA6" w:rsidRDefault="00BB4DA6" w:rsidP="00DA24BA">
            <w:pPr>
              <w:jc w:val="center"/>
            </w:pPr>
            <w:proofErr w:type="spellStart"/>
            <w:r>
              <w:t>dsnet</w:t>
            </w:r>
            <w:proofErr w:type="spellEnd"/>
          </w:p>
        </w:tc>
        <w:tc>
          <w:tcPr>
            <w:tcW w:w="1420" w:type="dxa"/>
            <w:tcBorders>
              <w:left w:val="nil"/>
              <w:right w:val="nil"/>
            </w:tcBorders>
            <w:shd w:val="clear" w:color="auto" w:fill="auto"/>
            <w:noWrap/>
            <w:vAlign w:val="center"/>
          </w:tcPr>
          <w:p w14:paraId="02A24B02" w14:textId="4BACE1BE" w:rsidR="00BB4DA6" w:rsidRDefault="005B6B84" w:rsidP="00DA24BA">
            <w:pPr>
              <w:jc w:val="center"/>
            </w:pPr>
            <w:r>
              <w:t>-16.4247</w:t>
            </w:r>
          </w:p>
        </w:tc>
        <w:tc>
          <w:tcPr>
            <w:tcW w:w="600" w:type="dxa"/>
            <w:tcBorders>
              <w:left w:val="nil"/>
              <w:right w:val="nil"/>
            </w:tcBorders>
            <w:shd w:val="clear" w:color="auto" w:fill="auto"/>
            <w:noWrap/>
            <w:vAlign w:val="bottom"/>
          </w:tcPr>
          <w:p w14:paraId="272444AD" w14:textId="009668D5" w:rsidR="00BB4DA6" w:rsidRPr="0040064B" w:rsidRDefault="005B6B84" w:rsidP="00DA24BA">
            <w:pPr>
              <w:jc w:val="center"/>
            </w:pPr>
            <w:r>
              <w:t>***</w:t>
            </w:r>
          </w:p>
        </w:tc>
        <w:tc>
          <w:tcPr>
            <w:tcW w:w="1420" w:type="dxa"/>
            <w:tcBorders>
              <w:left w:val="nil"/>
              <w:right w:val="nil"/>
            </w:tcBorders>
            <w:shd w:val="clear" w:color="auto" w:fill="auto"/>
            <w:noWrap/>
            <w:vAlign w:val="center"/>
          </w:tcPr>
          <w:p w14:paraId="356B5620" w14:textId="17384CF8" w:rsidR="00BB4DA6" w:rsidRDefault="005B6B84" w:rsidP="00DA24BA">
            <w:pPr>
              <w:jc w:val="center"/>
            </w:pPr>
            <w:r>
              <w:t>-16.3806</w:t>
            </w:r>
          </w:p>
        </w:tc>
        <w:tc>
          <w:tcPr>
            <w:tcW w:w="620" w:type="dxa"/>
            <w:tcBorders>
              <w:left w:val="nil"/>
              <w:right w:val="nil"/>
            </w:tcBorders>
            <w:shd w:val="clear" w:color="auto" w:fill="auto"/>
            <w:noWrap/>
            <w:vAlign w:val="center"/>
          </w:tcPr>
          <w:p w14:paraId="71D3D9B8" w14:textId="0F0CEE9E" w:rsidR="00BB4DA6" w:rsidRPr="0040064B" w:rsidRDefault="005B6B84" w:rsidP="005B6B84">
            <w:pPr>
              <w:jc w:val="center"/>
            </w:pPr>
            <w:r>
              <w:t>***</w:t>
            </w:r>
          </w:p>
        </w:tc>
        <w:tc>
          <w:tcPr>
            <w:tcW w:w="1380" w:type="dxa"/>
            <w:tcBorders>
              <w:left w:val="nil"/>
              <w:right w:val="nil"/>
            </w:tcBorders>
            <w:shd w:val="clear" w:color="auto" w:fill="auto"/>
            <w:noWrap/>
            <w:vAlign w:val="center"/>
          </w:tcPr>
          <w:p w14:paraId="67546EB6" w14:textId="10F82110" w:rsidR="00BB4DA6" w:rsidRDefault="005B6B84" w:rsidP="00DA24BA">
            <w:pPr>
              <w:jc w:val="center"/>
            </w:pPr>
            <w:r>
              <w:t>-16.4662</w:t>
            </w:r>
          </w:p>
        </w:tc>
        <w:tc>
          <w:tcPr>
            <w:tcW w:w="583" w:type="dxa"/>
            <w:tcBorders>
              <w:left w:val="nil"/>
              <w:right w:val="nil"/>
            </w:tcBorders>
            <w:shd w:val="clear" w:color="auto" w:fill="auto"/>
            <w:noWrap/>
            <w:vAlign w:val="bottom"/>
          </w:tcPr>
          <w:p w14:paraId="2D283A86" w14:textId="604AD779" w:rsidR="00BB4DA6" w:rsidRPr="0040064B" w:rsidRDefault="005B6B84" w:rsidP="00DA24BA">
            <w:pPr>
              <w:jc w:val="center"/>
            </w:pPr>
            <w:r>
              <w:t>***</w:t>
            </w:r>
          </w:p>
        </w:tc>
      </w:tr>
      <w:tr w:rsidR="004A03F6" w:rsidRPr="0040064B" w14:paraId="63E46EE2" w14:textId="77777777" w:rsidTr="00CF2DBA">
        <w:trPr>
          <w:trHeight w:val="303"/>
          <w:jc w:val="center"/>
        </w:trPr>
        <w:tc>
          <w:tcPr>
            <w:tcW w:w="1441" w:type="dxa"/>
            <w:tcBorders>
              <w:left w:val="nil"/>
              <w:right w:val="nil"/>
            </w:tcBorders>
            <w:shd w:val="clear" w:color="auto" w:fill="auto"/>
            <w:noWrap/>
            <w:vAlign w:val="center"/>
          </w:tcPr>
          <w:p w14:paraId="118611E4" w14:textId="77777777" w:rsidR="004A03F6" w:rsidRPr="0040064B" w:rsidRDefault="004A03F6" w:rsidP="00DA24BA">
            <w:pPr>
              <w:jc w:val="center"/>
            </w:pPr>
            <w:proofErr w:type="spellStart"/>
            <w:r>
              <w:lastRenderedPageBreak/>
              <w:t>sgre</w:t>
            </w:r>
            <w:proofErr w:type="spellEnd"/>
          </w:p>
        </w:tc>
        <w:tc>
          <w:tcPr>
            <w:tcW w:w="1420" w:type="dxa"/>
            <w:tcBorders>
              <w:left w:val="nil"/>
              <w:right w:val="nil"/>
            </w:tcBorders>
            <w:shd w:val="clear" w:color="auto" w:fill="auto"/>
            <w:noWrap/>
            <w:vAlign w:val="center"/>
          </w:tcPr>
          <w:p w14:paraId="5F6920A8" w14:textId="77777777" w:rsidR="004A03F6" w:rsidRPr="0040064B" w:rsidRDefault="004A03F6" w:rsidP="00DA24BA">
            <w:pPr>
              <w:jc w:val="center"/>
            </w:pPr>
            <w:r>
              <w:t>-2.0743</w:t>
            </w:r>
          </w:p>
        </w:tc>
        <w:tc>
          <w:tcPr>
            <w:tcW w:w="600" w:type="dxa"/>
            <w:tcBorders>
              <w:left w:val="nil"/>
              <w:right w:val="nil"/>
            </w:tcBorders>
            <w:shd w:val="clear" w:color="auto" w:fill="auto"/>
            <w:noWrap/>
            <w:vAlign w:val="bottom"/>
          </w:tcPr>
          <w:p w14:paraId="5F16BC26" w14:textId="77777777" w:rsidR="004A03F6" w:rsidRPr="0040064B" w:rsidRDefault="004A03F6" w:rsidP="00DA24BA">
            <w:pPr>
              <w:jc w:val="center"/>
            </w:pPr>
          </w:p>
        </w:tc>
        <w:tc>
          <w:tcPr>
            <w:tcW w:w="1420" w:type="dxa"/>
            <w:tcBorders>
              <w:left w:val="nil"/>
              <w:right w:val="nil"/>
            </w:tcBorders>
            <w:shd w:val="clear" w:color="auto" w:fill="auto"/>
            <w:noWrap/>
            <w:vAlign w:val="center"/>
          </w:tcPr>
          <w:p w14:paraId="063CE5F5" w14:textId="77777777" w:rsidR="004A03F6" w:rsidRPr="0040064B" w:rsidRDefault="004A03F6" w:rsidP="00DA24BA">
            <w:pPr>
              <w:jc w:val="center"/>
            </w:pPr>
            <w:r>
              <w:t>-2.5055</w:t>
            </w:r>
          </w:p>
        </w:tc>
        <w:tc>
          <w:tcPr>
            <w:tcW w:w="620" w:type="dxa"/>
            <w:tcBorders>
              <w:left w:val="nil"/>
              <w:right w:val="nil"/>
            </w:tcBorders>
            <w:shd w:val="clear" w:color="auto" w:fill="auto"/>
            <w:noWrap/>
            <w:vAlign w:val="center"/>
          </w:tcPr>
          <w:p w14:paraId="694EADE9" w14:textId="77777777" w:rsidR="004A03F6" w:rsidRPr="0040064B" w:rsidRDefault="004A03F6" w:rsidP="00DA24BA"/>
        </w:tc>
        <w:tc>
          <w:tcPr>
            <w:tcW w:w="1380" w:type="dxa"/>
            <w:tcBorders>
              <w:left w:val="nil"/>
              <w:right w:val="nil"/>
            </w:tcBorders>
            <w:shd w:val="clear" w:color="auto" w:fill="auto"/>
            <w:noWrap/>
            <w:vAlign w:val="center"/>
          </w:tcPr>
          <w:p w14:paraId="0A72AF8B" w14:textId="77777777" w:rsidR="004A03F6" w:rsidRPr="0040064B" w:rsidRDefault="004A03F6" w:rsidP="00DA24BA">
            <w:pPr>
              <w:jc w:val="center"/>
            </w:pPr>
            <w:r>
              <w:t>-1.5425</w:t>
            </w:r>
          </w:p>
        </w:tc>
        <w:tc>
          <w:tcPr>
            <w:tcW w:w="583" w:type="dxa"/>
            <w:tcBorders>
              <w:left w:val="nil"/>
              <w:right w:val="nil"/>
            </w:tcBorders>
            <w:shd w:val="clear" w:color="auto" w:fill="auto"/>
            <w:noWrap/>
            <w:vAlign w:val="bottom"/>
          </w:tcPr>
          <w:p w14:paraId="6CC5308C" w14:textId="77777777" w:rsidR="004A03F6" w:rsidRPr="0040064B" w:rsidRDefault="004A03F6" w:rsidP="00DA24BA">
            <w:pPr>
              <w:jc w:val="center"/>
            </w:pPr>
          </w:p>
        </w:tc>
      </w:tr>
      <w:tr w:rsidR="00BB4DA6" w:rsidRPr="0040064B" w14:paraId="4A66A427" w14:textId="77777777" w:rsidTr="00CF2DBA">
        <w:trPr>
          <w:trHeight w:val="303"/>
          <w:jc w:val="center"/>
        </w:trPr>
        <w:tc>
          <w:tcPr>
            <w:tcW w:w="1441" w:type="dxa"/>
            <w:tcBorders>
              <w:left w:val="nil"/>
              <w:right w:val="nil"/>
            </w:tcBorders>
            <w:shd w:val="clear" w:color="auto" w:fill="auto"/>
            <w:noWrap/>
            <w:vAlign w:val="center"/>
          </w:tcPr>
          <w:p w14:paraId="48B17909" w14:textId="16294C5A" w:rsidR="00BB4DA6" w:rsidRDefault="00BB4DA6" w:rsidP="00DA24BA">
            <w:pPr>
              <w:jc w:val="center"/>
            </w:pPr>
            <w:proofErr w:type="spellStart"/>
            <w:r>
              <w:t>dsgre</w:t>
            </w:r>
            <w:proofErr w:type="spellEnd"/>
          </w:p>
        </w:tc>
        <w:tc>
          <w:tcPr>
            <w:tcW w:w="1420" w:type="dxa"/>
            <w:tcBorders>
              <w:left w:val="nil"/>
              <w:right w:val="nil"/>
            </w:tcBorders>
            <w:shd w:val="clear" w:color="auto" w:fill="auto"/>
            <w:noWrap/>
            <w:vAlign w:val="center"/>
          </w:tcPr>
          <w:p w14:paraId="5B7D20EA" w14:textId="687EE101" w:rsidR="00BB4DA6" w:rsidRDefault="009D2023" w:rsidP="00DA24BA">
            <w:pPr>
              <w:jc w:val="center"/>
            </w:pPr>
            <w:r>
              <w:t>-12.6532</w:t>
            </w:r>
          </w:p>
        </w:tc>
        <w:tc>
          <w:tcPr>
            <w:tcW w:w="600" w:type="dxa"/>
            <w:tcBorders>
              <w:left w:val="nil"/>
              <w:right w:val="nil"/>
            </w:tcBorders>
            <w:shd w:val="clear" w:color="auto" w:fill="auto"/>
            <w:noWrap/>
            <w:vAlign w:val="bottom"/>
          </w:tcPr>
          <w:p w14:paraId="6A649842" w14:textId="2944B792" w:rsidR="00BB4DA6" w:rsidRPr="0040064B" w:rsidRDefault="009D2023" w:rsidP="00DA24BA">
            <w:pPr>
              <w:jc w:val="center"/>
            </w:pPr>
            <w:r>
              <w:t>***</w:t>
            </w:r>
          </w:p>
        </w:tc>
        <w:tc>
          <w:tcPr>
            <w:tcW w:w="1420" w:type="dxa"/>
            <w:tcBorders>
              <w:left w:val="nil"/>
              <w:right w:val="nil"/>
            </w:tcBorders>
            <w:shd w:val="clear" w:color="auto" w:fill="auto"/>
            <w:noWrap/>
            <w:vAlign w:val="center"/>
          </w:tcPr>
          <w:p w14:paraId="3032015B" w14:textId="5C475C95" w:rsidR="00BB4DA6" w:rsidRDefault="009D2023" w:rsidP="00DA24BA">
            <w:pPr>
              <w:jc w:val="center"/>
            </w:pPr>
            <w:r>
              <w:t>-12.6151</w:t>
            </w:r>
          </w:p>
        </w:tc>
        <w:tc>
          <w:tcPr>
            <w:tcW w:w="620" w:type="dxa"/>
            <w:tcBorders>
              <w:left w:val="nil"/>
              <w:right w:val="nil"/>
            </w:tcBorders>
            <w:shd w:val="clear" w:color="auto" w:fill="auto"/>
            <w:noWrap/>
            <w:vAlign w:val="center"/>
          </w:tcPr>
          <w:p w14:paraId="096AD0AF" w14:textId="54A66673" w:rsidR="00BB4DA6" w:rsidRPr="0040064B" w:rsidRDefault="009D2023" w:rsidP="00DA24BA">
            <w:r>
              <w:t>***</w:t>
            </w:r>
          </w:p>
        </w:tc>
        <w:tc>
          <w:tcPr>
            <w:tcW w:w="1380" w:type="dxa"/>
            <w:tcBorders>
              <w:left w:val="nil"/>
              <w:right w:val="nil"/>
            </w:tcBorders>
            <w:shd w:val="clear" w:color="auto" w:fill="auto"/>
            <w:noWrap/>
            <w:vAlign w:val="center"/>
          </w:tcPr>
          <w:p w14:paraId="61D48E22" w14:textId="28E55C29" w:rsidR="00BB4DA6" w:rsidRDefault="009D2023" w:rsidP="00DA24BA">
            <w:pPr>
              <w:jc w:val="center"/>
            </w:pPr>
            <w:r>
              <w:t>-12.6850</w:t>
            </w:r>
          </w:p>
        </w:tc>
        <w:tc>
          <w:tcPr>
            <w:tcW w:w="583" w:type="dxa"/>
            <w:tcBorders>
              <w:left w:val="nil"/>
              <w:right w:val="nil"/>
            </w:tcBorders>
            <w:shd w:val="clear" w:color="auto" w:fill="auto"/>
            <w:noWrap/>
            <w:vAlign w:val="bottom"/>
          </w:tcPr>
          <w:p w14:paraId="325D8FE9" w14:textId="2DAFBAAE" w:rsidR="00BB4DA6" w:rsidRPr="0040064B" w:rsidRDefault="009D2023" w:rsidP="00DA24BA">
            <w:pPr>
              <w:jc w:val="center"/>
            </w:pPr>
            <w:r>
              <w:t>***</w:t>
            </w:r>
          </w:p>
        </w:tc>
      </w:tr>
      <w:tr w:rsidR="004A03F6" w:rsidRPr="0040064B" w14:paraId="1438BB1A" w14:textId="77777777" w:rsidTr="00CF2DBA">
        <w:trPr>
          <w:trHeight w:val="303"/>
          <w:jc w:val="center"/>
        </w:trPr>
        <w:tc>
          <w:tcPr>
            <w:tcW w:w="1441" w:type="dxa"/>
            <w:tcBorders>
              <w:left w:val="nil"/>
              <w:right w:val="nil"/>
            </w:tcBorders>
            <w:shd w:val="clear" w:color="auto" w:fill="auto"/>
            <w:noWrap/>
            <w:vAlign w:val="center"/>
          </w:tcPr>
          <w:p w14:paraId="4D7EB00A" w14:textId="77777777" w:rsidR="004A03F6" w:rsidRPr="0040064B" w:rsidRDefault="004A03F6" w:rsidP="00DA24BA">
            <w:pPr>
              <w:jc w:val="center"/>
            </w:pPr>
            <w:r>
              <w:t>sire</w:t>
            </w:r>
          </w:p>
        </w:tc>
        <w:tc>
          <w:tcPr>
            <w:tcW w:w="1420" w:type="dxa"/>
            <w:tcBorders>
              <w:left w:val="nil"/>
              <w:right w:val="nil"/>
            </w:tcBorders>
            <w:shd w:val="clear" w:color="auto" w:fill="auto"/>
            <w:noWrap/>
            <w:vAlign w:val="center"/>
          </w:tcPr>
          <w:p w14:paraId="1034449B" w14:textId="77777777" w:rsidR="004A03F6" w:rsidRPr="0040064B" w:rsidRDefault="004A03F6" w:rsidP="00DA24BA">
            <w:pPr>
              <w:jc w:val="center"/>
            </w:pPr>
            <w:r>
              <w:t>-1.4466</w:t>
            </w:r>
          </w:p>
        </w:tc>
        <w:tc>
          <w:tcPr>
            <w:tcW w:w="600" w:type="dxa"/>
            <w:tcBorders>
              <w:left w:val="nil"/>
              <w:right w:val="nil"/>
            </w:tcBorders>
            <w:shd w:val="clear" w:color="auto" w:fill="auto"/>
            <w:noWrap/>
            <w:vAlign w:val="center"/>
          </w:tcPr>
          <w:p w14:paraId="4038A109" w14:textId="77777777" w:rsidR="004A03F6" w:rsidRPr="0040064B" w:rsidRDefault="004A03F6" w:rsidP="00DA24BA">
            <w:pPr>
              <w:jc w:val="center"/>
            </w:pPr>
          </w:p>
        </w:tc>
        <w:tc>
          <w:tcPr>
            <w:tcW w:w="1420" w:type="dxa"/>
            <w:tcBorders>
              <w:left w:val="nil"/>
              <w:right w:val="nil"/>
            </w:tcBorders>
            <w:shd w:val="clear" w:color="auto" w:fill="auto"/>
            <w:noWrap/>
            <w:vAlign w:val="center"/>
          </w:tcPr>
          <w:p w14:paraId="5786AEFC" w14:textId="77777777" w:rsidR="004A03F6" w:rsidRPr="0040064B" w:rsidRDefault="004A03F6" w:rsidP="00DA24BA">
            <w:pPr>
              <w:jc w:val="center"/>
            </w:pPr>
            <w:r>
              <w:t>-1.3400</w:t>
            </w:r>
          </w:p>
        </w:tc>
        <w:tc>
          <w:tcPr>
            <w:tcW w:w="620" w:type="dxa"/>
            <w:tcBorders>
              <w:left w:val="nil"/>
              <w:right w:val="nil"/>
            </w:tcBorders>
            <w:shd w:val="clear" w:color="auto" w:fill="auto"/>
            <w:noWrap/>
            <w:vAlign w:val="center"/>
          </w:tcPr>
          <w:p w14:paraId="64F3D5C8" w14:textId="77777777" w:rsidR="004A03F6" w:rsidRPr="0040064B" w:rsidRDefault="004A03F6" w:rsidP="00DA24BA">
            <w:pPr>
              <w:jc w:val="center"/>
            </w:pPr>
          </w:p>
        </w:tc>
        <w:tc>
          <w:tcPr>
            <w:tcW w:w="1380" w:type="dxa"/>
            <w:tcBorders>
              <w:left w:val="nil"/>
              <w:right w:val="nil"/>
            </w:tcBorders>
            <w:shd w:val="clear" w:color="auto" w:fill="auto"/>
            <w:noWrap/>
            <w:vAlign w:val="center"/>
          </w:tcPr>
          <w:p w14:paraId="795D4A7F" w14:textId="77777777" w:rsidR="004A03F6" w:rsidRPr="0040064B" w:rsidRDefault="004A03F6" w:rsidP="00DA24BA">
            <w:pPr>
              <w:jc w:val="center"/>
            </w:pPr>
            <w:r>
              <w:t>-1.1536</w:t>
            </w:r>
          </w:p>
        </w:tc>
        <w:tc>
          <w:tcPr>
            <w:tcW w:w="583" w:type="dxa"/>
            <w:tcBorders>
              <w:left w:val="nil"/>
              <w:right w:val="nil"/>
            </w:tcBorders>
            <w:shd w:val="clear" w:color="auto" w:fill="auto"/>
            <w:noWrap/>
            <w:vAlign w:val="center"/>
          </w:tcPr>
          <w:p w14:paraId="0AFFD91C" w14:textId="77777777" w:rsidR="004A03F6" w:rsidRPr="0040064B" w:rsidRDefault="004A03F6" w:rsidP="00DA24BA">
            <w:pPr>
              <w:jc w:val="center"/>
            </w:pPr>
          </w:p>
        </w:tc>
      </w:tr>
      <w:tr w:rsidR="00BB4DA6" w:rsidRPr="0040064B" w14:paraId="13802E60" w14:textId="77777777" w:rsidTr="00CF2DBA">
        <w:trPr>
          <w:trHeight w:val="303"/>
          <w:jc w:val="center"/>
        </w:trPr>
        <w:tc>
          <w:tcPr>
            <w:tcW w:w="1441" w:type="dxa"/>
            <w:tcBorders>
              <w:left w:val="nil"/>
              <w:right w:val="nil"/>
            </w:tcBorders>
            <w:shd w:val="clear" w:color="auto" w:fill="auto"/>
            <w:noWrap/>
            <w:vAlign w:val="center"/>
          </w:tcPr>
          <w:p w14:paraId="0E0DE3AA" w14:textId="79ABF01F" w:rsidR="00BB4DA6" w:rsidRDefault="00BB4DA6" w:rsidP="00DA24BA">
            <w:pPr>
              <w:jc w:val="center"/>
            </w:pPr>
            <w:proofErr w:type="spellStart"/>
            <w:r>
              <w:t>dsire</w:t>
            </w:r>
            <w:proofErr w:type="spellEnd"/>
          </w:p>
        </w:tc>
        <w:tc>
          <w:tcPr>
            <w:tcW w:w="1420" w:type="dxa"/>
            <w:tcBorders>
              <w:left w:val="nil"/>
              <w:right w:val="nil"/>
            </w:tcBorders>
            <w:shd w:val="clear" w:color="auto" w:fill="auto"/>
            <w:noWrap/>
            <w:vAlign w:val="center"/>
          </w:tcPr>
          <w:p w14:paraId="45E3B1F2" w14:textId="151AE42E" w:rsidR="00BB4DA6" w:rsidRDefault="0030046B" w:rsidP="00DA24BA">
            <w:pPr>
              <w:jc w:val="center"/>
            </w:pPr>
            <w:r>
              <w:t>-14.0574</w:t>
            </w:r>
          </w:p>
        </w:tc>
        <w:tc>
          <w:tcPr>
            <w:tcW w:w="600" w:type="dxa"/>
            <w:tcBorders>
              <w:left w:val="nil"/>
              <w:right w:val="nil"/>
            </w:tcBorders>
            <w:shd w:val="clear" w:color="auto" w:fill="auto"/>
            <w:noWrap/>
            <w:vAlign w:val="center"/>
          </w:tcPr>
          <w:p w14:paraId="4B2E6BCD" w14:textId="64C92420" w:rsidR="00BB4DA6" w:rsidRPr="0040064B" w:rsidRDefault="0030046B" w:rsidP="00DA24BA">
            <w:pPr>
              <w:jc w:val="center"/>
            </w:pPr>
            <w:r>
              <w:t>***</w:t>
            </w:r>
          </w:p>
        </w:tc>
        <w:tc>
          <w:tcPr>
            <w:tcW w:w="1420" w:type="dxa"/>
            <w:tcBorders>
              <w:left w:val="nil"/>
              <w:right w:val="nil"/>
            </w:tcBorders>
            <w:shd w:val="clear" w:color="auto" w:fill="auto"/>
            <w:noWrap/>
            <w:vAlign w:val="center"/>
          </w:tcPr>
          <w:p w14:paraId="4EEA7DF9" w14:textId="545AE253" w:rsidR="00BB4DA6" w:rsidRDefault="0030046B" w:rsidP="00DA24BA">
            <w:pPr>
              <w:jc w:val="center"/>
            </w:pPr>
            <w:r>
              <w:t>-14.0594</w:t>
            </w:r>
          </w:p>
        </w:tc>
        <w:tc>
          <w:tcPr>
            <w:tcW w:w="620" w:type="dxa"/>
            <w:tcBorders>
              <w:left w:val="nil"/>
              <w:right w:val="nil"/>
            </w:tcBorders>
            <w:shd w:val="clear" w:color="auto" w:fill="auto"/>
            <w:noWrap/>
            <w:vAlign w:val="center"/>
          </w:tcPr>
          <w:p w14:paraId="14EFA5E2" w14:textId="1E13DCDA" w:rsidR="00BB4DA6" w:rsidRPr="0040064B" w:rsidRDefault="0030046B" w:rsidP="00DA24BA">
            <w:pPr>
              <w:jc w:val="center"/>
            </w:pPr>
            <w:r>
              <w:t>***</w:t>
            </w:r>
          </w:p>
        </w:tc>
        <w:tc>
          <w:tcPr>
            <w:tcW w:w="1380" w:type="dxa"/>
            <w:tcBorders>
              <w:left w:val="nil"/>
              <w:right w:val="nil"/>
            </w:tcBorders>
            <w:shd w:val="clear" w:color="auto" w:fill="auto"/>
            <w:noWrap/>
            <w:vAlign w:val="center"/>
          </w:tcPr>
          <w:p w14:paraId="48BB7C35" w14:textId="4E87E0A0" w:rsidR="00BB4DA6" w:rsidRDefault="0030046B" w:rsidP="00DA24BA">
            <w:pPr>
              <w:jc w:val="center"/>
            </w:pPr>
            <w:r>
              <w:t>-14.0968</w:t>
            </w:r>
          </w:p>
        </w:tc>
        <w:tc>
          <w:tcPr>
            <w:tcW w:w="583" w:type="dxa"/>
            <w:tcBorders>
              <w:left w:val="nil"/>
              <w:right w:val="nil"/>
            </w:tcBorders>
            <w:shd w:val="clear" w:color="auto" w:fill="auto"/>
            <w:noWrap/>
            <w:vAlign w:val="center"/>
          </w:tcPr>
          <w:p w14:paraId="5B98E46E" w14:textId="569888DD" w:rsidR="00BB4DA6" w:rsidRPr="0040064B" w:rsidRDefault="0030046B" w:rsidP="00DA24BA">
            <w:pPr>
              <w:jc w:val="center"/>
            </w:pPr>
            <w:r>
              <w:t>***</w:t>
            </w:r>
          </w:p>
        </w:tc>
      </w:tr>
      <w:tr w:rsidR="004A03F6" w:rsidRPr="0040064B" w14:paraId="131A797C" w14:textId="77777777" w:rsidTr="00CF2DBA">
        <w:trPr>
          <w:trHeight w:val="303"/>
          <w:jc w:val="center"/>
        </w:trPr>
        <w:tc>
          <w:tcPr>
            <w:tcW w:w="1441" w:type="dxa"/>
            <w:tcBorders>
              <w:left w:val="nil"/>
              <w:right w:val="nil"/>
            </w:tcBorders>
            <w:shd w:val="clear" w:color="auto" w:fill="auto"/>
            <w:noWrap/>
            <w:vAlign w:val="center"/>
          </w:tcPr>
          <w:p w14:paraId="5F6E8333" w14:textId="77777777" w:rsidR="004A03F6" w:rsidRPr="0040064B" w:rsidRDefault="004A03F6" w:rsidP="00DA24BA">
            <w:pPr>
              <w:jc w:val="center"/>
            </w:pPr>
            <w:proofErr w:type="spellStart"/>
            <w:r>
              <w:t>sita</w:t>
            </w:r>
            <w:proofErr w:type="spellEnd"/>
          </w:p>
        </w:tc>
        <w:tc>
          <w:tcPr>
            <w:tcW w:w="1420" w:type="dxa"/>
            <w:tcBorders>
              <w:left w:val="nil"/>
              <w:right w:val="nil"/>
            </w:tcBorders>
            <w:shd w:val="clear" w:color="auto" w:fill="auto"/>
            <w:noWrap/>
            <w:vAlign w:val="center"/>
          </w:tcPr>
          <w:p w14:paraId="2DAC228E" w14:textId="77777777" w:rsidR="004A03F6" w:rsidRPr="0040064B" w:rsidRDefault="004A03F6" w:rsidP="00DA24BA">
            <w:pPr>
              <w:jc w:val="center"/>
            </w:pPr>
            <w:r>
              <w:t>-1.5039</w:t>
            </w:r>
          </w:p>
        </w:tc>
        <w:tc>
          <w:tcPr>
            <w:tcW w:w="600" w:type="dxa"/>
            <w:tcBorders>
              <w:left w:val="nil"/>
              <w:right w:val="nil"/>
            </w:tcBorders>
            <w:shd w:val="clear" w:color="auto" w:fill="auto"/>
            <w:noWrap/>
            <w:vAlign w:val="center"/>
          </w:tcPr>
          <w:p w14:paraId="3FB6720F" w14:textId="77777777" w:rsidR="004A03F6" w:rsidRPr="0040064B" w:rsidRDefault="004A03F6" w:rsidP="00DA24BA">
            <w:pPr>
              <w:jc w:val="center"/>
            </w:pPr>
          </w:p>
        </w:tc>
        <w:tc>
          <w:tcPr>
            <w:tcW w:w="1420" w:type="dxa"/>
            <w:tcBorders>
              <w:left w:val="nil"/>
              <w:right w:val="nil"/>
            </w:tcBorders>
            <w:shd w:val="clear" w:color="auto" w:fill="auto"/>
            <w:noWrap/>
            <w:vAlign w:val="center"/>
          </w:tcPr>
          <w:p w14:paraId="5542866F" w14:textId="77777777" w:rsidR="004A03F6" w:rsidRPr="0040064B" w:rsidRDefault="004A03F6" w:rsidP="00DA24BA">
            <w:pPr>
              <w:jc w:val="center"/>
            </w:pPr>
            <w:r>
              <w:t>-1.9350</w:t>
            </w:r>
          </w:p>
        </w:tc>
        <w:tc>
          <w:tcPr>
            <w:tcW w:w="620" w:type="dxa"/>
            <w:tcBorders>
              <w:left w:val="nil"/>
              <w:right w:val="nil"/>
            </w:tcBorders>
            <w:shd w:val="clear" w:color="auto" w:fill="auto"/>
            <w:noWrap/>
            <w:vAlign w:val="center"/>
          </w:tcPr>
          <w:p w14:paraId="742C3A1F" w14:textId="77777777" w:rsidR="004A03F6" w:rsidRPr="0040064B" w:rsidRDefault="004A03F6" w:rsidP="00DA24BA">
            <w:pPr>
              <w:jc w:val="center"/>
            </w:pPr>
          </w:p>
        </w:tc>
        <w:tc>
          <w:tcPr>
            <w:tcW w:w="1380" w:type="dxa"/>
            <w:tcBorders>
              <w:left w:val="nil"/>
              <w:right w:val="nil"/>
            </w:tcBorders>
            <w:shd w:val="clear" w:color="auto" w:fill="auto"/>
            <w:noWrap/>
            <w:vAlign w:val="center"/>
          </w:tcPr>
          <w:p w14:paraId="5FBEA362" w14:textId="77777777" w:rsidR="004A03F6" w:rsidRPr="0040064B" w:rsidRDefault="004A03F6" w:rsidP="00DA24BA">
            <w:pPr>
              <w:jc w:val="center"/>
            </w:pPr>
            <w:r>
              <w:t>-0.7856</w:t>
            </w:r>
          </w:p>
        </w:tc>
        <w:tc>
          <w:tcPr>
            <w:tcW w:w="583" w:type="dxa"/>
            <w:tcBorders>
              <w:left w:val="nil"/>
              <w:right w:val="nil"/>
            </w:tcBorders>
            <w:shd w:val="clear" w:color="auto" w:fill="auto"/>
            <w:noWrap/>
            <w:vAlign w:val="center"/>
          </w:tcPr>
          <w:p w14:paraId="2F8EC4A3" w14:textId="77777777" w:rsidR="004A03F6" w:rsidRPr="0040064B" w:rsidRDefault="004A03F6" w:rsidP="00DA24BA">
            <w:pPr>
              <w:jc w:val="center"/>
            </w:pPr>
          </w:p>
        </w:tc>
      </w:tr>
      <w:tr w:rsidR="00BB4DA6" w:rsidRPr="0040064B" w14:paraId="7A4048DA" w14:textId="77777777" w:rsidTr="00CF2DBA">
        <w:trPr>
          <w:trHeight w:val="303"/>
          <w:jc w:val="center"/>
        </w:trPr>
        <w:tc>
          <w:tcPr>
            <w:tcW w:w="1441" w:type="dxa"/>
            <w:tcBorders>
              <w:left w:val="nil"/>
              <w:right w:val="nil"/>
            </w:tcBorders>
            <w:shd w:val="clear" w:color="auto" w:fill="auto"/>
            <w:noWrap/>
            <w:vAlign w:val="center"/>
          </w:tcPr>
          <w:p w14:paraId="6F22B4D1" w14:textId="16301F2B" w:rsidR="00BB4DA6" w:rsidRDefault="00BB4DA6" w:rsidP="00DA24BA">
            <w:pPr>
              <w:jc w:val="center"/>
            </w:pPr>
            <w:proofErr w:type="spellStart"/>
            <w:r>
              <w:t>dsita</w:t>
            </w:r>
            <w:proofErr w:type="spellEnd"/>
          </w:p>
        </w:tc>
        <w:tc>
          <w:tcPr>
            <w:tcW w:w="1420" w:type="dxa"/>
            <w:tcBorders>
              <w:left w:val="nil"/>
              <w:right w:val="nil"/>
            </w:tcBorders>
            <w:shd w:val="clear" w:color="auto" w:fill="auto"/>
            <w:noWrap/>
            <w:vAlign w:val="center"/>
          </w:tcPr>
          <w:p w14:paraId="217FA75F" w14:textId="09D4FD00" w:rsidR="00BB4DA6" w:rsidRDefault="00AC60F7" w:rsidP="00DA24BA">
            <w:pPr>
              <w:jc w:val="center"/>
            </w:pPr>
            <w:r>
              <w:t>-14.3449</w:t>
            </w:r>
          </w:p>
        </w:tc>
        <w:tc>
          <w:tcPr>
            <w:tcW w:w="600" w:type="dxa"/>
            <w:tcBorders>
              <w:left w:val="nil"/>
              <w:right w:val="nil"/>
            </w:tcBorders>
            <w:shd w:val="clear" w:color="auto" w:fill="auto"/>
            <w:noWrap/>
            <w:vAlign w:val="center"/>
          </w:tcPr>
          <w:p w14:paraId="39449B4A" w14:textId="03818B2E" w:rsidR="00BB4DA6" w:rsidRPr="0040064B" w:rsidRDefault="00AC60F7" w:rsidP="00DA24BA">
            <w:pPr>
              <w:jc w:val="center"/>
            </w:pPr>
            <w:r>
              <w:t>***</w:t>
            </w:r>
          </w:p>
        </w:tc>
        <w:tc>
          <w:tcPr>
            <w:tcW w:w="1420" w:type="dxa"/>
            <w:tcBorders>
              <w:left w:val="nil"/>
              <w:right w:val="nil"/>
            </w:tcBorders>
            <w:shd w:val="clear" w:color="auto" w:fill="auto"/>
            <w:noWrap/>
            <w:vAlign w:val="center"/>
          </w:tcPr>
          <w:p w14:paraId="18062D11" w14:textId="119C9665" w:rsidR="00BB4DA6" w:rsidRDefault="00AC60F7" w:rsidP="00DA24BA">
            <w:pPr>
              <w:jc w:val="center"/>
            </w:pPr>
            <w:r>
              <w:t>-14.3188</w:t>
            </w:r>
          </w:p>
        </w:tc>
        <w:tc>
          <w:tcPr>
            <w:tcW w:w="620" w:type="dxa"/>
            <w:tcBorders>
              <w:left w:val="nil"/>
              <w:right w:val="nil"/>
            </w:tcBorders>
            <w:shd w:val="clear" w:color="auto" w:fill="auto"/>
            <w:noWrap/>
            <w:vAlign w:val="center"/>
          </w:tcPr>
          <w:p w14:paraId="3FFBAE15" w14:textId="2ABE26A9" w:rsidR="00BB4DA6" w:rsidRPr="0040064B" w:rsidRDefault="00AC60F7" w:rsidP="00DA24BA">
            <w:pPr>
              <w:jc w:val="center"/>
            </w:pPr>
            <w:r>
              <w:t>***</w:t>
            </w:r>
          </w:p>
        </w:tc>
        <w:tc>
          <w:tcPr>
            <w:tcW w:w="1380" w:type="dxa"/>
            <w:tcBorders>
              <w:left w:val="nil"/>
              <w:right w:val="nil"/>
            </w:tcBorders>
            <w:shd w:val="clear" w:color="auto" w:fill="auto"/>
            <w:noWrap/>
            <w:vAlign w:val="center"/>
          </w:tcPr>
          <w:p w14:paraId="35522B5B" w14:textId="3DC003BA" w:rsidR="00BB4DA6" w:rsidRDefault="00AC60F7" w:rsidP="00DA24BA">
            <w:pPr>
              <w:jc w:val="center"/>
            </w:pPr>
            <w:r>
              <w:t>-14.3801</w:t>
            </w:r>
          </w:p>
        </w:tc>
        <w:tc>
          <w:tcPr>
            <w:tcW w:w="583" w:type="dxa"/>
            <w:tcBorders>
              <w:left w:val="nil"/>
              <w:right w:val="nil"/>
            </w:tcBorders>
            <w:shd w:val="clear" w:color="auto" w:fill="auto"/>
            <w:noWrap/>
            <w:vAlign w:val="center"/>
          </w:tcPr>
          <w:p w14:paraId="2C55FFBA" w14:textId="3AFFE2DB" w:rsidR="00BB4DA6" w:rsidRPr="0040064B" w:rsidRDefault="00AC60F7" w:rsidP="00DA24BA">
            <w:pPr>
              <w:jc w:val="center"/>
            </w:pPr>
            <w:r>
              <w:t>***</w:t>
            </w:r>
          </w:p>
        </w:tc>
      </w:tr>
      <w:tr w:rsidR="004A03F6" w:rsidRPr="0040064B" w14:paraId="4A65F5D8" w14:textId="77777777" w:rsidTr="00CF2DBA">
        <w:trPr>
          <w:trHeight w:val="303"/>
          <w:jc w:val="center"/>
        </w:trPr>
        <w:tc>
          <w:tcPr>
            <w:tcW w:w="1441" w:type="dxa"/>
            <w:tcBorders>
              <w:left w:val="nil"/>
              <w:right w:val="nil"/>
            </w:tcBorders>
            <w:shd w:val="clear" w:color="auto" w:fill="auto"/>
            <w:noWrap/>
            <w:vAlign w:val="center"/>
          </w:tcPr>
          <w:p w14:paraId="79B33C78" w14:textId="77777777" w:rsidR="004A03F6" w:rsidRPr="0040064B" w:rsidRDefault="004A03F6" w:rsidP="00DA24BA">
            <w:pPr>
              <w:jc w:val="center"/>
            </w:pPr>
            <w:proofErr w:type="spellStart"/>
            <w:r>
              <w:t>spor</w:t>
            </w:r>
            <w:proofErr w:type="spellEnd"/>
          </w:p>
        </w:tc>
        <w:tc>
          <w:tcPr>
            <w:tcW w:w="1420" w:type="dxa"/>
            <w:tcBorders>
              <w:left w:val="nil"/>
              <w:right w:val="nil"/>
            </w:tcBorders>
            <w:shd w:val="clear" w:color="auto" w:fill="auto"/>
            <w:noWrap/>
            <w:vAlign w:val="center"/>
          </w:tcPr>
          <w:p w14:paraId="6C23D129" w14:textId="77777777" w:rsidR="004A03F6" w:rsidRPr="0040064B" w:rsidRDefault="004A03F6" w:rsidP="00DA24BA">
            <w:pPr>
              <w:jc w:val="center"/>
            </w:pPr>
            <w:r>
              <w:t>-1.5697</w:t>
            </w:r>
          </w:p>
        </w:tc>
        <w:tc>
          <w:tcPr>
            <w:tcW w:w="600" w:type="dxa"/>
            <w:tcBorders>
              <w:left w:val="nil"/>
              <w:right w:val="nil"/>
            </w:tcBorders>
            <w:shd w:val="clear" w:color="auto" w:fill="auto"/>
            <w:noWrap/>
            <w:vAlign w:val="center"/>
          </w:tcPr>
          <w:p w14:paraId="351BFE9E" w14:textId="77777777" w:rsidR="004A03F6" w:rsidRPr="0040064B" w:rsidRDefault="004A03F6" w:rsidP="00DA24BA">
            <w:pPr>
              <w:jc w:val="center"/>
            </w:pPr>
          </w:p>
        </w:tc>
        <w:tc>
          <w:tcPr>
            <w:tcW w:w="1420" w:type="dxa"/>
            <w:tcBorders>
              <w:left w:val="nil"/>
              <w:right w:val="nil"/>
            </w:tcBorders>
            <w:shd w:val="clear" w:color="auto" w:fill="auto"/>
            <w:noWrap/>
            <w:vAlign w:val="center"/>
          </w:tcPr>
          <w:p w14:paraId="0E03BC75" w14:textId="77777777" w:rsidR="004A03F6" w:rsidRPr="0040064B" w:rsidRDefault="004A03F6" w:rsidP="00DA24BA">
            <w:pPr>
              <w:jc w:val="center"/>
            </w:pPr>
            <w:r>
              <w:t>-1.8957</w:t>
            </w:r>
          </w:p>
        </w:tc>
        <w:tc>
          <w:tcPr>
            <w:tcW w:w="620" w:type="dxa"/>
            <w:tcBorders>
              <w:left w:val="nil"/>
              <w:right w:val="nil"/>
            </w:tcBorders>
            <w:shd w:val="clear" w:color="auto" w:fill="auto"/>
            <w:noWrap/>
            <w:vAlign w:val="center"/>
          </w:tcPr>
          <w:p w14:paraId="40618BCD" w14:textId="77777777" w:rsidR="004A03F6" w:rsidRPr="0040064B" w:rsidRDefault="004A03F6" w:rsidP="00DA24BA">
            <w:pPr>
              <w:jc w:val="center"/>
            </w:pPr>
          </w:p>
        </w:tc>
        <w:tc>
          <w:tcPr>
            <w:tcW w:w="1380" w:type="dxa"/>
            <w:tcBorders>
              <w:left w:val="nil"/>
              <w:right w:val="nil"/>
            </w:tcBorders>
            <w:shd w:val="clear" w:color="auto" w:fill="auto"/>
            <w:noWrap/>
            <w:vAlign w:val="center"/>
          </w:tcPr>
          <w:p w14:paraId="793D1342" w14:textId="77777777" w:rsidR="004A03F6" w:rsidRPr="0040064B" w:rsidRDefault="004A03F6" w:rsidP="00DA24BA">
            <w:pPr>
              <w:jc w:val="center"/>
            </w:pPr>
            <w:r>
              <w:t>-1.0399</w:t>
            </w:r>
          </w:p>
        </w:tc>
        <w:tc>
          <w:tcPr>
            <w:tcW w:w="583" w:type="dxa"/>
            <w:tcBorders>
              <w:left w:val="nil"/>
              <w:right w:val="nil"/>
            </w:tcBorders>
            <w:shd w:val="clear" w:color="auto" w:fill="auto"/>
            <w:noWrap/>
            <w:vAlign w:val="center"/>
          </w:tcPr>
          <w:p w14:paraId="3718B85F" w14:textId="77777777" w:rsidR="004A03F6" w:rsidRPr="0040064B" w:rsidRDefault="004A03F6" w:rsidP="00DA24BA">
            <w:pPr>
              <w:jc w:val="center"/>
            </w:pPr>
          </w:p>
        </w:tc>
      </w:tr>
      <w:tr w:rsidR="00BB4DA6" w:rsidRPr="00BC4AB4" w14:paraId="171815F7" w14:textId="77777777" w:rsidTr="00CF2DBA">
        <w:trPr>
          <w:trHeight w:val="303"/>
          <w:jc w:val="center"/>
        </w:trPr>
        <w:tc>
          <w:tcPr>
            <w:tcW w:w="1441" w:type="dxa"/>
            <w:tcBorders>
              <w:left w:val="nil"/>
              <w:right w:val="nil"/>
            </w:tcBorders>
            <w:shd w:val="clear" w:color="auto" w:fill="auto"/>
            <w:noWrap/>
            <w:vAlign w:val="center"/>
          </w:tcPr>
          <w:p w14:paraId="1FED4F4D" w14:textId="706D9A92" w:rsidR="00BB4DA6" w:rsidRDefault="00BB4DA6" w:rsidP="00DA24BA">
            <w:pPr>
              <w:jc w:val="center"/>
            </w:pPr>
            <w:proofErr w:type="spellStart"/>
            <w:r>
              <w:t>dspor</w:t>
            </w:r>
            <w:proofErr w:type="spellEnd"/>
          </w:p>
        </w:tc>
        <w:tc>
          <w:tcPr>
            <w:tcW w:w="1420" w:type="dxa"/>
            <w:tcBorders>
              <w:left w:val="nil"/>
              <w:right w:val="nil"/>
            </w:tcBorders>
            <w:shd w:val="clear" w:color="auto" w:fill="auto"/>
            <w:noWrap/>
            <w:vAlign w:val="center"/>
          </w:tcPr>
          <w:p w14:paraId="6E07F5C4" w14:textId="0ECFDDED" w:rsidR="00BB4DA6" w:rsidRDefault="006A2614" w:rsidP="00DA24BA">
            <w:pPr>
              <w:jc w:val="center"/>
            </w:pPr>
            <w:r>
              <w:t>-14.5391</w:t>
            </w:r>
          </w:p>
        </w:tc>
        <w:tc>
          <w:tcPr>
            <w:tcW w:w="600" w:type="dxa"/>
            <w:tcBorders>
              <w:left w:val="nil"/>
              <w:right w:val="nil"/>
            </w:tcBorders>
            <w:shd w:val="clear" w:color="auto" w:fill="auto"/>
            <w:noWrap/>
            <w:vAlign w:val="center"/>
          </w:tcPr>
          <w:p w14:paraId="426C5444" w14:textId="467CD789" w:rsidR="00BB4DA6" w:rsidRPr="00C063BF" w:rsidRDefault="006A2614" w:rsidP="00DA24BA">
            <w:pPr>
              <w:jc w:val="center"/>
            </w:pPr>
            <w:r>
              <w:t>***</w:t>
            </w:r>
          </w:p>
        </w:tc>
        <w:tc>
          <w:tcPr>
            <w:tcW w:w="1420" w:type="dxa"/>
            <w:tcBorders>
              <w:left w:val="nil"/>
              <w:right w:val="nil"/>
            </w:tcBorders>
            <w:shd w:val="clear" w:color="auto" w:fill="auto"/>
            <w:noWrap/>
            <w:vAlign w:val="center"/>
          </w:tcPr>
          <w:p w14:paraId="50E99C7A" w14:textId="76B93CED" w:rsidR="00BB4DA6" w:rsidRDefault="006A2614" w:rsidP="00DA24BA">
            <w:pPr>
              <w:jc w:val="center"/>
            </w:pPr>
            <w:r>
              <w:t>-14.5143</w:t>
            </w:r>
          </w:p>
        </w:tc>
        <w:tc>
          <w:tcPr>
            <w:tcW w:w="620" w:type="dxa"/>
            <w:tcBorders>
              <w:left w:val="nil"/>
              <w:right w:val="nil"/>
            </w:tcBorders>
            <w:shd w:val="clear" w:color="auto" w:fill="auto"/>
            <w:noWrap/>
            <w:vAlign w:val="center"/>
          </w:tcPr>
          <w:p w14:paraId="2D24E41D" w14:textId="1D6AFFC7" w:rsidR="00BB4DA6" w:rsidRPr="00C063BF" w:rsidRDefault="006A2614" w:rsidP="00DA24BA">
            <w:pPr>
              <w:jc w:val="center"/>
            </w:pPr>
            <w:r>
              <w:t>***</w:t>
            </w:r>
          </w:p>
        </w:tc>
        <w:tc>
          <w:tcPr>
            <w:tcW w:w="1380" w:type="dxa"/>
            <w:tcBorders>
              <w:left w:val="nil"/>
              <w:right w:val="nil"/>
            </w:tcBorders>
            <w:shd w:val="clear" w:color="auto" w:fill="auto"/>
            <w:noWrap/>
            <w:vAlign w:val="center"/>
          </w:tcPr>
          <w:p w14:paraId="7B5006AC" w14:textId="75565168" w:rsidR="00BB4DA6" w:rsidRDefault="006A2614" w:rsidP="00DA24BA">
            <w:pPr>
              <w:jc w:val="center"/>
            </w:pPr>
            <w:r>
              <w:t>-14.5668</w:t>
            </w:r>
          </w:p>
        </w:tc>
        <w:tc>
          <w:tcPr>
            <w:tcW w:w="583" w:type="dxa"/>
            <w:tcBorders>
              <w:left w:val="nil"/>
              <w:right w:val="nil"/>
            </w:tcBorders>
            <w:shd w:val="clear" w:color="auto" w:fill="auto"/>
            <w:noWrap/>
            <w:vAlign w:val="center"/>
          </w:tcPr>
          <w:p w14:paraId="481CE208" w14:textId="69119349" w:rsidR="00BB4DA6" w:rsidRPr="00C063BF" w:rsidRDefault="006A2614" w:rsidP="00DA24BA">
            <w:pPr>
              <w:jc w:val="center"/>
            </w:pPr>
            <w:r>
              <w:t>***</w:t>
            </w:r>
          </w:p>
        </w:tc>
      </w:tr>
      <w:tr w:rsidR="004A03F6" w:rsidRPr="00BC4AB4" w14:paraId="00D55ED0" w14:textId="77777777" w:rsidTr="00CF2DBA">
        <w:trPr>
          <w:trHeight w:val="303"/>
          <w:jc w:val="center"/>
        </w:trPr>
        <w:tc>
          <w:tcPr>
            <w:tcW w:w="1441" w:type="dxa"/>
            <w:tcBorders>
              <w:left w:val="nil"/>
              <w:right w:val="nil"/>
            </w:tcBorders>
            <w:shd w:val="clear" w:color="auto" w:fill="auto"/>
            <w:noWrap/>
            <w:vAlign w:val="center"/>
          </w:tcPr>
          <w:p w14:paraId="4495376F" w14:textId="77777777" w:rsidR="004A03F6" w:rsidRPr="00C063BF" w:rsidRDefault="004A03F6" w:rsidP="00DA24BA">
            <w:pPr>
              <w:jc w:val="center"/>
            </w:pPr>
            <w:proofErr w:type="spellStart"/>
            <w:r>
              <w:t>sspa</w:t>
            </w:r>
            <w:proofErr w:type="spellEnd"/>
          </w:p>
        </w:tc>
        <w:tc>
          <w:tcPr>
            <w:tcW w:w="1420" w:type="dxa"/>
            <w:tcBorders>
              <w:left w:val="nil"/>
              <w:right w:val="nil"/>
            </w:tcBorders>
            <w:shd w:val="clear" w:color="auto" w:fill="auto"/>
            <w:noWrap/>
            <w:vAlign w:val="center"/>
          </w:tcPr>
          <w:p w14:paraId="2B7C809B" w14:textId="77777777" w:rsidR="004A03F6" w:rsidRPr="00C063BF" w:rsidRDefault="004A03F6" w:rsidP="00DA24BA">
            <w:pPr>
              <w:jc w:val="center"/>
            </w:pPr>
            <w:r>
              <w:t>-1.3098</w:t>
            </w:r>
          </w:p>
        </w:tc>
        <w:tc>
          <w:tcPr>
            <w:tcW w:w="600" w:type="dxa"/>
            <w:tcBorders>
              <w:left w:val="nil"/>
              <w:right w:val="nil"/>
            </w:tcBorders>
            <w:shd w:val="clear" w:color="auto" w:fill="auto"/>
            <w:noWrap/>
            <w:vAlign w:val="center"/>
          </w:tcPr>
          <w:p w14:paraId="625E87A2" w14:textId="77777777" w:rsidR="004A03F6" w:rsidRPr="00C063BF" w:rsidRDefault="004A03F6" w:rsidP="00DA24BA">
            <w:pPr>
              <w:jc w:val="center"/>
            </w:pPr>
          </w:p>
        </w:tc>
        <w:tc>
          <w:tcPr>
            <w:tcW w:w="1420" w:type="dxa"/>
            <w:tcBorders>
              <w:left w:val="nil"/>
              <w:right w:val="nil"/>
            </w:tcBorders>
            <w:shd w:val="clear" w:color="auto" w:fill="auto"/>
            <w:noWrap/>
            <w:vAlign w:val="center"/>
          </w:tcPr>
          <w:p w14:paraId="5F863D13" w14:textId="77777777" w:rsidR="004A03F6" w:rsidRPr="00C063BF" w:rsidRDefault="004A03F6" w:rsidP="00DA24BA">
            <w:pPr>
              <w:jc w:val="center"/>
            </w:pPr>
            <w:r>
              <w:t>-1.4360</w:t>
            </w:r>
          </w:p>
        </w:tc>
        <w:tc>
          <w:tcPr>
            <w:tcW w:w="620" w:type="dxa"/>
            <w:tcBorders>
              <w:left w:val="nil"/>
              <w:right w:val="nil"/>
            </w:tcBorders>
            <w:shd w:val="clear" w:color="auto" w:fill="auto"/>
            <w:noWrap/>
            <w:vAlign w:val="center"/>
          </w:tcPr>
          <w:p w14:paraId="3BE1D8F8" w14:textId="77777777" w:rsidR="004A03F6" w:rsidRPr="00C063BF" w:rsidRDefault="004A03F6" w:rsidP="00DA24BA">
            <w:pPr>
              <w:jc w:val="center"/>
            </w:pPr>
          </w:p>
        </w:tc>
        <w:tc>
          <w:tcPr>
            <w:tcW w:w="1380" w:type="dxa"/>
            <w:tcBorders>
              <w:left w:val="nil"/>
              <w:right w:val="nil"/>
            </w:tcBorders>
            <w:shd w:val="clear" w:color="auto" w:fill="auto"/>
            <w:noWrap/>
            <w:vAlign w:val="center"/>
          </w:tcPr>
          <w:p w14:paraId="624D7E7B" w14:textId="77777777" w:rsidR="004A03F6" w:rsidRPr="00C063BF" w:rsidRDefault="004A03F6" w:rsidP="00DA24BA">
            <w:pPr>
              <w:jc w:val="center"/>
            </w:pPr>
            <w:r>
              <w:t>-0.8224</w:t>
            </w:r>
          </w:p>
        </w:tc>
        <w:tc>
          <w:tcPr>
            <w:tcW w:w="583" w:type="dxa"/>
            <w:tcBorders>
              <w:left w:val="nil"/>
              <w:right w:val="nil"/>
            </w:tcBorders>
            <w:shd w:val="clear" w:color="auto" w:fill="auto"/>
            <w:noWrap/>
            <w:vAlign w:val="center"/>
          </w:tcPr>
          <w:p w14:paraId="51FA0D19" w14:textId="77777777" w:rsidR="004A03F6" w:rsidRPr="00C063BF" w:rsidRDefault="004A03F6" w:rsidP="00DA24BA">
            <w:pPr>
              <w:jc w:val="center"/>
            </w:pPr>
          </w:p>
        </w:tc>
      </w:tr>
      <w:tr w:rsidR="00BB4DA6" w:rsidRPr="00BC4AB4" w14:paraId="7029BAEB" w14:textId="77777777" w:rsidTr="00CF2DBA">
        <w:trPr>
          <w:trHeight w:val="303"/>
          <w:jc w:val="center"/>
        </w:trPr>
        <w:tc>
          <w:tcPr>
            <w:tcW w:w="1441" w:type="dxa"/>
            <w:tcBorders>
              <w:left w:val="nil"/>
              <w:right w:val="nil"/>
            </w:tcBorders>
            <w:shd w:val="clear" w:color="auto" w:fill="auto"/>
            <w:noWrap/>
            <w:vAlign w:val="center"/>
          </w:tcPr>
          <w:p w14:paraId="765CC9B3" w14:textId="7333D6B8" w:rsidR="00BB4DA6" w:rsidRDefault="00BB4DA6" w:rsidP="00DA24BA">
            <w:pPr>
              <w:jc w:val="center"/>
            </w:pPr>
            <w:proofErr w:type="spellStart"/>
            <w:r>
              <w:t>dsspa</w:t>
            </w:r>
            <w:proofErr w:type="spellEnd"/>
          </w:p>
        </w:tc>
        <w:tc>
          <w:tcPr>
            <w:tcW w:w="1420" w:type="dxa"/>
            <w:tcBorders>
              <w:left w:val="nil"/>
              <w:right w:val="nil"/>
            </w:tcBorders>
            <w:shd w:val="clear" w:color="auto" w:fill="auto"/>
            <w:noWrap/>
            <w:vAlign w:val="center"/>
          </w:tcPr>
          <w:p w14:paraId="60B2C845" w14:textId="55125511" w:rsidR="00BB4DA6" w:rsidRDefault="006A2614" w:rsidP="00DA24BA">
            <w:pPr>
              <w:jc w:val="center"/>
            </w:pPr>
            <w:r>
              <w:t>-15.8201</w:t>
            </w:r>
          </w:p>
        </w:tc>
        <w:tc>
          <w:tcPr>
            <w:tcW w:w="600" w:type="dxa"/>
            <w:tcBorders>
              <w:left w:val="nil"/>
              <w:right w:val="nil"/>
            </w:tcBorders>
            <w:shd w:val="clear" w:color="auto" w:fill="auto"/>
            <w:noWrap/>
            <w:vAlign w:val="center"/>
          </w:tcPr>
          <w:p w14:paraId="45B9DCCD" w14:textId="644F81EE" w:rsidR="00BB4DA6" w:rsidRPr="00C063BF" w:rsidRDefault="006A2614" w:rsidP="00DA24BA">
            <w:pPr>
              <w:jc w:val="center"/>
            </w:pPr>
            <w:r>
              <w:t>***</w:t>
            </w:r>
          </w:p>
        </w:tc>
        <w:tc>
          <w:tcPr>
            <w:tcW w:w="1420" w:type="dxa"/>
            <w:tcBorders>
              <w:left w:val="nil"/>
              <w:right w:val="nil"/>
            </w:tcBorders>
            <w:shd w:val="clear" w:color="auto" w:fill="auto"/>
            <w:noWrap/>
            <w:vAlign w:val="center"/>
          </w:tcPr>
          <w:p w14:paraId="0658873B" w14:textId="08A141BA" w:rsidR="00BB4DA6" w:rsidRDefault="006A2614" w:rsidP="00DA24BA">
            <w:pPr>
              <w:jc w:val="center"/>
            </w:pPr>
            <w:r>
              <w:t>-15.7841</w:t>
            </w:r>
          </w:p>
        </w:tc>
        <w:tc>
          <w:tcPr>
            <w:tcW w:w="620" w:type="dxa"/>
            <w:tcBorders>
              <w:left w:val="nil"/>
              <w:right w:val="nil"/>
            </w:tcBorders>
            <w:shd w:val="clear" w:color="auto" w:fill="auto"/>
            <w:noWrap/>
            <w:vAlign w:val="center"/>
          </w:tcPr>
          <w:p w14:paraId="0D48A559" w14:textId="65B0F65D" w:rsidR="00BB4DA6" w:rsidRPr="00C063BF" w:rsidRDefault="006A2614" w:rsidP="00DA24BA">
            <w:pPr>
              <w:jc w:val="center"/>
            </w:pPr>
            <w:r>
              <w:t>***</w:t>
            </w:r>
          </w:p>
        </w:tc>
        <w:tc>
          <w:tcPr>
            <w:tcW w:w="1380" w:type="dxa"/>
            <w:tcBorders>
              <w:left w:val="nil"/>
              <w:right w:val="nil"/>
            </w:tcBorders>
            <w:shd w:val="clear" w:color="auto" w:fill="auto"/>
            <w:noWrap/>
            <w:vAlign w:val="center"/>
          </w:tcPr>
          <w:p w14:paraId="36FC02AD" w14:textId="17BEDCB0" w:rsidR="00BB4DA6" w:rsidRDefault="006A2614" w:rsidP="00DA24BA">
            <w:pPr>
              <w:jc w:val="center"/>
            </w:pPr>
            <w:r>
              <w:t>-15.9001</w:t>
            </w:r>
          </w:p>
        </w:tc>
        <w:tc>
          <w:tcPr>
            <w:tcW w:w="583" w:type="dxa"/>
            <w:tcBorders>
              <w:left w:val="nil"/>
              <w:right w:val="nil"/>
            </w:tcBorders>
            <w:shd w:val="clear" w:color="auto" w:fill="auto"/>
            <w:noWrap/>
            <w:vAlign w:val="center"/>
          </w:tcPr>
          <w:p w14:paraId="7CFF7B4A" w14:textId="08224E58" w:rsidR="00BB4DA6" w:rsidRPr="00C063BF" w:rsidRDefault="006A2614" w:rsidP="00DA24BA">
            <w:pPr>
              <w:jc w:val="center"/>
            </w:pPr>
            <w:r>
              <w:t>***</w:t>
            </w:r>
          </w:p>
        </w:tc>
      </w:tr>
      <w:tr w:rsidR="004A03F6" w:rsidRPr="00BC4AB4" w14:paraId="330FEB6B" w14:textId="77777777" w:rsidTr="00CF2DBA">
        <w:trPr>
          <w:trHeight w:val="303"/>
          <w:jc w:val="center"/>
        </w:trPr>
        <w:tc>
          <w:tcPr>
            <w:tcW w:w="1441" w:type="dxa"/>
            <w:tcBorders>
              <w:left w:val="nil"/>
              <w:right w:val="nil"/>
            </w:tcBorders>
            <w:shd w:val="clear" w:color="auto" w:fill="auto"/>
            <w:noWrap/>
            <w:vAlign w:val="center"/>
          </w:tcPr>
          <w:p w14:paraId="14A3062A" w14:textId="77777777" w:rsidR="004A03F6" w:rsidRDefault="004A03F6" w:rsidP="00DA24BA">
            <w:pPr>
              <w:jc w:val="center"/>
            </w:pPr>
            <w:r>
              <w:t>PRO</w:t>
            </w:r>
          </w:p>
        </w:tc>
        <w:tc>
          <w:tcPr>
            <w:tcW w:w="1420" w:type="dxa"/>
            <w:tcBorders>
              <w:left w:val="nil"/>
              <w:right w:val="nil"/>
            </w:tcBorders>
            <w:shd w:val="clear" w:color="auto" w:fill="auto"/>
            <w:noWrap/>
            <w:vAlign w:val="center"/>
          </w:tcPr>
          <w:p w14:paraId="4D30405E" w14:textId="77777777" w:rsidR="004A03F6" w:rsidRDefault="004A03F6" w:rsidP="00DA24BA">
            <w:pPr>
              <w:jc w:val="center"/>
            </w:pPr>
            <w:r>
              <w:t>-0.4121</w:t>
            </w:r>
          </w:p>
        </w:tc>
        <w:tc>
          <w:tcPr>
            <w:tcW w:w="600" w:type="dxa"/>
            <w:tcBorders>
              <w:left w:val="nil"/>
              <w:right w:val="nil"/>
            </w:tcBorders>
            <w:shd w:val="clear" w:color="auto" w:fill="auto"/>
            <w:noWrap/>
            <w:vAlign w:val="center"/>
          </w:tcPr>
          <w:p w14:paraId="4F222396" w14:textId="77777777" w:rsidR="004A03F6" w:rsidRPr="00C063BF" w:rsidRDefault="004A03F6" w:rsidP="00DA24BA">
            <w:pPr>
              <w:jc w:val="center"/>
            </w:pPr>
          </w:p>
        </w:tc>
        <w:tc>
          <w:tcPr>
            <w:tcW w:w="1420" w:type="dxa"/>
            <w:tcBorders>
              <w:left w:val="nil"/>
              <w:right w:val="nil"/>
            </w:tcBorders>
            <w:shd w:val="clear" w:color="auto" w:fill="auto"/>
            <w:noWrap/>
            <w:vAlign w:val="center"/>
          </w:tcPr>
          <w:p w14:paraId="6BBC13F2" w14:textId="77777777" w:rsidR="004A03F6" w:rsidRDefault="004A03F6" w:rsidP="00DA24BA">
            <w:pPr>
              <w:jc w:val="center"/>
            </w:pPr>
            <w:r>
              <w:t>-2.6459</w:t>
            </w:r>
          </w:p>
        </w:tc>
        <w:tc>
          <w:tcPr>
            <w:tcW w:w="620" w:type="dxa"/>
            <w:tcBorders>
              <w:left w:val="nil"/>
              <w:right w:val="nil"/>
            </w:tcBorders>
            <w:shd w:val="clear" w:color="auto" w:fill="auto"/>
            <w:noWrap/>
            <w:vAlign w:val="center"/>
          </w:tcPr>
          <w:p w14:paraId="29561EAE" w14:textId="77777777" w:rsidR="004A03F6" w:rsidRPr="00C063BF" w:rsidRDefault="004A03F6" w:rsidP="00DA24BA">
            <w:pPr>
              <w:jc w:val="center"/>
            </w:pPr>
          </w:p>
        </w:tc>
        <w:tc>
          <w:tcPr>
            <w:tcW w:w="1380" w:type="dxa"/>
            <w:tcBorders>
              <w:left w:val="nil"/>
              <w:right w:val="nil"/>
            </w:tcBorders>
            <w:shd w:val="clear" w:color="auto" w:fill="auto"/>
            <w:noWrap/>
            <w:vAlign w:val="center"/>
          </w:tcPr>
          <w:p w14:paraId="67E3C51C" w14:textId="77777777" w:rsidR="004A03F6" w:rsidRDefault="004A03F6" w:rsidP="00DA24BA">
            <w:pPr>
              <w:jc w:val="center"/>
            </w:pPr>
            <w:r>
              <w:t>2.0521</w:t>
            </w:r>
          </w:p>
        </w:tc>
        <w:tc>
          <w:tcPr>
            <w:tcW w:w="583" w:type="dxa"/>
            <w:tcBorders>
              <w:left w:val="nil"/>
              <w:right w:val="nil"/>
            </w:tcBorders>
            <w:shd w:val="clear" w:color="auto" w:fill="auto"/>
            <w:noWrap/>
            <w:vAlign w:val="center"/>
          </w:tcPr>
          <w:p w14:paraId="280DC373" w14:textId="77777777" w:rsidR="004A03F6" w:rsidRPr="00C063BF" w:rsidRDefault="004A03F6" w:rsidP="00DA24BA">
            <w:pPr>
              <w:jc w:val="center"/>
            </w:pPr>
          </w:p>
        </w:tc>
      </w:tr>
      <w:tr w:rsidR="00BB4DA6" w:rsidRPr="00BC4AB4" w14:paraId="2601BEAF" w14:textId="77777777" w:rsidTr="00CF2DBA">
        <w:trPr>
          <w:trHeight w:val="303"/>
          <w:jc w:val="center"/>
        </w:trPr>
        <w:tc>
          <w:tcPr>
            <w:tcW w:w="1441" w:type="dxa"/>
            <w:tcBorders>
              <w:left w:val="nil"/>
              <w:right w:val="nil"/>
            </w:tcBorders>
            <w:shd w:val="clear" w:color="auto" w:fill="auto"/>
            <w:noWrap/>
            <w:vAlign w:val="center"/>
          </w:tcPr>
          <w:p w14:paraId="7B02658D" w14:textId="2907BC1F" w:rsidR="00BB4DA6" w:rsidRDefault="00BB4DA6" w:rsidP="00DA24BA">
            <w:pPr>
              <w:jc w:val="center"/>
            </w:pPr>
            <w:r>
              <w:t>DPRO</w:t>
            </w:r>
          </w:p>
        </w:tc>
        <w:tc>
          <w:tcPr>
            <w:tcW w:w="1420" w:type="dxa"/>
            <w:tcBorders>
              <w:left w:val="nil"/>
              <w:right w:val="nil"/>
            </w:tcBorders>
            <w:shd w:val="clear" w:color="auto" w:fill="auto"/>
            <w:noWrap/>
            <w:vAlign w:val="center"/>
          </w:tcPr>
          <w:p w14:paraId="25FEBD13" w14:textId="5F6A3AF8" w:rsidR="00BB4DA6" w:rsidRDefault="00E84580" w:rsidP="00DA24BA">
            <w:pPr>
              <w:jc w:val="center"/>
            </w:pPr>
            <w:r>
              <w:t>-14.9939</w:t>
            </w:r>
          </w:p>
        </w:tc>
        <w:tc>
          <w:tcPr>
            <w:tcW w:w="600" w:type="dxa"/>
            <w:tcBorders>
              <w:left w:val="nil"/>
              <w:right w:val="nil"/>
            </w:tcBorders>
            <w:shd w:val="clear" w:color="auto" w:fill="auto"/>
            <w:noWrap/>
            <w:vAlign w:val="center"/>
          </w:tcPr>
          <w:p w14:paraId="38A83647" w14:textId="24590CCF" w:rsidR="00BB4DA6" w:rsidRDefault="00E84580" w:rsidP="00DA24BA">
            <w:pPr>
              <w:jc w:val="center"/>
            </w:pPr>
            <w:r>
              <w:t>***</w:t>
            </w:r>
          </w:p>
        </w:tc>
        <w:tc>
          <w:tcPr>
            <w:tcW w:w="1420" w:type="dxa"/>
            <w:tcBorders>
              <w:left w:val="nil"/>
              <w:right w:val="nil"/>
            </w:tcBorders>
            <w:shd w:val="clear" w:color="auto" w:fill="auto"/>
            <w:noWrap/>
            <w:vAlign w:val="center"/>
          </w:tcPr>
          <w:p w14:paraId="28371A5C" w14:textId="5A298F9E" w:rsidR="00BB4DA6" w:rsidRDefault="00E84580" w:rsidP="00DA24BA">
            <w:pPr>
              <w:jc w:val="center"/>
            </w:pPr>
            <w:r>
              <w:t>-14.9702</w:t>
            </w:r>
          </w:p>
        </w:tc>
        <w:tc>
          <w:tcPr>
            <w:tcW w:w="620" w:type="dxa"/>
            <w:tcBorders>
              <w:left w:val="nil"/>
              <w:right w:val="nil"/>
            </w:tcBorders>
            <w:shd w:val="clear" w:color="auto" w:fill="auto"/>
            <w:noWrap/>
            <w:vAlign w:val="center"/>
          </w:tcPr>
          <w:p w14:paraId="64FB09B8" w14:textId="5CBC2494" w:rsidR="00BB4DA6" w:rsidRPr="00C063BF" w:rsidRDefault="00E84580" w:rsidP="00DA24BA">
            <w:pPr>
              <w:jc w:val="center"/>
            </w:pPr>
            <w:r>
              <w:t>***</w:t>
            </w:r>
          </w:p>
        </w:tc>
        <w:tc>
          <w:tcPr>
            <w:tcW w:w="1380" w:type="dxa"/>
            <w:tcBorders>
              <w:left w:val="nil"/>
              <w:right w:val="nil"/>
            </w:tcBorders>
            <w:shd w:val="clear" w:color="auto" w:fill="auto"/>
            <w:noWrap/>
            <w:vAlign w:val="center"/>
          </w:tcPr>
          <w:p w14:paraId="0DB0D0EE" w14:textId="1EE563FD" w:rsidR="00BB4DA6" w:rsidRDefault="00E84580" w:rsidP="00DA24BA">
            <w:pPr>
              <w:jc w:val="center"/>
            </w:pPr>
            <w:r>
              <w:t>-14.7027</w:t>
            </w:r>
          </w:p>
        </w:tc>
        <w:tc>
          <w:tcPr>
            <w:tcW w:w="583" w:type="dxa"/>
            <w:tcBorders>
              <w:left w:val="nil"/>
              <w:right w:val="nil"/>
            </w:tcBorders>
            <w:shd w:val="clear" w:color="auto" w:fill="auto"/>
            <w:noWrap/>
            <w:vAlign w:val="center"/>
          </w:tcPr>
          <w:p w14:paraId="534C0251" w14:textId="1522F7A0" w:rsidR="00BB4DA6" w:rsidRDefault="00E84580" w:rsidP="00DA24BA">
            <w:pPr>
              <w:jc w:val="center"/>
            </w:pPr>
            <w:r>
              <w:t>***</w:t>
            </w:r>
          </w:p>
        </w:tc>
      </w:tr>
      <w:tr w:rsidR="004A03F6" w:rsidRPr="00BC4AB4" w14:paraId="5ED7A371" w14:textId="77777777" w:rsidTr="00CF2DBA">
        <w:trPr>
          <w:trHeight w:val="303"/>
          <w:jc w:val="center"/>
        </w:trPr>
        <w:tc>
          <w:tcPr>
            <w:tcW w:w="1441" w:type="dxa"/>
            <w:tcBorders>
              <w:left w:val="nil"/>
              <w:right w:val="nil"/>
            </w:tcBorders>
            <w:shd w:val="clear" w:color="auto" w:fill="auto"/>
            <w:noWrap/>
            <w:vAlign w:val="center"/>
          </w:tcPr>
          <w:p w14:paraId="04C73D25" w14:textId="77777777" w:rsidR="004A03F6" w:rsidRDefault="004A03F6" w:rsidP="00DA24BA">
            <w:pPr>
              <w:jc w:val="center"/>
            </w:pPr>
            <w:r>
              <w:t>GEA</w:t>
            </w:r>
          </w:p>
        </w:tc>
        <w:tc>
          <w:tcPr>
            <w:tcW w:w="1420" w:type="dxa"/>
            <w:tcBorders>
              <w:left w:val="nil"/>
              <w:right w:val="nil"/>
            </w:tcBorders>
            <w:shd w:val="clear" w:color="auto" w:fill="auto"/>
            <w:noWrap/>
            <w:vAlign w:val="center"/>
          </w:tcPr>
          <w:p w14:paraId="6A815CAD" w14:textId="77777777" w:rsidR="004A03F6" w:rsidRDefault="004A03F6" w:rsidP="00DA24BA">
            <w:pPr>
              <w:jc w:val="center"/>
            </w:pPr>
            <w:r>
              <w:t>-2.6226</w:t>
            </w:r>
          </w:p>
        </w:tc>
        <w:tc>
          <w:tcPr>
            <w:tcW w:w="600" w:type="dxa"/>
            <w:tcBorders>
              <w:left w:val="nil"/>
              <w:right w:val="nil"/>
            </w:tcBorders>
            <w:shd w:val="clear" w:color="auto" w:fill="auto"/>
            <w:noWrap/>
            <w:vAlign w:val="center"/>
          </w:tcPr>
          <w:p w14:paraId="7FCD4770" w14:textId="77777777" w:rsidR="004A03F6" w:rsidRPr="00C063BF" w:rsidRDefault="004A03F6" w:rsidP="00DA24BA">
            <w:pPr>
              <w:jc w:val="center"/>
            </w:pPr>
            <w:r>
              <w:t>*</w:t>
            </w:r>
          </w:p>
        </w:tc>
        <w:tc>
          <w:tcPr>
            <w:tcW w:w="1420" w:type="dxa"/>
            <w:tcBorders>
              <w:left w:val="nil"/>
              <w:right w:val="nil"/>
            </w:tcBorders>
            <w:shd w:val="clear" w:color="auto" w:fill="auto"/>
            <w:noWrap/>
            <w:vAlign w:val="center"/>
          </w:tcPr>
          <w:p w14:paraId="013A97CA" w14:textId="77777777" w:rsidR="004A03F6" w:rsidRDefault="004A03F6" w:rsidP="00DA24BA">
            <w:pPr>
              <w:jc w:val="center"/>
            </w:pPr>
            <w:r>
              <w:t>-2.8973</w:t>
            </w:r>
          </w:p>
        </w:tc>
        <w:tc>
          <w:tcPr>
            <w:tcW w:w="620" w:type="dxa"/>
            <w:tcBorders>
              <w:left w:val="nil"/>
              <w:right w:val="nil"/>
            </w:tcBorders>
            <w:shd w:val="clear" w:color="auto" w:fill="auto"/>
            <w:noWrap/>
            <w:vAlign w:val="center"/>
          </w:tcPr>
          <w:p w14:paraId="3FDDDCDA" w14:textId="77777777" w:rsidR="004A03F6" w:rsidRPr="00C063BF" w:rsidRDefault="004A03F6" w:rsidP="00DA24BA">
            <w:pPr>
              <w:jc w:val="center"/>
            </w:pPr>
          </w:p>
        </w:tc>
        <w:tc>
          <w:tcPr>
            <w:tcW w:w="1380" w:type="dxa"/>
            <w:tcBorders>
              <w:left w:val="nil"/>
              <w:right w:val="nil"/>
            </w:tcBorders>
            <w:shd w:val="clear" w:color="auto" w:fill="auto"/>
            <w:noWrap/>
            <w:vAlign w:val="center"/>
          </w:tcPr>
          <w:p w14:paraId="3D6E6114" w14:textId="77777777" w:rsidR="004A03F6" w:rsidRDefault="004A03F6" w:rsidP="00DA24BA">
            <w:pPr>
              <w:jc w:val="center"/>
            </w:pPr>
            <w:r>
              <w:t>-2.5606</w:t>
            </w:r>
          </w:p>
        </w:tc>
        <w:tc>
          <w:tcPr>
            <w:tcW w:w="583" w:type="dxa"/>
            <w:tcBorders>
              <w:left w:val="nil"/>
              <w:right w:val="nil"/>
            </w:tcBorders>
            <w:shd w:val="clear" w:color="auto" w:fill="auto"/>
            <w:noWrap/>
            <w:vAlign w:val="center"/>
          </w:tcPr>
          <w:p w14:paraId="4E8EFEF4" w14:textId="77777777" w:rsidR="004A03F6" w:rsidRPr="00C063BF" w:rsidRDefault="004A03F6" w:rsidP="00DA24BA">
            <w:pPr>
              <w:jc w:val="center"/>
            </w:pPr>
            <w:r>
              <w:t>**</w:t>
            </w:r>
          </w:p>
        </w:tc>
      </w:tr>
      <w:tr w:rsidR="004A03F6" w:rsidRPr="00BC4AB4" w14:paraId="413758F5" w14:textId="77777777" w:rsidTr="00CF2DBA">
        <w:trPr>
          <w:trHeight w:val="303"/>
          <w:jc w:val="center"/>
        </w:trPr>
        <w:tc>
          <w:tcPr>
            <w:tcW w:w="1441" w:type="dxa"/>
            <w:tcBorders>
              <w:left w:val="nil"/>
              <w:right w:val="nil"/>
            </w:tcBorders>
            <w:shd w:val="clear" w:color="auto" w:fill="auto"/>
            <w:noWrap/>
            <w:vAlign w:val="center"/>
          </w:tcPr>
          <w:p w14:paraId="11A606DC" w14:textId="77777777" w:rsidR="004A03F6" w:rsidRDefault="004A03F6" w:rsidP="00DA24BA">
            <w:pPr>
              <w:jc w:val="center"/>
            </w:pPr>
            <w:r>
              <w:t>ROP</w:t>
            </w:r>
          </w:p>
        </w:tc>
        <w:tc>
          <w:tcPr>
            <w:tcW w:w="1420" w:type="dxa"/>
            <w:tcBorders>
              <w:left w:val="nil"/>
              <w:right w:val="nil"/>
            </w:tcBorders>
            <w:shd w:val="clear" w:color="auto" w:fill="auto"/>
            <w:noWrap/>
            <w:vAlign w:val="center"/>
          </w:tcPr>
          <w:p w14:paraId="2961F379" w14:textId="77777777" w:rsidR="004A03F6" w:rsidRDefault="004A03F6" w:rsidP="00DA24BA">
            <w:pPr>
              <w:jc w:val="center"/>
            </w:pPr>
            <w:r>
              <w:t>-2.0333</w:t>
            </w:r>
          </w:p>
        </w:tc>
        <w:tc>
          <w:tcPr>
            <w:tcW w:w="600" w:type="dxa"/>
            <w:tcBorders>
              <w:left w:val="nil"/>
              <w:right w:val="nil"/>
            </w:tcBorders>
            <w:shd w:val="clear" w:color="auto" w:fill="auto"/>
            <w:noWrap/>
            <w:vAlign w:val="center"/>
          </w:tcPr>
          <w:p w14:paraId="2DC642B9" w14:textId="77777777" w:rsidR="004A03F6" w:rsidRPr="00C063BF" w:rsidRDefault="004A03F6" w:rsidP="00DA24BA">
            <w:pPr>
              <w:jc w:val="center"/>
            </w:pPr>
          </w:p>
        </w:tc>
        <w:tc>
          <w:tcPr>
            <w:tcW w:w="1420" w:type="dxa"/>
            <w:tcBorders>
              <w:left w:val="nil"/>
              <w:right w:val="nil"/>
            </w:tcBorders>
            <w:shd w:val="clear" w:color="auto" w:fill="auto"/>
            <w:noWrap/>
            <w:vAlign w:val="center"/>
          </w:tcPr>
          <w:p w14:paraId="29FA7DEA" w14:textId="77777777" w:rsidR="004A03F6" w:rsidRDefault="004A03F6" w:rsidP="00DA24BA">
            <w:pPr>
              <w:jc w:val="center"/>
            </w:pPr>
            <w:r>
              <w:t>-1.9215</w:t>
            </w:r>
          </w:p>
        </w:tc>
        <w:tc>
          <w:tcPr>
            <w:tcW w:w="620" w:type="dxa"/>
            <w:tcBorders>
              <w:left w:val="nil"/>
              <w:right w:val="nil"/>
            </w:tcBorders>
            <w:shd w:val="clear" w:color="auto" w:fill="auto"/>
            <w:noWrap/>
            <w:vAlign w:val="center"/>
          </w:tcPr>
          <w:p w14:paraId="09BD3129" w14:textId="77777777" w:rsidR="004A03F6" w:rsidRPr="00C063BF" w:rsidRDefault="004A03F6" w:rsidP="00DA24BA">
            <w:pPr>
              <w:jc w:val="center"/>
            </w:pPr>
          </w:p>
        </w:tc>
        <w:tc>
          <w:tcPr>
            <w:tcW w:w="1380" w:type="dxa"/>
            <w:tcBorders>
              <w:left w:val="nil"/>
              <w:right w:val="nil"/>
            </w:tcBorders>
            <w:shd w:val="clear" w:color="auto" w:fill="auto"/>
            <w:noWrap/>
            <w:vAlign w:val="center"/>
          </w:tcPr>
          <w:p w14:paraId="3A139962" w14:textId="77777777" w:rsidR="004A03F6" w:rsidRDefault="004A03F6" w:rsidP="00DA24BA">
            <w:pPr>
              <w:jc w:val="center"/>
            </w:pPr>
            <w:r>
              <w:t>-0.6215</w:t>
            </w:r>
          </w:p>
        </w:tc>
        <w:tc>
          <w:tcPr>
            <w:tcW w:w="583" w:type="dxa"/>
            <w:tcBorders>
              <w:left w:val="nil"/>
              <w:right w:val="nil"/>
            </w:tcBorders>
            <w:shd w:val="clear" w:color="auto" w:fill="auto"/>
            <w:noWrap/>
            <w:vAlign w:val="center"/>
          </w:tcPr>
          <w:p w14:paraId="1CF013E1" w14:textId="77777777" w:rsidR="004A03F6" w:rsidRPr="00C063BF" w:rsidRDefault="004A03F6" w:rsidP="00DA24BA">
            <w:pPr>
              <w:jc w:val="center"/>
            </w:pPr>
          </w:p>
        </w:tc>
      </w:tr>
      <w:tr w:rsidR="00BB4DA6" w:rsidRPr="00BC4AB4" w14:paraId="0CF1F5DA" w14:textId="77777777" w:rsidTr="00CF2DBA">
        <w:trPr>
          <w:trHeight w:val="303"/>
          <w:jc w:val="center"/>
        </w:trPr>
        <w:tc>
          <w:tcPr>
            <w:tcW w:w="1441" w:type="dxa"/>
            <w:tcBorders>
              <w:left w:val="nil"/>
              <w:right w:val="nil"/>
            </w:tcBorders>
            <w:shd w:val="clear" w:color="auto" w:fill="auto"/>
            <w:noWrap/>
            <w:vAlign w:val="center"/>
          </w:tcPr>
          <w:p w14:paraId="5C316F57" w14:textId="2C0BCD0E" w:rsidR="00BB4DA6" w:rsidRDefault="00BB4DA6" w:rsidP="00DA24BA">
            <w:pPr>
              <w:jc w:val="center"/>
            </w:pPr>
            <w:r>
              <w:t>DROP</w:t>
            </w:r>
          </w:p>
        </w:tc>
        <w:tc>
          <w:tcPr>
            <w:tcW w:w="1420" w:type="dxa"/>
            <w:tcBorders>
              <w:left w:val="nil"/>
              <w:right w:val="nil"/>
            </w:tcBorders>
            <w:shd w:val="clear" w:color="auto" w:fill="auto"/>
            <w:noWrap/>
            <w:vAlign w:val="center"/>
          </w:tcPr>
          <w:p w14:paraId="6F89353E" w14:textId="22B2874B" w:rsidR="00BB4DA6" w:rsidRDefault="000E6418" w:rsidP="00DA24BA">
            <w:pPr>
              <w:jc w:val="center"/>
            </w:pPr>
            <w:r>
              <w:t>-14.7709</w:t>
            </w:r>
          </w:p>
        </w:tc>
        <w:tc>
          <w:tcPr>
            <w:tcW w:w="600" w:type="dxa"/>
            <w:tcBorders>
              <w:left w:val="nil"/>
              <w:right w:val="nil"/>
            </w:tcBorders>
            <w:shd w:val="clear" w:color="auto" w:fill="auto"/>
            <w:noWrap/>
            <w:vAlign w:val="center"/>
          </w:tcPr>
          <w:p w14:paraId="7DCC8727" w14:textId="2CCDD314" w:rsidR="00BB4DA6" w:rsidRPr="00C063BF" w:rsidRDefault="000E6418" w:rsidP="00DA24BA">
            <w:pPr>
              <w:jc w:val="center"/>
            </w:pPr>
            <w:r>
              <w:t>***</w:t>
            </w:r>
          </w:p>
        </w:tc>
        <w:tc>
          <w:tcPr>
            <w:tcW w:w="1420" w:type="dxa"/>
            <w:tcBorders>
              <w:left w:val="nil"/>
              <w:right w:val="nil"/>
            </w:tcBorders>
            <w:shd w:val="clear" w:color="auto" w:fill="auto"/>
            <w:noWrap/>
            <w:vAlign w:val="center"/>
          </w:tcPr>
          <w:p w14:paraId="2A69D848" w14:textId="101D2D25" w:rsidR="00BB4DA6" w:rsidRDefault="000E6418" w:rsidP="00DA24BA">
            <w:pPr>
              <w:jc w:val="center"/>
            </w:pPr>
            <w:r>
              <w:t>-15.1262</w:t>
            </w:r>
          </w:p>
        </w:tc>
        <w:tc>
          <w:tcPr>
            <w:tcW w:w="620" w:type="dxa"/>
            <w:tcBorders>
              <w:left w:val="nil"/>
              <w:right w:val="nil"/>
            </w:tcBorders>
            <w:shd w:val="clear" w:color="auto" w:fill="auto"/>
            <w:noWrap/>
            <w:vAlign w:val="center"/>
          </w:tcPr>
          <w:p w14:paraId="399B1866" w14:textId="1781D360" w:rsidR="00BB4DA6" w:rsidRPr="00C063BF" w:rsidRDefault="000E6418" w:rsidP="00DA24BA">
            <w:pPr>
              <w:jc w:val="center"/>
            </w:pPr>
            <w:r>
              <w:t>***</w:t>
            </w:r>
          </w:p>
        </w:tc>
        <w:tc>
          <w:tcPr>
            <w:tcW w:w="1380" w:type="dxa"/>
            <w:tcBorders>
              <w:left w:val="nil"/>
              <w:right w:val="nil"/>
            </w:tcBorders>
            <w:shd w:val="clear" w:color="auto" w:fill="auto"/>
            <w:noWrap/>
            <w:vAlign w:val="center"/>
          </w:tcPr>
          <w:p w14:paraId="0E03DD85" w14:textId="6F07D062" w:rsidR="00BB4DA6" w:rsidRDefault="000E6418" w:rsidP="00DA24BA">
            <w:pPr>
              <w:jc w:val="center"/>
            </w:pPr>
            <w:r>
              <w:t>-14.7922</w:t>
            </w:r>
          </w:p>
        </w:tc>
        <w:tc>
          <w:tcPr>
            <w:tcW w:w="583" w:type="dxa"/>
            <w:tcBorders>
              <w:left w:val="nil"/>
              <w:right w:val="nil"/>
            </w:tcBorders>
            <w:shd w:val="clear" w:color="auto" w:fill="auto"/>
            <w:noWrap/>
            <w:vAlign w:val="center"/>
          </w:tcPr>
          <w:p w14:paraId="4555F056" w14:textId="7E1C099D" w:rsidR="00BB4DA6" w:rsidRPr="00C063BF" w:rsidRDefault="000E6418" w:rsidP="00DA24BA">
            <w:pPr>
              <w:jc w:val="center"/>
            </w:pPr>
            <w:r>
              <w:t>***</w:t>
            </w:r>
          </w:p>
        </w:tc>
      </w:tr>
      <w:tr w:rsidR="00566074" w:rsidRPr="00BC4AB4" w14:paraId="56BF6CE4" w14:textId="77777777" w:rsidTr="00CF2DBA">
        <w:trPr>
          <w:trHeight w:val="303"/>
          <w:jc w:val="center"/>
        </w:trPr>
        <w:tc>
          <w:tcPr>
            <w:tcW w:w="1441" w:type="dxa"/>
            <w:tcBorders>
              <w:left w:val="nil"/>
              <w:right w:val="nil"/>
            </w:tcBorders>
            <w:shd w:val="clear" w:color="auto" w:fill="auto"/>
            <w:noWrap/>
            <w:vAlign w:val="center"/>
          </w:tcPr>
          <w:p w14:paraId="56AD8DFE" w14:textId="247D7525" w:rsidR="00566074" w:rsidRDefault="00566074" w:rsidP="00DA24BA">
            <w:pPr>
              <w:jc w:val="center"/>
            </w:pPr>
            <w:r>
              <w:t>EPU</w:t>
            </w:r>
          </w:p>
        </w:tc>
        <w:tc>
          <w:tcPr>
            <w:tcW w:w="1420" w:type="dxa"/>
            <w:tcBorders>
              <w:left w:val="nil"/>
              <w:right w:val="nil"/>
            </w:tcBorders>
            <w:shd w:val="clear" w:color="auto" w:fill="auto"/>
            <w:noWrap/>
            <w:vAlign w:val="center"/>
          </w:tcPr>
          <w:p w14:paraId="5B2D262F" w14:textId="134FB1F7" w:rsidR="00566074" w:rsidRDefault="00F20485" w:rsidP="00DA24BA">
            <w:pPr>
              <w:jc w:val="center"/>
            </w:pPr>
            <w:r>
              <w:t>-4.0246</w:t>
            </w:r>
          </w:p>
        </w:tc>
        <w:tc>
          <w:tcPr>
            <w:tcW w:w="600" w:type="dxa"/>
            <w:tcBorders>
              <w:left w:val="nil"/>
              <w:right w:val="nil"/>
            </w:tcBorders>
            <w:shd w:val="clear" w:color="auto" w:fill="auto"/>
            <w:noWrap/>
            <w:vAlign w:val="center"/>
          </w:tcPr>
          <w:p w14:paraId="6E1EBBE7" w14:textId="2E77842C" w:rsidR="00566074" w:rsidRPr="00C063BF" w:rsidRDefault="00F20485" w:rsidP="00DA24BA">
            <w:pPr>
              <w:jc w:val="center"/>
            </w:pPr>
            <w:r>
              <w:t>***</w:t>
            </w:r>
          </w:p>
        </w:tc>
        <w:tc>
          <w:tcPr>
            <w:tcW w:w="1420" w:type="dxa"/>
            <w:tcBorders>
              <w:left w:val="nil"/>
              <w:right w:val="nil"/>
            </w:tcBorders>
            <w:shd w:val="clear" w:color="auto" w:fill="auto"/>
            <w:noWrap/>
            <w:vAlign w:val="center"/>
          </w:tcPr>
          <w:p w14:paraId="2C1B7D29" w14:textId="14165D0F" w:rsidR="00566074" w:rsidRDefault="00F20485" w:rsidP="00DA24BA">
            <w:pPr>
              <w:jc w:val="center"/>
            </w:pPr>
            <w:r>
              <w:t>-5.3311</w:t>
            </w:r>
          </w:p>
        </w:tc>
        <w:tc>
          <w:tcPr>
            <w:tcW w:w="620" w:type="dxa"/>
            <w:tcBorders>
              <w:left w:val="nil"/>
              <w:right w:val="nil"/>
            </w:tcBorders>
            <w:shd w:val="clear" w:color="auto" w:fill="auto"/>
            <w:noWrap/>
            <w:vAlign w:val="center"/>
          </w:tcPr>
          <w:p w14:paraId="359D6BA1" w14:textId="23B0950E" w:rsidR="00566074" w:rsidRPr="00C063BF" w:rsidRDefault="00F20485" w:rsidP="00DA24BA">
            <w:pPr>
              <w:jc w:val="center"/>
            </w:pPr>
            <w:r>
              <w:t>***</w:t>
            </w:r>
          </w:p>
        </w:tc>
        <w:tc>
          <w:tcPr>
            <w:tcW w:w="1380" w:type="dxa"/>
            <w:tcBorders>
              <w:left w:val="nil"/>
              <w:right w:val="nil"/>
            </w:tcBorders>
            <w:shd w:val="clear" w:color="auto" w:fill="auto"/>
            <w:noWrap/>
            <w:vAlign w:val="center"/>
          </w:tcPr>
          <w:p w14:paraId="7336E23E" w14:textId="5D29AF7C" w:rsidR="00566074" w:rsidRDefault="00F20485" w:rsidP="00DA24BA">
            <w:pPr>
              <w:jc w:val="center"/>
            </w:pPr>
            <w:r>
              <w:t>-0.5459</w:t>
            </w:r>
          </w:p>
        </w:tc>
        <w:tc>
          <w:tcPr>
            <w:tcW w:w="583" w:type="dxa"/>
            <w:tcBorders>
              <w:left w:val="nil"/>
              <w:right w:val="nil"/>
            </w:tcBorders>
            <w:shd w:val="clear" w:color="auto" w:fill="auto"/>
            <w:noWrap/>
            <w:vAlign w:val="center"/>
          </w:tcPr>
          <w:p w14:paraId="1B924DCD" w14:textId="77777777" w:rsidR="00566074" w:rsidRPr="00C063BF" w:rsidRDefault="00566074" w:rsidP="00DA24BA">
            <w:pPr>
              <w:jc w:val="center"/>
            </w:pPr>
          </w:p>
        </w:tc>
      </w:tr>
      <w:tr w:rsidR="00566074" w:rsidRPr="00BC4AB4" w14:paraId="79A1D859" w14:textId="77777777" w:rsidTr="00CF2DBA">
        <w:trPr>
          <w:trHeight w:val="303"/>
          <w:jc w:val="center"/>
        </w:trPr>
        <w:tc>
          <w:tcPr>
            <w:tcW w:w="1441" w:type="dxa"/>
            <w:tcBorders>
              <w:left w:val="nil"/>
              <w:right w:val="nil"/>
            </w:tcBorders>
            <w:shd w:val="clear" w:color="auto" w:fill="auto"/>
            <w:noWrap/>
            <w:vAlign w:val="center"/>
          </w:tcPr>
          <w:p w14:paraId="464EF349" w14:textId="7A371DAC" w:rsidR="00566074" w:rsidRDefault="00566074" w:rsidP="00DA24BA">
            <w:pPr>
              <w:jc w:val="center"/>
            </w:pPr>
            <w:r>
              <w:t>MPU</w:t>
            </w:r>
          </w:p>
        </w:tc>
        <w:tc>
          <w:tcPr>
            <w:tcW w:w="1420" w:type="dxa"/>
            <w:tcBorders>
              <w:left w:val="nil"/>
              <w:right w:val="nil"/>
            </w:tcBorders>
            <w:shd w:val="clear" w:color="auto" w:fill="auto"/>
            <w:noWrap/>
            <w:vAlign w:val="center"/>
          </w:tcPr>
          <w:p w14:paraId="5DD81FF8" w14:textId="696A561D" w:rsidR="00566074" w:rsidRDefault="00F20485" w:rsidP="00DA24BA">
            <w:pPr>
              <w:jc w:val="center"/>
            </w:pPr>
            <w:r>
              <w:t>-9.9827</w:t>
            </w:r>
          </w:p>
        </w:tc>
        <w:tc>
          <w:tcPr>
            <w:tcW w:w="600" w:type="dxa"/>
            <w:tcBorders>
              <w:left w:val="nil"/>
              <w:right w:val="nil"/>
            </w:tcBorders>
            <w:shd w:val="clear" w:color="auto" w:fill="auto"/>
            <w:noWrap/>
            <w:vAlign w:val="center"/>
          </w:tcPr>
          <w:p w14:paraId="474F4EE0" w14:textId="1901BAF5" w:rsidR="00566074" w:rsidRPr="00C063BF" w:rsidRDefault="00F20485" w:rsidP="00DA24BA">
            <w:pPr>
              <w:jc w:val="center"/>
            </w:pPr>
            <w:r>
              <w:t>***</w:t>
            </w:r>
          </w:p>
        </w:tc>
        <w:tc>
          <w:tcPr>
            <w:tcW w:w="1420" w:type="dxa"/>
            <w:tcBorders>
              <w:left w:val="nil"/>
              <w:right w:val="nil"/>
            </w:tcBorders>
            <w:shd w:val="clear" w:color="auto" w:fill="auto"/>
            <w:noWrap/>
            <w:vAlign w:val="center"/>
          </w:tcPr>
          <w:p w14:paraId="4891C2CA" w14:textId="70EB252E" w:rsidR="00566074" w:rsidRDefault="00F20485" w:rsidP="00DA24BA">
            <w:pPr>
              <w:jc w:val="center"/>
            </w:pPr>
            <w:r>
              <w:t>-10.0272</w:t>
            </w:r>
          </w:p>
        </w:tc>
        <w:tc>
          <w:tcPr>
            <w:tcW w:w="620" w:type="dxa"/>
            <w:tcBorders>
              <w:left w:val="nil"/>
              <w:right w:val="nil"/>
            </w:tcBorders>
            <w:shd w:val="clear" w:color="auto" w:fill="auto"/>
            <w:noWrap/>
            <w:vAlign w:val="center"/>
          </w:tcPr>
          <w:p w14:paraId="1AEA89F0" w14:textId="2006DB0B" w:rsidR="00566074" w:rsidRPr="00C063BF" w:rsidRDefault="00F20485" w:rsidP="00DA24BA">
            <w:pPr>
              <w:jc w:val="center"/>
            </w:pPr>
            <w:r>
              <w:t>***</w:t>
            </w:r>
          </w:p>
        </w:tc>
        <w:tc>
          <w:tcPr>
            <w:tcW w:w="1380" w:type="dxa"/>
            <w:tcBorders>
              <w:left w:val="nil"/>
              <w:right w:val="nil"/>
            </w:tcBorders>
            <w:shd w:val="clear" w:color="auto" w:fill="auto"/>
            <w:noWrap/>
            <w:vAlign w:val="center"/>
          </w:tcPr>
          <w:p w14:paraId="32BA8BC3" w14:textId="2D67E00A" w:rsidR="00566074" w:rsidRDefault="00F20485" w:rsidP="00DA24BA">
            <w:pPr>
              <w:jc w:val="center"/>
            </w:pPr>
            <w:r>
              <w:t>-3.2933</w:t>
            </w:r>
          </w:p>
        </w:tc>
        <w:tc>
          <w:tcPr>
            <w:tcW w:w="583" w:type="dxa"/>
            <w:tcBorders>
              <w:left w:val="nil"/>
              <w:right w:val="nil"/>
            </w:tcBorders>
            <w:shd w:val="clear" w:color="auto" w:fill="auto"/>
            <w:noWrap/>
            <w:vAlign w:val="center"/>
          </w:tcPr>
          <w:p w14:paraId="39908DEF" w14:textId="2516B856" w:rsidR="00566074" w:rsidRPr="00C063BF" w:rsidRDefault="00F20485" w:rsidP="00DA24BA">
            <w:pPr>
              <w:jc w:val="center"/>
            </w:pPr>
            <w:r>
              <w:t>***</w:t>
            </w:r>
          </w:p>
        </w:tc>
      </w:tr>
      <w:tr w:rsidR="00566074" w:rsidRPr="00BC4AB4" w14:paraId="4FF82BE0" w14:textId="77777777" w:rsidTr="00CF2DBA">
        <w:trPr>
          <w:trHeight w:val="303"/>
          <w:jc w:val="center"/>
        </w:trPr>
        <w:tc>
          <w:tcPr>
            <w:tcW w:w="1441" w:type="dxa"/>
            <w:tcBorders>
              <w:left w:val="nil"/>
              <w:right w:val="nil"/>
            </w:tcBorders>
            <w:shd w:val="clear" w:color="auto" w:fill="auto"/>
            <w:noWrap/>
            <w:vAlign w:val="center"/>
          </w:tcPr>
          <w:p w14:paraId="6DBEF0F6" w14:textId="352A7490" w:rsidR="00566074" w:rsidRDefault="00566074" w:rsidP="00DA24BA">
            <w:pPr>
              <w:jc w:val="center"/>
            </w:pPr>
            <w:r>
              <w:t>VOL</w:t>
            </w:r>
          </w:p>
        </w:tc>
        <w:tc>
          <w:tcPr>
            <w:tcW w:w="1420" w:type="dxa"/>
            <w:tcBorders>
              <w:left w:val="nil"/>
              <w:right w:val="nil"/>
            </w:tcBorders>
            <w:shd w:val="clear" w:color="auto" w:fill="auto"/>
            <w:noWrap/>
            <w:vAlign w:val="center"/>
          </w:tcPr>
          <w:p w14:paraId="512F0494" w14:textId="72FC0FA8" w:rsidR="00566074" w:rsidRDefault="00D65CE6" w:rsidP="00DA24BA">
            <w:pPr>
              <w:jc w:val="center"/>
            </w:pPr>
            <w:r>
              <w:t>-4.9211</w:t>
            </w:r>
          </w:p>
        </w:tc>
        <w:tc>
          <w:tcPr>
            <w:tcW w:w="600" w:type="dxa"/>
            <w:tcBorders>
              <w:left w:val="nil"/>
              <w:right w:val="nil"/>
            </w:tcBorders>
            <w:shd w:val="clear" w:color="auto" w:fill="auto"/>
            <w:noWrap/>
            <w:vAlign w:val="center"/>
          </w:tcPr>
          <w:p w14:paraId="13CF7B4F" w14:textId="0AB7094D" w:rsidR="00566074" w:rsidRPr="00C063BF" w:rsidRDefault="00D65CE6" w:rsidP="00DA24BA">
            <w:pPr>
              <w:jc w:val="center"/>
            </w:pPr>
            <w:r>
              <w:t>***</w:t>
            </w:r>
          </w:p>
        </w:tc>
        <w:tc>
          <w:tcPr>
            <w:tcW w:w="1420" w:type="dxa"/>
            <w:tcBorders>
              <w:left w:val="nil"/>
              <w:right w:val="nil"/>
            </w:tcBorders>
            <w:shd w:val="clear" w:color="auto" w:fill="auto"/>
            <w:noWrap/>
            <w:vAlign w:val="center"/>
          </w:tcPr>
          <w:p w14:paraId="19BA3B80" w14:textId="1820704F" w:rsidR="00566074" w:rsidRDefault="00D65CE6" w:rsidP="00DA24BA">
            <w:pPr>
              <w:jc w:val="center"/>
            </w:pPr>
            <w:r>
              <w:t>-4.9160</w:t>
            </w:r>
          </w:p>
        </w:tc>
        <w:tc>
          <w:tcPr>
            <w:tcW w:w="620" w:type="dxa"/>
            <w:tcBorders>
              <w:left w:val="nil"/>
              <w:right w:val="nil"/>
            </w:tcBorders>
            <w:shd w:val="clear" w:color="auto" w:fill="auto"/>
            <w:noWrap/>
            <w:vAlign w:val="center"/>
          </w:tcPr>
          <w:p w14:paraId="18896103" w14:textId="3A9D5343" w:rsidR="00566074" w:rsidRPr="00C063BF" w:rsidRDefault="00D65CE6" w:rsidP="00DA24BA">
            <w:pPr>
              <w:jc w:val="center"/>
            </w:pPr>
            <w:r>
              <w:t>***</w:t>
            </w:r>
          </w:p>
        </w:tc>
        <w:tc>
          <w:tcPr>
            <w:tcW w:w="1380" w:type="dxa"/>
            <w:tcBorders>
              <w:left w:val="nil"/>
              <w:right w:val="nil"/>
            </w:tcBorders>
            <w:shd w:val="clear" w:color="auto" w:fill="auto"/>
            <w:noWrap/>
            <w:vAlign w:val="center"/>
          </w:tcPr>
          <w:p w14:paraId="695B7CD0" w14:textId="6E7186EC" w:rsidR="00566074" w:rsidRDefault="00D65CE6" w:rsidP="00DA24BA">
            <w:pPr>
              <w:jc w:val="center"/>
            </w:pPr>
            <w:r>
              <w:t>-1.3640</w:t>
            </w:r>
          </w:p>
        </w:tc>
        <w:tc>
          <w:tcPr>
            <w:tcW w:w="583" w:type="dxa"/>
            <w:tcBorders>
              <w:left w:val="nil"/>
              <w:right w:val="nil"/>
            </w:tcBorders>
            <w:shd w:val="clear" w:color="auto" w:fill="auto"/>
            <w:noWrap/>
            <w:vAlign w:val="center"/>
          </w:tcPr>
          <w:p w14:paraId="75D037C3" w14:textId="77777777" w:rsidR="00566074" w:rsidRPr="00C063BF" w:rsidRDefault="00566074" w:rsidP="00DA24BA">
            <w:pPr>
              <w:jc w:val="center"/>
            </w:pPr>
          </w:p>
        </w:tc>
      </w:tr>
      <w:tr w:rsidR="00566074" w:rsidRPr="00BC4AB4" w14:paraId="35C2F137" w14:textId="77777777" w:rsidTr="00CF2DBA">
        <w:trPr>
          <w:trHeight w:val="303"/>
          <w:jc w:val="center"/>
        </w:trPr>
        <w:tc>
          <w:tcPr>
            <w:tcW w:w="1441" w:type="dxa"/>
            <w:tcBorders>
              <w:left w:val="nil"/>
              <w:bottom w:val="single" w:sz="4" w:space="0" w:color="auto"/>
              <w:right w:val="nil"/>
            </w:tcBorders>
            <w:shd w:val="clear" w:color="auto" w:fill="auto"/>
            <w:noWrap/>
            <w:vAlign w:val="center"/>
          </w:tcPr>
          <w:p w14:paraId="47A16AE6" w14:textId="2B979DCC" w:rsidR="00566074" w:rsidRDefault="00566074" w:rsidP="00DA24BA">
            <w:pPr>
              <w:jc w:val="center"/>
            </w:pPr>
            <w:r>
              <w:t>ROV</w:t>
            </w:r>
          </w:p>
        </w:tc>
        <w:tc>
          <w:tcPr>
            <w:tcW w:w="1420" w:type="dxa"/>
            <w:tcBorders>
              <w:left w:val="nil"/>
              <w:bottom w:val="single" w:sz="4" w:space="0" w:color="auto"/>
              <w:right w:val="nil"/>
            </w:tcBorders>
            <w:shd w:val="clear" w:color="auto" w:fill="auto"/>
            <w:noWrap/>
            <w:vAlign w:val="center"/>
          </w:tcPr>
          <w:p w14:paraId="168ECDA1" w14:textId="4A70F5A1" w:rsidR="00566074" w:rsidRDefault="00D65CE6" w:rsidP="00DA24BA">
            <w:pPr>
              <w:jc w:val="center"/>
            </w:pPr>
            <w:r>
              <w:t>-7.0334</w:t>
            </w:r>
          </w:p>
        </w:tc>
        <w:tc>
          <w:tcPr>
            <w:tcW w:w="600" w:type="dxa"/>
            <w:tcBorders>
              <w:left w:val="nil"/>
              <w:bottom w:val="single" w:sz="4" w:space="0" w:color="auto"/>
              <w:right w:val="nil"/>
            </w:tcBorders>
            <w:shd w:val="clear" w:color="auto" w:fill="auto"/>
            <w:noWrap/>
            <w:vAlign w:val="center"/>
          </w:tcPr>
          <w:p w14:paraId="7F734551" w14:textId="657054E7" w:rsidR="00566074" w:rsidRPr="00C063BF" w:rsidRDefault="00D65CE6" w:rsidP="00DA24BA">
            <w:pPr>
              <w:jc w:val="center"/>
            </w:pPr>
            <w:r>
              <w:t>***</w:t>
            </w:r>
          </w:p>
        </w:tc>
        <w:tc>
          <w:tcPr>
            <w:tcW w:w="1420" w:type="dxa"/>
            <w:tcBorders>
              <w:left w:val="nil"/>
              <w:bottom w:val="single" w:sz="4" w:space="0" w:color="auto"/>
              <w:right w:val="nil"/>
            </w:tcBorders>
            <w:shd w:val="clear" w:color="auto" w:fill="auto"/>
            <w:noWrap/>
            <w:vAlign w:val="center"/>
          </w:tcPr>
          <w:p w14:paraId="04373E99" w14:textId="32E287B5" w:rsidR="00566074" w:rsidRDefault="00D65CE6" w:rsidP="00DA24BA">
            <w:pPr>
              <w:jc w:val="center"/>
            </w:pPr>
            <w:r>
              <w:t>-7.4156</w:t>
            </w:r>
          </w:p>
        </w:tc>
        <w:tc>
          <w:tcPr>
            <w:tcW w:w="620" w:type="dxa"/>
            <w:tcBorders>
              <w:left w:val="nil"/>
              <w:bottom w:val="single" w:sz="4" w:space="0" w:color="auto"/>
              <w:right w:val="nil"/>
            </w:tcBorders>
            <w:shd w:val="clear" w:color="auto" w:fill="auto"/>
            <w:noWrap/>
            <w:vAlign w:val="center"/>
          </w:tcPr>
          <w:p w14:paraId="566924F5" w14:textId="026EFD42" w:rsidR="00566074" w:rsidRPr="00C063BF" w:rsidRDefault="00D65CE6" w:rsidP="00DA24BA">
            <w:pPr>
              <w:jc w:val="center"/>
            </w:pPr>
            <w:r>
              <w:t>***</w:t>
            </w:r>
          </w:p>
        </w:tc>
        <w:tc>
          <w:tcPr>
            <w:tcW w:w="1380" w:type="dxa"/>
            <w:tcBorders>
              <w:left w:val="nil"/>
              <w:bottom w:val="single" w:sz="4" w:space="0" w:color="auto"/>
              <w:right w:val="nil"/>
            </w:tcBorders>
            <w:shd w:val="clear" w:color="auto" w:fill="auto"/>
            <w:noWrap/>
            <w:vAlign w:val="center"/>
          </w:tcPr>
          <w:p w14:paraId="1ABBBFBF" w14:textId="745EB02B" w:rsidR="00566074" w:rsidRDefault="00D65CE6" w:rsidP="00DA24BA">
            <w:pPr>
              <w:jc w:val="center"/>
            </w:pPr>
            <w:r>
              <w:t>-1.6434</w:t>
            </w:r>
          </w:p>
        </w:tc>
        <w:tc>
          <w:tcPr>
            <w:tcW w:w="583" w:type="dxa"/>
            <w:tcBorders>
              <w:left w:val="nil"/>
              <w:bottom w:val="single" w:sz="4" w:space="0" w:color="auto"/>
              <w:right w:val="nil"/>
            </w:tcBorders>
            <w:shd w:val="clear" w:color="auto" w:fill="auto"/>
            <w:noWrap/>
            <w:vAlign w:val="center"/>
          </w:tcPr>
          <w:p w14:paraId="2FB7B5B7" w14:textId="3ED43DB7" w:rsidR="00566074" w:rsidRPr="00C063BF" w:rsidRDefault="00D65CE6" w:rsidP="00DA24BA">
            <w:pPr>
              <w:jc w:val="center"/>
            </w:pPr>
            <w:r>
              <w:t>*</w:t>
            </w:r>
          </w:p>
        </w:tc>
      </w:tr>
      <w:tr w:rsidR="004A03F6" w:rsidRPr="00FE0C18" w14:paraId="10C0EF38" w14:textId="77777777" w:rsidTr="00CF2DBA">
        <w:trPr>
          <w:trHeight w:val="2404"/>
          <w:jc w:val="center"/>
        </w:trPr>
        <w:tc>
          <w:tcPr>
            <w:tcW w:w="7464" w:type="dxa"/>
            <w:gridSpan w:val="7"/>
            <w:tcBorders>
              <w:top w:val="single" w:sz="4" w:space="0" w:color="auto"/>
              <w:left w:val="nil"/>
              <w:bottom w:val="single" w:sz="4" w:space="0" w:color="auto"/>
              <w:right w:val="nil"/>
            </w:tcBorders>
            <w:shd w:val="clear" w:color="auto" w:fill="auto"/>
            <w:noWrap/>
          </w:tcPr>
          <w:p w14:paraId="035C8E04" w14:textId="20E9DC56" w:rsidR="004A03F6" w:rsidRPr="00F35611" w:rsidRDefault="004A03F6" w:rsidP="003142C3">
            <w:pPr>
              <w:tabs>
                <w:tab w:val="left" w:pos="219"/>
              </w:tabs>
              <w:jc w:val="both"/>
              <w:rPr>
                <w:sz w:val="20"/>
                <w:szCs w:val="20"/>
              </w:rPr>
            </w:pPr>
            <w:r w:rsidRPr="0071671B">
              <w:rPr>
                <w:sz w:val="20"/>
                <w:szCs w:val="20"/>
              </w:rPr>
              <w:t xml:space="preserve">Note: </w:t>
            </w:r>
            <w:r w:rsidR="00797F92">
              <w:rPr>
                <w:sz w:val="20"/>
                <w:szCs w:val="20"/>
              </w:rPr>
              <w:t>The table reports the u</w:t>
            </w:r>
            <w:r w:rsidRPr="0071671B">
              <w:rPr>
                <w:sz w:val="20"/>
                <w:szCs w:val="20"/>
              </w:rPr>
              <w:t xml:space="preserve">nit root tests of </w:t>
            </w:r>
            <w:r w:rsidR="00004DCB">
              <w:rPr>
                <w:sz w:val="20"/>
                <w:szCs w:val="20"/>
              </w:rPr>
              <w:t>10-year sovereign</w:t>
            </w:r>
            <w:r w:rsidR="002D15C6">
              <w:rPr>
                <w:sz w:val="20"/>
                <w:szCs w:val="20"/>
              </w:rPr>
              <w:t xml:space="preserve"> </w:t>
            </w:r>
            <w:r w:rsidR="00811F7E">
              <w:rPr>
                <w:sz w:val="20"/>
                <w:szCs w:val="20"/>
              </w:rPr>
              <w:t xml:space="preserve">yield spreads over Germany of </w:t>
            </w:r>
            <w:r w:rsidR="002D15C6">
              <w:rPr>
                <w:sz w:val="20"/>
                <w:szCs w:val="20"/>
              </w:rPr>
              <w:t>core and periphery countries (Austria (</w:t>
            </w:r>
            <w:proofErr w:type="spellStart"/>
            <w:r w:rsidR="002D15C6">
              <w:rPr>
                <w:sz w:val="20"/>
                <w:szCs w:val="20"/>
              </w:rPr>
              <w:t>saus</w:t>
            </w:r>
            <w:proofErr w:type="spellEnd"/>
            <w:r w:rsidR="002D15C6">
              <w:rPr>
                <w:sz w:val="20"/>
                <w:szCs w:val="20"/>
              </w:rPr>
              <w:t>), Belgium (</w:t>
            </w:r>
            <w:proofErr w:type="spellStart"/>
            <w:r w:rsidR="002D15C6">
              <w:rPr>
                <w:sz w:val="20"/>
                <w:szCs w:val="20"/>
              </w:rPr>
              <w:t>sbel</w:t>
            </w:r>
            <w:proofErr w:type="spellEnd"/>
            <w:r w:rsidR="002D15C6">
              <w:rPr>
                <w:sz w:val="20"/>
                <w:szCs w:val="20"/>
              </w:rPr>
              <w:t>), Finland (</w:t>
            </w:r>
            <w:proofErr w:type="spellStart"/>
            <w:r w:rsidR="002D15C6">
              <w:rPr>
                <w:sz w:val="20"/>
                <w:szCs w:val="20"/>
              </w:rPr>
              <w:t>sfin</w:t>
            </w:r>
            <w:proofErr w:type="spellEnd"/>
            <w:r w:rsidR="002D15C6">
              <w:rPr>
                <w:sz w:val="20"/>
                <w:szCs w:val="20"/>
              </w:rPr>
              <w:t>), France (</w:t>
            </w:r>
            <w:proofErr w:type="spellStart"/>
            <w:r w:rsidR="002D15C6">
              <w:rPr>
                <w:sz w:val="20"/>
                <w:szCs w:val="20"/>
              </w:rPr>
              <w:t>sfra</w:t>
            </w:r>
            <w:proofErr w:type="spellEnd"/>
            <w:r w:rsidR="002D15C6">
              <w:rPr>
                <w:sz w:val="20"/>
                <w:szCs w:val="20"/>
              </w:rPr>
              <w:t>),</w:t>
            </w:r>
            <w:r w:rsidR="003142C3">
              <w:rPr>
                <w:sz w:val="20"/>
                <w:szCs w:val="20"/>
              </w:rPr>
              <w:t xml:space="preserve"> </w:t>
            </w:r>
            <w:r w:rsidR="002D15C6">
              <w:rPr>
                <w:sz w:val="20"/>
                <w:szCs w:val="20"/>
              </w:rPr>
              <w:t>Netherlands (</w:t>
            </w:r>
            <w:proofErr w:type="spellStart"/>
            <w:r w:rsidR="002D15C6">
              <w:rPr>
                <w:sz w:val="20"/>
                <w:szCs w:val="20"/>
              </w:rPr>
              <w:t>snet</w:t>
            </w:r>
            <w:proofErr w:type="spellEnd"/>
            <w:r w:rsidR="002D15C6">
              <w:rPr>
                <w:sz w:val="20"/>
                <w:szCs w:val="20"/>
              </w:rPr>
              <w:t>), Greece (</w:t>
            </w:r>
            <w:proofErr w:type="spellStart"/>
            <w:r w:rsidR="002D15C6">
              <w:rPr>
                <w:sz w:val="20"/>
                <w:szCs w:val="20"/>
              </w:rPr>
              <w:t>sgre</w:t>
            </w:r>
            <w:proofErr w:type="spellEnd"/>
            <w:r w:rsidR="002D15C6">
              <w:rPr>
                <w:sz w:val="20"/>
                <w:szCs w:val="20"/>
              </w:rPr>
              <w:t>), Ireland (sire), Italy (</w:t>
            </w:r>
            <w:proofErr w:type="spellStart"/>
            <w:r w:rsidR="002D15C6">
              <w:rPr>
                <w:sz w:val="20"/>
                <w:szCs w:val="20"/>
              </w:rPr>
              <w:t>sita</w:t>
            </w:r>
            <w:proofErr w:type="spellEnd"/>
            <w:r w:rsidR="002D15C6">
              <w:rPr>
                <w:sz w:val="20"/>
                <w:szCs w:val="20"/>
              </w:rPr>
              <w:t>), Portugal (</w:t>
            </w:r>
            <w:proofErr w:type="spellStart"/>
            <w:r w:rsidR="002D15C6">
              <w:rPr>
                <w:sz w:val="20"/>
                <w:szCs w:val="20"/>
              </w:rPr>
              <w:t>spor</w:t>
            </w:r>
            <w:proofErr w:type="spellEnd"/>
            <w:r w:rsidR="002D15C6">
              <w:rPr>
                <w:sz w:val="20"/>
                <w:szCs w:val="20"/>
              </w:rPr>
              <w:t>) and Spain (</w:t>
            </w:r>
            <w:proofErr w:type="spellStart"/>
            <w:r w:rsidR="002D15C6">
              <w:rPr>
                <w:sz w:val="20"/>
                <w:szCs w:val="20"/>
              </w:rPr>
              <w:t>sspa</w:t>
            </w:r>
            <w:proofErr w:type="spellEnd"/>
            <w:r w:rsidR="002D15C6">
              <w:rPr>
                <w:sz w:val="20"/>
                <w:szCs w:val="20"/>
              </w:rPr>
              <w:t xml:space="preserve">)). </w:t>
            </w:r>
            <w:r w:rsidR="00C72B03">
              <w:rPr>
                <w:sz w:val="20"/>
                <w:szCs w:val="20"/>
              </w:rPr>
              <w:t xml:space="preserve">In addition, </w:t>
            </w:r>
            <w:r w:rsidR="00797F92">
              <w:rPr>
                <w:sz w:val="20"/>
                <w:szCs w:val="20"/>
              </w:rPr>
              <w:t xml:space="preserve">it reports the </w:t>
            </w:r>
            <w:r w:rsidR="00C72B03">
              <w:rPr>
                <w:sz w:val="20"/>
                <w:szCs w:val="20"/>
              </w:rPr>
              <w:t>u</w:t>
            </w:r>
            <w:r w:rsidR="00C72B03" w:rsidRPr="0071671B">
              <w:rPr>
                <w:sz w:val="20"/>
                <w:szCs w:val="20"/>
              </w:rPr>
              <w:t xml:space="preserve">nit root tests of </w:t>
            </w:r>
            <w:r w:rsidR="00C72B03">
              <w:rPr>
                <w:sz w:val="20"/>
                <w:szCs w:val="20"/>
              </w:rPr>
              <w:t>10-year sovereign yield spreads over Germany of core and periphery countries in first differences (Austria (</w:t>
            </w:r>
            <w:proofErr w:type="spellStart"/>
            <w:r w:rsidR="00C72B03">
              <w:rPr>
                <w:sz w:val="20"/>
                <w:szCs w:val="20"/>
              </w:rPr>
              <w:t>dsaus</w:t>
            </w:r>
            <w:proofErr w:type="spellEnd"/>
            <w:r w:rsidR="00C72B03">
              <w:rPr>
                <w:sz w:val="20"/>
                <w:szCs w:val="20"/>
              </w:rPr>
              <w:t>), Belgium (</w:t>
            </w:r>
            <w:proofErr w:type="spellStart"/>
            <w:r w:rsidR="00C72B03">
              <w:rPr>
                <w:sz w:val="20"/>
                <w:szCs w:val="20"/>
              </w:rPr>
              <w:t>dsbel</w:t>
            </w:r>
            <w:proofErr w:type="spellEnd"/>
            <w:r w:rsidR="00C72B03">
              <w:rPr>
                <w:sz w:val="20"/>
                <w:szCs w:val="20"/>
              </w:rPr>
              <w:t>), Finland (</w:t>
            </w:r>
            <w:proofErr w:type="spellStart"/>
            <w:r w:rsidR="00C72B03">
              <w:rPr>
                <w:sz w:val="20"/>
                <w:szCs w:val="20"/>
              </w:rPr>
              <w:t>dsfin</w:t>
            </w:r>
            <w:proofErr w:type="spellEnd"/>
            <w:r w:rsidR="00C72B03">
              <w:rPr>
                <w:sz w:val="20"/>
                <w:szCs w:val="20"/>
              </w:rPr>
              <w:t>), France (</w:t>
            </w:r>
            <w:proofErr w:type="spellStart"/>
            <w:r w:rsidR="00C72B03">
              <w:rPr>
                <w:sz w:val="20"/>
                <w:szCs w:val="20"/>
              </w:rPr>
              <w:t>dsfra</w:t>
            </w:r>
            <w:proofErr w:type="spellEnd"/>
            <w:r w:rsidR="00C72B03">
              <w:rPr>
                <w:sz w:val="20"/>
                <w:szCs w:val="20"/>
              </w:rPr>
              <w:t>), Netherlands (</w:t>
            </w:r>
            <w:proofErr w:type="spellStart"/>
            <w:r w:rsidR="00C72B03">
              <w:rPr>
                <w:sz w:val="20"/>
                <w:szCs w:val="20"/>
              </w:rPr>
              <w:t>dsnet</w:t>
            </w:r>
            <w:proofErr w:type="spellEnd"/>
            <w:r w:rsidR="00C72B03">
              <w:rPr>
                <w:sz w:val="20"/>
                <w:szCs w:val="20"/>
              </w:rPr>
              <w:t>), Greece (</w:t>
            </w:r>
            <w:proofErr w:type="spellStart"/>
            <w:r w:rsidR="00C72B03">
              <w:rPr>
                <w:sz w:val="20"/>
                <w:szCs w:val="20"/>
              </w:rPr>
              <w:t>dsgre</w:t>
            </w:r>
            <w:proofErr w:type="spellEnd"/>
            <w:r w:rsidR="00C72B03">
              <w:rPr>
                <w:sz w:val="20"/>
                <w:szCs w:val="20"/>
              </w:rPr>
              <w:t>), Ireland (</w:t>
            </w:r>
            <w:proofErr w:type="spellStart"/>
            <w:r w:rsidR="00C72B03">
              <w:rPr>
                <w:sz w:val="20"/>
                <w:szCs w:val="20"/>
              </w:rPr>
              <w:t>dsire</w:t>
            </w:r>
            <w:proofErr w:type="spellEnd"/>
            <w:r w:rsidR="00C72B03">
              <w:rPr>
                <w:sz w:val="20"/>
                <w:szCs w:val="20"/>
              </w:rPr>
              <w:t>), Italy (</w:t>
            </w:r>
            <w:proofErr w:type="spellStart"/>
            <w:r w:rsidR="00C72B03">
              <w:rPr>
                <w:sz w:val="20"/>
                <w:szCs w:val="20"/>
              </w:rPr>
              <w:t>dsita</w:t>
            </w:r>
            <w:proofErr w:type="spellEnd"/>
            <w:r w:rsidR="00C72B03">
              <w:rPr>
                <w:sz w:val="20"/>
                <w:szCs w:val="20"/>
              </w:rPr>
              <w:t>), Portugal (</w:t>
            </w:r>
            <w:proofErr w:type="spellStart"/>
            <w:r w:rsidR="00C72B03">
              <w:rPr>
                <w:sz w:val="20"/>
                <w:szCs w:val="20"/>
              </w:rPr>
              <w:t>dspor</w:t>
            </w:r>
            <w:proofErr w:type="spellEnd"/>
            <w:r w:rsidR="00C72B03">
              <w:rPr>
                <w:sz w:val="20"/>
                <w:szCs w:val="20"/>
              </w:rPr>
              <w:t>) and Spain (</w:t>
            </w:r>
            <w:proofErr w:type="spellStart"/>
            <w:r w:rsidR="00C72B03">
              <w:rPr>
                <w:sz w:val="20"/>
                <w:szCs w:val="20"/>
              </w:rPr>
              <w:t>dsspa</w:t>
            </w:r>
            <w:proofErr w:type="spellEnd"/>
            <w:r w:rsidR="00C72B03">
              <w:rPr>
                <w:sz w:val="20"/>
                <w:szCs w:val="20"/>
              </w:rPr>
              <w:t xml:space="preserve">)). </w:t>
            </w:r>
            <w:r w:rsidR="002D15C6">
              <w:rPr>
                <w:sz w:val="20"/>
                <w:szCs w:val="20"/>
              </w:rPr>
              <w:t xml:space="preserve">Furthermore, </w:t>
            </w:r>
            <w:r w:rsidR="00797F92">
              <w:rPr>
                <w:sz w:val="20"/>
                <w:szCs w:val="20"/>
              </w:rPr>
              <w:t xml:space="preserve">it shows the </w:t>
            </w:r>
            <w:r w:rsidR="002D15C6">
              <w:rPr>
                <w:sz w:val="20"/>
                <w:szCs w:val="20"/>
              </w:rPr>
              <w:t>u</w:t>
            </w:r>
            <w:r w:rsidR="002D15C6" w:rsidRPr="0071671B">
              <w:rPr>
                <w:sz w:val="20"/>
                <w:szCs w:val="20"/>
              </w:rPr>
              <w:t>nit root tests of</w:t>
            </w:r>
            <w:r w:rsidR="002D15C6">
              <w:rPr>
                <w:sz w:val="20"/>
                <w:szCs w:val="20"/>
              </w:rPr>
              <w:t xml:space="preserve"> oil-market related variables of </w:t>
            </w:r>
            <w:r w:rsidRPr="0071671B">
              <w:rPr>
                <w:sz w:val="20"/>
                <w:szCs w:val="20"/>
              </w:rPr>
              <w:t>world oil producti</w:t>
            </w:r>
            <w:r w:rsidR="002D15C6">
              <w:rPr>
                <w:sz w:val="20"/>
                <w:szCs w:val="20"/>
              </w:rPr>
              <w:t>on</w:t>
            </w:r>
            <w:r w:rsidR="00C72B03">
              <w:rPr>
                <w:sz w:val="20"/>
                <w:szCs w:val="20"/>
              </w:rPr>
              <w:t xml:space="preserve"> in level</w:t>
            </w:r>
            <w:r w:rsidR="00797F92">
              <w:rPr>
                <w:sz w:val="20"/>
                <w:szCs w:val="20"/>
              </w:rPr>
              <w:t>s</w:t>
            </w:r>
            <w:r w:rsidR="002D15C6">
              <w:rPr>
                <w:sz w:val="20"/>
                <w:szCs w:val="20"/>
              </w:rPr>
              <w:t xml:space="preserve"> (PRO</w:t>
            </w:r>
            <w:r>
              <w:rPr>
                <w:sz w:val="20"/>
                <w:szCs w:val="20"/>
              </w:rPr>
              <w:t>)</w:t>
            </w:r>
            <w:r w:rsidR="00C72B03">
              <w:rPr>
                <w:sz w:val="20"/>
                <w:szCs w:val="20"/>
              </w:rPr>
              <w:t xml:space="preserve"> and first difference (DPRO)</w:t>
            </w:r>
            <w:r>
              <w:rPr>
                <w:sz w:val="20"/>
                <w:szCs w:val="20"/>
              </w:rPr>
              <w:t xml:space="preserve">, </w:t>
            </w:r>
            <w:r w:rsidRPr="0071671B">
              <w:rPr>
                <w:sz w:val="20"/>
                <w:szCs w:val="20"/>
              </w:rPr>
              <w:t xml:space="preserve">global economic activity </w:t>
            </w:r>
            <w:r w:rsidR="002D15C6">
              <w:rPr>
                <w:sz w:val="20"/>
                <w:szCs w:val="20"/>
              </w:rPr>
              <w:t>index (GEA</w:t>
            </w:r>
            <w:r>
              <w:rPr>
                <w:sz w:val="20"/>
                <w:szCs w:val="20"/>
              </w:rPr>
              <w:t>) and</w:t>
            </w:r>
            <w:r w:rsidR="002D15C6">
              <w:rPr>
                <w:sz w:val="20"/>
                <w:szCs w:val="20"/>
              </w:rPr>
              <w:t xml:space="preserve"> real oil price </w:t>
            </w:r>
            <w:r w:rsidR="00C72B03">
              <w:rPr>
                <w:sz w:val="20"/>
                <w:szCs w:val="20"/>
              </w:rPr>
              <w:t xml:space="preserve">in level </w:t>
            </w:r>
            <w:r w:rsidR="002D15C6">
              <w:rPr>
                <w:sz w:val="20"/>
                <w:szCs w:val="20"/>
              </w:rPr>
              <w:t>(ROP</w:t>
            </w:r>
            <w:r>
              <w:rPr>
                <w:sz w:val="20"/>
                <w:szCs w:val="20"/>
              </w:rPr>
              <w:t>)</w:t>
            </w:r>
            <w:r w:rsidR="00C72B03">
              <w:rPr>
                <w:sz w:val="20"/>
                <w:szCs w:val="20"/>
              </w:rPr>
              <w:t xml:space="preserve"> and first difference (DROP)</w:t>
            </w:r>
            <w:r w:rsidR="00797F92">
              <w:rPr>
                <w:sz w:val="20"/>
                <w:szCs w:val="20"/>
              </w:rPr>
              <w:t xml:space="preserve">, as well as, of the control variables </w:t>
            </w:r>
            <w:r w:rsidR="00F20485" w:rsidRPr="00F20485">
              <w:rPr>
                <w:sz w:val="20"/>
                <w:szCs w:val="20"/>
              </w:rPr>
              <w:t>European economic policy uncertainty index (EPU), the European monetary policy uncertainty index (MPU), the European stock market volatility index (VOL) and the realised oil price volatility (ROV)</w:t>
            </w:r>
            <w:r w:rsidR="00797F92">
              <w:rPr>
                <w:sz w:val="20"/>
                <w:szCs w:val="20"/>
              </w:rPr>
              <w:t xml:space="preserve"> in levels.</w:t>
            </w:r>
            <w:r w:rsidR="00F20485" w:rsidRPr="00F20485">
              <w:rPr>
                <w:sz w:val="20"/>
                <w:szCs w:val="20"/>
              </w:rPr>
              <w:t xml:space="preserve"> </w:t>
            </w:r>
            <w:r w:rsidRPr="0071671B">
              <w:rPr>
                <w:sz w:val="20"/>
                <w:szCs w:val="20"/>
              </w:rPr>
              <w:t xml:space="preserve">For the ADF and PP unit root tests the null hypothesis is that the series features a unit root. In both tests, </w:t>
            </w:r>
            <w:r w:rsidRPr="0071671B">
              <w:rPr>
                <w:rFonts w:eastAsia="TimesNewRomanPSMT"/>
                <w:sz w:val="20"/>
                <w:szCs w:val="20"/>
              </w:rPr>
              <w:t xml:space="preserve">C denotes constant term, C&amp;T denotes constant and time trend, N indicates no deterministic component in the test equation. </w:t>
            </w:r>
            <w:r w:rsidRPr="0071671B">
              <w:rPr>
                <w:sz w:val="20"/>
                <w:szCs w:val="20"/>
              </w:rPr>
              <w:t xml:space="preserve">Asterisk * (**, ***) denotes the 10% (5%, 1%) significance level. </w:t>
            </w:r>
            <w:r>
              <w:rPr>
                <w:sz w:val="20"/>
                <w:szCs w:val="20"/>
              </w:rPr>
              <w:t>For the core countries, the time period spans from January 1999</w:t>
            </w:r>
            <w:r w:rsidR="00566074">
              <w:rPr>
                <w:sz w:val="20"/>
                <w:szCs w:val="20"/>
              </w:rPr>
              <w:t xml:space="preserve"> to January</w:t>
            </w:r>
            <w:r>
              <w:rPr>
                <w:sz w:val="20"/>
                <w:szCs w:val="20"/>
              </w:rPr>
              <w:t xml:space="preserve"> 2016. For the periphery countries, the time period spans from January 2001</w:t>
            </w:r>
            <w:r w:rsidR="00566074">
              <w:rPr>
                <w:sz w:val="20"/>
                <w:szCs w:val="20"/>
              </w:rPr>
              <w:t xml:space="preserve"> to January</w:t>
            </w:r>
            <w:r>
              <w:rPr>
                <w:sz w:val="20"/>
                <w:szCs w:val="20"/>
              </w:rPr>
              <w:t xml:space="preserve"> 2016.  </w:t>
            </w:r>
          </w:p>
        </w:tc>
      </w:tr>
    </w:tbl>
    <w:p w14:paraId="54A600EC" w14:textId="77777777" w:rsidR="004A03F6" w:rsidRDefault="004A03F6" w:rsidP="004A03F6">
      <w:pPr>
        <w:tabs>
          <w:tab w:val="left" w:pos="1070"/>
        </w:tabs>
      </w:pPr>
    </w:p>
    <w:p w14:paraId="7F7E45CE" w14:textId="77777777" w:rsidR="00F70F1E" w:rsidRDefault="00F70F1E" w:rsidP="004A03F6">
      <w:pPr>
        <w:tabs>
          <w:tab w:val="left" w:pos="1070"/>
        </w:tabs>
      </w:pPr>
    </w:p>
    <w:p w14:paraId="2A48FB81" w14:textId="77777777" w:rsidR="00F70F1E" w:rsidRDefault="00F70F1E" w:rsidP="004A03F6">
      <w:pPr>
        <w:tabs>
          <w:tab w:val="left" w:pos="1070"/>
        </w:tabs>
      </w:pPr>
    </w:p>
    <w:p w14:paraId="4CE54D84" w14:textId="5B45F3B6" w:rsidR="00F70F1E" w:rsidRDefault="00F70F1E" w:rsidP="004A03F6">
      <w:pPr>
        <w:tabs>
          <w:tab w:val="left" w:pos="1070"/>
        </w:tabs>
      </w:pPr>
    </w:p>
    <w:p w14:paraId="25A363F6" w14:textId="7A44E75A" w:rsidR="00566074" w:rsidRDefault="00566074" w:rsidP="004A03F6">
      <w:pPr>
        <w:tabs>
          <w:tab w:val="left" w:pos="1070"/>
        </w:tabs>
      </w:pPr>
    </w:p>
    <w:p w14:paraId="406C6FB1" w14:textId="3B8CDD56" w:rsidR="00566074" w:rsidRDefault="00566074" w:rsidP="004A03F6">
      <w:pPr>
        <w:tabs>
          <w:tab w:val="left" w:pos="1070"/>
        </w:tabs>
      </w:pPr>
    </w:p>
    <w:p w14:paraId="2613F4ED" w14:textId="6884AC5D" w:rsidR="00566074" w:rsidRDefault="00566074" w:rsidP="004A03F6">
      <w:pPr>
        <w:tabs>
          <w:tab w:val="left" w:pos="1070"/>
        </w:tabs>
      </w:pPr>
    </w:p>
    <w:p w14:paraId="44D54E17" w14:textId="5B760198" w:rsidR="00566074" w:rsidRDefault="00566074" w:rsidP="004A03F6">
      <w:pPr>
        <w:tabs>
          <w:tab w:val="left" w:pos="1070"/>
        </w:tabs>
      </w:pPr>
    </w:p>
    <w:p w14:paraId="5928046D" w14:textId="5D80FB21" w:rsidR="00566074" w:rsidRDefault="00566074" w:rsidP="004A03F6">
      <w:pPr>
        <w:tabs>
          <w:tab w:val="left" w:pos="1070"/>
        </w:tabs>
      </w:pPr>
    </w:p>
    <w:p w14:paraId="382EF9C7" w14:textId="366B2267" w:rsidR="00566074" w:rsidRDefault="00566074" w:rsidP="004A03F6">
      <w:pPr>
        <w:tabs>
          <w:tab w:val="left" w:pos="1070"/>
        </w:tabs>
      </w:pPr>
    </w:p>
    <w:p w14:paraId="47139CBD" w14:textId="40D2CF4A" w:rsidR="00566074" w:rsidRDefault="00566074" w:rsidP="004A03F6">
      <w:pPr>
        <w:tabs>
          <w:tab w:val="left" w:pos="1070"/>
        </w:tabs>
      </w:pPr>
    </w:p>
    <w:p w14:paraId="72672A50" w14:textId="1D22BBC8" w:rsidR="00566074" w:rsidRDefault="00566074" w:rsidP="004A03F6">
      <w:pPr>
        <w:tabs>
          <w:tab w:val="left" w:pos="1070"/>
        </w:tabs>
      </w:pPr>
    </w:p>
    <w:p w14:paraId="588AAA0B" w14:textId="131A7CAF" w:rsidR="00566074" w:rsidRDefault="00566074" w:rsidP="004A03F6">
      <w:pPr>
        <w:tabs>
          <w:tab w:val="left" w:pos="1070"/>
        </w:tabs>
      </w:pPr>
    </w:p>
    <w:p w14:paraId="1DF2AFB2" w14:textId="1CBDC336" w:rsidR="00052E56" w:rsidRDefault="00052E56" w:rsidP="004A03F6">
      <w:pPr>
        <w:tabs>
          <w:tab w:val="left" w:pos="1070"/>
        </w:tabs>
      </w:pPr>
    </w:p>
    <w:p w14:paraId="36F69DE6" w14:textId="77777777" w:rsidR="00CF2DBA" w:rsidRDefault="00CF2DBA" w:rsidP="004A03F6">
      <w:pPr>
        <w:tabs>
          <w:tab w:val="left" w:pos="1070"/>
        </w:tabs>
      </w:pPr>
    </w:p>
    <w:tbl>
      <w:tblPr>
        <w:tblW w:w="6237" w:type="dxa"/>
        <w:jc w:val="center"/>
        <w:tblLook w:val="04A0" w:firstRow="1" w:lastRow="0" w:firstColumn="1" w:lastColumn="0" w:noHBand="0" w:noVBand="1"/>
      </w:tblPr>
      <w:tblGrid>
        <w:gridCol w:w="1300"/>
        <w:gridCol w:w="1535"/>
        <w:gridCol w:w="1701"/>
        <w:gridCol w:w="1701"/>
      </w:tblGrid>
      <w:tr w:rsidR="0040018D" w:rsidRPr="003E7E57" w14:paraId="091382F4" w14:textId="77777777" w:rsidTr="00CF2DBA">
        <w:trPr>
          <w:trHeight w:val="300"/>
          <w:jc w:val="center"/>
        </w:trPr>
        <w:tc>
          <w:tcPr>
            <w:tcW w:w="6237" w:type="dxa"/>
            <w:gridSpan w:val="4"/>
            <w:tcBorders>
              <w:top w:val="single" w:sz="4" w:space="0" w:color="auto"/>
              <w:left w:val="nil"/>
              <w:bottom w:val="single" w:sz="4" w:space="0" w:color="auto"/>
            </w:tcBorders>
            <w:shd w:val="clear" w:color="auto" w:fill="auto"/>
            <w:noWrap/>
            <w:vAlign w:val="bottom"/>
            <w:hideMark/>
          </w:tcPr>
          <w:p w14:paraId="6AD50451" w14:textId="5A363E6C" w:rsidR="0040018D" w:rsidRPr="003E7E57" w:rsidRDefault="0040018D" w:rsidP="00357EFD">
            <w:pPr>
              <w:rPr>
                <w:b/>
              </w:rPr>
            </w:pPr>
            <w:r>
              <w:rPr>
                <w:b/>
              </w:rPr>
              <w:t>Table 3</w:t>
            </w:r>
            <w:r w:rsidRPr="003E7E57">
              <w:rPr>
                <w:b/>
              </w:rPr>
              <w:t>: Unconditional correlations</w:t>
            </w:r>
            <w:r w:rsidR="000D6684">
              <w:rPr>
                <w:b/>
              </w:rPr>
              <w:t xml:space="preserve"> between</w:t>
            </w:r>
            <w:r w:rsidR="00677A4D">
              <w:rPr>
                <w:b/>
              </w:rPr>
              <w:t xml:space="preserve"> sovereign yield spreads and oil price shocks</w:t>
            </w:r>
            <w:r w:rsidR="000D6684">
              <w:rPr>
                <w:b/>
              </w:rPr>
              <w:t xml:space="preserve"> – whole sample</w:t>
            </w:r>
          </w:p>
        </w:tc>
      </w:tr>
      <w:tr w:rsidR="0040018D" w:rsidRPr="003E7E57" w14:paraId="10A84640" w14:textId="77777777" w:rsidTr="00CF2DBA">
        <w:trPr>
          <w:trHeight w:val="300"/>
          <w:jc w:val="center"/>
        </w:trPr>
        <w:tc>
          <w:tcPr>
            <w:tcW w:w="1300" w:type="dxa"/>
            <w:tcBorders>
              <w:top w:val="single" w:sz="4" w:space="0" w:color="auto"/>
              <w:left w:val="nil"/>
              <w:bottom w:val="single" w:sz="4" w:space="0" w:color="auto"/>
              <w:right w:val="nil"/>
            </w:tcBorders>
            <w:shd w:val="clear" w:color="auto" w:fill="auto"/>
            <w:noWrap/>
            <w:vAlign w:val="bottom"/>
            <w:hideMark/>
          </w:tcPr>
          <w:p w14:paraId="4C9370EE" w14:textId="77777777" w:rsidR="0040018D" w:rsidRPr="003E7E57" w:rsidRDefault="0040018D" w:rsidP="00357EFD">
            <w:pPr>
              <w:rPr>
                <w:sz w:val="20"/>
                <w:szCs w:val="20"/>
              </w:rPr>
            </w:pPr>
          </w:p>
        </w:tc>
        <w:tc>
          <w:tcPr>
            <w:tcW w:w="1535" w:type="dxa"/>
            <w:tcBorders>
              <w:top w:val="single" w:sz="4" w:space="0" w:color="auto"/>
              <w:left w:val="nil"/>
              <w:bottom w:val="single" w:sz="4" w:space="0" w:color="auto"/>
              <w:right w:val="nil"/>
            </w:tcBorders>
            <w:shd w:val="clear" w:color="auto" w:fill="auto"/>
            <w:noWrap/>
            <w:vAlign w:val="bottom"/>
            <w:hideMark/>
          </w:tcPr>
          <w:p w14:paraId="4F602D55" w14:textId="77777777" w:rsidR="0040018D" w:rsidRPr="003E7E57" w:rsidRDefault="0040018D" w:rsidP="00357EFD">
            <w:pPr>
              <w:jc w:val="center"/>
              <w:rPr>
                <w:color w:val="000000"/>
              </w:rPr>
            </w:pPr>
            <w:r>
              <w:rPr>
                <w:color w:val="000000"/>
              </w:rPr>
              <w:t>Supply-side shock</w:t>
            </w:r>
          </w:p>
        </w:tc>
        <w:tc>
          <w:tcPr>
            <w:tcW w:w="1701" w:type="dxa"/>
            <w:tcBorders>
              <w:top w:val="single" w:sz="4" w:space="0" w:color="auto"/>
              <w:left w:val="nil"/>
              <w:bottom w:val="single" w:sz="4" w:space="0" w:color="auto"/>
              <w:right w:val="nil"/>
            </w:tcBorders>
            <w:shd w:val="clear" w:color="auto" w:fill="auto"/>
            <w:noWrap/>
            <w:vAlign w:val="bottom"/>
            <w:hideMark/>
          </w:tcPr>
          <w:p w14:paraId="37B7EBAC" w14:textId="77777777" w:rsidR="0040018D" w:rsidRPr="003E7E57" w:rsidRDefault="0040018D" w:rsidP="00357EFD">
            <w:pPr>
              <w:jc w:val="center"/>
              <w:rPr>
                <w:color w:val="000000"/>
              </w:rPr>
            </w:pPr>
            <w:r>
              <w:rPr>
                <w:color w:val="000000"/>
              </w:rPr>
              <w:t>Aggregate demand shock</w:t>
            </w:r>
          </w:p>
        </w:tc>
        <w:tc>
          <w:tcPr>
            <w:tcW w:w="1701" w:type="dxa"/>
            <w:tcBorders>
              <w:top w:val="single" w:sz="4" w:space="0" w:color="auto"/>
              <w:left w:val="nil"/>
              <w:bottom w:val="single" w:sz="4" w:space="0" w:color="auto"/>
              <w:right w:val="nil"/>
            </w:tcBorders>
            <w:shd w:val="clear" w:color="auto" w:fill="auto"/>
            <w:noWrap/>
            <w:vAlign w:val="bottom"/>
            <w:hideMark/>
          </w:tcPr>
          <w:p w14:paraId="25D8FE80" w14:textId="77777777" w:rsidR="0040018D" w:rsidRPr="003E7E57" w:rsidRDefault="0040018D" w:rsidP="00357EFD">
            <w:pPr>
              <w:jc w:val="center"/>
              <w:rPr>
                <w:color w:val="000000"/>
              </w:rPr>
            </w:pPr>
            <w:r>
              <w:rPr>
                <w:color w:val="000000"/>
              </w:rPr>
              <w:t>Precautionary demand shock</w:t>
            </w:r>
          </w:p>
        </w:tc>
      </w:tr>
      <w:tr w:rsidR="0040018D" w:rsidRPr="003E7E57" w14:paraId="2DB225A7" w14:textId="77777777" w:rsidTr="00CF2DBA">
        <w:trPr>
          <w:trHeight w:val="300"/>
          <w:jc w:val="center"/>
        </w:trPr>
        <w:tc>
          <w:tcPr>
            <w:tcW w:w="1300" w:type="dxa"/>
            <w:tcBorders>
              <w:top w:val="single" w:sz="4" w:space="0" w:color="auto"/>
              <w:left w:val="nil"/>
              <w:bottom w:val="nil"/>
              <w:right w:val="nil"/>
            </w:tcBorders>
            <w:shd w:val="clear" w:color="auto" w:fill="auto"/>
            <w:noWrap/>
            <w:vAlign w:val="bottom"/>
            <w:hideMark/>
          </w:tcPr>
          <w:p w14:paraId="229BBF3F" w14:textId="77777777" w:rsidR="0040018D" w:rsidRPr="003E7E57" w:rsidRDefault="0040018D" w:rsidP="00F30F45">
            <w:pPr>
              <w:jc w:val="center"/>
              <w:rPr>
                <w:color w:val="000000"/>
              </w:rPr>
            </w:pPr>
            <w:proofErr w:type="spellStart"/>
            <w:r>
              <w:rPr>
                <w:color w:val="000000"/>
              </w:rPr>
              <w:t>saus</w:t>
            </w:r>
            <w:proofErr w:type="spellEnd"/>
          </w:p>
        </w:tc>
        <w:tc>
          <w:tcPr>
            <w:tcW w:w="1535" w:type="dxa"/>
            <w:tcBorders>
              <w:top w:val="single" w:sz="4" w:space="0" w:color="auto"/>
              <w:left w:val="nil"/>
              <w:bottom w:val="nil"/>
              <w:right w:val="nil"/>
            </w:tcBorders>
            <w:shd w:val="clear" w:color="auto" w:fill="auto"/>
            <w:noWrap/>
            <w:vAlign w:val="bottom"/>
            <w:hideMark/>
          </w:tcPr>
          <w:p w14:paraId="4C049DFE" w14:textId="5D3F86A5" w:rsidR="0040018D" w:rsidRPr="003E7E57" w:rsidRDefault="00EA43D7" w:rsidP="00F30F45">
            <w:pPr>
              <w:jc w:val="center"/>
              <w:rPr>
                <w:color w:val="000000"/>
              </w:rPr>
            </w:pPr>
            <w:r>
              <w:rPr>
                <w:color w:val="000000"/>
              </w:rPr>
              <w:t>-0.0676</w:t>
            </w:r>
          </w:p>
        </w:tc>
        <w:tc>
          <w:tcPr>
            <w:tcW w:w="1701" w:type="dxa"/>
            <w:tcBorders>
              <w:top w:val="single" w:sz="4" w:space="0" w:color="auto"/>
              <w:left w:val="nil"/>
              <w:bottom w:val="nil"/>
              <w:right w:val="nil"/>
            </w:tcBorders>
            <w:shd w:val="clear" w:color="auto" w:fill="auto"/>
            <w:noWrap/>
            <w:vAlign w:val="bottom"/>
            <w:hideMark/>
          </w:tcPr>
          <w:p w14:paraId="682DE566" w14:textId="4F65BFD6" w:rsidR="0040018D" w:rsidRPr="003E7E57" w:rsidRDefault="00B54A7A" w:rsidP="00F30F45">
            <w:pPr>
              <w:jc w:val="center"/>
              <w:rPr>
                <w:color w:val="000000"/>
              </w:rPr>
            </w:pPr>
            <w:r>
              <w:rPr>
                <w:color w:val="000000"/>
              </w:rPr>
              <w:t>0.0982</w:t>
            </w:r>
          </w:p>
        </w:tc>
        <w:tc>
          <w:tcPr>
            <w:tcW w:w="1701" w:type="dxa"/>
            <w:tcBorders>
              <w:top w:val="single" w:sz="4" w:space="0" w:color="auto"/>
              <w:left w:val="nil"/>
              <w:bottom w:val="nil"/>
              <w:right w:val="nil"/>
            </w:tcBorders>
            <w:shd w:val="clear" w:color="auto" w:fill="auto"/>
            <w:noWrap/>
            <w:vAlign w:val="bottom"/>
            <w:hideMark/>
          </w:tcPr>
          <w:p w14:paraId="43C668E0" w14:textId="567CD8B2" w:rsidR="0040018D" w:rsidRPr="003E7E57" w:rsidRDefault="00D42C88" w:rsidP="00F30F45">
            <w:pPr>
              <w:jc w:val="center"/>
              <w:rPr>
                <w:color w:val="000000"/>
              </w:rPr>
            </w:pPr>
            <w:r>
              <w:rPr>
                <w:color w:val="000000"/>
              </w:rPr>
              <w:t>-0.1294</w:t>
            </w:r>
          </w:p>
        </w:tc>
      </w:tr>
      <w:tr w:rsidR="0040018D" w:rsidRPr="003E7E57" w14:paraId="1F0674DC" w14:textId="77777777" w:rsidTr="00CF2DBA">
        <w:trPr>
          <w:trHeight w:val="300"/>
          <w:jc w:val="center"/>
        </w:trPr>
        <w:tc>
          <w:tcPr>
            <w:tcW w:w="1300" w:type="dxa"/>
            <w:tcBorders>
              <w:top w:val="nil"/>
              <w:left w:val="nil"/>
              <w:bottom w:val="nil"/>
              <w:right w:val="nil"/>
            </w:tcBorders>
            <w:shd w:val="clear" w:color="auto" w:fill="auto"/>
            <w:noWrap/>
            <w:vAlign w:val="bottom"/>
            <w:hideMark/>
          </w:tcPr>
          <w:p w14:paraId="265B4E10" w14:textId="77777777" w:rsidR="0040018D" w:rsidRPr="003E7E57" w:rsidRDefault="0040018D" w:rsidP="00F30F45">
            <w:pPr>
              <w:jc w:val="center"/>
              <w:rPr>
                <w:color w:val="000000"/>
              </w:rPr>
            </w:pPr>
            <w:proofErr w:type="spellStart"/>
            <w:r>
              <w:rPr>
                <w:color w:val="000000"/>
              </w:rPr>
              <w:t>sbel</w:t>
            </w:r>
            <w:proofErr w:type="spellEnd"/>
          </w:p>
        </w:tc>
        <w:tc>
          <w:tcPr>
            <w:tcW w:w="1535" w:type="dxa"/>
            <w:tcBorders>
              <w:top w:val="nil"/>
              <w:left w:val="nil"/>
              <w:bottom w:val="nil"/>
              <w:right w:val="nil"/>
            </w:tcBorders>
            <w:shd w:val="clear" w:color="auto" w:fill="auto"/>
            <w:noWrap/>
            <w:vAlign w:val="bottom"/>
            <w:hideMark/>
          </w:tcPr>
          <w:p w14:paraId="17CE7FDA" w14:textId="4DC665A6" w:rsidR="0040018D" w:rsidRPr="003E7E57" w:rsidRDefault="00EA43D7" w:rsidP="00F30F45">
            <w:pPr>
              <w:jc w:val="center"/>
              <w:rPr>
                <w:color w:val="000000"/>
              </w:rPr>
            </w:pPr>
            <w:r>
              <w:rPr>
                <w:color w:val="000000"/>
              </w:rPr>
              <w:t>-0.0721</w:t>
            </w:r>
          </w:p>
        </w:tc>
        <w:tc>
          <w:tcPr>
            <w:tcW w:w="1701" w:type="dxa"/>
            <w:tcBorders>
              <w:top w:val="nil"/>
              <w:left w:val="nil"/>
              <w:bottom w:val="nil"/>
              <w:right w:val="nil"/>
            </w:tcBorders>
            <w:shd w:val="clear" w:color="auto" w:fill="auto"/>
            <w:noWrap/>
            <w:vAlign w:val="bottom"/>
            <w:hideMark/>
          </w:tcPr>
          <w:p w14:paraId="680B7EF9" w14:textId="044F4379" w:rsidR="0040018D" w:rsidRPr="003E7E57" w:rsidRDefault="00B54A7A" w:rsidP="00F30F45">
            <w:pPr>
              <w:jc w:val="center"/>
              <w:rPr>
                <w:color w:val="000000"/>
              </w:rPr>
            </w:pPr>
            <w:r>
              <w:rPr>
                <w:color w:val="000000"/>
              </w:rPr>
              <w:t>0.1678</w:t>
            </w:r>
          </w:p>
        </w:tc>
        <w:tc>
          <w:tcPr>
            <w:tcW w:w="1701" w:type="dxa"/>
            <w:tcBorders>
              <w:top w:val="nil"/>
              <w:left w:val="nil"/>
              <w:bottom w:val="nil"/>
              <w:right w:val="nil"/>
            </w:tcBorders>
            <w:shd w:val="clear" w:color="auto" w:fill="auto"/>
            <w:noWrap/>
            <w:vAlign w:val="bottom"/>
            <w:hideMark/>
          </w:tcPr>
          <w:p w14:paraId="1C12F9D1" w14:textId="1F521F77" w:rsidR="0040018D" w:rsidRPr="003E7E57" w:rsidRDefault="00D42C88" w:rsidP="00F30F45">
            <w:pPr>
              <w:jc w:val="center"/>
              <w:rPr>
                <w:color w:val="000000"/>
              </w:rPr>
            </w:pPr>
            <w:r>
              <w:rPr>
                <w:color w:val="000000"/>
              </w:rPr>
              <w:t>-0.1417</w:t>
            </w:r>
          </w:p>
        </w:tc>
      </w:tr>
      <w:tr w:rsidR="0040018D" w:rsidRPr="003E7E57" w14:paraId="43B75306" w14:textId="77777777" w:rsidTr="00CF2DBA">
        <w:trPr>
          <w:trHeight w:val="300"/>
          <w:jc w:val="center"/>
        </w:trPr>
        <w:tc>
          <w:tcPr>
            <w:tcW w:w="1300" w:type="dxa"/>
            <w:tcBorders>
              <w:top w:val="nil"/>
              <w:left w:val="nil"/>
              <w:bottom w:val="nil"/>
              <w:right w:val="nil"/>
            </w:tcBorders>
            <w:shd w:val="clear" w:color="auto" w:fill="auto"/>
            <w:noWrap/>
            <w:vAlign w:val="bottom"/>
            <w:hideMark/>
          </w:tcPr>
          <w:p w14:paraId="55BDDCA9" w14:textId="77777777" w:rsidR="0040018D" w:rsidRPr="003E7E57" w:rsidRDefault="0040018D" w:rsidP="00F30F45">
            <w:pPr>
              <w:jc w:val="center"/>
              <w:rPr>
                <w:color w:val="000000"/>
              </w:rPr>
            </w:pPr>
            <w:proofErr w:type="spellStart"/>
            <w:r>
              <w:rPr>
                <w:color w:val="000000"/>
              </w:rPr>
              <w:t>sfin</w:t>
            </w:r>
            <w:proofErr w:type="spellEnd"/>
          </w:p>
        </w:tc>
        <w:tc>
          <w:tcPr>
            <w:tcW w:w="1535" w:type="dxa"/>
            <w:tcBorders>
              <w:top w:val="nil"/>
              <w:left w:val="nil"/>
              <w:bottom w:val="nil"/>
              <w:right w:val="nil"/>
            </w:tcBorders>
            <w:shd w:val="clear" w:color="auto" w:fill="auto"/>
            <w:noWrap/>
            <w:vAlign w:val="bottom"/>
            <w:hideMark/>
          </w:tcPr>
          <w:p w14:paraId="6FC716D5" w14:textId="33717629" w:rsidR="0040018D" w:rsidRPr="003E7E57" w:rsidRDefault="00EA43D7" w:rsidP="00F30F45">
            <w:pPr>
              <w:jc w:val="center"/>
              <w:rPr>
                <w:color w:val="000000"/>
              </w:rPr>
            </w:pPr>
            <w:r>
              <w:rPr>
                <w:color w:val="000000"/>
              </w:rPr>
              <w:t>-0.0922</w:t>
            </w:r>
          </w:p>
        </w:tc>
        <w:tc>
          <w:tcPr>
            <w:tcW w:w="1701" w:type="dxa"/>
            <w:tcBorders>
              <w:top w:val="nil"/>
              <w:left w:val="nil"/>
              <w:bottom w:val="nil"/>
              <w:right w:val="nil"/>
            </w:tcBorders>
            <w:shd w:val="clear" w:color="auto" w:fill="auto"/>
            <w:noWrap/>
            <w:vAlign w:val="bottom"/>
            <w:hideMark/>
          </w:tcPr>
          <w:p w14:paraId="43C3E89B" w14:textId="0A87A220" w:rsidR="0040018D" w:rsidRPr="003E7E57" w:rsidRDefault="00B54A7A" w:rsidP="00F30F45">
            <w:pPr>
              <w:jc w:val="center"/>
              <w:rPr>
                <w:color w:val="000000"/>
              </w:rPr>
            </w:pPr>
            <w:r>
              <w:rPr>
                <w:color w:val="000000"/>
              </w:rPr>
              <w:t>0.0454</w:t>
            </w:r>
          </w:p>
        </w:tc>
        <w:tc>
          <w:tcPr>
            <w:tcW w:w="1701" w:type="dxa"/>
            <w:tcBorders>
              <w:top w:val="nil"/>
              <w:left w:val="nil"/>
              <w:bottom w:val="nil"/>
              <w:right w:val="nil"/>
            </w:tcBorders>
            <w:shd w:val="clear" w:color="auto" w:fill="auto"/>
            <w:noWrap/>
            <w:vAlign w:val="bottom"/>
            <w:hideMark/>
          </w:tcPr>
          <w:p w14:paraId="4DBF6CA2" w14:textId="2A09B4EB" w:rsidR="0040018D" w:rsidRPr="003E7E57" w:rsidRDefault="00D42C88" w:rsidP="00F30F45">
            <w:pPr>
              <w:jc w:val="center"/>
              <w:rPr>
                <w:color w:val="000000"/>
              </w:rPr>
            </w:pPr>
            <w:r>
              <w:rPr>
                <w:color w:val="000000"/>
              </w:rPr>
              <w:t>-0.1135</w:t>
            </w:r>
          </w:p>
        </w:tc>
      </w:tr>
      <w:tr w:rsidR="0040018D" w:rsidRPr="003E7E57" w14:paraId="2BF7E9E2" w14:textId="77777777" w:rsidTr="00CF2DBA">
        <w:trPr>
          <w:trHeight w:val="300"/>
          <w:jc w:val="center"/>
        </w:trPr>
        <w:tc>
          <w:tcPr>
            <w:tcW w:w="1300" w:type="dxa"/>
            <w:tcBorders>
              <w:top w:val="nil"/>
              <w:left w:val="nil"/>
              <w:bottom w:val="nil"/>
              <w:right w:val="nil"/>
            </w:tcBorders>
            <w:shd w:val="clear" w:color="auto" w:fill="auto"/>
            <w:noWrap/>
            <w:vAlign w:val="bottom"/>
            <w:hideMark/>
          </w:tcPr>
          <w:p w14:paraId="6AF8F4A7" w14:textId="77777777" w:rsidR="0040018D" w:rsidRPr="003E7E57" w:rsidRDefault="0040018D" w:rsidP="00F30F45">
            <w:pPr>
              <w:jc w:val="center"/>
              <w:rPr>
                <w:color w:val="000000"/>
              </w:rPr>
            </w:pPr>
            <w:proofErr w:type="spellStart"/>
            <w:r>
              <w:rPr>
                <w:color w:val="000000"/>
              </w:rPr>
              <w:t>sfra</w:t>
            </w:r>
            <w:proofErr w:type="spellEnd"/>
          </w:p>
        </w:tc>
        <w:tc>
          <w:tcPr>
            <w:tcW w:w="1535" w:type="dxa"/>
            <w:tcBorders>
              <w:top w:val="nil"/>
              <w:left w:val="nil"/>
              <w:bottom w:val="nil"/>
              <w:right w:val="nil"/>
            </w:tcBorders>
            <w:shd w:val="clear" w:color="auto" w:fill="auto"/>
            <w:noWrap/>
            <w:vAlign w:val="bottom"/>
            <w:hideMark/>
          </w:tcPr>
          <w:p w14:paraId="6BCEA4F3" w14:textId="2A81C101" w:rsidR="0040018D" w:rsidRPr="003E7E57" w:rsidRDefault="00EA43D7" w:rsidP="00F30F45">
            <w:pPr>
              <w:jc w:val="center"/>
              <w:rPr>
                <w:color w:val="000000"/>
              </w:rPr>
            </w:pPr>
            <w:r>
              <w:rPr>
                <w:color w:val="000000"/>
              </w:rPr>
              <w:t>-0.0596</w:t>
            </w:r>
          </w:p>
        </w:tc>
        <w:tc>
          <w:tcPr>
            <w:tcW w:w="1701" w:type="dxa"/>
            <w:tcBorders>
              <w:top w:val="nil"/>
              <w:left w:val="nil"/>
              <w:bottom w:val="nil"/>
              <w:right w:val="nil"/>
            </w:tcBorders>
            <w:shd w:val="clear" w:color="auto" w:fill="auto"/>
            <w:noWrap/>
            <w:vAlign w:val="bottom"/>
            <w:hideMark/>
          </w:tcPr>
          <w:p w14:paraId="719AE8E6" w14:textId="1F560352" w:rsidR="0040018D" w:rsidRPr="003E7E57" w:rsidRDefault="00B54A7A" w:rsidP="00F30F45">
            <w:pPr>
              <w:jc w:val="center"/>
              <w:rPr>
                <w:color w:val="000000"/>
              </w:rPr>
            </w:pPr>
            <w:r>
              <w:rPr>
                <w:color w:val="000000"/>
              </w:rPr>
              <w:t>0.1084</w:t>
            </w:r>
          </w:p>
        </w:tc>
        <w:tc>
          <w:tcPr>
            <w:tcW w:w="1701" w:type="dxa"/>
            <w:tcBorders>
              <w:top w:val="nil"/>
              <w:left w:val="nil"/>
              <w:bottom w:val="nil"/>
              <w:right w:val="nil"/>
            </w:tcBorders>
            <w:shd w:val="clear" w:color="auto" w:fill="auto"/>
            <w:noWrap/>
            <w:vAlign w:val="bottom"/>
            <w:hideMark/>
          </w:tcPr>
          <w:p w14:paraId="5EE5ABAD" w14:textId="495CBCCE" w:rsidR="0040018D" w:rsidRPr="003E7E57" w:rsidRDefault="00D42C88" w:rsidP="00F30F45">
            <w:pPr>
              <w:jc w:val="center"/>
              <w:rPr>
                <w:color w:val="000000"/>
              </w:rPr>
            </w:pPr>
            <w:r>
              <w:rPr>
                <w:color w:val="000000"/>
              </w:rPr>
              <w:t>-0.1229</w:t>
            </w:r>
          </w:p>
        </w:tc>
      </w:tr>
      <w:tr w:rsidR="0040018D" w:rsidRPr="003E7E57" w14:paraId="42877BB4" w14:textId="77777777" w:rsidTr="00CF2DBA">
        <w:trPr>
          <w:trHeight w:val="300"/>
          <w:jc w:val="center"/>
        </w:trPr>
        <w:tc>
          <w:tcPr>
            <w:tcW w:w="1300" w:type="dxa"/>
            <w:tcBorders>
              <w:top w:val="nil"/>
              <w:left w:val="nil"/>
              <w:bottom w:val="nil"/>
              <w:right w:val="nil"/>
            </w:tcBorders>
            <w:shd w:val="clear" w:color="auto" w:fill="auto"/>
            <w:noWrap/>
            <w:vAlign w:val="bottom"/>
            <w:hideMark/>
          </w:tcPr>
          <w:p w14:paraId="60D45B5E" w14:textId="77777777" w:rsidR="0040018D" w:rsidRPr="003E7E57" w:rsidRDefault="0040018D" w:rsidP="00F30F45">
            <w:pPr>
              <w:jc w:val="center"/>
              <w:rPr>
                <w:color w:val="000000"/>
              </w:rPr>
            </w:pPr>
            <w:proofErr w:type="spellStart"/>
            <w:r>
              <w:rPr>
                <w:color w:val="000000"/>
              </w:rPr>
              <w:t>snet</w:t>
            </w:r>
            <w:proofErr w:type="spellEnd"/>
          </w:p>
        </w:tc>
        <w:tc>
          <w:tcPr>
            <w:tcW w:w="1535" w:type="dxa"/>
            <w:tcBorders>
              <w:top w:val="nil"/>
              <w:left w:val="nil"/>
              <w:bottom w:val="nil"/>
              <w:right w:val="nil"/>
            </w:tcBorders>
            <w:shd w:val="clear" w:color="auto" w:fill="auto"/>
            <w:noWrap/>
            <w:vAlign w:val="bottom"/>
            <w:hideMark/>
          </w:tcPr>
          <w:p w14:paraId="4DC1FDF0" w14:textId="51CE4145" w:rsidR="0040018D" w:rsidRPr="003E7E57" w:rsidRDefault="00EA43D7" w:rsidP="00F30F45">
            <w:pPr>
              <w:jc w:val="center"/>
              <w:rPr>
                <w:color w:val="000000"/>
              </w:rPr>
            </w:pPr>
            <w:r>
              <w:rPr>
                <w:color w:val="000000"/>
              </w:rPr>
              <w:t>-0.0243</w:t>
            </w:r>
          </w:p>
        </w:tc>
        <w:tc>
          <w:tcPr>
            <w:tcW w:w="1701" w:type="dxa"/>
            <w:tcBorders>
              <w:top w:val="nil"/>
              <w:left w:val="nil"/>
              <w:bottom w:val="nil"/>
              <w:right w:val="nil"/>
            </w:tcBorders>
            <w:shd w:val="clear" w:color="auto" w:fill="auto"/>
            <w:noWrap/>
            <w:vAlign w:val="bottom"/>
            <w:hideMark/>
          </w:tcPr>
          <w:p w14:paraId="2637C365" w14:textId="52F6F467" w:rsidR="0040018D" w:rsidRPr="003E7E57" w:rsidRDefault="00B54A7A" w:rsidP="00F30F45">
            <w:pPr>
              <w:jc w:val="center"/>
              <w:rPr>
                <w:color w:val="000000"/>
              </w:rPr>
            </w:pPr>
            <w:r>
              <w:rPr>
                <w:color w:val="000000"/>
              </w:rPr>
              <w:t>-0.0162</w:t>
            </w:r>
          </w:p>
        </w:tc>
        <w:tc>
          <w:tcPr>
            <w:tcW w:w="1701" w:type="dxa"/>
            <w:tcBorders>
              <w:top w:val="nil"/>
              <w:left w:val="nil"/>
              <w:bottom w:val="nil"/>
              <w:right w:val="nil"/>
            </w:tcBorders>
            <w:shd w:val="clear" w:color="auto" w:fill="auto"/>
            <w:noWrap/>
            <w:vAlign w:val="bottom"/>
            <w:hideMark/>
          </w:tcPr>
          <w:p w14:paraId="444FC00D" w14:textId="564CC73C" w:rsidR="0040018D" w:rsidRPr="003E7E57" w:rsidRDefault="00D42C88" w:rsidP="00F30F45">
            <w:pPr>
              <w:jc w:val="center"/>
              <w:rPr>
                <w:color w:val="000000"/>
              </w:rPr>
            </w:pPr>
            <w:r>
              <w:rPr>
                <w:color w:val="000000"/>
              </w:rPr>
              <w:t>-0.1475</w:t>
            </w:r>
          </w:p>
        </w:tc>
      </w:tr>
      <w:tr w:rsidR="0040018D" w:rsidRPr="003E7E57" w14:paraId="7812085D" w14:textId="77777777" w:rsidTr="00CF2DBA">
        <w:trPr>
          <w:trHeight w:val="300"/>
          <w:jc w:val="center"/>
        </w:trPr>
        <w:tc>
          <w:tcPr>
            <w:tcW w:w="1300" w:type="dxa"/>
            <w:tcBorders>
              <w:top w:val="nil"/>
              <w:left w:val="nil"/>
              <w:bottom w:val="nil"/>
              <w:right w:val="nil"/>
            </w:tcBorders>
            <w:shd w:val="clear" w:color="auto" w:fill="auto"/>
            <w:noWrap/>
            <w:vAlign w:val="bottom"/>
            <w:hideMark/>
          </w:tcPr>
          <w:p w14:paraId="62A17F15" w14:textId="77777777" w:rsidR="0040018D" w:rsidRPr="003E7E57" w:rsidRDefault="0040018D" w:rsidP="00F30F45">
            <w:pPr>
              <w:jc w:val="center"/>
              <w:rPr>
                <w:color w:val="000000"/>
              </w:rPr>
            </w:pPr>
            <w:proofErr w:type="spellStart"/>
            <w:r>
              <w:rPr>
                <w:color w:val="000000"/>
              </w:rPr>
              <w:t>sgre</w:t>
            </w:r>
            <w:proofErr w:type="spellEnd"/>
          </w:p>
        </w:tc>
        <w:tc>
          <w:tcPr>
            <w:tcW w:w="1535" w:type="dxa"/>
            <w:tcBorders>
              <w:top w:val="nil"/>
              <w:left w:val="nil"/>
              <w:bottom w:val="nil"/>
              <w:right w:val="nil"/>
            </w:tcBorders>
            <w:shd w:val="clear" w:color="auto" w:fill="auto"/>
            <w:noWrap/>
            <w:vAlign w:val="bottom"/>
            <w:hideMark/>
          </w:tcPr>
          <w:p w14:paraId="68952889" w14:textId="196C7784" w:rsidR="0040018D" w:rsidRPr="003E7E57" w:rsidRDefault="00996AD7" w:rsidP="00F30F45">
            <w:pPr>
              <w:jc w:val="center"/>
              <w:rPr>
                <w:color w:val="000000"/>
              </w:rPr>
            </w:pPr>
            <w:r>
              <w:rPr>
                <w:color w:val="000000"/>
              </w:rPr>
              <w:t>0.0110</w:t>
            </w:r>
          </w:p>
        </w:tc>
        <w:tc>
          <w:tcPr>
            <w:tcW w:w="1701" w:type="dxa"/>
            <w:tcBorders>
              <w:top w:val="nil"/>
              <w:left w:val="nil"/>
              <w:bottom w:val="nil"/>
              <w:right w:val="nil"/>
            </w:tcBorders>
            <w:shd w:val="clear" w:color="auto" w:fill="auto"/>
            <w:noWrap/>
            <w:vAlign w:val="bottom"/>
            <w:hideMark/>
          </w:tcPr>
          <w:p w14:paraId="3D40FCCA" w14:textId="72099DBD" w:rsidR="0040018D" w:rsidRPr="003E7E57" w:rsidRDefault="00B54A7A" w:rsidP="00F30F45">
            <w:pPr>
              <w:jc w:val="center"/>
              <w:rPr>
                <w:color w:val="000000"/>
              </w:rPr>
            </w:pPr>
            <w:r>
              <w:rPr>
                <w:color w:val="000000"/>
              </w:rPr>
              <w:t>0.0002</w:t>
            </w:r>
          </w:p>
        </w:tc>
        <w:tc>
          <w:tcPr>
            <w:tcW w:w="1701" w:type="dxa"/>
            <w:tcBorders>
              <w:top w:val="nil"/>
              <w:left w:val="nil"/>
              <w:bottom w:val="nil"/>
              <w:right w:val="nil"/>
            </w:tcBorders>
            <w:shd w:val="clear" w:color="auto" w:fill="auto"/>
            <w:noWrap/>
            <w:vAlign w:val="bottom"/>
            <w:hideMark/>
          </w:tcPr>
          <w:p w14:paraId="012EB63E" w14:textId="6B80BE08" w:rsidR="0040018D" w:rsidRPr="003E7E57" w:rsidRDefault="00D42C88" w:rsidP="00F30F45">
            <w:pPr>
              <w:jc w:val="center"/>
              <w:rPr>
                <w:color w:val="000000"/>
              </w:rPr>
            </w:pPr>
            <w:r>
              <w:rPr>
                <w:color w:val="000000"/>
              </w:rPr>
              <w:t>-0.1066</w:t>
            </w:r>
          </w:p>
        </w:tc>
      </w:tr>
      <w:tr w:rsidR="0040018D" w:rsidRPr="003E7E57" w14:paraId="3DEFBDBD" w14:textId="77777777" w:rsidTr="00CF2DBA">
        <w:trPr>
          <w:trHeight w:val="300"/>
          <w:jc w:val="center"/>
        </w:trPr>
        <w:tc>
          <w:tcPr>
            <w:tcW w:w="1300" w:type="dxa"/>
            <w:tcBorders>
              <w:top w:val="nil"/>
              <w:left w:val="nil"/>
              <w:bottom w:val="nil"/>
              <w:right w:val="nil"/>
            </w:tcBorders>
            <w:shd w:val="clear" w:color="auto" w:fill="auto"/>
            <w:noWrap/>
            <w:vAlign w:val="bottom"/>
            <w:hideMark/>
          </w:tcPr>
          <w:p w14:paraId="66D7DF8E" w14:textId="77777777" w:rsidR="0040018D" w:rsidRPr="003E7E57" w:rsidRDefault="0040018D" w:rsidP="00F30F45">
            <w:pPr>
              <w:jc w:val="center"/>
              <w:rPr>
                <w:color w:val="000000"/>
              </w:rPr>
            </w:pPr>
            <w:r>
              <w:rPr>
                <w:color w:val="000000"/>
              </w:rPr>
              <w:t>sire</w:t>
            </w:r>
          </w:p>
        </w:tc>
        <w:tc>
          <w:tcPr>
            <w:tcW w:w="1535" w:type="dxa"/>
            <w:tcBorders>
              <w:top w:val="nil"/>
              <w:left w:val="nil"/>
              <w:bottom w:val="nil"/>
              <w:right w:val="nil"/>
            </w:tcBorders>
            <w:shd w:val="clear" w:color="auto" w:fill="auto"/>
            <w:noWrap/>
            <w:vAlign w:val="bottom"/>
            <w:hideMark/>
          </w:tcPr>
          <w:p w14:paraId="02A83510" w14:textId="2AAF6C24" w:rsidR="0040018D" w:rsidRPr="003E7E57" w:rsidRDefault="00996AD7" w:rsidP="00F30F45">
            <w:pPr>
              <w:jc w:val="center"/>
              <w:rPr>
                <w:color w:val="000000"/>
              </w:rPr>
            </w:pPr>
            <w:r>
              <w:rPr>
                <w:color w:val="000000"/>
              </w:rPr>
              <w:t>-0.1486</w:t>
            </w:r>
          </w:p>
        </w:tc>
        <w:tc>
          <w:tcPr>
            <w:tcW w:w="1701" w:type="dxa"/>
            <w:tcBorders>
              <w:top w:val="nil"/>
              <w:left w:val="nil"/>
              <w:bottom w:val="nil"/>
              <w:right w:val="nil"/>
            </w:tcBorders>
            <w:shd w:val="clear" w:color="auto" w:fill="auto"/>
            <w:noWrap/>
            <w:vAlign w:val="bottom"/>
            <w:hideMark/>
          </w:tcPr>
          <w:p w14:paraId="0A085E90" w14:textId="2992D0FF" w:rsidR="0040018D" w:rsidRPr="003E7E57" w:rsidRDefault="00B54A7A" w:rsidP="00F30F45">
            <w:pPr>
              <w:jc w:val="center"/>
              <w:rPr>
                <w:color w:val="000000"/>
              </w:rPr>
            </w:pPr>
            <w:r>
              <w:rPr>
                <w:color w:val="000000"/>
              </w:rPr>
              <w:t>0.0459</w:t>
            </w:r>
          </w:p>
        </w:tc>
        <w:tc>
          <w:tcPr>
            <w:tcW w:w="1701" w:type="dxa"/>
            <w:tcBorders>
              <w:top w:val="nil"/>
              <w:left w:val="nil"/>
              <w:bottom w:val="nil"/>
              <w:right w:val="nil"/>
            </w:tcBorders>
            <w:shd w:val="clear" w:color="auto" w:fill="auto"/>
            <w:noWrap/>
            <w:vAlign w:val="bottom"/>
            <w:hideMark/>
          </w:tcPr>
          <w:p w14:paraId="7E20732F" w14:textId="5A9EEB40" w:rsidR="0040018D" w:rsidRPr="003E7E57" w:rsidRDefault="00D42C88" w:rsidP="00F30F45">
            <w:pPr>
              <w:jc w:val="center"/>
              <w:rPr>
                <w:color w:val="000000"/>
              </w:rPr>
            </w:pPr>
            <w:r>
              <w:rPr>
                <w:color w:val="000000"/>
              </w:rPr>
              <w:t>0.0803</w:t>
            </w:r>
          </w:p>
        </w:tc>
      </w:tr>
      <w:tr w:rsidR="0040018D" w:rsidRPr="003E7E57" w14:paraId="03B3E6C4" w14:textId="77777777" w:rsidTr="00CF2DBA">
        <w:trPr>
          <w:trHeight w:val="300"/>
          <w:jc w:val="center"/>
        </w:trPr>
        <w:tc>
          <w:tcPr>
            <w:tcW w:w="1300" w:type="dxa"/>
            <w:tcBorders>
              <w:top w:val="nil"/>
              <w:left w:val="nil"/>
              <w:bottom w:val="nil"/>
              <w:right w:val="nil"/>
            </w:tcBorders>
            <w:shd w:val="clear" w:color="auto" w:fill="auto"/>
            <w:noWrap/>
            <w:vAlign w:val="bottom"/>
            <w:hideMark/>
          </w:tcPr>
          <w:p w14:paraId="314EC6F7" w14:textId="77777777" w:rsidR="0040018D" w:rsidRPr="003E7E57" w:rsidRDefault="0040018D" w:rsidP="00F30F45">
            <w:pPr>
              <w:jc w:val="center"/>
              <w:rPr>
                <w:color w:val="000000"/>
              </w:rPr>
            </w:pPr>
            <w:proofErr w:type="spellStart"/>
            <w:r>
              <w:rPr>
                <w:color w:val="000000"/>
              </w:rPr>
              <w:t>sita</w:t>
            </w:r>
            <w:proofErr w:type="spellEnd"/>
          </w:p>
        </w:tc>
        <w:tc>
          <w:tcPr>
            <w:tcW w:w="1535" w:type="dxa"/>
            <w:tcBorders>
              <w:top w:val="nil"/>
              <w:left w:val="nil"/>
              <w:bottom w:val="nil"/>
              <w:right w:val="nil"/>
            </w:tcBorders>
            <w:shd w:val="clear" w:color="auto" w:fill="auto"/>
            <w:noWrap/>
            <w:vAlign w:val="bottom"/>
            <w:hideMark/>
          </w:tcPr>
          <w:p w14:paraId="3633BA43" w14:textId="311F2E8B" w:rsidR="0040018D" w:rsidRPr="003E7E57" w:rsidRDefault="00996AD7" w:rsidP="00F30F45">
            <w:pPr>
              <w:jc w:val="center"/>
              <w:rPr>
                <w:color w:val="000000"/>
              </w:rPr>
            </w:pPr>
            <w:r>
              <w:rPr>
                <w:color w:val="000000"/>
              </w:rPr>
              <w:t>-0.0770</w:t>
            </w:r>
          </w:p>
        </w:tc>
        <w:tc>
          <w:tcPr>
            <w:tcW w:w="1701" w:type="dxa"/>
            <w:tcBorders>
              <w:top w:val="nil"/>
              <w:left w:val="nil"/>
              <w:bottom w:val="nil"/>
              <w:right w:val="nil"/>
            </w:tcBorders>
            <w:shd w:val="clear" w:color="auto" w:fill="auto"/>
            <w:noWrap/>
            <w:vAlign w:val="bottom"/>
            <w:hideMark/>
          </w:tcPr>
          <w:p w14:paraId="797D6F95" w14:textId="40BCFBD2" w:rsidR="0040018D" w:rsidRPr="003E7E57" w:rsidRDefault="00B54A7A" w:rsidP="00F30F45">
            <w:pPr>
              <w:jc w:val="center"/>
              <w:rPr>
                <w:color w:val="000000"/>
              </w:rPr>
            </w:pPr>
            <w:r>
              <w:rPr>
                <w:color w:val="000000"/>
              </w:rPr>
              <w:t>0.0684</w:t>
            </w:r>
          </w:p>
        </w:tc>
        <w:tc>
          <w:tcPr>
            <w:tcW w:w="1701" w:type="dxa"/>
            <w:tcBorders>
              <w:top w:val="nil"/>
              <w:left w:val="nil"/>
              <w:bottom w:val="nil"/>
              <w:right w:val="nil"/>
            </w:tcBorders>
            <w:shd w:val="clear" w:color="auto" w:fill="auto"/>
            <w:noWrap/>
            <w:vAlign w:val="bottom"/>
            <w:hideMark/>
          </w:tcPr>
          <w:p w14:paraId="5C2E9FC3" w14:textId="7625D565" w:rsidR="0040018D" w:rsidRPr="003E7E57" w:rsidRDefault="00D42C88" w:rsidP="00F30F45">
            <w:pPr>
              <w:jc w:val="center"/>
              <w:rPr>
                <w:color w:val="000000"/>
              </w:rPr>
            </w:pPr>
            <w:r>
              <w:rPr>
                <w:color w:val="000000"/>
              </w:rPr>
              <w:t>-0.1189</w:t>
            </w:r>
          </w:p>
        </w:tc>
      </w:tr>
      <w:tr w:rsidR="0040018D" w:rsidRPr="003E7E57" w14:paraId="411C25C2" w14:textId="77777777" w:rsidTr="00CF2DBA">
        <w:trPr>
          <w:trHeight w:val="300"/>
          <w:jc w:val="center"/>
        </w:trPr>
        <w:tc>
          <w:tcPr>
            <w:tcW w:w="1300" w:type="dxa"/>
            <w:tcBorders>
              <w:top w:val="nil"/>
              <w:left w:val="nil"/>
              <w:bottom w:val="nil"/>
              <w:right w:val="nil"/>
            </w:tcBorders>
            <w:shd w:val="clear" w:color="auto" w:fill="auto"/>
            <w:noWrap/>
            <w:vAlign w:val="bottom"/>
            <w:hideMark/>
          </w:tcPr>
          <w:p w14:paraId="27A8A866" w14:textId="77777777" w:rsidR="0040018D" w:rsidRPr="003E7E57" w:rsidRDefault="0040018D" w:rsidP="00F30F45">
            <w:pPr>
              <w:jc w:val="center"/>
              <w:rPr>
                <w:color w:val="000000"/>
              </w:rPr>
            </w:pPr>
            <w:proofErr w:type="spellStart"/>
            <w:r>
              <w:rPr>
                <w:color w:val="000000"/>
              </w:rPr>
              <w:t>spor</w:t>
            </w:r>
            <w:proofErr w:type="spellEnd"/>
          </w:p>
        </w:tc>
        <w:tc>
          <w:tcPr>
            <w:tcW w:w="1535" w:type="dxa"/>
            <w:tcBorders>
              <w:top w:val="nil"/>
              <w:left w:val="nil"/>
              <w:bottom w:val="nil"/>
              <w:right w:val="nil"/>
            </w:tcBorders>
            <w:shd w:val="clear" w:color="auto" w:fill="auto"/>
            <w:noWrap/>
            <w:vAlign w:val="bottom"/>
            <w:hideMark/>
          </w:tcPr>
          <w:p w14:paraId="0C511791" w14:textId="5863E7DE" w:rsidR="0040018D" w:rsidRPr="003E7E57" w:rsidRDefault="00996AD7" w:rsidP="00F30F45">
            <w:pPr>
              <w:jc w:val="center"/>
              <w:rPr>
                <w:color w:val="000000"/>
              </w:rPr>
            </w:pPr>
            <w:r>
              <w:rPr>
                <w:color w:val="000000"/>
              </w:rPr>
              <w:t>-0.0994</w:t>
            </w:r>
          </w:p>
        </w:tc>
        <w:tc>
          <w:tcPr>
            <w:tcW w:w="1701" w:type="dxa"/>
            <w:tcBorders>
              <w:top w:val="nil"/>
              <w:left w:val="nil"/>
              <w:bottom w:val="nil"/>
              <w:right w:val="nil"/>
            </w:tcBorders>
            <w:shd w:val="clear" w:color="auto" w:fill="auto"/>
            <w:noWrap/>
            <w:vAlign w:val="bottom"/>
            <w:hideMark/>
          </w:tcPr>
          <w:p w14:paraId="1E01C63B" w14:textId="016CA49B" w:rsidR="0040018D" w:rsidRPr="003E7E57" w:rsidRDefault="00B54A7A" w:rsidP="00F30F45">
            <w:pPr>
              <w:jc w:val="center"/>
              <w:rPr>
                <w:color w:val="000000"/>
              </w:rPr>
            </w:pPr>
            <w:r>
              <w:rPr>
                <w:color w:val="000000"/>
              </w:rPr>
              <w:t>0.1071</w:t>
            </w:r>
          </w:p>
        </w:tc>
        <w:tc>
          <w:tcPr>
            <w:tcW w:w="1701" w:type="dxa"/>
            <w:tcBorders>
              <w:top w:val="nil"/>
              <w:left w:val="nil"/>
              <w:bottom w:val="nil"/>
              <w:right w:val="nil"/>
            </w:tcBorders>
            <w:shd w:val="clear" w:color="auto" w:fill="auto"/>
            <w:noWrap/>
            <w:vAlign w:val="bottom"/>
            <w:hideMark/>
          </w:tcPr>
          <w:p w14:paraId="451E93E2" w14:textId="039DD830" w:rsidR="0040018D" w:rsidRPr="003E7E57" w:rsidRDefault="00D42C88" w:rsidP="00F30F45">
            <w:pPr>
              <w:jc w:val="center"/>
              <w:rPr>
                <w:color w:val="000000"/>
              </w:rPr>
            </w:pPr>
            <w:r>
              <w:rPr>
                <w:color w:val="000000"/>
              </w:rPr>
              <w:t>-0.0002</w:t>
            </w:r>
          </w:p>
        </w:tc>
      </w:tr>
      <w:tr w:rsidR="0040018D" w:rsidRPr="003E7E57" w14:paraId="40455E9B" w14:textId="77777777" w:rsidTr="00CF2DBA">
        <w:trPr>
          <w:trHeight w:val="300"/>
          <w:jc w:val="center"/>
        </w:trPr>
        <w:tc>
          <w:tcPr>
            <w:tcW w:w="1300" w:type="dxa"/>
            <w:tcBorders>
              <w:top w:val="nil"/>
              <w:left w:val="nil"/>
              <w:bottom w:val="single" w:sz="4" w:space="0" w:color="auto"/>
              <w:right w:val="nil"/>
            </w:tcBorders>
            <w:shd w:val="clear" w:color="auto" w:fill="auto"/>
            <w:noWrap/>
            <w:vAlign w:val="bottom"/>
            <w:hideMark/>
          </w:tcPr>
          <w:p w14:paraId="6FE16974" w14:textId="77777777" w:rsidR="0040018D" w:rsidRPr="003E7E57" w:rsidRDefault="0040018D" w:rsidP="00F30F45">
            <w:pPr>
              <w:jc w:val="center"/>
              <w:rPr>
                <w:color w:val="000000"/>
              </w:rPr>
            </w:pPr>
            <w:proofErr w:type="spellStart"/>
            <w:r>
              <w:rPr>
                <w:color w:val="000000"/>
              </w:rPr>
              <w:t>sspa</w:t>
            </w:r>
            <w:proofErr w:type="spellEnd"/>
          </w:p>
        </w:tc>
        <w:tc>
          <w:tcPr>
            <w:tcW w:w="1535" w:type="dxa"/>
            <w:tcBorders>
              <w:top w:val="nil"/>
              <w:left w:val="nil"/>
              <w:bottom w:val="single" w:sz="4" w:space="0" w:color="auto"/>
              <w:right w:val="nil"/>
            </w:tcBorders>
            <w:shd w:val="clear" w:color="auto" w:fill="auto"/>
            <w:noWrap/>
            <w:vAlign w:val="bottom"/>
            <w:hideMark/>
          </w:tcPr>
          <w:p w14:paraId="35976926" w14:textId="3295EBDE" w:rsidR="0040018D" w:rsidRPr="003E7E57" w:rsidRDefault="00996AD7" w:rsidP="00F30F45">
            <w:pPr>
              <w:jc w:val="center"/>
              <w:rPr>
                <w:color w:val="000000"/>
              </w:rPr>
            </w:pPr>
            <w:r>
              <w:rPr>
                <w:color w:val="000000"/>
              </w:rPr>
              <w:t>-0.0105</w:t>
            </w:r>
          </w:p>
        </w:tc>
        <w:tc>
          <w:tcPr>
            <w:tcW w:w="1701" w:type="dxa"/>
            <w:tcBorders>
              <w:top w:val="nil"/>
              <w:left w:val="nil"/>
              <w:bottom w:val="single" w:sz="4" w:space="0" w:color="auto"/>
              <w:right w:val="nil"/>
            </w:tcBorders>
            <w:shd w:val="clear" w:color="auto" w:fill="auto"/>
            <w:noWrap/>
            <w:vAlign w:val="bottom"/>
            <w:hideMark/>
          </w:tcPr>
          <w:p w14:paraId="0CA9A0C3" w14:textId="6CC3B67B" w:rsidR="0040018D" w:rsidRPr="003E7E57" w:rsidRDefault="00B54A7A" w:rsidP="00F30F45">
            <w:pPr>
              <w:jc w:val="center"/>
              <w:rPr>
                <w:color w:val="000000"/>
              </w:rPr>
            </w:pPr>
            <w:r>
              <w:rPr>
                <w:color w:val="000000"/>
              </w:rPr>
              <w:t>0.0275</w:t>
            </w:r>
          </w:p>
        </w:tc>
        <w:tc>
          <w:tcPr>
            <w:tcW w:w="1701" w:type="dxa"/>
            <w:tcBorders>
              <w:top w:val="nil"/>
              <w:left w:val="nil"/>
              <w:bottom w:val="single" w:sz="4" w:space="0" w:color="auto"/>
              <w:right w:val="nil"/>
            </w:tcBorders>
            <w:shd w:val="clear" w:color="auto" w:fill="auto"/>
            <w:noWrap/>
            <w:vAlign w:val="bottom"/>
            <w:hideMark/>
          </w:tcPr>
          <w:p w14:paraId="62891707" w14:textId="614F55C6" w:rsidR="0040018D" w:rsidRPr="003E7E57" w:rsidRDefault="00D42C88" w:rsidP="00F30F45">
            <w:pPr>
              <w:jc w:val="center"/>
              <w:rPr>
                <w:color w:val="000000"/>
              </w:rPr>
            </w:pPr>
            <w:r>
              <w:rPr>
                <w:color w:val="000000"/>
              </w:rPr>
              <w:t>-0.0681</w:t>
            </w:r>
          </w:p>
        </w:tc>
      </w:tr>
      <w:tr w:rsidR="0040018D" w:rsidRPr="003E7E57" w14:paraId="1EDD8E2E" w14:textId="77777777" w:rsidTr="00CF2DBA">
        <w:trPr>
          <w:trHeight w:val="300"/>
          <w:jc w:val="center"/>
        </w:trPr>
        <w:tc>
          <w:tcPr>
            <w:tcW w:w="6237" w:type="dxa"/>
            <w:gridSpan w:val="4"/>
            <w:tcBorders>
              <w:top w:val="single" w:sz="4" w:space="0" w:color="auto"/>
              <w:left w:val="nil"/>
              <w:bottom w:val="single" w:sz="4" w:space="0" w:color="auto"/>
            </w:tcBorders>
            <w:shd w:val="clear" w:color="auto" w:fill="auto"/>
            <w:noWrap/>
            <w:vAlign w:val="bottom"/>
            <w:hideMark/>
          </w:tcPr>
          <w:p w14:paraId="404B2BD6" w14:textId="0E45D966" w:rsidR="0040018D" w:rsidRPr="003E7E57" w:rsidRDefault="0040018D" w:rsidP="00357EFD">
            <w:pPr>
              <w:jc w:val="both"/>
              <w:rPr>
                <w:rFonts w:eastAsiaTheme="minorHAnsi"/>
                <w:sz w:val="20"/>
                <w:szCs w:val="20"/>
              </w:rPr>
            </w:pPr>
            <w:r w:rsidRPr="003E7E57">
              <w:rPr>
                <w:sz w:val="20"/>
                <w:szCs w:val="20"/>
              </w:rPr>
              <w:t>Note: U</w:t>
            </w:r>
            <w:r>
              <w:rPr>
                <w:sz w:val="20"/>
                <w:szCs w:val="20"/>
              </w:rPr>
              <w:t>nconditional correlat</w:t>
            </w:r>
            <w:r w:rsidR="00FE149D">
              <w:rPr>
                <w:sz w:val="20"/>
                <w:szCs w:val="20"/>
              </w:rPr>
              <w:t xml:space="preserve">ions </w:t>
            </w:r>
            <w:r w:rsidR="000D6684">
              <w:rPr>
                <w:sz w:val="20"/>
                <w:szCs w:val="20"/>
              </w:rPr>
              <w:t>between</w:t>
            </w:r>
            <w:r>
              <w:rPr>
                <w:sz w:val="20"/>
                <w:szCs w:val="20"/>
              </w:rPr>
              <w:t xml:space="preserve"> </w:t>
            </w:r>
            <w:r w:rsidRPr="003E7E57">
              <w:rPr>
                <w:sz w:val="20"/>
                <w:szCs w:val="20"/>
              </w:rPr>
              <w:t>10-year sovereign yiel</w:t>
            </w:r>
            <w:r w:rsidR="00811F7E">
              <w:rPr>
                <w:sz w:val="20"/>
                <w:szCs w:val="20"/>
              </w:rPr>
              <w:t xml:space="preserve">d spreads over Germany of </w:t>
            </w:r>
            <w:r w:rsidRPr="003E7E57">
              <w:rPr>
                <w:sz w:val="20"/>
                <w:szCs w:val="20"/>
              </w:rPr>
              <w:t xml:space="preserve">core and periphery countries </w:t>
            </w:r>
            <w:r>
              <w:rPr>
                <w:sz w:val="20"/>
                <w:szCs w:val="20"/>
              </w:rPr>
              <w:t>in first difference</w:t>
            </w:r>
            <w:r w:rsidR="00677A4D">
              <w:rPr>
                <w:sz w:val="20"/>
                <w:szCs w:val="20"/>
              </w:rPr>
              <w:t>s</w:t>
            </w:r>
            <w:r>
              <w:rPr>
                <w:sz w:val="20"/>
                <w:szCs w:val="20"/>
              </w:rPr>
              <w:t xml:space="preserve"> and different oil price shocks. Core countries: </w:t>
            </w:r>
            <w:r w:rsidRPr="003E7E57">
              <w:rPr>
                <w:sz w:val="20"/>
                <w:szCs w:val="20"/>
              </w:rPr>
              <w:t>Austria (</w:t>
            </w:r>
            <w:proofErr w:type="spellStart"/>
            <w:r w:rsidRPr="003E7E57">
              <w:rPr>
                <w:sz w:val="20"/>
                <w:szCs w:val="20"/>
              </w:rPr>
              <w:t>saus</w:t>
            </w:r>
            <w:proofErr w:type="spellEnd"/>
            <w:r w:rsidRPr="003E7E57">
              <w:rPr>
                <w:sz w:val="20"/>
                <w:szCs w:val="20"/>
              </w:rPr>
              <w:t>), Belgium (</w:t>
            </w:r>
            <w:proofErr w:type="spellStart"/>
            <w:r w:rsidRPr="003E7E57">
              <w:rPr>
                <w:sz w:val="20"/>
                <w:szCs w:val="20"/>
              </w:rPr>
              <w:t>sbel</w:t>
            </w:r>
            <w:proofErr w:type="spellEnd"/>
            <w:r w:rsidRPr="003E7E57">
              <w:rPr>
                <w:sz w:val="20"/>
                <w:szCs w:val="20"/>
              </w:rPr>
              <w:t xml:space="preserve">), </w:t>
            </w:r>
            <w:r>
              <w:rPr>
                <w:sz w:val="20"/>
                <w:szCs w:val="20"/>
              </w:rPr>
              <w:t>Finland (</w:t>
            </w:r>
            <w:proofErr w:type="spellStart"/>
            <w:r>
              <w:rPr>
                <w:sz w:val="20"/>
                <w:szCs w:val="20"/>
              </w:rPr>
              <w:t>sfin</w:t>
            </w:r>
            <w:proofErr w:type="spellEnd"/>
            <w:r>
              <w:rPr>
                <w:sz w:val="20"/>
                <w:szCs w:val="20"/>
              </w:rPr>
              <w:t>), France (</w:t>
            </w:r>
            <w:proofErr w:type="spellStart"/>
            <w:r>
              <w:rPr>
                <w:sz w:val="20"/>
                <w:szCs w:val="20"/>
              </w:rPr>
              <w:t>sfra</w:t>
            </w:r>
            <w:proofErr w:type="spellEnd"/>
            <w:r>
              <w:rPr>
                <w:sz w:val="20"/>
                <w:szCs w:val="20"/>
              </w:rPr>
              <w:t>) and the Netherlands (</w:t>
            </w:r>
            <w:proofErr w:type="spellStart"/>
            <w:r>
              <w:rPr>
                <w:sz w:val="20"/>
                <w:szCs w:val="20"/>
              </w:rPr>
              <w:t>snet</w:t>
            </w:r>
            <w:proofErr w:type="spellEnd"/>
            <w:r>
              <w:rPr>
                <w:sz w:val="20"/>
                <w:szCs w:val="20"/>
              </w:rPr>
              <w:t>). Periphe</w:t>
            </w:r>
            <w:r w:rsidR="000D6684">
              <w:rPr>
                <w:sz w:val="20"/>
                <w:szCs w:val="20"/>
              </w:rPr>
              <w:t>r</w:t>
            </w:r>
            <w:r>
              <w:rPr>
                <w:sz w:val="20"/>
                <w:szCs w:val="20"/>
              </w:rPr>
              <w:t xml:space="preserve">y countries: </w:t>
            </w:r>
            <w:r w:rsidRPr="003E7E57">
              <w:rPr>
                <w:sz w:val="20"/>
                <w:szCs w:val="20"/>
              </w:rPr>
              <w:t xml:space="preserve"> Greece (</w:t>
            </w:r>
            <w:proofErr w:type="spellStart"/>
            <w:r w:rsidRPr="003E7E57">
              <w:rPr>
                <w:sz w:val="20"/>
                <w:szCs w:val="20"/>
              </w:rPr>
              <w:t>sgre</w:t>
            </w:r>
            <w:proofErr w:type="spellEnd"/>
            <w:r w:rsidRPr="003E7E57">
              <w:rPr>
                <w:sz w:val="20"/>
                <w:szCs w:val="20"/>
              </w:rPr>
              <w:t>), Ireland (sire), Italy (</w:t>
            </w:r>
            <w:proofErr w:type="spellStart"/>
            <w:r w:rsidRPr="003E7E57">
              <w:rPr>
                <w:sz w:val="20"/>
                <w:szCs w:val="20"/>
              </w:rPr>
              <w:t>sita</w:t>
            </w:r>
            <w:proofErr w:type="spellEnd"/>
            <w:r w:rsidRPr="003E7E57">
              <w:rPr>
                <w:sz w:val="20"/>
                <w:szCs w:val="20"/>
              </w:rPr>
              <w:t>), P</w:t>
            </w:r>
            <w:r>
              <w:rPr>
                <w:sz w:val="20"/>
                <w:szCs w:val="20"/>
              </w:rPr>
              <w:t>ortugal (</w:t>
            </w:r>
            <w:proofErr w:type="spellStart"/>
            <w:r>
              <w:rPr>
                <w:sz w:val="20"/>
                <w:szCs w:val="20"/>
              </w:rPr>
              <w:t>spor</w:t>
            </w:r>
            <w:proofErr w:type="spellEnd"/>
            <w:r>
              <w:rPr>
                <w:sz w:val="20"/>
                <w:szCs w:val="20"/>
              </w:rPr>
              <w:t>) and Spain (</w:t>
            </w:r>
            <w:proofErr w:type="spellStart"/>
            <w:r>
              <w:rPr>
                <w:sz w:val="20"/>
                <w:szCs w:val="20"/>
              </w:rPr>
              <w:t>sspa</w:t>
            </w:r>
            <w:proofErr w:type="spellEnd"/>
            <w:r>
              <w:rPr>
                <w:sz w:val="20"/>
                <w:szCs w:val="20"/>
              </w:rPr>
              <w:t>)</w:t>
            </w:r>
            <w:r w:rsidRPr="003E7E57">
              <w:rPr>
                <w:sz w:val="20"/>
                <w:szCs w:val="20"/>
              </w:rPr>
              <w:t>. For the core countries, the time period spa</w:t>
            </w:r>
            <w:r w:rsidR="00442B9D">
              <w:rPr>
                <w:sz w:val="20"/>
                <w:szCs w:val="20"/>
              </w:rPr>
              <w:t>ns from January 1999 to January</w:t>
            </w:r>
            <w:r w:rsidRPr="003E7E57">
              <w:rPr>
                <w:sz w:val="20"/>
                <w:szCs w:val="20"/>
              </w:rPr>
              <w:t xml:space="preserve"> 2016. For the periphery countries, the time period spa</w:t>
            </w:r>
            <w:r w:rsidR="00566074">
              <w:rPr>
                <w:sz w:val="20"/>
                <w:szCs w:val="20"/>
              </w:rPr>
              <w:t>ns from January 2001 to January</w:t>
            </w:r>
            <w:r w:rsidRPr="003E7E57">
              <w:rPr>
                <w:sz w:val="20"/>
                <w:szCs w:val="20"/>
              </w:rPr>
              <w:t xml:space="preserve"> 2016.  </w:t>
            </w:r>
          </w:p>
        </w:tc>
      </w:tr>
    </w:tbl>
    <w:p w14:paraId="34A44198" w14:textId="2649E167" w:rsidR="00CB12A3" w:rsidRDefault="00CB12A3" w:rsidP="004A03F6">
      <w:pPr>
        <w:tabs>
          <w:tab w:val="left" w:pos="1070"/>
        </w:tabs>
      </w:pPr>
    </w:p>
    <w:p w14:paraId="253837C6" w14:textId="77777777" w:rsidR="00CB12A3" w:rsidRPr="00CB12A3" w:rsidRDefault="00CB12A3" w:rsidP="00CB12A3"/>
    <w:p w14:paraId="0B3B8133" w14:textId="77777777" w:rsidR="00CB12A3" w:rsidRPr="00CB12A3" w:rsidRDefault="00CB12A3" w:rsidP="00CB12A3"/>
    <w:p w14:paraId="76F767B4" w14:textId="77777777" w:rsidR="00CB12A3" w:rsidRPr="00CB12A3" w:rsidRDefault="00CB12A3" w:rsidP="00CB12A3"/>
    <w:p w14:paraId="4D9407DD" w14:textId="77777777" w:rsidR="00CB12A3" w:rsidRPr="00CB12A3" w:rsidRDefault="00CB12A3" w:rsidP="00CB12A3"/>
    <w:p w14:paraId="3BED3249" w14:textId="77777777" w:rsidR="00CB12A3" w:rsidRPr="00CB12A3" w:rsidRDefault="00CB12A3" w:rsidP="00CB12A3"/>
    <w:p w14:paraId="7B58E8BB" w14:textId="7C1C7DDE" w:rsidR="00CB12A3" w:rsidRDefault="00CB12A3" w:rsidP="00CB12A3"/>
    <w:p w14:paraId="6C15962C" w14:textId="686F2A2C" w:rsidR="00CB12A3" w:rsidRDefault="00CB12A3" w:rsidP="00CB12A3"/>
    <w:p w14:paraId="0BB1CD01" w14:textId="5434DADA" w:rsidR="00CB12A3" w:rsidRDefault="00CB12A3" w:rsidP="00CB12A3"/>
    <w:p w14:paraId="0ABCAEF2" w14:textId="5F1500E0" w:rsidR="00CB12A3" w:rsidRDefault="00CB12A3" w:rsidP="00CB12A3"/>
    <w:p w14:paraId="43CF8032" w14:textId="42CA0473" w:rsidR="00CB12A3" w:rsidRDefault="00CB12A3" w:rsidP="00CB12A3"/>
    <w:p w14:paraId="5B1986EB" w14:textId="3B7F7999" w:rsidR="00CB12A3" w:rsidRDefault="00CB12A3" w:rsidP="00CB12A3"/>
    <w:p w14:paraId="2468BA8D" w14:textId="681D2C53" w:rsidR="00CB12A3" w:rsidRDefault="00CB12A3" w:rsidP="00CB12A3"/>
    <w:p w14:paraId="423A6AEE" w14:textId="76482206" w:rsidR="00CB12A3" w:rsidRDefault="00CB12A3" w:rsidP="00CB12A3"/>
    <w:p w14:paraId="484E4A46" w14:textId="262C522B" w:rsidR="00CB12A3" w:rsidRDefault="00CB12A3" w:rsidP="00CB12A3"/>
    <w:p w14:paraId="0D5911CB" w14:textId="5538ACD5" w:rsidR="00CB12A3" w:rsidRDefault="00CB12A3" w:rsidP="00CB12A3"/>
    <w:p w14:paraId="7A4B3933" w14:textId="258ACF10" w:rsidR="00CB12A3" w:rsidRDefault="00CB12A3" w:rsidP="00CB12A3"/>
    <w:p w14:paraId="59366D8E" w14:textId="0A4EF7FA" w:rsidR="00CB12A3" w:rsidRDefault="00CB12A3" w:rsidP="00CB12A3"/>
    <w:p w14:paraId="128BE034" w14:textId="2FC146BA" w:rsidR="00CB12A3" w:rsidRDefault="00CB12A3" w:rsidP="00CB12A3"/>
    <w:p w14:paraId="24C3222B" w14:textId="4BA6ABA7" w:rsidR="00CB12A3" w:rsidRDefault="00CB12A3" w:rsidP="00CB12A3"/>
    <w:p w14:paraId="5413F6E4" w14:textId="09EEEA1E" w:rsidR="00CB12A3" w:rsidRDefault="00CB12A3" w:rsidP="00CB12A3"/>
    <w:p w14:paraId="2D984A2E" w14:textId="1F38FFA8" w:rsidR="00CB12A3" w:rsidRDefault="00CB12A3" w:rsidP="00CB12A3"/>
    <w:p w14:paraId="68B49291" w14:textId="7640887B" w:rsidR="00CB12A3" w:rsidRDefault="00CB12A3" w:rsidP="00CB12A3"/>
    <w:p w14:paraId="24C0BF23" w14:textId="199C6E8E" w:rsidR="00CB12A3" w:rsidRDefault="00CB12A3" w:rsidP="00CB12A3"/>
    <w:p w14:paraId="214A0944" w14:textId="3DBE4B99" w:rsidR="00CB12A3" w:rsidRDefault="00CB12A3" w:rsidP="00CB12A3"/>
    <w:p w14:paraId="486704B3" w14:textId="55AC3424" w:rsidR="00CB12A3" w:rsidRDefault="00CB12A3" w:rsidP="00CB12A3"/>
    <w:p w14:paraId="4A59253D" w14:textId="2E144BA2" w:rsidR="00CB12A3" w:rsidRDefault="00CB12A3" w:rsidP="00CB12A3"/>
    <w:p w14:paraId="5BA65FD7" w14:textId="77777777" w:rsidR="00CF2DBA" w:rsidRDefault="00CF2DBA" w:rsidP="00CB12A3"/>
    <w:tbl>
      <w:tblPr>
        <w:tblW w:w="6237" w:type="dxa"/>
        <w:jc w:val="center"/>
        <w:tblLook w:val="04A0" w:firstRow="1" w:lastRow="0" w:firstColumn="1" w:lastColumn="0" w:noHBand="0" w:noVBand="1"/>
      </w:tblPr>
      <w:tblGrid>
        <w:gridCol w:w="1300"/>
        <w:gridCol w:w="1535"/>
        <w:gridCol w:w="1701"/>
        <w:gridCol w:w="1701"/>
      </w:tblGrid>
      <w:tr w:rsidR="00CB12A3" w:rsidRPr="003E7E57" w14:paraId="6CA61370" w14:textId="77777777" w:rsidTr="00CF2DBA">
        <w:trPr>
          <w:trHeight w:val="300"/>
          <w:jc w:val="center"/>
        </w:trPr>
        <w:tc>
          <w:tcPr>
            <w:tcW w:w="6237" w:type="dxa"/>
            <w:gridSpan w:val="4"/>
            <w:tcBorders>
              <w:top w:val="single" w:sz="4" w:space="0" w:color="auto"/>
              <w:left w:val="nil"/>
              <w:bottom w:val="single" w:sz="4" w:space="0" w:color="auto"/>
            </w:tcBorders>
            <w:shd w:val="clear" w:color="auto" w:fill="auto"/>
            <w:noWrap/>
            <w:vAlign w:val="bottom"/>
            <w:hideMark/>
          </w:tcPr>
          <w:p w14:paraId="6E2A6D0A" w14:textId="33F2F7C6" w:rsidR="00CB12A3" w:rsidRPr="003E7E57" w:rsidRDefault="00CB12A3" w:rsidP="001C4F22">
            <w:pPr>
              <w:rPr>
                <w:b/>
              </w:rPr>
            </w:pPr>
            <w:r>
              <w:rPr>
                <w:b/>
              </w:rPr>
              <w:t>Table 4</w:t>
            </w:r>
            <w:r w:rsidRPr="003E7E57">
              <w:rPr>
                <w:b/>
              </w:rPr>
              <w:t>: Unconditional correlations</w:t>
            </w:r>
            <w:r>
              <w:rPr>
                <w:b/>
              </w:rPr>
              <w:t xml:space="preserve"> among sovereign yield spreads and oil price shocks </w:t>
            </w:r>
            <w:r w:rsidR="00D02C9D">
              <w:rPr>
                <w:b/>
              </w:rPr>
              <w:t>– divided sample</w:t>
            </w:r>
            <w:r>
              <w:rPr>
                <w:b/>
              </w:rPr>
              <w:t xml:space="preserve">                     </w:t>
            </w:r>
          </w:p>
        </w:tc>
      </w:tr>
      <w:tr w:rsidR="00CB12A3" w:rsidRPr="003E7E57" w14:paraId="5202312C" w14:textId="77777777" w:rsidTr="00CF2DBA">
        <w:trPr>
          <w:trHeight w:val="300"/>
          <w:jc w:val="center"/>
        </w:trPr>
        <w:tc>
          <w:tcPr>
            <w:tcW w:w="1300" w:type="dxa"/>
            <w:tcBorders>
              <w:top w:val="single" w:sz="4" w:space="0" w:color="auto"/>
              <w:left w:val="nil"/>
              <w:bottom w:val="single" w:sz="4" w:space="0" w:color="auto"/>
              <w:right w:val="nil"/>
            </w:tcBorders>
            <w:shd w:val="clear" w:color="auto" w:fill="auto"/>
            <w:noWrap/>
            <w:vAlign w:val="bottom"/>
            <w:hideMark/>
          </w:tcPr>
          <w:p w14:paraId="3A44A4CD" w14:textId="77777777" w:rsidR="00CB12A3" w:rsidRPr="003E7E57" w:rsidRDefault="00CB12A3" w:rsidP="001C4F22">
            <w:pPr>
              <w:rPr>
                <w:sz w:val="20"/>
                <w:szCs w:val="20"/>
              </w:rPr>
            </w:pPr>
          </w:p>
        </w:tc>
        <w:tc>
          <w:tcPr>
            <w:tcW w:w="1535" w:type="dxa"/>
            <w:tcBorders>
              <w:top w:val="single" w:sz="4" w:space="0" w:color="auto"/>
              <w:left w:val="nil"/>
              <w:bottom w:val="single" w:sz="4" w:space="0" w:color="auto"/>
              <w:right w:val="nil"/>
            </w:tcBorders>
            <w:shd w:val="clear" w:color="auto" w:fill="auto"/>
            <w:noWrap/>
            <w:vAlign w:val="bottom"/>
            <w:hideMark/>
          </w:tcPr>
          <w:p w14:paraId="767322B6" w14:textId="77777777" w:rsidR="00CB12A3" w:rsidRPr="003E7E57" w:rsidRDefault="00CB12A3" w:rsidP="001C4F22">
            <w:pPr>
              <w:jc w:val="center"/>
              <w:rPr>
                <w:color w:val="000000"/>
              </w:rPr>
            </w:pPr>
            <w:r>
              <w:rPr>
                <w:color w:val="000000"/>
              </w:rPr>
              <w:t>Supply-side shock</w:t>
            </w:r>
          </w:p>
        </w:tc>
        <w:tc>
          <w:tcPr>
            <w:tcW w:w="1701" w:type="dxa"/>
            <w:tcBorders>
              <w:top w:val="single" w:sz="4" w:space="0" w:color="auto"/>
              <w:left w:val="nil"/>
              <w:bottom w:val="single" w:sz="4" w:space="0" w:color="auto"/>
              <w:right w:val="nil"/>
            </w:tcBorders>
            <w:shd w:val="clear" w:color="auto" w:fill="auto"/>
            <w:noWrap/>
            <w:vAlign w:val="bottom"/>
            <w:hideMark/>
          </w:tcPr>
          <w:p w14:paraId="3A07A2F1" w14:textId="77777777" w:rsidR="00CB12A3" w:rsidRPr="003E7E57" w:rsidRDefault="00CB12A3" w:rsidP="001C4F22">
            <w:pPr>
              <w:jc w:val="center"/>
              <w:rPr>
                <w:color w:val="000000"/>
              </w:rPr>
            </w:pPr>
            <w:r>
              <w:rPr>
                <w:color w:val="000000"/>
              </w:rPr>
              <w:t>Aggregate demand shock</w:t>
            </w:r>
          </w:p>
        </w:tc>
        <w:tc>
          <w:tcPr>
            <w:tcW w:w="1701" w:type="dxa"/>
            <w:tcBorders>
              <w:top w:val="single" w:sz="4" w:space="0" w:color="auto"/>
              <w:left w:val="nil"/>
              <w:bottom w:val="single" w:sz="4" w:space="0" w:color="auto"/>
              <w:right w:val="nil"/>
            </w:tcBorders>
            <w:shd w:val="clear" w:color="auto" w:fill="auto"/>
            <w:noWrap/>
            <w:vAlign w:val="bottom"/>
            <w:hideMark/>
          </w:tcPr>
          <w:p w14:paraId="5202D715" w14:textId="77777777" w:rsidR="00CB12A3" w:rsidRPr="003E7E57" w:rsidRDefault="00CB12A3" w:rsidP="001C4F22">
            <w:pPr>
              <w:jc w:val="center"/>
              <w:rPr>
                <w:color w:val="000000"/>
              </w:rPr>
            </w:pPr>
            <w:r>
              <w:rPr>
                <w:color w:val="000000"/>
              </w:rPr>
              <w:t>Precautionary demand shock</w:t>
            </w:r>
          </w:p>
        </w:tc>
      </w:tr>
      <w:tr w:rsidR="00CB12A3" w:rsidRPr="003E7E57" w14:paraId="63E541F6" w14:textId="77777777" w:rsidTr="00CF2DBA">
        <w:trPr>
          <w:trHeight w:val="300"/>
          <w:jc w:val="center"/>
        </w:trPr>
        <w:tc>
          <w:tcPr>
            <w:tcW w:w="6237" w:type="dxa"/>
            <w:gridSpan w:val="4"/>
            <w:tcBorders>
              <w:top w:val="single" w:sz="4" w:space="0" w:color="auto"/>
              <w:left w:val="nil"/>
              <w:bottom w:val="single" w:sz="4" w:space="0" w:color="auto"/>
              <w:right w:val="nil"/>
            </w:tcBorders>
            <w:shd w:val="clear" w:color="auto" w:fill="auto"/>
            <w:noWrap/>
            <w:vAlign w:val="bottom"/>
          </w:tcPr>
          <w:p w14:paraId="39253815" w14:textId="4AECABF0" w:rsidR="00CB12A3" w:rsidRDefault="00CC774A" w:rsidP="001C4F22">
            <w:pPr>
              <w:jc w:val="center"/>
              <w:rPr>
                <w:color w:val="000000"/>
              </w:rPr>
            </w:pPr>
            <w:r>
              <w:t>Panel A – P</w:t>
            </w:r>
            <w:r w:rsidR="006371AC">
              <w:t>re</w:t>
            </w:r>
            <w:r w:rsidR="001F3512">
              <w:t>-Great Recession</w:t>
            </w:r>
          </w:p>
        </w:tc>
      </w:tr>
      <w:tr w:rsidR="00CB12A3" w:rsidRPr="003E7E57" w14:paraId="6261E0E1" w14:textId="77777777" w:rsidTr="00CF2DBA">
        <w:trPr>
          <w:trHeight w:val="300"/>
          <w:jc w:val="center"/>
        </w:trPr>
        <w:tc>
          <w:tcPr>
            <w:tcW w:w="1300" w:type="dxa"/>
            <w:tcBorders>
              <w:top w:val="single" w:sz="4" w:space="0" w:color="auto"/>
              <w:left w:val="nil"/>
              <w:bottom w:val="nil"/>
              <w:right w:val="nil"/>
            </w:tcBorders>
            <w:shd w:val="clear" w:color="auto" w:fill="auto"/>
            <w:noWrap/>
            <w:vAlign w:val="bottom"/>
            <w:hideMark/>
          </w:tcPr>
          <w:p w14:paraId="6D206D61" w14:textId="77777777" w:rsidR="00CB12A3" w:rsidRPr="003E7E57" w:rsidRDefault="00CB12A3" w:rsidP="001C4F22">
            <w:pPr>
              <w:jc w:val="center"/>
              <w:rPr>
                <w:color w:val="000000"/>
              </w:rPr>
            </w:pPr>
            <w:proofErr w:type="spellStart"/>
            <w:r>
              <w:rPr>
                <w:color w:val="000000"/>
              </w:rPr>
              <w:t>saus</w:t>
            </w:r>
            <w:proofErr w:type="spellEnd"/>
          </w:p>
        </w:tc>
        <w:tc>
          <w:tcPr>
            <w:tcW w:w="1535" w:type="dxa"/>
            <w:tcBorders>
              <w:top w:val="nil"/>
              <w:left w:val="nil"/>
              <w:bottom w:val="nil"/>
              <w:right w:val="nil"/>
            </w:tcBorders>
            <w:shd w:val="clear" w:color="auto" w:fill="auto"/>
            <w:noWrap/>
            <w:vAlign w:val="bottom"/>
            <w:hideMark/>
          </w:tcPr>
          <w:p w14:paraId="10111B7A" w14:textId="58C87A49" w:rsidR="00CB12A3" w:rsidRPr="00D547A4" w:rsidRDefault="00084863" w:rsidP="001C4F22">
            <w:pPr>
              <w:jc w:val="center"/>
              <w:rPr>
                <w:color w:val="000000" w:themeColor="text1"/>
              </w:rPr>
            </w:pPr>
            <w:r>
              <w:rPr>
                <w:color w:val="000000" w:themeColor="text1"/>
              </w:rPr>
              <w:t>-0.1971</w:t>
            </w:r>
          </w:p>
        </w:tc>
        <w:tc>
          <w:tcPr>
            <w:tcW w:w="1701" w:type="dxa"/>
            <w:tcBorders>
              <w:top w:val="nil"/>
              <w:left w:val="nil"/>
              <w:bottom w:val="nil"/>
              <w:right w:val="nil"/>
            </w:tcBorders>
            <w:shd w:val="clear" w:color="auto" w:fill="auto"/>
            <w:noWrap/>
            <w:vAlign w:val="bottom"/>
            <w:hideMark/>
          </w:tcPr>
          <w:p w14:paraId="7B57C6E6" w14:textId="483768ED" w:rsidR="00CB12A3" w:rsidRPr="00D547A4" w:rsidRDefault="00084863" w:rsidP="001C4F22">
            <w:pPr>
              <w:jc w:val="center"/>
              <w:rPr>
                <w:color w:val="000000" w:themeColor="text1"/>
              </w:rPr>
            </w:pPr>
            <w:r>
              <w:rPr>
                <w:color w:val="000000" w:themeColor="text1"/>
              </w:rPr>
              <w:t>-0.0886</w:t>
            </w:r>
          </w:p>
        </w:tc>
        <w:tc>
          <w:tcPr>
            <w:tcW w:w="1701" w:type="dxa"/>
            <w:tcBorders>
              <w:top w:val="nil"/>
              <w:left w:val="nil"/>
              <w:bottom w:val="nil"/>
              <w:right w:val="nil"/>
            </w:tcBorders>
            <w:shd w:val="clear" w:color="auto" w:fill="auto"/>
            <w:noWrap/>
            <w:vAlign w:val="bottom"/>
            <w:hideMark/>
          </w:tcPr>
          <w:p w14:paraId="71764C81" w14:textId="1C5D439F" w:rsidR="00CB12A3" w:rsidRPr="00D547A4" w:rsidRDefault="00084863" w:rsidP="001C4F22">
            <w:pPr>
              <w:jc w:val="center"/>
              <w:rPr>
                <w:color w:val="000000" w:themeColor="text1"/>
              </w:rPr>
            </w:pPr>
            <w:r>
              <w:rPr>
                <w:color w:val="000000" w:themeColor="text1"/>
              </w:rPr>
              <w:t>0.1777</w:t>
            </w:r>
          </w:p>
        </w:tc>
      </w:tr>
      <w:tr w:rsidR="00CB12A3" w:rsidRPr="003E7E57" w14:paraId="79F70151" w14:textId="77777777" w:rsidTr="00CF2DBA">
        <w:trPr>
          <w:trHeight w:val="300"/>
          <w:jc w:val="center"/>
        </w:trPr>
        <w:tc>
          <w:tcPr>
            <w:tcW w:w="1300" w:type="dxa"/>
            <w:tcBorders>
              <w:top w:val="nil"/>
              <w:left w:val="nil"/>
              <w:bottom w:val="nil"/>
              <w:right w:val="nil"/>
            </w:tcBorders>
            <w:shd w:val="clear" w:color="auto" w:fill="auto"/>
            <w:noWrap/>
            <w:vAlign w:val="bottom"/>
            <w:hideMark/>
          </w:tcPr>
          <w:p w14:paraId="5FFD06DB" w14:textId="77777777" w:rsidR="00CB12A3" w:rsidRPr="003E7E57" w:rsidRDefault="00CB12A3" w:rsidP="001C4F22">
            <w:pPr>
              <w:jc w:val="center"/>
              <w:rPr>
                <w:color w:val="000000"/>
              </w:rPr>
            </w:pPr>
            <w:proofErr w:type="spellStart"/>
            <w:r>
              <w:rPr>
                <w:color w:val="000000"/>
              </w:rPr>
              <w:t>sbel</w:t>
            </w:r>
            <w:proofErr w:type="spellEnd"/>
          </w:p>
        </w:tc>
        <w:tc>
          <w:tcPr>
            <w:tcW w:w="1535" w:type="dxa"/>
            <w:tcBorders>
              <w:top w:val="nil"/>
              <w:left w:val="nil"/>
              <w:bottom w:val="nil"/>
              <w:right w:val="nil"/>
            </w:tcBorders>
            <w:shd w:val="clear" w:color="auto" w:fill="auto"/>
            <w:noWrap/>
            <w:vAlign w:val="bottom"/>
            <w:hideMark/>
          </w:tcPr>
          <w:p w14:paraId="08FCE7B6" w14:textId="714279D9" w:rsidR="00CB12A3" w:rsidRPr="00D547A4" w:rsidRDefault="00084863" w:rsidP="001C4F22">
            <w:pPr>
              <w:jc w:val="center"/>
              <w:rPr>
                <w:color w:val="000000" w:themeColor="text1"/>
              </w:rPr>
            </w:pPr>
            <w:r>
              <w:rPr>
                <w:color w:val="000000" w:themeColor="text1"/>
              </w:rPr>
              <w:t>-0.0549</w:t>
            </w:r>
          </w:p>
        </w:tc>
        <w:tc>
          <w:tcPr>
            <w:tcW w:w="1701" w:type="dxa"/>
            <w:tcBorders>
              <w:top w:val="nil"/>
              <w:left w:val="nil"/>
              <w:bottom w:val="nil"/>
              <w:right w:val="nil"/>
            </w:tcBorders>
            <w:shd w:val="clear" w:color="auto" w:fill="auto"/>
            <w:noWrap/>
            <w:vAlign w:val="bottom"/>
            <w:hideMark/>
          </w:tcPr>
          <w:p w14:paraId="6951F706" w14:textId="13E5EA55" w:rsidR="00CB12A3" w:rsidRPr="00D547A4" w:rsidRDefault="00084863" w:rsidP="001C4F22">
            <w:pPr>
              <w:jc w:val="center"/>
              <w:rPr>
                <w:color w:val="000000" w:themeColor="text1"/>
              </w:rPr>
            </w:pPr>
            <w:r>
              <w:rPr>
                <w:color w:val="000000" w:themeColor="text1"/>
              </w:rPr>
              <w:t>-0.0703</w:t>
            </w:r>
          </w:p>
        </w:tc>
        <w:tc>
          <w:tcPr>
            <w:tcW w:w="1701" w:type="dxa"/>
            <w:tcBorders>
              <w:top w:val="nil"/>
              <w:left w:val="nil"/>
              <w:bottom w:val="nil"/>
              <w:right w:val="nil"/>
            </w:tcBorders>
            <w:shd w:val="clear" w:color="auto" w:fill="auto"/>
            <w:noWrap/>
            <w:vAlign w:val="bottom"/>
            <w:hideMark/>
          </w:tcPr>
          <w:p w14:paraId="087E8D15" w14:textId="7F4AA443" w:rsidR="00CB12A3" w:rsidRPr="00D547A4" w:rsidRDefault="00084863" w:rsidP="001C4F22">
            <w:pPr>
              <w:jc w:val="center"/>
              <w:rPr>
                <w:color w:val="000000" w:themeColor="text1"/>
              </w:rPr>
            </w:pPr>
            <w:r>
              <w:rPr>
                <w:color w:val="000000" w:themeColor="text1"/>
              </w:rPr>
              <w:t>0.1240</w:t>
            </w:r>
          </w:p>
        </w:tc>
      </w:tr>
      <w:tr w:rsidR="00CB12A3" w:rsidRPr="003E7E57" w14:paraId="0EDBA15E" w14:textId="77777777" w:rsidTr="00CF2DBA">
        <w:trPr>
          <w:trHeight w:val="300"/>
          <w:jc w:val="center"/>
        </w:trPr>
        <w:tc>
          <w:tcPr>
            <w:tcW w:w="1300" w:type="dxa"/>
            <w:tcBorders>
              <w:top w:val="nil"/>
              <w:left w:val="nil"/>
              <w:bottom w:val="nil"/>
              <w:right w:val="nil"/>
            </w:tcBorders>
            <w:shd w:val="clear" w:color="auto" w:fill="auto"/>
            <w:noWrap/>
            <w:vAlign w:val="bottom"/>
            <w:hideMark/>
          </w:tcPr>
          <w:p w14:paraId="13FA8474" w14:textId="77777777" w:rsidR="00CB12A3" w:rsidRPr="003E7E57" w:rsidRDefault="00CB12A3" w:rsidP="001C4F22">
            <w:pPr>
              <w:jc w:val="center"/>
              <w:rPr>
                <w:color w:val="000000"/>
              </w:rPr>
            </w:pPr>
            <w:proofErr w:type="spellStart"/>
            <w:r>
              <w:rPr>
                <w:color w:val="000000"/>
              </w:rPr>
              <w:t>sfin</w:t>
            </w:r>
            <w:proofErr w:type="spellEnd"/>
          </w:p>
        </w:tc>
        <w:tc>
          <w:tcPr>
            <w:tcW w:w="1535" w:type="dxa"/>
            <w:tcBorders>
              <w:top w:val="nil"/>
              <w:left w:val="nil"/>
              <w:bottom w:val="nil"/>
              <w:right w:val="nil"/>
            </w:tcBorders>
            <w:shd w:val="clear" w:color="auto" w:fill="auto"/>
            <w:noWrap/>
            <w:vAlign w:val="bottom"/>
            <w:hideMark/>
          </w:tcPr>
          <w:p w14:paraId="0CB80BB8" w14:textId="375E9E58" w:rsidR="00CB12A3" w:rsidRPr="00D547A4" w:rsidRDefault="00084863" w:rsidP="001C4F22">
            <w:pPr>
              <w:jc w:val="center"/>
              <w:rPr>
                <w:color w:val="000000" w:themeColor="text1"/>
              </w:rPr>
            </w:pPr>
            <w:r>
              <w:rPr>
                <w:color w:val="000000" w:themeColor="text1"/>
              </w:rPr>
              <w:t>-0.1921</w:t>
            </w:r>
          </w:p>
        </w:tc>
        <w:tc>
          <w:tcPr>
            <w:tcW w:w="1701" w:type="dxa"/>
            <w:tcBorders>
              <w:top w:val="nil"/>
              <w:left w:val="nil"/>
              <w:bottom w:val="nil"/>
              <w:right w:val="nil"/>
            </w:tcBorders>
            <w:shd w:val="clear" w:color="auto" w:fill="auto"/>
            <w:noWrap/>
            <w:vAlign w:val="bottom"/>
            <w:hideMark/>
          </w:tcPr>
          <w:p w14:paraId="0BA64074" w14:textId="1AD088B6" w:rsidR="00815929" w:rsidRPr="00D547A4" w:rsidRDefault="00084863" w:rsidP="00815929">
            <w:pPr>
              <w:jc w:val="center"/>
              <w:rPr>
                <w:color w:val="000000" w:themeColor="text1"/>
              </w:rPr>
            </w:pPr>
            <w:r>
              <w:rPr>
                <w:color w:val="000000" w:themeColor="text1"/>
              </w:rPr>
              <w:t>-0.0387</w:t>
            </w:r>
          </w:p>
        </w:tc>
        <w:tc>
          <w:tcPr>
            <w:tcW w:w="1701" w:type="dxa"/>
            <w:tcBorders>
              <w:top w:val="nil"/>
              <w:left w:val="nil"/>
              <w:bottom w:val="nil"/>
              <w:right w:val="nil"/>
            </w:tcBorders>
            <w:shd w:val="clear" w:color="auto" w:fill="auto"/>
            <w:noWrap/>
            <w:vAlign w:val="bottom"/>
            <w:hideMark/>
          </w:tcPr>
          <w:p w14:paraId="040354DF" w14:textId="46A4B40B" w:rsidR="00CB12A3" w:rsidRPr="00D547A4" w:rsidRDefault="00084863" w:rsidP="001C4F22">
            <w:pPr>
              <w:jc w:val="center"/>
              <w:rPr>
                <w:color w:val="000000" w:themeColor="text1"/>
              </w:rPr>
            </w:pPr>
            <w:r>
              <w:rPr>
                <w:color w:val="000000" w:themeColor="text1"/>
              </w:rPr>
              <w:t>0.1701</w:t>
            </w:r>
          </w:p>
        </w:tc>
      </w:tr>
      <w:tr w:rsidR="00CB12A3" w:rsidRPr="003E7E57" w14:paraId="59FD4321" w14:textId="77777777" w:rsidTr="00CF2DBA">
        <w:trPr>
          <w:trHeight w:val="300"/>
          <w:jc w:val="center"/>
        </w:trPr>
        <w:tc>
          <w:tcPr>
            <w:tcW w:w="1300" w:type="dxa"/>
            <w:tcBorders>
              <w:top w:val="nil"/>
              <w:left w:val="nil"/>
              <w:bottom w:val="nil"/>
              <w:right w:val="nil"/>
            </w:tcBorders>
            <w:shd w:val="clear" w:color="auto" w:fill="auto"/>
            <w:noWrap/>
            <w:vAlign w:val="bottom"/>
            <w:hideMark/>
          </w:tcPr>
          <w:p w14:paraId="1ACA4906" w14:textId="77777777" w:rsidR="00CB12A3" w:rsidRPr="003E7E57" w:rsidRDefault="00CB12A3" w:rsidP="001C4F22">
            <w:pPr>
              <w:jc w:val="center"/>
              <w:rPr>
                <w:color w:val="000000"/>
              </w:rPr>
            </w:pPr>
            <w:proofErr w:type="spellStart"/>
            <w:r>
              <w:rPr>
                <w:color w:val="000000"/>
              </w:rPr>
              <w:t>sfra</w:t>
            </w:r>
            <w:proofErr w:type="spellEnd"/>
          </w:p>
        </w:tc>
        <w:tc>
          <w:tcPr>
            <w:tcW w:w="1535" w:type="dxa"/>
            <w:tcBorders>
              <w:top w:val="nil"/>
              <w:left w:val="nil"/>
              <w:bottom w:val="nil"/>
              <w:right w:val="nil"/>
            </w:tcBorders>
            <w:shd w:val="clear" w:color="auto" w:fill="auto"/>
            <w:noWrap/>
            <w:vAlign w:val="bottom"/>
            <w:hideMark/>
          </w:tcPr>
          <w:p w14:paraId="5D6035A8" w14:textId="17CEFCEA" w:rsidR="00CB12A3" w:rsidRPr="00D547A4" w:rsidRDefault="00084863" w:rsidP="001C4F22">
            <w:pPr>
              <w:jc w:val="center"/>
              <w:rPr>
                <w:color w:val="000000" w:themeColor="text1"/>
              </w:rPr>
            </w:pPr>
            <w:r>
              <w:rPr>
                <w:color w:val="000000" w:themeColor="text1"/>
              </w:rPr>
              <w:t>-0.0708</w:t>
            </w:r>
          </w:p>
        </w:tc>
        <w:tc>
          <w:tcPr>
            <w:tcW w:w="1701" w:type="dxa"/>
            <w:tcBorders>
              <w:top w:val="nil"/>
              <w:left w:val="nil"/>
              <w:bottom w:val="nil"/>
              <w:right w:val="nil"/>
            </w:tcBorders>
            <w:shd w:val="clear" w:color="auto" w:fill="auto"/>
            <w:noWrap/>
            <w:vAlign w:val="bottom"/>
            <w:hideMark/>
          </w:tcPr>
          <w:p w14:paraId="4EF75D00" w14:textId="5B20FA6E" w:rsidR="00CB12A3" w:rsidRPr="00D547A4" w:rsidRDefault="00084863" w:rsidP="001C4F22">
            <w:pPr>
              <w:jc w:val="center"/>
              <w:rPr>
                <w:color w:val="000000" w:themeColor="text1"/>
              </w:rPr>
            </w:pPr>
            <w:r>
              <w:rPr>
                <w:color w:val="000000" w:themeColor="text1"/>
              </w:rPr>
              <w:t>-0.0742</w:t>
            </w:r>
          </w:p>
        </w:tc>
        <w:tc>
          <w:tcPr>
            <w:tcW w:w="1701" w:type="dxa"/>
            <w:tcBorders>
              <w:top w:val="nil"/>
              <w:left w:val="nil"/>
              <w:bottom w:val="nil"/>
              <w:right w:val="nil"/>
            </w:tcBorders>
            <w:shd w:val="clear" w:color="auto" w:fill="auto"/>
            <w:noWrap/>
            <w:vAlign w:val="bottom"/>
            <w:hideMark/>
          </w:tcPr>
          <w:p w14:paraId="02B7A338" w14:textId="697145AA" w:rsidR="00CB12A3" w:rsidRPr="00D547A4" w:rsidRDefault="00084863" w:rsidP="001C4F22">
            <w:pPr>
              <w:jc w:val="center"/>
              <w:rPr>
                <w:color w:val="000000" w:themeColor="text1"/>
              </w:rPr>
            </w:pPr>
            <w:r>
              <w:rPr>
                <w:color w:val="000000" w:themeColor="text1"/>
              </w:rPr>
              <w:t>-0.0162</w:t>
            </w:r>
          </w:p>
        </w:tc>
      </w:tr>
      <w:tr w:rsidR="00CB12A3" w:rsidRPr="003E7E57" w14:paraId="6DAF8E43" w14:textId="77777777" w:rsidTr="00CF2DBA">
        <w:trPr>
          <w:trHeight w:val="300"/>
          <w:jc w:val="center"/>
        </w:trPr>
        <w:tc>
          <w:tcPr>
            <w:tcW w:w="1300" w:type="dxa"/>
            <w:tcBorders>
              <w:top w:val="nil"/>
              <w:left w:val="nil"/>
              <w:bottom w:val="nil"/>
              <w:right w:val="nil"/>
            </w:tcBorders>
            <w:shd w:val="clear" w:color="auto" w:fill="auto"/>
            <w:noWrap/>
            <w:vAlign w:val="bottom"/>
            <w:hideMark/>
          </w:tcPr>
          <w:p w14:paraId="64053423" w14:textId="77777777" w:rsidR="00CB12A3" w:rsidRPr="003E7E57" w:rsidRDefault="00CB12A3" w:rsidP="001C4F22">
            <w:pPr>
              <w:jc w:val="center"/>
              <w:rPr>
                <w:color w:val="000000"/>
              </w:rPr>
            </w:pPr>
            <w:proofErr w:type="spellStart"/>
            <w:r>
              <w:rPr>
                <w:color w:val="000000"/>
              </w:rPr>
              <w:t>snet</w:t>
            </w:r>
            <w:proofErr w:type="spellEnd"/>
          </w:p>
        </w:tc>
        <w:tc>
          <w:tcPr>
            <w:tcW w:w="1535" w:type="dxa"/>
            <w:tcBorders>
              <w:top w:val="nil"/>
              <w:left w:val="nil"/>
              <w:bottom w:val="nil"/>
              <w:right w:val="nil"/>
            </w:tcBorders>
            <w:shd w:val="clear" w:color="auto" w:fill="auto"/>
            <w:noWrap/>
            <w:vAlign w:val="bottom"/>
            <w:hideMark/>
          </w:tcPr>
          <w:p w14:paraId="36AE09D1" w14:textId="5E70FC00" w:rsidR="00CB12A3" w:rsidRPr="00D547A4" w:rsidRDefault="00084863" w:rsidP="001C4F22">
            <w:pPr>
              <w:jc w:val="center"/>
              <w:rPr>
                <w:color w:val="000000" w:themeColor="text1"/>
              </w:rPr>
            </w:pPr>
            <w:r>
              <w:rPr>
                <w:color w:val="000000" w:themeColor="text1"/>
              </w:rPr>
              <w:t>0.0296</w:t>
            </w:r>
          </w:p>
        </w:tc>
        <w:tc>
          <w:tcPr>
            <w:tcW w:w="1701" w:type="dxa"/>
            <w:tcBorders>
              <w:top w:val="nil"/>
              <w:left w:val="nil"/>
              <w:bottom w:val="nil"/>
              <w:right w:val="nil"/>
            </w:tcBorders>
            <w:shd w:val="clear" w:color="auto" w:fill="auto"/>
            <w:noWrap/>
            <w:vAlign w:val="bottom"/>
            <w:hideMark/>
          </w:tcPr>
          <w:p w14:paraId="4DBB6E5E" w14:textId="4CAE24BC" w:rsidR="00CB12A3" w:rsidRPr="00D547A4" w:rsidRDefault="00084863" w:rsidP="001C4F22">
            <w:pPr>
              <w:jc w:val="center"/>
              <w:rPr>
                <w:color w:val="000000" w:themeColor="text1"/>
              </w:rPr>
            </w:pPr>
            <w:r>
              <w:rPr>
                <w:color w:val="000000" w:themeColor="text1"/>
              </w:rPr>
              <w:t>-0.1111</w:t>
            </w:r>
          </w:p>
        </w:tc>
        <w:tc>
          <w:tcPr>
            <w:tcW w:w="1701" w:type="dxa"/>
            <w:tcBorders>
              <w:top w:val="nil"/>
              <w:left w:val="nil"/>
              <w:bottom w:val="nil"/>
              <w:right w:val="nil"/>
            </w:tcBorders>
            <w:shd w:val="clear" w:color="auto" w:fill="auto"/>
            <w:noWrap/>
            <w:vAlign w:val="bottom"/>
            <w:hideMark/>
          </w:tcPr>
          <w:p w14:paraId="2A85E504" w14:textId="3823F87D" w:rsidR="00CB12A3" w:rsidRPr="00D547A4" w:rsidRDefault="00084863" w:rsidP="001C4F22">
            <w:pPr>
              <w:jc w:val="center"/>
              <w:rPr>
                <w:color w:val="000000" w:themeColor="text1"/>
              </w:rPr>
            </w:pPr>
            <w:r>
              <w:rPr>
                <w:color w:val="000000" w:themeColor="text1"/>
              </w:rPr>
              <w:t>0.0597</w:t>
            </w:r>
          </w:p>
        </w:tc>
      </w:tr>
      <w:tr w:rsidR="00CB12A3" w:rsidRPr="003E7E57" w14:paraId="7999683A" w14:textId="77777777" w:rsidTr="00CF2DBA">
        <w:trPr>
          <w:trHeight w:val="300"/>
          <w:jc w:val="center"/>
        </w:trPr>
        <w:tc>
          <w:tcPr>
            <w:tcW w:w="1300" w:type="dxa"/>
            <w:tcBorders>
              <w:top w:val="nil"/>
              <w:left w:val="nil"/>
              <w:bottom w:val="nil"/>
              <w:right w:val="nil"/>
            </w:tcBorders>
            <w:shd w:val="clear" w:color="auto" w:fill="auto"/>
            <w:noWrap/>
            <w:vAlign w:val="bottom"/>
            <w:hideMark/>
          </w:tcPr>
          <w:p w14:paraId="02F188F2" w14:textId="77777777" w:rsidR="00CB12A3" w:rsidRPr="003E7E57" w:rsidRDefault="00CB12A3" w:rsidP="001C4F22">
            <w:pPr>
              <w:jc w:val="center"/>
              <w:rPr>
                <w:color w:val="000000"/>
              </w:rPr>
            </w:pPr>
            <w:proofErr w:type="spellStart"/>
            <w:r>
              <w:rPr>
                <w:color w:val="000000"/>
              </w:rPr>
              <w:t>sgre</w:t>
            </w:r>
            <w:proofErr w:type="spellEnd"/>
          </w:p>
        </w:tc>
        <w:tc>
          <w:tcPr>
            <w:tcW w:w="1535" w:type="dxa"/>
            <w:tcBorders>
              <w:top w:val="nil"/>
              <w:left w:val="nil"/>
              <w:bottom w:val="nil"/>
              <w:right w:val="nil"/>
            </w:tcBorders>
            <w:shd w:val="clear" w:color="auto" w:fill="auto"/>
            <w:noWrap/>
            <w:vAlign w:val="bottom"/>
            <w:hideMark/>
          </w:tcPr>
          <w:p w14:paraId="071F4EE9" w14:textId="2B48CBEE" w:rsidR="00CB12A3" w:rsidRPr="00D547A4" w:rsidRDefault="00992BEF" w:rsidP="001C4F22">
            <w:pPr>
              <w:jc w:val="center"/>
              <w:rPr>
                <w:color w:val="000000" w:themeColor="text1"/>
              </w:rPr>
            </w:pPr>
            <w:r>
              <w:rPr>
                <w:color w:val="000000" w:themeColor="text1"/>
              </w:rPr>
              <w:t>0.1030</w:t>
            </w:r>
          </w:p>
        </w:tc>
        <w:tc>
          <w:tcPr>
            <w:tcW w:w="1701" w:type="dxa"/>
            <w:tcBorders>
              <w:top w:val="nil"/>
              <w:left w:val="nil"/>
              <w:bottom w:val="nil"/>
              <w:right w:val="nil"/>
            </w:tcBorders>
            <w:shd w:val="clear" w:color="auto" w:fill="auto"/>
            <w:noWrap/>
            <w:vAlign w:val="bottom"/>
            <w:hideMark/>
          </w:tcPr>
          <w:p w14:paraId="5722ED74" w14:textId="1893D7EC" w:rsidR="00CB12A3" w:rsidRPr="00D547A4" w:rsidRDefault="00773A94" w:rsidP="001C4F22">
            <w:pPr>
              <w:jc w:val="center"/>
              <w:rPr>
                <w:color w:val="000000" w:themeColor="text1"/>
              </w:rPr>
            </w:pPr>
            <w:r>
              <w:rPr>
                <w:color w:val="000000" w:themeColor="text1"/>
              </w:rPr>
              <w:t>0.0374</w:t>
            </w:r>
          </w:p>
        </w:tc>
        <w:tc>
          <w:tcPr>
            <w:tcW w:w="1701" w:type="dxa"/>
            <w:tcBorders>
              <w:top w:val="nil"/>
              <w:left w:val="nil"/>
              <w:bottom w:val="nil"/>
              <w:right w:val="nil"/>
            </w:tcBorders>
            <w:shd w:val="clear" w:color="auto" w:fill="auto"/>
            <w:noWrap/>
            <w:vAlign w:val="bottom"/>
            <w:hideMark/>
          </w:tcPr>
          <w:p w14:paraId="71FC5D6F" w14:textId="38956BE1" w:rsidR="00CB12A3" w:rsidRPr="00D547A4" w:rsidRDefault="00773A94" w:rsidP="001C4F22">
            <w:pPr>
              <w:jc w:val="center"/>
              <w:rPr>
                <w:color w:val="000000" w:themeColor="text1"/>
              </w:rPr>
            </w:pPr>
            <w:r>
              <w:rPr>
                <w:color w:val="000000" w:themeColor="text1"/>
              </w:rPr>
              <w:t>0.1347</w:t>
            </w:r>
          </w:p>
        </w:tc>
      </w:tr>
      <w:tr w:rsidR="00CB12A3" w:rsidRPr="003E7E57" w14:paraId="107D0C6B" w14:textId="77777777" w:rsidTr="00CF2DBA">
        <w:trPr>
          <w:trHeight w:val="300"/>
          <w:jc w:val="center"/>
        </w:trPr>
        <w:tc>
          <w:tcPr>
            <w:tcW w:w="1300" w:type="dxa"/>
            <w:tcBorders>
              <w:top w:val="nil"/>
              <w:left w:val="nil"/>
              <w:bottom w:val="nil"/>
              <w:right w:val="nil"/>
            </w:tcBorders>
            <w:shd w:val="clear" w:color="auto" w:fill="auto"/>
            <w:noWrap/>
            <w:vAlign w:val="bottom"/>
            <w:hideMark/>
          </w:tcPr>
          <w:p w14:paraId="0D40717C" w14:textId="77777777" w:rsidR="00CB12A3" w:rsidRPr="003E7E57" w:rsidRDefault="00CB12A3" w:rsidP="001C4F22">
            <w:pPr>
              <w:jc w:val="center"/>
              <w:rPr>
                <w:color w:val="000000"/>
              </w:rPr>
            </w:pPr>
            <w:r>
              <w:rPr>
                <w:color w:val="000000"/>
              </w:rPr>
              <w:t>sire</w:t>
            </w:r>
          </w:p>
        </w:tc>
        <w:tc>
          <w:tcPr>
            <w:tcW w:w="1535" w:type="dxa"/>
            <w:tcBorders>
              <w:top w:val="nil"/>
              <w:left w:val="nil"/>
              <w:bottom w:val="nil"/>
              <w:right w:val="nil"/>
            </w:tcBorders>
            <w:shd w:val="clear" w:color="auto" w:fill="auto"/>
            <w:noWrap/>
            <w:vAlign w:val="bottom"/>
            <w:hideMark/>
          </w:tcPr>
          <w:p w14:paraId="7C4E519F" w14:textId="4EFE5B4C" w:rsidR="00CB12A3" w:rsidRPr="00D547A4" w:rsidRDefault="00992BEF" w:rsidP="001C4F22">
            <w:pPr>
              <w:jc w:val="center"/>
              <w:rPr>
                <w:color w:val="000000" w:themeColor="text1"/>
              </w:rPr>
            </w:pPr>
            <w:r>
              <w:rPr>
                <w:color w:val="000000" w:themeColor="text1"/>
              </w:rPr>
              <w:t>0.0857</w:t>
            </w:r>
          </w:p>
        </w:tc>
        <w:tc>
          <w:tcPr>
            <w:tcW w:w="1701" w:type="dxa"/>
            <w:tcBorders>
              <w:top w:val="nil"/>
              <w:left w:val="nil"/>
              <w:bottom w:val="nil"/>
              <w:right w:val="nil"/>
            </w:tcBorders>
            <w:shd w:val="clear" w:color="auto" w:fill="auto"/>
            <w:noWrap/>
            <w:vAlign w:val="bottom"/>
            <w:hideMark/>
          </w:tcPr>
          <w:p w14:paraId="639E4E13" w14:textId="0547349E" w:rsidR="00CB12A3" w:rsidRPr="00D547A4" w:rsidRDefault="00773A94" w:rsidP="001C4F22">
            <w:pPr>
              <w:jc w:val="center"/>
              <w:rPr>
                <w:color w:val="000000" w:themeColor="text1"/>
              </w:rPr>
            </w:pPr>
            <w:r>
              <w:rPr>
                <w:color w:val="000000" w:themeColor="text1"/>
              </w:rPr>
              <w:t>-0.0700</w:t>
            </w:r>
          </w:p>
        </w:tc>
        <w:tc>
          <w:tcPr>
            <w:tcW w:w="1701" w:type="dxa"/>
            <w:tcBorders>
              <w:top w:val="nil"/>
              <w:left w:val="nil"/>
              <w:bottom w:val="nil"/>
              <w:right w:val="nil"/>
            </w:tcBorders>
            <w:shd w:val="clear" w:color="auto" w:fill="auto"/>
            <w:noWrap/>
            <w:vAlign w:val="bottom"/>
            <w:hideMark/>
          </w:tcPr>
          <w:p w14:paraId="4B261EEB" w14:textId="019BB525" w:rsidR="00CB12A3" w:rsidRPr="00D547A4" w:rsidRDefault="00773A94" w:rsidP="001C4F22">
            <w:pPr>
              <w:jc w:val="center"/>
              <w:rPr>
                <w:color w:val="000000" w:themeColor="text1"/>
              </w:rPr>
            </w:pPr>
            <w:r>
              <w:rPr>
                <w:color w:val="000000" w:themeColor="text1"/>
              </w:rPr>
              <w:t>0.0119</w:t>
            </w:r>
          </w:p>
        </w:tc>
      </w:tr>
      <w:tr w:rsidR="00CB12A3" w:rsidRPr="003E7E57" w14:paraId="2C5B5064" w14:textId="77777777" w:rsidTr="00CF2DBA">
        <w:trPr>
          <w:trHeight w:val="300"/>
          <w:jc w:val="center"/>
        </w:trPr>
        <w:tc>
          <w:tcPr>
            <w:tcW w:w="1300" w:type="dxa"/>
            <w:tcBorders>
              <w:top w:val="nil"/>
              <w:left w:val="nil"/>
              <w:bottom w:val="nil"/>
              <w:right w:val="nil"/>
            </w:tcBorders>
            <w:shd w:val="clear" w:color="auto" w:fill="auto"/>
            <w:noWrap/>
            <w:vAlign w:val="bottom"/>
            <w:hideMark/>
          </w:tcPr>
          <w:p w14:paraId="28521FB1" w14:textId="77777777" w:rsidR="00CB12A3" w:rsidRPr="003E7E57" w:rsidRDefault="00CB12A3" w:rsidP="001C4F22">
            <w:pPr>
              <w:jc w:val="center"/>
              <w:rPr>
                <w:color w:val="000000"/>
              </w:rPr>
            </w:pPr>
            <w:proofErr w:type="spellStart"/>
            <w:r>
              <w:rPr>
                <w:color w:val="000000"/>
              </w:rPr>
              <w:t>sita</w:t>
            </w:r>
            <w:proofErr w:type="spellEnd"/>
          </w:p>
        </w:tc>
        <w:tc>
          <w:tcPr>
            <w:tcW w:w="1535" w:type="dxa"/>
            <w:tcBorders>
              <w:top w:val="nil"/>
              <w:left w:val="nil"/>
              <w:bottom w:val="nil"/>
              <w:right w:val="nil"/>
            </w:tcBorders>
            <w:shd w:val="clear" w:color="auto" w:fill="auto"/>
            <w:noWrap/>
            <w:vAlign w:val="bottom"/>
            <w:hideMark/>
          </w:tcPr>
          <w:p w14:paraId="71969354" w14:textId="4AF5C030" w:rsidR="00CB12A3" w:rsidRPr="00D547A4" w:rsidRDefault="00992BEF" w:rsidP="001C4F22">
            <w:pPr>
              <w:jc w:val="center"/>
              <w:rPr>
                <w:color w:val="000000" w:themeColor="text1"/>
              </w:rPr>
            </w:pPr>
            <w:r>
              <w:rPr>
                <w:color w:val="000000" w:themeColor="text1"/>
              </w:rPr>
              <w:t>0.0771</w:t>
            </w:r>
          </w:p>
        </w:tc>
        <w:tc>
          <w:tcPr>
            <w:tcW w:w="1701" w:type="dxa"/>
            <w:tcBorders>
              <w:top w:val="nil"/>
              <w:left w:val="nil"/>
              <w:bottom w:val="nil"/>
              <w:right w:val="nil"/>
            </w:tcBorders>
            <w:shd w:val="clear" w:color="auto" w:fill="auto"/>
            <w:noWrap/>
            <w:vAlign w:val="bottom"/>
            <w:hideMark/>
          </w:tcPr>
          <w:p w14:paraId="389EE90A" w14:textId="44D514A4" w:rsidR="00CB12A3" w:rsidRPr="00D547A4" w:rsidRDefault="00773A94" w:rsidP="001C4F22">
            <w:pPr>
              <w:jc w:val="center"/>
              <w:rPr>
                <w:color w:val="000000" w:themeColor="text1"/>
              </w:rPr>
            </w:pPr>
            <w:r>
              <w:rPr>
                <w:color w:val="000000" w:themeColor="text1"/>
              </w:rPr>
              <w:t>-0.0630</w:t>
            </w:r>
          </w:p>
        </w:tc>
        <w:tc>
          <w:tcPr>
            <w:tcW w:w="1701" w:type="dxa"/>
            <w:tcBorders>
              <w:top w:val="nil"/>
              <w:left w:val="nil"/>
              <w:bottom w:val="nil"/>
              <w:right w:val="nil"/>
            </w:tcBorders>
            <w:shd w:val="clear" w:color="auto" w:fill="auto"/>
            <w:noWrap/>
            <w:vAlign w:val="bottom"/>
            <w:hideMark/>
          </w:tcPr>
          <w:p w14:paraId="435EF149" w14:textId="4E78FE6E" w:rsidR="00CB12A3" w:rsidRPr="00D547A4" w:rsidRDefault="00773A94" w:rsidP="001C4F22">
            <w:pPr>
              <w:jc w:val="center"/>
              <w:rPr>
                <w:color w:val="000000" w:themeColor="text1"/>
              </w:rPr>
            </w:pPr>
            <w:r>
              <w:rPr>
                <w:color w:val="000000" w:themeColor="text1"/>
              </w:rPr>
              <w:t>0.0444</w:t>
            </w:r>
          </w:p>
        </w:tc>
      </w:tr>
      <w:tr w:rsidR="00CB12A3" w:rsidRPr="003E7E57" w14:paraId="71752DE1" w14:textId="77777777" w:rsidTr="00CF2DBA">
        <w:trPr>
          <w:trHeight w:val="300"/>
          <w:jc w:val="center"/>
        </w:trPr>
        <w:tc>
          <w:tcPr>
            <w:tcW w:w="1300" w:type="dxa"/>
            <w:tcBorders>
              <w:top w:val="nil"/>
              <w:left w:val="nil"/>
              <w:bottom w:val="nil"/>
              <w:right w:val="nil"/>
            </w:tcBorders>
            <w:shd w:val="clear" w:color="auto" w:fill="auto"/>
            <w:noWrap/>
            <w:vAlign w:val="bottom"/>
            <w:hideMark/>
          </w:tcPr>
          <w:p w14:paraId="4627E21F" w14:textId="77777777" w:rsidR="00CB12A3" w:rsidRPr="003E7E57" w:rsidRDefault="00CB12A3" w:rsidP="001C4F22">
            <w:pPr>
              <w:jc w:val="center"/>
              <w:rPr>
                <w:color w:val="000000"/>
              </w:rPr>
            </w:pPr>
            <w:proofErr w:type="spellStart"/>
            <w:r>
              <w:rPr>
                <w:color w:val="000000"/>
              </w:rPr>
              <w:t>spor</w:t>
            </w:r>
            <w:proofErr w:type="spellEnd"/>
          </w:p>
        </w:tc>
        <w:tc>
          <w:tcPr>
            <w:tcW w:w="1535" w:type="dxa"/>
            <w:tcBorders>
              <w:top w:val="nil"/>
              <w:left w:val="nil"/>
              <w:bottom w:val="nil"/>
              <w:right w:val="nil"/>
            </w:tcBorders>
            <w:shd w:val="clear" w:color="auto" w:fill="auto"/>
            <w:noWrap/>
            <w:vAlign w:val="bottom"/>
            <w:hideMark/>
          </w:tcPr>
          <w:p w14:paraId="031A9848" w14:textId="2A7C725D" w:rsidR="00CB12A3" w:rsidRPr="00D547A4" w:rsidRDefault="00992BEF" w:rsidP="001C4F22">
            <w:pPr>
              <w:jc w:val="center"/>
              <w:rPr>
                <w:color w:val="000000" w:themeColor="text1"/>
              </w:rPr>
            </w:pPr>
            <w:r>
              <w:rPr>
                <w:color w:val="000000" w:themeColor="text1"/>
              </w:rPr>
              <w:t>0.1414</w:t>
            </w:r>
          </w:p>
        </w:tc>
        <w:tc>
          <w:tcPr>
            <w:tcW w:w="1701" w:type="dxa"/>
            <w:tcBorders>
              <w:top w:val="nil"/>
              <w:left w:val="nil"/>
              <w:bottom w:val="nil"/>
              <w:right w:val="nil"/>
            </w:tcBorders>
            <w:shd w:val="clear" w:color="auto" w:fill="auto"/>
            <w:noWrap/>
            <w:vAlign w:val="bottom"/>
            <w:hideMark/>
          </w:tcPr>
          <w:p w14:paraId="2E50AD8B" w14:textId="561F5B40" w:rsidR="00CB12A3" w:rsidRPr="00D547A4" w:rsidRDefault="00773A94" w:rsidP="001C4F22">
            <w:pPr>
              <w:jc w:val="center"/>
              <w:rPr>
                <w:color w:val="000000" w:themeColor="text1"/>
              </w:rPr>
            </w:pPr>
            <w:r>
              <w:rPr>
                <w:color w:val="000000" w:themeColor="text1"/>
              </w:rPr>
              <w:t>0.0416</w:t>
            </w:r>
          </w:p>
        </w:tc>
        <w:tc>
          <w:tcPr>
            <w:tcW w:w="1701" w:type="dxa"/>
            <w:tcBorders>
              <w:top w:val="nil"/>
              <w:left w:val="nil"/>
              <w:bottom w:val="nil"/>
              <w:right w:val="nil"/>
            </w:tcBorders>
            <w:shd w:val="clear" w:color="auto" w:fill="auto"/>
            <w:noWrap/>
            <w:vAlign w:val="bottom"/>
            <w:hideMark/>
          </w:tcPr>
          <w:p w14:paraId="681E677E" w14:textId="563E07DC" w:rsidR="00CB12A3" w:rsidRPr="00D547A4" w:rsidRDefault="00773A94" w:rsidP="001C4F22">
            <w:pPr>
              <w:jc w:val="center"/>
              <w:rPr>
                <w:color w:val="000000" w:themeColor="text1"/>
              </w:rPr>
            </w:pPr>
            <w:r>
              <w:rPr>
                <w:color w:val="000000" w:themeColor="text1"/>
              </w:rPr>
              <w:t>0.1389</w:t>
            </w:r>
          </w:p>
        </w:tc>
      </w:tr>
      <w:tr w:rsidR="00CB12A3" w:rsidRPr="003E7E57" w14:paraId="7CEDAA7B" w14:textId="77777777" w:rsidTr="00CF2DBA">
        <w:trPr>
          <w:trHeight w:val="300"/>
          <w:jc w:val="center"/>
        </w:trPr>
        <w:tc>
          <w:tcPr>
            <w:tcW w:w="1300" w:type="dxa"/>
            <w:tcBorders>
              <w:top w:val="nil"/>
              <w:left w:val="nil"/>
              <w:bottom w:val="single" w:sz="4" w:space="0" w:color="auto"/>
              <w:right w:val="nil"/>
            </w:tcBorders>
            <w:shd w:val="clear" w:color="auto" w:fill="auto"/>
            <w:noWrap/>
            <w:vAlign w:val="bottom"/>
            <w:hideMark/>
          </w:tcPr>
          <w:p w14:paraId="376DFA2A" w14:textId="77777777" w:rsidR="00CB12A3" w:rsidRPr="003E7E57" w:rsidRDefault="00CB12A3" w:rsidP="001C4F22">
            <w:pPr>
              <w:jc w:val="center"/>
              <w:rPr>
                <w:color w:val="000000"/>
              </w:rPr>
            </w:pPr>
            <w:proofErr w:type="spellStart"/>
            <w:r>
              <w:rPr>
                <w:color w:val="000000"/>
              </w:rPr>
              <w:t>sspa</w:t>
            </w:r>
            <w:proofErr w:type="spellEnd"/>
          </w:p>
        </w:tc>
        <w:tc>
          <w:tcPr>
            <w:tcW w:w="1535" w:type="dxa"/>
            <w:tcBorders>
              <w:top w:val="nil"/>
              <w:left w:val="nil"/>
              <w:bottom w:val="single" w:sz="4" w:space="0" w:color="auto"/>
              <w:right w:val="nil"/>
            </w:tcBorders>
            <w:shd w:val="clear" w:color="auto" w:fill="auto"/>
            <w:noWrap/>
            <w:vAlign w:val="bottom"/>
            <w:hideMark/>
          </w:tcPr>
          <w:p w14:paraId="1122E69E" w14:textId="53D16DC7" w:rsidR="00CB12A3" w:rsidRPr="00D547A4" w:rsidRDefault="00992BEF" w:rsidP="001C4F22">
            <w:pPr>
              <w:jc w:val="center"/>
              <w:rPr>
                <w:color w:val="000000" w:themeColor="text1"/>
              </w:rPr>
            </w:pPr>
            <w:r>
              <w:rPr>
                <w:color w:val="000000" w:themeColor="text1"/>
              </w:rPr>
              <w:t>0.0823</w:t>
            </w:r>
          </w:p>
        </w:tc>
        <w:tc>
          <w:tcPr>
            <w:tcW w:w="1701" w:type="dxa"/>
            <w:tcBorders>
              <w:top w:val="nil"/>
              <w:left w:val="nil"/>
              <w:bottom w:val="single" w:sz="4" w:space="0" w:color="auto"/>
              <w:right w:val="nil"/>
            </w:tcBorders>
            <w:shd w:val="clear" w:color="auto" w:fill="auto"/>
            <w:noWrap/>
            <w:vAlign w:val="bottom"/>
            <w:hideMark/>
          </w:tcPr>
          <w:p w14:paraId="02F5E836" w14:textId="645CA1D8" w:rsidR="00CB12A3" w:rsidRPr="00D547A4" w:rsidRDefault="00773A94" w:rsidP="001C4F22">
            <w:pPr>
              <w:jc w:val="center"/>
              <w:rPr>
                <w:color w:val="000000" w:themeColor="text1"/>
              </w:rPr>
            </w:pPr>
            <w:r>
              <w:rPr>
                <w:color w:val="000000" w:themeColor="text1"/>
              </w:rPr>
              <w:t>0.0919</w:t>
            </w:r>
          </w:p>
        </w:tc>
        <w:tc>
          <w:tcPr>
            <w:tcW w:w="1701" w:type="dxa"/>
            <w:tcBorders>
              <w:top w:val="nil"/>
              <w:left w:val="nil"/>
              <w:bottom w:val="single" w:sz="4" w:space="0" w:color="auto"/>
              <w:right w:val="nil"/>
            </w:tcBorders>
            <w:shd w:val="clear" w:color="auto" w:fill="auto"/>
            <w:noWrap/>
            <w:vAlign w:val="bottom"/>
            <w:hideMark/>
          </w:tcPr>
          <w:p w14:paraId="2EDA048F" w14:textId="0064C02B" w:rsidR="00CB12A3" w:rsidRPr="00D547A4" w:rsidRDefault="00773A94" w:rsidP="001C4F22">
            <w:pPr>
              <w:jc w:val="center"/>
              <w:rPr>
                <w:color w:val="000000" w:themeColor="text1"/>
              </w:rPr>
            </w:pPr>
            <w:r>
              <w:rPr>
                <w:color w:val="000000" w:themeColor="text1"/>
              </w:rPr>
              <w:t>0.0441</w:t>
            </w:r>
          </w:p>
        </w:tc>
      </w:tr>
      <w:tr w:rsidR="00CB12A3" w:rsidRPr="003E7E57" w14:paraId="7FC00C2D" w14:textId="77777777" w:rsidTr="00CF2DBA">
        <w:trPr>
          <w:trHeight w:val="300"/>
          <w:jc w:val="center"/>
        </w:trPr>
        <w:tc>
          <w:tcPr>
            <w:tcW w:w="6237" w:type="dxa"/>
            <w:gridSpan w:val="4"/>
            <w:tcBorders>
              <w:top w:val="single" w:sz="4" w:space="0" w:color="auto"/>
              <w:left w:val="nil"/>
              <w:bottom w:val="single" w:sz="4" w:space="0" w:color="auto"/>
              <w:right w:val="nil"/>
            </w:tcBorders>
            <w:shd w:val="clear" w:color="auto" w:fill="auto"/>
            <w:noWrap/>
            <w:vAlign w:val="bottom"/>
          </w:tcPr>
          <w:p w14:paraId="44B21AEF" w14:textId="7DE87208" w:rsidR="00CB12A3" w:rsidRPr="003E7E57" w:rsidRDefault="00CC774A" w:rsidP="001C4F22">
            <w:pPr>
              <w:jc w:val="center"/>
              <w:rPr>
                <w:color w:val="000000"/>
              </w:rPr>
            </w:pPr>
            <w:r>
              <w:t>Panel B – P</w:t>
            </w:r>
            <w:r w:rsidR="006371AC">
              <w:t>ost</w:t>
            </w:r>
            <w:r w:rsidR="001F3512">
              <w:t>-Great Recession</w:t>
            </w:r>
          </w:p>
        </w:tc>
      </w:tr>
      <w:tr w:rsidR="00CB12A3" w:rsidRPr="003E7E57" w14:paraId="2B867761" w14:textId="77777777" w:rsidTr="00CF2DBA">
        <w:trPr>
          <w:trHeight w:val="300"/>
          <w:jc w:val="center"/>
        </w:trPr>
        <w:tc>
          <w:tcPr>
            <w:tcW w:w="1300" w:type="dxa"/>
            <w:tcBorders>
              <w:left w:val="nil"/>
              <w:bottom w:val="nil"/>
              <w:right w:val="nil"/>
            </w:tcBorders>
            <w:shd w:val="clear" w:color="auto" w:fill="auto"/>
            <w:noWrap/>
            <w:vAlign w:val="bottom"/>
            <w:hideMark/>
          </w:tcPr>
          <w:p w14:paraId="05A013E3" w14:textId="77777777" w:rsidR="00CB12A3" w:rsidRPr="003B722F" w:rsidRDefault="00CB12A3" w:rsidP="001C4F22">
            <w:pPr>
              <w:jc w:val="center"/>
            </w:pPr>
            <w:proofErr w:type="spellStart"/>
            <w:r w:rsidRPr="003B722F">
              <w:t>saus</w:t>
            </w:r>
            <w:proofErr w:type="spellEnd"/>
          </w:p>
        </w:tc>
        <w:tc>
          <w:tcPr>
            <w:tcW w:w="1535" w:type="dxa"/>
            <w:tcBorders>
              <w:top w:val="nil"/>
              <w:left w:val="nil"/>
              <w:bottom w:val="nil"/>
              <w:right w:val="nil"/>
            </w:tcBorders>
            <w:shd w:val="clear" w:color="auto" w:fill="auto"/>
            <w:noWrap/>
            <w:vAlign w:val="bottom"/>
            <w:hideMark/>
          </w:tcPr>
          <w:p w14:paraId="6927908D" w14:textId="47C7E205" w:rsidR="00CB12A3" w:rsidRPr="003B722F" w:rsidRDefault="003941C0" w:rsidP="001C4F22">
            <w:pPr>
              <w:jc w:val="center"/>
            </w:pPr>
            <w:r>
              <w:t>-0.0689</w:t>
            </w:r>
          </w:p>
        </w:tc>
        <w:tc>
          <w:tcPr>
            <w:tcW w:w="1701" w:type="dxa"/>
            <w:tcBorders>
              <w:top w:val="nil"/>
              <w:left w:val="nil"/>
              <w:bottom w:val="nil"/>
              <w:right w:val="nil"/>
            </w:tcBorders>
            <w:shd w:val="clear" w:color="auto" w:fill="auto"/>
            <w:noWrap/>
            <w:vAlign w:val="bottom"/>
            <w:hideMark/>
          </w:tcPr>
          <w:p w14:paraId="2DE16E0E" w14:textId="2F8C69AE" w:rsidR="00CB12A3" w:rsidRPr="003B722F" w:rsidRDefault="003941C0" w:rsidP="001C4F22">
            <w:pPr>
              <w:jc w:val="center"/>
            </w:pPr>
            <w:r>
              <w:t>0.1220</w:t>
            </w:r>
          </w:p>
        </w:tc>
        <w:tc>
          <w:tcPr>
            <w:tcW w:w="1701" w:type="dxa"/>
            <w:tcBorders>
              <w:top w:val="nil"/>
              <w:left w:val="nil"/>
              <w:bottom w:val="nil"/>
              <w:right w:val="nil"/>
            </w:tcBorders>
            <w:shd w:val="clear" w:color="auto" w:fill="auto"/>
            <w:noWrap/>
            <w:vAlign w:val="bottom"/>
            <w:hideMark/>
          </w:tcPr>
          <w:p w14:paraId="3C47DA17" w14:textId="7813730C" w:rsidR="00CB12A3" w:rsidRPr="003B722F" w:rsidRDefault="003941C0" w:rsidP="001C4F22">
            <w:pPr>
              <w:jc w:val="center"/>
            </w:pPr>
            <w:r>
              <w:t>-0.2616</w:t>
            </w:r>
          </w:p>
        </w:tc>
      </w:tr>
      <w:tr w:rsidR="00CB12A3" w:rsidRPr="003E7E57" w14:paraId="292DB8CF" w14:textId="77777777" w:rsidTr="00CF2DBA">
        <w:trPr>
          <w:trHeight w:val="300"/>
          <w:jc w:val="center"/>
        </w:trPr>
        <w:tc>
          <w:tcPr>
            <w:tcW w:w="1300" w:type="dxa"/>
            <w:tcBorders>
              <w:top w:val="nil"/>
              <w:left w:val="nil"/>
              <w:bottom w:val="nil"/>
              <w:right w:val="nil"/>
            </w:tcBorders>
            <w:shd w:val="clear" w:color="auto" w:fill="auto"/>
            <w:noWrap/>
            <w:vAlign w:val="bottom"/>
            <w:hideMark/>
          </w:tcPr>
          <w:p w14:paraId="609E819A" w14:textId="77777777" w:rsidR="00CB12A3" w:rsidRPr="003B722F" w:rsidRDefault="00CB12A3" w:rsidP="001C4F22">
            <w:pPr>
              <w:jc w:val="center"/>
            </w:pPr>
            <w:proofErr w:type="spellStart"/>
            <w:r w:rsidRPr="003B722F">
              <w:t>sbel</w:t>
            </w:r>
            <w:proofErr w:type="spellEnd"/>
          </w:p>
        </w:tc>
        <w:tc>
          <w:tcPr>
            <w:tcW w:w="1535" w:type="dxa"/>
            <w:tcBorders>
              <w:top w:val="nil"/>
              <w:left w:val="nil"/>
              <w:bottom w:val="nil"/>
              <w:right w:val="nil"/>
            </w:tcBorders>
            <w:shd w:val="clear" w:color="auto" w:fill="auto"/>
            <w:noWrap/>
            <w:vAlign w:val="bottom"/>
            <w:hideMark/>
          </w:tcPr>
          <w:p w14:paraId="3BDEE815" w14:textId="48A24A11" w:rsidR="00CB12A3" w:rsidRPr="003B722F" w:rsidRDefault="003941C0" w:rsidP="001C4F22">
            <w:pPr>
              <w:jc w:val="center"/>
            </w:pPr>
            <w:r>
              <w:t>-0.1289</w:t>
            </w:r>
          </w:p>
        </w:tc>
        <w:tc>
          <w:tcPr>
            <w:tcW w:w="1701" w:type="dxa"/>
            <w:tcBorders>
              <w:top w:val="nil"/>
              <w:left w:val="nil"/>
              <w:bottom w:val="nil"/>
              <w:right w:val="nil"/>
            </w:tcBorders>
            <w:shd w:val="clear" w:color="auto" w:fill="auto"/>
            <w:noWrap/>
            <w:vAlign w:val="bottom"/>
            <w:hideMark/>
          </w:tcPr>
          <w:p w14:paraId="717A401F" w14:textId="43009D81" w:rsidR="00CB12A3" w:rsidRPr="003B722F" w:rsidRDefault="003941C0" w:rsidP="001C4F22">
            <w:pPr>
              <w:jc w:val="center"/>
            </w:pPr>
            <w:r>
              <w:t>0.2018</w:t>
            </w:r>
          </w:p>
        </w:tc>
        <w:tc>
          <w:tcPr>
            <w:tcW w:w="1701" w:type="dxa"/>
            <w:tcBorders>
              <w:top w:val="nil"/>
              <w:left w:val="nil"/>
              <w:bottom w:val="nil"/>
              <w:right w:val="nil"/>
            </w:tcBorders>
            <w:shd w:val="clear" w:color="auto" w:fill="auto"/>
            <w:noWrap/>
            <w:vAlign w:val="bottom"/>
            <w:hideMark/>
          </w:tcPr>
          <w:p w14:paraId="79FAE4F0" w14:textId="4AAAECA2" w:rsidR="00CB12A3" w:rsidRPr="003B722F" w:rsidRDefault="003941C0" w:rsidP="001C4F22">
            <w:pPr>
              <w:jc w:val="center"/>
            </w:pPr>
            <w:r>
              <w:t>-0.2778</w:t>
            </w:r>
          </w:p>
        </w:tc>
      </w:tr>
      <w:tr w:rsidR="00CB12A3" w:rsidRPr="003E7E57" w14:paraId="23A6B728" w14:textId="77777777" w:rsidTr="00CF2DBA">
        <w:trPr>
          <w:trHeight w:val="300"/>
          <w:jc w:val="center"/>
        </w:trPr>
        <w:tc>
          <w:tcPr>
            <w:tcW w:w="1300" w:type="dxa"/>
            <w:tcBorders>
              <w:top w:val="nil"/>
              <w:left w:val="nil"/>
              <w:bottom w:val="nil"/>
              <w:right w:val="nil"/>
            </w:tcBorders>
            <w:shd w:val="clear" w:color="auto" w:fill="auto"/>
            <w:noWrap/>
            <w:vAlign w:val="bottom"/>
            <w:hideMark/>
          </w:tcPr>
          <w:p w14:paraId="5A17AD25" w14:textId="77777777" w:rsidR="00CB12A3" w:rsidRPr="003B722F" w:rsidRDefault="00CB12A3" w:rsidP="001C4F22">
            <w:pPr>
              <w:jc w:val="center"/>
            </w:pPr>
            <w:proofErr w:type="spellStart"/>
            <w:r w:rsidRPr="003B722F">
              <w:t>sfin</w:t>
            </w:r>
            <w:proofErr w:type="spellEnd"/>
          </w:p>
        </w:tc>
        <w:tc>
          <w:tcPr>
            <w:tcW w:w="1535" w:type="dxa"/>
            <w:tcBorders>
              <w:top w:val="nil"/>
              <w:left w:val="nil"/>
              <w:bottom w:val="nil"/>
              <w:right w:val="nil"/>
            </w:tcBorders>
            <w:shd w:val="clear" w:color="auto" w:fill="auto"/>
            <w:noWrap/>
            <w:vAlign w:val="bottom"/>
            <w:hideMark/>
          </w:tcPr>
          <w:p w14:paraId="595A5D60" w14:textId="47F9D3A9" w:rsidR="00CB12A3" w:rsidRPr="003B722F" w:rsidRDefault="003941C0" w:rsidP="001C4F22">
            <w:pPr>
              <w:jc w:val="center"/>
            </w:pPr>
            <w:r>
              <w:t>-0.0284</w:t>
            </w:r>
          </w:p>
        </w:tc>
        <w:tc>
          <w:tcPr>
            <w:tcW w:w="1701" w:type="dxa"/>
            <w:tcBorders>
              <w:top w:val="nil"/>
              <w:left w:val="nil"/>
              <w:bottom w:val="nil"/>
              <w:right w:val="nil"/>
            </w:tcBorders>
            <w:shd w:val="clear" w:color="auto" w:fill="auto"/>
            <w:noWrap/>
            <w:vAlign w:val="bottom"/>
            <w:hideMark/>
          </w:tcPr>
          <w:p w14:paraId="7ABD0C28" w14:textId="59C1D5A5" w:rsidR="00CB12A3" w:rsidRPr="003B722F" w:rsidRDefault="003941C0" w:rsidP="001C4F22">
            <w:pPr>
              <w:jc w:val="center"/>
            </w:pPr>
            <w:r>
              <w:t>0.0698</w:t>
            </w:r>
          </w:p>
        </w:tc>
        <w:tc>
          <w:tcPr>
            <w:tcW w:w="1701" w:type="dxa"/>
            <w:tcBorders>
              <w:top w:val="nil"/>
              <w:left w:val="nil"/>
              <w:bottom w:val="nil"/>
              <w:right w:val="nil"/>
            </w:tcBorders>
            <w:shd w:val="clear" w:color="auto" w:fill="auto"/>
            <w:noWrap/>
            <w:vAlign w:val="bottom"/>
            <w:hideMark/>
          </w:tcPr>
          <w:p w14:paraId="41884408" w14:textId="5C449CA2" w:rsidR="00CB12A3" w:rsidRPr="003B722F" w:rsidRDefault="00CB12A3" w:rsidP="001C4F22">
            <w:pPr>
              <w:jc w:val="center"/>
            </w:pPr>
            <w:r w:rsidRPr="003B722F">
              <w:t>-0.</w:t>
            </w:r>
            <w:r w:rsidR="003941C0">
              <w:t>3257</w:t>
            </w:r>
          </w:p>
        </w:tc>
      </w:tr>
      <w:tr w:rsidR="00CB12A3" w:rsidRPr="003E7E57" w14:paraId="21F935E2" w14:textId="77777777" w:rsidTr="00CF2DBA">
        <w:trPr>
          <w:trHeight w:val="300"/>
          <w:jc w:val="center"/>
        </w:trPr>
        <w:tc>
          <w:tcPr>
            <w:tcW w:w="1300" w:type="dxa"/>
            <w:tcBorders>
              <w:top w:val="nil"/>
              <w:left w:val="nil"/>
              <w:bottom w:val="nil"/>
              <w:right w:val="nil"/>
            </w:tcBorders>
            <w:shd w:val="clear" w:color="auto" w:fill="auto"/>
            <w:noWrap/>
            <w:vAlign w:val="bottom"/>
            <w:hideMark/>
          </w:tcPr>
          <w:p w14:paraId="4DCD419D" w14:textId="77777777" w:rsidR="00CB12A3" w:rsidRPr="003B722F" w:rsidRDefault="00CB12A3" w:rsidP="001C4F22">
            <w:pPr>
              <w:jc w:val="center"/>
            </w:pPr>
            <w:proofErr w:type="spellStart"/>
            <w:r w:rsidRPr="003B722F">
              <w:t>sfra</w:t>
            </w:r>
            <w:proofErr w:type="spellEnd"/>
          </w:p>
        </w:tc>
        <w:tc>
          <w:tcPr>
            <w:tcW w:w="1535" w:type="dxa"/>
            <w:tcBorders>
              <w:top w:val="nil"/>
              <w:left w:val="nil"/>
              <w:bottom w:val="nil"/>
              <w:right w:val="nil"/>
            </w:tcBorders>
            <w:shd w:val="clear" w:color="auto" w:fill="auto"/>
            <w:noWrap/>
            <w:vAlign w:val="bottom"/>
            <w:hideMark/>
          </w:tcPr>
          <w:p w14:paraId="565AF3D5" w14:textId="07609467" w:rsidR="00CB12A3" w:rsidRPr="003B722F" w:rsidRDefault="003941C0" w:rsidP="001C4F22">
            <w:pPr>
              <w:jc w:val="center"/>
            </w:pPr>
            <w:r>
              <w:t>0.0853</w:t>
            </w:r>
          </w:p>
        </w:tc>
        <w:tc>
          <w:tcPr>
            <w:tcW w:w="1701" w:type="dxa"/>
            <w:tcBorders>
              <w:top w:val="nil"/>
              <w:left w:val="nil"/>
              <w:bottom w:val="nil"/>
              <w:right w:val="nil"/>
            </w:tcBorders>
            <w:shd w:val="clear" w:color="auto" w:fill="auto"/>
            <w:noWrap/>
            <w:vAlign w:val="bottom"/>
            <w:hideMark/>
          </w:tcPr>
          <w:p w14:paraId="7A491D60" w14:textId="5662995D" w:rsidR="00CB12A3" w:rsidRPr="003B722F" w:rsidRDefault="003941C0" w:rsidP="001C4F22">
            <w:pPr>
              <w:jc w:val="center"/>
            </w:pPr>
            <w:r>
              <w:t>0.1428</w:t>
            </w:r>
          </w:p>
        </w:tc>
        <w:tc>
          <w:tcPr>
            <w:tcW w:w="1701" w:type="dxa"/>
            <w:tcBorders>
              <w:top w:val="nil"/>
              <w:left w:val="nil"/>
              <w:bottom w:val="nil"/>
              <w:right w:val="nil"/>
            </w:tcBorders>
            <w:shd w:val="clear" w:color="auto" w:fill="auto"/>
            <w:noWrap/>
            <w:vAlign w:val="bottom"/>
            <w:hideMark/>
          </w:tcPr>
          <w:p w14:paraId="61F8D466" w14:textId="683E4C7E" w:rsidR="00CB12A3" w:rsidRPr="003B722F" w:rsidRDefault="003941C0" w:rsidP="001C4F22">
            <w:pPr>
              <w:jc w:val="center"/>
            </w:pPr>
            <w:r>
              <w:t>-0.2032</w:t>
            </w:r>
          </w:p>
        </w:tc>
      </w:tr>
      <w:tr w:rsidR="00CB12A3" w:rsidRPr="003E7E57" w14:paraId="5C65D230" w14:textId="77777777" w:rsidTr="00CF2DBA">
        <w:trPr>
          <w:trHeight w:val="300"/>
          <w:jc w:val="center"/>
        </w:trPr>
        <w:tc>
          <w:tcPr>
            <w:tcW w:w="1300" w:type="dxa"/>
            <w:tcBorders>
              <w:top w:val="nil"/>
              <w:left w:val="nil"/>
              <w:bottom w:val="nil"/>
              <w:right w:val="nil"/>
            </w:tcBorders>
            <w:shd w:val="clear" w:color="auto" w:fill="auto"/>
            <w:noWrap/>
            <w:vAlign w:val="bottom"/>
            <w:hideMark/>
          </w:tcPr>
          <w:p w14:paraId="7094D6FF" w14:textId="77777777" w:rsidR="00CB12A3" w:rsidRPr="003B722F" w:rsidRDefault="00CB12A3" w:rsidP="001C4F22">
            <w:pPr>
              <w:jc w:val="center"/>
            </w:pPr>
            <w:proofErr w:type="spellStart"/>
            <w:r w:rsidRPr="003B722F">
              <w:t>snet</w:t>
            </w:r>
            <w:proofErr w:type="spellEnd"/>
          </w:p>
        </w:tc>
        <w:tc>
          <w:tcPr>
            <w:tcW w:w="1535" w:type="dxa"/>
            <w:tcBorders>
              <w:top w:val="nil"/>
              <w:left w:val="nil"/>
              <w:bottom w:val="nil"/>
              <w:right w:val="nil"/>
            </w:tcBorders>
            <w:shd w:val="clear" w:color="auto" w:fill="auto"/>
            <w:noWrap/>
            <w:vAlign w:val="bottom"/>
            <w:hideMark/>
          </w:tcPr>
          <w:p w14:paraId="1908E1CF" w14:textId="607C493F" w:rsidR="00CB12A3" w:rsidRPr="003B722F" w:rsidRDefault="003941C0" w:rsidP="001C4F22">
            <w:pPr>
              <w:jc w:val="center"/>
            </w:pPr>
            <w:r>
              <w:t>-0.0826</w:t>
            </w:r>
          </w:p>
        </w:tc>
        <w:tc>
          <w:tcPr>
            <w:tcW w:w="1701" w:type="dxa"/>
            <w:tcBorders>
              <w:top w:val="nil"/>
              <w:left w:val="nil"/>
              <w:bottom w:val="nil"/>
              <w:right w:val="nil"/>
            </w:tcBorders>
            <w:shd w:val="clear" w:color="auto" w:fill="auto"/>
            <w:noWrap/>
            <w:vAlign w:val="bottom"/>
            <w:hideMark/>
          </w:tcPr>
          <w:p w14:paraId="04CB8EB4" w14:textId="59F8CF24" w:rsidR="00CB12A3" w:rsidRPr="003B722F" w:rsidRDefault="003941C0" w:rsidP="001C4F22">
            <w:pPr>
              <w:jc w:val="center"/>
            </w:pPr>
            <w:r>
              <w:t>0.0059</w:t>
            </w:r>
          </w:p>
        </w:tc>
        <w:tc>
          <w:tcPr>
            <w:tcW w:w="1701" w:type="dxa"/>
            <w:tcBorders>
              <w:top w:val="nil"/>
              <w:left w:val="nil"/>
              <w:bottom w:val="nil"/>
              <w:right w:val="nil"/>
            </w:tcBorders>
            <w:shd w:val="clear" w:color="auto" w:fill="auto"/>
            <w:noWrap/>
            <w:vAlign w:val="bottom"/>
            <w:hideMark/>
          </w:tcPr>
          <w:p w14:paraId="102E5454" w14:textId="7B3B2867" w:rsidR="00CB12A3" w:rsidRPr="003B722F" w:rsidRDefault="003941C0" w:rsidP="001C4F22">
            <w:pPr>
              <w:jc w:val="center"/>
            </w:pPr>
            <w:r>
              <w:t>-0.3069</w:t>
            </w:r>
          </w:p>
        </w:tc>
      </w:tr>
      <w:tr w:rsidR="00CB12A3" w:rsidRPr="003E7E57" w14:paraId="01E4D3EB" w14:textId="77777777" w:rsidTr="00CF2DBA">
        <w:trPr>
          <w:trHeight w:val="300"/>
          <w:jc w:val="center"/>
        </w:trPr>
        <w:tc>
          <w:tcPr>
            <w:tcW w:w="1300" w:type="dxa"/>
            <w:tcBorders>
              <w:top w:val="nil"/>
              <w:left w:val="nil"/>
              <w:bottom w:val="nil"/>
              <w:right w:val="nil"/>
            </w:tcBorders>
            <w:shd w:val="clear" w:color="auto" w:fill="auto"/>
            <w:noWrap/>
            <w:vAlign w:val="bottom"/>
            <w:hideMark/>
          </w:tcPr>
          <w:p w14:paraId="493D53B4" w14:textId="77777777" w:rsidR="00CB12A3" w:rsidRPr="00EB76B3" w:rsidRDefault="00CB12A3" w:rsidP="001C4F22">
            <w:pPr>
              <w:jc w:val="center"/>
            </w:pPr>
            <w:proofErr w:type="spellStart"/>
            <w:r w:rsidRPr="00EB76B3">
              <w:t>sgre</w:t>
            </w:r>
            <w:proofErr w:type="spellEnd"/>
          </w:p>
        </w:tc>
        <w:tc>
          <w:tcPr>
            <w:tcW w:w="1535" w:type="dxa"/>
            <w:tcBorders>
              <w:top w:val="nil"/>
              <w:left w:val="nil"/>
              <w:bottom w:val="nil"/>
              <w:right w:val="nil"/>
            </w:tcBorders>
            <w:shd w:val="clear" w:color="auto" w:fill="auto"/>
            <w:noWrap/>
            <w:vAlign w:val="bottom"/>
            <w:hideMark/>
          </w:tcPr>
          <w:p w14:paraId="50C0F92E" w14:textId="008E22F9" w:rsidR="00CB12A3" w:rsidRPr="00EB76B3" w:rsidRDefault="00773A94" w:rsidP="001C4F22">
            <w:pPr>
              <w:jc w:val="center"/>
            </w:pPr>
            <w:r>
              <w:t>0.0130</w:t>
            </w:r>
          </w:p>
        </w:tc>
        <w:tc>
          <w:tcPr>
            <w:tcW w:w="1701" w:type="dxa"/>
            <w:tcBorders>
              <w:top w:val="nil"/>
              <w:left w:val="nil"/>
              <w:bottom w:val="nil"/>
              <w:right w:val="nil"/>
            </w:tcBorders>
            <w:shd w:val="clear" w:color="auto" w:fill="auto"/>
            <w:noWrap/>
            <w:vAlign w:val="bottom"/>
            <w:hideMark/>
          </w:tcPr>
          <w:p w14:paraId="16243CEB" w14:textId="60D36A00" w:rsidR="00CB12A3" w:rsidRPr="00EB76B3" w:rsidRDefault="003C7B14" w:rsidP="001C4F22">
            <w:pPr>
              <w:jc w:val="center"/>
            </w:pPr>
            <w:r>
              <w:t>0.0046</w:t>
            </w:r>
          </w:p>
        </w:tc>
        <w:tc>
          <w:tcPr>
            <w:tcW w:w="1701" w:type="dxa"/>
            <w:tcBorders>
              <w:top w:val="nil"/>
              <w:left w:val="nil"/>
              <w:bottom w:val="nil"/>
              <w:right w:val="nil"/>
            </w:tcBorders>
            <w:shd w:val="clear" w:color="auto" w:fill="auto"/>
            <w:noWrap/>
            <w:vAlign w:val="bottom"/>
            <w:hideMark/>
          </w:tcPr>
          <w:p w14:paraId="0741C9BC" w14:textId="579FD11A" w:rsidR="00CB12A3" w:rsidRPr="00EB76B3" w:rsidRDefault="00632384" w:rsidP="001C4F22">
            <w:pPr>
              <w:jc w:val="center"/>
            </w:pPr>
            <w:r>
              <w:t>-0.1617</w:t>
            </w:r>
          </w:p>
        </w:tc>
      </w:tr>
      <w:tr w:rsidR="00CB12A3" w:rsidRPr="003E7E57" w14:paraId="176F168A" w14:textId="77777777" w:rsidTr="00CF2DBA">
        <w:trPr>
          <w:trHeight w:val="300"/>
          <w:jc w:val="center"/>
        </w:trPr>
        <w:tc>
          <w:tcPr>
            <w:tcW w:w="1300" w:type="dxa"/>
            <w:tcBorders>
              <w:top w:val="nil"/>
              <w:left w:val="nil"/>
              <w:bottom w:val="nil"/>
              <w:right w:val="nil"/>
            </w:tcBorders>
            <w:shd w:val="clear" w:color="auto" w:fill="auto"/>
            <w:noWrap/>
            <w:vAlign w:val="bottom"/>
            <w:hideMark/>
          </w:tcPr>
          <w:p w14:paraId="42A28EB3" w14:textId="77777777" w:rsidR="00CB12A3" w:rsidRPr="00EB76B3" w:rsidRDefault="00CB12A3" w:rsidP="001C4F22">
            <w:pPr>
              <w:jc w:val="center"/>
            </w:pPr>
            <w:r w:rsidRPr="00EB76B3">
              <w:t>sire</w:t>
            </w:r>
          </w:p>
        </w:tc>
        <w:tc>
          <w:tcPr>
            <w:tcW w:w="1535" w:type="dxa"/>
            <w:tcBorders>
              <w:top w:val="nil"/>
              <w:left w:val="nil"/>
              <w:bottom w:val="nil"/>
              <w:right w:val="nil"/>
            </w:tcBorders>
            <w:shd w:val="clear" w:color="auto" w:fill="auto"/>
            <w:noWrap/>
            <w:vAlign w:val="bottom"/>
            <w:hideMark/>
          </w:tcPr>
          <w:p w14:paraId="714948EF" w14:textId="008551FB" w:rsidR="00CB12A3" w:rsidRPr="00EB76B3" w:rsidRDefault="00773A94" w:rsidP="001C4F22">
            <w:pPr>
              <w:jc w:val="center"/>
            </w:pPr>
            <w:r>
              <w:t>-0.2318</w:t>
            </w:r>
          </w:p>
        </w:tc>
        <w:tc>
          <w:tcPr>
            <w:tcW w:w="1701" w:type="dxa"/>
            <w:tcBorders>
              <w:top w:val="nil"/>
              <w:left w:val="nil"/>
              <w:bottom w:val="nil"/>
              <w:right w:val="nil"/>
            </w:tcBorders>
            <w:shd w:val="clear" w:color="auto" w:fill="auto"/>
            <w:noWrap/>
            <w:vAlign w:val="bottom"/>
            <w:hideMark/>
          </w:tcPr>
          <w:p w14:paraId="237FFCDA" w14:textId="1A6710D4" w:rsidR="00CB12A3" w:rsidRPr="00EB76B3" w:rsidRDefault="003C7B14" w:rsidP="001C4F22">
            <w:pPr>
              <w:jc w:val="center"/>
            </w:pPr>
            <w:r>
              <w:t>0.0538</w:t>
            </w:r>
          </w:p>
        </w:tc>
        <w:tc>
          <w:tcPr>
            <w:tcW w:w="1701" w:type="dxa"/>
            <w:tcBorders>
              <w:top w:val="nil"/>
              <w:left w:val="nil"/>
              <w:bottom w:val="nil"/>
              <w:right w:val="nil"/>
            </w:tcBorders>
            <w:shd w:val="clear" w:color="auto" w:fill="auto"/>
            <w:noWrap/>
            <w:vAlign w:val="bottom"/>
            <w:hideMark/>
          </w:tcPr>
          <w:p w14:paraId="0013ECC6" w14:textId="503A28DA" w:rsidR="00CB12A3" w:rsidRPr="00EB76B3" w:rsidRDefault="00632384" w:rsidP="001C4F22">
            <w:pPr>
              <w:jc w:val="center"/>
            </w:pPr>
            <w:r>
              <w:t>-0.1234</w:t>
            </w:r>
          </w:p>
        </w:tc>
      </w:tr>
      <w:tr w:rsidR="00CB12A3" w:rsidRPr="003E7E57" w14:paraId="2B9435DA" w14:textId="77777777" w:rsidTr="00CF2DBA">
        <w:trPr>
          <w:trHeight w:val="300"/>
          <w:jc w:val="center"/>
        </w:trPr>
        <w:tc>
          <w:tcPr>
            <w:tcW w:w="1300" w:type="dxa"/>
            <w:tcBorders>
              <w:top w:val="nil"/>
              <w:left w:val="nil"/>
              <w:bottom w:val="nil"/>
              <w:right w:val="nil"/>
            </w:tcBorders>
            <w:shd w:val="clear" w:color="auto" w:fill="auto"/>
            <w:noWrap/>
            <w:vAlign w:val="bottom"/>
            <w:hideMark/>
          </w:tcPr>
          <w:p w14:paraId="1BC05EDD" w14:textId="77777777" w:rsidR="00CB12A3" w:rsidRPr="00EB76B3" w:rsidRDefault="00CB12A3" w:rsidP="001C4F22">
            <w:pPr>
              <w:jc w:val="center"/>
            </w:pPr>
            <w:proofErr w:type="spellStart"/>
            <w:r w:rsidRPr="00EB76B3">
              <w:t>sita</w:t>
            </w:r>
            <w:proofErr w:type="spellEnd"/>
          </w:p>
        </w:tc>
        <w:tc>
          <w:tcPr>
            <w:tcW w:w="1535" w:type="dxa"/>
            <w:tcBorders>
              <w:top w:val="nil"/>
              <w:left w:val="nil"/>
              <w:bottom w:val="nil"/>
              <w:right w:val="nil"/>
            </w:tcBorders>
            <w:shd w:val="clear" w:color="auto" w:fill="auto"/>
            <w:noWrap/>
            <w:vAlign w:val="bottom"/>
            <w:hideMark/>
          </w:tcPr>
          <w:p w14:paraId="3E04044B" w14:textId="1A430043" w:rsidR="00CB12A3" w:rsidRPr="00EB76B3" w:rsidRDefault="00773A94" w:rsidP="001C4F22">
            <w:pPr>
              <w:jc w:val="center"/>
            </w:pPr>
            <w:r>
              <w:t>0.1289</w:t>
            </w:r>
          </w:p>
        </w:tc>
        <w:tc>
          <w:tcPr>
            <w:tcW w:w="1701" w:type="dxa"/>
            <w:tcBorders>
              <w:top w:val="nil"/>
              <w:left w:val="nil"/>
              <w:bottom w:val="nil"/>
              <w:right w:val="nil"/>
            </w:tcBorders>
            <w:shd w:val="clear" w:color="auto" w:fill="auto"/>
            <w:noWrap/>
            <w:vAlign w:val="bottom"/>
            <w:hideMark/>
          </w:tcPr>
          <w:p w14:paraId="3B2587DD" w14:textId="229231DF" w:rsidR="00CB12A3" w:rsidRPr="00EB76B3" w:rsidRDefault="003C7B14" w:rsidP="001C4F22">
            <w:pPr>
              <w:jc w:val="center"/>
            </w:pPr>
            <w:r>
              <w:t>0.0829</w:t>
            </w:r>
          </w:p>
        </w:tc>
        <w:tc>
          <w:tcPr>
            <w:tcW w:w="1701" w:type="dxa"/>
            <w:tcBorders>
              <w:top w:val="nil"/>
              <w:left w:val="nil"/>
              <w:bottom w:val="nil"/>
              <w:right w:val="nil"/>
            </w:tcBorders>
            <w:shd w:val="clear" w:color="auto" w:fill="auto"/>
            <w:noWrap/>
            <w:vAlign w:val="bottom"/>
            <w:hideMark/>
          </w:tcPr>
          <w:p w14:paraId="29DA023A" w14:textId="7CF4CBF0" w:rsidR="00CB12A3" w:rsidRPr="00EB76B3" w:rsidRDefault="00632384" w:rsidP="001C4F22">
            <w:pPr>
              <w:jc w:val="center"/>
            </w:pPr>
            <w:r>
              <w:t>-0.1872</w:t>
            </w:r>
          </w:p>
        </w:tc>
      </w:tr>
      <w:tr w:rsidR="00CB12A3" w:rsidRPr="003E7E57" w14:paraId="3F4E5484" w14:textId="77777777" w:rsidTr="00CF2DBA">
        <w:trPr>
          <w:trHeight w:val="300"/>
          <w:jc w:val="center"/>
        </w:trPr>
        <w:tc>
          <w:tcPr>
            <w:tcW w:w="1300" w:type="dxa"/>
            <w:tcBorders>
              <w:top w:val="nil"/>
              <w:left w:val="nil"/>
              <w:bottom w:val="nil"/>
              <w:right w:val="nil"/>
            </w:tcBorders>
            <w:shd w:val="clear" w:color="auto" w:fill="auto"/>
            <w:noWrap/>
            <w:vAlign w:val="bottom"/>
            <w:hideMark/>
          </w:tcPr>
          <w:p w14:paraId="6FE2AA4F" w14:textId="77777777" w:rsidR="00CB12A3" w:rsidRPr="00EB76B3" w:rsidRDefault="00CB12A3" w:rsidP="001C4F22">
            <w:pPr>
              <w:jc w:val="center"/>
            </w:pPr>
            <w:proofErr w:type="spellStart"/>
            <w:r w:rsidRPr="00EB76B3">
              <w:t>spor</w:t>
            </w:r>
            <w:proofErr w:type="spellEnd"/>
          </w:p>
        </w:tc>
        <w:tc>
          <w:tcPr>
            <w:tcW w:w="1535" w:type="dxa"/>
            <w:tcBorders>
              <w:top w:val="nil"/>
              <w:left w:val="nil"/>
              <w:bottom w:val="nil"/>
              <w:right w:val="nil"/>
            </w:tcBorders>
            <w:shd w:val="clear" w:color="auto" w:fill="auto"/>
            <w:noWrap/>
            <w:vAlign w:val="bottom"/>
            <w:hideMark/>
          </w:tcPr>
          <w:p w14:paraId="65AC88CA" w14:textId="48372D5A" w:rsidR="00CB12A3" w:rsidRPr="00EB76B3" w:rsidRDefault="00773A94" w:rsidP="001C4F22">
            <w:pPr>
              <w:jc w:val="center"/>
            </w:pPr>
            <w:r>
              <w:t>-0.1616</w:t>
            </w:r>
          </w:p>
        </w:tc>
        <w:tc>
          <w:tcPr>
            <w:tcW w:w="1701" w:type="dxa"/>
            <w:tcBorders>
              <w:top w:val="nil"/>
              <w:left w:val="nil"/>
              <w:bottom w:val="nil"/>
              <w:right w:val="nil"/>
            </w:tcBorders>
            <w:shd w:val="clear" w:color="auto" w:fill="auto"/>
            <w:noWrap/>
            <w:vAlign w:val="bottom"/>
            <w:hideMark/>
          </w:tcPr>
          <w:p w14:paraId="2708A366" w14:textId="1B8D00E6" w:rsidR="00CB12A3" w:rsidRPr="00EB76B3" w:rsidRDefault="003C7B14" w:rsidP="001C4F22">
            <w:pPr>
              <w:jc w:val="center"/>
            </w:pPr>
            <w:r>
              <w:t>0.1240</w:t>
            </w:r>
          </w:p>
        </w:tc>
        <w:tc>
          <w:tcPr>
            <w:tcW w:w="1701" w:type="dxa"/>
            <w:tcBorders>
              <w:top w:val="nil"/>
              <w:left w:val="nil"/>
              <w:bottom w:val="nil"/>
              <w:right w:val="nil"/>
            </w:tcBorders>
            <w:shd w:val="clear" w:color="auto" w:fill="auto"/>
            <w:noWrap/>
            <w:vAlign w:val="bottom"/>
            <w:hideMark/>
          </w:tcPr>
          <w:p w14:paraId="117136C1" w14:textId="3EA06465" w:rsidR="00CB12A3" w:rsidRPr="00EB76B3" w:rsidRDefault="00632384" w:rsidP="001C4F22">
            <w:pPr>
              <w:jc w:val="center"/>
            </w:pPr>
            <w:r>
              <w:t>-0.0069</w:t>
            </w:r>
          </w:p>
        </w:tc>
      </w:tr>
      <w:tr w:rsidR="00CB12A3" w:rsidRPr="003E7E57" w14:paraId="2BE3D73F" w14:textId="77777777" w:rsidTr="00CF2DBA">
        <w:trPr>
          <w:trHeight w:val="300"/>
          <w:jc w:val="center"/>
        </w:trPr>
        <w:tc>
          <w:tcPr>
            <w:tcW w:w="1300" w:type="dxa"/>
            <w:tcBorders>
              <w:top w:val="nil"/>
              <w:left w:val="nil"/>
              <w:bottom w:val="single" w:sz="4" w:space="0" w:color="auto"/>
              <w:right w:val="nil"/>
            </w:tcBorders>
            <w:shd w:val="clear" w:color="auto" w:fill="auto"/>
            <w:noWrap/>
            <w:vAlign w:val="bottom"/>
            <w:hideMark/>
          </w:tcPr>
          <w:p w14:paraId="3B0D33F4" w14:textId="77777777" w:rsidR="00CB12A3" w:rsidRPr="00EB76B3" w:rsidRDefault="00CB12A3" w:rsidP="001C4F22">
            <w:pPr>
              <w:jc w:val="center"/>
            </w:pPr>
            <w:proofErr w:type="spellStart"/>
            <w:r w:rsidRPr="00EB76B3">
              <w:t>sspa</w:t>
            </w:r>
            <w:proofErr w:type="spellEnd"/>
          </w:p>
        </w:tc>
        <w:tc>
          <w:tcPr>
            <w:tcW w:w="1535" w:type="dxa"/>
            <w:tcBorders>
              <w:top w:val="nil"/>
              <w:left w:val="nil"/>
              <w:bottom w:val="nil"/>
              <w:right w:val="nil"/>
            </w:tcBorders>
            <w:shd w:val="clear" w:color="auto" w:fill="auto"/>
            <w:noWrap/>
            <w:vAlign w:val="bottom"/>
            <w:hideMark/>
          </w:tcPr>
          <w:p w14:paraId="048EF5FB" w14:textId="72D50C72" w:rsidR="00CB12A3" w:rsidRPr="00EB76B3" w:rsidRDefault="00773A94" w:rsidP="001C4F22">
            <w:pPr>
              <w:jc w:val="center"/>
            </w:pPr>
            <w:r>
              <w:t>-0.0250</w:t>
            </w:r>
          </w:p>
        </w:tc>
        <w:tc>
          <w:tcPr>
            <w:tcW w:w="1701" w:type="dxa"/>
            <w:tcBorders>
              <w:top w:val="nil"/>
              <w:left w:val="nil"/>
              <w:bottom w:val="nil"/>
              <w:right w:val="nil"/>
            </w:tcBorders>
            <w:shd w:val="clear" w:color="auto" w:fill="auto"/>
            <w:noWrap/>
            <w:vAlign w:val="bottom"/>
            <w:hideMark/>
          </w:tcPr>
          <w:p w14:paraId="7B7F4598" w14:textId="304476FD" w:rsidR="00CB12A3" w:rsidRPr="00EB76B3" w:rsidRDefault="003C7B14" w:rsidP="001C4F22">
            <w:pPr>
              <w:jc w:val="center"/>
            </w:pPr>
            <w:r>
              <w:t>0.0324</w:t>
            </w:r>
          </w:p>
        </w:tc>
        <w:tc>
          <w:tcPr>
            <w:tcW w:w="1701" w:type="dxa"/>
            <w:tcBorders>
              <w:top w:val="nil"/>
              <w:left w:val="nil"/>
              <w:bottom w:val="nil"/>
              <w:right w:val="nil"/>
            </w:tcBorders>
            <w:shd w:val="clear" w:color="auto" w:fill="auto"/>
            <w:noWrap/>
            <w:vAlign w:val="bottom"/>
            <w:hideMark/>
          </w:tcPr>
          <w:p w14:paraId="5C9DC6E3" w14:textId="0A59B582" w:rsidR="00CB12A3" w:rsidRPr="00EB76B3" w:rsidRDefault="00632384" w:rsidP="001C4F22">
            <w:pPr>
              <w:jc w:val="center"/>
            </w:pPr>
            <w:r>
              <w:t>-0.1049</w:t>
            </w:r>
          </w:p>
        </w:tc>
      </w:tr>
      <w:tr w:rsidR="00CB12A3" w:rsidRPr="003E7E57" w14:paraId="51DFF027" w14:textId="77777777" w:rsidTr="00CF2DBA">
        <w:trPr>
          <w:trHeight w:val="300"/>
          <w:jc w:val="center"/>
        </w:trPr>
        <w:tc>
          <w:tcPr>
            <w:tcW w:w="6237" w:type="dxa"/>
            <w:gridSpan w:val="4"/>
            <w:tcBorders>
              <w:top w:val="single" w:sz="4" w:space="0" w:color="auto"/>
              <w:left w:val="nil"/>
              <w:bottom w:val="single" w:sz="4" w:space="0" w:color="auto"/>
            </w:tcBorders>
            <w:shd w:val="clear" w:color="auto" w:fill="auto"/>
            <w:noWrap/>
            <w:vAlign w:val="bottom"/>
            <w:hideMark/>
          </w:tcPr>
          <w:p w14:paraId="5EC54B20" w14:textId="362F0376" w:rsidR="00CB12A3" w:rsidRPr="003E7E57" w:rsidRDefault="00CB12A3" w:rsidP="001C4F22">
            <w:pPr>
              <w:jc w:val="both"/>
              <w:rPr>
                <w:rFonts w:eastAsiaTheme="minorHAnsi"/>
                <w:sz w:val="20"/>
                <w:szCs w:val="20"/>
              </w:rPr>
            </w:pPr>
            <w:r w:rsidRPr="003E7E57">
              <w:rPr>
                <w:sz w:val="20"/>
                <w:szCs w:val="20"/>
              </w:rPr>
              <w:t>Note: U</w:t>
            </w:r>
            <w:r>
              <w:rPr>
                <w:sz w:val="20"/>
                <w:szCs w:val="20"/>
              </w:rPr>
              <w:t xml:space="preserve">nconditional correlations </w:t>
            </w:r>
            <w:r w:rsidR="001F3512">
              <w:rPr>
                <w:sz w:val="20"/>
                <w:szCs w:val="20"/>
              </w:rPr>
              <w:t>between</w:t>
            </w:r>
            <w:r>
              <w:rPr>
                <w:sz w:val="20"/>
                <w:szCs w:val="20"/>
              </w:rPr>
              <w:t xml:space="preserve"> </w:t>
            </w:r>
            <w:r w:rsidRPr="003E7E57">
              <w:rPr>
                <w:sz w:val="20"/>
                <w:szCs w:val="20"/>
              </w:rPr>
              <w:t>10-year sovereign yiel</w:t>
            </w:r>
            <w:r>
              <w:rPr>
                <w:sz w:val="20"/>
                <w:szCs w:val="20"/>
              </w:rPr>
              <w:t xml:space="preserve">d spreads over Germany </w:t>
            </w:r>
            <w:r w:rsidR="001F3512">
              <w:rPr>
                <w:sz w:val="20"/>
                <w:szCs w:val="20"/>
              </w:rPr>
              <w:t xml:space="preserve">of </w:t>
            </w:r>
            <w:r w:rsidRPr="003E7E57">
              <w:rPr>
                <w:sz w:val="20"/>
                <w:szCs w:val="20"/>
              </w:rPr>
              <w:t xml:space="preserve">core and periphery countries </w:t>
            </w:r>
            <w:r>
              <w:rPr>
                <w:sz w:val="20"/>
                <w:szCs w:val="20"/>
              </w:rPr>
              <w:t xml:space="preserve">in first differences and different oil price shocks. Core countries: </w:t>
            </w:r>
            <w:r w:rsidRPr="003E7E57">
              <w:rPr>
                <w:sz w:val="20"/>
                <w:szCs w:val="20"/>
              </w:rPr>
              <w:t>Austria (</w:t>
            </w:r>
            <w:proofErr w:type="spellStart"/>
            <w:r w:rsidRPr="003E7E57">
              <w:rPr>
                <w:sz w:val="20"/>
                <w:szCs w:val="20"/>
              </w:rPr>
              <w:t>saus</w:t>
            </w:r>
            <w:proofErr w:type="spellEnd"/>
            <w:r w:rsidRPr="003E7E57">
              <w:rPr>
                <w:sz w:val="20"/>
                <w:szCs w:val="20"/>
              </w:rPr>
              <w:t>), Belgium (</w:t>
            </w:r>
            <w:proofErr w:type="spellStart"/>
            <w:r w:rsidRPr="003E7E57">
              <w:rPr>
                <w:sz w:val="20"/>
                <w:szCs w:val="20"/>
              </w:rPr>
              <w:t>sbel</w:t>
            </w:r>
            <w:proofErr w:type="spellEnd"/>
            <w:r w:rsidRPr="003E7E57">
              <w:rPr>
                <w:sz w:val="20"/>
                <w:szCs w:val="20"/>
              </w:rPr>
              <w:t xml:space="preserve">), </w:t>
            </w:r>
            <w:r>
              <w:rPr>
                <w:sz w:val="20"/>
                <w:szCs w:val="20"/>
              </w:rPr>
              <w:t>Finland (</w:t>
            </w:r>
            <w:proofErr w:type="spellStart"/>
            <w:r>
              <w:rPr>
                <w:sz w:val="20"/>
                <w:szCs w:val="20"/>
              </w:rPr>
              <w:t>sfin</w:t>
            </w:r>
            <w:proofErr w:type="spellEnd"/>
            <w:r>
              <w:rPr>
                <w:sz w:val="20"/>
                <w:szCs w:val="20"/>
              </w:rPr>
              <w:t>), France (</w:t>
            </w:r>
            <w:proofErr w:type="spellStart"/>
            <w:r>
              <w:rPr>
                <w:sz w:val="20"/>
                <w:szCs w:val="20"/>
              </w:rPr>
              <w:t>sfra</w:t>
            </w:r>
            <w:proofErr w:type="spellEnd"/>
            <w:r>
              <w:rPr>
                <w:sz w:val="20"/>
                <w:szCs w:val="20"/>
              </w:rPr>
              <w:t>) and the Netherlands (</w:t>
            </w:r>
            <w:proofErr w:type="spellStart"/>
            <w:r>
              <w:rPr>
                <w:sz w:val="20"/>
                <w:szCs w:val="20"/>
              </w:rPr>
              <w:t>snet</w:t>
            </w:r>
            <w:proofErr w:type="spellEnd"/>
            <w:r>
              <w:rPr>
                <w:sz w:val="20"/>
                <w:szCs w:val="20"/>
              </w:rPr>
              <w:t>). Periphe</w:t>
            </w:r>
            <w:r w:rsidR="001F3512">
              <w:rPr>
                <w:sz w:val="20"/>
                <w:szCs w:val="20"/>
              </w:rPr>
              <w:t>r</w:t>
            </w:r>
            <w:r>
              <w:rPr>
                <w:sz w:val="20"/>
                <w:szCs w:val="20"/>
              </w:rPr>
              <w:t xml:space="preserve">y countries: </w:t>
            </w:r>
            <w:r w:rsidRPr="003E7E57">
              <w:rPr>
                <w:sz w:val="20"/>
                <w:szCs w:val="20"/>
              </w:rPr>
              <w:t xml:space="preserve"> Greece (</w:t>
            </w:r>
            <w:proofErr w:type="spellStart"/>
            <w:r w:rsidRPr="003E7E57">
              <w:rPr>
                <w:sz w:val="20"/>
                <w:szCs w:val="20"/>
              </w:rPr>
              <w:t>sgre</w:t>
            </w:r>
            <w:proofErr w:type="spellEnd"/>
            <w:r w:rsidRPr="003E7E57">
              <w:rPr>
                <w:sz w:val="20"/>
                <w:szCs w:val="20"/>
              </w:rPr>
              <w:t>), Ireland (sire), Italy (</w:t>
            </w:r>
            <w:proofErr w:type="spellStart"/>
            <w:r w:rsidRPr="003E7E57">
              <w:rPr>
                <w:sz w:val="20"/>
                <w:szCs w:val="20"/>
              </w:rPr>
              <w:t>sita</w:t>
            </w:r>
            <w:proofErr w:type="spellEnd"/>
            <w:r w:rsidRPr="003E7E57">
              <w:rPr>
                <w:sz w:val="20"/>
                <w:szCs w:val="20"/>
              </w:rPr>
              <w:t>), P</w:t>
            </w:r>
            <w:r>
              <w:rPr>
                <w:sz w:val="20"/>
                <w:szCs w:val="20"/>
              </w:rPr>
              <w:t>ortugal (</w:t>
            </w:r>
            <w:proofErr w:type="spellStart"/>
            <w:r>
              <w:rPr>
                <w:sz w:val="20"/>
                <w:szCs w:val="20"/>
              </w:rPr>
              <w:t>spor</w:t>
            </w:r>
            <w:proofErr w:type="spellEnd"/>
            <w:r>
              <w:rPr>
                <w:sz w:val="20"/>
                <w:szCs w:val="20"/>
              </w:rPr>
              <w:t>) and Spain (</w:t>
            </w:r>
            <w:proofErr w:type="spellStart"/>
            <w:r>
              <w:rPr>
                <w:sz w:val="20"/>
                <w:szCs w:val="20"/>
              </w:rPr>
              <w:t>sspa</w:t>
            </w:r>
            <w:proofErr w:type="spellEnd"/>
            <w:r>
              <w:rPr>
                <w:sz w:val="20"/>
                <w:szCs w:val="20"/>
              </w:rPr>
              <w:t>)</w:t>
            </w:r>
            <w:r w:rsidRPr="003E7E57">
              <w:rPr>
                <w:sz w:val="20"/>
                <w:szCs w:val="20"/>
              </w:rPr>
              <w:t>. For the core countries, the time period spans from January 1999 t</w:t>
            </w:r>
            <w:r w:rsidR="00EB76B3">
              <w:rPr>
                <w:sz w:val="20"/>
                <w:szCs w:val="20"/>
              </w:rPr>
              <w:t>o January</w:t>
            </w:r>
            <w:r w:rsidRPr="003E7E57">
              <w:rPr>
                <w:sz w:val="20"/>
                <w:szCs w:val="20"/>
              </w:rPr>
              <w:t xml:space="preserve"> 2016. For the periphery countries, the time period spa</w:t>
            </w:r>
            <w:r w:rsidR="00EB76B3">
              <w:rPr>
                <w:sz w:val="20"/>
                <w:szCs w:val="20"/>
              </w:rPr>
              <w:t>ns from January 2001 to January</w:t>
            </w:r>
            <w:r w:rsidRPr="003E7E57">
              <w:rPr>
                <w:sz w:val="20"/>
                <w:szCs w:val="20"/>
              </w:rPr>
              <w:t xml:space="preserve"> 2016. </w:t>
            </w:r>
            <w:r w:rsidR="00A02C6E">
              <w:rPr>
                <w:sz w:val="20"/>
                <w:szCs w:val="20"/>
              </w:rPr>
              <w:t>The pre-Great Recession extends until August 2008, whereas the post-Great Recession begins in September 2008.</w:t>
            </w:r>
          </w:p>
        </w:tc>
      </w:tr>
    </w:tbl>
    <w:p w14:paraId="2D9E7B55" w14:textId="77777777" w:rsidR="00CB12A3" w:rsidRDefault="00CB12A3" w:rsidP="00CB12A3"/>
    <w:p w14:paraId="30C49577" w14:textId="77777777" w:rsidR="00CF2DBA" w:rsidRDefault="00CF2DBA" w:rsidP="00CB12A3">
      <w:pPr>
        <w:sectPr w:rsidR="00CF2DBA" w:rsidSect="004A03F6">
          <w:pgSz w:w="11906" w:h="16838"/>
          <w:pgMar w:top="1440" w:right="1800" w:bottom="1440" w:left="1800" w:header="720" w:footer="720" w:gutter="0"/>
          <w:cols w:space="720"/>
          <w:docGrid w:linePitch="326"/>
        </w:sectPr>
      </w:pPr>
    </w:p>
    <w:p w14:paraId="02BCD043" w14:textId="43305564" w:rsidR="0040018D" w:rsidRPr="00CF2DBA" w:rsidRDefault="00CF2DBA" w:rsidP="00CF2DBA">
      <w:pPr>
        <w:jc w:val="center"/>
        <w:rPr>
          <w:b/>
        </w:rPr>
      </w:pPr>
      <w:r w:rsidRPr="00CF2DBA">
        <w:rPr>
          <w:b/>
        </w:rPr>
        <w:lastRenderedPageBreak/>
        <w:t>FIGURES</w:t>
      </w:r>
    </w:p>
    <w:p w14:paraId="0BAE5ABD" w14:textId="77777777" w:rsidR="00CF2DBA" w:rsidRDefault="00CF2DBA" w:rsidP="00CB12A3"/>
    <w:tbl>
      <w:tblPr>
        <w:tblW w:w="0" w:type="auto"/>
        <w:jc w:val="center"/>
        <w:tblLook w:val="04A0" w:firstRow="1" w:lastRow="0" w:firstColumn="1" w:lastColumn="0" w:noHBand="0" w:noVBand="1"/>
      </w:tblPr>
      <w:tblGrid>
        <w:gridCol w:w="9500"/>
      </w:tblGrid>
      <w:tr w:rsidR="00BA569A" w14:paraId="62C59AB0" w14:textId="77777777" w:rsidTr="00CF2DBA">
        <w:trPr>
          <w:jc w:val="center"/>
        </w:trPr>
        <w:tc>
          <w:tcPr>
            <w:tcW w:w="9500" w:type="dxa"/>
            <w:tcBorders>
              <w:top w:val="single" w:sz="4" w:space="0" w:color="auto"/>
              <w:left w:val="nil"/>
              <w:bottom w:val="single" w:sz="4" w:space="0" w:color="auto"/>
              <w:right w:val="nil"/>
            </w:tcBorders>
            <w:hideMark/>
          </w:tcPr>
          <w:p w14:paraId="0C8EF124" w14:textId="27A5E363" w:rsidR="00BA569A" w:rsidRDefault="00BA569A" w:rsidP="002E665D">
            <w:pPr>
              <w:rPr>
                <w:sz w:val="22"/>
                <w:szCs w:val="22"/>
                <w:lang w:eastAsia="el-GR"/>
              </w:rPr>
            </w:pPr>
            <w:r>
              <w:rPr>
                <w:b/>
              </w:rPr>
              <w:t>Figure 1: EU’s oil import dependency</w:t>
            </w:r>
          </w:p>
        </w:tc>
      </w:tr>
      <w:tr w:rsidR="00BA569A" w14:paraId="50F29D1F" w14:textId="77777777" w:rsidTr="00CF2DBA">
        <w:trPr>
          <w:jc w:val="center"/>
        </w:trPr>
        <w:tc>
          <w:tcPr>
            <w:tcW w:w="9500" w:type="dxa"/>
            <w:tcBorders>
              <w:top w:val="single" w:sz="4" w:space="0" w:color="auto"/>
              <w:left w:val="nil"/>
              <w:bottom w:val="single" w:sz="4" w:space="0" w:color="auto"/>
              <w:right w:val="nil"/>
            </w:tcBorders>
          </w:tcPr>
          <w:p w14:paraId="51CC3D02" w14:textId="77777777" w:rsidR="00BA569A" w:rsidRDefault="00BA569A" w:rsidP="002E665D"/>
          <w:p w14:paraId="234D6539" w14:textId="3DA2A2FD" w:rsidR="00BA569A" w:rsidRPr="00BA569A" w:rsidRDefault="00BA569A" w:rsidP="002E665D">
            <w:pPr>
              <w:rPr>
                <w:sz w:val="16"/>
              </w:rPr>
            </w:pPr>
            <w:r>
              <w:rPr>
                <w:noProof/>
                <w:lang w:eastAsia="en-GB"/>
              </w:rPr>
              <w:drawing>
                <wp:inline distT="0" distB="0" distL="0" distR="0" wp14:anchorId="2353974F" wp14:editId="2FDA78BC">
                  <wp:extent cx="5895498" cy="224709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a14:imgEffect>
                                      <a14:saturation sat="0"/>
                                    </a14:imgEffect>
                                  </a14:imgLayer>
                                </a14:imgProps>
                              </a:ext>
                            </a:extLst>
                          </a:blip>
                          <a:stretch>
                            <a:fillRect/>
                          </a:stretch>
                        </pic:blipFill>
                        <pic:spPr>
                          <a:xfrm>
                            <a:off x="0" y="0"/>
                            <a:ext cx="5933656" cy="2261634"/>
                          </a:xfrm>
                          <a:prstGeom prst="rect">
                            <a:avLst/>
                          </a:prstGeom>
                        </pic:spPr>
                      </pic:pic>
                    </a:graphicData>
                  </a:graphic>
                </wp:inline>
              </w:drawing>
            </w:r>
          </w:p>
          <w:p w14:paraId="6B30F9F8" w14:textId="77777777" w:rsidR="00BA569A" w:rsidRDefault="00BA569A" w:rsidP="002E665D">
            <w:pPr>
              <w:rPr>
                <w:sz w:val="16"/>
              </w:rPr>
            </w:pPr>
          </w:p>
        </w:tc>
      </w:tr>
      <w:tr w:rsidR="00BA569A" w14:paraId="5BAE7C75" w14:textId="77777777" w:rsidTr="00CF2DBA">
        <w:trPr>
          <w:jc w:val="center"/>
        </w:trPr>
        <w:tc>
          <w:tcPr>
            <w:tcW w:w="9500" w:type="dxa"/>
            <w:tcBorders>
              <w:top w:val="single" w:sz="4" w:space="0" w:color="auto"/>
              <w:left w:val="nil"/>
              <w:bottom w:val="single" w:sz="4" w:space="0" w:color="auto"/>
              <w:right w:val="nil"/>
            </w:tcBorders>
            <w:hideMark/>
          </w:tcPr>
          <w:p w14:paraId="06829C2F" w14:textId="65E4007F" w:rsidR="00BA569A" w:rsidRPr="005B741D" w:rsidRDefault="00BA569A" w:rsidP="002E665D">
            <w:pPr>
              <w:jc w:val="both"/>
              <w:rPr>
                <w:sz w:val="20"/>
                <w:szCs w:val="20"/>
                <w:lang w:val="en-US"/>
              </w:rPr>
            </w:pPr>
            <w:r>
              <w:rPr>
                <w:sz w:val="20"/>
                <w:szCs w:val="20"/>
                <w:lang w:val="en-US"/>
              </w:rPr>
              <w:t>Note:</w:t>
            </w:r>
            <w:r>
              <w:rPr>
                <w:sz w:val="20"/>
                <w:szCs w:val="20"/>
              </w:rPr>
              <w:t xml:space="preserve">  The figure shows the i</w:t>
            </w:r>
            <w:r w:rsidRPr="005F1EF3">
              <w:rPr>
                <w:sz w:val="20"/>
                <w:szCs w:val="20"/>
              </w:rPr>
              <w:t>mport dependency o</w:t>
            </w:r>
            <w:r>
              <w:rPr>
                <w:sz w:val="20"/>
                <w:szCs w:val="20"/>
              </w:rPr>
              <w:t>f</w:t>
            </w:r>
            <w:r w:rsidRPr="005F1EF3">
              <w:rPr>
                <w:sz w:val="20"/>
                <w:szCs w:val="20"/>
              </w:rPr>
              <w:t xml:space="preserve"> </w:t>
            </w:r>
            <w:r>
              <w:rPr>
                <w:sz w:val="20"/>
                <w:szCs w:val="20"/>
              </w:rPr>
              <w:t xml:space="preserve">crude </w:t>
            </w:r>
            <w:r w:rsidRPr="005F1EF3">
              <w:rPr>
                <w:sz w:val="20"/>
                <w:szCs w:val="20"/>
              </w:rPr>
              <w:t>oil</w:t>
            </w:r>
            <w:r>
              <w:rPr>
                <w:sz w:val="20"/>
                <w:szCs w:val="20"/>
              </w:rPr>
              <w:t xml:space="preserve"> in EU-28 during 2016.</w:t>
            </w:r>
            <w:r w:rsidRPr="005F1EF3">
              <w:t xml:space="preserve"> </w:t>
            </w:r>
            <w:r>
              <w:rPr>
                <w:sz w:val="20"/>
                <w:szCs w:val="20"/>
              </w:rPr>
              <w:t>Values over 100 percent deno</w:t>
            </w:r>
            <w:r w:rsidRPr="005F1EF3">
              <w:rPr>
                <w:sz w:val="20"/>
                <w:szCs w:val="20"/>
              </w:rPr>
              <w:t>te a stock build.</w:t>
            </w:r>
            <w:r>
              <w:rPr>
                <w:sz w:val="20"/>
                <w:szCs w:val="20"/>
              </w:rPr>
              <w:t xml:space="preserve"> </w:t>
            </w:r>
            <w:r w:rsidRPr="005F1EF3">
              <w:rPr>
                <w:sz w:val="20"/>
                <w:szCs w:val="20"/>
              </w:rPr>
              <w:t>Source: Eurostat</w:t>
            </w:r>
          </w:p>
        </w:tc>
      </w:tr>
    </w:tbl>
    <w:p w14:paraId="1C75379E" w14:textId="5DA825CC" w:rsidR="006A22AF" w:rsidRDefault="006A22AF" w:rsidP="00AE6FD4">
      <w:pPr>
        <w:spacing w:line="360" w:lineRule="auto"/>
        <w:jc w:val="both"/>
      </w:pPr>
    </w:p>
    <w:p w14:paraId="16BEDA2E" w14:textId="1AEA033B" w:rsidR="00BA569A" w:rsidRDefault="00BA569A" w:rsidP="00AE6FD4">
      <w:pPr>
        <w:spacing w:line="360" w:lineRule="auto"/>
        <w:jc w:val="both"/>
      </w:pPr>
    </w:p>
    <w:p w14:paraId="1E8AAA14" w14:textId="76F3F262" w:rsidR="00BA569A" w:rsidRDefault="00BA569A" w:rsidP="00AE6FD4">
      <w:pPr>
        <w:spacing w:line="360" w:lineRule="auto"/>
        <w:jc w:val="both"/>
      </w:pPr>
    </w:p>
    <w:p w14:paraId="07A6892C" w14:textId="1AE9224C" w:rsidR="00BA569A" w:rsidRDefault="00BA569A" w:rsidP="00AE6FD4">
      <w:pPr>
        <w:spacing w:line="360" w:lineRule="auto"/>
        <w:jc w:val="both"/>
      </w:pPr>
    </w:p>
    <w:p w14:paraId="7CD571C2" w14:textId="237A0981" w:rsidR="00BA569A" w:rsidRDefault="00BA569A" w:rsidP="00AE6FD4">
      <w:pPr>
        <w:spacing w:line="360" w:lineRule="auto"/>
        <w:jc w:val="both"/>
      </w:pPr>
    </w:p>
    <w:p w14:paraId="1BCB4E3E" w14:textId="618552B9" w:rsidR="00BA569A" w:rsidRDefault="00BA569A" w:rsidP="00AE6FD4">
      <w:pPr>
        <w:spacing w:line="360" w:lineRule="auto"/>
        <w:jc w:val="both"/>
      </w:pPr>
    </w:p>
    <w:p w14:paraId="52C377DF" w14:textId="77777777" w:rsidR="00BA569A" w:rsidRDefault="00BA569A" w:rsidP="00AE6FD4">
      <w:pPr>
        <w:spacing w:line="360" w:lineRule="auto"/>
        <w:jc w:val="both"/>
      </w:pPr>
    </w:p>
    <w:p w14:paraId="6452F5AF" w14:textId="77777777" w:rsidR="00BA569A" w:rsidRDefault="00BA569A" w:rsidP="00AE6FD4">
      <w:pPr>
        <w:spacing w:line="360" w:lineRule="auto"/>
        <w:jc w:val="both"/>
      </w:pPr>
    </w:p>
    <w:tbl>
      <w:tblPr>
        <w:tblW w:w="0" w:type="auto"/>
        <w:jc w:val="center"/>
        <w:tblLook w:val="04A0" w:firstRow="1" w:lastRow="0" w:firstColumn="1" w:lastColumn="0" w:noHBand="0" w:noVBand="1"/>
      </w:tblPr>
      <w:tblGrid>
        <w:gridCol w:w="10401"/>
      </w:tblGrid>
      <w:tr w:rsidR="003D4778" w14:paraId="493CC70E" w14:textId="77777777" w:rsidTr="00CF2DBA">
        <w:trPr>
          <w:jc w:val="center"/>
        </w:trPr>
        <w:tc>
          <w:tcPr>
            <w:tcW w:w="9242" w:type="dxa"/>
            <w:tcBorders>
              <w:top w:val="single" w:sz="4" w:space="0" w:color="auto"/>
              <w:left w:val="nil"/>
              <w:bottom w:val="single" w:sz="4" w:space="0" w:color="auto"/>
              <w:right w:val="nil"/>
            </w:tcBorders>
            <w:hideMark/>
          </w:tcPr>
          <w:p w14:paraId="57E3623E" w14:textId="6FA22A0F" w:rsidR="003D4778" w:rsidRDefault="003D4778">
            <w:pPr>
              <w:rPr>
                <w:sz w:val="22"/>
                <w:szCs w:val="22"/>
                <w:lang w:eastAsia="el-GR"/>
              </w:rPr>
            </w:pPr>
            <w:r>
              <w:rPr>
                <w:b/>
              </w:rPr>
              <w:t xml:space="preserve">Figure </w:t>
            </w:r>
            <w:r w:rsidR="00CF2DBA">
              <w:rPr>
                <w:b/>
              </w:rPr>
              <w:t>2</w:t>
            </w:r>
            <w:r>
              <w:rPr>
                <w:b/>
              </w:rPr>
              <w:t>: Time series employed in the study</w:t>
            </w:r>
          </w:p>
        </w:tc>
      </w:tr>
      <w:tr w:rsidR="003D4778" w14:paraId="0E84BA6E" w14:textId="77777777" w:rsidTr="00CF2DBA">
        <w:trPr>
          <w:jc w:val="center"/>
        </w:trPr>
        <w:tc>
          <w:tcPr>
            <w:tcW w:w="9242" w:type="dxa"/>
            <w:tcBorders>
              <w:top w:val="single" w:sz="4" w:space="0" w:color="auto"/>
              <w:left w:val="nil"/>
              <w:bottom w:val="single" w:sz="4" w:space="0" w:color="auto"/>
              <w:right w:val="nil"/>
            </w:tcBorders>
          </w:tcPr>
          <w:p w14:paraId="3BAD3875" w14:textId="77777777" w:rsidR="006A22AF" w:rsidRDefault="006A22AF"/>
          <w:p w14:paraId="7F5BA835" w14:textId="73746E52" w:rsidR="006A22AF" w:rsidRDefault="009F378B">
            <w:pPr>
              <w:rPr>
                <w:sz w:val="16"/>
                <w:lang w:val="el-GR"/>
              </w:rPr>
            </w:pPr>
            <w:r>
              <w:rPr>
                <w:noProof/>
              </w:rPr>
              <w:object w:dxaOrig="10185" w:dyaOrig="5789" w14:anchorId="561E3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9.25pt;height:290.25pt;mso-width-percent:0;mso-height-percent:0;mso-width-percent:0;mso-height-percent:0" o:ole="">
                  <v:imagedata r:id="rId14" o:title=""/>
                </v:shape>
                <o:OLEObject Type="Embed" ProgID="EViews.Workfile.2" ShapeID="_x0000_i1025" DrawAspect="Content" ObjectID="_1640431449" r:id="rId15"/>
              </w:object>
            </w:r>
          </w:p>
          <w:p w14:paraId="7A50F2EF" w14:textId="77777777" w:rsidR="003D4778" w:rsidRDefault="003D4778">
            <w:pPr>
              <w:rPr>
                <w:sz w:val="16"/>
              </w:rPr>
            </w:pPr>
          </w:p>
        </w:tc>
      </w:tr>
      <w:tr w:rsidR="003D4778" w14:paraId="7528211D" w14:textId="77777777" w:rsidTr="00CF2DBA">
        <w:trPr>
          <w:jc w:val="center"/>
        </w:trPr>
        <w:tc>
          <w:tcPr>
            <w:tcW w:w="9242" w:type="dxa"/>
            <w:tcBorders>
              <w:top w:val="single" w:sz="4" w:space="0" w:color="auto"/>
              <w:left w:val="nil"/>
              <w:bottom w:val="single" w:sz="4" w:space="0" w:color="auto"/>
              <w:right w:val="nil"/>
            </w:tcBorders>
            <w:hideMark/>
          </w:tcPr>
          <w:p w14:paraId="14F0CE54" w14:textId="0FB8ECC6" w:rsidR="003D4778" w:rsidRPr="005B741D" w:rsidRDefault="003D4778" w:rsidP="004F05D4">
            <w:pPr>
              <w:jc w:val="both"/>
              <w:rPr>
                <w:sz w:val="20"/>
                <w:szCs w:val="20"/>
                <w:lang w:val="en-US"/>
              </w:rPr>
            </w:pPr>
            <w:r>
              <w:rPr>
                <w:sz w:val="20"/>
                <w:szCs w:val="20"/>
                <w:lang w:val="en-US"/>
              </w:rPr>
              <w:t xml:space="preserve">Note: This Figure exhibits the evolution of the series during the sample period. </w:t>
            </w:r>
            <w:r w:rsidR="007B3F47">
              <w:rPr>
                <w:sz w:val="20"/>
                <w:szCs w:val="20"/>
                <w:lang w:val="en-US"/>
              </w:rPr>
              <w:t xml:space="preserve">In the first row, </w:t>
            </w:r>
            <w:r w:rsidR="00973738">
              <w:rPr>
                <w:sz w:val="20"/>
                <w:szCs w:val="20"/>
              </w:rPr>
              <w:t>10-year sovereign</w:t>
            </w:r>
            <w:r w:rsidR="005D0A84">
              <w:rPr>
                <w:sz w:val="20"/>
                <w:szCs w:val="20"/>
              </w:rPr>
              <w:t xml:space="preserve"> yield spreads over Germany of the core countries (Austria (</w:t>
            </w:r>
            <w:proofErr w:type="spellStart"/>
            <w:r w:rsidR="005D0A84">
              <w:rPr>
                <w:sz w:val="20"/>
                <w:szCs w:val="20"/>
              </w:rPr>
              <w:t>saus</w:t>
            </w:r>
            <w:proofErr w:type="spellEnd"/>
            <w:r w:rsidR="005D0A84">
              <w:rPr>
                <w:sz w:val="20"/>
                <w:szCs w:val="20"/>
              </w:rPr>
              <w:t>), Belgium (</w:t>
            </w:r>
            <w:proofErr w:type="spellStart"/>
            <w:r w:rsidR="005D0A84">
              <w:rPr>
                <w:sz w:val="20"/>
                <w:szCs w:val="20"/>
              </w:rPr>
              <w:t>sbel</w:t>
            </w:r>
            <w:proofErr w:type="spellEnd"/>
            <w:r w:rsidR="005D0A84">
              <w:rPr>
                <w:sz w:val="20"/>
                <w:szCs w:val="20"/>
              </w:rPr>
              <w:t>), Finland (</w:t>
            </w:r>
            <w:proofErr w:type="spellStart"/>
            <w:r w:rsidR="005D0A84">
              <w:rPr>
                <w:sz w:val="20"/>
                <w:szCs w:val="20"/>
              </w:rPr>
              <w:t>sfin</w:t>
            </w:r>
            <w:proofErr w:type="spellEnd"/>
            <w:r w:rsidR="005D0A84">
              <w:rPr>
                <w:sz w:val="20"/>
                <w:szCs w:val="20"/>
              </w:rPr>
              <w:t>), France (</w:t>
            </w:r>
            <w:proofErr w:type="spellStart"/>
            <w:r w:rsidR="005D0A84">
              <w:rPr>
                <w:sz w:val="20"/>
                <w:szCs w:val="20"/>
              </w:rPr>
              <w:t>sfra</w:t>
            </w:r>
            <w:proofErr w:type="spellEnd"/>
            <w:r w:rsidR="005D0A84">
              <w:rPr>
                <w:sz w:val="20"/>
                <w:szCs w:val="20"/>
              </w:rPr>
              <w:t>) and the Netherlands (</w:t>
            </w:r>
            <w:proofErr w:type="spellStart"/>
            <w:r w:rsidR="005D0A84">
              <w:rPr>
                <w:sz w:val="20"/>
                <w:szCs w:val="20"/>
              </w:rPr>
              <w:t>snet</w:t>
            </w:r>
            <w:proofErr w:type="spellEnd"/>
            <w:r w:rsidR="005D0A84">
              <w:rPr>
                <w:sz w:val="20"/>
                <w:szCs w:val="20"/>
              </w:rPr>
              <w:t>)) are represented.</w:t>
            </w:r>
            <w:r w:rsidR="007B3F47">
              <w:rPr>
                <w:sz w:val="20"/>
                <w:szCs w:val="20"/>
                <w:lang w:val="en-US"/>
              </w:rPr>
              <w:t xml:space="preserve"> In the second row, </w:t>
            </w:r>
            <w:r w:rsidR="00973738">
              <w:rPr>
                <w:sz w:val="20"/>
                <w:szCs w:val="20"/>
              </w:rPr>
              <w:t xml:space="preserve">10-year sovereign </w:t>
            </w:r>
            <w:r w:rsidR="005D0A84">
              <w:rPr>
                <w:sz w:val="20"/>
                <w:szCs w:val="20"/>
              </w:rPr>
              <w:t>yield spreads over Germany of the periphery countries (Greece (</w:t>
            </w:r>
            <w:proofErr w:type="spellStart"/>
            <w:r w:rsidR="005D0A84">
              <w:rPr>
                <w:sz w:val="20"/>
                <w:szCs w:val="20"/>
              </w:rPr>
              <w:t>sgre</w:t>
            </w:r>
            <w:proofErr w:type="spellEnd"/>
            <w:r w:rsidR="005D0A84">
              <w:rPr>
                <w:sz w:val="20"/>
                <w:szCs w:val="20"/>
              </w:rPr>
              <w:t>), Ireland (sire), Italy (</w:t>
            </w:r>
            <w:proofErr w:type="spellStart"/>
            <w:r w:rsidR="005D0A84">
              <w:rPr>
                <w:sz w:val="20"/>
                <w:szCs w:val="20"/>
              </w:rPr>
              <w:t>sita</w:t>
            </w:r>
            <w:proofErr w:type="spellEnd"/>
            <w:r w:rsidR="005D0A84">
              <w:rPr>
                <w:sz w:val="20"/>
                <w:szCs w:val="20"/>
              </w:rPr>
              <w:t>), Portugal (</w:t>
            </w:r>
            <w:proofErr w:type="spellStart"/>
            <w:r w:rsidR="005D0A84">
              <w:rPr>
                <w:sz w:val="20"/>
                <w:szCs w:val="20"/>
              </w:rPr>
              <w:t>spor</w:t>
            </w:r>
            <w:proofErr w:type="spellEnd"/>
            <w:r w:rsidR="005D0A84">
              <w:rPr>
                <w:sz w:val="20"/>
                <w:szCs w:val="20"/>
              </w:rPr>
              <w:t>) and Spain (</w:t>
            </w:r>
            <w:proofErr w:type="spellStart"/>
            <w:r w:rsidR="005D0A84">
              <w:rPr>
                <w:sz w:val="20"/>
                <w:szCs w:val="20"/>
              </w:rPr>
              <w:t>sspa</w:t>
            </w:r>
            <w:proofErr w:type="spellEnd"/>
            <w:r w:rsidR="005D0A84">
              <w:rPr>
                <w:sz w:val="20"/>
                <w:szCs w:val="20"/>
              </w:rPr>
              <w:t>)) are depicted.</w:t>
            </w:r>
            <w:r w:rsidR="00E54840">
              <w:rPr>
                <w:sz w:val="20"/>
                <w:szCs w:val="20"/>
                <w:lang w:val="en-US"/>
              </w:rPr>
              <w:t xml:space="preserve"> In the third</w:t>
            </w:r>
            <w:r w:rsidR="005B741D">
              <w:rPr>
                <w:sz w:val="20"/>
                <w:szCs w:val="20"/>
                <w:lang w:val="en-US"/>
              </w:rPr>
              <w:t xml:space="preserve"> row, </w:t>
            </w:r>
            <w:r w:rsidR="005B741D" w:rsidRPr="005B741D">
              <w:rPr>
                <w:sz w:val="20"/>
                <w:szCs w:val="20"/>
              </w:rPr>
              <w:t xml:space="preserve">the European economic policy uncertainty index, the European monetary policy uncertainty index, the European stock market volatility index and the realised oil price </w:t>
            </w:r>
            <w:r w:rsidR="005B741D" w:rsidRPr="005B741D">
              <w:rPr>
                <w:sz w:val="20"/>
                <w:szCs w:val="20"/>
              </w:rPr>
              <w:lastRenderedPageBreak/>
              <w:t>volatility</w:t>
            </w:r>
            <w:r w:rsidR="005B741D">
              <w:rPr>
                <w:sz w:val="20"/>
                <w:szCs w:val="20"/>
              </w:rPr>
              <w:t xml:space="preserve"> are </w:t>
            </w:r>
            <w:r w:rsidR="00662819">
              <w:rPr>
                <w:sz w:val="20"/>
                <w:szCs w:val="20"/>
              </w:rPr>
              <w:t>shown</w:t>
            </w:r>
            <w:r w:rsidR="005B741D" w:rsidRPr="005B741D">
              <w:rPr>
                <w:sz w:val="20"/>
                <w:szCs w:val="20"/>
              </w:rPr>
              <w:t>.</w:t>
            </w:r>
            <w:r w:rsidR="005B741D">
              <w:rPr>
                <w:sz w:val="20"/>
                <w:szCs w:val="20"/>
                <w:lang w:val="en-US"/>
              </w:rPr>
              <w:t xml:space="preserve"> In the fourth</w:t>
            </w:r>
            <w:r w:rsidR="005D0A84">
              <w:rPr>
                <w:sz w:val="20"/>
                <w:szCs w:val="20"/>
                <w:lang w:val="en-US"/>
              </w:rPr>
              <w:t xml:space="preserve"> row, </w:t>
            </w:r>
            <w:r w:rsidR="00BE5140">
              <w:rPr>
                <w:sz w:val="20"/>
                <w:szCs w:val="20"/>
                <w:lang w:val="en-US"/>
              </w:rPr>
              <w:t>world oil production growth</w:t>
            </w:r>
            <w:r w:rsidR="00F21A15">
              <w:rPr>
                <w:sz w:val="20"/>
                <w:szCs w:val="20"/>
                <w:lang w:val="en-US"/>
              </w:rPr>
              <w:t xml:space="preserve">, </w:t>
            </w:r>
            <w:r w:rsidR="00BE5140">
              <w:rPr>
                <w:sz w:val="20"/>
                <w:szCs w:val="20"/>
                <w:lang w:val="en-US"/>
              </w:rPr>
              <w:t xml:space="preserve">real oil </w:t>
            </w:r>
            <w:r w:rsidR="0016784E">
              <w:rPr>
                <w:sz w:val="20"/>
                <w:szCs w:val="20"/>
                <w:lang w:val="en-US"/>
              </w:rPr>
              <w:t>returns</w:t>
            </w:r>
            <w:r w:rsidR="005351AE">
              <w:rPr>
                <w:sz w:val="20"/>
                <w:szCs w:val="20"/>
                <w:lang w:val="en-US"/>
              </w:rPr>
              <w:t xml:space="preserve"> </w:t>
            </w:r>
            <w:r w:rsidR="005D0A84">
              <w:rPr>
                <w:sz w:val="20"/>
                <w:szCs w:val="20"/>
                <w:lang w:val="en-US"/>
              </w:rPr>
              <w:t>and</w:t>
            </w:r>
            <w:r w:rsidR="0016784E">
              <w:rPr>
                <w:sz w:val="20"/>
                <w:szCs w:val="20"/>
                <w:lang w:val="en-US"/>
              </w:rPr>
              <w:t xml:space="preserve"> global economic activity index</w:t>
            </w:r>
            <w:r w:rsidR="005351AE">
              <w:rPr>
                <w:sz w:val="20"/>
                <w:szCs w:val="20"/>
                <w:lang w:val="en-US"/>
              </w:rPr>
              <w:t xml:space="preserve"> </w:t>
            </w:r>
            <w:r w:rsidR="005D0A84">
              <w:rPr>
                <w:sz w:val="20"/>
                <w:szCs w:val="20"/>
                <w:lang w:val="en-US"/>
              </w:rPr>
              <w:t>are depicted.</w:t>
            </w:r>
            <w:r w:rsidR="005D0A84">
              <w:rPr>
                <w:sz w:val="20"/>
                <w:szCs w:val="20"/>
              </w:rPr>
              <w:t xml:space="preserve"> For the core countries, the time period spans from January 1999</w:t>
            </w:r>
            <w:r w:rsidR="005D0A84" w:rsidRPr="0071671B">
              <w:rPr>
                <w:sz w:val="20"/>
                <w:szCs w:val="20"/>
              </w:rPr>
              <w:t xml:space="preserve"> to </w:t>
            </w:r>
            <w:r w:rsidR="004F05D4">
              <w:rPr>
                <w:sz w:val="20"/>
                <w:szCs w:val="20"/>
              </w:rPr>
              <w:t xml:space="preserve">January </w:t>
            </w:r>
            <w:r w:rsidR="005D0A84">
              <w:rPr>
                <w:sz w:val="20"/>
                <w:szCs w:val="20"/>
              </w:rPr>
              <w:t>2016. For the periphery countries, the time period spans from January 2001</w:t>
            </w:r>
            <w:r w:rsidR="00566074">
              <w:rPr>
                <w:sz w:val="20"/>
                <w:szCs w:val="20"/>
              </w:rPr>
              <w:t xml:space="preserve"> to January</w:t>
            </w:r>
            <w:r w:rsidR="005D0A84">
              <w:rPr>
                <w:sz w:val="20"/>
                <w:szCs w:val="20"/>
              </w:rPr>
              <w:t xml:space="preserve"> 2016.  </w:t>
            </w:r>
          </w:p>
        </w:tc>
      </w:tr>
    </w:tbl>
    <w:p w14:paraId="1F8B4302" w14:textId="77777777" w:rsidR="001A20FB" w:rsidRDefault="001A20FB" w:rsidP="00AE6FD4">
      <w:pPr>
        <w:spacing w:line="360" w:lineRule="auto"/>
        <w:jc w:val="both"/>
        <w:sectPr w:rsidR="001A20FB" w:rsidSect="006A22AF">
          <w:pgSz w:w="16838" w:h="11906" w:orient="landscape"/>
          <w:pgMar w:top="1800" w:right="1440" w:bottom="1800" w:left="1440" w:header="720" w:footer="720" w:gutter="0"/>
          <w:cols w:space="720"/>
          <w:docGrid w:linePitch="326"/>
        </w:sectPr>
      </w:pPr>
    </w:p>
    <w:p w14:paraId="70C9DE78" w14:textId="77777777" w:rsidR="005F1E3E" w:rsidRPr="005F1E3E" w:rsidRDefault="005F1E3E" w:rsidP="005F1E3E"/>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3E4D84" w14:paraId="48EE5707" w14:textId="77777777" w:rsidTr="00CF2DBA">
        <w:trPr>
          <w:jc w:val="center"/>
        </w:trPr>
        <w:tc>
          <w:tcPr>
            <w:tcW w:w="8522" w:type="dxa"/>
            <w:tcBorders>
              <w:top w:val="single" w:sz="4" w:space="0" w:color="auto"/>
              <w:left w:val="nil"/>
              <w:bottom w:val="single" w:sz="4" w:space="0" w:color="auto"/>
              <w:right w:val="nil"/>
            </w:tcBorders>
            <w:hideMark/>
          </w:tcPr>
          <w:p w14:paraId="0B68A77F" w14:textId="019E271D" w:rsidR="003E4D84" w:rsidRDefault="00F02DD8">
            <w:pPr>
              <w:rPr>
                <w:b/>
                <w:lang w:eastAsia="el-GR"/>
              </w:rPr>
            </w:pPr>
            <w:r>
              <w:rPr>
                <w:b/>
              </w:rPr>
              <w:t xml:space="preserve">Figure </w:t>
            </w:r>
            <w:r w:rsidR="00CF2DBA">
              <w:rPr>
                <w:b/>
              </w:rPr>
              <w:t>3</w:t>
            </w:r>
            <w:r w:rsidR="004614F2">
              <w:rPr>
                <w:b/>
              </w:rPr>
              <w:t>: Sp</w:t>
            </w:r>
            <w:r w:rsidR="009F61C4">
              <w:rPr>
                <w:b/>
              </w:rPr>
              <w:t xml:space="preserve">reads of 10-year sovereign </w:t>
            </w:r>
            <w:r w:rsidR="004614F2">
              <w:rPr>
                <w:b/>
              </w:rPr>
              <w:t>yields relative to Germany</w:t>
            </w:r>
          </w:p>
        </w:tc>
      </w:tr>
      <w:tr w:rsidR="003E4D84" w14:paraId="21B1FDE3" w14:textId="77777777" w:rsidTr="00CF2DBA">
        <w:trPr>
          <w:jc w:val="center"/>
        </w:trPr>
        <w:tc>
          <w:tcPr>
            <w:tcW w:w="8522" w:type="dxa"/>
            <w:tcBorders>
              <w:top w:val="single" w:sz="4" w:space="0" w:color="auto"/>
              <w:left w:val="nil"/>
              <w:bottom w:val="single" w:sz="4" w:space="0" w:color="auto"/>
              <w:right w:val="nil"/>
            </w:tcBorders>
            <w:hideMark/>
          </w:tcPr>
          <w:p w14:paraId="7A8D819B" w14:textId="77777777" w:rsidR="003E4D84" w:rsidRDefault="003E4D84" w:rsidP="004614F2">
            <w:pPr>
              <w:jc w:val="center"/>
            </w:pPr>
            <w:r>
              <w:t>Panel A – Core countries</w:t>
            </w:r>
          </w:p>
        </w:tc>
      </w:tr>
      <w:tr w:rsidR="003E4D84" w14:paraId="6C7BCDA7" w14:textId="77777777" w:rsidTr="00CF2DBA">
        <w:trPr>
          <w:jc w:val="center"/>
        </w:trPr>
        <w:tc>
          <w:tcPr>
            <w:tcW w:w="8522" w:type="dxa"/>
            <w:tcBorders>
              <w:top w:val="single" w:sz="4" w:space="0" w:color="auto"/>
              <w:left w:val="nil"/>
              <w:bottom w:val="single" w:sz="4" w:space="0" w:color="auto"/>
              <w:right w:val="nil"/>
            </w:tcBorders>
            <w:hideMark/>
          </w:tcPr>
          <w:p w14:paraId="0DB322FF" w14:textId="74A7F2D6" w:rsidR="003E4D84" w:rsidRDefault="008C11C8">
            <w:pPr>
              <w:rPr>
                <w:rFonts w:asciiTheme="minorHAnsi" w:hAnsiTheme="minorHAnsi" w:cstheme="minorBidi"/>
                <w:sz w:val="22"/>
                <w:szCs w:val="22"/>
                <w:lang w:val="el-GR"/>
              </w:rPr>
            </w:pPr>
            <w:r w:rsidRPr="008C11C8">
              <w:rPr>
                <w:rFonts w:asciiTheme="minorHAnsi" w:hAnsiTheme="minorHAnsi" w:cstheme="minorBidi"/>
                <w:noProof/>
                <w:sz w:val="22"/>
                <w:szCs w:val="22"/>
                <w:lang w:eastAsia="en-GB"/>
              </w:rPr>
              <w:drawing>
                <wp:inline distT="0" distB="0" distL="0" distR="0" wp14:anchorId="6A1BEF5B" wp14:editId="29EC988E">
                  <wp:extent cx="5113867" cy="3251100"/>
                  <wp:effectExtent l="0" t="0" r="444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32175" cy="3262739"/>
                          </a:xfrm>
                          <a:prstGeom prst="rect">
                            <a:avLst/>
                          </a:prstGeom>
                        </pic:spPr>
                      </pic:pic>
                    </a:graphicData>
                  </a:graphic>
                </wp:inline>
              </w:drawing>
            </w:r>
          </w:p>
          <w:p w14:paraId="2C524DB4" w14:textId="77777777" w:rsidR="003E4D84" w:rsidRDefault="003E4D84">
            <w:pPr>
              <w:rPr>
                <w:rFonts w:asciiTheme="minorHAnsi" w:hAnsiTheme="minorHAnsi" w:cstheme="minorBidi"/>
                <w:sz w:val="22"/>
                <w:szCs w:val="22"/>
                <w:lang w:val="el-GR"/>
              </w:rPr>
            </w:pPr>
          </w:p>
        </w:tc>
      </w:tr>
      <w:tr w:rsidR="003E4D84" w14:paraId="1F0E5233" w14:textId="77777777" w:rsidTr="00CF2DBA">
        <w:trPr>
          <w:jc w:val="center"/>
        </w:trPr>
        <w:tc>
          <w:tcPr>
            <w:tcW w:w="8522" w:type="dxa"/>
            <w:tcBorders>
              <w:top w:val="single" w:sz="4" w:space="0" w:color="auto"/>
              <w:left w:val="nil"/>
              <w:bottom w:val="single" w:sz="4" w:space="0" w:color="auto"/>
              <w:right w:val="nil"/>
            </w:tcBorders>
            <w:hideMark/>
          </w:tcPr>
          <w:p w14:paraId="648D62A5" w14:textId="77777777" w:rsidR="003E4D84" w:rsidRDefault="003E4D84" w:rsidP="004614F2">
            <w:pPr>
              <w:jc w:val="center"/>
            </w:pPr>
            <w:r>
              <w:t>Panel B – Periphery countries</w:t>
            </w:r>
          </w:p>
        </w:tc>
      </w:tr>
      <w:tr w:rsidR="003E4D84" w14:paraId="21AC0450" w14:textId="77777777" w:rsidTr="00CF2DBA">
        <w:trPr>
          <w:jc w:val="center"/>
        </w:trPr>
        <w:tc>
          <w:tcPr>
            <w:tcW w:w="8522" w:type="dxa"/>
            <w:tcBorders>
              <w:top w:val="single" w:sz="4" w:space="0" w:color="auto"/>
              <w:left w:val="nil"/>
              <w:bottom w:val="single" w:sz="4" w:space="0" w:color="auto"/>
              <w:right w:val="nil"/>
            </w:tcBorders>
            <w:hideMark/>
          </w:tcPr>
          <w:p w14:paraId="19A82DC5" w14:textId="739142A2" w:rsidR="00786DC3" w:rsidRDefault="008C11C8">
            <w:pPr>
              <w:rPr>
                <w:rFonts w:asciiTheme="minorHAnsi" w:hAnsiTheme="minorHAnsi" w:cstheme="minorBidi"/>
                <w:sz w:val="22"/>
                <w:szCs w:val="22"/>
                <w:lang w:val="el-GR"/>
              </w:rPr>
            </w:pPr>
            <w:r w:rsidRPr="008C11C8">
              <w:rPr>
                <w:rFonts w:asciiTheme="minorHAnsi" w:hAnsiTheme="minorHAnsi" w:cstheme="minorBidi"/>
                <w:noProof/>
                <w:sz w:val="22"/>
                <w:szCs w:val="22"/>
                <w:lang w:eastAsia="en-GB"/>
              </w:rPr>
              <w:drawing>
                <wp:inline distT="0" distB="0" distL="0" distR="0" wp14:anchorId="26B626E8" wp14:editId="0C3DAA58">
                  <wp:extent cx="5113655" cy="3272155"/>
                  <wp:effectExtent l="0" t="0" r="444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30468" cy="3282913"/>
                          </a:xfrm>
                          <a:prstGeom prst="rect">
                            <a:avLst/>
                          </a:prstGeom>
                        </pic:spPr>
                      </pic:pic>
                    </a:graphicData>
                  </a:graphic>
                </wp:inline>
              </w:drawing>
            </w:r>
          </w:p>
          <w:p w14:paraId="63F0A30D" w14:textId="77777777" w:rsidR="003E4D84" w:rsidRDefault="003E4D84">
            <w:pPr>
              <w:rPr>
                <w:rFonts w:asciiTheme="minorHAnsi" w:hAnsiTheme="minorHAnsi" w:cstheme="minorBidi"/>
                <w:sz w:val="22"/>
                <w:szCs w:val="22"/>
                <w:lang w:val="el-GR"/>
              </w:rPr>
            </w:pPr>
          </w:p>
        </w:tc>
      </w:tr>
      <w:tr w:rsidR="003E4D84" w14:paraId="0BB4CBD9" w14:textId="77777777" w:rsidTr="00CF2DBA">
        <w:trPr>
          <w:jc w:val="center"/>
        </w:trPr>
        <w:tc>
          <w:tcPr>
            <w:tcW w:w="8522" w:type="dxa"/>
            <w:tcBorders>
              <w:top w:val="single" w:sz="4" w:space="0" w:color="auto"/>
              <w:left w:val="nil"/>
              <w:bottom w:val="single" w:sz="4" w:space="0" w:color="auto"/>
              <w:right w:val="nil"/>
            </w:tcBorders>
            <w:hideMark/>
          </w:tcPr>
          <w:p w14:paraId="5F2E3BB1" w14:textId="6A9B8149" w:rsidR="003E4D84" w:rsidRDefault="003E4D84" w:rsidP="004614F2">
            <w:pPr>
              <w:jc w:val="both"/>
              <w:rPr>
                <w:sz w:val="20"/>
                <w:szCs w:val="20"/>
              </w:rPr>
            </w:pPr>
            <w:r>
              <w:rPr>
                <w:sz w:val="20"/>
                <w:szCs w:val="20"/>
                <w:lang w:val="en-US"/>
              </w:rPr>
              <w:t>Note: This Figure dep</w:t>
            </w:r>
            <w:r w:rsidR="004F2A4A">
              <w:rPr>
                <w:sz w:val="20"/>
                <w:szCs w:val="20"/>
                <w:lang w:val="en-US"/>
              </w:rPr>
              <w:t xml:space="preserve">icts variation over time of </w:t>
            </w:r>
            <w:r w:rsidR="003F7E65">
              <w:rPr>
                <w:sz w:val="20"/>
                <w:szCs w:val="20"/>
              </w:rPr>
              <w:t xml:space="preserve">10-year sovereign </w:t>
            </w:r>
            <w:r>
              <w:rPr>
                <w:sz w:val="20"/>
                <w:szCs w:val="20"/>
              </w:rPr>
              <w:t>yield spreads over Germany.</w:t>
            </w:r>
            <w:r w:rsidR="004614F2">
              <w:rPr>
                <w:sz w:val="20"/>
                <w:szCs w:val="20"/>
              </w:rPr>
              <w:t xml:space="preserve"> For the core countries (Austria (</w:t>
            </w:r>
            <w:proofErr w:type="spellStart"/>
            <w:r w:rsidR="004614F2">
              <w:rPr>
                <w:sz w:val="20"/>
                <w:szCs w:val="20"/>
              </w:rPr>
              <w:t>saus</w:t>
            </w:r>
            <w:proofErr w:type="spellEnd"/>
            <w:r w:rsidR="004614F2">
              <w:rPr>
                <w:sz w:val="20"/>
                <w:szCs w:val="20"/>
              </w:rPr>
              <w:t>), Belgium (</w:t>
            </w:r>
            <w:proofErr w:type="spellStart"/>
            <w:r w:rsidR="004614F2">
              <w:rPr>
                <w:sz w:val="20"/>
                <w:szCs w:val="20"/>
              </w:rPr>
              <w:t>sbel</w:t>
            </w:r>
            <w:proofErr w:type="spellEnd"/>
            <w:r w:rsidR="004614F2">
              <w:rPr>
                <w:sz w:val="20"/>
                <w:szCs w:val="20"/>
              </w:rPr>
              <w:t>), Finland (</w:t>
            </w:r>
            <w:proofErr w:type="spellStart"/>
            <w:r w:rsidR="004614F2">
              <w:rPr>
                <w:sz w:val="20"/>
                <w:szCs w:val="20"/>
              </w:rPr>
              <w:t>sfin</w:t>
            </w:r>
            <w:proofErr w:type="spellEnd"/>
            <w:r w:rsidR="004614F2">
              <w:rPr>
                <w:sz w:val="20"/>
                <w:szCs w:val="20"/>
              </w:rPr>
              <w:t>), France (</w:t>
            </w:r>
            <w:proofErr w:type="spellStart"/>
            <w:r w:rsidR="004614F2">
              <w:rPr>
                <w:sz w:val="20"/>
                <w:szCs w:val="20"/>
              </w:rPr>
              <w:t>sfra</w:t>
            </w:r>
            <w:proofErr w:type="spellEnd"/>
            <w:r w:rsidR="004614F2">
              <w:rPr>
                <w:sz w:val="20"/>
                <w:szCs w:val="20"/>
              </w:rPr>
              <w:t>) and the Netherlands (</w:t>
            </w:r>
            <w:proofErr w:type="spellStart"/>
            <w:r w:rsidR="004614F2">
              <w:rPr>
                <w:sz w:val="20"/>
                <w:szCs w:val="20"/>
              </w:rPr>
              <w:t>snet</w:t>
            </w:r>
            <w:proofErr w:type="spellEnd"/>
            <w:r w:rsidR="004614F2">
              <w:rPr>
                <w:sz w:val="20"/>
                <w:szCs w:val="20"/>
              </w:rPr>
              <w:t>)), the time period spans from January 1999</w:t>
            </w:r>
            <w:r w:rsidR="001244C9">
              <w:rPr>
                <w:sz w:val="20"/>
                <w:szCs w:val="20"/>
              </w:rPr>
              <w:t xml:space="preserve"> to January</w:t>
            </w:r>
            <w:r w:rsidR="004614F2">
              <w:rPr>
                <w:sz w:val="20"/>
                <w:szCs w:val="20"/>
              </w:rPr>
              <w:t xml:space="preserve"> 2016. For the periphery countries (Greece (</w:t>
            </w:r>
            <w:proofErr w:type="spellStart"/>
            <w:r w:rsidR="004614F2">
              <w:rPr>
                <w:sz w:val="20"/>
                <w:szCs w:val="20"/>
              </w:rPr>
              <w:t>sgre</w:t>
            </w:r>
            <w:proofErr w:type="spellEnd"/>
            <w:r w:rsidR="004614F2">
              <w:rPr>
                <w:sz w:val="20"/>
                <w:szCs w:val="20"/>
              </w:rPr>
              <w:t>), Ireland (sire), Italy (</w:t>
            </w:r>
            <w:proofErr w:type="spellStart"/>
            <w:r w:rsidR="004614F2">
              <w:rPr>
                <w:sz w:val="20"/>
                <w:szCs w:val="20"/>
              </w:rPr>
              <w:t>sita</w:t>
            </w:r>
            <w:proofErr w:type="spellEnd"/>
            <w:r w:rsidR="004614F2">
              <w:rPr>
                <w:sz w:val="20"/>
                <w:szCs w:val="20"/>
              </w:rPr>
              <w:t>), Portugal (</w:t>
            </w:r>
            <w:proofErr w:type="spellStart"/>
            <w:r w:rsidR="004614F2">
              <w:rPr>
                <w:sz w:val="20"/>
                <w:szCs w:val="20"/>
              </w:rPr>
              <w:t>spor</w:t>
            </w:r>
            <w:proofErr w:type="spellEnd"/>
            <w:r w:rsidR="004614F2">
              <w:rPr>
                <w:sz w:val="20"/>
                <w:szCs w:val="20"/>
              </w:rPr>
              <w:t>) and Spain (</w:t>
            </w:r>
            <w:proofErr w:type="spellStart"/>
            <w:r w:rsidR="004614F2">
              <w:rPr>
                <w:sz w:val="20"/>
                <w:szCs w:val="20"/>
              </w:rPr>
              <w:t>sspa</w:t>
            </w:r>
            <w:proofErr w:type="spellEnd"/>
            <w:r w:rsidR="004614F2">
              <w:rPr>
                <w:sz w:val="20"/>
                <w:szCs w:val="20"/>
              </w:rPr>
              <w:t xml:space="preserve">)), </w:t>
            </w:r>
            <w:r w:rsidR="004614F2" w:rsidRPr="0071671B">
              <w:rPr>
                <w:sz w:val="20"/>
                <w:szCs w:val="20"/>
              </w:rPr>
              <w:t>t</w:t>
            </w:r>
            <w:r w:rsidR="004614F2">
              <w:rPr>
                <w:sz w:val="20"/>
                <w:szCs w:val="20"/>
              </w:rPr>
              <w:t>he time period runs from January 2001</w:t>
            </w:r>
            <w:r w:rsidR="001244C9">
              <w:rPr>
                <w:sz w:val="20"/>
                <w:szCs w:val="20"/>
              </w:rPr>
              <w:t xml:space="preserve"> to January</w:t>
            </w:r>
            <w:r w:rsidR="004614F2" w:rsidRPr="0071671B">
              <w:rPr>
                <w:sz w:val="20"/>
                <w:szCs w:val="20"/>
              </w:rPr>
              <w:t xml:space="preserve"> 2016.</w:t>
            </w:r>
          </w:p>
        </w:tc>
      </w:tr>
    </w:tbl>
    <w:p w14:paraId="31FCEF71" w14:textId="34BCA7EB" w:rsidR="005F1E3E" w:rsidRDefault="005F1E3E" w:rsidP="005F1E3E"/>
    <w:p w14:paraId="4482B3D1" w14:textId="653943C6" w:rsidR="008C11C8" w:rsidRDefault="008C11C8" w:rsidP="005F1E3E"/>
    <w:p w14:paraId="60E9DD84" w14:textId="06E401F3" w:rsidR="008C11C8" w:rsidRDefault="008C11C8" w:rsidP="005F1E3E"/>
    <w:p w14:paraId="742B7774" w14:textId="77777777" w:rsidR="008C11C8" w:rsidRPr="005F1E3E" w:rsidRDefault="008C11C8" w:rsidP="005F1E3E"/>
    <w:p w14:paraId="60E8D228" w14:textId="37DB4855" w:rsidR="00052E56" w:rsidRDefault="00052E56" w:rsidP="005F1E3E"/>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052E56" w14:paraId="7BE09DF4" w14:textId="77777777" w:rsidTr="000C2603">
        <w:trPr>
          <w:jc w:val="center"/>
        </w:trPr>
        <w:tc>
          <w:tcPr>
            <w:tcW w:w="8522" w:type="dxa"/>
            <w:tcBorders>
              <w:top w:val="single" w:sz="4" w:space="0" w:color="auto"/>
              <w:left w:val="nil"/>
              <w:bottom w:val="single" w:sz="4" w:space="0" w:color="auto"/>
              <w:right w:val="nil"/>
            </w:tcBorders>
            <w:hideMark/>
          </w:tcPr>
          <w:p w14:paraId="053C7852" w14:textId="179F8F8B" w:rsidR="00052E56" w:rsidRPr="00693E31" w:rsidRDefault="00052E56" w:rsidP="000C2603">
            <w:pPr>
              <w:rPr>
                <w:b/>
                <w:lang w:eastAsia="el-GR"/>
              </w:rPr>
            </w:pPr>
            <w:r w:rsidRPr="00693E31">
              <w:rPr>
                <w:b/>
              </w:rPr>
              <w:t xml:space="preserve">Figure </w:t>
            </w:r>
            <w:r w:rsidR="00CF2DBA">
              <w:rPr>
                <w:b/>
              </w:rPr>
              <w:t>4</w:t>
            </w:r>
            <w:r w:rsidRPr="00693E31">
              <w:rPr>
                <w:b/>
              </w:rPr>
              <w:t xml:space="preserve">: </w:t>
            </w:r>
            <w:r w:rsidR="00CF027E">
              <w:rPr>
                <w:b/>
              </w:rPr>
              <w:t xml:space="preserve">Evolution of </w:t>
            </w:r>
            <w:r w:rsidRPr="00693E31">
              <w:rPr>
                <w:b/>
              </w:rPr>
              <w:t xml:space="preserve">10-year sovereign bond yields </w:t>
            </w:r>
          </w:p>
        </w:tc>
      </w:tr>
      <w:tr w:rsidR="00052E56" w14:paraId="1100EEBC" w14:textId="77777777" w:rsidTr="000C2603">
        <w:trPr>
          <w:jc w:val="center"/>
        </w:trPr>
        <w:tc>
          <w:tcPr>
            <w:tcW w:w="8522" w:type="dxa"/>
            <w:tcBorders>
              <w:top w:val="single" w:sz="4" w:space="0" w:color="auto"/>
              <w:left w:val="nil"/>
              <w:bottom w:val="single" w:sz="4" w:space="0" w:color="auto"/>
              <w:right w:val="nil"/>
            </w:tcBorders>
            <w:hideMark/>
          </w:tcPr>
          <w:p w14:paraId="7318945F" w14:textId="77777777" w:rsidR="00052E56" w:rsidRPr="00693E31" w:rsidRDefault="00052E56" w:rsidP="000C2603">
            <w:pPr>
              <w:jc w:val="center"/>
            </w:pPr>
            <w:r w:rsidRPr="00693E31">
              <w:t>Panel A – Core countries and Germany</w:t>
            </w:r>
          </w:p>
        </w:tc>
      </w:tr>
      <w:tr w:rsidR="00052E56" w14:paraId="5057AC7C" w14:textId="77777777" w:rsidTr="000C2603">
        <w:trPr>
          <w:jc w:val="center"/>
        </w:trPr>
        <w:tc>
          <w:tcPr>
            <w:tcW w:w="8522" w:type="dxa"/>
            <w:tcBorders>
              <w:top w:val="single" w:sz="4" w:space="0" w:color="auto"/>
              <w:left w:val="nil"/>
              <w:bottom w:val="single" w:sz="4" w:space="0" w:color="auto"/>
              <w:right w:val="nil"/>
            </w:tcBorders>
            <w:hideMark/>
          </w:tcPr>
          <w:p w14:paraId="26ADD1AC" w14:textId="4F10528D" w:rsidR="00052E56" w:rsidRDefault="00CD3B3E" w:rsidP="000C2603">
            <w:pPr>
              <w:rPr>
                <w:rFonts w:asciiTheme="minorHAnsi" w:hAnsiTheme="minorHAnsi" w:cstheme="minorBidi"/>
              </w:rPr>
            </w:pPr>
            <w:r w:rsidRPr="00CD3B3E">
              <w:rPr>
                <w:rFonts w:asciiTheme="minorHAnsi" w:hAnsiTheme="minorHAnsi" w:cstheme="minorBidi"/>
                <w:noProof/>
                <w:lang w:eastAsia="en-GB"/>
              </w:rPr>
              <w:drawing>
                <wp:inline distT="0" distB="0" distL="0" distR="0" wp14:anchorId="403BD180" wp14:editId="5ADD0101">
                  <wp:extent cx="5088467" cy="3124153"/>
                  <wp:effectExtent l="0" t="0" r="444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09413" cy="3137013"/>
                          </a:xfrm>
                          <a:prstGeom prst="rect">
                            <a:avLst/>
                          </a:prstGeom>
                        </pic:spPr>
                      </pic:pic>
                    </a:graphicData>
                  </a:graphic>
                </wp:inline>
              </w:drawing>
            </w:r>
          </w:p>
          <w:p w14:paraId="7551708C" w14:textId="77777777" w:rsidR="00052E56" w:rsidRDefault="00052E56" w:rsidP="000C2603">
            <w:pPr>
              <w:rPr>
                <w:rFonts w:asciiTheme="minorHAnsi" w:hAnsiTheme="minorHAnsi" w:cstheme="minorBidi"/>
              </w:rPr>
            </w:pPr>
          </w:p>
        </w:tc>
      </w:tr>
      <w:tr w:rsidR="00052E56" w14:paraId="4424481A" w14:textId="77777777" w:rsidTr="000C2603">
        <w:trPr>
          <w:jc w:val="center"/>
        </w:trPr>
        <w:tc>
          <w:tcPr>
            <w:tcW w:w="8522" w:type="dxa"/>
            <w:tcBorders>
              <w:top w:val="single" w:sz="4" w:space="0" w:color="auto"/>
              <w:left w:val="nil"/>
              <w:bottom w:val="single" w:sz="4" w:space="0" w:color="auto"/>
              <w:right w:val="nil"/>
            </w:tcBorders>
            <w:hideMark/>
          </w:tcPr>
          <w:p w14:paraId="4E80F42D" w14:textId="77777777" w:rsidR="00052E56" w:rsidRPr="00693E31" w:rsidRDefault="00052E56" w:rsidP="000C2603">
            <w:pPr>
              <w:jc w:val="center"/>
            </w:pPr>
            <w:r w:rsidRPr="00693E31">
              <w:t>Panel B – Periphery countries and Germany</w:t>
            </w:r>
          </w:p>
        </w:tc>
      </w:tr>
      <w:tr w:rsidR="00052E56" w14:paraId="120685A2" w14:textId="77777777" w:rsidTr="000C2603">
        <w:trPr>
          <w:jc w:val="center"/>
        </w:trPr>
        <w:tc>
          <w:tcPr>
            <w:tcW w:w="8522" w:type="dxa"/>
            <w:tcBorders>
              <w:top w:val="single" w:sz="4" w:space="0" w:color="auto"/>
              <w:left w:val="nil"/>
              <w:bottom w:val="single" w:sz="4" w:space="0" w:color="auto"/>
              <w:right w:val="nil"/>
            </w:tcBorders>
            <w:hideMark/>
          </w:tcPr>
          <w:p w14:paraId="6C43032D" w14:textId="40D26A12" w:rsidR="00052E56" w:rsidRDefault="00CD3B3E" w:rsidP="000C2603">
            <w:pPr>
              <w:rPr>
                <w:rFonts w:asciiTheme="minorHAnsi" w:hAnsiTheme="minorHAnsi" w:cstheme="minorBidi"/>
              </w:rPr>
            </w:pPr>
            <w:r w:rsidRPr="00CD3B3E">
              <w:rPr>
                <w:rFonts w:asciiTheme="minorHAnsi" w:hAnsiTheme="minorHAnsi" w:cstheme="minorBidi"/>
                <w:noProof/>
                <w:lang w:eastAsia="en-GB"/>
              </w:rPr>
              <w:drawing>
                <wp:inline distT="0" distB="0" distL="0" distR="0" wp14:anchorId="633C1AD0" wp14:editId="0209D755">
                  <wp:extent cx="5139267" cy="3232785"/>
                  <wp:effectExtent l="0" t="0" r="4445"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52240" cy="3240945"/>
                          </a:xfrm>
                          <a:prstGeom prst="rect">
                            <a:avLst/>
                          </a:prstGeom>
                        </pic:spPr>
                      </pic:pic>
                    </a:graphicData>
                  </a:graphic>
                </wp:inline>
              </w:drawing>
            </w:r>
          </w:p>
          <w:p w14:paraId="61DDB8C7" w14:textId="77777777" w:rsidR="00052E56" w:rsidRDefault="00052E56" w:rsidP="000C2603">
            <w:pPr>
              <w:rPr>
                <w:rFonts w:asciiTheme="minorHAnsi" w:hAnsiTheme="minorHAnsi" w:cstheme="minorBidi"/>
              </w:rPr>
            </w:pPr>
          </w:p>
        </w:tc>
      </w:tr>
      <w:tr w:rsidR="00052E56" w14:paraId="295DAB62" w14:textId="77777777" w:rsidTr="000C2603">
        <w:trPr>
          <w:jc w:val="center"/>
        </w:trPr>
        <w:tc>
          <w:tcPr>
            <w:tcW w:w="8522" w:type="dxa"/>
            <w:tcBorders>
              <w:top w:val="single" w:sz="4" w:space="0" w:color="auto"/>
              <w:left w:val="nil"/>
              <w:bottom w:val="single" w:sz="4" w:space="0" w:color="auto"/>
              <w:right w:val="nil"/>
            </w:tcBorders>
            <w:hideMark/>
          </w:tcPr>
          <w:p w14:paraId="1F415B70" w14:textId="05CC1265" w:rsidR="00052E56" w:rsidRPr="00A6055A" w:rsidRDefault="00052E56" w:rsidP="000C2603">
            <w:pPr>
              <w:jc w:val="both"/>
              <w:rPr>
                <w:sz w:val="20"/>
                <w:szCs w:val="20"/>
              </w:rPr>
            </w:pPr>
            <w:r w:rsidRPr="00A6055A">
              <w:rPr>
                <w:sz w:val="20"/>
                <w:szCs w:val="20"/>
                <w:lang w:val="en-US"/>
              </w:rPr>
              <w:t xml:space="preserve">Note: This Figure depicts variation over time of </w:t>
            </w:r>
            <w:r w:rsidRPr="00A6055A">
              <w:rPr>
                <w:sz w:val="20"/>
                <w:szCs w:val="20"/>
              </w:rPr>
              <w:t xml:space="preserve">10-year sovereign </w:t>
            </w:r>
            <w:r>
              <w:rPr>
                <w:sz w:val="20"/>
                <w:szCs w:val="20"/>
              </w:rPr>
              <w:t xml:space="preserve">bond </w:t>
            </w:r>
            <w:r w:rsidRPr="00A6055A">
              <w:rPr>
                <w:sz w:val="20"/>
                <w:szCs w:val="20"/>
              </w:rPr>
              <w:t>yields. For the core countries (Austria (</w:t>
            </w:r>
            <w:proofErr w:type="spellStart"/>
            <w:r w:rsidRPr="00A6055A">
              <w:rPr>
                <w:sz w:val="20"/>
                <w:szCs w:val="20"/>
              </w:rPr>
              <w:t>aus</w:t>
            </w:r>
            <w:proofErr w:type="spellEnd"/>
            <w:r w:rsidRPr="00A6055A">
              <w:rPr>
                <w:sz w:val="20"/>
                <w:szCs w:val="20"/>
              </w:rPr>
              <w:t>), Belgium (bel), Finland (fin), France (</w:t>
            </w:r>
            <w:proofErr w:type="spellStart"/>
            <w:r w:rsidRPr="00A6055A">
              <w:rPr>
                <w:sz w:val="20"/>
                <w:szCs w:val="20"/>
              </w:rPr>
              <w:t>fra</w:t>
            </w:r>
            <w:proofErr w:type="spellEnd"/>
            <w:r w:rsidRPr="00A6055A">
              <w:rPr>
                <w:sz w:val="20"/>
                <w:szCs w:val="20"/>
              </w:rPr>
              <w:t>) and the Netherlands (net)), the time period spa</w:t>
            </w:r>
            <w:r w:rsidR="001244C9">
              <w:rPr>
                <w:sz w:val="20"/>
                <w:szCs w:val="20"/>
              </w:rPr>
              <w:t>ns from January 1999 to January</w:t>
            </w:r>
            <w:r w:rsidRPr="00A6055A">
              <w:rPr>
                <w:sz w:val="20"/>
                <w:szCs w:val="20"/>
              </w:rPr>
              <w:t xml:space="preserve"> 2016. For the periphery countries (Greece (</w:t>
            </w:r>
            <w:proofErr w:type="spellStart"/>
            <w:r w:rsidRPr="00A6055A">
              <w:rPr>
                <w:sz w:val="20"/>
                <w:szCs w:val="20"/>
              </w:rPr>
              <w:t>gre</w:t>
            </w:r>
            <w:proofErr w:type="spellEnd"/>
            <w:r w:rsidRPr="00A6055A">
              <w:rPr>
                <w:sz w:val="20"/>
                <w:szCs w:val="20"/>
              </w:rPr>
              <w:t>), Ireland (ire), Italy (</w:t>
            </w:r>
            <w:proofErr w:type="spellStart"/>
            <w:r w:rsidRPr="00A6055A">
              <w:rPr>
                <w:sz w:val="20"/>
                <w:szCs w:val="20"/>
              </w:rPr>
              <w:t>ita</w:t>
            </w:r>
            <w:proofErr w:type="spellEnd"/>
            <w:r w:rsidRPr="00A6055A">
              <w:rPr>
                <w:sz w:val="20"/>
                <w:szCs w:val="20"/>
              </w:rPr>
              <w:t>), Portugal (por) and Spain (spa)), the time period ru</w:t>
            </w:r>
            <w:r w:rsidR="001244C9">
              <w:rPr>
                <w:sz w:val="20"/>
                <w:szCs w:val="20"/>
              </w:rPr>
              <w:t>ns from January 2001 to January</w:t>
            </w:r>
            <w:r w:rsidRPr="00A6055A">
              <w:rPr>
                <w:sz w:val="20"/>
                <w:szCs w:val="20"/>
              </w:rPr>
              <w:t xml:space="preserve"> 2016. Germany (ger) represents the anchor country.</w:t>
            </w:r>
          </w:p>
        </w:tc>
      </w:tr>
    </w:tbl>
    <w:p w14:paraId="41371759" w14:textId="19DE301E" w:rsidR="00CD3B3E" w:rsidRDefault="00CD3B3E" w:rsidP="005F1E3E"/>
    <w:p w14:paraId="60CD5ED3" w14:textId="77777777" w:rsidR="00CD3B3E" w:rsidRDefault="00CD3B3E" w:rsidP="005F1E3E"/>
    <w:p w14:paraId="78C2A972" w14:textId="133B5667" w:rsidR="001D3033" w:rsidRDefault="001D3033" w:rsidP="005F1E3E"/>
    <w:p w14:paraId="666E7BF1" w14:textId="3795B42D" w:rsidR="00D55E47" w:rsidRDefault="00D55E47" w:rsidP="005F1E3E"/>
    <w:p w14:paraId="052E0435" w14:textId="77777777" w:rsidR="00D55E47" w:rsidRDefault="00D55E47" w:rsidP="005F1E3E"/>
    <w:tbl>
      <w:tblPr>
        <w:tblStyle w:val="TableGrid"/>
        <w:tblW w:w="8536" w:type="dxa"/>
        <w:jc w:val="center"/>
        <w:tblBorders>
          <w:left w:val="none" w:sz="0" w:space="0" w:color="auto"/>
          <w:right w:val="none" w:sz="0" w:space="0" w:color="auto"/>
        </w:tblBorders>
        <w:tblLook w:val="04A0" w:firstRow="1" w:lastRow="0" w:firstColumn="1" w:lastColumn="0" w:noHBand="0" w:noVBand="1"/>
      </w:tblPr>
      <w:tblGrid>
        <w:gridCol w:w="10056"/>
      </w:tblGrid>
      <w:tr w:rsidR="00677B10" w14:paraId="0AFF8ED2" w14:textId="77777777" w:rsidTr="00CF2DBA">
        <w:trPr>
          <w:trHeight w:val="274"/>
          <w:jc w:val="center"/>
        </w:trPr>
        <w:tc>
          <w:tcPr>
            <w:tcW w:w="8536" w:type="dxa"/>
          </w:tcPr>
          <w:p w14:paraId="5EEB7BF7" w14:textId="7C87AA11" w:rsidR="00677B10" w:rsidRDefault="00052E56" w:rsidP="005F1E3E">
            <w:r>
              <w:rPr>
                <w:b/>
              </w:rPr>
              <w:lastRenderedPageBreak/>
              <w:t xml:space="preserve">Figure </w:t>
            </w:r>
            <w:r w:rsidR="00CF2DBA">
              <w:rPr>
                <w:b/>
              </w:rPr>
              <w:t>5</w:t>
            </w:r>
            <w:r w:rsidR="00677B10">
              <w:rPr>
                <w:b/>
              </w:rPr>
              <w:t xml:space="preserve">: </w:t>
            </w:r>
            <w:r w:rsidR="00677B10" w:rsidRPr="00487ADA">
              <w:rPr>
                <w:b/>
              </w:rPr>
              <w:t>Historical decomposition of real oil price returns</w:t>
            </w:r>
          </w:p>
        </w:tc>
      </w:tr>
      <w:tr w:rsidR="00677B10" w14:paraId="3E9E0CF7" w14:textId="77777777" w:rsidTr="00CD3B3E">
        <w:trPr>
          <w:trHeight w:val="200"/>
          <w:jc w:val="center"/>
        </w:trPr>
        <w:tc>
          <w:tcPr>
            <w:tcW w:w="8536" w:type="dxa"/>
          </w:tcPr>
          <w:p w14:paraId="32710FE6" w14:textId="486E5BF2" w:rsidR="00677B10" w:rsidRPr="00BD3137" w:rsidRDefault="00CD3B3E" w:rsidP="00BD3137">
            <w:r>
              <w:rPr>
                <w:noProof/>
                <w:lang w:eastAsia="en-GB"/>
              </w:rPr>
              <w:drawing>
                <wp:inline distT="0" distB="0" distL="0" distR="0" wp14:anchorId="4CCA31C6" wp14:editId="00BBA047">
                  <wp:extent cx="6239934" cy="3656330"/>
                  <wp:effectExtent l="0" t="0" r="8890" b="13970"/>
                  <wp:docPr id="38" name="Chart 3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677B10" w14:paraId="2D46E723" w14:textId="77777777" w:rsidTr="00CF2DBA">
        <w:trPr>
          <w:trHeight w:val="962"/>
          <w:jc w:val="center"/>
        </w:trPr>
        <w:tc>
          <w:tcPr>
            <w:tcW w:w="8536" w:type="dxa"/>
          </w:tcPr>
          <w:p w14:paraId="5064275C" w14:textId="710A9CB4" w:rsidR="00677B10" w:rsidRDefault="00677B10" w:rsidP="00677B10">
            <w:pPr>
              <w:jc w:val="both"/>
            </w:pPr>
            <w:r>
              <w:rPr>
                <w:sz w:val="20"/>
                <w:szCs w:val="20"/>
                <w:lang w:val="en-US"/>
              </w:rPr>
              <w:t xml:space="preserve">Note: </w:t>
            </w:r>
            <w:r w:rsidRPr="00487ADA">
              <w:rPr>
                <w:sz w:val="20"/>
                <w:szCs w:val="20"/>
              </w:rPr>
              <w:t>This Figure exhibits the historical decomposition of the real oil price returns</w:t>
            </w:r>
            <w:r>
              <w:rPr>
                <w:sz w:val="20"/>
                <w:szCs w:val="20"/>
              </w:rPr>
              <w:t xml:space="preserve"> </w:t>
            </w:r>
            <w:r w:rsidRPr="00487ADA">
              <w:rPr>
                <w:sz w:val="20"/>
                <w:szCs w:val="20"/>
              </w:rPr>
              <w:t>at each point in time</w:t>
            </w:r>
            <w:r w:rsidR="009808BC">
              <w:rPr>
                <w:sz w:val="20"/>
                <w:szCs w:val="20"/>
              </w:rPr>
              <w:t xml:space="preserve"> based on the</w:t>
            </w:r>
            <w:r>
              <w:rPr>
                <w:sz w:val="20"/>
                <w:szCs w:val="20"/>
              </w:rPr>
              <w:t xml:space="preserve"> origin</w:t>
            </w:r>
            <w:r w:rsidR="009808BC">
              <w:rPr>
                <w:sz w:val="20"/>
                <w:szCs w:val="20"/>
              </w:rPr>
              <w:t xml:space="preserve"> of the oil price shock</w:t>
            </w:r>
            <w:r w:rsidRPr="00487ADA">
              <w:rPr>
                <w:sz w:val="20"/>
                <w:szCs w:val="20"/>
              </w:rPr>
              <w:t>.</w:t>
            </w:r>
            <w:r w:rsidRPr="00487ADA">
              <w:rPr>
                <w:sz w:val="20"/>
                <w:szCs w:val="20"/>
                <w:lang w:eastAsia="el-GR"/>
              </w:rPr>
              <w:t xml:space="preserve"> </w:t>
            </w:r>
            <w:r w:rsidR="00BF623C">
              <w:rPr>
                <w:sz w:val="20"/>
                <w:szCs w:val="20"/>
                <w:lang w:eastAsia="el-GR"/>
              </w:rPr>
              <w:t>SS</w:t>
            </w:r>
            <w:r w:rsidR="00A727F0">
              <w:rPr>
                <w:sz w:val="20"/>
                <w:szCs w:val="20"/>
                <w:lang w:eastAsia="el-GR"/>
              </w:rPr>
              <w:t xml:space="preserve"> denotes the </w:t>
            </w:r>
            <w:r w:rsidR="00FF5EEE">
              <w:rPr>
                <w:sz w:val="20"/>
                <w:szCs w:val="20"/>
                <w:lang w:eastAsia="el-GR"/>
              </w:rPr>
              <w:t>supply</w:t>
            </w:r>
            <w:r w:rsidR="005C7EE7">
              <w:rPr>
                <w:sz w:val="20"/>
                <w:szCs w:val="20"/>
                <w:lang w:eastAsia="el-GR"/>
              </w:rPr>
              <w:t>-side</w:t>
            </w:r>
            <w:r w:rsidR="00FF5EEE">
              <w:rPr>
                <w:sz w:val="20"/>
                <w:szCs w:val="20"/>
                <w:lang w:eastAsia="el-GR"/>
              </w:rPr>
              <w:t xml:space="preserve"> shock</w:t>
            </w:r>
            <w:r w:rsidR="00BF623C">
              <w:rPr>
                <w:sz w:val="20"/>
                <w:szCs w:val="20"/>
                <w:lang w:eastAsia="el-GR"/>
              </w:rPr>
              <w:t>, AD</w:t>
            </w:r>
            <w:r w:rsidR="0090705A">
              <w:rPr>
                <w:sz w:val="20"/>
                <w:szCs w:val="20"/>
                <w:lang w:eastAsia="el-GR"/>
              </w:rPr>
              <w:t xml:space="preserve"> represents </w:t>
            </w:r>
            <w:r w:rsidR="00FF5EEE">
              <w:rPr>
                <w:sz w:val="20"/>
                <w:szCs w:val="20"/>
                <w:lang w:eastAsia="el-GR"/>
              </w:rPr>
              <w:t>the aggregate demand shock</w:t>
            </w:r>
            <w:r w:rsidR="005C7EE7">
              <w:rPr>
                <w:sz w:val="20"/>
                <w:szCs w:val="20"/>
                <w:lang w:eastAsia="el-GR"/>
              </w:rPr>
              <w:t xml:space="preserve"> and</w:t>
            </w:r>
            <w:r w:rsidR="00BF623C">
              <w:rPr>
                <w:sz w:val="20"/>
                <w:szCs w:val="20"/>
                <w:lang w:eastAsia="el-GR"/>
              </w:rPr>
              <w:t xml:space="preserve"> PD</w:t>
            </w:r>
            <w:r w:rsidR="0090705A">
              <w:rPr>
                <w:sz w:val="20"/>
                <w:szCs w:val="20"/>
                <w:lang w:eastAsia="el-GR"/>
              </w:rPr>
              <w:t xml:space="preserve"> reflects </w:t>
            </w:r>
            <w:r w:rsidR="00BF623C">
              <w:rPr>
                <w:sz w:val="20"/>
                <w:szCs w:val="20"/>
                <w:lang w:eastAsia="el-GR"/>
              </w:rPr>
              <w:t xml:space="preserve">the </w:t>
            </w:r>
            <w:r w:rsidR="00C150F3">
              <w:rPr>
                <w:sz w:val="20"/>
                <w:szCs w:val="20"/>
                <w:lang w:eastAsia="el-GR"/>
              </w:rPr>
              <w:t xml:space="preserve">precautionary </w:t>
            </w:r>
            <w:r w:rsidR="00FF5EEE">
              <w:rPr>
                <w:sz w:val="20"/>
                <w:szCs w:val="20"/>
                <w:lang w:eastAsia="el-GR"/>
              </w:rPr>
              <w:t>demand shock</w:t>
            </w:r>
            <w:r w:rsidR="0090705A">
              <w:rPr>
                <w:sz w:val="20"/>
                <w:szCs w:val="20"/>
                <w:lang w:eastAsia="el-GR"/>
              </w:rPr>
              <w:t xml:space="preserve">. </w:t>
            </w:r>
            <w:r w:rsidRPr="009C73A9">
              <w:rPr>
                <w:sz w:val="20"/>
                <w:szCs w:val="20"/>
                <w:lang w:eastAsia="el-GR"/>
              </w:rPr>
              <w:t>The</w:t>
            </w:r>
            <w:r w:rsidR="00BD3137">
              <w:rPr>
                <w:sz w:val="20"/>
                <w:szCs w:val="20"/>
                <w:lang w:eastAsia="el-GR"/>
              </w:rPr>
              <w:t xml:space="preserve"> sample period runs from January 1999 to January</w:t>
            </w:r>
            <w:r w:rsidRPr="009C73A9">
              <w:rPr>
                <w:sz w:val="20"/>
                <w:szCs w:val="20"/>
                <w:lang w:eastAsia="el-GR"/>
              </w:rPr>
              <w:t xml:space="preserve"> 2016.</w:t>
            </w:r>
          </w:p>
        </w:tc>
      </w:tr>
    </w:tbl>
    <w:p w14:paraId="141E0714" w14:textId="77777777" w:rsidR="00677B10" w:rsidRDefault="00677B10" w:rsidP="006739B9">
      <w:pPr>
        <w:sectPr w:rsidR="00677B10" w:rsidSect="009F3EAB">
          <w:pgSz w:w="11906" w:h="16838"/>
          <w:pgMar w:top="1440" w:right="1800" w:bottom="1440" w:left="1800" w:header="720" w:footer="720" w:gutter="0"/>
          <w:cols w:space="720"/>
          <w:docGrid w:linePitch="326"/>
        </w:sectPr>
      </w:pPr>
    </w:p>
    <w:p w14:paraId="3FBDD31B" w14:textId="77777777" w:rsidR="00CF2DBA" w:rsidRDefault="00CF2DBA" w:rsidP="00CF2DBA"/>
    <w:tbl>
      <w:tblPr>
        <w:tblStyle w:val="TableGrid"/>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tblGrid>
      <w:tr w:rsidR="00CF2DBA" w14:paraId="12155717" w14:textId="77777777" w:rsidTr="00077A74">
        <w:trPr>
          <w:trHeight w:val="332"/>
          <w:jc w:val="center"/>
        </w:trPr>
        <w:tc>
          <w:tcPr>
            <w:tcW w:w="10632" w:type="dxa"/>
            <w:tcBorders>
              <w:top w:val="single" w:sz="4" w:space="0" w:color="auto"/>
              <w:bottom w:val="single" w:sz="4" w:space="0" w:color="auto"/>
            </w:tcBorders>
          </w:tcPr>
          <w:p w14:paraId="705899E8" w14:textId="02A6DB8A" w:rsidR="00CF2DBA" w:rsidRPr="00C5198B" w:rsidRDefault="00CF2DBA" w:rsidP="00077A74">
            <w:r w:rsidRPr="00C5198B">
              <w:rPr>
                <w:b/>
              </w:rPr>
              <w:t xml:space="preserve">Figure </w:t>
            </w:r>
            <w:r>
              <w:rPr>
                <w:b/>
              </w:rPr>
              <w:t>6</w:t>
            </w:r>
            <w:r w:rsidRPr="00C5198B">
              <w:rPr>
                <w:b/>
              </w:rPr>
              <w:t>: Time-varying correlations between oil price shocks and the 10-year sovereign yield spread of Austria</w:t>
            </w:r>
          </w:p>
        </w:tc>
      </w:tr>
      <w:tr w:rsidR="00CF2DBA" w14:paraId="3261FE9B" w14:textId="77777777" w:rsidTr="00077A74">
        <w:trPr>
          <w:trHeight w:val="5456"/>
          <w:jc w:val="center"/>
        </w:trPr>
        <w:tc>
          <w:tcPr>
            <w:tcW w:w="10632" w:type="dxa"/>
            <w:tcBorders>
              <w:top w:val="single" w:sz="4" w:space="0" w:color="auto"/>
              <w:bottom w:val="single" w:sz="4" w:space="0" w:color="auto"/>
            </w:tcBorders>
          </w:tcPr>
          <w:p w14:paraId="57BABFEE" w14:textId="77777777" w:rsidR="00CF2DBA" w:rsidRPr="00C5198B" w:rsidRDefault="00CF2DBA" w:rsidP="00077A74">
            <w:r w:rsidRPr="002716A5">
              <w:rPr>
                <w:noProof/>
                <w:lang w:eastAsia="en-GB"/>
              </w:rPr>
              <w:drawing>
                <wp:inline distT="0" distB="0" distL="0" distR="0" wp14:anchorId="76AB084C" wp14:editId="21B3F94F">
                  <wp:extent cx="6595533" cy="389441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10432"/>
                          <a:stretch/>
                        </pic:blipFill>
                        <pic:spPr bwMode="auto">
                          <a:xfrm>
                            <a:off x="0" y="0"/>
                            <a:ext cx="6649924" cy="3926529"/>
                          </a:xfrm>
                          <a:prstGeom prst="rect">
                            <a:avLst/>
                          </a:prstGeom>
                          <a:ln>
                            <a:noFill/>
                          </a:ln>
                          <a:extLst>
                            <a:ext uri="{53640926-AAD7-44D8-BBD7-CCE9431645EC}">
                              <a14:shadowObscured xmlns:a14="http://schemas.microsoft.com/office/drawing/2010/main"/>
                            </a:ext>
                          </a:extLst>
                        </pic:spPr>
                      </pic:pic>
                    </a:graphicData>
                  </a:graphic>
                </wp:inline>
              </w:drawing>
            </w:r>
          </w:p>
        </w:tc>
      </w:tr>
      <w:tr w:rsidR="00CF2DBA" w14:paraId="3774A554" w14:textId="77777777" w:rsidTr="00077A74">
        <w:trPr>
          <w:trHeight w:val="246"/>
          <w:jc w:val="center"/>
        </w:trPr>
        <w:tc>
          <w:tcPr>
            <w:tcW w:w="10632" w:type="dxa"/>
            <w:tcBorders>
              <w:top w:val="single" w:sz="4" w:space="0" w:color="auto"/>
              <w:bottom w:val="single" w:sz="4" w:space="0" w:color="auto"/>
            </w:tcBorders>
          </w:tcPr>
          <w:p w14:paraId="74713E6C" w14:textId="77777777" w:rsidR="00CF2DBA" w:rsidRPr="00276C06" w:rsidRDefault="00CF2DBA" w:rsidP="00077A74">
            <w:pPr>
              <w:jc w:val="both"/>
              <w:rPr>
                <w:sz w:val="20"/>
                <w:szCs w:val="20"/>
              </w:rPr>
            </w:pPr>
            <w:r>
              <w:rPr>
                <w:sz w:val="20"/>
                <w:szCs w:val="20"/>
                <w:lang w:val="en-US"/>
              </w:rPr>
              <w:t xml:space="preserve">Note: This Figure depicts the time-varying correlation between supply-side shocks, aggregate demand shocks, precautionary demand shocks and the </w:t>
            </w:r>
            <w:r w:rsidRPr="00C5198B">
              <w:rPr>
                <w:sz w:val="20"/>
                <w:szCs w:val="20"/>
              </w:rPr>
              <w:t xml:space="preserve">10-year Austrian sovereign yield spread (the difference between the Austrian sovereign bond yield and the yield on the German Bund). The </w:t>
            </w:r>
            <w:r>
              <w:rPr>
                <w:sz w:val="20"/>
                <w:szCs w:val="20"/>
              </w:rPr>
              <w:t>solid</w:t>
            </w:r>
            <w:r w:rsidRPr="00C5198B">
              <w:rPr>
                <w:sz w:val="20"/>
                <w:szCs w:val="20"/>
              </w:rPr>
              <w:t xml:space="preserve"> line (</w:t>
            </w:r>
            <w:r>
              <w:rPr>
                <w:sz w:val="20"/>
                <w:szCs w:val="20"/>
              </w:rPr>
              <w:t>dashed</w:t>
            </w:r>
            <w:r w:rsidRPr="00C5198B">
              <w:rPr>
                <w:sz w:val="20"/>
                <w:szCs w:val="20"/>
              </w:rPr>
              <w:t xml:space="preserve"> line) shows the correlation that includes (excludes) the control variables related to the omitted variable bias issue. </w:t>
            </w:r>
            <w:r w:rsidRPr="00276C06">
              <w:rPr>
                <w:sz w:val="20"/>
                <w:szCs w:val="20"/>
              </w:rPr>
              <w:t>The time period spans from January 1999 to January 2016.</w:t>
            </w:r>
          </w:p>
        </w:tc>
      </w:tr>
    </w:tbl>
    <w:p w14:paraId="10F7572B" w14:textId="77777777" w:rsidR="00CF2DBA" w:rsidRDefault="00CF2DBA" w:rsidP="00CF2DBA"/>
    <w:p w14:paraId="7BD7C351" w14:textId="77777777" w:rsidR="00CF2DBA" w:rsidRDefault="00CF2DBA" w:rsidP="00CF2DBA"/>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CF2DBA" w14:paraId="30879EE1" w14:textId="77777777" w:rsidTr="00077A74">
        <w:trPr>
          <w:trHeight w:val="217"/>
          <w:jc w:val="center"/>
        </w:trPr>
        <w:tc>
          <w:tcPr>
            <w:tcW w:w="10773" w:type="dxa"/>
            <w:tcBorders>
              <w:top w:val="single" w:sz="4" w:space="0" w:color="auto"/>
              <w:bottom w:val="single" w:sz="4" w:space="0" w:color="auto"/>
            </w:tcBorders>
          </w:tcPr>
          <w:p w14:paraId="1F6CEB32" w14:textId="14ABDEBA" w:rsidR="00CF2DBA" w:rsidRPr="00C5198B" w:rsidRDefault="00CF2DBA" w:rsidP="00077A74">
            <w:r w:rsidRPr="00C5198B">
              <w:rPr>
                <w:b/>
              </w:rPr>
              <w:t xml:space="preserve">Figure </w:t>
            </w:r>
            <w:r>
              <w:rPr>
                <w:b/>
              </w:rPr>
              <w:t>7</w:t>
            </w:r>
            <w:r w:rsidRPr="00C5198B">
              <w:rPr>
                <w:b/>
              </w:rPr>
              <w:t>: Time-varying correlations between oil price shocks and the 10-year sovereign yield spread of Belgium</w:t>
            </w:r>
          </w:p>
        </w:tc>
      </w:tr>
      <w:tr w:rsidR="00CF2DBA" w14:paraId="7CACC8DD" w14:textId="77777777" w:rsidTr="00077A74">
        <w:trPr>
          <w:trHeight w:val="5052"/>
          <w:jc w:val="center"/>
        </w:trPr>
        <w:tc>
          <w:tcPr>
            <w:tcW w:w="10773" w:type="dxa"/>
            <w:tcBorders>
              <w:top w:val="single" w:sz="4" w:space="0" w:color="auto"/>
              <w:bottom w:val="single" w:sz="4" w:space="0" w:color="auto"/>
            </w:tcBorders>
          </w:tcPr>
          <w:p w14:paraId="5DE6DCAD" w14:textId="77777777" w:rsidR="00CF2DBA" w:rsidRDefault="00CF2DBA" w:rsidP="00077A74">
            <w:r w:rsidRPr="00C5198B">
              <w:rPr>
                <w:noProof/>
                <w:lang w:eastAsia="en-GB"/>
              </w:rPr>
              <w:drawing>
                <wp:inline distT="0" distB="0" distL="0" distR="0" wp14:anchorId="7B6F765B" wp14:editId="429E4C3C">
                  <wp:extent cx="6663267" cy="382651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0340"/>
                          <a:stretch/>
                        </pic:blipFill>
                        <pic:spPr bwMode="auto">
                          <a:xfrm>
                            <a:off x="0" y="0"/>
                            <a:ext cx="6766491" cy="3885789"/>
                          </a:xfrm>
                          <a:prstGeom prst="rect">
                            <a:avLst/>
                          </a:prstGeom>
                          <a:ln>
                            <a:noFill/>
                          </a:ln>
                          <a:extLst>
                            <a:ext uri="{53640926-AAD7-44D8-BBD7-CCE9431645EC}">
                              <a14:shadowObscured xmlns:a14="http://schemas.microsoft.com/office/drawing/2010/main"/>
                            </a:ext>
                          </a:extLst>
                        </pic:spPr>
                      </pic:pic>
                    </a:graphicData>
                  </a:graphic>
                </wp:inline>
              </w:drawing>
            </w:r>
          </w:p>
        </w:tc>
      </w:tr>
      <w:tr w:rsidR="00CF2DBA" w14:paraId="7C1338D8" w14:textId="77777777" w:rsidTr="00077A74">
        <w:trPr>
          <w:trHeight w:val="543"/>
          <w:jc w:val="center"/>
        </w:trPr>
        <w:tc>
          <w:tcPr>
            <w:tcW w:w="10773" w:type="dxa"/>
            <w:tcBorders>
              <w:top w:val="single" w:sz="4" w:space="0" w:color="auto"/>
              <w:bottom w:val="single" w:sz="4" w:space="0" w:color="auto"/>
            </w:tcBorders>
          </w:tcPr>
          <w:p w14:paraId="0BA2B555" w14:textId="77777777" w:rsidR="00CF2DBA" w:rsidRPr="00032B43" w:rsidRDefault="00CF2DBA" w:rsidP="00077A74">
            <w:pPr>
              <w:jc w:val="both"/>
              <w:rPr>
                <w:sz w:val="20"/>
                <w:szCs w:val="20"/>
                <w:lang w:val="en-US"/>
              </w:rPr>
            </w:pPr>
            <w:r>
              <w:rPr>
                <w:sz w:val="20"/>
                <w:szCs w:val="20"/>
                <w:lang w:val="en-US"/>
              </w:rPr>
              <w:t xml:space="preserve">Note: This Figure depicts the time-varying correlation between supply-side shocks, aggregate demand shocks, precautionary demand shocks and the </w:t>
            </w:r>
            <w:r w:rsidRPr="00C5198B">
              <w:rPr>
                <w:sz w:val="20"/>
                <w:szCs w:val="20"/>
              </w:rPr>
              <w:t xml:space="preserve">10-year Belgian sovereign yield spread (the difference between the Belgian sovereign bond yield and the yield on the German Bund). The </w:t>
            </w:r>
            <w:r>
              <w:rPr>
                <w:sz w:val="20"/>
                <w:szCs w:val="20"/>
              </w:rPr>
              <w:t>solid</w:t>
            </w:r>
            <w:r w:rsidRPr="00C5198B">
              <w:rPr>
                <w:sz w:val="20"/>
                <w:szCs w:val="20"/>
              </w:rPr>
              <w:t xml:space="preserve"> line (</w:t>
            </w:r>
            <w:r>
              <w:rPr>
                <w:sz w:val="20"/>
                <w:szCs w:val="20"/>
              </w:rPr>
              <w:t>dashed</w:t>
            </w:r>
            <w:r w:rsidRPr="00C5198B">
              <w:rPr>
                <w:sz w:val="20"/>
                <w:szCs w:val="20"/>
              </w:rPr>
              <w:t xml:space="preserve"> line) shows the correlation that includes (excludes) the control variables related to the omitted variable bias issue. </w:t>
            </w:r>
            <w:r w:rsidRPr="00276C06">
              <w:rPr>
                <w:sz w:val="20"/>
                <w:szCs w:val="20"/>
              </w:rPr>
              <w:t>The time period spans from January 1999 to January 2016.</w:t>
            </w:r>
          </w:p>
        </w:tc>
      </w:tr>
    </w:tbl>
    <w:p w14:paraId="0878B4CD" w14:textId="4DDF6660" w:rsidR="00CF2DBA" w:rsidRDefault="00CF2DBA" w:rsidP="00CF2DBA"/>
    <w:p w14:paraId="0E673CC8" w14:textId="77777777" w:rsidR="00CF2DBA" w:rsidRDefault="00CF2DBA" w:rsidP="00CF2DBA"/>
    <w:tbl>
      <w:tblPr>
        <w:tblStyle w:val="TableGrid"/>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tblGrid>
      <w:tr w:rsidR="00CF2DBA" w14:paraId="7CF25E64" w14:textId="77777777" w:rsidTr="00077A74">
        <w:trPr>
          <w:jc w:val="center"/>
        </w:trPr>
        <w:tc>
          <w:tcPr>
            <w:tcW w:w="10632" w:type="dxa"/>
            <w:tcBorders>
              <w:top w:val="single" w:sz="4" w:space="0" w:color="auto"/>
              <w:bottom w:val="single" w:sz="4" w:space="0" w:color="auto"/>
            </w:tcBorders>
          </w:tcPr>
          <w:p w14:paraId="19BCD98B" w14:textId="41CB0C9F" w:rsidR="00CF2DBA" w:rsidRPr="00C5198B" w:rsidRDefault="00CF2DBA" w:rsidP="00077A74">
            <w:r w:rsidRPr="00C5198B">
              <w:rPr>
                <w:b/>
              </w:rPr>
              <w:t xml:space="preserve">Figure </w:t>
            </w:r>
            <w:r>
              <w:rPr>
                <w:b/>
              </w:rPr>
              <w:t>8</w:t>
            </w:r>
            <w:r w:rsidRPr="00C5198B">
              <w:rPr>
                <w:b/>
              </w:rPr>
              <w:t>: Time-varying correlations between oil price shocks and the 10-year sovereign yield spread of Finland</w:t>
            </w:r>
          </w:p>
        </w:tc>
      </w:tr>
      <w:tr w:rsidR="00CF2DBA" w14:paraId="48C43D60" w14:textId="77777777" w:rsidTr="00077A74">
        <w:trPr>
          <w:jc w:val="center"/>
        </w:trPr>
        <w:tc>
          <w:tcPr>
            <w:tcW w:w="10632" w:type="dxa"/>
            <w:tcBorders>
              <w:top w:val="single" w:sz="4" w:space="0" w:color="auto"/>
              <w:bottom w:val="single" w:sz="4" w:space="0" w:color="auto"/>
            </w:tcBorders>
          </w:tcPr>
          <w:p w14:paraId="791C2BAB" w14:textId="77777777" w:rsidR="00CF2DBA" w:rsidRDefault="00CF2DBA" w:rsidP="00077A74">
            <w:r w:rsidRPr="00C5198B">
              <w:rPr>
                <w:noProof/>
                <w:lang w:eastAsia="en-GB"/>
              </w:rPr>
              <w:drawing>
                <wp:inline distT="0" distB="0" distL="0" distR="0" wp14:anchorId="27E809E2" wp14:editId="5DD77330">
                  <wp:extent cx="6578600" cy="38773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10468"/>
                          <a:stretch/>
                        </pic:blipFill>
                        <pic:spPr bwMode="auto">
                          <a:xfrm>
                            <a:off x="0" y="0"/>
                            <a:ext cx="6624479" cy="3904350"/>
                          </a:xfrm>
                          <a:prstGeom prst="rect">
                            <a:avLst/>
                          </a:prstGeom>
                          <a:ln>
                            <a:noFill/>
                          </a:ln>
                          <a:extLst>
                            <a:ext uri="{53640926-AAD7-44D8-BBD7-CCE9431645EC}">
                              <a14:shadowObscured xmlns:a14="http://schemas.microsoft.com/office/drawing/2010/main"/>
                            </a:ext>
                          </a:extLst>
                        </pic:spPr>
                      </pic:pic>
                    </a:graphicData>
                  </a:graphic>
                </wp:inline>
              </w:drawing>
            </w:r>
          </w:p>
        </w:tc>
      </w:tr>
      <w:tr w:rsidR="00CF2DBA" w14:paraId="0573AAC2" w14:textId="77777777" w:rsidTr="00077A74">
        <w:trPr>
          <w:jc w:val="center"/>
        </w:trPr>
        <w:tc>
          <w:tcPr>
            <w:tcW w:w="10632" w:type="dxa"/>
            <w:tcBorders>
              <w:top w:val="single" w:sz="4" w:space="0" w:color="auto"/>
              <w:bottom w:val="single" w:sz="4" w:space="0" w:color="auto"/>
            </w:tcBorders>
          </w:tcPr>
          <w:p w14:paraId="2B736843" w14:textId="04ADEC1A" w:rsidR="00CF2DBA" w:rsidRPr="00032B43" w:rsidRDefault="00CF2DBA" w:rsidP="00077A74">
            <w:pPr>
              <w:jc w:val="both"/>
              <w:rPr>
                <w:sz w:val="20"/>
                <w:szCs w:val="20"/>
                <w:lang w:val="en-US"/>
              </w:rPr>
            </w:pPr>
            <w:r>
              <w:rPr>
                <w:sz w:val="20"/>
                <w:szCs w:val="20"/>
                <w:lang w:val="en-US"/>
              </w:rPr>
              <w:t xml:space="preserve">Note: This Figure depicts the time-varying correlation between supply-side shocks, aggregate demand shocks, precautionary demand shocks and the </w:t>
            </w:r>
            <w:r w:rsidRPr="00C5198B">
              <w:rPr>
                <w:sz w:val="20"/>
                <w:szCs w:val="20"/>
              </w:rPr>
              <w:t>10-year Fin</w:t>
            </w:r>
            <w:r w:rsidR="0097287A">
              <w:rPr>
                <w:sz w:val="20"/>
                <w:szCs w:val="20"/>
              </w:rPr>
              <w:t>n</w:t>
            </w:r>
            <w:r w:rsidRPr="00C5198B">
              <w:rPr>
                <w:sz w:val="20"/>
                <w:szCs w:val="20"/>
              </w:rPr>
              <w:t>ish sovereign yield spread (the difference between the Fin</w:t>
            </w:r>
            <w:r w:rsidR="0097287A">
              <w:rPr>
                <w:sz w:val="20"/>
                <w:szCs w:val="20"/>
              </w:rPr>
              <w:t>n</w:t>
            </w:r>
            <w:r w:rsidRPr="00C5198B">
              <w:rPr>
                <w:sz w:val="20"/>
                <w:szCs w:val="20"/>
              </w:rPr>
              <w:t xml:space="preserve">ish sovereign bond yield and the yield on the German Bund). The </w:t>
            </w:r>
            <w:r>
              <w:rPr>
                <w:sz w:val="20"/>
                <w:szCs w:val="20"/>
              </w:rPr>
              <w:t>solid</w:t>
            </w:r>
            <w:r w:rsidRPr="00C5198B">
              <w:rPr>
                <w:sz w:val="20"/>
                <w:szCs w:val="20"/>
              </w:rPr>
              <w:t xml:space="preserve"> line (</w:t>
            </w:r>
            <w:r>
              <w:rPr>
                <w:sz w:val="20"/>
                <w:szCs w:val="20"/>
              </w:rPr>
              <w:t>dashed</w:t>
            </w:r>
            <w:r w:rsidRPr="00C5198B">
              <w:rPr>
                <w:sz w:val="20"/>
                <w:szCs w:val="20"/>
              </w:rPr>
              <w:t xml:space="preserve"> line) shows the correlation that includes (excludes) the control variables related to the omitted variable bias issue. </w:t>
            </w:r>
            <w:r w:rsidRPr="00276C06">
              <w:rPr>
                <w:sz w:val="20"/>
                <w:szCs w:val="20"/>
              </w:rPr>
              <w:t>The time period spans from January 1999 to January 2016.</w:t>
            </w:r>
          </w:p>
        </w:tc>
      </w:tr>
    </w:tbl>
    <w:p w14:paraId="416A94D7" w14:textId="130FBDD7" w:rsidR="00CF2DBA" w:rsidRDefault="00CF2DBA" w:rsidP="00CF2DBA"/>
    <w:p w14:paraId="30DCD712" w14:textId="77777777" w:rsidR="00CF2DBA" w:rsidRDefault="00CF2DBA" w:rsidP="00CF2DBA"/>
    <w:tbl>
      <w:tblPr>
        <w:tblStyle w:val="TableGrid"/>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tblGrid>
      <w:tr w:rsidR="00CF2DBA" w14:paraId="0CDA663F" w14:textId="77777777" w:rsidTr="00077A74">
        <w:trPr>
          <w:jc w:val="center"/>
        </w:trPr>
        <w:tc>
          <w:tcPr>
            <w:tcW w:w="10632" w:type="dxa"/>
            <w:tcBorders>
              <w:top w:val="single" w:sz="4" w:space="0" w:color="auto"/>
              <w:bottom w:val="single" w:sz="4" w:space="0" w:color="auto"/>
            </w:tcBorders>
          </w:tcPr>
          <w:p w14:paraId="233394A6" w14:textId="084325D9" w:rsidR="00CF2DBA" w:rsidRPr="00C5198B" w:rsidRDefault="00CF2DBA" w:rsidP="00077A74">
            <w:r w:rsidRPr="00C5198B">
              <w:rPr>
                <w:b/>
              </w:rPr>
              <w:t xml:space="preserve">Figure </w:t>
            </w:r>
            <w:r w:rsidR="007262EA">
              <w:rPr>
                <w:b/>
              </w:rPr>
              <w:t>9</w:t>
            </w:r>
            <w:r w:rsidRPr="00C5198B">
              <w:rPr>
                <w:b/>
              </w:rPr>
              <w:t>: Time-varying correlations between oil price shocks and the 10-year sovereign yield spread of France</w:t>
            </w:r>
          </w:p>
        </w:tc>
      </w:tr>
      <w:tr w:rsidR="00CF2DBA" w14:paraId="295FF5CE" w14:textId="77777777" w:rsidTr="00077A74">
        <w:trPr>
          <w:jc w:val="center"/>
        </w:trPr>
        <w:tc>
          <w:tcPr>
            <w:tcW w:w="10632" w:type="dxa"/>
            <w:tcBorders>
              <w:top w:val="single" w:sz="4" w:space="0" w:color="auto"/>
              <w:bottom w:val="single" w:sz="4" w:space="0" w:color="auto"/>
            </w:tcBorders>
          </w:tcPr>
          <w:p w14:paraId="31912C5F" w14:textId="77777777" w:rsidR="00CF2DBA" w:rsidRDefault="00CF2DBA" w:rsidP="00077A74">
            <w:r w:rsidRPr="00E97163">
              <w:rPr>
                <w:noProof/>
                <w:lang w:eastAsia="en-GB"/>
              </w:rPr>
              <w:drawing>
                <wp:inline distT="0" distB="0" distL="0" distR="0" wp14:anchorId="41D4A181" wp14:editId="5B6208A1">
                  <wp:extent cx="6595533" cy="391150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10382"/>
                          <a:stretch/>
                        </pic:blipFill>
                        <pic:spPr bwMode="auto">
                          <a:xfrm>
                            <a:off x="0" y="0"/>
                            <a:ext cx="6691715" cy="3968541"/>
                          </a:xfrm>
                          <a:prstGeom prst="rect">
                            <a:avLst/>
                          </a:prstGeom>
                          <a:ln>
                            <a:noFill/>
                          </a:ln>
                          <a:extLst>
                            <a:ext uri="{53640926-AAD7-44D8-BBD7-CCE9431645EC}">
                              <a14:shadowObscured xmlns:a14="http://schemas.microsoft.com/office/drawing/2010/main"/>
                            </a:ext>
                          </a:extLst>
                        </pic:spPr>
                      </pic:pic>
                    </a:graphicData>
                  </a:graphic>
                </wp:inline>
              </w:drawing>
            </w:r>
          </w:p>
        </w:tc>
      </w:tr>
      <w:tr w:rsidR="00CF2DBA" w14:paraId="1429CF33" w14:textId="77777777" w:rsidTr="00077A74">
        <w:trPr>
          <w:jc w:val="center"/>
        </w:trPr>
        <w:tc>
          <w:tcPr>
            <w:tcW w:w="10632" w:type="dxa"/>
            <w:tcBorders>
              <w:top w:val="single" w:sz="4" w:space="0" w:color="auto"/>
              <w:bottom w:val="single" w:sz="4" w:space="0" w:color="auto"/>
            </w:tcBorders>
          </w:tcPr>
          <w:p w14:paraId="6165A9A3" w14:textId="77777777" w:rsidR="00CF2DBA" w:rsidRPr="00032B43" w:rsidRDefault="00CF2DBA" w:rsidP="00077A74">
            <w:pPr>
              <w:jc w:val="both"/>
              <w:rPr>
                <w:sz w:val="20"/>
                <w:szCs w:val="20"/>
                <w:lang w:val="en-US"/>
              </w:rPr>
            </w:pPr>
            <w:r>
              <w:rPr>
                <w:sz w:val="20"/>
                <w:szCs w:val="20"/>
                <w:lang w:val="en-US"/>
              </w:rPr>
              <w:t xml:space="preserve">Note: This Figure depicts the time-varying correlation between supply-side shocks, aggregate demand shocks, precautionary demand shocks and the </w:t>
            </w:r>
            <w:r w:rsidRPr="00C5198B">
              <w:rPr>
                <w:sz w:val="20"/>
                <w:szCs w:val="20"/>
              </w:rPr>
              <w:t xml:space="preserve">10-year French sovereign yield spread (the difference between the French sovereign bond yield and the yield on the German Bund). The </w:t>
            </w:r>
            <w:r>
              <w:rPr>
                <w:sz w:val="20"/>
                <w:szCs w:val="20"/>
              </w:rPr>
              <w:t>solid</w:t>
            </w:r>
            <w:r w:rsidRPr="00C5198B">
              <w:rPr>
                <w:sz w:val="20"/>
                <w:szCs w:val="20"/>
              </w:rPr>
              <w:t xml:space="preserve"> line (</w:t>
            </w:r>
            <w:r>
              <w:rPr>
                <w:sz w:val="20"/>
                <w:szCs w:val="20"/>
              </w:rPr>
              <w:t>dashed</w:t>
            </w:r>
            <w:r w:rsidRPr="00C5198B">
              <w:rPr>
                <w:sz w:val="20"/>
                <w:szCs w:val="20"/>
              </w:rPr>
              <w:t xml:space="preserve"> line) shows the correlation that includes (excludes) the control variables related to the omitted variable bias issue. </w:t>
            </w:r>
            <w:r w:rsidRPr="00276C06">
              <w:rPr>
                <w:sz w:val="20"/>
                <w:szCs w:val="20"/>
              </w:rPr>
              <w:t>The time period spans from January 1999 to January 2016.</w:t>
            </w:r>
          </w:p>
        </w:tc>
      </w:tr>
    </w:tbl>
    <w:p w14:paraId="22FE8A1B" w14:textId="77777777" w:rsidR="00CF2DBA" w:rsidRDefault="00CF2DBA" w:rsidP="00CF2DBA"/>
    <w:p w14:paraId="1A04F897" w14:textId="77777777" w:rsidR="00CF2DBA" w:rsidRDefault="00CF2DBA" w:rsidP="00CF2DBA"/>
    <w:tbl>
      <w:tblPr>
        <w:tblStyle w:val="TableGrid"/>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CF2DBA" w14:paraId="57FDF82F" w14:textId="77777777" w:rsidTr="00077A74">
        <w:trPr>
          <w:jc w:val="center"/>
        </w:trPr>
        <w:tc>
          <w:tcPr>
            <w:tcW w:w="10348" w:type="dxa"/>
            <w:tcBorders>
              <w:top w:val="single" w:sz="4" w:space="0" w:color="auto"/>
              <w:bottom w:val="single" w:sz="4" w:space="0" w:color="auto"/>
            </w:tcBorders>
          </w:tcPr>
          <w:p w14:paraId="4BC176F8" w14:textId="6030D898" w:rsidR="00CF2DBA" w:rsidRPr="00C5198B" w:rsidRDefault="00CF2DBA" w:rsidP="00077A74">
            <w:r w:rsidRPr="00C5198B">
              <w:rPr>
                <w:b/>
              </w:rPr>
              <w:t xml:space="preserve">Figure </w:t>
            </w:r>
            <w:r w:rsidR="007262EA">
              <w:rPr>
                <w:b/>
              </w:rPr>
              <w:t>10</w:t>
            </w:r>
            <w:r w:rsidRPr="00C5198B">
              <w:rPr>
                <w:b/>
              </w:rPr>
              <w:t>: Time-varying correlations between oil price shocks and the 10-year sovereign yield spread of the Netherlands</w:t>
            </w:r>
          </w:p>
        </w:tc>
      </w:tr>
      <w:tr w:rsidR="00CF2DBA" w14:paraId="07FA3E0F" w14:textId="77777777" w:rsidTr="00077A74">
        <w:trPr>
          <w:jc w:val="center"/>
        </w:trPr>
        <w:tc>
          <w:tcPr>
            <w:tcW w:w="10348" w:type="dxa"/>
            <w:tcBorders>
              <w:top w:val="single" w:sz="4" w:space="0" w:color="auto"/>
              <w:bottom w:val="single" w:sz="4" w:space="0" w:color="auto"/>
            </w:tcBorders>
          </w:tcPr>
          <w:p w14:paraId="45271916" w14:textId="77777777" w:rsidR="00CF2DBA" w:rsidRDefault="00CF2DBA" w:rsidP="00077A74">
            <w:r w:rsidRPr="002716A5">
              <w:rPr>
                <w:noProof/>
                <w:lang w:eastAsia="en-GB"/>
              </w:rPr>
              <w:drawing>
                <wp:inline distT="0" distB="0" distL="0" distR="0" wp14:anchorId="053FB84B" wp14:editId="788DC13A">
                  <wp:extent cx="6392334" cy="3910832"/>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10418"/>
                          <a:stretch/>
                        </pic:blipFill>
                        <pic:spPr bwMode="auto">
                          <a:xfrm>
                            <a:off x="0" y="0"/>
                            <a:ext cx="6413666" cy="3923883"/>
                          </a:xfrm>
                          <a:prstGeom prst="rect">
                            <a:avLst/>
                          </a:prstGeom>
                          <a:ln>
                            <a:noFill/>
                          </a:ln>
                          <a:extLst>
                            <a:ext uri="{53640926-AAD7-44D8-BBD7-CCE9431645EC}">
                              <a14:shadowObscured xmlns:a14="http://schemas.microsoft.com/office/drawing/2010/main"/>
                            </a:ext>
                          </a:extLst>
                        </pic:spPr>
                      </pic:pic>
                    </a:graphicData>
                  </a:graphic>
                </wp:inline>
              </w:drawing>
            </w:r>
          </w:p>
        </w:tc>
      </w:tr>
      <w:tr w:rsidR="00CF2DBA" w14:paraId="6A7AC869" w14:textId="77777777" w:rsidTr="00077A74">
        <w:trPr>
          <w:jc w:val="center"/>
        </w:trPr>
        <w:tc>
          <w:tcPr>
            <w:tcW w:w="10348" w:type="dxa"/>
            <w:tcBorders>
              <w:top w:val="single" w:sz="4" w:space="0" w:color="auto"/>
              <w:bottom w:val="single" w:sz="4" w:space="0" w:color="auto"/>
            </w:tcBorders>
          </w:tcPr>
          <w:p w14:paraId="262B697E" w14:textId="77777777" w:rsidR="00CF2DBA" w:rsidRPr="00032B43" w:rsidRDefault="00CF2DBA" w:rsidP="00077A74">
            <w:pPr>
              <w:jc w:val="both"/>
              <w:rPr>
                <w:sz w:val="20"/>
                <w:szCs w:val="20"/>
                <w:lang w:val="en-US"/>
              </w:rPr>
            </w:pPr>
            <w:r>
              <w:rPr>
                <w:sz w:val="20"/>
                <w:szCs w:val="20"/>
                <w:lang w:val="en-US"/>
              </w:rPr>
              <w:t xml:space="preserve">Note: This Figure depicts the time-varying correlation between supply-side shocks, aggregate demand shocks, precautionary demand shocks and the </w:t>
            </w:r>
            <w:r w:rsidRPr="00C5198B">
              <w:rPr>
                <w:sz w:val="20"/>
                <w:szCs w:val="20"/>
              </w:rPr>
              <w:t xml:space="preserve">10-year Dutch sovereign yield spread (the difference between the Dutch sovereign bond yield and the yield on the German Bund). The </w:t>
            </w:r>
            <w:r>
              <w:rPr>
                <w:sz w:val="20"/>
                <w:szCs w:val="20"/>
              </w:rPr>
              <w:t>solid</w:t>
            </w:r>
            <w:r w:rsidRPr="00C5198B">
              <w:rPr>
                <w:sz w:val="20"/>
                <w:szCs w:val="20"/>
              </w:rPr>
              <w:t xml:space="preserve"> line (</w:t>
            </w:r>
            <w:r>
              <w:rPr>
                <w:sz w:val="20"/>
                <w:szCs w:val="20"/>
              </w:rPr>
              <w:t>dashed</w:t>
            </w:r>
            <w:r w:rsidRPr="00C5198B">
              <w:rPr>
                <w:sz w:val="20"/>
                <w:szCs w:val="20"/>
              </w:rPr>
              <w:t xml:space="preserve"> line) shows the correlation that includes (excludes) the control variables related to the omitted variable bias issue. </w:t>
            </w:r>
            <w:r w:rsidRPr="00276C06">
              <w:rPr>
                <w:sz w:val="20"/>
                <w:szCs w:val="20"/>
              </w:rPr>
              <w:t>The time period spans from January 1999 to January 2016.</w:t>
            </w:r>
          </w:p>
        </w:tc>
      </w:tr>
    </w:tbl>
    <w:p w14:paraId="0367427C" w14:textId="77777777" w:rsidR="00CF2DBA" w:rsidRDefault="00CF2DBA" w:rsidP="00CF2DBA"/>
    <w:p w14:paraId="2B6E3676" w14:textId="77777777" w:rsidR="00CF2DBA" w:rsidRDefault="00CF2DBA" w:rsidP="00CF2DBA"/>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CF2DBA" w14:paraId="3C351DB0" w14:textId="77777777" w:rsidTr="00077A74">
        <w:trPr>
          <w:jc w:val="center"/>
        </w:trPr>
        <w:tc>
          <w:tcPr>
            <w:tcW w:w="10773" w:type="dxa"/>
            <w:tcBorders>
              <w:top w:val="single" w:sz="4" w:space="0" w:color="auto"/>
              <w:bottom w:val="single" w:sz="4" w:space="0" w:color="auto"/>
            </w:tcBorders>
          </w:tcPr>
          <w:p w14:paraId="3E2C152C" w14:textId="002DD550" w:rsidR="00CF2DBA" w:rsidRPr="00C5198B" w:rsidRDefault="00CF2DBA" w:rsidP="00077A74">
            <w:r w:rsidRPr="00C5198B">
              <w:rPr>
                <w:b/>
              </w:rPr>
              <w:t>Figure 1</w:t>
            </w:r>
            <w:r w:rsidR="007262EA">
              <w:rPr>
                <w:b/>
              </w:rPr>
              <w:t>1</w:t>
            </w:r>
            <w:r w:rsidRPr="00C5198B">
              <w:rPr>
                <w:b/>
              </w:rPr>
              <w:t>: Time-varying correlations between oil price shocks and the 10-year sovereign yield spread of Greece</w:t>
            </w:r>
          </w:p>
        </w:tc>
      </w:tr>
      <w:tr w:rsidR="00CF2DBA" w14:paraId="6AB515B0" w14:textId="77777777" w:rsidTr="00077A74">
        <w:trPr>
          <w:jc w:val="center"/>
        </w:trPr>
        <w:tc>
          <w:tcPr>
            <w:tcW w:w="10773" w:type="dxa"/>
            <w:tcBorders>
              <w:top w:val="single" w:sz="4" w:space="0" w:color="auto"/>
              <w:bottom w:val="single" w:sz="4" w:space="0" w:color="auto"/>
            </w:tcBorders>
          </w:tcPr>
          <w:p w14:paraId="5CC0C792" w14:textId="77777777" w:rsidR="00CF2DBA" w:rsidRDefault="00CF2DBA" w:rsidP="00077A74">
            <w:r w:rsidRPr="00E97163">
              <w:rPr>
                <w:noProof/>
                <w:lang w:eastAsia="en-GB"/>
              </w:rPr>
              <w:drawing>
                <wp:inline distT="0" distB="0" distL="0" distR="0" wp14:anchorId="713ABFCF" wp14:editId="57BB1CF2">
                  <wp:extent cx="6654800" cy="39281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11360"/>
                          <a:stretch/>
                        </pic:blipFill>
                        <pic:spPr bwMode="auto">
                          <a:xfrm>
                            <a:off x="0" y="0"/>
                            <a:ext cx="6725743" cy="3969985"/>
                          </a:xfrm>
                          <a:prstGeom prst="rect">
                            <a:avLst/>
                          </a:prstGeom>
                          <a:ln>
                            <a:noFill/>
                          </a:ln>
                          <a:extLst>
                            <a:ext uri="{53640926-AAD7-44D8-BBD7-CCE9431645EC}">
                              <a14:shadowObscured xmlns:a14="http://schemas.microsoft.com/office/drawing/2010/main"/>
                            </a:ext>
                          </a:extLst>
                        </pic:spPr>
                      </pic:pic>
                    </a:graphicData>
                  </a:graphic>
                </wp:inline>
              </w:drawing>
            </w:r>
          </w:p>
        </w:tc>
      </w:tr>
      <w:tr w:rsidR="00CF2DBA" w14:paraId="6F358E76" w14:textId="77777777" w:rsidTr="00077A74">
        <w:trPr>
          <w:jc w:val="center"/>
        </w:trPr>
        <w:tc>
          <w:tcPr>
            <w:tcW w:w="10773" w:type="dxa"/>
            <w:tcBorders>
              <w:top w:val="single" w:sz="4" w:space="0" w:color="auto"/>
              <w:bottom w:val="single" w:sz="4" w:space="0" w:color="auto"/>
            </w:tcBorders>
          </w:tcPr>
          <w:p w14:paraId="400DDF1F" w14:textId="77777777" w:rsidR="00CF2DBA" w:rsidRPr="00A01B72" w:rsidRDefault="00CF2DBA" w:rsidP="00077A74">
            <w:pPr>
              <w:jc w:val="both"/>
              <w:rPr>
                <w:sz w:val="20"/>
                <w:szCs w:val="20"/>
                <w:lang w:val="en-US"/>
              </w:rPr>
            </w:pPr>
            <w:r>
              <w:rPr>
                <w:sz w:val="20"/>
                <w:szCs w:val="20"/>
                <w:lang w:val="en-US"/>
              </w:rPr>
              <w:t xml:space="preserve">Note: This Figure depicts the time-varying correlation between supply-side shocks, aggregate demand shocks, precautionary demand shocks and the </w:t>
            </w:r>
            <w:r w:rsidRPr="00C5198B">
              <w:rPr>
                <w:sz w:val="20"/>
                <w:szCs w:val="20"/>
              </w:rPr>
              <w:t xml:space="preserve">10-year Greek sovereign yield spread (the difference between the Greek sovereign bond yield and the yield on the German Bund). The </w:t>
            </w:r>
            <w:r>
              <w:rPr>
                <w:sz w:val="20"/>
                <w:szCs w:val="20"/>
              </w:rPr>
              <w:t>solid</w:t>
            </w:r>
            <w:r w:rsidRPr="00C5198B">
              <w:rPr>
                <w:sz w:val="20"/>
                <w:szCs w:val="20"/>
              </w:rPr>
              <w:t xml:space="preserve"> line (</w:t>
            </w:r>
            <w:r>
              <w:rPr>
                <w:sz w:val="20"/>
                <w:szCs w:val="20"/>
              </w:rPr>
              <w:t>dashed</w:t>
            </w:r>
            <w:r w:rsidRPr="00C5198B">
              <w:rPr>
                <w:sz w:val="20"/>
                <w:szCs w:val="20"/>
              </w:rPr>
              <w:t xml:space="preserve"> line) shows the correlation that includes (excludes) the control variables related to the omitted variable bias issue. </w:t>
            </w:r>
            <w:r w:rsidRPr="00276C06">
              <w:rPr>
                <w:sz w:val="20"/>
                <w:szCs w:val="20"/>
              </w:rPr>
              <w:t>The time period spans from January 2001 to January 2016.</w:t>
            </w:r>
          </w:p>
        </w:tc>
      </w:tr>
    </w:tbl>
    <w:p w14:paraId="74A73BC7" w14:textId="77777777" w:rsidR="00CF2DBA" w:rsidRDefault="00CF2DBA" w:rsidP="00CF2DBA"/>
    <w:p w14:paraId="4EAD2552" w14:textId="77777777" w:rsidR="00CF2DBA" w:rsidRDefault="00CF2DBA" w:rsidP="00CF2DBA"/>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CF2DBA" w14:paraId="66901591" w14:textId="77777777" w:rsidTr="00077A74">
        <w:trPr>
          <w:jc w:val="center"/>
        </w:trPr>
        <w:tc>
          <w:tcPr>
            <w:tcW w:w="10773" w:type="dxa"/>
            <w:tcBorders>
              <w:top w:val="single" w:sz="4" w:space="0" w:color="auto"/>
              <w:bottom w:val="single" w:sz="4" w:space="0" w:color="auto"/>
            </w:tcBorders>
          </w:tcPr>
          <w:p w14:paraId="637DA782" w14:textId="30659CF7" w:rsidR="00CF2DBA" w:rsidRPr="00C5198B" w:rsidRDefault="00CF2DBA" w:rsidP="00077A74">
            <w:r w:rsidRPr="00C5198B">
              <w:rPr>
                <w:b/>
              </w:rPr>
              <w:t>Figure 1</w:t>
            </w:r>
            <w:r w:rsidR="007262EA">
              <w:rPr>
                <w:b/>
              </w:rPr>
              <w:t>2</w:t>
            </w:r>
            <w:r w:rsidRPr="00C5198B">
              <w:rPr>
                <w:b/>
              </w:rPr>
              <w:t>: Time-varying correlations between oil price shocks and the 10-year sovereign yield spread of Ireland</w:t>
            </w:r>
          </w:p>
        </w:tc>
      </w:tr>
      <w:tr w:rsidR="00CF2DBA" w14:paraId="2F90DDD8" w14:textId="77777777" w:rsidTr="00077A74">
        <w:trPr>
          <w:jc w:val="center"/>
        </w:trPr>
        <w:tc>
          <w:tcPr>
            <w:tcW w:w="10773" w:type="dxa"/>
            <w:tcBorders>
              <w:top w:val="single" w:sz="4" w:space="0" w:color="auto"/>
              <w:bottom w:val="single" w:sz="4" w:space="0" w:color="auto"/>
            </w:tcBorders>
          </w:tcPr>
          <w:p w14:paraId="409858BB" w14:textId="77777777" w:rsidR="00CF2DBA" w:rsidRDefault="00CF2DBA" w:rsidP="00077A74">
            <w:r w:rsidRPr="00E97163">
              <w:rPr>
                <w:noProof/>
                <w:lang w:eastAsia="en-GB"/>
              </w:rPr>
              <w:drawing>
                <wp:inline distT="0" distB="0" distL="0" distR="0" wp14:anchorId="48741AC1" wp14:editId="77EC8280">
                  <wp:extent cx="6637867" cy="3962384"/>
                  <wp:effectExtent l="0" t="0" r="444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11280"/>
                          <a:stretch/>
                        </pic:blipFill>
                        <pic:spPr bwMode="auto">
                          <a:xfrm>
                            <a:off x="0" y="0"/>
                            <a:ext cx="6708787" cy="4004719"/>
                          </a:xfrm>
                          <a:prstGeom prst="rect">
                            <a:avLst/>
                          </a:prstGeom>
                          <a:ln>
                            <a:noFill/>
                          </a:ln>
                          <a:extLst>
                            <a:ext uri="{53640926-AAD7-44D8-BBD7-CCE9431645EC}">
                              <a14:shadowObscured xmlns:a14="http://schemas.microsoft.com/office/drawing/2010/main"/>
                            </a:ext>
                          </a:extLst>
                        </pic:spPr>
                      </pic:pic>
                    </a:graphicData>
                  </a:graphic>
                </wp:inline>
              </w:drawing>
            </w:r>
          </w:p>
        </w:tc>
      </w:tr>
      <w:tr w:rsidR="00CF2DBA" w14:paraId="5CDCA67A" w14:textId="77777777" w:rsidTr="00077A74">
        <w:trPr>
          <w:jc w:val="center"/>
        </w:trPr>
        <w:tc>
          <w:tcPr>
            <w:tcW w:w="10773" w:type="dxa"/>
            <w:tcBorders>
              <w:top w:val="single" w:sz="4" w:space="0" w:color="auto"/>
              <w:bottom w:val="single" w:sz="4" w:space="0" w:color="auto"/>
            </w:tcBorders>
          </w:tcPr>
          <w:p w14:paraId="639B6E20" w14:textId="77777777" w:rsidR="00CF2DBA" w:rsidRPr="00A01B72" w:rsidRDefault="00CF2DBA" w:rsidP="00077A74">
            <w:pPr>
              <w:jc w:val="both"/>
              <w:rPr>
                <w:sz w:val="20"/>
                <w:szCs w:val="20"/>
                <w:lang w:val="en-US"/>
              </w:rPr>
            </w:pPr>
            <w:r>
              <w:rPr>
                <w:sz w:val="20"/>
                <w:szCs w:val="20"/>
                <w:lang w:val="en-US"/>
              </w:rPr>
              <w:t xml:space="preserve">Note: This Figure depicts the time-varying correlation between supply-side shocks, aggregate demand shocks, precautionary demand shocks and the </w:t>
            </w:r>
            <w:r w:rsidRPr="00C5198B">
              <w:rPr>
                <w:sz w:val="20"/>
                <w:szCs w:val="20"/>
              </w:rPr>
              <w:t xml:space="preserve">10-year Irish sovereign yield spread (the difference between the Irish sovereign bond yield and the yield on the German Bund). The </w:t>
            </w:r>
            <w:r>
              <w:rPr>
                <w:sz w:val="20"/>
                <w:szCs w:val="20"/>
              </w:rPr>
              <w:t>solid</w:t>
            </w:r>
            <w:r w:rsidRPr="00C5198B">
              <w:rPr>
                <w:sz w:val="20"/>
                <w:szCs w:val="20"/>
              </w:rPr>
              <w:t xml:space="preserve"> line (</w:t>
            </w:r>
            <w:r>
              <w:rPr>
                <w:sz w:val="20"/>
                <w:szCs w:val="20"/>
              </w:rPr>
              <w:t>dashed</w:t>
            </w:r>
            <w:r w:rsidRPr="00C5198B">
              <w:rPr>
                <w:sz w:val="20"/>
                <w:szCs w:val="20"/>
              </w:rPr>
              <w:t xml:space="preserve"> line) shows the correlation that includes (excludes) the control variables related to the omitted variable bias issue. </w:t>
            </w:r>
            <w:r w:rsidRPr="00276C06">
              <w:rPr>
                <w:sz w:val="20"/>
                <w:szCs w:val="20"/>
              </w:rPr>
              <w:t>The time period spans from January 2001 to January 2016.</w:t>
            </w:r>
          </w:p>
        </w:tc>
      </w:tr>
    </w:tbl>
    <w:p w14:paraId="17EB82E5" w14:textId="77777777" w:rsidR="00CF2DBA" w:rsidRDefault="00CF2DBA" w:rsidP="00CF2DBA"/>
    <w:p w14:paraId="4109463C" w14:textId="77777777" w:rsidR="00CF2DBA" w:rsidRDefault="00CF2DBA" w:rsidP="00CF2DBA"/>
    <w:tbl>
      <w:tblPr>
        <w:tblStyle w:val="TableGrid"/>
        <w:tblW w:w="104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CF2DBA" w14:paraId="53B7C717" w14:textId="77777777" w:rsidTr="00077A74">
        <w:trPr>
          <w:jc w:val="center"/>
        </w:trPr>
        <w:tc>
          <w:tcPr>
            <w:tcW w:w="10490" w:type="dxa"/>
            <w:tcBorders>
              <w:top w:val="single" w:sz="4" w:space="0" w:color="auto"/>
              <w:bottom w:val="single" w:sz="4" w:space="0" w:color="auto"/>
            </w:tcBorders>
          </w:tcPr>
          <w:p w14:paraId="1BD84ABC" w14:textId="7B61E0DC" w:rsidR="00CF2DBA" w:rsidRPr="00C5198B" w:rsidRDefault="00CF2DBA" w:rsidP="00077A74">
            <w:r w:rsidRPr="00C5198B">
              <w:rPr>
                <w:b/>
              </w:rPr>
              <w:t>Figure 1</w:t>
            </w:r>
            <w:r w:rsidR="007262EA">
              <w:rPr>
                <w:b/>
              </w:rPr>
              <w:t>3</w:t>
            </w:r>
            <w:r w:rsidRPr="00C5198B">
              <w:rPr>
                <w:b/>
              </w:rPr>
              <w:t>: Time-varying correlations between oil price shocks and the 10-year sovereign yield spread of Italy</w:t>
            </w:r>
          </w:p>
        </w:tc>
      </w:tr>
      <w:tr w:rsidR="00CF2DBA" w14:paraId="416C3D92" w14:textId="77777777" w:rsidTr="00077A74">
        <w:trPr>
          <w:jc w:val="center"/>
        </w:trPr>
        <w:tc>
          <w:tcPr>
            <w:tcW w:w="10490" w:type="dxa"/>
            <w:tcBorders>
              <w:top w:val="single" w:sz="4" w:space="0" w:color="auto"/>
              <w:bottom w:val="single" w:sz="4" w:space="0" w:color="auto"/>
            </w:tcBorders>
          </w:tcPr>
          <w:p w14:paraId="4C5DB16B" w14:textId="77777777" w:rsidR="00CF2DBA" w:rsidRDefault="00CF2DBA" w:rsidP="00077A74">
            <w:r w:rsidRPr="00E97163">
              <w:rPr>
                <w:noProof/>
                <w:lang w:eastAsia="en-GB"/>
              </w:rPr>
              <w:drawing>
                <wp:inline distT="0" distB="0" distL="0" distR="0" wp14:anchorId="2BB46BCC" wp14:editId="66CA2A66">
                  <wp:extent cx="6519333" cy="39027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11326"/>
                          <a:stretch/>
                        </pic:blipFill>
                        <pic:spPr bwMode="auto">
                          <a:xfrm>
                            <a:off x="0" y="0"/>
                            <a:ext cx="6570349" cy="3933250"/>
                          </a:xfrm>
                          <a:prstGeom prst="rect">
                            <a:avLst/>
                          </a:prstGeom>
                          <a:ln>
                            <a:noFill/>
                          </a:ln>
                          <a:extLst>
                            <a:ext uri="{53640926-AAD7-44D8-BBD7-CCE9431645EC}">
                              <a14:shadowObscured xmlns:a14="http://schemas.microsoft.com/office/drawing/2010/main"/>
                            </a:ext>
                          </a:extLst>
                        </pic:spPr>
                      </pic:pic>
                    </a:graphicData>
                  </a:graphic>
                </wp:inline>
              </w:drawing>
            </w:r>
          </w:p>
        </w:tc>
      </w:tr>
      <w:tr w:rsidR="00CF2DBA" w14:paraId="6AABE68B" w14:textId="77777777" w:rsidTr="00077A74">
        <w:trPr>
          <w:jc w:val="center"/>
        </w:trPr>
        <w:tc>
          <w:tcPr>
            <w:tcW w:w="10490" w:type="dxa"/>
            <w:tcBorders>
              <w:top w:val="single" w:sz="4" w:space="0" w:color="auto"/>
              <w:bottom w:val="single" w:sz="4" w:space="0" w:color="auto"/>
            </w:tcBorders>
          </w:tcPr>
          <w:p w14:paraId="7082F2DC" w14:textId="77777777" w:rsidR="00CF2DBA" w:rsidRPr="00A01B72" w:rsidRDefault="00CF2DBA" w:rsidP="00077A74">
            <w:pPr>
              <w:jc w:val="both"/>
              <w:rPr>
                <w:sz w:val="20"/>
                <w:szCs w:val="20"/>
                <w:lang w:val="en-US"/>
              </w:rPr>
            </w:pPr>
            <w:r>
              <w:rPr>
                <w:sz w:val="20"/>
                <w:szCs w:val="20"/>
                <w:lang w:val="en-US"/>
              </w:rPr>
              <w:t xml:space="preserve">Note: This Figure depicts the time-varying correlation between supply-side shocks, aggregate demand shocks, precautionary demand shocks and the </w:t>
            </w:r>
            <w:r w:rsidRPr="00C5198B">
              <w:rPr>
                <w:sz w:val="20"/>
                <w:szCs w:val="20"/>
              </w:rPr>
              <w:t xml:space="preserve">10-year Italian sovereign yield spread (the difference between the Italian sovereign bond yield and the yield on the German Bund). The </w:t>
            </w:r>
            <w:r>
              <w:rPr>
                <w:sz w:val="20"/>
                <w:szCs w:val="20"/>
              </w:rPr>
              <w:t>solid</w:t>
            </w:r>
            <w:r w:rsidRPr="00C5198B">
              <w:rPr>
                <w:sz w:val="20"/>
                <w:szCs w:val="20"/>
              </w:rPr>
              <w:t xml:space="preserve"> line (</w:t>
            </w:r>
            <w:r>
              <w:rPr>
                <w:sz w:val="20"/>
                <w:szCs w:val="20"/>
              </w:rPr>
              <w:t>dashed</w:t>
            </w:r>
            <w:r w:rsidRPr="00C5198B">
              <w:rPr>
                <w:sz w:val="20"/>
                <w:szCs w:val="20"/>
              </w:rPr>
              <w:t xml:space="preserve"> line) shows the correlation that includes (excludes) the control variables related to the omitted variable bias issue. </w:t>
            </w:r>
            <w:r w:rsidRPr="00276C06">
              <w:rPr>
                <w:sz w:val="20"/>
                <w:szCs w:val="20"/>
              </w:rPr>
              <w:t>The time period spans from January 2001 to January 2016.</w:t>
            </w:r>
          </w:p>
        </w:tc>
      </w:tr>
    </w:tbl>
    <w:p w14:paraId="5FB84FD1" w14:textId="77777777" w:rsidR="00CF2DBA" w:rsidRDefault="00CF2DBA" w:rsidP="00CF2DBA"/>
    <w:p w14:paraId="3CDADF4A" w14:textId="77777777" w:rsidR="00CF2DBA" w:rsidRDefault="00CF2DBA" w:rsidP="00CF2DBA"/>
    <w:tbl>
      <w:tblPr>
        <w:tblStyle w:val="TableGrid"/>
        <w:tblW w:w="109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6"/>
      </w:tblGrid>
      <w:tr w:rsidR="00CF2DBA" w14:paraId="404D0E00" w14:textId="77777777" w:rsidTr="00077A74">
        <w:trPr>
          <w:trHeight w:val="272"/>
          <w:jc w:val="center"/>
        </w:trPr>
        <w:tc>
          <w:tcPr>
            <w:tcW w:w="10915" w:type="dxa"/>
            <w:tcBorders>
              <w:top w:val="single" w:sz="4" w:space="0" w:color="auto"/>
              <w:bottom w:val="single" w:sz="4" w:space="0" w:color="auto"/>
            </w:tcBorders>
          </w:tcPr>
          <w:p w14:paraId="33B4F5F9" w14:textId="71A5A385" w:rsidR="00CF2DBA" w:rsidRPr="00C5198B" w:rsidRDefault="00CF2DBA" w:rsidP="00077A74">
            <w:r w:rsidRPr="00C5198B">
              <w:rPr>
                <w:b/>
              </w:rPr>
              <w:t>Figure 1</w:t>
            </w:r>
            <w:r w:rsidR="007262EA">
              <w:rPr>
                <w:b/>
              </w:rPr>
              <w:t>4</w:t>
            </w:r>
            <w:r w:rsidRPr="00C5198B">
              <w:rPr>
                <w:b/>
              </w:rPr>
              <w:t>: Time-varying correlations between oil price shocks and the 10-year sovereign yield spread of Portugal</w:t>
            </w:r>
          </w:p>
        </w:tc>
      </w:tr>
      <w:tr w:rsidR="00CF2DBA" w14:paraId="278AEC4C" w14:textId="77777777" w:rsidTr="007262EA">
        <w:trPr>
          <w:trHeight w:val="6017"/>
          <w:jc w:val="center"/>
        </w:trPr>
        <w:tc>
          <w:tcPr>
            <w:tcW w:w="10915" w:type="dxa"/>
            <w:tcBorders>
              <w:top w:val="single" w:sz="4" w:space="0" w:color="auto"/>
              <w:bottom w:val="single" w:sz="4" w:space="0" w:color="auto"/>
            </w:tcBorders>
          </w:tcPr>
          <w:p w14:paraId="671EE6D8" w14:textId="77777777" w:rsidR="00CF2DBA" w:rsidRDefault="00CF2DBA" w:rsidP="00077A74">
            <w:r w:rsidRPr="00276C06">
              <w:rPr>
                <w:noProof/>
                <w:lang w:eastAsia="en-GB"/>
              </w:rPr>
              <w:drawing>
                <wp:inline distT="0" distB="0" distL="0" distR="0" wp14:anchorId="449CDCA8" wp14:editId="5FEAC928">
                  <wp:extent cx="6790267" cy="3885909"/>
                  <wp:effectExtent l="0" t="0" r="444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11139"/>
                          <a:stretch/>
                        </pic:blipFill>
                        <pic:spPr bwMode="auto">
                          <a:xfrm>
                            <a:off x="0" y="0"/>
                            <a:ext cx="6883475" cy="3939250"/>
                          </a:xfrm>
                          <a:prstGeom prst="rect">
                            <a:avLst/>
                          </a:prstGeom>
                          <a:ln>
                            <a:noFill/>
                          </a:ln>
                          <a:extLst>
                            <a:ext uri="{53640926-AAD7-44D8-BBD7-CCE9431645EC}">
                              <a14:shadowObscured xmlns:a14="http://schemas.microsoft.com/office/drawing/2010/main"/>
                            </a:ext>
                          </a:extLst>
                        </pic:spPr>
                      </pic:pic>
                    </a:graphicData>
                  </a:graphic>
                </wp:inline>
              </w:drawing>
            </w:r>
          </w:p>
        </w:tc>
      </w:tr>
      <w:tr w:rsidR="00CF2DBA" w14:paraId="3B974A78" w14:textId="77777777" w:rsidTr="00077A74">
        <w:trPr>
          <w:trHeight w:val="452"/>
          <w:jc w:val="center"/>
        </w:trPr>
        <w:tc>
          <w:tcPr>
            <w:tcW w:w="10915" w:type="dxa"/>
            <w:tcBorders>
              <w:top w:val="single" w:sz="4" w:space="0" w:color="auto"/>
              <w:bottom w:val="single" w:sz="4" w:space="0" w:color="auto"/>
            </w:tcBorders>
          </w:tcPr>
          <w:p w14:paraId="1797F4CE" w14:textId="77777777" w:rsidR="00CF2DBA" w:rsidRPr="00A01B72" w:rsidRDefault="00CF2DBA" w:rsidP="00077A74">
            <w:pPr>
              <w:jc w:val="both"/>
              <w:rPr>
                <w:sz w:val="20"/>
                <w:szCs w:val="20"/>
                <w:lang w:val="en-US"/>
              </w:rPr>
            </w:pPr>
            <w:r>
              <w:rPr>
                <w:sz w:val="20"/>
                <w:szCs w:val="20"/>
                <w:lang w:val="en-US"/>
              </w:rPr>
              <w:t xml:space="preserve">Note: This Figure depicts the time-varying correlation between supply-side shocks, aggregate demand shocks, precautionary demand shocks and the </w:t>
            </w:r>
            <w:r w:rsidRPr="00C5198B">
              <w:rPr>
                <w:sz w:val="20"/>
                <w:szCs w:val="20"/>
              </w:rPr>
              <w:t xml:space="preserve">10-year Portuguese sovereign yield spread (the difference between the Portuguese sovereign bond yield and the yield on the German Bund). The </w:t>
            </w:r>
            <w:r>
              <w:rPr>
                <w:sz w:val="20"/>
                <w:szCs w:val="20"/>
              </w:rPr>
              <w:t>solid</w:t>
            </w:r>
            <w:r w:rsidRPr="00C5198B">
              <w:rPr>
                <w:sz w:val="20"/>
                <w:szCs w:val="20"/>
              </w:rPr>
              <w:t xml:space="preserve"> line (</w:t>
            </w:r>
            <w:r>
              <w:rPr>
                <w:sz w:val="20"/>
                <w:szCs w:val="20"/>
              </w:rPr>
              <w:t>dashed</w:t>
            </w:r>
            <w:r w:rsidRPr="00C5198B">
              <w:rPr>
                <w:sz w:val="20"/>
                <w:szCs w:val="20"/>
              </w:rPr>
              <w:t xml:space="preserve"> line) shows the correlation that includes (excludes) the control variables related to the omitted variable bias issue. </w:t>
            </w:r>
            <w:r w:rsidRPr="00276C06">
              <w:rPr>
                <w:sz w:val="20"/>
                <w:szCs w:val="20"/>
              </w:rPr>
              <w:t>The time period spans from January 2001 to January 2016.</w:t>
            </w:r>
          </w:p>
        </w:tc>
      </w:tr>
    </w:tbl>
    <w:p w14:paraId="3610A9F2" w14:textId="77777777" w:rsidR="00CF2DBA" w:rsidRDefault="00CF2DBA" w:rsidP="00CF2DBA"/>
    <w:p w14:paraId="38548647" w14:textId="77777777" w:rsidR="00CF2DBA" w:rsidRDefault="00CF2DBA" w:rsidP="00CF2DBA"/>
    <w:tbl>
      <w:tblPr>
        <w:tblStyle w:val="TableGrid"/>
        <w:tblW w:w="105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8"/>
      </w:tblGrid>
      <w:tr w:rsidR="00CF2DBA" w14:paraId="06A42446" w14:textId="77777777" w:rsidTr="00077A74">
        <w:trPr>
          <w:trHeight w:val="271"/>
          <w:jc w:val="center"/>
        </w:trPr>
        <w:tc>
          <w:tcPr>
            <w:tcW w:w="10578" w:type="dxa"/>
            <w:tcBorders>
              <w:top w:val="single" w:sz="4" w:space="0" w:color="auto"/>
              <w:bottom w:val="single" w:sz="4" w:space="0" w:color="auto"/>
            </w:tcBorders>
          </w:tcPr>
          <w:p w14:paraId="1DB011B6" w14:textId="5CF67232" w:rsidR="00CF2DBA" w:rsidRPr="00C5198B" w:rsidRDefault="00CF2DBA" w:rsidP="00077A74">
            <w:r w:rsidRPr="00C5198B">
              <w:rPr>
                <w:b/>
              </w:rPr>
              <w:t>Figure 1</w:t>
            </w:r>
            <w:r w:rsidR="007262EA">
              <w:rPr>
                <w:b/>
              </w:rPr>
              <w:t>5</w:t>
            </w:r>
            <w:r w:rsidRPr="00C5198B">
              <w:rPr>
                <w:b/>
              </w:rPr>
              <w:t>: Time-varying correlations between oil price shocks and the 10-year sovereign yield spread of Spain</w:t>
            </w:r>
          </w:p>
        </w:tc>
      </w:tr>
      <w:tr w:rsidR="00CF2DBA" w14:paraId="26163F9C" w14:textId="77777777" w:rsidTr="00077A74">
        <w:trPr>
          <w:trHeight w:val="6240"/>
          <w:jc w:val="center"/>
        </w:trPr>
        <w:tc>
          <w:tcPr>
            <w:tcW w:w="10578" w:type="dxa"/>
            <w:tcBorders>
              <w:top w:val="single" w:sz="4" w:space="0" w:color="auto"/>
              <w:bottom w:val="single" w:sz="4" w:space="0" w:color="auto"/>
            </w:tcBorders>
          </w:tcPr>
          <w:p w14:paraId="62104AE6" w14:textId="77777777" w:rsidR="00CF2DBA" w:rsidRDefault="00CF2DBA" w:rsidP="00077A74">
            <w:r w:rsidRPr="00276C06">
              <w:rPr>
                <w:noProof/>
                <w:lang w:eastAsia="en-GB"/>
              </w:rPr>
              <w:drawing>
                <wp:inline distT="0" distB="0" distL="0" distR="0" wp14:anchorId="6DF8AC5F" wp14:editId="54587A58">
                  <wp:extent cx="6544733" cy="3962054"/>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11322"/>
                          <a:stretch/>
                        </pic:blipFill>
                        <pic:spPr bwMode="auto">
                          <a:xfrm>
                            <a:off x="0" y="0"/>
                            <a:ext cx="6602253" cy="3996876"/>
                          </a:xfrm>
                          <a:prstGeom prst="rect">
                            <a:avLst/>
                          </a:prstGeom>
                          <a:ln>
                            <a:noFill/>
                          </a:ln>
                          <a:extLst>
                            <a:ext uri="{53640926-AAD7-44D8-BBD7-CCE9431645EC}">
                              <a14:shadowObscured xmlns:a14="http://schemas.microsoft.com/office/drawing/2010/main"/>
                            </a:ext>
                          </a:extLst>
                        </pic:spPr>
                      </pic:pic>
                    </a:graphicData>
                  </a:graphic>
                </wp:inline>
              </w:drawing>
            </w:r>
          </w:p>
        </w:tc>
      </w:tr>
      <w:tr w:rsidR="00CF2DBA" w14:paraId="2964E45B" w14:textId="77777777" w:rsidTr="00077A74">
        <w:trPr>
          <w:trHeight w:val="143"/>
          <w:jc w:val="center"/>
        </w:trPr>
        <w:tc>
          <w:tcPr>
            <w:tcW w:w="10578" w:type="dxa"/>
            <w:tcBorders>
              <w:top w:val="single" w:sz="4" w:space="0" w:color="auto"/>
              <w:bottom w:val="single" w:sz="4" w:space="0" w:color="auto"/>
            </w:tcBorders>
          </w:tcPr>
          <w:p w14:paraId="3E930649" w14:textId="77777777" w:rsidR="00CF2DBA" w:rsidRPr="00A01B72" w:rsidRDefault="00CF2DBA" w:rsidP="00077A74">
            <w:pPr>
              <w:jc w:val="both"/>
              <w:rPr>
                <w:sz w:val="20"/>
                <w:szCs w:val="20"/>
                <w:lang w:val="en-US"/>
              </w:rPr>
            </w:pPr>
            <w:r>
              <w:rPr>
                <w:sz w:val="20"/>
                <w:szCs w:val="20"/>
                <w:lang w:val="en-US"/>
              </w:rPr>
              <w:t xml:space="preserve">Note: This Figure depicts the time-varying correlation between supply-side shocks, aggregate demand shocks, precautionary demand shocks and the </w:t>
            </w:r>
            <w:r w:rsidRPr="00C5198B">
              <w:rPr>
                <w:sz w:val="20"/>
                <w:szCs w:val="20"/>
              </w:rPr>
              <w:t xml:space="preserve">10-year Spanish sovereign yield spread (the difference between the Spanish sovereign bond yield and the yield on the German Bund). The </w:t>
            </w:r>
            <w:r>
              <w:rPr>
                <w:sz w:val="20"/>
                <w:szCs w:val="20"/>
              </w:rPr>
              <w:t>solid</w:t>
            </w:r>
            <w:r w:rsidRPr="00C5198B">
              <w:rPr>
                <w:sz w:val="20"/>
                <w:szCs w:val="20"/>
              </w:rPr>
              <w:t xml:space="preserve"> line (</w:t>
            </w:r>
            <w:r>
              <w:rPr>
                <w:sz w:val="20"/>
                <w:szCs w:val="20"/>
              </w:rPr>
              <w:t>dashed</w:t>
            </w:r>
            <w:r w:rsidRPr="00C5198B">
              <w:rPr>
                <w:sz w:val="20"/>
                <w:szCs w:val="20"/>
              </w:rPr>
              <w:t xml:space="preserve"> line) shows the correlation that includes (excludes) the control variables related to the omitted variable bias issue. </w:t>
            </w:r>
            <w:r w:rsidRPr="00276C06">
              <w:rPr>
                <w:sz w:val="20"/>
                <w:szCs w:val="20"/>
              </w:rPr>
              <w:t>The time period spans from January 2001 to January 2016.</w:t>
            </w:r>
          </w:p>
        </w:tc>
      </w:tr>
    </w:tbl>
    <w:p w14:paraId="5F024A2E" w14:textId="77777777" w:rsidR="005B4E91" w:rsidRDefault="005B4E91" w:rsidP="00FD3857"/>
    <w:sectPr w:rsidR="005B4E91" w:rsidSect="00677B10">
      <w:pgSz w:w="16838" w:h="11906" w:orient="landscape"/>
      <w:pgMar w:top="1800" w:right="1440" w:bottom="180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1D014C" w14:textId="77777777" w:rsidR="00400FE2" w:rsidRDefault="00400FE2">
      <w:r>
        <w:separator/>
      </w:r>
    </w:p>
  </w:endnote>
  <w:endnote w:type="continuationSeparator" w:id="0">
    <w:p w14:paraId="30251408" w14:textId="77777777" w:rsidR="00400FE2" w:rsidRDefault="00400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85B4A" w14:textId="77777777" w:rsidR="0009141B" w:rsidRDefault="0009141B" w:rsidP="00885D3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8030C9C" w14:textId="77777777" w:rsidR="0009141B" w:rsidRDefault="000914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3EF31" w14:textId="3920BD1C" w:rsidR="0009141B" w:rsidRDefault="0009141B" w:rsidP="00885D3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147FC">
      <w:rPr>
        <w:rStyle w:val="PageNumber"/>
        <w:noProof/>
      </w:rPr>
      <w:t>51</w:t>
    </w:r>
    <w:r>
      <w:rPr>
        <w:rStyle w:val="PageNumber"/>
      </w:rPr>
      <w:fldChar w:fldCharType="end"/>
    </w:r>
  </w:p>
  <w:p w14:paraId="0D0C0EFC" w14:textId="77777777" w:rsidR="0009141B" w:rsidRDefault="000914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4A0E6A" w14:textId="77777777" w:rsidR="00400FE2" w:rsidRDefault="00400FE2">
      <w:r>
        <w:rPr>
          <w:color w:val="000000"/>
        </w:rPr>
        <w:separator/>
      </w:r>
    </w:p>
  </w:footnote>
  <w:footnote w:type="continuationSeparator" w:id="0">
    <w:p w14:paraId="307DD994" w14:textId="77777777" w:rsidR="00400FE2" w:rsidRDefault="00400FE2">
      <w:r>
        <w:continuationSeparator/>
      </w:r>
    </w:p>
  </w:footnote>
  <w:footnote w:id="1">
    <w:p w14:paraId="339F18AD" w14:textId="2CB97FA9" w:rsidR="0009141B" w:rsidRPr="00564E5C" w:rsidRDefault="0009141B" w:rsidP="00564E5C">
      <w:pPr>
        <w:pStyle w:val="FootnoteText"/>
        <w:jc w:val="both"/>
        <w:rPr>
          <w:sz w:val="20"/>
          <w:szCs w:val="20"/>
        </w:rPr>
      </w:pPr>
      <w:r w:rsidRPr="00564E5C">
        <w:rPr>
          <w:rStyle w:val="FootnoteReference"/>
          <w:sz w:val="20"/>
          <w:szCs w:val="20"/>
        </w:rPr>
        <w:footnoteRef/>
      </w:r>
      <w:r w:rsidRPr="00564E5C">
        <w:rPr>
          <w:sz w:val="20"/>
          <w:szCs w:val="20"/>
        </w:rPr>
        <w:t xml:space="preserve"> See</w:t>
      </w:r>
      <w:r>
        <w:rPr>
          <w:sz w:val="20"/>
          <w:szCs w:val="20"/>
        </w:rPr>
        <w:t>, for instance, (i) Iyengar (2018) in CNN who highlights the impact of recent increases in oil prices in the Indian economy, (ii) t</w:t>
      </w:r>
      <w:r w:rsidRPr="003B41B7">
        <w:rPr>
          <w:sz w:val="20"/>
          <w:szCs w:val="20"/>
        </w:rPr>
        <w:t xml:space="preserve">he report by Mackenzie, Blitz and </w:t>
      </w:r>
      <w:proofErr w:type="spellStart"/>
      <w:r w:rsidRPr="003B41B7">
        <w:rPr>
          <w:sz w:val="20"/>
          <w:szCs w:val="20"/>
        </w:rPr>
        <w:t>Scaggs</w:t>
      </w:r>
      <w:proofErr w:type="spellEnd"/>
      <w:r w:rsidRPr="003B41B7">
        <w:rPr>
          <w:sz w:val="20"/>
          <w:szCs w:val="20"/>
        </w:rPr>
        <w:t xml:space="preserve"> (2018) in Financial Times which asks whether oil rises point to a tipping point for bond yields</w:t>
      </w:r>
      <w:r>
        <w:rPr>
          <w:sz w:val="20"/>
          <w:szCs w:val="20"/>
        </w:rPr>
        <w:t xml:space="preserve">, or (iii) the report by </w:t>
      </w:r>
      <w:proofErr w:type="spellStart"/>
      <w:r>
        <w:rPr>
          <w:sz w:val="20"/>
          <w:szCs w:val="20"/>
        </w:rPr>
        <w:t>Liesman</w:t>
      </w:r>
      <w:proofErr w:type="spellEnd"/>
      <w:r>
        <w:rPr>
          <w:sz w:val="20"/>
          <w:szCs w:val="20"/>
        </w:rPr>
        <w:t xml:space="preserve"> (2018) in CNBC which shows both the positive and negatives effects of rising oil prices in the US economy.</w:t>
      </w:r>
    </w:p>
  </w:footnote>
  <w:footnote w:id="2">
    <w:p w14:paraId="79827DB6" w14:textId="7F8372C9" w:rsidR="0009141B" w:rsidRDefault="0009141B" w:rsidP="008264D4">
      <w:pPr>
        <w:pStyle w:val="FootnoteText"/>
        <w:jc w:val="both"/>
      </w:pPr>
      <w:r w:rsidRPr="00FF3290">
        <w:rPr>
          <w:rStyle w:val="FootnoteReference"/>
          <w:sz w:val="20"/>
        </w:rPr>
        <w:footnoteRef/>
      </w:r>
      <w:r w:rsidRPr="00FF3290">
        <w:rPr>
          <w:sz w:val="20"/>
        </w:rPr>
        <w:t xml:space="preserve"> See</w:t>
      </w:r>
      <w:r>
        <w:rPr>
          <w:sz w:val="20"/>
        </w:rPr>
        <w:t xml:space="preserve">, for example, IMF’s report by </w:t>
      </w:r>
      <w:proofErr w:type="spellStart"/>
      <w:r>
        <w:rPr>
          <w:sz w:val="20"/>
        </w:rPr>
        <w:t>Arezki</w:t>
      </w:r>
      <w:proofErr w:type="spellEnd"/>
      <w:r>
        <w:rPr>
          <w:sz w:val="20"/>
        </w:rPr>
        <w:t xml:space="preserve"> et al. (2017), IMF’s (2016) World Economic Outlook, ECB’s (2016) Economic Bulletin, the report by the UK’s Office of Budget Responsibility (2015) or the report by the Joint Research Centre of the European Commission (2015).</w:t>
      </w:r>
    </w:p>
  </w:footnote>
  <w:footnote w:id="3">
    <w:p w14:paraId="7716916B" w14:textId="18E0F84A" w:rsidR="0009141B" w:rsidRPr="0052684A" w:rsidRDefault="0009141B" w:rsidP="0052684A">
      <w:pPr>
        <w:pStyle w:val="FootnoteText"/>
        <w:jc w:val="both"/>
        <w:rPr>
          <w:sz w:val="20"/>
          <w:szCs w:val="20"/>
        </w:rPr>
      </w:pPr>
      <w:r w:rsidRPr="0052684A">
        <w:rPr>
          <w:rStyle w:val="FootnoteReference"/>
          <w:sz w:val="20"/>
          <w:szCs w:val="20"/>
        </w:rPr>
        <w:footnoteRef/>
      </w:r>
      <w:r w:rsidRPr="0052684A">
        <w:rPr>
          <w:sz w:val="20"/>
          <w:szCs w:val="20"/>
        </w:rPr>
        <w:t xml:space="preserve"> In this regard, we argue that inflation is generated regardless of the status of the economy as oil-importing or oil-exporting. For example, oil-importing countries experience cost-push inflation caused by rises in costs of production originated by higher oil prices. Similarly, oil-exporting countries also face increased inflation due to the higher income transferred from oil-importing countries. In this regard, the higher income allows the oil-exporting government to finance expansionary fiscal policies which stimulates aggregate demand and may lead to inflation.</w:t>
      </w:r>
    </w:p>
  </w:footnote>
  <w:footnote w:id="4">
    <w:p w14:paraId="1E1D994B" w14:textId="77777777" w:rsidR="0009141B" w:rsidRPr="00997D45" w:rsidRDefault="0009141B" w:rsidP="00663398">
      <w:pPr>
        <w:pStyle w:val="FootnoteText"/>
        <w:jc w:val="both"/>
        <w:rPr>
          <w:sz w:val="20"/>
          <w:szCs w:val="20"/>
        </w:rPr>
      </w:pPr>
      <w:r w:rsidRPr="00997D45">
        <w:rPr>
          <w:rStyle w:val="FootnoteReference"/>
          <w:sz w:val="20"/>
          <w:szCs w:val="20"/>
        </w:rPr>
        <w:footnoteRef/>
      </w:r>
      <w:r w:rsidRPr="00997D45">
        <w:rPr>
          <w:sz w:val="20"/>
          <w:szCs w:val="20"/>
        </w:rPr>
        <w:t xml:space="preserve"> The impact of oil price changes on economic activity</w:t>
      </w:r>
      <w:r>
        <w:rPr>
          <w:sz w:val="20"/>
          <w:szCs w:val="20"/>
        </w:rPr>
        <w:t xml:space="preserve"> tends to be different when we consider the status of the country as oil-exporting or oil-importing. In this regard, economic activity of oil-exporting economies responds positively to higher oil prices. Specifically, an oil price increase is regarded as positive news through the higher government revenues (see, </w:t>
      </w:r>
      <w:r w:rsidRPr="00703859">
        <w:rPr>
          <w:i/>
          <w:sz w:val="20"/>
          <w:szCs w:val="20"/>
        </w:rPr>
        <w:t>inter alia</w:t>
      </w:r>
      <w:r>
        <w:rPr>
          <w:sz w:val="20"/>
          <w:szCs w:val="20"/>
        </w:rPr>
        <w:t xml:space="preserve">, </w:t>
      </w:r>
      <w:proofErr w:type="spellStart"/>
      <w:r>
        <w:rPr>
          <w:sz w:val="20"/>
          <w:szCs w:val="20"/>
        </w:rPr>
        <w:t>Filis</w:t>
      </w:r>
      <w:proofErr w:type="spellEnd"/>
      <w:r>
        <w:rPr>
          <w:sz w:val="20"/>
          <w:szCs w:val="20"/>
        </w:rPr>
        <w:t xml:space="preserve"> and </w:t>
      </w:r>
      <w:proofErr w:type="spellStart"/>
      <w:r>
        <w:rPr>
          <w:sz w:val="20"/>
          <w:szCs w:val="20"/>
        </w:rPr>
        <w:t>Chatziantoniou</w:t>
      </w:r>
      <w:proofErr w:type="spellEnd"/>
      <w:r>
        <w:rPr>
          <w:sz w:val="20"/>
          <w:szCs w:val="20"/>
        </w:rPr>
        <w:t xml:space="preserve">, 2014; Wang et al., 2013; </w:t>
      </w:r>
      <w:proofErr w:type="spellStart"/>
      <w:r>
        <w:rPr>
          <w:sz w:val="20"/>
          <w:szCs w:val="20"/>
        </w:rPr>
        <w:t>Arouri</w:t>
      </w:r>
      <w:proofErr w:type="spellEnd"/>
      <w:r>
        <w:rPr>
          <w:sz w:val="20"/>
          <w:szCs w:val="20"/>
        </w:rPr>
        <w:t xml:space="preserve"> and </w:t>
      </w:r>
      <w:proofErr w:type="spellStart"/>
      <w:r>
        <w:rPr>
          <w:sz w:val="20"/>
          <w:szCs w:val="20"/>
        </w:rPr>
        <w:t>Rault</w:t>
      </w:r>
      <w:proofErr w:type="spellEnd"/>
      <w:r>
        <w:rPr>
          <w:sz w:val="20"/>
          <w:szCs w:val="20"/>
        </w:rPr>
        <w:t xml:space="preserve">, 2012; Mohanty and </w:t>
      </w:r>
      <w:proofErr w:type="spellStart"/>
      <w:r>
        <w:rPr>
          <w:sz w:val="20"/>
          <w:szCs w:val="20"/>
        </w:rPr>
        <w:t>Nandha</w:t>
      </w:r>
      <w:proofErr w:type="spellEnd"/>
      <w:r>
        <w:rPr>
          <w:sz w:val="20"/>
          <w:szCs w:val="20"/>
        </w:rPr>
        <w:t>, 2011).</w:t>
      </w:r>
    </w:p>
  </w:footnote>
  <w:footnote w:id="5">
    <w:p w14:paraId="178C0985" w14:textId="77777777" w:rsidR="0009141B" w:rsidRPr="00DB728A" w:rsidRDefault="0009141B" w:rsidP="00EB3561">
      <w:pPr>
        <w:suppressAutoHyphens/>
        <w:jc w:val="both"/>
        <w:rPr>
          <w:sz w:val="20"/>
          <w:szCs w:val="20"/>
        </w:rPr>
      </w:pPr>
      <w:r w:rsidRPr="00DB728A">
        <w:rPr>
          <w:rStyle w:val="FootnoteReference"/>
          <w:sz w:val="20"/>
          <w:szCs w:val="20"/>
        </w:rPr>
        <w:footnoteRef/>
      </w:r>
      <w:r w:rsidRPr="00DB728A">
        <w:rPr>
          <w:sz w:val="20"/>
          <w:szCs w:val="20"/>
        </w:rPr>
        <w:t xml:space="preserve"> </w:t>
      </w:r>
      <w:r w:rsidRPr="00F84A85">
        <w:rPr>
          <w:sz w:val="20"/>
          <w:szCs w:val="20"/>
        </w:rPr>
        <w:t>Since the seminal theoretical work by Barsky and Kilian (2002, 2004), the first structural analysis can be found to Kilian (2009), who argue that</w:t>
      </w:r>
      <w:r>
        <w:rPr>
          <w:sz w:val="20"/>
          <w:szCs w:val="20"/>
        </w:rPr>
        <w:t xml:space="preserve"> </w:t>
      </w:r>
      <w:r w:rsidRPr="00DB728A">
        <w:rPr>
          <w:sz w:val="20"/>
          <w:szCs w:val="20"/>
        </w:rPr>
        <w:t>a supply-side shock is originated by changes in world oil production, an aggregate demand shock is attributed to changes in global demand for industrial commodities</w:t>
      </w:r>
      <w:r>
        <w:rPr>
          <w:sz w:val="20"/>
          <w:szCs w:val="20"/>
        </w:rPr>
        <w:t>,</w:t>
      </w:r>
      <w:r w:rsidRPr="00DB728A">
        <w:rPr>
          <w:sz w:val="20"/>
          <w:szCs w:val="20"/>
        </w:rPr>
        <w:t xml:space="preserve"> and a precautionary demand shock is generated by concerns about the future availability of oil, arising from geopolitical unrest. </w:t>
      </w:r>
    </w:p>
  </w:footnote>
  <w:footnote w:id="6">
    <w:p w14:paraId="51EF685C" w14:textId="50633C09" w:rsidR="0009141B" w:rsidRPr="00DB5F7C" w:rsidRDefault="0009141B" w:rsidP="00DB5F7C">
      <w:pPr>
        <w:jc w:val="both"/>
        <w:rPr>
          <w:sz w:val="20"/>
          <w:szCs w:val="20"/>
        </w:rPr>
      </w:pPr>
      <w:r w:rsidRPr="00DB728A">
        <w:rPr>
          <w:rStyle w:val="FootnoteReference"/>
          <w:sz w:val="20"/>
          <w:szCs w:val="20"/>
        </w:rPr>
        <w:footnoteRef/>
      </w:r>
      <w:r w:rsidRPr="00DB728A">
        <w:rPr>
          <w:sz w:val="20"/>
          <w:szCs w:val="20"/>
        </w:rPr>
        <w:t xml:space="preserve"> Empirical evidence includes additional papers by </w:t>
      </w:r>
      <w:proofErr w:type="spellStart"/>
      <w:r w:rsidRPr="00DB728A">
        <w:rPr>
          <w:sz w:val="20"/>
          <w:szCs w:val="20"/>
        </w:rPr>
        <w:t>Antonakakis</w:t>
      </w:r>
      <w:proofErr w:type="spellEnd"/>
      <w:r w:rsidRPr="00DB728A">
        <w:rPr>
          <w:sz w:val="20"/>
          <w:szCs w:val="20"/>
        </w:rPr>
        <w:t xml:space="preserve"> et al. </w:t>
      </w:r>
      <w:r w:rsidRPr="00690C59">
        <w:rPr>
          <w:sz w:val="20"/>
          <w:szCs w:val="20"/>
          <w:lang w:val="fr-FR"/>
        </w:rPr>
        <w:t xml:space="preserve">(2017), Kang et al. (2017), </w:t>
      </w:r>
      <w:proofErr w:type="spellStart"/>
      <w:r w:rsidRPr="00690C59">
        <w:rPr>
          <w:sz w:val="20"/>
          <w:szCs w:val="20"/>
          <w:lang w:val="fr-FR"/>
        </w:rPr>
        <w:t>Angelidis</w:t>
      </w:r>
      <w:proofErr w:type="spellEnd"/>
      <w:r w:rsidRPr="00690C59">
        <w:rPr>
          <w:sz w:val="20"/>
          <w:szCs w:val="20"/>
          <w:lang w:val="fr-FR"/>
        </w:rPr>
        <w:t xml:space="preserve"> et al. (2015), Kang et al. (2015), </w:t>
      </w:r>
      <w:proofErr w:type="spellStart"/>
      <w:r w:rsidRPr="00690C59">
        <w:rPr>
          <w:sz w:val="20"/>
          <w:szCs w:val="20"/>
          <w:lang w:val="fr-FR"/>
        </w:rPr>
        <w:t>Antonakakis</w:t>
      </w:r>
      <w:proofErr w:type="spellEnd"/>
      <w:r w:rsidRPr="00690C59">
        <w:rPr>
          <w:sz w:val="20"/>
          <w:szCs w:val="20"/>
          <w:lang w:val="fr-FR"/>
        </w:rPr>
        <w:t xml:space="preserve"> et al. (2014), </w:t>
      </w:r>
      <w:proofErr w:type="spellStart"/>
      <w:r w:rsidRPr="00690C59">
        <w:rPr>
          <w:sz w:val="20"/>
          <w:szCs w:val="20"/>
          <w:lang w:val="fr-FR"/>
        </w:rPr>
        <w:t>Degiannakis</w:t>
      </w:r>
      <w:proofErr w:type="spellEnd"/>
      <w:r w:rsidRPr="00690C59">
        <w:rPr>
          <w:sz w:val="20"/>
          <w:szCs w:val="20"/>
          <w:lang w:val="fr-FR"/>
        </w:rPr>
        <w:t xml:space="preserve"> </w:t>
      </w:r>
      <w:r w:rsidRPr="00690C59">
        <w:rPr>
          <w:iCs/>
          <w:sz w:val="20"/>
          <w:szCs w:val="20"/>
          <w:lang w:val="fr-FR"/>
        </w:rPr>
        <w:t>et al.</w:t>
      </w:r>
      <w:r w:rsidRPr="00690C59">
        <w:rPr>
          <w:sz w:val="20"/>
          <w:szCs w:val="20"/>
          <w:lang w:val="fr-FR"/>
        </w:rPr>
        <w:t xml:space="preserve"> (2014), </w:t>
      </w:r>
      <w:proofErr w:type="spellStart"/>
      <w:r w:rsidRPr="00690C59">
        <w:rPr>
          <w:sz w:val="20"/>
          <w:szCs w:val="20"/>
          <w:lang w:val="fr-FR"/>
        </w:rPr>
        <w:t>Filis</w:t>
      </w:r>
      <w:proofErr w:type="spellEnd"/>
      <w:r w:rsidRPr="00690C59">
        <w:rPr>
          <w:sz w:val="20"/>
          <w:szCs w:val="20"/>
          <w:lang w:val="fr-FR"/>
        </w:rPr>
        <w:t xml:space="preserve"> (2014), </w:t>
      </w:r>
      <w:proofErr w:type="spellStart"/>
      <w:r w:rsidRPr="00690C59">
        <w:rPr>
          <w:sz w:val="20"/>
          <w:szCs w:val="20"/>
          <w:lang w:val="fr-FR"/>
        </w:rPr>
        <w:t>Sadorsky</w:t>
      </w:r>
      <w:proofErr w:type="spellEnd"/>
      <w:r w:rsidRPr="00690C59">
        <w:rPr>
          <w:sz w:val="20"/>
          <w:szCs w:val="20"/>
          <w:lang w:val="fr-FR"/>
        </w:rPr>
        <w:t xml:space="preserve"> (2014), </w:t>
      </w:r>
      <w:proofErr w:type="spellStart"/>
      <w:r w:rsidRPr="00690C59">
        <w:rPr>
          <w:sz w:val="20"/>
          <w:szCs w:val="20"/>
          <w:lang w:val="fr-FR"/>
        </w:rPr>
        <w:t>Abhyankar</w:t>
      </w:r>
      <w:proofErr w:type="spellEnd"/>
      <w:r w:rsidRPr="00690C59">
        <w:rPr>
          <w:sz w:val="20"/>
          <w:szCs w:val="20"/>
          <w:lang w:val="fr-FR"/>
        </w:rPr>
        <w:t xml:space="preserve"> et al. (2013), </w:t>
      </w:r>
      <w:proofErr w:type="spellStart"/>
      <w:r w:rsidRPr="00690C59">
        <w:rPr>
          <w:sz w:val="20"/>
          <w:szCs w:val="20"/>
          <w:lang w:val="fr-FR"/>
        </w:rPr>
        <w:t>Antonakakis</w:t>
      </w:r>
      <w:proofErr w:type="spellEnd"/>
      <w:r w:rsidRPr="00690C59">
        <w:rPr>
          <w:sz w:val="20"/>
          <w:szCs w:val="20"/>
          <w:lang w:val="fr-FR"/>
        </w:rPr>
        <w:t xml:space="preserve"> and </w:t>
      </w:r>
      <w:proofErr w:type="spellStart"/>
      <w:r w:rsidRPr="00690C59">
        <w:rPr>
          <w:sz w:val="20"/>
          <w:szCs w:val="20"/>
          <w:lang w:val="fr-FR"/>
        </w:rPr>
        <w:t>Filis</w:t>
      </w:r>
      <w:proofErr w:type="spellEnd"/>
      <w:r w:rsidRPr="00690C59">
        <w:rPr>
          <w:sz w:val="20"/>
          <w:szCs w:val="20"/>
          <w:lang w:val="fr-FR"/>
        </w:rPr>
        <w:t xml:space="preserve"> (2013), Baumeister and </w:t>
      </w:r>
      <w:proofErr w:type="spellStart"/>
      <w:r w:rsidRPr="00690C59">
        <w:rPr>
          <w:sz w:val="20"/>
          <w:szCs w:val="20"/>
          <w:lang w:val="fr-FR"/>
        </w:rPr>
        <w:t>Peersman</w:t>
      </w:r>
      <w:proofErr w:type="spellEnd"/>
      <w:r w:rsidRPr="00690C59">
        <w:rPr>
          <w:sz w:val="20"/>
          <w:szCs w:val="20"/>
          <w:lang w:val="fr-FR"/>
        </w:rPr>
        <w:t xml:space="preserve"> (2013), Chang et al. (2013), Gupta and </w:t>
      </w:r>
      <w:proofErr w:type="spellStart"/>
      <w:r w:rsidRPr="00690C59">
        <w:rPr>
          <w:sz w:val="20"/>
          <w:szCs w:val="20"/>
          <w:lang w:val="fr-FR"/>
        </w:rPr>
        <w:t>Modise</w:t>
      </w:r>
      <w:proofErr w:type="spellEnd"/>
      <w:r w:rsidRPr="00690C59">
        <w:rPr>
          <w:sz w:val="20"/>
          <w:szCs w:val="20"/>
          <w:lang w:val="fr-FR"/>
        </w:rPr>
        <w:t xml:space="preserve"> (2013), Wang et al. </w:t>
      </w:r>
      <w:r w:rsidRPr="00DB728A">
        <w:rPr>
          <w:sz w:val="20"/>
          <w:szCs w:val="20"/>
        </w:rPr>
        <w:t xml:space="preserve">(2013), Basher et al. (2012), </w:t>
      </w:r>
      <w:proofErr w:type="spellStart"/>
      <w:r w:rsidRPr="00DB728A">
        <w:rPr>
          <w:sz w:val="20"/>
          <w:szCs w:val="20"/>
        </w:rPr>
        <w:t>Broadstock</w:t>
      </w:r>
      <w:proofErr w:type="spellEnd"/>
      <w:r w:rsidRPr="00DB728A">
        <w:rPr>
          <w:sz w:val="20"/>
          <w:szCs w:val="20"/>
        </w:rPr>
        <w:t xml:space="preserve"> et al. (2012), </w:t>
      </w:r>
      <w:proofErr w:type="spellStart"/>
      <w:r w:rsidRPr="00DB728A">
        <w:rPr>
          <w:sz w:val="20"/>
          <w:szCs w:val="20"/>
        </w:rPr>
        <w:t>Filis</w:t>
      </w:r>
      <w:proofErr w:type="spellEnd"/>
      <w:r w:rsidRPr="00DB728A">
        <w:rPr>
          <w:sz w:val="20"/>
          <w:szCs w:val="20"/>
        </w:rPr>
        <w:t xml:space="preserve"> et al. (2011), Kilian and Lewis (2011), Choi and </w:t>
      </w:r>
      <w:proofErr w:type="spellStart"/>
      <w:r w:rsidRPr="00DB728A">
        <w:rPr>
          <w:sz w:val="20"/>
          <w:szCs w:val="20"/>
        </w:rPr>
        <w:t>Hammoudeh</w:t>
      </w:r>
      <w:proofErr w:type="spellEnd"/>
      <w:r w:rsidRPr="00DB728A">
        <w:rPr>
          <w:sz w:val="20"/>
          <w:szCs w:val="20"/>
        </w:rPr>
        <w:t xml:space="preserve"> (2010), </w:t>
      </w:r>
      <w:proofErr w:type="spellStart"/>
      <w:r w:rsidRPr="00DB728A">
        <w:rPr>
          <w:sz w:val="20"/>
          <w:szCs w:val="20"/>
        </w:rPr>
        <w:t>Apergis</w:t>
      </w:r>
      <w:proofErr w:type="spellEnd"/>
      <w:r w:rsidRPr="00DB728A">
        <w:rPr>
          <w:sz w:val="20"/>
          <w:szCs w:val="20"/>
        </w:rPr>
        <w:t xml:space="preserve"> and Miller (2009), Kilian and Park (2009) and Hamilton (2009a,b).</w:t>
      </w:r>
    </w:p>
  </w:footnote>
  <w:footnote w:id="7">
    <w:p w14:paraId="32FF6811" w14:textId="2FB590B3" w:rsidR="0009141B" w:rsidRDefault="0009141B" w:rsidP="0086736F">
      <w:pPr>
        <w:pStyle w:val="FootnoteText"/>
        <w:jc w:val="both"/>
      </w:pPr>
      <w:r>
        <w:rPr>
          <w:rStyle w:val="FootnoteReference"/>
        </w:rPr>
        <w:footnoteRef/>
      </w:r>
      <w:r>
        <w:t xml:space="preserve"> </w:t>
      </w:r>
      <w:r w:rsidRPr="0086736F">
        <w:rPr>
          <w:sz w:val="21"/>
        </w:rPr>
        <w:t>See, for instance</w:t>
      </w:r>
      <w:r>
        <w:rPr>
          <w:sz w:val="21"/>
        </w:rPr>
        <w:t xml:space="preserve"> the report by </w:t>
      </w:r>
      <w:proofErr w:type="spellStart"/>
      <w:r>
        <w:rPr>
          <w:sz w:val="21"/>
        </w:rPr>
        <w:t>KfW</w:t>
      </w:r>
      <w:proofErr w:type="spellEnd"/>
      <w:r>
        <w:rPr>
          <w:sz w:val="21"/>
        </w:rPr>
        <w:t xml:space="preserve"> (2017) titled “</w:t>
      </w:r>
      <w:r w:rsidRPr="0086736F">
        <w:rPr>
          <w:sz w:val="21"/>
        </w:rPr>
        <w:t>Oil prices and bond yields – hand-in-hand again</w:t>
      </w:r>
      <w:r>
        <w:rPr>
          <w:sz w:val="21"/>
        </w:rPr>
        <w:t>”.</w:t>
      </w:r>
    </w:p>
  </w:footnote>
  <w:footnote w:id="8">
    <w:p w14:paraId="16BDB786" w14:textId="77777777" w:rsidR="0009141B" w:rsidRPr="00920266" w:rsidRDefault="0009141B" w:rsidP="001425FC">
      <w:pPr>
        <w:pStyle w:val="FootnoteText"/>
        <w:jc w:val="both"/>
        <w:rPr>
          <w:sz w:val="20"/>
          <w:szCs w:val="20"/>
        </w:rPr>
      </w:pPr>
      <w:r w:rsidRPr="00920266">
        <w:rPr>
          <w:rStyle w:val="FootnoteReference"/>
          <w:sz w:val="20"/>
          <w:szCs w:val="20"/>
        </w:rPr>
        <w:footnoteRef/>
      </w:r>
      <w:r w:rsidRPr="00920266">
        <w:rPr>
          <w:sz w:val="20"/>
          <w:szCs w:val="20"/>
        </w:rPr>
        <w:t xml:space="preserve"> See for instance, the CNBC (2018) article titled “Treasury yields rise as surge in oil prices boost inflation outlook; jobs report misses expectations”</w:t>
      </w:r>
      <w:r>
        <w:rPr>
          <w:sz w:val="20"/>
          <w:szCs w:val="20"/>
        </w:rPr>
        <w:t>, the Reuters (2019) article title “</w:t>
      </w:r>
      <w:r w:rsidRPr="00AB12C3">
        <w:rPr>
          <w:sz w:val="20"/>
          <w:szCs w:val="20"/>
        </w:rPr>
        <w:t>Oil price rise pushes up euro zone debt yields</w:t>
      </w:r>
      <w:r>
        <w:rPr>
          <w:sz w:val="20"/>
          <w:szCs w:val="20"/>
        </w:rPr>
        <w:t>” and Financial Times (2018) article titled “</w:t>
      </w:r>
      <w:r w:rsidRPr="00AB12C3">
        <w:rPr>
          <w:sz w:val="20"/>
          <w:szCs w:val="20"/>
        </w:rPr>
        <w:t>Do oil rises point to a tipping point for bond yields?</w:t>
      </w:r>
      <w:r>
        <w:rPr>
          <w:sz w:val="20"/>
          <w:szCs w:val="20"/>
        </w:rPr>
        <w:t>”.</w:t>
      </w:r>
    </w:p>
  </w:footnote>
  <w:footnote w:id="9">
    <w:p w14:paraId="01E0BE5E" w14:textId="7006CC58" w:rsidR="0009141B" w:rsidRPr="00462493" w:rsidRDefault="0009141B" w:rsidP="00837021">
      <w:pPr>
        <w:pStyle w:val="FootnoteText"/>
        <w:jc w:val="both"/>
        <w:rPr>
          <w:color w:val="000000" w:themeColor="text1"/>
          <w:sz w:val="20"/>
          <w:szCs w:val="20"/>
        </w:rPr>
      </w:pPr>
      <w:r w:rsidRPr="00837021">
        <w:rPr>
          <w:rStyle w:val="FootnoteReference"/>
          <w:sz w:val="20"/>
          <w:szCs w:val="20"/>
        </w:rPr>
        <w:footnoteRef/>
      </w:r>
      <w:r w:rsidRPr="00837021">
        <w:rPr>
          <w:sz w:val="20"/>
          <w:szCs w:val="20"/>
        </w:rPr>
        <w:t xml:space="preserve"> </w:t>
      </w:r>
      <w:r>
        <w:rPr>
          <w:sz w:val="20"/>
          <w:szCs w:val="20"/>
        </w:rPr>
        <w:t>W</w:t>
      </w:r>
      <w:r w:rsidRPr="00837021">
        <w:rPr>
          <w:sz w:val="20"/>
          <w:szCs w:val="20"/>
        </w:rPr>
        <w:t xml:space="preserve">e should </w:t>
      </w:r>
      <w:r>
        <w:rPr>
          <w:sz w:val="20"/>
          <w:szCs w:val="20"/>
        </w:rPr>
        <w:t xml:space="preserve">notice that there is a recent evidence on the existing literature which indicates that the effect of </w:t>
      </w:r>
      <w:r w:rsidRPr="00837021">
        <w:rPr>
          <w:sz w:val="20"/>
          <w:szCs w:val="20"/>
        </w:rPr>
        <w:t>oil pr</w:t>
      </w:r>
      <w:r>
        <w:rPr>
          <w:sz w:val="20"/>
          <w:szCs w:val="20"/>
        </w:rPr>
        <w:t xml:space="preserve">ices </w:t>
      </w:r>
      <w:r w:rsidRPr="00837021">
        <w:rPr>
          <w:sz w:val="20"/>
          <w:szCs w:val="20"/>
        </w:rPr>
        <w:t>on the economy and the stock market</w:t>
      </w:r>
      <w:r>
        <w:rPr>
          <w:sz w:val="20"/>
          <w:szCs w:val="20"/>
        </w:rPr>
        <w:t xml:space="preserve"> is</w:t>
      </w:r>
      <w:r w:rsidRPr="00837021">
        <w:rPr>
          <w:sz w:val="20"/>
          <w:szCs w:val="20"/>
        </w:rPr>
        <w:t xml:space="preserve"> </w:t>
      </w:r>
      <w:r>
        <w:rPr>
          <w:sz w:val="20"/>
          <w:szCs w:val="20"/>
        </w:rPr>
        <w:t xml:space="preserve">likely </w:t>
      </w:r>
      <w:r w:rsidRPr="00837021">
        <w:rPr>
          <w:sz w:val="20"/>
          <w:szCs w:val="20"/>
        </w:rPr>
        <w:t>time-varying (</w:t>
      </w:r>
      <w:proofErr w:type="spellStart"/>
      <w:r w:rsidRPr="00837021">
        <w:rPr>
          <w:color w:val="000000" w:themeColor="text1"/>
          <w:sz w:val="20"/>
          <w:szCs w:val="20"/>
        </w:rPr>
        <w:t>Boldanov</w:t>
      </w:r>
      <w:proofErr w:type="spellEnd"/>
      <w:r w:rsidRPr="00837021">
        <w:rPr>
          <w:color w:val="000000" w:themeColor="text1"/>
          <w:sz w:val="20"/>
          <w:szCs w:val="20"/>
        </w:rPr>
        <w:t xml:space="preserve"> et al., 2016; </w:t>
      </w:r>
      <w:proofErr w:type="spellStart"/>
      <w:r w:rsidRPr="00837021">
        <w:rPr>
          <w:color w:val="000000" w:themeColor="text1"/>
          <w:sz w:val="20"/>
          <w:szCs w:val="20"/>
        </w:rPr>
        <w:t>Broadstock</w:t>
      </w:r>
      <w:proofErr w:type="spellEnd"/>
      <w:r w:rsidRPr="00837021">
        <w:rPr>
          <w:color w:val="000000" w:themeColor="text1"/>
          <w:sz w:val="20"/>
          <w:szCs w:val="20"/>
        </w:rPr>
        <w:t xml:space="preserve"> and </w:t>
      </w:r>
      <w:proofErr w:type="spellStart"/>
      <w:r w:rsidRPr="00837021">
        <w:rPr>
          <w:color w:val="000000" w:themeColor="text1"/>
          <w:sz w:val="20"/>
          <w:szCs w:val="20"/>
        </w:rPr>
        <w:t>Filis</w:t>
      </w:r>
      <w:proofErr w:type="spellEnd"/>
      <w:r w:rsidRPr="00837021">
        <w:rPr>
          <w:color w:val="000000" w:themeColor="text1"/>
          <w:sz w:val="20"/>
          <w:szCs w:val="20"/>
        </w:rPr>
        <w:t>, 2014;</w:t>
      </w:r>
      <w:r>
        <w:rPr>
          <w:color w:val="000000" w:themeColor="text1"/>
          <w:sz w:val="20"/>
          <w:szCs w:val="20"/>
        </w:rPr>
        <w:t xml:space="preserve"> </w:t>
      </w:r>
      <w:proofErr w:type="spellStart"/>
      <w:r w:rsidRPr="00837021">
        <w:rPr>
          <w:color w:val="000000" w:themeColor="text1"/>
          <w:sz w:val="20"/>
          <w:szCs w:val="20"/>
        </w:rPr>
        <w:t>Filis</w:t>
      </w:r>
      <w:proofErr w:type="spellEnd"/>
      <w:r w:rsidRPr="00837021">
        <w:rPr>
          <w:color w:val="000000" w:themeColor="text1"/>
          <w:sz w:val="20"/>
          <w:szCs w:val="20"/>
        </w:rPr>
        <w:t xml:space="preserve">, 2014; </w:t>
      </w:r>
      <w:proofErr w:type="spellStart"/>
      <w:r w:rsidRPr="00837021">
        <w:rPr>
          <w:color w:val="000000" w:themeColor="text1"/>
          <w:sz w:val="20"/>
          <w:szCs w:val="20"/>
        </w:rPr>
        <w:t>Antonakakis</w:t>
      </w:r>
      <w:proofErr w:type="spellEnd"/>
      <w:r w:rsidRPr="00837021">
        <w:rPr>
          <w:color w:val="000000" w:themeColor="text1"/>
          <w:sz w:val="20"/>
          <w:szCs w:val="20"/>
        </w:rPr>
        <w:t xml:space="preserve"> and </w:t>
      </w:r>
      <w:proofErr w:type="spellStart"/>
      <w:r w:rsidRPr="00837021">
        <w:rPr>
          <w:color w:val="000000" w:themeColor="text1"/>
          <w:sz w:val="20"/>
          <w:szCs w:val="20"/>
        </w:rPr>
        <w:t>Filis</w:t>
      </w:r>
      <w:proofErr w:type="spellEnd"/>
      <w:r w:rsidRPr="00837021">
        <w:rPr>
          <w:color w:val="000000" w:themeColor="text1"/>
          <w:sz w:val="20"/>
          <w:szCs w:val="20"/>
        </w:rPr>
        <w:t xml:space="preserve">, 2013; </w:t>
      </w:r>
      <w:proofErr w:type="spellStart"/>
      <w:r w:rsidRPr="00837021">
        <w:rPr>
          <w:color w:val="000000" w:themeColor="text1"/>
          <w:sz w:val="20"/>
          <w:szCs w:val="20"/>
        </w:rPr>
        <w:t>Degiannakis</w:t>
      </w:r>
      <w:proofErr w:type="spellEnd"/>
      <w:r w:rsidRPr="00837021">
        <w:rPr>
          <w:color w:val="000000" w:themeColor="text1"/>
          <w:sz w:val="20"/>
          <w:szCs w:val="20"/>
        </w:rPr>
        <w:t xml:space="preserve"> et al., 2013; </w:t>
      </w:r>
      <w:proofErr w:type="spellStart"/>
      <w:r w:rsidRPr="00837021">
        <w:rPr>
          <w:color w:val="000000" w:themeColor="text1"/>
          <w:sz w:val="20"/>
          <w:szCs w:val="20"/>
        </w:rPr>
        <w:t>Filis</w:t>
      </w:r>
      <w:proofErr w:type="spellEnd"/>
      <w:r w:rsidRPr="00837021">
        <w:rPr>
          <w:color w:val="000000" w:themeColor="text1"/>
          <w:sz w:val="20"/>
          <w:szCs w:val="20"/>
        </w:rPr>
        <w:t xml:space="preserve"> et al., 2011; </w:t>
      </w:r>
      <w:proofErr w:type="spellStart"/>
      <w:r w:rsidRPr="00837021">
        <w:rPr>
          <w:color w:val="000000" w:themeColor="text1"/>
          <w:sz w:val="20"/>
          <w:szCs w:val="20"/>
        </w:rPr>
        <w:t>Bhar</w:t>
      </w:r>
      <w:proofErr w:type="spellEnd"/>
      <w:r w:rsidRPr="00837021">
        <w:rPr>
          <w:color w:val="000000" w:themeColor="text1"/>
          <w:sz w:val="20"/>
          <w:szCs w:val="20"/>
        </w:rPr>
        <w:t xml:space="preserve"> and </w:t>
      </w:r>
      <w:proofErr w:type="spellStart"/>
      <w:r w:rsidRPr="00837021">
        <w:rPr>
          <w:color w:val="000000" w:themeColor="text1"/>
          <w:sz w:val="20"/>
          <w:szCs w:val="20"/>
        </w:rPr>
        <w:t>Nikolova</w:t>
      </w:r>
      <w:proofErr w:type="spellEnd"/>
      <w:r w:rsidRPr="00837021">
        <w:rPr>
          <w:color w:val="000000" w:themeColor="text1"/>
          <w:sz w:val="20"/>
          <w:szCs w:val="20"/>
        </w:rPr>
        <w:t>, 2010</w:t>
      </w:r>
      <w:r>
        <w:rPr>
          <w:color w:val="000000" w:themeColor="text1"/>
          <w:sz w:val="20"/>
          <w:szCs w:val="20"/>
        </w:rPr>
        <w:t xml:space="preserve">; </w:t>
      </w:r>
      <w:r w:rsidRPr="00837021">
        <w:rPr>
          <w:color w:val="000000" w:themeColor="text1"/>
          <w:sz w:val="20"/>
          <w:szCs w:val="20"/>
        </w:rPr>
        <w:t xml:space="preserve">Choi and </w:t>
      </w:r>
      <w:proofErr w:type="spellStart"/>
      <w:r w:rsidRPr="00837021">
        <w:rPr>
          <w:color w:val="000000" w:themeColor="text1"/>
          <w:sz w:val="20"/>
          <w:szCs w:val="20"/>
        </w:rPr>
        <w:t>Hammoudeh</w:t>
      </w:r>
      <w:proofErr w:type="spellEnd"/>
      <w:r w:rsidRPr="00837021">
        <w:rPr>
          <w:color w:val="000000" w:themeColor="text1"/>
          <w:sz w:val="20"/>
          <w:szCs w:val="20"/>
        </w:rPr>
        <w:t>, 2010).</w:t>
      </w:r>
    </w:p>
  </w:footnote>
  <w:footnote w:id="10">
    <w:p w14:paraId="34ABB1BE" w14:textId="77777777" w:rsidR="0009141B" w:rsidRPr="003A2A97" w:rsidRDefault="0009141B">
      <w:pPr>
        <w:pStyle w:val="FootnoteText"/>
        <w:rPr>
          <w:sz w:val="20"/>
          <w:szCs w:val="20"/>
        </w:rPr>
      </w:pPr>
      <w:r w:rsidRPr="003A2A97">
        <w:rPr>
          <w:rStyle w:val="FootnoteReference"/>
          <w:sz w:val="20"/>
          <w:szCs w:val="20"/>
        </w:rPr>
        <w:footnoteRef/>
      </w:r>
      <w:r w:rsidRPr="003A2A97">
        <w:rPr>
          <w:sz w:val="20"/>
          <w:szCs w:val="20"/>
        </w:rPr>
        <w:t xml:space="preserve"> </w:t>
      </w:r>
      <w:r>
        <w:rPr>
          <w:sz w:val="20"/>
          <w:szCs w:val="20"/>
        </w:rPr>
        <w:t>The data for the global economic activity</w:t>
      </w:r>
      <w:r w:rsidRPr="005E7138">
        <w:rPr>
          <w:sz w:val="20"/>
          <w:szCs w:val="20"/>
        </w:rPr>
        <w:t xml:space="preserve"> index </w:t>
      </w:r>
      <w:proofErr w:type="gramStart"/>
      <w:r w:rsidRPr="005E7138">
        <w:rPr>
          <w:sz w:val="20"/>
          <w:szCs w:val="20"/>
        </w:rPr>
        <w:t>are</w:t>
      </w:r>
      <w:proofErr w:type="gramEnd"/>
      <w:r w:rsidRPr="005E7138">
        <w:rPr>
          <w:sz w:val="20"/>
          <w:szCs w:val="20"/>
        </w:rPr>
        <w:t xml:space="preserve"> retrieved from Lutz Kilian’s personal website</w:t>
      </w:r>
      <w:r>
        <w:rPr>
          <w:sz w:val="20"/>
          <w:szCs w:val="20"/>
        </w:rPr>
        <w:t xml:space="preserve">: </w:t>
      </w:r>
      <w:r w:rsidRPr="003A2A97">
        <w:rPr>
          <w:sz w:val="20"/>
          <w:szCs w:val="20"/>
        </w:rPr>
        <w:t>http://ww</w:t>
      </w:r>
      <w:r>
        <w:rPr>
          <w:sz w:val="20"/>
          <w:szCs w:val="20"/>
        </w:rPr>
        <w:t>w-personal.umich.edu/~lkilian/</w:t>
      </w:r>
    </w:p>
  </w:footnote>
  <w:footnote w:id="11">
    <w:p w14:paraId="39CE9E24" w14:textId="18BDC1DF" w:rsidR="0009141B" w:rsidRPr="00172932" w:rsidRDefault="0009141B">
      <w:pPr>
        <w:pStyle w:val="FootnoteText"/>
        <w:rPr>
          <w:sz w:val="20"/>
          <w:szCs w:val="20"/>
        </w:rPr>
      </w:pPr>
      <w:r w:rsidRPr="00172932">
        <w:rPr>
          <w:rStyle w:val="FootnoteReference"/>
          <w:sz w:val="20"/>
          <w:szCs w:val="20"/>
        </w:rPr>
        <w:footnoteRef/>
      </w:r>
      <w:r w:rsidRPr="00172932">
        <w:rPr>
          <w:sz w:val="20"/>
          <w:szCs w:val="20"/>
        </w:rPr>
        <w:t xml:space="preserve"> The source of the information can be found on the </w:t>
      </w:r>
      <w:r>
        <w:rPr>
          <w:sz w:val="20"/>
          <w:szCs w:val="20"/>
        </w:rPr>
        <w:t xml:space="preserve">EIA: </w:t>
      </w:r>
      <w:r w:rsidRPr="00172932">
        <w:rPr>
          <w:sz w:val="20"/>
          <w:szCs w:val="20"/>
        </w:rPr>
        <w:t>https://www.eia.gov/todayinenergy/detail.php?id=18571</w:t>
      </w:r>
    </w:p>
  </w:footnote>
  <w:footnote w:id="12">
    <w:p w14:paraId="469595EE" w14:textId="19F46530" w:rsidR="0009141B" w:rsidRPr="00D96514" w:rsidRDefault="0009141B" w:rsidP="00156019">
      <w:pPr>
        <w:pStyle w:val="FootnoteText"/>
        <w:jc w:val="both"/>
        <w:rPr>
          <w:sz w:val="20"/>
          <w:szCs w:val="20"/>
        </w:rPr>
      </w:pPr>
      <w:r w:rsidRPr="00D96514">
        <w:rPr>
          <w:rStyle w:val="FootnoteReference"/>
          <w:sz w:val="20"/>
          <w:szCs w:val="20"/>
        </w:rPr>
        <w:footnoteRef/>
      </w:r>
      <w:r w:rsidRPr="00D96514">
        <w:rPr>
          <w:sz w:val="20"/>
          <w:szCs w:val="20"/>
        </w:rPr>
        <w:t xml:space="preserve"> In this study, </w:t>
      </w:r>
      <w:r>
        <w:rPr>
          <w:sz w:val="20"/>
          <w:szCs w:val="20"/>
        </w:rPr>
        <w:t>we consider the countries joined the EMU since 1999 and 2001 (the case of Greece). We do not include Luxembourg given that the government bond market of this country is relatively small (see Af</w:t>
      </w:r>
      <w:r w:rsidRPr="00852624">
        <w:rPr>
          <w:sz w:val="20"/>
          <w:szCs w:val="20"/>
        </w:rPr>
        <w:t>onso et al., 2015</w:t>
      </w:r>
      <w:r>
        <w:rPr>
          <w:sz w:val="20"/>
          <w:szCs w:val="20"/>
        </w:rPr>
        <w:t xml:space="preserve">) and the lack of data (see </w:t>
      </w:r>
      <w:proofErr w:type="spellStart"/>
      <w:r w:rsidRPr="009C2D05">
        <w:rPr>
          <w:sz w:val="20"/>
          <w:szCs w:val="20"/>
        </w:rPr>
        <w:t>Maltritz</w:t>
      </w:r>
      <w:proofErr w:type="spellEnd"/>
      <w:r w:rsidRPr="009C2D05">
        <w:rPr>
          <w:sz w:val="20"/>
          <w:szCs w:val="20"/>
        </w:rPr>
        <w:t>, 2012</w:t>
      </w:r>
      <w:r>
        <w:rPr>
          <w:sz w:val="20"/>
          <w:szCs w:val="20"/>
        </w:rPr>
        <w:t>). Furthermore, we exclude countries that joined EMU since 2007 (</w:t>
      </w:r>
      <w:r w:rsidRPr="00597C22">
        <w:rPr>
          <w:sz w:val="20"/>
          <w:szCs w:val="20"/>
        </w:rPr>
        <w:t xml:space="preserve">Slovenia </w:t>
      </w:r>
      <w:r>
        <w:rPr>
          <w:sz w:val="20"/>
          <w:szCs w:val="20"/>
        </w:rPr>
        <w:t xml:space="preserve">(2007), </w:t>
      </w:r>
      <w:r w:rsidRPr="00597C22">
        <w:rPr>
          <w:sz w:val="20"/>
          <w:szCs w:val="20"/>
        </w:rPr>
        <w:t>Cyprus</w:t>
      </w:r>
      <w:r>
        <w:rPr>
          <w:sz w:val="20"/>
          <w:szCs w:val="20"/>
        </w:rPr>
        <w:t xml:space="preserve"> (2008)</w:t>
      </w:r>
      <w:r w:rsidRPr="00597C22">
        <w:rPr>
          <w:sz w:val="20"/>
          <w:szCs w:val="20"/>
        </w:rPr>
        <w:t xml:space="preserve">, Malta </w:t>
      </w:r>
      <w:r>
        <w:rPr>
          <w:sz w:val="20"/>
          <w:szCs w:val="20"/>
        </w:rPr>
        <w:t>(2008), Slovakia (2009), Estonia (2011), Latvia (2014) and Lithuania (2015)) due to short sovereign yield spreads data period. Finally, Germany is also excluded because is used as a reference country to construct the sovereign yield spreads for the rest countries.</w:t>
      </w:r>
    </w:p>
  </w:footnote>
  <w:footnote w:id="13">
    <w:p w14:paraId="77B1F47D" w14:textId="40540791" w:rsidR="0009141B" w:rsidRDefault="0009141B" w:rsidP="003F4EB2">
      <w:pPr>
        <w:pStyle w:val="FootnoteText"/>
        <w:jc w:val="both"/>
      </w:pPr>
      <w:r w:rsidRPr="003F4EB2">
        <w:rPr>
          <w:rStyle w:val="FootnoteReference"/>
          <w:sz w:val="20"/>
        </w:rPr>
        <w:footnoteRef/>
      </w:r>
      <w:r w:rsidRPr="003F4EB2">
        <w:rPr>
          <w:sz w:val="20"/>
        </w:rPr>
        <w:t xml:space="preserve"> It should be mentioned </w:t>
      </w:r>
      <w:r>
        <w:rPr>
          <w:sz w:val="20"/>
        </w:rPr>
        <w:t>that CDS spreads are commonly used in</w:t>
      </w:r>
      <w:r w:rsidRPr="003F4EB2">
        <w:rPr>
          <w:sz w:val="20"/>
        </w:rPr>
        <w:t xml:space="preserve"> the existing literature to measure the sovereign risk. Nevertheless</w:t>
      </w:r>
      <w:r w:rsidRPr="003F4EB2">
        <w:rPr>
          <w:color w:val="000000" w:themeColor="text1"/>
          <w:sz w:val="20"/>
        </w:rPr>
        <w:t xml:space="preserve">, </w:t>
      </w:r>
      <w:r w:rsidRPr="003F4EB2">
        <w:rPr>
          <w:sz w:val="20"/>
        </w:rPr>
        <w:t>our decision to use the 10-year sove</w:t>
      </w:r>
      <w:r>
        <w:rPr>
          <w:sz w:val="20"/>
        </w:rPr>
        <w:t>reign yield spread as a proxy for</w:t>
      </w:r>
      <w:r w:rsidRPr="003F4EB2">
        <w:rPr>
          <w:sz w:val="20"/>
        </w:rPr>
        <w:t xml:space="preserve"> sovereign risk is justified by the fact that it allows us to use a longer study period. In particular, the CDS data are available from 2009, whereas the data on the 10-year government bond yields for our selected countries are available since the creation of the EMU in 1999 (with the exception of Greece, which joined EMU in 2001).</w:t>
      </w:r>
      <w:r w:rsidRPr="003F4EB2">
        <w:t xml:space="preserve"> </w:t>
      </w:r>
      <w:r>
        <w:rPr>
          <w:sz w:val="20"/>
        </w:rPr>
        <w:t>It should also be mentioned that,</w:t>
      </w:r>
      <w:r w:rsidRPr="003F4EB2">
        <w:rPr>
          <w:sz w:val="20"/>
        </w:rPr>
        <w:t xml:space="preserve"> due to fiscal imbalances and fragilities among the </w:t>
      </w:r>
      <w:r>
        <w:rPr>
          <w:sz w:val="20"/>
        </w:rPr>
        <w:t>EMU economies, and the need for the</w:t>
      </w:r>
      <w:r w:rsidRPr="003F4EB2">
        <w:rPr>
          <w:sz w:val="20"/>
        </w:rPr>
        <w:t xml:space="preserve"> European Central Bank (ECB) to provide rescue packages to reduce the sovereign risk pressure, the 10-year sovereign yield spread may better approximate different fiscal fundamentals and could well capture uncertainty levels in the EMU economies.</w:t>
      </w:r>
    </w:p>
  </w:footnote>
  <w:footnote w:id="14">
    <w:p w14:paraId="67FC0E2F" w14:textId="16A6C7F2" w:rsidR="0009141B" w:rsidRPr="008D7015" w:rsidRDefault="0009141B">
      <w:pPr>
        <w:pStyle w:val="FootnoteText"/>
        <w:rPr>
          <w:sz w:val="20"/>
          <w:szCs w:val="20"/>
        </w:rPr>
      </w:pPr>
      <w:r w:rsidRPr="008D7015">
        <w:rPr>
          <w:rStyle w:val="FootnoteReference"/>
          <w:sz w:val="20"/>
          <w:szCs w:val="20"/>
        </w:rPr>
        <w:footnoteRef/>
      </w:r>
      <w:r w:rsidRPr="008D7015">
        <w:rPr>
          <w:sz w:val="20"/>
          <w:szCs w:val="20"/>
        </w:rPr>
        <w:t xml:space="preserve"> We thank an anonymous reviewer for pointing out to this important issue.</w:t>
      </w:r>
    </w:p>
  </w:footnote>
  <w:footnote w:id="15">
    <w:p w14:paraId="68E6BB4B" w14:textId="78965163" w:rsidR="0009141B" w:rsidRPr="002660B7" w:rsidRDefault="0009141B" w:rsidP="007A7FD6">
      <w:pPr>
        <w:pStyle w:val="FootnoteText"/>
        <w:jc w:val="both"/>
        <w:rPr>
          <w:sz w:val="20"/>
          <w:szCs w:val="20"/>
        </w:rPr>
      </w:pPr>
      <w:r w:rsidRPr="002660B7">
        <w:rPr>
          <w:rStyle w:val="FootnoteReference"/>
          <w:sz w:val="20"/>
          <w:szCs w:val="20"/>
        </w:rPr>
        <w:footnoteRef/>
      </w:r>
      <w:r w:rsidRPr="002660B7">
        <w:rPr>
          <w:sz w:val="20"/>
          <w:szCs w:val="20"/>
        </w:rPr>
        <w:t xml:space="preserve"> </w:t>
      </w:r>
      <w:r>
        <w:rPr>
          <w:sz w:val="20"/>
          <w:szCs w:val="20"/>
        </w:rPr>
        <w:t xml:space="preserve">The </w:t>
      </w:r>
      <w:r w:rsidRPr="002660B7">
        <w:rPr>
          <w:sz w:val="20"/>
          <w:szCs w:val="20"/>
        </w:rPr>
        <w:t>European stock market volatility index</w:t>
      </w:r>
      <w:r>
        <w:rPr>
          <w:sz w:val="20"/>
          <w:szCs w:val="20"/>
        </w:rPr>
        <w:t xml:space="preserve"> (VSTOXX) represents the implied volatility of the EURO STOXX 50.</w:t>
      </w:r>
    </w:p>
  </w:footnote>
  <w:footnote w:id="16">
    <w:p w14:paraId="1CCD1E25" w14:textId="489B87A3" w:rsidR="0009141B" w:rsidRPr="003D7B14" w:rsidRDefault="0009141B" w:rsidP="007A7FD6">
      <w:pPr>
        <w:pStyle w:val="FootnoteText"/>
        <w:jc w:val="both"/>
        <w:rPr>
          <w:sz w:val="20"/>
          <w:szCs w:val="20"/>
        </w:rPr>
      </w:pPr>
      <w:r w:rsidRPr="003D7B14">
        <w:rPr>
          <w:rStyle w:val="FootnoteReference"/>
          <w:sz w:val="20"/>
          <w:szCs w:val="20"/>
        </w:rPr>
        <w:footnoteRef/>
      </w:r>
      <w:r w:rsidRPr="003D7B14">
        <w:rPr>
          <w:sz w:val="20"/>
          <w:szCs w:val="20"/>
        </w:rPr>
        <w:t xml:space="preserve"> Specifically, </w:t>
      </w:r>
      <w:r>
        <w:rPr>
          <w:sz w:val="20"/>
          <w:szCs w:val="20"/>
        </w:rPr>
        <w:t xml:space="preserve">this index has been constructed by </w:t>
      </w:r>
      <w:r w:rsidRPr="003D7B14">
        <w:rPr>
          <w:sz w:val="20"/>
          <w:szCs w:val="20"/>
        </w:rPr>
        <w:t>Husted</w:t>
      </w:r>
      <w:r>
        <w:rPr>
          <w:sz w:val="20"/>
          <w:szCs w:val="20"/>
        </w:rPr>
        <w:t xml:space="preserve"> et al.</w:t>
      </w:r>
      <w:r w:rsidRPr="003D7B14">
        <w:rPr>
          <w:sz w:val="20"/>
          <w:szCs w:val="20"/>
        </w:rPr>
        <w:t xml:space="preserve"> (201</w:t>
      </w:r>
      <w:r>
        <w:rPr>
          <w:sz w:val="20"/>
          <w:szCs w:val="20"/>
        </w:rPr>
        <w:t xml:space="preserve">6b) </w:t>
      </w:r>
      <w:r w:rsidRPr="003D7B14">
        <w:rPr>
          <w:sz w:val="20"/>
          <w:szCs w:val="20"/>
        </w:rPr>
        <w:t>for the ECB.</w:t>
      </w:r>
    </w:p>
  </w:footnote>
  <w:footnote w:id="17">
    <w:p w14:paraId="7E0363B5" w14:textId="673DA477" w:rsidR="0009141B" w:rsidRPr="00CE081E" w:rsidRDefault="0009141B" w:rsidP="005B6276">
      <w:pPr>
        <w:pStyle w:val="FootnoteText"/>
        <w:jc w:val="both"/>
        <w:rPr>
          <w:sz w:val="20"/>
          <w:szCs w:val="20"/>
        </w:rPr>
      </w:pPr>
      <w:r w:rsidRPr="00CE081E">
        <w:rPr>
          <w:rStyle w:val="FootnoteReference"/>
          <w:sz w:val="20"/>
          <w:szCs w:val="20"/>
        </w:rPr>
        <w:footnoteRef/>
      </w:r>
      <w:r w:rsidRPr="00CE081E">
        <w:rPr>
          <w:sz w:val="20"/>
          <w:szCs w:val="20"/>
        </w:rPr>
        <w:t xml:space="preserve"> The aim of the </w:t>
      </w:r>
      <w:r>
        <w:rPr>
          <w:sz w:val="20"/>
          <w:szCs w:val="20"/>
        </w:rPr>
        <w:t>EAPP by the ECB was to purchase sovereign bonds by issuing new reserves and providing liquidity in the distressed countries and therefore to generate a reduction in long-term interest rates in order to control the recession and promote stability.</w:t>
      </w:r>
    </w:p>
  </w:footnote>
  <w:footnote w:id="18">
    <w:p w14:paraId="024C9640" w14:textId="6A58E639" w:rsidR="0009141B" w:rsidRPr="00656B19" w:rsidRDefault="0009141B" w:rsidP="00656B19">
      <w:pPr>
        <w:jc w:val="both"/>
        <w:rPr>
          <w:sz w:val="20"/>
          <w:szCs w:val="20"/>
        </w:rPr>
      </w:pPr>
      <w:r w:rsidRPr="00656B19">
        <w:rPr>
          <w:rStyle w:val="FootnoteReference"/>
          <w:sz w:val="20"/>
          <w:szCs w:val="20"/>
        </w:rPr>
        <w:footnoteRef/>
      </w:r>
      <w:r w:rsidRPr="00656B19">
        <w:rPr>
          <w:sz w:val="20"/>
          <w:szCs w:val="20"/>
        </w:rPr>
        <w:t xml:space="preserve"> </w:t>
      </w:r>
      <w:proofErr w:type="spellStart"/>
      <w:r w:rsidRPr="00656B19">
        <w:rPr>
          <w:sz w:val="20"/>
          <w:szCs w:val="20"/>
        </w:rPr>
        <w:t>Ejsing</w:t>
      </w:r>
      <w:proofErr w:type="spellEnd"/>
      <w:r w:rsidRPr="00656B19">
        <w:rPr>
          <w:sz w:val="20"/>
          <w:szCs w:val="20"/>
        </w:rPr>
        <w:t xml:space="preserve"> and </w:t>
      </w:r>
      <w:proofErr w:type="spellStart"/>
      <w:r w:rsidRPr="00656B19">
        <w:rPr>
          <w:sz w:val="20"/>
          <w:szCs w:val="20"/>
        </w:rPr>
        <w:t>Sihvonen</w:t>
      </w:r>
      <w:proofErr w:type="spellEnd"/>
      <w:r w:rsidRPr="00656B19">
        <w:rPr>
          <w:sz w:val="20"/>
          <w:szCs w:val="20"/>
        </w:rPr>
        <w:t xml:space="preserve"> (2009) examine differences between German and French government bonds based on the fact that both bond markets are identical in terms of credit rating. They indicate that German bonds exhibited higher liquidity and a larger price premium which was more intense during the Great Recession. This can be explained by the fact that German bonds are deliverable into futures contracts in the very liquid German futures market, whereas French bonds are not delivered into futures contracts. Thus, significant liquidity </w:t>
      </w:r>
      <w:proofErr w:type="spellStart"/>
      <w:r w:rsidRPr="00656B19">
        <w:rPr>
          <w:sz w:val="20"/>
          <w:szCs w:val="20"/>
        </w:rPr>
        <w:t>spillovers</w:t>
      </w:r>
      <w:proofErr w:type="spellEnd"/>
      <w:r w:rsidRPr="00656B19">
        <w:rPr>
          <w:sz w:val="20"/>
          <w:szCs w:val="20"/>
        </w:rPr>
        <w:t xml:space="preserve"> from the German futures market to the German cash market could help to determine the differences between </w:t>
      </w:r>
      <w:r>
        <w:rPr>
          <w:sz w:val="20"/>
          <w:szCs w:val="20"/>
        </w:rPr>
        <w:t xml:space="preserve">the two </w:t>
      </w:r>
      <w:r w:rsidRPr="00656B19">
        <w:rPr>
          <w:sz w:val="20"/>
          <w:szCs w:val="20"/>
        </w:rPr>
        <w:t>government bonds.</w:t>
      </w:r>
    </w:p>
    <w:p w14:paraId="1C34F8C6" w14:textId="481FAD6A" w:rsidR="0009141B" w:rsidRPr="00656B19" w:rsidRDefault="0009141B" w:rsidP="00656B19">
      <w:pPr>
        <w:spacing w:line="360" w:lineRule="auto"/>
        <w:jc w:val="both"/>
        <w:rPr>
          <w:sz w:val="20"/>
          <w:szCs w:val="20"/>
        </w:rPr>
      </w:pPr>
    </w:p>
    <w:p w14:paraId="3F47F33D" w14:textId="4DDFC27C" w:rsidR="0009141B" w:rsidRDefault="0009141B">
      <w:pPr>
        <w:pStyle w:val="FootnoteText"/>
      </w:pPr>
    </w:p>
  </w:footnote>
  <w:footnote w:id="19">
    <w:p w14:paraId="128D12E0" w14:textId="5D95CB1E" w:rsidR="0009141B" w:rsidRPr="00577539" w:rsidRDefault="0009141B" w:rsidP="00577539">
      <w:pPr>
        <w:pStyle w:val="FootnoteText"/>
        <w:jc w:val="both"/>
        <w:rPr>
          <w:sz w:val="20"/>
        </w:rPr>
      </w:pPr>
      <w:r>
        <w:rPr>
          <w:rStyle w:val="FootnoteReference"/>
        </w:rPr>
        <w:footnoteRef/>
      </w:r>
      <w:r>
        <w:t xml:space="preserve"> </w:t>
      </w:r>
      <w:r>
        <w:rPr>
          <w:sz w:val="20"/>
        </w:rPr>
        <w:t>The Granger-causality test also confirms the relationship (either bidirectional or unidirectional) between oil price shocks and the 10-year government bond yield spreads. For brevity we do not show the results here, but they are available upon request.</w:t>
      </w:r>
    </w:p>
  </w:footnote>
  <w:footnote w:id="20">
    <w:p w14:paraId="5A32D30E" w14:textId="72DE675F" w:rsidR="0009141B" w:rsidRPr="003702A1" w:rsidRDefault="0009141B" w:rsidP="003702A1">
      <w:pPr>
        <w:pStyle w:val="FootnoteText"/>
        <w:jc w:val="both"/>
        <w:rPr>
          <w:sz w:val="20"/>
          <w:szCs w:val="20"/>
        </w:rPr>
      </w:pPr>
      <w:r w:rsidRPr="003702A1">
        <w:rPr>
          <w:rStyle w:val="FootnoteReference"/>
          <w:sz w:val="20"/>
          <w:szCs w:val="20"/>
        </w:rPr>
        <w:footnoteRef/>
      </w:r>
      <w:r w:rsidRPr="003702A1">
        <w:rPr>
          <w:sz w:val="20"/>
          <w:szCs w:val="20"/>
        </w:rPr>
        <w:t xml:space="preserve"> </w:t>
      </w:r>
      <w:r>
        <w:rPr>
          <w:sz w:val="20"/>
          <w:szCs w:val="20"/>
        </w:rPr>
        <w:t xml:space="preserve">Fiscal variables (such as cyclically adjusted net lending or government spending as % of GDP) could have been also considered in this line of research. Nevertheless, these variables are only available in quarterly or annual basis, which would significantly reduce the number of degrees of freedom in the model and would result in less accurate coefficient estimates. Moreover, adding further variables to our nonlinear model, defined in Equations 6 – 9, would exacerbate the complexity of the log-likelihood function, resulting </w:t>
      </w:r>
      <w:r w:rsidR="00D47BCA">
        <w:rPr>
          <w:sz w:val="20"/>
          <w:szCs w:val="20"/>
        </w:rPr>
        <w:t xml:space="preserve">in </w:t>
      </w:r>
      <w:r>
        <w:rPr>
          <w:sz w:val="20"/>
          <w:szCs w:val="20"/>
        </w:rPr>
        <w:t>the inability to achieve convergence to a global optimum.</w:t>
      </w:r>
    </w:p>
  </w:footnote>
  <w:footnote w:id="21">
    <w:p w14:paraId="69B9083C" w14:textId="6301271F" w:rsidR="0009141B" w:rsidRPr="00E9201A" w:rsidRDefault="0009141B" w:rsidP="00E9201A">
      <w:pPr>
        <w:jc w:val="both"/>
        <w:rPr>
          <w:sz w:val="20"/>
          <w:szCs w:val="20"/>
        </w:rPr>
      </w:pPr>
      <w:r w:rsidRPr="00E943D5">
        <w:rPr>
          <w:rStyle w:val="FootnoteReference"/>
          <w:sz w:val="20"/>
          <w:szCs w:val="20"/>
        </w:rPr>
        <w:footnoteRef/>
      </w:r>
      <w:r w:rsidRPr="00E943D5">
        <w:rPr>
          <w:sz w:val="20"/>
          <w:szCs w:val="20"/>
        </w:rPr>
        <w:t xml:space="preserve"> </w:t>
      </w:r>
      <w:r w:rsidRPr="00E9201A">
        <w:rPr>
          <w:sz w:val="20"/>
          <w:szCs w:val="20"/>
        </w:rPr>
        <w:t>Despite the fact that the EPU, MPU and VOL are readily available, the ROV is constructed as follows:</w:t>
      </w:r>
      <m:oMath>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ROV</m:t>
            </m:r>
          </m:e>
          <m:sub>
            <m:r>
              <w:rPr>
                <w:rFonts w:ascii="Cambria Math" w:hAnsi="Cambria Math"/>
                <w:sz w:val="20"/>
                <w:szCs w:val="20"/>
              </w:rPr>
              <m:t>t</m:t>
            </m:r>
          </m:sub>
        </m:sSub>
        <m:r>
          <w:rPr>
            <w:rFonts w:ascii="Cambria Math" w:hAnsi="Cambria Math"/>
            <w:sz w:val="20"/>
            <w:szCs w:val="20"/>
          </w:rPr>
          <m:t>=100</m:t>
        </m:r>
        <m:rad>
          <m:radPr>
            <m:degHide m:val="1"/>
            <m:ctrlPr>
              <w:rPr>
                <w:rFonts w:ascii="Cambria Math" w:hAnsi="Cambria Math"/>
                <w:i/>
                <w:sz w:val="20"/>
                <w:szCs w:val="20"/>
              </w:rPr>
            </m:ctrlPr>
          </m:radPr>
          <m:deg/>
          <m:e>
            <m:r>
              <w:rPr>
                <w:rFonts w:ascii="Cambria Math" w:hAnsi="Cambria Math"/>
                <w:sz w:val="20"/>
                <w:szCs w:val="20"/>
              </w:rPr>
              <m:t>12</m:t>
            </m:r>
            <m:nary>
              <m:naryPr>
                <m:chr m:val="∑"/>
                <m:limLoc m:val="subSup"/>
                <m:ctrlPr>
                  <w:rPr>
                    <w:rFonts w:ascii="Cambria Math" w:hAnsi="Cambria Math"/>
                    <w:i/>
                    <w:sz w:val="20"/>
                    <w:szCs w:val="20"/>
                  </w:rPr>
                </m:ctrlPr>
              </m:naryPr>
              <m:sub>
                <m:r>
                  <w:rPr>
                    <w:rFonts w:ascii="Cambria Math" w:hAnsi="Cambria Math"/>
                    <w:sz w:val="20"/>
                    <w:szCs w:val="20"/>
                  </w:rPr>
                  <m:t>k=1</m:t>
                </m:r>
              </m:sub>
              <m:sup>
                <m:r>
                  <w:rPr>
                    <w:rFonts w:ascii="Cambria Math" w:hAnsi="Cambria Math"/>
                    <w:sz w:val="20"/>
                    <w:szCs w:val="20"/>
                  </w:rPr>
                  <m:t>τ</m:t>
                </m:r>
              </m:sup>
              <m:e>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log</m:t>
                        </m:r>
                        <m:sSub>
                          <m:sSubPr>
                            <m:ctrlPr>
                              <w:rPr>
                                <w:rFonts w:ascii="Cambria Math" w:hAnsi="Cambria Math"/>
                                <w:i/>
                                <w:sz w:val="20"/>
                                <w:szCs w:val="20"/>
                              </w:rPr>
                            </m:ctrlPr>
                          </m:sSubPr>
                          <m:e>
                            <m:r>
                              <w:rPr>
                                <w:rFonts w:ascii="Cambria Math" w:hAnsi="Cambria Math"/>
                                <w:sz w:val="20"/>
                                <w:szCs w:val="20"/>
                              </w:rPr>
                              <m:t>ROP</m:t>
                            </m:r>
                          </m:e>
                          <m:sub>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k</m:t>
                                </m:r>
                              </m:sub>
                            </m:sSub>
                          </m:sub>
                        </m:sSub>
                        <m:r>
                          <w:rPr>
                            <w:rFonts w:ascii="Cambria Math" w:hAnsi="Cambria Math"/>
                            <w:sz w:val="20"/>
                            <w:szCs w:val="20"/>
                          </w:rPr>
                          <m:t>-log</m:t>
                        </m:r>
                        <m:sSub>
                          <m:sSubPr>
                            <m:ctrlPr>
                              <w:rPr>
                                <w:rFonts w:ascii="Cambria Math" w:hAnsi="Cambria Math"/>
                                <w:i/>
                                <w:sz w:val="20"/>
                                <w:szCs w:val="20"/>
                              </w:rPr>
                            </m:ctrlPr>
                          </m:sSubPr>
                          <m:e>
                            <m:r>
                              <w:rPr>
                                <w:rFonts w:ascii="Cambria Math" w:hAnsi="Cambria Math"/>
                                <w:sz w:val="20"/>
                                <w:szCs w:val="20"/>
                              </w:rPr>
                              <m:t>ROP</m:t>
                            </m:r>
                          </m:e>
                          <m:sub>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k-1</m:t>
                                </m:r>
                              </m:sub>
                            </m:sSub>
                          </m:sub>
                        </m:sSub>
                      </m:e>
                    </m:d>
                  </m:e>
                  <m:sup>
                    <m:r>
                      <w:rPr>
                        <w:rFonts w:ascii="Cambria Math" w:hAnsi="Cambria Math"/>
                        <w:sz w:val="20"/>
                        <w:szCs w:val="20"/>
                      </w:rPr>
                      <m:t>2</m:t>
                    </m:r>
                  </m:sup>
                </m:sSup>
              </m:e>
            </m:nary>
          </m:e>
        </m:rad>
      </m:oMath>
      <w:r w:rsidRPr="00E9201A">
        <w:rPr>
          <w:sz w:val="20"/>
          <w:szCs w:val="20"/>
        </w:rPr>
        <w:t xml:space="preserve">, where </w:t>
      </w:r>
      <m:oMath>
        <m:sSub>
          <m:sSubPr>
            <m:ctrlPr>
              <w:rPr>
                <w:rFonts w:ascii="Cambria Math" w:hAnsi="Cambria Math"/>
                <w:i/>
                <w:sz w:val="20"/>
                <w:szCs w:val="20"/>
              </w:rPr>
            </m:ctrlPr>
          </m:sSubPr>
          <m:e>
            <m:r>
              <w:rPr>
                <w:rFonts w:ascii="Cambria Math" w:hAnsi="Cambria Math"/>
                <w:sz w:val="20"/>
                <w:szCs w:val="20"/>
              </w:rPr>
              <m:t>ROP</m:t>
            </m:r>
          </m:e>
          <m:sub>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k</m:t>
                </m:r>
              </m:sub>
            </m:sSub>
          </m:sub>
        </m:sSub>
      </m:oMath>
      <w:r w:rsidRPr="00E9201A">
        <w:rPr>
          <w:sz w:val="20"/>
          <w:szCs w:val="20"/>
        </w:rPr>
        <w:t xml:space="preserve"> denotes the real oil prices of day </w:t>
      </w:r>
      <w:r w:rsidRPr="00E9201A">
        <w:rPr>
          <w:i/>
          <w:sz w:val="20"/>
          <w:szCs w:val="20"/>
        </w:rPr>
        <w:t>k</w:t>
      </w:r>
      <w:r w:rsidRPr="00E9201A">
        <w:rPr>
          <w:sz w:val="20"/>
          <w:szCs w:val="20"/>
        </w:rPr>
        <w:t xml:space="preserve"> at month </w:t>
      </w:r>
      <w:r w:rsidRPr="00E9201A">
        <w:rPr>
          <w:i/>
          <w:sz w:val="20"/>
          <w:szCs w:val="20"/>
        </w:rPr>
        <w:t>t</w:t>
      </w:r>
      <w:r w:rsidRPr="00E9201A">
        <w:rPr>
          <w:sz w:val="20"/>
          <w:szCs w:val="20"/>
        </w:rPr>
        <w:t>.</w:t>
      </w:r>
    </w:p>
    <w:p w14:paraId="048211D5" w14:textId="5852AFF0" w:rsidR="0009141B" w:rsidRDefault="0009141B">
      <w:pPr>
        <w:pStyle w:val="FootnoteText"/>
      </w:pPr>
    </w:p>
  </w:footnote>
  <w:footnote w:id="22">
    <w:p w14:paraId="3C1E5B2B" w14:textId="39E4F0D6" w:rsidR="0009141B" w:rsidRPr="00911971" w:rsidRDefault="0009141B" w:rsidP="00911971">
      <w:pPr>
        <w:suppressAutoHyphens/>
        <w:jc w:val="both"/>
        <w:rPr>
          <w:sz w:val="20"/>
          <w:szCs w:val="20"/>
        </w:rPr>
      </w:pPr>
      <w:r w:rsidRPr="00911971">
        <w:rPr>
          <w:rStyle w:val="FootnoteReference"/>
          <w:sz w:val="20"/>
          <w:szCs w:val="20"/>
        </w:rPr>
        <w:footnoteRef/>
      </w:r>
      <w:r w:rsidRPr="00911971">
        <w:rPr>
          <w:sz w:val="20"/>
          <w:szCs w:val="20"/>
        </w:rPr>
        <w:t xml:space="preserve"> </w:t>
      </w:r>
      <w:r>
        <w:rPr>
          <w:sz w:val="20"/>
          <w:szCs w:val="20"/>
        </w:rPr>
        <w:t>Previous</w:t>
      </w:r>
      <w:r w:rsidRPr="00911971">
        <w:rPr>
          <w:sz w:val="20"/>
          <w:szCs w:val="20"/>
        </w:rPr>
        <w:t xml:space="preserve"> studies based on a time-line of major events in the oil market that investigate time-varying correlations between oil markets and stock markets include papers by </w:t>
      </w:r>
      <w:proofErr w:type="spellStart"/>
      <w:r w:rsidRPr="00911971">
        <w:rPr>
          <w:sz w:val="20"/>
          <w:szCs w:val="20"/>
        </w:rPr>
        <w:t>Antonakakis</w:t>
      </w:r>
      <w:proofErr w:type="spellEnd"/>
      <w:r w:rsidRPr="00911971">
        <w:rPr>
          <w:sz w:val="20"/>
          <w:szCs w:val="20"/>
        </w:rPr>
        <w:t xml:space="preserve"> et al. (2017), </w:t>
      </w:r>
      <w:proofErr w:type="spellStart"/>
      <w:r w:rsidRPr="00911971">
        <w:rPr>
          <w:sz w:val="20"/>
          <w:szCs w:val="20"/>
        </w:rPr>
        <w:t>Boldanov</w:t>
      </w:r>
      <w:proofErr w:type="spellEnd"/>
      <w:r w:rsidRPr="00911971">
        <w:rPr>
          <w:sz w:val="20"/>
          <w:szCs w:val="20"/>
        </w:rPr>
        <w:t xml:space="preserve"> et al. (2016), </w:t>
      </w:r>
      <w:proofErr w:type="spellStart"/>
      <w:r w:rsidRPr="00911971">
        <w:rPr>
          <w:sz w:val="20"/>
          <w:szCs w:val="20"/>
        </w:rPr>
        <w:t>Broadstock</w:t>
      </w:r>
      <w:proofErr w:type="spellEnd"/>
      <w:r w:rsidRPr="00911971">
        <w:rPr>
          <w:sz w:val="20"/>
          <w:szCs w:val="20"/>
        </w:rPr>
        <w:t xml:space="preserve"> and </w:t>
      </w:r>
      <w:proofErr w:type="spellStart"/>
      <w:r w:rsidRPr="00911971">
        <w:rPr>
          <w:sz w:val="20"/>
          <w:szCs w:val="20"/>
        </w:rPr>
        <w:t>Filis</w:t>
      </w:r>
      <w:proofErr w:type="spellEnd"/>
      <w:r w:rsidRPr="00911971">
        <w:rPr>
          <w:sz w:val="20"/>
          <w:szCs w:val="20"/>
        </w:rPr>
        <w:t xml:space="preserve"> (2014), </w:t>
      </w:r>
      <w:proofErr w:type="spellStart"/>
      <w:r w:rsidRPr="00911971">
        <w:rPr>
          <w:sz w:val="20"/>
          <w:szCs w:val="20"/>
        </w:rPr>
        <w:t>Antonakakis</w:t>
      </w:r>
      <w:proofErr w:type="spellEnd"/>
      <w:r w:rsidRPr="00911971">
        <w:rPr>
          <w:sz w:val="20"/>
          <w:szCs w:val="20"/>
        </w:rPr>
        <w:t xml:space="preserve"> and </w:t>
      </w:r>
      <w:proofErr w:type="spellStart"/>
      <w:r w:rsidRPr="00911971">
        <w:rPr>
          <w:sz w:val="20"/>
          <w:szCs w:val="20"/>
        </w:rPr>
        <w:t>Filis</w:t>
      </w:r>
      <w:proofErr w:type="spellEnd"/>
      <w:r w:rsidRPr="00911971">
        <w:rPr>
          <w:sz w:val="20"/>
          <w:szCs w:val="20"/>
        </w:rPr>
        <w:t xml:space="preserve"> (2013), </w:t>
      </w:r>
      <w:proofErr w:type="spellStart"/>
      <w:r w:rsidRPr="00911971">
        <w:rPr>
          <w:sz w:val="20"/>
          <w:szCs w:val="20"/>
        </w:rPr>
        <w:t>Degiannakis</w:t>
      </w:r>
      <w:proofErr w:type="spellEnd"/>
      <w:r w:rsidRPr="00911971">
        <w:rPr>
          <w:sz w:val="20"/>
          <w:szCs w:val="20"/>
        </w:rPr>
        <w:t xml:space="preserve"> et al. (2013) and </w:t>
      </w:r>
      <w:proofErr w:type="spellStart"/>
      <w:r w:rsidRPr="00911971">
        <w:rPr>
          <w:sz w:val="20"/>
          <w:szCs w:val="20"/>
        </w:rPr>
        <w:t>Filis</w:t>
      </w:r>
      <w:proofErr w:type="spellEnd"/>
      <w:r w:rsidRPr="00911971">
        <w:rPr>
          <w:sz w:val="20"/>
          <w:szCs w:val="20"/>
        </w:rPr>
        <w:t xml:space="preserve"> et al. (2011). A common feature of the aforementioned studies reveals that the correlations are time-varying</w:t>
      </w:r>
      <w:r>
        <w:rPr>
          <w:sz w:val="20"/>
          <w:szCs w:val="20"/>
        </w:rPr>
        <w:t>,</w:t>
      </w:r>
      <w:r w:rsidRPr="00911971">
        <w:rPr>
          <w:sz w:val="20"/>
          <w:szCs w:val="20"/>
        </w:rPr>
        <w:t xml:space="preserve"> and the magnitude of the correlations </w:t>
      </w:r>
      <w:r>
        <w:rPr>
          <w:sz w:val="20"/>
          <w:szCs w:val="20"/>
        </w:rPr>
        <w:t>differs at</w:t>
      </w:r>
      <w:r w:rsidRPr="00911971">
        <w:rPr>
          <w:sz w:val="20"/>
          <w:szCs w:val="20"/>
        </w:rPr>
        <w:t xml:space="preserve"> different events. </w:t>
      </w:r>
    </w:p>
    <w:p w14:paraId="739C4481" w14:textId="77777777" w:rsidR="0009141B" w:rsidRDefault="0009141B">
      <w:pPr>
        <w:pStyle w:val="FootnoteText"/>
      </w:pPr>
    </w:p>
  </w:footnote>
  <w:footnote w:id="23">
    <w:p w14:paraId="5D224858" w14:textId="5AF39CE5" w:rsidR="0009141B" w:rsidRPr="005F18A4" w:rsidRDefault="0009141B" w:rsidP="005F18A4">
      <w:pPr>
        <w:pStyle w:val="FootnoteText"/>
        <w:jc w:val="both"/>
        <w:rPr>
          <w:sz w:val="20"/>
          <w:szCs w:val="20"/>
        </w:rPr>
      </w:pPr>
      <w:r w:rsidRPr="005F18A4">
        <w:rPr>
          <w:rStyle w:val="FootnoteReference"/>
          <w:sz w:val="20"/>
          <w:szCs w:val="20"/>
        </w:rPr>
        <w:footnoteRef/>
      </w:r>
      <w:r w:rsidRPr="005F18A4">
        <w:rPr>
          <w:sz w:val="20"/>
          <w:szCs w:val="20"/>
        </w:rPr>
        <w:t xml:space="preserve"> For more information, see: https://www.statista.com/statistics/745580/france-crude-oil-imported-by-region/</w:t>
      </w:r>
    </w:p>
  </w:footnote>
  <w:footnote w:id="24">
    <w:p w14:paraId="57D5A812" w14:textId="40F4BDE8" w:rsidR="0009141B" w:rsidRDefault="0009141B">
      <w:pPr>
        <w:pStyle w:val="FootnoteText"/>
        <w:rPr>
          <w:sz w:val="20"/>
          <w:szCs w:val="20"/>
        </w:rPr>
      </w:pPr>
      <w:r w:rsidRPr="00F3133C">
        <w:rPr>
          <w:rStyle w:val="FootnoteReference"/>
          <w:sz w:val="20"/>
          <w:szCs w:val="20"/>
        </w:rPr>
        <w:footnoteRef/>
      </w:r>
      <w:r w:rsidRPr="00F3133C">
        <w:rPr>
          <w:sz w:val="20"/>
          <w:szCs w:val="20"/>
        </w:rPr>
        <w:t xml:space="preserve"> The source of the information can be found on the </w:t>
      </w:r>
      <w:r>
        <w:rPr>
          <w:sz w:val="20"/>
          <w:szCs w:val="20"/>
        </w:rPr>
        <w:t>Our Finite World site</w:t>
      </w:r>
      <w:r w:rsidRPr="00F3133C">
        <w:rPr>
          <w:sz w:val="20"/>
          <w:szCs w:val="20"/>
        </w:rPr>
        <w:t>:</w:t>
      </w:r>
    </w:p>
    <w:p w14:paraId="07B1055B" w14:textId="6DAC281E" w:rsidR="0009141B" w:rsidRPr="00F3133C" w:rsidRDefault="0009141B">
      <w:pPr>
        <w:pStyle w:val="FootnoteText"/>
        <w:rPr>
          <w:sz w:val="20"/>
          <w:szCs w:val="20"/>
        </w:rPr>
      </w:pPr>
      <w:r w:rsidRPr="00DB3D8D">
        <w:rPr>
          <w:sz w:val="20"/>
          <w:szCs w:val="20"/>
        </w:rPr>
        <w:t>https://ourfiniteworld.com/2012/03/05/why-high-oil-prices-are-now-affecting-europe-more-than-the-us/#comments</w:t>
      </w:r>
    </w:p>
  </w:footnote>
  <w:footnote w:id="25">
    <w:p w14:paraId="4265A4C6" w14:textId="29F990C9" w:rsidR="0009141B" w:rsidRPr="0067652E" w:rsidRDefault="0009141B" w:rsidP="0067652E">
      <w:pPr>
        <w:pStyle w:val="FootnoteText"/>
        <w:jc w:val="both"/>
        <w:rPr>
          <w:sz w:val="20"/>
        </w:rPr>
      </w:pPr>
      <w:r w:rsidRPr="0067652E">
        <w:rPr>
          <w:rStyle w:val="FootnoteReference"/>
          <w:sz w:val="20"/>
        </w:rPr>
        <w:footnoteRef/>
      </w:r>
      <w:r w:rsidRPr="00BE7038">
        <w:rPr>
          <w:sz w:val="20"/>
          <w:lang w:val="fr-FR"/>
        </w:rPr>
        <w:t xml:space="preserve"> </w:t>
      </w:r>
      <w:proofErr w:type="spellStart"/>
      <w:r w:rsidRPr="00BE7038">
        <w:rPr>
          <w:sz w:val="20"/>
          <w:lang w:val="fr-FR"/>
        </w:rPr>
        <w:t>See</w:t>
      </w:r>
      <w:proofErr w:type="spellEnd"/>
      <w:r w:rsidRPr="00BE7038">
        <w:rPr>
          <w:sz w:val="20"/>
          <w:lang w:val="fr-FR"/>
        </w:rPr>
        <w:t xml:space="preserve">, Bouri et al. (2018), Bouri et al. </w:t>
      </w:r>
      <w:r>
        <w:rPr>
          <w:sz w:val="20"/>
        </w:rPr>
        <w:t>(</w:t>
      </w:r>
      <w:r w:rsidRPr="0067652E">
        <w:rPr>
          <w:sz w:val="20"/>
        </w:rPr>
        <w:t>2017</w:t>
      </w:r>
      <w:r>
        <w:rPr>
          <w:sz w:val="20"/>
        </w:rPr>
        <w:t xml:space="preserve">), </w:t>
      </w:r>
      <w:r w:rsidRPr="0067652E">
        <w:rPr>
          <w:sz w:val="20"/>
        </w:rPr>
        <w:t xml:space="preserve">Wegener et al. </w:t>
      </w:r>
      <w:r>
        <w:rPr>
          <w:sz w:val="20"/>
        </w:rPr>
        <w:t>(</w:t>
      </w:r>
      <w:r w:rsidRPr="0067652E">
        <w:rPr>
          <w:sz w:val="20"/>
        </w:rPr>
        <w:t>2016</w:t>
      </w:r>
      <w:r>
        <w:rPr>
          <w:sz w:val="20"/>
        </w:rPr>
        <w:t>)</w:t>
      </w:r>
      <w:r w:rsidRPr="0067652E">
        <w:rPr>
          <w:sz w:val="20"/>
        </w:rPr>
        <w:t xml:space="preserve"> and Alexandre and de Benoist </w:t>
      </w:r>
      <w:r>
        <w:rPr>
          <w:sz w:val="20"/>
        </w:rPr>
        <w:t>(</w:t>
      </w:r>
      <w:r w:rsidRPr="0067652E">
        <w:rPr>
          <w:sz w:val="20"/>
        </w:rPr>
        <w:t>2010</w:t>
      </w:r>
      <w:r>
        <w:rPr>
          <w:sz w:val="20"/>
        </w:rPr>
        <w:t>)</w:t>
      </w:r>
      <w:r w:rsidRPr="0067652E">
        <w:rPr>
          <w:sz w:val="20"/>
        </w:rPr>
        <w:t>, among others</w:t>
      </w:r>
      <w:r>
        <w:rPr>
          <w:sz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97100"/>
    <w:multiLevelType w:val="hybridMultilevel"/>
    <w:tmpl w:val="B372C3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6B6C39"/>
    <w:multiLevelType w:val="hybridMultilevel"/>
    <w:tmpl w:val="CAE2F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F65386"/>
    <w:multiLevelType w:val="hybridMultilevel"/>
    <w:tmpl w:val="1A580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E2042D"/>
    <w:multiLevelType w:val="hybridMultilevel"/>
    <w:tmpl w:val="1AFCB7D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2B9C4738"/>
    <w:multiLevelType w:val="multilevel"/>
    <w:tmpl w:val="D0BE9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297EE0"/>
    <w:multiLevelType w:val="hybridMultilevel"/>
    <w:tmpl w:val="264EFA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4B009F"/>
    <w:multiLevelType w:val="hybridMultilevel"/>
    <w:tmpl w:val="B7E8E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452B8F"/>
    <w:multiLevelType w:val="hybridMultilevel"/>
    <w:tmpl w:val="F4C4B3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A2F5429"/>
    <w:multiLevelType w:val="hybridMultilevel"/>
    <w:tmpl w:val="04B61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AE29AC"/>
    <w:multiLevelType w:val="hybridMultilevel"/>
    <w:tmpl w:val="DA546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6"/>
  </w:num>
  <w:num w:numId="4">
    <w:abstractNumId w:val="3"/>
  </w:num>
  <w:num w:numId="5">
    <w:abstractNumId w:val="7"/>
  </w:num>
  <w:num w:numId="6">
    <w:abstractNumId w:val="8"/>
  </w:num>
  <w:num w:numId="7">
    <w:abstractNumId w:val="9"/>
  </w:num>
  <w:num w:numId="8">
    <w:abstractNumId w:val="1"/>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0"/>
  <w:activeWritingStyle w:appName="MSWord" w:lang="fr-FR" w:vendorID="64" w:dllVersion="4096" w:nlCheck="1" w:checkStyle="0"/>
  <w:activeWritingStyle w:appName="MSWord" w:lang="es-ES" w:vendorID="64" w:dllVersion="0" w:nlCheck="1" w:checkStyle="0"/>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6CC"/>
    <w:rsid w:val="000001D2"/>
    <w:rsid w:val="00000510"/>
    <w:rsid w:val="000005D5"/>
    <w:rsid w:val="000007CA"/>
    <w:rsid w:val="00000827"/>
    <w:rsid w:val="00000985"/>
    <w:rsid w:val="00000A2E"/>
    <w:rsid w:val="00001698"/>
    <w:rsid w:val="000026A8"/>
    <w:rsid w:val="000028AD"/>
    <w:rsid w:val="0000397C"/>
    <w:rsid w:val="00004714"/>
    <w:rsid w:val="00004DCB"/>
    <w:rsid w:val="000051D9"/>
    <w:rsid w:val="00005400"/>
    <w:rsid w:val="000056AA"/>
    <w:rsid w:val="000057F9"/>
    <w:rsid w:val="00006BE6"/>
    <w:rsid w:val="00007860"/>
    <w:rsid w:val="00007B45"/>
    <w:rsid w:val="00010880"/>
    <w:rsid w:val="00010EC7"/>
    <w:rsid w:val="000110A3"/>
    <w:rsid w:val="00011463"/>
    <w:rsid w:val="000115D6"/>
    <w:rsid w:val="00011670"/>
    <w:rsid w:val="000125F3"/>
    <w:rsid w:val="00012F20"/>
    <w:rsid w:val="00012FCD"/>
    <w:rsid w:val="0001363B"/>
    <w:rsid w:val="0001371B"/>
    <w:rsid w:val="00013E85"/>
    <w:rsid w:val="00013FB4"/>
    <w:rsid w:val="000140BC"/>
    <w:rsid w:val="0001493B"/>
    <w:rsid w:val="00014CFA"/>
    <w:rsid w:val="00014EBA"/>
    <w:rsid w:val="00016029"/>
    <w:rsid w:val="00016A05"/>
    <w:rsid w:val="00017674"/>
    <w:rsid w:val="0001796E"/>
    <w:rsid w:val="00017A6E"/>
    <w:rsid w:val="00017C1B"/>
    <w:rsid w:val="00020A8F"/>
    <w:rsid w:val="00021012"/>
    <w:rsid w:val="000217D5"/>
    <w:rsid w:val="000220AF"/>
    <w:rsid w:val="000225A0"/>
    <w:rsid w:val="00022600"/>
    <w:rsid w:val="00022757"/>
    <w:rsid w:val="000228F7"/>
    <w:rsid w:val="00022ED8"/>
    <w:rsid w:val="000235F6"/>
    <w:rsid w:val="000238E2"/>
    <w:rsid w:val="00023DCC"/>
    <w:rsid w:val="00024230"/>
    <w:rsid w:val="000244F8"/>
    <w:rsid w:val="000251FC"/>
    <w:rsid w:val="000254C8"/>
    <w:rsid w:val="000258DC"/>
    <w:rsid w:val="00025EA7"/>
    <w:rsid w:val="00025EFF"/>
    <w:rsid w:val="00026342"/>
    <w:rsid w:val="00026801"/>
    <w:rsid w:val="000269B8"/>
    <w:rsid w:val="00026E02"/>
    <w:rsid w:val="0002726D"/>
    <w:rsid w:val="0002739C"/>
    <w:rsid w:val="00027517"/>
    <w:rsid w:val="00027A51"/>
    <w:rsid w:val="00027ED6"/>
    <w:rsid w:val="00030319"/>
    <w:rsid w:val="00030BFA"/>
    <w:rsid w:val="00030FA0"/>
    <w:rsid w:val="0003134E"/>
    <w:rsid w:val="0003163A"/>
    <w:rsid w:val="00031BB8"/>
    <w:rsid w:val="00031D01"/>
    <w:rsid w:val="00032B43"/>
    <w:rsid w:val="00032F8D"/>
    <w:rsid w:val="000331F9"/>
    <w:rsid w:val="000333E0"/>
    <w:rsid w:val="000339BC"/>
    <w:rsid w:val="000343B1"/>
    <w:rsid w:val="00034A23"/>
    <w:rsid w:val="00035210"/>
    <w:rsid w:val="00035920"/>
    <w:rsid w:val="000359A3"/>
    <w:rsid w:val="00035A28"/>
    <w:rsid w:val="00035A94"/>
    <w:rsid w:val="00036324"/>
    <w:rsid w:val="00036693"/>
    <w:rsid w:val="0003673E"/>
    <w:rsid w:val="000368F2"/>
    <w:rsid w:val="00037425"/>
    <w:rsid w:val="00037B51"/>
    <w:rsid w:val="00037D56"/>
    <w:rsid w:val="000402FA"/>
    <w:rsid w:val="00040DBD"/>
    <w:rsid w:val="00040ED6"/>
    <w:rsid w:val="000415EB"/>
    <w:rsid w:val="00042DDD"/>
    <w:rsid w:val="00042E3D"/>
    <w:rsid w:val="000430CB"/>
    <w:rsid w:val="00043109"/>
    <w:rsid w:val="00043F8C"/>
    <w:rsid w:val="00044D6A"/>
    <w:rsid w:val="00044EB3"/>
    <w:rsid w:val="000451A2"/>
    <w:rsid w:val="00045591"/>
    <w:rsid w:val="00045738"/>
    <w:rsid w:val="0004583E"/>
    <w:rsid w:val="00045991"/>
    <w:rsid w:val="00045D85"/>
    <w:rsid w:val="00045D98"/>
    <w:rsid w:val="000463DC"/>
    <w:rsid w:val="00046408"/>
    <w:rsid w:val="000466F5"/>
    <w:rsid w:val="00046B8A"/>
    <w:rsid w:val="00047155"/>
    <w:rsid w:val="00051A2F"/>
    <w:rsid w:val="00051F23"/>
    <w:rsid w:val="00052161"/>
    <w:rsid w:val="000525F5"/>
    <w:rsid w:val="00052E56"/>
    <w:rsid w:val="00053810"/>
    <w:rsid w:val="0005450F"/>
    <w:rsid w:val="000547E4"/>
    <w:rsid w:val="000547F3"/>
    <w:rsid w:val="00054C19"/>
    <w:rsid w:val="00054C78"/>
    <w:rsid w:val="00054E00"/>
    <w:rsid w:val="000557BA"/>
    <w:rsid w:val="00056393"/>
    <w:rsid w:val="00056445"/>
    <w:rsid w:val="00056785"/>
    <w:rsid w:val="00057042"/>
    <w:rsid w:val="000576EC"/>
    <w:rsid w:val="000577D6"/>
    <w:rsid w:val="000578EB"/>
    <w:rsid w:val="00057A08"/>
    <w:rsid w:val="00060444"/>
    <w:rsid w:val="00060A58"/>
    <w:rsid w:val="00060C5C"/>
    <w:rsid w:val="00061365"/>
    <w:rsid w:val="000619EC"/>
    <w:rsid w:val="00061F2F"/>
    <w:rsid w:val="00062023"/>
    <w:rsid w:val="00062315"/>
    <w:rsid w:val="00062AE0"/>
    <w:rsid w:val="00062D29"/>
    <w:rsid w:val="00062D94"/>
    <w:rsid w:val="00062E89"/>
    <w:rsid w:val="00063016"/>
    <w:rsid w:val="000630A9"/>
    <w:rsid w:val="000637BF"/>
    <w:rsid w:val="00063AC3"/>
    <w:rsid w:val="0006491C"/>
    <w:rsid w:val="00065110"/>
    <w:rsid w:val="000658A1"/>
    <w:rsid w:val="00066A69"/>
    <w:rsid w:val="00067272"/>
    <w:rsid w:val="0006758B"/>
    <w:rsid w:val="000675EB"/>
    <w:rsid w:val="000676FA"/>
    <w:rsid w:val="00067CF1"/>
    <w:rsid w:val="00067E6A"/>
    <w:rsid w:val="00070008"/>
    <w:rsid w:val="00070619"/>
    <w:rsid w:val="00071887"/>
    <w:rsid w:val="00071EF6"/>
    <w:rsid w:val="00073908"/>
    <w:rsid w:val="00073A65"/>
    <w:rsid w:val="0007419F"/>
    <w:rsid w:val="000744DD"/>
    <w:rsid w:val="00074A25"/>
    <w:rsid w:val="00074E93"/>
    <w:rsid w:val="00075481"/>
    <w:rsid w:val="00075947"/>
    <w:rsid w:val="00075F89"/>
    <w:rsid w:val="000769DA"/>
    <w:rsid w:val="00076EB5"/>
    <w:rsid w:val="0007716F"/>
    <w:rsid w:val="00077A74"/>
    <w:rsid w:val="00077DB2"/>
    <w:rsid w:val="00077EEB"/>
    <w:rsid w:val="00080ECE"/>
    <w:rsid w:val="000817EC"/>
    <w:rsid w:val="000818C3"/>
    <w:rsid w:val="00081F86"/>
    <w:rsid w:val="00082078"/>
    <w:rsid w:val="0008209E"/>
    <w:rsid w:val="00082A34"/>
    <w:rsid w:val="00082C14"/>
    <w:rsid w:val="000835F6"/>
    <w:rsid w:val="0008440D"/>
    <w:rsid w:val="0008469F"/>
    <w:rsid w:val="00084863"/>
    <w:rsid w:val="000850A4"/>
    <w:rsid w:val="00085172"/>
    <w:rsid w:val="000852A4"/>
    <w:rsid w:val="0008734A"/>
    <w:rsid w:val="00087601"/>
    <w:rsid w:val="000876F6"/>
    <w:rsid w:val="00087B1A"/>
    <w:rsid w:val="00087F01"/>
    <w:rsid w:val="000903C0"/>
    <w:rsid w:val="0009141B"/>
    <w:rsid w:val="000914AD"/>
    <w:rsid w:val="00091597"/>
    <w:rsid w:val="00091657"/>
    <w:rsid w:val="00091667"/>
    <w:rsid w:val="0009167F"/>
    <w:rsid w:val="00091A5C"/>
    <w:rsid w:val="000921A9"/>
    <w:rsid w:val="00092E10"/>
    <w:rsid w:val="000935B5"/>
    <w:rsid w:val="000938CF"/>
    <w:rsid w:val="000947AD"/>
    <w:rsid w:val="000947FC"/>
    <w:rsid w:val="0009482A"/>
    <w:rsid w:val="000948C7"/>
    <w:rsid w:val="00094A5C"/>
    <w:rsid w:val="00094B3D"/>
    <w:rsid w:val="000954FE"/>
    <w:rsid w:val="00095618"/>
    <w:rsid w:val="000958EB"/>
    <w:rsid w:val="00095BFE"/>
    <w:rsid w:val="000965B7"/>
    <w:rsid w:val="000973AF"/>
    <w:rsid w:val="000A0543"/>
    <w:rsid w:val="000A06D4"/>
    <w:rsid w:val="000A1375"/>
    <w:rsid w:val="000A2353"/>
    <w:rsid w:val="000A2872"/>
    <w:rsid w:val="000A31D3"/>
    <w:rsid w:val="000A367D"/>
    <w:rsid w:val="000A42C3"/>
    <w:rsid w:val="000A44EB"/>
    <w:rsid w:val="000A4548"/>
    <w:rsid w:val="000A49DC"/>
    <w:rsid w:val="000A4A35"/>
    <w:rsid w:val="000A4A72"/>
    <w:rsid w:val="000A4B64"/>
    <w:rsid w:val="000A5565"/>
    <w:rsid w:val="000A578A"/>
    <w:rsid w:val="000A5A50"/>
    <w:rsid w:val="000A619E"/>
    <w:rsid w:val="000A6664"/>
    <w:rsid w:val="000A6B6B"/>
    <w:rsid w:val="000A753F"/>
    <w:rsid w:val="000A7C72"/>
    <w:rsid w:val="000B05D8"/>
    <w:rsid w:val="000B2629"/>
    <w:rsid w:val="000B2B65"/>
    <w:rsid w:val="000B2CD6"/>
    <w:rsid w:val="000B3218"/>
    <w:rsid w:val="000B3362"/>
    <w:rsid w:val="000B3AFE"/>
    <w:rsid w:val="000B3BE5"/>
    <w:rsid w:val="000B3D43"/>
    <w:rsid w:val="000B4330"/>
    <w:rsid w:val="000B4526"/>
    <w:rsid w:val="000B4754"/>
    <w:rsid w:val="000B55AE"/>
    <w:rsid w:val="000B589C"/>
    <w:rsid w:val="000B659A"/>
    <w:rsid w:val="000B761D"/>
    <w:rsid w:val="000C0469"/>
    <w:rsid w:val="000C085E"/>
    <w:rsid w:val="000C0A97"/>
    <w:rsid w:val="000C0E0C"/>
    <w:rsid w:val="000C1771"/>
    <w:rsid w:val="000C1804"/>
    <w:rsid w:val="000C2024"/>
    <w:rsid w:val="000C20E1"/>
    <w:rsid w:val="000C2526"/>
    <w:rsid w:val="000C2603"/>
    <w:rsid w:val="000C279B"/>
    <w:rsid w:val="000C2BFD"/>
    <w:rsid w:val="000C2D60"/>
    <w:rsid w:val="000C314F"/>
    <w:rsid w:val="000C32CF"/>
    <w:rsid w:val="000C37F7"/>
    <w:rsid w:val="000C3D46"/>
    <w:rsid w:val="000C3FD6"/>
    <w:rsid w:val="000C4837"/>
    <w:rsid w:val="000C489C"/>
    <w:rsid w:val="000C4C71"/>
    <w:rsid w:val="000C558B"/>
    <w:rsid w:val="000C5BE9"/>
    <w:rsid w:val="000C724C"/>
    <w:rsid w:val="000C75DD"/>
    <w:rsid w:val="000C7B8D"/>
    <w:rsid w:val="000D0317"/>
    <w:rsid w:val="000D0832"/>
    <w:rsid w:val="000D0D65"/>
    <w:rsid w:val="000D0FF3"/>
    <w:rsid w:val="000D166E"/>
    <w:rsid w:val="000D2269"/>
    <w:rsid w:val="000D2665"/>
    <w:rsid w:val="000D28B9"/>
    <w:rsid w:val="000D360F"/>
    <w:rsid w:val="000D36DC"/>
    <w:rsid w:val="000D3EFB"/>
    <w:rsid w:val="000D482E"/>
    <w:rsid w:val="000D4F36"/>
    <w:rsid w:val="000D4F8D"/>
    <w:rsid w:val="000D547A"/>
    <w:rsid w:val="000D5B18"/>
    <w:rsid w:val="000D6684"/>
    <w:rsid w:val="000D7970"/>
    <w:rsid w:val="000E0174"/>
    <w:rsid w:val="000E06DD"/>
    <w:rsid w:val="000E18D2"/>
    <w:rsid w:val="000E18F0"/>
    <w:rsid w:val="000E208C"/>
    <w:rsid w:val="000E251D"/>
    <w:rsid w:val="000E257A"/>
    <w:rsid w:val="000E2732"/>
    <w:rsid w:val="000E2AD8"/>
    <w:rsid w:val="000E2D62"/>
    <w:rsid w:val="000E2EFD"/>
    <w:rsid w:val="000E31EA"/>
    <w:rsid w:val="000E34FC"/>
    <w:rsid w:val="000E354B"/>
    <w:rsid w:val="000E44F8"/>
    <w:rsid w:val="000E485D"/>
    <w:rsid w:val="000E5A78"/>
    <w:rsid w:val="000E6049"/>
    <w:rsid w:val="000E6418"/>
    <w:rsid w:val="000E69F2"/>
    <w:rsid w:val="000E72C3"/>
    <w:rsid w:val="000E7707"/>
    <w:rsid w:val="000E7B4C"/>
    <w:rsid w:val="000F0367"/>
    <w:rsid w:val="000F0EB9"/>
    <w:rsid w:val="000F1546"/>
    <w:rsid w:val="000F1621"/>
    <w:rsid w:val="000F18ED"/>
    <w:rsid w:val="000F1B2F"/>
    <w:rsid w:val="000F1E7E"/>
    <w:rsid w:val="000F2323"/>
    <w:rsid w:val="000F2D97"/>
    <w:rsid w:val="000F32E3"/>
    <w:rsid w:val="000F4479"/>
    <w:rsid w:val="000F4750"/>
    <w:rsid w:val="000F4D79"/>
    <w:rsid w:val="000F50E5"/>
    <w:rsid w:val="000F547B"/>
    <w:rsid w:val="000F59D4"/>
    <w:rsid w:val="000F5D5A"/>
    <w:rsid w:val="000F63B5"/>
    <w:rsid w:val="000F6940"/>
    <w:rsid w:val="000F6E0B"/>
    <w:rsid w:val="000F7F51"/>
    <w:rsid w:val="000F7FD0"/>
    <w:rsid w:val="001001F8"/>
    <w:rsid w:val="0010030C"/>
    <w:rsid w:val="00100A34"/>
    <w:rsid w:val="00100AB6"/>
    <w:rsid w:val="00101027"/>
    <w:rsid w:val="00101164"/>
    <w:rsid w:val="001017C6"/>
    <w:rsid w:val="00101D54"/>
    <w:rsid w:val="00101FDD"/>
    <w:rsid w:val="0010281B"/>
    <w:rsid w:val="00103245"/>
    <w:rsid w:val="001039D7"/>
    <w:rsid w:val="00103A37"/>
    <w:rsid w:val="00104994"/>
    <w:rsid w:val="00104CEA"/>
    <w:rsid w:val="00104FCD"/>
    <w:rsid w:val="00105F3A"/>
    <w:rsid w:val="001061FA"/>
    <w:rsid w:val="001064F6"/>
    <w:rsid w:val="00107257"/>
    <w:rsid w:val="00110840"/>
    <w:rsid w:val="00110A5E"/>
    <w:rsid w:val="00110E3F"/>
    <w:rsid w:val="00110FA6"/>
    <w:rsid w:val="001112D6"/>
    <w:rsid w:val="001114A4"/>
    <w:rsid w:val="0011155D"/>
    <w:rsid w:val="001122C1"/>
    <w:rsid w:val="00112BCB"/>
    <w:rsid w:val="00113157"/>
    <w:rsid w:val="00113239"/>
    <w:rsid w:val="0011402C"/>
    <w:rsid w:val="00114733"/>
    <w:rsid w:val="00114E54"/>
    <w:rsid w:val="00114EEE"/>
    <w:rsid w:val="00116250"/>
    <w:rsid w:val="00116868"/>
    <w:rsid w:val="00116B5D"/>
    <w:rsid w:val="00116E01"/>
    <w:rsid w:val="001170E9"/>
    <w:rsid w:val="0011781E"/>
    <w:rsid w:val="001179C4"/>
    <w:rsid w:val="001209BB"/>
    <w:rsid w:val="00120A14"/>
    <w:rsid w:val="00122411"/>
    <w:rsid w:val="00122849"/>
    <w:rsid w:val="00122CC2"/>
    <w:rsid w:val="0012337B"/>
    <w:rsid w:val="00123919"/>
    <w:rsid w:val="00123A6E"/>
    <w:rsid w:val="00124154"/>
    <w:rsid w:val="001244C9"/>
    <w:rsid w:val="00124A1F"/>
    <w:rsid w:val="00124E16"/>
    <w:rsid w:val="0012549F"/>
    <w:rsid w:val="001260CD"/>
    <w:rsid w:val="00126542"/>
    <w:rsid w:val="001300D9"/>
    <w:rsid w:val="00130379"/>
    <w:rsid w:val="00130DF1"/>
    <w:rsid w:val="00130E11"/>
    <w:rsid w:val="00130EDA"/>
    <w:rsid w:val="00131202"/>
    <w:rsid w:val="001317C4"/>
    <w:rsid w:val="00131879"/>
    <w:rsid w:val="00131A98"/>
    <w:rsid w:val="00131EBA"/>
    <w:rsid w:val="00131EDD"/>
    <w:rsid w:val="001329BF"/>
    <w:rsid w:val="001329E9"/>
    <w:rsid w:val="00133045"/>
    <w:rsid w:val="0013317E"/>
    <w:rsid w:val="00133632"/>
    <w:rsid w:val="00133A34"/>
    <w:rsid w:val="00133A8C"/>
    <w:rsid w:val="00134859"/>
    <w:rsid w:val="00134E09"/>
    <w:rsid w:val="00134E43"/>
    <w:rsid w:val="00134F15"/>
    <w:rsid w:val="00135260"/>
    <w:rsid w:val="00135720"/>
    <w:rsid w:val="0013576F"/>
    <w:rsid w:val="0013612A"/>
    <w:rsid w:val="0013644D"/>
    <w:rsid w:val="00136B2F"/>
    <w:rsid w:val="00136D89"/>
    <w:rsid w:val="00136FD1"/>
    <w:rsid w:val="0013779C"/>
    <w:rsid w:val="00137E92"/>
    <w:rsid w:val="001416CC"/>
    <w:rsid w:val="00141A5B"/>
    <w:rsid w:val="0014225B"/>
    <w:rsid w:val="001425FC"/>
    <w:rsid w:val="001436ED"/>
    <w:rsid w:val="00143F1A"/>
    <w:rsid w:val="001448C8"/>
    <w:rsid w:val="00144BC7"/>
    <w:rsid w:val="001458A7"/>
    <w:rsid w:val="00145D8C"/>
    <w:rsid w:val="00146FAB"/>
    <w:rsid w:val="0014715E"/>
    <w:rsid w:val="00147774"/>
    <w:rsid w:val="00147CCC"/>
    <w:rsid w:val="00147EC5"/>
    <w:rsid w:val="00150181"/>
    <w:rsid w:val="001501DF"/>
    <w:rsid w:val="00150529"/>
    <w:rsid w:val="00150833"/>
    <w:rsid w:val="00150B3F"/>
    <w:rsid w:val="00150B6F"/>
    <w:rsid w:val="00151B29"/>
    <w:rsid w:val="00151FE3"/>
    <w:rsid w:val="00152025"/>
    <w:rsid w:val="00152056"/>
    <w:rsid w:val="00152107"/>
    <w:rsid w:val="001522AB"/>
    <w:rsid w:val="0015232A"/>
    <w:rsid w:val="00152ED8"/>
    <w:rsid w:val="0015342B"/>
    <w:rsid w:val="0015376A"/>
    <w:rsid w:val="001538ED"/>
    <w:rsid w:val="00153A3E"/>
    <w:rsid w:val="00154016"/>
    <w:rsid w:val="0015431D"/>
    <w:rsid w:val="00154904"/>
    <w:rsid w:val="00156019"/>
    <w:rsid w:val="00156EF5"/>
    <w:rsid w:val="00156F45"/>
    <w:rsid w:val="00157E45"/>
    <w:rsid w:val="001602B2"/>
    <w:rsid w:val="001606BB"/>
    <w:rsid w:val="00161111"/>
    <w:rsid w:val="00161597"/>
    <w:rsid w:val="001618FB"/>
    <w:rsid w:val="00161A63"/>
    <w:rsid w:val="00161AAC"/>
    <w:rsid w:val="00161BD7"/>
    <w:rsid w:val="00162BFC"/>
    <w:rsid w:val="0016324F"/>
    <w:rsid w:val="00163392"/>
    <w:rsid w:val="0016381A"/>
    <w:rsid w:val="001639C1"/>
    <w:rsid w:val="00163DEC"/>
    <w:rsid w:val="00164088"/>
    <w:rsid w:val="0016476E"/>
    <w:rsid w:val="00164C1D"/>
    <w:rsid w:val="0016542D"/>
    <w:rsid w:val="00165856"/>
    <w:rsid w:val="00165A1F"/>
    <w:rsid w:val="001668ED"/>
    <w:rsid w:val="00166AFA"/>
    <w:rsid w:val="00166BB7"/>
    <w:rsid w:val="00166E31"/>
    <w:rsid w:val="0016784E"/>
    <w:rsid w:val="00167B18"/>
    <w:rsid w:val="001702AA"/>
    <w:rsid w:val="001702F7"/>
    <w:rsid w:val="0017050E"/>
    <w:rsid w:val="0017124A"/>
    <w:rsid w:val="00171418"/>
    <w:rsid w:val="00171742"/>
    <w:rsid w:val="00171D14"/>
    <w:rsid w:val="0017265B"/>
    <w:rsid w:val="0017272E"/>
    <w:rsid w:val="00172834"/>
    <w:rsid w:val="00172932"/>
    <w:rsid w:val="0017344A"/>
    <w:rsid w:val="00174566"/>
    <w:rsid w:val="001746DF"/>
    <w:rsid w:val="00175143"/>
    <w:rsid w:val="001752A3"/>
    <w:rsid w:val="00175314"/>
    <w:rsid w:val="001762C1"/>
    <w:rsid w:val="00176744"/>
    <w:rsid w:val="001769A9"/>
    <w:rsid w:val="00177497"/>
    <w:rsid w:val="0017778C"/>
    <w:rsid w:val="00177C63"/>
    <w:rsid w:val="0018031E"/>
    <w:rsid w:val="00180AC2"/>
    <w:rsid w:val="00180E02"/>
    <w:rsid w:val="00181082"/>
    <w:rsid w:val="0018173A"/>
    <w:rsid w:val="00181E6B"/>
    <w:rsid w:val="00182620"/>
    <w:rsid w:val="00182818"/>
    <w:rsid w:val="0018298B"/>
    <w:rsid w:val="00182C39"/>
    <w:rsid w:val="00183E2C"/>
    <w:rsid w:val="00184841"/>
    <w:rsid w:val="001855F0"/>
    <w:rsid w:val="001857E4"/>
    <w:rsid w:val="001862CD"/>
    <w:rsid w:val="001865BF"/>
    <w:rsid w:val="001871B7"/>
    <w:rsid w:val="001873C4"/>
    <w:rsid w:val="00187B8F"/>
    <w:rsid w:val="001906B5"/>
    <w:rsid w:val="001909F6"/>
    <w:rsid w:val="00190DD2"/>
    <w:rsid w:val="00190E37"/>
    <w:rsid w:val="0019101F"/>
    <w:rsid w:val="0019180D"/>
    <w:rsid w:val="00191FD5"/>
    <w:rsid w:val="00192477"/>
    <w:rsid w:val="00192524"/>
    <w:rsid w:val="00192921"/>
    <w:rsid w:val="001935C5"/>
    <w:rsid w:val="0019484B"/>
    <w:rsid w:val="00194BC9"/>
    <w:rsid w:val="00194CB8"/>
    <w:rsid w:val="00195241"/>
    <w:rsid w:val="00195EFC"/>
    <w:rsid w:val="001975C7"/>
    <w:rsid w:val="00197918"/>
    <w:rsid w:val="0019794E"/>
    <w:rsid w:val="00197C8B"/>
    <w:rsid w:val="001A063C"/>
    <w:rsid w:val="001A084A"/>
    <w:rsid w:val="001A18DF"/>
    <w:rsid w:val="001A1AF5"/>
    <w:rsid w:val="001A20FB"/>
    <w:rsid w:val="001A2273"/>
    <w:rsid w:val="001A23AA"/>
    <w:rsid w:val="001A3382"/>
    <w:rsid w:val="001A366C"/>
    <w:rsid w:val="001A4A87"/>
    <w:rsid w:val="001A4F5B"/>
    <w:rsid w:val="001A574A"/>
    <w:rsid w:val="001A5AFC"/>
    <w:rsid w:val="001A646E"/>
    <w:rsid w:val="001A6772"/>
    <w:rsid w:val="001A77E4"/>
    <w:rsid w:val="001A7AEF"/>
    <w:rsid w:val="001A7C60"/>
    <w:rsid w:val="001A7E65"/>
    <w:rsid w:val="001B01AD"/>
    <w:rsid w:val="001B01D7"/>
    <w:rsid w:val="001B0A02"/>
    <w:rsid w:val="001B1570"/>
    <w:rsid w:val="001B205F"/>
    <w:rsid w:val="001B2DCB"/>
    <w:rsid w:val="001B3208"/>
    <w:rsid w:val="001B37F7"/>
    <w:rsid w:val="001B3B25"/>
    <w:rsid w:val="001B459F"/>
    <w:rsid w:val="001B46EC"/>
    <w:rsid w:val="001B47D2"/>
    <w:rsid w:val="001B55E3"/>
    <w:rsid w:val="001B6BBD"/>
    <w:rsid w:val="001B6C1A"/>
    <w:rsid w:val="001B7A55"/>
    <w:rsid w:val="001B7CEA"/>
    <w:rsid w:val="001C006F"/>
    <w:rsid w:val="001C0352"/>
    <w:rsid w:val="001C06FA"/>
    <w:rsid w:val="001C0952"/>
    <w:rsid w:val="001C0ACB"/>
    <w:rsid w:val="001C0F53"/>
    <w:rsid w:val="001C11E2"/>
    <w:rsid w:val="001C1E71"/>
    <w:rsid w:val="001C3141"/>
    <w:rsid w:val="001C35A4"/>
    <w:rsid w:val="001C35B0"/>
    <w:rsid w:val="001C3E35"/>
    <w:rsid w:val="001C4494"/>
    <w:rsid w:val="001C4536"/>
    <w:rsid w:val="001C4561"/>
    <w:rsid w:val="001C4F22"/>
    <w:rsid w:val="001C58D9"/>
    <w:rsid w:val="001C5E80"/>
    <w:rsid w:val="001C5EDE"/>
    <w:rsid w:val="001C5F3D"/>
    <w:rsid w:val="001C627A"/>
    <w:rsid w:val="001C743A"/>
    <w:rsid w:val="001C7F93"/>
    <w:rsid w:val="001D06F0"/>
    <w:rsid w:val="001D125D"/>
    <w:rsid w:val="001D2124"/>
    <w:rsid w:val="001D26E9"/>
    <w:rsid w:val="001D2738"/>
    <w:rsid w:val="001D2A62"/>
    <w:rsid w:val="001D2D54"/>
    <w:rsid w:val="001D3033"/>
    <w:rsid w:val="001D3295"/>
    <w:rsid w:val="001D3869"/>
    <w:rsid w:val="001D3B1F"/>
    <w:rsid w:val="001D3C4C"/>
    <w:rsid w:val="001D439A"/>
    <w:rsid w:val="001D445F"/>
    <w:rsid w:val="001D4633"/>
    <w:rsid w:val="001D4640"/>
    <w:rsid w:val="001D485B"/>
    <w:rsid w:val="001D4BA7"/>
    <w:rsid w:val="001D4FCC"/>
    <w:rsid w:val="001D5668"/>
    <w:rsid w:val="001D5891"/>
    <w:rsid w:val="001D6244"/>
    <w:rsid w:val="001D62BE"/>
    <w:rsid w:val="001D6A19"/>
    <w:rsid w:val="001D6B2A"/>
    <w:rsid w:val="001D6C3B"/>
    <w:rsid w:val="001D776B"/>
    <w:rsid w:val="001E05D4"/>
    <w:rsid w:val="001E1548"/>
    <w:rsid w:val="001E29B4"/>
    <w:rsid w:val="001E3BED"/>
    <w:rsid w:val="001E4155"/>
    <w:rsid w:val="001E43D4"/>
    <w:rsid w:val="001E48C1"/>
    <w:rsid w:val="001E57DC"/>
    <w:rsid w:val="001E64AA"/>
    <w:rsid w:val="001E6B5E"/>
    <w:rsid w:val="001E6D35"/>
    <w:rsid w:val="001E7560"/>
    <w:rsid w:val="001E767B"/>
    <w:rsid w:val="001E781E"/>
    <w:rsid w:val="001F0135"/>
    <w:rsid w:val="001F144B"/>
    <w:rsid w:val="001F168C"/>
    <w:rsid w:val="001F1734"/>
    <w:rsid w:val="001F17F2"/>
    <w:rsid w:val="001F21CF"/>
    <w:rsid w:val="001F2DAC"/>
    <w:rsid w:val="001F3207"/>
    <w:rsid w:val="001F34C5"/>
    <w:rsid w:val="001F3512"/>
    <w:rsid w:val="001F3AA8"/>
    <w:rsid w:val="001F3ED2"/>
    <w:rsid w:val="001F42FF"/>
    <w:rsid w:val="001F49D9"/>
    <w:rsid w:val="001F4B1D"/>
    <w:rsid w:val="001F4E35"/>
    <w:rsid w:val="001F50EC"/>
    <w:rsid w:val="001F51CC"/>
    <w:rsid w:val="001F5386"/>
    <w:rsid w:val="001F5C74"/>
    <w:rsid w:val="001F5FF0"/>
    <w:rsid w:val="001F664E"/>
    <w:rsid w:val="001F6BB2"/>
    <w:rsid w:val="001F73BF"/>
    <w:rsid w:val="001F7539"/>
    <w:rsid w:val="001F7553"/>
    <w:rsid w:val="001F7629"/>
    <w:rsid w:val="002004A6"/>
    <w:rsid w:val="00201993"/>
    <w:rsid w:val="00202310"/>
    <w:rsid w:val="002024A2"/>
    <w:rsid w:val="00203045"/>
    <w:rsid w:val="00203BC0"/>
    <w:rsid w:val="00203C0B"/>
    <w:rsid w:val="00203C5B"/>
    <w:rsid w:val="00203F4F"/>
    <w:rsid w:val="0020411D"/>
    <w:rsid w:val="002047C8"/>
    <w:rsid w:val="002048B9"/>
    <w:rsid w:val="00205029"/>
    <w:rsid w:val="002050B8"/>
    <w:rsid w:val="00205204"/>
    <w:rsid w:val="00205291"/>
    <w:rsid w:val="00205467"/>
    <w:rsid w:val="00205F38"/>
    <w:rsid w:val="00206025"/>
    <w:rsid w:val="00206745"/>
    <w:rsid w:val="002070BC"/>
    <w:rsid w:val="00207373"/>
    <w:rsid w:val="002077CF"/>
    <w:rsid w:val="00207F7B"/>
    <w:rsid w:val="00207FAB"/>
    <w:rsid w:val="00210182"/>
    <w:rsid w:val="00210378"/>
    <w:rsid w:val="002104E3"/>
    <w:rsid w:val="00210648"/>
    <w:rsid w:val="002107FE"/>
    <w:rsid w:val="00210CBC"/>
    <w:rsid w:val="00210E92"/>
    <w:rsid w:val="002113BB"/>
    <w:rsid w:val="00212060"/>
    <w:rsid w:val="00212115"/>
    <w:rsid w:val="002121AB"/>
    <w:rsid w:val="002129DC"/>
    <w:rsid w:val="00212C55"/>
    <w:rsid w:val="00213759"/>
    <w:rsid w:val="00213D5F"/>
    <w:rsid w:val="00213F2A"/>
    <w:rsid w:val="00214EDA"/>
    <w:rsid w:val="0021521B"/>
    <w:rsid w:val="00215AEA"/>
    <w:rsid w:val="00215B61"/>
    <w:rsid w:val="00216360"/>
    <w:rsid w:val="00216643"/>
    <w:rsid w:val="00217349"/>
    <w:rsid w:val="0021750F"/>
    <w:rsid w:val="00220284"/>
    <w:rsid w:val="002202AC"/>
    <w:rsid w:val="00220ADA"/>
    <w:rsid w:val="00220B8E"/>
    <w:rsid w:val="00220F8B"/>
    <w:rsid w:val="00221B58"/>
    <w:rsid w:val="00221FBC"/>
    <w:rsid w:val="00222097"/>
    <w:rsid w:val="0022317B"/>
    <w:rsid w:val="00223B05"/>
    <w:rsid w:val="00223CA8"/>
    <w:rsid w:val="00223ED6"/>
    <w:rsid w:val="00225F2F"/>
    <w:rsid w:val="00225F61"/>
    <w:rsid w:val="002269A6"/>
    <w:rsid w:val="00227E6B"/>
    <w:rsid w:val="002303B8"/>
    <w:rsid w:val="00230E00"/>
    <w:rsid w:val="00230F90"/>
    <w:rsid w:val="002310C2"/>
    <w:rsid w:val="00231107"/>
    <w:rsid w:val="0023148B"/>
    <w:rsid w:val="00231516"/>
    <w:rsid w:val="002318C4"/>
    <w:rsid w:val="00231C69"/>
    <w:rsid w:val="00231E8B"/>
    <w:rsid w:val="00232DBD"/>
    <w:rsid w:val="00232EF5"/>
    <w:rsid w:val="00233B45"/>
    <w:rsid w:val="00234DA1"/>
    <w:rsid w:val="002351ED"/>
    <w:rsid w:val="00235462"/>
    <w:rsid w:val="00235476"/>
    <w:rsid w:val="0023616B"/>
    <w:rsid w:val="002363D4"/>
    <w:rsid w:val="0023649B"/>
    <w:rsid w:val="002365A7"/>
    <w:rsid w:val="002376FF"/>
    <w:rsid w:val="00240048"/>
    <w:rsid w:val="00240123"/>
    <w:rsid w:val="002407EF"/>
    <w:rsid w:val="0024152C"/>
    <w:rsid w:val="002415F9"/>
    <w:rsid w:val="00241A3A"/>
    <w:rsid w:val="00241F10"/>
    <w:rsid w:val="00242365"/>
    <w:rsid w:val="00243797"/>
    <w:rsid w:val="00243A42"/>
    <w:rsid w:val="00244020"/>
    <w:rsid w:val="00244445"/>
    <w:rsid w:val="0024460D"/>
    <w:rsid w:val="00244B78"/>
    <w:rsid w:val="00244C83"/>
    <w:rsid w:val="002453F7"/>
    <w:rsid w:val="00245BB9"/>
    <w:rsid w:val="00245E3B"/>
    <w:rsid w:val="00245E97"/>
    <w:rsid w:val="00246261"/>
    <w:rsid w:val="0024681E"/>
    <w:rsid w:val="00246BE9"/>
    <w:rsid w:val="00246C11"/>
    <w:rsid w:val="00246E46"/>
    <w:rsid w:val="00246E80"/>
    <w:rsid w:val="002501C1"/>
    <w:rsid w:val="0025021C"/>
    <w:rsid w:val="00251200"/>
    <w:rsid w:val="00251730"/>
    <w:rsid w:val="0025223C"/>
    <w:rsid w:val="00252926"/>
    <w:rsid w:val="00252BBC"/>
    <w:rsid w:val="00252CCD"/>
    <w:rsid w:val="002531A6"/>
    <w:rsid w:val="0025376D"/>
    <w:rsid w:val="00253D22"/>
    <w:rsid w:val="00254A0C"/>
    <w:rsid w:val="00254B0B"/>
    <w:rsid w:val="002557AA"/>
    <w:rsid w:val="0025622C"/>
    <w:rsid w:val="00256AA5"/>
    <w:rsid w:val="00256B14"/>
    <w:rsid w:val="00256BB5"/>
    <w:rsid w:val="00256CD6"/>
    <w:rsid w:val="00257478"/>
    <w:rsid w:val="00257E82"/>
    <w:rsid w:val="00260107"/>
    <w:rsid w:val="00260162"/>
    <w:rsid w:val="00260323"/>
    <w:rsid w:val="002603A3"/>
    <w:rsid w:val="00260878"/>
    <w:rsid w:val="00261850"/>
    <w:rsid w:val="0026196B"/>
    <w:rsid w:val="00261A64"/>
    <w:rsid w:val="0026214A"/>
    <w:rsid w:val="00262F02"/>
    <w:rsid w:val="00263523"/>
    <w:rsid w:val="0026357D"/>
    <w:rsid w:val="002635D1"/>
    <w:rsid w:val="002636F1"/>
    <w:rsid w:val="0026388D"/>
    <w:rsid w:val="00263A66"/>
    <w:rsid w:val="00264AE9"/>
    <w:rsid w:val="00264C3D"/>
    <w:rsid w:val="00264C80"/>
    <w:rsid w:val="00265600"/>
    <w:rsid w:val="00265B9F"/>
    <w:rsid w:val="00265FCA"/>
    <w:rsid w:val="00266064"/>
    <w:rsid w:val="002660B7"/>
    <w:rsid w:val="0026616C"/>
    <w:rsid w:val="0026660C"/>
    <w:rsid w:val="002669BE"/>
    <w:rsid w:val="00267599"/>
    <w:rsid w:val="00267BD6"/>
    <w:rsid w:val="00270504"/>
    <w:rsid w:val="002706B7"/>
    <w:rsid w:val="00270ED9"/>
    <w:rsid w:val="00271335"/>
    <w:rsid w:val="00271819"/>
    <w:rsid w:val="002719EC"/>
    <w:rsid w:val="00271CC6"/>
    <w:rsid w:val="00271E59"/>
    <w:rsid w:val="00271FCE"/>
    <w:rsid w:val="00271FD2"/>
    <w:rsid w:val="002738A9"/>
    <w:rsid w:val="0027396A"/>
    <w:rsid w:val="00273A83"/>
    <w:rsid w:val="002742DB"/>
    <w:rsid w:val="002744BB"/>
    <w:rsid w:val="002748A7"/>
    <w:rsid w:val="00274E77"/>
    <w:rsid w:val="00275D5D"/>
    <w:rsid w:val="0027601E"/>
    <w:rsid w:val="002772CD"/>
    <w:rsid w:val="00277560"/>
    <w:rsid w:val="00277D19"/>
    <w:rsid w:val="00280250"/>
    <w:rsid w:val="002803F4"/>
    <w:rsid w:val="002808A5"/>
    <w:rsid w:val="00281391"/>
    <w:rsid w:val="00281420"/>
    <w:rsid w:val="0028167C"/>
    <w:rsid w:val="00281A19"/>
    <w:rsid w:val="00281C31"/>
    <w:rsid w:val="002822F3"/>
    <w:rsid w:val="0028247F"/>
    <w:rsid w:val="0028305F"/>
    <w:rsid w:val="00283282"/>
    <w:rsid w:val="00283FC1"/>
    <w:rsid w:val="00284250"/>
    <w:rsid w:val="002846DE"/>
    <w:rsid w:val="002848BF"/>
    <w:rsid w:val="00284916"/>
    <w:rsid w:val="00284CD6"/>
    <w:rsid w:val="00284E8D"/>
    <w:rsid w:val="00285027"/>
    <w:rsid w:val="00286045"/>
    <w:rsid w:val="00286593"/>
    <w:rsid w:val="00286723"/>
    <w:rsid w:val="00286732"/>
    <w:rsid w:val="0028682F"/>
    <w:rsid w:val="00287027"/>
    <w:rsid w:val="00287BF9"/>
    <w:rsid w:val="00287E77"/>
    <w:rsid w:val="0029118F"/>
    <w:rsid w:val="002917E5"/>
    <w:rsid w:val="0029334A"/>
    <w:rsid w:val="00293D3B"/>
    <w:rsid w:val="00294496"/>
    <w:rsid w:val="0029495F"/>
    <w:rsid w:val="00294A67"/>
    <w:rsid w:val="00294F04"/>
    <w:rsid w:val="0029528C"/>
    <w:rsid w:val="00295A62"/>
    <w:rsid w:val="00295F84"/>
    <w:rsid w:val="0029621C"/>
    <w:rsid w:val="00296668"/>
    <w:rsid w:val="002978B6"/>
    <w:rsid w:val="00297A1D"/>
    <w:rsid w:val="00297DC5"/>
    <w:rsid w:val="002A03FE"/>
    <w:rsid w:val="002A0450"/>
    <w:rsid w:val="002A0513"/>
    <w:rsid w:val="002A067A"/>
    <w:rsid w:val="002A0EB6"/>
    <w:rsid w:val="002A125C"/>
    <w:rsid w:val="002A1B42"/>
    <w:rsid w:val="002A1D98"/>
    <w:rsid w:val="002A2314"/>
    <w:rsid w:val="002A2467"/>
    <w:rsid w:val="002A28D2"/>
    <w:rsid w:val="002A322C"/>
    <w:rsid w:val="002A42FF"/>
    <w:rsid w:val="002A4D2C"/>
    <w:rsid w:val="002A599D"/>
    <w:rsid w:val="002A616C"/>
    <w:rsid w:val="002A6191"/>
    <w:rsid w:val="002A676F"/>
    <w:rsid w:val="002A6C84"/>
    <w:rsid w:val="002A717A"/>
    <w:rsid w:val="002A7186"/>
    <w:rsid w:val="002B02B1"/>
    <w:rsid w:val="002B0321"/>
    <w:rsid w:val="002B081B"/>
    <w:rsid w:val="002B098B"/>
    <w:rsid w:val="002B0EE9"/>
    <w:rsid w:val="002B12B5"/>
    <w:rsid w:val="002B15E0"/>
    <w:rsid w:val="002B1634"/>
    <w:rsid w:val="002B176C"/>
    <w:rsid w:val="002B1FCA"/>
    <w:rsid w:val="002B2125"/>
    <w:rsid w:val="002B276E"/>
    <w:rsid w:val="002B4489"/>
    <w:rsid w:val="002B470A"/>
    <w:rsid w:val="002B49F1"/>
    <w:rsid w:val="002B4DA1"/>
    <w:rsid w:val="002B598A"/>
    <w:rsid w:val="002B664F"/>
    <w:rsid w:val="002B6798"/>
    <w:rsid w:val="002B69C9"/>
    <w:rsid w:val="002B6D50"/>
    <w:rsid w:val="002B7377"/>
    <w:rsid w:val="002C006D"/>
    <w:rsid w:val="002C069F"/>
    <w:rsid w:val="002C0726"/>
    <w:rsid w:val="002C084B"/>
    <w:rsid w:val="002C1287"/>
    <w:rsid w:val="002C13EF"/>
    <w:rsid w:val="002C1451"/>
    <w:rsid w:val="002C1FB6"/>
    <w:rsid w:val="002C2D14"/>
    <w:rsid w:val="002C57B9"/>
    <w:rsid w:val="002C5A7E"/>
    <w:rsid w:val="002C5DF1"/>
    <w:rsid w:val="002C5F93"/>
    <w:rsid w:val="002C6631"/>
    <w:rsid w:val="002C6DA2"/>
    <w:rsid w:val="002C76C3"/>
    <w:rsid w:val="002C7F2E"/>
    <w:rsid w:val="002D0C10"/>
    <w:rsid w:val="002D0CD3"/>
    <w:rsid w:val="002D15C6"/>
    <w:rsid w:val="002D261E"/>
    <w:rsid w:val="002D3BE0"/>
    <w:rsid w:val="002D3BF1"/>
    <w:rsid w:val="002D3CA7"/>
    <w:rsid w:val="002D3E16"/>
    <w:rsid w:val="002D40A1"/>
    <w:rsid w:val="002D42CC"/>
    <w:rsid w:val="002D443F"/>
    <w:rsid w:val="002D4D9A"/>
    <w:rsid w:val="002D5050"/>
    <w:rsid w:val="002D62F2"/>
    <w:rsid w:val="002D6689"/>
    <w:rsid w:val="002D6DA9"/>
    <w:rsid w:val="002D722A"/>
    <w:rsid w:val="002D77A3"/>
    <w:rsid w:val="002D7C9F"/>
    <w:rsid w:val="002D7D61"/>
    <w:rsid w:val="002E0028"/>
    <w:rsid w:val="002E0229"/>
    <w:rsid w:val="002E0E5B"/>
    <w:rsid w:val="002E174B"/>
    <w:rsid w:val="002E1A23"/>
    <w:rsid w:val="002E1B30"/>
    <w:rsid w:val="002E1C47"/>
    <w:rsid w:val="002E1D7D"/>
    <w:rsid w:val="002E1F64"/>
    <w:rsid w:val="002E22CB"/>
    <w:rsid w:val="002E36B9"/>
    <w:rsid w:val="002E486E"/>
    <w:rsid w:val="002E50AB"/>
    <w:rsid w:val="002E58DA"/>
    <w:rsid w:val="002E5974"/>
    <w:rsid w:val="002E5D7E"/>
    <w:rsid w:val="002E5FC2"/>
    <w:rsid w:val="002E644F"/>
    <w:rsid w:val="002E665D"/>
    <w:rsid w:val="002E67EB"/>
    <w:rsid w:val="002E6948"/>
    <w:rsid w:val="002E6CD1"/>
    <w:rsid w:val="002E6E49"/>
    <w:rsid w:val="002E72A1"/>
    <w:rsid w:val="002E78AB"/>
    <w:rsid w:val="002F015E"/>
    <w:rsid w:val="002F059A"/>
    <w:rsid w:val="002F05CC"/>
    <w:rsid w:val="002F1031"/>
    <w:rsid w:val="002F18DE"/>
    <w:rsid w:val="002F2030"/>
    <w:rsid w:val="002F2E7A"/>
    <w:rsid w:val="002F30DD"/>
    <w:rsid w:val="002F3225"/>
    <w:rsid w:val="002F3473"/>
    <w:rsid w:val="002F3533"/>
    <w:rsid w:val="002F353E"/>
    <w:rsid w:val="002F3CD4"/>
    <w:rsid w:val="002F4026"/>
    <w:rsid w:val="002F43CF"/>
    <w:rsid w:val="002F4CEA"/>
    <w:rsid w:val="002F52CF"/>
    <w:rsid w:val="002F5476"/>
    <w:rsid w:val="002F613A"/>
    <w:rsid w:val="002F6B81"/>
    <w:rsid w:val="002F6CEE"/>
    <w:rsid w:val="002F6E7B"/>
    <w:rsid w:val="002F7267"/>
    <w:rsid w:val="002F7369"/>
    <w:rsid w:val="002F78FB"/>
    <w:rsid w:val="002F7BE7"/>
    <w:rsid w:val="0030046B"/>
    <w:rsid w:val="00300F08"/>
    <w:rsid w:val="003015C9"/>
    <w:rsid w:val="003019E6"/>
    <w:rsid w:val="00301EEC"/>
    <w:rsid w:val="00302364"/>
    <w:rsid w:val="003023F8"/>
    <w:rsid w:val="00302413"/>
    <w:rsid w:val="00302A9C"/>
    <w:rsid w:val="003032E4"/>
    <w:rsid w:val="00303B37"/>
    <w:rsid w:val="00303CC0"/>
    <w:rsid w:val="0030433D"/>
    <w:rsid w:val="00304B48"/>
    <w:rsid w:val="003053B8"/>
    <w:rsid w:val="003056F5"/>
    <w:rsid w:val="003063A2"/>
    <w:rsid w:val="00306FFC"/>
    <w:rsid w:val="003071C7"/>
    <w:rsid w:val="003073E5"/>
    <w:rsid w:val="00307981"/>
    <w:rsid w:val="00307B6A"/>
    <w:rsid w:val="00307BE1"/>
    <w:rsid w:val="00310156"/>
    <w:rsid w:val="003104C5"/>
    <w:rsid w:val="00310671"/>
    <w:rsid w:val="0031153C"/>
    <w:rsid w:val="003118B9"/>
    <w:rsid w:val="003119D7"/>
    <w:rsid w:val="00311C44"/>
    <w:rsid w:val="00311C5A"/>
    <w:rsid w:val="00311CE3"/>
    <w:rsid w:val="00311D06"/>
    <w:rsid w:val="00313264"/>
    <w:rsid w:val="00313BDA"/>
    <w:rsid w:val="00313C1A"/>
    <w:rsid w:val="0031412B"/>
    <w:rsid w:val="003142C3"/>
    <w:rsid w:val="00314529"/>
    <w:rsid w:val="00314782"/>
    <w:rsid w:val="00315375"/>
    <w:rsid w:val="003160E0"/>
    <w:rsid w:val="003168E6"/>
    <w:rsid w:val="00316D0B"/>
    <w:rsid w:val="00316FC1"/>
    <w:rsid w:val="003170D2"/>
    <w:rsid w:val="00317599"/>
    <w:rsid w:val="00317BD9"/>
    <w:rsid w:val="00320254"/>
    <w:rsid w:val="0032054F"/>
    <w:rsid w:val="00320C5D"/>
    <w:rsid w:val="00321315"/>
    <w:rsid w:val="003214FD"/>
    <w:rsid w:val="003217B8"/>
    <w:rsid w:val="00322889"/>
    <w:rsid w:val="0032351C"/>
    <w:rsid w:val="00323665"/>
    <w:rsid w:val="00323724"/>
    <w:rsid w:val="00323806"/>
    <w:rsid w:val="00323807"/>
    <w:rsid w:val="00324197"/>
    <w:rsid w:val="00324293"/>
    <w:rsid w:val="003245F7"/>
    <w:rsid w:val="00324D82"/>
    <w:rsid w:val="00325316"/>
    <w:rsid w:val="003253A4"/>
    <w:rsid w:val="00325683"/>
    <w:rsid w:val="00325BC9"/>
    <w:rsid w:val="00325F25"/>
    <w:rsid w:val="0032612E"/>
    <w:rsid w:val="0032632D"/>
    <w:rsid w:val="0032691D"/>
    <w:rsid w:val="00326FD0"/>
    <w:rsid w:val="00327025"/>
    <w:rsid w:val="00327031"/>
    <w:rsid w:val="003270A8"/>
    <w:rsid w:val="0032764C"/>
    <w:rsid w:val="0032766D"/>
    <w:rsid w:val="00327671"/>
    <w:rsid w:val="00327877"/>
    <w:rsid w:val="00330366"/>
    <w:rsid w:val="0033052B"/>
    <w:rsid w:val="00330A3C"/>
    <w:rsid w:val="00330A8E"/>
    <w:rsid w:val="00330E06"/>
    <w:rsid w:val="0033102F"/>
    <w:rsid w:val="00331F72"/>
    <w:rsid w:val="003320E1"/>
    <w:rsid w:val="003326A0"/>
    <w:rsid w:val="0033283E"/>
    <w:rsid w:val="00333495"/>
    <w:rsid w:val="00333C30"/>
    <w:rsid w:val="00333D98"/>
    <w:rsid w:val="00333DD3"/>
    <w:rsid w:val="0033445E"/>
    <w:rsid w:val="00334DAC"/>
    <w:rsid w:val="00334F08"/>
    <w:rsid w:val="003356BA"/>
    <w:rsid w:val="003356E4"/>
    <w:rsid w:val="00335922"/>
    <w:rsid w:val="00335CB4"/>
    <w:rsid w:val="0033628A"/>
    <w:rsid w:val="00336774"/>
    <w:rsid w:val="0033730D"/>
    <w:rsid w:val="00337655"/>
    <w:rsid w:val="00337DB9"/>
    <w:rsid w:val="00340468"/>
    <w:rsid w:val="003409FB"/>
    <w:rsid w:val="00341087"/>
    <w:rsid w:val="0034115A"/>
    <w:rsid w:val="00341348"/>
    <w:rsid w:val="00341658"/>
    <w:rsid w:val="0034175D"/>
    <w:rsid w:val="00341AEA"/>
    <w:rsid w:val="00342AE9"/>
    <w:rsid w:val="00344750"/>
    <w:rsid w:val="003449DB"/>
    <w:rsid w:val="00344E25"/>
    <w:rsid w:val="00345026"/>
    <w:rsid w:val="0034531F"/>
    <w:rsid w:val="003457E0"/>
    <w:rsid w:val="003463BC"/>
    <w:rsid w:val="003469CE"/>
    <w:rsid w:val="00346E7E"/>
    <w:rsid w:val="00346FF8"/>
    <w:rsid w:val="003473FD"/>
    <w:rsid w:val="0035031A"/>
    <w:rsid w:val="00350B7D"/>
    <w:rsid w:val="00350CF8"/>
    <w:rsid w:val="0035101A"/>
    <w:rsid w:val="003510EF"/>
    <w:rsid w:val="00351A58"/>
    <w:rsid w:val="00351A7C"/>
    <w:rsid w:val="00352032"/>
    <w:rsid w:val="00352AE6"/>
    <w:rsid w:val="00352F7B"/>
    <w:rsid w:val="00353CD4"/>
    <w:rsid w:val="00353E57"/>
    <w:rsid w:val="00354C58"/>
    <w:rsid w:val="00354FED"/>
    <w:rsid w:val="003553DD"/>
    <w:rsid w:val="00356262"/>
    <w:rsid w:val="003565FA"/>
    <w:rsid w:val="00356C75"/>
    <w:rsid w:val="003570CA"/>
    <w:rsid w:val="0035780D"/>
    <w:rsid w:val="00357997"/>
    <w:rsid w:val="00357DF9"/>
    <w:rsid w:val="00357EFD"/>
    <w:rsid w:val="00360DC1"/>
    <w:rsid w:val="00361055"/>
    <w:rsid w:val="003620A9"/>
    <w:rsid w:val="003622F0"/>
    <w:rsid w:val="003623A2"/>
    <w:rsid w:val="00362433"/>
    <w:rsid w:val="003627F6"/>
    <w:rsid w:val="00362C89"/>
    <w:rsid w:val="003635C7"/>
    <w:rsid w:val="0036369C"/>
    <w:rsid w:val="00364186"/>
    <w:rsid w:val="00364453"/>
    <w:rsid w:val="00364935"/>
    <w:rsid w:val="003652C7"/>
    <w:rsid w:val="0036647E"/>
    <w:rsid w:val="0036706E"/>
    <w:rsid w:val="00367161"/>
    <w:rsid w:val="003671B3"/>
    <w:rsid w:val="00367F16"/>
    <w:rsid w:val="003700D7"/>
    <w:rsid w:val="003702A1"/>
    <w:rsid w:val="00370CBC"/>
    <w:rsid w:val="00371EBA"/>
    <w:rsid w:val="0037262D"/>
    <w:rsid w:val="00372E63"/>
    <w:rsid w:val="00373599"/>
    <w:rsid w:val="003737B9"/>
    <w:rsid w:val="00373BE2"/>
    <w:rsid w:val="00373C1D"/>
    <w:rsid w:val="00373CE2"/>
    <w:rsid w:val="00373CEC"/>
    <w:rsid w:val="00373D0B"/>
    <w:rsid w:val="00373F58"/>
    <w:rsid w:val="00374CA3"/>
    <w:rsid w:val="003751F6"/>
    <w:rsid w:val="003767E5"/>
    <w:rsid w:val="00376867"/>
    <w:rsid w:val="003774CD"/>
    <w:rsid w:val="003778A4"/>
    <w:rsid w:val="00377B56"/>
    <w:rsid w:val="00377B6C"/>
    <w:rsid w:val="00380B2E"/>
    <w:rsid w:val="00380CC3"/>
    <w:rsid w:val="00381663"/>
    <w:rsid w:val="00381CD9"/>
    <w:rsid w:val="003832B1"/>
    <w:rsid w:val="003833F3"/>
    <w:rsid w:val="00383CFC"/>
    <w:rsid w:val="00383E0E"/>
    <w:rsid w:val="00384714"/>
    <w:rsid w:val="00385CC6"/>
    <w:rsid w:val="00385E64"/>
    <w:rsid w:val="003867C4"/>
    <w:rsid w:val="00386A58"/>
    <w:rsid w:val="00386E1F"/>
    <w:rsid w:val="003870E6"/>
    <w:rsid w:val="003875D1"/>
    <w:rsid w:val="003876E3"/>
    <w:rsid w:val="00391B8A"/>
    <w:rsid w:val="00391B8C"/>
    <w:rsid w:val="00391BBF"/>
    <w:rsid w:val="00392795"/>
    <w:rsid w:val="003928A0"/>
    <w:rsid w:val="00393336"/>
    <w:rsid w:val="00393597"/>
    <w:rsid w:val="00393ABF"/>
    <w:rsid w:val="00394141"/>
    <w:rsid w:val="003941C0"/>
    <w:rsid w:val="00394346"/>
    <w:rsid w:val="0039498A"/>
    <w:rsid w:val="00394B65"/>
    <w:rsid w:val="00394F98"/>
    <w:rsid w:val="00395378"/>
    <w:rsid w:val="0039541D"/>
    <w:rsid w:val="00395725"/>
    <w:rsid w:val="00395745"/>
    <w:rsid w:val="0039646D"/>
    <w:rsid w:val="003967AC"/>
    <w:rsid w:val="00396E3F"/>
    <w:rsid w:val="00396F51"/>
    <w:rsid w:val="00397FCA"/>
    <w:rsid w:val="003A03AE"/>
    <w:rsid w:val="003A0726"/>
    <w:rsid w:val="003A0902"/>
    <w:rsid w:val="003A0E6F"/>
    <w:rsid w:val="003A0F75"/>
    <w:rsid w:val="003A1B4F"/>
    <w:rsid w:val="003A1BB6"/>
    <w:rsid w:val="003A22A0"/>
    <w:rsid w:val="003A289D"/>
    <w:rsid w:val="003A296D"/>
    <w:rsid w:val="003A2A97"/>
    <w:rsid w:val="003A2CA6"/>
    <w:rsid w:val="003A497C"/>
    <w:rsid w:val="003A4B1F"/>
    <w:rsid w:val="003A5A03"/>
    <w:rsid w:val="003A6C52"/>
    <w:rsid w:val="003A6CE7"/>
    <w:rsid w:val="003A77FF"/>
    <w:rsid w:val="003A7B70"/>
    <w:rsid w:val="003B0934"/>
    <w:rsid w:val="003B0EF4"/>
    <w:rsid w:val="003B110B"/>
    <w:rsid w:val="003B1572"/>
    <w:rsid w:val="003B1EAB"/>
    <w:rsid w:val="003B24A1"/>
    <w:rsid w:val="003B29CF"/>
    <w:rsid w:val="003B2CD5"/>
    <w:rsid w:val="003B2CDB"/>
    <w:rsid w:val="003B3227"/>
    <w:rsid w:val="003B3852"/>
    <w:rsid w:val="003B41B7"/>
    <w:rsid w:val="003B4347"/>
    <w:rsid w:val="003B4849"/>
    <w:rsid w:val="003B4B5E"/>
    <w:rsid w:val="003B4C8C"/>
    <w:rsid w:val="003B53B1"/>
    <w:rsid w:val="003B5705"/>
    <w:rsid w:val="003B58E6"/>
    <w:rsid w:val="003B606A"/>
    <w:rsid w:val="003B68EB"/>
    <w:rsid w:val="003B722F"/>
    <w:rsid w:val="003B763E"/>
    <w:rsid w:val="003B7756"/>
    <w:rsid w:val="003B79C1"/>
    <w:rsid w:val="003B7D33"/>
    <w:rsid w:val="003B7FFB"/>
    <w:rsid w:val="003C0141"/>
    <w:rsid w:val="003C025B"/>
    <w:rsid w:val="003C0FE9"/>
    <w:rsid w:val="003C1933"/>
    <w:rsid w:val="003C1AD5"/>
    <w:rsid w:val="003C1BB4"/>
    <w:rsid w:val="003C2044"/>
    <w:rsid w:val="003C2C5A"/>
    <w:rsid w:val="003C333B"/>
    <w:rsid w:val="003C34CE"/>
    <w:rsid w:val="003C4A7A"/>
    <w:rsid w:val="003C4A7B"/>
    <w:rsid w:val="003C4B2C"/>
    <w:rsid w:val="003C4E98"/>
    <w:rsid w:val="003C4FAA"/>
    <w:rsid w:val="003C627D"/>
    <w:rsid w:val="003C642F"/>
    <w:rsid w:val="003C698B"/>
    <w:rsid w:val="003C6A1F"/>
    <w:rsid w:val="003C6A45"/>
    <w:rsid w:val="003C70A3"/>
    <w:rsid w:val="003C7B14"/>
    <w:rsid w:val="003C7C20"/>
    <w:rsid w:val="003C7F00"/>
    <w:rsid w:val="003D0087"/>
    <w:rsid w:val="003D048A"/>
    <w:rsid w:val="003D153B"/>
    <w:rsid w:val="003D1622"/>
    <w:rsid w:val="003D18BA"/>
    <w:rsid w:val="003D1D04"/>
    <w:rsid w:val="003D2CEB"/>
    <w:rsid w:val="003D31F6"/>
    <w:rsid w:val="003D38CF"/>
    <w:rsid w:val="003D3A99"/>
    <w:rsid w:val="003D3ED8"/>
    <w:rsid w:val="003D4061"/>
    <w:rsid w:val="003D40BE"/>
    <w:rsid w:val="003D437C"/>
    <w:rsid w:val="003D4778"/>
    <w:rsid w:val="003D59A5"/>
    <w:rsid w:val="003D5F1E"/>
    <w:rsid w:val="003D6C4E"/>
    <w:rsid w:val="003D6FB3"/>
    <w:rsid w:val="003D7A8C"/>
    <w:rsid w:val="003D7B14"/>
    <w:rsid w:val="003D7BB2"/>
    <w:rsid w:val="003D7C70"/>
    <w:rsid w:val="003D7F85"/>
    <w:rsid w:val="003E0083"/>
    <w:rsid w:val="003E0D63"/>
    <w:rsid w:val="003E1DE7"/>
    <w:rsid w:val="003E237C"/>
    <w:rsid w:val="003E2876"/>
    <w:rsid w:val="003E296D"/>
    <w:rsid w:val="003E2C5E"/>
    <w:rsid w:val="003E2C92"/>
    <w:rsid w:val="003E40BE"/>
    <w:rsid w:val="003E4385"/>
    <w:rsid w:val="003E482B"/>
    <w:rsid w:val="003E4D84"/>
    <w:rsid w:val="003E56B5"/>
    <w:rsid w:val="003E5912"/>
    <w:rsid w:val="003E62CF"/>
    <w:rsid w:val="003E63BF"/>
    <w:rsid w:val="003E63C3"/>
    <w:rsid w:val="003E7046"/>
    <w:rsid w:val="003E75C0"/>
    <w:rsid w:val="003F0519"/>
    <w:rsid w:val="003F13D3"/>
    <w:rsid w:val="003F1F3F"/>
    <w:rsid w:val="003F26AE"/>
    <w:rsid w:val="003F2A65"/>
    <w:rsid w:val="003F2D68"/>
    <w:rsid w:val="003F3232"/>
    <w:rsid w:val="003F3497"/>
    <w:rsid w:val="003F3731"/>
    <w:rsid w:val="003F3DE1"/>
    <w:rsid w:val="003F43F9"/>
    <w:rsid w:val="003F4EB2"/>
    <w:rsid w:val="003F4F1E"/>
    <w:rsid w:val="003F4F3C"/>
    <w:rsid w:val="003F5661"/>
    <w:rsid w:val="003F5832"/>
    <w:rsid w:val="003F5CE7"/>
    <w:rsid w:val="003F61C9"/>
    <w:rsid w:val="003F6C6D"/>
    <w:rsid w:val="003F7572"/>
    <w:rsid w:val="003F7E65"/>
    <w:rsid w:val="003F7EB9"/>
    <w:rsid w:val="003F7EE6"/>
    <w:rsid w:val="0040018D"/>
    <w:rsid w:val="0040023A"/>
    <w:rsid w:val="004004B3"/>
    <w:rsid w:val="00400C4D"/>
    <w:rsid w:val="00400FE2"/>
    <w:rsid w:val="00401A38"/>
    <w:rsid w:val="004025B6"/>
    <w:rsid w:val="00402A1C"/>
    <w:rsid w:val="00403E3F"/>
    <w:rsid w:val="00403FED"/>
    <w:rsid w:val="00404126"/>
    <w:rsid w:val="00404337"/>
    <w:rsid w:val="004045B0"/>
    <w:rsid w:val="00404CDB"/>
    <w:rsid w:val="004060A3"/>
    <w:rsid w:val="004061D1"/>
    <w:rsid w:val="00406207"/>
    <w:rsid w:val="00407E63"/>
    <w:rsid w:val="004103D6"/>
    <w:rsid w:val="00411A82"/>
    <w:rsid w:val="00412CFA"/>
    <w:rsid w:val="00413389"/>
    <w:rsid w:val="004146C3"/>
    <w:rsid w:val="004154BB"/>
    <w:rsid w:val="00415C85"/>
    <w:rsid w:val="00415DB2"/>
    <w:rsid w:val="00416667"/>
    <w:rsid w:val="00416E78"/>
    <w:rsid w:val="0041704A"/>
    <w:rsid w:val="004170C7"/>
    <w:rsid w:val="00420318"/>
    <w:rsid w:val="00420D4B"/>
    <w:rsid w:val="00421F18"/>
    <w:rsid w:val="004238F4"/>
    <w:rsid w:val="00423CF2"/>
    <w:rsid w:val="00423DB0"/>
    <w:rsid w:val="004245CA"/>
    <w:rsid w:val="00424A4B"/>
    <w:rsid w:val="00424CD9"/>
    <w:rsid w:val="00424EC9"/>
    <w:rsid w:val="00424EEA"/>
    <w:rsid w:val="00425CD3"/>
    <w:rsid w:val="004262C6"/>
    <w:rsid w:val="00426832"/>
    <w:rsid w:val="00427007"/>
    <w:rsid w:val="00430993"/>
    <w:rsid w:val="00430E6C"/>
    <w:rsid w:val="0043156C"/>
    <w:rsid w:val="004316B4"/>
    <w:rsid w:val="0043175C"/>
    <w:rsid w:val="00431B4A"/>
    <w:rsid w:val="00431D13"/>
    <w:rsid w:val="00431EDC"/>
    <w:rsid w:val="00432397"/>
    <w:rsid w:val="00432596"/>
    <w:rsid w:val="00432D8E"/>
    <w:rsid w:val="00433174"/>
    <w:rsid w:val="00433579"/>
    <w:rsid w:val="00433D0D"/>
    <w:rsid w:val="00434125"/>
    <w:rsid w:val="00434253"/>
    <w:rsid w:val="0043467B"/>
    <w:rsid w:val="00435410"/>
    <w:rsid w:val="00435526"/>
    <w:rsid w:val="004359D7"/>
    <w:rsid w:val="00435F5A"/>
    <w:rsid w:val="0043609F"/>
    <w:rsid w:val="0043647A"/>
    <w:rsid w:val="0044094C"/>
    <w:rsid w:val="00440FFD"/>
    <w:rsid w:val="004411E3"/>
    <w:rsid w:val="0044126B"/>
    <w:rsid w:val="00441870"/>
    <w:rsid w:val="00441BF1"/>
    <w:rsid w:val="00442754"/>
    <w:rsid w:val="00442B9D"/>
    <w:rsid w:val="00442D0B"/>
    <w:rsid w:val="00443191"/>
    <w:rsid w:val="004439F0"/>
    <w:rsid w:val="00443A63"/>
    <w:rsid w:val="0044472F"/>
    <w:rsid w:val="00444C34"/>
    <w:rsid w:val="00445037"/>
    <w:rsid w:val="0044572F"/>
    <w:rsid w:val="00445E12"/>
    <w:rsid w:val="00445E92"/>
    <w:rsid w:val="00445FFD"/>
    <w:rsid w:val="00446463"/>
    <w:rsid w:val="004477BB"/>
    <w:rsid w:val="00447D42"/>
    <w:rsid w:val="00450761"/>
    <w:rsid w:val="00451FAA"/>
    <w:rsid w:val="00452772"/>
    <w:rsid w:val="004538F7"/>
    <w:rsid w:val="0045440B"/>
    <w:rsid w:val="004546AC"/>
    <w:rsid w:val="00454D7A"/>
    <w:rsid w:val="004557E2"/>
    <w:rsid w:val="004569E1"/>
    <w:rsid w:val="00457940"/>
    <w:rsid w:val="00457ADE"/>
    <w:rsid w:val="00460475"/>
    <w:rsid w:val="004607F6"/>
    <w:rsid w:val="00460804"/>
    <w:rsid w:val="00460D20"/>
    <w:rsid w:val="00460FBC"/>
    <w:rsid w:val="004610F1"/>
    <w:rsid w:val="004614F2"/>
    <w:rsid w:val="00461783"/>
    <w:rsid w:val="00461A7F"/>
    <w:rsid w:val="00461B15"/>
    <w:rsid w:val="00461F58"/>
    <w:rsid w:val="0046222C"/>
    <w:rsid w:val="00462342"/>
    <w:rsid w:val="004623E2"/>
    <w:rsid w:val="00462493"/>
    <w:rsid w:val="00463E49"/>
    <w:rsid w:val="0046433F"/>
    <w:rsid w:val="00465483"/>
    <w:rsid w:val="004654C8"/>
    <w:rsid w:val="0046569E"/>
    <w:rsid w:val="004660A6"/>
    <w:rsid w:val="004662D6"/>
    <w:rsid w:val="00467678"/>
    <w:rsid w:val="00467C22"/>
    <w:rsid w:val="0047032D"/>
    <w:rsid w:val="00470C7F"/>
    <w:rsid w:val="00470CB2"/>
    <w:rsid w:val="0047152F"/>
    <w:rsid w:val="004719AE"/>
    <w:rsid w:val="00471B33"/>
    <w:rsid w:val="004720B8"/>
    <w:rsid w:val="00472268"/>
    <w:rsid w:val="004722F2"/>
    <w:rsid w:val="004725A3"/>
    <w:rsid w:val="00472619"/>
    <w:rsid w:val="00472886"/>
    <w:rsid w:val="00473657"/>
    <w:rsid w:val="0047389B"/>
    <w:rsid w:val="00474B0A"/>
    <w:rsid w:val="00474EA5"/>
    <w:rsid w:val="004759B6"/>
    <w:rsid w:val="00475FCA"/>
    <w:rsid w:val="00476A4B"/>
    <w:rsid w:val="0047715A"/>
    <w:rsid w:val="004772DB"/>
    <w:rsid w:val="004776F5"/>
    <w:rsid w:val="00477761"/>
    <w:rsid w:val="004779E5"/>
    <w:rsid w:val="00477D35"/>
    <w:rsid w:val="0048038E"/>
    <w:rsid w:val="0048039F"/>
    <w:rsid w:val="004808ED"/>
    <w:rsid w:val="00480C9B"/>
    <w:rsid w:val="00480D3A"/>
    <w:rsid w:val="004810E2"/>
    <w:rsid w:val="0048156A"/>
    <w:rsid w:val="00482D0F"/>
    <w:rsid w:val="00482E09"/>
    <w:rsid w:val="0048323E"/>
    <w:rsid w:val="004847D6"/>
    <w:rsid w:val="00484E8B"/>
    <w:rsid w:val="00484EA2"/>
    <w:rsid w:val="00485938"/>
    <w:rsid w:val="00486051"/>
    <w:rsid w:val="004864A4"/>
    <w:rsid w:val="0048666C"/>
    <w:rsid w:val="0048676B"/>
    <w:rsid w:val="00487ADA"/>
    <w:rsid w:val="00490270"/>
    <w:rsid w:val="00490F82"/>
    <w:rsid w:val="0049139A"/>
    <w:rsid w:val="004917EF"/>
    <w:rsid w:val="004919C6"/>
    <w:rsid w:val="00491A52"/>
    <w:rsid w:val="00491B52"/>
    <w:rsid w:val="00491C6F"/>
    <w:rsid w:val="00492381"/>
    <w:rsid w:val="00492722"/>
    <w:rsid w:val="00492737"/>
    <w:rsid w:val="004932EC"/>
    <w:rsid w:val="00493864"/>
    <w:rsid w:val="004939D0"/>
    <w:rsid w:val="00493E78"/>
    <w:rsid w:val="00493F14"/>
    <w:rsid w:val="00493F7B"/>
    <w:rsid w:val="004944BF"/>
    <w:rsid w:val="00494923"/>
    <w:rsid w:val="00494A20"/>
    <w:rsid w:val="00494EFA"/>
    <w:rsid w:val="004952F1"/>
    <w:rsid w:val="00495856"/>
    <w:rsid w:val="00496BDF"/>
    <w:rsid w:val="00496EE1"/>
    <w:rsid w:val="00496EE5"/>
    <w:rsid w:val="00497737"/>
    <w:rsid w:val="00497F06"/>
    <w:rsid w:val="004A03F6"/>
    <w:rsid w:val="004A072D"/>
    <w:rsid w:val="004A175E"/>
    <w:rsid w:val="004A1906"/>
    <w:rsid w:val="004A1A54"/>
    <w:rsid w:val="004A21FF"/>
    <w:rsid w:val="004A2AF3"/>
    <w:rsid w:val="004A322F"/>
    <w:rsid w:val="004A39B8"/>
    <w:rsid w:val="004A3AA4"/>
    <w:rsid w:val="004A40CC"/>
    <w:rsid w:val="004A41DE"/>
    <w:rsid w:val="004A4CF6"/>
    <w:rsid w:val="004A59AA"/>
    <w:rsid w:val="004A5A06"/>
    <w:rsid w:val="004A5FD9"/>
    <w:rsid w:val="004A6A0C"/>
    <w:rsid w:val="004A6B51"/>
    <w:rsid w:val="004A7C11"/>
    <w:rsid w:val="004A7CD5"/>
    <w:rsid w:val="004A7F1B"/>
    <w:rsid w:val="004A7FE4"/>
    <w:rsid w:val="004B061F"/>
    <w:rsid w:val="004B15EF"/>
    <w:rsid w:val="004B16D9"/>
    <w:rsid w:val="004B193D"/>
    <w:rsid w:val="004B1EC8"/>
    <w:rsid w:val="004B20BE"/>
    <w:rsid w:val="004B2FAC"/>
    <w:rsid w:val="004B304C"/>
    <w:rsid w:val="004B31C0"/>
    <w:rsid w:val="004B4401"/>
    <w:rsid w:val="004B4608"/>
    <w:rsid w:val="004B49BA"/>
    <w:rsid w:val="004B4B6A"/>
    <w:rsid w:val="004B50C6"/>
    <w:rsid w:val="004B51C7"/>
    <w:rsid w:val="004B56C1"/>
    <w:rsid w:val="004B5A49"/>
    <w:rsid w:val="004B6081"/>
    <w:rsid w:val="004B67E1"/>
    <w:rsid w:val="004B71A0"/>
    <w:rsid w:val="004B76C3"/>
    <w:rsid w:val="004C04C7"/>
    <w:rsid w:val="004C0814"/>
    <w:rsid w:val="004C0C06"/>
    <w:rsid w:val="004C147E"/>
    <w:rsid w:val="004C178A"/>
    <w:rsid w:val="004C217D"/>
    <w:rsid w:val="004C2AAE"/>
    <w:rsid w:val="004C2D20"/>
    <w:rsid w:val="004C334E"/>
    <w:rsid w:val="004C339E"/>
    <w:rsid w:val="004C3945"/>
    <w:rsid w:val="004C4040"/>
    <w:rsid w:val="004C4EF0"/>
    <w:rsid w:val="004C5202"/>
    <w:rsid w:val="004C5420"/>
    <w:rsid w:val="004C57A5"/>
    <w:rsid w:val="004C595B"/>
    <w:rsid w:val="004C716F"/>
    <w:rsid w:val="004C7231"/>
    <w:rsid w:val="004C724A"/>
    <w:rsid w:val="004C7600"/>
    <w:rsid w:val="004C776A"/>
    <w:rsid w:val="004C7AB6"/>
    <w:rsid w:val="004D013A"/>
    <w:rsid w:val="004D09E9"/>
    <w:rsid w:val="004D0F5A"/>
    <w:rsid w:val="004D124E"/>
    <w:rsid w:val="004D132B"/>
    <w:rsid w:val="004D14F7"/>
    <w:rsid w:val="004D2274"/>
    <w:rsid w:val="004D23E2"/>
    <w:rsid w:val="004D26B7"/>
    <w:rsid w:val="004D3175"/>
    <w:rsid w:val="004D35BB"/>
    <w:rsid w:val="004D3B82"/>
    <w:rsid w:val="004D419F"/>
    <w:rsid w:val="004D46DE"/>
    <w:rsid w:val="004D4EFB"/>
    <w:rsid w:val="004D574E"/>
    <w:rsid w:val="004D5F0E"/>
    <w:rsid w:val="004D5F3E"/>
    <w:rsid w:val="004D6046"/>
    <w:rsid w:val="004D6494"/>
    <w:rsid w:val="004D683F"/>
    <w:rsid w:val="004D686E"/>
    <w:rsid w:val="004D6870"/>
    <w:rsid w:val="004D6C1A"/>
    <w:rsid w:val="004D7352"/>
    <w:rsid w:val="004D7D6E"/>
    <w:rsid w:val="004E09A2"/>
    <w:rsid w:val="004E0D36"/>
    <w:rsid w:val="004E0E9F"/>
    <w:rsid w:val="004E1192"/>
    <w:rsid w:val="004E1A69"/>
    <w:rsid w:val="004E2696"/>
    <w:rsid w:val="004E3101"/>
    <w:rsid w:val="004E3E0B"/>
    <w:rsid w:val="004E3EDD"/>
    <w:rsid w:val="004E3F93"/>
    <w:rsid w:val="004E4707"/>
    <w:rsid w:val="004E49CF"/>
    <w:rsid w:val="004E4B60"/>
    <w:rsid w:val="004E5647"/>
    <w:rsid w:val="004E6100"/>
    <w:rsid w:val="004E62B4"/>
    <w:rsid w:val="004E64A3"/>
    <w:rsid w:val="004E6532"/>
    <w:rsid w:val="004E6551"/>
    <w:rsid w:val="004E6A0A"/>
    <w:rsid w:val="004E6DB7"/>
    <w:rsid w:val="004E71C8"/>
    <w:rsid w:val="004E7912"/>
    <w:rsid w:val="004E793F"/>
    <w:rsid w:val="004E7BE0"/>
    <w:rsid w:val="004F01FE"/>
    <w:rsid w:val="004F0269"/>
    <w:rsid w:val="004F03CA"/>
    <w:rsid w:val="004F05D4"/>
    <w:rsid w:val="004F07A1"/>
    <w:rsid w:val="004F0CFE"/>
    <w:rsid w:val="004F0EB6"/>
    <w:rsid w:val="004F13A2"/>
    <w:rsid w:val="004F1559"/>
    <w:rsid w:val="004F19B0"/>
    <w:rsid w:val="004F1C22"/>
    <w:rsid w:val="004F1ECF"/>
    <w:rsid w:val="004F2159"/>
    <w:rsid w:val="004F23F4"/>
    <w:rsid w:val="004F246F"/>
    <w:rsid w:val="004F2A4A"/>
    <w:rsid w:val="004F2BA7"/>
    <w:rsid w:val="004F2F7C"/>
    <w:rsid w:val="004F333F"/>
    <w:rsid w:val="004F4367"/>
    <w:rsid w:val="004F4896"/>
    <w:rsid w:val="004F4A17"/>
    <w:rsid w:val="004F4B23"/>
    <w:rsid w:val="004F52A6"/>
    <w:rsid w:val="004F5AA6"/>
    <w:rsid w:val="004F616E"/>
    <w:rsid w:val="004F6E95"/>
    <w:rsid w:val="004F6F45"/>
    <w:rsid w:val="004F7472"/>
    <w:rsid w:val="004F7E3A"/>
    <w:rsid w:val="004F7FDC"/>
    <w:rsid w:val="00500183"/>
    <w:rsid w:val="005002EB"/>
    <w:rsid w:val="00501298"/>
    <w:rsid w:val="005017F2"/>
    <w:rsid w:val="005021CC"/>
    <w:rsid w:val="00502970"/>
    <w:rsid w:val="00502A79"/>
    <w:rsid w:val="00503137"/>
    <w:rsid w:val="0050333C"/>
    <w:rsid w:val="00503A0A"/>
    <w:rsid w:val="00504C33"/>
    <w:rsid w:val="00505010"/>
    <w:rsid w:val="00505140"/>
    <w:rsid w:val="005051C4"/>
    <w:rsid w:val="0050531C"/>
    <w:rsid w:val="005059C5"/>
    <w:rsid w:val="005059F0"/>
    <w:rsid w:val="00505AC1"/>
    <w:rsid w:val="00505DEF"/>
    <w:rsid w:val="00506BC2"/>
    <w:rsid w:val="00506FB7"/>
    <w:rsid w:val="00507003"/>
    <w:rsid w:val="005074AF"/>
    <w:rsid w:val="0050778A"/>
    <w:rsid w:val="005078AF"/>
    <w:rsid w:val="00511E57"/>
    <w:rsid w:val="00512532"/>
    <w:rsid w:val="00512569"/>
    <w:rsid w:val="005131C0"/>
    <w:rsid w:val="005134EF"/>
    <w:rsid w:val="00513B7C"/>
    <w:rsid w:val="00513C27"/>
    <w:rsid w:val="005143FB"/>
    <w:rsid w:val="00514645"/>
    <w:rsid w:val="005147F7"/>
    <w:rsid w:val="0051488F"/>
    <w:rsid w:val="005153EE"/>
    <w:rsid w:val="005157B1"/>
    <w:rsid w:val="0051596A"/>
    <w:rsid w:val="00515C86"/>
    <w:rsid w:val="00515C87"/>
    <w:rsid w:val="00515E17"/>
    <w:rsid w:val="00516319"/>
    <w:rsid w:val="005164C2"/>
    <w:rsid w:val="00517583"/>
    <w:rsid w:val="005179C4"/>
    <w:rsid w:val="00517E43"/>
    <w:rsid w:val="00520703"/>
    <w:rsid w:val="005209E5"/>
    <w:rsid w:val="00520A1F"/>
    <w:rsid w:val="00520CD8"/>
    <w:rsid w:val="00520E41"/>
    <w:rsid w:val="00521A48"/>
    <w:rsid w:val="00521B00"/>
    <w:rsid w:val="005221E9"/>
    <w:rsid w:val="005233DD"/>
    <w:rsid w:val="00523409"/>
    <w:rsid w:val="0052394D"/>
    <w:rsid w:val="00524226"/>
    <w:rsid w:val="0052447B"/>
    <w:rsid w:val="00524602"/>
    <w:rsid w:val="00524D29"/>
    <w:rsid w:val="0052648C"/>
    <w:rsid w:val="00526771"/>
    <w:rsid w:val="0052684A"/>
    <w:rsid w:val="0052689C"/>
    <w:rsid w:val="005273C3"/>
    <w:rsid w:val="0052760B"/>
    <w:rsid w:val="00527E0F"/>
    <w:rsid w:val="005305D7"/>
    <w:rsid w:val="00531261"/>
    <w:rsid w:val="005318BF"/>
    <w:rsid w:val="00531C3D"/>
    <w:rsid w:val="00531E86"/>
    <w:rsid w:val="00531FD1"/>
    <w:rsid w:val="00532222"/>
    <w:rsid w:val="00532BDA"/>
    <w:rsid w:val="005331CA"/>
    <w:rsid w:val="00533500"/>
    <w:rsid w:val="00534321"/>
    <w:rsid w:val="0053468F"/>
    <w:rsid w:val="005346E2"/>
    <w:rsid w:val="005349A4"/>
    <w:rsid w:val="00534E75"/>
    <w:rsid w:val="005351AE"/>
    <w:rsid w:val="005354B7"/>
    <w:rsid w:val="00535B01"/>
    <w:rsid w:val="005367F4"/>
    <w:rsid w:val="005369A8"/>
    <w:rsid w:val="005369F7"/>
    <w:rsid w:val="00536B24"/>
    <w:rsid w:val="00536C62"/>
    <w:rsid w:val="00536F2E"/>
    <w:rsid w:val="00536FEC"/>
    <w:rsid w:val="0053787A"/>
    <w:rsid w:val="00537957"/>
    <w:rsid w:val="005379F9"/>
    <w:rsid w:val="00537E43"/>
    <w:rsid w:val="00537ED3"/>
    <w:rsid w:val="00540DBF"/>
    <w:rsid w:val="0054117B"/>
    <w:rsid w:val="00541EEA"/>
    <w:rsid w:val="005420FD"/>
    <w:rsid w:val="00543879"/>
    <w:rsid w:val="00544575"/>
    <w:rsid w:val="00544C2E"/>
    <w:rsid w:val="00544E6B"/>
    <w:rsid w:val="00545BDD"/>
    <w:rsid w:val="00545D81"/>
    <w:rsid w:val="00545D91"/>
    <w:rsid w:val="00545DED"/>
    <w:rsid w:val="00546065"/>
    <w:rsid w:val="00546067"/>
    <w:rsid w:val="00546139"/>
    <w:rsid w:val="0054630D"/>
    <w:rsid w:val="00546688"/>
    <w:rsid w:val="00546D0E"/>
    <w:rsid w:val="00547391"/>
    <w:rsid w:val="0054753E"/>
    <w:rsid w:val="005476FF"/>
    <w:rsid w:val="00550202"/>
    <w:rsid w:val="005505C3"/>
    <w:rsid w:val="005506DB"/>
    <w:rsid w:val="00550792"/>
    <w:rsid w:val="00551018"/>
    <w:rsid w:val="005512F3"/>
    <w:rsid w:val="0055189F"/>
    <w:rsid w:val="00552BA3"/>
    <w:rsid w:val="00552E71"/>
    <w:rsid w:val="005541B9"/>
    <w:rsid w:val="005542D9"/>
    <w:rsid w:val="005544AF"/>
    <w:rsid w:val="0055467A"/>
    <w:rsid w:val="005553D7"/>
    <w:rsid w:val="00555624"/>
    <w:rsid w:val="00555F43"/>
    <w:rsid w:val="00555F8D"/>
    <w:rsid w:val="005560F7"/>
    <w:rsid w:val="00556694"/>
    <w:rsid w:val="00557514"/>
    <w:rsid w:val="00557543"/>
    <w:rsid w:val="00557D65"/>
    <w:rsid w:val="00557E9E"/>
    <w:rsid w:val="0056012B"/>
    <w:rsid w:val="005606FE"/>
    <w:rsid w:val="0056079B"/>
    <w:rsid w:val="005608F4"/>
    <w:rsid w:val="00561650"/>
    <w:rsid w:val="0056204E"/>
    <w:rsid w:val="005621E2"/>
    <w:rsid w:val="0056298C"/>
    <w:rsid w:val="00562CB5"/>
    <w:rsid w:val="00563121"/>
    <w:rsid w:val="0056321A"/>
    <w:rsid w:val="00563288"/>
    <w:rsid w:val="005634C8"/>
    <w:rsid w:val="005636CB"/>
    <w:rsid w:val="00563AB2"/>
    <w:rsid w:val="00563C9E"/>
    <w:rsid w:val="005640AD"/>
    <w:rsid w:val="00564269"/>
    <w:rsid w:val="00564831"/>
    <w:rsid w:val="00564874"/>
    <w:rsid w:val="00564E5C"/>
    <w:rsid w:val="0056543F"/>
    <w:rsid w:val="0056544B"/>
    <w:rsid w:val="00566074"/>
    <w:rsid w:val="0056665C"/>
    <w:rsid w:val="00566803"/>
    <w:rsid w:val="00566C77"/>
    <w:rsid w:val="00566EB4"/>
    <w:rsid w:val="005670B0"/>
    <w:rsid w:val="005674D5"/>
    <w:rsid w:val="00567603"/>
    <w:rsid w:val="0057061D"/>
    <w:rsid w:val="00570F18"/>
    <w:rsid w:val="00571646"/>
    <w:rsid w:val="005722D6"/>
    <w:rsid w:val="005727DC"/>
    <w:rsid w:val="00572DBD"/>
    <w:rsid w:val="00573BAB"/>
    <w:rsid w:val="00573C59"/>
    <w:rsid w:val="005740FC"/>
    <w:rsid w:val="00574309"/>
    <w:rsid w:val="00574E3F"/>
    <w:rsid w:val="00575347"/>
    <w:rsid w:val="00575893"/>
    <w:rsid w:val="0057670E"/>
    <w:rsid w:val="00576818"/>
    <w:rsid w:val="00576921"/>
    <w:rsid w:val="00576AFF"/>
    <w:rsid w:val="00577539"/>
    <w:rsid w:val="00577E31"/>
    <w:rsid w:val="00580514"/>
    <w:rsid w:val="00580B74"/>
    <w:rsid w:val="00581350"/>
    <w:rsid w:val="00581548"/>
    <w:rsid w:val="00581FD1"/>
    <w:rsid w:val="00582470"/>
    <w:rsid w:val="005827CA"/>
    <w:rsid w:val="00582A2A"/>
    <w:rsid w:val="00583BF2"/>
    <w:rsid w:val="00584B8A"/>
    <w:rsid w:val="005850A5"/>
    <w:rsid w:val="0058571D"/>
    <w:rsid w:val="00585A0E"/>
    <w:rsid w:val="00585C23"/>
    <w:rsid w:val="00585EE3"/>
    <w:rsid w:val="00585F59"/>
    <w:rsid w:val="00586420"/>
    <w:rsid w:val="00586447"/>
    <w:rsid w:val="00586465"/>
    <w:rsid w:val="00586671"/>
    <w:rsid w:val="00586FC8"/>
    <w:rsid w:val="005879E7"/>
    <w:rsid w:val="00587E45"/>
    <w:rsid w:val="00590413"/>
    <w:rsid w:val="00590892"/>
    <w:rsid w:val="005916DA"/>
    <w:rsid w:val="0059172B"/>
    <w:rsid w:val="00591D42"/>
    <w:rsid w:val="00591F0C"/>
    <w:rsid w:val="0059224C"/>
    <w:rsid w:val="005925E5"/>
    <w:rsid w:val="00592D04"/>
    <w:rsid w:val="0059332A"/>
    <w:rsid w:val="00593B59"/>
    <w:rsid w:val="00593C0A"/>
    <w:rsid w:val="00593C1E"/>
    <w:rsid w:val="00594628"/>
    <w:rsid w:val="00595144"/>
    <w:rsid w:val="00595CEA"/>
    <w:rsid w:val="00596A5F"/>
    <w:rsid w:val="00596AE3"/>
    <w:rsid w:val="00597C22"/>
    <w:rsid w:val="005A0225"/>
    <w:rsid w:val="005A02DF"/>
    <w:rsid w:val="005A05B5"/>
    <w:rsid w:val="005A0BF7"/>
    <w:rsid w:val="005A1E55"/>
    <w:rsid w:val="005A226A"/>
    <w:rsid w:val="005A253F"/>
    <w:rsid w:val="005A2CCF"/>
    <w:rsid w:val="005A2D43"/>
    <w:rsid w:val="005A35A8"/>
    <w:rsid w:val="005A3EEB"/>
    <w:rsid w:val="005A4485"/>
    <w:rsid w:val="005A4565"/>
    <w:rsid w:val="005A484E"/>
    <w:rsid w:val="005A7159"/>
    <w:rsid w:val="005A79F3"/>
    <w:rsid w:val="005A7AF8"/>
    <w:rsid w:val="005A7D27"/>
    <w:rsid w:val="005B08AB"/>
    <w:rsid w:val="005B105D"/>
    <w:rsid w:val="005B1070"/>
    <w:rsid w:val="005B13B0"/>
    <w:rsid w:val="005B15DB"/>
    <w:rsid w:val="005B1EC0"/>
    <w:rsid w:val="005B21DA"/>
    <w:rsid w:val="005B2A5F"/>
    <w:rsid w:val="005B2B24"/>
    <w:rsid w:val="005B2D91"/>
    <w:rsid w:val="005B32E8"/>
    <w:rsid w:val="005B3571"/>
    <w:rsid w:val="005B3616"/>
    <w:rsid w:val="005B3657"/>
    <w:rsid w:val="005B39E1"/>
    <w:rsid w:val="005B3EB7"/>
    <w:rsid w:val="005B4129"/>
    <w:rsid w:val="005B427B"/>
    <w:rsid w:val="005B4E91"/>
    <w:rsid w:val="005B5999"/>
    <w:rsid w:val="005B5C9C"/>
    <w:rsid w:val="005B5D82"/>
    <w:rsid w:val="005B60FF"/>
    <w:rsid w:val="005B6276"/>
    <w:rsid w:val="005B6B84"/>
    <w:rsid w:val="005B723C"/>
    <w:rsid w:val="005B741D"/>
    <w:rsid w:val="005B76EE"/>
    <w:rsid w:val="005C039E"/>
    <w:rsid w:val="005C043B"/>
    <w:rsid w:val="005C0ED1"/>
    <w:rsid w:val="005C1065"/>
    <w:rsid w:val="005C1607"/>
    <w:rsid w:val="005C1797"/>
    <w:rsid w:val="005C2801"/>
    <w:rsid w:val="005C2C87"/>
    <w:rsid w:val="005C2E1E"/>
    <w:rsid w:val="005C3143"/>
    <w:rsid w:val="005C33F7"/>
    <w:rsid w:val="005C3E96"/>
    <w:rsid w:val="005C46CC"/>
    <w:rsid w:val="005C4C3A"/>
    <w:rsid w:val="005C4E6B"/>
    <w:rsid w:val="005C5557"/>
    <w:rsid w:val="005C565D"/>
    <w:rsid w:val="005C5E73"/>
    <w:rsid w:val="005C629F"/>
    <w:rsid w:val="005C650F"/>
    <w:rsid w:val="005C6554"/>
    <w:rsid w:val="005C655F"/>
    <w:rsid w:val="005C68A8"/>
    <w:rsid w:val="005C6B40"/>
    <w:rsid w:val="005C7192"/>
    <w:rsid w:val="005C7754"/>
    <w:rsid w:val="005C7D37"/>
    <w:rsid w:val="005C7EE7"/>
    <w:rsid w:val="005D02C7"/>
    <w:rsid w:val="005D0A84"/>
    <w:rsid w:val="005D10AD"/>
    <w:rsid w:val="005D185B"/>
    <w:rsid w:val="005D1B17"/>
    <w:rsid w:val="005D1B51"/>
    <w:rsid w:val="005D1F1B"/>
    <w:rsid w:val="005D20B1"/>
    <w:rsid w:val="005D23BF"/>
    <w:rsid w:val="005D32CC"/>
    <w:rsid w:val="005D3490"/>
    <w:rsid w:val="005D37C6"/>
    <w:rsid w:val="005D39F9"/>
    <w:rsid w:val="005D3A73"/>
    <w:rsid w:val="005D3B35"/>
    <w:rsid w:val="005D3CC9"/>
    <w:rsid w:val="005D68A3"/>
    <w:rsid w:val="005D6A14"/>
    <w:rsid w:val="005D6DC9"/>
    <w:rsid w:val="005D7B3D"/>
    <w:rsid w:val="005D7C40"/>
    <w:rsid w:val="005E0AB7"/>
    <w:rsid w:val="005E0F0D"/>
    <w:rsid w:val="005E13A7"/>
    <w:rsid w:val="005E18D0"/>
    <w:rsid w:val="005E19B3"/>
    <w:rsid w:val="005E26F3"/>
    <w:rsid w:val="005E384B"/>
    <w:rsid w:val="005E4206"/>
    <w:rsid w:val="005E447E"/>
    <w:rsid w:val="005E482C"/>
    <w:rsid w:val="005E4C41"/>
    <w:rsid w:val="005E4D54"/>
    <w:rsid w:val="005E51A7"/>
    <w:rsid w:val="005E5855"/>
    <w:rsid w:val="005E5C7E"/>
    <w:rsid w:val="005E66E2"/>
    <w:rsid w:val="005E7073"/>
    <w:rsid w:val="005E7138"/>
    <w:rsid w:val="005E7DAD"/>
    <w:rsid w:val="005F002D"/>
    <w:rsid w:val="005F00B1"/>
    <w:rsid w:val="005F0383"/>
    <w:rsid w:val="005F04C6"/>
    <w:rsid w:val="005F0A3F"/>
    <w:rsid w:val="005F0C0E"/>
    <w:rsid w:val="005F0CC5"/>
    <w:rsid w:val="005F0F46"/>
    <w:rsid w:val="005F18A4"/>
    <w:rsid w:val="005F1B98"/>
    <w:rsid w:val="005F1E3E"/>
    <w:rsid w:val="005F2518"/>
    <w:rsid w:val="005F2D8B"/>
    <w:rsid w:val="005F3014"/>
    <w:rsid w:val="005F3E22"/>
    <w:rsid w:val="005F43BE"/>
    <w:rsid w:val="005F4984"/>
    <w:rsid w:val="005F585A"/>
    <w:rsid w:val="005F5A80"/>
    <w:rsid w:val="005F5E74"/>
    <w:rsid w:val="005F606A"/>
    <w:rsid w:val="005F6318"/>
    <w:rsid w:val="005F6341"/>
    <w:rsid w:val="005F6467"/>
    <w:rsid w:val="005F649C"/>
    <w:rsid w:val="005F6B37"/>
    <w:rsid w:val="005F6DA7"/>
    <w:rsid w:val="005F7089"/>
    <w:rsid w:val="005F7204"/>
    <w:rsid w:val="005F73CC"/>
    <w:rsid w:val="005F7414"/>
    <w:rsid w:val="006001F6"/>
    <w:rsid w:val="006009DF"/>
    <w:rsid w:val="00600ECB"/>
    <w:rsid w:val="0060108E"/>
    <w:rsid w:val="0060184B"/>
    <w:rsid w:val="006024D4"/>
    <w:rsid w:val="006030EB"/>
    <w:rsid w:val="00603420"/>
    <w:rsid w:val="00603702"/>
    <w:rsid w:val="006049D2"/>
    <w:rsid w:val="00604E10"/>
    <w:rsid w:val="0060588B"/>
    <w:rsid w:val="00606896"/>
    <w:rsid w:val="006074AB"/>
    <w:rsid w:val="00607DB3"/>
    <w:rsid w:val="00607E5A"/>
    <w:rsid w:val="00610391"/>
    <w:rsid w:val="006108D1"/>
    <w:rsid w:val="00611558"/>
    <w:rsid w:val="006116E8"/>
    <w:rsid w:val="0061198C"/>
    <w:rsid w:val="00611AD8"/>
    <w:rsid w:val="00611CD6"/>
    <w:rsid w:val="0061249E"/>
    <w:rsid w:val="00612862"/>
    <w:rsid w:val="00612E42"/>
    <w:rsid w:val="006139A8"/>
    <w:rsid w:val="00613C89"/>
    <w:rsid w:val="0061473E"/>
    <w:rsid w:val="00614D5C"/>
    <w:rsid w:val="00615498"/>
    <w:rsid w:val="00615C8D"/>
    <w:rsid w:val="00616648"/>
    <w:rsid w:val="00617010"/>
    <w:rsid w:val="00617E55"/>
    <w:rsid w:val="006218B9"/>
    <w:rsid w:val="00621C8B"/>
    <w:rsid w:val="0062220F"/>
    <w:rsid w:val="006223CA"/>
    <w:rsid w:val="00622B05"/>
    <w:rsid w:val="00622B16"/>
    <w:rsid w:val="00622CF0"/>
    <w:rsid w:val="00623F8B"/>
    <w:rsid w:val="006240D3"/>
    <w:rsid w:val="006245B8"/>
    <w:rsid w:val="006252A2"/>
    <w:rsid w:val="006252E3"/>
    <w:rsid w:val="006253C8"/>
    <w:rsid w:val="00625A37"/>
    <w:rsid w:val="00625F63"/>
    <w:rsid w:val="0062669E"/>
    <w:rsid w:val="006274C0"/>
    <w:rsid w:val="006278A6"/>
    <w:rsid w:val="00627C1E"/>
    <w:rsid w:val="00627F6F"/>
    <w:rsid w:val="006307C8"/>
    <w:rsid w:val="00630F9D"/>
    <w:rsid w:val="0063157F"/>
    <w:rsid w:val="00632384"/>
    <w:rsid w:val="006326F7"/>
    <w:rsid w:val="00632B1E"/>
    <w:rsid w:val="00633866"/>
    <w:rsid w:val="00633FB2"/>
    <w:rsid w:val="00634021"/>
    <w:rsid w:val="00634807"/>
    <w:rsid w:val="00635538"/>
    <w:rsid w:val="00635558"/>
    <w:rsid w:val="00635C3D"/>
    <w:rsid w:val="00635D00"/>
    <w:rsid w:val="00635E6D"/>
    <w:rsid w:val="00636108"/>
    <w:rsid w:val="00637032"/>
    <w:rsid w:val="006371AC"/>
    <w:rsid w:val="006407C1"/>
    <w:rsid w:val="006407DD"/>
    <w:rsid w:val="00641664"/>
    <w:rsid w:val="00641CA7"/>
    <w:rsid w:val="006422AB"/>
    <w:rsid w:val="0064240A"/>
    <w:rsid w:val="00642A09"/>
    <w:rsid w:val="00642BC4"/>
    <w:rsid w:val="00642FA0"/>
    <w:rsid w:val="00643A47"/>
    <w:rsid w:val="0064406C"/>
    <w:rsid w:val="0064453D"/>
    <w:rsid w:val="00644E54"/>
    <w:rsid w:val="00645608"/>
    <w:rsid w:val="0064571F"/>
    <w:rsid w:val="006457CA"/>
    <w:rsid w:val="0064592D"/>
    <w:rsid w:val="0064671D"/>
    <w:rsid w:val="0064674B"/>
    <w:rsid w:val="0064762E"/>
    <w:rsid w:val="006478BD"/>
    <w:rsid w:val="00647BDE"/>
    <w:rsid w:val="00647EC4"/>
    <w:rsid w:val="00650C17"/>
    <w:rsid w:val="00650E75"/>
    <w:rsid w:val="0065199B"/>
    <w:rsid w:val="00651D2A"/>
    <w:rsid w:val="00651D6A"/>
    <w:rsid w:val="00651E12"/>
    <w:rsid w:val="0065216A"/>
    <w:rsid w:val="0065272D"/>
    <w:rsid w:val="00652BAD"/>
    <w:rsid w:val="00652FF6"/>
    <w:rsid w:val="00653509"/>
    <w:rsid w:val="00653558"/>
    <w:rsid w:val="00653D63"/>
    <w:rsid w:val="006547B9"/>
    <w:rsid w:val="00654B53"/>
    <w:rsid w:val="00654DDA"/>
    <w:rsid w:val="00655211"/>
    <w:rsid w:val="00655EEA"/>
    <w:rsid w:val="006569EA"/>
    <w:rsid w:val="00656A20"/>
    <w:rsid w:val="00656B19"/>
    <w:rsid w:val="00657A11"/>
    <w:rsid w:val="00660DC9"/>
    <w:rsid w:val="006616BC"/>
    <w:rsid w:val="00661CAF"/>
    <w:rsid w:val="00662571"/>
    <w:rsid w:val="00662819"/>
    <w:rsid w:val="0066336A"/>
    <w:rsid w:val="00663398"/>
    <w:rsid w:val="00663CA9"/>
    <w:rsid w:val="006640F1"/>
    <w:rsid w:val="0066473F"/>
    <w:rsid w:val="00664A44"/>
    <w:rsid w:val="00664D86"/>
    <w:rsid w:val="00664F96"/>
    <w:rsid w:val="006650D9"/>
    <w:rsid w:val="00665439"/>
    <w:rsid w:val="00665A7B"/>
    <w:rsid w:val="00665AB9"/>
    <w:rsid w:val="00666F0A"/>
    <w:rsid w:val="00667550"/>
    <w:rsid w:val="006677B4"/>
    <w:rsid w:val="00667ACB"/>
    <w:rsid w:val="00670384"/>
    <w:rsid w:val="00671066"/>
    <w:rsid w:val="006715A8"/>
    <w:rsid w:val="0067168A"/>
    <w:rsid w:val="00671692"/>
    <w:rsid w:val="00671C43"/>
    <w:rsid w:val="00671E8E"/>
    <w:rsid w:val="0067246F"/>
    <w:rsid w:val="0067295F"/>
    <w:rsid w:val="00672C10"/>
    <w:rsid w:val="00673367"/>
    <w:rsid w:val="006736CB"/>
    <w:rsid w:val="0067389B"/>
    <w:rsid w:val="006739B9"/>
    <w:rsid w:val="00673CCF"/>
    <w:rsid w:val="00673E90"/>
    <w:rsid w:val="006742B0"/>
    <w:rsid w:val="00674365"/>
    <w:rsid w:val="00674931"/>
    <w:rsid w:val="00674B7D"/>
    <w:rsid w:val="006750B9"/>
    <w:rsid w:val="0067561C"/>
    <w:rsid w:val="00675E3A"/>
    <w:rsid w:val="00675E75"/>
    <w:rsid w:val="00676309"/>
    <w:rsid w:val="0067652E"/>
    <w:rsid w:val="00676DDD"/>
    <w:rsid w:val="00676E2E"/>
    <w:rsid w:val="00677A4D"/>
    <w:rsid w:val="00677B10"/>
    <w:rsid w:val="00677DFD"/>
    <w:rsid w:val="00680291"/>
    <w:rsid w:val="006806F3"/>
    <w:rsid w:val="00680DF3"/>
    <w:rsid w:val="0068117F"/>
    <w:rsid w:val="006814FC"/>
    <w:rsid w:val="006820F1"/>
    <w:rsid w:val="00682C4E"/>
    <w:rsid w:val="00682EA7"/>
    <w:rsid w:val="00682FE2"/>
    <w:rsid w:val="00683094"/>
    <w:rsid w:val="00683173"/>
    <w:rsid w:val="00683AD1"/>
    <w:rsid w:val="00683B4D"/>
    <w:rsid w:val="00683D50"/>
    <w:rsid w:val="0068460A"/>
    <w:rsid w:val="006850E3"/>
    <w:rsid w:val="0068555A"/>
    <w:rsid w:val="006856FA"/>
    <w:rsid w:val="0068651C"/>
    <w:rsid w:val="00686DAD"/>
    <w:rsid w:val="006870B2"/>
    <w:rsid w:val="00687614"/>
    <w:rsid w:val="006903F0"/>
    <w:rsid w:val="00690C59"/>
    <w:rsid w:val="00690F82"/>
    <w:rsid w:val="00690F98"/>
    <w:rsid w:val="006912CD"/>
    <w:rsid w:val="00691323"/>
    <w:rsid w:val="006916F8"/>
    <w:rsid w:val="00691867"/>
    <w:rsid w:val="00691BAB"/>
    <w:rsid w:val="00694636"/>
    <w:rsid w:val="006948D8"/>
    <w:rsid w:val="006955D1"/>
    <w:rsid w:val="00695906"/>
    <w:rsid w:val="00695923"/>
    <w:rsid w:val="00696156"/>
    <w:rsid w:val="00696FF9"/>
    <w:rsid w:val="006975E3"/>
    <w:rsid w:val="006A000E"/>
    <w:rsid w:val="006A00B9"/>
    <w:rsid w:val="006A02B2"/>
    <w:rsid w:val="006A1523"/>
    <w:rsid w:val="006A1570"/>
    <w:rsid w:val="006A22AF"/>
    <w:rsid w:val="006A2614"/>
    <w:rsid w:val="006A2AEB"/>
    <w:rsid w:val="006A3032"/>
    <w:rsid w:val="006A3EEE"/>
    <w:rsid w:val="006A3FD7"/>
    <w:rsid w:val="006A4032"/>
    <w:rsid w:val="006A4376"/>
    <w:rsid w:val="006A463C"/>
    <w:rsid w:val="006A4994"/>
    <w:rsid w:val="006A4A21"/>
    <w:rsid w:val="006A4CDB"/>
    <w:rsid w:val="006A4DF4"/>
    <w:rsid w:val="006A5920"/>
    <w:rsid w:val="006A5A0D"/>
    <w:rsid w:val="006A62BD"/>
    <w:rsid w:val="006A754A"/>
    <w:rsid w:val="006A7DF9"/>
    <w:rsid w:val="006B0021"/>
    <w:rsid w:val="006B05A9"/>
    <w:rsid w:val="006B09EA"/>
    <w:rsid w:val="006B1BD2"/>
    <w:rsid w:val="006B21FD"/>
    <w:rsid w:val="006B2525"/>
    <w:rsid w:val="006B2537"/>
    <w:rsid w:val="006B2552"/>
    <w:rsid w:val="006B257E"/>
    <w:rsid w:val="006B3693"/>
    <w:rsid w:val="006B39B6"/>
    <w:rsid w:val="006B39EB"/>
    <w:rsid w:val="006B3C08"/>
    <w:rsid w:val="006B469D"/>
    <w:rsid w:val="006B48E6"/>
    <w:rsid w:val="006B4BA5"/>
    <w:rsid w:val="006B5C2D"/>
    <w:rsid w:val="006B6462"/>
    <w:rsid w:val="006B6677"/>
    <w:rsid w:val="006B6FDB"/>
    <w:rsid w:val="006B704C"/>
    <w:rsid w:val="006B7A91"/>
    <w:rsid w:val="006C014F"/>
    <w:rsid w:val="006C021A"/>
    <w:rsid w:val="006C182B"/>
    <w:rsid w:val="006C2185"/>
    <w:rsid w:val="006C29FA"/>
    <w:rsid w:val="006C2D67"/>
    <w:rsid w:val="006C37E6"/>
    <w:rsid w:val="006C3ECF"/>
    <w:rsid w:val="006C644A"/>
    <w:rsid w:val="006C658E"/>
    <w:rsid w:val="006C66EF"/>
    <w:rsid w:val="006C6EC3"/>
    <w:rsid w:val="006C74D0"/>
    <w:rsid w:val="006C77CB"/>
    <w:rsid w:val="006C7B08"/>
    <w:rsid w:val="006C7F08"/>
    <w:rsid w:val="006D04D3"/>
    <w:rsid w:val="006D0E27"/>
    <w:rsid w:val="006D0E9E"/>
    <w:rsid w:val="006D1934"/>
    <w:rsid w:val="006D1EDD"/>
    <w:rsid w:val="006D3332"/>
    <w:rsid w:val="006D3DC0"/>
    <w:rsid w:val="006D4346"/>
    <w:rsid w:val="006D5438"/>
    <w:rsid w:val="006D5550"/>
    <w:rsid w:val="006D66B0"/>
    <w:rsid w:val="006D7051"/>
    <w:rsid w:val="006D729E"/>
    <w:rsid w:val="006D7A67"/>
    <w:rsid w:val="006D7D60"/>
    <w:rsid w:val="006E058F"/>
    <w:rsid w:val="006E0E06"/>
    <w:rsid w:val="006E1078"/>
    <w:rsid w:val="006E16BB"/>
    <w:rsid w:val="006E2BF4"/>
    <w:rsid w:val="006E3257"/>
    <w:rsid w:val="006E4CF2"/>
    <w:rsid w:val="006E4D0E"/>
    <w:rsid w:val="006E5206"/>
    <w:rsid w:val="006E53A6"/>
    <w:rsid w:val="006E5D4B"/>
    <w:rsid w:val="006E5DE8"/>
    <w:rsid w:val="006E671D"/>
    <w:rsid w:val="006E687B"/>
    <w:rsid w:val="006E7357"/>
    <w:rsid w:val="006E7A45"/>
    <w:rsid w:val="006F00A5"/>
    <w:rsid w:val="006F01C3"/>
    <w:rsid w:val="006F0409"/>
    <w:rsid w:val="006F04A5"/>
    <w:rsid w:val="006F11C0"/>
    <w:rsid w:val="006F2660"/>
    <w:rsid w:val="006F2C6B"/>
    <w:rsid w:val="006F2E33"/>
    <w:rsid w:val="006F318E"/>
    <w:rsid w:val="006F3A50"/>
    <w:rsid w:val="006F4008"/>
    <w:rsid w:val="006F4056"/>
    <w:rsid w:val="006F4363"/>
    <w:rsid w:val="006F4536"/>
    <w:rsid w:val="006F4612"/>
    <w:rsid w:val="006F528E"/>
    <w:rsid w:val="006F5300"/>
    <w:rsid w:val="006F56BB"/>
    <w:rsid w:val="006F679B"/>
    <w:rsid w:val="006F6E55"/>
    <w:rsid w:val="006F6E68"/>
    <w:rsid w:val="006F7152"/>
    <w:rsid w:val="006F715D"/>
    <w:rsid w:val="006F799F"/>
    <w:rsid w:val="007008EE"/>
    <w:rsid w:val="00700D7F"/>
    <w:rsid w:val="00701070"/>
    <w:rsid w:val="00701208"/>
    <w:rsid w:val="00701221"/>
    <w:rsid w:val="007018ED"/>
    <w:rsid w:val="00701BD3"/>
    <w:rsid w:val="00702666"/>
    <w:rsid w:val="00702DC3"/>
    <w:rsid w:val="00702F84"/>
    <w:rsid w:val="0070305F"/>
    <w:rsid w:val="00703187"/>
    <w:rsid w:val="00703284"/>
    <w:rsid w:val="00703859"/>
    <w:rsid w:val="007038A4"/>
    <w:rsid w:val="007038FF"/>
    <w:rsid w:val="00705027"/>
    <w:rsid w:val="00705433"/>
    <w:rsid w:val="00705474"/>
    <w:rsid w:val="007059DF"/>
    <w:rsid w:val="00705AEE"/>
    <w:rsid w:val="00705BF6"/>
    <w:rsid w:val="0070632C"/>
    <w:rsid w:val="007065A0"/>
    <w:rsid w:val="007066B0"/>
    <w:rsid w:val="007068A5"/>
    <w:rsid w:val="00706C92"/>
    <w:rsid w:val="00706DEF"/>
    <w:rsid w:val="00706F43"/>
    <w:rsid w:val="00707AB1"/>
    <w:rsid w:val="007102A9"/>
    <w:rsid w:val="00711760"/>
    <w:rsid w:val="00711854"/>
    <w:rsid w:val="00711870"/>
    <w:rsid w:val="0071188F"/>
    <w:rsid w:val="00711AB4"/>
    <w:rsid w:val="00712852"/>
    <w:rsid w:val="007128AC"/>
    <w:rsid w:val="007128B1"/>
    <w:rsid w:val="0071290B"/>
    <w:rsid w:val="007129CC"/>
    <w:rsid w:val="00712CC7"/>
    <w:rsid w:val="00713114"/>
    <w:rsid w:val="00713B73"/>
    <w:rsid w:val="007141FA"/>
    <w:rsid w:val="0071439C"/>
    <w:rsid w:val="00714666"/>
    <w:rsid w:val="007150BC"/>
    <w:rsid w:val="0071512B"/>
    <w:rsid w:val="007154B0"/>
    <w:rsid w:val="0071574A"/>
    <w:rsid w:val="00715A4E"/>
    <w:rsid w:val="00715CB9"/>
    <w:rsid w:val="0071645B"/>
    <w:rsid w:val="00716CB3"/>
    <w:rsid w:val="00716D9B"/>
    <w:rsid w:val="00716ED2"/>
    <w:rsid w:val="00717578"/>
    <w:rsid w:val="00717EEE"/>
    <w:rsid w:val="007201EF"/>
    <w:rsid w:val="00720A24"/>
    <w:rsid w:val="007210B5"/>
    <w:rsid w:val="0072118F"/>
    <w:rsid w:val="007211B9"/>
    <w:rsid w:val="00721396"/>
    <w:rsid w:val="007213F8"/>
    <w:rsid w:val="00721400"/>
    <w:rsid w:val="00721762"/>
    <w:rsid w:val="00721E5B"/>
    <w:rsid w:val="00722018"/>
    <w:rsid w:val="0072215F"/>
    <w:rsid w:val="00722379"/>
    <w:rsid w:val="0072257A"/>
    <w:rsid w:val="007227FA"/>
    <w:rsid w:val="00722ED6"/>
    <w:rsid w:val="0072305B"/>
    <w:rsid w:val="007234F2"/>
    <w:rsid w:val="007236D5"/>
    <w:rsid w:val="00723DB6"/>
    <w:rsid w:val="0072475E"/>
    <w:rsid w:val="00724AEF"/>
    <w:rsid w:val="00724B0D"/>
    <w:rsid w:val="007262EA"/>
    <w:rsid w:val="007263A5"/>
    <w:rsid w:val="007270E0"/>
    <w:rsid w:val="00727152"/>
    <w:rsid w:val="00727741"/>
    <w:rsid w:val="00727ED9"/>
    <w:rsid w:val="00730525"/>
    <w:rsid w:val="0073052D"/>
    <w:rsid w:val="007309B1"/>
    <w:rsid w:val="00731671"/>
    <w:rsid w:val="00731D45"/>
    <w:rsid w:val="007320D7"/>
    <w:rsid w:val="007324D4"/>
    <w:rsid w:val="00732B79"/>
    <w:rsid w:val="00733272"/>
    <w:rsid w:val="007332A4"/>
    <w:rsid w:val="00733638"/>
    <w:rsid w:val="00733D95"/>
    <w:rsid w:val="00734572"/>
    <w:rsid w:val="00734BE8"/>
    <w:rsid w:val="00734FB7"/>
    <w:rsid w:val="0073534D"/>
    <w:rsid w:val="0073551A"/>
    <w:rsid w:val="007358F8"/>
    <w:rsid w:val="00735931"/>
    <w:rsid w:val="00735A7C"/>
    <w:rsid w:val="00736536"/>
    <w:rsid w:val="0073696A"/>
    <w:rsid w:val="00736AA8"/>
    <w:rsid w:val="00736F2B"/>
    <w:rsid w:val="00736FEB"/>
    <w:rsid w:val="00737B61"/>
    <w:rsid w:val="00737CE1"/>
    <w:rsid w:val="007400A2"/>
    <w:rsid w:val="007402FF"/>
    <w:rsid w:val="00740445"/>
    <w:rsid w:val="00740E6D"/>
    <w:rsid w:val="00741304"/>
    <w:rsid w:val="00741E5A"/>
    <w:rsid w:val="00741FA0"/>
    <w:rsid w:val="00742229"/>
    <w:rsid w:val="0074242E"/>
    <w:rsid w:val="007424D6"/>
    <w:rsid w:val="00742775"/>
    <w:rsid w:val="00742E72"/>
    <w:rsid w:val="00742F27"/>
    <w:rsid w:val="007432B2"/>
    <w:rsid w:val="00743B01"/>
    <w:rsid w:val="007442D2"/>
    <w:rsid w:val="00744ABC"/>
    <w:rsid w:val="00745477"/>
    <w:rsid w:val="00745EE6"/>
    <w:rsid w:val="00746523"/>
    <w:rsid w:val="00746C74"/>
    <w:rsid w:val="00746CA4"/>
    <w:rsid w:val="00746CC1"/>
    <w:rsid w:val="00746D4A"/>
    <w:rsid w:val="00746DAF"/>
    <w:rsid w:val="00747290"/>
    <w:rsid w:val="00747D99"/>
    <w:rsid w:val="00747F19"/>
    <w:rsid w:val="007509F9"/>
    <w:rsid w:val="00750C0A"/>
    <w:rsid w:val="007511B9"/>
    <w:rsid w:val="00751633"/>
    <w:rsid w:val="00751692"/>
    <w:rsid w:val="007524CC"/>
    <w:rsid w:val="00752A78"/>
    <w:rsid w:val="00752FB9"/>
    <w:rsid w:val="00753E38"/>
    <w:rsid w:val="00754637"/>
    <w:rsid w:val="0075472A"/>
    <w:rsid w:val="007549E5"/>
    <w:rsid w:val="00754D95"/>
    <w:rsid w:val="00754EA6"/>
    <w:rsid w:val="0075556E"/>
    <w:rsid w:val="00756412"/>
    <w:rsid w:val="007569B8"/>
    <w:rsid w:val="00756D4A"/>
    <w:rsid w:val="00757636"/>
    <w:rsid w:val="00757D3F"/>
    <w:rsid w:val="00760138"/>
    <w:rsid w:val="007603F1"/>
    <w:rsid w:val="0076048F"/>
    <w:rsid w:val="00760A33"/>
    <w:rsid w:val="00760BB6"/>
    <w:rsid w:val="00761592"/>
    <w:rsid w:val="007617BC"/>
    <w:rsid w:val="00761F68"/>
    <w:rsid w:val="00762185"/>
    <w:rsid w:val="007625EF"/>
    <w:rsid w:val="007626E0"/>
    <w:rsid w:val="007639F7"/>
    <w:rsid w:val="00763E13"/>
    <w:rsid w:val="00764557"/>
    <w:rsid w:val="0076476A"/>
    <w:rsid w:val="00764799"/>
    <w:rsid w:val="007649CF"/>
    <w:rsid w:val="00765011"/>
    <w:rsid w:val="0076529F"/>
    <w:rsid w:val="00765505"/>
    <w:rsid w:val="007666E1"/>
    <w:rsid w:val="00766C2E"/>
    <w:rsid w:val="00767109"/>
    <w:rsid w:val="00767407"/>
    <w:rsid w:val="00767DE1"/>
    <w:rsid w:val="00767FF0"/>
    <w:rsid w:val="007701BA"/>
    <w:rsid w:val="00770632"/>
    <w:rsid w:val="007712BD"/>
    <w:rsid w:val="00771FED"/>
    <w:rsid w:val="00773191"/>
    <w:rsid w:val="00773420"/>
    <w:rsid w:val="00773A94"/>
    <w:rsid w:val="00773C4C"/>
    <w:rsid w:val="00774294"/>
    <w:rsid w:val="00774B1C"/>
    <w:rsid w:val="00775689"/>
    <w:rsid w:val="00775697"/>
    <w:rsid w:val="00775A8E"/>
    <w:rsid w:val="00776760"/>
    <w:rsid w:val="00776C2F"/>
    <w:rsid w:val="00776F15"/>
    <w:rsid w:val="00776FE7"/>
    <w:rsid w:val="0078082F"/>
    <w:rsid w:val="00780CC8"/>
    <w:rsid w:val="00782928"/>
    <w:rsid w:val="0078298A"/>
    <w:rsid w:val="00782CFE"/>
    <w:rsid w:val="007833C8"/>
    <w:rsid w:val="00783F1B"/>
    <w:rsid w:val="0078416A"/>
    <w:rsid w:val="00784675"/>
    <w:rsid w:val="007857AD"/>
    <w:rsid w:val="0078590F"/>
    <w:rsid w:val="00785EFF"/>
    <w:rsid w:val="00785F5D"/>
    <w:rsid w:val="0078630A"/>
    <w:rsid w:val="0078661C"/>
    <w:rsid w:val="0078678A"/>
    <w:rsid w:val="00786B17"/>
    <w:rsid w:val="00786DC3"/>
    <w:rsid w:val="00787235"/>
    <w:rsid w:val="00787460"/>
    <w:rsid w:val="00787930"/>
    <w:rsid w:val="00787C4E"/>
    <w:rsid w:val="00790354"/>
    <w:rsid w:val="00791592"/>
    <w:rsid w:val="007919FB"/>
    <w:rsid w:val="0079218B"/>
    <w:rsid w:val="007922FE"/>
    <w:rsid w:val="00792665"/>
    <w:rsid w:val="00792738"/>
    <w:rsid w:val="00793283"/>
    <w:rsid w:val="0079351C"/>
    <w:rsid w:val="007935E4"/>
    <w:rsid w:val="00793E72"/>
    <w:rsid w:val="00794123"/>
    <w:rsid w:val="00794A40"/>
    <w:rsid w:val="00794BFD"/>
    <w:rsid w:val="00794CE8"/>
    <w:rsid w:val="00795287"/>
    <w:rsid w:val="0079552A"/>
    <w:rsid w:val="00795540"/>
    <w:rsid w:val="00795B34"/>
    <w:rsid w:val="00796113"/>
    <w:rsid w:val="0079685C"/>
    <w:rsid w:val="007968D9"/>
    <w:rsid w:val="00796C36"/>
    <w:rsid w:val="00797A2A"/>
    <w:rsid w:val="00797F92"/>
    <w:rsid w:val="007A0286"/>
    <w:rsid w:val="007A11E0"/>
    <w:rsid w:val="007A13A4"/>
    <w:rsid w:val="007A2043"/>
    <w:rsid w:val="007A2514"/>
    <w:rsid w:val="007A3233"/>
    <w:rsid w:val="007A3742"/>
    <w:rsid w:val="007A3828"/>
    <w:rsid w:val="007A3E60"/>
    <w:rsid w:val="007A40A8"/>
    <w:rsid w:val="007A4701"/>
    <w:rsid w:val="007A512E"/>
    <w:rsid w:val="007A537C"/>
    <w:rsid w:val="007A5C4F"/>
    <w:rsid w:val="007A5CCC"/>
    <w:rsid w:val="007A6266"/>
    <w:rsid w:val="007A75CC"/>
    <w:rsid w:val="007A7AFF"/>
    <w:rsid w:val="007A7C4D"/>
    <w:rsid w:val="007A7FD6"/>
    <w:rsid w:val="007B0671"/>
    <w:rsid w:val="007B0AB7"/>
    <w:rsid w:val="007B1C8D"/>
    <w:rsid w:val="007B21ED"/>
    <w:rsid w:val="007B228F"/>
    <w:rsid w:val="007B2795"/>
    <w:rsid w:val="007B2E38"/>
    <w:rsid w:val="007B3B25"/>
    <w:rsid w:val="007B3EF6"/>
    <w:rsid w:val="007B3F02"/>
    <w:rsid w:val="007B3F47"/>
    <w:rsid w:val="007B5F48"/>
    <w:rsid w:val="007B62CB"/>
    <w:rsid w:val="007B6390"/>
    <w:rsid w:val="007B6575"/>
    <w:rsid w:val="007B687B"/>
    <w:rsid w:val="007B6C06"/>
    <w:rsid w:val="007B6D98"/>
    <w:rsid w:val="007B775B"/>
    <w:rsid w:val="007C1019"/>
    <w:rsid w:val="007C1240"/>
    <w:rsid w:val="007C24A4"/>
    <w:rsid w:val="007C26B9"/>
    <w:rsid w:val="007C27C3"/>
    <w:rsid w:val="007C308A"/>
    <w:rsid w:val="007C3390"/>
    <w:rsid w:val="007C34A5"/>
    <w:rsid w:val="007C3AC0"/>
    <w:rsid w:val="007C4DD8"/>
    <w:rsid w:val="007C4E83"/>
    <w:rsid w:val="007C580A"/>
    <w:rsid w:val="007C5A0F"/>
    <w:rsid w:val="007C5A64"/>
    <w:rsid w:val="007C5C43"/>
    <w:rsid w:val="007C5C94"/>
    <w:rsid w:val="007C5DE0"/>
    <w:rsid w:val="007C64E9"/>
    <w:rsid w:val="007C65F3"/>
    <w:rsid w:val="007C6621"/>
    <w:rsid w:val="007C72DF"/>
    <w:rsid w:val="007C7A2D"/>
    <w:rsid w:val="007D0007"/>
    <w:rsid w:val="007D0273"/>
    <w:rsid w:val="007D070A"/>
    <w:rsid w:val="007D0AB7"/>
    <w:rsid w:val="007D0CBF"/>
    <w:rsid w:val="007D1157"/>
    <w:rsid w:val="007D26D5"/>
    <w:rsid w:val="007D2C9F"/>
    <w:rsid w:val="007D36AD"/>
    <w:rsid w:val="007D393C"/>
    <w:rsid w:val="007D3AEB"/>
    <w:rsid w:val="007D3E6A"/>
    <w:rsid w:val="007D4F94"/>
    <w:rsid w:val="007D536C"/>
    <w:rsid w:val="007D6ED2"/>
    <w:rsid w:val="007D6FFC"/>
    <w:rsid w:val="007D7A30"/>
    <w:rsid w:val="007D7EF1"/>
    <w:rsid w:val="007E00DD"/>
    <w:rsid w:val="007E08DA"/>
    <w:rsid w:val="007E09EB"/>
    <w:rsid w:val="007E1064"/>
    <w:rsid w:val="007E17C2"/>
    <w:rsid w:val="007E1ACC"/>
    <w:rsid w:val="007E2038"/>
    <w:rsid w:val="007E2939"/>
    <w:rsid w:val="007E2C8B"/>
    <w:rsid w:val="007E3062"/>
    <w:rsid w:val="007E38D5"/>
    <w:rsid w:val="007E3942"/>
    <w:rsid w:val="007E3BE2"/>
    <w:rsid w:val="007E4289"/>
    <w:rsid w:val="007E4F8E"/>
    <w:rsid w:val="007E524F"/>
    <w:rsid w:val="007E56D5"/>
    <w:rsid w:val="007E5F14"/>
    <w:rsid w:val="007E6CA6"/>
    <w:rsid w:val="007E704D"/>
    <w:rsid w:val="007E7290"/>
    <w:rsid w:val="007E7F46"/>
    <w:rsid w:val="007F023D"/>
    <w:rsid w:val="007F0424"/>
    <w:rsid w:val="007F098F"/>
    <w:rsid w:val="007F12AF"/>
    <w:rsid w:val="007F244E"/>
    <w:rsid w:val="007F247A"/>
    <w:rsid w:val="007F2A68"/>
    <w:rsid w:val="007F2EF9"/>
    <w:rsid w:val="007F343B"/>
    <w:rsid w:val="007F37C2"/>
    <w:rsid w:val="007F4378"/>
    <w:rsid w:val="007F4429"/>
    <w:rsid w:val="007F4D4B"/>
    <w:rsid w:val="007F50D8"/>
    <w:rsid w:val="007F53F2"/>
    <w:rsid w:val="007F541A"/>
    <w:rsid w:val="007F5461"/>
    <w:rsid w:val="007F5788"/>
    <w:rsid w:val="007F60F1"/>
    <w:rsid w:val="007F6A28"/>
    <w:rsid w:val="007F7294"/>
    <w:rsid w:val="007F7776"/>
    <w:rsid w:val="00800DC1"/>
    <w:rsid w:val="00800E10"/>
    <w:rsid w:val="00801846"/>
    <w:rsid w:val="0080194C"/>
    <w:rsid w:val="00801B92"/>
    <w:rsid w:val="00801BD4"/>
    <w:rsid w:val="00801EAB"/>
    <w:rsid w:val="00802411"/>
    <w:rsid w:val="00802AC1"/>
    <w:rsid w:val="00803AF1"/>
    <w:rsid w:val="00803C1D"/>
    <w:rsid w:val="00804023"/>
    <w:rsid w:val="00804820"/>
    <w:rsid w:val="00804A5F"/>
    <w:rsid w:val="00804B73"/>
    <w:rsid w:val="0080534C"/>
    <w:rsid w:val="0080558B"/>
    <w:rsid w:val="00806C32"/>
    <w:rsid w:val="00807D8A"/>
    <w:rsid w:val="00810368"/>
    <w:rsid w:val="0081072E"/>
    <w:rsid w:val="00810745"/>
    <w:rsid w:val="00810BC6"/>
    <w:rsid w:val="00810DB1"/>
    <w:rsid w:val="0081198E"/>
    <w:rsid w:val="00811F7E"/>
    <w:rsid w:val="008122B7"/>
    <w:rsid w:val="00812317"/>
    <w:rsid w:val="00812705"/>
    <w:rsid w:val="00812A52"/>
    <w:rsid w:val="00812DA3"/>
    <w:rsid w:val="00813007"/>
    <w:rsid w:val="008131C7"/>
    <w:rsid w:val="00813D66"/>
    <w:rsid w:val="00814684"/>
    <w:rsid w:val="00815929"/>
    <w:rsid w:val="00815C41"/>
    <w:rsid w:val="00815CD6"/>
    <w:rsid w:val="00816943"/>
    <w:rsid w:val="00816987"/>
    <w:rsid w:val="00816A10"/>
    <w:rsid w:val="00816AB5"/>
    <w:rsid w:val="008178BF"/>
    <w:rsid w:val="008179D7"/>
    <w:rsid w:val="00817E07"/>
    <w:rsid w:val="00817E28"/>
    <w:rsid w:val="00820059"/>
    <w:rsid w:val="00820075"/>
    <w:rsid w:val="008200B7"/>
    <w:rsid w:val="00821768"/>
    <w:rsid w:val="008218D4"/>
    <w:rsid w:val="00821CFC"/>
    <w:rsid w:val="0082254E"/>
    <w:rsid w:val="00822A69"/>
    <w:rsid w:val="008235F6"/>
    <w:rsid w:val="00823712"/>
    <w:rsid w:val="00823D7B"/>
    <w:rsid w:val="00824D2D"/>
    <w:rsid w:val="00825A70"/>
    <w:rsid w:val="00825AF8"/>
    <w:rsid w:val="00826406"/>
    <w:rsid w:val="00826428"/>
    <w:rsid w:val="008264D4"/>
    <w:rsid w:val="00827070"/>
    <w:rsid w:val="0083062E"/>
    <w:rsid w:val="0083190B"/>
    <w:rsid w:val="00831AC0"/>
    <w:rsid w:val="00832789"/>
    <w:rsid w:val="00832947"/>
    <w:rsid w:val="008329D6"/>
    <w:rsid w:val="00832F2D"/>
    <w:rsid w:val="0083460E"/>
    <w:rsid w:val="0083491F"/>
    <w:rsid w:val="008349F1"/>
    <w:rsid w:val="00835788"/>
    <w:rsid w:val="008362F1"/>
    <w:rsid w:val="008367E5"/>
    <w:rsid w:val="00837021"/>
    <w:rsid w:val="00837125"/>
    <w:rsid w:val="008376FF"/>
    <w:rsid w:val="00837FA5"/>
    <w:rsid w:val="0084075A"/>
    <w:rsid w:val="00840D1B"/>
    <w:rsid w:val="0084103B"/>
    <w:rsid w:val="00841592"/>
    <w:rsid w:val="00841892"/>
    <w:rsid w:val="00841E14"/>
    <w:rsid w:val="00843141"/>
    <w:rsid w:val="0084323B"/>
    <w:rsid w:val="00843969"/>
    <w:rsid w:val="00844466"/>
    <w:rsid w:val="0084468B"/>
    <w:rsid w:val="00844F78"/>
    <w:rsid w:val="0084580B"/>
    <w:rsid w:val="00845E7E"/>
    <w:rsid w:val="00845EE4"/>
    <w:rsid w:val="008461C3"/>
    <w:rsid w:val="008463AD"/>
    <w:rsid w:val="00846D71"/>
    <w:rsid w:val="00847DEA"/>
    <w:rsid w:val="00850528"/>
    <w:rsid w:val="00850E4D"/>
    <w:rsid w:val="00851313"/>
    <w:rsid w:val="00851555"/>
    <w:rsid w:val="00851B91"/>
    <w:rsid w:val="00852002"/>
    <w:rsid w:val="0085248A"/>
    <w:rsid w:val="00852624"/>
    <w:rsid w:val="00852CFF"/>
    <w:rsid w:val="0085362E"/>
    <w:rsid w:val="0085371B"/>
    <w:rsid w:val="00853D39"/>
    <w:rsid w:val="0085492A"/>
    <w:rsid w:val="008552A6"/>
    <w:rsid w:val="0085532E"/>
    <w:rsid w:val="00855341"/>
    <w:rsid w:val="0085559B"/>
    <w:rsid w:val="008557C6"/>
    <w:rsid w:val="008569FD"/>
    <w:rsid w:val="00856A2E"/>
    <w:rsid w:val="008572B5"/>
    <w:rsid w:val="00857925"/>
    <w:rsid w:val="00857FD0"/>
    <w:rsid w:val="0086096F"/>
    <w:rsid w:val="00860CDC"/>
    <w:rsid w:val="00860E83"/>
    <w:rsid w:val="00861894"/>
    <w:rsid w:val="00861C6E"/>
    <w:rsid w:val="008627FC"/>
    <w:rsid w:val="008630C2"/>
    <w:rsid w:val="008633BC"/>
    <w:rsid w:val="00863705"/>
    <w:rsid w:val="008638BC"/>
    <w:rsid w:val="00863939"/>
    <w:rsid w:val="00863A6E"/>
    <w:rsid w:val="00863AE6"/>
    <w:rsid w:val="00863B18"/>
    <w:rsid w:val="00863C0B"/>
    <w:rsid w:val="00864413"/>
    <w:rsid w:val="0086457A"/>
    <w:rsid w:val="00864E0C"/>
    <w:rsid w:val="008658D1"/>
    <w:rsid w:val="00865ECF"/>
    <w:rsid w:val="00865F33"/>
    <w:rsid w:val="00866841"/>
    <w:rsid w:val="008668BB"/>
    <w:rsid w:val="00866A33"/>
    <w:rsid w:val="0086736F"/>
    <w:rsid w:val="008674CA"/>
    <w:rsid w:val="008678B8"/>
    <w:rsid w:val="008679CE"/>
    <w:rsid w:val="00867B87"/>
    <w:rsid w:val="0087028A"/>
    <w:rsid w:val="008709A5"/>
    <w:rsid w:val="008712C4"/>
    <w:rsid w:val="00871594"/>
    <w:rsid w:val="00871E87"/>
    <w:rsid w:val="00872C3A"/>
    <w:rsid w:val="00872CE7"/>
    <w:rsid w:val="008738F0"/>
    <w:rsid w:val="008749C5"/>
    <w:rsid w:val="00875689"/>
    <w:rsid w:val="00875716"/>
    <w:rsid w:val="00875F18"/>
    <w:rsid w:val="00876062"/>
    <w:rsid w:val="008762AB"/>
    <w:rsid w:val="00876384"/>
    <w:rsid w:val="0087646E"/>
    <w:rsid w:val="00876B85"/>
    <w:rsid w:val="0087721C"/>
    <w:rsid w:val="00877B84"/>
    <w:rsid w:val="00880053"/>
    <w:rsid w:val="00880C93"/>
    <w:rsid w:val="00880F18"/>
    <w:rsid w:val="008811A3"/>
    <w:rsid w:val="008811C7"/>
    <w:rsid w:val="00881325"/>
    <w:rsid w:val="008818DF"/>
    <w:rsid w:val="00881CBE"/>
    <w:rsid w:val="0088285F"/>
    <w:rsid w:val="008829FC"/>
    <w:rsid w:val="0088451E"/>
    <w:rsid w:val="00884606"/>
    <w:rsid w:val="00885303"/>
    <w:rsid w:val="0088537B"/>
    <w:rsid w:val="0088563B"/>
    <w:rsid w:val="00885A1E"/>
    <w:rsid w:val="00885D33"/>
    <w:rsid w:val="00885FF2"/>
    <w:rsid w:val="00886FFF"/>
    <w:rsid w:val="008871E8"/>
    <w:rsid w:val="00887376"/>
    <w:rsid w:val="00887812"/>
    <w:rsid w:val="008879E3"/>
    <w:rsid w:val="00887BB3"/>
    <w:rsid w:val="00891161"/>
    <w:rsid w:val="008914AF"/>
    <w:rsid w:val="00892938"/>
    <w:rsid w:val="00892DDD"/>
    <w:rsid w:val="008930D4"/>
    <w:rsid w:val="00893586"/>
    <w:rsid w:val="0089383D"/>
    <w:rsid w:val="00893938"/>
    <w:rsid w:val="00893E59"/>
    <w:rsid w:val="008956A8"/>
    <w:rsid w:val="008959ED"/>
    <w:rsid w:val="00895E72"/>
    <w:rsid w:val="008965B6"/>
    <w:rsid w:val="008966BF"/>
    <w:rsid w:val="00897230"/>
    <w:rsid w:val="00897368"/>
    <w:rsid w:val="008976F4"/>
    <w:rsid w:val="008977BE"/>
    <w:rsid w:val="008A00DE"/>
    <w:rsid w:val="008A0531"/>
    <w:rsid w:val="008A0B0B"/>
    <w:rsid w:val="008A0C40"/>
    <w:rsid w:val="008A0CC4"/>
    <w:rsid w:val="008A15F3"/>
    <w:rsid w:val="008A2959"/>
    <w:rsid w:val="008A3664"/>
    <w:rsid w:val="008A4743"/>
    <w:rsid w:val="008A4BFC"/>
    <w:rsid w:val="008A4FEE"/>
    <w:rsid w:val="008A59DF"/>
    <w:rsid w:val="008A5B97"/>
    <w:rsid w:val="008A6A31"/>
    <w:rsid w:val="008A6A72"/>
    <w:rsid w:val="008A7076"/>
    <w:rsid w:val="008A7B1E"/>
    <w:rsid w:val="008A7ED8"/>
    <w:rsid w:val="008B00E4"/>
    <w:rsid w:val="008B076E"/>
    <w:rsid w:val="008B10C4"/>
    <w:rsid w:val="008B1187"/>
    <w:rsid w:val="008B15B2"/>
    <w:rsid w:val="008B1831"/>
    <w:rsid w:val="008B232E"/>
    <w:rsid w:val="008B2509"/>
    <w:rsid w:val="008B2A31"/>
    <w:rsid w:val="008B367A"/>
    <w:rsid w:val="008B3819"/>
    <w:rsid w:val="008B3BD5"/>
    <w:rsid w:val="008B3E88"/>
    <w:rsid w:val="008B51B5"/>
    <w:rsid w:val="008B5850"/>
    <w:rsid w:val="008B5E78"/>
    <w:rsid w:val="008B6147"/>
    <w:rsid w:val="008B62BB"/>
    <w:rsid w:val="008B671E"/>
    <w:rsid w:val="008B6F41"/>
    <w:rsid w:val="008B7560"/>
    <w:rsid w:val="008B759A"/>
    <w:rsid w:val="008B7840"/>
    <w:rsid w:val="008B7D3C"/>
    <w:rsid w:val="008C01D2"/>
    <w:rsid w:val="008C0543"/>
    <w:rsid w:val="008C05B0"/>
    <w:rsid w:val="008C09E5"/>
    <w:rsid w:val="008C0A63"/>
    <w:rsid w:val="008C1125"/>
    <w:rsid w:val="008C11C8"/>
    <w:rsid w:val="008C1A2E"/>
    <w:rsid w:val="008C2F01"/>
    <w:rsid w:val="008C2FE2"/>
    <w:rsid w:val="008C3E5C"/>
    <w:rsid w:val="008C4740"/>
    <w:rsid w:val="008C51F6"/>
    <w:rsid w:val="008C5B19"/>
    <w:rsid w:val="008C5C38"/>
    <w:rsid w:val="008C6181"/>
    <w:rsid w:val="008C6AE7"/>
    <w:rsid w:val="008C6D21"/>
    <w:rsid w:val="008C7A8A"/>
    <w:rsid w:val="008D034E"/>
    <w:rsid w:val="008D0847"/>
    <w:rsid w:val="008D09B1"/>
    <w:rsid w:val="008D0C8D"/>
    <w:rsid w:val="008D0CA9"/>
    <w:rsid w:val="008D0CAA"/>
    <w:rsid w:val="008D10AA"/>
    <w:rsid w:val="008D10AC"/>
    <w:rsid w:val="008D166C"/>
    <w:rsid w:val="008D1942"/>
    <w:rsid w:val="008D1D08"/>
    <w:rsid w:val="008D20EC"/>
    <w:rsid w:val="008D2950"/>
    <w:rsid w:val="008D2A15"/>
    <w:rsid w:val="008D2AED"/>
    <w:rsid w:val="008D2C38"/>
    <w:rsid w:val="008D332B"/>
    <w:rsid w:val="008D3396"/>
    <w:rsid w:val="008D3B20"/>
    <w:rsid w:val="008D3E90"/>
    <w:rsid w:val="008D42F3"/>
    <w:rsid w:val="008D46C7"/>
    <w:rsid w:val="008D489E"/>
    <w:rsid w:val="008D5054"/>
    <w:rsid w:val="008D544F"/>
    <w:rsid w:val="008D5973"/>
    <w:rsid w:val="008D6428"/>
    <w:rsid w:val="008D64FA"/>
    <w:rsid w:val="008D650E"/>
    <w:rsid w:val="008D6AA7"/>
    <w:rsid w:val="008D6D6D"/>
    <w:rsid w:val="008D6EFC"/>
    <w:rsid w:val="008D7015"/>
    <w:rsid w:val="008D7CAF"/>
    <w:rsid w:val="008E0182"/>
    <w:rsid w:val="008E02B2"/>
    <w:rsid w:val="008E02ED"/>
    <w:rsid w:val="008E05E2"/>
    <w:rsid w:val="008E064D"/>
    <w:rsid w:val="008E10E1"/>
    <w:rsid w:val="008E11CA"/>
    <w:rsid w:val="008E121A"/>
    <w:rsid w:val="008E130A"/>
    <w:rsid w:val="008E1AB4"/>
    <w:rsid w:val="008E1EB7"/>
    <w:rsid w:val="008E2113"/>
    <w:rsid w:val="008E2845"/>
    <w:rsid w:val="008E2893"/>
    <w:rsid w:val="008E29CD"/>
    <w:rsid w:val="008E33FC"/>
    <w:rsid w:val="008E375B"/>
    <w:rsid w:val="008E3D66"/>
    <w:rsid w:val="008E47D4"/>
    <w:rsid w:val="008E4978"/>
    <w:rsid w:val="008E527F"/>
    <w:rsid w:val="008E606C"/>
    <w:rsid w:val="008E613E"/>
    <w:rsid w:val="008E67C9"/>
    <w:rsid w:val="008E7416"/>
    <w:rsid w:val="008E7652"/>
    <w:rsid w:val="008F069C"/>
    <w:rsid w:val="008F07E5"/>
    <w:rsid w:val="008F0944"/>
    <w:rsid w:val="008F1371"/>
    <w:rsid w:val="008F1B00"/>
    <w:rsid w:val="008F1D3D"/>
    <w:rsid w:val="008F22B9"/>
    <w:rsid w:val="008F262E"/>
    <w:rsid w:val="008F285E"/>
    <w:rsid w:val="008F29B9"/>
    <w:rsid w:val="008F2D66"/>
    <w:rsid w:val="008F3064"/>
    <w:rsid w:val="008F3D53"/>
    <w:rsid w:val="008F4122"/>
    <w:rsid w:val="008F4274"/>
    <w:rsid w:val="008F47A1"/>
    <w:rsid w:val="008F62F6"/>
    <w:rsid w:val="008F647C"/>
    <w:rsid w:val="008F661D"/>
    <w:rsid w:val="008F6B46"/>
    <w:rsid w:val="008F6E83"/>
    <w:rsid w:val="008F7147"/>
    <w:rsid w:val="008F7F8F"/>
    <w:rsid w:val="0090004A"/>
    <w:rsid w:val="00900116"/>
    <w:rsid w:val="009004C7"/>
    <w:rsid w:val="0090071C"/>
    <w:rsid w:val="009014F5"/>
    <w:rsid w:val="009018EE"/>
    <w:rsid w:val="00901B0B"/>
    <w:rsid w:val="00901D2B"/>
    <w:rsid w:val="00901DF6"/>
    <w:rsid w:val="00901E23"/>
    <w:rsid w:val="0090255F"/>
    <w:rsid w:val="00903260"/>
    <w:rsid w:val="0090354A"/>
    <w:rsid w:val="009038CE"/>
    <w:rsid w:val="00904621"/>
    <w:rsid w:val="00904B0B"/>
    <w:rsid w:val="00905568"/>
    <w:rsid w:val="0090567C"/>
    <w:rsid w:val="00905E00"/>
    <w:rsid w:val="0090614A"/>
    <w:rsid w:val="009061D8"/>
    <w:rsid w:val="0090705A"/>
    <w:rsid w:val="0090712F"/>
    <w:rsid w:val="009073EA"/>
    <w:rsid w:val="00907478"/>
    <w:rsid w:val="00907DA2"/>
    <w:rsid w:val="00907E54"/>
    <w:rsid w:val="0091020F"/>
    <w:rsid w:val="00911245"/>
    <w:rsid w:val="009113BA"/>
    <w:rsid w:val="00911971"/>
    <w:rsid w:val="00911EA5"/>
    <w:rsid w:val="0091251B"/>
    <w:rsid w:val="00913128"/>
    <w:rsid w:val="0091353B"/>
    <w:rsid w:val="00913A75"/>
    <w:rsid w:val="00913F48"/>
    <w:rsid w:val="0091506A"/>
    <w:rsid w:val="00915321"/>
    <w:rsid w:val="00915B2E"/>
    <w:rsid w:val="00916B8C"/>
    <w:rsid w:val="009177B4"/>
    <w:rsid w:val="00920034"/>
    <w:rsid w:val="00920266"/>
    <w:rsid w:val="0092026A"/>
    <w:rsid w:val="0092029A"/>
    <w:rsid w:val="00920BDA"/>
    <w:rsid w:val="00920DD8"/>
    <w:rsid w:val="00920F8A"/>
    <w:rsid w:val="009228BF"/>
    <w:rsid w:val="009228FA"/>
    <w:rsid w:val="00922EAE"/>
    <w:rsid w:val="0092356E"/>
    <w:rsid w:val="00923712"/>
    <w:rsid w:val="0092379A"/>
    <w:rsid w:val="00924A41"/>
    <w:rsid w:val="009256C6"/>
    <w:rsid w:val="009256D4"/>
    <w:rsid w:val="00926411"/>
    <w:rsid w:val="0092666E"/>
    <w:rsid w:val="0092688C"/>
    <w:rsid w:val="00926C8E"/>
    <w:rsid w:val="00926D8C"/>
    <w:rsid w:val="0092735C"/>
    <w:rsid w:val="009276A2"/>
    <w:rsid w:val="0092770F"/>
    <w:rsid w:val="00927860"/>
    <w:rsid w:val="00927BDB"/>
    <w:rsid w:val="00927D5D"/>
    <w:rsid w:val="0093012A"/>
    <w:rsid w:val="009306D4"/>
    <w:rsid w:val="00931436"/>
    <w:rsid w:val="00931AA7"/>
    <w:rsid w:val="00931D73"/>
    <w:rsid w:val="00931FE6"/>
    <w:rsid w:val="0093220C"/>
    <w:rsid w:val="00932272"/>
    <w:rsid w:val="0093254D"/>
    <w:rsid w:val="009329A5"/>
    <w:rsid w:val="009332E6"/>
    <w:rsid w:val="009342E9"/>
    <w:rsid w:val="0093496C"/>
    <w:rsid w:val="009373A2"/>
    <w:rsid w:val="009376C3"/>
    <w:rsid w:val="00937CBD"/>
    <w:rsid w:val="009400BD"/>
    <w:rsid w:val="00940939"/>
    <w:rsid w:val="00941044"/>
    <w:rsid w:val="00941E36"/>
    <w:rsid w:val="009429D9"/>
    <w:rsid w:val="009432B5"/>
    <w:rsid w:val="009432BF"/>
    <w:rsid w:val="00943608"/>
    <w:rsid w:val="0094366C"/>
    <w:rsid w:val="0094464F"/>
    <w:rsid w:val="00944952"/>
    <w:rsid w:val="00945459"/>
    <w:rsid w:val="0094566F"/>
    <w:rsid w:val="009456F9"/>
    <w:rsid w:val="00945D15"/>
    <w:rsid w:val="0094633E"/>
    <w:rsid w:val="00946F1E"/>
    <w:rsid w:val="00947ACE"/>
    <w:rsid w:val="00950001"/>
    <w:rsid w:val="00950688"/>
    <w:rsid w:val="00950804"/>
    <w:rsid w:val="00950C0C"/>
    <w:rsid w:val="009511A2"/>
    <w:rsid w:val="0095196A"/>
    <w:rsid w:val="00951CCC"/>
    <w:rsid w:val="00952762"/>
    <w:rsid w:val="00952A2C"/>
    <w:rsid w:val="00952B5C"/>
    <w:rsid w:val="00952CB3"/>
    <w:rsid w:val="0095313E"/>
    <w:rsid w:val="00953414"/>
    <w:rsid w:val="009536A6"/>
    <w:rsid w:val="00954BF6"/>
    <w:rsid w:val="00955155"/>
    <w:rsid w:val="009554A4"/>
    <w:rsid w:val="0095622B"/>
    <w:rsid w:val="00956487"/>
    <w:rsid w:val="0095708E"/>
    <w:rsid w:val="00957625"/>
    <w:rsid w:val="00960153"/>
    <w:rsid w:val="00960406"/>
    <w:rsid w:val="0096074B"/>
    <w:rsid w:val="00960E1A"/>
    <w:rsid w:val="0096178D"/>
    <w:rsid w:val="0096210A"/>
    <w:rsid w:val="009638E8"/>
    <w:rsid w:val="00964A38"/>
    <w:rsid w:val="009655F7"/>
    <w:rsid w:val="0096560A"/>
    <w:rsid w:val="0096563E"/>
    <w:rsid w:val="00965D07"/>
    <w:rsid w:val="00965DDD"/>
    <w:rsid w:val="009663D3"/>
    <w:rsid w:val="0096641D"/>
    <w:rsid w:val="009665F7"/>
    <w:rsid w:val="0096704F"/>
    <w:rsid w:val="00967B9A"/>
    <w:rsid w:val="00970821"/>
    <w:rsid w:val="00970E38"/>
    <w:rsid w:val="00970FC8"/>
    <w:rsid w:val="009712C5"/>
    <w:rsid w:val="00971514"/>
    <w:rsid w:val="00971B93"/>
    <w:rsid w:val="009724B2"/>
    <w:rsid w:val="009726F5"/>
    <w:rsid w:val="0097287A"/>
    <w:rsid w:val="009732A4"/>
    <w:rsid w:val="00973738"/>
    <w:rsid w:val="0097396B"/>
    <w:rsid w:val="00973E7F"/>
    <w:rsid w:val="009740BA"/>
    <w:rsid w:val="00974110"/>
    <w:rsid w:val="009746E2"/>
    <w:rsid w:val="009747E2"/>
    <w:rsid w:val="00974CE8"/>
    <w:rsid w:val="009756F7"/>
    <w:rsid w:val="00976074"/>
    <w:rsid w:val="00976718"/>
    <w:rsid w:val="0097693D"/>
    <w:rsid w:val="00976A9A"/>
    <w:rsid w:val="00977394"/>
    <w:rsid w:val="0098003E"/>
    <w:rsid w:val="00980811"/>
    <w:rsid w:val="009808BC"/>
    <w:rsid w:val="00981030"/>
    <w:rsid w:val="00981703"/>
    <w:rsid w:val="00981BE5"/>
    <w:rsid w:val="00982CAC"/>
    <w:rsid w:val="0098390C"/>
    <w:rsid w:val="00983BE9"/>
    <w:rsid w:val="00983DB7"/>
    <w:rsid w:val="0098405C"/>
    <w:rsid w:val="00984339"/>
    <w:rsid w:val="00984893"/>
    <w:rsid w:val="00984C3A"/>
    <w:rsid w:val="00985579"/>
    <w:rsid w:val="009856ED"/>
    <w:rsid w:val="00985C09"/>
    <w:rsid w:val="00986553"/>
    <w:rsid w:val="009865B0"/>
    <w:rsid w:val="00986781"/>
    <w:rsid w:val="009870A8"/>
    <w:rsid w:val="009870ED"/>
    <w:rsid w:val="009871E0"/>
    <w:rsid w:val="00987375"/>
    <w:rsid w:val="00990261"/>
    <w:rsid w:val="00990730"/>
    <w:rsid w:val="00990D68"/>
    <w:rsid w:val="00991EF8"/>
    <w:rsid w:val="00992596"/>
    <w:rsid w:val="00992BEF"/>
    <w:rsid w:val="00992D72"/>
    <w:rsid w:val="00992F54"/>
    <w:rsid w:val="00994071"/>
    <w:rsid w:val="009961DB"/>
    <w:rsid w:val="00996806"/>
    <w:rsid w:val="00996AD7"/>
    <w:rsid w:val="00996AEF"/>
    <w:rsid w:val="00997104"/>
    <w:rsid w:val="009972CE"/>
    <w:rsid w:val="00997364"/>
    <w:rsid w:val="009974A8"/>
    <w:rsid w:val="00997573"/>
    <w:rsid w:val="00997845"/>
    <w:rsid w:val="0099796F"/>
    <w:rsid w:val="00997D45"/>
    <w:rsid w:val="009A089D"/>
    <w:rsid w:val="009A1337"/>
    <w:rsid w:val="009A1832"/>
    <w:rsid w:val="009A1BD8"/>
    <w:rsid w:val="009A1BE0"/>
    <w:rsid w:val="009A1C32"/>
    <w:rsid w:val="009A243C"/>
    <w:rsid w:val="009A2DB6"/>
    <w:rsid w:val="009A3080"/>
    <w:rsid w:val="009A30EF"/>
    <w:rsid w:val="009A3794"/>
    <w:rsid w:val="009A382C"/>
    <w:rsid w:val="009A476F"/>
    <w:rsid w:val="009A4AA6"/>
    <w:rsid w:val="009A5257"/>
    <w:rsid w:val="009A5FD9"/>
    <w:rsid w:val="009A65B8"/>
    <w:rsid w:val="009A67E5"/>
    <w:rsid w:val="009A6815"/>
    <w:rsid w:val="009A6891"/>
    <w:rsid w:val="009A7062"/>
    <w:rsid w:val="009A7D93"/>
    <w:rsid w:val="009B0298"/>
    <w:rsid w:val="009B0CA3"/>
    <w:rsid w:val="009B0D6B"/>
    <w:rsid w:val="009B13A0"/>
    <w:rsid w:val="009B15DE"/>
    <w:rsid w:val="009B16A0"/>
    <w:rsid w:val="009B16E0"/>
    <w:rsid w:val="009B1723"/>
    <w:rsid w:val="009B26BA"/>
    <w:rsid w:val="009B29C8"/>
    <w:rsid w:val="009B2EB3"/>
    <w:rsid w:val="009B3DCC"/>
    <w:rsid w:val="009B416C"/>
    <w:rsid w:val="009B455B"/>
    <w:rsid w:val="009B4A1D"/>
    <w:rsid w:val="009B50D8"/>
    <w:rsid w:val="009B5B52"/>
    <w:rsid w:val="009B61BE"/>
    <w:rsid w:val="009B6353"/>
    <w:rsid w:val="009B6813"/>
    <w:rsid w:val="009B696E"/>
    <w:rsid w:val="009B6BAF"/>
    <w:rsid w:val="009B7831"/>
    <w:rsid w:val="009B7DCB"/>
    <w:rsid w:val="009C0218"/>
    <w:rsid w:val="009C0357"/>
    <w:rsid w:val="009C03C2"/>
    <w:rsid w:val="009C09EB"/>
    <w:rsid w:val="009C1325"/>
    <w:rsid w:val="009C1A3F"/>
    <w:rsid w:val="009C21FF"/>
    <w:rsid w:val="009C246D"/>
    <w:rsid w:val="009C2A7E"/>
    <w:rsid w:val="009C2BB5"/>
    <w:rsid w:val="009C2D05"/>
    <w:rsid w:val="009C3514"/>
    <w:rsid w:val="009C3DD1"/>
    <w:rsid w:val="009C3EC1"/>
    <w:rsid w:val="009C41AA"/>
    <w:rsid w:val="009C4546"/>
    <w:rsid w:val="009C56C6"/>
    <w:rsid w:val="009C5988"/>
    <w:rsid w:val="009C6162"/>
    <w:rsid w:val="009C6202"/>
    <w:rsid w:val="009C6311"/>
    <w:rsid w:val="009C6804"/>
    <w:rsid w:val="009C73A9"/>
    <w:rsid w:val="009C7A2B"/>
    <w:rsid w:val="009C7ADF"/>
    <w:rsid w:val="009D08EB"/>
    <w:rsid w:val="009D0E4A"/>
    <w:rsid w:val="009D2023"/>
    <w:rsid w:val="009D22FF"/>
    <w:rsid w:val="009D2A6C"/>
    <w:rsid w:val="009D4162"/>
    <w:rsid w:val="009D498D"/>
    <w:rsid w:val="009D56C1"/>
    <w:rsid w:val="009D5CEE"/>
    <w:rsid w:val="009D5EB3"/>
    <w:rsid w:val="009D6769"/>
    <w:rsid w:val="009D6DC7"/>
    <w:rsid w:val="009D785A"/>
    <w:rsid w:val="009D7908"/>
    <w:rsid w:val="009D7ECE"/>
    <w:rsid w:val="009E0BE6"/>
    <w:rsid w:val="009E0D7B"/>
    <w:rsid w:val="009E0E05"/>
    <w:rsid w:val="009E0F9C"/>
    <w:rsid w:val="009E1358"/>
    <w:rsid w:val="009E1DD6"/>
    <w:rsid w:val="009E1E3F"/>
    <w:rsid w:val="009E25C0"/>
    <w:rsid w:val="009E2808"/>
    <w:rsid w:val="009E2CE6"/>
    <w:rsid w:val="009E2D9C"/>
    <w:rsid w:val="009E2E2D"/>
    <w:rsid w:val="009E2F4D"/>
    <w:rsid w:val="009E3743"/>
    <w:rsid w:val="009E3D41"/>
    <w:rsid w:val="009E40A4"/>
    <w:rsid w:val="009E4127"/>
    <w:rsid w:val="009E45AE"/>
    <w:rsid w:val="009E4DD2"/>
    <w:rsid w:val="009E6630"/>
    <w:rsid w:val="009E6891"/>
    <w:rsid w:val="009E6C6F"/>
    <w:rsid w:val="009E6FE4"/>
    <w:rsid w:val="009E7058"/>
    <w:rsid w:val="009E7212"/>
    <w:rsid w:val="009E76A0"/>
    <w:rsid w:val="009E79BC"/>
    <w:rsid w:val="009F0493"/>
    <w:rsid w:val="009F0979"/>
    <w:rsid w:val="009F0CBA"/>
    <w:rsid w:val="009F0FBB"/>
    <w:rsid w:val="009F1279"/>
    <w:rsid w:val="009F12D5"/>
    <w:rsid w:val="009F18E8"/>
    <w:rsid w:val="009F33A6"/>
    <w:rsid w:val="009F378B"/>
    <w:rsid w:val="009F3EAB"/>
    <w:rsid w:val="009F43FA"/>
    <w:rsid w:val="009F48DE"/>
    <w:rsid w:val="009F4A31"/>
    <w:rsid w:val="009F5058"/>
    <w:rsid w:val="009F61C4"/>
    <w:rsid w:val="009F6D6E"/>
    <w:rsid w:val="009F760C"/>
    <w:rsid w:val="009F7CB7"/>
    <w:rsid w:val="00A004B5"/>
    <w:rsid w:val="00A0054D"/>
    <w:rsid w:val="00A011AB"/>
    <w:rsid w:val="00A0139B"/>
    <w:rsid w:val="00A017F2"/>
    <w:rsid w:val="00A019DA"/>
    <w:rsid w:val="00A01B72"/>
    <w:rsid w:val="00A0227D"/>
    <w:rsid w:val="00A022B6"/>
    <w:rsid w:val="00A022C2"/>
    <w:rsid w:val="00A02C6E"/>
    <w:rsid w:val="00A0311F"/>
    <w:rsid w:val="00A03398"/>
    <w:rsid w:val="00A033DB"/>
    <w:rsid w:val="00A03BA2"/>
    <w:rsid w:val="00A040AB"/>
    <w:rsid w:val="00A04351"/>
    <w:rsid w:val="00A04748"/>
    <w:rsid w:val="00A0484D"/>
    <w:rsid w:val="00A056EE"/>
    <w:rsid w:val="00A05E0C"/>
    <w:rsid w:val="00A0679D"/>
    <w:rsid w:val="00A068F0"/>
    <w:rsid w:val="00A06E54"/>
    <w:rsid w:val="00A06F0A"/>
    <w:rsid w:val="00A07EFA"/>
    <w:rsid w:val="00A1002E"/>
    <w:rsid w:val="00A113CB"/>
    <w:rsid w:val="00A11785"/>
    <w:rsid w:val="00A117BC"/>
    <w:rsid w:val="00A1182C"/>
    <w:rsid w:val="00A12088"/>
    <w:rsid w:val="00A12532"/>
    <w:rsid w:val="00A12DEF"/>
    <w:rsid w:val="00A12E89"/>
    <w:rsid w:val="00A12ECE"/>
    <w:rsid w:val="00A13B96"/>
    <w:rsid w:val="00A144DA"/>
    <w:rsid w:val="00A1475C"/>
    <w:rsid w:val="00A14780"/>
    <w:rsid w:val="00A14B4B"/>
    <w:rsid w:val="00A162DC"/>
    <w:rsid w:val="00A16411"/>
    <w:rsid w:val="00A1774B"/>
    <w:rsid w:val="00A17BE5"/>
    <w:rsid w:val="00A17E42"/>
    <w:rsid w:val="00A17F5A"/>
    <w:rsid w:val="00A20903"/>
    <w:rsid w:val="00A213F0"/>
    <w:rsid w:val="00A21651"/>
    <w:rsid w:val="00A21E14"/>
    <w:rsid w:val="00A21FB8"/>
    <w:rsid w:val="00A221B3"/>
    <w:rsid w:val="00A225CA"/>
    <w:rsid w:val="00A227E0"/>
    <w:rsid w:val="00A230C2"/>
    <w:rsid w:val="00A235FB"/>
    <w:rsid w:val="00A23643"/>
    <w:rsid w:val="00A23809"/>
    <w:rsid w:val="00A23F6C"/>
    <w:rsid w:val="00A240F9"/>
    <w:rsid w:val="00A242B1"/>
    <w:rsid w:val="00A2453C"/>
    <w:rsid w:val="00A24B61"/>
    <w:rsid w:val="00A24CD2"/>
    <w:rsid w:val="00A25356"/>
    <w:rsid w:val="00A2593D"/>
    <w:rsid w:val="00A26076"/>
    <w:rsid w:val="00A269A0"/>
    <w:rsid w:val="00A26DA4"/>
    <w:rsid w:val="00A2702C"/>
    <w:rsid w:val="00A274E1"/>
    <w:rsid w:val="00A30429"/>
    <w:rsid w:val="00A30ACF"/>
    <w:rsid w:val="00A318D2"/>
    <w:rsid w:val="00A32015"/>
    <w:rsid w:val="00A325A1"/>
    <w:rsid w:val="00A32A7A"/>
    <w:rsid w:val="00A32BE7"/>
    <w:rsid w:val="00A32C41"/>
    <w:rsid w:val="00A32C6A"/>
    <w:rsid w:val="00A32C9E"/>
    <w:rsid w:val="00A33033"/>
    <w:rsid w:val="00A330FB"/>
    <w:rsid w:val="00A331E7"/>
    <w:rsid w:val="00A334D9"/>
    <w:rsid w:val="00A335F3"/>
    <w:rsid w:val="00A33836"/>
    <w:rsid w:val="00A338D3"/>
    <w:rsid w:val="00A33AB1"/>
    <w:rsid w:val="00A33F60"/>
    <w:rsid w:val="00A33F6C"/>
    <w:rsid w:val="00A34154"/>
    <w:rsid w:val="00A3451B"/>
    <w:rsid w:val="00A34524"/>
    <w:rsid w:val="00A35095"/>
    <w:rsid w:val="00A35583"/>
    <w:rsid w:val="00A359F8"/>
    <w:rsid w:val="00A35CAB"/>
    <w:rsid w:val="00A35CAE"/>
    <w:rsid w:val="00A35EED"/>
    <w:rsid w:val="00A362FE"/>
    <w:rsid w:val="00A36704"/>
    <w:rsid w:val="00A36771"/>
    <w:rsid w:val="00A36A7F"/>
    <w:rsid w:val="00A37B99"/>
    <w:rsid w:val="00A37BF8"/>
    <w:rsid w:val="00A400F1"/>
    <w:rsid w:val="00A404C5"/>
    <w:rsid w:val="00A40E36"/>
    <w:rsid w:val="00A40FF1"/>
    <w:rsid w:val="00A421E4"/>
    <w:rsid w:val="00A42416"/>
    <w:rsid w:val="00A42A9B"/>
    <w:rsid w:val="00A43093"/>
    <w:rsid w:val="00A4331D"/>
    <w:rsid w:val="00A436F8"/>
    <w:rsid w:val="00A43D78"/>
    <w:rsid w:val="00A44728"/>
    <w:rsid w:val="00A449EA"/>
    <w:rsid w:val="00A44D02"/>
    <w:rsid w:val="00A44E4D"/>
    <w:rsid w:val="00A44EFB"/>
    <w:rsid w:val="00A45009"/>
    <w:rsid w:val="00A4611C"/>
    <w:rsid w:val="00A4671C"/>
    <w:rsid w:val="00A46BAC"/>
    <w:rsid w:val="00A46F5A"/>
    <w:rsid w:val="00A47021"/>
    <w:rsid w:val="00A47087"/>
    <w:rsid w:val="00A4775E"/>
    <w:rsid w:val="00A477DF"/>
    <w:rsid w:val="00A500C8"/>
    <w:rsid w:val="00A506F2"/>
    <w:rsid w:val="00A50E5C"/>
    <w:rsid w:val="00A51485"/>
    <w:rsid w:val="00A51ADF"/>
    <w:rsid w:val="00A52D65"/>
    <w:rsid w:val="00A53270"/>
    <w:rsid w:val="00A534E7"/>
    <w:rsid w:val="00A5359B"/>
    <w:rsid w:val="00A537D4"/>
    <w:rsid w:val="00A53871"/>
    <w:rsid w:val="00A54653"/>
    <w:rsid w:val="00A54992"/>
    <w:rsid w:val="00A553B8"/>
    <w:rsid w:val="00A55984"/>
    <w:rsid w:val="00A55A19"/>
    <w:rsid w:val="00A56DF3"/>
    <w:rsid w:val="00A56F6E"/>
    <w:rsid w:val="00A579B2"/>
    <w:rsid w:val="00A60242"/>
    <w:rsid w:val="00A60649"/>
    <w:rsid w:val="00A607F3"/>
    <w:rsid w:val="00A60A60"/>
    <w:rsid w:val="00A60D0C"/>
    <w:rsid w:val="00A60EE6"/>
    <w:rsid w:val="00A61484"/>
    <w:rsid w:val="00A618F3"/>
    <w:rsid w:val="00A61D75"/>
    <w:rsid w:val="00A62817"/>
    <w:rsid w:val="00A62B9A"/>
    <w:rsid w:val="00A62EED"/>
    <w:rsid w:val="00A633CD"/>
    <w:rsid w:val="00A634DF"/>
    <w:rsid w:val="00A655C6"/>
    <w:rsid w:val="00A65DE8"/>
    <w:rsid w:val="00A66B27"/>
    <w:rsid w:val="00A6778C"/>
    <w:rsid w:val="00A67C62"/>
    <w:rsid w:val="00A70183"/>
    <w:rsid w:val="00A70317"/>
    <w:rsid w:val="00A70CE9"/>
    <w:rsid w:val="00A718C4"/>
    <w:rsid w:val="00A71904"/>
    <w:rsid w:val="00A71957"/>
    <w:rsid w:val="00A71E1A"/>
    <w:rsid w:val="00A72312"/>
    <w:rsid w:val="00A727F0"/>
    <w:rsid w:val="00A73571"/>
    <w:rsid w:val="00A7413E"/>
    <w:rsid w:val="00A74461"/>
    <w:rsid w:val="00A74DA1"/>
    <w:rsid w:val="00A74F29"/>
    <w:rsid w:val="00A754AB"/>
    <w:rsid w:val="00A7552C"/>
    <w:rsid w:val="00A7599C"/>
    <w:rsid w:val="00A7775D"/>
    <w:rsid w:val="00A8021D"/>
    <w:rsid w:val="00A804CF"/>
    <w:rsid w:val="00A80C47"/>
    <w:rsid w:val="00A8193B"/>
    <w:rsid w:val="00A81BDA"/>
    <w:rsid w:val="00A822A9"/>
    <w:rsid w:val="00A827CF"/>
    <w:rsid w:val="00A82C92"/>
    <w:rsid w:val="00A83899"/>
    <w:rsid w:val="00A84571"/>
    <w:rsid w:val="00A84573"/>
    <w:rsid w:val="00A84DE2"/>
    <w:rsid w:val="00A85073"/>
    <w:rsid w:val="00A8507D"/>
    <w:rsid w:val="00A850F1"/>
    <w:rsid w:val="00A856D0"/>
    <w:rsid w:val="00A85726"/>
    <w:rsid w:val="00A85FFC"/>
    <w:rsid w:val="00A86373"/>
    <w:rsid w:val="00A86C91"/>
    <w:rsid w:val="00A86DC8"/>
    <w:rsid w:val="00A90A08"/>
    <w:rsid w:val="00A90BF6"/>
    <w:rsid w:val="00A91150"/>
    <w:rsid w:val="00A91345"/>
    <w:rsid w:val="00A9227D"/>
    <w:rsid w:val="00A930DB"/>
    <w:rsid w:val="00A93672"/>
    <w:rsid w:val="00A9390A"/>
    <w:rsid w:val="00A93B7C"/>
    <w:rsid w:val="00A93CAA"/>
    <w:rsid w:val="00A940D5"/>
    <w:rsid w:val="00A947C3"/>
    <w:rsid w:val="00A9498F"/>
    <w:rsid w:val="00A95129"/>
    <w:rsid w:val="00A9588F"/>
    <w:rsid w:val="00A95EA2"/>
    <w:rsid w:val="00A96499"/>
    <w:rsid w:val="00A968B1"/>
    <w:rsid w:val="00A96C8B"/>
    <w:rsid w:val="00A97891"/>
    <w:rsid w:val="00A97A74"/>
    <w:rsid w:val="00AA012A"/>
    <w:rsid w:val="00AA0362"/>
    <w:rsid w:val="00AA09A5"/>
    <w:rsid w:val="00AA0C9E"/>
    <w:rsid w:val="00AA0E87"/>
    <w:rsid w:val="00AA1779"/>
    <w:rsid w:val="00AA1D1E"/>
    <w:rsid w:val="00AA218E"/>
    <w:rsid w:val="00AA229C"/>
    <w:rsid w:val="00AA267B"/>
    <w:rsid w:val="00AA2A9B"/>
    <w:rsid w:val="00AA2CE9"/>
    <w:rsid w:val="00AA3BFE"/>
    <w:rsid w:val="00AA43EF"/>
    <w:rsid w:val="00AA45C9"/>
    <w:rsid w:val="00AA4634"/>
    <w:rsid w:val="00AA4C45"/>
    <w:rsid w:val="00AA53A8"/>
    <w:rsid w:val="00AA54F0"/>
    <w:rsid w:val="00AA6265"/>
    <w:rsid w:val="00AA6740"/>
    <w:rsid w:val="00AA68C8"/>
    <w:rsid w:val="00AB020B"/>
    <w:rsid w:val="00AB03DE"/>
    <w:rsid w:val="00AB09C4"/>
    <w:rsid w:val="00AB12C3"/>
    <w:rsid w:val="00AB1350"/>
    <w:rsid w:val="00AB2285"/>
    <w:rsid w:val="00AB24F1"/>
    <w:rsid w:val="00AB27DB"/>
    <w:rsid w:val="00AB2BCF"/>
    <w:rsid w:val="00AB2DA1"/>
    <w:rsid w:val="00AB2FC0"/>
    <w:rsid w:val="00AB3253"/>
    <w:rsid w:val="00AB3508"/>
    <w:rsid w:val="00AB3DF7"/>
    <w:rsid w:val="00AB3E73"/>
    <w:rsid w:val="00AB4204"/>
    <w:rsid w:val="00AB4A20"/>
    <w:rsid w:val="00AB4FDC"/>
    <w:rsid w:val="00AB56C1"/>
    <w:rsid w:val="00AB59B1"/>
    <w:rsid w:val="00AB5C17"/>
    <w:rsid w:val="00AB60A3"/>
    <w:rsid w:val="00AB6E06"/>
    <w:rsid w:val="00AB77B4"/>
    <w:rsid w:val="00AC04BA"/>
    <w:rsid w:val="00AC0815"/>
    <w:rsid w:val="00AC11D6"/>
    <w:rsid w:val="00AC189D"/>
    <w:rsid w:val="00AC1D36"/>
    <w:rsid w:val="00AC2A4C"/>
    <w:rsid w:val="00AC34EB"/>
    <w:rsid w:val="00AC394E"/>
    <w:rsid w:val="00AC3DFA"/>
    <w:rsid w:val="00AC412D"/>
    <w:rsid w:val="00AC41C5"/>
    <w:rsid w:val="00AC579C"/>
    <w:rsid w:val="00AC5897"/>
    <w:rsid w:val="00AC60F7"/>
    <w:rsid w:val="00AC642E"/>
    <w:rsid w:val="00AC6588"/>
    <w:rsid w:val="00AC70B4"/>
    <w:rsid w:val="00AC74C7"/>
    <w:rsid w:val="00AD083C"/>
    <w:rsid w:val="00AD11B8"/>
    <w:rsid w:val="00AD12CA"/>
    <w:rsid w:val="00AD1525"/>
    <w:rsid w:val="00AD2813"/>
    <w:rsid w:val="00AD2BCD"/>
    <w:rsid w:val="00AD31FC"/>
    <w:rsid w:val="00AD3401"/>
    <w:rsid w:val="00AD36B0"/>
    <w:rsid w:val="00AD3729"/>
    <w:rsid w:val="00AD3943"/>
    <w:rsid w:val="00AD3DB6"/>
    <w:rsid w:val="00AD3DFD"/>
    <w:rsid w:val="00AD3F82"/>
    <w:rsid w:val="00AD4ECF"/>
    <w:rsid w:val="00AD4FE2"/>
    <w:rsid w:val="00AD5393"/>
    <w:rsid w:val="00AD58CF"/>
    <w:rsid w:val="00AD5A11"/>
    <w:rsid w:val="00AD5FC3"/>
    <w:rsid w:val="00AD600A"/>
    <w:rsid w:val="00AD612B"/>
    <w:rsid w:val="00AD7395"/>
    <w:rsid w:val="00AD7D98"/>
    <w:rsid w:val="00AE0EEA"/>
    <w:rsid w:val="00AE1185"/>
    <w:rsid w:val="00AE14D8"/>
    <w:rsid w:val="00AE1A1B"/>
    <w:rsid w:val="00AE1AA0"/>
    <w:rsid w:val="00AE20F6"/>
    <w:rsid w:val="00AE25A9"/>
    <w:rsid w:val="00AE3DDF"/>
    <w:rsid w:val="00AE480D"/>
    <w:rsid w:val="00AE5081"/>
    <w:rsid w:val="00AE5613"/>
    <w:rsid w:val="00AE5D44"/>
    <w:rsid w:val="00AE65C3"/>
    <w:rsid w:val="00AE678B"/>
    <w:rsid w:val="00AE6F8B"/>
    <w:rsid w:val="00AE6FD4"/>
    <w:rsid w:val="00AE797D"/>
    <w:rsid w:val="00AF0748"/>
    <w:rsid w:val="00AF0955"/>
    <w:rsid w:val="00AF1195"/>
    <w:rsid w:val="00AF143A"/>
    <w:rsid w:val="00AF16B4"/>
    <w:rsid w:val="00AF1C36"/>
    <w:rsid w:val="00AF1E72"/>
    <w:rsid w:val="00AF2176"/>
    <w:rsid w:val="00AF24EF"/>
    <w:rsid w:val="00AF36A4"/>
    <w:rsid w:val="00AF3C0C"/>
    <w:rsid w:val="00AF3D75"/>
    <w:rsid w:val="00AF4077"/>
    <w:rsid w:val="00AF53E7"/>
    <w:rsid w:val="00AF5581"/>
    <w:rsid w:val="00AF5A45"/>
    <w:rsid w:val="00AF6FF5"/>
    <w:rsid w:val="00B0034C"/>
    <w:rsid w:val="00B00721"/>
    <w:rsid w:val="00B00E90"/>
    <w:rsid w:val="00B01392"/>
    <w:rsid w:val="00B0150D"/>
    <w:rsid w:val="00B015BB"/>
    <w:rsid w:val="00B017DE"/>
    <w:rsid w:val="00B01C2D"/>
    <w:rsid w:val="00B0436D"/>
    <w:rsid w:val="00B04489"/>
    <w:rsid w:val="00B04B78"/>
    <w:rsid w:val="00B06724"/>
    <w:rsid w:val="00B06CDF"/>
    <w:rsid w:val="00B07232"/>
    <w:rsid w:val="00B0723C"/>
    <w:rsid w:val="00B074AB"/>
    <w:rsid w:val="00B10157"/>
    <w:rsid w:val="00B1023F"/>
    <w:rsid w:val="00B1153E"/>
    <w:rsid w:val="00B1169D"/>
    <w:rsid w:val="00B1195B"/>
    <w:rsid w:val="00B11F73"/>
    <w:rsid w:val="00B12A53"/>
    <w:rsid w:val="00B13A1A"/>
    <w:rsid w:val="00B13BC9"/>
    <w:rsid w:val="00B13E8B"/>
    <w:rsid w:val="00B13FEE"/>
    <w:rsid w:val="00B1414A"/>
    <w:rsid w:val="00B14C10"/>
    <w:rsid w:val="00B14D30"/>
    <w:rsid w:val="00B14EED"/>
    <w:rsid w:val="00B15002"/>
    <w:rsid w:val="00B151F9"/>
    <w:rsid w:val="00B1523E"/>
    <w:rsid w:val="00B153D6"/>
    <w:rsid w:val="00B153DF"/>
    <w:rsid w:val="00B1558F"/>
    <w:rsid w:val="00B15B47"/>
    <w:rsid w:val="00B15FF6"/>
    <w:rsid w:val="00B162C0"/>
    <w:rsid w:val="00B164C8"/>
    <w:rsid w:val="00B167B8"/>
    <w:rsid w:val="00B16B48"/>
    <w:rsid w:val="00B17200"/>
    <w:rsid w:val="00B20573"/>
    <w:rsid w:val="00B20CC0"/>
    <w:rsid w:val="00B21380"/>
    <w:rsid w:val="00B2195F"/>
    <w:rsid w:val="00B21FBC"/>
    <w:rsid w:val="00B226D0"/>
    <w:rsid w:val="00B23094"/>
    <w:rsid w:val="00B23173"/>
    <w:rsid w:val="00B2327B"/>
    <w:rsid w:val="00B235B1"/>
    <w:rsid w:val="00B23C2D"/>
    <w:rsid w:val="00B24080"/>
    <w:rsid w:val="00B24E26"/>
    <w:rsid w:val="00B2506E"/>
    <w:rsid w:val="00B25CCA"/>
    <w:rsid w:val="00B25E49"/>
    <w:rsid w:val="00B26CB4"/>
    <w:rsid w:val="00B26E68"/>
    <w:rsid w:val="00B2757F"/>
    <w:rsid w:val="00B27788"/>
    <w:rsid w:val="00B277A0"/>
    <w:rsid w:val="00B27BA7"/>
    <w:rsid w:val="00B30621"/>
    <w:rsid w:val="00B30D2D"/>
    <w:rsid w:val="00B310E9"/>
    <w:rsid w:val="00B31FE9"/>
    <w:rsid w:val="00B32913"/>
    <w:rsid w:val="00B33861"/>
    <w:rsid w:val="00B33C7A"/>
    <w:rsid w:val="00B33EA4"/>
    <w:rsid w:val="00B34751"/>
    <w:rsid w:val="00B34BED"/>
    <w:rsid w:val="00B34F5A"/>
    <w:rsid w:val="00B350FF"/>
    <w:rsid w:val="00B351BD"/>
    <w:rsid w:val="00B356B2"/>
    <w:rsid w:val="00B3581D"/>
    <w:rsid w:val="00B35AB4"/>
    <w:rsid w:val="00B35AB8"/>
    <w:rsid w:val="00B36234"/>
    <w:rsid w:val="00B36976"/>
    <w:rsid w:val="00B3724D"/>
    <w:rsid w:val="00B372D3"/>
    <w:rsid w:val="00B37412"/>
    <w:rsid w:val="00B375E2"/>
    <w:rsid w:val="00B376E0"/>
    <w:rsid w:val="00B37995"/>
    <w:rsid w:val="00B401D6"/>
    <w:rsid w:val="00B402EC"/>
    <w:rsid w:val="00B405EB"/>
    <w:rsid w:val="00B40DB0"/>
    <w:rsid w:val="00B40F09"/>
    <w:rsid w:val="00B419BE"/>
    <w:rsid w:val="00B4207D"/>
    <w:rsid w:val="00B42860"/>
    <w:rsid w:val="00B4326D"/>
    <w:rsid w:val="00B43333"/>
    <w:rsid w:val="00B436F6"/>
    <w:rsid w:val="00B43AAE"/>
    <w:rsid w:val="00B44132"/>
    <w:rsid w:val="00B446B3"/>
    <w:rsid w:val="00B449FC"/>
    <w:rsid w:val="00B45654"/>
    <w:rsid w:val="00B456B5"/>
    <w:rsid w:val="00B4585F"/>
    <w:rsid w:val="00B45A29"/>
    <w:rsid w:val="00B46C17"/>
    <w:rsid w:val="00B47988"/>
    <w:rsid w:val="00B50488"/>
    <w:rsid w:val="00B5074C"/>
    <w:rsid w:val="00B50A61"/>
    <w:rsid w:val="00B514FA"/>
    <w:rsid w:val="00B51747"/>
    <w:rsid w:val="00B52055"/>
    <w:rsid w:val="00B528AD"/>
    <w:rsid w:val="00B529B8"/>
    <w:rsid w:val="00B53373"/>
    <w:rsid w:val="00B53D36"/>
    <w:rsid w:val="00B53D61"/>
    <w:rsid w:val="00B54A7A"/>
    <w:rsid w:val="00B54B13"/>
    <w:rsid w:val="00B54D85"/>
    <w:rsid w:val="00B555B2"/>
    <w:rsid w:val="00B560FC"/>
    <w:rsid w:val="00B57974"/>
    <w:rsid w:val="00B57978"/>
    <w:rsid w:val="00B57D75"/>
    <w:rsid w:val="00B61271"/>
    <w:rsid w:val="00B615C9"/>
    <w:rsid w:val="00B61C4C"/>
    <w:rsid w:val="00B62144"/>
    <w:rsid w:val="00B63125"/>
    <w:rsid w:val="00B63942"/>
    <w:rsid w:val="00B6408F"/>
    <w:rsid w:val="00B64232"/>
    <w:rsid w:val="00B64AA7"/>
    <w:rsid w:val="00B64B56"/>
    <w:rsid w:val="00B65399"/>
    <w:rsid w:val="00B653AC"/>
    <w:rsid w:val="00B65609"/>
    <w:rsid w:val="00B658E2"/>
    <w:rsid w:val="00B65B71"/>
    <w:rsid w:val="00B65D62"/>
    <w:rsid w:val="00B65E76"/>
    <w:rsid w:val="00B66108"/>
    <w:rsid w:val="00B674BB"/>
    <w:rsid w:val="00B67965"/>
    <w:rsid w:val="00B70BF5"/>
    <w:rsid w:val="00B70D6F"/>
    <w:rsid w:val="00B70E56"/>
    <w:rsid w:val="00B70F47"/>
    <w:rsid w:val="00B71587"/>
    <w:rsid w:val="00B72100"/>
    <w:rsid w:val="00B72C71"/>
    <w:rsid w:val="00B72C90"/>
    <w:rsid w:val="00B72DF6"/>
    <w:rsid w:val="00B73207"/>
    <w:rsid w:val="00B73387"/>
    <w:rsid w:val="00B738CF"/>
    <w:rsid w:val="00B73BED"/>
    <w:rsid w:val="00B73C39"/>
    <w:rsid w:val="00B73EE6"/>
    <w:rsid w:val="00B743E7"/>
    <w:rsid w:val="00B74B0F"/>
    <w:rsid w:val="00B74B98"/>
    <w:rsid w:val="00B75504"/>
    <w:rsid w:val="00B75C82"/>
    <w:rsid w:val="00B76DC3"/>
    <w:rsid w:val="00B76E56"/>
    <w:rsid w:val="00B76EFC"/>
    <w:rsid w:val="00B774FE"/>
    <w:rsid w:val="00B77CC0"/>
    <w:rsid w:val="00B800BE"/>
    <w:rsid w:val="00B8061B"/>
    <w:rsid w:val="00B806F5"/>
    <w:rsid w:val="00B8071D"/>
    <w:rsid w:val="00B80D21"/>
    <w:rsid w:val="00B80FBA"/>
    <w:rsid w:val="00B81704"/>
    <w:rsid w:val="00B81B23"/>
    <w:rsid w:val="00B81F2F"/>
    <w:rsid w:val="00B8257A"/>
    <w:rsid w:val="00B83299"/>
    <w:rsid w:val="00B83337"/>
    <w:rsid w:val="00B839DF"/>
    <w:rsid w:val="00B83D08"/>
    <w:rsid w:val="00B84101"/>
    <w:rsid w:val="00B843CE"/>
    <w:rsid w:val="00B84526"/>
    <w:rsid w:val="00B8466F"/>
    <w:rsid w:val="00B8522E"/>
    <w:rsid w:val="00B852AE"/>
    <w:rsid w:val="00B85C44"/>
    <w:rsid w:val="00B860AD"/>
    <w:rsid w:val="00B863B0"/>
    <w:rsid w:val="00B871E6"/>
    <w:rsid w:val="00B8790A"/>
    <w:rsid w:val="00B90297"/>
    <w:rsid w:val="00B902CD"/>
    <w:rsid w:val="00B905F1"/>
    <w:rsid w:val="00B90D33"/>
    <w:rsid w:val="00B9117E"/>
    <w:rsid w:val="00B914B0"/>
    <w:rsid w:val="00B9198C"/>
    <w:rsid w:val="00B92F11"/>
    <w:rsid w:val="00B9300D"/>
    <w:rsid w:val="00B933CC"/>
    <w:rsid w:val="00B936E7"/>
    <w:rsid w:val="00B954C7"/>
    <w:rsid w:val="00B95D75"/>
    <w:rsid w:val="00B96DB8"/>
    <w:rsid w:val="00B97673"/>
    <w:rsid w:val="00B9793C"/>
    <w:rsid w:val="00BA0647"/>
    <w:rsid w:val="00BA0A4F"/>
    <w:rsid w:val="00BA0A6E"/>
    <w:rsid w:val="00BA1053"/>
    <w:rsid w:val="00BA108A"/>
    <w:rsid w:val="00BA12A8"/>
    <w:rsid w:val="00BA19D3"/>
    <w:rsid w:val="00BA276C"/>
    <w:rsid w:val="00BA30FC"/>
    <w:rsid w:val="00BA34D6"/>
    <w:rsid w:val="00BA3AE3"/>
    <w:rsid w:val="00BA3C47"/>
    <w:rsid w:val="00BA3E28"/>
    <w:rsid w:val="00BA3E6F"/>
    <w:rsid w:val="00BA41A4"/>
    <w:rsid w:val="00BA41A9"/>
    <w:rsid w:val="00BA494A"/>
    <w:rsid w:val="00BA4B86"/>
    <w:rsid w:val="00BA4CEF"/>
    <w:rsid w:val="00BA4F3B"/>
    <w:rsid w:val="00BA50A2"/>
    <w:rsid w:val="00BA50F8"/>
    <w:rsid w:val="00BA522C"/>
    <w:rsid w:val="00BA5417"/>
    <w:rsid w:val="00BA54C1"/>
    <w:rsid w:val="00BA569A"/>
    <w:rsid w:val="00BA5C5C"/>
    <w:rsid w:val="00BA5D5D"/>
    <w:rsid w:val="00BA6813"/>
    <w:rsid w:val="00BA7380"/>
    <w:rsid w:val="00BA78FD"/>
    <w:rsid w:val="00BB003B"/>
    <w:rsid w:val="00BB0177"/>
    <w:rsid w:val="00BB03DF"/>
    <w:rsid w:val="00BB0593"/>
    <w:rsid w:val="00BB0EF6"/>
    <w:rsid w:val="00BB129B"/>
    <w:rsid w:val="00BB1347"/>
    <w:rsid w:val="00BB14D2"/>
    <w:rsid w:val="00BB18B9"/>
    <w:rsid w:val="00BB1E5D"/>
    <w:rsid w:val="00BB2CA6"/>
    <w:rsid w:val="00BB2D79"/>
    <w:rsid w:val="00BB34A2"/>
    <w:rsid w:val="00BB3DE3"/>
    <w:rsid w:val="00BB48C6"/>
    <w:rsid w:val="00BB4A81"/>
    <w:rsid w:val="00BB4B77"/>
    <w:rsid w:val="00BB4BD1"/>
    <w:rsid w:val="00BB4C03"/>
    <w:rsid w:val="00BB4DA6"/>
    <w:rsid w:val="00BB506E"/>
    <w:rsid w:val="00BB6465"/>
    <w:rsid w:val="00BB6D81"/>
    <w:rsid w:val="00BB6E50"/>
    <w:rsid w:val="00BB7147"/>
    <w:rsid w:val="00BC14AC"/>
    <w:rsid w:val="00BC1562"/>
    <w:rsid w:val="00BC235F"/>
    <w:rsid w:val="00BC251C"/>
    <w:rsid w:val="00BC34C2"/>
    <w:rsid w:val="00BC3513"/>
    <w:rsid w:val="00BC3878"/>
    <w:rsid w:val="00BC3DE7"/>
    <w:rsid w:val="00BC432B"/>
    <w:rsid w:val="00BC4336"/>
    <w:rsid w:val="00BC448B"/>
    <w:rsid w:val="00BC45E9"/>
    <w:rsid w:val="00BC4FF5"/>
    <w:rsid w:val="00BC544D"/>
    <w:rsid w:val="00BC5628"/>
    <w:rsid w:val="00BC5788"/>
    <w:rsid w:val="00BC5EBD"/>
    <w:rsid w:val="00BC6146"/>
    <w:rsid w:val="00BC6813"/>
    <w:rsid w:val="00BC69F2"/>
    <w:rsid w:val="00BC7321"/>
    <w:rsid w:val="00BC75D5"/>
    <w:rsid w:val="00BC7DD3"/>
    <w:rsid w:val="00BC7ED5"/>
    <w:rsid w:val="00BD0386"/>
    <w:rsid w:val="00BD0634"/>
    <w:rsid w:val="00BD0B71"/>
    <w:rsid w:val="00BD13EF"/>
    <w:rsid w:val="00BD183B"/>
    <w:rsid w:val="00BD1A49"/>
    <w:rsid w:val="00BD1B6A"/>
    <w:rsid w:val="00BD1D2F"/>
    <w:rsid w:val="00BD2329"/>
    <w:rsid w:val="00BD25C6"/>
    <w:rsid w:val="00BD27B7"/>
    <w:rsid w:val="00BD2BDA"/>
    <w:rsid w:val="00BD3137"/>
    <w:rsid w:val="00BD31C2"/>
    <w:rsid w:val="00BD334F"/>
    <w:rsid w:val="00BD36E5"/>
    <w:rsid w:val="00BD4015"/>
    <w:rsid w:val="00BD40FC"/>
    <w:rsid w:val="00BD479C"/>
    <w:rsid w:val="00BD4C56"/>
    <w:rsid w:val="00BD5535"/>
    <w:rsid w:val="00BD5918"/>
    <w:rsid w:val="00BD5AA7"/>
    <w:rsid w:val="00BD5D51"/>
    <w:rsid w:val="00BD6D15"/>
    <w:rsid w:val="00BD6E31"/>
    <w:rsid w:val="00BD740D"/>
    <w:rsid w:val="00BD7FC8"/>
    <w:rsid w:val="00BE0F4B"/>
    <w:rsid w:val="00BE0F69"/>
    <w:rsid w:val="00BE136D"/>
    <w:rsid w:val="00BE1515"/>
    <w:rsid w:val="00BE1C61"/>
    <w:rsid w:val="00BE1FBF"/>
    <w:rsid w:val="00BE2224"/>
    <w:rsid w:val="00BE227F"/>
    <w:rsid w:val="00BE2400"/>
    <w:rsid w:val="00BE2891"/>
    <w:rsid w:val="00BE3B2E"/>
    <w:rsid w:val="00BE4023"/>
    <w:rsid w:val="00BE4343"/>
    <w:rsid w:val="00BE4721"/>
    <w:rsid w:val="00BE4FA9"/>
    <w:rsid w:val="00BE5140"/>
    <w:rsid w:val="00BE54FC"/>
    <w:rsid w:val="00BE619E"/>
    <w:rsid w:val="00BE66A9"/>
    <w:rsid w:val="00BE6701"/>
    <w:rsid w:val="00BE687E"/>
    <w:rsid w:val="00BE6D66"/>
    <w:rsid w:val="00BE7038"/>
    <w:rsid w:val="00BE76B3"/>
    <w:rsid w:val="00BE77B9"/>
    <w:rsid w:val="00BE7855"/>
    <w:rsid w:val="00BE7E4B"/>
    <w:rsid w:val="00BF0874"/>
    <w:rsid w:val="00BF08A3"/>
    <w:rsid w:val="00BF1C63"/>
    <w:rsid w:val="00BF24EA"/>
    <w:rsid w:val="00BF2567"/>
    <w:rsid w:val="00BF2970"/>
    <w:rsid w:val="00BF2A11"/>
    <w:rsid w:val="00BF3029"/>
    <w:rsid w:val="00BF3420"/>
    <w:rsid w:val="00BF405C"/>
    <w:rsid w:val="00BF4521"/>
    <w:rsid w:val="00BF520A"/>
    <w:rsid w:val="00BF5682"/>
    <w:rsid w:val="00BF623C"/>
    <w:rsid w:val="00BF651A"/>
    <w:rsid w:val="00BF6D07"/>
    <w:rsid w:val="00BF73FA"/>
    <w:rsid w:val="00BF744C"/>
    <w:rsid w:val="00BF75C2"/>
    <w:rsid w:val="00C004D7"/>
    <w:rsid w:val="00C0096E"/>
    <w:rsid w:val="00C00A41"/>
    <w:rsid w:val="00C00E68"/>
    <w:rsid w:val="00C00EC4"/>
    <w:rsid w:val="00C0184C"/>
    <w:rsid w:val="00C03195"/>
    <w:rsid w:val="00C03336"/>
    <w:rsid w:val="00C0368C"/>
    <w:rsid w:val="00C03AA9"/>
    <w:rsid w:val="00C03B7C"/>
    <w:rsid w:val="00C04534"/>
    <w:rsid w:val="00C04C97"/>
    <w:rsid w:val="00C04D1D"/>
    <w:rsid w:val="00C04E24"/>
    <w:rsid w:val="00C051AA"/>
    <w:rsid w:val="00C051CD"/>
    <w:rsid w:val="00C05698"/>
    <w:rsid w:val="00C05A07"/>
    <w:rsid w:val="00C06083"/>
    <w:rsid w:val="00C0678B"/>
    <w:rsid w:val="00C06973"/>
    <w:rsid w:val="00C1077B"/>
    <w:rsid w:val="00C109B7"/>
    <w:rsid w:val="00C1158F"/>
    <w:rsid w:val="00C11708"/>
    <w:rsid w:val="00C11765"/>
    <w:rsid w:val="00C11ECC"/>
    <w:rsid w:val="00C122C8"/>
    <w:rsid w:val="00C1299A"/>
    <w:rsid w:val="00C13CD8"/>
    <w:rsid w:val="00C14419"/>
    <w:rsid w:val="00C14942"/>
    <w:rsid w:val="00C14ACC"/>
    <w:rsid w:val="00C14EF9"/>
    <w:rsid w:val="00C150A7"/>
    <w:rsid w:val="00C150F3"/>
    <w:rsid w:val="00C15449"/>
    <w:rsid w:val="00C15B7C"/>
    <w:rsid w:val="00C15D84"/>
    <w:rsid w:val="00C174AE"/>
    <w:rsid w:val="00C17A97"/>
    <w:rsid w:val="00C17D47"/>
    <w:rsid w:val="00C20062"/>
    <w:rsid w:val="00C2020A"/>
    <w:rsid w:val="00C20957"/>
    <w:rsid w:val="00C20F48"/>
    <w:rsid w:val="00C213A1"/>
    <w:rsid w:val="00C22A52"/>
    <w:rsid w:val="00C2340D"/>
    <w:rsid w:val="00C23A9B"/>
    <w:rsid w:val="00C24051"/>
    <w:rsid w:val="00C2488A"/>
    <w:rsid w:val="00C24D25"/>
    <w:rsid w:val="00C24D55"/>
    <w:rsid w:val="00C24D5B"/>
    <w:rsid w:val="00C25179"/>
    <w:rsid w:val="00C252E4"/>
    <w:rsid w:val="00C25705"/>
    <w:rsid w:val="00C25817"/>
    <w:rsid w:val="00C25BD8"/>
    <w:rsid w:val="00C25C21"/>
    <w:rsid w:val="00C261A6"/>
    <w:rsid w:val="00C26336"/>
    <w:rsid w:val="00C266DA"/>
    <w:rsid w:val="00C268FF"/>
    <w:rsid w:val="00C26B7F"/>
    <w:rsid w:val="00C27202"/>
    <w:rsid w:val="00C27911"/>
    <w:rsid w:val="00C27F74"/>
    <w:rsid w:val="00C300B7"/>
    <w:rsid w:val="00C30423"/>
    <w:rsid w:val="00C307CB"/>
    <w:rsid w:val="00C30A14"/>
    <w:rsid w:val="00C30C77"/>
    <w:rsid w:val="00C3106E"/>
    <w:rsid w:val="00C311DA"/>
    <w:rsid w:val="00C3130E"/>
    <w:rsid w:val="00C31905"/>
    <w:rsid w:val="00C31990"/>
    <w:rsid w:val="00C320EC"/>
    <w:rsid w:val="00C32E66"/>
    <w:rsid w:val="00C33E06"/>
    <w:rsid w:val="00C33F6B"/>
    <w:rsid w:val="00C344A0"/>
    <w:rsid w:val="00C34A3D"/>
    <w:rsid w:val="00C35C23"/>
    <w:rsid w:val="00C36089"/>
    <w:rsid w:val="00C361DA"/>
    <w:rsid w:val="00C36E21"/>
    <w:rsid w:val="00C374E6"/>
    <w:rsid w:val="00C3769C"/>
    <w:rsid w:val="00C404D9"/>
    <w:rsid w:val="00C40F7F"/>
    <w:rsid w:val="00C410DC"/>
    <w:rsid w:val="00C415FF"/>
    <w:rsid w:val="00C4172E"/>
    <w:rsid w:val="00C42578"/>
    <w:rsid w:val="00C425B3"/>
    <w:rsid w:val="00C42837"/>
    <w:rsid w:val="00C428AF"/>
    <w:rsid w:val="00C42E59"/>
    <w:rsid w:val="00C4380C"/>
    <w:rsid w:val="00C4443A"/>
    <w:rsid w:val="00C45C72"/>
    <w:rsid w:val="00C4619A"/>
    <w:rsid w:val="00C46314"/>
    <w:rsid w:val="00C46D31"/>
    <w:rsid w:val="00C46DB2"/>
    <w:rsid w:val="00C47297"/>
    <w:rsid w:val="00C47389"/>
    <w:rsid w:val="00C47B0A"/>
    <w:rsid w:val="00C47C9D"/>
    <w:rsid w:val="00C47CAD"/>
    <w:rsid w:val="00C47DA4"/>
    <w:rsid w:val="00C47E10"/>
    <w:rsid w:val="00C503A4"/>
    <w:rsid w:val="00C5046F"/>
    <w:rsid w:val="00C50B7A"/>
    <w:rsid w:val="00C51C26"/>
    <w:rsid w:val="00C52224"/>
    <w:rsid w:val="00C52961"/>
    <w:rsid w:val="00C52EAC"/>
    <w:rsid w:val="00C538A7"/>
    <w:rsid w:val="00C53D0A"/>
    <w:rsid w:val="00C5546F"/>
    <w:rsid w:val="00C558F1"/>
    <w:rsid w:val="00C55FF7"/>
    <w:rsid w:val="00C565EA"/>
    <w:rsid w:val="00C56978"/>
    <w:rsid w:val="00C57054"/>
    <w:rsid w:val="00C57529"/>
    <w:rsid w:val="00C57AA0"/>
    <w:rsid w:val="00C57DA1"/>
    <w:rsid w:val="00C601D7"/>
    <w:rsid w:val="00C60535"/>
    <w:rsid w:val="00C61BC7"/>
    <w:rsid w:val="00C621A3"/>
    <w:rsid w:val="00C63385"/>
    <w:rsid w:val="00C6354E"/>
    <w:rsid w:val="00C636BF"/>
    <w:rsid w:val="00C643AD"/>
    <w:rsid w:val="00C65258"/>
    <w:rsid w:val="00C6564F"/>
    <w:rsid w:val="00C65791"/>
    <w:rsid w:val="00C65C76"/>
    <w:rsid w:val="00C6604C"/>
    <w:rsid w:val="00C66178"/>
    <w:rsid w:val="00C66232"/>
    <w:rsid w:val="00C674DD"/>
    <w:rsid w:val="00C6769A"/>
    <w:rsid w:val="00C677BE"/>
    <w:rsid w:val="00C67952"/>
    <w:rsid w:val="00C67D64"/>
    <w:rsid w:val="00C7096B"/>
    <w:rsid w:val="00C709F7"/>
    <w:rsid w:val="00C70CDF"/>
    <w:rsid w:val="00C71348"/>
    <w:rsid w:val="00C71569"/>
    <w:rsid w:val="00C717CD"/>
    <w:rsid w:val="00C71A1E"/>
    <w:rsid w:val="00C72B03"/>
    <w:rsid w:val="00C72F57"/>
    <w:rsid w:val="00C73185"/>
    <w:rsid w:val="00C734A4"/>
    <w:rsid w:val="00C73729"/>
    <w:rsid w:val="00C73D23"/>
    <w:rsid w:val="00C744D7"/>
    <w:rsid w:val="00C747D9"/>
    <w:rsid w:val="00C74A88"/>
    <w:rsid w:val="00C74B2B"/>
    <w:rsid w:val="00C75095"/>
    <w:rsid w:val="00C76CBA"/>
    <w:rsid w:val="00C80C8E"/>
    <w:rsid w:val="00C80EA4"/>
    <w:rsid w:val="00C80FA3"/>
    <w:rsid w:val="00C815B5"/>
    <w:rsid w:val="00C816C7"/>
    <w:rsid w:val="00C81F46"/>
    <w:rsid w:val="00C82516"/>
    <w:rsid w:val="00C82AF5"/>
    <w:rsid w:val="00C83075"/>
    <w:rsid w:val="00C8332F"/>
    <w:rsid w:val="00C83A8D"/>
    <w:rsid w:val="00C83C5C"/>
    <w:rsid w:val="00C84462"/>
    <w:rsid w:val="00C84B74"/>
    <w:rsid w:val="00C84E1A"/>
    <w:rsid w:val="00C85B99"/>
    <w:rsid w:val="00C86223"/>
    <w:rsid w:val="00C8627F"/>
    <w:rsid w:val="00C8642A"/>
    <w:rsid w:val="00C86815"/>
    <w:rsid w:val="00C86E69"/>
    <w:rsid w:val="00C872DA"/>
    <w:rsid w:val="00C877B9"/>
    <w:rsid w:val="00C8792F"/>
    <w:rsid w:val="00C879F8"/>
    <w:rsid w:val="00C90217"/>
    <w:rsid w:val="00C90A48"/>
    <w:rsid w:val="00C90AA7"/>
    <w:rsid w:val="00C91F6C"/>
    <w:rsid w:val="00C9217C"/>
    <w:rsid w:val="00C92FDC"/>
    <w:rsid w:val="00C93454"/>
    <w:rsid w:val="00C93827"/>
    <w:rsid w:val="00C93D95"/>
    <w:rsid w:val="00C94479"/>
    <w:rsid w:val="00C94A2E"/>
    <w:rsid w:val="00C94C88"/>
    <w:rsid w:val="00C94F01"/>
    <w:rsid w:val="00C94FDC"/>
    <w:rsid w:val="00C95399"/>
    <w:rsid w:val="00C96139"/>
    <w:rsid w:val="00C96AF6"/>
    <w:rsid w:val="00C97A9C"/>
    <w:rsid w:val="00C97BF8"/>
    <w:rsid w:val="00C97C91"/>
    <w:rsid w:val="00CA02D1"/>
    <w:rsid w:val="00CA06E0"/>
    <w:rsid w:val="00CA20E0"/>
    <w:rsid w:val="00CA2A33"/>
    <w:rsid w:val="00CA2F81"/>
    <w:rsid w:val="00CA3AE8"/>
    <w:rsid w:val="00CA3C1D"/>
    <w:rsid w:val="00CA4251"/>
    <w:rsid w:val="00CA466E"/>
    <w:rsid w:val="00CA4EBB"/>
    <w:rsid w:val="00CA55E9"/>
    <w:rsid w:val="00CA5D81"/>
    <w:rsid w:val="00CA6064"/>
    <w:rsid w:val="00CA65EF"/>
    <w:rsid w:val="00CA6904"/>
    <w:rsid w:val="00CA6DFA"/>
    <w:rsid w:val="00CA6F3E"/>
    <w:rsid w:val="00CA71C7"/>
    <w:rsid w:val="00CA7BE9"/>
    <w:rsid w:val="00CB0EEB"/>
    <w:rsid w:val="00CB12A3"/>
    <w:rsid w:val="00CB1AF9"/>
    <w:rsid w:val="00CB1E7B"/>
    <w:rsid w:val="00CB2238"/>
    <w:rsid w:val="00CB2F41"/>
    <w:rsid w:val="00CB345A"/>
    <w:rsid w:val="00CB36BE"/>
    <w:rsid w:val="00CB3F4B"/>
    <w:rsid w:val="00CB411A"/>
    <w:rsid w:val="00CB4E55"/>
    <w:rsid w:val="00CB5F46"/>
    <w:rsid w:val="00CB617D"/>
    <w:rsid w:val="00CB69CE"/>
    <w:rsid w:val="00CB7320"/>
    <w:rsid w:val="00CB7374"/>
    <w:rsid w:val="00CB7FBB"/>
    <w:rsid w:val="00CB7FCF"/>
    <w:rsid w:val="00CC09C5"/>
    <w:rsid w:val="00CC0A62"/>
    <w:rsid w:val="00CC1E35"/>
    <w:rsid w:val="00CC3413"/>
    <w:rsid w:val="00CC343B"/>
    <w:rsid w:val="00CC4447"/>
    <w:rsid w:val="00CC497C"/>
    <w:rsid w:val="00CC4A36"/>
    <w:rsid w:val="00CC4D35"/>
    <w:rsid w:val="00CC5368"/>
    <w:rsid w:val="00CC57A9"/>
    <w:rsid w:val="00CC59ED"/>
    <w:rsid w:val="00CC5EBE"/>
    <w:rsid w:val="00CC65C9"/>
    <w:rsid w:val="00CC664B"/>
    <w:rsid w:val="00CC774A"/>
    <w:rsid w:val="00CC7A3E"/>
    <w:rsid w:val="00CC7D70"/>
    <w:rsid w:val="00CD0A28"/>
    <w:rsid w:val="00CD1778"/>
    <w:rsid w:val="00CD202C"/>
    <w:rsid w:val="00CD2098"/>
    <w:rsid w:val="00CD2FE2"/>
    <w:rsid w:val="00CD322B"/>
    <w:rsid w:val="00CD3802"/>
    <w:rsid w:val="00CD3B3E"/>
    <w:rsid w:val="00CD45C2"/>
    <w:rsid w:val="00CD490D"/>
    <w:rsid w:val="00CD4C71"/>
    <w:rsid w:val="00CD4E5A"/>
    <w:rsid w:val="00CD5712"/>
    <w:rsid w:val="00CD5817"/>
    <w:rsid w:val="00CD58B0"/>
    <w:rsid w:val="00CD5D8E"/>
    <w:rsid w:val="00CD6159"/>
    <w:rsid w:val="00CD640B"/>
    <w:rsid w:val="00CD6498"/>
    <w:rsid w:val="00CD68DD"/>
    <w:rsid w:val="00CD6E95"/>
    <w:rsid w:val="00CD7298"/>
    <w:rsid w:val="00CD77F1"/>
    <w:rsid w:val="00CD7FDB"/>
    <w:rsid w:val="00CE061B"/>
    <w:rsid w:val="00CE081E"/>
    <w:rsid w:val="00CE0825"/>
    <w:rsid w:val="00CE133E"/>
    <w:rsid w:val="00CE1E40"/>
    <w:rsid w:val="00CE206E"/>
    <w:rsid w:val="00CE2105"/>
    <w:rsid w:val="00CE291A"/>
    <w:rsid w:val="00CE3AC8"/>
    <w:rsid w:val="00CE3CCD"/>
    <w:rsid w:val="00CE3E09"/>
    <w:rsid w:val="00CE3E9A"/>
    <w:rsid w:val="00CE45B2"/>
    <w:rsid w:val="00CE5257"/>
    <w:rsid w:val="00CE54F1"/>
    <w:rsid w:val="00CE55D2"/>
    <w:rsid w:val="00CE58D1"/>
    <w:rsid w:val="00CE6195"/>
    <w:rsid w:val="00CE6E6A"/>
    <w:rsid w:val="00CE7567"/>
    <w:rsid w:val="00CE77C3"/>
    <w:rsid w:val="00CE7D75"/>
    <w:rsid w:val="00CF027E"/>
    <w:rsid w:val="00CF07D6"/>
    <w:rsid w:val="00CF0C1B"/>
    <w:rsid w:val="00CF0F4F"/>
    <w:rsid w:val="00CF1B1E"/>
    <w:rsid w:val="00CF1C09"/>
    <w:rsid w:val="00CF29FD"/>
    <w:rsid w:val="00CF2DBA"/>
    <w:rsid w:val="00CF418A"/>
    <w:rsid w:val="00CF4267"/>
    <w:rsid w:val="00CF449C"/>
    <w:rsid w:val="00CF4AD6"/>
    <w:rsid w:val="00CF4C7B"/>
    <w:rsid w:val="00CF55B1"/>
    <w:rsid w:val="00CF5959"/>
    <w:rsid w:val="00CF5A4F"/>
    <w:rsid w:val="00CF654C"/>
    <w:rsid w:val="00CF6B39"/>
    <w:rsid w:val="00D005E3"/>
    <w:rsid w:val="00D00D81"/>
    <w:rsid w:val="00D0114E"/>
    <w:rsid w:val="00D014E8"/>
    <w:rsid w:val="00D01DE3"/>
    <w:rsid w:val="00D02325"/>
    <w:rsid w:val="00D028DD"/>
    <w:rsid w:val="00D02C9D"/>
    <w:rsid w:val="00D02FFD"/>
    <w:rsid w:val="00D033B7"/>
    <w:rsid w:val="00D037A2"/>
    <w:rsid w:val="00D03B84"/>
    <w:rsid w:val="00D03CF7"/>
    <w:rsid w:val="00D03DD9"/>
    <w:rsid w:val="00D04AF0"/>
    <w:rsid w:val="00D04B40"/>
    <w:rsid w:val="00D056EC"/>
    <w:rsid w:val="00D057A9"/>
    <w:rsid w:val="00D063D1"/>
    <w:rsid w:val="00D065F6"/>
    <w:rsid w:val="00D067CA"/>
    <w:rsid w:val="00D067D0"/>
    <w:rsid w:val="00D068A9"/>
    <w:rsid w:val="00D06A81"/>
    <w:rsid w:val="00D06AA3"/>
    <w:rsid w:val="00D0754A"/>
    <w:rsid w:val="00D07779"/>
    <w:rsid w:val="00D10FA0"/>
    <w:rsid w:val="00D11229"/>
    <w:rsid w:val="00D12380"/>
    <w:rsid w:val="00D12D0A"/>
    <w:rsid w:val="00D12E50"/>
    <w:rsid w:val="00D13400"/>
    <w:rsid w:val="00D13B4C"/>
    <w:rsid w:val="00D13B4F"/>
    <w:rsid w:val="00D13CB6"/>
    <w:rsid w:val="00D140D1"/>
    <w:rsid w:val="00D1437B"/>
    <w:rsid w:val="00D14B81"/>
    <w:rsid w:val="00D15549"/>
    <w:rsid w:val="00D15617"/>
    <w:rsid w:val="00D156CB"/>
    <w:rsid w:val="00D15BD0"/>
    <w:rsid w:val="00D16B97"/>
    <w:rsid w:val="00D176D4"/>
    <w:rsid w:val="00D17B76"/>
    <w:rsid w:val="00D20450"/>
    <w:rsid w:val="00D216CB"/>
    <w:rsid w:val="00D21A37"/>
    <w:rsid w:val="00D21ADD"/>
    <w:rsid w:val="00D21BC9"/>
    <w:rsid w:val="00D21ECB"/>
    <w:rsid w:val="00D222A9"/>
    <w:rsid w:val="00D22572"/>
    <w:rsid w:val="00D22F07"/>
    <w:rsid w:val="00D22FA2"/>
    <w:rsid w:val="00D2382A"/>
    <w:rsid w:val="00D23ABF"/>
    <w:rsid w:val="00D24045"/>
    <w:rsid w:val="00D2427E"/>
    <w:rsid w:val="00D247DF"/>
    <w:rsid w:val="00D25723"/>
    <w:rsid w:val="00D25900"/>
    <w:rsid w:val="00D25963"/>
    <w:rsid w:val="00D25B18"/>
    <w:rsid w:val="00D25E2C"/>
    <w:rsid w:val="00D303B3"/>
    <w:rsid w:val="00D3041E"/>
    <w:rsid w:val="00D30557"/>
    <w:rsid w:val="00D306F2"/>
    <w:rsid w:val="00D312B4"/>
    <w:rsid w:val="00D315CB"/>
    <w:rsid w:val="00D31A1E"/>
    <w:rsid w:val="00D31A96"/>
    <w:rsid w:val="00D323E4"/>
    <w:rsid w:val="00D32895"/>
    <w:rsid w:val="00D32EFC"/>
    <w:rsid w:val="00D32FA5"/>
    <w:rsid w:val="00D32FF0"/>
    <w:rsid w:val="00D33128"/>
    <w:rsid w:val="00D332E1"/>
    <w:rsid w:val="00D3335E"/>
    <w:rsid w:val="00D333D5"/>
    <w:rsid w:val="00D33A2B"/>
    <w:rsid w:val="00D33CE4"/>
    <w:rsid w:val="00D34069"/>
    <w:rsid w:val="00D34CCC"/>
    <w:rsid w:val="00D34FBB"/>
    <w:rsid w:val="00D3506D"/>
    <w:rsid w:val="00D35522"/>
    <w:rsid w:val="00D35D0C"/>
    <w:rsid w:val="00D36196"/>
    <w:rsid w:val="00D364E0"/>
    <w:rsid w:val="00D369BA"/>
    <w:rsid w:val="00D374FC"/>
    <w:rsid w:val="00D4057D"/>
    <w:rsid w:val="00D409BC"/>
    <w:rsid w:val="00D4110F"/>
    <w:rsid w:val="00D41129"/>
    <w:rsid w:val="00D4239C"/>
    <w:rsid w:val="00D42B18"/>
    <w:rsid w:val="00D42C1E"/>
    <w:rsid w:val="00D42C88"/>
    <w:rsid w:val="00D42E59"/>
    <w:rsid w:val="00D4311B"/>
    <w:rsid w:val="00D4360A"/>
    <w:rsid w:val="00D43960"/>
    <w:rsid w:val="00D43A64"/>
    <w:rsid w:val="00D43B95"/>
    <w:rsid w:val="00D4478C"/>
    <w:rsid w:val="00D453EC"/>
    <w:rsid w:val="00D45C07"/>
    <w:rsid w:val="00D4745C"/>
    <w:rsid w:val="00D4775C"/>
    <w:rsid w:val="00D477C5"/>
    <w:rsid w:val="00D47BCA"/>
    <w:rsid w:val="00D47C0C"/>
    <w:rsid w:val="00D50021"/>
    <w:rsid w:val="00D5003B"/>
    <w:rsid w:val="00D504C3"/>
    <w:rsid w:val="00D511AA"/>
    <w:rsid w:val="00D51BCC"/>
    <w:rsid w:val="00D51FDB"/>
    <w:rsid w:val="00D527EF"/>
    <w:rsid w:val="00D52F18"/>
    <w:rsid w:val="00D536FA"/>
    <w:rsid w:val="00D547A4"/>
    <w:rsid w:val="00D54912"/>
    <w:rsid w:val="00D55BA0"/>
    <w:rsid w:val="00D55E47"/>
    <w:rsid w:val="00D56B54"/>
    <w:rsid w:val="00D57163"/>
    <w:rsid w:val="00D576D5"/>
    <w:rsid w:val="00D6017E"/>
    <w:rsid w:val="00D60C96"/>
    <w:rsid w:val="00D612A5"/>
    <w:rsid w:val="00D618ED"/>
    <w:rsid w:val="00D62075"/>
    <w:rsid w:val="00D62FBE"/>
    <w:rsid w:val="00D631C0"/>
    <w:rsid w:val="00D639CD"/>
    <w:rsid w:val="00D63BE4"/>
    <w:rsid w:val="00D63DA7"/>
    <w:rsid w:val="00D6420B"/>
    <w:rsid w:val="00D6480D"/>
    <w:rsid w:val="00D653BE"/>
    <w:rsid w:val="00D65CE6"/>
    <w:rsid w:val="00D6605F"/>
    <w:rsid w:val="00D660C6"/>
    <w:rsid w:val="00D66256"/>
    <w:rsid w:val="00D6680F"/>
    <w:rsid w:val="00D67624"/>
    <w:rsid w:val="00D678DF"/>
    <w:rsid w:val="00D67C09"/>
    <w:rsid w:val="00D7033A"/>
    <w:rsid w:val="00D710BF"/>
    <w:rsid w:val="00D7142B"/>
    <w:rsid w:val="00D71AFF"/>
    <w:rsid w:val="00D72426"/>
    <w:rsid w:val="00D72480"/>
    <w:rsid w:val="00D72549"/>
    <w:rsid w:val="00D7257D"/>
    <w:rsid w:val="00D72ACB"/>
    <w:rsid w:val="00D7313D"/>
    <w:rsid w:val="00D73AB1"/>
    <w:rsid w:val="00D74219"/>
    <w:rsid w:val="00D75317"/>
    <w:rsid w:val="00D75392"/>
    <w:rsid w:val="00D76001"/>
    <w:rsid w:val="00D80533"/>
    <w:rsid w:val="00D8062D"/>
    <w:rsid w:val="00D80763"/>
    <w:rsid w:val="00D80C77"/>
    <w:rsid w:val="00D81151"/>
    <w:rsid w:val="00D81F0A"/>
    <w:rsid w:val="00D82778"/>
    <w:rsid w:val="00D83094"/>
    <w:rsid w:val="00D83231"/>
    <w:rsid w:val="00D83351"/>
    <w:rsid w:val="00D8353F"/>
    <w:rsid w:val="00D83ACC"/>
    <w:rsid w:val="00D83AD6"/>
    <w:rsid w:val="00D84CC4"/>
    <w:rsid w:val="00D8586B"/>
    <w:rsid w:val="00D85873"/>
    <w:rsid w:val="00D863C4"/>
    <w:rsid w:val="00D86937"/>
    <w:rsid w:val="00D87BD8"/>
    <w:rsid w:val="00D87C7B"/>
    <w:rsid w:val="00D90242"/>
    <w:rsid w:val="00D90E84"/>
    <w:rsid w:val="00D912DF"/>
    <w:rsid w:val="00D9144A"/>
    <w:rsid w:val="00D92733"/>
    <w:rsid w:val="00D92FF2"/>
    <w:rsid w:val="00D93166"/>
    <w:rsid w:val="00D931AC"/>
    <w:rsid w:val="00D931E7"/>
    <w:rsid w:val="00D932F6"/>
    <w:rsid w:val="00D93F75"/>
    <w:rsid w:val="00D94C43"/>
    <w:rsid w:val="00D955C7"/>
    <w:rsid w:val="00D95A91"/>
    <w:rsid w:val="00D95C11"/>
    <w:rsid w:val="00D95FEF"/>
    <w:rsid w:val="00D96007"/>
    <w:rsid w:val="00D96514"/>
    <w:rsid w:val="00DA0398"/>
    <w:rsid w:val="00DA0547"/>
    <w:rsid w:val="00DA0EBD"/>
    <w:rsid w:val="00DA0F7A"/>
    <w:rsid w:val="00DA24BA"/>
    <w:rsid w:val="00DA331F"/>
    <w:rsid w:val="00DA35AE"/>
    <w:rsid w:val="00DA3860"/>
    <w:rsid w:val="00DA39DF"/>
    <w:rsid w:val="00DA3B3B"/>
    <w:rsid w:val="00DA3E8E"/>
    <w:rsid w:val="00DA3FBE"/>
    <w:rsid w:val="00DA47FF"/>
    <w:rsid w:val="00DA4B95"/>
    <w:rsid w:val="00DA50F7"/>
    <w:rsid w:val="00DA589C"/>
    <w:rsid w:val="00DA5F72"/>
    <w:rsid w:val="00DA6568"/>
    <w:rsid w:val="00DA67CE"/>
    <w:rsid w:val="00DA6E18"/>
    <w:rsid w:val="00DA7503"/>
    <w:rsid w:val="00DA7C56"/>
    <w:rsid w:val="00DB030E"/>
    <w:rsid w:val="00DB095C"/>
    <w:rsid w:val="00DB16BF"/>
    <w:rsid w:val="00DB297F"/>
    <w:rsid w:val="00DB2C94"/>
    <w:rsid w:val="00DB3311"/>
    <w:rsid w:val="00DB3D8D"/>
    <w:rsid w:val="00DB3E4C"/>
    <w:rsid w:val="00DB40B7"/>
    <w:rsid w:val="00DB43C2"/>
    <w:rsid w:val="00DB480F"/>
    <w:rsid w:val="00DB494F"/>
    <w:rsid w:val="00DB5011"/>
    <w:rsid w:val="00DB553C"/>
    <w:rsid w:val="00DB5742"/>
    <w:rsid w:val="00DB5883"/>
    <w:rsid w:val="00DB5F7C"/>
    <w:rsid w:val="00DB6D33"/>
    <w:rsid w:val="00DB728A"/>
    <w:rsid w:val="00DB737C"/>
    <w:rsid w:val="00DB7888"/>
    <w:rsid w:val="00DC0114"/>
    <w:rsid w:val="00DC12F3"/>
    <w:rsid w:val="00DC1336"/>
    <w:rsid w:val="00DC1774"/>
    <w:rsid w:val="00DC18CD"/>
    <w:rsid w:val="00DC1B0E"/>
    <w:rsid w:val="00DC1B24"/>
    <w:rsid w:val="00DC27C1"/>
    <w:rsid w:val="00DC2ECD"/>
    <w:rsid w:val="00DC2FD1"/>
    <w:rsid w:val="00DC3068"/>
    <w:rsid w:val="00DC3966"/>
    <w:rsid w:val="00DC3A44"/>
    <w:rsid w:val="00DC3BFD"/>
    <w:rsid w:val="00DC46A4"/>
    <w:rsid w:val="00DC5AC1"/>
    <w:rsid w:val="00DC63E3"/>
    <w:rsid w:val="00DC6D98"/>
    <w:rsid w:val="00DC710D"/>
    <w:rsid w:val="00DC72EA"/>
    <w:rsid w:val="00DD03A5"/>
    <w:rsid w:val="00DD063B"/>
    <w:rsid w:val="00DD07E9"/>
    <w:rsid w:val="00DD09A0"/>
    <w:rsid w:val="00DD0C57"/>
    <w:rsid w:val="00DD0E39"/>
    <w:rsid w:val="00DD21E4"/>
    <w:rsid w:val="00DD26F2"/>
    <w:rsid w:val="00DD2BC6"/>
    <w:rsid w:val="00DD3051"/>
    <w:rsid w:val="00DD370C"/>
    <w:rsid w:val="00DD387B"/>
    <w:rsid w:val="00DD3D4A"/>
    <w:rsid w:val="00DD49AC"/>
    <w:rsid w:val="00DD4B0A"/>
    <w:rsid w:val="00DD4BD3"/>
    <w:rsid w:val="00DD586D"/>
    <w:rsid w:val="00DD5A49"/>
    <w:rsid w:val="00DD6220"/>
    <w:rsid w:val="00DD63DB"/>
    <w:rsid w:val="00DD75E8"/>
    <w:rsid w:val="00DD7671"/>
    <w:rsid w:val="00DD77F7"/>
    <w:rsid w:val="00DD7B40"/>
    <w:rsid w:val="00DD7FD7"/>
    <w:rsid w:val="00DE01B2"/>
    <w:rsid w:val="00DE022C"/>
    <w:rsid w:val="00DE0A44"/>
    <w:rsid w:val="00DE1E08"/>
    <w:rsid w:val="00DE325B"/>
    <w:rsid w:val="00DE332A"/>
    <w:rsid w:val="00DE4053"/>
    <w:rsid w:val="00DE42D6"/>
    <w:rsid w:val="00DE5196"/>
    <w:rsid w:val="00DE566A"/>
    <w:rsid w:val="00DE582A"/>
    <w:rsid w:val="00DE5877"/>
    <w:rsid w:val="00DE5AD1"/>
    <w:rsid w:val="00DE5E17"/>
    <w:rsid w:val="00DE67F5"/>
    <w:rsid w:val="00DE686B"/>
    <w:rsid w:val="00DE6EAD"/>
    <w:rsid w:val="00DE7002"/>
    <w:rsid w:val="00DE72AA"/>
    <w:rsid w:val="00DE7362"/>
    <w:rsid w:val="00DE73F4"/>
    <w:rsid w:val="00DE7FE5"/>
    <w:rsid w:val="00DF0590"/>
    <w:rsid w:val="00DF0B8A"/>
    <w:rsid w:val="00DF25E8"/>
    <w:rsid w:val="00DF3078"/>
    <w:rsid w:val="00DF3201"/>
    <w:rsid w:val="00DF336D"/>
    <w:rsid w:val="00DF3EB3"/>
    <w:rsid w:val="00DF3F16"/>
    <w:rsid w:val="00DF3F30"/>
    <w:rsid w:val="00DF5729"/>
    <w:rsid w:val="00DF5805"/>
    <w:rsid w:val="00DF5833"/>
    <w:rsid w:val="00DF6594"/>
    <w:rsid w:val="00DF725B"/>
    <w:rsid w:val="00DF754C"/>
    <w:rsid w:val="00DF7704"/>
    <w:rsid w:val="00DF7860"/>
    <w:rsid w:val="00DF7FF5"/>
    <w:rsid w:val="00E00C18"/>
    <w:rsid w:val="00E00C7C"/>
    <w:rsid w:val="00E01237"/>
    <w:rsid w:val="00E020EB"/>
    <w:rsid w:val="00E0278F"/>
    <w:rsid w:val="00E0292E"/>
    <w:rsid w:val="00E02977"/>
    <w:rsid w:val="00E02C61"/>
    <w:rsid w:val="00E02E36"/>
    <w:rsid w:val="00E03589"/>
    <w:rsid w:val="00E0369E"/>
    <w:rsid w:val="00E041C1"/>
    <w:rsid w:val="00E04335"/>
    <w:rsid w:val="00E04476"/>
    <w:rsid w:val="00E044EA"/>
    <w:rsid w:val="00E04C7C"/>
    <w:rsid w:val="00E04F1C"/>
    <w:rsid w:val="00E051CB"/>
    <w:rsid w:val="00E052BB"/>
    <w:rsid w:val="00E059B3"/>
    <w:rsid w:val="00E063C1"/>
    <w:rsid w:val="00E06B42"/>
    <w:rsid w:val="00E07136"/>
    <w:rsid w:val="00E07CA1"/>
    <w:rsid w:val="00E07F41"/>
    <w:rsid w:val="00E1058B"/>
    <w:rsid w:val="00E108F1"/>
    <w:rsid w:val="00E10F11"/>
    <w:rsid w:val="00E110F8"/>
    <w:rsid w:val="00E11525"/>
    <w:rsid w:val="00E1172B"/>
    <w:rsid w:val="00E11C8C"/>
    <w:rsid w:val="00E12250"/>
    <w:rsid w:val="00E12675"/>
    <w:rsid w:val="00E128B8"/>
    <w:rsid w:val="00E12EA7"/>
    <w:rsid w:val="00E12F53"/>
    <w:rsid w:val="00E13816"/>
    <w:rsid w:val="00E138E7"/>
    <w:rsid w:val="00E1406B"/>
    <w:rsid w:val="00E14EBD"/>
    <w:rsid w:val="00E1542B"/>
    <w:rsid w:val="00E1555D"/>
    <w:rsid w:val="00E155D0"/>
    <w:rsid w:val="00E15AF4"/>
    <w:rsid w:val="00E15C3A"/>
    <w:rsid w:val="00E15DC1"/>
    <w:rsid w:val="00E177A8"/>
    <w:rsid w:val="00E203FE"/>
    <w:rsid w:val="00E21BD1"/>
    <w:rsid w:val="00E21C2D"/>
    <w:rsid w:val="00E21D73"/>
    <w:rsid w:val="00E21FA3"/>
    <w:rsid w:val="00E22019"/>
    <w:rsid w:val="00E221BF"/>
    <w:rsid w:val="00E2220E"/>
    <w:rsid w:val="00E22A1E"/>
    <w:rsid w:val="00E22C43"/>
    <w:rsid w:val="00E23013"/>
    <w:rsid w:val="00E235BE"/>
    <w:rsid w:val="00E2385C"/>
    <w:rsid w:val="00E239C6"/>
    <w:rsid w:val="00E245DB"/>
    <w:rsid w:val="00E255DA"/>
    <w:rsid w:val="00E2646C"/>
    <w:rsid w:val="00E27009"/>
    <w:rsid w:val="00E30807"/>
    <w:rsid w:val="00E30B47"/>
    <w:rsid w:val="00E3126D"/>
    <w:rsid w:val="00E3146D"/>
    <w:rsid w:val="00E31485"/>
    <w:rsid w:val="00E31630"/>
    <w:rsid w:val="00E3198E"/>
    <w:rsid w:val="00E31A5A"/>
    <w:rsid w:val="00E31AB8"/>
    <w:rsid w:val="00E31F94"/>
    <w:rsid w:val="00E32016"/>
    <w:rsid w:val="00E323EB"/>
    <w:rsid w:val="00E3261C"/>
    <w:rsid w:val="00E32672"/>
    <w:rsid w:val="00E32C13"/>
    <w:rsid w:val="00E32C20"/>
    <w:rsid w:val="00E32CD8"/>
    <w:rsid w:val="00E3361E"/>
    <w:rsid w:val="00E337E3"/>
    <w:rsid w:val="00E33EAA"/>
    <w:rsid w:val="00E35040"/>
    <w:rsid w:val="00E3505A"/>
    <w:rsid w:val="00E3530C"/>
    <w:rsid w:val="00E3542C"/>
    <w:rsid w:val="00E3570E"/>
    <w:rsid w:val="00E35C2D"/>
    <w:rsid w:val="00E36CA7"/>
    <w:rsid w:val="00E36CD8"/>
    <w:rsid w:val="00E377AB"/>
    <w:rsid w:val="00E37A35"/>
    <w:rsid w:val="00E37B2D"/>
    <w:rsid w:val="00E401E5"/>
    <w:rsid w:val="00E40359"/>
    <w:rsid w:val="00E403AD"/>
    <w:rsid w:val="00E40609"/>
    <w:rsid w:val="00E40B47"/>
    <w:rsid w:val="00E40EF7"/>
    <w:rsid w:val="00E41567"/>
    <w:rsid w:val="00E41DA8"/>
    <w:rsid w:val="00E421F9"/>
    <w:rsid w:val="00E426AD"/>
    <w:rsid w:val="00E42C18"/>
    <w:rsid w:val="00E43729"/>
    <w:rsid w:val="00E438D1"/>
    <w:rsid w:val="00E43A55"/>
    <w:rsid w:val="00E44897"/>
    <w:rsid w:val="00E448CF"/>
    <w:rsid w:val="00E45140"/>
    <w:rsid w:val="00E454E7"/>
    <w:rsid w:val="00E45F2F"/>
    <w:rsid w:val="00E46701"/>
    <w:rsid w:val="00E468A1"/>
    <w:rsid w:val="00E46ECE"/>
    <w:rsid w:val="00E46F94"/>
    <w:rsid w:val="00E4714D"/>
    <w:rsid w:val="00E50401"/>
    <w:rsid w:val="00E50738"/>
    <w:rsid w:val="00E50769"/>
    <w:rsid w:val="00E51E83"/>
    <w:rsid w:val="00E525A4"/>
    <w:rsid w:val="00E526A4"/>
    <w:rsid w:val="00E52BAF"/>
    <w:rsid w:val="00E53481"/>
    <w:rsid w:val="00E54840"/>
    <w:rsid w:val="00E54BEE"/>
    <w:rsid w:val="00E54D45"/>
    <w:rsid w:val="00E54EC9"/>
    <w:rsid w:val="00E551FD"/>
    <w:rsid w:val="00E5563B"/>
    <w:rsid w:val="00E559CF"/>
    <w:rsid w:val="00E55F8E"/>
    <w:rsid w:val="00E56AE8"/>
    <w:rsid w:val="00E571F6"/>
    <w:rsid w:val="00E5756E"/>
    <w:rsid w:val="00E576F5"/>
    <w:rsid w:val="00E57E65"/>
    <w:rsid w:val="00E606B0"/>
    <w:rsid w:val="00E61179"/>
    <w:rsid w:val="00E61700"/>
    <w:rsid w:val="00E6197E"/>
    <w:rsid w:val="00E6390F"/>
    <w:rsid w:val="00E643D5"/>
    <w:rsid w:val="00E645BC"/>
    <w:rsid w:val="00E64A87"/>
    <w:rsid w:val="00E64B56"/>
    <w:rsid w:val="00E6552E"/>
    <w:rsid w:val="00E6553D"/>
    <w:rsid w:val="00E65774"/>
    <w:rsid w:val="00E65AA5"/>
    <w:rsid w:val="00E6605D"/>
    <w:rsid w:val="00E66609"/>
    <w:rsid w:val="00E66990"/>
    <w:rsid w:val="00E66DCA"/>
    <w:rsid w:val="00E66E20"/>
    <w:rsid w:val="00E67237"/>
    <w:rsid w:val="00E6751E"/>
    <w:rsid w:val="00E676D0"/>
    <w:rsid w:val="00E67702"/>
    <w:rsid w:val="00E67CD0"/>
    <w:rsid w:val="00E67E8B"/>
    <w:rsid w:val="00E703DC"/>
    <w:rsid w:val="00E70AF1"/>
    <w:rsid w:val="00E70D9B"/>
    <w:rsid w:val="00E70E47"/>
    <w:rsid w:val="00E71342"/>
    <w:rsid w:val="00E71C28"/>
    <w:rsid w:val="00E72B8A"/>
    <w:rsid w:val="00E72D6C"/>
    <w:rsid w:val="00E72F53"/>
    <w:rsid w:val="00E73025"/>
    <w:rsid w:val="00E73DB3"/>
    <w:rsid w:val="00E74168"/>
    <w:rsid w:val="00E7424A"/>
    <w:rsid w:val="00E74265"/>
    <w:rsid w:val="00E74713"/>
    <w:rsid w:val="00E75223"/>
    <w:rsid w:val="00E75434"/>
    <w:rsid w:val="00E7574D"/>
    <w:rsid w:val="00E75997"/>
    <w:rsid w:val="00E7664F"/>
    <w:rsid w:val="00E76EB8"/>
    <w:rsid w:val="00E777A3"/>
    <w:rsid w:val="00E77F67"/>
    <w:rsid w:val="00E80366"/>
    <w:rsid w:val="00E808E9"/>
    <w:rsid w:val="00E80906"/>
    <w:rsid w:val="00E80E07"/>
    <w:rsid w:val="00E80E7A"/>
    <w:rsid w:val="00E80FB7"/>
    <w:rsid w:val="00E815D2"/>
    <w:rsid w:val="00E81706"/>
    <w:rsid w:val="00E82449"/>
    <w:rsid w:val="00E82D09"/>
    <w:rsid w:val="00E832CF"/>
    <w:rsid w:val="00E84580"/>
    <w:rsid w:val="00E84D81"/>
    <w:rsid w:val="00E851B0"/>
    <w:rsid w:val="00E854DB"/>
    <w:rsid w:val="00E85536"/>
    <w:rsid w:val="00E855A2"/>
    <w:rsid w:val="00E85809"/>
    <w:rsid w:val="00E85C6E"/>
    <w:rsid w:val="00E86133"/>
    <w:rsid w:val="00E86825"/>
    <w:rsid w:val="00E86D9B"/>
    <w:rsid w:val="00E86DE9"/>
    <w:rsid w:val="00E8717D"/>
    <w:rsid w:val="00E9029B"/>
    <w:rsid w:val="00E90A82"/>
    <w:rsid w:val="00E90AC5"/>
    <w:rsid w:val="00E90DB7"/>
    <w:rsid w:val="00E9101A"/>
    <w:rsid w:val="00E914D7"/>
    <w:rsid w:val="00E9193C"/>
    <w:rsid w:val="00E92000"/>
    <w:rsid w:val="00E9201A"/>
    <w:rsid w:val="00E9291C"/>
    <w:rsid w:val="00E92A48"/>
    <w:rsid w:val="00E92B79"/>
    <w:rsid w:val="00E93790"/>
    <w:rsid w:val="00E939DE"/>
    <w:rsid w:val="00E93E65"/>
    <w:rsid w:val="00E9436E"/>
    <w:rsid w:val="00E943D5"/>
    <w:rsid w:val="00E9454E"/>
    <w:rsid w:val="00E9498A"/>
    <w:rsid w:val="00E949A2"/>
    <w:rsid w:val="00E95B00"/>
    <w:rsid w:val="00E9661A"/>
    <w:rsid w:val="00E966E7"/>
    <w:rsid w:val="00E96A96"/>
    <w:rsid w:val="00E96AD5"/>
    <w:rsid w:val="00E97C6A"/>
    <w:rsid w:val="00E97DA2"/>
    <w:rsid w:val="00EA0080"/>
    <w:rsid w:val="00EA017D"/>
    <w:rsid w:val="00EA0467"/>
    <w:rsid w:val="00EA0473"/>
    <w:rsid w:val="00EA08F0"/>
    <w:rsid w:val="00EA0C9D"/>
    <w:rsid w:val="00EA0DAE"/>
    <w:rsid w:val="00EA2129"/>
    <w:rsid w:val="00EA213B"/>
    <w:rsid w:val="00EA227E"/>
    <w:rsid w:val="00EA28D8"/>
    <w:rsid w:val="00EA2B3B"/>
    <w:rsid w:val="00EA3630"/>
    <w:rsid w:val="00EA3647"/>
    <w:rsid w:val="00EA3875"/>
    <w:rsid w:val="00EA3CD0"/>
    <w:rsid w:val="00EA3FBE"/>
    <w:rsid w:val="00EA43D7"/>
    <w:rsid w:val="00EA5091"/>
    <w:rsid w:val="00EA5AD0"/>
    <w:rsid w:val="00EA5B53"/>
    <w:rsid w:val="00EA5E14"/>
    <w:rsid w:val="00EA622D"/>
    <w:rsid w:val="00EA63FC"/>
    <w:rsid w:val="00EA6D44"/>
    <w:rsid w:val="00EA7208"/>
    <w:rsid w:val="00EA74E6"/>
    <w:rsid w:val="00EB03F9"/>
    <w:rsid w:val="00EB1C53"/>
    <w:rsid w:val="00EB1D9D"/>
    <w:rsid w:val="00EB1FB6"/>
    <w:rsid w:val="00EB26CC"/>
    <w:rsid w:val="00EB28BB"/>
    <w:rsid w:val="00EB2B43"/>
    <w:rsid w:val="00EB3561"/>
    <w:rsid w:val="00EB38ED"/>
    <w:rsid w:val="00EB3C03"/>
    <w:rsid w:val="00EB3CBB"/>
    <w:rsid w:val="00EB3EEB"/>
    <w:rsid w:val="00EB3FB2"/>
    <w:rsid w:val="00EB424D"/>
    <w:rsid w:val="00EB44CB"/>
    <w:rsid w:val="00EB4788"/>
    <w:rsid w:val="00EB497D"/>
    <w:rsid w:val="00EB4BD2"/>
    <w:rsid w:val="00EB4E43"/>
    <w:rsid w:val="00EB534E"/>
    <w:rsid w:val="00EB552D"/>
    <w:rsid w:val="00EB5E42"/>
    <w:rsid w:val="00EB5E88"/>
    <w:rsid w:val="00EB665C"/>
    <w:rsid w:val="00EB6A1E"/>
    <w:rsid w:val="00EB6BE3"/>
    <w:rsid w:val="00EB6C6F"/>
    <w:rsid w:val="00EB7054"/>
    <w:rsid w:val="00EB7153"/>
    <w:rsid w:val="00EB76B3"/>
    <w:rsid w:val="00EC00F0"/>
    <w:rsid w:val="00EC011A"/>
    <w:rsid w:val="00EC0236"/>
    <w:rsid w:val="00EC087F"/>
    <w:rsid w:val="00EC13A4"/>
    <w:rsid w:val="00EC1842"/>
    <w:rsid w:val="00EC2887"/>
    <w:rsid w:val="00EC2E49"/>
    <w:rsid w:val="00EC3C30"/>
    <w:rsid w:val="00EC4520"/>
    <w:rsid w:val="00EC4C8E"/>
    <w:rsid w:val="00EC4D0A"/>
    <w:rsid w:val="00EC5338"/>
    <w:rsid w:val="00EC5B82"/>
    <w:rsid w:val="00EC5C1D"/>
    <w:rsid w:val="00EC5E50"/>
    <w:rsid w:val="00EC5F0B"/>
    <w:rsid w:val="00EC60DF"/>
    <w:rsid w:val="00EC60F1"/>
    <w:rsid w:val="00EC6321"/>
    <w:rsid w:val="00EC66B7"/>
    <w:rsid w:val="00EC6844"/>
    <w:rsid w:val="00EC684D"/>
    <w:rsid w:val="00EC6925"/>
    <w:rsid w:val="00EC6C37"/>
    <w:rsid w:val="00EC6D9E"/>
    <w:rsid w:val="00EC6FDB"/>
    <w:rsid w:val="00EC7B67"/>
    <w:rsid w:val="00EC7BFE"/>
    <w:rsid w:val="00EC7CC3"/>
    <w:rsid w:val="00EC7CFC"/>
    <w:rsid w:val="00ED001A"/>
    <w:rsid w:val="00ED0214"/>
    <w:rsid w:val="00ED1131"/>
    <w:rsid w:val="00ED116F"/>
    <w:rsid w:val="00ED12AA"/>
    <w:rsid w:val="00ED1F5B"/>
    <w:rsid w:val="00ED223C"/>
    <w:rsid w:val="00ED2567"/>
    <w:rsid w:val="00ED2601"/>
    <w:rsid w:val="00ED27D9"/>
    <w:rsid w:val="00ED289C"/>
    <w:rsid w:val="00ED28B8"/>
    <w:rsid w:val="00ED2AC3"/>
    <w:rsid w:val="00ED2AFD"/>
    <w:rsid w:val="00ED3B63"/>
    <w:rsid w:val="00ED3B8C"/>
    <w:rsid w:val="00ED4551"/>
    <w:rsid w:val="00ED4CF3"/>
    <w:rsid w:val="00ED4ECA"/>
    <w:rsid w:val="00ED5BF9"/>
    <w:rsid w:val="00ED5F51"/>
    <w:rsid w:val="00ED60FA"/>
    <w:rsid w:val="00ED61D1"/>
    <w:rsid w:val="00ED6E65"/>
    <w:rsid w:val="00ED7835"/>
    <w:rsid w:val="00EE0120"/>
    <w:rsid w:val="00EE079C"/>
    <w:rsid w:val="00EE08CB"/>
    <w:rsid w:val="00EE0ADB"/>
    <w:rsid w:val="00EE0D61"/>
    <w:rsid w:val="00EE0DB2"/>
    <w:rsid w:val="00EE107C"/>
    <w:rsid w:val="00EE108D"/>
    <w:rsid w:val="00EE1715"/>
    <w:rsid w:val="00EE1894"/>
    <w:rsid w:val="00EE24E3"/>
    <w:rsid w:val="00EE2932"/>
    <w:rsid w:val="00EE41A6"/>
    <w:rsid w:val="00EE4468"/>
    <w:rsid w:val="00EE4730"/>
    <w:rsid w:val="00EE49E8"/>
    <w:rsid w:val="00EE4B38"/>
    <w:rsid w:val="00EE4BA0"/>
    <w:rsid w:val="00EE4C9A"/>
    <w:rsid w:val="00EE53CB"/>
    <w:rsid w:val="00EE6748"/>
    <w:rsid w:val="00EE749A"/>
    <w:rsid w:val="00EE7CD5"/>
    <w:rsid w:val="00EF0060"/>
    <w:rsid w:val="00EF03A6"/>
    <w:rsid w:val="00EF0607"/>
    <w:rsid w:val="00EF0894"/>
    <w:rsid w:val="00EF0E08"/>
    <w:rsid w:val="00EF11A0"/>
    <w:rsid w:val="00EF1CE4"/>
    <w:rsid w:val="00EF1DAB"/>
    <w:rsid w:val="00EF3275"/>
    <w:rsid w:val="00EF3893"/>
    <w:rsid w:val="00EF3FCF"/>
    <w:rsid w:val="00EF42BF"/>
    <w:rsid w:val="00EF4698"/>
    <w:rsid w:val="00EF4CAD"/>
    <w:rsid w:val="00EF4D2E"/>
    <w:rsid w:val="00EF5353"/>
    <w:rsid w:val="00EF5691"/>
    <w:rsid w:val="00EF56B0"/>
    <w:rsid w:val="00EF5EE0"/>
    <w:rsid w:val="00EF6260"/>
    <w:rsid w:val="00EF6544"/>
    <w:rsid w:val="00EF65E1"/>
    <w:rsid w:val="00EF66CC"/>
    <w:rsid w:val="00EF6DEE"/>
    <w:rsid w:val="00EF7265"/>
    <w:rsid w:val="00EF76CD"/>
    <w:rsid w:val="00EF7919"/>
    <w:rsid w:val="00F002A4"/>
    <w:rsid w:val="00F00756"/>
    <w:rsid w:val="00F00AF1"/>
    <w:rsid w:val="00F00BB6"/>
    <w:rsid w:val="00F00D40"/>
    <w:rsid w:val="00F01D82"/>
    <w:rsid w:val="00F02225"/>
    <w:rsid w:val="00F026A9"/>
    <w:rsid w:val="00F02D98"/>
    <w:rsid w:val="00F02DD8"/>
    <w:rsid w:val="00F054F8"/>
    <w:rsid w:val="00F060A3"/>
    <w:rsid w:val="00F07319"/>
    <w:rsid w:val="00F07503"/>
    <w:rsid w:val="00F07667"/>
    <w:rsid w:val="00F07939"/>
    <w:rsid w:val="00F07D62"/>
    <w:rsid w:val="00F1012F"/>
    <w:rsid w:val="00F10716"/>
    <w:rsid w:val="00F10A7F"/>
    <w:rsid w:val="00F10B7E"/>
    <w:rsid w:val="00F11427"/>
    <w:rsid w:val="00F114E8"/>
    <w:rsid w:val="00F115C6"/>
    <w:rsid w:val="00F115E9"/>
    <w:rsid w:val="00F115FB"/>
    <w:rsid w:val="00F11BE9"/>
    <w:rsid w:val="00F11FE9"/>
    <w:rsid w:val="00F12633"/>
    <w:rsid w:val="00F12873"/>
    <w:rsid w:val="00F1296E"/>
    <w:rsid w:val="00F12CD6"/>
    <w:rsid w:val="00F12D44"/>
    <w:rsid w:val="00F12EDE"/>
    <w:rsid w:val="00F13059"/>
    <w:rsid w:val="00F130F3"/>
    <w:rsid w:val="00F1375B"/>
    <w:rsid w:val="00F13FA9"/>
    <w:rsid w:val="00F147FC"/>
    <w:rsid w:val="00F14BC7"/>
    <w:rsid w:val="00F14EF0"/>
    <w:rsid w:val="00F157BA"/>
    <w:rsid w:val="00F15904"/>
    <w:rsid w:val="00F1726E"/>
    <w:rsid w:val="00F1751D"/>
    <w:rsid w:val="00F175FA"/>
    <w:rsid w:val="00F17ABA"/>
    <w:rsid w:val="00F20321"/>
    <w:rsid w:val="00F20359"/>
    <w:rsid w:val="00F2047C"/>
    <w:rsid w:val="00F20485"/>
    <w:rsid w:val="00F21187"/>
    <w:rsid w:val="00F21788"/>
    <w:rsid w:val="00F21A15"/>
    <w:rsid w:val="00F21BF4"/>
    <w:rsid w:val="00F21C2B"/>
    <w:rsid w:val="00F2228A"/>
    <w:rsid w:val="00F22981"/>
    <w:rsid w:val="00F22C5D"/>
    <w:rsid w:val="00F233B1"/>
    <w:rsid w:val="00F237B5"/>
    <w:rsid w:val="00F23865"/>
    <w:rsid w:val="00F24516"/>
    <w:rsid w:val="00F247A8"/>
    <w:rsid w:val="00F24CE8"/>
    <w:rsid w:val="00F24D32"/>
    <w:rsid w:val="00F25565"/>
    <w:rsid w:val="00F256EE"/>
    <w:rsid w:val="00F2599D"/>
    <w:rsid w:val="00F25F8D"/>
    <w:rsid w:val="00F262E2"/>
    <w:rsid w:val="00F2669A"/>
    <w:rsid w:val="00F27618"/>
    <w:rsid w:val="00F300D8"/>
    <w:rsid w:val="00F30969"/>
    <w:rsid w:val="00F30B7D"/>
    <w:rsid w:val="00F30F45"/>
    <w:rsid w:val="00F3133C"/>
    <w:rsid w:val="00F31C61"/>
    <w:rsid w:val="00F31ED3"/>
    <w:rsid w:val="00F31FE1"/>
    <w:rsid w:val="00F321D2"/>
    <w:rsid w:val="00F32211"/>
    <w:rsid w:val="00F32943"/>
    <w:rsid w:val="00F329C6"/>
    <w:rsid w:val="00F32A91"/>
    <w:rsid w:val="00F32F4D"/>
    <w:rsid w:val="00F33928"/>
    <w:rsid w:val="00F34301"/>
    <w:rsid w:val="00F345F0"/>
    <w:rsid w:val="00F351D6"/>
    <w:rsid w:val="00F35611"/>
    <w:rsid w:val="00F3576A"/>
    <w:rsid w:val="00F35806"/>
    <w:rsid w:val="00F360D5"/>
    <w:rsid w:val="00F36206"/>
    <w:rsid w:val="00F36C78"/>
    <w:rsid w:val="00F401A4"/>
    <w:rsid w:val="00F403BA"/>
    <w:rsid w:val="00F416F7"/>
    <w:rsid w:val="00F41D56"/>
    <w:rsid w:val="00F42702"/>
    <w:rsid w:val="00F42929"/>
    <w:rsid w:val="00F42995"/>
    <w:rsid w:val="00F42CF3"/>
    <w:rsid w:val="00F42F10"/>
    <w:rsid w:val="00F42F54"/>
    <w:rsid w:val="00F434B7"/>
    <w:rsid w:val="00F43926"/>
    <w:rsid w:val="00F43C10"/>
    <w:rsid w:val="00F44201"/>
    <w:rsid w:val="00F45408"/>
    <w:rsid w:val="00F45A97"/>
    <w:rsid w:val="00F46384"/>
    <w:rsid w:val="00F4677D"/>
    <w:rsid w:val="00F46D3C"/>
    <w:rsid w:val="00F47BE8"/>
    <w:rsid w:val="00F47D01"/>
    <w:rsid w:val="00F50A3D"/>
    <w:rsid w:val="00F5117E"/>
    <w:rsid w:val="00F511EA"/>
    <w:rsid w:val="00F51423"/>
    <w:rsid w:val="00F515F8"/>
    <w:rsid w:val="00F5202F"/>
    <w:rsid w:val="00F52A57"/>
    <w:rsid w:val="00F52DC8"/>
    <w:rsid w:val="00F537EE"/>
    <w:rsid w:val="00F54692"/>
    <w:rsid w:val="00F5596D"/>
    <w:rsid w:val="00F5597F"/>
    <w:rsid w:val="00F55ED3"/>
    <w:rsid w:val="00F560BB"/>
    <w:rsid w:val="00F5617A"/>
    <w:rsid w:val="00F565BA"/>
    <w:rsid w:val="00F56A25"/>
    <w:rsid w:val="00F56CEA"/>
    <w:rsid w:val="00F56E3A"/>
    <w:rsid w:val="00F56F0E"/>
    <w:rsid w:val="00F56F74"/>
    <w:rsid w:val="00F57080"/>
    <w:rsid w:val="00F57E8B"/>
    <w:rsid w:val="00F60532"/>
    <w:rsid w:val="00F60549"/>
    <w:rsid w:val="00F60817"/>
    <w:rsid w:val="00F60818"/>
    <w:rsid w:val="00F60EBC"/>
    <w:rsid w:val="00F6104D"/>
    <w:rsid w:val="00F61259"/>
    <w:rsid w:val="00F616E8"/>
    <w:rsid w:val="00F616F4"/>
    <w:rsid w:val="00F61FF6"/>
    <w:rsid w:val="00F630F3"/>
    <w:rsid w:val="00F63345"/>
    <w:rsid w:val="00F634C4"/>
    <w:rsid w:val="00F63842"/>
    <w:rsid w:val="00F63D82"/>
    <w:rsid w:val="00F63EF0"/>
    <w:rsid w:val="00F64116"/>
    <w:rsid w:val="00F6416A"/>
    <w:rsid w:val="00F6470B"/>
    <w:rsid w:val="00F6574A"/>
    <w:rsid w:val="00F657A2"/>
    <w:rsid w:val="00F65FB7"/>
    <w:rsid w:val="00F66662"/>
    <w:rsid w:val="00F66EDF"/>
    <w:rsid w:val="00F66FD7"/>
    <w:rsid w:val="00F67D8E"/>
    <w:rsid w:val="00F67DF5"/>
    <w:rsid w:val="00F7087A"/>
    <w:rsid w:val="00F70BCA"/>
    <w:rsid w:val="00F70F1E"/>
    <w:rsid w:val="00F7106D"/>
    <w:rsid w:val="00F71544"/>
    <w:rsid w:val="00F72048"/>
    <w:rsid w:val="00F7258B"/>
    <w:rsid w:val="00F727A8"/>
    <w:rsid w:val="00F727DB"/>
    <w:rsid w:val="00F729C0"/>
    <w:rsid w:val="00F72BDE"/>
    <w:rsid w:val="00F7311C"/>
    <w:rsid w:val="00F73F9B"/>
    <w:rsid w:val="00F7432E"/>
    <w:rsid w:val="00F7460A"/>
    <w:rsid w:val="00F76A92"/>
    <w:rsid w:val="00F8014A"/>
    <w:rsid w:val="00F802D8"/>
    <w:rsid w:val="00F804C0"/>
    <w:rsid w:val="00F80CE1"/>
    <w:rsid w:val="00F80FFC"/>
    <w:rsid w:val="00F81148"/>
    <w:rsid w:val="00F814CD"/>
    <w:rsid w:val="00F81A3B"/>
    <w:rsid w:val="00F81ACB"/>
    <w:rsid w:val="00F81B87"/>
    <w:rsid w:val="00F8213F"/>
    <w:rsid w:val="00F832C2"/>
    <w:rsid w:val="00F83DAC"/>
    <w:rsid w:val="00F83EDB"/>
    <w:rsid w:val="00F841D0"/>
    <w:rsid w:val="00F842EA"/>
    <w:rsid w:val="00F847A9"/>
    <w:rsid w:val="00F84A85"/>
    <w:rsid w:val="00F84FCD"/>
    <w:rsid w:val="00F85CF3"/>
    <w:rsid w:val="00F86280"/>
    <w:rsid w:val="00F874E4"/>
    <w:rsid w:val="00F87AD9"/>
    <w:rsid w:val="00F911C7"/>
    <w:rsid w:val="00F911D3"/>
    <w:rsid w:val="00F91D1A"/>
    <w:rsid w:val="00F93170"/>
    <w:rsid w:val="00F931EF"/>
    <w:rsid w:val="00F935B5"/>
    <w:rsid w:val="00F9371F"/>
    <w:rsid w:val="00F93AAC"/>
    <w:rsid w:val="00F93D29"/>
    <w:rsid w:val="00F950E7"/>
    <w:rsid w:val="00F95A6A"/>
    <w:rsid w:val="00F9660A"/>
    <w:rsid w:val="00F96FB8"/>
    <w:rsid w:val="00FA0D9D"/>
    <w:rsid w:val="00FA0EC6"/>
    <w:rsid w:val="00FA1275"/>
    <w:rsid w:val="00FA1367"/>
    <w:rsid w:val="00FA141B"/>
    <w:rsid w:val="00FA1984"/>
    <w:rsid w:val="00FA1C33"/>
    <w:rsid w:val="00FA1C54"/>
    <w:rsid w:val="00FA1DC0"/>
    <w:rsid w:val="00FA2618"/>
    <w:rsid w:val="00FA280D"/>
    <w:rsid w:val="00FA2B8C"/>
    <w:rsid w:val="00FA3223"/>
    <w:rsid w:val="00FA3718"/>
    <w:rsid w:val="00FA3C6D"/>
    <w:rsid w:val="00FA4826"/>
    <w:rsid w:val="00FA485B"/>
    <w:rsid w:val="00FA4A69"/>
    <w:rsid w:val="00FA5426"/>
    <w:rsid w:val="00FA5806"/>
    <w:rsid w:val="00FA58E2"/>
    <w:rsid w:val="00FA5E46"/>
    <w:rsid w:val="00FA6CDB"/>
    <w:rsid w:val="00FA7004"/>
    <w:rsid w:val="00FA774D"/>
    <w:rsid w:val="00FA7D14"/>
    <w:rsid w:val="00FB0BBA"/>
    <w:rsid w:val="00FB100C"/>
    <w:rsid w:val="00FB13AD"/>
    <w:rsid w:val="00FB18CA"/>
    <w:rsid w:val="00FB1A30"/>
    <w:rsid w:val="00FB226B"/>
    <w:rsid w:val="00FB24B1"/>
    <w:rsid w:val="00FB3613"/>
    <w:rsid w:val="00FB36AC"/>
    <w:rsid w:val="00FB3A17"/>
    <w:rsid w:val="00FB5016"/>
    <w:rsid w:val="00FB5201"/>
    <w:rsid w:val="00FB55B8"/>
    <w:rsid w:val="00FB5763"/>
    <w:rsid w:val="00FB5837"/>
    <w:rsid w:val="00FB5FD3"/>
    <w:rsid w:val="00FB6755"/>
    <w:rsid w:val="00FB793B"/>
    <w:rsid w:val="00FB7AD7"/>
    <w:rsid w:val="00FB7D14"/>
    <w:rsid w:val="00FB7E99"/>
    <w:rsid w:val="00FC0ADE"/>
    <w:rsid w:val="00FC0BBB"/>
    <w:rsid w:val="00FC1164"/>
    <w:rsid w:val="00FC2AD6"/>
    <w:rsid w:val="00FC2C13"/>
    <w:rsid w:val="00FC3749"/>
    <w:rsid w:val="00FC3835"/>
    <w:rsid w:val="00FC3BB8"/>
    <w:rsid w:val="00FC3C17"/>
    <w:rsid w:val="00FC4088"/>
    <w:rsid w:val="00FC464D"/>
    <w:rsid w:val="00FC4B91"/>
    <w:rsid w:val="00FC58C9"/>
    <w:rsid w:val="00FC5A46"/>
    <w:rsid w:val="00FC5DA7"/>
    <w:rsid w:val="00FC5FAC"/>
    <w:rsid w:val="00FC6252"/>
    <w:rsid w:val="00FC6958"/>
    <w:rsid w:val="00FC6A64"/>
    <w:rsid w:val="00FC765C"/>
    <w:rsid w:val="00FC78BC"/>
    <w:rsid w:val="00FC7D57"/>
    <w:rsid w:val="00FC7DC5"/>
    <w:rsid w:val="00FC7EA3"/>
    <w:rsid w:val="00FD175E"/>
    <w:rsid w:val="00FD1BEF"/>
    <w:rsid w:val="00FD1C42"/>
    <w:rsid w:val="00FD2640"/>
    <w:rsid w:val="00FD2F91"/>
    <w:rsid w:val="00FD2FA8"/>
    <w:rsid w:val="00FD31CB"/>
    <w:rsid w:val="00FD334D"/>
    <w:rsid w:val="00FD3857"/>
    <w:rsid w:val="00FD4862"/>
    <w:rsid w:val="00FD5D46"/>
    <w:rsid w:val="00FD62C9"/>
    <w:rsid w:val="00FD6784"/>
    <w:rsid w:val="00FD79E2"/>
    <w:rsid w:val="00FD7D56"/>
    <w:rsid w:val="00FE0AE0"/>
    <w:rsid w:val="00FE149D"/>
    <w:rsid w:val="00FE18AF"/>
    <w:rsid w:val="00FE2445"/>
    <w:rsid w:val="00FE3416"/>
    <w:rsid w:val="00FE37EE"/>
    <w:rsid w:val="00FE3B3D"/>
    <w:rsid w:val="00FE4232"/>
    <w:rsid w:val="00FE44D7"/>
    <w:rsid w:val="00FE4722"/>
    <w:rsid w:val="00FE47BD"/>
    <w:rsid w:val="00FE4966"/>
    <w:rsid w:val="00FE4F37"/>
    <w:rsid w:val="00FE5252"/>
    <w:rsid w:val="00FE5FAE"/>
    <w:rsid w:val="00FE608E"/>
    <w:rsid w:val="00FE6168"/>
    <w:rsid w:val="00FE61EB"/>
    <w:rsid w:val="00FE6295"/>
    <w:rsid w:val="00FE6736"/>
    <w:rsid w:val="00FE6AAC"/>
    <w:rsid w:val="00FE6C21"/>
    <w:rsid w:val="00FE6D78"/>
    <w:rsid w:val="00FE6E77"/>
    <w:rsid w:val="00FE7928"/>
    <w:rsid w:val="00FE7B9D"/>
    <w:rsid w:val="00FE7BDE"/>
    <w:rsid w:val="00FE7F09"/>
    <w:rsid w:val="00FF0FAB"/>
    <w:rsid w:val="00FF1366"/>
    <w:rsid w:val="00FF14BF"/>
    <w:rsid w:val="00FF15FF"/>
    <w:rsid w:val="00FF1DA6"/>
    <w:rsid w:val="00FF2516"/>
    <w:rsid w:val="00FF2908"/>
    <w:rsid w:val="00FF3290"/>
    <w:rsid w:val="00FF3785"/>
    <w:rsid w:val="00FF3C39"/>
    <w:rsid w:val="00FF3DB8"/>
    <w:rsid w:val="00FF4379"/>
    <w:rsid w:val="00FF4818"/>
    <w:rsid w:val="00FF5036"/>
    <w:rsid w:val="00FF5A4D"/>
    <w:rsid w:val="00FF5EEE"/>
    <w:rsid w:val="00FF6911"/>
    <w:rsid w:val="00FF6E49"/>
    <w:rsid w:val="00FF7CF7"/>
    <w:rsid w:val="00FF7D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00018DD"/>
  <w15:docId w15:val="{B90C5EB4-42CE-DB42-8418-3C7597422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l-GR" w:eastAsia="en-US" w:bidi="ar-SA"/>
      </w:rPr>
    </w:rPrDefault>
    <w:pPrDefault>
      <w:pPr>
        <w:autoSpaceDN w:val="0"/>
        <w:spacing w:after="160" w:line="242"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74A8"/>
    <w:pPr>
      <w:autoSpaceDN/>
      <w:spacing w:after="0" w:line="240" w:lineRule="auto"/>
      <w:textAlignment w:val="auto"/>
    </w:pPr>
    <w:rPr>
      <w:rFonts w:ascii="Times New Roman" w:eastAsia="Times New Roman" w:hAnsi="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suppressAutoHyphens/>
      <w:autoSpaceDE w:val="0"/>
      <w:spacing w:after="0" w:line="240" w:lineRule="auto"/>
    </w:pPr>
    <w:rPr>
      <w:rFonts w:ascii="Times New Roman" w:hAnsi="Times New Roman"/>
      <w:color w:val="000000"/>
      <w:sz w:val="24"/>
      <w:szCs w:val="24"/>
    </w:rPr>
  </w:style>
  <w:style w:type="paragraph" w:styleId="ListParagraph">
    <w:name w:val="List Paragraph"/>
    <w:basedOn w:val="Normal"/>
    <w:pPr>
      <w:suppressAutoHyphens/>
      <w:autoSpaceDN w:val="0"/>
      <w:spacing w:after="160" w:line="242" w:lineRule="auto"/>
      <w:ind w:left="720"/>
      <w:textAlignment w:val="baseline"/>
    </w:pPr>
    <w:rPr>
      <w:rFonts w:ascii="Calibri" w:eastAsia="Calibri" w:hAnsi="Calibri"/>
      <w:sz w:val="22"/>
      <w:szCs w:val="22"/>
      <w:lang w:val="el-GR"/>
    </w:rPr>
  </w:style>
  <w:style w:type="character" w:styleId="Hyperlink">
    <w:name w:val="Hyperlink"/>
    <w:basedOn w:val="DefaultParagraphFont"/>
    <w:uiPriority w:val="99"/>
    <w:rPr>
      <w:color w:val="0000FF"/>
      <w:u w:val="single"/>
    </w:rPr>
  </w:style>
  <w:style w:type="paragraph" w:styleId="FootnoteText">
    <w:name w:val="footnote text"/>
    <w:basedOn w:val="Normal"/>
    <w:link w:val="FootnoteTextChar"/>
    <w:uiPriority w:val="99"/>
    <w:unhideWhenUsed/>
    <w:rsid w:val="004A6B51"/>
    <w:rPr>
      <w:rFonts w:eastAsia="Calibri"/>
    </w:rPr>
  </w:style>
  <w:style w:type="character" w:customStyle="1" w:styleId="FootnoteTextChar">
    <w:name w:val="Footnote Text Char"/>
    <w:basedOn w:val="DefaultParagraphFont"/>
    <w:link w:val="FootnoteText"/>
    <w:uiPriority w:val="99"/>
    <w:rsid w:val="004A6B51"/>
    <w:rPr>
      <w:rFonts w:ascii="Times New Roman" w:hAnsi="Times New Roman"/>
      <w:sz w:val="24"/>
      <w:szCs w:val="24"/>
      <w:lang w:val="en-GB" w:eastAsia="en-GB"/>
    </w:rPr>
  </w:style>
  <w:style w:type="character" w:styleId="FootnoteReference">
    <w:name w:val="footnote reference"/>
    <w:basedOn w:val="DefaultParagraphFont"/>
    <w:uiPriority w:val="99"/>
    <w:unhideWhenUsed/>
    <w:rsid w:val="004A6B51"/>
    <w:rPr>
      <w:vertAlign w:val="superscript"/>
    </w:rPr>
  </w:style>
  <w:style w:type="paragraph" w:styleId="BalloonText">
    <w:name w:val="Balloon Text"/>
    <w:basedOn w:val="Normal"/>
    <w:link w:val="BalloonTextChar"/>
    <w:uiPriority w:val="99"/>
    <w:semiHidden/>
    <w:unhideWhenUsed/>
    <w:rsid w:val="00203F4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203F4F"/>
    <w:rPr>
      <w:rFonts w:ascii="Tahoma" w:hAnsi="Tahoma" w:cs="Tahoma"/>
      <w:sz w:val="16"/>
      <w:szCs w:val="16"/>
      <w:lang w:val="en-GB" w:eastAsia="en-GB"/>
    </w:rPr>
  </w:style>
  <w:style w:type="table" w:styleId="TableGrid">
    <w:name w:val="Table Grid"/>
    <w:basedOn w:val="TableNormal"/>
    <w:uiPriority w:val="39"/>
    <w:rsid w:val="005F1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E608E"/>
    <w:pPr>
      <w:tabs>
        <w:tab w:val="center" w:pos="4513"/>
        <w:tab w:val="right" w:pos="9026"/>
      </w:tabs>
    </w:pPr>
    <w:rPr>
      <w:rFonts w:eastAsia="Calibri"/>
    </w:rPr>
  </w:style>
  <w:style w:type="character" w:customStyle="1" w:styleId="FooterChar">
    <w:name w:val="Footer Char"/>
    <w:basedOn w:val="DefaultParagraphFont"/>
    <w:link w:val="Footer"/>
    <w:uiPriority w:val="99"/>
    <w:rsid w:val="00FE608E"/>
    <w:rPr>
      <w:rFonts w:ascii="Times New Roman" w:hAnsi="Times New Roman"/>
      <w:sz w:val="24"/>
      <w:szCs w:val="24"/>
      <w:lang w:val="en-GB" w:eastAsia="en-GB"/>
    </w:rPr>
  </w:style>
  <w:style w:type="character" w:styleId="PageNumber">
    <w:name w:val="page number"/>
    <w:basedOn w:val="DefaultParagraphFont"/>
    <w:uiPriority w:val="99"/>
    <w:semiHidden/>
    <w:unhideWhenUsed/>
    <w:rsid w:val="00FE608E"/>
  </w:style>
  <w:style w:type="paragraph" w:customStyle="1" w:styleId="p1">
    <w:name w:val="p1"/>
    <w:basedOn w:val="Normal"/>
    <w:rsid w:val="003832B1"/>
    <w:rPr>
      <w:rFonts w:ascii="Times" w:eastAsia="Calibri" w:hAnsi="Times"/>
      <w:sz w:val="17"/>
      <w:szCs w:val="17"/>
    </w:rPr>
  </w:style>
  <w:style w:type="character" w:customStyle="1" w:styleId="s1">
    <w:name w:val="s1"/>
    <w:basedOn w:val="DefaultParagraphFont"/>
    <w:rsid w:val="001F73BF"/>
    <w:rPr>
      <w:rFonts w:ascii="Helvetica" w:hAnsi="Helvetica" w:hint="default"/>
      <w:sz w:val="12"/>
      <w:szCs w:val="12"/>
    </w:rPr>
  </w:style>
  <w:style w:type="character" w:customStyle="1" w:styleId="s2">
    <w:name w:val="s2"/>
    <w:basedOn w:val="DefaultParagraphFont"/>
    <w:rsid w:val="001F73BF"/>
    <w:rPr>
      <w:rFonts w:ascii="Times" w:hAnsi="Times" w:hint="default"/>
      <w:sz w:val="8"/>
      <w:szCs w:val="8"/>
    </w:rPr>
  </w:style>
  <w:style w:type="character" w:customStyle="1" w:styleId="apple-converted-space">
    <w:name w:val="apple-converted-space"/>
    <w:basedOn w:val="DefaultParagraphFont"/>
    <w:rsid w:val="00B372D3"/>
  </w:style>
  <w:style w:type="character" w:styleId="PlaceholderText">
    <w:name w:val="Placeholder Text"/>
    <w:basedOn w:val="DefaultParagraphFont"/>
    <w:uiPriority w:val="99"/>
    <w:semiHidden/>
    <w:rsid w:val="002A676F"/>
    <w:rPr>
      <w:color w:val="808080"/>
    </w:rPr>
  </w:style>
  <w:style w:type="character" w:styleId="Emphasis">
    <w:name w:val="Emphasis"/>
    <w:basedOn w:val="DefaultParagraphFont"/>
    <w:uiPriority w:val="20"/>
    <w:qFormat/>
    <w:rsid w:val="00A12532"/>
    <w:rPr>
      <w:i/>
      <w:iCs/>
    </w:rPr>
  </w:style>
  <w:style w:type="paragraph" w:styleId="NormalWeb">
    <w:name w:val="Normal (Web)"/>
    <w:basedOn w:val="Normal"/>
    <w:uiPriority w:val="99"/>
    <w:semiHidden/>
    <w:unhideWhenUsed/>
    <w:rsid w:val="00B13FEE"/>
    <w:pPr>
      <w:spacing w:before="100" w:beforeAutospacing="1" w:after="100" w:afterAutospacing="1"/>
    </w:pPr>
  </w:style>
  <w:style w:type="character" w:styleId="CommentReference">
    <w:name w:val="annotation reference"/>
    <w:basedOn w:val="DefaultParagraphFont"/>
    <w:uiPriority w:val="99"/>
    <w:semiHidden/>
    <w:unhideWhenUsed/>
    <w:rsid w:val="00C73729"/>
    <w:rPr>
      <w:sz w:val="16"/>
      <w:szCs w:val="16"/>
    </w:rPr>
  </w:style>
  <w:style w:type="paragraph" w:styleId="CommentText">
    <w:name w:val="annotation text"/>
    <w:basedOn w:val="Normal"/>
    <w:link w:val="CommentTextChar"/>
    <w:uiPriority w:val="99"/>
    <w:unhideWhenUsed/>
    <w:rsid w:val="00C73729"/>
    <w:rPr>
      <w:sz w:val="20"/>
      <w:szCs w:val="20"/>
    </w:rPr>
  </w:style>
  <w:style w:type="character" w:customStyle="1" w:styleId="CommentTextChar">
    <w:name w:val="Comment Text Char"/>
    <w:basedOn w:val="DefaultParagraphFont"/>
    <w:link w:val="CommentText"/>
    <w:uiPriority w:val="99"/>
    <w:rsid w:val="00C73729"/>
    <w:rPr>
      <w:rFonts w:ascii="Times New Roman" w:eastAsia="Times New Roman" w:hAnsi="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C73729"/>
    <w:rPr>
      <w:b/>
      <w:bCs/>
    </w:rPr>
  </w:style>
  <w:style w:type="character" w:customStyle="1" w:styleId="CommentSubjectChar">
    <w:name w:val="Comment Subject Char"/>
    <w:basedOn w:val="CommentTextChar"/>
    <w:link w:val="CommentSubject"/>
    <w:uiPriority w:val="99"/>
    <w:semiHidden/>
    <w:rsid w:val="00C73729"/>
    <w:rPr>
      <w:rFonts w:ascii="Times New Roman" w:eastAsia="Times New Roman" w:hAnsi="Times New Roman"/>
      <w:b/>
      <w:bCs/>
      <w:sz w:val="20"/>
      <w:szCs w:val="20"/>
      <w:lang w:val="en-GB" w:eastAsia="en-GB"/>
    </w:rPr>
  </w:style>
  <w:style w:type="character" w:customStyle="1" w:styleId="definition">
    <w:name w:val="definition"/>
    <w:basedOn w:val="DefaultParagraphFont"/>
    <w:rsid w:val="00216360"/>
  </w:style>
  <w:style w:type="character" w:customStyle="1" w:styleId="Emphasis1">
    <w:name w:val="Emphasis1"/>
    <w:basedOn w:val="DefaultParagraphFont"/>
    <w:rsid w:val="00216360"/>
  </w:style>
  <w:style w:type="paragraph" w:styleId="Revision">
    <w:name w:val="Revision"/>
    <w:hidden/>
    <w:uiPriority w:val="99"/>
    <w:semiHidden/>
    <w:rsid w:val="001B46EC"/>
    <w:pPr>
      <w:autoSpaceDN/>
      <w:spacing w:after="0" w:line="240" w:lineRule="auto"/>
      <w:textAlignment w:val="auto"/>
    </w:pPr>
    <w:rPr>
      <w:rFonts w:ascii="Times New Roman" w:eastAsia="Times New Roman" w:hAnsi="Times New Roman"/>
      <w:sz w:val="24"/>
      <w:szCs w:val="24"/>
      <w:lang w:val="en-GB"/>
    </w:rPr>
  </w:style>
  <w:style w:type="character" w:styleId="HTMLCite">
    <w:name w:val="HTML Cite"/>
    <w:basedOn w:val="DefaultParagraphFont"/>
    <w:uiPriority w:val="99"/>
    <w:semiHidden/>
    <w:unhideWhenUsed/>
    <w:rsid w:val="00FF3290"/>
    <w:rPr>
      <w:i/>
      <w:iCs/>
    </w:rPr>
  </w:style>
  <w:style w:type="character" w:styleId="FollowedHyperlink">
    <w:name w:val="FollowedHyperlink"/>
    <w:basedOn w:val="DefaultParagraphFont"/>
    <w:uiPriority w:val="99"/>
    <w:semiHidden/>
    <w:unhideWhenUsed/>
    <w:rsid w:val="00FF3290"/>
    <w:rPr>
      <w:color w:val="954F72" w:themeColor="followedHyperlink"/>
      <w:u w:val="single"/>
    </w:rPr>
  </w:style>
  <w:style w:type="character" w:customStyle="1" w:styleId="UnresolvedMention1">
    <w:name w:val="Unresolved Mention1"/>
    <w:basedOn w:val="DefaultParagraphFont"/>
    <w:uiPriority w:val="99"/>
    <w:semiHidden/>
    <w:unhideWhenUsed/>
    <w:rsid w:val="00DF336D"/>
    <w:rPr>
      <w:color w:val="605E5C"/>
      <w:shd w:val="clear" w:color="auto" w:fill="E1DFDD"/>
    </w:rPr>
  </w:style>
  <w:style w:type="character" w:customStyle="1" w:styleId="UnresolvedMention2">
    <w:name w:val="Unresolved Mention2"/>
    <w:basedOn w:val="DefaultParagraphFont"/>
    <w:uiPriority w:val="99"/>
    <w:semiHidden/>
    <w:unhideWhenUsed/>
    <w:rsid w:val="00592D04"/>
    <w:rPr>
      <w:color w:val="605E5C"/>
      <w:shd w:val="clear" w:color="auto" w:fill="E1DFDD"/>
    </w:rPr>
  </w:style>
  <w:style w:type="paragraph" w:styleId="Header">
    <w:name w:val="header"/>
    <w:basedOn w:val="Normal"/>
    <w:link w:val="HeaderChar"/>
    <w:uiPriority w:val="99"/>
    <w:unhideWhenUsed/>
    <w:rsid w:val="00DB3D8D"/>
    <w:pPr>
      <w:tabs>
        <w:tab w:val="center" w:pos="4680"/>
        <w:tab w:val="right" w:pos="9360"/>
      </w:tabs>
    </w:pPr>
  </w:style>
  <w:style w:type="character" w:customStyle="1" w:styleId="HeaderChar">
    <w:name w:val="Header Char"/>
    <w:basedOn w:val="DefaultParagraphFont"/>
    <w:link w:val="Header"/>
    <w:uiPriority w:val="99"/>
    <w:rsid w:val="00DB3D8D"/>
    <w:rPr>
      <w:rFonts w:ascii="Times New Roman" w:eastAsia="Times New Roman" w:hAnsi="Times New Roman"/>
      <w:sz w:val="24"/>
      <w:szCs w:val="24"/>
      <w:lang w:val="en-GB"/>
    </w:rPr>
  </w:style>
  <w:style w:type="character" w:customStyle="1" w:styleId="UnresolvedMention3">
    <w:name w:val="Unresolved Mention3"/>
    <w:basedOn w:val="DefaultParagraphFont"/>
    <w:uiPriority w:val="99"/>
    <w:semiHidden/>
    <w:unhideWhenUsed/>
    <w:rsid w:val="00D33A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8760">
      <w:bodyDiv w:val="1"/>
      <w:marLeft w:val="0"/>
      <w:marRight w:val="0"/>
      <w:marTop w:val="0"/>
      <w:marBottom w:val="0"/>
      <w:divBdr>
        <w:top w:val="none" w:sz="0" w:space="0" w:color="auto"/>
        <w:left w:val="none" w:sz="0" w:space="0" w:color="auto"/>
        <w:bottom w:val="none" w:sz="0" w:space="0" w:color="auto"/>
        <w:right w:val="none" w:sz="0" w:space="0" w:color="auto"/>
      </w:divBdr>
    </w:div>
    <w:div w:id="20783581">
      <w:bodyDiv w:val="1"/>
      <w:marLeft w:val="0"/>
      <w:marRight w:val="0"/>
      <w:marTop w:val="0"/>
      <w:marBottom w:val="0"/>
      <w:divBdr>
        <w:top w:val="none" w:sz="0" w:space="0" w:color="auto"/>
        <w:left w:val="none" w:sz="0" w:space="0" w:color="auto"/>
        <w:bottom w:val="none" w:sz="0" w:space="0" w:color="auto"/>
        <w:right w:val="none" w:sz="0" w:space="0" w:color="auto"/>
      </w:divBdr>
    </w:div>
    <w:div w:id="22287690">
      <w:bodyDiv w:val="1"/>
      <w:marLeft w:val="0"/>
      <w:marRight w:val="0"/>
      <w:marTop w:val="0"/>
      <w:marBottom w:val="0"/>
      <w:divBdr>
        <w:top w:val="none" w:sz="0" w:space="0" w:color="auto"/>
        <w:left w:val="none" w:sz="0" w:space="0" w:color="auto"/>
        <w:bottom w:val="none" w:sz="0" w:space="0" w:color="auto"/>
        <w:right w:val="none" w:sz="0" w:space="0" w:color="auto"/>
      </w:divBdr>
    </w:div>
    <w:div w:id="25185394">
      <w:bodyDiv w:val="1"/>
      <w:marLeft w:val="0"/>
      <w:marRight w:val="0"/>
      <w:marTop w:val="0"/>
      <w:marBottom w:val="0"/>
      <w:divBdr>
        <w:top w:val="none" w:sz="0" w:space="0" w:color="auto"/>
        <w:left w:val="none" w:sz="0" w:space="0" w:color="auto"/>
        <w:bottom w:val="none" w:sz="0" w:space="0" w:color="auto"/>
        <w:right w:val="none" w:sz="0" w:space="0" w:color="auto"/>
      </w:divBdr>
    </w:div>
    <w:div w:id="25375868">
      <w:bodyDiv w:val="1"/>
      <w:marLeft w:val="0"/>
      <w:marRight w:val="0"/>
      <w:marTop w:val="0"/>
      <w:marBottom w:val="0"/>
      <w:divBdr>
        <w:top w:val="none" w:sz="0" w:space="0" w:color="auto"/>
        <w:left w:val="none" w:sz="0" w:space="0" w:color="auto"/>
        <w:bottom w:val="none" w:sz="0" w:space="0" w:color="auto"/>
        <w:right w:val="none" w:sz="0" w:space="0" w:color="auto"/>
      </w:divBdr>
    </w:div>
    <w:div w:id="29692467">
      <w:bodyDiv w:val="1"/>
      <w:marLeft w:val="0"/>
      <w:marRight w:val="0"/>
      <w:marTop w:val="0"/>
      <w:marBottom w:val="0"/>
      <w:divBdr>
        <w:top w:val="none" w:sz="0" w:space="0" w:color="auto"/>
        <w:left w:val="none" w:sz="0" w:space="0" w:color="auto"/>
        <w:bottom w:val="none" w:sz="0" w:space="0" w:color="auto"/>
        <w:right w:val="none" w:sz="0" w:space="0" w:color="auto"/>
      </w:divBdr>
    </w:div>
    <w:div w:id="40520066">
      <w:bodyDiv w:val="1"/>
      <w:marLeft w:val="0"/>
      <w:marRight w:val="0"/>
      <w:marTop w:val="0"/>
      <w:marBottom w:val="0"/>
      <w:divBdr>
        <w:top w:val="none" w:sz="0" w:space="0" w:color="auto"/>
        <w:left w:val="none" w:sz="0" w:space="0" w:color="auto"/>
        <w:bottom w:val="none" w:sz="0" w:space="0" w:color="auto"/>
        <w:right w:val="none" w:sz="0" w:space="0" w:color="auto"/>
      </w:divBdr>
    </w:div>
    <w:div w:id="56633296">
      <w:bodyDiv w:val="1"/>
      <w:marLeft w:val="0"/>
      <w:marRight w:val="0"/>
      <w:marTop w:val="0"/>
      <w:marBottom w:val="0"/>
      <w:divBdr>
        <w:top w:val="none" w:sz="0" w:space="0" w:color="auto"/>
        <w:left w:val="none" w:sz="0" w:space="0" w:color="auto"/>
        <w:bottom w:val="none" w:sz="0" w:space="0" w:color="auto"/>
        <w:right w:val="none" w:sz="0" w:space="0" w:color="auto"/>
      </w:divBdr>
    </w:div>
    <w:div w:id="68312125">
      <w:bodyDiv w:val="1"/>
      <w:marLeft w:val="0"/>
      <w:marRight w:val="0"/>
      <w:marTop w:val="0"/>
      <w:marBottom w:val="0"/>
      <w:divBdr>
        <w:top w:val="none" w:sz="0" w:space="0" w:color="auto"/>
        <w:left w:val="none" w:sz="0" w:space="0" w:color="auto"/>
        <w:bottom w:val="none" w:sz="0" w:space="0" w:color="auto"/>
        <w:right w:val="none" w:sz="0" w:space="0" w:color="auto"/>
      </w:divBdr>
    </w:div>
    <w:div w:id="89665017">
      <w:bodyDiv w:val="1"/>
      <w:marLeft w:val="0"/>
      <w:marRight w:val="0"/>
      <w:marTop w:val="0"/>
      <w:marBottom w:val="0"/>
      <w:divBdr>
        <w:top w:val="none" w:sz="0" w:space="0" w:color="auto"/>
        <w:left w:val="none" w:sz="0" w:space="0" w:color="auto"/>
        <w:bottom w:val="none" w:sz="0" w:space="0" w:color="auto"/>
        <w:right w:val="none" w:sz="0" w:space="0" w:color="auto"/>
      </w:divBdr>
    </w:div>
    <w:div w:id="145051235">
      <w:bodyDiv w:val="1"/>
      <w:marLeft w:val="0"/>
      <w:marRight w:val="0"/>
      <w:marTop w:val="0"/>
      <w:marBottom w:val="0"/>
      <w:divBdr>
        <w:top w:val="none" w:sz="0" w:space="0" w:color="auto"/>
        <w:left w:val="none" w:sz="0" w:space="0" w:color="auto"/>
        <w:bottom w:val="none" w:sz="0" w:space="0" w:color="auto"/>
        <w:right w:val="none" w:sz="0" w:space="0" w:color="auto"/>
      </w:divBdr>
    </w:div>
    <w:div w:id="151219333">
      <w:bodyDiv w:val="1"/>
      <w:marLeft w:val="0"/>
      <w:marRight w:val="0"/>
      <w:marTop w:val="0"/>
      <w:marBottom w:val="0"/>
      <w:divBdr>
        <w:top w:val="none" w:sz="0" w:space="0" w:color="auto"/>
        <w:left w:val="none" w:sz="0" w:space="0" w:color="auto"/>
        <w:bottom w:val="none" w:sz="0" w:space="0" w:color="auto"/>
        <w:right w:val="none" w:sz="0" w:space="0" w:color="auto"/>
      </w:divBdr>
    </w:div>
    <w:div w:id="152071689">
      <w:bodyDiv w:val="1"/>
      <w:marLeft w:val="0"/>
      <w:marRight w:val="0"/>
      <w:marTop w:val="0"/>
      <w:marBottom w:val="0"/>
      <w:divBdr>
        <w:top w:val="none" w:sz="0" w:space="0" w:color="auto"/>
        <w:left w:val="none" w:sz="0" w:space="0" w:color="auto"/>
        <w:bottom w:val="none" w:sz="0" w:space="0" w:color="auto"/>
        <w:right w:val="none" w:sz="0" w:space="0" w:color="auto"/>
      </w:divBdr>
    </w:div>
    <w:div w:id="152306942">
      <w:bodyDiv w:val="1"/>
      <w:marLeft w:val="0"/>
      <w:marRight w:val="0"/>
      <w:marTop w:val="0"/>
      <w:marBottom w:val="0"/>
      <w:divBdr>
        <w:top w:val="none" w:sz="0" w:space="0" w:color="auto"/>
        <w:left w:val="none" w:sz="0" w:space="0" w:color="auto"/>
        <w:bottom w:val="none" w:sz="0" w:space="0" w:color="auto"/>
        <w:right w:val="none" w:sz="0" w:space="0" w:color="auto"/>
      </w:divBdr>
    </w:div>
    <w:div w:id="157308547">
      <w:bodyDiv w:val="1"/>
      <w:marLeft w:val="0"/>
      <w:marRight w:val="0"/>
      <w:marTop w:val="0"/>
      <w:marBottom w:val="0"/>
      <w:divBdr>
        <w:top w:val="none" w:sz="0" w:space="0" w:color="auto"/>
        <w:left w:val="none" w:sz="0" w:space="0" w:color="auto"/>
        <w:bottom w:val="none" w:sz="0" w:space="0" w:color="auto"/>
        <w:right w:val="none" w:sz="0" w:space="0" w:color="auto"/>
      </w:divBdr>
    </w:div>
    <w:div w:id="160895903">
      <w:bodyDiv w:val="1"/>
      <w:marLeft w:val="0"/>
      <w:marRight w:val="0"/>
      <w:marTop w:val="0"/>
      <w:marBottom w:val="0"/>
      <w:divBdr>
        <w:top w:val="none" w:sz="0" w:space="0" w:color="auto"/>
        <w:left w:val="none" w:sz="0" w:space="0" w:color="auto"/>
        <w:bottom w:val="none" w:sz="0" w:space="0" w:color="auto"/>
        <w:right w:val="none" w:sz="0" w:space="0" w:color="auto"/>
      </w:divBdr>
    </w:div>
    <w:div w:id="164394948">
      <w:bodyDiv w:val="1"/>
      <w:marLeft w:val="0"/>
      <w:marRight w:val="0"/>
      <w:marTop w:val="0"/>
      <w:marBottom w:val="0"/>
      <w:divBdr>
        <w:top w:val="none" w:sz="0" w:space="0" w:color="auto"/>
        <w:left w:val="none" w:sz="0" w:space="0" w:color="auto"/>
        <w:bottom w:val="none" w:sz="0" w:space="0" w:color="auto"/>
        <w:right w:val="none" w:sz="0" w:space="0" w:color="auto"/>
      </w:divBdr>
    </w:div>
    <w:div w:id="183440472">
      <w:bodyDiv w:val="1"/>
      <w:marLeft w:val="0"/>
      <w:marRight w:val="0"/>
      <w:marTop w:val="0"/>
      <w:marBottom w:val="0"/>
      <w:divBdr>
        <w:top w:val="none" w:sz="0" w:space="0" w:color="auto"/>
        <w:left w:val="none" w:sz="0" w:space="0" w:color="auto"/>
        <w:bottom w:val="none" w:sz="0" w:space="0" w:color="auto"/>
        <w:right w:val="none" w:sz="0" w:space="0" w:color="auto"/>
      </w:divBdr>
    </w:div>
    <w:div w:id="207690918">
      <w:bodyDiv w:val="1"/>
      <w:marLeft w:val="0"/>
      <w:marRight w:val="0"/>
      <w:marTop w:val="0"/>
      <w:marBottom w:val="0"/>
      <w:divBdr>
        <w:top w:val="none" w:sz="0" w:space="0" w:color="auto"/>
        <w:left w:val="none" w:sz="0" w:space="0" w:color="auto"/>
        <w:bottom w:val="none" w:sz="0" w:space="0" w:color="auto"/>
        <w:right w:val="none" w:sz="0" w:space="0" w:color="auto"/>
      </w:divBdr>
    </w:div>
    <w:div w:id="226503099">
      <w:bodyDiv w:val="1"/>
      <w:marLeft w:val="0"/>
      <w:marRight w:val="0"/>
      <w:marTop w:val="0"/>
      <w:marBottom w:val="0"/>
      <w:divBdr>
        <w:top w:val="none" w:sz="0" w:space="0" w:color="auto"/>
        <w:left w:val="none" w:sz="0" w:space="0" w:color="auto"/>
        <w:bottom w:val="none" w:sz="0" w:space="0" w:color="auto"/>
        <w:right w:val="none" w:sz="0" w:space="0" w:color="auto"/>
      </w:divBdr>
    </w:div>
    <w:div w:id="227495268">
      <w:bodyDiv w:val="1"/>
      <w:marLeft w:val="0"/>
      <w:marRight w:val="0"/>
      <w:marTop w:val="0"/>
      <w:marBottom w:val="0"/>
      <w:divBdr>
        <w:top w:val="none" w:sz="0" w:space="0" w:color="auto"/>
        <w:left w:val="none" w:sz="0" w:space="0" w:color="auto"/>
        <w:bottom w:val="none" w:sz="0" w:space="0" w:color="auto"/>
        <w:right w:val="none" w:sz="0" w:space="0" w:color="auto"/>
      </w:divBdr>
    </w:div>
    <w:div w:id="236211810">
      <w:bodyDiv w:val="1"/>
      <w:marLeft w:val="0"/>
      <w:marRight w:val="0"/>
      <w:marTop w:val="0"/>
      <w:marBottom w:val="0"/>
      <w:divBdr>
        <w:top w:val="none" w:sz="0" w:space="0" w:color="auto"/>
        <w:left w:val="none" w:sz="0" w:space="0" w:color="auto"/>
        <w:bottom w:val="none" w:sz="0" w:space="0" w:color="auto"/>
        <w:right w:val="none" w:sz="0" w:space="0" w:color="auto"/>
      </w:divBdr>
    </w:div>
    <w:div w:id="241258883">
      <w:bodyDiv w:val="1"/>
      <w:marLeft w:val="0"/>
      <w:marRight w:val="0"/>
      <w:marTop w:val="0"/>
      <w:marBottom w:val="0"/>
      <w:divBdr>
        <w:top w:val="none" w:sz="0" w:space="0" w:color="auto"/>
        <w:left w:val="none" w:sz="0" w:space="0" w:color="auto"/>
        <w:bottom w:val="none" w:sz="0" w:space="0" w:color="auto"/>
        <w:right w:val="none" w:sz="0" w:space="0" w:color="auto"/>
      </w:divBdr>
    </w:div>
    <w:div w:id="249121098">
      <w:bodyDiv w:val="1"/>
      <w:marLeft w:val="0"/>
      <w:marRight w:val="0"/>
      <w:marTop w:val="0"/>
      <w:marBottom w:val="0"/>
      <w:divBdr>
        <w:top w:val="none" w:sz="0" w:space="0" w:color="auto"/>
        <w:left w:val="none" w:sz="0" w:space="0" w:color="auto"/>
        <w:bottom w:val="none" w:sz="0" w:space="0" w:color="auto"/>
        <w:right w:val="none" w:sz="0" w:space="0" w:color="auto"/>
      </w:divBdr>
      <w:divsChild>
        <w:div w:id="559828161">
          <w:marLeft w:val="0"/>
          <w:marRight w:val="0"/>
          <w:marTop w:val="0"/>
          <w:marBottom w:val="0"/>
          <w:divBdr>
            <w:top w:val="none" w:sz="0" w:space="0" w:color="auto"/>
            <w:left w:val="none" w:sz="0" w:space="0" w:color="auto"/>
            <w:bottom w:val="none" w:sz="0" w:space="0" w:color="auto"/>
            <w:right w:val="none" w:sz="0" w:space="0" w:color="auto"/>
          </w:divBdr>
        </w:div>
      </w:divsChild>
    </w:div>
    <w:div w:id="269355439">
      <w:bodyDiv w:val="1"/>
      <w:marLeft w:val="0"/>
      <w:marRight w:val="0"/>
      <w:marTop w:val="0"/>
      <w:marBottom w:val="0"/>
      <w:divBdr>
        <w:top w:val="none" w:sz="0" w:space="0" w:color="auto"/>
        <w:left w:val="none" w:sz="0" w:space="0" w:color="auto"/>
        <w:bottom w:val="none" w:sz="0" w:space="0" w:color="auto"/>
        <w:right w:val="none" w:sz="0" w:space="0" w:color="auto"/>
      </w:divBdr>
    </w:div>
    <w:div w:id="286742452">
      <w:bodyDiv w:val="1"/>
      <w:marLeft w:val="0"/>
      <w:marRight w:val="0"/>
      <w:marTop w:val="0"/>
      <w:marBottom w:val="0"/>
      <w:divBdr>
        <w:top w:val="none" w:sz="0" w:space="0" w:color="auto"/>
        <w:left w:val="none" w:sz="0" w:space="0" w:color="auto"/>
        <w:bottom w:val="none" w:sz="0" w:space="0" w:color="auto"/>
        <w:right w:val="none" w:sz="0" w:space="0" w:color="auto"/>
      </w:divBdr>
    </w:div>
    <w:div w:id="287321776">
      <w:bodyDiv w:val="1"/>
      <w:marLeft w:val="0"/>
      <w:marRight w:val="0"/>
      <w:marTop w:val="0"/>
      <w:marBottom w:val="0"/>
      <w:divBdr>
        <w:top w:val="none" w:sz="0" w:space="0" w:color="auto"/>
        <w:left w:val="none" w:sz="0" w:space="0" w:color="auto"/>
        <w:bottom w:val="none" w:sz="0" w:space="0" w:color="auto"/>
        <w:right w:val="none" w:sz="0" w:space="0" w:color="auto"/>
      </w:divBdr>
    </w:div>
    <w:div w:id="288778857">
      <w:bodyDiv w:val="1"/>
      <w:marLeft w:val="0"/>
      <w:marRight w:val="0"/>
      <w:marTop w:val="0"/>
      <w:marBottom w:val="0"/>
      <w:divBdr>
        <w:top w:val="none" w:sz="0" w:space="0" w:color="auto"/>
        <w:left w:val="none" w:sz="0" w:space="0" w:color="auto"/>
        <w:bottom w:val="none" w:sz="0" w:space="0" w:color="auto"/>
        <w:right w:val="none" w:sz="0" w:space="0" w:color="auto"/>
      </w:divBdr>
      <w:divsChild>
        <w:div w:id="1297644666">
          <w:marLeft w:val="0"/>
          <w:marRight w:val="0"/>
          <w:marTop w:val="0"/>
          <w:marBottom w:val="0"/>
          <w:divBdr>
            <w:top w:val="none" w:sz="0" w:space="0" w:color="auto"/>
            <w:left w:val="none" w:sz="0" w:space="0" w:color="auto"/>
            <w:bottom w:val="none" w:sz="0" w:space="0" w:color="auto"/>
            <w:right w:val="none" w:sz="0" w:space="0" w:color="auto"/>
          </w:divBdr>
          <w:divsChild>
            <w:div w:id="1406339939">
              <w:marLeft w:val="0"/>
              <w:marRight w:val="0"/>
              <w:marTop w:val="0"/>
              <w:marBottom w:val="0"/>
              <w:divBdr>
                <w:top w:val="none" w:sz="0" w:space="0" w:color="auto"/>
                <w:left w:val="none" w:sz="0" w:space="0" w:color="auto"/>
                <w:bottom w:val="none" w:sz="0" w:space="0" w:color="auto"/>
                <w:right w:val="none" w:sz="0" w:space="0" w:color="auto"/>
              </w:divBdr>
              <w:divsChild>
                <w:div w:id="68459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218444">
      <w:bodyDiv w:val="1"/>
      <w:marLeft w:val="0"/>
      <w:marRight w:val="0"/>
      <w:marTop w:val="0"/>
      <w:marBottom w:val="0"/>
      <w:divBdr>
        <w:top w:val="none" w:sz="0" w:space="0" w:color="auto"/>
        <w:left w:val="none" w:sz="0" w:space="0" w:color="auto"/>
        <w:bottom w:val="none" w:sz="0" w:space="0" w:color="auto"/>
        <w:right w:val="none" w:sz="0" w:space="0" w:color="auto"/>
      </w:divBdr>
    </w:div>
    <w:div w:id="306588177">
      <w:bodyDiv w:val="1"/>
      <w:marLeft w:val="0"/>
      <w:marRight w:val="0"/>
      <w:marTop w:val="0"/>
      <w:marBottom w:val="0"/>
      <w:divBdr>
        <w:top w:val="none" w:sz="0" w:space="0" w:color="auto"/>
        <w:left w:val="none" w:sz="0" w:space="0" w:color="auto"/>
        <w:bottom w:val="none" w:sz="0" w:space="0" w:color="auto"/>
        <w:right w:val="none" w:sz="0" w:space="0" w:color="auto"/>
      </w:divBdr>
    </w:div>
    <w:div w:id="313607470">
      <w:bodyDiv w:val="1"/>
      <w:marLeft w:val="0"/>
      <w:marRight w:val="0"/>
      <w:marTop w:val="0"/>
      <w:marBottom w:val="0"/>
      <w:divBdr>
        <w:top w:val="none" w:sz="0" w:space="0" w:color="auto"/>
        <w:left w:val="none" w:sz="0" w:space="0" w:color="auto"/>
        <w:bottom w:val="none" w:sz="0" w:space="0" w:color="auto"/>
        <w:right w:val="none" w:sz="0" w:space="0" w:color="auto"/>
      </w:divBdr>
    </w:div>
    <w:div w:id="325129873">
      <w:bodyDiv w:val="1"/>
      <w:marLeft w:val="0"/>
      <w:marRight w:val="0"/>
      <w:marTop w:val="0"/>
      <w:marBottom w:val="0"/>
      <w:divBdr>
        <w:top w:val="none" w:sz="0" w:space="0" w:color="auto"/>
        <w:left w:val="none" w:sz="0" w:space="0" w:color="auto"/>
        <w:bottom w:val="none" w:sz="0" w:space="0" w:color="auto"/>
        <w:right w:val="none" w:sz="0" w:space="0" w:color="auto"/>
      </w:divBdr>
    </w:div>
    <w:div w:id="332420978">
      <w:bodyDiv w:val="1"/>
      <w:marLeft w:val="0"/>
      <w:marRight w:val="0"/>
      <w:marTop w:val="0"/>
      <w:marBottom w:val="0"/>
      <w:divBdr>
        <w:top w:val="none" w:sz="0" w:space="0" w:color="auto"/>
        <w:left w:val="none" w:sz="0" w:space="0" w:color="auto"/>
        <w:bottom w:val="none" w:sz="0" w:space="0" w:color="auto"/>
        <w:right w:val="none" w:sz="0" w:space="0" w:color="auto"/>
      </w:divBdr>
    </w:div>
    <w:div w:id="333606321">
      <w:bodyDiv w:val="1"/>
      <w:marLeft w:val="0"/>
      <w:marRight w:val="0"/>
      <w:marTop w:val="0"/>
      <w:marBottom w:val="0"/>
      <w:divBdr>
        <w:top w:val="none" w:sz="0" w:space="0" w:color="auto"/>
        <w:left w:val="none" w:sz="0" w:space="0" w:color="auto"/>
        <w:bottom w:val="none" w:sz="0" w:space="0" w:color="auto"/>
        <w:right w:val="none" w:sz="0" w:space="0" w:color="auto"/>
      </w:divBdr>
    </w:div>
    <w:div w:id="368803220">
      <w:bodyDiv w:val="1"/>
      <w:marLeft w:val="0"/>
      <w:marRight w:val="0"/>
      <w:marTop w:val="0"/>
      <w:marBottom w:val="0"/>
      <w:divBdr>
        <w:top w:val="none" w:sz="0" w:space="0" w:color="auto"/>
        <w:left w:val="none" w:sz="0" w:space="0" w:color="auto"/>
        <w:bottom w:val="none" w:sz="0" w:space="0" w:color="auto"/>
        <w:right w:val="none" w:sz="0" w:space="0" w:color="auto"/>
      </w:divBdr>
    </w:div>
    <w:div w:id="371807593">
      <w:bodyDiv w:val="1"/>
      <w:marLeft w:val="0"/>
      <w:marRight w:val="0"/>
      <w:marTop w:val="0"/>
      <w:marBottom w:val="0"/>
      <w:divBdr>
        <w:top w:val="none" w:sz="0" w:space="0" w:color="auto"/>
        <w:left w:val="none" w:sz="0" w:space="0" w:color="auto"/>
        <w:bottom w:val="none" w:sz="0" w:space="0" w:color="auto"/>
        <w:right w:val="none" w:sz="0" w:space="0" w:color="auto"/>
      </w:divBdr>
    </w:div>
    <w:div w:id="377248342">
      <w:bodyDiv w:val="1"/>
      <w:marLeft w:val="0"/>
      <w:marRight w:val="0"/>
      <w:marTop w:val="0"/>
      <w:marBottom w:val="0"/>
      <w:divBdr>
        <w:top w:val="none" w:sz="0" w:space="0" w:color="auto"/>
        <w:left w:val="none" w:sz="0" w:space="0" w:color="auto"/>
        <w:bottom w:val="none" w:sz="0" w:space="0" w:color="auto"/>
        <w:right w:val="none" w:sz="0" w:space="0" w:color="auto"/>
      </w:divBdr>
    </w:div>
    <w:div w:id="382337879">
      <w:bodyDiv w:val="1"/>
      <w:marLeft w:val="0"/>
      <w:marRight w:val="0"/>
      <w:marTop w:val="0"/>
      <w:marBottom w:val="0"/>
      <w:divBdr>
        <w:top w:val="none" w:sz="0" w:space="0" w:color="auto"/>
        <w:left w:val="none" w:sz="0" w:space="0" w:color="auto"/>
        <w:bottom w:val="none" w:sz="0" w:space="0" w:color="auto"/>
        <w:right w:val="none" w:sz="0" w:space="0" w:color="auto"/>
      </w:divBdr>
    </w:div>
    <w:div w:id="390660798">
      <w:bodyDiv w:val="1"/>
      <w:marLeft w:val="0"/>
      <w:marRight w:val="0"/>
      <w:marTop w:val="0"/>
      <w:marBottom w:val="0"/>
      <w:divBdr>
        <w:top w:val="none" w:sz="0" w:space="0" w:color="auto"/>
        <w:left w:val="none" w:sz="0" w:space="0" w:color="auto"/>
        <w:bottom w:val="none" w:sz="0" w:space="0" w:color="auto"/>
        <w:right w:val="none" w:sz="0" w:space="0" w:color="auto"/>
      </w:divBdr>
    </w:div>
    <w:div w:id="392823454">
      <w:bodyDiv w:val="1"/>
      <w:marLeft w:val="0"/>
      <w:marRight w:val="0"/>
      <w:marTop w:val="0"/>
      <w:marBottom w:val="0"/>
      <w:divBdr>
        <w:top w:val="none" w:sz="0" w:space="0" w:color="auto"/>
        <w:left w:val="none" w:sz="0" w:space="0" w:color="auto"/>
        <w:bottom w:val="none" w:sz="0" w:space="0" w:color="auto"/>
        <w:right w:val="none" w:sz="0" w:space="0" w:color="auto"/>
      </w:divBdr>
    </w:div>
    <w:div w:id="414936443">
      <w:bodyDiv w:val="1"/>
      <w:marLeft w:val="0"/>
      <w:marRight w:val="0"/>
      <w:marTop w:val="0"/>
      <w:marBottom w:val="0"/>
      <w:divBdr>
        <w:top w:val="none" w:sz="0" w:space="0" w:color="auto"/>
        <w:left w:val="none" w:sz="0" w:space="0" w:color="auto"/>
        <w:bottom w:val="none" w:sz="0" w:space="0" w:color="auto"/>
        <w:right w:val="none" w:sz="0" w:space="0" w:color="auto"/>
      </w:divBdr>
    </w:div>
    <w:div w:id="430592407">
      <w:bodyDiv w:val="1"/>
      <w:marLeft w:val="0"/>
      <w:marRight w:val="0"/>
      <w:marTop w:val="0"/>
      <w:marBottom w:val="0"/>
      <w:divBdr>
        <w:top w:val="none" w:sz="0" w:space="0" w:color="auto"/>
        <w:left w:val="none" w:sz="0" w:space="0" w:color="auto"/>
        <w:bottom w:val="none" w:sz="0" w:space="0" w:color="auto"/>
        <w:right w:val="none" w:sz="0" w:space="0" w:color="auto"/>
      </w:divBdr>
    </w:div>
    <w:div w:id="437146381">
      <w:bodyDiv w:val="1"/>
      <w:marLeft w:val="0"/>
      <w:marRight w:val="0"/>
      <w:marTop w:val="0"/>
      <w:marBottom w:val="0"/>
      <w:divBdr>
        <w:top w:val="none" w:sz="0" w:space="0" w:color="auto"/>
        <w:left w:val="none" w:sz="0" w:space="0" w:color="auto"/>
        <w:bottom w:val="none" w:sz="0" w:space="0" w:color="auto"/>
        <w:right w:val="none" w:sz="0" w:space="0" w:color="auto"/>
      </w:divBdr>
    </w:div>
    <w:div w:id="442529788">
      <w:bodyDiv w:val="1"/>
      <w:marLeft w:val="0"/>
      <w:marRight w:val="0"/>
      <w:marTop w:val="0"/>
      <w:marBottom w:val="0"/>
      <w:divBdr>
        <w:top w:val="none" w:sz="0" w:space="0" w:color="auto"/>
        <w:left w:val="none" w:sz="0" w:space="0" w:color="auto"/>
        <w:bottom w:val="none" w:sz="0" w:space="0" w:color="auto"/>
        <w:right w:val="none" w:sz="0" w:space="0" w:color="auto"/>
      </w:divBdr>
    </w:div>
    <w:div w:id="455098367">
      <w:bodyDiv w:val="1"/>
      <w:marLeft w:val="0"/>
      <w:marRight w:val="0"/>
      <w:marTop w:val="0"/>
      <w:marBottom w:val="0"/>
      <w:divBdr>
        <w:top w:val="none" w:sz="0" w:space="0" w:color="auto"/>
        <w:left w:val="none" w:sz="0" w:space="0" w:color="auto"/>
        <w:bottom w:val="none" w:sz="0" w:space="0" w:color="auto"/>
        <w:right w:val="none" w:sz="0" w:space="0" w:color="auto"/>
      </w:divBdr>
    </w:div>
    <w:div w:id="483474964">
      <w:bodyDiv w:val="1"/>
      <w:marLeft w:val="0"/>
      <w:marRight w:val="0"/>
      <w:marTop w:val="0"/>
      <w:marBottom w:val="0"/>
      <w:divBdr>
        <w:top w:val="none" w:sz="0" w:space="0" w:color="auto"/>
        <w:left w:val="none" w:sz="0" w:space="0" w:color="auto"/>
        <w:bottom w:val="none" w:sz="0" w:space="0" w:color="auto"/>
        <w:right w:val="none" w:sz="0" w:space="0" w:color="auto"/>
      </w:divBdr>
    </w:div>
    <w:div w:id="494810162">
      <w:bodyDiv w:val="1"/>
      <w:marLeft w:val="0"/>
      <w:marRight w:val="0"/>
      <w:marTop w:val="0"/>
      <w:marBottom w:val="0"/>
      <w:divBdr>
        <w:top w:val="none" w:sz="0" w:space="0" w:color="auto"/>
        <w:left w:val="none" w:sz="0" w:space="0" w:color="auto"/>
        <w:bottom w:val="none" w:sz="0" w:space="0" w:color="auto"/>
        <w:right w:val="none" w:sz="0" w:space="0" w:color="auto"/>
      </w:divBdr>
    </w:div>
    <w:div w:id="501820132">
      <w:bodyDiv w:val="1"/>
      <w:marLeft w:val="0"/>
      <w:marRight w:val="0"/>
      <w:marTop w:val="0"/>
      <w:marBottom w:val="0"/>
      <w:divBdr>
        <w:top w:val="none" w:sz="0" w:space="0" w:color="auto"/>
        <w:left w:val="none" w:sz="0" w:space="0" w:color="auto"/>
        <w:bottom w:val="none" w:sz="0" w:space="0" w:color="auto"/>
        <w:right w:val="none" w:sz="0" w:space="0" w:color="auto"/>
      </w:divBdr>
    </w:div>
    <w:div w:id="503906769">
      <w:bodyDiv w:val="1"/>
      <w:marLeft w:val="0"/>
      <w:marRight w:val="0"/>
      <w:marTop w:val="0"/>
      <w:marBottom w:val="0"/>
      <w:divBdr>
        <w:top w:val="none" w:sz="0" w:space="0" w:color="auto"/>
        <w:left w:val="none" w:sz="0" w:space="0" w:color="auto"/>
        <w:bottom w:val="none" w:sz="0" w:space="0" w:color="auto"/>
        <w:right w:val="none" w:sz="0" w:space="0" w:color="auto"/>
      </w:divBdr>
      <w:divsChild>
        <w:div w:id="114368380">
          <w:marLeft w:val="0"/>
          <w:marRight w:val="0"/>
          <w:marTop w:val="0"/>
          <w:marBottom w:val="0"/>
          <w:divBdr>
            <w:top w:val="none" w:sz="0" w:space="0" w:color="auto"/>
            <w:left w:val="none" w:sz="0" w:space="0" w:color="auto"/>
            <w:bottom w:val="none" w:sz="0" w:space="0" w:color="auto"/>
            <w:right w:val="none" w:sz="0" w:space="0" w:color="auto"/>
          </w:divBdr>
        </w:div>
        <w:div w:id="424963140">
          <w:marLeft w:val="0"/>
          <w:marRight w:val="0"/>
          <w:marTop w:val="0"/>
          <w:marBottom w:val="0"/>
          <w:divBdr>
            <w:top w:val="none" w:sz="0" w:space="0" w:color="auto"/>
            <w:left w:val="none" w:sz="0" w:space="0" w:color="auto"/>
            <w:bottom w:val="none" w:sz="0" w:space="0" w:color="auto"/>
            <w:right w:val="none" w:sz="0" w:space="0" w:color="auto"/>
          </w:divBdr>
        </w:div>
        <w:div w:id="1690176744">
          <w:marLeft w:val="0"/>
          <w:marRight w:val="0"/>
          <w:marTop w:val="0"/>
          <w:marBottom w:val="0"/>
          <w:divBdr>
            <w:top w:val="none" w:sz="0" w:space="0" w:color="auto"/>
            <w:left w:val="none" w:sz="0" w:space="0" w:color="auto"/>
            <w:bottom w:val="none" w:sz="0" w:space="0" w:color="auto"/>
            <w:right w:val="none" w:sz="0" w:space="0" w:color="auto"/>
          </w:divBdr>
        </w:div>
      </w:divsChild>
    </w:div>
    <w:div w:id="515576110">
      <w:bodyDiv w:val="1"/>
      <w:marLeft w:val="0"/>
      <w:marRight w:val="0"/>
      <w:marTop w:val="0"/>
      <w:marBottom w:val="0"/>
      <w:divBdr>
        <w:top w:val="none" w:sz="0" w:space="0" w:color="auto"/>
        <w:left w:val="none" w:sz="0" w:space="0" w:color="auto"/>
        <w:bottom w:val="none" w:sz="0" w:space="0" w:color="auto"/>
        <w:right w:val="none" w:sz="0" w:space="0" w:color="auto"/>
      </w:divBdr>
    </w:div>
    <w:div w:id="530188977">
      <w:bodyDiv w:val="1"/>
      <w:marLeft w:val="0"/>
      <w:marRight w:val="0"/>
      <w:marTop w:val="0"/>
      <w:marBottom w:val="0"/>
      <w:divBdr>
        <w:top w:val="none" w:sz="0" w:space="0" w:color="auto"/>
        <w:left w:val="none" w:sz="0" w:space="0" w:color="auto"/>
        <w:bottom w:val="none" w:sz="0" w:space="0" w:color="auto"/>
        <w:right w:val="none" w:sz="0" w:space="0" w:color="auto"/>
      </w:divBdr>
      <w:divsChild>
        <w:div w:id="326905108">
          <w:marLeft w:val="0"/>
          <w:marRight w:val="0"/>
          <w:marTop w:val="0"/>
          <w:marBottom w:val="0"/>
          <w:divBdr>
            <w:top w:val="none" w:sz="0" w:space="0" w:color="auto"/>
            <w:left w:val="none" w:sz="0" w:space="0" w:color="auto"/>
            <w:bottom w:val="none" w:sz="0" w:space="0" w:color="auto"/>
            <w:right w:val="none" w:sz="0" w:space="0" w:color="auto"/>
          </w:divBdr>
        </w:div>
      </w:divsChild>
    </w:div>
    <w:div w:id="548222787">
      <w:bodyDiv w:val="1"/>
      <w:marLeft w:val="0"/>
      <w:marRight w:val="0"/>
      <w:marTop w:val="0"/>
      <w:marBottom w:val="0"/>
      <w:divBdr>
        <w:top w:val="none" w:sz="0" w:space="0" w:color="auto"/>
        <w:left w:val="none" w:sz="0" w:space="0" w:color="auto"/>
        <w:bottom w:val="none" w:sz="0" w:space="0" w:color="auto"/>
        <w:right w:val="none" w:sz="0" w:space="0" w:color="auto"/>
      </w:divBdr>
    </w:div>
    <w:div w:id="548299993">
      <w:bodyDiv w:val="1"/>
      <w:marLeft w:val="0"/>
      <w:marRight w:val="0"/>
      <w:marTop w:val="0"/>
      <w:marBottom w:val="0"/>
      <w:divBdr>
        <w:top w:val="none" w:sz="0" w:space="0" w:color="auto"/>
        <w:left w:val="none" w:sz="0" w:space="0" w:color="auto"/>
        <w:bottom w:val="none" w:sz="0" w:space="0" w:color="auto"/>
        <w:right w:val="none" w:sz="0" w:space="0" w:color="auto"/>
      </w:divBdr>
    </w:div>
    <w:div w:id="557203964">
      <w:bodyDiv w:val="1"/>
      <w:marLeft w:val="0"/>
      <w:marRight w:val="0"/>
      <w:marTop w:val="0"/>
      <w:marBottom w:val="0"/>
      <w:divBdr>
        <w:top w:val="none" w:sz="0" w:space="0" w:color="auto"/>
        <w:left w:val="none" w:sz="0" w:space="0" w:color="auto"/>
        <w:bottom w:val="none" w:sz="0" w:space="0" w:color="auto"/>
        <w:right w:val="none" w:sz="0" w:space="0" w:color="auto"/>
      </w:divBdr>
    </w:div>
    <w:div w:id="558367686">
      <w:bodyDiv w:val="1"/>
      <w:marLeft w:val="0"/>
      <w:marRight w:val="0"/>
      <w:marTop w:val="0"/>
      <w:marBottom w:val="0"/>
      <w:divBdr>
        <w:top w:val="none" w:sz="0" w:space="0" w:color="auto"/>
        <w:left w:val="none" w:sz="0" w:space="0" w:color="auto"/>
        <w:bottom w:val="none" w:sz="0" w:space="0" w:color="auto"/>
        <w:right w:val="none" w:sz="0" w:space="0" w:color="auto"/>
      </w:divBdr>
    </w:div>
    <w:div w:id="559364594">
      <w:bodyDiv w:val="1"/>
      <w:marLeft w:val="0"/>
      <w:marRight w:val="0"/>
      <w:marTop w:val="0"/>
      <w:marBottom w:val="0"/>
      <w:divBdr>
        <w:top w:val="none" w:sz="0" w:space="0" w:color="auto"/>
        <w:left w:val="none" w:sz="0" w:space="0" w:color="auto"/>
        <w:bottom w:val="none" w:sz="0" w:space="0" w:color="auto"/>
        <w:right w:val="none" w:sz="0" w:space="0" w:color="auto"/>
      </w:divBdr>
    </w:div>
    <w:div w:id="562179802">
      <w:bodyDiv w:val="1"/>
      <w:marLeft w:val="0"/>
      <w:marRight w:val="0"/>
      <w:marTop w:val="0"/>
      <w:marBottom w:val="0"/>
      <w:divBdr>
        <w:top w:val="none" w:sz="0" w:space="0" w:color="auto"/>
        <w:left w:val="none" w:sz="0" w:space="0" w:color="auto"/>
        <w:bottom w:val="none" w:sz="0" w:space="0" w:color="auto"/>
        <w:right w:val="none" w:sz="0" w:space="0" w:color="auto"/>
      </w:divBdr>
    </w:div>
    <w:div w:id="569922255">
      <w:bodyDiv w:val="1"/>
      <w:marLeft w:val="0"/>
      <w:marRight w:val="0"/>
      <w:marTop w:val="0"/>
      <w:marBottom w:val="0"/>
      <w:divBdr>
        <w:top w:val="none" w:sz="0" w:space="0" w:color="auto"/>
        <w:left w:val="none" w:sz="0" w:space="0" w:color="auto"/>
        <w:bottom w:val="none" w:sz="0" w:space="0" w:color="auto"/>
        <w:right w:val="none" w:sz="0" w:space="0" w:color="auto"/>
      </w:divBdr>
    </w:div>
    <w:div w:id="571889236">
      <w:bodyDiv w:val="1"/>
      <w:marLeft w:val="0"/>
      <w:marRight w:val="0"/>
      <w:marTop w:val="0"/>
      <w:marBottom w:val="0"/>
      <w:divBdr>
        <w:top w:val="none" w:sz="0" w:space="0" w:color="auto"/>
        <w:left w:val="none" w:sz="0" w:space="0" w:color="auto"/>
        <w:bottom w:val="none" w:sz="0" w:space="0" w:color="auto"/>
        <w:right w:val="none" w:sz="0" w:space="0" w:color="auto"/>
      </w:divBdr>
    </w:div>
    <w:div w:id="577398958">
      <w:bodyDiv w:val="1"/>
      <w:marLeft w:val="0"/>
      <w:marRight w:val="0"/>
      <w:marTop w:val="0"/>
      <w:marBottom w:val="0"/>
      <w:divBdr>
        <w:top w:val="none" w:sz="0" w:space="0" w:color="auto"/>
        <w:left w:val="none" w:sz="0" w:space="0" w:color="auto"/>
        <w:bottom w:val="none" w:sz="0" w:space="0" w:color="auto"/>
        <w:right w:val="none" w:sz="0" w:space="0" w:color="auto"/>
      </w:divBdr>
    </w:div>
    <w:div w:id="587352893">
      <w:bodyDiv w:val="1"/>
      <w:marLeft w:val="0"/>
      <w:marRight w:val="0"/>
      <w:marTop w:val="0"/>
      <w:marBottom w:val="0"/>
      <w:divBdr>
        <w:top w:val="none" w:sz="0" w:space="0" w:color="auto"/>
        <w:left w:val="none" w:sz="0" w:space="0" w:color="auto"/>
        <w:bottom w:val="none" w:sz="0" w:space="0" w:color="auto"/>
        <w:right w:val="none" w:sz="0" w:space="0" w:color="auto"/>
      </w:divBdr>
    </w:div>
    <w:div w:id="593169420">
      <w:bodyDiv w:val="1"/>
      <w:marLeft w:val="0"/>
      <w:marRight w:val="0"/>
      <w:marTop w:val="0"/>
      <w:marBottom w:val="0"/>
      <w:divBdr>
        <w:top w:val="none" w:sz="0" w:space="0" w:color="auto"/>
        <w:left w:val="none" w:sz="0" w:space="0" w:color="auto"/>
        <w:bottom w:val="none" w:sz="0" w:space="0" w:color="auto"/>
        <w:right w:val="none" w:sz="0" w:space="0" w:color="auto"/>
      </w:divBdr>
    </w:div>
    <w:div w:id="605308894">
      <w:bodyDiv w:val="1"/>
      <w:marLeft w:val="0"/>
      <w:marRight w:val="0"/>
      <w:marTop w:val="0"/>
      <w:marBottom w:val="0"/>
      <w:divBdr>
        <w:top w:val="none" w:sz="0" w:space="0" w:color="auto"/>
        <w:left w:val="none" w:sz="0" w:space="0" w:color="auto"/>
        <w:bottom w:val="none" w:sz="0" w:space="0" w:color="auto"/>
        <w:right w:val="none" w:sz="0" w:space="0" w:color="auto"/>
      </w:divBdr>
    </w:div>
    <w:div w:id="605625310">
      <w:bodyDiv w:val="1"/>
      <w:marLeft w:val="0"/>
      <w:marRight w:val="0"/>
      <w:marTop w:val="0"/>
      <w:marBottom w:val="0"/>
      <w:divBdr>
        <w:top w:val="none" w:sz="0" w:space="0" w:color="auto"/>
        <w:left w:val="none" w:sz="0" w:space="0" w:color="auto"/>
        <w:bottom w:val="none" w:sz="0" w:space="0" w:color="auto"/>
        <w:right w:val="none" w:sz="0" w:space="0" w:color="auto"/>
      </w:divBdr>
    </w:div>
    <w:div w:id="605843623">
      <w:bodyDiv w:val="1"/>
      <w:marLeft w:val="0"/>
      <w:marRight w:val="0"/>
      <w:marTop w:val="0"/>
      <w:marBottom w:val="0"/>
      <w:divBdr>
        <w:top w:val="none" w:sz="0" w:space="0" w:color="auto"/>
        <w:left w:val="none" w:sz="0" w:space="0" w:color="auto"/>
        <w:bottom w:val="none" w:sz="0" w:space="0" w:color="auto"/>
        <w:right w:val="none" w:sz="0" w:space="0" w:color="auto"/>
      </w:divBdr>
    </w:div>
    <w:div w:id="608045055">
      <w:bodyDiv w:val="1"/>
      <w:marLeft w:val="0"/>
      <w:marRight w:val="0"/>
      <w:marTop w:val="0"/>
      <w:marBottom w:val="0"/>
      <w:divBdr>
        <w:top w:val="none" w:sz="0" w:space="0" w:color="auto"/>
        <w:left w:val="none" w:sz="0" w:space="0" w:color="auto"/>
        <w:bottom w:val="none" w:sz="0" w:space="0" w:color="auto"/>
        <w:right w:val="none" w:sz="0" w:space="0" w:color="auto"/>
      </w:divBdr>
    </w:div>
    <w:div w:id="608585163">
      <w:bodyDiv w:val="1"/>
      <w:marLeft w:val="0"/>
      <w:marRight w:val="0"/>
      <w:marTop w:val="0"/>
      <w:marBottom w:val="0"/>
      <w:divBdr>
        <w:top w:val="none" w:sz="0" w:space="0" w:color="auto"/>
        <w:left w:val="none" w:sz="0" w:space="0" w:color="auto"/>
        <w:bottom w:val="none" w:sz="0" w:space="0" w:color="auto"/>
        <w:right w:val="none" w:sz="0" w:space="0" w:color="auto"/>
      </w:divBdr>
    </w:div>
    <w:div w:id="636378758">
      <w:bodyDiv w:val="1"/>
      <w:marLeft w:val="0"/>
      <w:marRight w:val="0"/>
      <w:marTop w:val="0"/>
      <w:marBottom w:val="0"/>
      <w:divBdr>
        <w:top w:val="none" w:sz="0" w:space="0" w:color="auto"/>
        <w:left w:val="none" w:sz="0" w:space="0" w:color="auto"/>
        <w:bottom w:val="none" w:sz="0" w:space="0" w:color="auto"/>
        <w:right w:val="none" w:sz="0" w:space="0" w:color="auto"/>
      </w:divBdr>
      <w:divsChild>
        <w:div w:id="667635345">
          <w:marLeft w:val="0"/>
          <w:marRight w:val="0"/>
          <w:marTop w:val="0"/>
          <w:marBottom w:val="0"/>
          <w:divBdr>
            <w:top w:val="none" w:sz="0" w:space="0" w:color="auto"/>
            <w:left w:val="none" w:sz="0" w:space="0" w:color="auto"/>
            <w:bottom w:val="none" w:sz="0" w:space="0" w:color="auto"/>
            <w:right w:val="none" w:sz="0" w:space="0" w:color="auto"/>
          </w:divBdr>
          <w:divsChild>
            <w:div w:id="1898130790">
              <w:marLeft w:val="0"/>
              <w:marRight w:val="0"/>
              <w:marTop w:val="0"/>
              <w:marBottom w:val="0"/>
              <w:divBdr>
                <w:top w:val="none" w:sz="0" w:space="0" w:color="auto"/>
                <w:left w:val="none" w:sz="0" w:space="0" w:color="auto"/>
                <w:bottom w:val="none" w:sz="0" w:space="0" w:color="auto"/>
                <w:right w:val="none" w:sz="0" w:space="0" w:color="auto"/>
              </w:divBdr>
              <w:divsChild>
                <w:div w:id="189635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352176">
      <w:bodyDiv w:val="1"/>
      <w:marLeft w:val="0"/>
      <w:marRight w:val="0"/>
      <w:marTop w:val="0"/>
      <w:marBottom w:val="0"/>
      <w:divBdr>
        <w:top w:val="none" w:sz="0" w:space="0" w:color="auto"/>
        <w:left w:val="none" w:sz="0" w:space="0" w:color="auto"/>
        <w:bottom w:val="none" w:sz="0" w:space="0" w:color="auto"/>
        <w:right w:val="none" w:sz="0" w:space="0" w:color="auto"/>
      </w:divBdr>
    </w:div>
    <w:div w:id="647439494">
      <w:bodyDiv w:val="1"/>
      <w:marLeft w:val="0"/>
      <w:marRight w:val="0"/>
      <w:marTop w:val="0"/>
      <w:marBottom w:val="0"/>
      <w:divBdr>
        <w:top w:val="none" w:sz="0" w:space="0" w:color="auto"/>
        <w:left w:val="none" w:sz="0" w:space="0" w:color="auto"/>
        <w:bottom w:val="none" w:sz="0" w:space="0" w:color="auto"/>
        <w:right w:val="none" w:sz="0" w:space="0" w:color="auto"/>
      </w:divBdr>
    </w:div>
    <w:div w:id="662584832">
      <w:bodyDiv w:val="1"/>
      <w:marLeft w:val="0"/>
      <w:marRight w:val="0"/>
      <w:marTop w:val="0"/>
      <w:marBottom w:val="0"/>
      <w:divBdr>
        <w:top w:val="none" w:sz="0" w:space="0" w:color="auto"/>
        <w:left w:val="none" w:sz="0" w:space="0" w:color="auto"/>
        <w:bottom w:val="none" w:sz="0" w:space="0" w:color="auto"/>
        <w:right w:val="none" w:sz="0" w:space="0" w:color="auto"/>
      </w:divBdr>
    </w:div>
    <w:div w:id="665985176">
      <w:bodyDiv w:val="1"/>
      <w:marLeft w:val="0"/>
      <w:marRight w:val="0"/>
      <w:marTop w:val="0"/>
      <w:marBottom w:val="0"/>
      <w:divBdr>
        <w:top w:val="none" w:sz="0" w:space="0" w:color="auto"/>
        <w:left w:val="none" w:sz="0" w:space="0" w:color="auto"/>
        <w:bottom w:val="none" w:sz="0" w:space="0" w:color="auto"/>
        <w:right w:val="none" w:sz="0" w:space="0" w:color="auto"/>
      </w:divBdr>
    </w:div>
    <w:div w:id="679937576">
      <w:bodyDiv w:val="1"/>
      <w:marLeft w:val="0"/>
      <w:marRight w:val="0"/>
      <w:marTop w:val="0"/>
      <w:marBottom w:val="0"/>
      <w:divBdr>
        <w:top w:val="none" w:sz="0" w:space="0" w:color="auto"/>
        <w:left w:val="none" w:sz="0" w:space="0" w:color="auto"/>
        <w:bottom w:val="none" w:sz="0" w:space="0" w:color="auto"/>
        <w:right w:val="none" w:sz="0" w:space="0" w:color="auto"/>
      </w:divBdr>
    </w:div>
    <w:div w:id="683870168">
      <w:bodyDiv w:val="1"/>
      <w:marLeft w:val="0"/>
      <w:marRight w:val="0"/>
      <w:marTop w:val="0"/>
      <w:marBottom w:val="0"/>
      <w:divBdr>
        <w:top w:val="none" w:sz="0" w:space="0" w:color="auto"/>
        <w:left w:val="none" w:sz="0" w:space="0" w:color="auto"/>
        <w:bottom w:val="none" w:sz="0" w:space="0" w:color="auto"/>
        <w:right w:val="none" w:sz="0" w:space="0" w:color="auto"/>
      </w:divBdr>
      <w:divsChild>
        <w:div w:id="89857317">
          <w:marLeft w:val="0"/>
          <w:marRight w:val="0"/>
          <w:marTop w:val="0"/>
          <w:marBottom w:val="0"/>
          <w:divBdr>
            <w:top w:val="none" w:sz="0" w:space="0" w:color="auto"/>
            <w:left w:val="none" w:sz="0" w:space="0" w:color="auto"/>
            <w:bottom w:val="none" w:sz="0" w:space="0" w:color="auto"/>
            <w:right w:val="none" w:sz="0" w:space="0" w:color="auto"/>
          </w:divBdr>
        </w:div>
      </w:divsChild>
    </w:div>
    <w:div w:id="697586174">
      <w:bodyDiv w:val="1"/>
      <w:marLeft w:val="0"/>
      <w:marRight w:val="0"/>
      <w:marTop w:val="0"/>
      <w:marBottom w:val="0"/>
      <w:divBdr>
        <w:top w:val="none" w:sz="0" w:space="0" w:color="auto"/>
        <w:left w:val="none" w:sz="0" w:space="0" w:color="auto"/>
        <w:bottom w:val="none" w:sz="0" w:space="0" w:color="auto"/>
        <w:right w:val="none" w:sz="0" w:space="0" w:color="auto"/>
      </w:divBdr>
    </w:div>
    <w:div w:id="725493423">
      <w:bodyDiv w:val="1"/>
      <w:marLeft w:val="0"/>
      <w:marRight w:val="0"/>
      <w:marTop w:val="0"/>
      <w:marBottom w:val="0"/>
      <w:divBdr>
        <w:top w:val="none" w:sz="0" w:space="0" w:color="auto"/>
        <w:left w:val="none" w:sz="0" w:space="0" w:color="auto"/>
        <w:bottom w:val="none" w:sz="0" w:space="0" w:color="auto"/>
        <w:right w:val="none" w:sz="0" w:space="0" w:color="auto"/>
      </w:divBdr>
    </w:div>
    <w:div w:id="729815845">
      <w:bodyDiv w:val="1"/>
      <w:marLeft w:val="0"/>
      <w:marRight w:val="0"/>
      <w:marTop w:val="0"/>
      <w:marBottom w:val="0"/>
      <w:divBdr>
        <w:top w:val="none" w:sz="0" w:space="0" w:color="auto"/>
        <w:left w:val="none" w:sz="0" w:space="0" w:color="auto"/>
        <w:bottom w:val="none" w:sz="0" w:space="0" w:color="auto"/>
        <w:right w:val="none" w:sz="0" w:space="0" w:color="auto"/>
      </w:divBdr>
    </w:div>
    <w:div w:id="732120105">
      <w:bodyDiv w:val="1"/>
      <w:marLeft w:val="0"/>
      <w:marRight w:val="0"/>
      <w:marTop w:val="0"/>
      <w:marBottom w:val="0"/>
      <w:divBdr>
        <w:top w:val="none" w:sz="0" w:space="0" w:color="auto"/>
        <w:left w:val="none" w:sz="0" w:space="0" w:color="auto"/>
        <w:bottom w:val="none" w:sz="0" w:space="0" w:color="auto"/>
        <w:right w:val="none" w:sz="0" w:space="0" w:color="auto"/>
      </w:divBdr>
    </w:div>
    <w:div w:id="745153549">
      <w:bodyDiv w:val="1"/>
      <w:marLeft w:val="0"/>
      <w:marRight w:val="0"/>
      <w:marTop w:val="0"/>
      <w:marBottom w:val="0"/>
      <w:divBdr>
        <w:top w:val="none" w:sz="0" w:space="0" w:color="auto"/>
        <w:left w:val="none" w:sz="0" w:space="0" w:color="auto"/>
        <w:bottom w:val="none" w:sz="0" w:space="0" w:color="auto"/>
        <w:right w:val="none" w:sz="0" w:space="0" w:color="auto"/>
      </w:divBdr>
    </w:div>
    <w:div w:id="750472342">
      <w:bodyDiv w:val="1"/>
      <w:marLeft w:val="0"/>
      <w:marRight w:val="0"/>
      <w:marTop w:val="0"/>
      <w:marBottom w:val="0"/>
      <w:divBdr>
        <w:top w:val="none" w:sz="0" w:space="0" w:color="auto"/>
        <w:left w:val="none" w:sz="0" w:space="0" w:color="auto"/>
        <w:bottom w:val="none" w:sz="0" w:space="0" w:color="auto"/>
        <w:right w:val="none" w:sz="0" w:space="0" w:color="auto"/>
      </w:divBdr>
    </w:div>
    <w:div w:id="757949354">
      <w:bodyDiv w:val="1"/>
      <w:marLeft w:val="0"/>
      <w:marRight w:val="0"/>
      <w:marTop w:val="0"/>
      <w:marBottom w:val="0"/>
      <w:divBdr>
        <w:top w:val="none" w:sz="0" w:space="0" w:color="auto"/>
        <w:left w:val="none" w:sz="0" w:space="0" w:color="auto"/>
        <w:bottom w:val="none" w:sz="0" w:space="0" w:color="auto"/>
        <w:right w:val="none" w:sz="0" w:space="0" w:color="auto"/>
      </w:divBdr>
    </w:div>
    <w:div w:id="761073726">
      <w:bodyDiv w:val="1"/>
      <w:marLeft w:val="0"/>
      <w:marRight w:val="0"/>
      <w:marTop w:val="0"/>
      <w:marBottom w:val="0"/>
      <w:divBdr>
        <w:top w:val="none" w:sz="0" w:space="0" w:color="auto"/>
        <w:left w:val="none" w:sz="0" w:space="0" w:color="auto"/>
        <w:bottom w:val="none" w:sz="0" w:space="0" w:color="auto"/>
        <w:right w:val="none" w:sz="0" w:space="0" w:color="auto"/>
      </w:divBdr>
    </w:div>
    <w:div w:id="770590705">
      <w:bodyDiv w:val="1"/>
      <w:marLeft w:val="0"/>
      <w:marRight w:val="0"/>
      <w:marTop w:val="0"/>
      <w:marBottom w:val="0"/>
      <w:divBdr>
        <w:top w:val="none" w:sz="0" w:space="0" w:color="auto"/>
        <w:left w:val="none" w:sz="0" w:space="0" w:color="auto"/>
        <w:bottom w:val="none" w:sz="0" w:space="0" w:color="auto"/>
        <w:right w:val="none" w:sz="0" w:space="0" w:color="auto"/>
      </w:divBdr>
    </w:div>
    <w:div w:id="773326910">
      <w:bodyDiv w:val="1"/>
      <w:marLeft w:val="0"/>
      <w:marRight w:val="0"/>
      <w:marTop w:val="0"/>
      <w:marBottom w:val="0"/>
      <w:divBdr>
        <w:top w:val="none" w:sz="0" w:space="0" w:color="auto"/>
        <w:left w:val="none" w:sz="0" w:space="0" w:color="auto"/>
        <w:bottom w:val="none" w:sz="0" w:space="0" w:color="auto"/>
        <w:right w:val="none" w:sz="0" w:space="0" w:color="auto"/>
      </w:divBdr>
    </w:div>
    <w:div w:id="775751104">
      <w:bodyDiv w:val="1"/>
      <w:marLeft w:val="0"/>
      <w:marRight w:val="0"/>
      <w:marTop w:val="0"/>
      <w:marBottom w:val="0"/>
      <w:divBdr>
        <w:top w:val="none" w:sz="0" w:space="0" w:color="auto"/>
        <w:left w:val="none" w:sz="0" w:space="0" w:color="auto"/>
        <w:bottom w:val="none" w:sz="0" w:space="0" w:color="auto"/>
        <w:right w:val="none" w:sz="0" w:space="0" w:color="auto"/>
      </w:divBdr>
    </w:div>
    <w:div w:id="789130543">
      <w:bodyDiv w:val="1"/>
      <w:marLeft w:val="0"/>
      <w:marRight w:val="0"/>
      <w:marTop w:val="0"/>
      <w:marBottom w:val="0"/>
      <w:divBdr>
        <w:top w:val="none" w:sz="0" w:space="0" w:color="auto"/>
        <w:left w:val="none" w:sz="0" w:space="0" w:color="auto"/>
        <w:bottom w:val="none" w:sz="0" w:space="0" w:color="auto"/>
        <w:right w:val="none" w:sz="0" w:space="0" w:color="auto"/>
      </w:divBdr>
    </w:div>
    <w:div w:id="789935216">
      <w:bodyDiv w:val="1"/>
      <w:marLeft w:val="0"/>
      <w:marRight w:val="0"/>
      <w:marTop w:val="0"/>
      <w:marBottom w:val="0"/>
      <w:divBdr>
        <w:top w:val="none" w:sz="0" w:space="0" w:color="auto"/>
        <w:left w:val="none" w:sz="0" w:space="0" w:color="auto"/>
        <w:bottom w:val="none" w:sz="0" w:space="0" w:color="auto"/>
        <w:right w:val="none" w:sz="0" w:space="0" w:color="auto"/>
      </w:divBdr>
    </w:div>
    <w:div w:id="795029249">
      <w:bodyDiv w:val="1"/>
      <w:marLeft w:val="0"/>
      <w:marRight w:val="0"/>
      <w:marTop w:val="0"/>
      <w:marBottom w:val="0"/>
      <w:divBdr>
        <w:top w:val="none" w:sz="0" w:space="0" w:color="auto"/>
        <w:left w:val="none" w:sz="0" w:space="0" w:color="auto"/>
        <w:bottom w:val="none" w:sz="0" w:space="0" w:color="auto"/>
        <w:right w:val="none" w:sz="0" w:space="0" w:color="auto"/>
      </w:divBdr>
    </w:div>
    <w:div w:id="809597658">
      <w:bodyDiv w:val="1"/>
      <w:marLeft w:val="0"/>
      <w:marRight w:val="0"/>
      <w:marTop w:val="0"/>
      <w:marBottom w:val="0"/>
      <w:divBdr>
        <w:top w:val="none" w:sz="0" w:space="0" w:color="auto"/>
        <w:left w:val="none" w:sz="0" w:space="0" w:color="auto"/>
        <w:bottom w:val="none" w:sz="0" w:space="0" w:color="auto"/>
        <w:right w:val="none" w:sz="0" w:space="0" w:color="auto"/>
      </w:divBdr>
    </w:div>
    <w:div w:id="813524494">
      <w:bodyDiv w:val="1"/>
      <w:marLeft w:val="0"/>
      <w:marRight w:val="0"/>
      <w:marTop w:val="0"/>
      <w:marBottom w:val="0"/>
      <w:divBdr>
        <w:top w:val="none" w:sz="0" w:space="0" w:color="auto"/>
        <w:left w:val="none" w:sz="0" w:space="0" w:color="auto"/>
        <w:bottom w:val="none" w:sz="0" w:space="0" w:color="auto"/>
        <w:right w:val="none" w:sz="0" w:space="0" w:color="auto"/>
      </w:divBdr>
    </w:div>
    <w:div w:id="816917673">
      <w:bodyDiv w:val="1"/>
      <w:marLeft w:val="0"/>
      <w:marRight w:val="0"/>
      <w:marTop w:val="0"/>
      <w:marBottom w:val="0"/>
      <w:divBdr>
        <w:top w:val="none" w:sz="0" w:space="0" w:color="auto"/>
        <w:left w:val="none" w:sz="0" w:space="0" w:color="auto"/>
        <w:bottom w:val="none" w:sz="0" w:space="0" w:color="auto"/>
        <w:right w:val="none" w:sz="0" w:space="0" w:color="auto"/>
      </w:divBdr>
    </w:div>
    <w:div w:id="817723601">
      <w:bodyDiv w:val="1"/>
      <w:marLeft w:val="0"/>
      <w:marRight w:val="0"/>
      <w:marTop w:val="0"/>
      <w:marBottom w:val="0"/>
      <w:divBdr>
        <w:top w:val="none" w:sz="0" w:space="0" w:color="auto"/>
        <w:left w:val="none" w:sz="0" w:space="0" w:color="auto"/>
        <w:bottom w:val="none" w:sz="0" w:space="0" w:color="auto"/>
        <w:right w:val="none" w:sz="0" w:space="0" w:color="auto"/>
      </w:divBdr>
    </w:div>
    <w:div w:id="846142270">
      <w:bodyDiv w:val="1"/>
      <w:marLeft w:val="0"/>
      <w:marRight w:val="0"/>
      <w:marTop w:val="0"/>
      <w:marBottom w:val="0"/>
      <w:divBdr>
        <w:top w:val="none" w:sz="0" w:space="0" w:color="auto"/>
        <w:left w:val="none" w:sz="0" w:space="0" w:color="auto"/>
        <w:bottom w:val="none" w:sz="0" w:space="0" w:color="auto"/>
        <w:right w:val="none" w:sz="0" w:space="0" w:color="auto"/>
      </w:divBdr>
    </w:div>
    <w:div w:id="853879246">
      <w:bodyDiv w:val="1"/>
      <w:marLeft w:val="0"/>
      <w:marRight w:val="0"/>
      <w:marTop w:val="0"/>
      <w:marBottom w:val="0"/>
      <w:divBdr>
        <w:top w:val="none" w:sz="0" w:space="0" w:color="auto"/>
        <w:left w:val="none" w:sz="0" w:space="0" w:color="auto"/>
        <w:bottom w:val="none" w:sz="0" w:space="0" w:color="auto"/>
        <w:right w:val="none" w:sz="0" w:space="0" w:color="auto"/>
      </w:divBdr>
    </w:div>
    <w:div w:id="862018197">
      <w:bodyDiv w:val="1"/>
      <w:marLeft w:val="0"/>
      <w:marRight w:val="0"/>
      <w:marTop w:val="0"/>
      <w:marBottom w:val="0"/>
      <w:divBdr>
        <w:top w:val="none" w:sz="0" w:space="0" w:color="auto"/>
        <w:left w:val="none" w:sz="0" w:space="0" w:color="auto"/>
        <w:bottom w:val="none" w:sz="0" w:space="0" w:color="auto"/>
        <w:right w:val="none" w:sz="0" w:space="0" w:color="auto"/>
      </w:divBdr>
    </w:div>
    <w:div w:id="865945988">
      <w:bodyDiv w:val="1"/>
      <w:marLeft w:val="0"/>
      <w:marRight w:val="0"/>
      <w:marTop w:val="0"/>
      <w:marBottom w:val="0"/>
      <w:divBdr>
        <w:top w:val="none" w:sz="0" w:space="0" w:color="auto"/>
        <w:left w:val="none" w:sz="0" w:space="0" w:color="auto"/>
        <w:bottom w:val="none" w:sz="0" w:space="0" w:color="auto"/>
        <w:right w:val="none" w:sz="0" w:space="0" w:color="auto"/>
      </w:divBdr>
    </w:div>
    <w:div w:id="870193296">
      <w:bodyDiv w:val="1"/>
      <w:marLeft w:val="0"/>
      <w:marRight w:val="0"/>
      <w:marTop w:val="0"/>
      <w:marBottom w:val="0"/>
      <w:divBdr>
        <w:top w:val="none" w:sz="0" w:space="0" w:color="auto"/>
        <w:left w:val="none" w:sz="0" w:space="0" w:color="auto"/>
        <w:bottom w:val="none" w:sz="0" w:space="0" w:color="auto"/>
        <w:right w:val="none" w:sz="0" w:space="0" w:color="auto"/>
      </w:divBdr>
    </w:div>
    <w:div w:id="874196407">
      <w:bodyDiv w:val="1"/>
      <w:marLeft w:val="0"/>
      <w:marRight w:val="0"/>
      <w:marTop w:val="0"/>
      <w:marBottom w:val="0"/>
      <w:divBdr>
        <w:top w:val="none" w:sz="0" w:space="0" w:color="auto"/>
        <w:left w:val="none" w:sz="0" w:space="0" w:color="auto"/>
        <w:bottom w:val="none" w:sz="0" w:space="0" w:color="auto"/>
        <w:right w:val="none" w:sz="0" w:space="0" w:color="auto"/>
      </w:divBdr>
      <w:divsChild>
        <w:div w:id="837966149">
          <w:marLeft w:val="0"/>
          <w:marRight w:val="0"/>
          <w:marTop w:val="0"/>
          <w:marBottom w:val="0"/>
          <w:divBdr>
            <w:top w:val="none" w:sz="0" w:space="0" w:color="auto"/>
            <w:left w:val="none" w:sz="0" w:space="0" w:color="auto"/>
            <w:bottom w:val="none" w:sz="0" w:space="0" w:color="auto"/>
            <w:right w:val="none" w:sz="0" w:space="0" w:color="auto"/>
          </w:divBdr>
        </w:div>
      </w:divsChild>
    </w:div>
    <w:div w:id="879241149">
      <w:bodyDiv w:val="1"/>
      <w:marLeft w:val="0"/>
      <w:marRight w:val="0"/>
      <w:marTop w:val="0"/>
      <w:marBottom w:val="0"/>
      <w:divBdr>
        <w:top w:val="none" w:sz="0" w:space="0" w:color="auto"/>
        <w:left w:val="none" w:sz="0" w:space="0" w:color="auto"/>
        <w:bottom w:val="none" w:sz="0" w:space="0" w:color="auto"/>
        <w:right w:val="none" w:sz="0" w:space="0" w:color="auto"/>
      </w:divBdr>
    </w:div>
    <w:div w:id="890310793">
      <w:bodyDiv w:val="1"/>
      <w:marLeft w:val="0"/>
      <w:marRight w:val="0"/>
      <w:marTop w:val="0"/>
      <w:marBottom w:val="0"/>
      <w:divBdr>
        <w:top w:val="none" w:sz="0" w:space="0" w:color="auto"/>
        <w:left w:val="none" w:sz="0" w:space="0" w:color="auto"/>
        <w:bottom w:val="none" w:sz="0" w:space="0" w:color="auto"/>
        <w:right w:val="none" w:sz="0" w:space="0" w:color="auto"/>
      </w:divBdr>
    </w:div>
    <w:div w:id="890535582">
      <w:bodyDiv w:val="1"/>
      <w:marLeft w:val="0"/>
      <w:marRight w:val="0"/>
      <w:marTop w:val="0"/>
      <w:marBottom w:val="0"/>
      <w:divBdr>
        <w:top w:val="none" w:sz="0" w:space="0" w:color="auto"/>
        <w:left w:val="none" w:sz="0" w:space="0" w:color="auto"/>
        <w:bottom w:val="none" w:sz="0" w:space="0" w:color="auto"/>
        <w:right w:val="none" w:sz="0" w:space="0" w:color="auto"/>
      </w:divBdr>
    </w:div>
    <w:div w:id="896011902">
      <w:bodyDiv w:val="1"/>
      <w:marLeft w:val="0"/>
      <w:marRight w:val="0"/>
      <w:marTop w:val="0"/>
      <w:marBottom w:val="0"/>
      <w:divBdr>
        <w:top w:val="none" w:sz="0" w:space="0" w:color="auto"/>
        <w:left w:val="none" w:sz="0" w:space="0" w:color="auto"/>
        <w:bottom w:val="none" w:sz="0" w:space="0" w:color="auto"/>
        <w:right w:val="none" w:sz="0" w:space="0" w:color="auto"/>
      </w:divBdr>
    </w:div>
    <w:div w:id="897712373">
      <w:bodyDiv w:val="1"/>
      <w:marLeft w:val="0"/>
      <w:marRight w:val="0"/>
      <w:marTop w:val="0"/>
      <w:marBottom w:val="0"/>
      <w:divBdr>
        <w:top w:val="none" w:sz="0" w:space="0" w:color="auto"/>
        <w:left w:val="none" w:sz="0" w:space="0" w:color="auto"/>
        <w:bottom w:val="none" w:sz="0" w:space="0" w:color="auto"/>
        <w:right w:val="none" w:sz="0" w:space="0" w:color="auto"/>
      </w:divBdr>
    </w:div>
    <w:div w:id="909770978">
      <w:bodyDiv w:val="1"/>
      <w:marLeft w:val="0"/>
      <w:marRight w:val="0"/>
      <w:marTop w:val="0"/>
      <w:marBottom w:val="0"/>
      <w:divBdr>
        <w:top w:val="none" w:sz="0" w:space="0" w:color="auto"/>
        <w:left w:val="none" w:sz="0" w:space="0" w:color="auto"/>
        <w:bottom w:val="none" w:sz="0" w:space="0" w:color="auto"/>
        <w:right w:val="none" w:sz="0" w:space="0" w:color="auto"/>
      </w:divBdr>
    </w:div>
    <w:div w:id="912468648">
      <w:bodyDiv w:val="1"/>
      <w:marLeft w:val="0"/>
      <w:marRight w:val="0"/>
      <w:marTop w:val="0"/>
      <w:marBottom w:val="0"/>
      <w:divBdr>
        <w:top w:val="none" w:sz="0" w:space="0" w:color="auto"/>
        <w:left w:val="none" w:sz="0" w:space="0" w:color="auto"/>
        <w:bottom w:val="none" w:sz="0" w:space="0" w:color="auto"/>
        <w:right w:val="none" w:sz="0" w:space="0" w:color="auto"/>
      </w:divBdr>
    </w:div>
    <w:div w:id="923300601">
      <w:bodyDiv w:val="1"/>
      <w:marLeft w:val="0"/>
      <w:marRight w:val="0"/>
      <w:marTop w:val="0"/>
      <w:marBottom w:val="0"/>
      <w:divBdr>
        <w:top w:val="none" w:sz="0" w:space="0" w:color="auto"/>
        <w:left w:val="none" w:sz="0" w:space="0" w:color="auto"/>
        <w:bottom w:val="none" w:sz="0" w:space="0" w:color="auto"/>
        <w:right w:val="none" w:sz="0" w:space="0" w:color="auto"/>
      </w:divBdr>
    </w:div>
    <w:div w:id="925922053">
      <w:bodyDiv w:val="1"/>
      <w:marLeft w:val="0"/>
      <w:marRight w:val="0"/>
      <w:marTop w:val="0"/>
      <w:marBottom w:val="0"/>
      <w:divBdr>
        <w:top w:val="none" w:sz="0" w:space="0" w:color="auto"/>
        <w:left w:val="none" w:sz="0" w:space="0" w:color="auto"/>
        <w:bottom w:val="none" w:sz="0" w:space="0" w:color="auto"/>
        <w:right w:val="none" w:sz="0" w:space="0" w:color="auto"/>
      </w:divBdr>
    </w:div>
    <w:div w:id="928856065">
      <w:bodyDiv w:val="1"/>
      <w:marLeft w:val="0"/>
      <w:marRight w:val="0"/>
      <w:marTop w:val="0"/>
      <w:marBottom w:val="0"/>
      <w:divBdr>
        <w:top w:val="none" w:sz="0" w:space="0" w:color="auto"/>
        <w:left w:val="none" w:sz="0" w:space="0" w:color="auto"/>
        <w:bottom w:val="none" w:sz="0" w:space="0" w:color="auto"/>
        <w:right w:val="none" w:sz="0" w:space="0" w:color="auto"/>
      </w:divBdr>
    </w:div>
    <w:div w:id="946696912">
      <w:bodyDiv w:val="1"/>
      <w:marLeft w:val="0"/>
      <w:marRight w:val="0"/>
      <w:marTop w:val="0"/>
      <w:marBottom w:val="0"/>
      <w:divBdr>
        <w:top w:val="none" w:sz="0" w:space="0" w:color="auto"/>
        <w:left w:val="none" w:sz="0" w:space="0" w:color="auto"/>
        <w:bottom w:val="none" w:sz="0" w:space="0" w:color="auto"/>
        <w:right w:val="none" w:sz="0" w:space="0" w:color="auto"/>
      </w:divBdr>
    </w:div>
    <w:div w:id="951984203">
      <w:bodyDiv w:val="1"/>
      <w:marLeft w:val="0"/>
      <w:marRight w:val="0"/>
      <w:marTop w:val="0"/>
      <w:marBottom w:val="0"/>
      <w:divBdr>
        <w:top w:val="none" w:sz="0" w:space="0" w:color="auto"/>
        <w:left w:val="none" w:sz="0" w:space="0" w:color="auto"/>
        <w:bottom w:val="none" w:sz="0" w:space="0" w:color="auto"/>
        <w:right w:val="none" w:sz="0" w:space="0" w:color="auto"/>
      </w:divBdr>
    </w:div>
    <w:div w:id="975523842">
      <w:bodyDiv w:val="1"/>
      <w:marLeft w:val="0"/>
      <w:marRight w:val="0"/>
      <w:marTop w:val="0"/>
      <w:marBottom w:val="0"/>
      <w:divBdr>
        <w:top w:val="none" w:sz="0" w:space="0" w:color="auto"/>
        <w:left w:val="none" w:sz="0" w:space="0" w:color="auto"/>
        <w:bottom w:val="none" w:sz="0" w:space="0" w:color="auto"/>
        <w:right w:val="none" w:sz="0" w:space="0" w:color="auto"/>
      </w:divBdr>
    </w:div>
    <w:div w:id="978536623">
      <w:bodyDiv w:val="1"/>
      <w:marLeft w:val="0"/>
      <w:marRight w:val="0"/>
      <w:marTop w:val="0"/>
      <w:marBottom w:val="0"/>
      <w:divBdr>
        <w:top w:val="none" w:sz="0" w:space="0" w:color="auto"/>
        <w:left w:val="none" w:sz="0" w:space="0" w:color="auto"/>
        <w:bottom w:val="none" w:sz="0" w:space="0" w:color="auto"/>
        <w:right w:val="none" w:sz="0" w:space="0" w:color="auto"/>
      </w:divBdr>
    </w:div>
    <w:div w:id="979961992">
      <w:bodyDiv w:val="1"/>
      <w:marLeft w:val="0"/>
      <w:marRight w:val="0"/>
      <w:marTop w:val="0"/>
      <w:marBottom w:val="0"/>
      <w:divBdr>
        <w:top w:val="none" w:sz="0" w:space="0" w:color="auto"/>
        <w:left w:val="none" w:sz="0" w:space="0" w:color="auto"/>
        <w:bottom w:val="none" w:sz="0" w:space="0" w:color="auto"/>
        <w:right w:val="none" w:sz="0" w:space="0" w:color="auto"/>
      </w:divBdr>
    </w:div>
    <w:div w:id="999498675">
      <w:bodyDiv w:val="1"/>
      <w:marLeft w:val="0"/>
      <w:marRight w:val="0"/>
      <w:marTop w:val="0"/>
      <w:marBottom w:val="0"/>
      <w:divBdr>
        <w:top w:val="none" w:sz="0" w:space="0" w:color="auto"/>
        <w:left w:val="none" w:sz="0" w:space="0" w:color="auto"/>
        <w:bottom w:val="none" w:sz="0" w:space="0" w:color="auto"/>
        <w:right w:val="none" w:sz="0" w:space="0" w:color="auto"/>
      </w:divBdr>
    </w:div>
    <w:div w:id="1002507466">
      <w:bodyDiv w:val="1"/>
      <w:marLeft w:val="0"/>
      <w:marRight w:val="0"/>
      <w:marTop w:val="0"/>
      <w:marBottom w:val="0"/>
      <w:divBdr>
        <w:top w:val="none" w:sz="0" w:space="0" w:color="auto"/>
        <w:left w:val="none" w:sz="0" w:space="0" w:color="auto"/>
        <w:bottom w:val="none" w:sz="0" w:space="0" w:color="auto"/>
        <w:right w:val="none" w:sz="0" w:space="0" w:color="auto"/>
      </w:divBdr>
    </w:div>
    <w:div w:id="1009217052">
      <w:bodyDiv w:val="1"/>
      <w:marLeft w:val="0"/>
      <w:marRight w:val="0"/>
      <w:marTop w:val="0"/>
      <w:marBottom w:val="0"/>
      <w:divBdr>
        <w:top w:val="none" w:sz="0" w:space="0" w:color="auto"/>
        <w:left w:val="none" w:sz="0" w:space="0" w:color="auto"/>
        <w:bottom w:val="none" w:sz="0" w:space="0" w:color="auto"/>
        <w:right w:val="none" w:sz="0" w:space="0" w:color="auto"/>
      </w:divBdr>
    </w:div>
    <w:div w:id="1017653339">
      <w:bodyDiv w:val="1"/>
      <w:marLeft w:val="0"/>
      <w:marRight w:val="0"/>
      <w:marTop w:val="0"/>
      <w:marBottom w:val="0"/>
      <w:divBdr>
        <w:top w:val="none" w:sz="0" w:space="0" w:color="auto"/>
        <w:left w:val="none" w:sz="0" w:space="0" w:color="auto"/>
        <w:bottom w:val="none" w:sz="0" w:space="0" w:color="auto"/>
        <w:right w:val="none" w:sz="0" w:space="0" w:color="auto"/>
      </w:divBdr>
    </w:div>
    <w:div w:id="1020474731">
      <w:bodyDiv w:val="1"/>
      <w:marLeft w:val="0"/>
      <w:marRight w:val="0"/>
      <w:marTop w:val="0"/>
      <w:marBottom w:val="0"/>
      <w:divBdr>
        <w:top w:val="none" w:sz="0" w:space="0" w:color="auto"/>
        <w:left w:val="none" w:sz="0" w:space="0" w:color="auto"/>
        <w:bottom w:val="none" w:sz="0" w:space="0" w:color="auto"/>
        <w:right w:val="none" w:sz="0" w:space="0" w:color="auto"/>
      </w:divBdr>
    </w:div>
    <w:div w:id="1030226973">
      <w:bodyDiv w:val="1"/>
      <w:marLeft w:val="0"/>
      <w:marRight w:val="0"/>
      <w:marTop w:val="0"/>
      <w:marBottom w:val="0"/>
      <w:divBdr>
        <w:top w:val="none" w:sz="0" w:space="0" w:color="auto"/>
        <w:left w:val="none" w:sz="0" w:space="0" w:color="auto"/>
        <w:bottom w:val="none" w:sz="0" w:space="0" w:color="auto"/>
        <w:right w:val="none" w:sz="0" w:space="0" w:color="auto"/>
      </w:divBdr>
    </w:div>
    <w:div w:id="1031145204">
      <w:bodyDiv w:val="1"/>
      <w:marLeft w:val="0"/>
      <w:marRight w:val="0"/>
      <w:marTop w:val="0"/>
      <w:marBottom w:val="0"/>
      <w:divBdr>
        <w:top w:val="none" w:sz="0" w:space="0" w:color="auto"/>
        <w:left w:val="none" w:sz="0" w:space="0" w:color="auto"/>
        <w:bottom w:val="none" w:sz="0" w:space="0" w:color="auto"/>
        <w:right w:val="none" w:sz="0" w:space="0" w:color="auto"/>
      </w:divBdr>
    </w:div>
    <w:div w:id="1032651503">
      <w:bodyDiv w:val="1"/>
      <w:marLeft w:val="0"/>
      <w:marRight w:val="0"/>
      <w:marTop w:val="0"/>
      <w:marBottom w:val="0"/>
      <w:divBdr>
        <w:top w:val="none" w:sz="0" w:space="0" w:color="auto"/>
        <w:left w:val="none" w:sz="0" w:space="0" w:color="auto"/>
        <w:bottom w:val="none" w:sz="0" w:space="0" w:color="auto"/>
        <w:right w:val="none" w:sz="0" w:space="0" w:color="auto"/>
      </w:divBdr>
    </w:div>
    <w:div w:id="1038045680">
      <w:bodyDiv w:val="1"/>
      <w:marLeft w:val="0"/>
      <w:marRight w:val="0"/>
      <w:marTop w:val="0"/>
      <w:marBottom w:val="0"/>
      <w:divBdr>
        <w:top w:val="none" w:sz="0" w:space="0" w:color="auto"/>
        <w:left w:val="none" w:sz="0" w:space="0" w:color="auto"/>
        <w:bottom w:val="none" w:sz="0" w:space="0" w:color="auto"/>
        <w:right w:val="none" w:sz="0" w:space="0" w:color="auto"/>
      </w:divBdr>
    </w:div>
    <w:div w:id="1042245753">
      <w:bodyDiv w:val="1"/>
      <w:marLeft w:val="0"/>
      <w:marRight w:val="0"/>
      <w:marTop w:val="0"/>
      <w:marBottom w:val="0"/>
      <w:divBdr>
        <w:top w:val="none" w:sz="0" w:space="0" w:color="auto"/>
        <w:left w:val="none" w:sz="0" w:space="0" w:color="auto"/>
        <w:bottom w:val="none" w:sz="0" w:space="0" w:color="auto"/>
        <w:right w:val="none" w:sz="0" w:space="0" w:color="auto"/>
      </w:divBdr>
      <w:divsChild>
        <w:div w:id="68968660">
          <w:marLeft w:val="0"/>
          <w:marRight w:val="0"/>
          <w:marTop w:val="0"/>
          <w:marBottom w:val="0"/>
          <w:divBdr>
            <w:top w:val="none" w:sz="0" w:space="0" w:color="auto"/>
            <w:left w:val="none" w:sz="0" w:space="0" w:color="auto"/>
            <w:bottom w:val="none" w:sz="0" w:space="0" w:color="auto"/>
            <w:right w:val="none" w:sz="0" w:space="0" w:color="auto"/>
          </w:divBdr>
        </w:div>
      </w:divsChild>
    </w:div>
    <w:div w:id="1042293841">
      <w:bodyDiv w:val="1"/>
      <w:marLeft w:val="0"/>
      <w:marRight w:val="0"/>
      <w:marTop w:val="0"/>
      <w:marBottom w:val="0"/>
      <w:divBdr>
        <w:top w:val="none" w:sz="0" w:space="0" w:color="auto"/>
        <w:left w:val="none" w:sz="0" w:space="0" w:color="auto"/>
        <w:bottom w:val="none" w:sz="0" w:space="0" w:color="auto"/>
        <w:right w:val="none" w:sz="0" w:space="0" w:color="auto"/>
      </w:divBdr>
    </w:div>
    <w:div w:id="1045251561">
      <w:bodyDiv w:val="1"/>
      <w:marLeft w:val="0"/>
      <w:marRight w:val="0"/>
      <w:marTop w:val="0"/>
      <w:marBottom w:val="0"/>
      <w:divBdr>
        <w:top w:val="none" w:sz="0" w:space="0" w:color="auto"/>
        <w:left w:val="none" w:sz="0" w:space="0" w:color="auto"/>
        <w:bottom w:val="none" w:sz="0" w:space="0" w:color="auto"/>
        <w:right w:val="none" w:sz="0" w:space="0" w:color="auto"/>
      </w:divBdr>
    </w:div>
    <w:div w:id="1065181962">
      <w:bodyDiv w:val="1"/>
      <w:marLeft w:val="0"/>
      <w:marRight w:val="0"/>
      <w:marTop w:val="0"/>
      <w:marBottom w:val="0"/>
      <w:divBdr>
        <w:top w:val="none" w:sz="0" w:space="0" w:color="auto"/>
        <w:left w:val="none" w:sz="0" w:space="0" w:color="auto"/>
        <w:bottom w:val="none" w:sz="0" w:space="0" w:color="auto"/>
        <w:right w:val="none" w:sz="0" w:space="0" w:color="auto"/>
      </w:divBdr>
    </w:div>
    <w:div w:id="1072702855">
      <w:bodyDiv w:val="1"/>
      <w:marLeft w:val="0"/>
      <w:marRight w:val="0"/>
      <w:marTop w:val="0"/>
      <w:marBottom w:val="0"/>
      <w:divBdr>
        <w:top w:val="none" w:sz="0" w:space="0" w:color="auto"/>
        <w:left w:val="none" w:sz="0" w:space="0" w:color="auto"/>
        <w:bottom w:val="none" w:sz="0" w:space="0" w:color="auto"/>
        <w:right w:val="none" w:sz="0" w:space="0" w:color="auto"/>
      </w:divBdr>
    </w:div>
    <w:div w:id="1073352564">
      <w:bodyDiv w:val="1"/>
      <w:marLeft w:val="0"/>
      <w:marRight w:val="0"/>
      <w:marTop w:val="0"/>
      <w:marBottom w:val="0"/>
      <w:divBdr>
        <w:top w:val="none" w:sz="0" w:space="0" w:color="auto"/>
        <w:left w:val="none" w:sz="0" w:space="0" w:color="auto"/>
        <w:bottom w:val="none" w:sz="0" w:space="0" w:color="auto"/>
        <w:right w:val="none" w:sz="0" w:space="0" w:color="auto"/>
      </w:divBdr>
    </w:div>
    <w:div w:id="1092824279">
      <w:bodyDiv w:val="1"/>
      <w:marLeft w:val="0"/>
      <w:marRight w:val="0"/>
      <w:marTop w:val="0"/>
      <w:marBottom w:val="0"/>
      <w:divBdr>
        <w:top w:val="none" w:sz="0" w:space="0" w:color="auto"/>
        <w:left w:val="none" w:sz="0" w:space="0" w:color="auto"/>
        <w:bottom w:val="none" w:sz="0" w:space="0" w:color="auto"/>
        <w:right w:val="none" w:sz="0" w:space="0" w:color="auto"/>
      </w:divBdr>
    </w:div>
    <w:div w:id="1103957788">
      <w:bodyDiv w:val="1"/>
      <w:marLeft w:val="0"/>
      <w:marRight w:val="0"/>
      <w:marTop w:val="0"/>
      <w:marBottom w:val="0"/>
      <w:divBdr>
        <w:top w:val="none" w:sz="0" w:space="0" w:color="auto"/>
        <w:left w:val="none" w:sz="0" w:space="0" w:color="auto"/>
        <w:bottom w:val="none" w:sz="0" w:space="0" w:color="auto"/>
        <w:right w:val="none" w:sz="0" w:space="0" w:color="auto"/>
      </w:divBdr>
    </w:div>
    <w:div w:id="1115445085">
      <w:bodyDiv w:val="1"/>
      <w:marLeft w:val="0"/>
      <w:marRight w:val="0"/>
      <w:marTop w:val="0"/>
      <w:marBottom w:val="0"/>
      <w:divBdr>
        <w:top w:val="none" w:sz="0" w:space="0" w:color="auto"/>
        <w:left w:val="none" w:sz="0" w:space="0" w:color="auto"/>
        <w:bottom w:val="none" w:sz="0" w:space="0" w:color="auto"/>
        <w:right w:val="none" w:sz="0" w:space="0" w:color="auto"/>
      </w:divBdr>
      <w:divsChild>
        <w:div w:id="195972430">
          <w:marLeft w:val="0"/>
          <w:marRight w:val="0"/>
          <w:marTop w:val="0"/>
          <w:marBottom w:val="0"/>
          <w:divBdr>
            <w:top w:val="none" w:sz="0" w:space="0" w:color="auto"/>
            <w:left w:val="none" w:sz="0" w:space="0" w:color="auto"/>
            <w:bottom w:val="none" w:sz="0" w:space="0" w:color="auto"/>
            <w:right w:val="none" w:sz="0" w:space="0" w:color="auto"/>
          </w:divBdr>
        </w:div>
      </w:divsChild>
    </w:div>
    <w:div w:id="1133907660">
      <w:bodyDiv w:val="1"/>
      <w:marLeft w:val="0"/>
      <w:marRight w:val="0"/>
      <w:marTop w:val="0"/>
      <w:marBottom w:val="0"/>
      <w:divBdr>
        <w:top w:val="none" w:sz="0" w:space="0" w:color="auto"/>
        <w:left w:val="none" w:sz="0" w:space="0" w:color="auto"/>
        <w:bottom w:val="none" w:sz="0" w:space="0" w:color="auto"/>
        <w:right w:val="none" w:sz="0" w:space="0" w:color="auto"/>
      </w:divBdr>
    </w:div>
    <w:div w:id="1152866830">
      <w:bodyDiv w:val="1"/>
      <w:marLeft w:val="0"/>
      <w:marRight w:val="0"/>
      <w:marTop w:val="0"/>
      <w:marBottom w:val="0"/>
      <w:divBdr>
        <w:top w:val="none" w:sz="0" w:space="0" w:color="auto"/>
        <w:left w:val="none" w:sz="0" w:space="0" w:color="auto"/>
        <w:bottom w:val="none" w:sz="0" w:space="0" w:color="auto"/>
        <w:right w:val="none" w:sz="0" w:space="0" w:color="auto"/>
      </w:divBdr>
    </w:div>
    <w:div w:id="1208378572">
      <w:bodyDiv w:val="1"/>
      <w:marLeft w:val="0"/>
      <w:marRight w:val="0"/>
      <w:marTop w:val="0"/>
      <w:marBottom w:val="0"/>
      <w:divBdr>
        <w:top w:val="none" w:sz="0" w:space="0" w:color="auto"/>
        <w:left w:val="none" w:sz="0" w:space="0" w:color="auto"/>
        <w:bottom w:val="none" w:sz="0" w:space="0" w:color="auto"/>
        <w:right w:val="none" w:sz="0" w:space="0" w:color="auto"/>
      </w:divBdr>
    </w:div>
    <w:div w:id="1232883107">
      <w:bodyDiv w:val="1"/>
      <w:marLeft w:val="0"/>
      <w:marRight w:val="0"/>
      <w:marTop w:val="0"/>
      <w:marBottom w:val="0"/>
      <w:divBdr>
        <w:top w:val="none" w:sz="0" w:space="0" w:color="auto"/>
        <w:left w:val="none" w:sz="0" w:space="0" w:color="auto"/>
        <w:bottom w:val="none" w:sz="0" w:space="0" w:color="auto"/>
        <w:right w:val="none" w:sz="0" w:space="0" w:color="auto"/>
      </w:divBdr>
    </w:div>
    <w:div w:id="1237402407">
      <w:bodyDiv w:val="1"/>
      <w:marLeft w:val="0"/>
      <w:marRight w:val="0"/>
      <w:marTop w:val="0"/>
      <w:marBottom w:val="0"/>
      <w:divBdr>
        <w:top w:val="none" w:sz="0" w:space="0" w:color="auto"/>
        <w:left w:val="none" w:sz="0" w:space="0" w:color="auto"/>
        <w:bottom w:val="none" w:sz="0" w:space="0" w:color="auto"/>
        <w:right w:val="none" w:sz="0" w:space="0" w:color="auto"/>
      </w:divBdr>
    </w:div>
    <w:div w:id="1246527398">
      <w:bodyDiv w:val="1"/>
      <w:marLeft w:val="0"/>
      <w:marRight w:val="0"/>
      <w:marTop w:val="0"/>
      <w:marBottom w:val="0"/>
      <w:divBdr>
        <w:top w:val="none" w:sz="0" w:space="0" w:color="auto"/>
        <w:left w:val="none" w:sz="0" w:space="0" w:color="auto"/>
        <w:bottom w:val="none" w:sz="0" w:space="0" w:color="auto"/>
        <w:right w:val="none" w:sz="0" w:space="0" w:color="auto"/>
      </w:divBdr>
    </w:div>
    <w:div w:id="1254124655">
      <w:bodyDiv w:val="1"/>
      <w:marLeft w:val="0"/>
      <w:marRight w:val="0"/>
      <w:marTop w:val="0"/>
      <w:marBottom w:val="0"/>
      <w:divBdr>
        <w:top w:val="none" w:sz="0" w:space="0" w:color="auto"/>
        <w:left w:val="none" w:sz="0" w:space="0" w:color="auto"/>
        <w:bottom w:val="none" w:sz="0" w:space="0" w:color="auto"/>
        <w:right w:val="none" w:sz="0" w:space="0" w:color="auto"/>
      </w:divBdr>
    </w:div>
    <w:div w:id="1254702384">
      <w:bodyDiv w:val="1"/>
      <w:marLeft w:val="0"/>
      <w:marRight w:val="0"/>
      <w:marTop w:val="0"/>
      <w:marBottom w:val="0"/>
      <w:divBdr>
        <w:top w:val="none" w:sz="0" w:space="0" w:color="auto"/>
        <w:left w:val="none" w:sz="0" w:space="0" w:color="auto"/>
        <w:bottom w:val="none" w:sz="0" w:space="0" w:color="auto"/>
        <w:right w:val="none" w:sz="0" w:space="0" w:color="auto"/>
      </w:divBdr>
    </w:div>
    <w:div w:id="1280142424">
      <w:bodyDiv w:val="1"/>
      <w:marLeft w:val="0"/>
      <w:marRight w:val="0"/>
      <w:marTop w:val="0"/>
      <w:marBottom w:val="0"/>
      <w:divBdr>
        <w:top w:val="none" w:sz="0" w:space="0" w:color="auto"/>
        <w:left w:val="none" w:sz="0" w:space="0" w:color="auto"/>
        <w:bottom w:val="none" w:sz="0" w:space="0" w:color="auto"/>
        <w:right w:val="none" w:sz="0" w:space="0" w:color="auto"/>
      </w:divBdr>
    </w:div>
    <w:div w:id="1293559049">
      <w:bodyDiv w:val="1"/>
      <w:marLeft w:val="0"/>
      <w:marRight w:val="0"/>
      <w:marTop w:val="0"/>
      <w:marBottom w:val="0"/>
      <w:divBdr>
        <w:top w:val="none" w:sz="0" w:space="0" w:color="auto"/>
        <w:left w:val="none" w:sz="0" w:space="0" w:color="auto"/>
        <w:bottom w:val="none" w:sz="0" w:space="0" w:color="auto"/>
        <w:right w:val="none" w:sz="0" w:space="0" w:color="auto"/>
      </w:divBdr>
    </w:div>
    <w:div w:id="1298141750">
      <w:bodyDiv w:val="1"/>
      <w:marLeft w:val="0"/>
      <w:marRight w:val="0"/>
      <w:marTop w:val="0"/>
      <w:marBottom w:val="0"/>
      <w:divBdr>
        <w:top w:val="none" w:sz="0" w:space="0" w:color="auto"/>
        <w:left w:val="none" w:sz="0" w:space="0" w:color="auto"/>
        <w:bottom w:val="none" w:sz="0" w:space="0" w:color="auto"/>
        <w:right w:val="none" w:sz="0" w:space="0" w:color="auto"/>
      </w:divBdr>
    </w:div>
    <w:div w:id="1322275413">
      <w:bodyDiv w:val="1"/>
      <w:marLeft w:val="0"/>
      <w:marRight w:val="0"/>
      <w:marTop w:val="0"/>
      <w:marBottom w:val="0"/>
      <w:divBdr>
        <w:top w:val="none" w:sz="0" w:space="0" w:color="auto"/>
        <w:left w:val="none" w:sz="0" w:space="0" w:color="auto"/>
        <w:bottom w:val="none" w:sz="0" w:space="0" w:color="auto"/>
        <w:right w:val="none" w:sz="0" w:space="0" w:color="auto"/>
      </w:divBdr>
      <w:divsChild>
        <w:div w:id="1444571645">
          <w:marLeft w:val="0"/>
          <w:marRight w:val="0"/>
          <w:marTop w:val="0"/>
          <w:marBottom w:val="0"/>
          <w:divBdr>
            <w:top w:val="none" w:sz="0" w:space="0" w:color="auto"/>
            <w:left w:val="none" w:sz="0" w:space="0" w:color="auto"/>
            <w:bottom w:val="none" w:sz="0" w:space="0" w:color="auto"/>
            <w:right w:val="none" w:sz="0" w:space="0" w:color="auto"/>
          </w:divBdr>
        </w:div>
      </w:divsChild>
    </w:div>
    <w:div w:id="1322805261">
      <w:bodyDiv w:val="1"/>
      <w:marLeft w:val="0"/>
      <w:marRight w:val="0"/>
      <w:marTop w:val="0"/>
      <w:marBottom w:val="0"/>
      <w:divBdr>
        <w:top w:val="none" w:sz="0" w:space="0" w:color="auto"/>
        <w:left w:val="none" w:sz="0" w:space="0" w:color="auto"/>
        <w:bottom w:val="none" w:sz="0" w:space="0" w:color="auto"/>
        <w:right w:val="none" w:sz="0" w:space="0" w:color="auto"/>
      </w:divBdr>
    </w:div>
    <w:div w:id="1338731038">
      <w:bodyDiv w:val="1"/>
      <w:marLeft w:val="0"/>
      <w:marRight w:val="0"/>
      <w:marTop w:val="0"/>
      <w:marBottom w:val="0"/>
      <w:divBdr>
        <w:top w:val="none" w:sz="0" w:space="0" w:color="auto"/>
        <w:left w:val="none" w:sz="0" w:space="0" w:color="auto"/>
        <w:bottom w:val="none" w:sz="0" w:space="0" w:color="auto"/>
        <w:right w:val="none" w:sz="0" w:space="0" w:color="auto"/>
      </w:divBdr>
    </w:div>
    <w:div w:id="1343707099">
      <w:bodyDiv w:val="1"/>
      <w:marLeft w:val="0"/>
      <w:marRight w:val="0"/>
      <w:marTop w:val="0"/>
      <w:marBottom w:val="0"/>
      <w:divBdr>
        <w:top w:val="none" w:sz="0" w:space="0" w:color="auto"/>
        <w:left w:val="none" w:sz="0" w:space="0" w:color="auto"/>
        <w:bottom w:val="none" w:sz="0" w:space="0" w:color="auto"/>
        <w:right w:val="none" w:sz="0" w:space="0" w:color="auto"/>
      </w:divBdr>
    </w:div>
    <w:div w:id="1345593590">
      <w:bodyDiv w:val="1"/>
      <w:marLeft w:val="0"/>
      <w:marRight w:val="0"/>
      <w:marTop w:val="0"/>
      <w:marBottom w:val="0"/>
      <w:divBdr>
        <w:top w:val="none" w:sz="0" w:space="0" w:color="auto"/>
        <w:left w:val="none" w:sz="0" w:space="0" w:color="auto"/>
        <w:bottom w:val="none" w:sz="0" w:space="0" w:color="auto"/>
        <w:right w:val="none" w:sz="0" w:space="0" w:color="auto"/>
      </w:divBdr>
    </w:div>
    <w:div w:id="1352874298">
      <w:bodyDiv w:val="1"/>
      <w:marLeft w:val="0"/>
      <w:marRight w:val="0"/>
      <w:marTop w:val="0"/>
      <w:marBottom w:val="0"/>
      <w:divBdr>
        <w:top w:val="none" w:sz="0" w:space="0" w:color="auto"/>
        <w:left w:val="none" w:sz="0" w:space="0" w:color="auto"/>
        <w:bottom w:val="none" w:sz="0" w:space="0" w:color="auto"/>
        <w:right w:val="none" w:sz="0" w:space="0" w:color="auto"/>
      </w:divBdr>
    </w:div>
    <w:div w:id="1370254493">
      <w:bodyDiv w:val="1"/>
      <w:marLeft w:val="0"/>
      <w:marRight w:val="0"/>
      <w:marTop w:val="0"/>
      <w:marBottom w:val="0"/>
      <w:divBdr>
        <w:top w:val="none" w:sz="0" w:space="0" w:color="auto"/>
        <w:left w:val="none" w:sz="0" w:space="0" w:color="auto"/>
        <w:bottom w:val="none" w:sz="0" w:space="0" w:color="auto"/>
        <w:right w:val="none" w:sz="0" w:space="0" w:color="auto"/>
      </w:divBdr>
    </w:div>
    <w:div w:id="1373964144">
      <w:bodyDiv w:val="1"/>
      <w:marLeft w:val="0"/>
      <w:marRight w:val="0"/>
      <w:marTop w:val="0"/>
      <w:marBottom w:val="0"/>
      <w:divBdr>
        <w:top w:val="none" w:sz="0" w:space="0" w:color="auto"/>
        <w:left w:val="none" w:sz="0" w:space="0" w:color="auto"/>
        <w:bottom w:val="none" w:sz="0" w:space="0" w:color="auto"/>
        <w:right w:val="none" w:sz="0" w:space="0" w:color="auto"/>
      </w:divBdr>
    </w:div>
    <w:div w:id="1381397006">
      <w:bodyDiv w:val="1"/>
      <w:marLeft w:val="0"/>
      <w:marRight w:val="0"/>
      <w:marTop w:val="0"/>
      <w:marBottom w:val="0"/>
      <w:divBdr>
        <w:top w:val="none" w:sz="0" w:space="0" w:color="auto"/>
        <w:left w:val="none" w:sz="0" w:space="0" w:color="auto"/>
        <w:bottom w:val="none" w:sz="0" w:space="0" w:color="auto"/>
        <w:right w:val="none" w:sz="0" w:space="0" w:color="auto"/>
      </w:divBdr>
    </w:div>
    <w:div w:id="1389959804">
      <w:bodyDiv w:val="1"/>
      <w:marLeft w:val="0"/>
      <w:marRight w:val="0"/>
      <w:marTop w:val="0"/>
      <w:marBottom w:val="0"/>
      <w:divBdr>
        <w:top w:val="none" w:sz="0" w:space="0" w:color="auto"/>
        <w:left w:val="none" w:sz="0" w:space="0" w:color="auto"/>
        <w:bottom w:val="none" w:sz="0" w:space="0" w:color="auto"/>
        <w:right w:val="none" w:sz="0" w:space="0" w:color="auto"/>
      </w:divBdr>
    </w:div>
    <w:div w:id="1390156051">
      <w:bodyDiv w:val="1"/>
      <w:marLeft w:val="0"/>
      <w:marRight w:val="0"/>
      <w:marTop w:val="0"/>
      <w:marBottom w:val="0"/>
      <w:divBdr>
        <w:top w:val="none" w:sz="0" w:space="0" w:color="auto"/>
        <w:left w:val="none" w:sz="0" w:space="0" w:color="auto"/>
        <w:bottom w:val="none" w:sz="0" w:space="0" w:color="auto"/>
        <w:right w:val="none" w:sz="0" w:space="0" w:color="auto"/>
      </w:divBdr>
    </w:div>
    <w:div w:id="1397052595">
      <w:bodyDiv w:val="1"/>
      <w:marLeft w:val="0"/>
      <w:marRight w:val="0"/>
      <w:marTop w:val="0"/>
      <w:marBottom w:val="0"/>
      <w:divBdr>
        <w:top w:val="none" w:sz="0" w:space="0" w:color="auto"/>
        <w:left w:val="none" w:sz="0" w:space="0" w:color="auto"/>
        <w:bottom w:val="none" w:sz="0" w:space="0" w:color="auto"/>
        <w:right w:val="none" w:sz="0" w:space="0" w:color="auto"/>
      </w:divBdr>
    </w:div>
    <w:div w:id="1403328614">
      <w:bodyDiv w:val="1"/>
      <w:marLeft w:val="0"/>
      <w:marRight w:val="0"/>
      <w:marTop w:val="0"/>
      <w:marBottom w:val="0"/>
      <w:divBdr>
        <w:top w:val="none" w:sz="0" w:space="0" w:color="auto"/>
        <w:left w:val="none" w:sz="0" w:space="0" w:color="auto"/>
        <w:bottom w:val="none" w:sz="0" w:space="0" w:color="auto"/>
        <w:right w:val="none" w:sz="0" w:space="0" w:color="auto"/>
      </w:divBdr>
    </w:div>
    <w:div w:id="1403404625">
      <w:bodyDiv w:val="1"/>
      <w:marLeft w:val="0"/>
      <w:marRight w:val="0"/>
      <w:marTop w:val="0"/>
      <w:marBottom w:val="0"/>
      <w:divBdr>
        <w:top w:val="none" w:sz="0" w:space="0" w:color="auto"/>
        <w:left w:val="none" w:sz="0" w:space="0" w:color="auto"/>
        <w:bottom w:val="none" w:sz="0" w:space="0" w:color="auto"/>
        <w:right w:val="none" w:sz="0" w:space="0" w:color="auto"/>
      </w:divBdr>
    </w:div>
    <w:div w:id="1407997922">
      <w:bodyDiv w:val="1"/>
      <w:marLeft w:val="0"/>
      <w:marRight w:val="0"/>
      <w:marTop w:val="0"/>
      <w:marBottom w:val="0"/>
      <w:divBdr>
        <w:top w:val="none" w:sz="0" w:space="0" w:color="auto"/>
        <w:left w:val="none" w:sz="0" w:space="0" w:color="auto"/>
        <w:bottom w:val="none" w:sz="0" w:space="0" w:color="auto"/>
        <w:right w:val="none" w:sz="0" w:space="0" w:color="auto"/>
      </w:divBdr>
    </w:div>
    <w:div w:id="1410232797">
      <w:bodyDiv w:val="1"/>
      <w:marLeft w:val="0"/>
      <w:marRight w:val="0"/>
      <w:marTop w:val="0"/>
      <w:marBottom w:val="0"/>
      <w:divBdr>
        <w:top w:val="none" w:sz="0" w:space="0" w:color="auto"/>
        <w:left w:val="none" w:sz="0" w:space="0" w:color="auto"/>
        <w:bottom w:val="none" w:sz="0" w:space="0" w:color="auto"/>
        <w:right w:val="none" w:sz="0" w:space="0" w:color="auto"/>
      </w:divBdr>
    </w:div>
    <w:div w:id="1414087477">
      <w:bodyDiv w:val="1"/>
      <w:marLeft w:val="0"/>
      <w:marRight w:val="0"/>
      <w:marTop w:val="0"/>
      <w:marBottom w:val="0"/>
      <w:divBdr>
        <w:top w:val="none" w:sz="0" w:space="0" w:color="auto"/>
        <w:left w:val="none" w:sz="0" w:space="0" w:color="auto"/>
        <w:bottom w:val="none" w:sz="0" w:space="0" w:color="auto"/>
        <w:right w:val="none" w:sz="0" w:space="0" w:color="auto"/>
      </w:divBdr>
    </w:div>
    <w:div w:id="1417901671">
      <w:bodyDiv w:val="1"/>
      <w:marLeft w:val="0"/>
      <w:marRight w:val="0"/>
      <w:marTop w:val="0"/>
      <w:marBottom w:val="0"/>
      <w:divBdr>
        <w:top w:val="none" w:sz="0" w:space="0" w:color="auto"/>
        <w:left w:val="none" w:sz="0" w:space="0" w:color="auto"/>
        <w:bottom w:val="none" w:sz="0" w:space="0" w:color="auto"/>
        <w:right w:val="none" w:sz="0" w:space="0" w:color="auto"/>
      </w:divBdr>
    </w:div>
    <w:div w:id="1425952160">
      <w:bodyDiv w:val="1"/>
      <w:marLeft w:val="0"/>
      <w:marRight w:val="0"/>
      <w:marTop w:val="0"/>
      <w:marBottom w:val="0"/>
      <w:divBdr>
        <w:top w:val="none" w:sz="0" w:space="0" w:color="auto"/>
        <w:left w:val="none" w:sz="0" w:space="0" w:color="auto"/>
        <w:bottom w:val="none" w:sz="0" w:space="0" w:color="auto"/>
        <w:right w:val="none" w:sz="0" w:space="0" w:color="auto"/>
      </w:divBdr>
    </w:div>
    <w:div w:id="1427530717">
      <w:bodyDiv w:val="1"/>
      <w:marLeft w:val="0"/>
      <w:marRight w:val="0"/>
      <w:marTop w:val="0"/>
      <w:marBottom w:val="0"/>
      <w:divBdr>
        <w:top w:val="none" w:sz="0" w:space="0" w:color="auto"/>
        <w:left w:val="none" w:sz="0" w:space="0" w:color="auto"/>
        <w:bottom w:val="none" w:sz="0" w:space="0" w:color="auto"/>
        <w:right w:val="none" w:sz="0" w:space="0" w:color="auto"/>
      </w:divBdr>
      <w:divsChild>
        <w:div w:id="364252853">
          <w:marLeft w:val="0"/>
          <w:marRight w:val="0"/>
          <w:marTop w:val="0"/>
          <w:marBottom w:val="0"/>
          <w:divBdr>
            <w:top w:val="none" w:sz="0" w:space="0" w:color="auto"/>
            <w:left w:val="none" w:sz="0" w:space="0" w:color="auto"/>
            <w:bottom w:val="none" w:sz="0" w:space="0" w:color="auto"/>
            <w:right w:val="none" w:sz="0" w:space="0" w:color="auto"/>
          </w:divBdr>
          <w:divsChild>
            <w:div w:id="1216552672">
              <w:marLeft w:val="0"/>
              <w:marRight w:val="0"/>
              <w:marTop w:val="0"/>
              <w:marBottom w:val="0"/>
              <w:divBdr>
                <w:top w:val="none" w:sz="0" w:space="0" w:color="auto"/>
                <w:left w:val="none" w:sz="0" w:space="0" w:color="auto"/>
                <w:bottom w:val="none" w:sz="0" w:space="0" w:color="auto"/>
                <w:right w:val="none" w:sz="0" w:space="0" w:color="auto"/>
              </w:divBdr>
              <w:divsChild>
                <w:div w:id="10631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163813">
      <w:bodyDiv w:val="1"/>
      <w:marLeft w:val="0"/>
      <w:marRight w:val="0"/>
      <w:marTop w:val="0"/>
      <w:marBottom w:val="0"/>
      <w:divBdr>
        <w:top w:val="none" w:sz="0" w:space="0" w:color="auto"/>
        <w:left w:val="none" w:sz="0" w:space="0" w:color="auto"/>
        <w:bottom w:val="none" w:sz="0" w:space="0" w:color="auto"/>
        <w:right w:val="none" w:sz="0" w:space="0" w:color="auto"/>
      </w:divBdr>
      <w:divsChild>
        <w:div w:id="1643272244">
          <w:marLeft w:val="0"/>
          <w:marRight w:val="0"/>
          <w:marTop w:val="0"/>
          <w:marBottom w:val="0"/>
          <w:divBdr>
            <w:top w:val="none" w:sz="0" w:space="0" w:color="auto"/>
            <w:left w:val="none" w:sz="0" w:space="0" w:color="auto"/>
            <w:bottom w:val="none" w:sz="0" w:space="0" w:color="auto"/>
            <w:right w:val="none" w:sz="0" w:space="0" w:color="auto"/>
          </w:divBdr>
        </w:div>
      </w:divsChild>
    </w:div>
    <w:div w:id="1452241274">
      <w:bodyDiv w:val="1"/>
      <w:marLeft w:val="0"/>
      <w:marRight w:val="0"/>
      <w:marTop w:val="0"/>
      <w:marBottom w:val="0"/>
      <w:divBdr>
        <w:top w:val="none" w:sz="0" w:space="0" w:color="auto"/>
        <w:left w:val="none" w:sz="0" w:space="0" w:color="auto"/>
        <w:bottom w:val="none" w:sz="0" w:space="0" w:color="auto"/>
        <w:right w:val="none" w:sz="0" w:space="0" w:color="auto"/>
      </w:divBdr>
    </w:div>
    <w:div w:id="1468350770">
      <w:bodyDiv w:val="1"/>
      <w:marLeft w:val="0"/>
      <w:marRight w:val="0"/>
      <w:marTop w:val="0"/>
      <w:marBottom w:val="0"/>
      <w:divBdr>
        <w:top w:val="none" w:sz="0" w:space="0" w:color="auto"/>
        <w:left w:val="none" w:sz="0" w:space="0" w:color="auto"/>
        <w:bottom w:val="none" w:sz="0" w:space="0" w:color="auto"/>
        <w:right w:val="none" w:sz="0" w:space="0" w:color="auto"/>
      </w:divBdr>
    </w:div>
    <w:div w:id="1469973311">
      <w:bodyDiv w:val="1"/>
      <w:marLeft w:val="0"/>
      <w:marRight w:val="0"/>
      <w:marTop w:val="0"/>
      <w:marBottom w:val="0"/>
      <w:divBdr>
        <w:top w:val="none" w:sz="0" w:space="0" w:color="auto"/>
        <w:left w:val="none" w:sz="0" w:space="0" w:color="auto"/>
        <w:bottom w:val="none" w:sz="0" w:space="0" w:color="auto"/>
        <w:right w:val="none" w:sz="0" w:space="0" w:color="auto"/>
      </w:divBdr>
    </w:div>
    <w:div w:id="1482696192">
      <w:bodyDiv w:val="1"/>
      <w:marLeft w:val="0"/>
      <w:marRight w:val="0"/>
      <w:marTop w:val="0"/>
      <w:marBottom w:val="0"/>
      <w:divBdr>
        <w:top w:val="none" w:sz="0" w:space="0" w:color="auto"/>
        <w:left w:val="none" w:sz="0" w:space="0" w:color="auto"/>
        <w:bottom w:val="none" w:sz="0" w:space="0" w:color="auto"/>
        <w:right w:val="none" w:sz="0" w:space="0" w:color="auto"/>
      </w:divBdr>
    </w:div>
    <w:div w:id="1492791252">
      <w:bodyDiv w:val="1"/>
      <w:marLeft w:val="0"/>
      <w:marRight w:val="0"/>
      <w:marTop w:val="0"/>
      <w:marBottom w:val="0"/>
      <w:divBdr>
        <w:top w:val="none" w:sz="0" w:space="0" w:color="auto"/>
        <w:left w:val="none" w:sz="0" w:space="0" w:color="auto"/>
        <w:bottom w:val="none" w:sz="0" w:space="0" w:color="auto"/>
        <w:right w:val="none" w:sz="0" w:space="0" w:color="auto"/>
      </w:divBdr>
      <w:divsChild>
        <w:div w:id="1811360771">
          <w:marLeft w:val="0"/>
          <w:marRight w:val="0"/>
          <w:marTop w:val="0"/>
          <w:marBottom w:val="0"/>
          <w:divBdr>
            <w:top w:val="none" w:sz="0" w:space="0" w:color="auto"/>
            <w:left w:val="none" w:sz="0" w:space="0" w:color="auto"/>
            <w:bottom w:val="none" w:sz="0" w:space="0" w:color="auto"/>
            <w:right w:val="none" w:sz="0" w:space="0" w:color="auto"/>
          </w:divBdr>
        </w:div>
      </w:divsChild>
    </w:div>
    <w:div w:id="1496335065">
      <w:bodyDiv w:val="1"/>
      <w:marLeft w:val="0"/>
      <w:marRight w:val="0"/>
      <w:marTop w:val="0"/>
      <w:marBottom w:val="0"/>
      <w:divBdr>
        <w:top w:val="none" w:sz="0" w:space="0" w:color="auto"/>
        <w:left w:val="none" w:sz="0" w:space="0" w:color="auto"/>
        <w:bottom w:val="none" w:sz="0" w:space="0" w:color="auto"/>
        <w:right w:val="none" w:sz="0" w:space="0" w:color="auto"/>
      </w:divBdr>
    </w:div>
    <w:div w:id="1508666416">
      <w:bodyDiv w:val="1"/>
      <w:marLeft w:val="0"/>
      <w:marRight w:val="0"/>
      <w:marTop w:val="0"/>
      <w:marBottom w:val="0"/>
      <w:divBdr>
        <w:top w:val="none" w:sz="0" w:space="0" w:color="auto"/>
        <w:left w:val="none" w:sz="0" w:space="0" w:color="auto"/>
        <w:bottom w:val="none" w:sz="0" w:space="0" w:color="auto"/>
        <w:right w:val="none" w:sz="0" w:space="0" w:color="auto"/>
      </w:divBdr>
      <w:divsChild>
        <w:div w:id="1734812233">
          <w:marLeft w:val="0"/>
          <w:marRight w:val="0"/>
          <w:marTop w:val="0"/>
          <w:marBottom w:val="0"/>
          <w:divBdr>
            <w:top w:val="none" w:sz="0" w:space="0" w:color="auto"/>
            <w:left w:val="none" w:sz="0" w:space="0" w:color="auto"/>
            <w:bottom w:val="none" w:sz="0" w:space="0" w:color="auto"/>
            <w:right w:val="none" w:sz="0" w:space="0" w:color="auto"/>
          </w:divBdr>
          <w:divsChild>
            <w:div w:id="596209274">
              <w:marLeft w:val="0"/>
              <w:marRight w:val="0"/>
              <w:marTop w:val="0"/>
              <w:marBottom w:val="0"/>
              <w:divBdr>
                <w:top w:val="none" w:sz="0" w:space="0" w:color="auto"/>
                <w:left w:val="none" w:sz="0" w:space="0" w:color="auto"/>
                <w:bottom w:val="none" w:sz="0" w:space="0" w:color="auto"/>
                <w:right w:val="none" w:sz="0" w:space="0" w:color="auto"/>
              </w:divBdr>
              <w:divsChild>
                <w:div w:id="14312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95832">
      <w:bodyDiv w:val="1"/>
      <w:marLeft w:val="0"/>
      <w:marRight w:val="0"/>
      <w:marTop w:val="0"/>
      <w:marBottom w:val="0"/>
      <w:divBdr>
        <w:top w:val="none" w:sz="0" w:space="0" w:color="auto"/>
        <w:left w:val="none" w:sz="0" w:space="0" w:color="auto"/>
        <w:bottom w:val="none" w:sz="0" w:space="0" w:color="auto"/>
        <w:right w:val="none" w:sz="0" w:space="0" w:color="auto"/>
      </w:divBdr>
    </w:div>
    <w:div w:id="1571496140">
      <w:bodyDiv w:val="1"/>
      <w:marLeft w:val="0"/>
      <w:marRight w:val="0"/>
      <w:marTop w:val="0"/>
      <w:marBottom w:val="0"/>
      <w:divBdr>
        <w:top w:val="none" w:sz="0" w:space="0" w:color="auto"/>
        <w:left w:val="none" w:sz="0" w:space="0" w:color="auto"/>
        <w:bottom w:val="none" w:sz="0" w:space="0" w:color="auto"/>
        <w:right w:val="none" w:sz="0" w:space="0" w:color="auto"/>
      </w:divBdr>
    </w:div>
    <w:div w:id="1572544231">
      <w:bodyDiv w:val="1"/>
      <w:marLeft w:val="0"/>
      <w:marRight w:val="0"/>
      <w:marTop w:val="0"/>
      <w:marBottom w:val="0"/>
      <w:divBdr>
        <w:top w:val="none" w:sz="0" w:space="0" w:color="auto"/>
        <w:left w:val="none" w:sz="0" w:space="0" w:color="auto"/>
        <w:bottom w:val="none" w:sz="0" w:space="0" w:color="auto"/>
        <w:right w:val="none" w:sz="0" w:space="0" w:color="auto"/>
      </w:divBdr>
    </w:div>
    <w:div w:id="1577281889">
      <w:bodyDiv w:val="1"/>
      <w:marLeft w:val="0"/>
      <w:marRight w:val="0"/>
      <w:marTop w:val="0"/>
      <w:marBottom w:val="0"/>
      <w:divBdr>
        <w:top w:val="none" w:sz="0" w:space="0" w:color="auto"/>
        <w:left w:val="none" w:sz="0" w:space="0" w:color="auto"/>
        <w:bottom w:val="none" w:sz="0" w:space="0" w:color="auto"/>
        <w:right w:val="none" w:sz="0" w:space="0" w:color="auto"/>
      </w:divBdr>
    </w:div>
    <w:div w:id="1577398001">
      <w:bodyDiv w:val="1"/>
      <w:marLeft w:val="0"/>
      <w:marRight w:val="0"/>
      <w:marTop w:val="0"/>
      <w:marBottom w:val="0"/>
      <w:divBdr>
        <w:top w:val="none" w:sz="0" w:space="0" w:color="auto"/>
        <w:left w:val="none" w:sz="0" w:space="0" w:color="auto"/>
        <w:bottom w:val="none" w:sz="0" w:space="0" w:color="auto"/>
        <w:right w:val="none" w:sz="0" w:space="0" w:color="auto"/>
      </w:divBdr>
    </w:div>
    <w:div w:id="1581912109">
      <w:bodyDiv w:val="1"/>
      <w:marLeft w:val="0"/>
      <w:marRight w:val="0"/>
      <w:marTop w:val="0"/>
      <w:marBottom w:val="0"/>
      <w:divBdr>
        <w:top w:val="none" w:sz="0" w:space="0" w:color="auto"/>
        <w:left w:val="none" w:sz="0" w:space="0" w:color="auto"/>
        <w:bottom w:val="none" w:sz="0" w:space="0" w:color="auto"/>
        <w:right w:val="none" w:sz="0" w:space="0" w:color="auto"/>
      </w:divBdr>
    </w:div>
    <w:div w:id="1598364085">
      <w:bodyDiv w:val="1"/>
      <w:marLeft w:val="0"/>
      <w:marRight w:val="0"/>
      <w:marTop w:val="0"/>
      <w:marBottom w:val="0"/>
      <w:divBdr>
        <w:top w:val="none" w:sz="0" w:space="0" w:color="auto"/>
        <w:left w:val="none" w:sz="0" w:space="0" w:color="auto"/>
        <w:bottom w:val="none" w:sz="0" w:space="0" w:color="auto"/>
        <w:right w:val="none" w:sz="0" w:space="0" w:color="auto"/>
      </w:divBdr>
    </w:div>
    <w:div w:id="1604995444">
      <w:bodyDiv w:val="1"/>
      <w:marLeft w:val="0"/>
      <w:marRight w:val="0"/>
      <w:marTop w:val="0"/>
      <w:marBottom w:val="0"/>
      <w:divBdr>
        <w:top w:val="none" w:sz="0" w:space="0" w:color="auto"/>
        <w:left w:val="none" w:sz="0" w:space="0" w:color="auto"/>
        <w:bottom w:val="none" w:sz="0" w:space="0" w:color="auto"/>
        <w:right w:val="none" w:sz="0" w:space="0" w:color="auto"/>
      </w:divBdr>
    </w:div>
    <w:div w:id="1608853950">
      <w:bodyDiv w:val="1"/>
      <w:marLeft w:val="0"/>
      <w:marRight w:val="0"/>
      <w:marTop w:val="0"/>
      <w:marBottom w:val="0"/>
      <w:divBdr>
        <w:top w:val="none" w:sz="0" w:space="0" w:color="auto"/>
        <w:left w:val="none" w:sz="0" w:space="0" w:color="auto"/>
        <w:bottom w:val="none" w:sz="0" w:space="0" w:color="auto"/>
        <w:right w:val="none" w:sz="0" w:space="0" w:color="auto"/>
      </w:divBdr>
    </w:div>
    <w:div w:id="1664316261">
      <w:bodyDiv w:val="1"/>
      <w:marLeft w:val="0"/>
      <w:marRight w:val="0"/>
      <w:marTop w:val="0"/>
      <w:marBottom w:val="0"/>
      <w:divBdr>
        <w:top w:val="none" w:sz="0" w:space="0" w:color="auto"/>
        <w:left w:val="none" w:sz="0" w:space="0" w:color="auto"/>
        <w:bottom w:val="none" w:sz="0" w:space="0" w:color="auto"/>
        <w:right w:val="none" w:sz="0" w:space="0" w:color="auto"/>
      </w:divBdr>
    </w:div>
    <w:div w:id="1675765287">
      <w:bodyDiv w:val="1"/>
      <w:marLeft w:val="0"/>
      <w:marRight w:val="0"/>
      <w:marTop w:val="0"/>
      <w:marBottom w:val="0"/>
      <w:divBdr>
        <w:top w:val="none" w:sz="0" w:space="0" w:color="auto"/>
        <w:left w:val="none" w:sz="0" w:space="0" w:color="auto"/>
        <w:bottom w:val="none" w:sz="0" w:space="0" w:color="auto"/>
        <w:right w:val="none" w:sz="0" w:space="0" w:color="auto"/>
      </w:divBdr>
    </w:div>
    <w:div w:id="1704869103">
      <w:bodyDiv w:val="1"/>
      <w:marLeft w:val="0"/>
      <w:marRight w:val="0"/>
      <w:marTop w:val="0"/>
      <w:marBottom w:val="0"/>
      <w:divBdr>
        <w:top w:val="none" w:sz="0" w:space="0" w:color="auto"/>
        <w:left w:val="none" w:sz="0" w:space="0" w:color="auto"/>
        <w:bottom w:val="none" w:sz="0" w:space="0" w:color="auto"/>
        <w:right w:val="none" w:sz="0" w:space="0" w:color="auto"/>
      </w:divBdr>
    </w:div>
    <w:div w:id="1712025719">
      <w:bodyDiv w:val="1"/>
      <w:marLeft w:val="0"/>
      <w:marRight w:val="0"/>
      <w:marTop w:val="0"/>
      <w:marBottom w:val="0"/>
      <w:divBdr>
        <w:top w:val="none" w:sz="0" w:space="0" w:color="auto"/>
        <w:left w:val="none" w:sz="0" w:space="0" w:color="auto"/>
        <w:bottom w:val="none" w:sz="0" w:space="0" w:color="auto"/>
        <w:right w:val="none" w:sz="0" w:space="0" w:color="auto"/>
      </w:divBdr>
    </w:div>
    <w:div w:id="1715496877">
      <w:bodyDiv w:val="1"/>
      <w:marLeft w:val="0"/>
      <w:marRight w:val="0"/>
      <w:marTop w:val="0"/>
      <w:marBottom w:val="0"/>
      <w:divBdr>
        <w:top w:val="none" w:sz="0" w:space="0" w:color="auto"/>
        <w:left w:val="none" w:sz="0" w:space="0" w:color="auto"/>
        <w:bottom w:val="none" w:sz="0" w:space="0" w:color="auto"/>
        <w:right w:val="none" w:sz="0" w:space="0" w:color="auto"/>
      </w:divBdr>
    </w:div>
    <w:div w:id="1718119448">
      <w:bodyDiv w:val="1"/>
      <w:marLeft w:val="0"/>
      <w:marRight w:val="0"/>
      <w:marTop w:val="0"/>
      <w:marBottom w:val="0"/>
      <w:divBdr>
        <w:top w:val="none" w:sz="0" w:space="0" w:color="auto"/>
        <w:left w:val="none" w:sz="0" w:space="0" w:color="auto"/>
        <w:bottom w:val="none" w:sz="0" w:space="0" w:color="auto"/>
        <w:right w:val="none" w:sz="0" w:space="0" w:color="auto"/>
      </w:divBdr>
    </w:div>
    <w:div w:id="1727803046">
      <w:bodyDiv w:val="1"/>
      <w:marLeft w:val="0"/>
      <w:marRight w:val="0"/>
      <w:marTop w:val="0"/>
      <w:marBottom w:val="0"/>
      <w:divBdr>
        <w:top w:val="none" w:sz="0" w:space="0" w:color="auto"/>
        <w:left w:val="none" w:sz="0" w:space="0" w:color="auto"/>
        <w:bottom w:val="none" w:sz="0" w:space="0" w:color="auto"/>
        <w:right w:val="none" w:sz="0" w:space="0" w:color="auto"/>
      </w:divBdr>
    </w:div>
    <w:div w:id="1729721900">
      <w:bodyDiv w:val="1"/>
      <w:marLeft w:val="0"/>
      <w:marRight w:val="0"/>
      <w:marTop w:val="0"/>
      <w:marBottom w:val="0"/>
      <w:divBdr>
        <w:top w:val="none" w:sz="0" w:space="0" w:color="auto"/>
        <w:left w:val="none" w:sz="0" w:space="0" w:color="auto"/>
        <w:bottom w:val="none" w:sz="0" w:space="0" w:color="auto"/>
        <w:right w:val="none" w:sz="0" w:space="0" w:color="auto"/>
      </w:divBdr>
    </w:div>
    <w:div w:id="1734546918">
      <w:bodyDiv w:val="1"/>
      <w:marLeft w:val="0"/>
      <w:marRight w:val="0"/>
      <w:marTop w:val="0"/>
      <w:marBottom w:val="0"/>
      <w:divBdr>
        <w:top w:val="none" w:sz="0" w:space="0" w:color="auto"/>
        <w:left w:val="none" w:sz="0" w:space="0" w:color="auto"/>
        <w:bottom w:val="none" w:sz="0" w:space="0" w:color="auto"/>
        <w:right w:val="none" w:sz="0" w:space="0" w:color="auto"/>
      </w:divBdr>
    </w:div>
    <w:div w:id="1739789210">
      <w:bodyDiv w:val="1"/>
      <w:marLeft w:val="0"/>
      <w:marRight w:val="0"/>
      <w:marTop w:val="0"/>
      <w:marBottom w:val="0"/>
      <w:divBdr>
        <w:top w:val="none" w:sz="0" w:space="0" w:color="auto"/>
        <w:left w:val="none" w:sz="0" w:space="0" w:color="auto"/>
        <w:bottom w:val="none" w:sz="0" w:space="0" w:color="auto"/>
        <w:right w:val="none" w:sz="0" w:space="0" w:color="auto"/>
      </w:divBdr>
    </w:div>
    <w:div w:id="1761875327">
      <w:bodyDiv w:val="1"/>
      <w:marLeft w:val="0"/>
      <w:marRight w:val="0"/>
      <w:marTop w:val="0"/>
      <w:marBottom w:val="0"/>
      <w:divBdr>
        <w:top w:val="none" w:sz="0" w:space="0" w:color="auto"/>
        <w:left w:val="none" w:sz="0" w:space="0" w:color="auto"/>
        <w:bottom w:val="none" w:sz="0" w:space="0" w:color="auto"/>
        <w:right w:val="none" w:sz="0" w:space="0" w:color="auto"/>
      </w:divBdr>
    </w:div>
    <w:div w:id="1762024938">
      <w:bodyDiv w:val="1"/>
      <w:marLeft w:val="0"/>
      <w:marRight w:val="0"/>
      <w:marTop w:val="0"/>
      <w:marBottom w:val="0"/>
      <w:divBdr>
        <w:top w:val="none" w:sz="0" w:space="0" w:color="auto"/>
        <w:left w:val="none" w:sz="0" w:space="0" w:color="auto"/>
        <w:bottom w:val="none" w:sz="0" w:space="0" w:color="auto"/>
        <w:right w:val="none" w:sz="0" w:space="0" w:color="auto"/>
      </w:divBdr>
    </w:div>
    <w:div w:id="1763067811">
      <w:bodyDiv w:val="1"/>
      <w:marLeft w:val="0"/>
      <w:marRight w:val="0"/>
      <w:marTop w:val="0"/>
      <w:marBottom w:val="0"/>
      <w:divBdr>
        <w:top w:val="none" w:sz="0" w:space="0" w:color="auto"/>
        <w:left w:val="none" w:sz="0" w:space="0" w:color="auto"/>
        <w:bottom w:val="none" w:sz="0" w:space="0" w:color="auto"/>
        <w:right w:val="none" w:sz="0" w:space="0" w:color="auto"/>
      </w:divBdr>
    </w:div>
    <w:div w:id="1765613733">
      <w:bodyDiv w:val="1"/>
      <w:marLeft w:val="0"/>
      <w:marRight w:val="0"/>
      <w:marTop w:val="0"/>
      <w:marBottom w:val="0"/>
      <w:divBdr>
        <w:top w:val="none" w:sz="0" w:space="0" w:color="auto"/>
        <w:left w:val="none" w:sz="0" w:space="0" w:color="auto"/>
        <w:bottom w:val="none" w:sz="0" w:space="0" w:color="auto"/>
        <w:right w:val="none" w:sz="0" w:space="0" w:color="auto"/>
      </w:divBdr>
    </w:div>
    <w:div w:id="1766535965">
      <w:bodyDiv w:val="1"/>
      <w:marLeft w:val="0"/>
      <w:marRight w:val="0"/>
      <w:marTop w:val="0"/>
      <w:marBottom w:val="0"/>
      <w:divBdr>
        <w:top w:val="none" w:sz="0" w:space="0" w:color="auto"/>
        <w:left w:val="none" w:sz="0" w:space="0" w:color="auto"/>
        <w:bottom w:val="none" w:sz="0" w:space="0" w:color="auto"/>
        <w:right w:val="none" w:sz="0" w:space="0" w:color="auto"/>
      </w:divBdr>
    </w:div>
    <w:div w:id="1780106797">
      <w:bodyDiv w:val="1"/>
      <w:marLeft w:val="0"/>
      <w:marRight w:val="0"/>
      <w:marTop w:val="0"/>
      <w:marBottom w:val="0"/>
      <w:divBdr>
        <w:top w:val="none" w:sz="0" w:space="0" w:color="auto"/>
        <w:left w:val="none" w:sz="0" w:space="0" w:color="auto"/>
        <w:bottom w:val="none" w:sz="0" w:space="0" w:color="auto"/>
        <w:right w:val="none" w:sz="0" w:space="0" w:color="auto"/>
      </w:divBdr>
    </w:div>
    <w:div w:id="1782341669">
      <w:bodyDiv w:val="1"/>
      <w:marLeft w:val="0"/>
      <w:marRight w:val="0"/>
      <w:marTop w:val="0"/>
      <w:marBottom w:val="0"/>
      <w:divBdr>
        <w:top w:val="none" w:sz="0" w:space="0" w:color="auto"/>
        <w:left w:val="none" w:sz="0" w:space="0" w:color="auto"/>
        <w:bottom w:val="none" w:sz="0" w:space="0" w:color="auto"/>
        <w:right w:val="none" w:sz="0" w:space="0" w:color="auto"/>
      </w:divBdr>
      <w:divsChild>
        <w:div w:id="69428898">
          <w:marLeft w:val="0"/>
          <w:marRight w:val="0"/>
          <w:marTop w:val="0"/>
          <w:marBottom w:val="0"/>
          <w:divBdr>
            <w:top w:val="none" w:sz="0" w:space="0" w:color="auto"/>
            <w:left w:val="none" w:sz="0" w:space="0" w:color="auto"/>
            <w:bottom w:val="none" w:sz="0" w:space="0" w:color="auto"/>
            <w:right w:val="none" w:sz="0" w:space="0" w:color="auto"/>
          </w:divBdr>
          <w:divsChild>
            <w:div w:id="1409225923">
              <w:marLeft w:val="0"/>
              <w:marRight w:val="0"/>
              <w:marTop w:val="0"/>
              <w:marBottom w:val="0"/>
              <w:divBdr>
                <w:top w:val="none" w:sz="0" w:space="0" w:color="auto"/>
                <w:left w:val="none" w:sz="0" w:space="0" w:color="auto"/>
                <w:bottom w:val="none" w:sz="0" w:space="0" w:color="auto"/>
                <w:right w:val="none" w:sz="0" w:space="0" w:color="auto"/>
              </w:divBdr>
              <w:divsChild>
                <w:div w:id="119126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672478">
      <w:bodyDiv w:val="1"/>
      <w:marLeft w:val="0"/>
      <w:marRight w:val="0"/>
      <w:marTop w:val="0"/>
      <w:marBottom w:val="0"/>
      <w:divBdr>
        <w:top w:val="none" w:sz="0" w:space="0" w:color="auto"/>
        <w:left w:val="none" w:sz="0" w:space="0" w:color="auto"/>
        <w:bottom w:val="none" w:sz="0" w:space="0" w:color="auto"/>
        <w:right w:val="none" w:sz="0" w:space="0" w:color="auto"/>
      </w:divBdr>
    </w:div>
    <w:div w:id="1830945560">
      <w:bodyDiv w:val="1"/>
      <w:marLeft w:val="0"/>
      <w:marRight w:val="0"/>
      <w:marTop w:val="0"/>
      <w:marBottom w:val="0"/>
      <w:divBdr>
        <w:top w:val="none" w:sz="0" w:space="0" w:color="auto"/>
        <w:left w:val="none" w:sz="0" w:space="0" w:color="auto"/>
        <w:bottom w:val="none" w:sz="0" w:space="0" w:color="auto"/>
        <w:right w:val="none" w:sz="0" w:space="0" w:color="auto"/>
      </w:divBdr>
    </w:div>
    <w:div w:id="1835803503">
      <w:bodyDiv w:val="1"/>
      <w:marLeft w:val="0"/>
      <w:marRight w:val="0"/>
      <w:marTop w:val="0"/>
      <w:marBottom w:val="0"/>
      <w:divBdr>
        <w:top w:val="none" w:sz="0" w:space="0" w:color="auto"/>
        <w:left w:val="none" w:sz="0" w:space="0" w:color="auto"/>
        <w:bottom w:val="none" w:sz="0" w:space="0" w:color="auto"/>
        <w:right w:val="none" w:sz="0" w:space="0" w:color="auto"/>
      </w:divBdr>
    </w:div>
    <w:div w:id="1843540761">
      <w:bodyDiv w:val="1"/>
      <w:marLeft w:val="0"/>
      <w:marRight w:val="0"/>
      <w:marTop w:val="0"/>
      <w:marBottom w:val="0"/>
      <w:divBdr>
        <w:top w:val="none" w:sz="0" w:space="0" w:color="auto"/>
        <w:left w:val="none" w:sz="0" w:space="0" w:color="auto"/>
        <w:bottom w:val="none" w:sz="0" w:space="0" w:color="auto"/>
        <w:right w:val="none" w:sz="0" w:space="0" w:color="auto"/>
      </w:divBdr>
    </w:div>
    <w:div w:id="1858037788">
      <w:bodyDiv w:val="1"/>
      <w:marLeft w:val="0"/>
      <w:marRight w:val="0"/>
      <w:marTop w:val="0"/>
      <w:marBottom w:val="0"/>
      <w:divBdr>
        <w:top w:val="none" w:sz="0" w:space="0" w:color="auto"/>
        <w:left w:val="none" w:sz="0" w:space="0" w:color="auto"/>
        <w:bottom w:val="none" w:sz="0" w:space="0" w:color="auto"/>
        <w:right w:val="none" w:sz="0" w:space="0" w:color="auto"/>
      </w:divBdr>
    </w:div>
    <w:div w:id="1876574996">
      <w:bodyDiv w:val="1"/>
      <w:marLeft w:val="0"/>
      <w:marRight w:val="0"/>
      <w:marTop w:val="0"/>
      <w:marBottom w:val="0"/>
      <w:divBdr>
        <w:top w:val="none" w:sz="0" w:space="0" w:color="auto"/>
        <w:left w:val="none" w:sz="0" w:space="0" w:color="auto"/>
        <w:bottom w:val="none" w:sz="0" w:space="0" w:color="auto"/>
        <w:right w:val="none" w:sz="0" w:space="0" w:color="auto"/>
      </w:divBdr>
    </w:div>
    <w:div w:id="1889803093">
      <w:bodyDiv w:val="1"/>
      <w:marLeft w:val="0"/>
      <w:marRight w:val="0"/>
      <w:marTop w:val="0"/>
      <w:marBottom w:val="0"/>
      <w:divBdr>
        <w:top w:val="none" w:sz="0" w:space="0" w:color="auto"/>
        <w:left w:val="none" w:sz="0" w:space="0" w:color="auto"/>
        <w:bottom w:val="none" w:sz="0" w:space="0" w:color="auto"/>
        <w:right w:val="none" w:sz="0" w:space="0" w:color="auto"/>
      </w:divBdr>
    </w:div>
    <w:div w:id="1890846113">
      <w:bodyDiv w:val="1"/>
      <w:marLeft w:val="0"/>
      <w:marRight w:val="0"/>
      <w:marTop w:val="0"/>
      <w:marBottom w:val="0"/>
      <w:divBdr>
        <w:top w:val="none" w:sz="0" w:space="0" w:color="auto"/>
        <w:left w:val="none" w:sz="0" w:space="0" w:color="auto"/>
        <w:bottom w:val="none" w:sz="0" w:space="0" w:color="auto"/>
        <w:right w:val="none" w:sz="0" w:space="0" w:color="auto"/>
      </w:divBdr>
    </w:div>
    <w:div w:id="1903980574">
      <w:bodyDiv w:val="1"/>
      <w:marLeft w:val="0"/>
      <w:marRight w:val="0"/>
      <w:marTop w:val="0"/>
      <w:marBottom w:val="0"/>
      <w:divBdr>
        <w:top w:val="none" w:sz="0" w:space="0" w:color="auto"/>
        <w:left w:val="none" w:sz="0" w:space="0" w:color="auto"/>
        <w:bottom w:val="none" w:sz="0" w:space="0" w:color="auto"/>
        <w:right w:val="none" w:sz="0" w:space="0" w:color="auto"/>
      </w:divBdr>
    </w:div>
    <w:div w:id="1925602202">
      <w:bodyDiv w:val="1"/>
      <w:marLeft w:val="0"/>
      <w:marRight w:val="0"/>
      <w:marTop w:val="0"/>
      <w:marBottom w:val="0"/>
      <w:divBdr>
        <w:top w:val="none" w:sz="0" w:space="0" w:color="auto"/>
        <w:left w:val="none" w:sz="0" w:space="0" w:color="auto"/>
        <w:bottom w:val="none" w:sz="0" w:space="0" w:color="auto"/>
        <w:right w:val="none" w:sz="0" w:space="0" w:color="auto"/>
      </w:divBdr>
      <w:divsChild>
        <w:div w:id="653603366">
          <w:marLeft w:val="576"/>
          <w:marRight w:val="0"/>
          <w:marTop w:val="150"/>
          <w:marBottom w:val="180"/>
          <w:divBdr>
            <w:top w:val="none" w:sz="0" w:space="0" w:color="auto"/>
            <w:left w:val="none" w:sz="0" w:space="0" w:color="auto"/>
            <w:bottom w:val="none" w:sz="0" w:space="0" w:color="auto"/>
            <w:right w:val="none" w:sz="0" w:space="0" w:color="auto"/>
          </w:divBdr>
        </w:div>
        <w:div w:id="1163009387">
          <w:marLeft w:val="576"/>
          <w:marRight w:val="0"/>
          <w:marTop w:val="150"/>
          <w:marBottom w:val="180"/>
          <w:divBdr>
            <w:top w:val="none" w:sz="0" w:space="0" w:color="auto"/>
            <w:left w:val="none" w:sz="0" w:space="0" w:color="auto"/>
            <w:bottom w:val="none" w:sz="0" w:space="0" w:color="auto"/>
            <w:right w:val="none" w:sz="0" w:space="0" w:color="auto"/>
          </w:divBdr>
        </w:div>
        <w:div w:id="1618679765">
          <w:marLeft w:val="576"/>
          <w:marRight w:val="0"/>
          <w:marTop w:val="150"/>
          <w:marBottom w:val="180"/>
          <w:divBdr>
            <w:top w:val="none" w:sz="0" w:space="0" w:color="auto"/>
            <w:left w:val="none" w:sz="0" w:space="0" w:color="auto"/>
            <w:bottom w:val="none" w:sz="0" w:space="0" w:color="auto"/>
            <w:right w:val="none" w:sz="0" w:space="0" w:color="auto"/>
          </w:divBdr>
        </w:div>
        <w:div w:id="1833374113">
          <w:marLeft w:val="576"/>
          <w:marRight w:val="0"/>
          <w:marTop w:val="150"/>
          <w:marBottom w:val="180"/>
          <w:divBdr>
            <w:top w:val="none" w:sz="0" w:space="0" w:color="auto"/>
            <w:left w:val="none" w:sz="0" w:space="0" w:color="auto"/>
            <w:bottom w:val="none" w:sz="0" w:space="0" w:color="auto"/>
            <w:right w:val="none" w:sz="0" w:space="0" w:color="auto"/>
          </w:divBdr>
        </w:div>
      </w:divsChild>
    </w:div>
    <w:div w:id="1927808735">
      <w:bodyDiv w:val="1"/>
      <w:marLeft w:val="0"/>
      <w:marRight w:val="0"/>
      <w:marTop w:val="0"/>
      <w:marBottom w:val="0"/>
      <w:divBdr>
        <w:top w:val="none" w:sz="0" w:space="0" w:color="auto"/>
        <w:left w:val="none" w:sz="0" w:space="0" w:color="auto"/>
        <w:bottom w:val="none" w:sz="0" w:space="0" w:color="auto"/>
        <w:right w:val="none" w:sz="0" w:space="0" w:color="auto"/>
      </w:divBdr>
    </w:div>
    <w:div w:id="1930697673">
      <w:bodyDiv w:val="1"/>
      <w:marLeft w:val="0"/>
      <w:marRight w:val="0"/>
      <w:marTop w:val="0"/>
      <w:marBottom w:val="0"/>
      <w:divBdr>
        <w:top w:val="none" w:sz="0" w:space="0" w:color="auto"/>
        <w:left w:val="none" w:sz="0" w:space="0" w:color="auto"/>
        <w:bottom w:val="none" w:sz="0" w:space="0" w:color="auto"/>
        <w:right w:val="none" w:sz="0" w:space="0" w:color="auto"/>
      </w:divBdr>
    </w:div>
    <w:div w:id="1933583568">
      <w:bodyDiv w:val="1"/>
      <w:marLeft w:val="0"/>
      <w:marRight w:val="0"/>
      <w:marTop w:val="0"/>
      <w:marBottom w:val="0"/>
      <w:divBdr>
        <w:top w:val="none" w:sz="0" w:space="0" w:color="auto"/>
        <w:left w:val="none" w:sz="0" w:space="0" w:color="auto"/>
        <w:bottom w:val="none" w:sz="0" w:space="0" w:color="auto"/>
        <w:right w:val="none" w:sz="0" w:space="0" w:color="auto"/>
      </w:divBdr>
    </w:div>
    <w:div w:id="1942833436">
      <w:bodyDiv w:val="1"/>
      <w:marLeft w:val="0"/>
      <w:marRight w:val="0"/>
      <w:marTop w:val="0"/>
      <w:marBottom w:val="0"/>
      <w:divBdr>
        <w:top w:val="none" w:sz="0" w:space="0" w:color="auto"/>
        <w:left w:val="none" w:sz="0" w:space="0" w:color="auto"/>
        <w:bottom w:val="none" w:sz="0" w:space="0" w:color="auto"/>
        <w:right w:val="none" w:sz="0" w:space="0" w:color="auto"/>
      </w:divBdr>
      <w:divsChild>
        <w:div w:id="1281643399">
          <w:marLeft w:val="0"/>
          <w:marRight w:val="0"/>
          <w:marTop w:val="0"/>
          <w:marBottom w:val="0"/>
          <w:divBdr>
            <w:top w:val="none" w:sz="0" w:space="0" w:color="auto"/>
            <w:left w:val="none" w:sz="0" w:space="0" w:color="auto"/>
            <w:bottom w:val="none" w:sz="0" w:space="0" w:color="auto"/>
            <w:right w:val="none" w:sz="0" w:space="0" w:color="auto"/>
          </w:divBdr>
          <w:divsChild>
            <w:div w:id="785737223">
              <w:marLeft w:val="0"/>
              <w:marRight w:val="0"/>
              <w:marTop w:val="0"/>
              <w:marBottom w:val="0"/>
              <w:divBdr>
                <w:top w:val="none" w:sz="0" w:space="0" w:color="auto"/>
                <w:left w:val="none" w:sz="0" w:space="0" w:color="auto"/>
                <w:bottom w:val="none" w:sz="0" w:space="0" w:color="auto"/>
                <w:right w:val="none" w:sz="0" w:space="0" w:color="auto"/>
              </w:divBdr>
              <w:divsChild>
                <w:div w:id="56276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144808">
      <w:bodyDiv w:val="1"/>
      <w:marLeft w:val="0"/>
      <w:marRight w:val="0"/>
      <w:marTop w:val="0"/>
      <w:marBottom w:val="0"/>
      <w:divBdr>
        <w:top w:val="none" w:sz="0" w:space="0" w:color="auto"/>
        <w:left w:val="none" w:sz="0" w:space="0" w:color="auto"/>
        <w:bottom w:val="none" w:sz="0" w:space="0" w:color="auto"/>
        <w:right w:val="none" w:sz="0" w:space="0" w:color="auto"/>
      </w:divBdr>
    </w:div>
    <w:div w:id="1945455343">
      <w:bodyDiv w:val="1"/>
      <w:marLeft w:val="0"/>
      <w:marRight w:val="0"/>
      <w:marTop w:val="0"/>
      <w:marBottom w:val="0"/>
      <w:divBdr>
        <w:top w:val="none" w:sz="0" w:space="0" w:color="auto"/>
        <w:left w:val="none" w:sz="0" w:space="0" w:color="auto"/>
        <w:bottom w:val="none" w:sz="0" w:space="0" w:color="auto"/>
        <w:right w:val="none" w:sz="0" w:space="0" w:color="auto"/>
      </w:divBdr>
    </w:div>
    <w:div w:id="1958217590">
      <w:bodyDiv w:val="1"/>
      <w:marLeft w:val="0"/>
      <w:marRight w:val="0"/>
      <w:marTop w:val="0"/>
      <w:marBottom w:val="0"/>
      <w:divBdr>
        <w:top w:val="none" w:sz="0" w:space="0" w:color="auto"/>
        <w:left w:val="none" w:sz="0" w:space="0" w:color="auto"/>
        <w:bottom w:val="none" w:sz="0" w:space="0" w:color="auto"/>
        <w:right w:val="none" w:sz="0" w:space="0" w:color="auto"/>
      </w:divBdr>
    </w:div>
    <w:div w:id="1960329514">
      <w:bodyDiv w:val="1"/>
      <w:marLeft w:val="0"/>
      <w:marRight w:val="0"/>
      <w:marTop w:val="0"/>
      <w:marBottom w:val="0"/>
      <w:divBdr>
        <w:top w:val="none" w:sz="0" w:space="0" w:color="auto"/>
        <w:left w:val="none" w:sz="0" w:space="0" w:color="auto"/>
        <w:bottom w:val="none" w:sz="0" w:space="0" w:color="auto"/>
        <w:right w:val="none" w:sz="0" w:space="0" w:color="auto"/>
      </w:divBdr>
    </w:div>
    <w:div w:id="1966109580">
      <w:bodyDiv w:val="1"/>
      <w:marLeft w:val="0"/>
      <w:marRight w:val="0"/>
      <w:marTop w:val="0"/>
      <w:marBottom w:val="0"/>
      <w:divBdr>
        <w:top w:val="none" w:sz="0" w:space="0" w:color="auto"/>
        <w:left w:val="none" w:sz="0" w:space="0" w:color="auto"/>
        <w:bottom w:val="none" w:sz="0" w:space="0" w:color="auto"/>
        <w:right w:val="none" w:sz="0" w:space="0" w:color="auto"/>
      </w:divBdr>
    </w:div>
    <w:div w:id="1974291268">
      <w:bodyDiv w:val="1"/>
      <w:marLeft w:val="0"/>
      <w:marRight w:val="0"/>
      <w:marTop w:val="0"/>
      <w:marBottom w:val="0"/>
      <w:divBdr>
        <w:top w:val="none" w:sz="0" w:space="0" w:color="auto"/>
        <w:left w:val="none" w:sz="0" w:space="0" w:color="auto"/>
        <w:bottom w:val="none" w:sz="0" w:space="0" w:color="auto"/>
        <w:right w:val="none" w:sz="0" w:space="0" w:color="auto"/>
      </w:divBdr>
    </w:div>
    <w:div w:id="1975404603">
      <w:bodyDiv w:val="1"/>
      <w:marLeft w:val="0"/>
      <w:marRight w:val="0"/>
      <w:marTop w:val="0"/>
      <w:marBottom w:val="0"/>
      <w:divBdr>
        <w:top w:val="none" w:sz="0" w:space="0" w:color="auto"/>
        <w:left w:val="none" w:sz="0" w:space="0" w:color="auto"/>
        <w:bottom w:val="none" w:sz="0" w:space="0" w:color="auto"/>
        <w:right w:val="none" w:sz="0" w:space="0" w:color="auto"/>
      </w:divBdr>
    </w:div>
    <w:div w:id="1976062373">
      <w:bodyDiv w:val="1"/>
      <w:marLeft w:val="0"/>
      <w:marRight w:val="0"/>
      <w:marTop w:val="0"/>
      <w:marBottom w:val="0"/>
      <w:divBdr>
        <w:top w:val="none" w:sz="0" w:space="0" w:color="auto"/>
        <w:left w:val="none" w:sz="0" w:space="0" w:color="auto"/>
        <w:bottom w:val="none" w:sz="0" w:space="0" w:color="auto"/>
        <w:right w:val="none" w:sz="0" w:space="0" w:color="auto"/>
      </w:divBdr>
    </w:div>
    <w:div w:id="1980377046">
      <w:bodyDiv w:val="1"/>
      <w:marLeft w:val="0"/>
      <w:marRight w:val="0"/>
      <w:marTop w:val="0"/>
      <w:marBottom w:val="0"/>
      <w:divBdr>
        <w:top w:val="none" w:sz="0" w:space="0" w:color="auto"/>
        <w:left w:val="none" w:sz="0" w:space="0" w:color="auto"/>
        <w:bottom w:val="none" w:sz="0" w:space="0" w:color="auto"/>
        <w:right w:val="none" w:sz="0" w:space="0" w:color="auto"/>
      </w:divBdr>
    </w:div>
    <w:div w:id="1989893841">
      <w:bodyDiv w:val="1"/>
      <w:marLeft w:val="0"/>
      <w:marRight w:val="0"/>
      <w:marTop w:val="0"/>
      <w:marBottom w:val="0"/>
      <w:divBdr>
        <w:top w:val="none" w:sz="0" w:space="0" w:color="auto"/>
        <w:left w:val="none" w:sz="0" w:space="0" w:color="auto"/>
        <w:bottom w:val="none" w:sz="0" w:space="0" w:color="auto"/>
        <w:right w:val="none" w:sz="0" w:space="0" w:color="auto"/>
      </w:divBdr>
    </w:div>
    <w:div w:id="1998260422">
      <w:bodyDiv w:val="1"/>
      <w:marLeft w:val="0"/>
      <w:marRight w:val="0"/>
      <w:marTop w:val="0"/>
      <w:marBottom w:val="0"/>
      <w:divBdr>
        <w:top w:val="none" w:sz="0" w:space="0" w:color="auto"/>
        <w:left w:val="none" w:sz="0" w:space="0" w:color="auto"/>
        <w:bottom w:val="none" w:sz="0" w:space="0" w:color="auto"/>
        <w:right w:val="none" w:sz="0" w:space="0" w:color="auto"/>
      </w:divBdr>
    </w:div>
    <w:div w:id="2008054959">
      <w:bodyDiv w:val="1"/>
      <w:marLeft w:val="0"/>
      <w:marRight w:val="0"/>
      <w:marTop w:val="0"/>
      <w:marBottom w:val="0"/>
      <w:divBdr>
        <w:top w:val="none" w:sz="0" w:space="0" w:color="auto"/>
        <w:left w:val="none" w:sz="0" w:space="0" w:color="auto"/>
        <w:bottom w:val="none" w:sz="0" w:space="0" w:color="auto"/>
        <w:right w:val="none" w:sz="0" w:space="0" w:color="auto"/>
      </w:divBdr>
    </w:div>
    <w:div w:id="2011443945">
      <w:bodyDiv w:val="1"/>
      <w:marLeft w:val="0"/>
      <w:marRight w:val="0"/>
      <w:marTop w:val="0"/>
      <w:marBottom w:val="0"/>
      <w:divBdr>
        <w:top w:val="none" w:sz="0" w:space="0" w:color="auto"/>
        <w:left w:val="none" w:sz="0" w:space="0" w:color="auto"/>
        <w:bottom w:val="none" w:sz="0" w:space="0" w:color="auto"/>
        <w:right w:val="none" w:sz="0" w:space="0" w:color="auto"/>
      </w:divBdr>
    </w:div>
    <w:div w:id="2011789983">
      <w:bodyDiv w:val="1"/>
      <w:marLeft w:val="0"/>
      <w:marRight w:val="0"/>
      <w:marTop w:val="0"/>
      <w:marBottom w:val="0"/>
      <w:divBdr>
        <w:top w:val="none" w:sz="0" w:space="0" w:color="auto"/>
        <w:left w:val="none" w:sz="0" w:space="0" w:color="auto"/>
        <w:bottom w:val="none" w:sz="0" w:space="0" w:color="auto"/>
        <w:right w:val="none" w:sz="0" w:space="0" w:color="auto"/>
      </w:divBdr>
    </w:div>
    <w:div w:id="2016884880">
      <w:bodyDiv w:val="1"/>
      <w:marLeft w:val="0"/>
      <w:marRight w:val="0"/>
      <w:marTop w:val="0"/>
      <w:marBottom w:val="0"/>
      <w:divBdr>
        <w:top w:val="none" w:sz="0" w:space="0" w:color="auto"/>
        <w:left w:val="none" w:sz="0" w:space="0" w:color="auto"/>
        <w:bottom w:val="none" w:sz="0" w:space="0" w:color="auto"/>
        <w:right w:val="none" w:sz="0" w:space="0" w:color="auto"/>
      </w:divBdr>
    </w:div>
    <w:div w:id="2027319708">
      <w:bodyDiv w:val="1"/>
      <w:marLeft w:val="0"/>
      <w:marRight w:val="0"/>
      <w:marTop w:val="0"/>
      <w:marBottom w:val="0"/>
      <w:divBdr>
        <w:top w:val="none" w:sz="0" w:space="0" w:color="auto"/>
        <w:left w:val="none" w:sz="0" w:space="0" w:color="auto"/>
        <w:bottom w:val="none" w:sz="0" w:space="0" w:color="auto"/>
        <w:right w:val="none" w:sz="0" w:space="0" w:color="auto"/>
      </w:divBdr>
    </w:div>
    <w:div w:id="2030250521">
      <w:bodyDiv w:val="1"/>
      <w:marLeft w:val="0"/>
      <w:marRight w:val="0"/>
      <w:marTop w:val="0"/>
      <w:marBottom w:val="0"/>
      <w:divBdr>
        <w:top w:val="none" w:sz="0" w:space="0" w:color="auto"/>
        <w:left w:val="none" w:sz="0" w:space="0" w:color="auto"/>
        <w:bottom w:val="none" w:sz="0" w:space="0" w:color="auto"/>
        <w:right w:val="none" w:sz="0" w:space="0" w:color="auto"/>
      </w:divBdr>
    </w:div>
    <w:div w:id="2030594313">
      <w:bodyDiv w:val="1"/>
      <w:marLeft w:val="0"/>
      <w:marRight w:val="0"/>
      <w:marTop w:val="0"/>
      <w:marBottom w:val="0"/>
      <w:divBdr>
        <w:top w:val="none" w:sz="0" w:space="0" w:color="auto"/>
        <w:left w:val="none" w:sz="0" w:space="0" w:color="auto"/>
        <w:bottom w:val="none" w:sz="0" w:space="0" w:color="auto"/>
        <w:right w:val="none" w:sz="0" w:space="0" w:color="auto"/>
      </w:divBdr>
    </w:div>
    <w:div w:id="2042510473">
      <w:bodyDiv w:val="1"/>
      <w:marLeft w:val="0"/>
      <w:marRight w:val="0"/>
      <w:marTop w:val="0"/>
      <w:marBottom w:val="0"/>
      <w:divBdr>
        <w:top w:val="none" w:sz="0" w:space="0" w:color="auto"/>
        <w:left w:val="none" w:sz="0" w:space="0" w:color="auto"/>
        <w:bottom w:val="none" w:sz="0" w:space="0" w:color="auto"/>
        <w:right w:val="none" w:sz="0" w:space="0" w:color="auto"/>
      </w:divBdr>
    </w:div>
    <w:div w:id="2068648210">
      <w:bodyDiv w:val="1"/>
      <w:marLeft w:val="0"/>
      <w:marRight w:val="0"/>
      <w:marTop w:val="0"/>
      <w:marBottom w:val="0"/>
      <w:divBdr>
        <w:top w:val="none" w:sz="0" w:space="0" w:color="auto"/>
        <w:left w:val="none" w:sz="0" w:space="0" w:color="auto"/>
        <w:bottom w:val="none" w:sz="0" w:space="0" w:color="auto"/>
        <w:right w:val="none" w:sz="0" w:space="0" w:color="auto"/>
      </w:divBdr>
    </w:div>
    <w:div w:id="2069721680">
      <w:bodyDiv w:val="1"/>
      <w:marLeft w:val="0"/>
      <w:marRight w:val="0"/>
      <w:marTop w:val="0"/>
      <w:marBottom w:val="0"/>
      <w:divBdr>
        <w:top w:val="none" w:sz="0" w:space="0" w:color="auto"/>
        <w:left w:val="none" w:sz="0" w:space="0" w:color="auto"/>
        <w:bottom w:val="none" w:sz="0" w:space="0" w:color="auto"/>
        <w:right w:val="none" w:sz="0" w:space="0" w:color="auto"/>
      </w:divBdr>
    </w:div>
    <w:div w:id="2073772766">
      <w:bodyDiv w:val="1"/>
      <w:marLeft w:val="0"/>
      <w:marRight w:val="0"/>
      <w:marTop w:val="0"/>
      <w:marBottom w:val="0"/>
      <w:divBdr>
        <w:top w:val="none" w:sz="0" w:space="0" w:color="auto"/>
        <w:left w:val="none" w:sz="0" w:space="0" w:color="auto"/>
        <w:bottom w:val="none" w:sz="0" w:space="0" w:color="auto"/>
        <w:right w:val="none" w:sz="0" w:space="0" w:color="auto"/>
      </w:divBdr>
    </w:div>
    <w:div w:id="2080521701">
      <w:bodyDiv w:val="1"/>
      <w:marLeft w:val="0"/>
      <w:marRight w:val="0"/>
      <w:marTop w:val="0"/>
      <w:marBottom w:val="0"/>
      <w:divBdr>
        <w:top w:val="none" w:sz="0" w:space="0" w:color="auto"/>
        <w:left w:val="none" w:sz="0" w:space="0" w:color="auto"/>
        <w:bottom w:val="none" w:sz="0" w:space="0" w:color="auto"/>
        <w:right w:val="none" w:sz="0" w:space="0" w:color="auto"/>
      </w:divBdr>
    </w:div>
    <w:div w:id="2109764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5.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s://www.ft.com/content/d1427264-4482-11e8-93cf-67ac3a6482fd" TargetMode="External"/><Relationship Id="rId17" Type="http://schemas.openxmlformats.org/officeDocument/2006/relationships/image" Target="media/image4.emf"/><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chart" Target="charts/chart1.xml"/><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oney.cnn.com/2018/05/18/news/economy/oil-prices-india-saudi-arabia/index.html" TargetMode="External"/><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9.emf"/><Relationship Id="rId28" Type="http://schemas.openxmlformats.org/officeDocument/2006/relationships/image" Target="media/image14.emf"/><Relationship Id="rId10" Type="http://schemas.openxmlformats.org/officeDocument/2006/relationships/hyperlink" Target="https://www.cnbc.com/2018/05/14/rising-oil-prices-may-now-be-a-positive-for-the-" TargetMode="External"/><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emf"/><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s>
</file>

<file path=word/charts/_rels/chart1.xml.rels><?xml version="1.0" encoding="UTF-8" standalone="yes"?>
<Relationships xmlns="http://schemas.openxmlformats.org/package/2006/relationships"><Relationship Id="rId3" Type="http://schemas.openxmlformats.org/officeDocument/2006/relationships/oleObject" Target="file:///\\Users\georgefilis\Documents\Sync\1.%20ACADEMIC%20WORK\PHD%20SUPERVISION\IN%20PROGRESS\Mixalis%20Filippidis\Chapter%203\Shocks-alternative%20char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SS</c:v>
                </c:pt>
              </c:strCache>
            </c:strRef>
          </c:tx>
          <c:spPr>
            <a:solidFill>
              <a:schemeClr val="dk1">
                <a:tint val="88500"/>
              </a:schemeClr>
            </a:solidFill>
            <a:ln>
              <a:noFill/>
            </a:ln>
            <a:effectLst/>
          </c:spPr>
          <c:invertIfNegative val="0"/>
          <c:cat>
            <c:strRef>
              <c:f>Sheet1!$A$2:$A$201</c:f>
              <c:strCache>
                <c:ptCount val="200"/>
                <c:pt idx="0">
                  <c:v>1999M06</c:v>
                </c:pt>
                <c:pt idx="1">
                  <c:v>1999M07</c:v>
                </c:pt>
                <c:pt idx="2">
                  <c:v>1999M08</c:v>
                </c:pt>
                <c:pt idx="3">
                  <c:v>1999M09</c:v>
                </c:pt>
                <c:pt idx="4">
                  <c:v>1999M10</c:v>
                </c:pt>
                <c:pt idx="5">
                  <c:v>1999M11</c:v>
                </c:pt>
                <c:pt idx="6">
                  <c:v>1999M12</c:v>
                </c:pt>
                <c:pt idx="7">
                  <c:v>2000M01</c:v>
                </c:pt>
                <c:pt idx="8">
                  <c:v>2000M02</c:v>
                </c:pt>
                <c:pt idx="9">
                  <c:v>2000M03</c:v>
                </c:pt>
                <c:pt idx="10">
                  <c:v>2000M04</c:v>
                </c:pt>
                <c:pt idx="11">
                  <c:v>2000M05</c:v>
                </c:pt>
                <c:pt idx="12">
                  <c:v>2000M06</c:v>
                </c:pt>
                <c:pt idx="13">
                  <c:v>2000M07</c:v>
                </c:pt>
                <c:pt idx="14">
                  <c:v>2000M08</c:v>
                </c:pt>
                <c:pt idx="15">
                  <c:v>2000M09</c:v>
                </c:pt>
                <c:pt idx="16">
                  <c:v>2000M10</c:v>
                </c:pt>
                <c:pt idx="17">
                  <c:v>2000M11</c:v>
                </c:pt>
                <c:pt idx="18">
                  <c:v>2000M12</c:v>
                </c:pt>
                <c:pt idx="19">
                  <c:v>2001M01</c:v>
                </c:pt>
                <c:pt idx="20">
                  <c:v>2001M02</c:v>
                </c:pt>
                <c:pt idx="21">
                  <c:v>2001M03</c:v>
                </c:pt>
                <c:pt idx="22">
                  <c:v>2001M04</c:v>
                </c:pt>
                <c:pt idx="23">
                  <c:v>2001M05</c:v>
                </c:pt>
                <c:pt idx="24">
                  <c:v>2001M06</c:v>
                </c:pt>
                <c:pt idx="25">
                  <c:v>2001M07</c:v>
                </c:pt>
                <c:pt idx="26">
                  <c:v>2001M08</c:v>
                </c:pt>
                <c:pt idx="27">
                  <c:v>2001M09</c:v>
                </c:pt>
                <c:pt idx="28">
                  <c:v>2001M10</c:v>
                </c:pt>
                <c:pt idx="29">
                  <c:v>2001M11</c:v>
                </c:pt>
                <c:pt idx="30">
                  <c:v>2001M12</c:v>
                </c:pt>
                <c:pt idx="31">
                  <c:v>2002M01</c:v>
                </c:pt>
                <c:pt idx="32">
                  <c:v>2002M02</c:v>
                </c:pt>
                <c:pt idx="33">
                  <c:v>2002M03</c:v>
                </c:pt>
                <c:pt idx="34">
                  <c:v>2002M04</c:v>
                </c:pt>
                <c:pt idx="35">
                  <c:v>2002M05</c:v>
                </c:pt>
                <c:pt idx="36">
                  <c:v>2002M06</c:v>
                </c:pt>
                <c:pt idx="37">
                  <c:v>2002M07</c:v>
                </c:pt>
                <c:pt idx="38">
                  <c:v>2002M08</c:v>
                </c:pt>
                <c:pt idx="39">
                  <c:v>2002M09</c:v>
                </c:pt>
                <c:pt idx="40">
                  <c:v>2002M10</c:v>
                </c:pt>
                <c:pt idx="41">
                  <c:v>2002M11</c:v>
                </c:pt>
                <c:pt idx="42">
                  <c:v>2002M12</c:v>
                </c:pt>
                <c:pt idx="43">
                  <c:v>2003M01</c:v>
                </c:pt>
                <c:pt idx="44">
                  <c:v>2003M02</c:v>
                </c:pt>
                <c:pt idx="45">
                  <c:v>2003M03</c:v>
                </c:pt>
                <c:pt idx="46">
                  <c:v>2003M04</c:v>
                </c:pt>
                <c:pt idx="47">
                  <c:v>2003M05</c:v>
                </c:pt>
                <c:pt idx="48">
                  <c:v>2003M06</c:v>
                </c:pt>
                <c:pt idx="49">
                  <c:v>2003M07</c:v>
                </c:pt>
                <c:pt idx="50">
                  <c:v>2003M08</c:v>
                </c:pt>
                <c:pt idx="51">
                  <c:v>2003M09</c:v>
                </c:pt>
                <c:pt idx="52">
                  <c:v>2003M10</c:v>
                </c:pt>
                <c:pt idx="53">
                  <c:v>2003M11</c:v>
                </c:pt>
                <c:pt idx="54">
                  <c:v>2003M12</c:v>
                </c:pt>
                <c:pt idx="55">
                  <c:v>2004M01</c:v>
                </c:pt>
                <c:pt idx="56">
                  <c:v>2004M02</c:v>
                </c:pt>
                <c:pt idx="57">
                  <c:v>2004M03</c:v>
                </c:pt>
                <c:pt idx="58">
                  <c:v>2004M04</c:v>
                </c:pt>
                <c:pt idx="59">
                  <c:v>2004M05</c:v>
                </c:pt>
                <c:pt idx="60">
                  <c:v>2004M06</c:v>
                </c:pt>
                <c:pt idx="61">
                  <c:v>2004M07</c:v>
                </c:pt>
                <c:pt idx="62">
                  <c:v>2004M08</c:v>
                </c:pt>
                <c:pt idx="63">
                  <c:v>2004M09</c:v>
                </c:pt>
                <c:pt idx="64">
                  <c:v>2004M10</c:v>
                </c:pt>
                <c:pt idx="65">
                  <c:v>2004M11</c:v>
                </c:pt>
                <c:pt idx="66">
                  <c:v>2004M12</c:v>
                </c:pt>
                <c:pt idx="67">
                  <c:v>2005M01</c:v>
                </c:pt>
                <c:pt idx="68">
                  <c:v>2005M02</c:v>
                </c:pt>
                <c:pt idx="69">
                  <c:v>2005M03</c:v>
                </c:pt>
                <c:pt idx="70">
                  <c:v>2005M04</c:v>
                </c:pt>
                <c:pt idx="71">
                  <c:v>2005M05</c:v>
                </c:pt>
                <c:pt idx="72">
                  <c:v>2005M06</c:v>
                </c:pt>
                <c:pt idx="73">
                  <c:v>2005M07</c:v>
                </c:pt>
                <c:pt idx="74">
                  <c:v>2005M08</c:v>
                </c:pt>
                <c:pt idx="75">
                  <c:v>2005M09</c:v>
                </c:pt>
                <c:pt idx="76">
                  <c:v>2005M10</c:v>
                </c:pt>
                <c:pt idx="77">
                  <c:v>2005M11</c:v>
                </c:pt>
                <c:pt idx="78">
                  <c:v>2005M12</c:v>
                </c:pt>
                <c:pt idx="79">
                  <c:v>2006M01</c:v>
                </c:pt>
                <c:pt idx="80">
                  <c:v>2006M02</c:v>
                </c:pt>
                <c:pt idx="81">
                  <c:v>2006M03</c:v>
                </c:pt>
                <c:pt idx="82">
                  <c:v>2006M04</c:v>
                </c:pt>
                <c:pt idx="83">
                  <c:v>2006M05</c:v>
                </c:pt>
                <c:pt idx="84">
                  <c:v>2006M06</c:v>
                </c:pt>
                <c:pt idx="85">
                  <c:v>2006M07</c:v>
                </c:pt>
                <c:pt idx="86">
                  <c:v>2006M08</c:v>
                </c:pt>
                <c:pt idx="87">
                  <c:v>2006M09</c:v>
                </c:pt>
                <c:pt idx="88">
                  <c:v>2006M10</c:v>
                </c:pt>
                <c:pt idx="89">
                  <c:v>2006M11</c:v>
                </c:pt>
                <c:pt idx="90">
                  <c:v>2006M12</c:v>
                </c:pt>
                <c:pt idx="91">
                  <c:v>2007M01</c:v>
                </c:pt>
                <c:pt idx="92">
                  <c:v>2007M02</c:v>
                </c:pt>
                <c:pt idx="93">
                  <c:v>2007M03</c:v>
                </c:pt>
                <c:pt idx="94">
                  <c:v>2007M04</c:v>
                </c:pt>
                <c:pt idx="95">
                  <c:v>2007M05</c:v>
                </c:pt>
                <c:pt idx="96">
                  <c:v>2007M06</c:v>
                </c:pt>
                <c:pt idx="97">
                  <c:v>2007M07</c:v>
                </c:pt>
                <c:pt idx="98">
                  <c:v>2007M08</c:v>
                </c:pt>
                <c:pt idx="99">
                  <c:v>2007M09</c:v>
                </c:pt>
                <c:pt idx="100">
                  <c:v>2007M10</c:v>
                </c:pt>
                <c:pt idx="101">
                  <c:v>2007M11</c:v>
                </c:pt>
                <c:pt idx="102">
                  <c:v>2007M12</c:v>
                </c:pt>
                <c:pt idx="103">
                  <c:v>2008M01</c:v>
                </c:pt>
                <c:pt idx="104">
                  <c:v>2008M02</c:v>
                </c:pt>
                <c:pt idx="105">
                  <c:v>2008M03</c:v>
                </c:pt>
                <c:pt idx="106">
                  <c:v>2008M04</c:v>
                </c:pt>
                <c:pt idx="107">
                  <c:v>2008M05</c:v>
                </c:pt>
                <c:pt idx="108">
                  <c:v>2008M06</c:v>
                </c:pt>
                <c:pt idx="109">
                  <c:v>2008M07</c:v>
                </c:pt>
                <c:pt idx="110">
                  <c:v>2008M08</c:v>
                </c:pt>
                <c:pt idx="111">
                  <c:v>2008M09</c:v>
                </c:pt>
                <c:pt idx="112">
                  <c:v>2008M10</c:v>
                </c:pt>
                <c:pt idx="113">
                  <c:v>2008M11</c:v>
                </c:pt>
                <c:pt idx="114">
                  <c:v>2008M12</c:v>
                </c:pt>
                <c:pt idx="115">
                  <c:v>2009M01</c:v>
                </c:pt>
                <c:pt idx="116">
                  <c:v>2009M02</c:v>
                </c:pt>
                <c:pt idx="117">
                  <c:v>2009M03</c:v>
                </c:pt>
                <c:pt idx="118">
                  <c:v>2009M04</c:v>
                </c:pt>
                <c:pt idx="119">
                  <c:v>2009M05</c:v>
                </c:pt>
                <c:pt idx="120">
                  <c:v>2009M06</c:v>
                </c:pt>
                <c:pt idx="121">
                  <c:v>2009M07</c:v>
                </c:pt>
                <c:pt idx="122">
                  <c:v>2009M08</c:v>
                </c:pt>
                <c:pt idx="123">
                  <c:v>2009M09</c:v>
                </c:pt>
                <c:pt idx="124">
                  <c:v>2009M10</c:v>
                </c:pt>
                <c:pt idx="125">
                  <c:v>2009M11</c:v>
                </c:pt>
                <c:pt idx="126">
                  <c:v>2009M12</c:v>
                </c:pt>
                <c:pt idx="127">
                  <c:v>2010M01</c:v>
                </c:pt>
                <c:pt idx="128">
                  <c:v>2010M02</c:v>
                </c:pt>
                <c:pt idx="129">
                  <c:v>2010M03</c:v>
                </c:pt>
                <c:pt idx="130">
                  <c:v>2010M04</c:v>
                </c:pt>
                <c:pt idx="131">
                  <c:v>2010M05</c:v>
                </c:pt>
                <c:pt idx="132">
                  <c:v>2010M06</c:v>
                </c:pt>
                <c:pt idx="133">
                  <c:v>2010M07</c:v>
                </c:pt>
                <c:pt idx="134">
                  <c:v>2010M08</c:v>
                </c:pt>
                <c:pt idx="135">
                  <c:v>2010M09</c:v>
                </c:pt>
                <c:pt idx="136">
                  <c:v>2010M10</c:v>
                </c:pt>
                <c:pt idx="137">
                  <c:v>2010M11</c:v>
                </c:pt>
                <c:pt idx="138">
                  <c:v>2010M12</c:v>
                </c:pt>
                <c:pt idx="139">
                  <c:v>2011M01</c:v>
                </c:pt>
                <c:pt idx="140">
                  <c:v>2011M02</c:v>
                </c:pt>
                <c:pt idx="141">
                  <c:v>2011M03</c:v>
                </c:pt>
                <c:pt idx="142">
                  <c:v>2011M04</c:v>
                </c:pt>
                <c:pt idx="143">
                  <c:v>2011M05</c:v>
                </c:pt>
                <c:pt idx="144">
                  <c:v>2011M06</c:v>
                </c:pt>
                <c:pt idx="145">
                  <c:v>2011M07</c:v>
                </c:pt>
                <c:pt idx="146">
                  <c:v>2011M08</c:v>
                </c:pt>
                <c:pt idx="147">
                  <c:v>2011M09</c:v>
                </c:pt>
                <c:pt idx="148">
                  <c:v>2011M10</c:v>
                </c:pt>
                <c:pt idx="149">
                  <c:v>2011M11</c:v>
                </c:pt>
                <c:pt idx="150">
                  <c:v>2011M12</c:v>
                </c:pt>
                <c:pt idx="151">
                  <c:v>2012M01</c:v>
                </c:pt>
                <c:pt idx="152">
                  <c:v>2012M02</c:v>
                </c:pt>
                <c:pt idx="153">
                  <c:v>2012M03</c:v>
                </c:pt>
                <c:pt idx="154">
                  <c:v>2012M04</c:v>
                </c:pt>
                <c:pt idx="155">
                  <c:v>2012M05</c:v>
                </c:pt>
                <c:pt idx="156">
                  <c:v>2012M06</c:v>
                </c:pt>
                <c:pt idx="157">
                  <c:v>2012M07</c:v>
                </c:pt>
                <c:pt idx="158">
                  <c:v>2012M08</c:v>
                </c:pt>
                <c:pt idx="159">
                  <c:v>2012M09</c:v>
                </c:pt>
                <c:pt idx="160">
                  <c:v>2012M10</c:v>
                </c:pt>
                <c:pt idx="161">
                  <c:v>2012M11</c:v>
                </c:pt>
                <c:pt idx="162">
                  <c:v>2012M12</c:v>
                </c:pt>
                <c:pt idx="163">
                  <c:v>2013M01</c:v>
                </c:pt>
                <c:pt idx="164">
                  <c:v>2013M02</c:v>
                </c:pt>
                <c:pt idx="165">
                  <c:v>2013M03</c:v>
                </c:pt>
                <c:pt idx="166">
                  <c:v>2013M04</c:v>
                </c:pt>
                <c:pt idx="167">
                  <c:v>2013M05</c:v>
                </c:pt>
                <c:pt idx="168">
                  <c:v>2013M06</c:v>
                </c:pt>
                <c:pt idx="169">
                  <c:v>2013M07</c:v>
                </c:pt>
                <c:pt idx="170">
                  <c:v>2013M08</c:v>
                </c:pt>
                <c:pt idx="171">
                  <c:v>2013M09</c:v>
                </c:pt>
                <c:pt idx="172">
                  <c:v>2013M10</c:v>
                </c:pt>
                <c:pt idx="173">
                  <c:v>2013M11</c:v>
                </c:pt>
                <c:pt idx="174">
                  <c:v>2013M12</c:v>
                </c:pt>
                <c:pt idx="175">
                  <c:v>2014M01</c:v>
                </c:pt>
                <c:pt idx="176">
                  <c:v>2014M02</c:v>
                </c:pt>
                <c:pt idx="177">
                  <c:v>2014M03</c:v>
                </c:pt>
                <c:pt idx="178">
                  <c:v>2014M04</c:v>
                </c:pt>
                <c:pt idx="179">
                  <c:v>2014M05</c:v>
                </c:pt>
                <c:pt idx="180">
                  <c:v>2014M06</c:v>
                </c:pt>
                <c:pt idx="181">
                  <c:v>2014M07</c:v>
                </c:pt>
                <c:pt idx="182">
                  <c:v>2014M08</c:v>
                </c:pt>
                <c:pt idx="183">
                  <c:v>2014M09</c:v>
                </c:pt>
                <c:pt idx="184">
                  <c:v>2014M10</c:v>
                </c:pt>
                <c:pt idx="185">
                  <c:v>2014M11</c:v>
                </c:pt>
                <c:pt idx="186">
                  <c:v>2014M12</c:v>
                </c:pt>
                <c:pt idx="187">
                  <c:v>2015M01</c:v>
                </c:pt>
                <c:pt idx="188">
                  <c:v>2015M02</c:v>
                </c:pt>
                <c:pt idx="189">
                  <c:v>2015M03</c:v>
                </c:pt>
                <c:pt idx="190">
                  <c:v>2015M04</c:v>
                </c:pt>
                <c:pt idx="191">
                  <c:v>2015M05</c:v>
                </c:pt>
                <c:pt idx="192">
                  <c:v>2015M06</c:v>
                </c:pt>
                <c:pt idx="193">
                  <c:v>2015M07</c:v>
                </c:pt>
                <c:pt idx="194">
                  <c:v>2015M08</c:v>
                </c:pt>
                <c:pt idx="195">
                  <c:v>2015M09</c:v>
                </c:pt>
                <c:pt idx="196">
                  <c:v>2015M10</c:v>
                </c:pt>
                <c:pt idx="197">
                  <c:v>2015M11</c:v>
                </c:pt>
                <c:pt idx="198">
                  <c:v>2015M12</c:v>
                </c:pt>
                <c:pt idx="199">
                  <c:v>2016M01</c:v>
                </c:pt>
              </c:strCache>
            </c:strRef>
          </c:cat>
          <c:val>
            <c:numRef>
              <c:f>Sheet1!$B$2:$B$201</c:f>
              <c:numCache>
                <c:formatCode>General</c:formatCode>
                <c:ptCount val="200"/>
                <c:pt idx="0">
                  <c:v>2.8762778372131301E-2</c:v>
                </c:pt>
                <c:pt idx="1">
                  <c:v>6.0778684180932503E-3</c:v>
                </c:pt>
                <c:pt idx="2">
                  <c:v>-2.6126651619234401E-2</c:v>
                </c:pt>
                <c:pt idx="3">
                  <c:v>2.9573320789335202E-2</c:v>
                </c:pt>
                <c:pt idx="4">
                  <c:v>-4.2057947040135303E-2</c:v>
                </c:pt>
                <c:pt idx="5">
                  <c:v>3.4641767832987301E-2</c:v>
                </c:pt>
                <c:pt idx="6">
                  <c:v>4.5072262367133699E-3</c:v>
                </c:pt>
                <c:pt idx="7">
                  <c:v>2.8874516156317501E-3</c:v>
                </c:pt>
                <c:pt idx="8">
                  <c:v>2.3726067948325602E-3</c:v>
                </c:pt>
                <c:pt idx="9">
                  <c:v>1.24341524015618E-2</c:v>
                </c:pt>
                <c:pt idx="10">
                  <c:v>-3.1585180521688599E-2</c:v>
                </c:pt>
                <c:pt idx="11">
                  <c:v>3.1311180601219603E-2</c:v>
                </c:pt>
                <c:pt idx="12">
                  <c:v>2.0087551360485598E-2</c:v>
                </c:pt>
                <c:pt idx="13">
                  <c:v>-1.9365885358838301E-3</c:v>
                </c:pt>
                <c:pt idx="14">
                  <c:v>2.0153225313152501E-2</c:v>
                </c:pt>
                <c:pt idx="15">
                  <c:v>2.7635325307337401E-2</c:v>
                </c:pt>
                <c:pt idx="16">
                  <c:v>7.3416522918976204E-3</c:v>
                </c:pt>
                <c:pt idx="17">
                  <c:v>-5.0840915962280598E-3</c:v>
                </c:pt>
                <c:pt idx="18">
                  <c:v>3.1282553299699603E-2</c:v>
                </c:pt>
                <c:pt idx="19">
                  <c:v>8.2606315562504008E-3</c:v>
                </c:pt>
                <c:pt idx="20">
                  <c:v>-1.42026331024355E-3</c:v>
                </c:pt>
                <c:pt idx="21">
                  <c:v>2.7144218763906498E-2</c:v>
                </c:pt>
                <c:pt idx="22">
                  <c:v>-3.0072593414800401E-2</c:v>
                </c:pt>
                <c:pt idx="23">
                  <c:v>2.2209814419504901E-2</c:v>
                </c:pt>
                <c:pt idx="24">
                  <c:v>-1.89735224231826E-2</c:v>
                </c:pt>
                <c:pt idx="25">
                  <c:v>2.47006487319468E-2</c:v>
                </c:pt>
                <c:pt idx="26">
                  <c:v>-1.9170589751999499E-2</c:v>
                </c:pt>
                <c:pt idx="27">
                  <c:v>1.7993566925546801E-2</c:v>
                </c:pt>
                <c:pt idx="28">
                  <c:v>-5.6802531772990703E-2</c:v>
                </c:pt>
                <c:pt idx="29">
                  <c:v>3.45005595898083E-2</c:v>
                </c:pt>
                <c:pt idx="30">
                  <c:v>1.46152564250654E-2</c:v>
                </c:pt>
                <c:pt idx="31">
                  <c:v>5.3918518553795801E-3</c:v>
                </c:pt>
                <c:pt idx="32">
                  <c:v>-1.3575491480709599E-2</c:v>
                </c:pt>
                <c:pt idx="33">
                  <c:v>7.2710307916640498E-3</c:v>
                </c:pt>
                <c:pt idx="34">
                  <c:v>1.2094173936296301E-2</c:v>
                </c:pt>
                <c:pt idx="35">
                  <c:v>-1.10809949704997E-2</c:v>
                </c:pt>
                <c:pt idx="36">
                  <c:v>3.3604430407255998E-3</c:v>
                </c:pt>
                <c:pt idx="37">
                  <c:v>6.6428113721438099E-4</c:v>
                </c:pt>
                <c:pt idx="38">
                  <c:v>-1.7793742448721599E-2</c:v>
                </c:pt>
                <c:pt idx="39">
                  <c:v>2.7097177008391801E-2</c:v>
                </c:pt>
                <c:pt idx="40">
                  <c:v>-6.4573175849799401E-3</c:v>
                </c:pt>
                <c:pt idx="41">
                  <c:v>1.0004897292893699E-2</c:v>
                </c:pt>
                <c:pt idx="42">
                  <c:v>5.88541352524132E-4</c:v>
                </c:pt>
                <c:pt idx="43">
                  <c:v>7.7755205716422597E-3</c:v>
                </c:pt>
                <c:pt idx="44">
                  <c:v>1.8310610879526699E-2</c:v>
                </c:pt>
                <c:pt idx="45">
                  <c:v>2.40701550146558E-2</c:v>
                </c:pt>
                <c:pt idx="46">
                  <c:v>-3.5142370885672798E-2</c:v>
                </c:pt>
                <c:pt idx="47">
                  <c:v>3.2213422229144199E-3</c:v>
                </c:pt>
                <c:pt idx="48">
                  <c:v>3.4636622264583299E-2</c:v>
                </c:pt>
                <c:pt idx="49">
                  <c:v>2.6347381452794499E-2</c:v>
                </c:pt>
                <c:pt idx="50">
                  <c:v>-2.38812606994823E-2</c:v>
                </c:pt>
                <c:pt idx="51">
                  <c:v>2.1637556428995699E-2</c:v>
                </c:pt>
                <c:pt idx="52">
                  <c:v>-1.96007654223476E-2</c:v>
                </c:pt>
                <c:pt idx="53">
                  <c:v>1.65167272085598E-3</c:v>
                </c:pt>
                <c:pt idx="54">
                  <c:v>5.5208409933867001E-3</c:v>
                </c:pt>
                <c:pt idx="55">
                  <c:v>1.32626988759484E-2</c:v>
                </c:pt>
                <c:pt idx="56">
                  <c:v>2.5012213682585799E-2</c:v>
                </c:pt>
                <c:pt idx="57">
                  <c:v>-1.21794714826414E-2</c:v>
                </c:pt>
                <c:pt idx="58">
                  <c:v>4.49666948263188E-2</c:v>
                </c:pt>
                <c:pt idx="59">
                  <c:v>-7.3880701038360095E-4</c:v>
                </c:pt>
                <c:pt idx="60">
                  <c:v>2.34304813323713E-4</c:v>
                </c:pt>
                <c:pt idx="61">
                  <c:v>-3.1358091163035001E-3</c:v>
                </c:pt>
                <c:pt idx="62">
                  <c:v>1.95445051708249E-2</c:v>
                </c:pt>
                <c:pt idx="63">
                  <c:v>-2.42490927959488E-2</c:v>
                </c:pt>
                <c:pt idx="64">
                  <c:v>4.25276140218434E-2</c:v>
                </c:pt>
                <c:pt idx="65">
                  <c:v>1.7028633692486701E-2</c:v>
                </c:pt>
                <c:pt idx="66">
                  <c:v>-2.2475375515559299E-2</c:v>
                </c:pt>
                <c:pt idx="67">
                  <c:v>1.6904155367894299E-2</c:v>
                </c:pt>
                <c:pt idx="68">
                  <c:v>5.2550589068677597E-3</c:v>
                </c:pt>
                <c:pt idx="69">
                  <c:v>-9.0381386154462298E-3</c:v>
                </c:pt>
                <c:pt idx="70">
                  <c:v>-4.0293728078037404E-3</c:v>
                </c:pt>
                <c:pt idx="71">
                  <c:v>1.0490956607204199E-2</c:v>
                </c:pt>
                <c:pt idx="72">
                  <c:v>8.5071253375728299E-3</c:v>
                </c:pt>
                <c:pt idx="73">
                  <c:v>5.9659703340921603E-3</c:v>
                </c:pt>
                <c:pt idx="74">
                  <c:v>9.5299631544284204E-3</c:v>
                </c:pt>
                <c:pt idx="75">
                  <c:v>1.58598486348587E-2</c:v>
                </c:pt>
                <c:pt idx="76">
                  <c:v>4.0718156316415302E-3</c:v>
                </c:pt>
                <c:pt idx="77">
                  <c:v>-1.6538341099213299E-2</c:v>
                </c:pt>
                <c:pt idx="78">
                  <c:v>9.6015229346194508E-3</c:v>
                </c:pt>
                <c:pt idx="79">
                  <c:v>-3.9311557834382704E-3</c:v>
                </c:pt>
                <c:pt idx="80">
                  <c:v>-1.1870103285644E-2</c:v>
                </c:pt>
                <c:pt idx="81">
                  <c:v>9.7272157712230706E-3</c:v>
                </c:pt>
                <c:pt idx="82">
                  <c:v>1.8689163081765499E-2</c:v>
                </c:pt>
                <c:pt idx="83">
                  <c:v>-9.3233692112407399E-3</c:v>
                </c:pt>
                <c:pt idx="84">
                  <c:v>3.8571162669373202E-3</c:v>
                </c:pt>
                <c:pt idx="85">
                  <c:v>-8.4224417381748191E-3</c:v>
                </c:pt>
                <c:pt idx="86">
                  <c:v>1.4834732621564199E-2</c:v>
                </c:pt>
                <c:pt idx="87">
                  <c:v>8.5157372539671904E-4</c:v>
                </c:pt>
                <c:pt idx="88">
                  <c:v>-5.8076963996430203E-3</c:v>
                </c:pt>
                <c:pt idx="89">
                  <c:v>1.8272734311632399E-2</c:v>
                </c:pt>
                <c:pt idx="90">
                  <c:v>6.7003797402985198E-3</c:v>
                </c:pt>
                <c:pt idx="91">
                  <c:v>-4.5760199092674102E-3</c:v>
                </c:pt>
                <c:pt idx="92">
                  <c:v>5.4950103573001702E-3</c:v>
                </c:pt>
                <c:pt idx="93">
                  <c:v>-1.34962181461807E-2</c:v>
                </c:pt>
                <c:pt idx="94">
                  <c:v>1.01191721316863E-2</c:v>
                </c:pt>
                <c:pt idx="95">
                  <c:v>-7.1239094955356397E-3</c:v>
                </c:pt>
                <c:pt idx="96">
                  <c:v>1.2380793737458399E-2</c:v>
                </c:pt>
                <c:pt idx="97">
                  <c:v>-3.3347235956825701E-3</c:v>
                </c:pt>
                <c:pt idx="98">
                  <c:v>2.42413361270058E-2</c:v>
                </c:pt>
                <c:pt idx="99">
                  <c:v>-8.7888584610857409E-3</c:v>
                </c:pt>
                <c:pt idx="100">
                  <c:v>-1.0746993342043199E-2</c:v>
                </c:pt>
                <c:pt idx="101">
                  <c:v>1.5894568939069501E-2</c:v>
                </c:pt>
                <c:pt idx="102">
                  <c:v>-1.9662943263315899E-2</c:v>
                </c:pt>
                <c:pt idx="103">
                  <c:v>1.8378092079885399E-2</c:v>
                </c:pt>
                <c:pt idx="104">
                  <c:v>1.66177293825274E-2</c:v>
                </c:pt>
                <c:pt idx="105">
                  <c:v>-1.6781473312589501E-2</c:v>
                </c:pt>
                <c:pt idx="106">
                  <c:v>1.94974340665451E-2</c:v>
                </c:pt>
                <c:pt idx="107">
                  <c:v>7.0872956299258801E-3</c:v>
                </c:pt>
                <c:pt idx="108">
                  <c:v>-2.5520499062933001E-4</c:v>
                </c:pt>
                <c:pt idx="109">
                  <c:v>2.0022276406054501E-2</c:v>
                </c:pt>
                <c:pt idx="110">
                  <c:v>-1.0714256869110201E-2</c:v>
                </c:pt>
                <c:pt idx="111">
                  <c:v>2.1861558534862401E-2</c:v>
                </c:pt>
                <c:pt idx="112">
                  <c:v>-7.8544046283032104E-3</c:v>
                </c:pt>
                <c:pt idx="113">
                  <c:v>1.92131528126212E-2</c:v>
                </c:pt>
                <c:pt idx="114">
                  <c:v>-9.8430518080643795E-3</c:v>
                </c:pt>
                <c:pt idx="115">
                  <c:v>-2.6508291846893999E-2</c:v>
                </c:pt>
                <c:pt idx="116">
                  <c:v>2.28067880312753E-2</c:v>
                </c:pt>
                <c:pt idx="117">
                  <c:v>5.1158910408375703E-4</c:v>
                </c:pt>
                <c:pt idx="118">
                  <c:v>2.0449489516177798E-3</c:v>
                </c:pt>
                <c:pt idx="119">
                  <c:v>-1.40634183308387E-2</c:v>
                </c:pt>
                <c:pt idx="120">
                  <c:v>2.2029698114484599E-2</c:v>
                </c:pt>
                <c:pt idx="121">
                  <c:v>-1.05147042836549E-2</c:v>
                </c:pt>
                <c:pt idx="122">
                  <c:v>1.7844090105554801E-2</c:v>
                </c:pt>
                <c:pt idx="123">
                  <c:v>-7.09570670996372E-3</c:v>
                </c:pt>
                <c:pt idx="124">
                  <c:v>5.0330635778414196E-3</c:v>
                </c:pt>
                <c:pt idx="125">
                  <c:v>1.6383857476713799E-2</c:v>
                </c:pt>
                <c:pt idx="126">
                  <c:v>-1.4476111563930499E-2</c:v>
                </c:pt>
                <c:pt idx="127">
                  <c:v>1.8040522717284398E-2</c:v>
                </c:pt>
                <c:pt idx="128">
                  <c:v>4.65411532315913E-3</c:v>
                </c:pt>
                <c:pt idx="129">
                  <c:v>-7.7737687818848502E-4</c:v>
                </c:pt>
                <c:pt idx="130">
                  <c:v>4.8750376786115303E-3</c:v>
                </c:pt>
                <c:pt idx="131">
                  <c:v>-2.9205631698059199E-3</c:v>
                </c:pt>
                <c:pt idx="132">
                  <c:v>1.0545307583666799E-2</c:v>
                </c:pt>
                <c:pt idx="133">
                  <c:v>1.32016520268199E-2</c:v>
                </c:pt>
                <c:pt idx="134">
                  <c:v>5.23265551955717E-3</c:v>
                </c:pt>
                <c:pt idx="135">
                  <c:v>8.8268065311498493E-3</c:v>
                </c:pt>
                <c:pt idx="136">
                  <c:v>7.8861164207855994E-3</c:v>
                </c:pt>
                <c:pt idx="137">
                  <c:v>7.0218014619671603E-4</c:v>
                </c:pt>
                <c:pt idx="138">
                  <c:v>1.68309072209587E-4</c:v>
                </c:pt>
                <c:pt idx="139">
                  <c:v>2.2933424353165401E-2</c:v>
                </c:pt>
                <c:pt idx="140">
                  <c:v>-1.4995570754827501E-2</c:v>
                </c:pt>
                <c:pt idx="141">
                  <c:v>1.6610549672265201E-2</c:v>
                </c:pt>
                <c:pt idx="142">
                  <c:v>-1.17186485324174E-2</c:v>
                </c:pt>
                <c:pt idx="143">
                  <c:v>3.4952892535359201E-2</c:v>
                </c:pt>
                <c:pt idx="144">
                  <c:v>-1.32890508349755E-2</c:v>
                </c:pt>
                <c:pt idx="145">
                  <c:v>-2.2714616964641401E-2</c:v>
                </c:pt>
                <c:pt idx="146">
                  <c:v>1.3039518783724099E-2</c:v>
                </c:pt>
                <c:pt idx="147">
                  <c:v>-2.2580385753265701E-2</c:v>
                </c:pt>
                <c:pt idx="148">
                  <c:v>2.7634196646225202E-2</c:v>
                </c:pt>
                <c:pt idx="149">
                  <c:v>-1.1595451753880199E-2</c:v>
                </c:pt>
                <c:pt idx="150">
                  <c:v>2.9377994594641601E-2</c:v>
                </c:pt>
                <c:pt idx="151">
                  <c:v>-1.5761057496749602E-2</c:v>
                </c:pt>
                <c:pt idx="152">
                  <c:v>2.3667305617958798E-3</c:v>
                </c:pt>
                <c:pt idx="153">
                  <c:v>1.5608878000577401E-2</c:v>
                </c:pt>
                <c:pt idx="154">
                  <c:v>1.0974896982588699E-2</c:v>
                </c:pt>
                <c:pt idx="155">
                  <c:v>1.33564491513229E-2</c:v>
                </c:pt>
                <c:pt idx="156">
                  <c:v>1.48545954902099E-2</c:v>
                </c:pt>
                <c:pt idx="157">
                  <c:v>-1.06794135730339E-2</c:v>
                </c:pt>
                <c:pt idx="158">
                  <c:v>2.7934262464920302E-2</c:v>
                </c:pt>
                <c:pt idx="159">
                  <c:v>-6.1155820991317797E-3</c:v>
                </c:pt>
                <c:pt idx="160">
                  <c:v>4.1139120047949699E-3</c:v>
                </c:pt>
                <c:pt idx="161">
                  <c:v>-1.13165423358349E-2</c:v>
                </c:pt>
                <c:pt idx="162">
                  <c:v>2.2628813118298501E-2</c:v>
                </c:pt>
                <c:pt idx="163">
                  <c:v>-1.49862512196949E-2</c:v>
                </c:pt>
                <c:pt idx="164">
                  <c:v>3.61548560496561E-3</c:v>
                </c:pt>
                <c:pt idx="165">
                  <c:v>9.2770088874597496E-3</c:v>
                </c:pt>
                <c:pt idx="166">
                  <c:v>6.6469011315160396E-3</c:v>
                </c:pt>
                <c:pt idx="167">
                  <c:v>-5.3097999088882004E-3</c:v>
                </c:pt>
                <c:pt idx="168">
                  <c:v>-3.9802701580247497E-3</c:v>
                </c:pt>
                <c:pt idx="169">
                  <c:v>2.5250182540507001E-3</c:v>
                </c:pt>
                <c:pt idx="170">
                  <c:v>2.0262509968943101E-2</c:v>
                </c:pt>
                <c:pt idx="171">
                  <c:v>8.2998690211855894E-3</c:v>
                </c:pt>
                <c:pt idx="172">
                  <c:v>7.8845001728732305E-3</c:v>
                </c:pt>
                <c:pt idx="173">
                  <c:v>2.71941004766678E-3</c:v>
                </c:pt>
                <c:pt idx="174">
                  <c:v>6.8805044369608399E-3</c:v>
                </c:pt>
                <c:pt idx="175">
                  <c:v>-1.2010498552922799E-2</c:v>
                </c:pt>
                <c:pt idx="176">
                  <c:v>4.8259895063076198E-4</c:v>
                </c:pt>
                <c:pt idx="177">
                  <c:v>4.6746251140684198E-4</c:v>
                </c:pt>
                <c:pt idx="178">
                  <c:v>7.78948770537483E-3</c:v>
                </c:pt>
                <c:pt idx="179">
                  <c:v>1.1284172458441301E-2</c:v>
                </c:pt>
                <c:pt idx="180">
                  <c:v>1.84275644258294E-2</c:v>
                </c:pt>
                <c:pt idx="181">
                  <c:v>-9.5778593341312203E-3</c:v>
                </c:pt>
                <c:pt idx="182">
                  <c:v>7.0323771903611802E-3</c:v>
                </c:pt>
                <c:pt idx="183">
                  <c:v>1.30558207599271E-3</c:v>
                </c:pt>
                <c:pt idx="184">
                  <c:v>1.5726762414630401E-2</c:v>
                </c:pt>
                <c:pt idx="185">
                  <c:v>-4.6253092952085999E-3</c:v>
                </c:pt>
                <c:pt idx="186">
                  <c:v>4.1184952128862197E-3</c:v>
                </c:pt>
                <c:pt idx="187">
                  <c:v>2.1394080597062E-2</c:v>
                </c:pt>
                <c:pt idx="188">
                  <c:v>2.59040261228928E-2</c:v>
                </c:pt>
                <c:pt idx="189">
                  <c:v>-2.4696593114754199E-2</c:v>
                </c:pt>
                <c:pt idx="190">
                  <c:v>3.8955781154407398E-2</c:v>
                </c:pt>
                <c:pt idx="191">
                  <c:v>-8.5835665833627808E-3</c:v>
                </c:pt>
                <c:pt idx="192">
                  <c:v>-2.24390727854322E-3</c:v>
                </c:pt>
                <c:pt idx="193">
                  <c:v>3.2516060973526197E-2</c:v>
                </c:pt>
                <c:pt idx="194">
                  <c:v>-2.88174662738584E-3</c:v>
                </c:pt>
                <c:pt idx="195">
                  <c:v>6.3996161950396896E-3</c:v>
                </c:pt>
                <c:pt idx="196">
                  <c:v>1.13996159999215E-2</c:v>
                </c:pt>
                <c:pt idx="197">
                  <c:v>2.88626635265909E-3</c:v>
                </c:pt>
                <c:pt idx="198">
                  <c:v>4.1242678907287703E-3</c:v>
                </c:pt>
                <c:pt idx="199">
                  <c:v>5.5736178706806304E-3</c:v>
                </c:pt>
              </c:numCache>
            </c:numRef>
          </c:val>
          <c:extLst>
            <c:ext xmlns:c16="http://schemas.microsoft.com/office/drawing/2014/chart" uri="{C3380CC4-5D6E-409C-BE32-E72D297353CC}">
              <c16:uniqueId val="{00000000-F85E-394E-BA95-A8EDA37D4EFE}"/>
            </c:ext>
          </c:extLst>
        </c:ser>
        <c:ser>
          <c:idx val="1"/>
          <c:order val="1"/>
          <c:tx>
            <c:strRef>
              <c:f>Sheet1!$C$1</c:f>
              <c:strCache>
                <c:ptCount val="1"/>
                <c:pt idx="0">
                  <c:v>AD</c:v>
                </c:pt>
              </c:strCache>
            </c:strRef>
          </c:tx>
          <c:spPr>
            <a:solidFill>
              <a:schemeClr val="dk1">
                <a:tint val="55000"/>
              </a:schemeClr>
            </a:solidFill>
            <a:ln>
              <a:noFill/>
            </a:ln>
            <a:effectLst/>
          </c:spPr>
          <c:invertIfNegative val="0"/>
          <c:cat>
            <c:strRef>
              <c:f>Sheet1!$A$2:$A$201</c:f>
              <c:strCache>
                <c:ptCount val="200"/>
                <c:pt idx="0">
                  <c:v>1999M06</c:v>
                </c:pt>
                <c:pt idx="1">
                  <c:v>1999M07</c:v>
                </c:pt>
                <c:pt idx="2">
                  <c:v>1999M08</c:v>
                </c:pt>
                <c:pt idx="3">
                  <c:v>1999M09</c:v>
                </c:pt>
                <c:pt idx="4">
                  <c:v>1999M10</c:v>
                </c:pt>
                <c:pt idx="5">
                  <c:v>1999M11</c:v>
                </c:pt>
                <c:pt idx="6">
                  <c:v>1999M12</c:v>
                </c:pt>
                <c:pt idx="7">
                  <c:v>2000M01</c:v>
                </c:pt>
                <c:pt idx="8">
                  <c:v>2000M02</c:v>
                </c:pt>
                <c:pt idx="9">
                  <c:v>2000M03</c:v>
                </c:pt>
                <c:pt idx="10">
                  <c:v>2000M04</c:v>
                </c:pt>
                <c:pt idx="11">
                  <c:v>2000M05</c:v>
                </c:pt>
                <c:pt idx="12">
                  <c:v>2000M06</c:v>
                </c:pt>
                <c:pt idx="13">
                  <c:v>2000M07</c:v>
                </c:pt>
                <c:pt idx="14">
                  <c:v>2000M08</c:v>
                </c:pt>
                <c:pt idx="15">
                  <c:v>2000M09</c:v>
                </c:pt>
                <c:pt idx="16">
                  <c:v>2000M10</c:v>
                </c:pt>
                <c:pt idx="17">
                  <c:v>2000M11</c:v>
                </c:pt>
                <c:pt idx="18">
                  <c:v>2000M12</c:v>
                </c:pt>
                <c:pt idx="19">
                  <c:v>2001M01</c:v>
                </c:pt>
                <c:pt idx="20">
                  <c:v>2001M02</c:v>
                </c:pt>
                <c:pt idx="21">
                  <c:v>2001M03</c:v>
                </c:pt>
                <c:pt idx="22">
                  <c:v>2001M04</c:v>
                </c:pt>
                <c:pt idx="23">
                  <c:v>2001M05</c:v>
                </c:pt>
                <c:pt idx="24">
                  <c:v>2001M06</c:v>
                </c:pt>
                <c:pt idx="25">
                  <c:v>2001M07</c:v>
                </c:pt>
                <c:pt idx="26">
                  <c:v>2001M08</c:v>
                </c:pt>
                <c:pt idx="27">
                  <c:v>2001M09</c:v>
                </c:pt>
                <c:pt idx="28">
                  <c:v>2001M10</c:v>
                </c:pt>
                <c:pt idx="29">
                  <c:v>2001M11</c:v>
                </c:pt>
                <c:pt idx="30">
                  <c:v>2001M12</c:v>
                </c:pt>
                <c:pt idx="31">
                  <c:v>2002M01</c:v>
                </c:pt>
                <c:pt idx="32">
                  <c:v>2002M02</c:v>
                </c:pt>
                <c:pt idx="33">
                  <c:v>2002M03</c:v>
                </c:pt>
                <c:pt idx="34">
                  <c:v>2002M04</c:v>
                </c:pt>
                <c:pt idx="35">
                  <c:v>2002M05</c:v>
                </c:pt>
                <c:pt idx="36">
                  <c:v>2002M06</c:v>
                </c:pt>
                <c:pt idx="37">
                  <c:v>2002M07</c:v>
                </c:pt>
                <c:pt idx="38">
                  <c:v>2002M08</c:v>
                </c:pt>
                <c:pt idx="39">
                  <c:v>2002M09</c:v>
                </c:pt>
                <c:pt idx="40">
                  <c:v>2002M10</c:v>
                </c:pt>
                <c:pt idx="41">
                  <c:v>2002M11</c:v>
                </c:pt>
                <c:pt idx="42">
                  <c:v>2002M12</c:v>
                </c:pt>
                <c:pt idx="43">
                  <c:v>2003M01</c:v>
                </c:pt>
                <c:pt idx="44">
                  <c:v>2003M02</c:v>
                </c:pt>
                <c:pt idx="45">
                  <c:v>2003M03</c:v>
                </c:pt>
                <c:pt idx="46">
                  <c:v>2003M04</c:v>
                </c:pt>
                <c:pt idx="47">
                  <c:v>2003M05</c:v>
                </c:pt>
                <c:pt idx="48">
                  <c:v>2003M06</c:v>
                </c:pt>
                <c:pt idx="49">
                  <c:v>2003M07</c:v>
                </c:pt>
                <c:pt idx="50">
                  <c:v>2003M08</c:v>
                </c:pt>
                <c:pt idx="51">
                  <c:v>2003M09</c:v>
                </c:pt>
                <c:pt idx="52">
                  <c:v>2003M10</c:v>
                </c:pt>
                <c:pt idx="53">
                  <c:v>2003M11</c:v>
                </c:pt>
                <c:pt idx="54">
                  <c:v>2003M12</c:v>
                </c:pt>
                <c:pt idx="55">
                  <c:v>2004M01</c:v>
                </c:pt>
                <c:pt idx="56">
                  <c:v>2004M02</c:v>
                </c:pt>
                <c:pt idx="57">
                  <c:v>2004M03</c:v>
                </c:pt>
                <c:pt idx="58">
                  <c:v>2004M04</c:v>
                </c:pt>
                <c:pt idx="59">
                  <c:v>2004M05</c:v>
                </c:pt>
                <c:pt idx="60">
                  <c:v>2004M06</c:v>
                </c:pt>
                <c:pt idx="61">
                  <c:v>2004M07</c:v>
                </c:pt>
                <c:pt idx="62">
                  <c:v>2004M08</c:v>
                </c:pt>
                <c:pt idx="63">
                  <c:v>2004M09</c:v>
                </c:pt>
                <c:pt idx="64">
                  <c:v>2004M10</c:v>
                </c:pt>
                <c:pt idx="65">
                  <c:v>2004M11</c:v>
                </c:pt>
                <c:pt idx="66">
                  <c:v>2004M12</c:v>
                </c:pt>
                <c:pt idx="67">
                  <c:v>2005M01</c:v>
                </c:pt>
                <c:pt idx="68">
                  <c:v>2005M02</c:v>
                </c:pt>
                <c:pt idx="69">
                  <c:v>2005M03</c:v>
                </c:pt>
                <c:pt idx="70">
                  <c:v>2005M04</c:v>
                </c:pt>
                <c:pt idx="71">
                  <c:v>2005M05</c:v>
                </c:pt>
                <c:pt idx="72">
                  <c:v>2005M06</c:v>
                </c:pt>
                <c:pt idx="73">
                  <c:v>2005M07</c:v>
                </c:pt>
                <c:pt idx="74">
                  <c:v>2005M08</c:v>
                </c:pt>
                <c:pt idx="75">
                  <c:v>2005M09</c:v>
                </c:pt>
                <c:pt idx="76">
                  <c:v>2005M10</c:v>
                </c:pt>
                <c:pt idx="77">
                  <c:v>2005M11</c:v>
                </c:pt>
                <c:pt idx="78">
                  <c:v>2005M12</c:v>
                </c:pt>
                <c:pt idx="79">
                  <c:v>2006M01</c:v>
                </c:pt>
                <c:pt idx="80">
                  <c:v>2006M02</c:v>
                </c:pt>
                <c:pt idx="81">
                  <c:v>2006M03</c:v>
                </c:pt>
                <c:pt idx="82">
                  <c:v>2006M04</c:v>
                </c:pt>
                <c:pt idx="83">
                  <c:v>2006M05</c:v>
                </c:pt>
                <c:pt idx="84">
                  <c:v>2006M06</c:v>
                </c:pt>
                <c:pt idx="85">
                  <c:v>2006M07</c:v>
                </c:pt>
                <c:pt idx="86">
                  <c:v>2006M08</c:v>
                </c:pt>
                <c:pt idx="87">
                  <c:v>2006M09</c:v>
                </c:pt>
                <c:pt idx="88">
                  <c:v>2006M10</c:v>
                </c:pt>
                <c:pt idx="89">
                  <c:v>2006M11</c:v>
                </c:pt>
                <c:pt idx="90">
                  <c:v>2006M12</c:v>
                </c:pt>
                <c:pt idx="91">
                  <c:v>2007M01</c:v>
                </c:pt>
                <c:pt idx="92">
                  <c:v>2007M02</c:v>
                </c:pt>
                <c:pt idx="93">
                  <c:v>2007M03</c:v>
                </c:pt>
                <c:pt idx="94">
                  <c:v>2007M04</c:v>
                </c:pt>
                <c:pt idx="95">
                  <c:v>2007M05</c:v>
                </c:pt>
                <c:pt idx="96">
                  <c:v>2007M06</c:v>
                </c:pt>
                <c:pt idx="97">
                  <c:v>2007M07</c:v>
                </c:pt>
                <c:pt idx="98">
                  <c:v>2007M08</c:v>
                </c:pt>
                <c:pt idx="99">
                  <c:v>2007M09</c:v>
                </c:pt>
                <c:pt idx="100">
                  <c:v>2007M10</c:v>
                </c:pt>
                <c:pt idx="101">
                  <c:v>2007M11</c:v>
                </c:pt>
                <c:pt idx="102">
                  <c:v>2007M12</c:v>
                </c:pt>
                <c:pt idx="103">
                  <c:v>2008M01</c:v>
                </c:pt>
                <c:pt idx="104">
                  <c:v>2008M02</c:v>
                </c:pt>
                <c:pt idx="105">
                  <c:v>2008M03</c:v>
                </c:pt>
                <c:pt idx="106">
                  <c:v>2008M04</c:v>
                </c:pt>
                <c:pt idx="107">
                  <c:v>2008M05</c:v>
                </c:pt>
                <c:pt idx="108">
                  <c:v>2008M06</c:v>
                </c:pt>
                <c:pt idx="109">
                  <c:v>2008M07</c:v>
                </c:pt>
                <c:pt idx="110">
                  <c:v>2008M08</c:v>
                </c:pt>
                <c:pt idx="111">
                  <c:v>2008M09</c:v>
                </c:pt>
                <c:pt idx="112">
                  <c:v>2008M10</c:v>
                </c:pt>
                <c:pt idx="113">
                  <c:v>2008M11</c:v>
                </c:pt>
                <c:pt idx="114">
                  <c:v>2008M12</c:v>
                </c:pt>
                <c:pt idx="115">
                  <c:v>2009M01</c:v>
                </c:pt>
                <c:pt idx="116">
                  <c:v>2009M02</c:v>
                </c:pt>
                <c:pt idx="117">
                  <c:v>2009M03</c:v>
                </c:pt>
                <c:pt idx="118">
                  <c:v>2009M04</c:v>
                </c:pt>
                <c:pt idx="119">
                  <c:v>2009M05</c:v>
                </c:pt>
                <c:pt idx="120">
                  <c:v>2009M06</c:v>
                </c:pt>
                <c:pt idx="121">
                  <c:v>2009M07</c:v>
                </c:pt>
                <c:pt idx="122">
                  <c:v>2009M08</c:v>
                </c:pt>
                <c:pt idx="123">
                  <c:v>2009M09</c:v>
                </c:pt>
                <c:pt idx="124">
                  <c:v>2009M10</c:v>
                </c:pt>
                <c:pt idx="125">
                  <c:v>2009M11</c:v>
                </c:pt>
                <c:pt idx="126">
                  <c:v>2009M12</c:v>
                </c:pt>
                <c:pt idx="127">
                  <c:v>2010M01</c:v>
                </c:pt>
                <c:pt idx="128">
                  <c:v>2010M02</c:v>
                </c:pt>
                <c:pt idx="129">
                  <c:v>2010M03</c:v>
                </c:pt>
                <c:pt idx="130">
                  <c:v>2010M04</c:v>
                </c:pt>
                <c:pt idx="131">
                  <c:v>2010M05</c:v>
                </c:pt>
                <c:pt idx="132">
                  <c:v>2010M06</c:v>
                </c:pt>
                <c:pt idx="133">
                  <c:v>2010M07</c:v>
                </c:pt>
                <c:pt idx="134">
                  <c:v>2010M08</c:v>
                </c:pt>
                <c:pt idx="135">
                  <c:v>2010M09</c:v>
                </c:pt>
                <c:pt idx="136">
                  <c:v>2010M10</c:v>
                </c:pt>
                <c:pt idx="137">
                  <c:v>2010M11</c:v>
                </c:pt>
                <c:pt idx="138">
                  <c:v>2010M12</c:v>
                </c:pt>
                <c:pt idx="139">
                  <c:v>2011M01</c:v>
                </c:pt>
                <c:pt idx="140">
                  <c:v>2011M02</c:v>
                </c:pt>
                <c:pt idx="141">
                  <c:v>2011M03</c:v>
                </c:pt>
                <c:pt idx="142">
                  <c:v>2011M04</c:v>
                </c:pt>
                <c:pt idx="143">
                  <c:v>2011M05</c:v>
                </c:pt>
                <c:pt idx="144">
                  <c:v>2011M06</c:v>
                </c:pt>
                <c:pt idx="145">
                  <c:v>2011M07</c:v>
                </c:pt>
                <c:pt idx="146">
                  <c:v>2011M08</c:v>
                </c:pt>
                <c:pt idx="147">
                  <c:v>2011M09</c:v>
                </c:pt>
                <c:pt idx="148">
                  <c:v>2011M10</c:v>
                </c:pt>
                <c:pt idx="149">
                  <c:v>2011M11</c:v>
                </c:pt>
                <c:pt idx="150">
                  <c:v>2011M12</c:v>
                </c:pt>
                <c:pt idx="151">
                  <c:v>2012M01</c:v>
                </c:pt>
                <c:pt idx="152">
                  <c:v>2012M02</c:v>
                </c:pt>
                <c:pt idx="153">
                  <c:v>2012M03</c:v>
                </c:pt>
                <c:pt idx="154">
                  <c:v>2012M04</c:v>
                </c:pt>
                <c:pt idx="155">
                  <c:v>2012M05</c:v>
                </c:pt>
                <c:pt idx="156">
                  <c:v>2012M06</c:v>
                </c:pt>
                <c:pt idx="157">
                  <c:v>2012M07</c:v>
                </c:pt>
                <c:pt idx="158">
                  <c:v>2012M08</c:v>
                </c:pt>
                <c:pt idx="159">
                  <c:v>2012M09</c:v>
                </c:pt>
                <c:pt idx="160">
                  <c:v>2012M10</c:v>
                </c:pt>
                <c:pt idx="161">
                  <c:v>2012M11</c:v>
                </c:pt>
                <c:pt idx="162">
                  <c:v>2012M12</c:v>
                </c:pt>
                <c:pt idx="163">
                  <c:v>2013M01</c:v>
                </c:pt>
                <c:pt idx="164">
                  <c:v>2013M02</c:v>
                </c:pt>
                <c:pt idx="165">
                  <c:v>2013M03</c:v>
                </c:pt>
                <c:pt idx="166">
                  <c:v>2013M04</c:v>
                </c:pt>
                <c:pt idx="167">
                  <c:v>2013M05</c:v>
                </c:pt>
                <c:pt idx="168">
                  <c:v>2013M06</c:v>
                </c:pt>
                <c:pt idx="169">
                  <c:v>2013M07</c:v>
                </c:pt>
                <c:pt idx="170">
                  <c:v>2013M08</c:v>
                </c:pt>
                <c:pt idx="171">
                  <c:v>2013M09</c:v>
                </c:pt>
                <c:pt idx="172">
                  <c:v>2013M10</c:v>
                </c:pt>
                <c:pt idx="173">
                  <c:v>2013M11</c:v>
                </c:pt>
                <c:pt idx="174">
                  <c:v>2013M12</c:v>
                </c:pt>
                <c:pt idx="175">
                  <c:v>2014M01</c:v>
                </c:pt>
                <c:pt idx="176">
                  <c:v>2014M02</c:v>
                </c:pt>
                <c:pt idx="177">
                  <c:v>2014M03</c:v>
                </c:pt>
                <c:pt idx="178">
                  <c:v>2014M04</c:v>
                </c:pt>
                <c:pt idx="179">
                  <c:v>2014M05</c:v>
                </c:pt>
                <c:pt idx="180">
                  <c:v>2014M06</c:v>
                </c:pt>
                <c:pt idx="181">
                  <c:v>2014M07</c:v>
                </c:pt>
                <c:pt idx="182">
                  <c:v>2014M08</c:v>
                </c:pt>
                <c:pt idx="183">
                  <c:v>2014M09</c:v>
                </c:pt>
                <c:pt idx="184">
                  <c:v>2014M10</c:v>
                </c:pt>
                <c:pt idx="185">
                  <c:v>2014M11</c:v>
                </c:pt>
                <c:pt idx="186">
                  <c:v>2014M12</c:v>
                </c:pt>
                <c:pt idx="187">
                  <c:v>2015M01</c:v>
                </c:pt>
                <c:pt idx="188">
                  <c:v>2015M02</c:v>
                </c:pt>
                <c:pt idx="189">
                  <c:v>2015M03</c:v>
                </c:pt>
                <c:pt idx="190">
                  <c:v>2015M04</c:v>
                </c:pt>
                <c:pt idx="191">
                  <c:v>2015M05</c:v>
                </c:pt>
                <c:pt idx="192">
                  <c:v>2015M06</c:v>
                </c:pt>
                <c:pt idx="193">
                  <c:v>2015M07</c:v>
                </c:pt>
                <c:pt idx="194">
                  <c:v>2015M08</c:v>
                </c:pt>
                <c:pt idx="195">
                  <c:v>2015M09</c:v>
                </c:pt>
                <c:pt idx="196">
                  <c:v>2015M10</c:v>
                </c:pt>
                <c:pt idx="197">
                  <c:v>2015M11</c:v>
                </c:pt>
                <c:pt idx="198">
                  <c:v>2015M12</c:v>
                </c:pt>
                <c:pt idx="199">
                  <c:v>2016M01</c:v>
                </c:pt>
              </c:strCache>
            </c:strRef>
          </c:cat>
          <c:val>
            <c:numRef>
              <c:f>Sheet1!$C$2:$C$201</c:f>
              <c:numCache>
                <c:formatCode>General</c:formatCode>
                <c:ptCount val="200"/>
                <c:pt idx="0">
                  <c:v>-1.0542893738592201E-2</c:v>
                </c:pt>
                <c:pt idx="1">
                  <c:v>1.4099769851428899E-2</c:v>
                </c:pt>
                <c:pt idx="2">
                  <c:v>-2.54009352129775E-2</c:v>
                </c:pt>
                <c:pt idx="3">
                  <c:v>-1.8309661948097901E-3</c:v>
                </c:pt>
                <c:pt idx="4">
                  <c:v>1.9041505597873001E-2</c:v>
                </c:pt>
                <c:pt idx="5">
                  <c:v>-9.8652125774266702E-4</c:v>
                </c:pt>
                <c:pt idx="6">
                  <c:v>-2.17457934836888E-3</c:v>
                </c:pt>
                <c:pt idx="7">
                  <c:v>8.7885905925818401E-3</c:v>
                </c:pt>
                <c:pt idx="8">
                  <c:v>1.00897766785762E-2</c:v>
                </c:pt>
                <c:pt idx="9">
                  <c:v>1.8171417765760599E-2</c:v>
                </c:pt>
                <c:pt idx="10">
                  <c:v>-3.6096109980798602E-3</c:v>
                </c:pt>
                <c:pt idx="11">
                  <c:v>1.8535031002470202E-2</c:v>
                </c:pt>
                <c:pt idx="12">
                  <c:v>5.2046796428499601E-3</c:v>
                </c:pt>
                <c:pt idx="13">
                  <c:v>-1.6706581917673401E-2</c:v>
                </c:pt>
                <c:pt idx="14">
                  <c:v>-2.26031605926933E-3</c:v>
                </c:pt>
                <c:pt idx="15">
                  <c:v>1.52048052200284E-2</c:v>
                </c:pt>
                <c:pt idx="16">
                  <c:v>-2.6547966654943602E-3</c:v>
                </c:pt>
                <c:pt idx="17">
                  <c:v>-8.6210201720523603E-3</c:v>
                </c:pt>
                <c:pt idx="18">
                  <c:v>-3.0738698686295402E-3</c:v>
                </c:pt>
                <c:pt idx="19">
                  <c:v>1.8758820448746799E-2</c:v>
                </c:pt>
                <c:pt idx="20">
                  <c:v>4.4411822935238997E-3</c:v>
                </c:pt>
                <c:pt idx="21">
                  <c:v>4.7975932398881104E-3</c:v>
                </c:pt>
                <c:pt idx="22">
                  <c:v>3.3189799833174302E-3</c:v>
                </c:pt>
                <c:pt idx="23">
                  <c:v>1.32593855490715E-2</c:v>
                </c:pt>
                <c:pt idx="24">
                  <c:v>-1.21925328837074E-2</c:v>
                </c:pt>
                <c:pt idx="25">
                  <c:v>-1.1973709836599299E-2</c:v>
                </c:pt>
                <c:pt idx="26">
                  <c:v>-6.18244951892611E-3</c:v>
                </c:pt>
                <c:pt idx="27">
                  <c:v>4.5333571477649999E-3</c:v>
                </c:pt>
                <c:pt idx="28">
                  <c:v>-3.3195937506279298E-2</c:v>
                </c:pt>
                <c:pt idx="29">
                  <c:v>1.3970805558052E-3</c:v>
                </c:pt>
                <c:pt idx="30">
                  <c:v>2.5275850431480999E-2</c:v>
                </c:pt>
                <c:pt idx="31">
                  <c:v>1.16992304388137E-2</c:v>
                </c:pt>
                <c:pt idx="32">
                  <c:v>-1.38682405429206E-3</c:v>
                </c:pt>
                <c:pt idx="33">
                  <c:v>1.8133009775201901E-2</c:v>
                </c:pt>
                <c:pt idx="34">
                  <c:v>-5.9494525694039598E-3</c:v>
                </c:pt>
                <c:pt idx="35">
                  <c:v>-1.3397225468831E-3</c:v>
                </c:pt>
                <c:pt idx="36">
                  <c:v>-7.4236396598382701E-3</c:v>
                </c:pt>
                <c:pt idx="37">
                  <c:v>1.1647471875293699E-3</c:v>
                </c:pt>
                <c:pt idx="38">
                  <c:v>-4.29329504954876E-3</c:v>
                </c:pt>
                <c:pt idx="39">
                  <c:v>2.0299193659334702E-2</c:v>
                </c:pt>
                <c:pt idx="40">
                  <c:v>1.4624003388797401E-2</c:v>
                </c:pt>
                <c:pt idx="41">
                  <c:v>1.0531183989247499E-2</c:v>
                </c:pt>
                <c:pt idx="42">
                  <c:v>2.9456989534456898E-2</c:v>
                </c:pt>
                <c:pt idx="43">
                  <c:v>5.40934899415502E-3</c:v>
                </c:pt>
                <c:pt idx="44" formatCode="0.00E+00">
                  <c:v>-1.27329797932809E-5</c:v>
                </c:pt>
                <c:pt idx="45">
                  <c:v>1.92295396062711E-2</c:v>
                </c:pt>
                <c:pt idx="46">
                  <c:v>8.2376999206066892E-3</c:v>
                </c:pt>
                <c:pt idx="47">
                  <c:v>2.51095119680118E-2</c:v>
                </c:pt>
                <c:pt idx="48">
                  <c:v>1.5882299596101601E-2</c:v>
                </c:pt>
                <c:pt idx="49">
                  <c:v>9.0911915299076006E-3</c:v>
                </c:pt>
                <c:pt idx="50">
                  <c:v>6.54667774703573E-3</c:v>
                </c:pt>
                <c:pt idx="51">
                  <c:v>2.0324509771564199E-2</c:v>
                </c:pt>
                <c:pt idx="52">
                  <c:v>6.8199230532674293E-2</c:v>
                </c:pt>
                <c:pt idx="53">
                  <c:v>-5.7807366088987603E-3</c:v>
                </c:pt>
                <c:pt idx="54">
                  <c:v>2.67700085756464E-2</c:v>
                </c:pt>
                <c:pt idx="55">
                  <c:v>2.94008204739875E-2</c:v>
                </c:pt>
                <c:pt idx="56">
                  <c:v>5.3305775621771802E-3</c:v>
                </c:pt>
                <c:pt idx="57">
                  <c:v>1.64297357192524E-4</c:v>
                </c:pt>
                <c:pt idx="58">
                  <c:v>3.7430192921265801E-3</c:v>
                </c:pt>
                <c:pt idx="59">
                  <c:v>-1.3169711270119001E-2</c:v>
                </c:pt>
                <c:pt idx="60">
                  <c:v>-1.7866514002751899E-2</c:v>
                </c:pt>
                <c:pt idx="61">
                  <c:v>3.24680855925654E-2</c:v>
                </c:pt>
                <c:pt idx="62">
                  <c:v>2.0475706629659398E-3</c:v>
                </c:pt>
                <c:pt idx="63">
                  <c:v>-9.6686687827877201E-3</c:v>
                </c:pt>
                <c:pt idx="64">
                  <c:v>2.11203753522567E-2</c:v>
                </c:pt>
                <c:pt idx="65">
                  <c:v>1.4246536126683499E-2</c:v>
                </c:pt>
                <c:pt idx="66">
                  <c:v>1.12394901326895E-2</c:v>
                </c:pt>
                <c:pt idx="67">
                  <c:v>1.86167530316656E-2</c:v>
                </c:pt>
                <c:pt idx="68">
                  <c:v>1.8757341681913901E-2</c:v>
                </c:pt>
                <c:pt idx="69">
                  <c:v>2.55944209380856E-4</c:v>
                </c:pt>
                <c:pt idx="70">
                  <c:v>-2.6737791279121698E-3</c:v>
                </c:pt>
                <c:pt idx="71">
                  <c:v>-9.1866817107321506E-3</c:v>
                </c:pt>
                <c:pt idx="72">
                  <c:v>-1.26197454652181E-2</c:v>
                </c:pt>
                <c:pt idx="73">
                  <c:v>-2.2018112202699801E-2</c:v>
                </c:pt>
                <c:pt idx="74">
                  <c:v>-1.45185896109262E-2</c:v>
                </c:pt>
                <c:pt idx="75">
                  <c:v>6.2804121726119898E-3</c:v>
                </c:pt>
                <c:pt idx="76">
                  <c:v>1.54366390487227E-2</c:v>
                </c:pt>
                <c:pt idx="77">
                  <c:v>1.2499278677723401E-2</c:v>
                </c:pt>
                <c:pt idx="78">
                  <c:v>1.40728720481461E-2</c:v>
                </c:pt>
                <c:pt idx="79">
                  <c:v>-8.8601645355254599E-4</c:v>
                </c:pt>
                <c:pt idx="80">
                  <c:v>9.4676568942721803E-3</c:v>
                </c:pt>
                <c:pt idx="81">
                  <c:v>6.7567893308372101E-3</c:v>
                </c:pt>
                <c:pt idx="82">
                  <c:v>8.5087039288558597E-3</c:v>
                </c:pt>
                <c:pt idx="83">
                  <c:v>1.1236153004506901E-3</c:v>
                </c:pt>
                <c:pt idx="84">
                  <c:v>9.2327813967447905E-3</c:v>
                </c:pt>
                <c:pt idx="85">
                  <c:v>2.0835313864283601E-2</c:v>
                </c:pt>
                <c:pt idx="86">
                  <c:v>2.6402141925617399E-2</c:v>
                </c:pt>
                <c:pt idx="87">
                  <c:v>1.2872500912709899E-2</c:v>
                </c:pt>
                <c:pt idx="88">
                  <c:v>2.6515185252517601E-2</c:v>
                </c:pt>
                <c:pt idx="89">
                  <c:v>3.5575526132680897E-2</c:v>
                </c:pt>
                <c:pt idx="90">
                  <c:v>1.8314711487220799E-2</c:v>
                </c:pt>
                <c:pt idx="91">
                  <c:v>1.09644802163569E-2</c:v>
                </c:pt>
                <c:pt idx="92">
                  <c:v>3.1521389446059998E-2</c:v>
                </c:pt>
                <c:pt idx="93">
                  <c:v>3.3139842184074397E-2</c:v>
                </c:pt>
                <c:pt idx="94">
                  <c:v>7.63229973121257E-3</c:v>
                </c:pt>
                <c:pt idx="95">
                  <c:v>9.0648707521364894E-3</c:v>
                </c:pt>
                <c:pt idx="96">
                  <c:v>7.6627447066375002E-3</c:v>
                </c:pt>
                <c:pt idx="97">
                  <c:v>2.3260690881125499E-2</c:v>
                </c:pt>
                <c:pt idx="98">
                  <c:v>2.7207012233992E-3</c:v>
                </c:pt>
                <c:pt idx="99">
                  <c:v>2.94100887869778E-2</c:v>
                </c:pt>
                <c:pt idx="100">
                  <c:v>3.1359409756321698E-2</c:v>
                </c:pt>
                <c:pt idx="101">
                  <c:v>6.2505081737198398E-3</c:v>
                </c:pt>
                <c:pt idx="102">
                  <c:v>3.5647534486871902E-3</c:v>
                </c:pt>
                <c:pt idx="103">
                  <c:v>-8.7730846961776004E-3</c:v>
                </c:pt>
                <c:pt idx="104">
                  <c:v>1.31976562996944E-2</c:v>
                </c:pt>
                <c:pt idx="105">
                  <c:v>1.30896115145375E-2</c:v>
                </c:pt>
                <c:pt idx="106">
                  <c:v>-6.0452528891168696E-3</c:v>
                </c:pt>
                <c:pt idx="107">
                  <c:v>2.93667356906505E-2</c:v>
                </c:pt>
                <c:pt idx="108">
                  <c:v>-3.9557837288373501E-4</c:v>
                </c:pt>
                <c:pt idx="109">
                  <c:v>-3.5635633264125902E-3</c:v>
                </c:pt>
                <c:pt idx="110">
                  <c:v>-7.8270381179058601E-3</c:v>
                </c:pt>
                <c:pt idx="111">
                  <c:v>-6.7367751393599597E-3</c:v>
                </c:pt>
                <c:pt idx="112">
                  <c:v>-6.3686476418088694E-2</c:v>
                </c:pt>
                <c:pt idx="113">
                  <c:v>-7.2428156437535904E-2</c:v>
                </c:pt>
                <c:pt idx="114">
                  <c:v>1.4673056892259499E-2</c:v>
                </c:pt>
                <c:pt idx="115">
                  <c:v>2.4061574738828799E-2</c:v>
                </c:pt>
                <c:pt idx="116">
                  <c:v>8.1781769005570604E-2</c:v>
                </c:pt>
                <c:pt idx="117">
                  <c:v>-3.7985628561777699E-3</c:v>
                </c:pt>
                <c:pt idx="118">
                  <c:v>1.9931561886536501E-2</c:v>
                </c:pt>
                <c:pt idx="119">
                  <c:v>7.0466210684605707E-2</c:v>
                </c:pt>
                <c:pt idx="120">
                  <c:v>1.4513789846240599E-2</c:v>
                </c:pt>
                <c:pt idx="121">
                  <c:v>-2.4035599712040001E-2</c:v>
                </c:pt>
                <c:pt idx="122">
                  <c:v>1.43445167451228E-2</c:v>
                </c:pt>
                <c:pt idx="123">
                  <c:v>-2.2571074966328901E-3</c:v>
                </c:pt>
                <c:pt idx="124">
                  <c:v>4.7448914364346499E-3</c:v>
                </c:pt>
                <c:pt idx="125">
                  <c:v>3.2331629605226897E-2</c:v>
                </c:pt>
                <c:pt idx="126">
                  <c:v>-7.4273580363569004E-3</c:v>
                </c:pt>
                <c:pt idx="127">
                  <c:v>8.5503132946425208E-3</c:v>
                </c:pt>
                <c:pt idx="128">
                  <c:v>-3.4311846739835598E-3</c:v>
                </c:pt>
                <c:pt idx="129">
                  <c:v>2.6888028962304501E-2</c:v>
                </c:pt>
                <c:pt idx="130">
                  <c:v>-9.1093603432727595E-3</c:v>
                </c:pt>
                <c:pt idx="131">
                  <c:v>2.54429806830943E-2</c:v>
                </c:pt>
                <c:pt idx="132">
                  <c:v>-1.38014727493722E-2</c:v>
                </c:pt>
                <c:pt idx="133">
                  <c:v>-2.8140330930141101E-2</c:v>
                </c:pt>
                <c:pt idx="134">
                  <c:v>4.3190482602866002E-2</c:v>
                </c:pt>
                <c:pt idx="135">
                  <c:v>-5.2624722558410201E-3</c:v>
                </c:pt>
                <c:pt idx="136">
                  <c:v>-2.8008440987902102E-3</c:v>
                </c:pt>
                <c:pt idx="137">
                  <c:v>-1.7270902635129501E-3</c:v>
                </c:pt>
                <c:pt idx="138">
                  <c:v>-8.8725397091760708E-3</c:v>
                </c:pt>
                <c:pt idx="139">
                  <c:v>-4.6491587746993801E-2</c:v>
                </c:pt>
                <c:pt idx="140">
                  <c:v>-2.6675060420836502E-2</c:v>
                </c:pt>
                <c:pt idx="141">
                  <c:v>1.9174005118671799E-2</c:v>
                </c:pt>
                <c:pt idx="142">
                  <c:v>-4.3546968572593797E-2</c:v>
                </c:pt>
                <c:pt idx="143">
                  <c:v>6.2409155053251802E-4</c:v>
                </c:pt>
                <c:pt idx="144">
                  <c:v>2.3957837158397499E-2</c:v>
                </c:pt>
                <c:pt idx="145">
                  <c:v>-5.9141373612945801E-3</c:v>
                </c:pt>
                <c:pt idx="146">
                  <c:v>7.5944521326715298E-3</c:v>
                </c:pt>
                <c:pt idx="147">
                  <c:v>4.7896354253479503E-2</c:v>
                </c:pt>
                <c:pt idx="148">
                  <c:v>1.32359265306447E-2</c:v>
                </c:pt>
                <c:pt idx="149">
                  <c:v>-5.1569993537964598E-3</c:v>
                </c:pt>
                <c:pt idx="150">
                  <c:v>2.7786129201808001E-2</c:v>
                </c:pt>
                <c:pt idx="151">
                  <c:v>-7.1147565570605698E-2</c:v>
                </c:pt>
                <c:pt idx="152">
                  <c:v>-6.0425451616237302E-2</c:v>
                </c:pt>
                <c:pt idx="153">
                  <c:v>2.7613510977896098E-2</c:v>
                </c:pt>
                <c:pt idx="154">
                  <c:v>-1.8564250795769299E-2</c:v>
                </c:pt>
                <c:pt idx="155">
                  <c:v>-3.3309188749906299E-3</c:v>
                </c:pt>
                <c:pt idx="156">
                  <c:v>-6.1874893116881302E-3</c:v>
                </c:pt>
                <c:pt idx="157">
                  <c:v>4.4551952361069701E-2</c:v>
                </c:pt>
                <c:pt idx="158">
                  <c:v>-6.3930976774976903E-2</c:v>
                </c:pt>
                <c:pt idx="159">
                  <c:v>-1.1577885535712699E-2</c:v>
                </c:pt>
                <c:pt idx="160">
                  <c:v>4.7566614060652601E-2</c:v>
                </c:pt>
                <c:pt idx="161">
                  <c:v>-9.6208310841527003E-3</c:v>
                </c:pt>
                <c:pt idx="162">
                  <c:v>-2.2503633589158498E-2</c:v>
                </c:pt>
                <c:pt idx="163">
                  <c:v>3.1676705012187302E-3</c:v>
                </c:pt>
                <c:pt idx="164">
                  <c:v>-9.9222424665843401E-3</c:v>
                </c:pt>
                <c:pt idx="165">
                  <c:v>1.7206493571026299E-2</c:v>
                </c:pt>
                <c:pt idx="166">
                  <c:v>-4.6801355442600504E-3</c:v>
                </c:pt>
                <c:pt idx="167">
                  <c:v>1.29434993212427E-2</c:v>
                </c:pt>
                <c:pt idx="168">
                  <c:v>2.712111865209E-2</c:v>
                </c:pt>
                <c:pt idx="169">
                  <c:v>2.06583243765067E-2</c:v>
                </c:pt>
                <c:pt idx="170">
                  <c:v>-1.1732412277368501E-2</c:v>
                </c:pt>
                <c:pt idx="171">
                  <c:v>7.3125032777779E-2</c:v>
                </c:pt>
                <c:pt idx="172">
                  <c:v>8.7483876760535706E-3</c:v>
                </c:pt>
                <c:pt idx="173">
                  <c:v>-7.7810688816895004E-3</c:v>
                </c:pt>
                <c:pt idx="174">
                  <c:v>7.6545284193489896E-2</c:v>
                </c:pt>
                <c:pt idx="175">
                  <c:v>-4.5592830641567703E-2</c:v>
                </c:pt>
                <c:pt idx="176">
                  <c:v>-1.7942479850683101E-2</c:v>
                </c:pt>
                <c:pt idx="177">
                  <c:v>4.7216117380792601E-2</c:v>
                </c:pt>
                <c:pt idx="178">
                  <c:v>-7.4090529136044594E-2</c:v>
                </c:pt>
                <c:pt idx="179">
                  <c:v>1.0318089050872501E-3</c:v>
                </c:pt>
                <c:pt idx="180">
                  <c:v>-1.1643946077194101E-2</c:v>
                </c:pt>
                <c:pt idx="181">
                  <c:v>-3.9852524767933897E-2</c:v>
                </c:pt>
                <c:pt idx="182">
                  <c:v>2.7045077043039999E-2</c:v>
                </c:pt>
                <c:pt idx="183">
                  <c:v>2.4725885054835601E-2</c:v>
                </c:pt>
                <c:pt idx="184">
                  <c:v>-2.5104258781248699E-3</c:v>
                </c:pt>
                <c:pt idx="185">
                  <c:v>4.6942284812227002E-2</c:v>
                </c:pt>
                <c:pt idx="186">
                  <c:v>-4.7611345453333398E-2</c:v>
                </c:pt>
                <c:pt idx="187">
                  <c:v>-5.7609073233603203E-3</c:v>
                </c:pt>
                <c:pt idx="188">
                  <c:v>-4.0311999067686399E-2</c:v>
                </c:pt>
                <c:pt idx="189">
                  <c:v>7.5593538526211399E-3</c:v>
                </c:pt>
                <c:pt idx="190">
                  <c:v>-3.7916619502523098E-2</c:v>
                </c:pt>
                <c:pt idx="191">
                  <c:v>-1.01341425451725E-2</c:v>
                </c:pt>
                <c:pt idx="192">
                  <c:v>2.3124542837808501E-2</c:v>
                </c:pt>
                <c:pt idx="193">
                  <c:v>4.1793545468462402E-2</c:v>
                </c:pt>
                <c:pt idx="194">
                  <c:v>1.1458518501972799E-2</c:v>
                </c:pt>
                <c:pt idx="195">
                  <c:v>4.5554496426866899E-3</c:v>
                </c:pt>
                <c:pt idx="196">
                  <c:v>9.4116647935438592E-3</c:v>
                </c:pt>
                <c:pt idx="197">
                  <c:v>-7.1655076428069495E-2</c:v>
                </c:pt>
                <c:pt idx="198">
                  <c:v>-1.9992047497042999E-2</c:v>
                </c:pt>
                <c:pt idx="199">
                  <c:v>-9.04212317508509E-2</c:v>
                </c:pt>
              </c:numCache>
            </c:numRef>
          </c:val>
          <c:extLst>
            <c:ext xmlns:c16="http://schemas.microsoft.com/office/drawing/2014/chart" uri="{C3380CC4-5D6E-409C-BE32-E72D297353CC}">
              <c16:uniqueId val="{00000001-F85E-394E-BA95-A8EDA37D4EFE}"/>
            </c:ext>
          </c:extLst>
        </c:ser>
        <c:ser>
          <c:idx val="2"/>
          <c:order val="2"/>
          <c:tx>
            <c:strRef>
              <c:f>Sheet1!$D$1</c:f>
              <c:strCache>
                <c:ptCount val="1"/>
                <c:pt idx="0">
                  <c:v>PD</c:v>
                </c:pt>
              </c:strCache>
            </c:strRef>
          </c:tx>
          <c:spPr>
            <a:solidFill>
              <a:schemeClr val="tx1"/>
            </a:solidFill>
            <a:ln>
              <a:noFill/>
            </a:ln>
            <a:effectLst/>
          </c:spPr>
          <c:invertIfNegative val="0"/>
          <c:cat>
            <c:strRef>
              <c:f>Sheet1!$A$2:$A$201</c:f>
              <c:strCache>
                <c:ptCount val="200"/>
                <c:pt idx="0">
                  <c:v>1999M06</c:v>
                </c:pt>
                <c:pt idx="1">
                  <c:v>1999M07</c:v>
                </c:pt>
                <c:pt idx="2">
                  <c:v>1999M08</c:v>
                </c:pt>
                <c:pt idx="3">
                  <c:v>1999M09</c:v>
                </c:pt>
                <c:pt idx="4">
                  <c:v>1999M10</c:v>
                </c:pt>
                <c:pt idx="5">
                  <c:v>1999M11</c:v>
                </c:pt>
                <c:pt idx="6">
                  <c:v>1999M12</c:v>
                </c:pt>
                <c:pt idx="7">
                  <c:v>2000M01</c:v>
                </c:pt>
                <c:pt idx="8">
                  <c:v>2000M02</c:v>
                </c:pt>
                <c:pt idx="9">
                  <c:v>2000M03</c:v>
                </c:pt>
                <c:pt idx="10">
                  <c:v>2000M04</c:v>
                </c:pt>
                <c:pt idx="11">
                  <c:v>2000M05</c:v>
                </c:pt>
                <c:pt idx="12">
                  <c:v>2000M06</c:v>
                </c:pt>
                <c:pt idx="13">
                  <c:v>2000M07</c:v>
                </c:pt>
                <c:pt idx="14">
                  <c:v>2000M08</c:v>
                </c:pt>
                <c:pt idx="15">
                  <c:v>2000M09</c:v>
                </c:pt>
                <c:pt idx="16">
                  <c:v>2000M10</c:v>
                </c:pt>
                <c:pt idx="17">
                  <c:v>2000M11</c:v>
                </c:pt>
                <c:pt idx="18">
                  <c:v>2000M12</c:v>
                </c:pt>
                <c:pt idx="19">
                  <c:v>2001M01</c:v>
                </c:pt>
                <c:pt idx="20">
                  <c:v>2001M02</c:v>
                </c:pt>
                <c:pt idx="21">
                  <c:v>2001M03</c:v>
                </c:pt>
                <c:pt idx="22">
                  <c:v>2001M04</c:v>
                </c:pt>
                <c:pt idx="23">
                  <c:v>2001M05</c:v>
                </c:pt>
                <c:pt idx="24">
                  <c:v>2001M06</c:v>
                </c:pt>
                <c:pt idx="25">
                  <c:v>2001M07</c:v>
                </c:pt>
                <c:pt idx="26">
                  <c:v>2001M08</c:v>
                </c:pt>
                <c:pt idx="27">
                  <c:v>2001M09</c:v>
                </c:pt>
                <c:pt idx="28">
                  <c:v>2001M10</c:v>
                </c:pt>
                <c:pt idx="29">
                  <c:v>2001M11</c:v>
                </c:pt>
                <c:pt idx="30">
                  <c:v>2001M12</c:v>
                </c:pt>
                <c:pt idx="31">
                  <c:v>2002M01</c:v>
                </c:pt>
                <c:pt idx="32">
                  <c:v>2002M02</c:v>
                </c:pt>
                <c:pt idx="33">
                  <c:v>2002M03</c:v>
                </c:pt>
                <c:pt idx="34">
                  <c:v>2002M04</c:v>
                </c:pt>
                <c:pt idx="35">
                  <c:v>2002M05</c:v>
                </c:pt>
                <c:pt idx="36">
                  <c:v>2002M06</c:v>
                </c:pt>
                <c:pt idx="37">
                  <c:v>2002M07</c:v>
                </c:pt>
                <c:pt idx="38">
                  <c:v>2002M08</c:v>
                </c:pt>
                <c:pt idx="39">
                  <c:v>2002M09</c:v>
                </c:pt>
                <c:pt idx="40">
                  <c:v>2002M10</c:v>
                </c:pt>
                <c:pt idx="41">
                  <c:v>2002M11</c:v>
                </c:pt>
                <c:pt idx="42">
                  <c:v>2002M12</c:v>
                </c:pt>
                <c:pt idx="43">
                  <c:v>2003M01</c:v>
                </c:pt>
                <c:pt idx="44">
                  <c:v>2003M02</c:v>
                </c:pt>
                <c:pt idx="45">
                  <c:v>2003M03</c:v>
                </c:pt>
                <c:pt idx="46">
                  <c:v>2003M04</c:v>
                </c:pt>
                <c:pt idx="47">
                  <c:v>2003M05</c:v>
                </c:pt>
                <c:pt idx="48">
                  <c:v>2003M06</c:v>
                </c:pt>
                <c:pt idx="49">
                  <c:v>2003M07</c:v>
                </c:pt>
                <c:pt idx="50">
                  <c:v>2003M08</c:v>
                </c:pt>
                <c:pt idx="51">
                  <c:v>2003M09</c:v>
                </c:pt>
                <c:pt idx="52">
                  <c:v>2003M10</c:v>
                </c:pt>
                <c:pt idx="53">
                  <c:v>2003M11</c:v>
                </c:pt>
                <c:pt idx="54">
                  <c:v>2003M12</c:v>
                </c:pt>
                <c:pt idx="55">
                  <c:v>2004M01</c:v>
                </c:pt>
                <c:pt idx="56">
                  <c:v>2004M02</c:v>
                </c:pt>
                <c:pt idx="57">
                  <c:v>2004M03</c:v>
                </c:pt>
                <c:pt idx="58">
                  <c:v>2004M04</c:v>
                </c:pt>
                <c:pt idx="59">
                  <c:v>2004M05</c:v>
                </c:pt>
                <c:pt idx="60">
                  <c:v>2004M06</c:v>
                </c:pt>
                <c:pt idx="61">
                  <c:v>2004M07</c:v>
                </c:pt>
                <c:pt idx="62">
                  <c:v>2004M08</c:v>
                </c:pt>
                <c:pt idx="63">
                  <c:v>2004M09</c:v>
                </c:pt>
                <c:pt idx="64">
                  <c:v>2004M10</c:v>
                </c:pt>
                <c:pt idx="65">
                  <c:v>2004M11</c:v>
                </c:pt>
                <c:pt idx="66">
                  <c:v>2004M12</c:v>
                </c:pt>
                <c:pt idx="67">
                  <c:v>2005M01</c:v>
                </c:pt>
                <c:pt idx="68">
                  <c:v>2005M02</c:v>
                </c:pt>
                <c:pt idx="69">
                  <c:v>2005M03</c:v>
                </c:pt>
                <c:pt idx="70">
                  <c:v>2005M04</c:v>
                </c:pt>
                <c:pt idx="71">
                  <c:v>2005M05</c:v>
                </c:pt>
                <c:pt idx="72">
                  <c:v>2005M06</c:v>
                </c:pt>
                <c:pt idx="73">
                  <c:v>2005M07</c:v>
                </c:pt>
                <c:pt idx="74">
                  <c:v>2005M08</c:v>
                </c:pt>
                <c:pt idx="75">
                  <c:v>2005M09</c:v>
                </c:pt>
                <c:pt idx="76">
                  <c:v>2005M10</c:v>
                </c:pt>
                <c:pt idx="77">
                  <c:v>2005M11</c:v>
                </c:pt>
                <c:pt idx="78">
                  <c:v>2005M12</c:v>
                </c:pt>
                <c:pt idx="79">
                  <c:v>2006M01</c:v>
                </c:pt>
                <c:pt idx="80">
                  <c:v>2006M02</c:v>
                </c:pt>
                <c:pt idx="81">
                  <c:v>2006M03</c:v>
                </c:pt>
                <c:pt idx="82">
                  <c:v>2006M04</c:v>
                </c:pt>
                <c:pt idx="83">
                  <c:v>2006M05</c:v>
                </c:pt>
                <c:pt idx="84">
                  <c:v>2006M06</c:v>
                </c:pt>
                <c:pt idx="85">
                  <c:v>2006M07</c:v>
                </c:pt>
                <c:pt idx="86">
                  <c:v>2006M08</c:v>
                </c:pt>
                <c:pt idx="87">
                  <c:v>2006M09</c:v>
                </c:pt>
                <c:pt idx="88">
                  <c:v>2006M10</c:v>
                </c:pt>
                <c:pt idx="89">
                  <c:v>2006M11</c:v>
                </c:pt>
                <c:pt idx="90">
                  <c:v>2006M12</c:v>
                </c:pt>
                <c:pt idx="91">
                  <c:v>2007M01</c:v>
                </c:pt>
                <c:pt idx="92">
                  <c:v>2007M02</c:v>
                </c:pt>
                <c:pt idx="93">
                  <c:v>2007M03</c:v>
                </c:pt>
                <c:pt idx="94">
                  <c:v>2007M04</c:v>
                </c:pt>
                <c:pt idx="95">
                  <c:v>2007M05</c:v>
                </c:pt>
                <c:pt idx="96">
                  <c:v>2007M06</c:v>
                </c:pt>
                <c:pt idx="97">
                  <c:v>2007M07</c:v>
                </c:pt>
                <c:pt idx="98">
                  <c:v>2007M08</c:v>
                </c:pt>
                <c:pt idx="99">
                  <c:v>2007M09</c:v>
                </c:pt>
                <c:pt idx="100">
                  <c:v>2007M10</c:v>
                </c:pt>
                <c:pt idx="101">
                  <c:v>2007M11</c:v>
                </c:pt>
                <c:pt idx="102">
                  <c:v>2007M12</c:v>
                </c:pt>
                <c:pt idx="103">
                  <c:v>2008M01</c:v>
                </c:pt>
                <c:pt idx="104">
                  <c:v>2008M02</c:v>
                </c:pt>
                <c:pt idx="105">
                  <c:v>2008M03</c:v>
                </c:pt>
                <c:pt idx="106">
                  <c:v>2008M04</c:v>
                </c:pt>
                <c:pt idx="107">
                  <c:v>2008M05</c:v>
                </c:pt>
                <c:pt idx="108">
                  <c:v>2008M06</c:v>
                </c:pt>
                <c:pt idx="109">
                  <c:v>2008M07</c:v>
                </c:pt>
                <c:pt idx="110">
                  <c:v>2008M08</c:v>
                </c:pt>
                <c:pt idx="111">
                  <c:v>2008M09</c:v>
                </c:pt>
                <c:pt idx="112">
                  <c:v>2008M10</c:v>
                </c:pt>
                <c:pt idx="113">
                  <c:v>2008M11</c:v>
                </c:pt>
                <c:pt idx="114">
                  <c:v>2008M12</c:v>
                </c:pt>
                <c:pt idx="115">
                  <c:v>2009M01</c:v>
                </c:pt>
                <c:pt idx="116">
                  <c:v>2009M02</c:v>
                </c:pt>
                <c:pt idx="117">
                  <c:v>2009M03</c:v>
                </c:pt>
                <c:pt idx="118">
                  <c:v>2009M04</c:v>
                </c:pt>
                <c:pt idx="119">
                  <c:v>2009M05</c:v>
                </c:pt>
                <c:pt idx="120">
                  <c:v>2009M06</c:v>
                </c:pt>
                <c:pt idx="121">
                  <c:v>2009M07</c:v>
                </c:pt>
                <c:pt idx="122">
                  <c:v>2009M08</c:v>
                </c:pt>
                <c:pt idx="123">
                  <c:v>2009M09</c:v>
                </c:pt>
                <c:pt idx="124">
                  <c:v>2009M10</c:v>
                </c:pt>
                <c:pt idx="125">
                  <c:v>2009M11</c:v>
                </c:pt>
                <c:pt idx="126">
                  <c:v>2009M12</c:v>
                </c:pt>
                <c:pt idx="127">
                  <c:v>2010M01</c:v>
                </c:pt>
                <c:pt idx="128">
                  <c:v>2010M02</c:v>
                </c:pt>
                <c:pt idx="129">
                  <c:v>2010M03</c:v>
                </c:pt>
                <c:pt idx="130">
                  <c:v>2010M04</c:v>
                </c:pt>
                <c:pt idx="131">
                  <c:v>2010M05</c:v>
                </c:pt>
                <c:pt idx="132">
                  <c:v>2010M06</c:v>
                </c:pt>
                <c:pt idx="133">
                  <c:v>2010M07</c:v>
                </c:pt>
                <c:pt idx="134">
                  <c:v>2010M08</c:v>
                </c:pt>
                <c:pt idx="135">
                  <c:v>2010M09</c:v>
                </c:pt>
                <c:pt idx="136">
                  <c:v>2010M10</c:v>
                </c:pt>
                <c:pt idx="137">
                  <c:v>2010M11</c:v>
                </c:pt>
                <c:pt idx="138">
                  <c:v>2010M12</c:v>
                </c:pt>
                <c:pt idx="139">
                  <c:v>2011M01</c:v>
                </c:pt>
                <c:pt idx="140">
                  <c:v>2011M02</c:v>
                </c:pt>
                <c:pt idx="141">
                  <c:v>2011M03</c:v>
                </c:pt>
                <c:pt idx="142">
                  <c:v>2011M04</c:v>
                </c:pt>
                <c:pt idx="143">
                  <c:v>2011M05</c:v>
                </c:pt>
                <c:pt idx="144">
                  <c:v>2011M06</c:v>
                </c:pt>
                <c:pt idx="145">
                  <c:v>2011M07</c:v>
                </c:pt>
                <c:pt idx="146">
                  <c:v>2011M08</c:v>
                </c:pt>
                <c:pt idx="147">
                  <c:v>2011M09</c:v>
                </c:pt>
                <c:pt idx="148">
                  <c:v>2011M10</c:v>
                </c:pt>
                <c:pt idx="149">
                  <c:v>2011M11</c:v>
                </c:pt>
                <c:pt idx="150">
                  <c:v>2011M12</c:v>
                </c:pt>
                <c:pt idx="151">
                  <c:v>2012M01</c:v>
                </c:pt>
                <c:pt idx="152">
                  <c:v>2012M02</c:v>
                </c:pt>
                <c:pt idx="153">
                  <c:v>2012M03</c:v>
                </c:pt>
                <c:pt idx="154">
                  <c:v>2012M04</c:v>
                </c:pt>
                <c:pt idx="155">
                  <c:v>2012M05</c:v>
                </c:pt>
                <c:pt idx="156">
                  <c:v>2012M06</c:v>
                </c:pt>
                <c:pt idx="157">
                  <c:v>2012M07</c:v>
                </c:pt>
                <c:pt idx="158">
                  <c:v>2012M08</c:v>
                </c:pt>
                <c:pt idx="159">
                  <c:v>2012M09</c:v>
                </c:pt>
                <c:pt idx="160">
                  <c:v>2012M10</c:v>
                </c:pt>
                <c:pt idx="161">
                  <c:v>2012M11</c:v>
                </c:pt>
                <c:pt idx="162">
                  <c:v>2012M12</c:v>
                </c:pt>
                <c:pt idx="163">
                  <c:v>2013M01</c:v>
                </c:pt>
                <c:pt idx="164">
                  <c:v>2013M02</c:v>
                </c:pt>
                <c:pt idx="165">
                  <c:v>2013M03</c:v>
                </c:pt>
                <c:pt idx="166">
                  <c:v>2013M04</c:v>
                </c:pt>
                <c:pt idx="167">
                  <c:v>2013M05</c:v>
                </c:pt>
                <c:pt idx="168">
                  <c:v>2013M06</c:v>
                </c:pt>
                <c:pt idx="169">
                  <c:v>2013M07</c:v>
                </c:pt>
                <c:pt idx="170">
                  <c:v>2013M08</c:v>
                </c:pt>
                <c:pt idx="171">
                  <c:v>2013M09</c:v>
                </c:pt>
                <c:pt idx="172">
                  <c:v>2013M10</c:v>
                </c:pt>
                <c:pt idx="173">
                  <c:v>2013M11</c:v>
                </c:pt>
                <c:pt idx="174">
                  <c:v>2013M12</c:v>
                </c:pt>
                <c:pt idx="175">
                  <c:v>2014M01</c:v>
                </c:pt>
                <c:pt idx="176">
                  <c:v>2014M02</c:v>
                </c:pt>
                <c:pt idx="177">
                  <c:v>2014M03</c:v>
                </c:pt>
                <c:pt idx="178">
                  <c:v>2014M04</c:v>
                </c:pt>
                <c:pt idx="179">
                  <c:v>2014M05</c:v>
                </c:pt>
                <c:pt idx="180">
                  <c:v>2014M06</c:v>
                </c:pt>
                <c:pt idx="181">
                  <c:v>2014M07</c:v>
                </c:pt>
                <c:pt idx="182">
                  <c:v>2014M08</c:v>
                </c:pt>
                <c:pt idx="183">
                  <c:v>2014M09</c:v>
                </c:pt>
                <c:pt idx="184">
                  <c:v>2014M10</c:v>
                </c:pt>
                <c:pt idx="185">
                  <c:v>2014M11</c:v>
                </c:pt>
                <c:pt idx="186">
                  <c:v>2014M12</c:v>
                </c:pt>
                <c:pt idx="187">
                  <c:v>2015M01</c:v>
                </c:pt>
                <c:pt idx="188">
                  <c:v>2015M02</c:v>
                </c:pt>
                <c:pt idx="189">
                  <c:v>2015M03</c:v>
                </c:pt>
                <c:pt idx="190">
                  <c:v>2015M04</c:v>
                </c:pt>
                <c:pt idx="191">
                  <c:v>2015M05</c:v>
                </c:pt>
                <c:pt idx="192">
                  <c:v>2015M06</c:v>
                </c:pt>
                <c:pt idx="193">
                  <c:v>2015M07</c:v>
                </c:pt>
                <c:pt idx="194">
                  <c:v>2015M08</c:v>
                </c:pt>
                <c:pt idx="195">
                  <c:v>2015M09</c:v>
                </c:pt>
                <c:pt idx="196">
                  <c:v>2015M10</c:v>
                </c:pt>
                <c:pt idx="197">
                  <c:v>2015M11</c:v>
                </c:pt>
                <c:pt idx="198">
                  <c:v>2015M12</c:v>
                </c:pt>
                <c:pt idx="199">
                  <c:v>2016M01</c:v>
                </c:pt>
              </c:strCache>
            </c:strRef>
          </c:cat>
          <c:val>
            <c:numRef>
              <c:f>Sheet1!$D$2:$D$201</c:f>
              <c:numCache>
                <c:formatCode>General</c:formatCode>
                <c:ptCount val="200"/>
                <c:pt idx="0">
                  <c:v>0.13137465691758701</c:v>
                </c:pt>
                <c:pt idx="1">
                  <c:v>0.14636415535717601</c:v>
                </c:pt>
                <c:pt idx="2">
                  <c:v>7.3647736335612099E-2</c:v>
                </c:pt>
                <c:pt idx="3">
                  <c:v>9.2550930301723899E-2</c:v>
                </c:pt>
                <c:pt idx="4">
                  <c:v>1.4187059490132299E-2</c:v>
                </c:pt>
                <c:pt idx="5">
                  <c:v>0.11903667394645399</c:v>
                </c:pt>
                <c:pt idx="6">
                  <c:v>-4.4751864532987601E-2</c:v>
                </c:pt>
                <c:pt idx="7">
                  <c:v>1.49312269075492E-2</c:v>
                </c:pt>
                <c:pt idx="8">
                  <c:v>0.11329663997764899</c:v>
                </c:pt>
                <c:pt idx="9">
                  <c:v>1.8512098435072701E-2</c:v>
                </c:pt>
                <c:pt idx="10">
                  <c:v>-0.21517092675952201</c:v>
                </c:pt>
                <c:pt idx="11">
                  <c:v>0.18017086220696399</c:v>
                </c:pt>
                <c:pt idx="12">
                  <c:v>5.2984619463211799E-2</c:v>
                </c:pt>
                <c:pt idx="13">
                  <c:v>6.2302490059153497E-2</c:v>
                </c:pt>
                <c:pt idx="14">
                  <c:v>-5.8502003921984701E-2</c:v>
                </c:pt>
                <c:pt idx="15">
                  <c:v>4.6436638383034301E-2</c:v>
                </c:pt>
                <c:pt idx="16">
                  <c:v>6.6515638618995801E-2</c:v>
                </c:pt>
                <c:pt idx="17">
                  <c:v>-2.2464567603852501E-2</c:v>
                </c:pt>
                <c:pt idx="18">
                  <c:v>-0.20506496232638199</c:v>
                </c:pt>
                <c:pt idx="19">
                  <c:v>-6.9096480233714494E-2</c:v>
                </c:pt>
                <c:pt idx="20">
                  <c:v>0.138732504853989</c:v>
                </c:pt>
                <c:pt idx="21">
                  <c:v>-0.16430825963409801</c:v>
                </c:pt>
                <c:pt idx="22">
                  <c:v>9.8638236199294196E-2</c:v>
                </c:pt>
                <c:pt idx="23">
                  <c:v>-1.6577705012491801E-4</c:v>
                </c:pt>
                <c:pt idx="24">
                  <c:v>7.8651019638068601E-2</c:v>
                </c:pt>
                <c:pt idx="25">
                  <c:v>-0.20630040754867501</c:v>
                </c:pt>
                <c:pt idx="26">
                  <c:v>0.123682064675301</c:v>
                </c:pt>
                <c:pt idx="27">
                  <c:v>6.9506357451395204E-2</c:v>
                </c:pt>
                <c:pt idx="28">
                  <c:v>-0.22006078927816999</c:v>
                </c:pt>
                <c:pt idx="29">
                  <c:v>-5.02483401393789E-2</c:v>
                </c:pt>
                <c:pt idx="30">
                  <c:v>-0.140053721624633</c:v>
                </c:pt>
                <c:pt idx="31">
                  <c:v>6.1093233632343702E-2</c:v>
                </c:pt>
                <c:pt idx="32">
                  <c:v>0.11204129557616301</c:v>
                </c:pt>
                <c:pt idx="33">
                  <c:v>0.101850200843233</c:v>
                </c:pt>
                <c:pt idx="34">
                  <c:v>-4.73090438834863E-2</c:v>
                </c:pt>
                <c:pt idx="35">
                  <c:v>0.181148746580516</c:v>
                </c:pt>
                <c:pt idx="36">
                  <c:v>-0.132108801444283</c:v>
                </c:pt>
                <c:pt idx="37">
                  <c:v>0.13664329746745901</c:v>
                </c:pt>
                <c:pt idx="38">
                  <c:v>3.1667455912232897E-2</c:v>
                </c:pt>
                <c:pt idx="39">
                  <c:v>1.4515515238612201E-2</c:v>
                </c:pt>
                <c:pt idx="40">
                  <c:v>1.2427664371519801E-2</c:v>
                </c:pt>
                <c:pt idx="41">
                  <c:v>-0.16665215825037299</c:v>
                </c:pt>
                <c:pt idx="42">
                  <c:v>0.102430817416092</c:v>
                </c:pt>
                <c:pt idx="43">
                  <c:v>7.9142515748111403E-2</c:v>
                </c:pt>
                <c:pt idx="44">
                  <c:v>7.4730289018167695E-2</c:v>
                </c:pt>
                <c:pt idx="45">
                  <c:v>1.7642464424692399E-2</c:v>
                </c:pt>
                <c:pt idx="46">
                  <c:v>-0.29223687179935398</c:v>
                </c:pt>
                <c:pt idx="47">
                  <c:v>5.1895036587472701E-3</c:v>
                </c:pt>
                <c:pt idx="48">
                  <c:v>6.67166873915674E-2</c:v>
                </c:pt>
                <c:pt idx="49">
                  <c:v>-7.3734168047978805E-4</c:v>
                </c:pt>
                <c:pt idx="50">
                  <c:v>5.7097195460999103E-2</c:v>
                </c:pt>
                <c:pt idx="51">
                  <c:v>-0.162937051103342</c:v>
                </c:pt>
                <c:pt idx="52">
                  <c:v>0.121194068587444</c:v>
                </c:pt>
                <c:pt idx="53">
                  <c:v>-5.3485319145324402E-2</c:v>
                </c:pt>
                <c:pt idx="54">
                  <c:v>2.53466993553704E-2</c:v>
                </c:pt>
                <c:pt idx="55">
                  <c:v>1.6991946201528999E-2</c:v>
                </c:pt>
                <c:pt idx="56">
                  <c:v>-9.2420433474443606E-2</c:v>
                </c:pt>
                <c:pt idx="57">
                  <c:v>0.11149489495666701</c:v>
                </c:pt>
                <c:pt idx="58">
                  <c:v>-2.17257362875703E-2</c:v>
                </c:pt>
                <c:pt idx="59">
                  <c:v>0.13994240864834701</c:v>
                </c:pt>
                <c:pt idx="60">
                  <c:v>-6.4325965583640399E-2</c:v>
                </c:pt>
                <c:pt idx="61">
                  <c:v>2.38017737643E-2</c:v>
                </c:pt>
                <c:pt idx="62">
                  <c:v>0.15055125005627201</c:v>
                </c:pt>
                <c:pt idx="63">
                  <c:v>-5.1598725385086003E-2</c:v>
                </c:pt>
                <c:pt idx="64">
                  <c:v>0.212220276000255</c:v>
                </c:pt>
                <c:pt idx="65">
                  <c:v>-0.264313848439378</c:v>
                </c:pt>
                <c:pt idx="66">
                  <c:v>-0.104304907963163</c:v>
                </c:pt>
                <c:pt idx="67">
                  <c:v>0.166328557877402</c:v>
                </c:pt>
                <c:pt idx="68">
                  <c:v>-1.18025887576128E-2</c:v>
                </c:pt>
                <c:pt idx="69">
                  <c:v>0.19693883357464401</c:v>
                </c:pt>
                <c:pt idx="70">
                  <c:v>-3.1287051048937101E-2</c:v>
                </c:pt>
                <c:pt idx="71">
                  <c:v>-7.7662491462074296E-2</c:v>
                </c:pt>
                <c:pt idx="72">
                  <c:v>0.104663078665584</c:v>
                </c:pt>
                <c:pt idx="73">
                  <c:v>0.16119613515609299</c:v>
                </c:pt>
                <c:pt idx="74">
                  <c:v>0.14699175328470801</c:v>
                </c:pt>
                <c:pt idx="75">
                  <c:v>-0.14472339059239001</c:v>
                </c:pt>
                <c:pt idx="76">
                  <c:v>-2.9849337350900399E-2</c:v>
                </c:pt>
                <c:pt idx="77">
                  <c:v>-7.7648640848416994E-2</c:v>
                </c:pt>
                <c:pt idx="78">
                  <c:v>2.5426114083518799E-2</c:v>
                </c:pt>
                <c:pt idx="79">
                  <c:v>0.123413343986152</c:v>
                </c:pt>
                <c:pt idx="80">
                  <c:v>-5.6333395596771502E-2</c:v>
                </c:pt>
                <c:pt idx="81">
                  <c:v>-3.0518775625803601E-2</c:v>
                </c:pt>
                <c:pt idx="82">
                  <c:v>0.16276450625328301</c:v>
                </c:pt>
                <c:pt idx="83">
                  <c:v>2.7842016458521999E-2</c:v>
                </c:pt>
                <c:pt idx="84">
                  <c:v>-4.5545746998612698E-2</c:v>
                </c:pt>
                <c:pt idx="85">
                  <c:v>5.76341364441256E-2</c:v>
                </c:pt>
                <c:pt idx="86">
                  <c:v>-6.9231465636438701E-3</c:v>
                </c:pt>
                <c:pt idx="87">
                  <c:v>-0.200555838523472</c:v>
                </c:pt>
                <c:pt idx="88">
                  <c:v>-7.4339461337009305E-2</c:v>
                </c:pt>
                <c:pt idx="89">
                  <c:v>-3.3375859901525598E-2</c:v>
                </c:pt>
                <c:pt idx="90">
                  <c:v>6.1754825055406103E-2</c:v>
                </c:pt>
                <c:pt idx="91">
                  <c:v>-0.25291310834214498</c:v>
                </c:pt>
                <c:pt idx="92">
                  <c:v>9.7195867279361303E-2</c:v>
                </c:pt>
                <c:pt idx="93">
                  <c:v>6.1103426724554703E-2</c:v>
                </c:pt>
                <c:pt idx="94">
                  <c:v>0.107894668505084</c:v>
                </c:pt>
                <c:pt idx="95">
                  <c:v>-4.3336760189686699E-2</c:v>
                </c:pt>
                <c:pt idx="96">
                  <c:v>4.8745623221702901E-2</c:v>
                </c:pt>
                <c:pt idx="97">
                  <c:v>0.12509822548404001</c:v>
                </c:pt>
                <c:pt idx="98">
                  <c:v>-0.13440208228255701</c:v>
                </c:pt>
                <c:pt idx="99">
                  <c:v>8.8327462724123604E-2</c:v>
                </c:pt>
                <c:pt idx="100">
                  <c:v>2.40002542162807E-2</c:v>
                </c:pt>
                <c:pt idx="101">
                  <c:v>9.9742292294790105E-2</c:v>
                </c:pt>
                <c:pt idx="102">
                  <c:v>2.2196977143581698E-2</c:v>
                </c:pt>
                <c:pt idx="103">
                  <c:v>7.1327213953519301E-4</c:v>
                </c:pt>
                <c:pt idx="104">
                  <c:v>4.3638740706948504E-3</c:v>
                </c:pt>
                <c:pt idx="105">
                  <c:v>0.14250206044357699</c:v>
                </c:pt>
                <c:pt idx="106">
                  <c:v>-2.0894564855176701E-2</c:v>
                </c:pt>
                <c:pt idx="107">
                  <c:v>9.7953863752217596E-2</c:v>
                </c:pt>
                <c:pt idx="108">
                  <c:v>7.3071524204121996E-2</c:v>
                </c:pt>
                <c:pt idx="109">
                  <c:v>6.92592058926388E-2</c:v>
                </c:pt>
                <c:pt idx="110">
                  <c:v>-0.23615386619241799</c:v>
                </c:pt>
                <c:pt idx="111">
                  <c:v>-0.15615876760443401</c:v>
                </c:pt>
                <c:pt idx="112">
                  <c:v>-0.14538864074511601</c:v>
                </c:pt>
                <c:pt idx="113">
                  <c:v>-0.26945077825529601</c:v>
                </c:pt>
                <c:pt idx="114">
                  <c:v>-0.20102001895097399</c:v>
                </c:pt>
                <c:pt idx="115">
                  <c:v>-2.7634846151875399E-2</c:v>
                </c:pt>
                <c:pt idx="116">
                  <c:v>3.7848133383786203E-2</c:v>
                </c:pt>
                <c:pt idx="117">
                  <c:v>-9.27015235910396E-2</c:v>
                </c:pt>
                <c:pt idx="118">
                  <c:v>0.19280821091115699</c:v>
                </c:pt>
                <c:pt idx="119">
                  <c:v>2.9232239300139799E-2</c:v>
                </c:pt>
                <c:pt idx="120">
                  <c:v>0.18798988583657</c:v>
                </c:pt>
                <c:pt idx="121">
                  <c:v>-0.14452791369062201</c:v>
                </c:pt>
                <c:pt idx="122">
                  <c:v>0.20968500511763999</c:v>
                </c:pt>
                <c:pt idx="123">
                  <c:v>-6.1210037903304898E-2</c:v>
                </c:pt>
                <c:pt idx="124">
                  <c:v>2.87697510230829E-2</c:v>
                </c:pt>
                <c:pt idx="125">
                  <c:v>1.4921776463497601E-2</c:v>
                </c:pt>
                <c:pt idx="126">
                  <c:v>-3.94360636724514E-2</c:v>
                </c:pt>
                <c:pt idx="127">
                  <c:v>0.107016554157518</c:v>
                </c:pt>
                <c:pt idx="128">
                  <c:v>-9.4417953216800493E-2</c:v>
                </c:pt>
                <c:pt idx="129">
                  <c:v>8.5037755913386096E-2</c:v>
                </c:pt>
                <c:pt idx="130">
                  <c:v>7.9730023870181604E-2</c:v>
                </c:pt>
                <c:pt idx="131">
                  <c:v>-9.3398538093120695E-2</c:v>
                </c:pt>
                <c:pt idx="132">
                  <c:v>-5.8332079175590301E-2</c:v>
                </c:pt>
                <c:pt idx="133">
                  <c:v>4.4255705900013202E-2</c:v>
                </c:pt>
                <c:pt idx="134">
                  <c:v>-1.12701359451643E-2</c:v>
                </c:pt>
                <c:pt idx="135">
                  <c:v>1.51945126547416E-2</c:v>
                </c:pt>
                <c:pt idx="136">
                  <c:v>6.5690250673459696E-2</c:v>
                </c:pt>
                <c:pt idx="137">
                  <c:v>4.2809228517039701E-2</c:v>
                </c:pt>
                <c:pt idx="138">
                  <c:v>5.5348281372132602E-2</c:v>
                </c:pt>
                <c:pt idx="139">
                  <c:v>0.12093606139338101</c:v>
                </c:pt>
                <c:pt idx="140">
                  <c:v>5.6585289656291303E-2</c:v>
                </c:pt>
                <c:pt idx="141">
                  <c:v>0.107579172366814</c:v>
                </c:pt>
                <c:pt idx="142">
                  <c:v>0.12577155232436399</c:v>
                </c:pt>
                <c:pt idx="143">
                  <c:v>-0.10333724483621</c:v>
                </c:pt>
                <c:pt idx="144">
                  <c:v>4.57518574079427E-2</c:v>
                </c:pt>
                <c:pt idx="145">
                  <c:v>2.0793334363680499E-2</c:v>
                </c:pt>
                <c:pt idx="146">
                  <c:v>-9.4814008474907993E-2</c:v>
                </c:pt>
                <c:pt idx="147">
                  <c:v>4.8857707897691401E-2</c:v>
                </c:pt>
                <c:pt idx="148">
                  <c:v>-4.8523794176061702E-2</c:v>
                </c:pt>
                <c:pt idx="149">
                  <c:v>2.9132429923392E-2</c:v>
                </c:pt>
                <c:pt idx="150">
                  <c:v>-0.110926242800648</c:v>
                </c:pt>
                <c:pt idx="151">
                  <c:v>0.13880009027186499</c:v>
                </c:pt>
                <c:pt idx="152">
                  <c:v>0.113224779169389</c:v>
                </c:pt>
                <c:pt idx="153">
                  <c:v>4.1102281363005901E-2</c:v>
                </c:pt>
                <c:pt idx="154">
                  <c:v>-4.6188527816815997E-2</c:v>
                </c:pt>
                <c:pt idx="155">
                  <c:v>-7.0805993452919103E-2</c:v>
                </c:pt>
                <c:pt idx="156">
                  <c:v>-0.14736393233419401</c:v>
                </c:pt>
                <c:pt idx="157">
                  <c:v>-2.38925995980472E-4</c:v>
                </c:pt>
                <c:pt idx="158">
                  <c:v>0.170446562426635</c:v>
                </c:pt>
                <c:pt idx="159">
                  <c:v>3.44254779179545E-2</c:v>
                </c:pt>
                <c:pt idx="160">
                  <c:v>-4.3369515970036E-2</c:v>
                </c:pt>
                <c:pt idx="161">
                  <c:v>-6.9750667395357497E-3</c:v>
                </c:pt>
                <c:pt idx="162">
                  <c:v>7.3132565952819797E-3</c:v>
                </c:pt>
                <c:pt idx="163">
                  <c:v>1.7174155711492198E-2</c:v>
                </c:pt>
                <c:pt idx="164">
                  <c:v>7.9946275297249098E-2</c:v>
                </c:pt>
                <c:pt idx="165">
                  <c:v>-9.7629761200263801E-2</c:v>
                </c:pt>
                <c:pt idx="166">
                  <c:v>-6.6008610284542704E-2</c:v>
                </c:pt>
                <c:pt idx="167">
                  <c:v>-5.1081919635987899E-3</c:v>
                </c:pt>
                <c:pt idx="168">
                  <c:v>5.06707141592877E-3</c:v>
                </c:pt>
                <c:pt idx="169">
                  <c:v>4.6258396093895301E-2</c:v>
                </c:pt>
                <c:pt idx="170">
                  <c:v>8.6670503408347605E-3</c:v>
                </c:pt>
                <c:pt idx="171">
                  <c:v>-4.0228561110859803E-2</c:v>
                </c:pt>
                <c:pt idx="172">
                  <c:v>-3.4397114719712199E-2</c:v>
                </c:pt>
                <c:pt idx="173">
                  <c:v>-4.0744771512340898E-2</c:v>
                </c:pt>
                <c:pt idx="174">
                  <c:v>-4.7222980050391203E-2</c:v>
                </c:pt>
                <c:pt idx="175">
                  <c:v>3.8507298959369898E-2</c:v>
                </c:pt>
                <c:pt idx="176">
                  <c:v>4.9670897596799102E-2</c:v>
                </c:pt>
                <c:pt idx="177">
                  <c:v>-4.7551065969098798E-2</c:v>
                </c:pt>
                <c:pt idx="178">
                  <c:v>6.3737645582292807E-2</c:v>
                </c:pt>
                <c:pt idx="179">
                  <c:v>7.5461858116377201E-3</c:v>
                </c:pt>
                <c:pt idx="180">
                  <c:v>3.5355632579461803E-2</c:v>
                </c:pt>
                <c:pt idx="181">
                  <c:v>-9.0397592519880204E-3</c:v>
                </c:pt>
                <c:pt idx="182">
                  <c:v>-6.5596274222314593E-2</c:v>
                </c:pt>
                <c:pt idx="183">
                  <c:v>-7.1608717563632601E-2</c:v>
                </c:pt>
                <c:pt idx="184">
                  <c:v>-8.7961779218050595E-2</c:v>
                </c:pt>
                <c:pt idx="185">
                  <c:v>-0.12589374907106299</c:v>
                </c:pt>
                <c:pt idx="186">
                  <c:v>-0.20967424909444399</c:v>
                </c:pt>
                <c:pt idx="187">
                  <c:v>-0.27494687865581902</c:v>
                </c:pt>
                <c:pt idx="188">
                  <c:v>0.19172570257548999</c:v>
                </c:pt>
                <c:pt idx="189">
                  <c:v>4.98462247066375E-2</c:v>
                </c:pt>
                <c:pt idx="190">
                  <c:v>-4.5010569876348296E-3</c:v>
                </c:pt>
                <c:pt idx="191">
                  <c:v>0.158373233859573</c:v>
                </c:pt>
                <c:pt idx="192">
                  <c:v>-4.5000278854366402E-2</c:v>
                </c:pt>
                <c:pt idx="193">
                  <c:v>-0.159508626977266</c:v>
                </c:pt>
                <c:pt idx="194">
                  <c:v>-0.18147046658145599</c:v>
                </c:pt>
                <c:pt idx="195">
                  <c:v>-3.2083864359853997E-2</c:v>
                </c:pt>
                <c:pt idx="196">
                  <c:v>8.4697914334851396E-2</c:v>
                </c:pt>
                <c:pt idx="197">
                  <c:v>-8.9944801272091895E-2</c:v>
                </c:pt>
                <c:pt idx="198">
                  <c:v>-0.13145015044723801</c:v>
                </c:pt>
                <c:pt idx="199">
                  <c:v>-0.142688697640421</c:v>
                </c:pt>
              </c:numCache>
            </c:numRef>
          </c:val>
          <c:extLst>
            <c:ext xmlns:c16="http://schemas.microsoft.com/office/drawing/2014/chart" uri="{C3380CC4-5D6E-409C-BE32-E72D297353CC}">
              <c16:uniqueId val="{00000002-F85E-394E-BA95-A8EDA37D4EFE}"/>
            </c:ext>
          </c:extLst>
        </c:ser>
        <c:dLbls>
          <c:showLegendKey val="0"/>
          <c:showVal val="0"/>
          <c:showCatName val="0"/>
          <c:showSerName val="0"/>
          <c:showPercent val="0"/>
          <c:showBubbleSize val="0"/>
        </c:dLbls>
        <c:gapWidth val="0"/>
        <c:overlap val="100"/>
        <c:axId val="59773440"/>
        <c:axId val="959426496"/>
      </c:barChart>
      <c:catAx>
        <c:axId val="59773440"/>
        <c:scaling>
          <c:orientation val="minMax"/>
        </c:scaling>
        <c:delete val="0"/>
        <c:axPos val="b"/>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59426496"/>
        <c:crosses val="autoZero"/>
        <c:auto val="1"/>
        <c:lblAlgn val="ctr"/>
        <c:lblOffset val="100"/>
        <c:tickMarkSkip val="1"/>
        <c:noMultiLvlLbl val="0"/>
      </c:catAx>
      <c:valAx>
        <c:axId val="959426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73440"/>
        <c:crosses val="autoZero"/>
        <c:crossBetween val="between"/>
      </c:valAx>
      <c:spPr>
        <a:noFill/>
        <a:ln w="6350">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13AF06C-9815-4D85-BC3E-513F2CD65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15196</Words>
  <Characters>86620</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University of Portsmouth</Company>
  <LinksUpToDate>false</LinksUpToDate>
  <CharactersWithSpaces>101613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Michail Filippidis</dc:creator>
  <cp:lastModifiedBy>Edwards L.</cp:lastModifiedBy>
  <cp:revision>2</cp:revision>
  <cp:lastPrinted>2019-06-07T14:13:00Z</cp:lastPrinted>
  <dcterms:created xsi:type="dcterms:W3CDTF">2020-01-13T14:38:00Z</dcterms:created>
  <dcterms:modified xsi:type="dcterms:W3CDTF">2020-01-13T14:38:00Z</dcterms:modified>
</cp:coreProperties>
</file>