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E90A5" w14:textId="77777777" w:rsidR="007E0E6D" w:rsidRDefault="007E0E6D" w:rsidP="00531EBF">
      <w:pPr>
        <w:pStyle w:val="Title"/>
      </w:pPr>
      <w:bookmarkStart w:id="0" w:name="_GoBack"/>
      <w:bookmarkEnd w:id="0"/>
      <w:r>
        <w:t xml:space="preserve">The phenotype of genetically confirmed </w:t>
      </w:r>
      <w:r w:rsidRPr="00376942">
        <w:t>S</w:t>
      </w:r>
      <w:r>
        <w:t>ilver-</w:t>
      </w:r>
      <w:r w:rsidRPr="00376942">
        <w:t>R</w:t>
      </w:r>
      <w:r>
        <w:t>ussell syndrome beyond childhood</w:t>
      </w:r>
      <w:r w:rsidRPr="00376942">
        <w:t xml:space="preserve"> </w:t>
      </w:r>
    </w:p>
    <w:p w14:paraId="088FF8B0" w14:textId="6FBD9E6F" w:rsidR="007E0E6D" w:rsidRDefault="007E0E6D" w:rsidP="00531EBF">
      <w:pPr>
        <w:spacing w:line="360" w:lineRule="auto"/>
        <w:outlineLvl w:val="0"/>
        <w:rPr>
          <w:rFonts w:cstheme="minorHAnsi"/>
        </w:rPr>
      </w:pPr>
      <w:r>
        <w:rPr>
          <w:rFonts w:cstheme="minorHAnsi"/>
        </w:rPr>
        <w:t>Oluwakemi L</w:t>
      </w:r>
      <w:r w:rsidRPr="00CB0C30">
        <w:rPr>
          <w:rFonts w:cstheme="minorHAnsi"/>
        </w:rPr>
        <w:t>okulo-Sodipe</w:t>
      </w:r>
      <w:r>
        <w:rPr>
          <w:rFonts w:cstheme="minorHAnsi"/>
        </w:rPr>
        <w:t xml:space="preserve"> (1,2, 3)</w:t>
      </w:r>
      <w:r w:rsidRPr="00CB0C30">
        <w:rPr>
          <w:rFonts w:cstheme="minorHAnsi"/>
        </w:rPr>
        <w:t>,</w:t>
      </w:r>
      <w:r>
        <w:rPr>
          <w:rFonts w:cstheme="minorHAnsi"/>
        </w:rPr>
        <w:t xml:space="preserve"> Lisa M. Ballard (1,8), Jenny C. Child (7), Hazel M. Inskip (1,3,4), Christopher D. Byrne (1,4), Gudrun E. Moore(</w:t>
      </w:r>
      <w:r w:rsidR="00A965D8">
        <w:rPr>
          <w:rFonts w:cstheme="minorHAnsi"/>
        </w:rPr>
        <w:t>5</w:t>
      </w:r>
      <w:r>
        <w:rPr>
          <w:rFonts w:cstheme="minorHAnsi"/>
        </w:rPr>
        <w:t xml:space="preserve">), </w:t>
      </w:r>
      <w:r w:rsidRPr="00196384">
        <w:rPr>
          <w:rFonts w:cstheme="minorHAnsi"/>
        </w:rPr>
        <w:t>Miho Ishida</w:t>
      </w:r>
      <w:r w:rsidR="00A965D8">
        <w:rPr>
          <w:rFonts w:cstheme="minorHAnsi"/>
        </w:rPr>
        <w:t>(5</w:t>
      </w:r>
      <w:r>
        <w:rPr>
          <w:rFonts w:cstheme="minorHAnsi"/>
        </w:rPr>
        <w:t xml:space="preserve">), </w:t>
      </w:r>
      <w:r w:rsidR="00A965D8">
        <w:rPr>
          <w:rFonts w:cstheme="minorHAnsi"/>
        </w:rPr>
        <w:t xml:space="preserve">Emma L. Wakeling (5,6), </w:t>
      </w:r>
      <w:r>
        <w:rPr>
          <w:rFonts w:cstheme="minorHAnsi"/>
        </w:rPr>
        <w:t xml:space="preserve">Angela Fenwick (8), </w:t>
      </w:r>
      <w:r w:rsidRPr="00CB0C30">
        <w:rPr>
          <w:rFonts w:cstheme="minorHAnsi"/>
        </w:rPr>
        <w:t xml:space="preserve">Deborah </w:t>
      </w:r>
      <w:r>
        <w:rPr>
          <w:rFonts w:cstheme="minorHAnsi"/>
        </w:rPr>
        <w:t xml:space="preserve">J.G. </w:t>
      </w:r>
      <w:r w:rsidRPr="00CB0C30">
        <w:rPr>
          <w:rFonts w:cstheme="minorHAnsi"/>
        </w:rPr>
        <w:t>Mackay</w:t>
      </w:r>
      <w:r>
        <w:rPr>
          <w:rFonts w:cstheme="minorHAnsi"/>
        </w:rPr>
        <w:t xml:space="preserve"> (1,9)</w:t>
      </w:r>
      <w:r w:rsidRPr="00CB0C30">
        <w:rPr>
          <w:rFonts w:cstheme="minorHAnsi"/>
        </w:rPr>
        <w:t>,</w:t>
      </w:r>
      <w:r>
        <w:rPr>
          <w:rFonts w:cstheme="minorHAnsi"/>
        </w:rPr>
        <w:t xml:space="preserve"> </w:t>
      </w:r>
      <w:r w:rsidRPr="00CB0C30">
        <w:rPr>
          <w:rFonts w:cstheme="minorHAnsi"/>
        </w:rPr>
        <w:t xml:space="preserve">Justin </w:t>
      </w:r>
      <w:r>
        <w:rPr>
          <w:rFonts w:cstheme="minorHAnsi"/>
        </w:rPr>
        <w:t xml:space="preserve">H. </w:t>
      </w:r>
      <w:r w:rsidRPr="00CB0C30">
        <w:rPr>
          <w:rFonts w:cstheme="minorHAnsi"/>
        </w:rPr>
        <w:t>Davie</w:t>
      </w:r>
      <w:r>
        <w:rPr>
          <w:rFonts w:cstheme="minorHAnsi"/>
        </w:rPr>
        <w:t xml:space="preserve">s (1,10), </w:t>
      </w:r>
      <w:r w:rsidRPr="00CB0C30">
        <w:rPr>
          <w:rFonts w:cstheme="minorHAnsi"/>
        </w:rPr>
        <w:t>I</w:t>
      </w:r>
      <w:r>
        <w:rPr>
          <w:rFonts w:cstheme="minorHAnsi"/>
        </w:rPr>
        <w:t>.</w:t>
      </w:r>
      <w:r w:rsidRPr="00CB0C30">
        <w:rPr>
          <w:rFonts w:cstheme="minorHAnsi"/>
        </w:rPr>
        <w:t xml:space="preserve"> Karen Temple</w:t>
      </w:r>
      <w:r w:rsidR="00402230">
        <w:rPr>
          <w:rFonts w:cstheme="minorHAnsi"/>
        </w:rPr>
        <w:t>*</w:t>
      </w:r>
      <w:r>
        <w:rPr>
          <w:rFonts w:cstheme="minorHAnsi"/>
        </w:rPr>
        <w:t xml:space="preserve"> (1,2,4)</w:t>
      </w:r>
    </w:p>
    <w:p w14:paraId="0DFC032E" w14:textId="26DD6C0E" w:rsidR="00402230" w:rsidRDefault="00402230" w:rsidP="00531EBF">
      <w:pPr>
        <w:spacing w:line="360" w:lineRule="auto"/>
        <w:outlineLvl w:val="0"/>
        <w:rPr>
          <w:rFonts w:cstheme="minorHAnsi"/>
        </w:rPr>
      </w:pPr>
    </w:p>
    <w:p w14:paraId="147895CD" w14:textId="0C77880B" w:rsidR="00402230" w:rsidRDefault="00402230" w:rsidP="00402230">
      <w:pPr>
        <w:spacing w:line="360" w:lineRule="auto"/>
        <w:outlineLvl w:val="0"/>
        <w:rPr>
          <w:rFonts w:cstheme="minorHAnsi"/>
        </w:rPr>
      </w:pPr>
      <w:r>
        <w:rPr>
          <w:rFonts w:cstheme="minorHAnsi"/>
        </w:rPr>
        <w:t>*I Karen Temple is corresponding author; Department of Human Development and Health, Faculty of Medicine, University of Southampton, Princess Anne Hospital, Coxford Road, Southampton SO165YA; email ikt@soton.ac.uk</w:t>
      </w:r>
    </w:p>
    <w:p w14:paraId="17870D23" w14:textId="69E9B68F" w:rsidR="00402230" w:rsidRDefault="00402230" w:rsidP="00531EBF">
      <w:pPr>
        <w:spacing w:line="360" w:lineRule="auto"/>
        <w:outlineLvl w:val="0"/>
        <w:rPr>
          <w:rFonts w:cstheme="minorHAnsi"/>
        </w:rPr>
      </w:pPr>
    </w:p>
    <w:p w14:paraId="16443D40" w14:textId="77777777" w:rsidR="007E0E6D" w:rsidRDefault="007E0E6D" w:rsidP="00531EBF">
      <w:pPr>
        <w:pStyle w:val="Revision"/>
        <w:spacing w:after="160" w:line="360" w:lineRule="auto"/>
        <w:outlineLvl w:val="0"/>
        <w:rPr>
          <w:rFonts w:cstheme="minorHAnsi"/>
        </w:rPr>
      </w:pPr>
    </w:p>
    <w:p w14:paraId="52EE7466" w14:textId="77777777" w:rsidR="007E0E6D" w:rsidRDefault="007E0E6D" w:rsidP="007E0E6D">
      <w:pPr>
        <w:pStyle w:val="Revision"/>
        <w:numPr>
          <w:ilvl w:val="0"/>
          <w:numId w:val="30"/>
        </w:numPr>
        <w:spacing w:after="160" w:line="360" w:lineRule="auto"/>
        <w:outlineLvl w:val="0"/>
        <w:rPr>
          <w:rFonts w:cstheme="minorHAnsi"/>
        </w:rPr>
      </w:pPr>
      <w:r>
        <w:rPr>
          <w:rFonts w:cstheme="minorHAnsi"/>
        </w:rPr>
        <w:t xml:space="preserve">Department of Human Development and Health, Faculty of Medicine, University of Southampton, </w:t>
      </w:r>
    </w:p>
    <w:p w14:paraId="20F45715" w14:textId="77777777" w:rsidR="007E0E6D" w:rsidRDefault="007E0E6D" w:rsidP="007E0E6D">
      <w:pPr>
        <w:pStyle w:val="Revision"/>
        <w:numPr>
          <w:ilvl w:val="0"/>
          <w:numId w:val="30"/>
        </w:numPr>
        <w:spacing w:after="160" w:line="360" w:lineRule="auto"/>
        <w:outlineLvl w:val="0"/>
        <w:rPr>
          <w:rFonts w:cstheme="minorHAnsi"/>
        </w:rPr>
      </w:pPr>
      <w:r>
        <w:rPr>
          <w:rFonts w:cstheme="minorHAnsi"/>
        </w:rPr>
        <w:t>The Wessex Clinical Genetics Service, University Hospitals Southampton NHS Foundation Trust, Southampton</w:t>
      </w:r>
    </w:p>
    <w:p w14:paraId="58BD74ED" w14:textId="77777777" w:rsidR="007E0E6D" w:rsidRDefault="007E0E6D" w:rsidP="007E0E6D">
      <w:pPr>
        <w:pStyle w:val="Revision"/>
        <w:numPr>
          <w:ilvl w:val="0"/>
          <w:numId w:val="30"/>
        </w:numPr>
        <w:spacing w:after="160" w:line="360" w:lineRule="auto"/>
        <w:outlineLvl w:val="0"/>
        <w:rPr>
          <w:rFonts w:cstheme="minorHAnsi"/>
        </w:rPr>
      </w:pPr>
      <w:r>
        <w:rPr>
          <w:rFonts w:cstheme="minorHAnsi"/>
        </w:rPr>
        <w:t>MRC Epidemiology Unit, Faculty of Medicine, University of Southampton, Southampton</w:t>
      </w:r>
    </w:p>
    <w:p w14:paraId="773BA00E" w14:textId="77777777" w:rsidR="007E0E6D" w:rsidRPr="00F407BB" w:rsidRDefault="007E0E6D" w:rsidP="007E0E6D">
      <w:pPr>
        <w:pStyle w:val="Revision"/>
        <w:numPr>
          <w:ilvl w:val="0"/>
          <w:numId w:val="30"/>
        </w:numPr>
        <w:spacing w:after="160" w:line="360" w:lineRule="auto"/>
        <w:outlineLvl w:val="0"/>
        <w:rPr>
          <w:rFonts w:cstheme="minorHAnsi"/>
        </w:rPr>
      </w:pPr>
      <w:r w:rsidRPr="00F407BB">
        <w:rPr>
          <w:rFonts w:cstheme="minorHAnsi"/>
          <w:color w:val="000000"/>
        </w:rPr>
        <w:t>NIHR Southampton Biomedical Research Centre, University of Southampton and University Hospital Southampton NHS Foundation Trust</w:t>
      </w:r>
      <w:r w:rsidRPr="00F407BB">
        <w:rPr>
          <w:rFonts w:cstheme="minorHAnsi"/>
        </w:rPr>
        <w:t xml:space="preserve"> </w:t>
      </w:r>
    </w:p>
    <w:p w14:paraId="2F1E0A5C" w14:textId="69856160" w:rsidR="007E0E6D" w:rsidRDefault="007E0E6D" w:rsidP="007E0E6D">
      <w:pPr>
        <w:pStyle w:val="Revision"/>
        <w:numPr>
          <w:ilvl w:val="0"/>
          <w:numId w:val="30"/>
        </w:numPr>
        <w:spacing w:after="160" w:line="360" w:lineRule="auto"/>
        <w:outlineLvl w:val="0"/>
        <w:rPr>
          <w:rFonts w:cstheme="minorHAnsi"/>
        </w:rPr>
      </w:pPr>
      <w:r w:rsidRPr="00196384">
        <w:rPr>
          <w:rFonts w:cstheme="minorHAnsi"/>
        </w:rPr>
        <w:t>Genetics and Genomic Medicine Department</w:t>
      </w:r>
      <w:r w:rsidRPr="009B426D">
        <w:rPr>
          <w:rFonts w:cstheme="minorHAnsi"/>
        </w:rPr>
        <w:t xml:space="preserve">, </w:t>
      </w:r>
      <w:r>
        <w:rPr>
          <w:rFonts w:cstheme="minorHAnsi"/>
        </w:rPr>
        <w:t xml:space="preserve">Great Ormond Street Hospital </w:t>
      </w:r>
      <w:r w:rsidRPr="009B426D">
        <w:rPr>
          <w:rFonts w:cstheme="minorHAnsi"/>
        </w:rPr>
        <w:t xml:space="preserve">Institute of Child Health, University College, </w:t>
      </w:r>
      <w:r w:rsidRPr="00260625">
        <w:rPr>
          <w:rFonts w:cstheme="minorHAnsi"/>
        </w:rPr>
        <w:t xml:space="preserve">London, 30 Guilford Street, London WC1N IEH, </w:t>
      </w:r>
    </w:p>
    <w:p w14:paraId="3CF5828E" w14:textId="0EB0ED5C" w:rsidR="00A965D8" w:rsidRPr="00A965D8" w:rsidRDefault="00A965D8" w:rsidP="00A965D8">
      <w:pPr>
        <w:pStyle w:val="ListParagraph"/>
        <w:numPr>
          <w:ilvl w:val="0"/>
          <w:numId w:val="30"/>
        </w:numPr>
        <w:rPr>
          <w:rFonts w:cstheme="minorHAnsi"/>
        </w:rPr>
      </w:pPr>
      <w:r w:rsidRPr="00A965D8">
        <w:rPr>
          <w:rFonts w:cstheme="minorHAnsi"/>
        </w:rPr>
        <w:t>Great Ormond Street Hospital for Children NHS Foundation Trust, Great Ormond Street London WC1N 3JH</w:t>
      </w:r>
    </w:p>
    <w:p w14:paraId="2E8036CD" w14:textId="77777777" w:rsidR="007E0E6D" w:rsidRDefault="007E0E6D" w:rsidP="007E0E6D">
      <w:pPr>
        <w:pStyle w:val="Revision"/>
        <w:numPr>
          <w:ilvl w:val="0"/>
          <w:numId w:val="30"/>
        </w:numPr>
        <w:spacing w:after="160" w:line="360" w:lineRule="auto"/>
        <w:outlineLvl w:val="0"/>
        <w:rPr>
          <w:rFonts w:cstheme="minorHAnsi"/>
        </w:rPr>
      </w:pPr>
      <w:r>
        <w:rPr>
          <w:rFonts w:cstheme="minorHAnsi"/>
        </w:rPr>
        <w:t xml:space="preserve">Child Growth Foundation, </w:t>
      </w:r>
      <w:r>
        <w:rPr>
          <w:rFonts w:eastAsia="Times New Roman"/>
        </w:rPr>
        <w:t>21 Malvern Drive, Sutton Coldfield, B76 1PZ, UK,</w:t>
      </w:r>
    </w:p>
    <w:p w14:paraId="07C325FA" w14:textId="77777777" w:rsidR="007E0E6D" w:rsidRPr="0044740C" w:rsidRDefault="007E0E6D" w:rsidP="007E0E6D">
      <w:pPr>
        <w:pStyle w:val="ListParagraph"/>
        <w:numPr>
          <w:ilvl w:val="0"/>
          <w:numId w:val="30"/>
        </w:numPr>
        <w:spacing w:line="360" w:lineRule="auto"/>
        <w:outlineLvl w:val="0"/>
        <w:rPr>
          <w:rFonts w:cstheme="minorHAnsi"/>
        </w:rPr>
      </w:pPr>
      <w:r w:rsidRPr="0044740C">
        <w:rPr>
          <w:rFonts w:cstheme="minorHAnsi"/>
        </w:rPr>
        <w:t>Clinical Ethics and Law at Southampton (CELS), Faculty of Medicine, University of Southampton, UK.</w:t>
      </w:r>
    </w:p>
    <w:p w14:paraId="64949094" w14:textId="77777777" w:rsidR="007E0E6D" w:rsidRDefault="007E0E6D" w:rsidP="007E0E6D">
      <w:pPr>
        <w:pStyle w:val="Revision"/>
        <w:numPr>
          <w:ilvl w:val="0"/>
          <w:numId w:val="30"/>
        </w:numPr>
        <w:spacing w:after="160" w:line="360" w:lineRule="auto"/>
        <w:outlineLvl w:val="0"/>
        <w:rPr>
          <w:rFonts w:cstheme="minorHAnsi"/>
        </w:rPr>
      </w:pPr>
      <w:r>
        <w:rPr>
          <w:rFonts w:cstheme="minorHAnsi"/>
        </w:rPr>
        <w:t xml:space="preserve">Wessex Regional Genetics Laboratory, Salisbury Health Care Trust, Salisbury </w:t>
      </w:r>
    </w:p>
    <w:p w14:paraId="327B76C7" w14:textId="77777777" w:rsidR="007E0E6D" w:rsidRPr="00216FCF" w:rsidRDefault="007E0E6D" w:rsidP="007E0E6D">
      <w:pPr>
        <w:pStyle w:val="Revision"/>
        <w:numPr>
          <w:ilvl w:val="0"/>
          <w:numId w:val="30"/>
        </w:numPr>
        <w:spacing w:after="160" w:line="360" w:lineRule="auto"/>
        <w:outlineLvl w:val="0"/>
        <w:rPr>
          <w:rFonts w:cstheme="minorHAnsi"/>
        </w:rPr>
      </w:pPr>
      <w:r>
        <w:rPr>
          <w:rFonts w:cstheme="minorHAnsi"/>
        </w:rPr>
        <w:t xml:space="preserve">Regional Paediatric Endocrinology Service, University Southampton Hospitals NHS Foundation Trust, Southampton </w:t>
      </w:r>
    </w:p>
    <w:p w14:paraId="4588712E" w14:textId="77777777" w:rsidR="007E0E6D" w:rsidRDefault="007E0E6D">
      <w:pPr>
        <w:spacing w:line="360" w:lineRule="auto"/>
        <w:outlineLvl w:val="0"/>
        <w:rPr>
          <w:rFonts w:cstheme="minorHAnsi"/>
          <w:b/>
        </w:rPr>
      </w:pPr>
    </w:p>
    <w:p w14:paraId="76C78BB3" w14:textId="77777777" w:rsidR="00A965D8" w:rsidRDefault="00A965D8" w:rsidP="00A965D8">
      <w:pPr>
        <w:spacing w:line="360" w:lineRule="auto"/>
        <w:outlineLvl w:val="0"/>
        <w:rPr>
          <w:rFonts w:cstheme="minorHAnsi"/>
          <w:b/>
        </w:rPr>
      </w:pPr>
      <w:r>
        <w:rPr>
          <w:rFonts w:cstheme="minorHAnsi"/>
          <w:b/>
        </w:rPr>
        <w:lastRenderedPageBreak/>
        <w:t>Background</w:t>
      </w:r>
    </w:p>
    <w:p w14:paraId="60473801" w14:textId="77777777" w:rsidR="00A965D8" w:rsidRDefault="00A965D8" w:rsidP="00A965D8">
      <w:pPr>
        <w:spacing w:line="360" w:lineRule="auto"/>
        <w:outlineLvl w:val="0"/>
      </w:pPr>
      <w:r w:rsidRPr="000728AE">
        <w:rPr>
          <w:rFonts w:cstheme="minorHAnsi"/>
        </w:rPr>
        <w:t>Silver Russell syndrome is an imprinting disorder that restricts growth</w:t>
      </w:r>
      <w:r>
        <w:rPr>
          <w:rFonts w:cstheme="minorHAnsi"/>
        </w:rPr>
        <w:t xml:space="preserve">, </w:t>
      </w:r>
      <w:r w:rsidRPr="000728AE">
        <w:rPr>
          <w:rFonts w:cstheme="minorHAnsi"/>
        </w:rPr>
        <w:t>resulting in short adult stature that may be</w:t>
      </w:r>
      <w:r>
        <w:rPr>
          <w:rFonts w:cstheme="minorHAnsi"/>
        </w:rPr>
        <w:t xml:space="preserve"> ameloriated </w:t>
      </w:r>
      <w:r w:rsidRPr="000728AE">
        <w:rPr>
          <w:rFonts w:cstheme="minorHAnsi"/>
        </w:rPr>
        <w:t xml:space="preserve">by </w:t>
      </w:r>
      <w:r>
        <w:rPr>
          <w:rFonts w:cstheme="minorHAnsi"/>
        </w:rPr>
        <w:t>treatment</w:t>
      </w:r>
      <w:r w:rsidRPr="000728AE">
        <w:rPr>
          <w:rFonts w:cstheme="minorHAnsi"/>
        </w:rPr>
        <w:t xml:space="preserve">. </w:t>
      </w:r>
      <w:r>
        <w:rPr>
          <w:rFonts w:cstheme="minorHAnsi"/>
        </w:rPr>
        <w:t xml:space="preserve">Approximately </w:t>
      </w:r>
      <w:r w:rsidRPr="007F60F0">
        <w:t xml:space="preserve">50% </w:t>
      </w:r>
      <w:r>
        <w:t xml:space="preserve">of patients </w:t>
      </w:r>
      <w:r w:rsidRPr="007F60F0">
        <w:t>have loss of methylation of the imprinting control region (H19/IGF2:IG</w:t>
      </w:r>
      <w:r>
        <w:rPr>
          <w:rFonts w:ascii="Calibri" w:eastAsia="Calibri" w:hAnsi="Calibri" w:cs="Calibri"/>
        </w:rPr>
        <w:noBreakHyphen/>
      </w:r>
      <w:r>
        <w:t>DMR</w:t>
      </w:r>
      <w:r w:rsidRPr="007F60F0">
        <w:t>) on 11p15.5</w:t>
      </w:r>
      <w:r>
        <w:t>5 and 5-</w:t>
      </w:r>
      <w:r w:rsidRPr="00127EAA">
        <w:t>10% have maternal uni</w:t>
      </w:r>
      <w:r>
        <w:t>parental disomy of chromosome 7</w:t>
      </w:r>
      <w:r w:rsidRPr="007F60F0">
        <w:t>.</w:t>
      </w:r>
      <w:r>
        <w:t xml:space="preserve"> Most published research focuses on the childhood phenotype. Our aim was to describe the phenotypic characteristics of older Silver Russell patients.</w:t>
      </w:r>
    </w:p>
    <w:p w14:paraId="273C6072" w14:textId="77777777" w:rsidR="00A965D8" w:rsidRDefault="00A965D8" w:rsidP="00A965D8">
      <w:pPr>
        <w:spacing w:line="360" w:lineRule="auto"/>
        <w:outlineLvl w:val="0"/>
        <w:rPr>
          <w:rFonts w:cstheme="minorHAnsi"/>
          <w:b/>
        </w:rPr>
      </w:pPr>
      <w:r>
        <w:rPr>
          <w:rFonts w:cstheme="minorHAnsi"/>
          <w:b/>
        </w:rPr>
        <w:t>Methods</w:t>
      </w:r>
    </w:p>
    <w:p w14:paraId="524CC656" w14:textId="77777777" w:rsidR="00A965D8" w:rsidRPr="000728AE" w:rsidRDefault="00A965D8" w:rsidP="00A965D8">
      <w:pPr>
        <w:autoSpaceDE w:val="0"/>
        <w:autoSpaceDN w:val="0"/>
        <w:adjustRightInd w:val="0"/>
        <w:spacing w:line="360" w:lineRule="auto"/>
        <w:rPr>
          <w:rFonts w:cstheme="minorHAnsi"/>
        </w:rPr>
      </w:pPr>
      <w:r>
        <w:rPr>
          <w:rFonts w:cstheme="minorHAnsi"/>
        </w:rPr>
        <w:t xml:space="preserve">A retrospective cohort of 33 individuals with a confirmed molecular diagnosis of SRS aged 13 years or above were carefully phenotyped.  </w:t>
      </w:r>
    </w:p>
    <w:p w14:paraId="6661B1AC" w14:textId="77777777" w:rsidR="00A965D8" w:rsidRDefault="00A965D8" w:rsidP="00A965D8">
      <w:pPr>
        <w:spacing w:line="360" w:lineRule="auto"/>
        <w:outlineLvl w:val="0"/>
        <w:rPr>
          <w:rFonts w:cstheme="minorHAnsi"/>
          <w:b/>
        </w:rPr>
      </w:pPr>
      <w:r>
        <w:rPr>
          <w:rFonts w:cstheme="minorHAnsi"/>
          <w:b/>
        </w:rPr>
        <w:t>Results</w:t>
      </w:r>
    </w:p>
    <w:p w14:paraId="4CEA0AEB" w14:textId="77777777" w:rsidR="00A965D8" w:rsidRDefault="00A965D8" w:rsidP="00A965D8">
      <w:pPr>
        <w:spacing w:line="360" w:lineRule="auto"/>
        <w:outlineLvl w:val="0"/>
      </w:pPr>
      <w:r w:rsidRPr="00376942">
        <w:rPr>
          <w:rFonts w:cstheme="minorHAnsi"/>
          <w:lang w:val="en-US"/>
        </w:rPr>
        <w:t xml:space="preserve">The </w:t>
      </w:r>
      <w:r>
        <w:rPr>
          <w:rFonts w:cstheme="minorHAnsi"/>
          <w:lang w:val="en-US"/>
        </w:rPr>
        <w:t xml:space="preserve">median age of the cohort was 29.6 years; </w:t>
      </w:r>
      <w:r w:rsidRPr="00376942">
        <w:rPr>
          <w:rFonts w:cstheme="minorHAnsi"/>
        </w:rPr>
        <w:t xml:space="preserve">60.6% </w:t>
      </w:r>
      <w:r>
        <w:rPr>
          <w:rFonts w:cstheme="minorHAnsi"/>
        </w:rPr>
        <w:t>had</w:t>
      </w:r>
      <w:r w:rsidRPr="00376942">
        <w:rPr>
          <w:rFonts w:cstheme="minorHAnsi"/>
        </w:rPr>
        <w:t xml:space="preserve"> a height SDS ≤-2 SDS</w:t>
      </w:r>
      <w:r>
        <w:rPr>
          <w:rFonts w:cstheme="minorHAnsi"/>
        </w:rPr>
        <w:t xml:space="preserve"> despite 70</w:t>
      </w:r>
      <w:r>
        <w:rPr>
          <w:rFonts w:cstheme="minorHAnsi"/>
          <w:lang w:val="en-US"/>
        </w:rPr>
        <w:t xml:space="preserve">% having </w:t>
      </w:r>
      <w:r>
        <w:rPr>
          <w:rFonts w:cstheme="minorHAnsi"/>
        </w:rPr>
        <w:t xml:space="preserve">received </w:t>
      </w:r>
      <w:r>
        <w:rPr>
          <w:rFonts w:cstheme="minorHAnsi"/>
          <w:lang w:val="en-US"/>
        </w:rPr>
        <w:t>growth h</w:t>
      </w:r>
      <w:r w:rsidRPr="00376942">
        <w:rPr>
          <w:rFonts w:cstheme="minorHAnsi"/>
          <w:lang w:val="en-US"/>
        </w:rPr>
        <w:t>ormone treatment.</w:t>
      </w:r>
      <w:r>
        <w:rPr>
          <w:rFonts w:cstheme="minorHAnsi"/>
          <w:lang w:val="en-US"/>
        </w:rPr>
        <w:t xml:space="preserve"> Relative macrocephaly, feeding difficulties and a facial appearance typical of children with SRS were no longer discriminatory diagnostic features. </w:t>
      </w:r>
      <w:r>
        <w:rPr>
          <w:rFonts w:cstheme="minorHAnsi"/>
        </w:rPr>
        <w:t>In those ≥18 years impaired glucose tolerance in 25%, h</w:t>
      </w:r>
      <w:r>
        <w:t xml:space="preserve">ypertension in 33% and hypercholesterolaemia in 52% were noted. While </w:t>
      </w:r>
      <w:r>
        <w:rPr>
          <w:rFonts w:cstheme="minorHAnsi"/>
          <w:lang w:val="en-US"/>
        </w:rPr>
        <w:t xml:space="preserve">9/33 accessed special education support, </w:t>
      </w:r>
      <w:r>
        <w:rPr>
          <w:rFonts w:cstheme="minorHAnsi"/>
        </w:rPr>
        <w:t>u</w:t>
      </w:r>
      <w:r w:rsidRPr="00376942">
        <w:rPr>
          <w:rFonts w:cstheme="minorHAnsi"/>
        </w:rPr>
        <w:t xml:space="preserve">niversity degrees were completed </w:t>
      </w:r>
      <w:r>
        <w:rPr>
          <w:rFonts w:cstheme="minorHAnsi"/>
        </w:rPr>
        <w:t>in 40.0% (&gt;21years).</w:t>
      </w:r>
      <w:r w:rsidRPr="007F60F0">
        <w:rPr>
          <w:rFonts w:cstheme="minorHAnsi"/>
        </w:rPr>
        <w:t xml:space="preserve"> </w:t>
      </w:r>
      <w:r>
        <w:rPr>
          <w:rFonts w:cstheme="minorHAnsi"/>
        </w:rPr>
        <w:t xml:space="preserve">There was no significant correlation between </w:t>
      </w:r>
      <w:r w:rsidRPr="00376942">
        <w:rPr>
          <w:rFonts w:cstheme="minorHAnsi"/>
        </w:rPr>
        <w:t xml:space="preserve">quality of life </w:t>
      </w:r>
      <w:r>
        <w:rPr>
          <w:rFonts w:cstheme="minorHAnsi"/>
        </w:rPr>
        <w:t>and height SDS</w:t>
      </w:r>
      <w:r w:rsidRPr="00376942">
        <w:rPr>
          <w:rFonts w:cstheme="minorHAnsi"/>
        </w:rPr>
        <w:t>.</w:t>
      </w:r>
      <w:r>
        <w:rPr>
          <w:rFonts w:cstheme="minorHAnsi"/>
        </w:rPr>
        <w:t xml:space="preserve"> 9/25 were parents and none of the 17 offspring had Silver Russell syndrome.</w:t>
      </w:r>
    </w:p>
    <w:p w14:paraId="49B1C7BD" w14:textId="77777777" w:rsidR="00A965D8" w:rsidRPr="000728AE" w:rsidRDefault="00A965D8" w:rsidP="00A965D8">
      <w:pPr>
        <w:spacing w:line="360" w:lineRule="auto"/>
        <w:outlineLvl w:val="0"/>
      </w:pPr>
      <w:r>
        <w:rPr>
          <w:rFonts w:cstheme="minorHAnsi"/>
          <w:b/>
        </w:rPr>
        <w:t>Conclusion</w:t>
      </w:r>
    </w:p>
    <w:p w14:paraId="44488CDB" w14:textId="77777777" w:rsidR="00A965D8" w:rsidRDefault="00A965D8" w:rsidP="00A965D8">
      <w:pPr>
        <w:spacing w:line="360" w:lineRule="auto"/>
      </w:pPr>
      <w:r>
        <w:t xml:space="preserve">Historical treatment regimens for SRS were not sufficient for normal adult growth and further research to optimise treatment is justified. </w:t>
      </w:r>
      <w:r w:rsidRPr="001C389D">
        <w:t>Clinical childhood diagnostic scoring systems are not applicable to patients presenting in adulthood and SRS diagnosis requires molecular confirmation.</w:t>
      </w:r>
      <w:r>
        <w:t xml:space="preserve"> </w:t>
      </w:r>
      <w:r w:rsidDel="00872E13">
        <w:t xml:space="preserve"> </w:t>
      </w:r>
      <w:r>
        <w:t xml:space="preserve">Metabolic ill-health warrants further investigation but </w:t>
      </w:r>
      <w:r>
        <w:rPr>
          <w:rFonts w:cstheme="minorHAnsi"/>
        </w:rPr>
        <w:t>SRS is compatible with a normal quality of life including normal fertility in many cases.</w:t>
      </w:r>
    </w:p>
    <w:p w14:paraId="1E6AD717" w14:textId="77777777" w:rsidR="007E0E6D" w:rsidRDefault="007E0E6D" w:rsidP="00531EBF">
      <w:pPr>
        <w:rPr>
          <w:rFonts w:cstheme="minorHAnsi"/>
          <w:b/>
        </w:rPr>
      </w:pPr>
      <w:r>
        <w:rPr>
          <w:rFonts w:cstheme="minorHAnsi"/>
          <w:b/>
        </w:rPr>
        <w:br w:type="page"/>
      </w:r>
    </w:p>
    <w:p w14:paraId="03CA5DFB" w14:textId="77777777" w:rsidR="007E0E6D" w:rsidRDefault="007E0E6D" w:rsidP="00531EBF">
      <w:pPr>
        <w:spacing w:line="360" w:lineRule="auto"/>
        <w:outlineLvl w:val="0"/>
        <w:rPr>
          <w:rFonts w:cstheme="minorHAnsi"/>
          <w:b/>
        </w:rPr>
      </w:pPr>
      <w:r>
        <w:rPr>
          <w:rFonts w:cstheme="minorHAnsi"/>
          <w:b/>
        </w:rPr>
        <w:lastRenderedPageBreak/>
        <w:t>Introduction</w:t>
      </w:r>
    </w:p>
    <w:p w14:paraId="05842ABF" w14:textId="3BD16668" w:rsidR="007E0E6D" w:rsidRDefault="007E0E6D" w:rsidP="00531EBF">
      <w:pPr>
        <w:spacing w:line="360" w:lineRule="auto"/>
        <w:rPr>
          <w:rFonts w:cstheme="minorHAnsi"/>
        </w:rPr>
      </w:pPr>
      <w:r>
        <w:rPr>
          <w:rFonts w:cstheme="minorHAnsi"/>
        </w:rPr>
        <w:t>Silver-</w:t>
      </w:r>
      <w:r w:rsidRPr="00376942">
        <w:rPr>
          <w:rFonts w:cstheme="minorHAnsi"/>
        </w:rPr>
        <w:t>Russell syndrome (SR</w:t>
      </w:r>
      <w:r>
        <w:rPr>
          <w:rFonts w:cstheme="minorHAnsi"/>
        </w:rPr>
        <w:t xml:space="preserve">S) </w:t>
      </w:r>
      <w:r>
        <w:rPr>
          <w:rFonts w:cstheme="minorHAnsi"/>
          <w:noProof/>
        </w:rPr>
        <w:t>(1, 2)</w:t>
      </w:r>
      <w:r>
        <w:rPr>
          <w:rFonts w:cstheme="minorHAnsi"/>
        </w:rPr>
        <w:t xml:space="preserve">, is an imprinting disorder associated with restricted growth.  </w:t>
      </w:r>
      <w:r w:rsidRPr="00EA7DCD">
        <w:rPr>
          <w:rFonts w:cstheme="minorHAnsi"/>
        </w:rPr>
        <w:t xml:space="preserve">A </w:t>
      </w:r>
      <w:r>
        <w:rPr>
          <w:rFonts w:cstheme="minorHAnsi"/>
        </w:rPr>
        <w:t xml:space="preserve">recently published </w:t>
      </w:r>
      <w:r w:rsidRPr="00EA7DCD">
        <w:rPr>
          <w:rFonts w:cstheme="minorHAnsi"/>
        </w:rPr>
        <w:t>study has demonstrated a livebirth SRS prevalence of 1/15,866</w:t>
      </w:r>
      <w:r>
        <w:rPr>
          <w:rFonts w:cstheme="minorHAnsi"/>
        </w:rPr>
        <w:t xml:space="preserve"> </w:t>
      </w:r>
      <w:r>
        <w:rPr>
          <w:rFonts w:cstheme="minorHAnsi"/>
          <w:noProof/>
        </w:rPr>
        <w:t>(3)</w:t>
      </w:r>
      <w:r w:rsidRPr="00EA7DCD">
        <w:rPr>
          <w:rFonts w:cstheme="minorHAnsi"/>
        </w:rPr>
        <w:t xml:space="preserve">, which is higher than previous estimates </w:t>
      </w:r>
      <w:r>
        <w:rPr>
          <w:rFonts w:cstheme="minorHAnsi"/>
          <w:noProof/>
        </w:rPr>
        <w:t>(4)</w:t>
      </w:r>
      <w:r w:rsidRPr="00EA7DCD">
        <w:rPr>
          <w:rFonts w:cstheme="minorHAnsi"/>
          <w:i/>
        </w:rPr>
        <w:t>.</w:t>
      </w:r>
      <w:r>
        <w:rPr>
          <w:rFonts w:cstheme="minorHAnsi"/>
        </w:rPr>
        <w:t xml:space="preserve">  Growth restriction </w:t>
      </w:r>
      <w:r w:rsidRPr="00196384">
        <w:rPr>
          <w:rFonts w:cstheme="minorHAnsi"/>
          <w:i/>
        </w:rPr>
        <w:t>in</w:t>
      </w:r>
      <w:r>
        <w:rPr>
          <w:rFonts w:cstheme="minorHAnsi"/>
          <w:i/>
        </w:rPr>
        <w:t>-</w:t>
      </w:r>
      <w:r w:rsidRPr="00196384">
        <w:rPr>
          <w:rFonts w:cstheme="minorHAnsi"/>
          <w:i/>
        </w:rPr>
        <w:t>utero</w:t>
      </w:r>
      <w:r>
        <w:rPr>
          <w:rFonts w:cstheme="minorHAnsi"/>
        </w:rPr>
        <w:t xml:space="preserve"> affects birth length and weight, with relative head sparing.  Malnutrition, </w:t>
      </w:r>
      <w:r w:rsidRPr="00CA5B61">
        <w:rPr>
          <w:rFonts w:cstheme="minorHAnsi"/>
        </w:rPr>
        <w:t>defined as weight/expect</w:t>
      </w:r>
      <w:r>
        <w:rPr>
          <w:rFonts w:cstheme="minorHAnsi"/>
        </w:rPr>
        <w:t>ed weight-for-height ratio &lt;80%, was</w:t>
      </w:r>
      <w:r w:rsidRPr="00CA5B61">
        <w:rPr>
          <w:rFonts w:cstheme="minorHAnsi"/>
        </w:rPr>
        <w:t xml:space="preserve"> described in 70% of children with SRS and a body mass index (BMI) SDS of &lt;-2 in 61% </w:t>
      </w:r>
      <w:r>
        <w:rPr>
          <w:rFonts w:cstheme="minorHAnsi"/>
          <w:noProof/>
        </w:rPr>
        <w:t>(5)</w:t>
      </w:r>
      <w:r w:rsidRPr="00CA5B61">
        <w:rPr>
          <w:rFonts w:cstheme="minorHAnsi"/>
        </w:rPr>
        <w:t xml:space="preserve">. </w:t>
      </w:r>
      <w:r>
        <w:rPr>
          <w:rFonts w:cstheme="minorHAnsi"/>
        </w:rPr>
        <w:t xml:space="preserve"> Absence of catch-</w:t>
      </w:r>
      <w:r w:rsidRPr="00376942">
        <w:rPr>
          <w:rFonts w:cstheme="minorHAnsi"/>
        </w:rPr>
        <w:t>up growth</w:t>
      </w:r>
      <w:r>
        <w:rPr>
          <w:rFonts w:cstheme="minorHAnsi"/>
        </w:rPr>
        <w:t xml:space="preserve"> </w:t>
      </w:r>
      <w:r w:rsidRPr="00376942">
        <w:rPr>
          <w:rFonts w:cstheme="minorHAnsi"/>
        </w:rPr>
        <w:t xml:space="preserve">results in reduced </w:t>
      </w:r>
      <w:r>
        <w:rPr>
          <w:rFonts w:cstheme="minorHAnsi"/>
        </w:rPr>
        <w:t>adult</w:t>
      </w:r>
      <w:r w:rsidRPr="00376942">
        <w:rPr>
          <w:rFonts w:cstheme="minorHAnsi"/>
        </w:rPr>
        <w:t xml:space="preserve"> height</w:t>
      </w:r>
      <w:r>
        <w:rPr>
          <w:rFonts w:cstheme="minorHAnsi"/>
        </w:rPr>
        <w:t xml:space="preserve">, although height </w:t>
      </w:r>
      <w:r w:rsidRPr="00376942">
        <w:rPr>
          <w:rFonts w:cstheme="minorHAnsi"/>
        </w:rPr>
        <w:t xml:space="preserve">can be </w:t>
      </w:r>
      <w:r>
        <w:rPr>
          <w:rFonts w:cstheme="minorHAnsi"/>
        </w:rPr>
        <w:t>improved</w:t>
      </w:r>
      <w:r w:rsidRPr="00376942">
        <w:rPr>
          <w:rFonts w:cstheme="minorHAnsi"/>
        </w:rPr>
        <w:t xml:space="preserve"> </w:t>
      </w:r>
      <w:r>
        <w:rPr>
          <w:rFonts w:cstheme="minorHAnsi"/>
        </w:rPr>
        <w:t>by</w:t>
      </w:r>
      <w:r w:rsidRPr="00376942">
        <w:rPr>
          <w:rFonts w:cstheme="minorHAnsi"/>
        </w:rPr>
        <w:t xml:space="preserve"> treatment with </w:t>
      </w:r>
      <w:r>
        <w:rPr>
          <w:rFonts w:cstheme="minorHAnsi"/>
        </w:rPr>
        <w:t>growth h</w:t>
      </w:r>
      <w:r w:rsidRPr="00376942">
        <w:rPr>
          <w:rFonts w:cstheme="minorHAnsi"/>
        </w:rPr>
        <w:t>ormone</w:t>
      </w:r>
      <w:r>
        <w:rPr>
          <w:rFonts w:cstheme="minorHAnsi"/>
        </w:rPr>
        <w:t xml:space="preserve"> </w:t>
      </w:r>
      <w:r>
        <w:rPr>
          <w:rFonts w:cstheme="minorHAnsi"/>
          <w:noProof/>
        </w:rPr>
        <w:t>(6)</w:t>
      </w:r>
      <w:r w:rsidRPr="00376942">
        <w:rPr>
          <w:rFonts w:cstheme="minorHAnsi"/>
        </w:rPr>
        <w:t xml:space="preserve">.  </w:t>
      </w:r>
      <w:r w:rsidRPr="006F42F0">
        <w:rPr>
          <w:rFonts w:cstheme="minorHAnsi"/>
        </w:rPr>
        <w:t>Developmental delay</w:t>
      </w:r>
      <w:r w:rsidR="00B55185">
        <w:rPr>
          <w:rFonts w:cstheme="minorHAnsi"/>
        </w:rPr>
        <w:t xml:space="preserve"> is reported</w:t>
      </w:r>
      <w:r w:rsidRPr="006F42F0">
        <w:rPr>
          <w:rFonts w:cstheme="minorHAnsi"/>
        </w:rPr>
        <w:t xml:space="preserve"> in </w:t>
      </w:r>
      <w:r w:rsidR="007854B2">
        <w:rPr>
          <w:rFonts w:cstheme="minorHAnsi"/>
        </w:rPr>
        <w:t>some</w:t>
      </w:r>
      <w:r w:rsidRPr="006F42F0">
        <w:rPr>
          <w:rFonts w:cstheme="minorHAnsi"/>
        </w:rPr>
        <w:t xml:space="preserve"> cases</w:t>
      </w:r>
      <w:r>
        <w:rPr>
          <w:rFonts w:cstheme="minorHAnsi"/>
        </w:rPr>
        <w:t xml:space="preserve"> </w:t>
      </w:r>
      <w:r w:rsidR="00B55185">
        <w:rPr>
          <w:rFonts w:cstheme="minorHAnsi"/>
        </w:rPr>
        <w:t xml:space="preserve">and </w:t>
      </w:r>
      <w:r w:rsidR="00F41248">
        <w:rPr>
          <w:rFonts w:cstheme="minorHAnsi"/>
        </w:rPr>
        <w:t xml:space="preserve">varies </w:t>
      </w:r>
      <w:r>
        <w:rPr>
          <w:rFonts w:cstheme="minorHAnsi"/>
        </w:rPr>
        <w:t xml:space="preserve">from mild transient speech </w:t>
      </w:r>
      <w:r w:rsidR="007854B2">
        <w:rPr>
          <w:rFonts w:cstheme="minorHAnsi"/>
        </w:rPr>
        <w:t xml:space="preserve">or </w:t>
      </w:r>
      <w:r>
        <w:rPr>
          <w:rFonts w:cstheme="minorHAnsi"/>
        </w:rPr>
        <w:t xml:space="preserve">motor delay to more severe developmental and behavioural phenotypes </w:t>
      </w:r>
      <w:r>
        <w:rPr>
          <w:rFonts w:cstheme="minorHAnsi"/>
          <w:noProof/>
        </w:rPr>
        <w:t>(5, 7)</w:t>
      </w:r>
      <w:r>
        <w:rPr>
          <w:rFonts w:cstheme="minorHAnsi"/>
        </w:rPr>
        <w:t xml:space="preserve">. </w:t>
      </w:r>
      <w:r w:rsidRPr="006F42F0">
        <w:rPr>
          <w:rFonts w:cstheme="minorHAnsi"/>
        </w:rPr>
        <w:t xml:space="preserve"> </w:t>
      </w:r>
    </w:p>
    <w:p w14:paraId="3A689C95" w14:textId="6B5269D6" w:rsidR="007E0E6D" w:rsidRDefault="007E0E6D" w:rsidP="00531EBF">
      <w:pPr>
        <w:spacing w:line="360" w:lineRule="auto"/>
        <w:rPr>
          <w:rFonts w:cstheme="minorHAnsi"/>
        </w:rPr>
      </w:pPr>
      <w:r>
        <w:t>In 65% of SRS patients, an underlying molecular aberration can be detected, affecting imprinted and non-imprinted fetal growth factors and their cellular networks.  5-10% of individuals have m</w:t>
      </w:r>
      <w:r w:rsidRPr="00376942">
        <w:t>aternal uniparental disomy of chromosome 7</w:t>
      </w:r>
      <w:r>
        <w:t xml:space="preserve"> (matUPD7)</w:t>
      </w:r>
      <w:r w:rsidRPr="00376942">
        <w:t xml:space="preserve"> </w:t>
      </w:r>
      <w:r>
        <w:rPr>
          <w:noProof/>
        </w:rPr>
        <w:t>(8)</w:t>
      </w:r>
      <w:r w:rsidRPr="00376942">
        <w:t xml:space="preserve">, </w:t>
      </w:r>
      <w:r>
        <w:t xml:space="preserve">and around 50% have </w:t>
      </w:r>
      <w:r w:rsidRPr="007149AB">
        <w:t>loss of methylation</w:t>
      </w:r>
      <w:r>
        <w:t xml:space="preserve"> (LOM)</w:t>
      </w:r>
      <w:r w:rsidRPr="007149AB">
        <w:t xml:space="preserve"> of the </w:t>
      </w:r>
      <w:r>
        <w:t>telomeric</w:t>
      </w:r>
      <w:r w:rsidRPr="007149AB">
        <w:t xml:space="preserve"> imprinting control region (H19/IGF2:IG</w:t>
      </w:r>
      <w:r w:rsidRPr="007149AB">
        <w:rPr>
          <w:rFonts w:ascii="Calibri" w:eastAsia="Calibri" w:hAnsi="Calibri" w:cs="Calibri"/>
        </w:rPr>
        <w:t>‐</w:t>
      </w:r>
      <w:r w:rsidRPr="007149AB">
        <w:t>DMR</w:t>
      </w:r>
      <w:r>
        <w:t xml:space="preserve"> or imprinting centre 1, IC1</w:t>
      </w:r>
      <w:r w:rsidRPr="007149AB">
        <w:t>) on 11p15.5</w:t>
      </w:r>
      <w:r>
        <w:t xml:space="preserve"> </w:t>
      </w:r>
      <w:r>
        <w:rPr>
          <w:noProof/>
        </w:rPr>
        <w:t>(9)</w:t>
      </w:r>
      <w:r>
        <w:t xml:space="preserve">.  Rare cases have chromosome rearrangements involving IC1 </w:t>
      </w:r>
      <w:r>
        <w:rPr>
          <w:noProof/>
        </w:rPr>
        <w:t>(10)</w:t>
      </w:r>
      <w:r>
        <w:t xml:space="preserve"> or </w:t>
      </w:r>
      <w:r w:rsidRPr="00376942">
        <w:t>mutations in genes in the IGF2 pathway (</w:t>
      </w:r>
      <w:r w:rsidRPr="00CB0C30">
        <w:rPr>
          <w:i/>
        </w:rPr>
        <w:t>H</w:t>
      </w:r>
      <w:r>
        <w:rPr>
          <w:i/>
        </w:rPr>
        <w:t>MGA</w:t>
      </w:r>
      <w:r w:rsidRPr="00CB0C30">
        <w:rPr>
          <w:i/>
        </w:rPr>
        <w:t xml:space="preserve">2, PLAG1 </w:t>
      </w:r>
      <w:r w:rsidRPr="00CB0C30">
        <w:t>and</w:t>
      </w:r>
      <w:r w:rsidRPr="00CB0C30">
        <w:rPr>
          <w:i/>
        </w:rPr>
        <w:t xml:space="preserve"> IGF2</w:t>
      </w:r>
      <w:r>
        <w:t xml:space="preserve">) or </w:t>
      </w:r>
      <w:r w:rsidRPr="000728AE">
        <w:rPr>
          <w:i/>
        </w:rPr>
        <w:t>CDKN1C</w:t>
      </w:r>
      <w:r>
        <w:t xml:space="preserve"> </w:t>
      </w:r>
      <w:r>
        <w:rPr>
          <w:noProof/>
        </w:rPr>
        <w:t>(11-13)</w:t>
      </w:r>
      <w:r w:rsidRPr="00376942">
        <w:t xml:space="preserve">. </w:t>
      </w:r>
      <w:r>
        <w:t xml:space="preserve"> </w:t>
      </w:r>
      <w:r w:rsidRPr="00376942">
        <w:t>The</w:t>
      </w:r>
      <w:r>
        <w:t xml:space="preserve"> heterogeneity in molecular aetiology </w:t>
      </w:r>
      <w:r w:rsidRPr="00376942">
        <w:t>partially explain</w:t>
      </w:r>
      <w:r>
        <w:t>s</w:t>
      </w:r>
      <w:r w:rsidRPr="00376942">
        <w:t xml:space="preserve"> differences in clinical presentation</w:t>
      </w:r>
      <w:r>
        <w:t xml:space="preserve">: for example, </w:t>
      </w:r>
      <w:r w:rsidRPr="00376942">
        <w:t>body asymmetry (</w:t>
      </w:r>
      <w:r>
        <w:t xml:space="preserve">tissue </w:t>
      </w:r>
      <w:r w:rsidRPr="00376942">
        <w:t>hypotrophy) and congenital anomalies</w:t>
      </w:r>
      <w:r>
        <w:t xml:space="preserve"> (e.g. hypospadias, uterine malformations)</w:t>
      </w:r>
      <w:r w:rsidRPr="00376942">
        <w:t xml:space="preserve"> </w:t>
      </w:r>
      <w:r>
        <w:t xml:space="preserve">are more commonly </w:t>
      </w:r>
      <w:r w:rsidRPr="00376942">
        <w:t xml:space="preserve">associated with </w:t>
      </w:r>
      <w:r>
        <w:t xml:space="preserve">IC1 LOM </w:t>
      </w:r>
      <w:r>
        <w:rPr>
          <w:noProof/>
        </w:rPr>
        <w:t>(7)</w:t>
      </w:r>
      <w:r>
        <w:t>, whereas heritable genetic changes underlie some familial</w:t>
      </w:r>
      <w:r w:rsidRPr="00376942">
        <w:t xml:space="preserve"> case</w:t>
      </w:r>
      <w:r>
        <w:t xml:space="preserve">s </w:t>
      </w:r>
      <w:r>
        <w:rPr>
          <w:noProof/>
        </w:rPr>
        <w:t>(11, 14)</w:t>
      </w:r>
      <w:r>
        <w:t xml:space="preserve">, </w:t>
      </w:r>
      <w:r w:rsidRPr="00376942">
        <w:t xml:space="preserve">and verbal dyspraxia and </w:t>
      </w:r>
      <w:r>
        <w:t>dystonia/</w:t>
      </w:r>
      <w:r w:rsidRPr="00376942">
        <w:t xml:space="preserve">tremor </w:t>
      </w:r>
      <w:r>
        <w:t xml:space="preserve">are recognised </w:t>
      </w:r>
      <w:r w:rsidRPr="00376942">
        <w:t xml:space="preserve">in </w:t>
      </w:r>
      <w:r>
        <w:t xml:space="preserve">some </w:t>
      </w:r>
      <w:r w:rsidRPr="00376942">
        <w:t>cases with</w:t>
      </w:r>
      <w:r>
        <w:t xml:space="preserve"> matUPD</w:t>
      </w:r>
      <w:r w:rsidRPr="00376942">
        <w:t>7</w:t>
      </w:r>
      <w:r>
        <w:t xml:space="preserve"> </w:t>
      </w:r>
      <w:r>
        <w:rPr>
          <w:noProof/>
        </w:rPr>
        <w:t>(7)</w:t>
      </w:r>
      <w:r w:rsidRPr="00376942">
        <w:t xml:space="preserve">. </w:t>
      </w:r>
      <w:r>
        <w:t xml:space="preserve">There is clinical overlap with other imprinting disorders (e.g Temple Syndrome due to imprinting errors on chromosome 14 </w:t>
      </w:r>
      <w:r>
        <w:rPr>
          <w:noProof/>
        </w:rPr>
        <w:t>(15)</w:t>
      </w:r>
      <w:r>
        <w:t xml:space="preserve">, maternal UPD 20 syndrome </w:t>
      </w:r>
      <w:r>
        <w:rPr>
          <w:noProof/>
        </w:rPr>
        <w:t>(16)</w:t>
      </w:r>
      <w:r>
        <w:t xml:space="preserve">, and </w:t>
      </w:r>
      <w:r w:rsidRPr="00074035">
        <w:t>IMAGe syndrome</w:t>
      </w:r>
      <w:r>
        <w:t xml:space="preserve"> </w:t>
      </w:r>
      <w:r>
        <w:rPr>
          <w:noProof/>
        </w:rPr>
        <w:t>(17)</w:t>
      </w:r>
      <w:r>
        <w:t xml:space="preserve">), therefore the ‘clinical </w:t>
      </w:r>
      <w:r w:rsidRPr="00376942">
        <w:t>diagnosis</w:t>
      </w:r>
      <w:r>
        <w:t>’</w:t>
      </w:r>
      <w:r w:rsidRPr="00376942">
        <w:t xml:space="preserve"> </w:t>
      </w:r>
      <w:r>
        <w:t xml:space="preserve">of SRS, reported prior to current genetic stratification, is likely to include considerable heterogeneity.  </w:t>
      </w:r>
      <w:r>
        <w:rPr>
          <w:rFonts w:cstheme="minorHAnsi"/>
        </w:rPr>
        <w:t>Furthermore,</w:t>
      </w:r>
      <w:r w:rsidRPr="00376942">
        <w:rPr>
          <w:rFonts w:cstheme="minorHAnsi"/>
        </w:rPr>
        <w:t xml:space="preserve"> many </w:t>
      </w:r>
      <w:r>
        <w:rPr>
          <w:rFonts w:cstheme="minorHAnsi"/>
        </w:rPr>
        <w:t xml:space="preserve">clinical </w:t>
      </w:r>
      <w:r w:rsidRPr="00376942">
        <w:rPr>
          <w:rFonts w:cstheme="minorHAnsi"/>
        </w:rPr>
        <w:t xml:space="preserve">features </w:t>
      </w:r>
      <w:r>
        <w:rPr>
          <w:rFonts w:cstheme="minorHAnsi"/>
        </w:rPr>
        <w:t xml:space="preserve">of SRS </w:t>
      </w:r>
      <w:r w:rsidRPr="00376942">
        <w:rPr>
          <w:rFonts w:cstheme="minorHAnsi"/>
        </w:rPr>
        <w:t>are nonspecific</w:t>
      </w:r>
      <w:r>
        <w:rPr>
          <w:rFonts w:cstheme="minorHAnsi"/>
        </w:rPr>
        <w:t xml:space="preserve">, variable and age-dependent, challenging diagnosis and potentially underestimating prevalence.  </w:t>
      </w:r>
    </w:p>
    <w:p w14:paraId="5A4BC6A3" w14:textId="79E12873" w:rsidR="007E0E6D" w:rsidRDefault="007E0E6D" w:rsidP="00531EBF">
      <w:pPr>
        <w:spacing w:line="360" w:lineRule="auto"/>
        <w:rPr>
          <w:rFonts w:cstheme="minorHAnsi"/>
        </w:rPr>
      </w:pPr>
      <w:r>
        <w:rPr>
          <w:rFonts w:cstheme="minorHAnsi"/>
        </w:rPr>
        <w:t>C</w:t>
      </w:r>
      <w:r w:rsidRPr="00376942">
        <w:rPr>
          <w:rFonts w:cstheme="minorHAnsi"/>
        </w:rPr>
        <w:t xml:space="preserve">ommon childhood features </w:t>
      </w:r>
      <w:r>
        <w:rPr>
          <w:rFonts w:cstheme="minorHAnsi"/>
        </w:rPr>
        <w:t xml:space="preserve">of SRS </w:t>
      </w:r>
      <w:r w:rsidRPr="00376942">
        <w:rPr>
          <w:rFonts w:cstheme="minorHAnsi"/>
        </w:rPr>
        <w:t>crystallis</w:t>
      </w:r>
      <w:r>
        <w:rPr>
          <w:rFonts w:cstheme="minorHAnsi"/>
        </w:rPr>
        <w:t>e</w:t>
      </w:r>
      <w:r w:rsidRPr="00376942">
        <w:rPr>
          <w:rFonts w:cstheme="minorHAnsi"/>
        </w:rPr>
        <w:t xml:space="preserve"> into </w:t>
      </w:r>
      <w:r>
        <w:rPr>
          <w:rFonts w:cstheme="minorHAnsi"/>
        </w:rPr>
        <w:t>six</w:t>
      </w:r>
      <w:r w:rsidRPr="00376942">
        <w:rPr>
          <w:rFonts w:cstheme="minorHAnsi"/>
        </w:rPr>
        <w:t xml:space="preserve"> key findings</w:t>
      </w:r>
      <w:r>
        <w:rPr>
          <w:rFonts w:cstheme="minorHAnsi"/>
        </w:rPr>
        <w:t>:</w:t>
      </w:r>
      <w:r w:rsidRPr="00376942">
        <w:rPr>
          <w:rFonts w:cstheme="minorHAnsi"/>
        </w:rPr>
        <w:t xml:space="preserve"> </w:t>
      </w:r>
      <w:r>
        <w:rPr>
          <w:rFonts w:cstheme="minorHAnsi"/>
        </w:rPr>
        <w:t>birth weight</w:t>
      </w:r>
      <w:r w:rsidR="00F41248">
        <w:rPr>
          <w:rFonts w:cstheme="minorHAnsi"/>
        </w:rPr>
        <w:t xml:space="preserve"> </w:t>
      </w:r>
      <w:r w:rsidR="00F41248" w:rsidRPr="00F41248">
        <w:rPr>
          <w:rFonts w:cstheme="minorHAnsi"/>
        </w:rPr>
        <w:t>and/or birth length </w:t>
      </w:r>
      <w:r>
        <w:rPr>
          <w:rFonts w:ascii="Calibri" w:hAnsi="Calibri" w:cstheme="minorHAnsi"/>
        </w:rPr>
        <w:t>≤</w:t>
      </w:r>
      <w:r w:rsidRPr="00376942">
        <w:rPr>
          <w:rFonts w:cstheme="minorHAnsi"/>
        </w:rPr>
        <w:t xml:space="preserve"> </w:t>
      </w:r>
      <w:r w:rsidR="00B55185">
        <w:rPr>
          <w:rFonts w:cstheme="minorHAnsi"/>
        </w:rPr>
        <w:noBreakHyphen/>
      </w:r>
      <w:r w:rsidRPr="00376942">
        <w:rPr>
          <w:rFonts w:cstheme="minorHAnsi"/>
        </w:rPr>
        <w:t>2</w:t>
      </w:r>
      <w:r>
        <w:rPr>
          <w:rFonts w:cstheme="minorHAnsi"/>
        </w:rPr>
        <w:t xml:space="preserve"> </w:t>
      </w:r>
      <w:r w:rsidRPr="00376942">
        <w:rPr>
          <w:rFonts w:cstheme="minorHAnsi"/>
        </w:rPr>
        <w:t>SD</w:t>
      </w:r>
      <w:r>
        <w:rPr>
          <w:rFonts w:cstheme="minorHAnsi"/>
        </w:rPr>
        <w:t xml:space="preserve">S, height at 2 years of </w:t>
      </w:r>
      <w:r>
        <w:rPr>
          <w:rFonts w:ascii="Calibri" w:hAnsi="Calibri" w:cstheme="minorHAnsi"/>
        </w:rPr>
        <w:t>≤</w:t>
      </w:r>
      <w:r>
        <w:rPr>
          <w:rFonts w:cstheme="minorHAnsi"/>
        </w:rPr>
        <w:t xml:space="preserve"> </w:t>
      </w:r>
      <w:r w:rsidRPr="00376942">
        <w:rPr>
          <w:rFonts w:cstheme="minorHAnsi"/>
        </w:rPr>
        <w:t>-2</w:t>
      </w:r>
      <w:r>
        <w:rPr>
          <w:rFonts w:cstheme="minorHAnsi"/>
        </w:rPr>
        <w:t xml:space="preserve"> </w:t>
      </w:r>
      <w:r w:rsidRPr="00376942">
        <w:rPr>
          <w:rFonts w:cstheme="minorHAnsi"/>
        </w:rPr>
        <w:t>SD</w:t>
      </w:r>
      <w:r>
        <w:rPr>
          <w:rFonts w:cstheme="minorHAnsi"/>
        </w:rPr>
        <w:t>S, relative ma</w:t>
      </w:r>
      <w:r w:rsidRPr="00376942">
        <w:rPr>
          <w:rFonts w:cstheme="minorHAnsi"/>
        </w:rPr>
        <w:t>crocephaly</w:t>
      </w:r>
      <w:r w:rsidR="00F160BA">
        <w:rPr>
          <w:rFonts w:cstheme="minorHAnsi"/>
        </w:rPr>
        <w:t xml:space="preserve"> at birth</w:t>
      </w:r>
      <w:r w:rsidRPr="00376942">
        <w:rPr>
          <w:rFonts w:cstheme="minorHAnsi"/>
        </w:rPr>
        <w:t>, body asymmetry</w:t>
      </w:r>
      <w:r>
        <w:rPr>
          <w:rFonts w:cstheme="minorHAnsi"/>
        </w:rPr>
        <w:t>, protruding forehead</w:t>
      </w:r>
      <w:r w:rsidRPr="00376942">
        <w:rPr>
          <w:rFonts w:cstheme="minorHAnsi"/>
        </w:rPr>
        <w:t xml:space="preserve"> and significant feeding difficulties</w:t>
      </w:r>
      <w:r w:rsidR="00F160BA">
        <w:rPr>
          <w:rFonts w:cstheme="minorHAnsi"/>
        </w:rPr>
        <w:t xml:space="preserve"> in childhood</w:t>
      </w:r>
      <w:r>
        <w:rPr>
          <w:rFonts w:cstheme="minorHAnsi"/>
        </w:rPr>
        <w:t>.  These features form the basis of the Netchine-</w:t>
      </w:r>
      <w:r w:rsidRPr="00376942">
        <w:rPr>
          <w:rFonts w:cstheme="minorHAnsi"/>
        </w:rPr>
        <w:t xml:space="preserve">Harbison </w:t>
      </w:r>
      <w:r>
        <w:rPr>
          <w:rFonts w:cstheme="minorHAnsi"/>
        </w:rPr>
        <w:t xml:space="preserve">clinical scoring system </w:t>
      </w:r>
      <w:r w:rsidRPr="006E16FC">
        <w:rPr>
          <w:rFonts w:cstheme="minorHAnsi"/>
        </w:rPr>
        <w:t>(NHCSS</w:t>
      </w:r>
      <w:r w:rsidR="0016524D">
        <w:rPr>
          <w:rFonts w:cstheme="minorHAnsi"/>
        </w:rPr>
        <w:t>, see methods</w:t>
      </w:r>
      <w:r w:rsidRPr="006E16FC">
        <w:rPr>
          <w:rFonts w:cstheme="minorHAnsi"/>
        </w:rPr>
        <w:t>)</w:t>
      </w:r>
      <w:r>
        <w:rPr>
          <w:rFonts w:cstheme="minorHAnsi"/>
        </w:rPr>
        <w:t xml:space="preserve"> </w:t>
      </w:r>
      <w:r>
        <w:rPr>
          <w:rFonts w:cstheme="minorHAnsi"/>
          <w:noProof/>
        </w:rPr>
        <w:t>(18)</w:t>
      </w:r>
      <w:r>
        <w:rPr>
          <w:rFonts w:cstheme="minorHAnsi"/>
        </w:rPr>
        <w:t>, a useful diagnostic tool for</w:t>
      </w:r>
      <w:r w:rsidRPr="00376942">
        <w:rPr>
          <w:rFonts w:cstheme="minorHAnsi"/>
        </w:rPr>
        <w:t xml:space="preserve"> </w:t>
      </w:r>
      <w:r>
        <w:rPr>
          <w:rFonts w:cstheme="minorHAnsi"/>
        </w:rPr>
        <w:t>children</w:t>
      </w:r>
      <w:r w:rsidRPr="00376942">
        <w:rPr>
          <w:rFonts w:cstheme="minorHAnsi"/>
        </w:rPr>
        <w:t xml:space="preserve"> with unexplained short stature</w:t>
      </w:r>
      <w:r>
        <w:rPr>
          <w:rFonts w:cstheme="minorHAnsi"/>
        </w:rPr>
        <w:t xml:space="preserve"> </w:t>
      </w:r>
      <w:r>
        <w:rPr>
          <w:rFonts w:cstheme="minorHAnsi"/>
          <w:noProof/>
        </w:rPr>
        <w:t>(19)</w:t>
      </w:r>
      <w:r>
        <w:rPr>
          <w:rFonts w:cstheme="minorHAnsi"/>
        </w:rPr>
        <w:t xml:space="preserve">. </w:t>
      </w:r>
    </w:p>
    <w:p w14:paraId="28103222" w14:textId="77777777" w:rsidR="007E0E6D" w:rsidRDefault="007E0E6D" w:rsidP="00531EBF">
      <w:pPr>
        <w:spacing w:line="360" w:lineRule="auto"/>
        <w:rPr>
          <w:rFonts w:cstheme="minorHAnsi"/>
        </w:rPr>
      </w:pPr>
      <w:r>
        <w:rPr>
          <w:rFonts w:cstheme="minorHAnsi"/>
        </w:rPr>
        <w:t xml:space="preserve">The classical facial features of SRS (triangular facial shape, prominent forehead, relative macrocephaly, micrognathia, down-turned corners of the mouth) become less obvious with increasing age </w:t>
      </w:r>
      <w:r>
        <w:rPr>
          <w:rFonts w:cstheme="minorHAnsi"/>
          <w:noProof/>
        </w:rPr>
        <w:t>(7, 20)</w:t>
      </w:r>
      <w:r>
        <w:rPr>
          <w:rFonts w:cstheme="minorHAnsi"/>
        </w:rPr>
        <w:t>.  In historical cohorts where adults are included, height rather than weight is predominantly described.  For example, m</w:t>
      </w:r>
      <w:r w:rsidRPr="006C78F4">
        <w:rPr>
          <w:rFonts w:cstheme="minorHAnsi"/>
        </w:rPr>
        <w:t xml:space="preserve">ean height SDS of </w:t>
      </w:r>
      <w:r>
        <w:rPr>
          <w:rFonts w:cstheme="minorHAnsi"/>
        </w:rPr>
        <w:noBreakHyphen/>
      </w:r>
      <w:r w:rsidRPr="006C78F4">
        <w:rPr>
          <w:rFonts w:cstheme="minorHAnsi"/>
        </w:rPr>
        <w:t xml:space="preserve">3.58 </w:t>
      </w:r>
      <w:r>
        <w:rPr>
          <w:rFonts w:cstheme="minorHAnsi"/>
        </w:rPr>
        <w:t xml:space="preserve">and </w:t>
      </w:r>
      <w:r>
        <w:rPr>
          <w:rFonts w:cstheme="minorHAnsi"/>
        </w:rPr>
        <w:noBreakHyphen/>
      </w:r>
      <w:r w:rsidRPr="006C78F4">
        <w:rPr>
          <w:rFonts w:cstheme="minorHAnsi"/>
        </w:rPr>
        <w:t xml:space="preserve">3.61 in </w:t>
      </w:r>
      <w:r>
        <w:rPr>
          <w:rFonts w:cstheme="minorHAnsi"/>
        </w:rPr>
        <w:t xml:space="preserve">boys and </w:t>
      </w:r>
      <w:r w:rsidRPr="006C78F4">
        <w:rPr>
          <w:rFonts w:cstheme="minorHAnsi"/>
        </w:rPr>
        <w:t xml:space="preserve">girls </w:t>
      </w:r>
      <w:r w:rsidRPr="006C78F4">
        <w:rPr>
          <w:rFonts w:cstheme="minorHAnsi"/>
        </w:rPr>
        <w:lastRenderedPageBreak/>
        <w:t xml:space="preserve">respectively </w:t>
      </w:r>
      <w:r>
        <w:rPr>
          <w:rFonts w:cstheme="minorHAnsi"/>
        </w:rPr>
        <w:t xml:space="preserve">was reported </w:t>
      </w:r>
      <w:r w:rsidRPr="006C78F4">
        <w:rPr>
          <w:rFonts w:cstheme="minorHAnsi"/>
        </w:rPr>
        <w:t xml:space="preserve">in 18 </w:t>
      </w:r>
      <w:r>
        <w:rPr>
          <w:rFonts w:cstheme="minorHAnsi"/>
        </w:rPr>
        <w:t xml:space="preserve">children with clinically-diagnosed SRS </w:t>
      </w:r>
      <w:r w:rsidRPr="006C78F4">
        <w:rPr>
          <w:rFonts w:cstheme="minorHAnsi"/>
        </w:rPr>
        <w:t xml:space="preserve">approaching final height </w:t>
      </w:r>
      <w:r>
        <w:rPr>
          <w:rFonts w:cstheme="minorHAnsi"/>
          <w:noProof/>
        </w:rPr>
        <w:t>(21)</w:t>
      </w:r>
      <w:r>
        <w:rPr>
          <w:rFonts w:cstheme="minorHAnsi"/>
        </w:rPr>
        <w:t xml:space="preserve">; </w:t>
      </w:r>
      <w:r w:rsidRPr="006C78F4">
        <w:rPr>
          <w:rFonts w:cstheme="minorHAnsi"/>
        </w:rPr>
        <w:t xml:space="preserve">mean adult heights in </w:t>
      </w:r>
      <w:r>
        <w:rPr>
          <w:rFonts w:cstheme="minorHAnsi"/>
        </w:rPr>
        <w:t xml:space="preserve">368 clinically-diagnosed </w:t>
      </w:r>
      <w:r w:rsidRPr="006C78F4">
        <w:rPr>
          <w:rFonts w:cstheme="minorHAnsi"/>
        </w:rPr>
        <w:t xml:space="preserve">men and women </w:t>
      </w:r>
      <w:r>
        <w:rPr>
          <w:rFonts w:cstheme="minorHAnsi"/>
        </w:rPr>
        <w:t>were</w:t>
      </w:r>
      <w:r w:rsidRPr="006C78F4">
        <w:rPr>
          <w:rFonts w:cstheme="minorHAnsi"/>
        </w:rPr>
        <w:t xml:space="preserve"> 151.2 cm (-3.7 SDS) and 139.7 cm (-4.2 SDS) respectively </w:t>
      </w:r>
      <w:r>
        <w:rPr>
          <w:rFonts w:cstheme="minorHAnsi"/>
          <w:noProof/>
        </w:rPr>
        <w:t>(22)</w:t>
      </w:r>
      <w:r w:rsidRPr="006C78F4">
        <w:rPr>
          <w:rFonts w:cstheme="minorHAnsi"/>
        </w:rPr>
        <w:t xml:space="preserve">.  </w:t>
      </w:r>
      <w:r>
        <w:rPr>
          <w:rFonts w:cstheme="minorHAnsi"/>
        </w:rPr>
        <w:t>Such reports may have contributed to a general</w:t>
      </w:r>
      <w:r w:rsidRPr="00376942">
        <w:rPr>
          <w:rFonts w:cstheme="minorHAnsi"/>
        </w:rPr>
        <w:t xml:space="preserve"> assumption that </w:t>
      </w:r>
      <w:r>
        <w:rPr>
          <w:rFonts w:cstheme="minorHAnsi"/>
        </w:rPr>
        <w:t>individuals with SRS have a</w:t>
      </w:r>
      <w:r w:rsidRPr="00376942">
        <w:rPr>
          <w:rFonts w:cstheme="minorHAnsi"/>
        </w:rPr>
        <w:t xml:space="preserve"> minimal requirement for medical input once adult height is </w:t>
      </w:r>
      <w:r>
        <w:rPr>
          <w:rFonts w:cstheme="minorHAnsi"/>
        </w:rPr>
        <w:t>attained</w:t>
      </w:r>
      <w:r w:rsidRPr="00376942">
        <w:rPr>
          <w:rFonts w:cstheme="minorHAnsi"/>
        </w:rPr>
        <w:t xml:space="preserve">. </w:t>
      </w:r>
      <w:r>
        <w:rPr>
          <w:rFonts w:cstheme="minorHAnsi"/>
        </w:rPr>
        <w:t xml:space="preserve"> Many individuals with SRS are lost to follow up at the time of transition to adult services. E</w:t>
      </w:r>
      <w:r w:rsidRPr="008677B0">
        <w:rPr>
          <w:rFonts w:cstheme="minorHAnsi"/>
        </w:rPr>
        <w:t xml:space="preserve">ducational attainment </w:t>
      </w:r>
      <w:r>
        <w:rPr>
          <w:rFonts w:cstheme="minorHAnsi"/>
        </w:rPr>
        <w:t>and employment have</w:t>
      </w:r>
      <w:r w:rsidRPr="008677B0">
        <w:rPr>
          <w:rFonts w:cstheme="minorHAnsi"/>
        </w:rPr>
        <w:t xml:space="preserve"> been reported inconsistently.  </w:t>
      </w:r>
    </w:p>
    <w:p w14:paraId="106010CE" w14:textId="77777777" w:rsidR="007E0E6D" w:rsidRDefault="007E0E6D" w:rsidP="00531EBF">
      <w:pPr>
        <w:spacing w:line="360" w:lineRule="auto"/>
        <w:rPr>
          <w:rFonts w:cstheme="minorHAnsi"/>
        </w:rPr>
      </w:pPr>
      <w:r>
        <w:rPr>
          <w:rFonts w:cstheme="minorHAnsi"/>
        </w:rPr>
        <w:t xml:space="preserve">Medical problems in older individuals with SRS have been reported mainly from single case reports; findings include dilated cardiomyopathy </w:t>
      </w:r>
      <w:r>
        <w:rPr>
          <w:rFonts w:cstheme="minorHAnsi"/>
          <w:noProof/>
        </w:rPr>
        <w:t>(23)</w:t>
      </w:r>
      <w:r>
        <w:rPr>
          <w:rFonts w:cstheme="minorHAnsi"/>
        </w:rPr>
        <w:t xml:space="preserve">, obesity, hypertension and type 2 diabetes </w:t>
      </w:r>
      <w:r>
        <w:rPr>
          <w:rFonts w:cstheme="minorHAnsi"/>
          <w:noProof/>
        </w:rPr>
        <w:t>(24)</w:t>
      </w:r>
      <w:r>
        <w:rPr>
          <w:rFonts w:cstheme="minorHAnsi"/>
        </w:rPr>
        <w:t xml:space="preserve">, type 2 diabetes, hypercholesterolaemia and osteopenia </w:t>
      </w:r>
      <w:r>
        <w:rPr>
          <w:rFonts w:cstheme="minorHAnsi"/>
          <w:noProof/>
        </w:rPr>
        <w:t>(25)</w:t>
      </w:r>
      <w:r>
        <w:rPr>
          <w:rFonts w:cstheme="minorHAnsi"/>
        </w:rPr>
        <w:t xml:space="preserve">, and obesity, glucose intolerance and hyperinsulinaemia </w:t>
      </w:r>
      <w:r>
        <w:rPr>
          <w:rFonts w:cstheme="minorHAnsi"/>
          <w:noProof/>
        </w:rPr>
        <w:t>(26)</w:t>
      </w:r>
      <w:r>
        <w:rPr>
          <w:rFonts w:cstheme="minorHAnsi"/>
        </w:rPr>
        <w:t>.  Though individuals with SRS have been reported to be fertile</w:t>
      </w:r>
      <w:r w:rsidRPr="00717F35">
        <w:rPr>
          <w:rFonts w:cstheme="minorHAnsi"/>
        </w:rPr>
        <w:t xml:space="preserve"> </w:t>
      </w:r>
      <w:r>
        <w:rPr>
          <w:rFonts w:cstheme="minorHAnsi"/>
          <w:noProof/>
        </w:rPr>
        <w:t>(25, 26)</w:t>
      </w:r>
      <w:r>
        <w:rPr>
          <w:rFonts w:cstheme="minorHAnsi"/>
        </w:rPr>
        <w:t xml:space="preserve"> with a low offspring risk of SRS </w:t>
      </w:r>
      <w:r>
        <w:rPr>
          <w:rFonts w:cstheme="minorHAnsi"/>
          <w:noProof/>
        </w:rPr>
        <w:t>(19)</w:t>
      </w:r>
      <w:r>
        <w:rPr>
          <w:rFonts w:cstheme="minorHAnsi"/>
        </w:rPr>
        <w:t>, miscarriage, s</w:t>
      </w:r>
      <w:r w:rsidRPr="00717F35">
        <w:rPr>
          <w:rFonts w:cstheme="minorHAnsi"/>
        </w:rPr>
        <w:t xml:space="preserve">tillbirth and preterm neonatal death </w:t>
      </w:r>
      <w:r>
        <w:rPr>
          <w:rFonts w:cstheme="minorHAnsi"/>
        </w:rPr>
        <w:t xml:space="preserve">have been reported in women with SRS </w:t>
      </w:r>
      <w:r>
        <w:rPr>
          <w:rFonts w:cstheme="minorHAnsi"/>
          <w:noProof/>
        </w:rPr>
        <w:t>(26)</w:t>
      </w:r>
      <w:r>
        <w:rPr>
          <w:rFonts w:cstheme="minorHAnsi"/>
        </w:rPr>
        <w:t xml:space="preserve"> and genital anomalies in males and females are described which can impact on fertility</w:t>
      </w:r>
      <w:r w:rsidRPr="003B2155">
        <w:rPr>
          <w:rFonts w:cstheme="minorHAnsi"/>
        </w:rPr>
        <w:t xml:space="preserve"> </w:t>
      </w:r>
      <w:r>
        <w:rPr>
          <w:rFonts w:cstheme="minorHAnsi"/>
          <w:noProof/>
        </w:rPr>
        <w:t>(19)</w:t>
      </w:r>
      <w:r>
        <w:rPr>
          <w:rFonts w:cstheme="minorHAnsi"/>
        </w:rPr>
        <w:t xml:space="preserve">.  </w:t>
      </w:r>
    </w:p>
    <w:p w14:paraId="50716921" w14:textId="3E2887C5" w:rsidR="007E0E6D" w:rsidRPr="006118E2" w:rsidRDefault="007E0E6D" w:rsidP="00531EBF">
      <w:pPr>
        <w:spacing w:line="360" w:lineRule="auto"/>
        <w:rPr>
          <w:rFonts w:cstheme="minorHAnsi"/>
        </w:rPr>
      </w:pPr>
      <w:r w:rsidRPr="0044740C">
        <w:rPr>
          <w:rFonts w:cstheme="minorHAnsi"/>
        </w:rPr>
        <w:t xml:space="preserve">We have previously reported the ‘lived experience of SRS’ in a subset of individuals from the present cohort, emphasising that height was not the only major issue for adults with SRS and that there was a need for an adult service </w:t>
      </w:r>
      <w:r>
        <w:rPr>
          <w:rFonts w:cstheme="minorHAnsi"/>
          <w:noProof/>
        </w:rPr>
        <w:t>(27)</w:t>
      </w:r>
      <w:r w:rsidRPr="006118E2">
        <w:rPr>
          <w:rFonts w:cstheme="minorHAnsi"/>
        </w:rPr>
        <w:t xml:space="preserve">.  To the authors’ knowledge, detailed health outcomes, quality of life and wellbeing have not been reported in </w:t>
      </w:r>
      <w:r>
        <w:rPr>
          <w:rFonts w:cstheme="minorHAnsi"/>
        </w:rPr>
        <w:t xml:space="preserve">a cohort of </w:t>
      </w:r>
      <w:r w:rsidRPr="006118E2">
        <w:rPr>
          <w:rFonts w:cstheme="minorHAnsi"/>
        </w:rPr>
        <w:t>older individuals with SRS.</w:t>
      </w:r>
    </w:p>
    <w:p w14:paraId="29DAFCF8" w14:textId="4DD9C34E" w:rsidR="007E0E6D" w:rsidRDefault="007E0E6D" w:rsidP="00531EBF">
      <w:pPr>
        <w:spacing w:line="360" w:lineRule="auto"/>
        <w:rPr>
          <w:rFonts w:cstheme="minorHAnsi"/>
        </w:rPr>
      </w:pPr>
      <w:r w:rsidRPr="00376942">
        <w:rPr>
          <w:rFonts w:cstheme="minorHAnsi"/>
        </w:rPr>
        <w:t>In this study</w:t>
      </w:r>
      <w:r>
        <w:rPr>
          <w:rFonts w:cstheme="minorHAnsi"/>
        </w:rPr>
        <w:t xml:space="preserve"> of individuals</w:t>
      </w:r>
      <w:r w:rsidRPr="00376942">
        <w:rPr>
          <w:rFonts w:cstheme="minorHAnsi"/>
        </w:rPr>
        <w:t xml:space="preserve"> </w:t>
      </w:r>
      <w:r>
        <w:rPr>
          <w:rFonts w:cstheme="minorHAnsi"/>
        </w:rPr>
        <w:t xml:space="preserve">aged </w:t>
      </w:r>
      <w:r w:rsidRPr="00376942">
        <w:rPr>
          <w:rFonts w:cstheme="minorHAnsi"/>
        </w:rPr>
        <w:t xml:space="preserve">13 years </w:t>
      </w:r>
      <w:r>
        <w:rPr>
          <w:rFonts w:cstheme="minorHAnsi"/>
        </w:rPr>
        <w:t xml:space="preserve">and above </w:t>
      </w:r>
      <w:r w:rsidRPr="00376942">
        <w:rPr>
          <w:rFonts w:cstheme="minorHAnsi"/>
        </w:rPr>
        <w:t xml:space="preserve">with </w:t>
      </w:r>
      <w:r>
        <w:rPr>
          <w:rFonts w:cstheme="minorHAnsi"/>
        </w:rPr>
        <w:t xml:space="preserve">genetically-confirmed </w:t>
      </w:r>
      <w:r w:rsidRPr="00376942">
        <w:rPr>
          <w:rFonts w:cstheme="minorHAnsi"/>
        </w:rPr>
        <w:t>SRS</w:t>
      </w:r>
      <w:r>
        <w:rPr>
          <w:rFonts w:cstheme="minorHAnsi"/>
        </w:rPr>
        <w:t>, we describe the adult phenotype and long-</w:t>
      </w:r>
      <w:r w:rsidRPr="00376942">
        <w:rPr>
          <w:rFonts w:cstheme="minorHAnsi"/>
        </w:rPr>
        <w:t xml:space="preserve">term </w:t>
      </w:r>
      <w:r>
        <w:rPr>
          <w:rFonts w:cstheme="minorHAnsi"/>
        </w:rPr>
        <w:t>outcome in terms of health and well</w:t>
      </w:r>
      <w:r w:rsidRPr="00376942">
        <w:rPr>
          <w:rFonts w:cstheme="minorHAnsi"/>
        </w:rPr>
        <w:t>being</w:t>
      </w:r>
      <w:r>
        <w:rPr>
          <w:rFonts w:cstheme="minorHAnsi"/>
        </w:rPr>
        <w:t>,</w:t>
      </w:r>
      <w:r w:rsidRPr="00376942">
        <w:rPr>
          <w:rFonts w:cstheme="minorHAnsi"/>
        </w:rPr>
        <w:t xml:space="preserve"> to </w:t>
      </w:r>
      <w:r>
        <w:rPr>
          <w:rFonts w:cstheme="minorHAnsi"/>
        </w:rPr>
        <w:t>develop a better understanding of the long-term</w:t>
      </w:r>
      <w:r w:rsidRPr="00376942">
        <w:rPr>
          <w:rFonts w:cstheme="minorHAnsi"/>
        </w:rPr>
        <w:t xml:space="preserve"> prognosis of </w:t>
      </w:r>
      <w:r>
        <w:rPr>
          <w:rFonts w:cstheme="minorHAnsi"/>
        </w:rPr>
        <w:t>SRS</w:t>
      </w:r>
      <w:r w:rsidRPr="00376942">
        <w:rPr>
          <w:rFonts w:cstheme="minorHAnsi"/>
        </w:rPr>
        <w:t xml:space="preserve">. </w:t>
      </w:r>
    </w:p>
    <w:p w14:paraId="512771BC" w14:textId="77777777" w:rsidR="007E0E6D" w:rsidRDefault="007E0E6D" w:rsidP="00531EBF">
      <w:pPr>
        <w:spacing w:line="360" w:lineRule="auto"/>
        <w:outlineLvl w:val="0"/>
        <w:rPr>
          <w:rFonts w:cstheme="minorHAnsi"/>
          <w:b/>
        </w:rPr>
      </w:pPr>
      <w:r w:rsidRPr="00B80FB3">
        <w:rPr>
          <w:rFonts w:cstheme="minorHAnsi"/>
          <w:b/>
        </w:rPr>
        <w:t>Methods</w:t>
      </w:r>
    </w:p>
    <w:p w14:paraId="7143299D" w14:textId="77777777" w:rsidR="007E0E6D" w:rsidRPr="00074417" w:rsidRDefault="007E0E6D" w:rsidP="00531EBF">
      <w:pPr>
        <w:spacing w:line="360" w:lineRule="auto"/>
        <w:outlineLvl w:val="0"/>
        <w:rPr>
          <w:rFonts w:cstheme="minorHAnsi"/>
        </w:rPr>
      </w:pPr>
      <w:r>
        <w:rPr>
          <w:rFonts w:cstheme="minorHAnsi"/>
        </w:rPr>
        <w:t xml:space="preserve">Ethics approval was granted </w:t>
      </w:r>
      <w:r w:rsidRPr="00376942">
        <w:rPr>
          <w:rFonts w:cstheme="minorHAnsi"/>
        </w:rPr>
        <w:t>(REC reference: 13/SC/0630)</w:t>
      </w:r>
      <w:r>
        <w:rPr>
          <w:rFonts w:cstheme="minorHAnsi"/>
        </w:rPr>
        <w:t xml:space="preserve"> and i</w:t>
      </w:r>
      <w:r w:rsidRPr="00262874">
        <w:rPr>
          <w:rFonts w:cstheme="minorHAnsi"/>
        </w:rPr>
        <w:t xml:space="preserve">nformed consent was obtained from all </w:t>
      </w:r>
      <w:r>
        <w:rPr>
          <w:rFonts w:cstheme="minorHAnsi"/>
        </w:rPr>
        <w:t xml:space="preserve">participants. </w:t>
      </w:r>
      <w:r w:rsidRPr="002A3AC9">
        <w:rPr>
          <w:rFonts w:cstheme="minorHAnsi"/>
        </w:rPr>
        <w:t xml:space="preserve"> </w:t>
      </w:r>
      <w:r w:rsidRPr="00262874">
        <w:rPr>
          <w:rFonts w:cstheme="minorHAnsi"/>
        </w:rPr>
        <w:t>Participants</w:t>
      </w:r>
      <w:r>
        <w:rPr>
          <w:rFonts w:cstheme="minorHAnsi"/>
        </w:rPr>
        <w:t xml:space="preserve"> </w:t>
      </w:r>
      <w:r w:rsidRPr="00262874">
        <w:rPr>
          <w:rFonts w:cstheme="minorHAnsi"/>
        </w:rPr>
        <w:t xml:space="preserve">were </w:t>
      </w:r>
      <w:r>
        <w:rPr>
          <w:rFonts w:cstheme="minorHAnsi"/>
        </w:rPr>
        <w:t>assessed</w:t>
      </w:r>
      <w:r w:rsidRPr="00262874">
        <w:rPr>
          <w:rFonts w:cstheme="minorHAnsi"/>
        </w:rPr>
        <w:t xml:space="preserve"> in a research clinic by the same doctor (OL-S). </w:t>
      </w:r>
      <w:r>
        <w:rPr>
          <w:rFonts w:cstheme="minorHAnsi"/>
        </w:rPr>
        <w:t xml:space="preserve"> </w:t>
      </w:r>
      <w:r w:rsidRPr="00262874">
        <w:rPr>
          <w:rFonts w:cstheme="minorHAnsi"/>
        </w:rPr>
        <w:t xml:space="preserve">History, </w:t>
      </w:r>
      <w:r>
        <w:rPr>
          <w:rFonts w:cstheme="minorHAnsi"/>
        </w:rPr>
        <w:t xml:space="preserve">clinical </w:t>
      </w:r>
      <w:r w:rsidRPr="00262874">
        <w:rPr>
          <w:rFonts w:cstheme="minorHAnsi"/>
        </w:rPr>
        <w:t>examination</w:t>
      </w:r>
      <w:r>
        <w:rPr>
          <w:rFonts w:cstheme="minorHAnsi"/>
        </w:rPr>
        <w:t xml:space="preserve"> and</w:t>
      </w:r>
      <w:r w:rsidRPr="00262874">
        <w:rPr>
          <w:rFonts w:cstheme="minorHAnsi"/>
        </w:rPr>
        <w:t xml:space="preserve"> growth parameters</w:t>
      </w:r>
      <w:r>
        <w:rPr>
          <w:rFonts w:cstheme="minorHAnsi"/>
        </w:rPr>
        <w:t xml:space="preserve"> </w:t>
      </w:r>
      <w:r w:rsidRPr="00262874">
        <w:rPr>
          <w:rFonts w:cstheme="minorHAnsi"/>
        </w:rPr>
        <w:t>were recorded following a standardised in</w:t>
      </w:r>
      <w:r>
        <w:rPr>
          <w:rFonts w:cstheme="minorHAnsi"/>
        </w:rPr>
        <w:noBreakHyphen/>
      </w:r>
      <w:r w:rsidRPr="00262874">
        <w:rPr>
          <w:rFonts w:cstheme="minorHAnsi"/>
        </w:rPr>
        <w:t>depth interview framework</w:t>
      </w:r>
      <w:r>
        <w:rPr>
          <w:rFonts w:cstheme="minorHAnsi"/>
        </w:rPr>
        <w:t>, and childhood i</w:t>
      </w:r>
      <w:r w:rsidRPr="00262874">
        <w:rPr>
          <w:rFonts w:cstheme="minorHAnsi"/>
        </w:rPr>
        <w:t>nformation</w:t>
      </w:r>
      <w:r>
        <w:rPr>
          <w:rFonts w:cstheme="minorHAnsi"/>
        </w:rPr>
        <w:t xml:space="preserve"> </w:t>
      </w:r>
      <w:r w:rsidRPr="00262874">
        <w:rPr>
          <w:rFonts w:cstheme="minorHAnsi"/>
        </w:rPr>
        <w:t xml:space="preserve">was gathered from a parent </w:t>
      </w:r>
      <w:r>
        <w:rPr>
          <w:rFonts w:cstheme="minorHAnsi"/>
        </w:rPr>
        <w:t>using a standard questionnaire, either during the study appointment or by post.  Hospital records were reviewed to</w:t>
      </w:r>
      <w:r w:rsidRPr="00262874">
        <w:rPr>
          <w:rFonts w:cstheme="minorHAnsi"/>
        </w:rPr>
        <w:t xml:space="preserve"> confirm previous </w:t>
      </w:r>
      <w:r>
        <w:rPr>
          <w:rFonts w:cstheme="minorHAnsi"/>
        </w:rPr>
        <w:t>growth measurements, parental growth measurements, medical history and treatment.</w:t>
      </w:r>
    </w:p>
    <w:p w14:paraId="38A05097" w14:textId="77777777" w:rsidR="007E0E6D" w:rsidRDefault="007E0E6D" w:rsidP="00531EBF">
      <w:pPr>
        <w:spacing w:line="360" w:lineRule="auto"/>
        <w:outlineLvl w:val="0"/>
        <w:rPr>
          <w:rFonts w:cstheme="minorHAnsi"/>
          <w:b/>
        </w:rPr>
      </w:pPr>
      <w:r>
        <w:rPr>
          <w:rFonts w:cstheme="minorHAnsi"/>
          <w:b/>
        </w:rPr>
        <w:t>Study recruitment</w:t>
      </w:r>
    </w:p>
    <w:p w14:paraId="794081B3" w14:textId="77777777" w:rsidR="007E0E6D" w:rsidRDefault="007E0E6D" w:rsidP="00531EBF">
      <w:pPr>
        <w:spacing w:line="360" w:lineRule="auto"/>
        <w:rPr>
          <w:rFonts w:cstheme="minorHAnsi"/>
        </w:rPr>
      </w:pPr>
      <w:r>
        <w:rPr>
          <w:rFonts w:cstheme="minorHAnsi"/>
        </w:rPr>
        <w:t>Individuals</w:t>
      </w:r>
      <w:r w:rsidRPr="00262874">
        <w:rPr>
          <w:rFonts w:cstheme="minorHAnsi"/>
        </w:rPr>
        <w:t xml:space="preserve"> </w:t>
      </w:r>
      <w:r>
        <w:rPr>
          <w:rFonts w:cstheme="minorHAnsi"/>
        </w:rPr>
        <w:t>with SRS aged</w:t>
      </w:r>
      <w:r w:rsidRPr="00262874">
        <w:rPr>
          <w:rFonts w:cstheme="minorHAnsi"/>
        </w:rPr>
        <w:t xml:space="preserve"> </w:t>
      </w:r>
      <w:r>
        <w:rPr>
          <w:rFonts w:ascii="Calibri" w:hAnsi="Calibri" w:cstheme="minorHAnsi"/>
        </w:rPr>
        <w:t>≥</w:t>
      </w:r>
      <w:r w:rsidRPr="00262874">
        <w:rPr>
          <w:rFonts w:cstheme="minorHAnsi"/>
        </w:rPr>
        <w:t>13 years</w:t>
      </w:r>
      <w:r w:rsidRPr="00376942">
        <w:rPr>
          <w:rFonts w:cstheme="minorHAnsi"/>
        </w:rPr>
        <w:t>,</w:t>
      </w:r>
      <w:r w:rsidRPr="00262874">
        <w:rPr>
          <w:rFonts w:cstheme="minorHAnsi"/>
        </w:rPr>
        <w:t xml:space="preserve"> with </w:t>
      </w:r>
      <w:r>
        <w:rPr>
          <w:rFonts w:cstheme="minorHAnsi"/>
        </w:rPr>
        <w:t>mat</w:t>
      </w:r>
      <w:r w:rsidRPr="00262874">
        <w:rPr>
          <w:rFonts w:cstheme="minorHAnsi"/>
        </w:rPr>
        <w:t xml:space="preserve">UPD7 or </w:t>
      </w:r>
      <w:r>
        <w:rPr>
          <w:rFonts w:cstheme="minorHAnsi"/>
        </w:rPr>
        <w:t>IC1 LOM</w:t>
      </w:r>
      <w:r w:rsidRPr="00262874">
        <w:rPr>
          <w:rFonts w:cstheme="minorHAnsi"/>
        </w:rPr>
        <w:t xml:space="preserve"> were recruited</w:t>
      </w:r>
      <w:r>
        <w:rPr>
          <w:rFonts w:cstheme="minorHAnsi"/>
        </w:rPr>
        <w:t xml:space="preserve">: 1) via </w:t>
      </w:r>
      <w:r w:rsidRPr="00262874">
        <w:rPr>
          <w:rFonts w:cstheme="minorHAnsi"/>
        </w:rPr>
        <w:t>prior</w:t>
      </w:r>
      <w:r>
        <w:rPr>
          <w:rFonts w:cstheme="minorHAnsi"/>
        </w:rPr>
        <w:t xml:space="preserve"> </w:t>
      </w:r>
      <w:r w:rsidRPr="00262874">
        <w:rPr>
          <w:rFonts w:cstheme="minorHAnsi"/>
        </w:rPr>
        <w:t xml:space="preserve">involvement in </w:t>
      </w:r>
      <w:r>
        <w:rPr>
          <w:rFonts w:cstheme="minorHAnsi"/>
        </w:rPr>
        <w:t xml:space="preserve">genetic </w:t>
      </w:r>
      <w:r w:rsidRPr="00262874">
        <w:rPr>
          <w:rFonts w:cstheme="minorHAnsi"/>
        </w:rPr>
        <w:t>research stud</w:t>
      </w:r>
      <w:r>
        <w:rPr>
          <w:rFonts w:cstheme="minorHAnsi"/>
        </w:rPr>
        <w:t>ies with the Wessex Imprinting G</w:t>
      </w:r>
      <w:r w:rsidRPr="00262874">
        <w:rPr>
          <w:rFonts w:cstheme="minorHAnsi"/>
        </w:rPr>
        <w:t>roup</w:t>
      </w:r>
      <w:r>
        <w:rPr>
          <w:rFonts w:cstheme="minorHAnsi"/>
        </w:rPr>
        <w:t xml:space="preserve">, 2) </w:t>
      </w:r>
      <w:r w:rsidRPr="00262874">
        <w:rPr>
          <w:rFonts w:cstheme="minorHAnsi"/>
        </w:rPr>
        <w:t xml:space="preserve">following referral to diagnostic </w:t>
      </w:r>
      <w:r w:rsidRPr="00376942">
        <w:rPr>
          <w:rFonts w:cstheme="minorHAnsi"/>
        </w:rPr>
        <w:t xml:space="preserve">NHS </w:t>
      </w:r>
      <w:r w:rsidRPr="00262874">
        <w:rPr>
          <w:rFonts w:cstheme="minorHAnsi"/>
        </w:rPr>
        <w:t xml:space="preserve">Genetics </w:t>
      </w:r>
      <w:r>
        <w:rPr>
          <w:rFonts w:cstheme="minorHAnsi"/>
        </w:rPr>
        <w:t>Services or tertiary Paediatric Endocrine Centres</w:t>
      </w:r>
      <w:r w:rsidRPr="00262874">
        <w:rPr>
          <w:rFonts w:cstheme="minorHAnsi"/>
        </w:rPr>
        <w:t xml:space="preserve"> within the UK</w:t>
      </w:r>
      <w:r>
        <w:rPr>
          <w:rFonts w:cstheme="minorHAnsi"/>
        </w:rPr>
        <w:t xml:space="preserve">, 3) </w:t>
      </w:r>
      <w:r w:rsidRPr="00262874">
        <w:rPr>
          <w:rFonts w:cstheme="minorHAnsi"/>
        </w:rPr>
        <w:t xml:space="preserve">through </w:t>
      </w:r>
      <w:r>
        <w:rPr>
          <w:rFonts w:cstheme="minorHAnsi"/>
        </w:rPr>
        <w:lastRenderedPageBreak/>
        <w:t>the UK Child Growth Foundation, 4) via the research study website</w:t>
      </w:r>
      <w:r w:rsidRPr="00262874">
        <w:rPr>
          <w:rFonts w:cstheme="minorHAnsi"/>
        </w:rPr>
        <w:t>.</w:t>
      </w:r>
      <w:r>
        <w:rPr>
          <w:rFonts w:cstheme="minorHAnsi"/>
        </w:rPr>
        <w:t xml:space="preserve"> </w:t>
      </w:r>
      <w:r w:rsidRPr="00262874">
        <w:rPr>
          <w:rFonts w:cstheme="minorHAnsi"/>
        </w:rPr>
        <w:t xml:space="preserve"> </w:t>
      </w:r>
      <w:r>
        <w:rPr>
          <w:rFonts w:cstheme="minorHAnsi"/>
        </w:rPr>
        <w:t xml:space="preserve">One participant was reported in a previous case report </w:t>
      </w:r>
      <w:r>
        <w:rPr>
          <w:rFonts w:cstheme="minorHAnsi"/>
          <w:noProof/>
        </w:rPr>
        <w:t>(25)</w:t>
      </w:r>
      <w:r>
        <w:rPr>
          <w:rFonts w:cstheme="minorHAnsi"/>
        </w:rPr>
        <w:t xml:space="preserve"> and it is likely that others participated in earlier UK childhood studies of SRS </w:t>
      </w:r>
      <w:r>
        <w:rPr>
          <w:rFonts w:cstheme="minorHAnsi"/>
          <w:noProof/>
        </w:rPr>
        <w:t>(7, 20)</w:t>
      </w:r>
      <w:r>
        <w:rPr>
          <w:rFonts w:cstheme="minorHAnsi"/>
        </w:rPr>
        <w:t xml:space="preserve">.  </w:t>
      </w:r>
    </w:p>
    <w:p w14:paraId="3ABCAFDB" w14:textId="77777777" w:rsidR="007E0E6D" w:rsidRPr="0016524D" w:rsidRDefault="007E0E6D" w:rsidP="00531EBF">
      <w:pPr>
        <w:spacing w:line="360" w:lineRule="auto"/>
        <w:rPr>
          <w:rFonts w:cstheme="minorHAnsi"/>
          <w:b/>
        </w:rPr>
      </w:pPr>
      <w:r w:rsidRPr="0016524D">
        <w:rPr>
          <w:rFonts w:cstheme="minorHAnsi"/>
          <w:b/>
        </w:rPr>
        <w:t>Phenotypic assessment using clinical scoring</w:t>
      </w:r>
    </w:p>
    <w:p w14:paraId="2D380C32" w14:textId="095BE53D" w:rsidR="00884593" w:rsidRPr="00EF18A2" w:rsidRDefault="00884593" w:rsidP="00531EBF">
      <w:pPr>
        <w:spacing w:line="360" w:lineRule="auto"/>
        <w:rPr>
          <w:rFonts w:cstheme="minorHAnsi"/>
        </w:rPr>
      </w:pPr>
      <w:r w:rsidRPr="00EF18A2">
        <w:rPr>
          <w:rFonts w:cstheme="minorHAnsi"/>
        </w:rPr>
        <w:t>We used three methods to score the adult cohort</w:t>
      </w:r>
      <w:r w:rsidR="002356C5">
        <w:rPr>
          <w:rFonts w:cstheme="minorHAnsi"/>
        </w:rPr>
        <w:t>:-</w:t>
      </w:r>
    </w:p>
    <w:p w14:paraId="074C5724" w14:textId="7A50C2AC" w:rsidR="00EF18A2" w:rsidRDefault="007E0E6D" w:rsidP="00EF18A2">
      <w:pPr>
        <w:spacing w:line="360" w:lineRule="auto"/>
        <w:rPr>
          <w:rFonts w:cstheme="minorHAnsi"/>
        </w:rPr>
      </w:pPr>
      <w:r w:rsidRPr="00EF18A2">
        <w:rPr>
          <w:rFonts w:cstheme="minorHAnsi"/>
        </w:rPr>
        <w:t>The NHCSS</w:t>
      </w:r>
      <w:r w:rsidR="007C1A27">
        <w:rPr>
          <w:rFonts w:cstheme="minorHAnsi"/>
        </w:rPr>
        <w:t xml:space="preserve">; </w:t>
      </w:r>
      <w:r w:rsidRPr="00EF18A2">
        <w:rPr>
          <w:rFonts w:cstheme="minorHAnsi"/>
        </w:rPr>
        <w:t xml:space="preserve">based on 6 parameters measured at specific </w:t>
      </w:r>
      <w:r w:rsidR="00EF18A2">
        <w:rPr>
          <w:rFonts w:cstheme="minorHAnsi"/>
        </w:rPr>
        <w:t>ages</w:t>
      </w:r>
      <w:r w:rsidR="00EF18A2" w:rsidRPr="00EF18A2">
        <w:rPr>
          <w:rFonts w:cstheme="minorHAnsi"/>
        </w:rPr>
        <w:t xml:space="preserve"> </w:t>
      </w:r>
      <w:r w:rsidRPr="00EF18A2">
        <w:rPr>
          <w:rFonts w:cstheme="minorHAnsi"/>
        </w:rPr>
        <w:t xml:space="preserve">from birth to three years ((1) birth weight and/or length ≤-2 SDS; (2) height ≤-2 SDS at 2 years or height ≤-2 SDS from mid-parental target height; (3) relative macrocephaly; head circumference SDS ≥1.5 weight and/or length SDS; (at birth) (4) protruding forehead at 1-3 years; (5) body asymmetry; (6) feeding difficulties and/or low BMI (BMI ≤-2 SDS) at 2 years). </w:t>
      </w:r>
      <w:r w:rsidR="0016524D">
        <w:rPr>
          <w:rFonts w:cstheme="minorHAnsi"/>
        </w:rPr>
        <w:t xml:space="preserve">Scores ≥4/6 suggest a clinical diagnosis of SRS.  Scores of 3/6, are the threshold recommended for diagnostic genetic testing and defined as ‘possible SRS’.  </w:t>
      </w:r>
    </w:p>
    <w:p w14:paraId="0A527817" w14:textId="2C0505B5" w:rsidR="002C063D" w:rsidRPr="00D50890" w:rsidRDefault="00EF18A2" w:rsidP="00EF18A2">
      <w:pPr>
        <w:spacing w:line="360" w:lineRule="auto"/>
        <w:rPr>
          <w:rFonts w:cstheme="minorHAnsi"/>
        </w:rPr>
      </w:pPr>
      <w:r>
        <w:rPr>
          <w:rFonts w:cstheme="minorHAnsi"/>
        </w:rPr>
        <w:t xml:space="preserve">Adult scoring method 1: </w:t>
      </w:r>
      <w:r w:rsidR="00B815A7" w:rsidRPr="00EF18A2">
        <w:rPr>
          <w:rFonts w:cstheme="minorHAnsi"/>
        </w:rPr>
        <w:t xml:space="preserve">We </w:t>
      </w:r>
      <w:r w:rsidR="00107F95" w:rsidRPr="00EF18A2">
        <w:rPr>
          <w:rFonts w:cstheme="minorHAnsi"/>
        </w:rPr>
        <w:t xml:space="preserve">assessed </w:t>
      </w:r>
      <w:r w:rsidR="00B55185" w:rsidRPr="00EF18A2">
        <w:rPr>
          <w:rFonts w:cstheme="minorHAnsi"/>
        </w:rPr>
        <w:t>five</w:t>
      </w:r>
      <w:r w:rsidR="00107F95" w:rsidRPr="00EF18A2">
        <w:rPr>
          <w:rFonts w:cstheme="minorHAnsi"/>
        </w:rPr>
        <w:t xml:space="preserve"> </w:t>
      </w:r>
      <w:r w:rsidR="00752650" w:rsidRPr="00EF18A2">
        <w:rPr>
          <w:rFonts w:cstheme="minorHAnsi"/>
        </w:rPr>
        <w:t xml:space="preserve">clinical </w:t>
      </w:r>
      <w:r w:rsidR="00107F95" w:rsidRPr="00EF18A2">
        <w:rPr>
          <w:rFonts w:cstheme="minorHAnsi"/>
        </w:rPr>
        <w:t>parameters</w:t>
      </w:r>
      <w:r w:rsidR="00752650" w:rsidRPr="00EF18A2">
        <w:rPr>
          <w:rFonts w:cstheme="minorHAnsi"/>
        </w:rPr>
        <w:t xml:space="preserve"> that are useful features in </w:t>
      </w:r>
      <w:r w:rsidR="002C063D" w:rsidRPr="00EF18A2">
        <w:rPr>
          <w:rFonts w:cstheme="minorHAnsi"/>
        </w:rPr>
        <w:t>childhood</w:t>
      </w:r>
      <w:r w:rsidR="00752650" w:rsidRPr="00EF18A2">
        <w:rPr>
          <w:rFonts w:cstheme="minorHAnsi"/>
        </w:rPr>
        <w:t xml:space="preserve"> scoring system</w:t>
      </w:r>
      <w:r w:rsidR="002C063D" w:rsidRPr="00EF18A2">
        <w:rPr>
          <w:rFonts w:cstheme="minorHAnsi"/>
        </w:rPr>
        <w:t>s</w:t>
      </w:r>
      <w:r w:rsidR="00752650" w:rsidRPr="00EF18A2">
        <w:rPr>
          <w:rFonts w:cstheme="minorHAnsi"/>
        </w:rPr>
        <w:t xml:space="preserve"> but based </w:t>
      </w:r>
      <w:r w:rsidR="002C063D" w:rsidRPr="00EF18A2">
        <w:rPr>
          <w:rFonts w:cstheme="minorHAnsi"/>
        </w:rPr>
        <w:t xml:space="preserve">them </w:t>
      </w:r>
      <w:r w:rsidR="00752650" w:rsidRPr="00EF18A2">
        <w:rPr>
          <w:rFonts w:cstheme="minorHAnsi"/>
        </w:rPr>
        <w:t xml:space="preserve">on </w:t>
      </w:r>
      <w:r w:rsidR="002C063D" w:rsidRPr="00EF18A2">
        <w:rPr>
          <w:rFonts w:cstheme="minorHAnsi"/>
        </w:rPr>
        <w:t xml:space="preserve">an examination as an </w:t>
      </w:r>
      <w:r w:rsidR="00752650" w:rsidRPr="00EF18A2">
        <w:rPr>
          <w:rFonts w:cstheme="minorHAnsi"/>
        </w:rPr>
        <w:t>adult</w:t>
      </w:r>
      <w:r w:rsidR="00B55185" w:rsidRPr="00EF18A2">
        <w:rPr>
          <w:rFonts w:cstheme="minorHAnsi"/>
        </w:rPr>
        <w:t>:</w:t>
      </w:r>
      <w:r w:rsidR="00752650" w:rsidRPr="00EF18A2">
        <w:rPr>
          <w:rFonts w:cstheme="minorHAnsi"/>
        </w:rPr>
        <w:t xml:space="preserve"> </w:t>
      </w:r>
      <w:r w:rsidR="00107F95" w:rsidRPr="00EF18A2">
        <w:rPr>
          <w:rFonts w:cstheme="minorHAnsi"/>
        </w:rPr>
        <w:t xml:space="preserve">i) </w:t>
      </w:r>
      <w:r w:rsidR="00752650" w:rsidRPr="00EF18A2">
        <w:rPr>
          <w:rFonts w:cstheme="minorHAnsi"/>
        </w:rPr>
        <w:t xml:space="preserve">adult </w:t>
      </w:r>
      <w:r w:rsidR="00107F95" w:rsidRPr="00EF18A2">
        <w:rPr>
          <w:rFonts w:cstheme="minorHAnsi"/>
        </w:rPr>
        <w:t>height ≤-2 SDS</w:t>
      </w:r>
      <w:r w:rsidR="00B55185" w:rsidRPr="00EF18A2">
        <w:rPr>
          <w:rFonts w:cstheme="minorHAnsi"/>
        </w:rPr>
        <w:t>;</w:t>
      </w:r>
      <w:r w:rsidR="00107F95" w:rsidRPr="00EF18A2">
        <w:rPr>
          <w:rFonts w:cstheme="minorHAnsi"/>
        </w:rPr>
        <w:t xml:space="preserve"> ii) relative </w:t>
      </w:r>
      <w:r w:rsidR="00752650" w:rsidRPr="005C1B28">
        <w:rPr>
          <w:rFonts w:cstheme="minorHAnsi"/>
        </w:rPr>
        <w:t xml:space="preserve">adult </w:t>
      </w:r>
      <w:r w:rsidR="00107F95" w:rsidRPr="005C1B28">
        <w:rPr>
          <w:rFonts w:cstheme="minorHAnsi"/>
        </w:rPr>
        <w:t>macrocephaly</w:t>
      </w:r>
      <w:r w:rsidR="00107F95" w:rsidRPr="00C341F7">
        <w:rPr>
          <w:rFonts w:cstheme="minorHAnsi"/>
        </w:rPr>
        <w:t xml:space="preserve"> (he</w:t>
      </w:r>
      <w:r w:rsidR="00107F95" w:rsidRPr="00406663">
        <w:rPr>
          <w:rFonts w:cstheme="minorHAnsi"/>
        </w:rPr>
        <w:t xml:space="preserve">ad circumference SDS ≥1.5 </w:t>
      </w:r>
      <w:r w:rsidR="007C5A1B" w:rsidRPr="00406663">
        <w:rPr>
          <w:rFonts w:cstheme="minorHAnsi"/>
        </w:rPr>
        <w:t>height</w:t>
      </w:r>
      <w:r w:rsidR="00107F95" w:rsidRPr="00406663">
        <w:rPr>
          <w:rFonts w:cstheme="minorHAnsi"/>
        </w:rPr>
        <w:t xml:space="preserve"> SDS</w:t>
      </w:r>
      <w:r w:rsidR="007C5A1B" w:rsidRPr="00406663">
        <w:rPr>
          <w:rFonts w:cstheme="minorHAnsi"/>
        </w:rPr>
        <w:t>)</w:t>
      </w:r>
      <w:r w:rsidR="007D46C3" w:rsidRPr="00406663">
        <w:rPr>
          <w:rFonts w:cstheme="minorHAnsi"/>
        </w:rPr>
        <w:t xml:space="preserve"> iii) </w:t>
      </w:r>
      <w:r w:rsidR="007D46C3" w:rsidRPr="0068052C">
        <w:rPr>
          <w:rFonts w:cstheme="minorHAnsi"/>
        </w:rPr>
        <w:t>p</w:t>
      </w:r>
      <w:r w:rsidR="00107F95" w:rsidRPr="0068052C">
        <w:rPr>
          <w:rFonts w:cstheme="minorHAnsi"/>
        </w:rPr>
        <w:t xml:space="preserve">rotruding forehead </w:t>
      </w:r>
      <w:r w:rsidR="007C5A1B" w:rsidRPr="0068052C">
        <w:rPr>
          <w:rFonts w:cstheme="minorHAnsi"/>
        </w:rPr>
        <w:t>as an adult</w:t>
      </w:r>
      <w:r w:rsidR="00B55185" w:rsidRPr="0068052C">
        <w:rPr>
          <w:rFonts w:cstheme="minorHAnsi"/>
        </w:rPr>
        <w:t>;</w:t>
      </w:r>
      <w:r w:rsidR="00752650" w:rsidRPr="0068052C">
        <w:rPr>
          <w:rFonts w:cstheme="minorHAnsi"/>
        </w:rPr>
        <w:t xml:space="preserve"> </w:t>
      </w:r>
      <w:r w:rsidR="00107F95" w:rsidRPr="00874089">
        <w:rPr>
          <w:rFonts w:cstheme="minorHAnsi"/>
        </w:rPr>
        <w:t xml:space="preserve">iv) body asymmetry </w:t>
      </w:r>
      <w:r w:rsidR="00752650" w:rsidRPr="00874089">
        <w:rPr>
          <w:rFonts w:cstheme="minorHAnsi"/>
        </w:rPr>
        <w:t>in adulthood</w:t>
      </w:r>
      <w:r w:rsidR="00F160BA" w:rsidRPr="00D50890">
        <w:rPr>
          <w:rFonts w:cstheme="minorHAnsi"/>
        </w:rPr>
        <w:t xml:space="preserve"> </w:t>
      </w:r>
      <w:r w:rsidR="00107F95" w:rsidRPr="00D50890">
        <w:rPr>
          <w:rFonts w:cstheme="minorHAnsi"/>
        </w:rPr>
        <w:t>and v) feeding difficulties and/or low BMI (BMI ≤-2 SDS)</w:t>
      </w:r>
      <w:r w:rsidR="00752650" w:rsidRPr="00D50890">
        <w:rPr>
          <w:rFonts w:cstheme="minorHAnsi"/>
        </w:rPr>
        <w:t xml:space="preserve"> in adulthood</w:t>
      </w:r>
      <w:r w:rsidR="002C063D" w:rsidRPr="00D50890">
        <w:rPr>
          <w:rFonts w:cstheme="minorHAnsi"/>
        </w:rPr>
        <w:t xml:space="preserve">. </w:t>
      </w:r>
    </w:p>
    <w:p w14:paraId="4DE08B23" w14:textId="22766C2F" w:rsidR="002356C5" w:rsidRDefault="00EF18A2" w:rsidP="00531EBF">
      <w:pPr>
        <w:spacing w:line="360" w:lineRule="auto"/>
        <w:rPr>
          <w:rFonts w:cstheme="minorHAnsi"/>
        </w:rPr>
      </w:pPr>
      <w:r>
        <w:rPr>
          <w:rFonts w:cstheme="minorHAnsi"/>
        </w:rPr>
        <w:t>Ad</w:t>
      </w:r>
      <w:r w:rsidR="0016524D">
        <w:rPr>
          <w:rFonts w:cstheme="minorHAnsi"/>
        </w:rPr>
        <w:t>ult scoring method 2;</w:t>
      </w:r>
      <w:r>
        <w:rPr>
          <w:rFonts w:cstheme="minorHAnsi"/>
        </w:rPr>
        <w:t xml:space="preserve"> </w:t>
      </w:r>
      <w:r w:rsidR="00FB5714">
        <w:rPr>
          <w:rFonts w:cstheme="minorHAnsi"/>
        </w:rPr>
        <w:t>W</w:t>
      </w:r>
      <w:r>
        <w:rPr>
          <w:rFonts w:cstheme="minorHAnsi"/>
        </w:rPr>
        <w:t>e assessed</w:t>
      </w:r>
      <w:r w:rsidR="007E0E6D" w:rsidRPr="00D51599">
        <w:rPr>
          <w:rFonts w:cstheme="minorHAnsi"/>
        </w:rPr>
        <w:t xml:space="preserve"> </w:t>
      </w:r>
      <w:r w:rsidR="00884593">
        <w:rPr>
          <w:rFonts w:cstheme="minorHAnsi"/>
        </w:rPr>
        <w:t xml:space="preserve">a mixture of </w:t>
      </w:r>
      <w:r>
        <w:rPr>
          <w:rFonts w:cstheme="minorHAnsi"/>
        </w:rPr>
        <w:t xml:space="preserve">findings at </w:t>
      </w:r>
      <w:r w:rsidR="00884593">
        <w:rPr>
          <w:rFonts w:cstheme="minorHAnsi"/>
        </w:rPr>
        <w:t xml:space="preserve">adult examination and </w:t>
      </w:r>
      <w:r w:rsidR="00FB5714">
        <w:rPr>
          <w:rFonts w:cstheme="minorHAnsi"/>
        </w:rPr>
        <w:t>past</w:t>
      </w:r>
      <w:r w:rsidR="007E0E6D" w:rsidRPr="00D51599">
        <w:rPr>
          <w:rFonts w:cstheme="minorHAnsi"/>
        </w:rPr>
        <w:t xml:space="preserve"> data from medical notes and parental questionnaires</w:t>
      </w:r>
      <w:r w:rsidR="00884593">
        <w:rPr>
          <w:rFonts w:cstheme="minorHAnsi"/>
        </w:rPr>
        <w:t xml:space="preserve"> which </w:t>
      </w:r>
      <w:r>
        <w:rPr>
          <w:rFonts w:cstheme="minorHAnsi"/>
        </w:rPr>
        <w:t>were</w:t>
      </w:r>
      <w:r w:rsidR="00884593">
        <w:rPr>
          <w:rFonts w:cstheme="minorHAnsi"/>
        </w:rPr>
        <w:t xml:space="preserve"> generally available for</w:t>
      </w:r>
      <w:r w:rsidR="00FB5714">
        <w:rPr>
          <w:rFonts w:cstheme="minorHAnsi"/>
        </w:rPr>
        <w:t xml:space="preserve"> the majority of the cohort </w:t>
      </w:r>
      <w:r w:rsidR="00884593">
        <w:rPr>
          <w:rFonts w:cstheme="minorHAnsi"/>
        </w:rPr>
        <w:t xml:space="preserve"> </w:t>
      </w:r>
      <w:r w:rsidR="007D46C3">
        <w:rPr>
          <w:rFonts w:cstheme="minorHAnsi"/>
        </w:rPr>
        <w:t xml:space="preserve">i) </w:t>
      </w:r>
      <w:r w:rsidR="007E0E6D" w:rsidRPr="00D51599">
        <w:rPr>
          <w:rFonts w:cstheme="minorHAnsi"/>
        </w:rPr>
        <w:t xml:space="preserve">birth weight </w:t>
      </w:r>
      <w:r w:rsidR="007D46C3">
        <w:rPr>
          <w:rFonts w:cstheme="minorHAnsi"/>
        </w:rPr>
        <w:t>and/or length ≤-2 SDS</w:t>
      </w:r>
      <w:r w:rsidR="00B55185">
        <w:rPr>
          <w:rFonts w:cstheme="minorHAnsi"/>
        </w:rPr>
        <w:t>;</w:t>
      </w:r>
      <w:r w:rsidR="007D46C3" w:rsidRPr="007D46C3">
        <w:rPr>
          <w:rFonts w:cstheme="minorHAnsi"/>
        </w:rPr>
        <w:t xml:space="preserve"> </w:t>
      </w:r>
      <w:r w:rsidR="002C063D">
        <w:rPr>
          <w:rFonts w:cstheme="minorHAnsi"/>
        </w:rPr>
        <w:t xml:space="preserve">ii) history of </w:t>
      </w:r>
      <w:r w:rsidR="002C063D" w:rsidRPr="00D51599">
        <w:rPr>
          <w:rFonts w:cstheme="minorHAnsi"/>
        </w:rPr>
        <w:t>childhood feeding difficulties</w:t>
      </w:r>
      <w:r w:rsidR="002C063D">
        <w:rPr>
          <w:rFonts w:cstheme="minorHAnsi"/>
        </w:rPr>
        <w:t>/low BMI</w:t>
      </w:r>
      <w:r w:rsidR="00B55185">
        <w:rPr>
          <w:rFonts w:cstheme="minorHAnsi"/>
        </w:rPr>
        <w:t>;</w:t>
      </w:r>
      <w:r w:rsidR="002C063D">
        <w:rPr>
          <w:rFonts w:cstheme="minorHAnsi"/>
        </w:rPr>
        <w:t xml:space="preserve"> </w:t>
      </w:r>
      <w:r w:rsidR="007D46C3">
        <w:rPr>
          <w:rFonts w:cstheme="minorHAnsi"/>
        </w:rPr>
        <w:t>ii</w:t>
      </w:r>
      <w:r w:rsidR="002C063D">
        <w:rPr>
          <w:rFonts w:cstheme="minorHAnsi"/>
        </w:rPr>
        <w:t>i</w:t>
      </w:r>
      <w:r w:rsidR="007D46C3">
        <w:rPr>
          <w:rFonts w:cstheme="minorHAnsi"/>
        </w:rPr>
        <w:t xml:space="preserve">) </w:t>
      </w:r>
      <w:r w:rsidR="00752650">
        <w:rPr>
          <w:rFonts w:cstheme="minorHAnsi"/>
        </w:rPr>
        <w:t xml:space="preserve">adult </w:t>
      </w:r>
      <w:r w:rsidR="007D46C3">
        <w:rPr>
          <w:rFonts w:cstheme="minorHAnsi"/>
        </w:rPr>
        <w:t>height ≤-2 SDS</w:t>
      </w:r>
      <w:r w:rsidR="00B55185">
        <w:rPr>
          <w:rFonts w:cstheme="minorHAnsi"/>
        </w:rPr>
        <w:t>,</w:t>
      </w:r>
      <w:r w:rsidR="007D46C3">
        <w:rPr>
          <w:rFonts w:cstheme="minorHAnsi"/>
        </w:rPr>
        <w:t xml:space="preserve"> </w:t>
      </w:r>
      <w:r w:rsidR="002C063D">
        <w:rPr>
          <w:rFonts w:cstheme="minorHAnsi"/>
        </w:rPr>
        <w:t>iv</w:t>
      </w:r>
      <w:r w:rsidR="007D46C3">
        <w:rPr>
          <w:rFonts w:cstheme="minorHAnsi"/>
        </w:rPr>
        <w:t xml:space="preserve">) relative </w:t>
      </w:r>
      <w:r w:rsidR="00752650">
        <w:rPr>
          <w:rFonts w:cstheme="minorHAnsi"/>
        </w:rPr>
        <w:t xml:space="preserve">adult </w:t>
      </w:r>
      <w:r w:rsidR="007D46C3">
        <w:rPr>
          <w:rFonts w:cstheme="minorHAnsi"/>
        </w:rPr>
        <w:t>macrocephaly</w:t>
      </w:r>
      <w:r w:rsidR="00B55185">
        <w:rPr>
          <w:rFonts w:cstheme="minorHAnsi"/>
        </w:rPr>
        <w:t>;</w:t>
      </w:r>
      <w:r w:rsidR="007D46C3">
        <w:rPr>
          <w:rFonts w:cstheme="minorHAnsi"/>
        </w:rPr>
        <w:t xml:space="preserve"> (</w:t>
      </w:r>
      <w:r w:rsidR="007D46C3" w:rsidRPr="00D51599">
        <w:rPr>
          <w:rFonts w:cstheme="minorHAnsi"/>
        </w:rPr>
        <w:t xml:space="preserve">head circumference SDS ≥1.5 </w:t>
      </w:r>
      <w:r w:rsidR="007C5A1B">
        <w:rPr>
          <w:rFonts w:cstheme="minorHAnsi"/>
        </w:rPr>
        <w:t>height</w:t>
      </w:r>
      <w:r w:rsidR="007D46C3" w:rsidRPr="00D51599">
        <w:rPr>
          <w:rFonts w:cstheme="minorHAnsi"/>
        </w:rPr>
        <w:t xml:space="preserve"> SDS</w:t>
      </w:r>
      <w:r w:rsidR="007C5A1B">
        <w:rPr>
          <w:rFonts w:cstheme="minorHAnsi"/>
        </w:rPr>
        <w:t>;</w:t>
      </w:r>
      <w:r w:rsidR="002C063D">
        <w:rPr>
          <w:rFonts w:cstheme="minorHAnsi"/>
        </w:rPr>
        <w:t xml:space="preserve"> </w:t>
      </w:r>
      <w:r w:rsidR="007D46C3">
        <w:rPr>
          <w:rFonts w:cstheme="minorHAnsi"/>
        </w:rPr>
        <w:t>v</w:t>
      </w:r>
      <w:r w:rsidR="00752650">
        <w:rPr>
          <w:rFonts w:cstheme="minorHAnsi"/>
        </w:rPr>
        <w:t>) p</w:t>
      </w:r>
      <w:r w:rsidR="007D46C3">
        <w:rPr>
          <w:rFonts w:cstheme="minorHAnsi"/>
        </w:rPr>
        <w:t>rotruding forehead</w:t>
      </w:r>
      <w:r w:rsidR="00752650">
        <w:rPr>
          <w:rFonts w:cstheme="minorHAnsi"/>
        </w:rPr>
        <w:t xml:space="preserve"> in adulthood</w:t>
      </w:r>
      <w:r w:rsidR="00B55185">
        <w:rPr>
          <w:rFonts w:cstheme="minorHAnsi"/>
        </w:rPr>
        <w:t xml:space="preserve"> and</w:t>
      </w:r>
      <w:r w:rsidR="007D46C3">
        <w:rPr>
          <w:rFonts w:cstheme="minorHAnsi"/>
        </w:rPr>
        <w:t xml:space="preserve"> v</w:t>
      </w:r>
      <w:r w:rsidR="002C063D">
        <w:rPr>
          <w:rFonts w:cstheme="minorHAnsi"/>
        </w:rPr>
        <w:t>i</w:t>
      </w:r>
      <w:r w:rsidR="007D46C3">
        <w:rPr>
          <w:rFonts w:cstheme="minorHAnsi"/>
        </w:rPr>
        <w:t xml:space="preserve">) body asymmetry </w:t>
      </w:r>
      <w:r w:rsidR="00752650">
        <w:rPr>
          <w:rFonts w:cstheme="minorHAnsi"/>
        </w:rPr>
        <w:t>in adulthood</w:t>
      </w:r>
      <w:r w:rsidR="002C063D">
        <w:rPr>
          <w:rFonts w:cstheme="minorHAnsi"/>
        </w:rPr>
        <w:t xml:space="preserve">. </w:t>
      </w:r>
      <w:r w:rsidR="007E0E6D" w:rsidRPr="00D51599">
        <w:rPr>
          <w:rFonts w:cstheme="minorHAnsi"/>
        </w:rPr>
        <w:t xml:space="preserve"> </w:t>
      </w:r>
    </w:p>
    <w:p w14:paraId="73B339E6" w14:textId="34C06C21" w:rsidR="007E0E6D" w:rsidRPr="00406663" w:rsidRDefault="00F160BA">
      <w:pPr>
        <w:spacing w:line="360" w:lineRule="auto"/>
        <w:rPr>
          <w:rFonts w:cstheme="minorHAnsi"/>
        </w:rPr>
      </w:pPr>
      <w:r w:rsidRPr="005C1B28">
        <w:rPr>
          <w:rFonts w:cstheme="minorHAnsi"/>
        </w:rPr>
        <w:t>Body asymmetry was defined as arm length or leg length discrepancy (LLD) of ≥ 0.5 cm or arm asymmetry or LLD &lt;</w:t>
      </w:r>
      <w:r w:rsidRPr="00C341F7">
        <w:rPr>
          <w:rFonts w:cstheme="minorHAnsi"/>
        </w:rPr>
        <w:t xml:space="preserve">0.5 cm with at least two other asymmetrical body parts, with one being a non-face part. </w:t>
      </w:r>
    </w:p>
    <w:p w14:paraId="3DC1287D" w14:textId="77777777" w:rsidR="007E0E6D" w:rsidRDefault="007E0E6D" w:rsidP="00531EBF">
      <w:pPr>
        <w:spacing w:line="360" w:lineRule="auto"/>
        <w:rPr>
          <w:rFonts w:cstheme="minorHAnsi"/>
          <w:b/>
        </w:rPr>
      </w:pPr>
      <w:r w:rsidRPr="00041FF6">
        <w:rPr>
          <w:rFonts w:cstheme="minorHAnsi"/>
          <w:b/>
        </w:rPr>
        <w:t>Growth</w:t>
      </w:r>
    </w:p>
    <w:p w14:paraId="363B07AC" w14:textId="07A8AFFF" w:rsidR="007E0E6D" w:rsidRPr="00EB7807" w:rsidRDefault="007E0E6D" w:rsidP="00531EBF">
      <w:pPr>
        <w:spacing w:line="360" w:lineRule="auto"/>
        <w:rPr>
          <w:rFonts w:cstheme="minorHAnsi"/>
        </w:rPr>
      </w:pPr>
      <w:r>
        <w:rPr>
          <w:rFonts w:cstheme="minorHAnsi"/>
        </w:rPr>
        <w:t xml:space="preserve">Birth weight, length and occipital-frontal circumferences were obtained from medical records or parent report.  </w:t>
      </w:r>
      <w:r w:rsidRPr="00262874">
        <w:rPr>
          <w:rFonts w:cstheme="minorHAnsi"/>
        </w:rPr>
        <w:t xml:space="preserve">The interview included </w:t>
      </w:r>
      <w:r w:rsidRPr="0002101C">
        <w:rPr>
          <w:rFonts w:cstheme="minorHAnsi"/>
        </w:rPr>
        <w:t>a validated puberty self-assessment questionnaire</w:t>
      </w:r>
      <w:r w:rsidR="005E3BD3">
        <w:rPr>
          <w:rFonts w:cstheme="minorHAnsi"/>
        </w:rPr>
        <w:t xml:space="preserve"> (28).  </w:t>
      </w:r>
      <w:r>
        <w:rPr>
          <w:rFonts w:cstheme="minorHAnsi"/>
        </w:rPr>
        <w:t xml:space="preserve">At the research appointment, each participant’s height and weight were measured.  Body mass index (BMI) was calculated </w:t>
      </w:r>
      <w:r>
        <w:t>as: weight [kg]/height [m]</w:t>
      </w:r>
      <w:r w:rsidRPr="005B02EF">
        <w:rPr>
          <w:vertAlign w:val="superscript"/>
        </w:rPr>
        <w:t>2</w:t>
      </w:r>
      <w:r>
        <w:t xml:space="preserve">.  </w:t>
      </w:r>
    </w:p>
    <w:p w14:paraId="11A2172C" w14:textId="77777777" w:rsidR="007E0E6D" w:rsidRPr="00041FF6" w:rsidRDefault="007E0E6D" w:rsidP="00531EBF">
      <w:pPr>
        <w:spacing w:line="360" w:lineRule="auto"/>
        <w:rPr>
          <w:rFonts w:cstheme="minorHAnsi"/>
          <w:b/>
        </w:rPr>
      </w:pPr>
      <w:r w:rsidRPr="00041FF6">
        <w:rPr>
          <w:rFonts w:cstheme="minorHAnsi"/>
          <w:b/>
        </w:rPr>
        <w:t xml:space="preserve">Neurodevelopment and educational attainment </w:t>
      </w:r>
    </w:p>
    <w:p w14:paraId="125FA39E" w14:textId="77777777" w:rsidR="007E0E6D" w:rsidRPr="00041FF6" w:rsidRDefault="007E0E6D" w:rsidP="00531EBF">
      <w:pPr>
        <w:spacing w:line="360" w:lineRule="auto"/>
        <w:rPr>
          <w:rFonts w:cstheme="minorHAnsi"/>
        </w:rPr>
      </w:pPr>
      <w:r>
        <w:rPr>
          <w:rFonts w:cstheme="minorHAnsi"/>
        </w:rPr>
        <w:lastRenderedPageBreak/>
        <w:t xml:space="preserve">Developmental history was ascertained from parental reports and medical records.  Educational attainment was as reported by participants and/or their parents.  </w:t>
      </w:r>
    </w:p>
    <w:p w14:paraId="7A149373" w14:textId="77777777" w:rsidR="007E0E6D" w:rsidRPr="00041FF6" w:rsidRDefault="007E0E6D" w:rsidP="00531EBF">
      <w:pPr>
        <w:spacing w:line="360" w:lineRule="auto"/>
        <w:rPr>
          <w:rFonts w:cstheme="minorHAnsi"/>
          <w:b/>
        </w:rPr>
      </w:pPr>
      <w:r w:rsidRPr="00041FF6">
        <w:rPr>
          <w:rFonts w:cstheme="minorHAnsi"/>
          <w:b/>
        </w:rPr>
        <w:t>Health, fertility and offspring risk</w:t>
      </w:r>
    </w:p>
    <w:p w14:paraId="0269A5AE" w14:textId="77777777" w:rsidR="007E0E6D" w:rsidRDefault="007E0E6D" w:rsidP="00531EBF">
      <w:pPr>
        <w:spacing w:line="360" w:lineRule="auto"/>
        <w:rPr>
          <w:rFonts w:cstheme="minorHAnsi"/>
        </w:rPr>
      </w:pPr>
      <w:r>
        <w:rPr>
          <w:rFonts w:cstheme="minorHAnsi"/>
        </w:rPr>
        <w:t xml:space="preserve">Information on medical problems was gathered from participants, their parents and medical notes.  </w:t>
      </w:r>
    </w:p>
    <w:p w14:paraId="2A05C447" w14:textId="16234583" w:rsidR="007E0E6D" w:rsidRPr="0047460B" w:rsidRDefault="007E0E6D" w:rsidP="00531EBF">
      <w:pPr>
        <w:autoSpaceDE w:val="0"/>
        <w:autoSpaceDN w:val="0"/>
        <w:adjustRightInd w:val="0"/>
        <w:spacing w:line="360" w:lineRule="auto"/>
        <w:rPr>
          <w:rFonts w:ascii="Calibri" w:hAnsi="Calibri"/>
        </w:rPr>
      </w:pPr>
      <w:r>
        <w:t>O</w:t>
      </w:r>
      <w:r w:rsidRPr="00906F59">
        <w:t>besity</w:t>
      </w:r>
      <w:r>
        <w:t xml:space="preserve"> was defined as a body mass index of </w:t>
      </w:r>
      <w:r>
        <w:rPr>
          <w:rFonts w:ascii="Calibri" w:hAnsi="Calibri"/>
        </w:rPr>
        <w:t>≥</w:t>
      </w:r>
      <w:r>
        <w:t>30 kg/m</w:t>
      </w:r>
      <w:r w:rsidRPr="00462385">
        <w:rPr>
          <w:vertAlign w:val="superscript"/>
        </w:rPr>
        <w:t>2</w:t>
      </w:r>
      <w:r w:rsidRPr="00906F59">
        <w:t xml:space="preserve"> </w:t>
      </w:r>
      <w:r>
        <w:t xml:space="preserve">or BMI SDS </w:t>
      </w:r>
      <w:r>
        <w:rPr>
          <w:rFonts w:ascii="Calibri" w:hAnsi="Calibri"/>
        </w:rPr>
        <w:t xml:space="preserve">≥2 </w:t>
      </w:r>
      <w:r>
        <w:rPr>
          <w:noProof/>
        </w:rPr>
        <w:t>(28)</w:t>
      </w:r>
      <w:r>
        <w:t xml:space="preserve">.  A high waist circumference was defined as </w:t>
      </w:r>
      <w:r>
        <w:rPr>
          <w:rFonts w:ascii="Calibri" w:hAnsi="Calibri"/>
        </w:rPr>
        <w:t>≥94 cm in males</w:t>
      </w:r>
      <w:r w:rsidR="0083509F">
        <w:rPr>
          <w:rFonts w:ascii="Calibri" w:hAnsi="Calibri"/>
        </w:rPr>
        <w:t xml:space="preserve"> (</w:t>
      </w:r>
      <w:r w:rsidR="0083509F" w:rsidRPr="0083509F">
        <w:rPr>
          <w:rFonts w:ascii="Calibri" w:hAnsi="Calibri"/>
        </w:rPr>
        <w:t>based on a Caucasian population</w:t>
      </w:r>
      <w:r w:rsidR="0083509F">
        <w:rPr>
          <w:rFonts w:ascii="Calibri" w:hAnsi="Calibri"/>
        </w:rPr>
        <w:t>)</w:t>
      </w:r>
      <w:r>
        <w:rPr>
          <w:rFonts w:ascii="Calibri" w:hAnsi="Calibri"/>
        </w:rPr>
        <w:t xml:space="preserve">; ≥80 cm in females </w:t>
      </w:r>
      <w:r w:rsidR="0083509F">
        <w:rPr>
          <w:rFonts w:ascii="Calibri" w:hAnsi="Calibri"/>
        </w:rPr>
        <w:t>(Caucasian and Asian populations)</w:t>
      </w:r>
      <w:r>
        <w:rPr>
          <w:rFonts w:ascii="Calibri" w:hAnsi="Calibri"/>
        </w:rPr>
        <w:t xml:space="preserve"> </w:t>
      </w:r>
      <w:r>
        <w:rPr>
          <w:noProof/>
        </w:rPr>
        <w:t>(2</w:t>
      </w:r>
      <w:r w:rsidR="005E3BD3">
        <w:rPr>
          <w:noProof/>
        </w:rPr>
        <w:t>9</w:t>
      </w:r>
      <w:r>
        <w:rPr>
          <w:noProof/>
        </w:rPr>
        <w:t xml:space="preserve">, </w:t>
      </w:r>
      <w:r w:rsidR="005E3BD3">
        <w:rPr>
          <w:noProof/>
        </w:rPr>
        <w:t>30</w:t>
      </w:r>
      <w:r>
        <w:rPr>
          <w:noProof/>
        </w:rPr>
        <w:t>)</w:t>
      </w:r>
      <w:r>
        <w:t xml:space="preserve">.  </w:t>
      </w:r>
      <w:r w:rsidR="0083509F">
        <w:t xml:space="preserve">Blood samples were taken after at least 12 hours of fasting.  </w:t>
      </w:r>
      <w:r>
        <w:t xml:space="preserve">A high triglyceride level was defined as </w:t>
      </w:r>
      <w:r>
        <w:rPr>
          <w:rFonts w:ascii="Calibri" w:hAnsi="Calibri"/>
        </w:rPr>
        <w:t>≥</w:t>
      </w:r>
      <w:r>
        <w:t>1.7 mmol/L or treatment for hypertriglyceridaemia</w:t>
      </w:r>
      <w:r w:rsidR="0083509F">
        <w:t xml:space="preserve"> </w:t>
      </w:r>
      <w:r w:rsidR="005E3BD3">
        <w:rPr>
          <w:noProof/>
        </w:rPr>
        <w:t>(30</w:t>
      </w:r>
      <w:r w:rsidR="0083509F">
        <w:rPr>
          <w:noProof/>
        </w:rPr>
        <w:t>)</w:t>
      </w:r>
      <w:r>
        <w:t xml:space="preserve">.  A high blood glucose was defined as fasting blood glucose </w:t>
      </w:r>
      <w:r>
        <w:rPr>
          <w:rFonts w:ascii="Calibri" w:hAnsi="Calibri"/>
        </w:rPr>
        <w:t xml:space="preserve">≥6.1 mmol/L; type 2 diabetes mellitus ≥7.0 mmol/L </w:t>
      </w:r>
      <w:r w:rsidR="00EA363D">
        <w:rPr>
          <w:rFonts w:ascii="Calibri" w:hAnsi="Calibri"/>
        </w:rPr>
        <w:t xml:space="preserve">(fasting) </w:t>
      </w:r>
      <w:r>
        <w:rPr>
          <w:rFonts w:ascii="Calibri" w:hAnsi="Calibri"/>
        </w:rPr>
        <w:t xml:space="preserve">or treatment for diabetes.  </w:t>
      </w:r>
      <w:r>
        <w:t xml:space="preserve">Hypercholesterolaemia was defined as </w:t>
      </w:r>
      <w:r>
        <w:rPr>
          <w:rFonts w:ascii="Calibri" w:hAnsi="Calibri"/>
        </w:rPr>
        <w:t xml:space="preserve">≥5 mmol/L (as per generic National Health Service advice) or treatment for hypercholesterolaemia.  </w:t>
      </w:r>
      <w:r>
        <w:t xml:space="preserve">Hypertension was defined as a systolic blood pressure </w:t>
      </w:r>
      <w:r>
        <w:rPr>
          <w:rFonts w:ascii="Calibri" w:hAnsi="Calibri"/>
        </w:rPr>
        <w:t>≥130 mmHg and/or diastolic blood pressure ≥85 mmHg</w:t>
      </w:r>
      <w:r w:rsidR="00EA363D">
        <w:rPr>
          <w:rFonts w:ascii="Calibri" w:hAnsi="Calibri"/>
        </w:rPr>
        <w:t xml:space="preserve"> (average of 3 examinations)</w:t>
      </w:r>
      <w:r>
        <w:rPr>
          <w:rFonts w:ascii="Calibri" w:hAnsi="Calibri"/>
        </w:rPr>
        <w:t xml:space="preserve"> </w:t>
      </w:r>
      <w:r>
        <w:t xml:space="preserve"> </w:t>
      </w:r>
      <w:r>
        <w:rPr>
          <w:rFonts w:ascii="Calibri" w:hAnsi="Calibri"/>
        </w:rPr>
        <w:t>or treatment for hypertension</w:t>
      </w:r>
      <w:r w:rsidR="0083509F">
        <w:rPr>
          <w:rFonts w:ascii="Calibri" w:hAnsi="Calibri"/>
        </w:rPr>
        <w:t xml:space="preserve"> </w:t>
      </w:r>
      <w:r w:rsidR="005E3BD3">
        <w:rPr>
          <w:noProof/>
        </w:rPr>
        <w:t>(30</w:t>
      </w:r>
      <w:r w:rsidR="0083509F">
        <w:rPr>
          <w:noProof/>
        </w:rPr>
        <w:t>)</w:t>
      </w:r>
      <w:r>
        <w:rPr>
          <w:rFonts w:ascii="Calibri" w:hAnsi="Calibri"/>
        </w:rPr>
        <w:t xml:space="preserve">. </w:t>
      </w:r>
    </w:p>
    <w:p w14:paraId="3A4796E3" w14:textId="77777777" w:rsidR="007E0E6D" w:rsidRPr="00041FF6" w:rsidRDefault="007E0E6D" w:rsidP="00531EBF">
      <w:pPr>
        <w:spacing w:line="360" w:lineRule="auto"/>
        <w:rPr>
          <w:rFonts w:cstheme="minorHAnsi"/>
          <w:b/>
        </w:rPr>
      </w:pPr>
      <w:r w:rsidRPr="00041FF6">
        <w:rPr>
          <w:rFonts w:cstheme="minorHAnsi"/>
          <w:b/>
        </w:rPr>
        <w:t>Quality of life and well-being assessment</w:t>
      </w:r>
    </w:p>
    <w:p w14:paraId="67744AB2" w14:textId="2C3067C4" w:rsidR="007E0E6D" w:rsidRDefault="007E0E6D" w:rsidP="00531EBF">
      <w:pPr>
        <w:spacing w:line="360" w:lineRule="auto"/>
        <w:rPr>
          <w:rFonts w:cstheme="minorHAnsi"/>
        </w:rPr>
      </w:pPr>
      <w:r>
        <w:rPr>
          <w:rFonts w:cstheme="minorHAnsi"/>
        </w:rPr>
        <w:t xml:space="preserve">A </w:t>
      </w:r>
      <w:r w:rsidRPr="00376942">
        <w:rPr>
          <w:rFonts w:cstheme="minorHAnsi"/>
        </w:rPr>
        <w:t>wellbeing questionnaire</w:t>
      </w:r>
      <w:r>
        <w:rPr>
          <w:rFonts w:cstheme="minorHAnsi"/>
        </w:rPr>
        <w:t xml:space="preserve"> adapted for the study</w:t>
      </w:r>
      <w:r w:rsidRPr="00376942">
        <w:rPr>
          <w:rFonts w:cstheme="minorHAnsi"/>
        </w:rPr>
        <w:t xml:space="preserve">, the Sheehan Disability Scale tool </w:t>
      </w:r>
      <w:r>
        <w:rPr>
          <w:rFonts w:cstheme="minorHAnsi"/>
          <w:noProof/>
        </w:rPr>
        <w:t>(3</w:t>
      </w:r>
      <w:r w:rsidR="005E3BD3">
        <w:rPr>
          <w:rFonts w:cstheme="minorHAnsi"/>
          <w:noProof/>
        </w:rPr>
        <w:t>1</w:t>
      </w:r>
      <w:r>
        <w:rPr>
          <w:rFonts w:cstheme="minorHAnsi"/>
          <w:noProof/>
        </w:rPr>
        <w:t>)</w:t>
      </w:r>
      <w:r>
        <w:rPr>
          <w:rFonts w:cstheme="minorHAnsi"/>
        </w:rPr>
        <w:t xml:space="preserve"> </w:t>
      </w:r>
      <w:r w:rsidRPr="00376942">
        <w:rPr>
          <w:rFonts w:cstheme="minorHAnsi"/>
        </w:rPr>
        <w:t>and the ‘Schedule for the Evaluation of Individual Quality of Life – Direct Weighting’ (SEIQoL-DW) standardised assessment tool</w:t>
      </w:r>
      <w:r>
        <w:rPr>
          <w:rFonts w:cstheme="minorHAnsi"/>
        </w:rPr>
        <w:t xml:space="preserve"> </w:t>
      </w:r>
      <w:r>
        <w:rPr>
          <w:noProof/>
        </w:rPr>
        <w:t>(3</w:t>
      </w:r>
      <w:r w:rsidR="005E3BD3">
        <w:rPr>
          <w:noProof/>
        </w:rPr>
        <w:t>2</w:t>
      </w:r>
      <w:r>
        <w:rPr>
          <w:noProof/>
        </w:rPr>
        <w:t>)</w:t>
      </w:r>
      <w:r w:rsidRPr="00376942">
        <w:rPr>
          <w:rFonts w:cstheme="minorHAnsi"/>
        </w:rPr>
        <w:t xml:space="preserve"> </w:t>
      </w:r>
      <w:r>
        <w:rPr>
          <w:rFonts w:cstheme="minorHAnsi"/>
        </w:rPr>
        <w:t xml:space="preserve">were administered face to face </w:t>
      </w:r>
      <w:r w:rsidRPr="00376942">
        <w:rPr>
          <w:rFonts w:cstheme="minorHAnsi"/>
        </w:rPr>
        <w:t>(</w:t>
      </w:r>
      <w:r>
        <w:rPr>
          <w:rFonts w:cstheme="minorHAnsi"/>
        </w:rPr>
        <w:t xml:space="preserve">see </w:t>
      </w:r>
      <w:r w:rsidRPr="006F4823">
        <w:rPr>
          <w:rFonts w:cstheme="minorHAnsi"/>
        </w:rPr>
        <w:t>supplementary information)</w:t>
      </w:r>
      <w:r w:rsidRPr="00376942">
        <w:rPr>
          <w:rFonts w:cstheme="minorHAnsi"/>
        </w:rPr>
        <w:t xml:space="preserve">.  </w:t>
      </w:r>
    </w:p>
    <w:p w14:paraId="73626C66" w14:textId="77777777" w:rsidR="007E0E6D" w:rsidRPr="005B0AC7" w:rsidRDefault="007E0E6D" w:rsidP="00531EBF">
      <w:pPr>
        <w:spacing w:line="360" w:lineRule="auto"/>
        <w:rPr>
          <w:rFonts w:cstheme="minorHAnsi"/>
          <w:b/>
        </w:rPr>
      </w:pPr>
      <w:r w:rsidRPr="005B0AC7">
        <w:rPr>
          <w:rFonts w:cstheme="minorHAnsi"/>
          <w:b/>
        </w:rPr>
        <w:t>Molecular genetic analysis</w:t>
      </w:r>
    </w:p>
    <w:p w14:paraId="21E567D0" w14:textId="0500EA82" w:rsidR="007E0E6D" w:rsidRDefault="007E0E6D" w:rsidP="00531EBF">
      <w:pPr>
        <w:spacing w:line="360" w:lineRule="auto"/>
      </w:pPr>
      <w:r>
        <w:t>Methylation at the imprinted differentially methylated regions (DMRs) of chromosome 7 and 11 (</w:t>
      </w:r>
      <w:r w:rsidRPr="00180AC2">
        <w:t>GRB10 alt-TSS DMR</w:t>
      </w:r>
      <w:r>
        <w:t xml:space="preserve"> (7p12); MEST alt-TSS DMR (7q32), H19/IGF2 IG-DMR (or IC1, 11p15), KCNQ1OT1 TSS DMR (or IC2, 11p15)), was evaluated using methylation</w:t>
      </w:r>
      <w:r>
        <w:noBreakHyphen/>
        <w:t xml:space="preserve">specific polymerase chain reaction (MS-PCR) as previously described </w:t>
      </w:r>
      <w:r>
        <w:rPr>
          <w:noProof/>
        </w:rPr>
        <w:t>(3</w:t>
      </w:r>
      <w:r w:rsidR="005E3BD3">
        <w:rPr>
          <w:noProof/>
        </w:rPr>
        <w:t>3</w:t>
      </w:r>
      <w:r>
        <w:rPr>
          <w:noProof/>
        </w:rPr>
        <w:t>)</w:t>
      </w:r>
      <w:r>
        <w:t xml:space="preserve"> and methylation-specific multiplex ligation</w:t>
      </w:r>
      <w:r>
        <w:noBreakHyphen/>
        <w:t>dependent probe amplification (MS</w:t>
      </w:r>
      <w:r>
        <w:noBreakHyphen/>
        <w:t xml:space="preserve">MLPA) </w:t>
      </w:r>
      <w:r>
        <w:rPr>
          <w:noProof/>
        </w:rPr>
        <w:t>(3</w:t>
      </w:r>
      <w:r w:rsidR="005E3BD3">
        <w:rPr>
          <w:noProof/>
        </w:rPr>
        <w:t>4</w:t>
      </w:r>
      <w:r>
        <w:rPr>
          <w:noProof/>
        </w:rPr>
        <w:t>)</w:t>
      </w:r>
      <w:r>
        <w:t xml:space="preserve">; findings of the two testing methods were fully concordant.  </w:t>
      </w:r>
    </w:p>
    <w:p w14:paraId="78CC599F" w14:textId="77777777" w:rsidR="007E0E6D" w:rsidRDefault="007E0E6D" w:rsidP="00531EBF">
      <w:pPr>
        <w:spacing w:line="360" w:lineRule="auto"/>
        <w:outlineLvl w:val="0"/>
        <w:rPr>
          <w:rFonts w:cstheme="minorHAnsi"/>
          <w:b/>
        </w:rPr>
      </w:pPr>
      <w:r>
        <w:rPr>
          <w:rFonts w:cstheme="minorHAnsi"/>
          <w:b/>
        </w:rPr>
        <w:t>Statistical analysis</w:t>
      </w:r>
    </w:p>
    <w:p w14:paraId="52971867" w14:textId="0F313188" w:rsidR="007E0E6D" w:rsidRPr="00BE03BC" w:rsidRDefault="007E0E6D" w:rsidP="00531EBF">
      <w:pPr>
        <w:spacing w:line="360" w:lineRule="auto"/>
        <w:rPr>
          <w:rFonts w:cstheme="minorHAnsi"/>
        </w:rPr>
      </w:pPr>
      <w:r>
        <w:rPr>
          <w:rFonts w:cstheme="minorHAnsi"/>
        </w:rPr>
        <w:t>Standard deviation scores (SDS)</w:t>
      </w:r>
      <w:r w:rsidRPr="00376942">
        <w:rPr>
          <w:rFonts w:cstheme="minorHAnsi"/>
        </w:rPr>
        <w:t xml:space="preserve"> were calculated using the LMS growth Excel add-in and UK 19</w:t>
      </w:r>
      <w:r>
        <w:rPr>
          <w:rFonts w:cstheme="minorHAnsi"/>
        </w:rPr>
        <w:t xml:space="preserve">90 data </w:t>
      </w:r>
      <w:r>
        <w:rPr>
          <w:rFonts w:cstheme="minorHAnsi"/>
          <w:noProof/>
        </w:rPr>
        <w:t>(3</w:t>
      </w:r>
      <w:r w:rsidR="005E3BD3">
        <w:rPr>
          <w:rFonts w:cstheme="minorHAnsi"/>
          <w:noProof/>
        </w:rPr>
        <w:t>5</w:t>
      </w:r>
      <w:r>
        <w:rPr>
          <w:rFonts w:cstheme="minorHAnsi"/>
          <w:noProof/>
        </w:rPr>
        <w:t>)</w:t>
      </w:r>
      <w:r>
        <w:rPr>
          <w:rFonts w:cstheme="minorHAnsi"/>
        </w:rPr>
        <w:t xml:space="preserve"> for occipital</w:t>
      </w:r>
      <w:r w:rsidRPr="00376942">
        <w:rPr>
          <w:rFonts w:cstheme="minorHAnsi"/>
        </w:rPr>
        <w:t>-frontal circumference for age, height for age, weight for age, and body mass index for age.  The upper age limits of</w:t>
      </w:r>
      <w:r>
        <w:rPr>
          <w:rFonts w:cstheme="minorHAnsi"/>
        </w:rPr>
        <w:t xml:space="preserve"> the reference data for occipital</w:t>
      </w:r>
      <w:r w:rsidRPr="00376942">
        <w:rPr>
          <w:rFonts w:cstheme="minorHAnsi"/>
        </w:rPr>
        <w:t>-frontal circumference are 17 years and 18 years in females and males respectively.  The upper age limit for height and weight is 23 years.  Participants’ SDS were calculated using their data for their actual age</w:t>
      </w:r>
      <w:r>
        <w:rPr>
          <w:rFonts w:cstheme="minorHAnsi"/>
        </w:rPr>
        <w:t xml:space="preserve"> </w:t>
      </w:r>
      <w:r w:rsidRPr="00376942">
        <w:rPr>
          <w:rFonts w:cstheme="minorHAnsi"/>
        </w:rPr>
        <w:t xml:space="preserve">if within the </w:t>
      </w:r>
      <w:r w:rsidRPr="00376942">
        <w:rPr>
          <w:rFonts w:cstheme="minorHAnsi"/>
        </w:rPr>
        <w:lastRenderedPageBreak/>
        <w:t>reference data</w:t>
      </w:r>
      <w:r>
        <w:rPr>
          <w:rFonts w:cstheme="minorHAnsi"/>
        </w:rPr>
        <w:t xml:space="preserve"> or, w</w:t>
      </w:r>
      <w:r w:rsidRPr="00376942">
        <w:rPr>
          <w:rFonts w:cstheme="minorHAnsi"/>
        </w:rPr>
        <w:t xml:space="preserve">here the participant was older than the upper age limit, using the data for the </w:t>
      </w:r>
      <w:r w:rsidRPr="00BE03BC">
        <w:rPr>
          <w:rFonts w:cstheme="minorHAnsi"/>
        </w:rPr>
        <w:t xml:space="preserve">highest age possible.  </w:t>
      </w:r>
    </w:p>
    <w:p w14:paraId="09901A23" w14:textId="31ED6F2B" w:rsidR="007E0E6D" w:rsidRDefault="007E0E6D" w:rsidP="00531EBF">
      <w:pPr>
        <w:spacing w:line="360" w:lineRule="auto"/>
        <w:rPr>
          <w:rFonts w:cstheme="minorHAnsi"/>
        </w:rPr>
      </w:pPr>
      <w:r w:rsidRPr="00BE03BC">
        <w:rPr>
          <w:rFonts w:cstheme="minorHAnsi"/>
        </w:rPr>
        <w:t xml:space="preserve">The distributions of continuous variables were examined for normality. Continuous variables with a normal distribution were compared between two groups using the two-sample t-test.  Continuous variables with non-normal distributions were analysed using the Mann-Whitney U test where there were two groups.  </w:t>
      </w:r>
      <w:r w:rsidR="00BE03BC" w:rsidRPr="00BE03BC">
        <w:rPr>
          <w:rFonts w:cstheme="minorHAnsi"/>
        </w:rPr>
        <w:t xml:space="preserve">Categorical variables were analysed using the Fisher’s exact or Chi square tests.  </w:t>
      </w:r>
      <w:r w:rsidRPr="00BE03BC">
        <w:rPr>
          <w:rFonts w:cstheme="minorHAnsi"/>
        </w:rPr>
        <w:t>Comparison of ordinal variables between two groups was performed using the Mann-Whitney U test.</w:t>
      </w:r>
      <w:r w:rsidRPr="00376942">
        <w:rPr>
          <w:rFonts w:cstheme="minorHAnsi"/>
        </w:rPr>
        <w:t xml:space="preserve">  </w:t>
      </w:r>
    </w:p>
    <w:p w14:paraId="784767B6" w14:textId="77777777" w:rsidR="007E0E6D" w:rsidRDefault="007E0E6D" w:rsidP="00531EBF">
      <w:pPr>
        <w:spacing w:line="360" w:lineRule="auto"/>
        <w:outlineLvl w:val="0"/>
        <w:rPr>
          <w:rFonts w:cstheme="minorHAnsi"/>
        </w:rPr>
      </w:pPr>
      <w:r>
        <w:rPr>
          <w:rFonts w:cstheme="minorHAnsi"/>
          <w:b/>
        </w:rPr>
        <w:t>RESULTS</w:t>
      </w:r>
    </w:p>
    <w:p w14:paraId="66629764" w14:textId="6A9A8458" w:rsidR="007E0E6D" w:rsidRDefault="007E0E6D" w:rsidP="00531EBF">
      <w:pPr>
        <w:autoSpaceDE w:val="0"/>
        <w:autoSpaceDN w:val="0"/>
        <w:adjustRightInd w:val="0"/>
        <w:spacing w:line="360" w:lineRule="auto"/>
        <w:rPr>
          <w:rFonts w:cstheme="minorHAnsi"/>
          <w:lang w:val="en-US"/>
        </w:rPr>
      </w:pPr>
      <w:r w:rsidRPr="00262874">
        <w:rPr>
          <w:rFonts w:cstheme="minorHAnsi"/>
        </w:rPr>
        <w:t xml:space="preserve">33 </w:t>
      </w:r>
      <w:r w:rsidRPr="00376942">
        <w:rPr>
          <w:rFonts w:cstheme="minorHAnsi"/>
        </w:rPr>
        <w:t xml:space="preserve">patients were </w:t>
      </w:r>
      <w:r>
        <w:rPr>
          <w:rFonts w:cstheme="minorHAnsi"/>
        </w:rPr>
        <w:t>recruited</w:t>
      </w:r>
      <w:r w:rsidRPr="00376942">
        <w:rPr>
          <w:rFonts w:cstheme="minorHAnsi"/>
        </w:rPr>
        <w:t xml:space="preserve"> </w:t>
      </w:r>
      <w:r>
        <w:rPr>
          <w:rFonts w:cstheme="minorHAnsi"/>
        </w:rPr>
        <w:t xml:space="preserve">including </w:t>
      </w:r>
      <w:r w:rsidRPr="00376942">
        <w:rPr>
          <w:rFonts w:cstheme="minorHAnsi"/>
          <w:lang w:val="en-US"/>
        </w:rPr>
        <w:t xml:space="preserve">18 (54.5%) females and 15 (45.5%) males </w:t>
      </w:r>
      <w:r>
        <w:rPr>
          <w:rFonts w:cstheme="minorHAnsi"/>
          <w:lang w:val="en-US"/>
        </w:rPr>
        <w:t xml:space="preserve">with a </w:t>
      </w:r>
      <w:r w:rsidRPr="00376942">
        <w:rPr>
          <w:rFonts w:cstheme="minorHAnsi"/>
          <w:lang w:val="en-US"/>
        </w:rPr>
        <w:t xml:space="preserve">median age </w:t>
      </w:r>
      <w:r>
        <w:rPr>
          <w:rFonts w:cstheme="minorHAnsi"/>
          <w:lang w:val="en-US"/>
        </w:rPr>
        <w:t xml:space="preserve">of </w:t>
      </w:r>
      <w:r w:rsidRPr="00376942">
        <w:rPr>
          <w:rFonts w:cstheme="minorHAnsi"/>
          <w:lang w:val="en-US"/>
        </w:rPr>
        <w:t>29.58 years (range 13.36 to 69.71)</w:t>
      </w:r>
      <w:r>
        <w:rPr>
          <w:rFonts w:cstheme="minorHAnsi"/>
          <w:lang w:val="en-US"/>
        </w:rPr>
        <w:t>.  IC1 LOM was identified in 2</w:t>
      </w:r>
      <w:r w:rsidRPr="00376942">
        <w:rPr>
          <w:rFonts w:cstheme="minorHAnsi"/>
        </w:rPr>
        <w:t xml:space="preserve">7 (81.8%) </w:t>
      </w:r>
      <w:r>
        <w:rPr>
          <w:rFonts w:cstheme="minorHAnsi"/>
        </w:rPr>
        <w:t>and matUPD7 in</w:t>
      </w:r>
      <w:r w:rsidRPr="00376942">
        <w:rPr>
          <w:rFonts w:cstheme="minorHAnsi"/>
        </w:rPr>
        <w:t xml:space="preserve"> 6 (18.2%).</w:t>
      </w:r>
      <w:r w:rsidRPr="00376942">
        <w:rPr>
          <w:rFonts w:cstheme="minorHAnsi"/>
          <w:lang w:val="en-US"/>
        </w:rPr>
        <w:t xml:space="preserve"> </w:t>
      </w:r>
      <w:r>
        <w:rPr>
          <w:rFonts w:cstheme="minorHAnsi"/>
          <w:lang w:val="en-US"/>
        </w:rPr>
        <w:t xml:space="preserve"> Results are provided by patient in the Supplementary table.</w:t>
      </w:r>
      <w:r w:rsidR="0014302F">
        <w:rPr>
          <w:rFonts w:cstheme="minorHAnsi"/>
          <w:lang w:val="en-US"/>
        </w:rPr>
        <w:t xml:space="preserve"> </w:t>
      </w:r>
      <w:r w:rsidR="00F964AD">
        <w:rPr>
          <w:rFonts w:cstheme="minorHAnsi"/>
          <w:lang w:val="en-US"/>
        </w:rPr>
        <w:t xml:space="preserve"> </w:t>
      </w:r>
      <w:r w:rsidR="0014302F">
        <w:rPr>
          <w:rFonts w:cstheme="minorHAnsi"/>
          <w:lang w:val="en-US"/>
        </w:rPr>
        <w:t xml:space="preserve">These individuals make up the </w:t>
      </w:r>
      <w:r w:rsidR="00693F5D">
        <w:rPr>
          <w:rFonts w:cstheme="minorHAnsi"/>
          <w:lang w:val="en-US"/>
        </w:rPr>
        <w:t>Study of Adults and Adolescents with Russell Silver Syndrome (</w:t>
      </w:r>
      <w:r w:rsidR="0014302F">
        <w:rPr>
          <w:rFonts w:cstheme="minorHAnsi"/>
          <w:lang w:val="en-US"/>
        </w:rPr>
        <w:t>STAARS</w:t>
      </w:r>
      <w:r w:rsidR="00693F5D">
        <w:rPr>
          <w:rFonts w:cstheme="minorHAnsi"/>
          <w:lang w:val="en-US"/>
        </w:rPr>
        <w:t>)</w:t>
      </w:r>
      <w:r w:rsidR="0014302F">
        <w:rPr>
          <w:rFonts w:cstheme="minorHAnsi"/>
          <w:lang w:val="en-US"/>
        </w:rPr>
        <w:t xml:space="preserve"> cohort.</w:t>
      </w:r>
    </w:p>
    <w:p w14:paraId="6F56D548" w14:textId="77777777" w:rsidR="007E0E6D" w:rsidRPr="000669A8" w:rsidRDefault="007E0E6D" w:rsidP="00531EBF">
      <w:pPr>
        <w:spacing w:line="360" w:lineRule="auto"/>
        <w:outlineLvl w:val="0"/>
        <w:rPr>
          <w:rFonts w:cstheme="minorHAnsi"/>
          <w:b/>
        </w:rPr>
      </w:pPr>
      <w:r w:rsidRPr="000669A8">
        <w:rPr>
          <w:rFonts w:cstheme="minorHAnsi"/>
          <w:b/>
        </w:rPr>
        <w:t>Growth</w:t>
      </w:r>
    </w:p>
    <w:p w14:paraId="714111F5" w14:textId="77777777" w:rsidR="007E0E6D" w:rsidRPr="00D51599" w:rsidRDefault="007E0E6D" w:rsidP="00531EBF">
      <w:pPr>
        <w:spacing w:line="360" w:lineRule="auto"/>
        <w:outlineLvl w:val="0"/>
        <w:rPr>
          <w:rFonts w:cstheme="minorHAnsi"/>
        </w:rPr>
      </w:pPr>
      <w:r w:rsidRPr="00D51599">
        <w:rPr>
          <w:rFonts w:cstheme="minorHAnsi"/>
        </w:rPr>
        <w:t xml:space="preserve">Amalgamated growth measurements of the cohort are shown by genotype (A) and by age (B) in Table </w:t>
      </w:r>
      <w:r>
        <w:rPr>
          <w:rFonts w:cstheme="minorHAnsi"/>
        </w:rPr>
        <w:t>1</w:t>
      </w:r>
      <w:r w:rsidRPr="00D51599">
        <w:rPr>
          <w:rFonts w:cstheme="minorHAnsi"/>
        </w:rPr>
        <w:t>.</w:t>
      </w:r>
    </w:p>
    <w:p w14:paraId="685AC5EF" w14:textId="77777777" w:rsidR="007E0E6D" w:rsidRDefault="007E0E6D" w:rsidP="00531EBF">
      <w:pPr>
        <w:spacing w:line="360" w:lineRule="auto"/>
        <w:outlineLvl w:val="0"/>
        <w:rPr>
          <w:rFonts w:cstheme="minorHAnsi"/>
        </w:rPr>
      </w:pPr>
      <w:r>
        <w:rPr>
          <w:rFonts w:cstheme="minorHAnsi"/>
        </w:rPr>
        <w:t xml:space="preserve">Historical data gathered during the interview showed that </w:t>
      </w:r>
      <w:r w:rsidRPr="002D4CF0">
        <w:rPr>
          <w:rFonts w:cstheme="minorHAnsi"/>
        </w:rPr>
        <w:t>78.8% (26/32) of individu</w:t>
      </w:r>
      <w:r>
        <w:rPr>
          <w:rFonts w:cstheme="minorHAnsi"/>
        </w:rPr>
        <w:t xml:space="preserve">als had a birth weight ≤-2 SDS. </w:t>
      </w:r>
      <w:r w:rsidRPr="002D4CF0">
        <w:rPr>
          <w:rFonts w:cstheme="minorHAnsi"/>
        </w:rPr>
        <w:t>Relat</w:t>
      </w:r>
      <w:r>
        <w:rPr>
          <w:rFonts w:cstheme="minorHAnsi"/>
        </w:rPr>
        <w:t xml:space="preserve">ive macrocephaly at birth </w:t>
      </w:r>
      <w:r w:rsidRPr="002D4CF0">
        <w:rPr>
          <w:rFonts w:cstheme="minorHAnsi"/>
        </w:rPr>
        <w:t>was present in 77.8% (7/9)</w:t>
      </w:r>
      <w:r>
        <w:rPr>
          <w:rFonts w:cstheme="minorHAnsi"/>
        </w:rPr>
        <w:t xml:space="preserve"> where records were available</w:t>
      </w:r>
      <w:r w:rsidRPr="002D4CF0">
        <w:rPr>
          <w:rFonts w:cstheme="minorHAnsi"/>
        </w:rPr>
        <w:t>.</w:t>
      </w:r>
      <w:r>
        <w:rPr>
          <w:rFonts w:cstheme="minorHAnsi"/>
        </w:rPr>
        <w:t xml:space="preserve">  </w:t>
      </w:r>
      <w:r w:rsidRPr="002D4CF0">
        <w:rPr>
          <w:rFonts w:cstheme="minorHAnsi"/>
        </w:rPr>
        <w:t>Preterm births occurred in 22.6% (7/31) of this cohort</w:t>
      </w:r>
      <w:r>
        <w:rPr>
          <w:rFonts w:cstheme="minorHAnsi"/>
        </w:rPr>
        <w:t xml:space="preserve"> and the mean gestation of the cohort was 38 weeks (interquartile range, IQR</w:t>
      </w:r>
      <w:r w:rsidRPr="002D4CF0">
        <w:rPr>
          <w:rFonts w:cstheme="minorHAnsi"/>
        </w:rPr>
        <w:t xml:space="preserve"> 37-40).</w:t>
      </w:r>
      <w:r>
        <w:rPr>
          <w:rFonts w:cstheme="minorHAnsi"/>
        </w:rPr>
        <w:t xml:space="preserve">  Intra-uterine growth restriction</w:t>
      </w:r>
      <w:r w:rsidRPr="002D4CF0">
        <w:rPr>
          <w:rFonts w:cstheme="minorHAnsi"/>
        </w:rPr>
        <w:t xml:space="preserve"> was </w:t>
      </w:r>
      <w:r>
        <w:rPr>
          <w:rFonts w:cstheme="minorHAnsi"/>
        </w:rPr>
        <w:t>recorded</w:t>
      </w:r>
      <w:r w:rsidRPr="002D4CF0">
        <w:rPr>
          <w:rFonts w:cstheme="minorHAnsi"/>
        </w:rPr>
        <w:t xml:space="preserve"> in 76.7% (23/30) of pregnancies.  </w:t>
      </w:r>
      <w:r w:rsidRPr="0047332C">
        <w:rPr>
          <w:rFonts w:cstheme="minorHAnsi"/>
        </w:rPr>
        <w:t>The media</w:t>
      </w:r>
      <w:r>
        <w:rPr>
          <w:rFonts w:cstheme="minorHAnsi"/>
        </w:rPr>
        <w:t>n age of puberty onset was 10.1</w:t>
      </w:r>
      <w:r w:rsidRPr="0047332C">
        <w:rPr>
          <w:rFonts w:cstheme="minorHAnsi"/>
        </w:rPr>
        <w:t xml:space="preserve"> years in females and 12.</w:t>
      </w:r>
      <w:r>
        <w:rPr>
          <w:rFonts w:cstheme="minorHAnsi"/>
        </w:rPr>
        <w:t>3</w:t>
      </w:r>
      <w:r w:rsidRPr="0047332C">
        <w:rPr>
          <w:rFonts w:cstheme="minorHAnsi"/>
        </w:rPr>
        <w:t xml:space="preserve"> years in males.</w:t>
      </w:r>
    </w:p>
    <w:p w14:paraId="7D684B3F" w14:textId="3F5DB301" w:rsidR="007E0E6D" w:rsidRDefault="007E0E6D" w:rsidP="00531EBF">
      <w:pPr>
        <w:spacing w:line="360" w:lineRule="auto"/>
        <w:rPr>
          <w:rFonts w:cstheme="minorHAnsi"/>
        </w:rPr>
      </w:pPr>
      <w:r>
        <w:rPr>
          <w:rFonts w:cstheme="minorHAnsi"/>
          <w:lang w:val="en-US"/>
        </w:rPr>
        <w:t>Measurements at the time of the study assessment showed that t</w:t>
      </w:r>
      <w:r w:rsidRPr="00376942">
        <w:rPr>
          <w:rFonts w:cstheme="minorHAnsi"/>
          <w:lang w:val="en-US"/>
        </w:rPr>
        <w:t>he median height SDS of the whole cohort was -2.67 (IQR -3.83 to -1.07)</w:t>
      </w:r>
      <w:r>
        <w:rPr>
          <w:rFonts w:cstheme="minorHAnsi"/>
          <w:lang w:val="en-US"/>
        </w:rPr>
        <w:t xml:space="preserve">. </w:t>
      </w:r>
      <w:r w:rsidRPr="00376942">
        <w:rPr>
          <w:rFonts w:cstheme="minorHAnsi"/>
        </w:rPr>
        <w:t xml:space="preserve"> </w:t>
      </w:r>
      <w:r w:rsidRPr="000D7FEE">
        <w:rPr>
          <w:rFonts w:cstheme="minorHAnsi"/>
        </w:rPr>
        <w:t>60.6% (20/33) had a height SDS ≤-2 SDS</w:t>
      </w:r>
      <w:r>
        <w:rPr>
          <w:rFonts w:cstheme="minorHAnsi"/>
        </w:rPr>
        <w:t xml:space="preserve"> despite </w:t>
      </w:r>
      <w:r>
        <w:rPr>
          <w:rFonts w:cstheme="minorHAnsi"/>
          <w:lang w:val="en-US"/>
        </w:rPr>
        <w:t>growth h</w:t>
      </w:r>
      <w:r w:rsidRPr="00376942">
        <w:rPr>
          <w:rFonts w:cstheme="minorHAnsi"/>
          <w:lang w:val="en-US"/>
        </w:rPr>
        <w:t>ormone treatment in 23 (69.7%)</w:t>
      </w:r>
      <w:r>
        <w:rPr>
          <w:rFonts w:cstheme="minorHAnsi"/>
          <w:lang w:val="en-US"/>
        </w:rPr>
        <w:t xml:space="preserve"> </w:t>
      </w:r>
      <w:r w:rsidRPr="00376942">
        <w:rPr>
          <w:rFonts w:cstheme="minorHAnsi"/>
          <w:lang w:val="en-US"/>
        </w:rPr>
        <w:t xml:space="preserve">of the </w:t>
      </w:r>
      <w:r>
        <w:rPr>
          <w:rFonts w:cstheme="minorHAnsi"/>
          <w:lang w:val="en-US"/>
        </w:rPr>
        <w:t>cohort</w:t>
      </w:r>
      <w:r w:rsidRPr="00376942">
        <w:rPr>
          <w:rFonts w:cstheme="minorHAnsi"/>
          <w:lang w:val="en-US"/>
        </w:rPr>
        <w:t>.</w:t>
      </w:r>
      <w:r>
        <w:rPr>
          <w:rFonts w:cstheme="minorHAnsi"/>
          <w:lang w:val="en-US"/>
        </w:rPr>
        <w:t xml:space="preserve"> </w:t>
      </w:r>
      <w:r w:rsidRPr="003812C2">
        <w:rPr>
          <w:rFonts w:cstheme="minorHAnsi"/>
        </w:rPr>
        <w:t xml:space="preserve">Males with </w:t>
      </w:r>
      <w:r>
        <w:rPr>
          <w:rFonts w:cstheme="minorHAnsi"/>
          <w:lang w:val="en-US"/>
        </w:rPr>
        <w:t xml:space="preserve">IC1 LOM </w:t>
      </w:r>
      <w:r w:rsidRPr="003812C2">
        <w:rPr>
          <w:rFonts w:cstheme="minorHAnsi"/>
        </w:rPr>
        <w:t xml:space="preserve">≥18 years had a median final height of 156.9 cm (IQR 150.3-171.3) with a median height SDS of -3.13 (IQR -4.09 to </w:t>
      </w:r>
      <w:r w:rsidR="00F964AD">
        <w:rPr>
          <w:rFonts w:cstheme="minorHAnsi"/>
        </w:rPr>
        <w:noBreakHyphen/>
      </w:r>
      <w:r w:rsidRPr="003812C2">
        <w:rPr>
          <w:rFonts w:cstheme="minorHAnsi"/>
        </w:rPr>
        <w:t xml:space="preserve">1.02).  Females ≥18 years had a median final height of 144.7 cm (IQR 141.0-157.1) and a median height SDS of -3.17 (IQR -3.79 to -1.12).  The final heights of individuals aged ≥18 years with matUPD7 was 159.3 cm (SDS -2.69) in the single male and </w:t>
      </w:r>
      <w:r>
        <w:rPr>
          <w:rFonts w:cstheme="minorHAnsi"/>
        </w:rPr>
        <w:t xml:space="preserve">a median of </w:t>
      </w:r>
      <w:r w:rsidRPr="003812C2">
        <w:rPr>
          <w:rFonts w:cstheme="minorHAnsi"/>
        </w:rPr>
        <w:t>143.6 cm (SDS -3.35) in the females (n=2).</w:t>
      </w:r>
      <w:r>
        <w:rPr>
          <w:rFonts w:cstheme="minorHAnsi"/>
        </w:rPr>
        <w:t xml:space="preserve"> </w:t>
      </w:r>
      <w:r w:rsidRPr="000D7FEE">
        <w:rPr>
          <w:rFonts w:cstheme="minorHAnsi"/>
        </w:rPr>
        <w:t>The median</w:t>
      </w:r>
      <w:r w:rsidRPr="000D7FEE">
        <w:rPr>
          <w:rFonts w:cstheme="minorHAnsi"/>
          <w:lang w:val="en-US"/>
        </w:rPr>
        <w:t xml:space="preserve"> weight SDS was -1.72 and median BMI SDS -0.53. Median weight SDS and BMI SDS were -1.22 and </w:t>
      </w:r>
      <w:r w:rsidR="00A85DAF">
        <w:rPr>
          <w:rFonts w:cstheme="minorHAnsi"/>
          <w:lang w:val="en-US"/>
        </w:rPr>
        <w:noBreakHyphen/>
      </w:r>
      <w:r w:rsidRPr="000D7FEE">
        <w:rPr>
          <w:rFonts w:cstheme="minorHAnsi"/>
          <w:lang w:val="en-US"/>
        </w:rPr>
        <w:t xml:space="preserve">1.33 respectively in males and -1.20 and </w:t>
      </w:r>
      <w:r w:rsidRPr="000D7FEE">
        <w:rPr>
          <w:rFonts w:cstheme="minorHAnsi"/>
          <w:lang w:val="en-US"/>
        </w:rPr>
        <w:noBreakHyphen/>
        <w:t>1.33 in females.</w:t>
      </w:r>
      <w:r>
        <w:rPr>
          <w:rFonts w:cstheme="minorHAnsi"/>
          <w:lang w:val="en-US"/>
        </w:rPr>
        <w:t xml:space="preserve">  </w:t>
      </w:r>
      <w:r w:rsidRPr="00376942">
        <w:rPr>
          <w:rFonts w:cstheme="minorHAnsi"/>
          <w:lang w:val="en-US"/>
        </w:rPr>
        <w:t xml:space="preserve">The median </w:t>
      </w:r>
      <w:r>
        <w:rPr>
          <w:rFonts w:cstheme="minorHAnsi"/>
          <w:lang w:val="en-US"/>
        </w:rPr>
        <w:t>head circumference was</w:t>
      </w:r>
      <w:r w:rsidRPr="00376942">
        <w:rPr>
          <w:rFonts w:cstheme="minorHAnsi"/>
          <w:lang w:val="en-US"/>
        </w:rPr>
        <w:t xml:space="preserve"> -0.95</w:t>
      </w:r>
      <w:r>
        <w:rPr>
          <w:rFonts w:cstheme="minorHAnsi"/>
          <w:lang w:val="en-US"/>
        </w:rPr>
        <w:t xml:space="preserve"> SDS in adulthood and r</w:t>
      </w:r>
      <w:r w:rsidRPr="00376942">
        <w:rPr>
          <w:rFonts w:cstheme="minorHAnsi"/>
        </w:rPr>
        <w:t xml:space="preserve">elative macrocephaly was present in 57.6%.  </w:t>
      </w:r>
    </w:p>
    <w:p w14:paraId="251B9F88" w14:textId="5FABE765" w:rsidR="007E0E6D" w:rsidRDefault="007E0E6D" w:rsidP="00531EBF">
      <w:pPr>
        <w:autoSpaceDE w:val="0"/>
        <w:autoSpaceDN w:val="0"/>
        <w:adjustRightInd w:val="0"/>
        <w:spacing w:line="360" w:lineRule="auto"/>
        <w:rPr>
          <w:rFonts w:cstheme="minorHAnsi"/>
        </w:rPr>
      </w:pPr>
      <w:r w:rsidRPr="00376942">
        <w:rPr>
          <w:rFonts w:cstheme="minorHAnsi"/>
        </w:rPr>
        <w:lastRenderedPageBreak/>
        <w:t>Asymmetry was present in 66.7% (22/33)</w:t>
      </w:r>
      <w:r w:rsidR="000A79C4">
        <w:rPr>
          <w:rFonts w:cstheme="minorHAnsi"/>
        </w:rPr>
        <w:t xml:space="preserve"> </w:t>
      </w:r>
      <w:r w:rsidR="00A85DAF">
        <w:rPr>
          <w:rFonts w:cstheme="minorHAnsi"/>
        </w:rPr>
        <w:t xml:space="preserve">and </w:t>
      </w:r>
      <w:r w:rsidRPr="00287A35">
        <w:rPr>
          <w:rFonts w:cstheme="minorHAnsi"/>
        </w:rPr>
        <w:t xml:space="preserve">was observed more commonly in </w:t>
      </w:r>
      <w:r>
        <w:rPr>
          <w:rFonts w:cstheme="minorHAnsi"/>
        </w:rPr>
        <w:t>IC1 LOM cases th</w:t>
      </w:r>
      <w:r w:rsidRPr="00287A35">
        <w:rPr>
          <w:rFonts w:cstheme="minorHAnsi"/>
        </w:rPr>
        <w:t xml:space="preserve">an in matUPD7; 77.8% vs 16.7% (p=0.01).  </w:t>
      </w:r>
    </w:p>
    <w:p w14:paraId="2FC3F0C2" w14:textId="77777777" w:rsidR="007E0E6D" w:rsidRDefault="007E0E6D" w:rsidP="00531EBF">
      <w:pPr>
        <w:autoSpaceDE w:val="0"/>
        <w:autoSpaceDN w:val="0"/>
        <w:adjustRightInd w:val="0"/>
        <w:spacing w:line="360" w:lineRule="auto"/>
        <w:outlineLvl w:val="0"/>
        <w:rPr>
          <w:rFonts w:cstheme="minorHAnsi"/>
          <w:b/>
        </w:rPr>
      </w:pPr>
      <w:r>
        <w:rPr>
          <w:rFonts w:cstheme="minorHAnsi"/>
          <w:b/>
        </w:rPr>
        <w:t>Adult d</w:t>
      </w:r>
      <w:r w:rsidRPr="00376942">
        <w:rPr>
          <w:rFonts w:cstheme="minorHAnsi"/>
          <w:b/>
        </w:rPr>
        <w:t>ysmorphology</w:t>
      </w:r>
    </w:p>
    <w:p w14:paraId="0AF81FD7" w14:textId="7F84380D" w:rsidR="007E0E6D" w:rsidRDefault="007E0E6D" w:rsidP="00531EBF">
      <w:pPr>
        <w:autoSpaceDE w:val="0"/>
        <w:autoSpaceDN w:val="0"/>
        <w:adjustRightInd w:val="0"/>
        <w:spacing w:line="360" w:lineRule="auto"/>
        <w:rPr>
          <w:rFonts w:cstheme="minorHAnsi"/>
        </w:rPr>
      </w:pPr>
      <w:r w:rsidRPr="002B6B95">
        <w:rPr>
          <w:rFonts w:cstheme="minorHAnsi"/>
        </w:rPr>
        <w:t>The</w:t>
      </w:r>
      <w:r>
        <w:rPr>
          <w:rFonts w:cstheme="minorHAnsi"/>
        </w:rPr>
        <w:t xml:space="preserve"> adult facial appearance is shown in </w:t>
      </w:r>
      <w:r w:rsidRPr="00615003">
        <w:rPr>
          <w:rFonts w:cstheme="minorHAnsi"/>
        </w:rPr>
        <w:t>Figure 1</w:t>
      </w:r>
      <w:r>
        <w:rPr>
          <w:rFonts w:cstheme="minorHAnsi"/>
        </w:rPr>
        <w:t xml:space="preserve"> and includes patients over the age of 18 years with consent to publish</w:t>
      </w:r>
      <w:r>
        <w:rPr>
          <w:rStyle w:val="CommentReference"/>
        </w:rPr>
        <w:t xml:space="preserve">.  </w:t>
      </w:r>
      <w:r>
        <w:rPr>
          <w:rFonts w:cstheme="minorHAnsi"/>
        </w:rPr>
        <w:t xml:space="preserve"> A broad forehead and facial asymmetry (15/33) were useful diagnostic features when present</w:t>
      </w:r>
      <w:r w:rsidRPr="002B6B95">
        <w:rPr>
          <w:rFonts w:cstheme="minorHAnsi"/>
        </w:rPr>
        <w:t xml:space="preserve">.  </w:t>
      </w:r>
      <w:r>
        <w:rPr>
          <w:rFonts w:cstheme="minorHAnsi"/>
        </w:rPr>
        <w:t xml:space="preserve"> A triangular shaped face, characteristic in childhood, was </w:t>
      </w:r>
      <w:r w:rsidRPr="00376942">
        <w:rPr>
          <w:rFonts w:cstheme="minorHAnsi"/>
        </w:rPr>
        <w:t xml:space="preserve">identified in </w:t>
      </w:r>
      <w:r>
        <w:rPr>
          <w:rFonts w:cstheme="minorHAnsi"/>
        </w:rPr>
        <w:t xml:space="preserve">only </w:t>
      </w:r>
      <w:r w:rsidRPr="00376942">
        <w:rPr>
          <w:rFonts w:cstheme="minorHAnsi"/>
        </w:rPr>
        <w:t>25.8% (8/31)</w:t>
      </w:r>
      <w:r>
        <w:rPr>
          <w:rFonts w:cstheme="minorHAnsi"/>
        </w:rPr>
        <w:t>, a</w:t>
      </w:r>
      <w:r w:rsidRPr="00376942">
        <w:rPr>
          <w:rFonts w:cstheme="minorHAnsi"/>
        </w:rPr>
        <w:t xml:space="preserve"> broad nasal tip and broad nasal bridge were present in 21.2% (7/33) and</w:t>
      </w:r>
      <w:r>
        <w:rPr>
          <w:rFonts w:cstheme="minorHAnsi"/>
        </w:rPr>
        <w:t xml:space="preserve"> 18.2% (6/33) respectively and </w:t>
      </w:r>
      <w:r w:rsidRPr="00376942">
        <w:rPr>
          <w:rFonts w:cstheme="minorHAnsi"/>
        </w:rPr>
        <w:t>retro-/micrognathia in 31.8% (7/22)</w:t>
      </w:r>
      <w:r>
        <w:rPr>
          <w:rFonts w:cstheme="minorHAnsi"/>
        </w:rPr>
        <w:t xml:space="preserve">. </w:t>
      </w:r>
      <w:r w:rsidRPr="00E06811">
        <w:rPr>
          <w:rFonts w:cstheme="minorHAnsi"/>
        </w:rPr>
        <w:t xml:space="preserve"> </w:t>
      </w:r>
      <w:r w:rsidRPr="00376942">
        <w:rPr>
          <w:rFonts w:cstheme="minorHAnsi"/>
        </w:rPr>
        <w:t>Low</w:t>
      </w:r>
      <w:r w:rsidR="00F964AD">
        <w:rPr>
          <w:rFonts w:cstheme="minorHAnsi"/>
        </w:rPr>
        <w:t>-</w:t>
      </w:r>
      <w:r w:rsidRPr="00376942">
        <w:rPr>
          <w:rFonts w:cstheme="minorHAnsi"/>
        </w:rPr>
        <w:t>set ears and posteriorly</w:t>
      </w:r>
      <w:r w:rsidR="00F964AD">
        <w:rPr>
          <w:rFonts w:cstheme="minorHAnsi"/>
        </w:rPr>
        <w:t>-</w:t>
      </w:r>
      <w:r w:rsidRPr="00376942">
        <w:rPr>
          <w:rFonts w:cstheme="minorHAnsi"/>
        </w:rPr>
        <w:t>rotated ears were present in 57.6% (19/33) a</w:t>
      </w:r>
      <w:r>
        <w:rPr>
          <w:rFonts w:cstheme="minorHAnsi"/>
        </w:rPr>
        <w:t xml:space="preserve">nd 54.5% (28/33) respectively. </w:t>
      </w:r>
      <w:r w:rsidRPr="00376942">
        <w:rPr>
          <w:rFonts w:cstheme="minorHAnsi"/>
        </w:rPr>
        <w:t xml:space="preserve">Down-slanting palpebral fissures were present in 30.3% (10/33).  </w:t>
      </w:r>
      <w:r>
        <w:rPr>
          <w:rFonts w:cstheme="minorHAnsi"/>
        </w:rPr>
        <w:t xml:space="preserve"> </w:t>
      </w:r>
    </w:p>
    <w:p w14:paraId="6BEA3B04" w14:textId="77777777" w:rsidR="007E0E6D" w:rsidRPr="00626B45" w:rsidRDefault="007E0E6D" w:rsidP="00531EBF">
      <w:pPr>
        <w:autoSpaceDE w:val="0"/>
        <w:autoSpaceDN w:val="0"/>
        <w:adjustRightInd w:val="0"/>
        <w:spacing w:line="360" w:lineRule="auto"/>
        <w:rPr>
          <w:rFonts w:cstheme="minorHAnsi"/>
          <w:b/>
        </w:rPr>
      </w:pPr>
      <w:r>
        <w:rPr>
          <w:rFonts w:cstheme="minorHAnsi"/>
          <w:b/>
        </w:rPr>
        <w:t>Relationship with food</w:t>
      </w:r>
    </w:p>
    <w:p w14:paraId="13E70656" w14:textId="77777777" w:rsidR="007E0E6D" w:rsidRDefault="007E0E6D" w:rsidP="00531EBF">
      <w:pPr>
        <w:autoSpaceDE w:val="0"/>
        <w:autoSpaceDN w:val="0"/>
        <w:adjustRightInd w:val="0"/>
        <w:spacing w:line="360" w:lineRule="auto"/>
        <w:rPr>
          <w:rFonts w:cstheme="minorHAnsi"/>
        </w:rPr>
      </w:pPr>
      <w:r>
        <w:rPr>
          <w:rFonts w:cstheme="minorHAnsi"/>
        </w:rPr>
        <w:t>While reported childhood feeding difficulties were a prominent feature (</w:t>
      </w:r>
      <w:r w:rsidRPr="00D248C2">
        <w:rPr>
          <w:rFonts w:cstheme="minorHAnsi"/>
        </w:rPr>
        <w:t>‘poor appetite’ (27/32)</w:t>
      </w:r>
      <w:r>
        <w:rPr>
          <w:rFonts w:cstheme="minorHAnsi"/>
        </w:rPr>
        <w:t>, n</w:t>
      </w:r>
      <w:r w:rsidRPr="00D248C2">
        <w:rPr>
          <w:rFonts w:cstheme="minorHAnsi"/>
        </w:rPr>
        <w:t>asogastric tube feeding (19/32) and gastrostomy feedin</w:t>
      </w:r>
      <w:r>
        <w:rPr>
          <w:rFonts w:cstheme="minorHAnsi"/>
        </w:rPr>
        <w:t>g (3/33)), r</w:t>
      </w:r>
      <w:r w:rsidRPr="00D248C2">
        <w:rPr>
          <w:rFonts w:cstheme="minorHAnsi"/>
        </w:rPr>
        <w:t xml:space="preserve">eports of feeding </w:t>
      </w:r>
      <w:r>
        <w:rPr>
          <w:rFonts w:cstheme="minorHAnsi"/>
        </w:rPr>
        <w:t>issues</w:t>
      </w:r>
      <w:r w:rsidRPr="00D248C2">
        <w:rPr>
          <w:rFonts w:cstheme="minorHAnsi"/>
        </w:rPr>
        <w:t xml:space="preserve"> </w:t>
      </w:r>
      <w:r>
        <w:rPr>
          <w:rFonts w:cstheme="minorHAnsi"/>
        </w:rPr>
        <w:t xml:space="preserve">in adulthood were largely unremarkable.  They included </w:t>
      </w:r>
      <w:r w:rsidRPr="00D248C2">
        <w:rPr>
          <w:rFonts w:cstheme="minorHAnsi"/>
        </w:rPr>
        <w:t xml:space="preserve">two cases </w:t>
      </w:r>
      <w:r>
        <w:rPr>
          <w:rFonts w:cstheme="minorHAnsi"/>
        </w:rPr>
        <w:t>who described themselves as ‘constantly hungry’</w:t>
      </w:r>
      <w:r w:rsidRPr="00D248C2">
        <w:rPr>
          <w:rFonts w:cstheme="minorHAnsi"/>
        </w:rPr>
        <w:t>, seven cases in which the appetite was described a</w:t>
      </w:r>
      <w:r>
        <w:rPr>
          <w:rFonts w:cstheme="minorHAnsi"/>
        </w:rPr>
        <w:t>s</w:t>
      </w:r>
      <w:r w:rsidRPr="00D248C2">
        <w:rPr>
          <w:rFonts w:cstheme="minorHAnsi"/>
        </w:rPr>
        <w:t xml:space="preserve"> ‘good’ or ‘large’ or there was an allusion to eating large or excessive volumes</w:t>
      </w:r>
      <w:r>
        <w:rPr>
          <w:rFonts w:cstheme="minorHAnsi"/>
        </w:rPr>
        <w:t>, but</w:t>
      </w:r>
      <w:r w:rsidRPr="00D248C2">
        <w:rPr>
          <w:rFonts w:cstheme="minorHAnsi"/>
        </w:rPr>
        <w:t xml:space="preserve"> four cases </w:t>
      </w:r>
      <w:r>
        <w:rPr>
          <w:rFonts w:cstheme="minorHAnsi"/>
        </w:rPr>
        <w:t>reported ‘</w:t>
      </w:r>
      <w:r w:rsidRPr="00D248C2">
        <w:rPr>
          <w:rFonts w:cstheme="minorHAnsi"/>
        </w:rPr>
        <w:t>fussy</w:t>
      </w:r>
      <w:r>
        <w:rPr>
          <w:rFonts w:cstheme="minorHAnsi"/>
        </w:rPr>
        <w:t>’</w:t>
      </w:r>
      <w:r w:rsidRPr="00D248C2">
        <w:rPr>
          <w:rFonts w:cstheme="minorHAnsi"/>
        </w:rPr>
        <w:t xml:space="preserve"> </w:t>
      </w:r>
      <w:r>
        <w:rPr>
          <w:rFonts w:cstheme="minorHAnsi"/>
        </w:rPr>
        <w:t>or ‘</w:t>
      </w:r>
      <w:r w:rsidRPr="00D248C2">
        <w:rPr>
          <w:rFonts w:cstheme="minorHAnsi"/>
        </w:rPr>
        <w:t>difficult</w:t>
      </w:r>
      <w:r>
        <w:rPr>
          <w:rFonts w:cstheme="minorHAnsi"/>
        </w:rPr>
        <w:t xml:space="preserve">y with’ eating. </w:t>
      </w:r>
    </w:p>
    <w:p w14:paraId="20EACAB7" w14:textId="77777777" w:rsidR="007E0E6D" w:rsidRPr="0000240D" w:rsidRDefault="007E0E6D" w:rsidP="00531EBF">
      <w:pPr>
        <w:autoSpaceDE w:val="0"/>
        <w:autoSpaceDN w:val="0"/>
        <w:adjustRightInd w:val="0"/>
        <w:spacing w:line="360" w:lineRule="auto"/>
        <w:rPr>
          <w:rFonts w:cstheme="minorHAnsi"/>
          <w:b/>
        </w:rPr>
      </w:pPr>
      <w:r w:rsidRPr="00A65528">
        <w:rPr>
          <w:rFonts w:cstheme="minorHAnsi"/>
          <w:b/>
        </w:rPr>
        <w:t>Neurodevelopment and educational attainment</w:t>
      </w:r>
    </w:p>
    <w:p w14:paraId="6A6F8E2B" w14:textId="77777777" w:rsidR="007E0E6D" w:rsidRDefault="007E0E6D" w:rsidP="00531EBF">
      <w:pPr>
        <w:autoSpaceDE w:val="0"/>
        <w:autoSpaceDN w:val="0"/>
        <w:adjustRightInd w:val="0"/>
        <w:spacing w:line="360" w:lineRule="auto"/>
        <w:rPr>
          <w:rFonts w:cstheme="minorHAnsi"/>
        </w:rPr>
      </w:pPr>
      <w:r>
        <w:rPr>
          <w:rFonts w:cstheme="minorHAnsi"/>
        </w:rPr>
        <w:t xml:space="preserve">Concerns </w:t>
      </w:r>
      <w:r w:rsidRPr="00D248C2">
        <w:rPr>
          <w:rFonts w:cstheme="minorHAnsi"/>
        </w:rPr>
        <w:t>about early development</w:t>
      </w:r>
      <w:r>
        <w:rPr>
          <w:rFonts w:cstheme="minorHAnsi"/>
        </w:rPr>
        <w:t xml:space="preserve"> were reported</w:t>
      </w:r>
      <w:r w:rsidRPr="00D248C2">
        <w:rPr>
          <w:rFonts w:cstheme="minorHAnsi"/>
        </w:rPr>
        <w:t xml:space="preserve"> </w:t>
      </w:r>
      <w:r>
        <w:rPr>
          <w:rFonts w:cstheme="minorHAnsi"/>
        </w:rPr>
        <w:t xml:space="preserve">with delay </w:t>
      </w:r>
      <w:r w:rsidRPr="00D248C2">
        <w:rPr>
          <w:rFonts w:cstheme="minorHAnsi"/>
        </w:rPr>
        <w:t>reaching mo</w:t>
      </w:r>
      <w:r>
        <w:rPr>
          <w:rFonts w:cstheme="minorHAnsi"/>
        </w:rPr>
        <w:t>tor milestones in 64.5% (20/31)</w:t>
      </w:r>
      <w:r w:rsidRPr="00D248C2">
        <w:rPr>
          <w:rFonts w:cstheme="minorHAnsi"/>
        </w:rPr>
        <w:t xml:space="preserve"> and speech development in</w:t>
      </w:r>
      <w:r>
        <w:rPr>
          <w:rFonts w:cstheme="minorHAnsi"/>
        </w:rPr>
        <w:t xml:space="preserve"> 38.7% (12/31).  The median age</w:t>
      </w:r>
      <w:r w:rsidRPr="00D248C2">
        <w:rPr>
          <w:rFonts w:cstheme="minorHAnsi"/>
        </w:rPr>
        <w:t xml:space="preserve"> for walking </w:t>
      </w:r>
      <w:r>
        <w:rPr>
          <w:rFonts w:cstheme="minorHAnsi"/>
        </w:rPr>
        <w:t xml:space="preserve">was </w:t>
      </w:r>
      <w:r w:rsidRPr="00D248C2">
        <w:rPr>
          <w:rFonts w:cstheme="minorHAnsi"/>
        </w:rPr>
        <w:t>16 months (IQR 13-24, n=27).  Speech therapy had been received in 18.2% (6/33).</w:t>
      </w:r>
      <w:r>
        <w:rPr>
          <w:rFonts w:cstheme="minorHAnsi"/>
        </w:rPr>
        <w:t xml:space="preserve"> </w:t>
      </w:r>
      <w:r w:rsidRPr="002D4CF0">
        <w:rPr>
          <w:rFonts w:ascii="Lucida Sans" w:eastAsia="Times New Roman" w:hAnsi="Lucida Sans" w:cs="Times New Roman"/>
          <w:lang w:eastAsia="zh-CN"/>
        </w:rPr>
        <w:t xml:space="preserve"> </w:t>
      </w:r>
      <w:r w:rsidRPr="002D4CF0">
        <w:rPr>
          <w:rFonts w:cstheme="minorHAnsi"/>
        </w:rPr>
        <w:t>The majority of individuals had attended mainstream education</w:t>
      </w:r>
      <w:r>
        <w:rPr>
          <w:rFonts w:cstheme="minorHAnsi"/>
        </w:rPr>
        <w:t>,</w:t>
      </w:r>
      <w:r w:rsidRPr="002D4CF0">
        <w:rPr>
          <w:rFonts w:cstheme="minorHAnsi"/>
        </w:rPr>
        <w:t xml:space="preserve"> </w:t>
      </w:r>
      <w:r>
        <w:rPr>
          <w:rFonts w:cstheme="minorHAnsi"/>
        </w:rPr>
        <w:t>but s</w:t>
      </w:r>
      <w:r w:rsidRPr="002D4CF0">
        <w:rPr>
          <w:rFonts w:cstheme="minorHAnsi"/>
        </w:rPr>
        <w:t>pecial education</w:t>
      </w:r>
      <w:r>
        <w:rPr>
          <w:rFonts w:cstheme="minorHAnsi"/>
        </w:rPr>
        <w:t>al support</w:t>
      </w:r>
      <w:r w:rsidRPr="002D4CF0">
        <w:rPr>
          <w:rFonts w:cstheme="minorHAnsi"/>
        </w:rPr>
        <w:t xml:space="preserve"> had been accessed in </w:t>
      </w:r>
      <w:r>
        <w:rPr>
          <w:rFonts w:cstheme="minorHAnsi"/>
        </w:rPr>
        <w:t xml:space="preserve">9 </w:t>
      </w:r>
      <w:r w:rsidRPr="002D4CF0">
        <w:rPr>
          <w:rFonts w:cstheme="minorHAnsi"/>
        </w:rPr>
        <w:t>cases</w:t>
      </w:r>
      <w:r>
        <w:rPr>
          <w:rFonts w:cstheme="minorHAnsi"/>
        </w:rPr>
        <w:t xml:space="preserve"> at some point during their education</w:t>
      </w:r>
      <w:r w:rsidRPr="002D4CF0">
        <w:rPr>
          <w:rFonts w:cstheme="minorHAnsi"/>
        </w:rPr>
        <w:t xml:space="preserve">; mainstream primary school with special educational support in 21.2% (7/33), mainstream secondary with special educational support in 21.2% (7/33) and secondary school for children with special educational needs in 6.1% (2/33).  </w:t>
      </w:r>
    </w:p>
    <w:p w14:paraId="54ADF098" w14:textId="77777777" w:rsidR="007E0E6D" w:rsidRDefault="007E0E6D" w:rsidP="00531EBF">
      <w:pPr>
        <w:spacing w:line="360" w:lineRule="auto"/>
        <w:rPr>
          <w:rFonts w:cstheme="minorHAnsi"/>
        </w:rPr>
      </w:pPr>
      <w:r w:rsidRPr="00376942">
        <w:rPr>
          <w:rFonts w:cstheme="minorHAnsi"/>
        </w:rPr>
        <w:t xml:space="preserve">General Certificates of Secondary Education (GCSEs) or equivalents, including Certificates of Secondary Education (CSEs) and General Certificates of Education Ordinary level (O-levels), were attained in 92.6% (25/27) of cases aged </w:t>
      </w:r>
      <w:r w:rsidRPr="00376942">
        <w:rPr>
          <w:rFonts w:cstheme="minorHAnsi"/>
        </w:rPr>
        <w:sym w:font="Symbol" w:char="F0B3"/>
      </w:r>
      <w:r w:rsidRPr="00376942">
        <w:rPr>
          <w:rFonts w:cstheme="minorHAnsi"/>
        </w:rPr>
        <w:t xml:space="preserve">16 years. General Certificates of Education Advanced levels (A-levels) or equivalents, including Business and Technology Education Council (BTEC) qualifications, were gained in 56.0% (14/25) of cases aged </w:t>
      </w:r>
      <w:r w:rsidRPr="00376942">
        <w:rPr>
          <w:rFonts w:cstheme="minorHAnsi"/>
        </w:rPr>
        <w:sym w:font="Symbol" w:char="F0B3"/>
      </w:r>
      <w:r w:rsidRPr="00376942">
        <w:rPr>
          <w:rFonts w:cstheme="minorHAnsi"/>
        </w:rPr>
        <w:t xml:space="preserve">18 years.  University degrees were completed in 40.0% (10/25) of cases aged </w:t>
      </w:r>
      <w:r w:rsidRPr="00376942">
        <w:rPr>
          <w:rFonts w:cstheme="minorHAnsi"/>
        </w:rPr>
        <w:sym w:font="Symbol" w:char="F0B3"/>
      </w:r>
      <w:r w:rsidRPr="00376942">
        <w:rPr>
          <w:rFonts w:cstheme="minorHAnsi"/>
        </w:rPr>
        <w:t>21 years and one de</w:t>
      </w:r>
      <w:r>
        <w:rPr>
          <w:rFonts w:cstheme="minorHAnsi"/>
        </w:rPr>
        <w:t xml:space="preserve">gree-level BTEC was achieved.  </w:t>
      </w:r>
      <w:r>
        <w:t>T</w:t>
      </w:r>
      <w:r w:rsidRPr="00BD2B44">
        <w:t xml:space="preserve">here was no association between historical reported concern about attainment of normal motor milestones </w:t>
      </w:r>
      <w:r>
        <w:t xml:space="preserve">(as reported by </w:t>
      </w:r>
      <w:r>
        <w:lastRenderedPageBreak/>
        <w:t xml:space="preserve">parents) </w:t>
      </w:r>
      <w:r w:rsidRPr="00BD2B44">
        <w:t xml:space="preserve">and GCSE attainment </w:t>
      </w:r>
      <w:r>
        <w:t xml:space="preserve">(p=0.326) </w:t>
      </w:r>
      <w:r w:rsidRPr="00BD2B44">
        <w:t>although A-level attainment was less likely where there had been significant concerns</w:t>
      </w:r>
      <w:r w:rsidRPr="00780542">
        <w:t xml:space="preserve"> </w:t>
      </w:r>
      <w:r>
        <w:t>(25.0% versus 72.7%, p=0.014)</w:t>
      </w:r>
      <w:r w:rsidRPr="00BD2B44">
        <w:t>.</w:t>
      </w:r>
      <w:r>
        <w:t xml:space="preserve"> </w:t>
      </w:r>
    </w:p>
    <w:p w14:paraId="2FF3E36B" w14:textId="77777777" w:rsidR="007E0E6D" w:rsidRPr="002446A0" w:rsidRDefault="007E0E6D" w:rsidP="00531EBF">
      <w:pPr>
        <w:autoSpaceDE w:val="0"/>
        <w:autoSpaceDN w:val="0"/>
        <w:adjustRightInd w:val="0"/>
        <w:spacing w:line="360" w:lineRule="auto"/>
        <w:rPr>
          <w:rFonts w:cstheme="minorHAnsi"/>
          <w:b/>
          <w:lang w:val="en-US"/>
        </w:rPr>
      </w:pPr>
      <w:r>
        <w:rPr>
          <w:rFonts w:cstheme="minorHAnsi"/>
          <w:b/>
          <w:lang w:val="en-US"/>
        </w:rPr>
        <w:t>Phenotypic assessment</w:t>
      </w:r>
      <w:r w:rsidRPr="002446A0">
        <w:rPr>
          <w:rFonts w:cstheme="minorHAnsi"/>
          <w:b/>
          <w:lang w:val="en-US"/>
        </w:rPr>
        <w:t xml:space="preserve"> using different clinical scoring systems</w:t>
      </w:r>
    </w:p>
    <w:p w14:paraId="4C301BDD" w14:textId="508C8A60" w:rsidR="007E0E6D" w:rsidDel="0011784F" w:rsidRDefault="00884593" w:rsidP="00531EBF">
      <w:pPr>
        <w:autoSpaceDE w:val="0"/>
        <w:autoSpaceDN w:val="0"/>
        <w:adjustRightInd w:val="0"/>
        <w:spacing w:line="360" w:lineRule="auto"/>
        <w:rPr>
          <w:rFonts w:cstheme="minorHAnsi"/>
        </w:rPr>
      </w:pPr>
      <w:r>
        <w:rPr>
          <w:rFonts w:cstheme="minorHAnsi"/>
        </w:rPr>
        <w:t xml:space="preserve"> I</w:t>
      </w:r>
      <w:r w:rsidRPr="006071D3">
        <w:rPr>
          <w:rFonts w:cstheme="minorHAnsi"/>
        </w:rPr>
        <w:t xml:space="preserve">nsufficient historical data were available to </w:t>
      </w:r>
      <w:r>
        <w:rPr>
          <w:rFonts w:cstheme="minorHAnsi"/>
        </w:rPr>
        <w:t xml:space="preserve">score </w:t>
      </w:r>
      <w:r w:rsidRPr="006071D3">
        <w:rPr>
          <w:rFonts w:cstheme="minorHAnsi"/>
        </w:rPr>
        <w:t>the majority of patients</w:t>
      </w:r>
      <w:r>
        <w:rPr>
          <w:rFonts w:cstheme="minorHAnsi"/>
        </w:rPr>
        <w:t xml:space="preserve"> </w:t>
      </w:r>
      <w:r w:rsidR="00B815A7">
        <w:rPr>
          <w:rFonts w:cstheme="minorHAnsi"/>
          <w:lang w:val="en-US"/>
        </w:rPr>
        <w:t xml:space="preserve">using the NHCSS </w:t>
      </w:r>
      <w:r>
        <w:rPr>
          <w:rFonts w:cstheme="minorHAnsi"/>
          <w:lang w:val="en-US"/>
        </w:rPr>
        <w:t xml:space="preserve">(data not shown). </w:t>
      </w:r>
      <w:r w:rsidR="007E0E6D">
        <w:rPr>
          <w:rFonts w:cstheme="minorHAnsi"/>
          <w:lang w:val="en-US"/>
        </w:rPr>
        <w:t xml:space="preserve">The results </w:t>
      </w:r>
      <w:r w:rsidR="0088145D">
        <w:rPr>
          <w:rFonts w:cstheme="minorHAnsi"/>
          <w:lang w:val="en-US"/>
        </w:rPr>
        <w:t>of</w:t>
      </w:r>
      <w:r w:rsidR="00B815A7">
        <w:rPr>
          <w:rFonts w:cstheme="minorHAnsi"/>
          <w:lang w:val="en-US"/>
        </w:rPr>
        <w:t xml:space="preserve"> the </w:t>
      </w:r>
      <w:r>
        <w:rPr>
          <w:rFonts w:cstheme="minorHAnsi"/>
          <w:lang w:val="en-US"/>
        </w:rPr>
        <w:t xml:space="preserve">novel </w:t>
      </w:r>
      <w:r w:rsidR="00B815A7">
        <w:rPr>
          <w:rFonts w:cstheme="minorHAnsi"/>
          <w:lang w:val="en-US"/>
        </w:rPr>
        <w:t xml:space="preserve">two </w:t>
      </w:r>
      <w:r w:rsidR="0068052C">
        <w:rPr>
          <w:rFonts w:cstheme="minorHAnsi"/>
          <w:lang w:val="en-US"/>
        </w:rPr>
        <w:t xml:space="preserve">‘adult’ </w:t>
      </w:r>
      <w:r w:rsidR="00B815A7">
        <w:rPr>
          <w:rFonts w:cstheme="minorHAnsi"/>
          <w:lang w:val="en-US"/>
        </w:rPr>
        <w:t xml:space="preserve">scoring methods </w:t>
      </w:r>
      <w:r w:rsidR="007E0E6D">
        <w:rPr>
          <w:rFonts w:cstheme="minorHAnsi"/>
          <w:lang w:val="en-US"/>
        </w:rPr>
        <w:t>are shown in Table 2</w:t>
      </w:r>
      <w:r w:rsidR="00B815A7">
        <w:rPr>
          <w:rFonts w:cstheme="minorHAnsi"/>
          <w:lang w:val="en-US"/>
        </w:rPr>
        <w:t xml:space="preserve"> and are based on a cohort of 29 cases where all parameters were available</w:t>
      </w:r>
      <w:r w:rsidR="007E0E6D" w:rsidRPr="008A29E9">
        <w:rPr>
          <w:rFonts w:cstheme="minorHAnsi"/>
          <w:lang w:val="en-US"/>
        </w:rPr>
        <w:t xml:space="preserve">.  </w:t>
      </w:r>
      <w:r w:rsidR="007E0E6D" w:rsidRPr="00C73075">
        <w:rPr>
          <w:rFonts w:cstheme="minorHAnsi"/>
          <w:lang w:val="en-US"/>
        </w:rPr>
        <w:t>20% of participants</w:t>
      </w:r>
      <w:r w:rsidR="00107F95">
        <w:rPr>
          <w:rFonts w:cstheme="minorHAnsi"/>
          <w:lang w:val="en-US"/>
        </w:rPr>
        <w:t xml:space="preserve"> had a score of 4 or above</w:t>
      </w:r>
      <w:r>
        <w:rPr>
          <w:rFonts w:cstheme="minorHAnsi"/>
          <w:lang w:val="en-US"/>
        </w:rPr>
        <w:t>/5</w:t>
      </w:r>
      <w:r w:rsidR="007E0E6D" w:rsidRPr="00C73075">
        <w:rPr>
          <w:rFonts w:cstheme="minorHAnsi"/>
          <w:lang w:val="en-US"/>
        </w:rPr>
        <w:t xml:space="preserve"> and   ̴50% had a score of 3 or above</w:t>
      </w:r>
      <w:r w:rsidR="00B815A7">
        <w:rPr>
          <w:rFonts w:cstheme="minorHAnsi"/>
          <w:lang w:val="en-US"/>
        </w:rPr>
        <w:t xml:space="preserve"> using method 1</w:t>
      </w:r>
      <w:r w:rsidR="007E0E6D" w:rsidRPr="00C73075">
        <w:rPr>
          <w:rFonts w:cstheme="minorHAnsi"/>
          <w:lang w:val="en-US"/>
        </w:rPr>
        <w:t>.</w:t>
      </w:r>
      <w:r w:rsidR="007E0E6D">
        <w:rPr>
          <w:rFonts w:cstheme="minorHAnsi"/>
          <w:lang w:val="en-US"/>
        </w:rPr>
        <w:t xml:space="preserve"> When </w:t>
      </w:r>
      <w:r w:rsidR="00B815A7">
        <w:rPr>
          <w:rFonts w:cstheme="minorHAnsi"/>
          <w:lang w:val="en-US"/>
        </w:rPr>
        <w:t xml:space="preserve">available </w:t>
      </w:r>
      <w:r w:rsidR="007E0E6D">
        <w:rPr>
          <w:rFonts w:cstheme="minorHAnsi"/>
          <w:lang w:val="en-US"/>
        </w:rPr>
        <w:t xml:space="preserve">historical data </w:t>
      </w:r>
      <w:r w:rsidR="00B815A7">
        <w:rPr>
          <w:rFonts w:cstheme="minorHAnsi"/>
          <w:lang w:val="en-US"/>
        </w:rPr>
        <w:t xml:space="preserve">on birth weight and childhood feeding difficulties </w:t>
      </w:r>
      <w:r w:rsidR="007E0E6D">
        <w:rPr>
          <w:rFonts w:cstheme="minorHAnsi"/>
          <w:lang w:val="en-US"/>
        </w:rPr>
        <w:t xml:space="preserve">were included,   ̴40% </w:t>
      </w:r>
      <w:r w:rsidR="002C063D">
        <w:rPr>
          <w:rFonts w:cstheme="minorHAnsi"/>
          <w:lang w:val="en-US"/>
        </w:rPr>
        <w:t>had a score of 4 or above</w:t>
      </w:r>
      <w:r>
        <w:rPr>
          <w:rFonts w:cstheme="minorHAnsi"/>
          <w:lang w:val="en-US"/>
        </w:rPr>
        <w:t>/6</w:t>
      </w:r>
      <w:r w:rsidR="002C063D">
        <w:rPr>
          <w:rFonts w:cstheme="minorHAnsi"/>
          <w:lang w:val="en-US"/>
        </w:rPr>
        <w:t xml:space="preserve"> </w:t>
      </w:r>
      <w:r w:rsidR="007E0E6D">
        <w:rPr>
          <w:rFonts w:cstheme="minorHAnsi"/>
          <w:lang w:val="en-US"/>
        </w:rPr>
        <w:t xml:space="preserve">and </w:t>
      </w:r>
      <w:r w:rsidR="007E0E6D" w:rsidRPr="00C73075">
        <w:rPr>
          <w:rFonts w:cstheme="minorHAnsi"/>
          <w:lang w:val="en-US"/>
        </w:rPr>
        <w:t xml:space="preserve">  ̴</w:t>
      </w:r>
      <w:r w:rsidR="007E0E6D">
        <w:rPr>
          <w:rFonts w:cstheme="minorHAnsi"/>
          <w:lang w:val="en-US"/>
        </w:rPr>
        <w:t>70% had a score of 3 or above.</w:t>
      </w:r>
    </w:p>
    <w:p w14:paraId="48CD2259" w14:textId="3AA569BB" w:rsidR="007E0E6D" w:rsidRPr="00685090" w:rsidRDefault="007E0E6D" w:rsidP="00D50890">
      <w:pPr>
        <w:autoSpaceDE w:val="0"/>
        <w:autoSpaceDN w:val="0"/>
        <w:adjustRightInd w:val="0"/>
        <w:spacing w:line="360" w:lineRule="auto"/>
        <w:rPr>
          <w:rFonts w:cstheme="minorHAnsi"/>
          <w:b/>
        </w:rPr>
      </w:pPr>
      <w:r>
        <w:rPr>
          <w:rFonts w:cstheme="minorHAnsi"/>
        </w:rPr>
        <w:t xml:space="preserve"> </w:t>
      </w:r>
      <w:r>
        <w:rPr>
          <w:rFonts w:cstheme="minorHAnsi"/>
          <w:b/>
        </w:rPr>
        <w:t>Health</w:t>
      </w:r>
      <w:r w:rsidRPr="00262874">
        <w:rPr>
          <w:rFonts w:cstheme="minorHAnsi"/>
          <w:b/>
        </w:rPr>
        <w:t xml:space="preserve"> </w:t>
      </w:r>
      <w:r>
        <w:rPr>
          <w:rFonts w:cstheme="minorHAnsi"/>
          <w:b/>
        </w:rPr>
        <w:t>problems</w:t>
      </w:r>
    </w:p>
    <w:p w14:paraId="00AB8BF9" w14:textId="77777777" w:rsidR="007E0E6D" w:rsidRPr="002446A0" w:rsidRDefault="007E0E6D" w:rsidP="00531EBF">
      <w:pPr>
        <w:autoSpaceDE w:val="0"/>
        <w:autoSpaceDN w:val="0"/>
        <w:adjustRightInd w:val="0"/>
        <w:spacing w:line="360" w:lineRule="auto"/>
        <w:rPr>
          <w:rFonts w:cstheme="minorHAnsi"/>
          <w:i/>
        </w:rPr>
      </w:pPr>
      <w:r w:rsidRPr="002446A0">
        <w:rPr>
          <w:rFonts w:cstheme="minorHAnsi"/>
          <w:i/>
        </w:rPr>
        <w:t>Congenital anomalies</w:t>
      </w:r>
    </w:p>
    <w:p w14:paraId="5025888D" w14:textId="77777777" w:rsidR="007E0E6D" w:rsidRDefault="007E0E6D" w:rsidP="00531EBF">
      <w:pPr>
        <w:autoSpaceDE w:val="0"/>
        <w:autoSpaceDN w:val="0"/>
        <w:adjustRightInd w:val="0"/>
        <w:spacing w:line="360" w:lineRule="auto"/>
        <w:rPr>
          <w:rFonts w:cstheme="minorHAnsi"/>
        </w:rPr>
      </w:pPr>
      <w:r>
        <w:rPr>
          <w:rFonts w:cstheme="minorHAnsi"/>
        </w:rPr>
        <w:t>Congenital anomalies were present in 54</w:t>
      </w:r>
      <w:r w:rsidRPr="00262874">
        <w:rPr>
          <w:rFonts w:cstheme="minorHAnsi"/>
        </w:rPr>
        <w:t>.5% (18/33) of cases</w:t>
      </w:r>
      <w:r>
        <w:rPr>
          <w:rFonts w:cstheme="minorHAnsi"/>
        </w:rPr>
        <w:t xml:space="preserve"> </w:t>
      </w:r>
      <w:r w:rsidRPr="00D34D24">
        <w:rPr>
          <w:rFonts w:cstheme="minorHAnsi"/>
        </w:rPr>
        <w:t>(Table 3)</w:t>
      </w:r>
      <w:r>
        <w:rPr>
          <w:rFonts w:cstheme="minorHAnsi"/>
        </w:rPr>
        <w:t xml:space="preserve"> and included abnormal development of the palate, scoliosis, genital anomalies, congenital heart disease, and renal anomalies in more than one patient. </w:t>
      </w:r>
      <w:r w:rsidRPr="00262874">
        <w:rPr>
          <w:rFonts w:cstheme="minorHAnsi"/>
        </w:rPr>
        <w:t xml:space="preserve">Of the </w:t>
      </w:r>
      <w:r>
        <w:rPr>
          <w:rFonts w:cstheme="minorHAnsi"/>
        </w:rPr>
        <w:t xml:space="preserve">eighteen </w:t>
      </w:r>
      <w:r w:rsidRPr="00262874">
        <w:rPr>
          <w:rFonts w:cstheme="minorHAnsi"/>
        </w:rPr>
        <w:t>cases in which congenital anomalies were found, 50.0% (9/</w:t>
      </w:r>
      <w:r>
        <w:rPr>
          <w:rFonts w:cstheme="minorHAnsi"/>
        </w:rPr>
        <w:t xml:space="preserve">18) had </w:t>
      </w:r>
      <w:r w:rsidRPr="00262874">
        <w:rPr>
          <w:rFonts w:cstheme="minorHAnsi"/>
        </w:rPr>
        <w:t>a single anomaly</w:t>
      </w:r>
      <w:r>
        <w:rPr>
          <w:rFonts w:cstheme="minorHAnsi"/>
        </w:rPr>
        <w:t>, 22.2% (4) had two,</w:t>
      </w:r>
      <w:r w:rsidRPr="00262874">
        <w:rPr>
          <w:rFonts w:cstheme="minorHAnsi"/>
        </w:rPr>
        <w:t xml:space="preserve"> 16.7% (3</w:t>
      </w:r>
      <w:r>
        <w:rPr>
          <w:rFonts w:cstheme="minorHAnsi"/>
        </w:rPr>
        <w:t xml:space="preserve">) had </w:t>
      </w:r>
      <w:r w:rsidRPr="00262874">
        <w:rPr>
          <w:rFonts w:cstheme="minorHAnsi"/>
        </w:rPr>
        <w:t>three</w:t>
      </w:r>
      <w:r>
        <w:rPr>
          <w:rFonts w:cstheme="minorHAnsi"/>
        </w:rPr>
        <w:t xml:space="preserve">, four in one (5.6%) </w:t>
      </w:r>
      <w:r w:rsidRPr="00262874">
        <w:rPr>
          <w:rFonts w:cstheme="minorHAnsi"/>
        </w:rPr>
        <w:t xml:space="preserve">and five in one </w:t>
      </w:r>
      <w:r>
        <w:rPr>
          <w:rFonts w:cstheme="minorHAnsi"/>
        </w:rPr>
        <w:t>(</w:t>
      </w:r>
      <w:r w:rsidRPr="00262874">
        <w:rPr>
          <w:rFonts w:cstheme="minorHAnsi"/>
        </w:rPr>
        <w:t>5.6%).</w:t>
      </w:r>
      <w:r>
        <w:rPr>
          <w:rFonts w:cstheme="minorHAnsi"/>
        </w:rPr>
        <w:t xml:space="preserve">  </w:t>
      </w:r>
      <w:r w:rsidRPr="00287A35">
        <w:rPr>
          <w:rFonts w:cstheme="minorHAnsi"/>
        </w:rPr>
        <w:t>Apart from two congenital anomalies in one individual with matUPD7, all congenital anomalies were fou</w:t>
      </w:r>
      <w:r>
        <w:rPr>
          <w:rFonts w:cstheme="minorHAnsi"/>
        </w:rPr>
        <w:t xml:space="preserve">nd in individuals with IC1 </w:t>
      </w:r>
      <w:r w:rsidRPr="00287A35">
        <w:rPr>
          <w:rFonts w:cstheme="minorHAnsi"/>
        </w:rPr>
        <w:t>LOM.</w:t>
      </w:r>
    </w:p>
    <w:p w14:paraId="4AF472CC" w14:textId="77777777" w:rsidR="007E0E6D" w:rsidRPr="002446A0" w:rsidRDefault="007E0E6D" w:rsidP="00531EBF">
      <w:pPr>
        <w:autoSpaceDE w:val="0"/>
        <w:autoSpaceDN w:val="0"/>
        <w:adjustRightInd w:val="0"/>
        <w:spacing w:line="360" w:lineRule="auto"/>
        <w:rPr>
          <w:rFonts w:cstheme="minorHAnsi"/>
          <w:i/>
        </w:rPr>
      </w:pPr>
      <w:r w:rsidRPr="002446A0">
        <w:rPr>
          <w:rFonts w:cstheme="minorHAnsi"/>
          <w:i/>
        </w:rPr>
        <w:t>Musculoskeletal problems</w:t>
      </w:r>
    </w:p>
    <w:p w14:paraId="1EE4DECB" w14:textId="77777777" w:rsidR="007E0E6D" w:rsidRDefault="007E0E6D" w:rsidP="00531EBF">
      <w:pPr>
        <w:autoSpaceDE w:val="0"/>
        <w:autoSpaceDN w:val="0"/>
        <w:adjustRightInd w:val="0"/>
        <w:spacing w:line="360" w:lineRule="auto"/>
        <w:rPr>
          <w:rFonts w:cstheme="minorHAnsi"/>
        </w:rPr>
      </w:pPr>
      <w:r w:rsidRPr="00376942">
        <w:rPr>
          <w:rFonts w:cstheme="minorHAnsi"/>
        </w:rPr>
        <w:t>Myalgia and arthralgia</w:t>
      </w:r>
      <w:r>
        <w:rPr>
          <w:rFonts w:cstheme="minorHAnsi"/>
        </w:rPr>
        <w:t xml:space="preserve"> of the </w:t>
      </w:r>
      <w:r w:rsidRPr="00376942">
        <w:rPr>
          <w:rFonts w:cstheme="minorHAnsi"/>
        </w:rPr>
        <w:t>back, hip, neck, knees and fingers affect</w:t>
      </w:r>
      <w:r>
        <w:rPr>
          <w:rFonts w:cstheme="minorHAnsi"/>
        </w:rPr>
        <w:t>ed 27</w:t>
      </w:r>
      <w:r w:rsidRPr="00376942">
        <w:rPr>
          <w:rFonts w:cstheme="minorHAnsi"/>
        </w:rPr>
        <w:t xml:space="preserve">.3% </w:t>
      </w:r>
      <w:r w:rsidRPr="00B81B54">
        <w:rPr>
          <w:rFonts w:cstheme="minorHAnsi"/>
        </w:rPr>
        <w:t>(9/33)</w:t>
      </w:r>
      <w:r w:rsidRPr="00376942">
        <w:rPr>
          <w:rFonts w:cstheme="minorHAnsi"/>
        </w:rPr>
        <w:t xml:space="preserve"> of participants</w:t>
      </w:r>
      <w:r>
        <w:rPr>
          <w:rFonts w:cstheme="minorHAnsi"/>
        </w:rPr>
        <w:t>, eight of whom were women</w:t>
      </w:r>
      <w:r w:rsidRPr="00376942">
        <w:rPr>
          <w:rFonts w:cstheme="minorHAnsi"/>
        </w:rPr>
        <w:t xml:space="preserve">. </w:t>
      </w:r>
      <w:r>
        <w:rPr>
          <w:rFonts w:cstheme="minorHAnsi"/>
        </w:rPr>
        <w:t xml:space="preserve"> </w:t>
      </w:r>
      <w:r w:rsidRPr="009A18BC">
        <w:rPr>
          <w:rFonts w:cstheme="minorHAnsi"/>
        </w:rPr>
        <w:t xml:space="preserve">The severity of pain affected mobility in two </w:t>
      </w:r>
      <w:r>
        <w:rPr>
          <w:rFonts w:cstheme="minorHAnsi"/>
        </w:rPr>
        <w:t>individuals</w:t>
      </w:r>
      <w:r w:rsidRPr="009A18BC">
        <w:rPr>
          <w:rFonts w:cstheme="minorHAnsi"/>
        </w:rPr>
        <w:t xml:space="preserve">, who each used a wheelchair for travelling long distances.  </w:t>
      </w:r>
      <w:r w:rsidRPr="00376942">
        <w:rPr>
          <w:rFonts w:cstheme="minorHAnsi"/>
        </w:rPr>
        <w:t>44.4% (8/18) of females reported joint pains and aches compared to 6.66% (1/15) of males (p=0.021)</w:t>
      </w:r>
      <w:r>
        <w:rPr>
          <w:rFonts w:cstheme="minorHAnsi"/>
        </w:rPr>
        <w:t>.  Further</w:t>
      </w:r>
      <w:r w:rsidRPr="009A18BC">
        <w:rPr>
          <w:rFonts w:cstheme="minorHAnsi"/>
        </w:rPr>
        <w:t xml:space="preserve"> musculoskeletal problems </w:t>
      </w:r>
      <w:r>
        <w:rPr>
          <w:rFonts w:cstheme="minorHAnsi"/>
        </w:rPr>
        <w:t>included</w:t>
      </w:r>
      <w:r w:rsidRPr="009A18BC">
        <w:rPr>
          <w:rFonts w:cstheme="minorHAnsi"/>
        </w:rPr>
        <w:t xml:space="preserve"> hypermobility (n=2), trigger finger (n=1), Raynaud’s syndrome (n=2), a ganglion cyst (n=1), childhood rheumatoid arthritis (n=1), anterior cruciate ligament tear (n=1), locking knees (n=1), joint dislocations (n=3), pes cavus (n=2), osteopenia (n=2), osteoarthritis (n=1), patella alto (n=1) and prolapsed vertebral disc (n=1).  In six cases, there were </w:t>
      </w:r>
      <w:r>
        <w:rPr>
          <w:rFonts w:cstheme="minorHAnsi"/>
        </w:rPr>
        <w:t xml:space="preserve">more than one </w:t>
      </w:r>
      <w:r w:rsidRPr="009A18BC">
        <w:rPr>
          <w:rFonts w:cstheme="minorHAnsi"/>
        </w:rPr>
        <w:t xml:space="preserve">co-existing. </w:t>
      </w:r>
    </w:p>
    <w:p w14:paraId="4D43CDB0" w14:textId="77777777" w:rsidR="007E0E6D" w:rsidRPr="002446A0" w:rsidRDefault="007E0E6D" w:rsidP="00531EBF">
      <w:pPr>
        <w:autoSpaceDE w:val="0"/>
        <w:autoSpaceDN w:val="0"/>
        <w:adjustRightInd w:val="0"/>
        <w:spacing w:line="360" w:lineRule="auto"/>
        <w:rPr>
          <w:rFonts w:cstheme="minorHAnsi"/>
          <w:i/>
        </w:rPr>
      </w:pPr>
      <w:r w:rsidRPr="002446A0">
        <w:rPr>
          <w:rFonts w:cstheme="minorHAnsi"/>
          <w:i/>
        </w:rPr>
        <w:t>Respiratory problems</w:t>
      </w:r>
    </w:p>
    <w:p w14:paraId="3D36BEC4" w14:textId="77777777" w:rsidR="007E0E6D" w:rsidRDefault="007E0E6D" w:rsidP="00531EBF">
      <w:pPr>
        <w:autoSpaceDE w:val="0"/>
        <w:autoSpaceDN w:val="0"/>
        <w:adjustRightInd w:val="0"/>
        <w:spacing w:line="360" w:lineRule="auto"/>
        <w:rPr>
          <w:rFonts w:cstheme="minorHAnsi"/>
        </w:rPr>
      </w:pPr>
      <w:r>
        <w:rPr>
          <w:rFonts w:cstheme="minorHAnsi"/>
        </w:rPr>
        <w:t>Lung disease</w:t>
      </w:r>
      <w:r w:rsidRPr="00376942">
        <w:rPr>
          <w:rFonts w:cstheme="minorHAnsi"/>
        </w:rPr>
        <w:t xml:space="preserve"> was reported in 36.4% (12/33</w:t>
      </w:r>
      <w:r>
        <w:rPr>
          <w:rFonts w:cstheme="minorHAnsi"/>
        </w:rPr>
        <w:t>):</w:t>
      </w:r>
      <w:r w:rsidRPr="00376942">
        <w:rPr>
          <w:rFonts w:cstheme="minorHAnsi"/>
        </w:rPr>
        <w:t xml:space="preserve"> </w:t>
      </w:r>
      <w:r>
        <w:rPr>
          <w:rFonts w:cstheme="minorHAnsi"/>
        </w:rPr>
        <w:t>a</w:t>
      </w:r>
      <w:r w:rsidRPr="00376942">
        <w:rPr>
          <w:rFonts w:cstheme="minorHAnsi"/>
        </w:rPr>
        <w:t>sthma (n=9), restrictive lung disease (n=1), bronchiectasis (n=1), primary pulmonary hypertension (n=1), chest infections (n=1)).</w:t>
      </w:r>
    </w:p>
    <w:p w14:paraId="78413945" w14:textId="77777777" w:rsidR="007E0E6D" w:rsidRDefault="007E0E6D" w:rsidP="00531EBF">
      <w:pPr>
        <w:autoSpaceDE w:val="0"/>
        <w:autoSpaceDN w:val="0"/>
        <w:adjustRightInd w:val="0"/>
        <w:spacing w:line="360" w:lineRule="auto"/>
        <w:rPr>
          <w:rFonts w:cstheme="minorHAnsi"/>
        </w:rPr>
      </w:pPr>
      <w:r w:rsidRPr="002446A0">
        <w:rPr>
          <w:rFonts w:cstheme="minorHAnsi"/>
          <w:i/>
        </w:rPr>
        <w:t>Allergy</w:t>
      </w:r>
    </w:p>
    <w:p w14:paraId="793F049F" w14:textId="77777777" w:rsidR="007E0E6D" w:rsidRDefault="007E0E6D" w:rsidP="00531EBF">
      <w:pPr>
        <w:autoSpaceDE w:val="0"/>
        <w:autoSpaceDN w:val="0"/>
        <w:adjustRightInd w:val="0"/>
        <w:spacing w:line="360" w:lineRule="auto"/>
        <w:rPr>
          <w:rFonts w:cstheme="minorHAnsi"/>
        </w:rPr>
      </w:pPr>
      <w:r w:rsidRPr="00863F77">
        <w:rPr>
          <w:rFonts w:cstheme="minorHAnsi"/>
        </w:rPr>
        <w:t>There was a history of food allergy or intolerance in 15.2 % (5/33).</w:t>
      </w:r>
      <w:r>
        <w:rPr>
          <w:rFonts w:cstheme="minorHAnsi"/>
        </w:rPr>
        <w:t xml:space="preserve">  </w:t>
      </w:r>
      <w:r w:rsidRPr="00863F77">
        <w:rPr>
          <w:rFonts w:cstheme="minorHAnsi"/>
        </w:rPr>
        <w:t>Two of these individuals had peanut allergy; one an idiopathic food allergy; two had dairy and soya intolerance with one of these individuals also having an intolerance to egg.  Three individuals reported a history of hay fever</w:t>
      </w:r>
      <w:r>
        <w:rPr>
          <w:rFonts w:cstheme="minorHAnsi"/>
        </w:rPr>
        <w:t>.  A</w:t>
      </w:r>
      <w:r w:rsidRPr="00863F77">
        <w:rPr>
          <w:rFonts w:cstheme="minorHAnsi"/>
        </w:rPr>
        <w:t xml:space="preserve"> history of skin conditions </w:t>
      </w:r>
      <w:r>
        <w:rPr>
          <w:rFonts w:cstheme="minorHAnsi"/>
        </w:rPr>
        <w:t xml:space="preserve">was noted </w:t>
      </w:r>
      <w:r w:rsidRPr="00863F77">
        <w:rPr>
          <w:rFonts w:cstheme="minorHAnsi"/>
        </w:rPr>
        <w:t xml:space="preserve">in 18.2% (6/33) with eczema in three individuals, acne in two individuals, psoriasis in one and a history of both eczema and acne in </w:t>
      </w:r>
      <w:r>
        <w:rPr>
          <w:rFonts w:cstheme="minorHAnsi"/>
        </w:rPr>
        <w:t>an</w:t>
      </w:r>
      <w:r w:rsidRPr="00863F77">
        <w:rPr>
          <w:rFonts w:cstheme="minorHAnsi"/>
        </w:rPr>
        <w:t xml:space="preserve">other case. </w:t>
      </w:r>
    </w:p>
    <w:p w14:paraId="01A15202" w14:textId="77777777" w:rsidR="007E0E6D" w:rsidRPr="002446A0" w:rsidRDefault="007E0E6D" w:rsidP="00531EBF">
      <w:pPr>
        <w:autoSpaceDE w:val="0"/>
        <w:autoSpaceDN w:val="0"/>
        <w:adjustRightInd w:val="0"/>
        <w:spacing w:line="360" w:lineRule="auto"/>
        <w:rPr>
          <w:i/>
        </w:rPr>
      </w:pPr>
      <w:r w:rsidRPr="002446A0">
        <w:rPr>
          <w:i/>
        </w:rPr>
        <w:t>Gastrointestinal disorders</w:t>
      </w:r>
    </w:p>
    <w:p w14:paraId="24D3CF26" w14:textId="77777777" w:rsidR="007E0E6D" w:rsidRDefault="007E0E6D" w:rsidP="00531EBF">
      <w:pPr>
        <w:autoSpaceDE w:val="0"/>
        <w:autoSpaceDN w:val="0"/>
        <w:adjustRightInd w:val="0"/>
        <w:spacing w:line="360" w:lineRule="auto"/>
      </w:pPr>
      <w:r>
        <w:t xml:space="preserve">These were diagnosed in 18.2% (6/33).  Gastro-oesophageal reflux remained a problem in five individuals, one of whom had been demonstrated to have delayed gastric emptying.  Irritable bowel syndrome was diagnosed in one case and was a possible diagnosis in another.  </w:t>
      </w:r>
    </w:p>
    <w:p w14:paraId="6CBEB607" w14:textId="77777777" w:rsidR="007E0E6D" w:rsidRPr="00906F59" w:rsidRDefault="007E0E6D" w:rsidP="00531EBF">
      <w:pPr>
        <w:autoSpaceDE w:val="0"/>
        <w:autoSpaceDN w:val="0"/>
        <w:adjustRightInd w:val="0"/>
        <w:spacing w:line="360" w:lineRule="auto"/>
        <w:rPr>
          <w:i/>
        </w:rPr>
      </w:pPr>
      <w:r w:rsidRPr="00906F59">
        <w:rPr>
          <w:i/>
        </w:rPr>
        <w:t>Cardiometabolic health/outcomes</w:t>
      </w:r>
    </w:p>
    <w:p w14:paraId="6B5A0BFC" w14:textId="10BE2064" w:rsidR="007E0E6D" w:rsidRDefault="00E82BEE" w:rsidP="00531EBF">
      <w:pPr>
        <w:autoSpaceDE w:val="0"/>
        <w:autoSpaceDN w:val="0"/>
        <w:adjustRightInd w:val="0"/>
        <w:spacing w:line="360" w:lineRule="auto"/>
      </w:pPr>
      <w:r>
        <w:t>A h</w:t>
      </w:r>
      <w:r w:rsidRPr="00E82BEE">
        <w:t xml:space="preserve">istory of hypoglycaemia </w:t>
      </w:r>
      <w:r>
        <w:t xml:space="preserve">was </w:t>
      </w:r>
      <w:r w:rsidRPr="00E82BEE">
        <w:t xml:space="preserve">reported by </w:t>
      </w:r>
      <w:r>
        <w:t xml:space="preserve">the </w:t>
      </w:r>
      <w:r w:rsidRPr="00E82BEE">
        <w:t>participant or parent in 58.6%.  </w:t>
      </w:r>
      <w:r w:rsidR="007E0E6D">
        <w:t xml:space="preserve">In the cohort overall, </w:t>
      </w:r>
      <w:r w:rsidR="007E0E6D" w:rsidRPr="00906F59">
        <w:t xml:space="preserve">obesity </w:t>
      </w:r>
      <w:r w:rsidR="007E0E6D">
        <w:t>was present in 9.1%.  The median waist-to-hip ratios in females and males were 0.820 and 0.890 respectively.  Median triglyceride concentration was 1.00 mmol/L with a raised triglyceride level in 16.1%.  Median fasting glucose level was 4.8 mmol/L. 10% of subjects had type 2 diabetes.  Hypertension was present in 27.6% and hypercholesterolaemia in 43.8% of subjects (Table 4)</w:t>
      </w:r>
    </w:p>
    <w:p w14:paraId="788AB842" w14:textId="041D73AC" w:rsidR="007E0E6D" w:rsidRDefault="007E0E6D" w:rsidP="00531EBF">
      <w:pPr>
        <w:autoSpaceDE w:val="0"/>
        <w:autoSpaceDN w:val="0"/>
        <w:adjustRightInd w:val="0"/>
        <w:spacing w:line="360" w:lineRule="auto"/>
        <w:rPr>
          <w:rFonts w:cstheme="minorHAnsi"/>
        </w:rPr>
      </w:pPr>
      <w:r>
        <w:rPr>
          <w:rFonts w:cstheme="minorHAnsi"/>
        </w:rPr>
        <w:t>In the cohort restricted to subjects ≥18 years, 6 participants had evidence of impaired glucose tolerance</w:t>
      </w:r>
      <w:r w:rsidRPr="009E5772">
        <w:t xml:space="preserve"> </w:t>
      </w:r>
      <w:r>
        <w:rPr>
          <w:rFonts w:cstheme="minorHAnsi"/>
        </w:rPr>
        <w:t>(</w:t>
      </w:r>
      <w:r w:rsidRPr="009E5772">
        <w:rPr>
          <w:rFonts w:cstheme="minorHAnsi"/>
        </w:rPr>
        <w:t>25% (6/24)</w:t>
      </w:r>
      <w:r>
        <w:rPr>
          <w:rFonts w:cstheme="minorHAnsi"/>
        </w:rPr>
        <w:t xml:space="preserve">); </w:t>
      </w:r>
      <w:r w:rsidRPr="00376942">
        <w:rPr>
          <w:rFonts w:cstheme="minorHAnsi"/>
        </w:rPr>
        <w:t>Type 2 diabetes was reported in 3</w:t>
      </w:r>
      <w:r>
        <w:rPr>
          <w:rFonts w:cstheme="minorHAnsi"/>
        </w:rPr>
        <w:t xml:space="preserve"> people aged 69, 56 and 37</w:t>
      </w:r>
      <w:r w:rsidRPr="00376942">
        <w:rPr>
          <w:rFonts w:cstheme="minorHAnsi"/>
        </w:rPr>
        <w:t xml:space="preserve"> (</w:t>
      </w:r>
      <w:r>
        <w:rPr>
          <w:rFonts w:cstheme="minorHAnsi"/>
        </w:rPr>
        <w:t>latter</w:t>
      </w:r>
      <w:r w:rsidRPr="00376942">
        <w:rPr>
          <w:rFonts w:cstheme="minorHAnsi"/>
        </w:rPr>
        <w:t xml:space="preserve"> diagnosed as a result of this study), </w:t>
      </w:r>
      <w:r>
        <w:rPr>
          <w:rFonts w:cstheme="minorHAnsi"/>
        </w:rPr>
        <w:t>one</w:t>
      </w:r>
      <w:r w:rsidRPr="00376942">
        <w:rPr>
          <w:rFonts w:cstheme="minorHAnsi"/>
        </w:rPr>
        <w:t xml:space="preserve"> patient had impaired glucose tolerance</w:t>
      </w:r>
      <w:r>
        <w:rPr>
          <w:rFonts w:cstheme="minorHAnsi"/>
        </w:rPr>
        <w:t xml:space="preserve"> </w:t>
      </w:r>
      <w:r w:rsidRPr="00A23397">
        <w:rPr>
          <w:rFonts w:cstheme="minorHAnsi"/>
        </w:rPr>
        <w:t>(female 36.3 years)</w:t>
      </w:r>
      <w:r w:rsidRPr="00376942">
        <w:rPr>
          <w:rFonts w:cstheme="minorHAnsi"/>
        </w:rPr>
        <w:t xml:space="preserve"> and </w:t>
      </w:r>
      <w:r>
        <w:rPr>
          <w:rFonts w:cstheme="minorHAnsi"/>
        </w:rPr>
        <w:t>two</w:t>
      </w:r>
      <w:r w:rsidRPr="00376942">
        <w:rPr>
          <w:rFonts w:cstheme="minorHAnsi"/>
        </w:rPr>
        <w:t xml:space="preserve"> had impaired fasting glycaemia</w:t>
      </w:r>
      <w:r>
        <w:rPr>
          <w:rFonts w:cstheme="minorHAnsi"/>
        </w:rPr>
        <w:t xml:space="preserve"> (male 33 years; female 33 years)</w:t>
      </w:r>
      <w:r w:rsidRPr="00376942">
        <w:rPr>
          <w:rFonts w:cstheme="minorHAnsi"/>
        </w:rPr>
        <w:t xml:space="preserve">. </w:t>
      </w:r>
      <w:r>
        <w:rPr>
          <w:rFonts w:cstheme="minorHAnsi"/>
        </w:rPr>
        <w:t xml:space="preserve"> </w:t>
      </w:r>
      <w:r w:rsidRPr="00376942">
        <w:rPr>
          <w:rFonts w:cstheme="minorHAnsi"/>
        </w:rPr>
        <w:t xml:space="preserve">Other evidence of metabolic disturbance </w:t>
      </w:r>
      <w:r w:rsidR="00935A45">
        <w:rPr>
          <w:rFonts w:cstheme="minorHAnsi"/>
        </w:rPr>
        <w:t>in the ≥18 years</w:t>
      </w:r>
      <w:r w:rsidR="00935A45" w:rsidRPr="00376942">
        <w:rPr>
          <w:rFonts w:cstheme="minorHAnsi"/>
        </w:rPr>
        <w:t xml:space="preserve"> </w:t>
      </w:r>
      <w:r w:rsidRPr="00376942">
        <w:rPr>
          <w:rFonts w:cstheme="minorHAnsi"/>
        </w:rPr>
        <w:t>included a raised cholesterol in 52.0% (13/</w:t>
      </w:r>
      <w:r w:rsidRPr="00A23397">
        <w:rPr>
          <w:rFonts w:cstheme="minorHAnsi"/>
        </w:rPr>
        <w:t>25</w:t>
      </w:r>
      <w:r w:rsidRPr="00376942">
        <w:rPr>
          <w:rFonts w:cstheme="minorHAnsi"/>
        </w:rPr>
        <w:t>) and there was hypertension in 8 of 24 (33.3%).</w:t>
      </w:r>
      <w:r>
        <w:rPr>
          <w:rFonts w:cstheme="minorHAnsi"/>
        </w:rPr>
        <w:t xml:space="preserve"> </w:t>
      </w:r>
    </w:p>
    <w:p w14:paraId="7CCBA399" w14:textId="77777777" w:rsidR="007E0E6D" w:rsidRPr="002446A0" w:rsidRDefault="007E0E6D" w:rsidP="00531EBF">
      <w:pPr>
        <w:autoSpaceDE w:val="0"/>
        <w:autoSpaceDN w:val="0"/>
        <w:adjustRightInd w:val="0"/>
        <w:spacing w:line="360" w:lineRule="auto"/>
        <w:rPr>
          <w:rFonts w:cstheme="minorHAnsi"/>
          <w:i/>
        </w:rPr>
      </w:pPr>
      <w:r w:rsidRPr="002446A0">
        <w:rPr>
          <w:rFonts w:cstheme="minorHAnsi"/>
          <w:i/>
        </w:rPr>
        <w:t>Unexplained drop/dizzy attacks</w:t>
      </w:r>
    </w:p>
    <w:p w14:paraId="2B502CE1" w14:textId="77777777" w:rsidR="007E0E6D" w:rsidRDefault="007E0E6D" w:rsidP="00531EBF">
      <w:pPr>
        <w:autoSpaceDE w:val="0"/>
        <w:autoSpaceDN w:val="0"/>
        <w:adjustRightInd w:val="0"/>
        <w:spacing w:line="360" w:lineRule="auto"/>
        <w:rPr>
          <w:rFonts w:cstheme="minorHAnsi"/>
        </w:rPr>
      </w:pPr>
      <w:r w:rsidRPr="00376942">
        <w:rPr>
          <w:rFonts w:cstheme="minorHAnsi"/>
        </w:rPr>
        <w:t xml:space="preserve">There </w:t>
      </w:r>
      <w:r>
        <w:rPr>
          <w:rFonts w:cstheme="minorHAnsi"/>
        </w:rPr>
        <w:t>was a</w:t>
      </w:r>
      <w:r w:rsidRPr="00376942">
        <w:rPr>
          <w:rFonts w:cstheme="minorHAnsi"/>
        </w:rPr>
        <w:t xml:space="preserve"> histor</w:t>
      </w:r>
      <w:r>
        <w:rPr>
          <w:rFonts w:cstheme="minorHAnsi"/>
        </w:rPr>
        <w:t>y</w:t>
      </w:r>
      <w:r w:rsidRPr="00376942">
        <w:rPr>
          <w:rFonts w:cstheme="minorHAnsi"/>
        </w:rPr>
        <w:t xml:space="preserve"> of unexplained dizziness, faints and recurrent collapses in four individuals (12.1%), one of whom was reported to have postural hypotension. </w:t>
      </w:r>
      <w:r>
        <w:rPr>
          <w:rFonts w:cstheme="minorHAnsi"/>
        </w:rPr>
        <w:t xml:space="preserve"> </w:t>
      </w:r>
      <w:r w:rsidRPr="00376942">
        <w:rPr>
          <w:rFonts w:cstheme="minorHAnsi"/>
        </w:rPr>
        <w:t xml:space="preserve">There was no common precipitating time or reason for these observations. </w:t>
      </w:r>
      <w:r>
        <w:rPr>
          <w:rFonts w:cstheme="minorHAnsi"/>
        </w:rPr>
        <w:t xml:space="preserve"> One individual had been extensively investigated and hypoglycaemia excluded. </w:t>
      </w:r>
    </w:p>
    <w:p w14:paraId="3DD676CD" w14:textId="77777777" w:rsidR="007E0E6D" w:rsidRPr="002446A0" w:rsidRDefault="007E0E6D" w:rsidP="00531EBF">
      <w:pPr>
        <w:autoSpaceDE w:val="0"/>
        <w:autoSpaceDN w:val="0"/>
        <w:adjustRightInd w:val="0"/>
        <w:spacing w:line="360" w:lineRule="auto"/>
        <w:rPr>
          <w:rFonts w:cstheme="minorHAnsi"/>
          <w:i/>
        </w:rPr>
      </w:pPr>
      <w:r w:rsidRPr="002446A0">
        <w:rPr>
          <w:rFonts w:cstheme="minorHAnsi"/>
          <w:i/>
        </w:rPr>
        <w:t>Issues warranting surgery</w:t>
      </w:r>
    </w:p>
    <w:p w14:paraId="67985FC0" w14:textId="78EB4ED2" w:rsidR="007E0E6D" w:rsidRDefault="007E0E6D" w:rsidP="00531EBF">
      <w:pPr>
        <w:autoSpaceDE w:val="0"/>
        <w:autoSpaceDN w:val="0"/>
        <w:adjustRightInd w:val="0"/>
        <w:spacing w:line="360" w:lineRule="auto"/>
        <w:rPr>
          <w:rFonts w:cstheme="minorHAnsi"/>
        </w:rPr>
      </w:pPr>
      <w:r w:rsidRPr="009A18BC">
        <w:rPr>
          <w:rFonts w:cstheme="minorHAnsi"/>
        </w:rPr>
        <w:t xml:space="preserve">In addition to surgery to correct the congenital anomalies </w:t>
      </w:r>
      <w:r>
        <w:rPr>
          <w:rFonts w:cstheme="minorHAnsi"/>
        </w:rPr>
        <w:t>presented</w:t>
      </w:r>
      <w:r w:rsidRPr="009A18BC">
        <w:rPr>
          <w:rFonts w:cstheme="minorHAnsi"/>
        </w:rPr>
        <w:t xml:space="preserve"> in </w:t>
      </w:r>
      <w:r w:rsidRPr="00A23397">
        <w:rPr>
          <w:rFonts w:cstheme="minorHAnsi"/>
        </w:rPr>
        <w:t>table 4,</w:t>
      </w:r>
      <w:r w:rsidRPr="009A18BC">
        <w:rPr>
          <w:rFonts w:cstheme="minorHAnsi"/>
        </w:rPr>
        <w:t xml:space="preserve"> there were additional surgical </w:t>
      </w:r>
      <w:r w:rsidR="00935A45">
        <w:rPr>
          <w:rFonts w:cstheme="minorHAnsi"/>
        </w:rPr>
        <w:t>interventions</w:t>
      </w:r>
      <w:r w:rsidR="00935A45" w:rsidRPr="009A18BC">
        <w:rPr>
          <w:rFonts w:cstheme="minorHAnsi"/>
        </w:rPr>
        <w:t xml:space="preserve"> </w:t>
      </w:r>
      <w:r w:rsidRPr="009A18BC">
        <w:rPr>
          <w:rFonts w:cstheme="minorHAnsi"/>
        </w:rPr>
        <w:t xml:space="preserve">in 36.4% (12/33).  These included </w:t>
      </w:r>
      <w:r w:rsidR="00935A45">
        <w:rPr>
          <w:rFonts w:cstheme="minorHAnsi"/>
        </w:rPr>
        <w:t xml:space="preserve">surgery for </w:t>
      </w:r>
      <w:r w:rsidRPr="009A18BC">
        <w:rPr>
          <w:rFonts w:cstheme="minorHAnsi"/>
        </w:rPr>
        <w:t>herniae (n=3) (two specified as inguinal), leg lengthening (n=2) and subsequent femoral epiphysiodesis in one of these cases, ligament and/or tendon surgery (n=2), pinnaplasty (n=3), gastrostomy and reversal (n=2), rhinoplasty (n=1), sterilisation (n=1) and jaw surgery (n=1).  One individual had a history of malignant hyperthermia at induction of anaesthesia.</w:t>
      </w:r>
    </w:p>
    <w:p w14:paraId="5B9E3B50" w14:textId="77777777" w:rsidR="007E0E6D" w:rsidRPr="002446A0" w:rsidRDefault="007E0E6D" w:rsidP="00531EBF">
      <w:pPr>
        <w:autoSpaceDE w:val="0"/>
        <w:autoSpaceDN w:val="0"/>
        <w:adjustRightInd w:val="0"/>
        <w:spacing w:line="360" w:lineRule="auto"/>
        <w:rPr>
          <w:rFonts w:cstheme="minorHAnsi"/>
          <w:i/>
        </w:rPr>
      </w:pPr>
      <w:r w:rsidRPr="002446A0">
        <w:rPr>
          <w:rFonts w:cstheme="minorHAnsi"/>
          <w:i/>
        </w:rPr>
        <w:t>Other health problems</w:t>
      </w:r>
    </w:p>
    <w:p w14:paraId="605661D9" w14:textId="77777777" w:rsidR="007E0E6D" w:rsidRDefault="007E0E6D" w:rsidP="00531EBF">
      <w:pPr>
        <w:autoSpaceDE w:val="0"/>
        <w:autoSpaceDN w:val="0"/>
        <w:adjustRightInd w:val="0"/>
        <w:spacing w:line="360" w:lineRule="auto"/>
        <w:rPr>
          <w:rFonts w:cstheme="minorHAnsi"/>
        </w:rPr>
      </w:pPr>
      <w:r>
        <w:rPr>
          <w:rFonts w:cstheme="minorHAnsi"/>
        </w:rPr>
        <w:t>D</w:t>
      </w:r>
      <w:r w:rsidRPr="00863F77">
        <w:rPr>
          <w:rFonts w:cstheme="minorHAnsi"/>
        </w:rPr>
        <w:t xml:space="preserve">ental </w:t>
      </w:r>
      <w:r>
        <w:rPr>
          <w:rFonts w:cstheme="minorHAnsi"/>
        </w:rPr>
        <w:t>intervention</w:t>
      </w:r>
      <w:r w:rsidRPr="00863F77">
        <w:rPr>
          <w:rFonts w:cstheme="minorHAnsi"/>
        </w:rPr>
        <w:t xml:space="preserve"> was reported in 48.5% (16/33) with braces having been required in seven cases, tooth extraction in 12 cases, dental operations reported in one case and unspecified treatment in one case.  </w:t>
      </w:r>
      <w:r>
        <w:rPr>
          <w:rFonts w:cstheme="minorHAnsi"/>
        </w:rPr>
        <w:t>Five participants gave a history of migraine (n=3) or headaches (n=2).</w:t>
      </w:r>
    </w:p>
    <w:p w14:paraId="6CF4B059" w14:textId="77777777" w:rsidR="007E0E6D" w:rsidRDefault="007E0E6D" w:rsidP="00531EBF">
      <w:pPr>
        <w:spacing w:line="360" w:lineRule="auto"/>
        <w:outlineLvl w:val="0"/>
        <w:rPr>
          <w:rFonts w:cstheme="minorHAnsi"/>
          <w:b/>
        </w:rPr>
      </w:pPr>
      <w:r w:rsidRPr="00262874">
        <w:rPr>
          <w:rFonts w:cstheme="minorHAnsi"/>
          <w:b/>
        </w:rPr>
        <w:t>Fertility</w:t>
      </w:r>
      <w:r>
        <w:rPr>
          <w:rFonts w:cstheme="minorHAnsi"/>
          <w:b/>
        </w:rPr>
        <w:t xml:space="preserve"> and offspring risk</w:t>
      </w:r>
    </w:p>
    <w:p w14:paraId="021E4377" w14:textId="77777777" w:rsidR="007E0E6D" w:rsidRDefault="007E0E6D" w:rsidP="00531EBF">
      <w:pPr>
        <w:spacing w:line="360" w:lineRule="auto"/>
        <w:rPr>
          <w:rFonts w:cstheme="minorHAnsi"/>
        </w:rPr>
      </w:pPr>
      <w:r>
        <w:rPr>
          <w:rFonts w:cstheme="minorHAnsi"/>
        </w:rPr>
        <w:t>Nine</w:t>
      </w:r>
      <w:r w:rsidRPr="00376942">
        <w:rPr>
          <w:rFonts w:cstheme="minorHAnsi"/>
        </w:rPr>
        <w:t xml:space="preserve"> (5</w:t>
      </w:r>
      <w:r>
        <w:rPr>
          <w:rFonts w:cstheme="minorHAnsi"/>
        </w:rPr>
        <w:t xml:space="preserve"> females and </w:t>
      </w:r>
      <w:r w:rsidRPr="00376942">
        <w:rPr>
          <w:rFonts w:cstheme="minorHAnsi"/>
        </w:rPr>
        <w:t xml:space="preserve">4 males) </w:t>
      </w:r>
      <w:r>
        <w:rPr>
          <w:rFonts w:cstheme="minorHAnsi"/>
        </w:rPr>
        <w:t xml:space="preserve">out of 25 </w:t>
      </w:r>
      <w:r w:rsidRPr="00376942">
        <w:rPr>
          <w:rFonts w:cstheme="minorHAnsi"/>
        </w:rPr>
        <w:t>participants</w:t>
      </w:r>
      <w:r>
        <w:rPr>
          <w:rFonts w:cstheme="minorHAnsi"/>
        </w:rPr>
        <w:t xml:space="preserve"> </w:t>
      </w:r>
      <w:r>
        <w:rPr>
          <w:rFonts w:ascii="Calibri" w:hAnsi="Calibri" w:cstheme="minorHAnsi"/>
        </w:rPr>
        <w:t>≥</w:t>
      </w:r>
      <w:r>
        <w:rPr>
          <w:rFonts w:cstheme="minorHAnsi"/>
        </w:rPr>
        <w:t xml:space="preserve">18 years </w:t>
      </w:r>
      <w:r w:rsidRPr="00376942">
        <w:rPr>
          <w:rFonts w:cstheme="minorHAnsi"/>
        </w:rPr>
        <w:t xml:space="preserve">had children (3 had one </w:t>
      </w:r>
      <w:r>
        <w:rPr>
          <w:rFonts w:cstheme="minorHAnsi"/>
        </w:rPr>
        <w:t>child</w:t>
      </w:r>
      <w:r w:rsidRPr="00376942">
        <w:rPr>
          <w:rFonts w:cstheme="minorHAnsi"/>
        </w:rPr>
        <w:t xml:space="preserve">, 4 had two </w:t>
      </w:r>
      <w:r>
        <w:rPr>
          <w:rFonts w:cstheme="minorHAnsi"/>
        </w:rPr>
        <w:t>children</w:t>
      </w:r>
      <w:r w:rsidRPr="00376942">
        <w:rPr>
          <w:rFonts w:cstheme="minorHAnsi"/>
        </w:rPr>
        <w:t xml:space="preserve"> and 2 had three </w:t>
      </w:r>
      <w:r>
        <w:rPr>
          <w:rFonts w:cstheme="minorHAnsi"/>
        </w:rPr>
        <w:t>children</w:t>
      </w:r>
      <w:r w:rsidRPr="00376942">
        <w:rPr>
          <w:rFonts w:cstheme="minorHAnsi"/>
        </w:rPr>
        <w:t>)</w:t>
      </w:r>
      <w:r>
        <w:rPr>
          <w:rFonts w:cstheme="minorHAnsi"/>
        </w:rPr>
        <w:t>.  Eight of these</w:t>
      </w:r>
      <w:r w:rsidRPr="00376942">
        <w:rPr>
          <w:rFonts w:cstheme="minorHAnsi"/>
        </w:rPr>
        <w:t xml:space="preserve"> individuals </w:t>
      </w:r>
      <w:r>
        <w:rPr>
          <w:rFonts w:cstheme="minorHAnsi"/>
        </w:rPr>
        <w:t>had IC1 LOM</w:t>
      </w:r>
      <w:r w:rsidRPr="00376942">
        <w:rPr>
          <w:rFonts w:cstheme="minorHAnsi"/>
        </w:rPr>
        <w:t xml:space="preserve"> and </w:t>
      </w:r>
      <w:r>
        <w:rPr>
          <w:rFonts w:cstheme="minorHAnsi"/>
        </w:rPr>
        <w:t xml:space="preserve">one had </w:t>
      </w:r>
      <w:r w:rsidRPr="00376942">
        <w:rPr>
          <w:rFonts w:cstheme="minorHAnsi"/>
        </w:rPr>
        <w:t xml:space="preserve">matUPD7.  </w:t>
      </w:r>
      <w:r>
        <w:rPr>
          <w:rFonts w:cstheme="minorHAnsi"/>
        </w:rPr>
        <w:t>None of the offspring were</w:t>
      </w:r>
      <w:r w:rsidRPr="00376942">
        <w:rPr>
          <w:rFonts w:cstheme="minorHAnsi"/>
        </w:rPr>
        <w:t xml:space="preserve"> affected with SRS</w:t>
      </w:r>
      <w:r>
        <w:rPr>
          <w:rFonts w:cstheme="minorHAnsi"/>
        </w:rPr>
        <w:t xml:space="preserve">. </w:t>
      </w:r>
    </w:p>
    <w:p w14:paraId="5E0EECE4" w14:textId="77777777" w:rsidR="007E0E6D" w:rsidRDefault="007E0E6D" w:rsidP="00531EBF">
      <w:pPr>
        <w:spacing w:line="360" w:lineRule="auto"/>
        <w:rPr>
          <w:rFonts w:cstheme="minorHAnsi"/>
        </w:rPr>
      </w:pPr>
      <w:r w:rsidRPr="003C6D2F">
        <w:rPr>
          <w:rFonts w:cstheme="minorHAnsi"/>
        </w:rPr>
        <w:t xml:space="preserve">One male with a history of cryptorchidism was father to two children.  One further male, who had been diagnosed with testosterone deficiency but </w:t>
      </w:r>
      <w:r>
        <w:rPr>
          <w:rFonts w:cstheme="minorHAnsi"/>
        </w:rPr>
        <w:t xml:space="preserve">with </w:t>
      </w:r>
      <w:r w:rsidRPr="003C6D2F">
        <w:rPr>
          <w:rFonts w:cstheme="minorHAnsi"/>
        </w:rPr>
        <w:t xml:space="preserve">normal </w:t>
      </w:r>
      <w:r>
        <w:rPr>
          <w:rFonts w:cstheme="minorHAnsi"/>
        </w:rPr>
        <w:t>follicle stimulating hormone</w:t>
      </w:r>
      <w:r w:rsidRPr="003C6D2F">
        <w:rPr>
          <w:rFonts w:cstheme="minorHAnsi"/>
        </w:rPr>
        <w:t xml:space="preserve"> and lute</w:t>
      </w:r>
      <w:r>
        <w:rPr>
          <w:rFonts w:cstheme="minorHAnsi"/>
        </w:rPr>
        <w:t>i</w:t>
      </w:r>
      <w:r w:rsidRPr="003C6D2F">
        <w:rPr>
          <w:rFonts w:cstheme="minorHAnsi"/>
        </w:rPr>
        <w:t xml:space="preserve">nising hormone, had one offspring.  </w:t>
      </w:r>
      <w:r>
        <w:rPr>
          <w:rFonts w:cstheme="minorHAnsi"/>
        </w:rPr>
        <w:t>Of the other 11 males, p</w:t>
      </w:r>
      <w:r w:rsidRPr="003C6D2F">
        <w:rPr>
          <w:rFonts w:cstheme="minorHAnsi"/>
        </w:rPr>
        <w:t>rimary hypogonadism, azo</w:t>
      </w:r>
      <w:r>
        <w:rPr>
          <w:rFonts w:cstheme="minorHAnsi"/>
        </w:rPr>
        <w:t>o</w:t>
      </w:r>
      <w:r w:rsidRPr="003C6D2F">
        <w:rPr>
          <w:rFonts w:cstheme="minorHAnsi"/>
        </w:rPr>
        <w:t>spermia and infertility had been confirmed in one male, who had a history of severe hypospadias</w:t>
      </w:r>
      <w:r>
        <w:rPr>
          <w:rFonts w:cstheme="minorHAnsi"/>
        </w:rPr>
        <w:t xml:space="preserve"> at birth</w:t>
      </w:r>
      <w:r w:rsidRPr="003C6D2F">
        <w:rPr>
          <w:rFonts w:cstheme="minorHAnsi"/>
        </w:rPr>
        <w:t>.  One of the four males with a history of cryptorchidism and orchidopexy, was noted to have small testicular volumes during puberty, a borderline testosterone level and a raised follicle</w:t>
      </w:r>
      <w:r>
        <w:rPr>
          <w:rFonts w:cstheme="minorHAnsi"/>
        </w:rPr>
        <w:t xml:space="preserve"> </w:t>
      </w:r>
      <w:r w:rsidRPr="00A23397">
        <w:rPr>
          <w:rFonts w:cstheme="minorHAnsi"/>
        </w:rPr>
        <w:t>stimulating hormone.  In addition to the three females with genital anomalies (3/18) presented in table 4,</w:t>
      </w:r>
      <w:r>
        <w:rPr>
          <w:rFonts w:cstheme="minorHAnsi"/>
        </w:rPr>
        <w:t xml:space="preserve"> t</w:t>
      </w:r>
      <w:r w:rsidRPr="00287A35">
        <w:rPr>
          <w:rFonts w:cstheme="minorHAnsi"/>
        </w:rPr>
        <w:t xml:space="preserve">here was a history of gynaecological problems in 22.2% (4/18) of females, including endometriosis </w:t>
      </w:r>
      <w:r>
        <w:rPr>
          <w:rFonts w:cstheme="minorHAnsi"/>
        </w:rPr>
        <w:t>(n=1)</w:t>
      </w:r>
      <w:r w:rsidRPr="00287A35">
        <w:rPr>
          <w:rFonts w:cstheme="minorHAnsi"/>
        </w:rPr>
        <w:t xml:space="preserve">, menorrhagia </w:t>
      </w:r>
      <w:r>
        <w:rPr>
          <w:rFonts w:cstheme="minorHAnsi"/>
        </w:rPr>
        <w:t>(n=2)</w:t>
      </w:r>
      <w:r w:rsidRPr="00287A35">
        <w:rPr>
          <w:rFonts w:cstheme="minorHAnsi"/>
        </w:rPr>
        <w:t xml:space="preserve"> and pelvic inflammatory disease</w:t>
      </w:r>
      <w:r>
        <w:rPr>
          <w:rFonts w:cstheme="minorHAnsi"/>
        </w:rPr>
        <w:t xml:space="preserve"> (n=1).</w:t>
      </w:r>
    </w:p>
    <w:p w14:paraId="7DA2DDAA" w14:textId="77777777" w:rsidR="007E0E6D" w:rsidRDefault="007E0E6D" w:rsidP="00531EBF">
      <w:pPr>
        <w:spacing w:line="360" w:lineRule="auto"/>
        <w:outlineLvl w:val="0"/>
        <w:rPr>
          <w:rFonts w:cstheme="minorHAnsi"/>
          <w:b/>
        </w:rPr>
      </w:pPr>
      <w:r>
        <w:rPr>
          <w:rFonts w:cstheme="minorHAnsi"/>
          <w:b/>
        </w:rPr>
        <w:t>Life satisfaction, disability and quality of li</w:t>
      </w:r>
      <w:r w:rsidRPr="00BE2B4A">
        <w:rPr>
          <w:rFonts w:cstheme="minorHAnsi"/>
          <w:b/>
        </w:rPr>
        <w:t>fe</w:t>
      </w:r>
      <w:r w:rsidRPr="008520AE">
        <w:rPr>
          <w:rFonts w:cstheme="minorHAnsi"/>
          <w:b/>
        </w:rPr>
        <w:t xml:space="preserve"> </w:t>
      </w:r>
    </w:p>
    <w:p w14:paraId="6C1EB6BF" w14:textId="6BECB1DE" w:rsidR="007E0E6D" w:rsidRDefault="007E0E6D" w:rsidP="00531EBF">
      <w:pPr>
        <w:spacing w:line="360" w:lineRule="auto"/>
        <w:rPr>
          <w:rFonts w:cstheme="minorHAnsi"/>
        </w:rPr>
      </w:pPr>
      <w:r>
        <w:rPr>
          <w:rFonts w:cstheme="minorHAnsi"/>
        </w:rPr>
        <w:t>O</w:t>
      </w:r>
      <w:r w:rsidRPr="00376942">
        <w:rPr>
          <w:rFonts w:cstheme="minorHAnsi"/>
        </w:rPr>
        <w:t>verall, the median score of the life satisfaction ladder was 8.0 out of 10.0 (IQR 7.0-8.0</w:t>
      </w:r>
      <w:r w:rsidR="00A85DAF">
        <w:rPr>
          <w:rFonts w:cstheme="minorHAnsi"/>
        </w:rPr>
        <w:t>).</w:t>
      </w:r>
      <w:r w:rsidR="0014302F" w:rsidRPr="0014302F">
        <w:rPr>
          <w:rFonts w:ascii="Verdana" w:eastAsia="Times New Roman" w:hAnsi="Verdana" w:cs="Calibri"/>
          <w:color w:val="B36AE2"/>
          <w:sz w:val="17"/>
          <w:szCs w:val="17"/>
          <w:shd w:val="clear" w:color="auto" w:fill="FFFFFF"/>
          <w:lang w:eastAsia="en-GB"/>
        </w:rPr>
        <w:t xml:space="preserve"> </w:t>
      </w:r>
      <w:r w:rsidR="00A85DAF">
        <w:rPr>
          <w:rFonts w:ascii="Verdana" w:eastAsia="Times New Roman" w:hAnsi="Verdana" w:cs="Calibri"/>
          <w:color w:val="B36AE2"/>
          <w:sz w:val="17"/>
          <w:szCs w:val="17"/>
          <w:shd w:val="clear" w:color="auto" w:fill="FFFFFF"/>
          <w:lang w:eastAsia="en-GB"/>
        </w:rPr>
        <w:t xml:space="preserve"> </w:t>
      </w:r>
      <w:r w:rsidR="00A85DAF">
        <w:rPr>
          <w:rFonts w:cstheme="minorHAnsi"/>
        </w:rPr>
        <w:t>Scores on the</w:t>
      </w:r>
      <w:r w:rsidR="0014302F" w:rsidRPr="0014302F">
        <w:rPr>
          <w:rFonts w:cstheme="minorHAnsi"/>
        </w:rPr>
        <w:t xml:space="preserve"> ladder </w:t>
      </w:r>
      <w:r w:rsidR="00A85DAF">
        <w:rPr>
          <w:rFonts w:cstheme="minorHAnsi"/>
        </w:rPr>
        <w:t>range</w:t>
      </w:r>
      <w:r w:rsidR="0014302F" w:rsidRPr="0014302F">
        <w:rPr>
          <w:rFonts w:cstheme="minorHAnsi"/>
        </w:rPr>
        <w:t xml:space="preserve"> from 0-10 where 0 is the worst possible life a participan</w:t>
      </w:r>
      <w:r w:rsidR="0014302F">
        <w:rPr>
          <w:rFonts w:cstheme="minorHAnsi"/>
        </w:rPr>
        <w:t xml:space="preserve">t could imagine and 10 </w:t>
      </w:r>
      <w:r w:rsidR="00A85DAF">
        <w:rPr>
          <w:rFonts w:cstheme="minorHAnsi"/>
        </w:rPr>
        <w:t xml:space="preserve">is </w:t>
      </w:r>
      <w:r w:rsidR="0014302F">
        <w:rPr>
          <w:rFonts w:cstheme="minorHAnsi"/>
        </w:rPr>
        <w:t>the best</w:t>
      </w:r>
      <w:r w:rsidRPr="00376942">
        <w:rPr>
          <w:rFonts w:cstheme="minorHAnsi"/>
        </w:rPr>
        <w:t xml:space="preserve">). </w:t>
      </w:r>
      <w:r>
        <w:rPr>
          <w:rFonts w:cstheme="minorHAnsi"/>
        </w:rPr>
        <w:t xml:space="preserve"> </w:t>
      </w:r>
      <w:r w:rsidRPr="00376942">
        <w:rPr>
          <w:rFonts w:cstheme="minorHAnsi"/>
        </w:rPr>
        <w:t>There was no difference between GH-untreated (n=10) and GH treated (n=23) individuals in their life satisfaction ladder scores; 7.5 (IQR 4.0-8.4) and 8.0 (IQR 7.0-8.0) res</w:t>
      </w:r>
      <w:r>
        <w:rPr>
          <w:rFonts w:cstheme="minorHAnsi"/>
        </w:rPr>
        <w:t>pectively (p=0.340)</w:t>
      </w:r>
      <w:r w:rsidRPr="00376942">
        <w:rPr>
          <w:rFonts w:cstheme="minorHAnsi"/>
        </w:rPr>
        <w:t>, although the range of answers was g</w:t>
      </w:r>
      <w:r>
        <w:rPr>
          <w:rFonts w:cstheme="minorHAnsi"/>
        </w:rPr>
        <w:t>reater in the untreated group.  There were no differences in</w:t>
      </w:r>
      <w:r w:rsidRPr="00376942">
        <w:rPr>
          <w:rFonts w:cstheme="minorHAnsi"/>
        </w:rPr>
        <w:t xml:space="preserve"> the d</w:t>
      </w:r>
      <w:r>
        <w:rPr>
          <w:rFonts w:cstheme="minorHAnsi"/>
        </w:rPr>
        <w:t xml:space="preserve">escriptions of health (p=0.655), </w:t>
      </w:r>
      <w:r w:rsidRPr="00376942">
        <w:rPr>
          <w:rFonts w:cstheme="minorHAnsi"/>
        </w:rPr>
        <w:t>feel</w:t>
      </w:r>
      <w:r>
        <w:rPr>
          <w:rFonts w:cstheme="minorHAnsi"/>
        </w:rPr>
        <w:t xml:space="preserve">ings about school/job (p=0.573), </w:t>
      </w:r>
      <w:r w:rsidRPr="00376942">
        <w:rPr>
          <w:rFonts w:cstheme="minorHAnsi"/>
        </w:rPr>
        <w:t>feelings of being an outsider or le</w:t>
      </w:r>
      <w:r>
        <w:rPr>
          <w:rFonts w:cstheme="minorHAnsi"/>
        </w:rPr>
        <w:t xml:space="preserve">ft out (p=0.899), </w:t>
      </w:r>
      <w:r w:rsidRPr="00376942">
        <w:rPr>
          <w:rFonts w:cstheme="minorHAnsi"/>
        </w:rPr>
        <w:t>feeling awk</w:t>
      </w:r>
      <w:r>
        <w:rPr>
          <w:rFonts w:cstheme="minorHAnsi"/>
        </w:rPr>
        <w:t>ward and out of place (p=0.488), or feeling lonely (p=0.771) between GH treatment groups.</w:t>
      </w:r>
    </w:p>
    <w:p w14:paraId="71559E1E" w14:textId="77777777" w:rsidR="007E0E6D" w:rsidRDefault="007E0E6D" w:rsidP="00531EBF">
      <w:pPr>
        <w:spacing w:line="360" w:lineRule="auto"/>
        <w:rPr>
          <w:rFonts w:cstheme="minorHAnsi"/>
        </w:rPr>
      </w:pPr>
      <w:r w:rsidRPr="00376942">
        <w:rPr>
          <w:rFonts w:cstheme="minorHAnsi"/>
        </w:rPr>
        <w:t>In the cohort overall, the median total Sheehan Disability Scale score was 3 out of 30 and 33.3% gave a score of 0</w:t>
      </w:r>
      <w:r>
        <w:rPr>
          <w:rFonts w:cstheme="minorHAnsi"/>
        </w:rPr>
        <w:t xml:space="preserve"> (i.e. no disability)</w:t>
      </w:r>
      <w:r w:rsidRPr="00376942">
        <w:rPr>
          <w:rFonts w:cstheme="minorHAnsi"/>
        </w:rPr>
        <w:t xml:space="preserve">. </w:t>
      </w:r>
    </w:p>
    <w:p w14:paraId="7C9FD1EA" w14:textId="77777777" w:rsidR="007E0E6D" w:rsidRDefault="007E0E6D" w:rsidP="00531EBF">
      <w:pPr>
        <w:spacing w:line="360" w:lineRule="auto"/>
        <w:rPr>
          <w:rFonts w:cstheme="minorHAnsi"/>
        </w:rPr>
      </w:pPr>
      <w:r w:rsidRPr="00376942">
        <w:rPr>
          <w:rFonts w:cstheme="minorHAnsi"/>
        </w:rPr>
        <w:t xml:space="preserve">The quality of life questionnaire produced a mean SEIQoL-DW index score </w:t>
      </w:r>
      <w:r>
        <w:rPr>
          <w:rFonts w:cstheme="minorHAnsi"/>
        </w:rPr>
        <w:t>of</w:t>
      </w:r>
      <w:r w:rsidRPr="00376942">
        <w:rPr>
          <w:rFonts w:cstheme="minorHAnsi"/>
        </w:rPr>
        <w:t xml:space="preserve"> 74.9 which is comparable to that of 77.4 (SD 9.5) obtained in healthy adults </w:t>
      </w:r>
      <w:r>
        <w:rPr>
          <w:rFonts w:cstheme="minorHAnsi"/>
          <w:noProof/>
        </w:rPr>
        <w:t>(31)</w:t>
      </w:r>
      <w:r w:rsidRPr="00376942">
        <w:rPr>
          <w:rFonts w:cstheme="minorHAnsi"/>
        </w:rPr>
        <w:t>.</w:t>
      </w:r>
      <w:r>
        <w:rPr>
          <w:rFonts w:cstheme="minorHAnsi"/>
        </w:rPr>
        <w:t xml:space="preserve"> </w:t>
      </w:r>
      <w:r w:rsidRPr="00376942">
        <w:rPr>
          <w:rFonts w:cstheme="minorHAnsi"/>
        </w:rPr>
        <w:t xml:space="preserve"> It</w:t>
      </w:r>
      <w:r>
        <w:rPr>
          <w:rFonts w:cstheme="minorHAnsi"/>
        </w:rPr>
        <w:t xml:space="preserve"> </w:t>
      </w:r>
      <w:r w:rsidRPr="00376942">
        <w:rPr>
          <w:rFonts w:cstheme="minorHAnsi"/>
        </w:rPr>
        <w:t>revealed no significant correlation between SEIQoL-DW index score and height SDS (Pearson correlation coefficient</w:t>
      </w:r>
      <w:r>
        <w:rPr>
          <w:rFonts w:cstheme="minorHAnsi"/>
        </w:rPr>
        <w:t xml:space="preserve"> 0.117, p=0.529)</w:t>
      </w:r>
      <w:r w:rsidRPr="00376942">
        <w:rPr>
          <w:rFonts w:cstheme="minorHAnsi"/>
        </w:rPr>
        <w:t xml:space="preserve">. However, there was a negative correlation between SEIQoL-DW index score and BMI SDS (Pearson correlation coefficient -0.388, p=0.031). </w:t>
      </w:r>
    </w:p>
    <w:p w14:paraId="1A45094D" w14:textId="77777777" w:rsidR="007E0E6D" w:rsidRDefault="007E0E6D" w:rsidP="00531EBF">
      <w:pPr>
        <w:spacing w:line="360" w:lineRule="auto"/>
        <w:outlineLvl w:val="0"/>
        <w:rPr>
          <w:rFonts w:cstheme="minorHAnsi"/>
          <w:b/>
        </w:rPr>
      </w:pPr>
      <w:r w:rsidRPr="00262874">
        <w:rPr>
          <w:rFonts w:cstheme="minorHAnsi"/>
          <w:b/>
        </w:rPr>
        <w:t>Discussion</w:t>
      </w:r>
    </w:p>
    <w:p w14:paraId="65829C39" w14:textId="54113E02" w:rsidR="007E0E6D" w:rsidRDefault="007E0E6D" w:rsidP="00531EBF">
      <w:pPr>
        <w:spacing w:line="360" w:lineRule="auto"/>
        <w:rPr>
          <w:rFonts w:cstheme="minorHAnsi"/>
        </w:rPr>
      </w:pPr>
      <w:r>
        <w:rPr>
          <w:rFonts w:cstheme="minorHAnsi"/>
        </w:rPr>
        <w:t>To our knowledge, this is the largest cohort studied of older people with</w:t>
      </w:r>
      <w:r w:rsidR="00935A45">
        <w:rPr>
          <w:rFonts w:cstheme="minorHAnsi"/>
        </w:rPr>
        <w:t xml:space="preserve"> molecularly confirmed</w:t>
      </w:r>
      <w:r>
        <w:rPr>
          <w:rFonts w:cstheme="minorHAnsi"/>
        </w:rPr>
        <w:t xml:space="preserve"> SRS. Our study</w:t>
      </w:r>
      <w:r w:rsidRPr="00376942">
        <w:rPr>
          <w:rFonts w:cstheme="minorHAnsi"/>
        </w:rPr>
        <w:t xml:space="preserve"> </w:t>
      </w:r>
      <w:r>
        <w:rPr>
          <w:rFonts w:cstheme="minorHAnsi"/>
        </w:rPr>
        <w:t>addresses the</w:t>
      </w:r>
      <w:r w:rsidRPr="00376942">
        <w:rPr>
          <w:rFonts w:cstheme="minorHAnsi"/>
        </w:rPr>
        <w:t xml:space="preserve"> paucity of information for families and health professionals on </w:t>
      </w:r>
      <w:r>
        <w:rPr>
          <w:rFonts w:cstheme="minorHAnsi"/>
        </w:rPr>
        <w:t>the</w:t>
      </w:r>
      <w:r w:rsidRPr="00376942">
        <w:rPr>
          <w:rFonts w:cstheme="minorHAnsi"/>
        </w:rPr>
        <w:t xml:space="preserve"> </w:t>
      </w:r>
      <w:r>
        <w:rPr>
          <w:rFonts w:cstheme="minorHAnsi"/>
        </w:rPr>
        <w:t xml:space="preserve">adult phenotype and </w:t>
      </w:r>
      <w:r w:rsidRPr="00376942">
        <w:rPr>
          <w:rFonts w:cstheme="minorHAnsi"/>
        </w:rPr>
        <w:t>long-term prognosis</w:t>
      </w:r>
      <w:r>
        <w:rPr>
          <w:rFonts w:cstheme="minorHAnsi"/>
        </w:rPr>
        <w:t xml:space="preserve"> of SRS.  Only </w:t>
      </w:r>
      <w:r w:rsidRPr="00376942">
        <w:rPr>
          <w:rFonts w:cstheme="minorHAnsi"/>
        </w:rPr>
        <w:t xml:space="preserve">cases </w:t>
      </w:r>
      <w:r>
        <w:rPr>
          <w:rFonts w:cstheme="minorHAnsi"/>
        </w:rPr>
        <w:t xml:space="preserve">with a confirmed molecular diagnosis </w:t>
      </w:r>
      <w:r w:rsidRPr="00376942">
        <w:rPr>
          <w:rFonts w:cstheme="minorHAnsi"/>
        </w:rPr>
        <w:t>were included</w:t>
      </w:r>
      <w:r>
        <w:rPr>
          <w:rFonts w:cstheme="minorHAnsi"/>
        </w:rPr>
        <w:t>,</w:t>
      </w:r>
      <w:r w:rsidRPr="00376942">
        <w:rPr>
          <w:rFonts w:cstheme="minorHAnsi"/>
        </w:rPr>
        <w:t xml:space="preserve"> to </w:t>
      </w:r>
      <w:r>
        <w:rPr>
          <w:rFonts w:cstheme="minorHAnsi"/>
        </w:rPr>
        <w:t>minimise</w:t>
      </w:r>
      <w:r w:rsidRPr="00376942">
        <w:rPr>
          <w:rFonts w:cstheme="minorHAnsi"/>
        </w:rPr>
        <w:t xml:space="preserve"> heterogeneity</w:t>
      </w:r>
      <w:r>
        <w:rPr>
          <w:rFonts w:cstheme="minorHAnsi"/>
        </w:rPr>
        <w:t>. The use of retrospective reports for early growth and development measurements meant that we were able to confirm that the</w:t>
      </w:r>
      <w:r w:rsidRPr="00150759">
        <w:rPr>
          <w:rFonts w:cstheme="minorHAnsi"/>
        </w:rPr>
        <w:t xml:space="preserve"> cohort </w:t>
      </w:r>
      <w:r>
        <w:rPr>
          <w:rFonts w:cstheme="minorHAnsi"/>
        </w:rPr>
        <w:t xml:space="preserve">was comparable to previously reported childhood cohorts </w:t>
      </w:r>
      <w:r>
        <w:rPr>
          <w:rFonts w:cstheme="minorHAnsi"/>
          <w:noProof/>
        </w:rPr>
        <w:t>(7, 18, 20)</w:t>
      </w:r>
      <w:r>
        <w:rPr>
          <w:rFonts w:cstheme="minorHAnsi"/>
        </w:rPr>
        <w:t>, with a typical prevalence of</w:t>
      </w:r>
      <w:r w:rsidRPr="00376942">
        <w:rPr>
          <w:rFonts w:cstheme="minorHAnsi"/>
        </w:rPr>
        <w:t xml:space="preserve"> </w:t>
      </w:r>
      <w:r>
        <w:rPr>
          <w:rFonts w:cstheme="minorHAnsi"/>
        </w:rPr>
        <w:t>IC1 LOM and matUPD</w:t>
      </w:r>
      <w:r w:rsidRPr="00376942">
        <w:rPr>
          <w:rFonts w:cstheme="minorHAnsi"/>
        </w:rPr>
        <w:t>7.</w:t>
      </w:r>
      <w:r>
        <w:rPr>
          <w:rFonts w:cstheme="minorHAnsi"/>
        </w:rPr>
        <w:t xml:space="preserve"> </w:t>
      </w:r>
      <w:r w:rsidRPr="00376942">
        <w:rPr>
          <w:rFonts w:cstheme="minorHAnsi"/>
        </w:rPr>
        <w:t xml:space="preserve"> </w:t>
      </w:r>
      <w:r>
        <w:rPr>
          <w:rFonts w:cstheme="minorHAnsi"/>
        </w:rPr>
        <w:t xml:space="preserve">Our results are therefore a useful representation of the long-term outcome of SRS, even though the </w:t>
      </w:r>
      <w:r w:rsidRPr="00376942">
        <w:rPr>
          <w:rFonts w:cstheme="minorHAnsi"/>
        </w:rPr>
        <w:t>considerable age range</w:t>
      </w:r>
      <w:r>
        <w:rPr>
          <w:rFonts w:cstheme="minorHAnsi"/>
        </w:rPr>
        <w:t xml:space="preserve"> of patients means that some received treatments that differ from those recommended today.  </w:t>
      </w:r>
    </w:p>
    <w:p w14:paraId="5EB01AF6" w14:textId="010CA6DC" w:rsidR="007E0E6D" w:rsidRDefault="007E0E6D" w:rsidP="00531EBF">
      <w:pPr>
        <w:spacing w:line="360" w:lineRule="auto"/>
        <w:rPr>
          <w:rFonts w:cstheme="minorHAnsi"/>
        </w:rPr>
      </w:pPr>
      <w:r>
        <w:rPr>
          <w:rFonts w:cstheme="minorHAnsi"/>
        </w:rPr>
        <w:t>Diagnosis of SRS in adulthood is difficult and our results show that m</w:t>
      </w:r>
      <w:r w:rsidRPr="000372D5">
        <w:rPr>
          <w:rFonts w:cstheme="minorHAnsi"/>
        </w:rPr>
        <w:t>any of the diagnostic characteristics typical in childhood</w:t>
      </w:r>
      <w:r>
        <w:rPr>
          <w:rFonts w:cstheme="minorHAnsi"/>
        </w:rPr>
        <w:t>,</w:t>
      </w:r>
      <w:r w:rsidRPr="000372D5">
        <w:rPr>
          <w:rFonts w:cstheme="minorHAnsi"/>
        </w:rPr>
        <w:t xml:space="preserve"> such as f</w:t>
      </w:r>
      <w:r w:rsidRPr="000372D5">
        <w:t>e</w:t>
      </w:r>
      <w:r>
        <w:t xml:space="preserve">eding difficulties, triangular facial appearance and relative macrocephaly were no longer useful diagnostic discriminators of Silver-Russell syndrome in adulthood. </w:t>
      </w:r>
      <w:r>
        <w:rPr>
          <w:rFonts w:cstheme="minorHAnsi"/>
        </w:rPr>
        <w:t>The NHCSS for SRS, an internationally agreed diagnostic score</w:t>
      </w:r>
      <w:r w:rsidR="005C1B28">
        <w:rPr>
          <w:rFonts w:cstheme="minorHAnsi"/>
        </w:rPr>
        <w:t xml:space="preserve"> for use</w:t>
      </w:r>
      <w:r>
        <w:rPr>
          <w:rFonts w:cstheme="minorHAnsi"/>
        </w:rPr>
        <w:t xml:space="preserve"> in childhood </w:t>
      </w:r>
      <w:r>
        <w:rPr>
          <w:rFonts w:cstheme="minorHAnsi"/>
          <w:noProof/>
        </w:rPr>
        <w:t>(19)</w:t>
      </w:r>
      <w:r w:rsidR="00682F1D">
        <w:rPr>
          <w:rFonts w:cstheme="minorHAnsi"/>
          <w:noProof/>
        </w:rPr>
        <w:t xml:space="preserve"> could not be used on our cohort as insufficent data were available</w:t>
      </w:r>
      <w:r w:rsidR="00406E7B">
        <w:rPr>
          <w:rFonts w:cstheme="minorHAnsi"/>
          <w:noProof/>
        </w:rPr>
        <w:t xml:space="preserve"> despite </w:t>
      </w:r>
      <w:r w:rsidR="00A85DAF">
        <w:rPr>
          <w:rFonts w:cstheme="minorHAnsi"/>
          <w:noProof/>
        </w:rPr>
        <w:t xml:space="preserve">referring </w:t>
      </w:r>
      <w:r w:rsidR="00406E7B">
        <w:rPr>
          <w:rFonts w:cstheme="minorHAnsi"/>
          <w:noProof/>
        </w:rPr>
        <w:t>back to medical notes. We found that head circumference in particular was not routinely measured in the UK and appropriate photos were not</w:t>
      </w:r>
      <w:r w:rsidR="00A85DAF">
        <w:rPr>
          <w:rFonts w:cstheme="minorHAnsi"/>
          <w:noProof/>
        </w:rPr>
        <w:t xml:space="preserve"> always</w:t>
      </w:r>
      <w:r w:rsidR="00406E7B">
        <w:rPr>
          <w:rFonts w:cstheme="minorHAnsi"/>
          <w:noProof/>
        </w:rPr>
        <w:t xml:space="preserve"> available</w:t>
      </w:r>
      <w:r w:rsidR="00682F1D">
        <w:rPr>
          <w:rFonts w:cstheme="minorHAnsi"/>
          <w:noProof/>
        </w:rPr>
        <w:t xml:space="preserve">. </w:t>
      </w:r>
      <w:r w:rsidR="007730E8">
        <w:rPr>
          <w:rFonts w:cstheme="minorHAnsi"/>
          <w:noProof/>
        </w:rPr>
        <w:t>It shows the importance of recording</w:t>
      </w:r>
      <w:r w:rsidR="007730E8">
        <w:rPr>
          <w:rFonts w:eastAsia="Times New Roman"/>
        </w:rPr>
        <w:t xml:space="preserve"> birth head circumference (and ideally birth length), especially for small newborns. It is done in many countries and should be performed in every country when babies are born in hospital. </w:t>
      </w:r>
      <w:r w:rsidR="00682F1D">
        <w:rPr>
          <w:rFonts w:cstheme="minorHAnsi"/>
          <w:noProof/>
        </w:rPr>
        <w:t>We attempted to adapt the criteria f</w:t>
      </w:r>
      <w:r w:rsidR="00406E7B">
        <w:rPr>
          <w:rFonts w:cstheme="minorHAnsi"/>
          <w:noProof/>
        </w:rPr>
        <w:t>or</w:t>
      </w:r>
      <w:r w:rsidR="00682F1D">
        <w:rPr>
          <w:rFonts w:cstheme="minorHAnsi"/>
          <w:noProof/>
        </w:rPr>
        <w:t xml:space="preserve"> adulthood but we were not able to create a score that was sensitive enough to be useful </w:t>
      </w:r>
      <w:r>
        <w:rPr>
          <w:rFonts w:cstheme="minorHAnsi"/>
        </w:rPr>
        <w:t>despite all cases having a proven molecular aetiology for SRS</w:t>
      </w:r>
      <w:r w:rsidR="003C1322">
        <w:rPr>
          <w:rFonts w:cstheme="minorHAnsi"/>
        </w:rPr>
        <w:t xml:space="preserve">. </w:t>
      </w:r>
      <w:r w:rsidR="0008084C">
        <w:rPr>
          <w:rFonts w:cstheme="minorHAnsi"/>
        </w:rPr>
        <w:t xml:space="preserve">Our study addressed the uncertainty as to the applicability of </w:t>
      </w:r>
      <w:r w:rsidR="00C341F7">
        <w:rPr>
          <w:rFonts w:cstheme="minorHAnsi"/>
        </w:rPr>
        <w:t>NHCSS in older people</w:t>
      </w:r>
      <w:r w:rsidR="009C5680">
        <w:rPr>
          <w:rFonts w:cstheme="minorHAnsi"/>
        </w:rPr>
        <w:t>. I</w:t>
      </w:r>
      <w:r w:rsidR="0068052C">
        <w:rPr>
          <w:rFonts w:cstheme="minorHAnsi"/>
        </w:rPr>
        <w:t xml:space="preserve">t </w:t>
      </w:r>
      <w:r w:rsidR="003C1322">
        <w:rPr>
          <w:rFonts w:cstheme="minorHAnsi"/>
        </w:rPr>
        <w:t xml:space="preserve">provides evidence that </w:t>
      </w:r>
      <w:r w:rsidR="00406E7B">
        <w:rPr>
          <w:rFonts w:cstheme="minorHAnsi"/>
        </w:rPr>
        <w:t>the</w:t>
      </w:r>
      <w:r>
        <w:rPr>
          <w:rFonts w:cstheme="minorHAnsi"/>
        </w:rPr>
        <w:t xml:space="preserve"> </w:t>
      </w:r>
      <w:r w:rsidR="003C1322">
        <w:rPr>
          <w:rFonts w:cstheme="minorHAnsi"/>
        </w:rPr>
        <w:t xml:space="preserve">NHCSS has to be strictly applied at the ages specified </w:t>
      </w:r>
      <w:r w:rsidR="00C341F7">
        <w:rPr>
          <w:rFonts w:cstheme="minorHAnsi"/>
        </w:rPr>
        <w:t xml:space="preserve">during childhood </w:t>
      </w:r>
      <w:r w:rsidR="003C1322">
        <w:rPr>
          <w:rFonts w:cstheme="minorHAnsi"/>
        </w:rPr>
        <w:t xml:space="preserve">and that </w:t>
      </w:r>
      <w:r>
        <w:rPr>
          <w:rFonts w:cstheme="minorHAnsi"/>
        </w:rPr>
        <w:t xml:space="preserve">use of </w:t>
      </w:r>
      <w:r w:rsidR="00E93527">
        <w:rPr>
          <w:rFonts w:cstheme="minorHAnsi"/>
        </w:rPr>
        <w:t xml:space="preserve">this scoring system using </w:t>
      </w:r>
      <w:r>
        <w:rPr>
          <w:rFonts w:cstheme="minorHAnsi"/>
        </w:rPr>
        <w:t xml:space="preserve">adult data </w:t>
      </w:r>
      <w:r w:rsidR="00E93527">
        <w:rPr>
          <w:rFonts w:cstheme="minorHAnsi"/>
        </w:rPr>
        <w:t>is not appropr</w:t>
      </w:r>
      <w:r w:rsidR="00C341F7">
        <w:rPr>
          <w:rFonts w:cstheme="minorHAnsi"/>
        </w:rPr>
        <w:t>iate</w:t>
      </w:r>
      <w:r>
        <w:rPr>
          <w:rFonts w:cstheme="minorHAnsi"/>
        </w:rPr>
        <w:t>. Two</w:t>
      </w:r>
      <w:r w:rsidRPr="00376942">
        <w:rPr>
          <w:rFonts w:cstheme="minorHAnsi"/>
        </w:rPr>
        <w:t xml:space="preserve"> of the </w:t>
      </w:r>
      <w:r>
        <w:rPr>
          <w:rFonts w:cstheme="minorHAnsi"/>
        </w:rPr>
        <w:t>six</w:t>
      </w:r>
      <w:r w:rsidRPr="00376942">
        <w:rPr>
          <w:rFonts w:cstheme="minorHAnsi"/>
        </w:rPr>
        <w:t xml:space="preserve"> </w:t>
      </w:r>
      <w:r>
        <w:rPr>
          <w:rFonts w:cstheme="minorHAnsi"/>
        </w:rPr>
        <w:t>diagnostic</w:t>
      </w:r>
      <w:r w:rsidRPr="00376942">
        <w:rPr>
          <w:rFonts w:cstheme="minorHAnsi"/>
        </w:rPr>
        <w:t xml:space="preserve"> parameters </w:t>
      </w:r>
      <w:r w:rsidR="00682F1D">
        <w:rPr>
          <w:rFonts w:cstheme="minorHAnsi"/>
        </w:rPr>
        <w:t xml:space="preserve">in childhood </w:t>
      </w:r>
      <w:r w:rsidR="009C5680">
        <w:rPr>
          <w:rFonts w:cstheme="minorHAnsi"/>
        </w:rPr>
        <w:t>involve head growth (</w:t>
      </w:r>
      <w:r w:rsidRPr="00376942">
        <w:rPr>
          <w:rFonts w:cstheme="minorHAnsi"/>
        </w:rPr>
        <w:t>relative macrocephaly</w:t>
      </w:r>
      <w:r>
        <w:rPr>
          <w:rFonts w:cstheme="minorHAnsi"/>
        </w:rPr>
        <w:t xml:space="preserve"> and a prominent forehead</w:t>
      </w:r>
      <w:r w:rsidRPr="00376942">
        <w:rPr>
          <w:rFonts w:cstheme="minorHAnsi"/>
        </w:rPr>
        <w:t xml:space="preserve"> in childhood</w:t>
      </w:r>
      <w:r w:rsidR="009C5680">
        <w:rPr>
          <w:rFonts w:cstheme="minorHAnsi"/>
        </w:rPr>
        <w:t>)</w:t>
      </w:r>
      <w:r>
        <w:rPr>
          <w:rFonts w:cstheme="minorHAnsi"/>
        </w:rPr>
        <w:t>. In this adult cohort, relative macrocephaly at examination</w:t>
      </w:r>
      <w:r w:rsidR="005C2976">
        <w:rPr>
          <w:rFonts w:cstheme="minorHAnsi"/>
        </w:rPr>
        <w:t xml:space="preserve"> based on strict criteria</w:t>
      </w:r>
      <w:r>
        <w:rPr>
          <w:rFonts w:cstheme="minorHAnsi"/>
        </w:rPr>
        <w:t xml:space="preserve"> was </w:t>
      </w:r>
      <w:r w:rsidRPr="000728AE">
        <w:rPr>
          <w:rFonts w:cstheme="minorHAnsi"/>
        </w:rPr>
        <w:t>only seen in 5</w:t>
      </w:r>
      <w:r>
        <w:rPr>
          <w:rFonts w:cstheme="minorHAnsi"/>
        </w:rPr>
        <w:t>8</w:t>
      </w:r>
      <w:r w:rsidRPr="000728AE">
        <w:rPr>
          <w:rFonts w:cstheme="minorHAnsi"/>
        </w:rPr>
        <w:t xml:space="preserve">%, compared with </w:t>
      </w:r>
      <w:r>
        <w:rPr>
          <w:rFonts w:cstheme="minorHAnsi"/>
        </w:rPr>
        <w:t>86</w:t>
      </w:r>
      <w:r w:rsidRPr="000728AE">
        <w:rPr>
          <w:rFonts w:cstheme="minorHAnsi"/>
        </w:rPr>
        <w:t>% usually seen in childhood</w:t>
      </w:r>
      <w:r>
        <w:rPr>
          <w:rFonts w:cstheme="minorHAnsi"/>
        </w:rPr>
        <w:t xml:space="preserve"> </w:t>
      </w:r>
      <w:r>
        <w:rPr>
          <w:rFonts w:cstheme="minorHAnsi"/>
          <w:noProof/>
        </w:rPr>
        <w:t>(19)</w:t>
      </w:r>
      <w:r>
        <w:rPr>
          <w:rFonts w:cstheme="minorHAnsi"/>
        </w:rPr>
        <w:t xml:space="preserve">. This </w:t>
      </w:r>
      <w:r w:rsidRPr="000728AE">
        <w:rPr>
          <w:rFonts w:cstheme="minorHAnsi"/>
        </w:rPr>
        <w:t>means that this measurement does not repl</w:t>
      </w:r>
      <w:r>
        <w:rPr>
          <w:rFonts w:cstheme="minorHAnsi"/>
        </w:rPr>
        <w:t>icate</w:t>
      </w:r>
      <w:r w:rsidRPr="000728AE">
        <w:rPr>
          <w:rFonts w:cstheme="minorHAnsi"/>
        </w:rPr>
        <w:t xml:space="preserve"> the finding in childhood. </w:t>
      </w:r>
      <w:r>
        <w:rPr>
          <w:rFonts w:cstheme="minorHAnsi"/>
        </w:rPr>
        <w:t xml:space="preserve">This is likely to be due to </w:t>
      </w:r>
      <w:r w:rsidRPr="004B756F">
        <w:rPr>
          <w:rFonts w:cstheme="minorHAnsi"/>
          <w:i/>
        </w:rPr>
        <w:t>in-utero</w:t>
      </w:r>
      <w:r>
        <w:rPr>
          <w:rFonts w:cstheme="minorHAnsi"/>
        </w:rPr>
        <w:t xml:space="preserve"> growth restriction sparing head growth, with reduced differential growth postnatally.  Protuberance of the forehead is likewise no longer a significant finding in adulthood and can only be assessed retrospectively if appropriate photos are available. Another criterion, feeding difficulty, is not a significant issue in adults.  </w:t>
      </w:r>
      <w:r w:rsidRPr="00230F2C">
        <w:rPr>
          <w:rFonts w:cstheme="minorHAnsi"/>
        </w:rPr>
        <w:t>In this cohort,</w:t>
      </w:r>
      <w:r>
        <w:rPr>
          <w:rFonts w:cstheme="minorHAnsi"/>
        </w:rPr>
        <w:t xml:space="preserve"> despite an early </w:t>
      </w:r>
      <w:r w:rsidRPr="00230F2C">
        <w:rPr>
          <w:rFonts w:cstheme="minorHAnsi"/>
        </w:rPr>
        <w:t>history of poor appetite in 84.4%, feeding problems at the time of the research appointment relate</w:t>
      </w:r>
      <w:r>
        <w:rPr>
          <w:rFonts w:cstheme="minorHAnsi"/>
        </w:rPr>
        <w:t>d</w:t>
      </w:r>
      <w:r w:rsidRPr="00230F2C">
        <w:rPr>
          <w:rFonts w:cstheme="minorHAnsi"/>
        </w:rPr>
        <w:t xml:space="preserve"> </w:t>
      </w:r>
      <w:r>
        <w:rPr>
          <w:rFonts w:cstheme="minorHAnsi"/>
        </w:rPr>
        <w:t xml:space="preserve">mainly </w:t>
      </w:r>
      <w:r w:rsidRPr="00230F2C">
        <w:rPr>
          <w:rFonts w:cstheme="minorHAnsi"/>
        </w:rPr>
        <w:t xml:space="preserve">to excessive intake.  These findings mirror the observation that feeding problems and the requirement for enteral feeding in SRS reduce with increasing age </w:t>
      </w:r>
      <w:r>
        <w:rPr>
          <w:rFonts w:cstheme="minorHAnsi"/>
          <w:noProof/>
        </w:rPr>
        <w:t>(5)</w:t>
      </w:r>
      <w:r w:rsidRPr="00230F2C">
        <w:rPr>
          <w:rFonts w:cstheme="minorHAnsi"/>
        </w:rPr>
        <w:t xml:space="preserve">.  </w:t>
      </w:r>
      <w:r>
        <w:rPr>
          <w:rFonts w:cstheme="minorHAnsi"/>
        </w:rPr>
        <w:t xml:space="preserve">However, in this cohort, proportionate short stature and body asymmetry remain key features useful in diagnosis, particularly in IC1 LOM cases where somatic mosaicism is likely to be the cause of asymmetric growth of body parts. </w:t>
      </w:r>
      <w:r w:rsidR="00104301">
        <w:rPr>
          <w:rFonts w:cstheme="minorHAnsi"/>
        </w:rPr>
        <w:t>Both of these parameters, however, are amenable to treatment and it</w:t>
      </w:r>
      <w:r>
        <w:rPr>
          <w:rFonts w:cstheme="minorHAnsi"/>
        </w:rPr>
        <w:t xml:space="preserve"> is </w:t>
      </w:r>
      <w:r w:rsidRPr="00376942">
        <w:rPr>
          <w:rFonts w:cstheme="minorHAnsi"/>
        </w:rPr>
        <w:t xml:space="preserve">important for health professionals to appreciate </w:t>
      </w:r>
      <w:r>
        <w:rPr>
          <w:rFonts w:cstheme="minorHAnsi"/>
        </w:rPr>
        <w:t xml:space="preserve">that </w:t>
      </w:r>
      <w:r w:rsidR="009F5709">
        <w:rPr>
          <w:rFonts w:cstheme="minorHAnsi"/>
        </w:rPr>
        <w:t xml:space="preserve">a specific clinical diagnosis is much more difficult for patients presenting in adulthood and </w:t>
      </w:r>
      <w:r w:rsidR="0049200E">
        <w:rPr>
          <w:rFonts w:cstheme="minorHAnsi"/>
        </w:rPr>
        <w:t>g</w:t>
      </w:r>
      <w:r>
        <w:rPr>
          <w:rFonts w:cstheme="minorHAnsi"/>
        </w:rPr>
        <w:t>enetic testing should be considered at an earlier stage in the diagnostic pathway for people presenting with possible SRS in later life</w:t>
      </w:r>
      <w:r w:rsidR="009F5709">
        <w:rPr>
          <w:rFonts w:cstheme="minorHAnsi"/>
        </w:rPr>
        <w:t>. A</w:t>
      </w:r>
      <w:r>
        <w:rPr>
          <w:rFonts w:cstheme="minorHAnsi"/>
        </w:rPr>
        <w:t xml:space="preserve">rguably, </w:t>
      </w:r>
      <w:r w:rsidR="009F5709">
        <w:rPr>
          <w:rFonts w:eastAsia="Times New Roman"/>
        </w:rPr>
        <w:t xml:space="preserve">during adulthood, SRS should therefore be a molecular diagnosis and this issue should be discussed in the next revision of the international SRS consensus. </w:t>
      </w:r>
    </w:p>
    <w:p w14:paraId="25072A8F" w14:textId="77777777" w:rsidR="007E0E6D" w:rsidRDefault="007E0E6D" w:rsidP="00531EBF">
      <w:pPr>
        <w:spacing w:line="360" w:lineRule="auto"/>
        <w:rPr>
          <w:rFonts w:cstheme="minorHAnsi"/>
        </w:rPr>
      </w:pPr>
      <w:r>
        <w:rPr>
          <w:rFonts w:cstheme="minorHAnsi"/>
        </w:rPr>
        <w:t xml:space="preserve">This cohort identifies short stature as a major finding in adults with SRS with only </w:t>
      </w:r>
      <w:r w:rsidRPr="00376942">
        <w:rPr>
          <w:rFonts w:cstheme="minorHAnsi"/>
        </w:rPr>
        <w:t>40% above -2</w:t>
      </w:r>
      <w:r>
        <w:rPr>
          <w:rFonts w:cstheme="minorHAnsi"/>
        </w:rPr>
        <w:t xml:space="preserve"> </w:t>
      </w:r>
      <w:r w:rsidRPr="00376942">
        <w:rPr>
          <w:rFonts w:cstheme="minorHAnsi"/>
        </w:rPr>
        <w:t>SD</w:t>
      </w:r>
      <w:r>
        <w:rPr>
          <w:rFonts w:cstheme="minorHAnsi"/>
        </w:rPr>
        <w:t>S</w:t>
      </w:r>
      <w:r w:rsidRPr="00376942">
        <w:rPr>
          <w:rFonts w:cstheme="minorHAnsi"/>
        </w:rPr>
        <w:t xml:space="preserve"> for height. </w:t>
      </w:r>
      <w:r>
        <w:rPr>
          <w:rFonts w:cstheme="minorHAnsi"/>
        </w:rPr>
        <w:t xml:space="preserve"> In the subgroup aged </w:t>
      </w:r>
      <w:r>
        <w:rPr>
          <w:rFonts w:ascii="Calibri" w:hAnsi="Calibri" w:cstheme="minorHAnsi"/>
        </w:rPr>
        <w:t>≥</w:t>
      </w:r>
      <w:r>
        <w:rPr>
          <w:rFonts w:cstheme="minorHAnsi"/>
        </w:rPr>
        <w:t>18 years, despite ~70% having received growth hormone, final height remained restricted (</w:t>
      </w:r>
      <w:r w:rsidRPr="00CD5E7B">
        <w:rPr>
          <w:rFonts w:cstheme="minorHAnsi"/>
          <w:color w:val="000000" w:themeColor="text1"/>
        </w:rPr>
        <w:noBreakHyphen/>
      </w:r>
      <w:r>
        <w:rPr>
          <w:rFonts w:cstheme="minorHAnsi"/>
        </w:rPr>
        <w:t xml:space="preserve">3.13 SDS).  It is important to note that the exact indication and regimens could not be elucidated and that current practice is different to historical cases.  A combination of growth hormone and gonadotrophin-releasing hormone analogues have provided improved height gain in a Dutch cohort of 17 patients </w:t>
      </w:r>
      <w:r>
        <w:rPr>
          <w:rFonts w:cstheme="minorHAnsi"/>
          <w:noProof/>
        </w:rPr>
        <w:t>(6)</w:t>
      </w:r>
      <w:r>
        <w:rPr>
          <w:rFonts w:cstheme="minorHAnsi"/>
        </w:rPr>
        <w:t xml:space="preserve"> and are recommended in the consensus guidelines of 2017</w:t>
      </w:r>
      <w:r>
        <w:rPr>
          <w:rFonts w:cstheme="minorHAnsi"/>
          <w:noProof/>
        </w:rPr>
        <w:t>(19)</w:t>
      </w:r>
      <w:r>
        <w:rPr>
          <w:rFonts w:cstheme="minorHAnsi"/>
        </w:rPr>
        <w:t>.</w:t>
      </w:r>
    </w:p>
    <w:p w14:paraId="59162A2C" w14:textId="586295CA" w:rsidR="0049200E" w:rsidRDefault="007E0E6D" w:rsidP="00531EBF">
      <w:pPr>
        <w:spacing w:line="360" w:lineRule="auto"/>
        <w:rPr>
          <w:rFonts w:cstheme="minorHAnsi"/>
        </w:rPr>
      </w:pPr>
      <w:r>
        <w:rPr>
          <w:rFonts w:cstheme="minorHAnsi"/>
        </w:rPr>
        <w:t xml:space="preserve">Our cohort highlights that older people with SRS often have diverse medical issues requiring ongoing access to medical services into adulthood despite the absence of a control population to compare representation of illnesses. Further study is warranted to determine if the findings are generalizable.  </w:t>
      </w:r>
      <w:r w:rsidRPr="00A23397">
        <w:rPr>
          <w:rFonts w:cstheme="minorHAnsi"/>
        </w:rPr>
        <w:t>Abnormal glycaemic control</w:t>
      </w:r>
      <w:r>
        <w:rPr>
          <w:rFonts w:cstheme="minorHAnsi"/>
        </w:rPr>
        <w:t xml:space="preserve"> was a feature in 25% of people</w:t>
      </w:r>
      <w:r w:rsidRPr="00A23397">
        <w:rPr>
          <w:rFonts w:cstheme="minorHAnsi"/>
        </w:rPr>
        <w:t xml:space="preserve"> </w:t>
      </w:r>
      <w:r>
        <w:rPr>
          <w:rFonts w:cstheme="minorHAnsi"/>
        </w:rPr>
        <w:t>≥</w:t>
      </w:r>
      <w:r w:rsidRPr="00A23397">
        <w:rPr>
          <w:rFonts w:cstheme="minorHAnsi"/>
        </w:rPr>
        <w:t>18 years and the high levels of hypercholesterolaemia and hypertension provide some evidence of metabolic dysfunction in adults with SRS, even without obesity, and warrants further investigation. Additional health surveillance for these outcomes may be required for older people with SRS to allow</w:t>
      </w:r>
      <w:r>
        <w:rPr>
          <w:rFonts w:cstheme="minorHAnsi"/>
        </w:rPr>
        <w:t xml:space="preserve"> </w:t>
      </w:r>
      <w:r w:rsidR="005C2976">
        <w:rPr>
          <w:rFonts w:cstheme="minorHAnsi"/>
        </w:rPr>
        <w:t>for</w:t>
      </w:r>
      <w:r w:rsidRPr="00A23397">
        <w:rPr>
          <w:rFonts w:cstheme="minorHAnsi"/>
        </w:rPr>
        <w:t xml:space="preserve"> preventive measures.</w:t>
      </w:r>
      <w:r>
        <w:rPr>
          <w:rFonts w:cstheme="minorHAnsi"/>
        </w:rPr>
        <w:t xml:space="preserve"> Arthralgia in female patients with SRS was an unexpected finding, and may have been exacerbated by </w:t>
      </w:r>
      <w:r w:rsidR="005C2976">
        <w:rPr>
          <w:rFonts w:cstheme="minorHAnsi"/>
        </w:rPr>
        <w:t xml:space="preserve">long standing </w:t>
      </w:r>
      <w:r>
        <w:rPr>
          <w:rFonts w:cstheme="minorHAnsi"/>
        </w:rPr>
        <w:t xml:space="preserve">low muscle tone and/or joint hyperextensibility.  </w:t>
      </w:r>
      <w:r w:rsidRPr="0044740C">
        <w:rPr>
          <w:rFonts w:cstheme="minorHAnsi"/>
        </w:rPr>
        <w:t>This finding echoes our previous lived experience work, in which women reported pain and disability and the impact this had on relationships and employment</w:t>
      </w:r>
      <w:r>
        <w:rPr>
          <w:rFonts w:cstheme="minorHAnsi"/>
        </w:rPr>
        <w:t xml:space="preserve"> (</w:t>
      </w:r>
      <w:r>
        <w:rPr>
          <w:rFonts w:cstheme="minorHAnsi"/>
          <w:noProof/>
        </w:rPr>
        <w:t>27)</w:t>
      </w:r>
      <w:r>
        <w:rPr>
          <w:rFonts w:cstheme="minorHAnsi"/>
        </w:rPr>
        <w:t xml:space="preserve">. </w:t>
      </w:r>
    </w:p>
    <w:p w14:paraId="1EF8659A" w14:textId="39F80E6A" w:rsidR="007E0E6D" w:rsidRDefault="007E0E6D" w:rsidP="00531EBF">
      <w:pPr>
        <w:spacing w:line="360" w:lineRule="auto"/>
        <w:rPr>
          <w:rFonts w:cstheme="minorHAnsi"/>
        </w:rPr>
      </w:pPr>
      <w:r>
        <w:rPr>
          <w:rFonts w:cstheme="minorHAnsi"/>
        </w:rPr>
        <w:t>Drop attacks/dizzy episodes were reported in four people which has also been reported by individuals in USA (MAGIC foundation personal communication).  One patient had been extensively investigated without determining an underlying cause.  It is unclear whether these attacks have related causes to the unexplained e</w:t>
      </w:r>
      <w:r w:rsidRPr="001B4F7C">
        <w:rPr>
          <w:rFonts w:cstheme="minorHAnsi"/>
        </w:rPr>
        <w:t xml:space="preserve">xcessive perspiration </w:t>
      </w:r>
      <w:r>
        <w:rPr>
          <w:rFonts w:cstheme="minorHAnsi"/>
          <w:noProof/>
        </w:rPr>
        <w:t>(3</w:t>
      </w:r>
      <w:r w:rsidR="00764ECF">
        <w:rPr>
          <w:rFonts w:cstheme="minorHAnsi"/>
          <w:noProof/>
        </w:rPr>
        <w:t>6</w:t>
      </w:r>
      <w:r>
        <w:rPr>
          <w:rFonts w:cstheme="minorHAnsi"/>
          <w:noProof/>
        </w:rPr>
        <w:t>, 3</w:t>
      </w:r>
      <w:r w:rsidR="00764ECF">
        <w:rPr>
          <w:rFonts w:cstheme="minorHAnsi"/>
          <w:noProof/>
        </w:rPr>
        <w:t>7</w:t>
      </w:r>
      <w:r>
        <w:rPr>
          <w:rFonts w:cstheme="minorHAnsi"/>
          <w:noProof/>
        </w:rPr>
        <w:t>)</w:t>
      </w:r>
      <w:r>
        <w:rPr>
          <w:rFonts w:cstheme="minorHAnsi"/>
        </w:rPr>
        <w:t xml:space="preserve"> or d</w:t>
      </w:r>
      <w:r w:rsidRPr="001B4F7C">
        <w:rPr>
          <w:rFonts w:cstheme="minorHAnsi"/>
        </w:rPr>
        <w:t xml:space="preserve">iaphoresis and ‘pale’ episodes during early life reported by 52% of parents of children with a clinical diagnosis of SRS </w:t>
      </w:r>
      <w:r>
        <w:rPr>
          <w:rFonts w:cstheme="minorHAnsi"/>
          <w:noProof/>
        </w:rPr>
        <w:t>(20)</w:t>
      </w:r>
      <w:r w:rsidRPr="001B4F7C">
        <w:rPr>
          <w:rFonts w:cstheme="minorHAnsi"/>
        </w:rPr>
        <w:t xml:space="preserve">.  These historical </w:t>
      </w:r>
      <w:r>
        <w:rPr>
          <w:rFonts w:cstheme="minorHAnsi"/>
        </w:rPr>
        <w:t xml:space="preserve">events were largely </w:t>
      </w:r>
      <w:r w:rsidRPr="001B4F7C">
        <w:rPr>
          <w:rFonts w:cstheme="minorHAnsi"/>
        </w:rPr>
        <w:t>not investigated</w:t>
      </w:r>
      <w:r>
        <w:rPr>
          <w:rFonts w:cstheme="minorHAnsi"/>
        </w:rPr>
        <w:t>.  One hypothesis is that they relate to hypersensitive vagal episodes induced by gut dysmotility</w:t>
      </w:r>
      <w:r w:rsidRPr="001B4F7C">
        <w:rPr>
          <w:rFonts w:cstheme="minorHAnsi"/>
        </w:rPr>
        <w:t xml:space="preserve">.  </w:t>
      </w:r>
    </w:p>
    <w:p w14:paraId="3A5E7A85" w14:textId="5BF0FCC7" w:rsidR="007E0E6D" w:rsidRDefault="007E0E6D" w:rsidP="00531EBF">
      <w:pPr>
        <w:spacing w:line="360" w:lineRule="auto"/>
        <w:rPr>
          <w:rFonts w:cstheme="minorHAnsi"/>
        </w:rPr>
      </w:pPr>
      <w:r>
        <w:rPr>
          <w:rFonts w:cstheme="minorHAnsi"/>
        </w:rPr>
        <w:t>This</w:t>
      </w:r>
      <w:r w:rsidRPr="00281542">
        <w:rPr>
          <w:rFonts w:cstheme="minorHAnsi"/>
        </w:rPr>
        <w:t xml:space="preserve"> cohort </w:t>
      </w:r>
      <w:r>
        <w:rPr>
          <w:rFonts w:cstheme="minorHAnsi"/>
        </w:rPr>
        <w:t>included</w:t>
      </w:r>
      <w:r w:rsidRPr="00281542">
        <w:rPr>
          <w:rFonts w:cstheme="minorHAnsi"/>
        </w:rPr>
        <w:t xml:space="preserve"> four </w:t>
      </w:r>
      <w:r>
        <w:rPr>
          <w:rFonts w:cstheme="minorHAnsi"/>
        </w:rPr>
        <w:t>men</w:t>
      </w:r>
      <w:r w:rsidRPr="00281542">
        <w:rPr>
          <w:rFonts w:cstheme="minorHAnsi"/>
        </w:rPr>
        <w:t xml:space="preserve"> and five </w:t>
      </w:r>
      <w:r>
        <w:rPr>
          <w:rFonts w:cstheme="minorHAnsi"/>
        </w:rPr>
        <w:t>women</w:t>
      </w:r>
      <w:r w:rsidRPr="00281542">
        <w:rPr>
          <w:rFonts w:cstheme="minorHAnsi"/>
        </w:rPr>
        <w:t xml:space="preserve"> </w:t>
      </w:r>
      <w:r>
        <w:rPr>
          <w:rFonts w:cstheme="minorHAnsi"/>
        </w:rPr>
        <w:t>with SRS who have had</w:t>
      </w:r>
      <w:r w:rsidRPr="00281542">
        <w:rPr>
          <w:rFonts w:cstheme="minorHAnsi"/>
        </w:rPr>
        <w:t xml:space="preserve"> children</w:t>
      </w:r>
      <w:r>
        <w:rPr>
          <w:rFonts w:cstheme="minorHAnsi"/>
        </w:rPr>
        <w:t>, providing reassurance about normal fertility</w:t>
      </w:r>
      <w:r w:rsidRPr="00281542">
        <w:rPr>
          <w:rFonts w:cstheme="minorHAnsi"/>
        </w:rPr>
        <w:t xml:space="preserve"> for </w:t>
      </w:r>
      <w:r>
        <w:rPr>
          <w:rFonts w:cstheme="minorHAnsi"/>
        </w:rPr>
        <w:t>patients</w:t>
      </w:r>
      <w:r w:rsidRPr="00281542">
        <w:rPr>
          <w:rFonts w:cstheme="minorHAnsi"/>
        </w:rPr>
        <w:t xml:space="preserve"> growing up with this condition</w:t>
      </w:r>
      <w:r w:rsidR="00A85DAF">
        <w:rPr>
          <w:rFonts w:cstheme="minorHAnsi"/>
        </w:rPr>
        <w:t>,</w:t>
      </w:r>
      <w:r w:rsidR="00A21C26">
        <w:rPr>
          <w:rFonts w:cstheme="minorHAnsi"/>
        </w:rPr>
        <w:t xml:space="preserve"> although it is important to acknowledge that some patients with SRS have genital anomalies</w:t>
      </w:r>
      <w:r w:rsidR="005E3BD3">
        <w:rPr>
          <w:rFonts w:cstheme="minorHAnsi"/>
        </w:rPr>
        <w:t>/reproductive anatomy</w:t>
      </w:r>
      <w:r w:rsidR="00A21C26">
        <w:rPr>
          <w:rFonts w:cstheme="minorHAnsi"/>
        </w:rPr>
        <w:t xml:space="preserve"> incompatible with fertility</w:t>
      </w:r>
      <w:r w:rsidRPr="00281542">
        <w:rPr>
          <w:rFonts w:cstheme="minorHAnsi"/>
        </w:rPr>
        <w:t xml:space="preserve">.  The fact that no </w:t>
      </w:r>
      <w:r>
        <w:rPr>
          <w:rFonts w:cstheme="minorHAnsi"/>
        </w:rPr>
        <w:t>offspring have</w:t>
      </w:r>
      <w:r w:rsidRPr="00281542">
        <w:rPr>
          <w:rFonts w:cstheme="minorHAnsi"/>
        </w:rPr>
        <w:t xml:space="preserve"> SRS is in keeping with the literature </w:t>
      </w:r>
      <w:r>
        <w:rPr>
          <w:rFonts w:cstheme="minorHAnsi"/>
        </w:rPr>
        <w:t xml:space="preserve">of </w:t>
      </w:r>
      <w:r w:rsidRPr="00281542">
        <w:rPr>
          <w:rFonts w:cstheme="minorHAnsi"/>
        </w:rPr>
        <w:t>low recurrence risk for SRS</w:t>
      </w:r>
      <w:r>
        <w:rPr>
          <w:rFonts w:cstheme="minorHAnsi"/>
        </w:rPr>
        <w:t xml:space="preserve"> in the genetic subtypes represented in this study. However, th</w:t>
      </w:r>
      <w:r w:rsidR="0049200E">
        <w:rPr>
          <w:rFonts w:cstheme="minorHAnsi"/>
        </w:rPr>
        <w:t xml:space="preserve">e risk will </w:t>
      </w:r>
      <w:r>
        <w:rPr>
          <w:rFonts w:cstheme="minorHAnsi"/>
        </w:rPr>
        <w:t>depend on the underlying genetic cause</w:t>
      </w:r>
      <w:r w:rsidRPr="00281542">
        <w:rPr>
          <w:rFonts w:cstheme="minorHAnsi"/>
        </w:rPr>
        <w:t xml:space="preserve"> </w:t>
      </w:r>
      <w:r>
        <w:rPr>
          <w:rFonts w:cstheme="minorHAnsi"/>
          <w:noProof/>
        </w:rPr>
        <w:t>(19)</w:t>
      </w:r>
      <w:r w:rsidRPr="00281542">
        <w:rPr>
          <w:rFonts w:cstheme="minorHAnsi"/>
        </w:rPr>
        <w:t>.</w:t>
      </w:r>
      <w:r>
        <w:rPr>
          <w:rFonts w:cstheme="minorHAnsi"/>
        </w:rPr>
        <w:t xml:space="preserve"> Molecular testing is important for all patients with a potential diagnosis of SRS who are planning to start a family (7).  </w:t>
      </w:r>
    </w:p>
    <w:p w14:paraId="558F1549" w14:textId="6C81CBDA" w:rsidR="007E0E6D" w:rsidRDefault="007E0E6D" w:rsidP="00531EBF">
      <w:pPr>
        <w:spacing w:line="360" w:lineRule="auto"/>
        <w:rPr>
          <w:rFonts w:cstheme="minorHAnsi"/>
        </w:rPr>
      </w:pPr>
      <w:r>
        <w:rPr>
          <w:rFonts w:cstheme="minorHAnsi"/>
        </w:rPr>
        <w:t>Educational attainment has</w:t>
      </w:r>
      <w:r w:rsidRPr="00376942">
        <w:rPr>
          <w:rFonts w:cstheme="minorHAnsi"/>
        </w:rPr>
        <w:t xml:space="preserve"> not previously been reported</w:t>
      </w:r>
      <w:r>
        <w:rPr>
          <w:rFonts w:cstheme="minorHAnsi"/>
        </w:rPr>
        <w:t xml:space="preserve"> in an adult SRS cohort</w:t>
      </w:r>
      <w:r w:rsidRPr="00376942">
        <w:rPr>
          <w:rFonts w:cstheme="minorHAnsi"/>
        </w:rPr>
        <w:t xml:space="preserve">. </w:t>
      </w:r>
      <w:r>
        <w:rPr>
          <w:rFonts w:cstheme="minorHAnsi"/>
        </w:rPr>
        <w:t xml:space="preserve"> 40% of the cohort attended tertiary education in line with general UK attendance of 42% in non-SRS populations </w:t>
      </w:r>
      <w:r>
        <w:rPr>
          <w:rFonts w:cstheme="minorHAnsi"/>
          <w:noProof/>
        </w:rPr>
        <w:t>(3</w:t>
      </w:r>
      <w:r w:rsidR="00764ECF">
        <w:rPr>
          <w:rFonts w:cstheme="minorHAnsi"/>
          <w:noProof/>
        </w:rPr>
        <w:t>8</w:t>
      </w:r>
      <w:r>
        <w:rPr>
          <w:rFonts w:cstheme="minorHAnsi"/>
          <w:noProof/>
        </w:rPr>
        <w:t>)</w:t>
      </w:r>
      <w:r>
        <w:rPr>
          <w:rFonts w:cstheme="minorHAnsi"/>
        </w:rPr>
        <w:t xml:space="preserve"> providing evidence of a normal expectation of education attainment for the majority.  </w:t>
      </w:r>
      <w:r w:rsidR="00E82BEE">
        <w:rPr>
          <w:rFonts w:cstheme="minorHAnsi"/>
        </w:rPr>
        <w:t>This is</w:t>
      </w:r>
      <w:r w:rsidR="0049200E">
        <w:rPr>
          <w:rFonts w:cstheme="minorHAnsi"/>
        </w:rPr>
        <w:t xml:space="preserve"> </w:t>
      </w:r>
      <w:r w:rsidR="00E82BEE">
        <w:rPr>
          <w:rFonts w:cstheme="minorHAnsi"/>
        </w:rPr>
        <w:t>supported by results from a new stud</w:t>
      </w:r>
      <w:r w:rsidR="00172227">
        <w:rPr>
          <w:rFonts w:cstheme="minorHAnsi"/>
        </w:rPr>
        <w:t>y of 10 patients with SRS who have been</w:t>
      </w:r>
      <w:r w:rsidR="005C2976">
        <w:rPr>
          <w:rFonts w:cstheme="minorHAnsi"/>
        </w:rPr>
        <w:t xml:space="preserve"> shown to have</w:t>
      </w:r>
      <w:r w:rsidR="00B313DD">
        <w:rPr>
          <w:rFonts w:cstheme="minorHAnsi"/>
        </w:rPr>
        <w:t xml:space="preserve"> average </w:t>
      </w:r>
      <w:r w:rsidR="005E3BD3">
        <w:rPr>
          <w:rFonts w:cstheme="minorHAnsi"/>
        </w:rPr>
        <w:t xml:space="preserve">intelligence (assessed using the </w:t>
      </w:r>
      <w:r w:rsidR="00B313DD" w:rsidRPr="00B313DD">
        <w:rPr>
          <w:rFonts w:cstheme="minorHAnsi"/>
        </w:rPr>
        <w:t>Full Scale Intelligence Quotient</w:t>
      </w:r>
      <w:r w:rsidR="005E3BD3">
        <w:rPr>
          <w:rFonts w:cstheme="minorHAnsi"/>
        </w:rPr>
        <w:t>)</w:t>
      </w:r>
      <w:r w:rsidR="00D91B22">
        <w:rPr>
          <w:rFonts w:cstheme="minorHAnsi"/>
        </w:rPr>
        <w:t xml:space="preserve"> (</w:t>
      </w:r>
      <w:r w:rsidR="00764ECF">
        <w:rPr>
          <w:rFonts w:cstheme="minorHAnsi"/>
        </w:rPr>
        <w:t>39</w:t>
      </w:r>
      <w:r w:rsidR="00D91B22">
        <w:rPr>
          <w:rFonts w:cstheme="minorHAnsi"/>
        </w:rPr>
        <w:t>)</w:t>
      </w:r>
      <w:r w:rsidR="00B313DD">
        <w:rPr>
          <w:rFonts w:cstheme="minorHAnsi"/>
        </w:rPr>
        <w:t xml:space="preserve">. </w:t>
      </w:r>
      <w:r>
        <w:rPr>
          <w:rFonts w:cstheme="minorHAnsi"/>
        </w:rPr>
        <w:t xml:space="preserve">While there were early reports of delay with development, only two participants attended a secondary school for those with special educational needs. </w:t>
      </w:r>
    </w:p>
    <w:p w14:paraId="6D306A9B" w14:textId="36FD14EE" w:rsidR="007E0E6D" w:rsidRDefault="007E0E6D" w:rsidP="00531EBF">
      <w:pPr>
        <w:spacing w:line="360" w:lineRule="auto"/>
        <w:rPr>
          <w:rFonts w:cstheme="minorHAnsi"/>
          <w:noProof/>
        </w:rPr>
      </w:pPr>
      <w:r w:rsidRPr="00376942">
        <w:rPr>
          <w:rFonts w:cstheme="minorHAnsi"/>
        </w:rPr>
        <w:t xml:space="preserve">The Cantril ladder of life measure has been used in international surveys and results summarised in the World Happiness report </w:t>
      </w:r>
      <w:r>
        <w:rPr>
          <w:rFonts w:cstheme="minorHAnsi"/>
          <w:noProof/>
        </w:rPr>
        <w:t>(</w:t>
      </w:r>
      <w:r w:rsidR="00764ECF">
        <w:rPr>
          <w:rFonts w:cstheme="minorHAnsi"/>
          <w:noProof/>
        </w:rPr>
        <w:t>40</w:t>
      </w:r>
      <w:r>
        <w:rPr>
          <w:rFonts w:cstheme="minorHAnsi"/>
          <w:noProof/>
        </w:rPr>
        <w:t>)</w:t>
      </w:r>
      <w:r w:rsidRPr="00376942">
        <w:rPr>
          <w:rFonts w:cstheme="minorHAnsi"/>
        </w:rPr>
        <w:t>.  The average UK score of 6.714</w:t>
      </w:r>
      <w:r>
        <w:rPr>
          <w:rFonts w:cstheme="minorHAnsi"/>
        </w:rPr>
        <w:t xml:space="preserve"> </w:t>
      </w:r>
      <w:r w:rsidRPr="00376942">
        <w:rPr>
          <w:rFonts w:cstheme="minorHAnsi"/>
        </w:rPr>
        <w:t>is below that seen in the UK STAARS cohort.</w:t>
      </w:r>
      <w:r>
        <w:rPr>
          <w:rFonts w:cstheme="minorHAnsi"/>
        </w:rPr>
        <w:t xml:space="preserve"> </w:t>
      </w:r>
      <w:r w:rsidRPr="00376942">
        <w:rPr>
          <w:rFonts w:cstheme="minorHAnsi"/>
        </w:rPr>
        <w:t xml:space="preserve"> </w:t>
      </w:r>
      <w:r>
        <w:rPr>
          <w:rFonts w:cstheme="minorHAnsi"/>
        </w:rPr>
        <w:t>Low levels</w:t>
      </w:r>
      <w:r w:rsidRPr="00376942">
        <w:rPr>
          <w:rFonts w:cstheme="minorHAnsi"/>
        </w:rPr>
        <w:t xml:space="preserve"> of disability </w:t>
      </w:r>
      <w:r>
        <w:rPr>
          <w:rFonts w:cstheme="minorHAnsi"/>
        </w:rPr>
        <w:t>were also reported in</w:t>
      </w:r>
      <w:r w:rsidRPr="00376942">
        <w:rPr>
          <w:rFonts w:cstheme="minorHAnsi"/>
        </w:rPr>
        <w:t xml:space="preserve"> this coh</w:t>
      </w:r>
      <w:r>
        <w:rPr>
          <w:rFonts w:cstheme="minorHAnsi"/>
        </w:rPr>
        <w:t>ort</w:t>
      </w:r>
      <w:r w:rsidRPr="00376942">
        <w:rPr>
          <w:rFonts w:cstheme="minorHAnsi"/>
        </w:rPr>
        <w:t>.</w:t>
      </w:r>
      <w:r>
        <w:rPr>
          <w:rFonts w:cstheme="minorHAnsi"/>
        </w:rPr>
        <w:t xml:space="preserve"> </w:t>
      </w:r>
      <w:r w:rsidRPr="00376942">
        <w:rPr>
          <w:rFonts w:cstheme="minorHAnsi"/>
        </w:rPr>
        <w:t xml:space="preserve"> </w:t>
      </w:r>
      <w:r>
        <w:rPr>
          <w:rFonts w:cstheme="minorHAnsi"/>
        </w:rPr>
        <w:t>Interestingly, there was no improvement in quality of life with increasing height but it was shown to reduce with increasing BMI.  This highlights the importance of issues other than height in the management of SRS</w:t>
      </w:r>
      <w:r w:rsidRPr="0044740C">
        <w:rPr>
          <w:rFonts w:cstheme="minorHAnsi"/>
        </w:rPr>
        <w:t xml:space="preserve"> adding support to our previous observations that people living with SRS experience challenges that extend</w:t>
      </w:r>
      <w:r>
        <w:rPr>
          <w:rFonts w:cstheme="minorHAnsi"/>
        </w:rPr>
        <w:t xml:space="preserve"> beyond a concern about height (27)</w:t>
      </w:r>
      <w:r w:rsidRPr="0044740C">
        <w:rPr>
          <w:rFonts w:cstheme="minorHAnsi"/>
        </w:rPr>
        <w:t xml:space="preserve">.  </w:t>
      </w:r>
    </w:p>
    <w:p w14:paraId="7576BB62" w14:textId="662F6807" w:rsidR="007E0E6D" w:rsidRDefault="007E0E6D" w:rsidP="00531EBF">
      <w:pPr>
        <w:spacing w:line="360" w:lineRule="auto"/>
        <w:rPr>
          <w:rFonts w:cstheme="minorHAnsi"/>
        </w:rPr>
      </w:pPr>
      <w:r>
        <w:rPr>
          <w:rFonts w:cstheme="minorHAnsi"/>
        </w:rPr>
        <w:t>There are important limitations of our study that should be discussed. The retrospective nature of the study means that: 1) participant and parental recall may not have been accurate; 2) current growth management of SRS is likely to differ from historical treatments received by older participants.  Furthermore, individuals with SRS who took part in this study may not precisely represent a group with the health of all individuals with SRS</w:t>
      </w:r>
      <w:r w:rsidR="00531EBF">
        <w:rPr>
          <w:rFonts w:cstheme="minorHAnsi"/>
        </w:rPr>
        <w:t xml:space="preserve"> </w:t>
      </w:r>
      <w:r w:rsidR="00F4169C">
        <w:rPr>
          <w:rFonts w:cstheme="minorHAnsi"/>
        </w:rPr>
        <w:t>or different genetic subgroups</w:t>
      </w:r>
      <w:r w:rsidR="00531EBF">
        <w:rPr>
          <w:rFonts w:cstheme="minorHAnsi"/>
        </w:rPr>
        <w:t xml:space="preserve">. </w:t>
      </w:r>
      <w:r>
        <w:rPr>
          <w:rFonts w:cstheme="minorHAnsi"/>
        </w:rPr>
        <w:t xml:space="preserve">It is possible therefore, that our subjects differ from others with SRS (e.g. a subject’s medical problems may alter their willingness to participate in research).  </w:t>
      </w:r>
      <w:r w:rsidRPr="00331515">
        <w:rPr>
          <w:rFonts w:cstheme="minorHAnsi"/>
        </w:rPr>
        <w:t xml:space="preserve">Furthermore, the life satisfaction, disability and quality of life measures show scores equal to </w:t>
      </w:r>
      <w:r w:rsidR="00667209">
        <w:rPr>
          <w:rFonts w:cstheme="minorHAnsi"/>
        </w:rPr>
        <w:t>an unselected population</w:t>
      </w:r>
      <w:r w:rsidRPr="00331515">
        <w:rPr>
          <w:rFonts w:cstheme="minorHAnsi"/>
        </w:rPr>
        <w:t xml:space="preserve">, yet our previous qualitative data provided </w:t>
      </w:r>
      <w:r w:rsidR="00F4169C">
        <w:rPr>
          <w:rFonts w:cstheme="minorHAnsi"/>
        </w:rPr>
        <w:t xml:space="preserve">more </w:t>
      </w:r>
      <w:r w:rsidRPr="00331515">
        <w:rPr>
          <w:rFonts w:cstheme="minorHAnsi"/>
        </w:rPr>
        <w:t>contextual and descriptive information regarding the psychosocial challenges experienced by participants during childhood, adolescence and beyond. One reason for this mismatch might be that quantitative measures capture  a ‘snapshot’ of how a participant feels ‘at the present time’ or in the last week, whereas in-depth interviews cover</w:t>
      </w:r>
      <w:r>
        <w:rPr>
          <w:rFonts w:cstheme="minorHAnsi"/>
        </w:rPr>
        <w:t xml:space="preserve"> </w:t>
      </w:r>
      <w:r w:rsidRPr="00331515">
        <w:rPr>
          <w:rFonts w:cstheme="minorHAnsi"/>
        </w:rPr>
        <w:t>a much longer time frame and in more detail.</w:t>
      </w:r>
    </w:p>
    <w:p w14:paraId="66FFA133" w14:textId="77777777" w:rsidR="007E0E6D" w:rsidRDefault="007E0E6D" w:rsidP="00531EBF">
      <w:pPr>
        <w:spacing w:line="360" w:lineRule="auto"/>
        <w:outlineLvl w:val="0"/>
        <w:rPr>
          <w:rFonts w:cstheme="minorHAnsi"/>
          <w:b/>
        </w:rPr>
      </w:pPr>
      <w:r w:rsidRPr="0078084E">
        <w:rPr>
          <w:rFonts w:cstheme="minorHAnsi"/>
          <w:b/>
        </w:rPr>
        <w:t>Conclusion</w:t>
      </w:r>
    </w:p>
    <w:p w14:paraId="77D81271" w14:textId="77777777" w:rsidR="007E0E6D" w:rsidRDefault="007E0E6D" w:rsidP="00531EBF">
      <w:pPr>
        <w:spacing w:line="360" w:lineRule="auto"/>
        <w:rPr>
          <w:rFonts w:cstheme="minorHAnsi"/>
        </w:rPr>
      </w:pPr>
      <w:r>
        <w:rPr>
          <w:rFonts w:cstheme="minorHAnsi"/>
        </w:rPr>
        <w:t>Our results show that m</w:t>
      </w:r>
      <w:r w:rsidRPr="000372D5">
        <w:rPr>
          <w:rFonts w:cstheme="minorHAnsi"/>
        </w:rPr>
        <w:t>any of the diagnostic characteristics typical in childhood</w:t>
      </w:r>
      <w:r>
        <w:rPr>
          <w:rFonts w:cstheme="minorHAnsi"/>
        </w:rPr>
        <w:t>,</w:t>
      </w:r>
      <w:r w:rsidRPr="000372D5">
        <w:rPr>
          <w:rFonts w:cstheme="minorHAnsi"/>
        </w:rPr>
        <w:t xml:space="preserve"> such as f</w:t>
      </w:r>
      <w:r w:rsidRPr="000372D5">
        <w:t>e</w:t>
      </w:r>
      <w:r>
        <w:t xml:space="preserve">eding difficulties, triangular facial appearance and relative macrocephaly were no longer useful diagnostic discriminators of Silver-Russell syndrome in adulthood. </w:t>
      </w:r>
      <w:r>
        <w:rPr>
          <w:rFonts w:cstheme="minorHAnsi"/>
        </w:rPr>
        <w:t xml:space="preserve">Our study shows that past treatment regimens have not prevented significant short stature in adults with SRS and has identified medical issues warranting further research, particularly predisposition to diabetes.  However, it is clear from this study that SRS is compatible with long-term wellbeing, normal school attainments, family life and a quality of life equal to individuals with normal stature.  </w:t>
      </w:r>
    </w:p>
    <w:p w14:paraId="37486EFD" w14:textId="77777777" w:rsidR="007E0E6D" w:rsidRDefault="007E0E6D" w:rsidP="00531EBF">
      <w:pPr>
        <w:spacing w:line="360" w:lineRule="auto"/>
        <w:rPr>
          <w:rFonts w:cstheme="minorHAnsi"/>
        </w:rPr>
      </w:pPr>
    </w:p>
    <w:p w14:paraId="70D6B626" w14:textId="77777777" w:rsidR="007E0E6D" w:rsidRDefault="007E0E6D" w:rsidP="00531EBF">
      <w:pPr>
        <w:autoSpaceDE w:val="0"/>
        <w:autoSpaceDN w:val="0"/>
        <w:adjustRightInd w:val="0"/>
        <w:spacing w:line="360" w:lineRule="auto"/>
        <w:rPr>
          <w:rFonts w:cstheme="minorHAnsi"/>
        </w:rPr>
      </w:pPr>
      <w:r>
        <w:rPr>
          <w:rFonts w:cstheme="minorHAnsi"/>
        </w:rPr>
        <w:t>Acknowledgements</w:t>
      </w:r>
    </w:p>
    <w:p w14:paraId="7816D2A0" w14:textId="43B6C768" w:rsidR="007E0E6D" w:rsidRPr="0058180E" w:rsidRDefault="007E0E6D" w:rsidP="00531EBF">
      <w:pPr>
        <w:spacing w:line="360" w:lineRule="auto"/>
        <w:jc w:val="both"/>
        <w:rPr>
          <w:rFonts w:ascii="Calibri" w:hAnsi="Calibri"/>
          <w:color w:val="000000" w:themeColor="text1"/>
        </w:rPr>
      </w:pPr>
      <w:r>
        <w:rPr>
          <w:rFonts w:ascii="Calibri" w:hAnsi="Calibri"/>
          <w:color w:val="000000" w:themeColor="text1"/>
        </w:rPr>
        <w:t xml:space="preserve">We thank the patients and their families for taking part and the Child Growth Foundation for putting us in contact with people with SRS. The research was supported by the Clinical Genetics NIHR research network and Paediatric endocrinologists around the UK who supported O L-S to identify patients within their clinical practice and enabled her to consult with patients within their hospital genetics departments. </w:t>
      </w:r>
      <w:r>
        <w:t xml:space="preserve">This paper presents independent research funded by the Child Growth Foundation and the National Institute for Health Research (NIHR) under its Research for Patient Benefit (RfPB) Programme (Grant Reference Number </w:t>
      </w:r>
      <w:r w:rsidRPr="0058180E">
        <w:rPr>
          <w:rFonts w:ascii="Calibri" w:hAnsi="Calibri"/>
          <w:color w:val="000000" w:themeColor="text1"/>
        </w:rPr>
        <w:t>PB-PG-</w:t>
      </w:r>
      <w:r w:rsidRPr="0058180E">
        <w:rPr>
          <w:rFonts w:ascii="Calibri" w:eastAsia="Times New Roman" w:hAnsi="Calibri" w:cs="Arial"/>
          <w:color w:val="000000" w:themeColor="text1"/>
        </w:rPr>
        <w:t>1111-26003</w:t>
      </w:r>
      <w:r>
        <w:t xml:space="preserve">). The views expressed are those of the author(s) and not necessarily those of the NIHR or the Department of Health and Social Care. </w:t>
      </w:r>
      <w:r>
        <w:rPr>
          <w:rFonts w:ascii="Calibri" w:hAnsi="Calibri"/>
          <w:color w:val="000000" w:themeColor="text1"/>
        </w:rPr>
        <w:t xml:space="preserve">The research received </w:t>
      </w:r>
      <w:r w:rsidRPr="0058180E">
        <w:rPr>
          <w:rFonts w:ascii="Calibri" w:eastAsia="Times New Roman" w:hAnsi="Calibri"/>
          <w:color w:val="000000" w:themeColor="text1"/>
        </w:rPr>
        <w:t>support from NIHR CRN: Wessex, NIHR Southampton BRC and NIHR Wellcome Trust Southampton Clinical Research Facility</w:t>
      </w:r>
      <w:r w:rsidRPr="0058180E">
        <w:rPr>
          <w:rFonts w:ascii="Calibri" w:hAnsi="Calibri"/>
          <w:color w:val="000000" w:themeColor="text1"/>
        </w:rPr>
        <w:t xml:space="preserve">. </w:t>
      </w:r>
      <w:r>
        <w:rPr>
          <w:rFonts w:ascii="Calibri" w:hAnsi="Calibri"/>
          <w:color w:val="000000" w:themeColor="text1"/>
        </w:rPr>
        <w:t xml:space="preserve">CDB </w:t>
      </w:r>
      <w:r w:rsidR="00F4169C">
        <w:rPr>
          <w:rFonts w:ascii="Calibri" w:hAnsi="Calibri"/>
          <w:color w:val="000000" w:themeColor="text1"/>
        </w:rPr>
        <w:t xml:space="preserve">and IKT are  </w:t>
      </w:r>
      <w:r>
        <w:rPr>
          <w:rFonts w:ascii="Calibri" w:hAnsi="Calibri"/>
          <w:color w:val="000000" w:themeColor="text1"/>
        </w:rPr>
        <w:t xml:space="preserve">supported in part by the Southampton NIHR Biomedical Research Centre, UK </w:t>
      </w:r>
      <w:r w:rsidRPr="00A3446B">
        <w:rPr>
          <w:rFonts w:ascii="Arial" w:hAnsi="Arial" w:cs="Arial"/>
          <w:sz w:val="20"/>
        </w:rPr>
        <w:t>(2017-2022. IS-BRC-1215-20004</w:t>
      </w:r>
      <w:r>
        <w:rPr>
          <w:rFonts w:ascii="Arial" w:hAnsi="Arial" w:cs="Arial"/>
          <w:sz w:val="20"/>
        </w:rPr>
        <w:t>)</w:t>
      </w:r>
    </w:p>
    <w:p w14:paraId="1E9B4A06" w14:textId="77777777" w:rsidR="007E0E6D" w:rsidRDefault="007E0E6D" w:rsidP="00531EBF">
      <w:pPr>
        <w:autoSpaceDE w:val="0"/>
        <w:autoSpaceDN w:val="0"/>
        <w:adjustRightInd w:val="0"/>
        <w:spacing w:line="360" w:lineRule="auto"/>
        <w:rPr>
          <w:rFonts w:cstheme="minorHAnsi"/>
        </w:rPr>
      </w:pPr>
    </w:p>
    <w:p w14:paraId="0DC8B1E0" w14:textId="77777777" w:rsidR="00402230" w:rsidRDefault="00402230" w:rsidP="00402230">
      <w:pPr>
        <w:autoSpaceDE w:val="0"/>
        <w:autoSpaceDN w:val="0"/>
        <w:adjustRightInd w:val="0"/>
        <w:spacing w:line="360" w:lineRule="auto"/>
        <w:rPr>
          <w:rFonts w:cstheme="minorHAnsi"/>
        </w:rPr>
      </w:pPr>
      <w:r>
        <w:rPr>
          <w:rFonts w:cstheme="minorHAnsi"/>
        </w:rPr>
        <w:t xml:space="preserve">Contribution statement </w:t>
      </w:r>
    </w:p>
    <w:p w14:paraId="675C936C" w14:textId="1392A87D" w:rsidR="00402230" w:rsidRDefault="00402230" w:rsidP="00402230">
      <w:pPr>
        <w:spacing w:line="360" w:lineRule="auto"/>
        <w:outlineLvl w:val="0"/>
        <w:rPr>
          <w:rFonts w:cstheme="minorHAnsi"/>
        </w:rPr>
      </w:pPr>
      <w:r>
        <w:rPr>
          <w:rFonts w:cstheme="minorHAnsi"/>
        </w:rPr>
        <w:t>OL-S carried out</w:t>
      </w:r>
      <w:r w:rsidR="008D2D78">
        <w:rPr>
          <w:rFonts w:cstheme="minorHAnsi"/>
        </w:rPr>
        <w:t>, analysed</w:t>
      </w:r>
      <w:r>
        <w:rPr>
          <w:rFonts w:cstheme="minorHAnsi"/>
        </w:rPr>
        <w:t xml:space="preserve"> and reported the data in the project</w:t>
      </w:r>
      <w:r w:rsidR="008D2D78">
        <w:rPr>
          <w:rFonts w:cstheme="minorHAnsi"/>
        </w:rPr>
        <w:t>.</w:t>
      </w:r>
      <w:r>
        <w:rPr>
          <w:rFonts w:cstheme="minorHAnsi"/>
        </w:rPr>
        <w:t xml:space="preserve"> </w:t>
      </w:r>
      <w:r w:rsidR="008D2D78">
        <w:rPr>
          <w:rFonts w:cstheme="minorHAnsi"/>
        </w:rPr>
        <w:t xml:space="preserve"> </w:t>
      </w:r>
      <w:r>
        <w:rPr>
          <w:rFonts w:cstheme="minorHAnsi"/>
        </w:rPr>
        <w:t>JC supported the planning and delivery of this paper from a patient perspective</w:t>
      </w:r>
      <w:r w:rsidR="008D2D78">
        <w:rPr>
          <w:rFonts w:cstheme="minorHAnsi"/>
        </w:rPr>
        <w:t xml:space="preserve">. </w:t>
      </w:r>
      <w:r>
        <w:rPr>
          <w:rFonts w:cstheme="minorHAnsi"/>
        </w:rPr>
        <w:t xml:space="preserve"> HI, CB, EW, LB, AF, DM advised on the planning, analysis and reporting of data</w:t>
      </w:r>
      <w:r w:rsidR="008D2D78">
        <w:rPr>
          <w:rFonts w:cstheme="minorHAnsi"/>
        </w:rPr>
        <w:t>.</w:t>
      </w:r>
      <w:r>
        <w:rPr>
          <w:rFonts w:cstheme="minorHAnsi"/>
        </w:rPr>
        <w:t xml:space="preserve"> </w:t>
      </w:r>
      <w:r w:rsidR="008D2D78">
        <w:rPr>
          <w:rFonts w:cstheme="minorHAnsi"/>
        </w:rPr>
        <w:t xml:space="preserve"> </w:t>
      </w:r>
      <w:r>
        <w:rPr>
          <w:rFonts w:cstheme="minorHAnsi"/>
        </w:rPr>
        <w:t>GM and MI contributed significant patients to the study and reporting of data</w:t>
      </w:r>
      <w:r w:rsidR="008D2D78">
        <w:rPr>
          <w:rFonts w:cstheme="minorHAnsi"/>
        </w:rPr>
        <w:t xml:space="preserve">.  </w:t>
      </w:r>
      <w:r>
        <w:rPr>
          <w:rFonts w:cstheme="minorHAnsi"/>
        </w:rPr>
        <w:t>J</w:t>
      </w:r>
      <w:r w:rsidR="008D2D78">
        <w:rPr>
          <w:rFonts w:cstheme="minorHAnsi"/>
        </w:rPr>
        <w:t>H</w:t>
      </w:r>
      <w:r>
        <w:rPr>
          <w:rFonts w:cstheme="minorHAnsi"/>
        </w:rPr>
        <w:t>D and IKT planned and delivered the research.</w:t>
      </w:r>
      <w:r w:rsidR="008D2D78">
        <w:rPr>
          <w:rFonts w:cstheme="minorHAnsi"/>
        </w:rPr>
        <w:t xml:space="preserve"> </w:t>
      </w:r>
      <w:r>
        <w:rPr>
          <w:rFonts w:cstheme="minorHAnsi"/>
        </w:rPr>
        <w:t xml:space="preserve"> All authors contributed to the writing of the document. IKT is overall responsible for the research. </w:t>
      </w:r>
    </w:p>
    <w:p w14:paraId="4673926F" w14:textId="77777777" w:rsidR="007E0E6D" w:rsidRDefault="007E0E6D" w:rsidP="00531EBF">
      <w:pPr>
        <w:autoSpaceDE w:val="0"/>
        <w:autoSpaceDN w:val="0"/>
        <w:adjustRightInd w:val="0"/>
        <w:spacing w:line="360" w:lineRule="auto"/>
        <w:rPr>
          <w:rFonts w:cstheme="minorHAnsi"/>
        </w:rPr>
      </w:pPr>
    </w:p>
    <w:p w14:paraId="5AC58663" w14:textId="77777777" w:rsidR="007E0E6D" w:rsidRDefault="007E0E6D" w:rsidP="00531EBF">
      <w:pPr>
        <w:autoSpaceDE w:val="0"/>
        <w:autoSpaceDN w:val="0"/>
        <w:adjustRightInd w:val="0"/>
        <w:spacing w:line="360" w:lineRule="auto"/>
        <w:rPr>
          <w:rFonts w:cstheme="minorHAnsi"/>
        </w:rPr>
      </w:pPr>
    </w:p>
    <w:p w14:paraId="66C16A8A" w14:textId="77777777" w:rsidR="007E0E6D" w:rsidRDefault="007E0E6D">
      <w:pPr>
        <w:rPr>
          <w:rFonts w:cstheme="minorHAnsi"/>
        </w:rPr>
      </w:pPr>
      <w:r>
        <w:rPr>
          <w:rFonts w:cstheme="minorHAnsi"/>
        </w:rPr>
        <w:br w:type="page"/>
      </w:r>
    </w:p>
    <w:p w14:paraId="25212386" w14:textId="77777777" w:rsidR="007E0E6D" w:rsidRPr="00AB1229" w:rsidRDefault="007E0E6D" w:rsidP="00531EBF">
      <w:pPr>
        <w:autoSpaceDE w:val="0"/>
        <w:autoSpaceDN w:val="0"/>
        <w:adjustRightInd w:val="0"/>
        <w:spacing w:line="360" w:lineRule="auto"/>
        <w:rPr>
          <w:rFonts w:cstheme="minorHAnsi"/>
          <w:b/>
        </w:rPr>
      </w:pPr>
      <w:r w:rsidRPr="00AB1229">
        <w:rPr>
          <w:rFonts w:cstheme="minorHAnsi"/>
          <w:b/>
        </w:rPr>
        <w:t>References</w:t>
      </w:r>
    </w:p>
    <w:p w14:paraId="035C9B08" w14:textId="77777777" w:rsidR="007E0E6D" w:rsidRPr="00A22448" w:rsidRDefault="007E0E6D" w:rsidP="00531EBF">
      <w:pPr>
        <w:pStyle w:val="EndNoteBibliography"/>
        <w:spacing w:after="0"/>
        <w:rPr>
          <w:noProof/>
        </w:rPr>
      </w:pPr>
      <w:r w:rsidRPr="00A22448">
        <w:rPr>
          <w:noProof/>
        </w:rPr>
        <w:t>1.</w:t>
      </w:r>
      <w:r w:rsidRPr="00A22448">
        <w:rPr>
          <w:noProof/>
        </w:rPr>
        <w:tab/>
        <w:t>Silver HK, Kiyasu W, George J, Dearner WC. Syndrome of congenital hemihypertrophy, shortening of stature and elevated urinary gonadotropins. Pediatrics. 1953;12:368-73.</w:t>
      </w:r>
    </w:p>
    <w:p w14:paraId="12B44319" w14:textId="77777777" w:rsidR="007E0E6D" w:rsidRPr="00A22448" w:rsidRDefault="007E0E6D" w:rsidP="00531EBF">
      <w:pPr>
        <w:pStyle w:val="EndNoteBibliography"/>
        <w:spacing w:after="0"/>
        <w:rPr>
          <w:noProof/>
        </w:rPr>
      </w:pPr>
      <w:r w:rsidRPr="00A22448">
        <w:rPr>
          <w:noProof/>
        </w:rPr>
        <w:t>2.</w:t>
      </w:r>
      <w:r w:rsidRPr="00A22448">
        <w:rPr>
          <w:noProof/>
        </w:rPr>
        <w:tab/>
        <w:t>Russell A. A syndrome of intra-uterine dwarfism recognizable at birth with cranio-facial dysostosis, disproportionately short arms, and other anomalies (5 examples). Proceedings of the Royal Society of Medicine. 1954;47(12):1040-4.</w:t>
      </w:r>
    </w:p>
    <w:p w14:paraId="287ECA9C" w14:textId="77777777" w:rsidR="007E0E6D" w:rsidRPr="00A22448" w:rsidRDefault="007E0E6D" w:rsidP="00531EBF">
      <w:pPr>
        <w:pStyle w:val="EndNoteBibliography"/>
        <w:spacing w:after="0"/>
        <w:rPr>
          <w:noProof/>
        </w:rPr>
      </w:pPr>
      <w:r w:rsidRPr="00A22448">
        <w:rPr>
          <w:noProof/>
        </w:rPr>
        <w:t>3.</w:t>
      </w:r>
      <w:r w:rsidRPr="00A22448">
        <w:rPr>
          <w:noProof/>
        </w:rPr>
        <w:tab/>
        <w:t>Yakoreva M, Kahre T, Zordania R, Reinson K, Teek R, Tillmann V, Peet A, Oiglane-Shlik E, Pajusalu S, Murumets U, Vals MA, Mee P, Wojcik MH, Ounap K. A retrospective analysis of the prevalence of imprinting disorders in Estonia from 1998 to 2016. European journal of human genetics : EJHG. 2019.</w:t>
      </w:r>
    </w:p>
    <w:p w14:paraId="232F82D0" w14:textId="77777777" w:rsidR="007E0E6D" w:rsidRPr="00A22448" w:rsidRDefault="007E0E6D" w:rsidP="00531EBF">
      <w:pPr>
        <w:pStyle w:val="EndNoteBibliography"/>
        <w:spacing w:after="0"/>
        <w:rPr>
          <w:noProof/>
        </w:rPr>
      </w:pPr>
      <w:r w:rsidRPr="00A22448">
        <w:rPr>
          <w:noProof/>
        </w:rPr>
        <w:t>4.</w:t>
      </w:r>
      <w:r w:rsidRPr="00A22448">
        <w:rPr>
          <w:noProof/>
        </w:rPr>
        <w:tab/>
        <w:t>Yakoreva M, Kahre T, Õiglane-Shlik E, Vals MA, Mee P, Õunap K. A retrospective analysis of the prevalence of imprinting disorders in Estonia. European journal of human genetics : EJHG. 2015;23 suppl 1:325.</w:t>
      </w:r>
    </w:p>
    <w:p w14:paraId="70BA2B9E" w14:textId="77777777" w:rsidR="007E0E6D" w:rsidRPr="00A22448" w:rsidRDefault="007E0E6D" w:rsidP="00531EBF">
      <w:pPr>
        <w:pStyle w:val="EndNoteBibliography"/>
        <w:spacing w:after="0"/>
        <w:rPr>
          <w:noProof/>
        </w:rPr>
      </w:pPr>
      <w:r w:rsidRPr="00A22448">
        <w:rPr>
          <w:noProof/>
        </w:rPr>
        <w:t>5.</w:t>
      </w:r>
      <w:r w:rsidRPr="00A22448">
        <w:rPr>
          <w:noProof/>
        </w:rPr>
        <w:tab/>
        <w:t>Marsaud C, Rossignol S, Tounian P, Netchine I, Dubern B. Prevalence and management of gastrointestinal manifestations in Silver-Russell syndrome. Archives of disease in childhood. 2015;100(4):353-8.</w:t>
      </w:r>
    </w:p>
    <w:p w14:paraId="3128463C" w14:textId="17B0AFDE" w:rsidR="007E0E6D" w:rsidRPr="00A22448" w:rsidRDefault="007E0E6D" w:rsidP="00531EBF">
      <w:pPr>
        <w:pStyle w:val="EndNoteBibliography"/>
        <w:spacing w:after="0"/>
        <w:rPr>
          <w:noProof/>
        </w:rPr>
      </w:pPr>
      <w:r w:rsidRPr="00A22448">
        <w:rPr>
          <w:noProof/>
        </w:rPr>
        <w:t>6.</w:t>
      </w:r>
      <w:r w:rsidRPr="00A22448">
        <w:rPr>
          <w:noProof/>
        </w:rPr>
        <w:tab/>
        <w:t xml:space="preserve">Smeets CC, Zandwijken GR, Renes JS, Hokken-Koelega AC. Long-term Results of GH Treatment in Silver-Russell Syndrome (SRS): Do They Benefit the Same as Non-SRS Short-SGA? The Journal of clinical endocrinology and metabolism. </w:t>
      </w:r>
      <w:r w:rsidR="00A4400D" w:rsidRPr="00DA4061">
        <w:rPr>
          <w:noProof/>
        </w:rPr>
        <w:t>2016;101(5):2105-12</w:t>
      </w:r>
      <w:r w:rsidRPr="00A22448">
        <w:rPr>
          <w:noProof/>
        </w:rPr>
        <w:t>.</w:t>
      </w:r>
    </w:p>
    <w:p w14:paraId="711B2CC2" w14:textId="77777777" w:rsidR="007E0E6D" w:rsidRPr="00A22448" w:rsidRDefault="007E0E6D" w:rsidP="00531EBF">
      <w:pPr>
        <w:pStyle w:val="EndNoteBibliography"/>
        <w:spacing w:after="0"/>
        <w:rPr>
          <w:noProof/>
        </w:rPr>
      </w:pPr>
      <w:r w:rsidRPr="00A22448">
        <w:rPr>
          <w:noProof/>
        </w:rPr>
        <w:t>7.</w:t>
      </w:r>
      <w:r w:rsidRPr="00A22448">
        <w:rPr>
          <w:noProof/>
        </w:rPr>
        <w:tab/>
        <w:t>Wakeling EL, Amero SA, Alders M, Bliek J, Forsythe E, Kumar S, Lim DH, MacDonald F, Mackay DJ, Maher ER, Moore GE, Poole RL, Price SM, Tangeraas T, Turner CL, Van Haelst MM, Willoughby C, Temple IK, Cobben JM. Epigenotype-phenotype correlations in Silver-Russell syndrome. J Med Genet. 2010;47(11):760-8.</w:t>
      </w:r>
    </w:p>
    <w:p w14:paraId="3A90FAD3" w14:textId="77777777" w:rsidR="007E0E6D" w:rsidRPr="00A22448" w:rsidRDefault="007E0E6D" w:rsidP="00531EBF">
      <w:pPr>
        <w:pStyle w:val="EndNoteBibliography"/>
        <w:spacing w:after="0"/>
        <w:rPr>
          <w:noProof/>
        </w:rPr>
      </w:pPr>
      <w:r w:rsidRPr="00A22448">
        <w:rPr>
          <w:noProof/>
        </w:rPr>
        <w:t>8.</w:t>
      </w:r>
      <w:r w:rsidRPr="00A22448">
        <w:rPr>
          <w:noProof/>
        </w:rPr>
        <w:tab/>
        <w:t>Kotzot D, Schmitt S, Bernasconi F, Robinson WP, Lurie IW, Ilyina H, Mehes K, Hamel BC, Otten BJ, Hergersberg M, Werder E, Schoenle E, Schinzel A. Uniparental disomy 7 in Silver-Russell syndrome and primordial growth retardation. Human molecular genetics. 1995;4(4):583-7.</w:t>
      </w:r>
    </w:p>
    <w:p w14:paraId="66F33D4D" w14:textId="77777777" w:rsidR="007E0E6D" w:rsidRPr="00A22448" w:rsidRDefault="007E0E6D" w:rsidP="00531EBF">
      <w:pPr>
        <w:pStyle w:val="EndNoteBibliography"/>
        <w:spacing w:after="0"/>
        <w:rPr>
          <w:noProof/>
        </w:rPr>
      </w:pPr>
      <w:r w:rsidRPr="00A22448">
        <w:rPr>
          <w:noProof/>
        </w:rPr>
        <w:t>9.</w:t>
      </w:r>
      <w:r w:rsidRPr="00A22448">
        <w:rPr>
          <w:noProof/>
        </w:rPr>
        <w:tab/>
        <w:t>Netchine I, Rossignol S, Dufourg MN, Azzi S, Rousseau A, Perin L, Houang M, Steunou V, Esteva B, Thibaud N, Demay MCR, Danton F, Petriczko E, Bertrand AM, Heinrichs C, Carel JC, Loeuille GA, Pinto G, Jacquemont ML, Gicquel C, Cabrol S, Le Bouc Y. 11p15 imprinting center region 1 loss of methylation is a common and specific cause of typical Russell-Silver syndrome: clinical scoring system and epigenetic-phenotypic correlations. The Journal of clinical endocrinology and metabolism. 2007;92(8):3148-54.</w:t>
      </w:r>
    </w:p>
    <w:p w14:paraId="1C83AC36" w14:textId="77777777" w:rsidR="007E0E6D" w:rsidRPr="00A22448" w:rsidRDefault="007E0E6D" w:rsidP="00531EBF">
      <w:pPr>
        <w:pStyle w:val="EndNoteBibliography"/>
        <w:spacing w:after="0"/>
        <w:rPr>
          <w:noProof/>
        </w:rPr>
      </w:pPr>
      <w:r w:rsidRPr="00A22448">
        <w:rPr>
          <w:noProof/>
        </w:rPr>
        <w:t>10.</w:t>
      </w:r>
      <w:r w:rsidRPr="00A22448">
        <w:rPr>
          <w:noProof/>
        </w:rPr>
        <w:tab/>
        <w:t>Tumer Z, Lopez-Hernandez JA, Netchine I, Elbracht M, Gronskov K, Gede LB, Sachwitz J, den Dunnen JT, Eggermann T. Structural and sequence variants in patients with Silver-Russell syndrome or similar features-Curation of a disease database. Human mutation. 2018;39(3):345-64.</w:t>
      </w:r>
    </w:p>
    <w:p w14:paraId="0272430D" w14:textId="77777777" w:rsidR="007E0E6D" w:rsidRPr="00A22448" w:rsidRDefault="007E0E6D" w:rsidP="00531EBF">
      <w:pPr>
        <w:pStyle w:val="EndNoteBibliography"/>
        <w:spacing w:after="0"/>
        <w:rPr>
          <w:noProof/>
        </w:rPr>
      </w:pPr>
      <w:r w:rsidRPr="00A22448">
        <w:rPr>
          <w:noProof/>
        </w:rPr>
        <w:t>11.</w:t>
      </w:r>
      <w:r w:rsidRPr="00A22448">
        <w:rPr>
          <w:noProof/>
        </w:rPr>
        <w:tab/>
        <w:t>Begemann M, Zirn B, Santen G, Wirthgen E, Soellner L, Buttel HM, Schweizer R, van Workum W, Binder G, Eggermann T. Paternally Inherited IGF2 Mutation and Growth Restriction. The New England journal of medicine. 2015;373(4):349-56.</w:t>
      </w:r>
    </w:p>
    <w:p w14:paraId="7482FC5F" w14:textId="7C566EDD" w:rsidR="007E0E6D" w:rsidRPr="00A22448" w:rsidRDefault="007E0E6D" w:rsidP="00531EBF">
      <w:pPr>
        <w:pStyle w:val="EndNoteBibliography"/>
        <w:spacing w:after="0"/>
        <w:rPr>
          <w:noProof/>
        </w:rPr>
      </w:pPr>
      <w:r w:rsidRPr="00A22448">
        <w:rPr>
          <w:noProof/>
        </w:rPr>
        <w:t>12.</w:t>
      </w:r>
      <w:r w:rsidRPr="00A22448">
        <w:rPr>
          <w:noProof/>
        </w:rPr>
        <w:tab/>
        <w:t xml:space="preserve">Abi Habib W, Brioude F, Edouard T, Bennett JT, Lienhardt-Roussie A, Tixier F, Salem J, Yuen T, Azzi S, Le Bouc Y, Harbison MD, Netchine I. Genetic disruption of the oncogenic HMGA2-PLAG1-IGF2 pathway causes fetal growth restriction. Genetics in medicine. </w:t>
      </w:r>
      <w:r w:rsidR="00B02F3D" w:rsidRPr="00DA4061">
        <w:rPr>
          <w:noProof/>
        </w:rPr>
        <w:t>2017;20 (2):250-8</w:t>
      </w:r>
      <w:r w:rsidR="00B02F3D">
        <w:rPr>
          <w:noProof/>
        </w:rPr>
        <w:t>.</w:t>
      </w:r>
    </w:p>
    <w:p w14:paraId="6018C09F" w14:textId="77777777" w:rsidR="007E0E6D" w:rsidRPr="00A22448" w:rsidRDefault="007E0E6D" w:rsidP="00531EBF">
      <w:pPr>
        <w:pStyle w:val="EndNoteBibliography"/>
        <w:spacing w:after="0"/>
        <w:rPr>
          <w:noProof/>
        </w:rPr>
      </w:pPr>
      <w:r w:rsidRPr="00A22448">
        <w:rPr>
          <w:noProof/>
        </w:rPr>
        <w:t>13.</w:t>
      </w:r>
      <w:r w:rsidRPr="00A22448">
        <w:rPr>
          <w:noProof/>
        </w:rPr>
        <w:tab/>
        <w:t>Leszinski GS, Warncke K, Hoefele J, Wagner M. A case report and review of the literature indicate that HMGA2 should be added as a disease gene for Silver-Russell syndrome. Gene. 2018;663:110-4.</w:t>
      </w:r>
    </w:p>
    <w:p w14:paraId="30A28B20" w14:textId="77777777" w:rsidR="007E0E6D" w:rsidRPr="00A22448" w:rsidRDefault="007E0E6D" w:rsidP="00531EBF">
      <w:pPr>
        <w:pStyle w:val="EndNoteBibliography"/>
        <w:spacing w:after="0"/>
        <w:rPr>
          <w:noProof/>
        </w:rPr>
      </w:pPr>
      <w:r w:rsidRPr="00A22448">
        <w:rPr>
          <w:noProof/>
        </w:rPr>
        <w:t>14.</w:t>
      </w:r>
      <w:r w:rsidRPr="00A22448">
        <w:rPr>
          <w:noProof/>
        </w:rPr>
        <w:tab/>
        <w:t>Bonaldi A, Mazzeu JF, Costa SS, Honjo RS, Bertola DR, Albano LM, Furquim IM, Kim CA, Vianna-Morgante AM. Microduplication of the ICR2 domain at chromosome 11p15 and familial Silver-Russell syndrome. American journal of medical genetics Part A. 2011;155a(10):2479-83.</w:t>
      </w:r>
    </w:p>
    <w:p w14:paraId="66C00BA9" w14:textId="77777777" w:rsidR="007E0E6D" w:rsidRPr="00A22448" w:rsidRDefault="007E0E6D" w:rsidP="00531EBF">
      <w:pPr>
        <w:pStyle w:val="EndNoteBibliography"/>
        <w:spacing w:after="0"/>
        <w:rPr>
          <w:noProof/>
        </w:rPr>
      </w:pPr>
      <w:r w:rsidRPr="00A22448">
        <w:rPr>
          <w:noProof/>
        </w:rPr>
        <w:t>15.</w:t>
      </w:r>
      <w:r w:rsidRPr="00A22448">
        <w:rPr>
          <w:noProof/>
        </w:rPr>
        <w:tab/>
        <w:t>Geoffron S, Abi Habib W, Chantot-Bastaraud S, Dubern B, Steunou V, Azzi S, Afenjar A, Busa T, Pinheiro Canton A, Chalouhi C, Dufourg MN, Esteva B, Fradin M, Genevieve D, Heide S, Isidor B, Linglart A, Morice Picard F, Naud-Saudreau C, Oliver Petit I, Philip N, Pienkowski C, Rio M, Rossignol S, Tauber M, Thevenon J, Vu-Hong TA, Harbison MD, Salem J, Brioude F, Netchine I, Giabicani E. Chromosome 14q32.2 Imprinted Region Disruption as an Alternative Molecular Diagnosis of Silver-Russell Syndrome. The Journal of clinical endocrinology and metabolism. 2018;103(7):2436-46.</w:t>
      </w:r>
    </w:p>
    <w:p w14:paraId="708C45B5" w14:textId="566C39E1" w:rsidR="007E0E6D" w:rsidRPr="00A22448" w:rsidRDefault="007E0E6D" w:rsidP="00531EBF">
      <w:pPr>
        <w:pStyle w:val="EndNoteBibliography"/>
        <w:spacing w:after="0"/>
        <w:rPr>
          <w:noProof/>
        </w:rPr>
      </w:pPr>
      <w:r w:rsidRPr="00A22448">
        <w:rPr>
          <w:noProof/>
        </w:rPr>
        <w:t>16.</w:t>
      </w:r>
      <w:r w:rsidRPr="00A22448">
        <w:rPr>
          <w:noProof/>
        </w:rPr>
        <w:tab/>
        <w:t>Mulchandani S, Bhoj EJ, Luo M, Powell-Hamilton N, Jenny K, Gripp KW, Elbracht M, Eggermann T, Turner CL, Temple IK, Mackay DJ, Dubbs H, Stevenson DA, Slattery L, Zackai EH, Spinner NB, Krantz ID, Conlin LK. Maternal uniparental disomy of chromosome 20: a novel imprinting disorder of growth failure. Genetics in medicine. 2015</w:t>
      </w:r>
      <w:r w:rsidR="00B02F3D" w:rsidRPr="00DA4061">
        <w:rPr>
          <w:noProof/>
        </w:rPr>
        <w:t>;18(4):309-15</w:t>
      </w:r>
      <w:r w:rsidRPr="00A22448">
        <w:rPr>
          <w:noProof/>
        </w:rPr>
        <w:t>.</w:t>
      </w:r>
    </w:p>
    <w:p w14:paraId="505B1F7F" w14:textId="77777777" w:rsidR="007E0E6D" w:rsidRPr="00A22448" w:rsidRDefault="007E0E6D" w:rsidP="00531EBF">
      <w:pPr>
        <w:pStyle w:val="EndNoteBibliography"/>
        <w:spacing w:after="0"/>
        <w:rPr>
          <w:noProof/>
        </w:rPr>
      </w:pPr>
      <w:r w:rsidRPr="00A22448">
        <w:rPr>
          <w:noProof/>
        </w:rPr>
        <w:t>17.</w:t>
      </w:r>
      <w:r w:rsidRPr="00A22448">
        <w:rPr>
          <w:noProof/>
        </w:rPr>
        <w:tab/>
        <w:t>Brioude F, Oliver-Petit I, Blaise A, Praz F, Rossignol S, Le Jule M, Thibaud N, Faussat AM, Tauber M, Le Bouc Y, Netchine I. CDKN1C mutation affecting the PCNA-binding domain as a cause of familial Russell Silver syndrome. J Med Genet. 2013;50(12):823-30.</w:t>
      </w:r>
    </w:p>
    <w:p w14:paraId="52D436F5" w14:textId="77777777" w:rsidR="007E0E6D" w:rsidRPr="00A22448" w:rsidRDefault="007E0E6D" w:rsidP="00531EBF">
      <w:pPr>
        <w:pStyle w:val="EndNoteBibliography"/>
        <w:spacing w:after="0"/>
        <w:rPr>
          <w:noProof/>
        </w:rPr>
      </w:pPr>
      <w:r w:rsidRPr="00A22448">
        <w:rPr>
          <w:noProof/>
        </w:rPr>
        <w:t>18.</w:t>
      </w:r>
      <w:r w:rsidRPr="00A22448">
        <w:rPr>
          <w:noProof/>
        </w:rPr>
        <w:tab/>
        <w:t>Azzi S, Salem J, Thibaud N, Chantot-Bastaraud S, Lieber E, Netchine I, Harbison MD. A prospective study validating a clinical scoring system and demonstrating phenotypical-genotypical correlations in Silver-Russell syndrome. J Med Genet. 2015;52(7):446-53.</w:t>
      </w:r>
    </w:p>
    <w:p w14:paraId="324D3D75" w14:textId="77777777" w:rsidR="007E0E6D" w:rsidRPr="00A22448" w:rsidRDefault="007E0E6D" w:rsidP="00531EBF">
      <w:pPr>
        <w:pStyle w:val="EndNoteBibliography"/>
        <w:spacing w:after="0"/>
        <w:rPr>
          <w:noProof/>
        </w:rPr>
      </w:pPr>
      <w:r w:rsidRPr="00A22448">
        <w:rPr>
          <w:noProof/>
        </w:rPr>
        <w:t>19.</w:t>
      </w:r>
      <w:r w:rsidRPr="00A22448">
        <w:rPr>
          <w:noProof/>
        </w:rPr>
        <w:tab/>
        <w:t>Wakeling EL, Brioude F, Lokulo-Sodipe O, O'Connell SM, Salem J, Bliek J, Canton AP, Chrzanowska KH, Davies JH, Dias RP, Dubern B, Elbracht M, Giabicani E, Grimberg A, Gronskov K, Hokken-Koelega AC, Jorge AA, Kagami M, Linglart A, Maghnie M, Mohnike K, Monk D, Moore GE, Murray PG, Ogata T, Petit IO, Russo S, Said E, Toumba M, Tumer Z, Binder G, Eggermann T, Harbison MD, Temple IK, Mackay DJ, Netchine I. Diagnosis and management of Silver-Russell syndrome: first international consensus statement. Nature reviews Endocrinology. 2017;13(2):105-24.</w:t>
      </w:r>
    </w:p>
    <w:p w14:paraId="583B6CEC" w14:textId="77777777" w:rsidR="007E0E6D" w:rsidRPr="00A22448" w:rsidRDefault="007E0E6D" w:rsidP="00531EBF">
      <w:pPr>
        <w:pStyle w:val="EndNoteBibliography"/>
        <w:spacing w:after="0"/>
        <w:rPr>
          <w:noProof/>
        </w:rPr>
      </w:pPr>
      <w:r w:rsidRPr="00A22448">
        <w:rPr>
          <w:noProof/>
        </w:rPr>
        <w:t>20.</w:t>
      </w:r>
      <w:r w:rsidRPr="00A22448">
        <w:rPr>
          <w:noProof/>
        </w:rPr>
        <w:tab/>
        <w:t>Price SM, Stanhope R, Garrett C, Preece MA, Trembath RC. The spectrum of Silver-Russell syndrome: a clinical and molecular genetic study and new diagnostic criteria. J Med Genet. 1999;36(11):837-42.</w:t>
      </w:r>
    </w:p>
    <w:p w14:paraId="7ACE7525" w14:textId="77777777" w:rsidR="007E0E6D" w:rsidRPr="00A22448" w:rsidRDefault="007E0E6D" w:rsidP="00531EBF">
      <w:pPr>
        <w:pStyle w:val="EndNoteBibliography"/>
        <w:spacing w:after="0"/>
        <w:rPr>
          <w:noProof/>
        </w:rPr>
      </w:pPr>
      <w:r w:rsidRPr="00A22448">
        <w:rPr>
          <w:noProof/>
        </w:rPr>
        <w:t>21.</w:t>
      </w:r>
      <w:r w:rsidRPr="00A22448">
        <w:rPr>
          <w:noProof/>
        </w:rPr>
        <w:tab/>
        <w:t>Davies PS, Valley R, Preece MA. Adolescent growth and pubertal progression in the Silver-Russell syndrome. Archives of disease in childhood. 1988;63(2):130-5.</w:t>
      </w:r>
    </w:p>
    <w:p w14:paraId="5D70FD5B" w14:textId="77777777" w:rsidR="007E0E6D" w:rsidRPr="00A22448" w:rsidRDefault="007E0E6D" w:rsidP="00531EBF">
      <w:pPr>
        <w:pStyle w:val="EndNoteBibliography"/>
        <w:spacing w:after="0"/>
        <w:rPr>
          <w:noProof/>
        </w:rPr>
      </w:pPr>
      <w:r w:rsidRPr="00A22448">
        <w:rPr>
          <w:noProof/>
        </w:rPr>
        <w:t>22.</w:t>
      </w:r>
      <w:r w:rsidRPr="00A22448">
        <w:rPr>
          <w:noProof/>
        </w:rPr>
        <w:tab/>
        <w:t>Wollmann HA, Kirchner T, Enders H, Preece MA, Ranke MB. Growth and symptoms in Silver-Russell syndrome: review on the basis of 386 patients. European journal of pediatrics. 1995;154(12):958-68.</w:t>
      </w:r>
    </w:p>
    <w:p w14:paraId="52B48212" w14:textId="77777777" w:rsidR="007E0E6D" w:rsidRPr="00A22448" w:rsidRDefault="007E0E6D" w:rsidP="00531EBF">
      <w:pPr>
        <w:pStyle w:val="EndNoteBibliography"/>
        <w:spacing w:after="0"/>
        <w:rPr>
          <w:noProof/>
        </w:rPr>
      </w:pPr>
      <w:r w:rsidRPr="00A22448">
        <w:rPr>
          <w:noProof/>
        </w:rPr>
        <w:t>23.</w:t>
      </w:r>
      <w:r w:rsidRPr="00A22448">
        <w:rPr>
          <w:noProof/>
        </w:rPr>
        <w:tab/>
        <w:t>Ryan TD, Gupta A, Gupta D, Goldenberg P, Taylor MD, Lorts A, Jefferies JL. Dilated cardiomyopathy in a 32-year-old woman with Russell-Silver syndrome. Cardiovasc Pathol. 2014;23(1):21-7.</w:t>
      </w:r>
    </w:p>
    <w:p w14:paraId="71EEC999" w14:textId="77777777" w:rsidR="007E0E6D" w:rsidRPr="00A22448" w:rsidRDefault="007E0E6D" w:rsidP="00531EBF">
      <w:pPr>
        <w:pStyle w:val="EndNoteBibliography"/>
        <w:spacing w:after="0"/>
        <w:rPr>
          <w:noProof/>
        </w:rPr>
      </w:pPr>
      <w:r w:rsidRPr="00A22448">
        <w:rPr>
          <w:noProof/>
        </w:rPr>
        <w:t>24.</w:t>
      </w:r>
      <w:r w:rsidRPr="00A22448">
        <w:rPr>
          <w:noProof/>
        </w:rPr>
        <w:tab/>
        <w:t>Takenouchi T, Awazu M, Eggermann T, Kosaki K. Adult Phenotype of Russell-Silver Syndrome: A Molecular Support for Barker-Brenner's Theory. Congenital anomalies. 2015;55(3):167-9.</w:t>
      </w:r>
    </w:p>
    <w:p w14:paraId="70B8E359" w14:textId="77777777" w:rsidR="007E0E6D" w:rsidRPr="00A22448" w:rsidRDefault="007E0E6D" w:rsidP="00531EBF">
      <w:pPr>
        <w:pStyle w:val="EndNoteBibliography"/>
        <w:spacing w:after="0"/>
        <w:rPr>
          <w:noProof/>
        </w:rPr>
      </w:pPr>
      <w:r w:rsidRPr="00A22448">
        <w:rPr>
          <w:noProof/>
        </w:rPr>
        <w:t>25.</w:t>
      </w:r>
      <w:r w:rsidRPr="00A22448">
        <w:rPr>
          <w:noProof/>
        </w:rPr>
        <w:tab/>
        <w:t>Searle C, Johnson D. Russel-Silver syndrome: A historical note and comment on an older adult. American journal of medical genetics Part A. 2016;170(2):466-70.</w:t>
      </w:r>
    </w:p>
    <w:p w14:paraId="7FF6B567" w14:textId="77777777" w:rsidR="007E0E6D" w:rsidRPr="00A22448" w:rsidRDefault="007E0E6D" w:rsidP="00531EBF">
      <w:pPr>
        <w:pStyle w:val="EndNoteBibliography"/>
        <w:spacing w:after="0"/>
        <w:rPr>
          <w:noProof/>
        </w:rPr>
      </w:pPr>
      <w:r w:rsidRPr="00A22448">
        <w:rPr>
          <w:noProof/>
        </w:rPr>
        <w:t>26.</w:t>
      </w:r>
      <w:r w:rsidRPr="00A22448">
        <w:rPr>
          <w:noProof/>
        </w:rPr>
        <w:tab/>
        <w:t>Patti G, Giaccardi M, Capra V, Napoli F, Cangemi G, Notarnicola S, Guzzetti S, Russo S, Maghnie M, Di Iorgi N. Clinical Manifestations and Metabolic Outcomes of Seven Adults with Silver-Russell Syndrome. The Journal of clinical endocrinology and metabolism. 2018;103(6):2225-33.</w:t>
      </w:r>
    </w:p>
    <w:p w14:paraId="3B6DEE32" w14:textId="77777777" w:rsidR="005E3BD3" w:rsidRDefault="007E0E6D" w:rsidP="00531EBF">
      <w:pPr>
        <w:pStyle w:val="EndNoteBibliography"/>
        <w:spacing w:after="0"/>
        <w:rPr>
          <w:noProof/>
        </w:rPr>
      </w:pPr>
      <w:r w:rsidRPr="00A22448">
        <w:rPr>
          <w:noProof/>
        </w:rPr>
        <w:t>27.</w:t>
      </w:r>
      <w:r w:rsidRPr="00A22448">
        <w:rPr>
          <w:noProof/>
        </w:rPr>
        <w:tab/>
        <w:t>Ballard LM, Jenkinson E, Byrne CD, Child JC, Davies JH, Inskip H, Lokulo-Sodipe O, Mackay DJG, Wakeling EL, Temple IK, Fenwick A. Lived experience of Silver-Russell syndrome: implications for management during childhood and into adulthood. Archives of disease in childhood. 2018</w:t>
      </w:r>
      <w:r w:rsidR="00BE33D0">
        <w:rPr>
          <w:noProof/>
        </w:rPr>
        <w:t>;104(1):76-82.</w:t>
      </w:r>
    </w:p>
    <w:p w14:paraId="71489967" w14:textId="10F54036" w:rsidR="00BE33D0" w:rsidRPr="00A22448" w:rsidRDefault="005E3BD3" w:rsidP="00531EBF">
      <w:pPr>
        <w:pStyle w:val="EndNoteBibliography"/>
        <w:spacing w:after="0"/>
        <w:rPr>
          <w:noProof/>
        </w:rPr>
      </w:pPr>
      <w:r w:rsidRPr="00D17052">
        <w:rPr>
          <w:noProof/>
        </w:rPr>
        <w:t>28.</w:t>
      </w:r>
      <w:r w:rsidRPr="00D17052">
        <w:rPr>
          <w:noProof/>
        </w:rPr>
        <w:tab/>
        <w:t>Taylor SJ, Whincup PH, Hindmarsh PC, Lampe F, Odoki K, Cook DG. Performance of a new pubertal self-assessment questionnaire: a preliminary study. Paediatric and perinatal epidemiology. 2001;15(1):88-94</w:t>
      </w:r>
    </w:p>
    <w:p w14:paraId="5602C197" w14:textId="2A8F125F" w:rsidR="007E0E6D" w:rsidRPr="00A22448" w:rsidRDefault="007E0E6D" w:rsidP="00531EBF">
      <w:pPr>
        <w:pStyle w:val="EndNoteBibliography"/>
        <w:spacing w:after="0"/>
        <w:rPr>
          <w:noProof/>
        </w:rPr>
      </w:pPr>
      <w:r w:rsidRPr="00A22448">
        <w:rPr>
          <w:noProof/>
        </w:rPr>
        <w:t>2</w:t>
      </w:r>
      <w:r w:rsidR="00764ECF">
        <w:rPr>
          <w:noProof/>
        </w:rPr>
        <w:t>9</w:t>
      </w:r>
      <w:r w:rsidRPr="00A22448">
        <w:rPr>
          <w:noProof/>
        </w:rPr>
        <w:t>.</w:t>
      </w:r>
      <w:r w:rsidRPr="00A22448">
        <w:rPr>
          <w:noProof/>
        </w:rPr>
        <w:tab/>
      </w:r>
      <w:r w:rsidR="00BE33D0">
        <w:rPr>
          <w:noProof/>
        </w:rPr>
        <w:t xml:space="preserve">World Health </w:t>
      </w:r>
      <w:r w:rsidRPr="00A22448">
        <w:rPr>
          <w:noProof/>
        </w:rPr>
        <w:t>Organization. Obesity: preventing and managing the global epidemic: report of a WHO consultation. Geneva; 2000.</w:t>
      </w:r>
    </w:p>
    <w:p w14:paraId="42C9AFBF" w14:textId="4DC09B41" w:rsidR="007E0E6D" w:rsidRPr="00A22448" w:rsidRDefault="00764ECF" w:rsidP="00531EBF">
      <w:pPr>
        <w:pStyle w:val="EndNoteBibliography"/>
        <w:spacing w:after="0"/>
        <w:rPr>
          <w:noProof/>
        </w:rPr>
      </w:pPr>
      <w:r>
        <w:rPr>
          <w:noProof/>
        </w:rPr>
        <w:t>30</w:t>
      </w:r>
      <w:r w:rsidR="007E0E6D" w:rsidRPr="00A22448">
        <w:rPr>
          <w:noProof/>
        </w:rPr>
        <w:t>.</w:t>
      </w:r>
      <w:r w:rsidR="007E0E6D" w:rsidRPr="00A22448">
        <w:rPr>
          <w:noProof/>
        </w:rPr>
        <w:tab/>
        <w:t>Alberti KG, Eckel RH, Grundy SM, Zimmet PZ, Cleeman JI, Donato KA, Fruchart JC, James WP, Loria CM, Smith SC, Jr.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Circulation. 2009;120(16):1640-5.</w:t>
      </w:r>
    </w:p>
    <w:p w14:paraId="4E680FD2" w14:textId="7110F729" w:rsidR="007E0E6D" w:rsidRPr="00A22448" w:rsidRDefault="007E0E6D" w:rsidP="00531EBF">
      <w:pPr>
        <w:pStyle w:val="EndNoteBibliography"/>
        <w:spacing w:after="0"/>
        <w:rPr>
          <w:noProof/>
        </w:rPr>
      </w:pPr>
      <w:r w:rsidRPr="00A22448">
        <w:rPr>
          <w:noProof/>
        </w:rPr>
        <w:t>3</w:t>
      </w:r>
      <w:r w:rsidR="00764ECF">
        <w:rPr>
          <w:noProof/>
        </w:rPr>
        <w:t>1</w:t>
      </w:r>
      <w:r w:rsidRPr="00A22448">
        <w:rPr>
          <w:noProof/>
        </w:rPr>
        <w:t>.</w:t>
      </w:r>
      <w:r w:rsidRPr="00A22448">
        <w:rPr>
          <w:noProof/>
        </w:rPr>
        <w:tab/>
        <w:t>Sheehan DV. The Sheehan Disability Scales.  The Anxiety Disease and How to Overcome It. New York: Charles Scribner and Sons; 1983. p. 151.</w:t>
      </w:r>
    </w:p>
    <w:p w14:paraId="0933D88A" w14:textId="32E6C4F9" w:rsidR="007E0E6D" w:rsidRPr="00A22448" w:rsidRDefault="007E0E6D" w:rsidP="00531EBF">
      <w:pPr>
        <w:pStyle w:val="EndNoteBibliography"/>
        <w:spacing w:after="0"/>
        <w:rPr>
          <w:noProof/>
        </w:rPr>
      </w:pPr>
      <w:r w:rsidRPr="00A22448">
        <w:rPr>
          <w:noProof/>
        </w:rPr>
        <w:t>3</w:t>
      </w:r>
      <w:r w:rsidR="00764ECF">
        <w:rPr>
          <w:noProof/>
        </w:rPr>
        <w:t>2</w:t>
      </w:r>
      <w:r w:rsidRPr="00A22448">
        <w:rPr>
          <w:noProof/>
        </w:rPr>
        <w:t>.</w:t>
      </w:r>
      <w:r w:rsidRPr="00A22448">
        <w:rPr>
          <w:noProof/>
        </w:rPr>
        <w:tab/>
        <w:t>O'Boyle CA, Browne JP, Hickey A, McGee HM, Joyce CRB. The Schedule for the Evaluation of Individual Quality of Life (SEIQoL): a Direct Weighting procedure for Quality of Life Domains (SEIQoL-DW).  Administration Manual. . Dublin: Royal College of Surgeons in Ireland; 1993.</w:t>
      </w:r>
    </w:p>
    <w:p w14:paraId="2506D32B" w14:textId="5A1F5FA5" w:rsidR="007E0E6D" w:rsidRPr="00A22448" w:rsidRDefault="007E0E6D" w:rsidP="00531EBF">
      <w:pPr>
        <w:pStyle w:val="EndNoteBibliography"/>
        <w:spacing w:after="0"/>
        <w:rPr>
          <w:noProof/>
        </w:rPr>
      </w:pPr>
      <w:r w:rsidRPr="00A22448">
        <w:rPr>
          <w:noProof/>
        </w:rPr>
        <w:t>3</w:t>
      </w:r>
      <w:r w:rsidR="00764ECF">
        <w:rPr>
          <w:noProof/>
        </w:rPr>
        <w:t>3</w:t>
      </w:r>
      <w:r w:rsidRPr="00A22448">
        <w:rPr>
          <w:noProof/>
        </w:rPr>
        <w:t>.</w:t>
      </w:r>
      <w:r w:rsidRPr="00A22448">
        <w:rPr>
          <w:noProof/>
        </w:rPr>
        <w:tab/>
        <w:t>Zeschnigk M, Lich C, Buiting K, Doerfler W, Horsthemke B. A single-tube PCR test for the diagnosis of Angelman and Prader-Willi syndrome based on allelic methylation differences at the SNRPN locus. European journal of human genetics : EJHG. 1997;5(2):94-8.</w:t>
      </w:r>
    </w:p>
    <w:p w14:paraId="11DFD278" w14:textId="00A518F5" w:rsidR="007E0E6D" w:rsidRPr="00A22448" w:rsidRDefault="007E0E6D" w:rsidP="00531EBF">
      <w:pPr>
        <w:pStyle w:val="EndNoteBibliography"/>
        <w:spacing w:after="0"/>
        <w:rPr>
          <w:noProof/>
        </w:rPr>
      </w:pPr>
      <w:r w:rsidRPr="00A22448">
        <w:rPr>
          <w:noProof/>
        </w:rPr>
        <w:t>3</w:t>
      </w:r>
      <w:r w:rsidR="00764ECF">
        <w:rPr>
          <w:noProof/>
        </w:rPr>
        <w:t>4</w:t>
      </w:r>
      <w:r w:rsidRPr="00A22448">
        <w:rPr>
          <w:noProof/>
        </w:rPr>
        <w:t>.</w:t>
      </w:r>
      <w:r w:rsidRPr="00A22448">
        <w:rPr>
          <w:noProof/>
        </w:rPr>
        <w:tab/>
        <w:t>Scott RH, Douglas J, Baskcomb L, Nygren AO, Birch JM, Cole TR, Cormier-Daire V, Eastwood DM, Garcia-Minaur S, Lupunzina P, Tatton-Brown K, Bliek J, Maher ER, Rahman N. Methylation-specific multiplex ligation-dependent probe amplification (MS-MLPA) robustly detects and distinguishes 11p15 abnormalities associated with overgrowth and growth retardation. J Med Genet. 2008;45(2):106-13.</w:t>
      </w:r>
    </w:p>
    <w:p w14:paraId="529A01C3" w14:textId="58BB2494" w:rsidR="007E0E6D" w:rsidRPr="00A22448" w:rsidRDefault="007E0E6D" w:rsidP="00531EBF">
      <w:pPr>
        <w:pStyle w:val="EndNoteBibliography"/>
        <w:spacing w:after="0"/>
        <w:rPr>
          <w:noProof/>
        </w:rPr>
      </w:pPr>
      <w:r w:rsidRPr="00A22448">
        <w:rPr>
          <w:noProof/>
        </w:rPr>
        <w:t>3</w:t>
      </w:r>
      <w:r w:rsidR="00764ECF">
        <w:rPr>
          <w:noProof/>
        </w:rPr>
        <w:t>5</w:t>
      </w:r>
      <w:r w:rsidRPr="00A22448">
        <w:rPr>
          <w:noProof/>
        </w:rPr>
        <w:t>.</w:t>
      </w:r>
      <w:r w:rsidRPr="00A22448">
        <w:rPr>
          <w:noProof/>
        </w:rPr>
        <w:tab/>
        <w:t>Cole TJ, Freeman JV, Preece MA. British 1990 growth reference centiles for weight, height, body mass index and head circumference fitted by maximum penalized likelihood. Statistics in medicine. 1998;17(4):407-29.</w:t>
      </w:r>
    </w:p>
    <w:p w14:paraId="79426A35" w14:textId="1E7716BD" w:rsidR="007E0E6D" w:rsidRPr="00A22448" w:rsidRDefault="007E0E6D" w:rsidP="00531EBF">
      <w:pPr>
        <w:pStyle w:val="EndNoteBibliography"/>
        <w:spacing w:after="0"/>
        <w:rPr>
          <w:noProof/>
        </w:rPr>
      </w:pPr>
      <w:r w:rsidRPr="00A22448">
        <w:rPr>
          <w:noProof/>
        </w:rPr>
        <w:t>3</w:t>
      </w:r>
      <w:r w:rsidR="00764ECF">
        <w:rPr>
          <w:noProof/>
        </w:rPr>
        <w:t>6</w:t>
      </w:r>
      <w:r w:rsidRPr="00A22448">
        <w:rPr>
          <w:noProof/>
        </w:rPr>
        <w:t>.</w:t>
      </w:r>
      <w:r w:rsidRPr="00A22448">
        <w:rPr>
          <w:noProof/>
        </w:rPr>
        <w:tab/>
        <w:t>Snow R, Sacks MO, Cornblath M. Ketotic hypoglycemia in a Russell dwarf. The Journal of pediatrics. 1966;69(1):121-5.</w:t>
      </w:r>
    </w:p>
    <w:p w14:paraId="03F16154" w14:textId="59B00ED9" w:rsidR="007E0E6D" w:rsidRPr="00A22448" w:rsidRDefault="007E0E6D" w:rsidP="00531EBF">
      <w:pPr>
        <w:pStyle w:val="EndNoteBibliography"/>
        <w:spacing w:after="0"/>
        <w:rPr>
          <w:noProof/>
        </w:rPr>
      </w:pPr>
      <w:r w:rsidRPr="00A22448">
        <w:rPr>
          <w:noProof/>
        </w:rPr>
        <w:t>3</w:t>
      </w:r>
      <w:r w:rsidR="00764ECF">
        <w:rPr>
          <w:noProof/>
        </w:rPr>
        <w:t>7</w:t>
      </w:r>
      <w:r w:rsidRPr="00A22448">
        <w:rPr>
          <w:noProof/>
        </w:rPr>
        <w:t>.</w:t>
      </w:r>
      <w:r w:rsidRPr="00A22448">
        <w:rPr>
          <w:noProof/>
        </w:rPr>
        <w:tab/>
        <w:t>Marks LJ, Bergeson PS. The Silver-Russel syndrome: a case with sexual ambiguity, and a review of literature. American journal of diseases of children (1960). 1977;131(4):447-51.</w:t>
      </w:r>
    </w:p>
    <w:p w14:paraId="5E2F808C" w14:textId="1287C9B9" w:rsidR="007E0E6D" w:rsidRPr="00A22448" w:rsidRDefault="007E0E6D" w:rsidP="00531EBF">
      <w:pPr>
        <w:pStyle w:val="EndNoteBibliography"/>
        <w:spacing w:after="0"/>
        <w:rPr>
          <w:noProof/>
        </w:rPr>
      </w:pPr>
      <w:r w:rsidRPr="00A22448">
        <w:rPr>
          <w:noProof/>
        </w:rPr>
        <w:t>3</w:t>
      </w:r>
      <w:r w:rsidR="00764ECF">
        <w:rPr>
          <w:noProof/>
        </w:rPr>
        <w:t>8</w:t>
      </w:r>
      <w:r w:rsidRPr="00A22448">
        <w:rPr>
          <w:noProof/>
        </w:rPr>
        <w:t>.</w:t>
      </w:r>
      <w:r w:rsidRPr="00A22448">
        <w:rPr>
          <w:noProof/>
        </w:rPr>
        <w:tab/>
      </w:r>
      <w:r w:rsidR="00BE33D0">
        <w:rPr>
          <w:noProof/>
        </w:rPr>
        <w:t xml:space="preserve">Office for National </w:t>
      </w:r>
      <w:r w:rsidRPr="00A22448">
        <w:rPr>
          <w:noProof/>
        </w:rPr>
        <w:t>Statistics. Graduates in the UK labour market 2017. 2017.</w:t>
      </w:r>
    </w:p>
    <w:p w14:paraId="59247E12" w14:textId="4BB91A6B" w:rsidR="00BE33D0" w:rsidRDefault="00764ECF" w:rsidP="00D50890">
      <w:pPr>
        <w:pStyle w:val="EndNoteBibliography"/>
        <w:spacing w:after="0"/>
        <w:rPr>
          <w:noProof/>
        </w:rPr>
      </w:pPr>
      <w:r>
        <w:rPr>
          <w:noProof/>
        </w:rPr>
        <w:t>39</w:t>
      </w:r>
      <w:r w:rsidR="00D91B22">
        <w:rPr>
          <w:noProof/>
        </w:rPr>
        <w:t>.</w:t>
      </w:r>
      <w:r w:rsidR="00D91B22">
        <w:rPr>
          <w:noProof/>
        </w:rPr>
        <w:tab/>
        <w:t xml:space="preserve">Burgevin M, Lacroix A, Brown G, Mikaty M, Coutinho V, Netchine I, Odent S. </w:t>
      </w:r>
      <w:r w:rsidR="00D91B22" w:rsidRPr="00D91B22">
        <w:rPr>
          <w:noProof/>
        </w:rPr>
        <w:t>Intellectual functioning in Silver-Russell syndrome: First study in adults</w:t>
      </w:r>
      <w:r w:rsidR="00D91B22">
        <w:rPr>
          <w:noProof/>
        </w:rPr>
        <w:t xml:space="preserve">. Applied Neuropsychology: Adult. 2019;1-12. doi: </w:t>
      </w:r>
      <w:r w:rsidR="00D91B22" w:rsidRPr="00D91B22">
        <w:rPr>
          <w:noProof/>
        </w:rPr>
        <w:t>10.1080/23279095.2019.1644643. [Epub ahead of print]</w:t>
      </w:r>
      <w:r w:rsidR="00D91B22">
        <w:rPr>
          <w:noProof/>
        </w:rPr>
        <w:t>.</w:t>
      </w:r>
    </w:p>
    <w:p w14:paraId="5F635B11" w14:textId="3C6A120A" w:rsidR="007E0E6D" w:rsidRPr="00A22448" w:rsidRDefault="00764ECF" w:rsidP="00531EBF">
      <w:pPr>
        <w:pStyle w:val="EndNoteBibliography"/>
        <w:rPr>
          <w:noProof/>
        </w:rPr>
      </w:pPr>
      <w:r>
        <w:rPr>
          <w:noProof/>
        </w:rPr>
        <w:t>40</w:t>
      </w:r>
      <w:r w:rsidR="007E0E6D" w:rsidRPr="00A22448">
        <w:rPr>
          <w:noProof/>
        </w:rPr>
        <w:t>.</w:t>
      </w:r>
      <w:r w:rsidR="007E0E6D" w:rsidRPr="00A22448">
        <w:rPr>
          <w:noProof/>
        </w:rPr>
        <w:tab/>
        <w:t>Helliwell J, Layard R, Sachs J. World Happiness Report. New York: Sustainable Development Solutions Network; 2017.</w:t>
      </w:r>
    </w:p>
    <w:p w14:paraId="01A97DB6" w14:textId="77777777" w:rsidR="007E0E6D" w:rsidRDefault="007E0E6D" w:rsidP="00531EBF">
      <w:pPr>
        <w:autoSpaceDE w:val="0"/>
        <w:autoSpaceDN w:val="0"/>
        <w:adjustRightInd w:val="0"/>
        <w:spacing w:line="360" w:lineRule="auto"/>
        <w:rPr>
          <w:rFonts w:cstheme="minorHAnsi"/>
        </w:rPr>
      </w:pPr>
    </w:p>
    <w:p w14:paraId="5E485D1F" w14:textId="77777777" w:rsidR="007E0E6D" w:rsidRDefault="007E0E6D">
      <w:pPr>
        <w:rPr>
          <w:rFonts w:cstheme="minorHAnsi"/>
        </w:rPr>
      </w:pPr>
      <w:r>
        <w:rPr>
          <w:rFonts w:cstheme="minorHAnsi"/>
        </w:rPr>
        <w:br w:type="page"/>
      </w:r>
    </w:p>
    <w:p w14:paraId="19295C56" w14:textId="77777777" w:rsidR="007E0E6D" w:rsidRDefault="007E0E6D" w:rsidP="00531EBF">
      <w:r>
        <w:t>Table 1 A and B</w:t>
      </w:r>
    </w:p>
    <w:p w14:paraId="62C807A9" w14:textId="38E957C8" w:rsidR="007E0E6D" w:rsidRDefault="007E0E6D" w:rsidP="00531EBF">
      <w:pPr>
        <w:spacing w:after="0"/>
      </w:pPr>
      <w:r>
        <w:t>Participant</w:t>
      </w:r>
      <w:r w:rsidRPr="007B2FC6">
        <w:t xml:space="preserve"> demographics</w:t>
      </w:r>
      <w:r>
        <w:t xml:space="preserve"> and growth at the time of </w:t>
      </w:r>
      <w:r w:rsidR="00F4169C">
        <w:t xml:space="preserve">the </w:t>
      </w:r>
      <w:r>
        <w:t>study examination (unless indicated otherwise) of the STAARS UK cohort of 33 people with Silver Russell syndrome. Growth parameters presented as median and interquartile range (IQR). n is the number of participants included where data incomplete.</w:t>
      </w:r>
      <w:r w:rsidRPr="0010482A">
        <w:t xml:space="preserve"> </w:t>
      </w:r>
    </w:p>
    <w:p w14:paraId="2EDAD5FB" w14:textId="77777777" w:rsidR="007E0E6D" w:rsidRDefault="007E0E6D" w:rsidP="00531EBF">
      <w:pPr>
        <w:spacing w:after="0"/>
      </w:pPr>
      <w:r>
        <w:t>A) Data shown by genotype</w:t>
      </w:r>
    </w:p>
    <w:tbl>
      <w:tblPr>
        <w:tblStyle w:val="TableGrid"/>
        <w:tblpPr w:leftFromText="180" w:rightFromText="180" w:vertAnchor="text" w:horzAnchor="margin" w:tblpY="854"/>
        <w:tblW w:w="0" w:type="auto"/>
        <w:tblLook w:val="04A0" w:firstRow="1" w:lastRow="0" w:firstColumn="1" w:lastColumn="0" w:noHBand="0" w:noVBand="1"/>
      </w:tblPr>
      <w:tblGrid>
        <w:gridCol w:w="3560"/>
        <w:gridCol w:w="2900"/>
        <w:gridCol w:w="2440"/>
      </w:tblGrid>
      <w:tr w:rsidR="007E0E6D" w:rsidRPr="003522DC" w14:paraId="5B39C37F" w14:textId="77777777" w:rsidTr="00531EBF">
        <w:trPr>
          <w:trHeight w:val="315"/>
        </w:trPr>
        <w:tc>
          <w:tcPr>
            <w:tcW w:w="3560" w:type="dxa"/>
            <w:noWrap/>
          </w:tcPr>
          <w:p w14:paraId="1C4FD421" w14:textId="77777777" w:rsidR="007E0E6D" w:rsidRPr="00120E55" w:rsidRDefault="007E0E6D" w:rsidP="00531EBF">
            <w:pPr>
              <w:rPr>
                <w:b/>
              </w:rPr>
            </w:pPr>
            <w:r w:rsidRPr="00120E55">
              <w:rPr>
                <w:b/>
              </w:rPr>
              <w:t>Phenotype</w:t>
            </w:r>
          </w:p>
        </w:tc>
        <w:tc>
          <w:tcPr>
            <w:tcW w:w="2900" w:type="dxa"/>
            <w:noWrap/>
          </w:tcPr>
          <w:p w14:paraId="3D89B694" w14:textId="77777777" w:rsidR="007E0E6D" w:rsidRDefault="007E0E6D" w:rsidP="00531EBF">
            <w:pPr>
              <w:autoSpaceDE w:val="0"/>
              <w:autoSpaceDN w:val="0"/>
              <w:adjustRightInd w:val="0"/>
              <w:spacing w:line="360" w:lineRule="auto"/>
              <w:rPr>
                <w:rFonts w:cstheme="minorHAnsi"/>
                <w:b/>
                <w:bCs/>
              </w:rPr>
            </w:pPr>
            <w:r>
              <w:rPr>
                <w:rFonts w:cstheme="minorHAnsi"/>
                <w:b/>
                <w:bCs/>
              </w:rPr>
              <w:t>Genotype</w:t>
            </w:r>
          </w:p>
          <w:p w14:paraId="672E1545" w14:textId="77777777" w:rsidR="007E0E6D" w:rsidRDefault="007E0E6D" w:rsidP="00531EBF">
            <w:pPr>
              <w:autoSpaceDE w:val="0"/>
              <w:autoSpaceDN w:val="0"/>
              <w:adjustRightInd w:val="0"/>
              <w:spacing w:line="360" w:lineRule="auto"/>
              <w:rPr>
                <w:rFonts w:cstheme="minorHAnsi"/>
                <w:b/>
                <w:bCs/>
              </w:rPr>
            </w:pPr>
            <w:r w:rsidRPr="003522DC">
              <w:rPr>
                <w:rFonts w:cstheme="minorHAnsi"/>
                <w:b/>
                <w:bCs/>
              </w:rPr>
              <w:t xml:space="preserve">H19/IGF2 LOM </w:t>
            </w:r>
          </w:p>
        </w:tc>
        <w:tc>
          <w:tcPr>
            <w:tcW w:w="2440" w:type="dxa"/>
            <w:noWrap/>
          </w:tcPr>
          <w:p w14:paraId="6DF2D92C" w14:textId="77777777" w:rsidR="007E0E6D" w:rsidRDefault="007E0E6D" w:rsidP="00531EBF">
            <w:pPr>
              <w:autoSpaceDE w:val="0"/>
              <w:autoSpaceDN w:val="0"/>
              <w:adjustRightInd w:val="0"/>
              <w:spacing w:line="360" w:lineRule="auto"/>
              <w:rPr>
                <w:rFonts w:cstheme="minorHAnsi"/>
                <w:b/>
                <w:bCs/>
              </w:rPr>
            </w:pPr>
            <w:r>
              <w:rPr>
                <w:rFonts w:cstheme="minorHAnsi"/>
                <w:b/>
                <w:bCs/>
              </w:rPr>
              <w:t>Genotype</w:t>
            </w:r>
          </w:p>
          <w:p w14:paraId="18825669" w14:textId="77777777" w:rsidR="007E0E6D" w:rsidRDefault="007E0E6D" w:rsidP="00531EBF">
            <w:pPr>
              <w:autoSpaceDE w:val="0"/>
              <w:autoSpaceDN w:val="0"/>
              <w:adjustRightInd w:val="0"/>
              <w:spacing w:line="360" w:lineRule="auto"/>
              <w:rPr>
                <w:rFonts w:cstheme="minorHAnsi"/>
                <w:b/>
                <w:bCs/>
              </w:rPr>
            </w:pPr>
            <w:r w:rsidRPr="003522DC">
              <w:rPr>
                <w:rFonts w:cstheme="minorHAnsi"/>
                <w:b/>
                <w:bCs/>
              </w:rPr>
              <w:t>matUPD7</w:t>
            </w:r>
          </w:p>
        </w:tc>
      </w:tr>
      <w:tr w:rsidR="007E0E6D" w:rsidRPr="003522DC" w14:paraId="4A1BAE41" w14:textId="77777777" w:rsidTr="00531EBF">
        <w:trPr>
          <w:trHeight w:val="315"/>
        </w:trPr>
        <w:tc>
          <w:tcPr>
            <w:tcW w:w="3560" w:type="dxa"/>
            <w:noWrap/>
          </w:tcPr>
          <w:p w14:paraId="520DD8AB" w14:textId="77777777" w:rsidR="007E0E6D" w:rsidRPr="001D0EE2" w:rsidRDefault="007E0E6D" w:rsidP="00531EBF">
            <w:pPr>
              <w:autoSpaceDE w:val="0"/>
              <w:autoSpaceDN w:val="0"/>
              <w:adjustRightInd w:val="0"/>
              <w:spacing w:line="360" w:lineRule="auto"/>
              <w:rPr>
                <w:rFonts w:cstheme="minorHAnsi"/>
              </w:rPr>
            </w:pPr>
            <w:r>
              <w:rPr>
                <w:rFonts w:cstheme="minorHAnsi"/>
              </w:rPr>
              <w:t>Number of patients (n, %)</w:t>
            </w:r>
          </w:p>
        </w:tc>
        <w:tc>
          <w:tcPr>
            <w:tcW w:w="2900" w:type="dxa"/>
            <w:noWrap/>
          </w:tcPr>
          <w:p w14:paraId="783E09C9" w14:textId="77777777" w:rsidR="007E0E6D" w:rsidRDefault="007E0E6D" w:rsidP="00531EBF">
            <w:pPr>
              <w:autoSpaceDE w:val="0"/>
              <w:autoSpaceDN w:val="0"/>
              <w:adjustRightInd w:val="0"/>
              <w:spacing w:line="360" w:lineRule="auto"/>
              <w:rPr>
                <w:rFonts w:cstheme="minorHAnsi"/>
              </w:rPr>
            </w:pPr>
            <w:r w:rsidRPr="003522DC">
              <w:rPr>
                <w:rFonts w:cstheme="minorHAnsi"/>
              </w:rPr>
              <w:t>27 (67.5)</w:t>
            </w:r>
          </w:p>
        </w:tc>
        <w:tc>
          <w:tcPr>
            <w:tcW w:w="2440" w:type="dxa"/>
            <w:noWrap/>
          </w:tcPr>
          <w:p w14:paraId="7F0A52E9" w14:textId="77777777" w:rsidR="007E0E6D" w:rsidRDefault="007E0E6D" w:rsidP="00531EBF">
            <w:pPr>
              <w:autoSpaceDE w:val="0"/>
              <w:autoSpaceDN w:val="0"/>
              <w:adjustRightInd w:val="0"/>
              <w:spacing w:line="360" w:lineRule="auto"/>
              <w:rPr>
                <w:rFonts w:cstheme="minorHAnsi"/>
              </w:rPr>
            </w:pPr>
            <w:r w:rsidRPr="003522DC">
              <w:rPr>
                <w:rFonts w:cstheme="minorHAnsi"/>
              </w:rPr>
              <w:t>6 (15.0)</w:t>
            </w:r>
          </w:p>
        </w:tc>
      </w:tr>
      <w:tr w:rsidR="007E0E6D" w:rsidRPr="003522DC" w14:paraId="62588A96" w14:textId="77777777" w:rsidTr="00531EBF">
        <w:trPr>
          <w:trHeight w:val="315"/>
        </w:trPr>
        <w:tc>
          <w:tcPr>
            <w:tcW w:w="3560" w:type="dxa"/>
            <w:noWrap/>
          </w:tcPr>
          <w:p w14:paraId="22F8C5F6" w14:textId="77777777" w:rsidR="007E0E6D" w:rsidRPr="00120E55" w:rsidRDefault="007E0E6D" w:rsidP="00531EBF">
            <w:pPr>
              <w:rPr>
                <w:b/>
                <w:bCs/>
              </w:rPr>
            </w:pPr>
            <w:r w:rsidRPr="00120E55">
              <w:rPr>
                <w:b/>
              </w:rPr>
              <w:t>Gender</w:t>
            </w:r>
          </w:p>
        </w:tc>
        <w:tc>
          <w:tcPr>
            <w:tcW w:w="2900" w:type="dxa"/>
            <w:noWrap/>
          </w:tcPr>
          <w:p w14:paraId="3CCF39BF" w14:textId="77777777" w:rsidR="007E0E6D" w:rsidRDefault="007E0E6D" w:rsidP="00531EBF">
            <w:pPr>
              <w:autoSpaceDE w:val="0"/>
              <w:autoSpaceDN w:val="0"/>
              <w:adjustRightInd w:val="0"/>
              <w:spacing w:line="360" w:lineRule="auto"/>
              <w:rPr>
                <w:rFonts w:cstheme="minorHAnsi"/>
                <w:b/>
                <w:bCs/>
              </w:rPr>
            </w:pPr>
          </w:p>
        </w:tc>
        <w:tc>
          <w:tcPr>
            <w:tcW w:w="2440" w:type="dxa"/>
            <w:noWrap/>
          </w:tcPr>
          <w:p w14:paraId="74E723E2" w14:textId="77777777" w:rsidR="007E0E6D" w:rsidRDefault="007E0E6D" w:rsidP="00531EBF">
            <w:pPr>
              <w:autoSpaceDE w:val="0"/>
              <w:autoSpaceDN w:val="0"/>
              <w:adjustRightInd w:val="0"/>
              <w:spacing w:line="360" w:lineRule="auto"/>
              <w:rPr>
                <w:rFonts w:cstheme="minorHAnsi"/>
              </w:rPr>
            </w:pPr>
          </w:p>
        </w:tc>
      </w:tr>
      <w:tr w:rsidR="007E0E6D" w:rsidRPr="003522DC" w14:paraId="7BA60759" w14:textId="77777777" w:rsidTr="00531EBF">
        <w:trPr>
          <w:trHeight w:val="315"/>
        </w:trPr>
        <w:tc>
          <w:tcPr>
            <w:tcW w:w="3560" w:type="dxa"/>
            <w:noWrap/>
          </w:tcPr>
          <w:p w14:paraId="79C99580" w14:textId="77777777" w:rsidR="007E0E6D" w:rsidRDefault="007E0E6D" w:rsidP="00531EBF">
            <w:pPr>
              <w:autoSpaceDE w:val="0"/>
              <w:autoSpaceDN w:val="0"/>
              <w:adjustRightInd w:val="0"/>
              <w:spacing w:line="360" w:lineRule="auto"/>
              <w:rPr>
                <w:rFonts w:cstheme="minorHAnsi"/>
              </w:rPr>
            </w:pPr>
            <w:r w:rsidRPr="003522DC">
              <w:rPr>
                <w:rFonts w:cstheme="minorHAnsi"/>
              </w:rPr>
              <w:t>Male (n, %)</w:t>
            </w:r>
          </w:p>
        </w:tc>
        <w:tc>
          <w:tcPr>
            <w:tcW w:w="2900" w:type="dxa"/>
            <w:noWrap/>
          </w:tcPr>
          <w:p w14:paraId="457936C0" w14:textId="77777777" w:rsidR="007E0E6D" w:rsidRDefault="007E0E6D" w:rsidP="00531EBF">
            <w:pPr>
              <w:autoSpaceDE w:val="0"/>
              <w:autoSpaceDN w:val="0"/>
              <w:adjustRightInd w:val="0"/>
              <w:spacing w:line="360" w:lineRule="auto"/>
              <w:rPr>
                <w:rFonts w:cstheme="minorHAnsi"/>
              </w:rPr>
            </w:pPr>
            <w:r w:rsidRPr="003522DC">
              <w:rPr>
                <w:rFonts w:cstheme="minorHAnsi"/>
              </w:rPr>
              <w:t>12 (44.4)</w:t>
            </w:r>
          </w:p>
        </w:tc>
        <w:tc>
          <w:tcPr>
            <w:tcW w:w="2440" w:type="dxa"/>
            <w:noWrap/>
          </w:tcPr>
          <w:p w14:paraId="56364947" w14:textId="77777777" w:rsidR="007E0E6D" w:rsidRDefault="007E0E6D" w:rsidP="00531EBF">
            <w:pPr>
              <w:autoSpaceDE w:val="0"/>
              <w:autoSpaceDN w:val="0"/>
              <w:adjustRightInd w:val="0"/>
              <w:spacing w:line="360" w:lineRule="auto"/>
              <w:rPr>
                <w:rFonts w:cstheme="minorHAnsi"/>
              </w:rPr>
            </w:pPr>
            <w:r w:rsidRPr="003522DC">
              <w:rPr>
                <w:rFonts w:cstheme="minorHAnsi"/>
              </w:rPr>
              <w:t>3 (50)</w:t>
            </w:r>
          </w:p>
        </w:tc>
      </w:tr>
      <w:tr w:rsidR="007E0E6D" w:rsidRPr="003522DC" w14:paraId="43070D18" w14:textId="77777777" w:rsidTr="00531EBF">
        <w:trPr>
          <w:trHeight w:val="315"/>
        </w:trPr>
        <w:tc>
          <w:tcPr>
            <w:tcW w:w="3560" w:type="dxa"/>
            <w:noWrap/>
          </w:tcPr>
          <w:p w14:paraId="2B74EA61" w14:textId="77777777" w:rsidR="007E0E6D" w:rsidRDefault="007E0E6D" w:rsidP="00531EBF">
            <w:pPr>
              <w:autoSpaceDE w:val="0"/>
              <w:autoSpaceDN w:val="0"/>
              <w:adjustRightInd w:val="0"/>
              <w:spacing w:line="360" w:lineRule="auto"/>
              <w:rPr>
                <w:rFonts w:cstheme="minorHAnsi"/>
              </w:rPr>
            </w:pPr>
            <w:r w:rsidRPr="003522DC">
              <w:rPr>
                <w:rFonts w:cstheme="minorHAnsi"/>
              </w:rPr>
              <w:t>Female (n, %)</w:t>
            </w:r>
          </w:p>
        </w:tc>
        <w:tc>
          <w:tcPr>
            <w:tcW w:w="2900" w:type="dxa"/>
            <w:noWrap/>
          </w:tcPr>
          <w:p w14:paraId="3F504742" w14:textId="77777777" w:rsidR="007E0E6D" w:rsidRDefault="007E0E6D" w:rsidP="00531EBF">
            <w:pPr>
              <w:autoSpaceDE w:val="0"/>
              <w:autoSpaceDN w:val="0"/>
              <w:adjustRightInd w:val="0"/>
              <w:spacing w:line="360" w:lineRule="auto"/>
              <w:rPr>
                <w:rFonts w:cstheme="minorHAnsi"/>
              </w:rPr>
            </w:pPr>
            <w:r w:rsidRPr="003522DC">
              <w:rPr>
                <w:rFonts w:cstheme="minorHAnsi"/>
              </w:rPr>
              <w:t>15 (55.6)</w:t>
            </w:r>
          </w:p>
        </w:tc>
        <w:tc>
          <w:tcPr>
            <w:tcW w:w="2440" w:type="dxa"/>
            <w:noWrap/>
          </w:tcPr>
          <w:p w14:paraId="05CA756A" w14:textId="77777777" w:rsidR="007E0E6D" w:rsidRDefault="007E0E6D" w:rsidP="00531EBF">
            <w:pPr>
              <w:autoSpaceDE w:val="0"/>
              <w:autoSpaceDN w:val="0"/>
              <w:adjustRightInd w:val="0"/>
              <w:spacing w:line="360" w:lineRule="auto"/>
              <w:rPr>
                <w:rFonts w:cstheme="minorHAnsi"/>
              </w:rPr>
            </w:pPr>
            <w:r w:rsidRPr="003522DC">
              <w:rPr>
                <w:rFonts w:cstheme="minorHAnsi"/>
              </w:rPr>
              <w:t>3 (50)</w:t>
            </w:r>
          </w:p>
        </w:tc>
      </w:tr>
      <w:tr w:rsidR="007E0E6D" w:rsidRPr="003522DC" w14:paraId="45EE7530" w14:textId="77777777" w:rsidTr="00531EBF">
        <w:trPr>
          <w:trHeight w:val="315"/>
        </w:trPr>
        <w:tc>
          <w:tcPr>
            <w:tcW w:w="3560" w:type="dxa"/>
            <w:noWrap/>
          </w:tcPr>
          <w:p w14:paraId="008E244B" w14:textId="77777777" w:rsidR="007E0E6D" w:rsidRDefault="007E0E6D" w:rsidP="00531EBF">
            <w:pPr>
              <w:autoSpaceDE w:val="0"/>
              <w:autoSpaceDN w:val="0"/>
              <w:adjustRightInd w:val="0"/>
              <w:spacing w:line="360" w:lineRule="auto"/>
              <w:rPr>
                <w:rFonts w:cstheme="minorHAnsi"/>
              </w:rPr>
            </w:pPr>
            <w:r w:rsidRPr="003522DC">
              <w:rPr>
                <w:rFonts w:cstheme="minorHAnsi"/>
              </w:rPr>
              <w:t xml:space="preserve">Age, years (median, </w:t>
            </w:r>
            <w:r>
              <w:rPr>
                <w:rFonts w:cstheme="minorHAnsi"/>
              </w:rPr>
              <w:t>IQR</w:t>
            </w:r>
            <w:r w:rsidRPr="003522DC">
              <w:rPr>
                <w:rFonts w:cstheme="minorHAnsi"/>
              </w:rPr>
              <w:t>)</w:t>
            </w:r>
          </w:p>
        </w:tc>
        <w:tc>
          <w:tcPr>
            <w:tcW w:w="2900" w:type="dxa"/>
            <w:noWrap/>
          </w:tcPr>
          <w:p w14:paraId="68130B2A" w14:textId="77777777" w:rsidR="007E0E6D" w:rsidRDefault="007E0E6D" w:rsidP="00531EBF">
            <w:pPr>
              <w:autoSpaceDE w:val="0"/>
              <w:autoSpaceDN w:val="0"/>
              <w:adjustRightInd w:val="0"/>
              <w:spacing w:line="360" w:lineRule="auto"/>
              <w:rPr>
                <w:rFonts w:cstheme="minorHAnsi"/>
              </w:rPr>
            </w:pPr>
            <w:r w:rsidRPr="003522DC">
              <w:rPr>
                <w:rFonts w:cstheme="minorHAnsi"/>
              </w:rPr>
              <w:t>32.35 (13.32-69.71)</w:t>
            </w:r>
          </w:p>
        </w:tc>
        <w:tc>
          <w:tcPr>
            <w:tcW w:w="2440" w:type="dxa"/>
            <w:noWrap/>
          </w:tcPr>
          <w:p w14:paraId="3DA033C2" w14:textId="77777777" w:rsidR="007E0E6D" w:rsidRDefault="007E0E6D" w:rsidP="00531EBF">
            <w:pPr>
              <w:autoSpaceDE w:val="0"/>
              <w:autoSpaceDN w:val="0"/>
              <w:adjustRightInd w:val="0"/>
              <w:spacing w:line="360" w:lineRule="auto"/>
              <w:rPr>
                <w:rFonts w:cstheme="minorHAnsi"/>
              </w:rPr>
            </w:pPr>
            <w:r w:rsidRPr="003522DC">
              <w:rPr>
                <w:rFonts w:cstheme="minorHAnsi"/>
              </w:rPr>
              <w:t>19.74 (14.47-33.93)</w:t>
            </w:r>
          </w:p>
        </w:tc>
      </w:tr>
      <w:tr w:rsidR="007E0E6D" w:rsidRPr="003522DC" w14:paraId="78BB130C" w14:textId="77777777" w:rsidTr="00531EBF">
        <w:trPr>
          <w:trHeight w:val="315"/>
        </w:trPr>
        <w:tc>
          <w:tcPr>
            <w:tcW w:w="3560" w:type="dxa"/>
            <w:noWrap/>
          </w:tcPr>
          <w:p w14:paraId="681298DD" w14:textId="3C2BF57E" w:rsidR="007E0E6D" w:rsidRDefault="007E0E6D" w:rsidP="008D2D78">
            <w:pPr>
              <w:autoSpaceDE w:val="0"/>
              <w:autoSpaceDN w:val="0"/>
              <w:adjustRightInd w:val="0"/>
              <w:spacing w:line="360" w:lineRule="auto"/>
              <w:rPr>
                <w:rFonts w:cstheme="minorHAnsi"/>
                <w:b/>
                <w:bCs/>
              </w:rPr>
            </w:pPr>
            <w:r w:rsidRPr="003522DC">
              <w:rPr>
                <w:rFonts w:cstheme="minorHAnsi"/>
                <w:b/>
                <w:bCs/>
              </w:rPr>
              <w:t>Birth parameters</w:t>
            </w:r>
            <w:r>
              <w:rPr>
                <w:rFonts w:cstheme="minorHAnsi"/>
                <w:b/>
                <w:bCs/>
              </w:rPr>
              <w:t xml:space="preserve"> </w:t>
            </w:r>
            <w:r w:rsidRPr="00952140">
              <w:rPr>
                <w:rFonts w:cstheme="minorHAnsi"/>
                <w:bCs/>
              </w:rPr>
              <w:t>(me</w:t>
            </w:r>
            <w:r>
              <w:rPr>
                <w:rFonts w:cstheme="minorHAnsi"/>
                <w:bCs/>
              </w:rPr>
              <w:t>dian</w:t>
            </w:r>
            <w:r w:rsidRPr="00952140">
              <w:rPr>
                <w:rFonts w:cstheme="minorHAnsi"/>
                <w:bCs/>
              </w:rPr>
              <w:t xml:space="preserve">, </w:t>
            </w:r>
            <w:r>
              <w:rPr>
                <w:rFonts w:cstheme="minorHAnsi"/>
                <w:bCs/>
              </w:rPr>
              <w:t>IQ</w:t>
            </w:r>
            <w:r w:rsidR="008D2D78">
              <w:rPr>
                <w:rFonts w:cstheme="minorHAnsi"/>
                <w:bCs/>
              </w:rPr>
              <w:t>R</w:t>
            </w:r>
            <w:r>
              <w:rPr>
                <w:rFonts w:cstheme="minorHAnsi"/>
                <w:bCs/>
              </w:rPr>
              <w:t>)</w:t>
            </w:r>
            <w:r w:rsidRPr="00952140">
              <w:rPr>
                <w:rFonts w:cstheme="minorHAnsi"/>
                <w:bCs/>
              </w:rPr>
              <w:t xml:space="preserve">, </w:t>
            </w:r>
            <w:r>
              <w:rPr>
                <w:rFonts w:cstheme="minorHAnsi"/>
                <w:bCs/>
              </w:rPr>
              <w:t>(</w:t>
            </w:r>
            <w:r w:rsidRPr="00952140">
              <w:rPr>
                <w:rFonts w:cstheme="minorHAnsi"/>
                <w:bCs/>
              </w:rPr>
              <w:t>n)</w:t>
            </w:r>
          </w:p>
        </w:tc>
        <w:tc>
          <w:tcPr>
            <w:tcW w:w="2900" w:type="dxa"/>
            <w:noWrap/>
          </w:tcPr>
          <w:p w14:paraId="2C7F3BBD" w14:textId="77777777" w:rsidR="007E0E6D" w:rsidRDefault="007E0E6D" w:rsidP="00531EBF">
            <w:pPr>
              <w:autoSpaceDE w:val="0"/>
              <w:autoSpaceDN w:val="0"/>
              <w:adjustRightInd w:val="0"/>
              <w:spacing w:line="360" w:lineRule="auto"/>
              <w:rPr>
                <w:rFonts w:cstheme="minorHAnsi"/>
                <w:b/>
                <w:bCs/>
              </w:rPr>
            </w:pPr>
          </w:p>
        </w:tc>
        <w:tc>
          <w:tcPr>
            <w:tcW w:w="2440" w:type="dxa"/>
            <w:noWrap/>
          </w:tcPr>
          <w:p w14:paraId="28239941" w14:textId="77777777" w:rsidR="007E0E6D" w:rsidRDefault="007E0E6D" w:rsidP="00531EBF">
            <w:pPr>
              <w:autoSpaceDE w:val="0"/>
              <w:autoSpaceDN w:val="0"/>
              <w:adjustRightInd w:val="0"/>
              <w:spacing w:line="360" w:lineRule="auto"/>
              <w:rPr>
                <w:rFonts w:cstheme="minorHAnsi"/>
              </w:rPr>
            </w:pPr>
          </w:p>
        </w:tc>
      </w:tr>
      <w:tr w:rsidR="007E0E6D" w:rsidRPr="003522DC" w14:paraId="4FCF7D34" w14:textId="77777777" w:rsidTr="00531EBF">
        <w:trPr>
          <w:trHeight w:val="315"/>
        </w:trPr>
        <w:tc>
          <w:tcPr>
            <w:tcW w:w="3560" w:type="dxa"/>
          </w:tcPr>
          <w:p w14:paraId="3BD6BBA8" w14:textId="77777777" w:rsidR="007E0E6D" w:rsidRDefault="007E0E6D" w:rsidP="00531EBF">
            <w:pPr>
              <w:autoSpaceDE w:val="0"/>
              <w:autoSpaceDN w:val="0"/>
              <w:adjustRightInd w:val="0"/>
              <w:spacing w:line="360" w:lineRule="auto"/>
              <w:rPr>
                <w:rFonts w:cstheme="minorHAnsi"/>
              </w:rPr>
            </w:pPr>
            <w:r w:rsidRPr="003522DC">
              <w:rPr>
                <w:rFonts w:cstheme="minorHAnsi"/>
              </w:rPr>
              <w:t xml:space="preserve">Gestation at birth, weeks </w:t>
            </w:r>
          </w:p>
        </w:tc>
        <w:tc>
          <w:tcPr>
            <w:tcW w:w="2900" w:type="dxa"/>
          </w:tcPr>
          <w:p w14:paraId="37E9DF18" w14:textId="77777777" w:rsidR="007E0E6D" w:rsidRDefault="007E0E6D" w:rsidP="00531EBF">
            <w:pPr>
              <w:autoSpaceDE w:val="0"/>
              <w:autoSpaceDN w:val="0"/>
              <w:adjustRightInd w:val="0"/>
              <w:spacing w:line="360" w:lineRule="auto"/>
              <w:rPr>
                <w:rFonts w:cstheme="minorHAnsi"/>
              </w:rPr>
            </w:pPr>
            <w:r w:rsidRPr="003522DC">
              <w:rPr>
                <w:rFonts w:cstheme="minorHAnsi"/>
              </w:rPr>
              <w:t>39 (37.0-40.6) (n=25)</w:t>
            </w:r>
          </w:p>
        </w:tc>
        <w:tc>
          <w:tcPr>
            <w:tcW w:w="2440" w:type="dxa"/>
          </w:tcPr>
          <w:p w14:paraId="22206500" w14:textId="77777777" w:rsidR="007E0E6D" w:rsidRDefault="007E0E6D" w:rsidP="00531EBF">
            <w:pPr>
              <w:autoSpaceDE w:val="0"/>
              <w:autoSpaceDN w:val="0"/>
              <w:adjustRightInd w:val="0"/>
              <w:spacing w:line="360" w:lineRule="auto"/>
              <w:rPr>
                <w:rFonts w:cstheme="minorHAnsi"/>
              </w:rPr>
            </w:pPr>
            <w:r w:rsidRPr="003522DC">
              <w:rPr>
                <w:rFonts w:cstheme="minorHAnsi"/>
              </w:rPr>
              <w:t>38.0 (35.1-38.1)</w:t>
            </w:r>
          </w:p>
        </w:tc>
      </w:tr>
      <w:tr w:rsidR="007E0E6D" w:rsidRPr="003522DC" w14:paraId="01A80C12" w14:textId="77777777" w:rsidTr="00531EBF">
        <w:trPr>
          <w:trHeight w:val="319"/>
        </w:trPr>
        <w:tc>
          <w:tcPr>
            <w:tcW w:w="3560" w:type="dxa"/>
          </w:tcPr>
          <w:p w14:paraId="66030350" w14:textId="77777777" w:rsidR="007E0E6D" w:rsidRDefault="007E0E6D" w:rsidP="00531EBF">
            <w:pPr>
              <w:autoSpaceDE w:val="0"/>
              <w:autoSpaceDN w:val="0"/>
              <w:adjustRightInd w:val="0"/>
              <w:spacing w:line="360" w:lineRule="auto"/>
              <w:rPr>
                <w:rFonts w:cstheme="minorHAnsi"/>
              </w:rPr>
            </w:pPr>
            <w:r w:rsidRPr="003522DC">
              <w:rPr>
                <w:rFonts w:cstheme="minorHAnsi"/>
              </w:rPr>
              <w:t xml:space="preserve">Birth weight, g </w:t>
            </w:r>
          </w:p>
        </w:tc>
        <w:tc>
          <w:tcPr>
            <w:tcW w:w="2900" w:type="dxa"/>
          </w:tcPr>
          <w:p w14:paraId="1CA30296" w14:textId="77777777" w:rsidR="007E0E6D" w:rsidRDefault="007E0E6D" w:rsidP="00531EBF">
            <w:pPr>
              <w:autoSpaceDE w:val="0"/>
              <w:autoSpaceDN w:val="0"/>
              <w:adjustRightInd w:val="0"/>
              <w:spacing w:line="360" w:lineRule="auto"/>
              <w:rPr>
                <w:rFonts w:cstheme="minorHAnsi"/>
              </w:rPr>
            </w:pPr>
            <w:r w:rsidRPr="003522DC">
              <w:rPr>
                <w:rFonts w:cstheme="minorHAnsi"/>
              </w:rPr>
              <w:t>1760 (1458-2098)</w:t>
            </w:r>
          </w:p>
        </w:tc>
        <w:tc>
          <w:tcPr>
            <w:tcW w:w="2440" w:type="dxa"/>
          </w:tcPr>
          <w:p w14:paraId="34A6E4E6" w14:textId="77777777" w:rsidR="007E0E6D" w:rsidRDefault="007E0E6D" w:rsidP="00531EBF">
            <w:pPr>
              <w:autoSpaceDE w:val="0"/>
              <w:autoSpaceDN w:val="0"/>
              <w:adjustRightInd w:val="0"/>
              <w:spacing w:line="360" w:lineRule="auto"/>
              <w:rPr>
                <w:rFonts w:cstheme="minorHAnsi"/>
              </w:rPr>
            </w:pPr>
            <w:r w:rsidRPr="003522DC">
              <w:rPr>
                <w:rFonts w:cstheme="minorHAnsi"/>
              </w:rPr>
              <w:t>1805 (1505-2513)</w:t>
            </w:r>
          </w:p>
        </w:tc>
      </w:tr>
      <w:tr w:rsidR="007E0E6D" w:rsidRPr="003522DC" w14:paraId="3A235A95" w14:textId="77777777" w:rsidTr="00531EBF">
        <w:trPr>
          <w:trHeight w:val="319"/>
        </w:trPr>
        <w:tc>
          <w:tcPr>
            <w:tcW w:w="3560" w:type="dxa"/>
          </w:tcPr>
          <w:p w14:paraId="26E3D114" w14:textId="77777777" w:rsidR="007E0E6D" w:rsidRDefault="007E0E6D" w:rsidP="00531EBF">
            <w:pPr>
              <w:autoSpaceDE w:val="0"/>
              <w:autoSpaceDN w:val="0"/>
              <w:adjustRightInd w:val="0"/>
              <w:spacing w:line="360" w:lineRule="auto"/>
              <w:rPr>
                <w:rFonts w:cstheme="minorHAnsi"/>
              </w:rPr>
            </w:pPr>
            <w:r w:rsidRPr="003522DC">
              <w:rPr>
                <w:rFonts w:cstheme="minorHAnsi"/>
              </w:rPr>
              <w:t xml:space="preserve">Birth weight SDS </w:t>
            </w:r>
          </w:p>
        </w:tc>
        <w:tc>
          <w:tcPr>
            <w:tcW w:w="2900" w:type="dxa"/>
          </w:tcPr>
          <w:p w14:paraId="0CD8AB23" w14:textId="77777777" w:rsidR="007E0E6D" w:rsidRDefault="007E0E6D" w:rsidP="00531EBF">
            <w:pPr>
              <w:autoSpaceDE w:val="0"/>
              <w:autoSpaceDN w:val="0"/>
              <w:adjustRightInd w:val="0"/>
              <w:spacing w:line="360" w:lineRule="auto"/>
              <w:rPr>
                <w:rFonts w:cstheme="minorHAnsi"/>
              </w:rPr>
            </w:pPr>
            <w:r w:rsidRPr="003522DC">
              <w:rPr>
                <w:rFonts w:cstheme="minorHAnsi"/>
              </w:rPr>
              <w:t>-3.54 (-4.20 to -2.64) (n=26)</w:t>
            </w:r>
          </w:p>
        </w:tc>
        <w:tc>
          <w:tcPr>
            <w:tcW w:w="2440" w:type="dxa"/>
          </w:tcPr>
          <w:p w14:paraId="6F2A0589" w14:textId="77777777" w:rsidR="007E0E6D" w:rsidRDefault="007E0E6D" w:rsidP="00531EBF">
            <w:pPr>
              <w:autoSpaceDE w:val="0"/>
              <w:autoSpaceDN w:val="0"/>
              <w:adjustRightInd w:val="0"/>
              <w:spacing w:line="360" w:lineRule="auto"/>
              <w:rPr>
                <w:rFonts w:cstheme="minorHAnsi"/>
              </w:rPr>
            </w:pPr>
            <w:r w:rsidRPr="003522DC">
              <w:rPr>
                <w:rFonts w:cstheme="minorHAnsi"/>
              </w:rPr>
              <w:t>-2.19 (-2.98 to -1.29)</w:t>
            </w:r>
          </w:p>
        </w:tc>
      </w:tr>
      <w:tr w:rsidR="007E0E6D" w:rsidRPr="003522DC" w14:paraId="17166F77" w14:textId="77777777" w:rsidTr="00531EBF">
        <w:trPr>
          <w:trHeight w:val="319"/>
        </w:trPr>
        <w:tc>
          <w:tcPr>
            <w:tcW w:w="3560" w:type="dxa"/>
          </w:tcPr>
          <w:p w14:paraId="7956E775" w14:textId="77777777" w:rsidR="007E0E6D" w:rsidRDefault="007E0E6D" w:rsidP="00531EBF">
            <w:pPr>
              <w:autoSpaceDE w:val="0"/>
              <w:autoSpaceDN w:val="0"/>
              <w:adjustRightInd w:val="0"/>
              <w:spacing w:line="360" w:lineRule="auto"/>
              <w:rPr>
                <w:rFonts w:cstheme="minorHAnsi"/>
              </w:rPr>
            </w:pPr>
            <w:r w:rsidRPr="003522DC">
              <w:rPr>
                <w:rFonts w:cstheme="minorHAnsi"/>
              </w:rPr>
              <w:t xml:space="preserve">Birth length, cm </w:t>
            </w:r>
          </w:p>
        </w:tc>
        <w:tc>
          <w:tcPr>
            <w:tcW w:w="2900" w:type="dxa"/>
          </w:tcPr>
          <w:p w14:paraId="15FA71D6" w14:textId="77777777" w:rsidR="007E0E6D" w:rsidRDefault="007E0E6D" w:rsidP="00531EBF">
            <w:pPr>
              <w:autoSpaceDE w:val="0"/>
              <w:autoSpaceDN w:val="0"/>
              <w:adjustRightInd w:val="0"/>
              <w:spacing w:line="360" w:lineRule="auto"/>
              <w:rPr>
                <w:rFonts w:cstheme="minorHAnsi"/>
              </w:rPr>
            </w:pPr>
            <w:r w:rsidRPr="003522DC">
              <w:rPr>
                <w:rFonts w:cstheme="minorHAnsi"/>
              </w:rPr>
              <w:t>40.6 (39.9-47.3) (n=10)</w:t>
            </w:r>
          </w:p>
        </w:tc>
        <w:tc>
          <w:tcPr>
            <w:tcW w:w="2440" w:type="dxa"/>
          </w:tcPr>
          <w:p w14:paraId="43EDDBCF" w14:textId="77777777" w:rsidR="007E0E6D" w:rsidRDefault="007E0E6D" w:rsidP="00531EBF">
            <w:pPr>
              <w:autoSpaceDE w:val="0"/>
              <w:autoSpaceDN w:val="0"/>
              <w:adjustRightInd w:val="0"/>
              <w:spacing w:line="360" w:lineRule="auto"/>
              <w:rPr>
                <w:rFonts w:cstheme="minorHAnsi"/>
              </w:rPr>
            </w:pPr>
            <w:r w:rsidRPr="003522DC">
              <w:rPr>
                <w:rFonts w:cstheme="minorHAnsi"/>
              </w:rPr>
              <w:t>43.0 (n=1)</w:t>
            </w:r>
          </w:p>
        </w:tc>
      </w:tr>
      <w:tr w:rsidR="007E0E6D" w:rsidRPr="003522DC" w14:paraId="341A26E0" w14:textId="77777777" w:rsidTr="00531EBF">
        <w:trPr>
          <w:trHeight w:val="319"/>
        </w:trPr>
        <w:tc>
          <w:tcPr>
            <w:tcW w:w="3560" w:type="dxa"/>
          </w:tcPr>
          <w:p w14:paraId="52BEE4D9" w14:textId="77777777" w:rsidR="007E0E6D" w:rsidRDefault="007E0E6D" w:rsidP="00531EBF">
            <w:pPr>
              <w:autoSpaceDE w:val="0"/>
              <w:autoSpaceDN w:val="0"/>
              <w:adjustRightInd w:val="0"/>
              <w:spacing w:line="360" w:lineRule="auto"/>
              <w:rPr>
                <w:rFonts w:cstheme="minorHAnsi"/>
              </w:rPr>
            </w:pPr>
            <w:r w:rsidRPr="003522DC">
              <w:rPr>
                <w:rFonts w:cstheme="minorHAnsi"/>
              </w:rPr>
              <w:t xml:space="preserve">Birth length SDS </w:t>
            </w:r>
          </w:p>
        </w:tc>
        <w:tc>
          <w:tcPr>
            <w:tcW w:w="2900" w:type="dxa"/>
          </w:tcPr>
          <w:p w14:paraId="005E30A7" w14:textId="77777777" w:rsidR="007E0E6D" w:rsidRDefault="007E0E6D" w:rsidP="00531EBF">
            <w:pPr>
              <w:autoSpaceDE w:val="0"/>
              <w:autoSpaceDN w:val="0"/>
              <w:adjustRightInd w:val="0"/>
              <w:spacing w:line="360" w:lineRule="auto"/>
              <w:rPr>
                <w:rFonts w:cstheme="minorHAnsi"/>
              </w:rPr>
            </w:pPr>
            <w:r w:rsidRPr="003522DC">
              <w:rPr>
                <w:rFonts w:cstheme="minorHAnsi"/>
              </w:rPr>
              <w:t>-4.06 (-5.26 to -0.55) (n=9)</w:t>
            </w:r>
          </w:p>
        </w:tc>
        <w:tc>
          <w:tcPr>
            <w:tcW w:w="2440" w:type="dxa"/>
            <w:noWrap/>
          </w:tcPr>
          <w:p w14:paraId="387D25A6" w14:textId="77777777" w:rsidR="007E0E6D" w:rsidRDefault="007E0E6D" w:rsidP="00531EBF">
            <w:pPr>
              <w:autoSpaceDE w:val="0"/>
              <w:autoSpaceDN w:val="0"/>
              <w:adjustRightInd w:val="0"/>
              <w:spacing w:line="360" w:lineRule="auto"/>
              <w:rPr>
                <w:rFonts w:cstheme="minorHAnsi"/>
              </w:rPr>
            </w:pPr>
            <w:r w:rsidRPr="003522DC">
              <w:rPr>
                <w:rFonts w:cstheme="minorHAnsi"/>
              </w:rPr>
              <w:t>-3.05 (n=1)</w:t>
            </w:r>
          </w:p>
        </w:tc>
      </w:tr>
      <w:tr w:rsidR="007E0E6D" w:rsidRPr="003522DC" w14:paraId="1F999DE1" w14:textId="77777777" w:rsidTr="00531EBF">
        <w:trPr>
          <w:trHeight w:val="315"/>
        </w:trPr>
        <w:tc>
          <w:tcPr>
            <w:tcW w:w="3560" w:type="dxa"/>
          </w:tcPr>
          <w:p w14:paraId="6A5231DE" w14:textId="77777777" w:rsidR="007E0E6D" w:rsidRDefault="007E0E6D" w:rsidP="00531EBF">
            <w:pPr>
              <w:autoSpaceDE w:val="0"/>
              <w:autoSpaceDN w:val="0"/>
              <w:adjustRightInd w:val="0"/>
              <w:spacing w:line="360" w:lineRule="auto"/>
              <w:rPr>
                <w:rFonts w:cstheme="minorHAnsi"/>
              </w:rPr>
            </w:pPr>
            <w:r w:rsidRPr="003522DC">
              <w:rPr>
                <w:rFonts w:cstheme="minorHAnsi"/>
              </w:rPr>
              <w:t xml:space="preserve">Birth head circumference, cm </w:t>
            </w:r>
          </w:p>
        </w:tc>
        <w:tc>
          <w:tcPr>
            <w:tcW w:w="2900" w:type="dxa"/>
          </w:tcPr>
          <w:p w14:paraId="6E501153" w14:textId="77777777" w:rsidR="007E0E6D" w:rsidRDefault="007E0E6D" w:rsidP="00531EBF">
            <w:pPr>
              <w:autoSpaceDE w:val="0"/>
              <w:autoSpaceDN w:val="0"/>
              <w:adjustRightInd w:val="0"/>
              <w:spacing w:line="360" w:lineRule="auto"/>
              <w:rPr>
                <w:rFonts w:cstheme="minorHAnsi"/>
              </w:rPr>
            </w:pPr>
            <w:r w:rsidRPr="003522DC">
              <w:rPr>
                <w:rFonts w:cstheme="minorHAnsi"/>
              </w:rPr>
              <w:t>33.8 (32.0-35.4) (n=8)</w:t>
            </w:r>
          </w:p>
        </w:tc>
        <w:tc>
          <w:tcPr>
            <w:tcW w:w="2440" w:type="dxa"/>
            <w:noWrap/>
          </w:tcPr>
          <w:p w14:paraId="10B58AC7" w14:textId="77777777" w:rsidR="007E0E6D" w:rsidRDefault="007E0E6D" w:rsidP="00531EBF">
            <w:pPr>
              <w:autoSpaceDE w:val="0"/>
              <w:autoSpaceDN w:val="0"/>
              <w:adjustRightInd w:val="0"/>
              <w:spacing w:line="360" w:lineRule="auto"/>
              <w:rPr>
                <w:rFonts w:cstheme="minorHAnsi"/>
              </w:rPr>
            </w:pPr>
            <w:r w:rsidRPr="003522DC">
              <w:rPr>
                <w:rFonts w:cstheme="minorHAnsi"/>
              </w:rPr>
              <w:t>27.0 (n=1)</w:t>
            </w:r>
          </w:p>
        </w:tc>
      </w:tr>
      <w:tr w:rsidR="007E0E6D" w:rsidRPr="003522DC" w14:paraId="27777CD3" w14:textId="77777777" w:rsidTr="00531EBF">
        <w:trPr>
          <w:trHeight w:val="319"/>
        </w:trPr>
        <w:tc>
          <w:tcPr>
            <w:tcW w:w="3560" w:type="dxa"/>
          </w:tcPr>
          <w:p w14:paraId="634A934F" w14:textId="77777777" w:rsidR="007E0E6D" w:rsidRDefault="007E0E6D" w:rsidP="00531EBF">
            <w:pPr>
              <w:autoSpaceDE w:val="0"/>
              <w:autoSpaceDN w:val="0"/>
              <w:adjustRightInd w:val="0"/>
              <w:spacing w:line="360" w:lineRule="auto"/>
              <w:rPr>
                <w:rFonts w:cstheme="minorHAnsi"/>
              </w:rPr>
            </w:pPr>
            <w:r w:rsidRPr="003522DC">
              <w:rPr>
                <w:rFonts w:cstheme="minorHAnsi"/>
              </w:rPr>
              <w:t xml:space="preserve">Birth head circumference SDS </w:t>
            </w:r>
          </w:p>
        </w:tc>
        <w:tc>
          <w:tcPr>
            <w:tcW w:w="2900" w:type="dxa"/>
          </w:tcPr>
          <w:p w14:paraId="3F021DFC" w14:textId="77777777" w:rsidR="007E0E6D" w:rsidRDefault="007E0E6D" w:rsidP="00531EBF">
            <w:pPr>
              <w:autoSpaceDE w:val="0"/>
              <w:autoSpaceDN w:val="0"/>
              <w:adjustRightInd w:val="0"/>
              <w:spacing w:line="360" w:lineRule="auto"/>
              <w:rPr>
                <w:rFonts w:cstheme="minorHAnsi"/>
              </w:rPr>
            </w:pPr>
            <w:r w:rsidRPr="003522DC">
              <w:rPr>
                <w:rFonts w:cstheme="minorHAnsi"/>
              </w:rPr>
              <w:t>-0.56 (-1.33 to 0.29) (n=8)</w:t>
            </w:r>
          </w:p>
        </w:tc>
        <w:tc>
          <w:tcPr>
            <w:tcW w:w="2440" w:type="dxa"/>
            <w:noWrap/>
          </w:tcPr>
          <w:p w14:paraId="4F450FAF" w14:textId="77777777" w:rsidR="007E0E6D" w:rsidRDefault="007E0E6D" w:rsidP="00531EBF">
            <w:pPr>
              <w:autoSpaceDE w:val="0"/>
              <w:autoSpaceDN w:val="0"/>
              <w:adjustRightInd w:val="0"/>
              <w:spacing w:line="360" w:lineRule="auto"/>
              <w:rPr>
                <w:rFonts w:cstheme="minorHAnsi"/>
              </w:rPr>
            </w:pPr>
            <w:r w:rsidRPr="003522DC">
              <w:rPr>
                <w:rFonts w:cstheme="minorHAnsi"/>
              </w:rPr>
              <w:t>-0.79 (n=1)</w:t>
            </w:r>
          </w:p>
        </w:tc>
      </w:tr>
      <w:tr w:rsidR="007E0E6D" w:rsidRPr="003522DC" w14:paraId="11D20202" w14:textId="77777777" w:rsidTr="00531EBF">
        <w:trPr>
          <w:trHeight w:val="315"/>
        </w:trPr>
        <w:tc>
          <w:tcPr>
            <w:tcW w:w="3560" w:type="dxa"/>
          </w:tcPr>
          <w:p w14:paraId="2DFC72BC" w14:textId="77777777" w:rsidR="007E0E6D" w:rsidRDefault="007E0E6D" w:rsidP="00531EBF">
            <w:pPr>
              <w:autoSpaceDE w:val="0"/>
              <w:autoSpaceDN w:val="0"/>
              <w:adjustRightInd w:val="0"/>
              <w:spacing w:line="360" w:lineRule="auto"/>
              <w:rPr>
                <w:rFonts w:cstheme="minorHAnsi"/>
                <w:b/>
                <w:bCs/>
              </w:rPr>
            </w:pPr>
            <w:r w:rsidRPr="003522DC">
              <w:rPr>
                <w:rFonts w:cstheme="minorHAnsi"/>
                <w:b/>
                <w:bCs/>
              </w:rPr>
              <w:t>Growth parameters</w:t>
            </w:r>
            <w:r>
              <w:rPr>
                <w:rFonts w:cstheme="minorHAnsi"/>
                <w:b/>
                <w:bCs/>
              </w:rPr>
              <w:t xml:space="preserve"> at examination </w:t>
            </w:r>
            <w:r>
              <w:rPr>
                <w:rFonts w:cstheme="minorHAnsi"/>
                <w:bCs/>
              </w:rPr>
              <w:t>(median</w:t>
            </w:r>
            <w:r w:rsidRPr="00952140">
              <w:rPr>
                <w:rFonts w:cstheme="minorHAnsi"/>
                <w:bCs/>
              </w:rPr>
              <w:t xml:space="preserve">, </w:t>
            </w:r>
            <w:r>
              <w:rPr>
                <w:rFonts w:cstheme="minorHAnsi"/>
                <w:bCs/>
              </w:rPr>
              <w:t>IQR</w:t>
            </w:r>
            <w:r w:rsidRPr="00952140">
              <w:rPr>
                <w:rFonts w:cstheme="minorHAnsi"/>
                <w:bCs/>
              </w:rPr>
              <w:t>, n=33)</w:t>
            </w:r>
          </w:p>
        </w:tc>
        <w:tc>
          <w:tcPr>
            <w:tcW w:w="2900" w:type="dxa"/>
          </w:tcPr>
          <w:p w14:paraId="48CA6618" w14:textId="77777777" w:rsidR="007E0E6D" w:rsidRDefault="007E0E6D" w:rsidP="00531EBF">
            <w:pPr>
              <w:autoSpaceDE w:val="0"/>
              <w:autoSpaceDN w:val="0"/>
              <w:adjustRightInd w:val="0"/>
              <w:spacing w:line="360" w:lineRule="auto"/>
              <w:rPr>
                <w:rFonts w:cstheme="minorHAnsi"/>
                <w:b/>
                <w:bCs/>
              </w:rPr>
            </w:pPr>
          </w:p>
        </w:tc>
        <w:tc>
          <w:tcPr>
            <w:tcW w:w="2440" w:type="dxa"/>
          </w:tcPr>
          <w:p w14:paraId="17BB91B8" w14:textId="77777777" w:rsidR="007E0E6D" w:rsidRDefault="007E0E6D" w:rsidP="00531EBF">
            <w:pPr>
              <w:autoSpaceDE w:val="0"/>
              <w:autoSpaceDN w:val="0"/>
              <w:adjustRightInd w:val="0"/>
              <w:spacing w:line="360" w:lineRule="auto"/>
              <w:rPr>
                <w:rFonts w:cstheme="minorHAnsi"/>
              </w:rPr>
            </w:pPr>
          </w:p>
        </w:tc>
      </w:tr>
      <w:tr w:rsidR="007E0E6D" w:rsidRPr="003522DC" w14:paraId="7C06D6F7" w14:textId="77777777" w:rsidTr="00531EBF">
        <w:trPr>
          <w:trHeight w:val="315"/>
        </w:trPr>
        <w:tc>
          <w:tcPr>
            <w:tcW w:w="3560" w:type="dxa"/>
            <w:noWrap/>
          </w:tcPr>
          <w:p w14:paraId="40A3C91D" w14:textId="77777777" w:rsidR="007E0E6D" w:rsidRDefault="007E0E6D" w:rsidP="00531EBF">
            <w:pPr>
              <w:autoSpaceDE w:val="0"/>
              <w:autoSpaceDN w:val="0"/>
              <w:adjustRightInd w:val="0"/>
              <w:spacing w:line="360" w:lineRule="auto"/>
              <w:rPr>
                <w:rFonts w:cstheme="minorHAnsi"/>
              </w:rPr>
            </w:pPr>
            <w:r w:rsidRPr="003522DC">
              <w:rPr>
                <w:rFonts w:cstheme="minorHAnsi"/>
              </w:rPr>
              <w:t xml:space="preserve">Height, cm </w:t>
            </w:r>
          </w:p>
        </w:tc>
        <w:tc>
          <w:tcPr>
            <w:tcW w:w="2900" w:type="dxa"/>
            <w:noWrap/>
          </w:tcPr>
          <w:p w14:paraId="666734D3" w14:textId="77777777" w:rsidR="007E0E6D" w:rsidRDefault="007E0E6D" w:rsidP="00531EBF">
            <w:pPr>
              <w:autoSpaceDE w:val="0"/>
              <w:autoSpaceDN w:val="0"/>
              <w:adjustRightInd w:val="0"/>
              <w:spacing w:line="360" w:lineRule="auto"/>
              <w:rPr>
                <w:rFonts w:cstheme="minorHAnsi"/>
              </w:rPr>
            </w:pPr>
            <w:r w:rsidRPr="003522DC">
              <w:rPr>
                <w:rFonts w:cstheme="minorHAnsi"/>
              </w:rPr>
              <w:t>153.0 (143.5-160.9)</w:t>
            </w:r>
          </w:p>
        </w:tc>
        <w:tc>
          <w:tcPr>
            <w:tcW w:w="2440" w:type="dxa"/>
            <w:noWrap/>
          </w:tcPr>
          <w:p w14:paraId="206273F2" w14:textId="77777777" w:rsidR="007E0E6D" w:rsidRDefault="007E0E6D" w:rsidP="00531EBF">
            <w:pPr>
              <w:autoSpaceDE w:val="0"/>
              <w:autoSpaceDN w:val="0"/>
              <w:adjustRightInd w:val="0"/>
              <w:spacing w:line="360" w:lineRule="auto"/>
              <w:rPr>
                <w:rFonts w:cstheme="minorHAnsi"/>
              </w:rPr>
            </w:pPr>
            <w:r w:rsidRPr="003522DC">
              <w:rPr>
                <w:rFonts w:cstheme="minorHAnsi"/>
              </w:rPr>
              <w:t>156.8 (145.7-160.7)</w:t>
            </w:r>
          </w:p>
        </w:tc>
      </w:tr>
      <w:tr w:rsidR="007E0E6D" w:rsidRPr="003522DC" w14:paraId="5190BF4D" w14:textId="77777777" w:rsidTr="00531EBF">
        <w:trPr>
          <w:trHeight w:val="315"/>
        </w:trPr>
        <w:tc>
          <w:tcPr>
            <w:tcW w:w="3560" w:type="dxa"/>
            <w:noWrap/>
          </w:tcPr>
          <w:p w14:paraId="2D71A995" w14:textId="77777777" w:rsidR="007E0E6D" w:rsidRDefault="007E0E6D" w:rsidP="00531EBF">
            <w:pPr>
              <w:autoSpaceDE w:val="0"/>
              <w:autoSpaceDN w:val="0"/>
              <w:adjustRightInd w:val="0"/>
              <w:spacing w:line="360" w:lineRule="auto"/>
              <w:rPr>
                <w:rFonts w:cstheme="minorHAnsi"/>
              </w:rPr>
            </w:pPr>
            <w:r w:rsidRPr="003522DC">
              <w:rPr>
                <w:rFonts w:cstheme="minorHAnsi"/>
              </w:rPr>
              <w:t>Height SDS</w:t>
            </w:r>
          </w:p>
        </w:tc>
        <w:tc>
          <w:tcPr>
            <w:tcW w:w="2900" w:type="dxa"/>
            <w:noWrap/>
          </w:tcPr>
          <w:p w14:paraId="7C8389AC" w14:textId="77777777" w:rsidR="007E0E6D" w:rsidRDefault="007E0E6D" w:rsidP="00531EBF">
            <w:pPr>
              <w:autoSpaceDE w:val="0"/>
              <w:autoSpaceDN w:val="0"/>
              <w:adjustRightInd w:val="0"/>
              <w:spacing w:line="360" w:lineRule="auto"/>
              <w:rPr>
                <w:rFonts w:cstheme="minorHAnsi"/>
              </w:rPr>
            </w:pPr>
            <w:r w:rsidRPr="003522DC">
              <w:rPr>
                <w:rFonts w:cstheme="minorHAnsi"/>
              </w:rPr>
              <w:t>-3.13 (-3.87 to -1.02)</w:t>
            </w:r>
          </w:p>
        </w:tc>
        <w:tc>
          <w:tcPr>
            <w:tcW w:w="2440" w:type="dxa"/>
            <w:noWrap/>
          </w:tcPr>
          <w:p w14:paraId="5D4595CD" w14:textId="77777777" w:rsidR="007E0E6D" w:rsidRDefault="007E0E6D" w:rsidP="00531EBF">
            <w:pPr>
              <w:autoSpaceDE w:val="0"/>
              <w:autoSpaceDN w:val="0"/>
              <w:adjustRightInd w:val="0"/>
              <w:spacing w:line="360" w:lineRule="auto"/>
              <w:rPr>
                <w:rFonts w:cstheme="minorHAnsi"/>
              </w:rPr>
            </w:pPr>
            <w:r w:rsidRPr="003522DC">
              <w:rPr>
                <w:rFonts w:cstheme="minorHAnsi"/>
              </w:rPr>
              <w:t>-2.19 (-3.03 to -1.32)</w:t>
            </w:r>
          </w:p>
        </w:tc>
      </w:tr>
      <w:tr w:rsidR="007E0E6D" w:rsidRPr="003522DC" w14:paraId="26227E0D" w14:textId="77777777" w:rsidTr="00531EBF">
        <w:trPr>
          <w:trHeight w:val="315"/>
        </w:trPr>
        <w:tc>
          <w:tcPr>
            <w:tcW w:w="3560" w:type="dxa"/>
            <w:noWrap/>
          </w:tcPr>
          <w:p w14:paraId="3907C10B" w14:textId="77777777" w:rsidR="007E0E6D" w:rsidRDefault="007E0E6D" w:rsidP="00531EBF">
            <w:pPr>
              <w:autoSpaceDE w:val="0"/>
              <w:autoSpaceDN w:val="0"/>
              <w:adjustRightInd w:val="0"/>
              <w:spacing w:line="360" w:lineRule="auto"/>
              <w:rPr>
                <w:rFonts w:cstheme="minorHAnsi"/>
              </w:rPr>
            </w:pPr>
            <w:r w:rsidRPr="003522DC">
              <w:rPr>
                <w:rFonts w:cstheme="minorHAnsi"/>
              </w:rPr>
              <w:t>Weight, kg</w:t>
            </w:r>
          </w:p>
        </w:tc>
        <w:tc>
          <w:tcPr>
            <w:tcW w:w="2900" w:type="dxa"/>
            <w:noWrap/>
          </w:tcPr>
          <w:p w14:paraId="79859530" w14:textId="77777777" w:rsidR="007E0E6D" w:rsidRDefault="007E0E6D" w:rsidP="00531EBF">
            <w:pPr>
              <w:autoSpaceDE w:val="0"/>
              <w:autoSpaceDN w:val="0"/>
              <w:adjustRightInd w:val="0"/>
              <w:spacing w:line="360" w:lineRule="auto"/>
              <w:rPr>
                <w:rFonts w:cstheme="minorHAnsi"/>
              </w:rPr>
            </w:pPr>
            <w:r w:rsidRPr="003522DC">
              <w:rPr>
                <w:rFonts w:cstheme="minorHAnsi"/>
              </w:rPr>
              <w:t>45.65 (38.90-62.30)</w:t>
            </w:r>
          </w:p>
        </w:tc>
        <w:tc>
          <w:tcPr>
            <w:tcW w:w="2440" w:type="dxa"/>
            <w:noWrap/>
          </w:tcPr>
          <w:p w14:paraId="14B95C9C" w14:textId="77777777" w:rsidR="007E0E6D" w:rsidRDefault="007E0E6D" w:rsidP="00531EBF">
            <w:pPr>
              <w:autoSpaceDE w:val="0"/>
              <w:autoSpaceDN w:val="0"/>
              <w:adjustRightInd w:val="0"/>
              <w:spacing w:line="360" w:lineRule="auto"/>
              <w:rPr>
                <w:rFonts w:cstheme="minorHAnsi"/>
              </w:rPr>
            </w:pPr>
            <w:r w:rsidRPr="003522DC">
              <w:rPr>
                <w:rFonts w:cstheme="minorHAnsi"/>
              </w:rPr>
              <w:t>52.05 (45.38-56.81)</w:t>
            </w:r>
          </w:p>
        </w:tc>
      </w:tr>
      <w:tr w:rsidR="007E0E6D" w:rsidRPr="003522DC" w14:paraId="1236A964" w14:textId="77777777" w:rsidTr="00531EBF">
        <w:trPr>
          <w:trHeight w:val="315"/>
        </w:trPr>
        <w:tc>
          <w:tcPr>
            <w:tcW w:w="3560" w:type="dxa"/>
            <w:noWrap/>
          </w:tcPr>
          <w:p w14:paraId="144A871A" w14:textId="77777777" w:rsidR="007E0E6D" w:rsidRDefault="007E0E6D" w:rsidP="00531EBF">
            <w:pPr>
              <w:autoSpaceDE w:val="0"/>
              <w:autoSpaceDN w:val="0"/>
              <w:adjustRightInd w:val="0"/>
              <w:spacing w:line="360" w:lineRule="auto"/>
              <w:rPr>
                <w:rFonts w:cstheme="minorHAnsi"/>
              </w:rPr>
            </w:pPr>
            <w:r w:rsidRPr="003522DC">
              <w:rPr>
                <w:rFonts w:cstheme="minorHAnsi"/>
              </w:rPr>
              <w:t>Weight SDS</w:t>
            </w:r>
          </w:p>
        </w:tc>
        <w:tc>
          <w:tcPr>
            <w:tcW w:w="2900" w:type="dxa"/>
            <w:noWrap/>
          </w:tcPr>
          <w:p w14:paraId="0A2DA3C6" w14:textId="77777777" w:rsidR="007E0E6D" w:rsidRDefault="007E0E6D" w:rsidP="00531EBF">
            <w:pPr>
              <w:autoSpaceDE w:val="0"/>
              <w:autoSpaceDN w:val="0"/>
              <w:adjustRightInd w:val="0"/>
              <w:spacing w:line="360" w:lineRule="auto"/>
              <w:rPr>
                <w:rFonts w:cstheme="minorHAnsi"/>
              </w:rPr>
            </w:pPr>
            <w:r w:rsidRPr="003522DC">
              <w:rPr>
                <w:rFonts w:cstheme="minorHAnsi"/>
              </w:rPr>
              <w:t>-1.83 (-4.66 to -0.11)</w:t>
            </w:r>
          </w:p>
        </w:tc>
        <w:tc>
          <w:tcPr>
            <w:tcW w:w="2440" w:type="dxa"/>
            <w:noWrap/>
          </w:tcPr>
          <w:p w14:paraId="13F0A6AB" w14:textId="77777777" w:rsidR="007E0E6D" w:rsidRDefault="007E0E6D" w:rsidP="00531EBF">
            <w:pPr>
              <w:autoSpaceDE w:val="0"/>
              <w:autoSpaceDN w:val="0"/>
              <w:adjustRightInd w:val="0"/>
              <w:spacing w:line="360" w:lineRule="auto"/>
              <w:rPr>
                <w:rFonts w:cstheme="minorHAnsi"/>
              </w:rPr>
            </w:pPr>
            <w:r w:rsidRPr="003522DC">
              <w:rPr>
                <w:rFonts w:cstheme="minorHAnsi"/>
              </w:rPr>
              <w:t>-1.47 (-2.17 to -0.14)</w:t>
            </w:r>
          </w:p>
        </w:tc>
      </w:tr>
      <w:tr w:rsidR="007E0E6D" w:rsidRPr="003522DC" w14:paraId="02EA49FD" w14:textId="77777777" w:rsidTr="00531EBF">
        <w:trPr>
          <w:trHeight w:val="319"/>
        </w:trPr>
        <w:tc>
          <w:tcPr>
            <w:tcW w:w="3560" w:type="dxa"/>
            <w:noWrap/>
          </w:tcPr>
          <w:p w14:paraId="560D2ECE" w14:textId="77777777" w:rsidR="007E0E6D" w:rsidRDefault="007E0E6D" w:rsidP="00531EBF">
            <w:pPr>
              <w:autoSpaceDE w:val="0"/>
              <w:autoSpaceDN w:val="0"/>
              <w:adjustRightInd w:val="0"/>
              <w:spacing w:line="360" w:lineRule="auto"/>
              <w:rPr>
                <w:rFonts w:cstheme="minorHAnsi"/>
              </w:rPr>
            </w:pPr>
            <w:r w:rsidRPr="003522DC">
              <w:rPr>
                <w:rFonts w:cstheme="minorHAnsi"/>
              </w:rPr>
              <w:t>BMI, kg/m</w:t>
            </w:r>
            <w:r w:rsidRPr="003522DC">
              <w:rPr>
                <w:rFonts w:cstheme="minorHAnsi"/>
                <w:vertAlign w:val="superscript"/>
              </w:rPr>
              <w:t>2</w:t>
            </w:r>
          </w:p>
        </w:tc>
        <w:tc>
          <w:tcPr>
            <w:tcW w:w="2900" w:type="dxa"/>
            <w:noWrap/>
          </w:tcPr>
          <w:p w14:paraId="52C967A2" w14:textId="77777777" w:rsidR="007E0E6D" w:rsidRDefault="007E0E6D" w:rsidP="00531EBF">
            <w:pPr>
              <w:autoSpaceDE w:val="0"/>
              <w:autoSpaceDN w:val="0"/>
              <w:adjustRightInd w:val="0"/>
              <w:spacing w:line="360" w:lineRule="auto"/>
              <w:rPr>
                <w:rFonts w:cstheme="minorHAnsi"/>
              </w:rPr>
            </w:pPr>
            <w:r w:rsidRPr="003522DC">
              <w:rPr>
                <w:rFonts w:cstheme="minorHAnsi"/>
              </w:rPr>
              <w:t>19.7 (17.5-28.0)</w:t>
            </w:r>
          </w:p>
        </w:tc>
        <w:tc>
          <w:tcPr>
            <w:tcW w:w="2440" w:type="dxa"/>
            <w:noWrap/>
          </w:tcPr>
          <w:p w14:paraId="139980AE" w14:textId="77777777" w:rsidR="007E0E6D" w:rsidRDefault="007E0E6D" w:rsidP="00531EBF">
            <w:pPr>
              <w:autoSpaceDE w:val="0"/>
              <w:autoSpaceDN w:val="0"/>
              <w:adjustRightInd w:val="0"/>
              <w:spacing w:line="360" w:lineRule="auto"/>
              <w:rPr>
                <w:rFonts w:cstheme="minorHAnsi"/>
              </w:rPr>
            </w:pPr>
            <w:r w:rsidRPr="003522DC">
              <w:rPr>
                <w:rFonts w:cstheme="minorHAnsi"/>
              </w:rPr>
              <w:t>22.9 (17.6-25.0)</w:t>
            </w:r>
          </w:p>
        </w:tc>
      </w:tr>
      <w:tr w:rsidR="007E0E6D" w:rsidRPr="003522DC" w14:paraId="192050EC" w14:textId="77777777" w:rsidTr="00531EBF">
        <w:trPr>
          <w:trHeight w:val="315"/>
        </w:trPr>
        <w:tc>
          <w:tcPr>
            <w:tcW w:w="3560" w:type="dxa"/>
            <w:noWrap/>
          </w:tcPr>
          <w:p w14:paraId="712519EB" w14:textId="77777777" w:rsidR="007E0E6D" w:rsidRDefault="007E0E6D" w:rsidP="00531EBF">
            <w:pPr>
              <w:autoSpaceDE w:val="0"/>
              <w:autoSpaceDN w:val="0"/>
              <w:adjustRightInd w:val="0"/>
              <w:spacing w:line="360" w:lineRule="auto"/>
              <w:rPr>
                <w:rFonts w:cstheme="minorHAnsi"/>
              </w:rPr>
            </w:pPr>
            <w:r w:rsidRPr="003522DC">
              <w:rPr>
                <w:rFonts w:cstheme="minorHAnsi"/>
              </w:rPr>
              <w:t>BMI SDS</w:t>
            </w:r>
          </w:p>
        </w:tc>
        <w:tc>
          <w:tcPr>
            <w:tcW w:w="2900" w:type="dxa"/>
            <w:noWrap/>
          </w:tcPr>
          <w:p w14:paraId="37603041" w14:textId="77777777" w:rsidR="007E0E6D" w:rsidRDefault="007E0E6D" w:rsidP="00531EBF">
            <w:pPr>
              <w:autoSpaceDE w:val="0"/>
              <w:autoSpaceDN w:val="0"/>
              <w:adjustRightInd w:val="0"/>
              <w:spacing w:line="360" w:lineRule="auto"/>
              <w:rPr>
                <w:rFonts w:cstheme="minorHAnsi"/>
              </w:rPr>
            </w:pPr>
            <w:r w:rsidRPr="003522DC">
              <w:rPr>
                <w:rFonts w:cstheme="minorHAnsi"/>
              </w:rPr>
              <w:t>-0.80 (-1.99 to 1.49)</w:t>
            </w:r>
          </w:p>
        </w:tc>
        <w:tc>
          <w:tcPr>
            <w:tcW w:w="2440" w:type="dxa"/>
            <w:noWrap/>
          </w:tcPr>
          <w:p w14:paraId="0027FCF7" w14:textId="77777777" w:rsidR="007E0E6D" w:rsidRDefault="007E0E6D" w:rsidP="00531EBF">
            <w:pPr>
              <w:autoSpaceDE w:val="0"/>
              <w:autoSpaceDN w:val="0"/>
              <w:adjustRightInd w:val="0"/>
              <w:spacing w:line="360" w:lineRule="auto"/>
              <w:rPr>
                <w:rFonts w:cstheme="minorHAnsi"/>
              </w:rPr>
            </w:pPr>
            <w:r w:rsidRPr="003522DC">
              <w:rPr>
                <w:rFonts w:cstheme="minorHAnsi"/>
              </w:rPr>
              <w:t>0.07 (-1.34 to 1.08)</w:t>
            </w:r>
          </w:p>
        </w:tc>
      </w:tr>
      <w:tr w:rsidR="007E0E6D" w:rsidRPr="003522DC" w14:paraId="6E0D450B" w14:textId="77777777" w:rsidTr="00531EBF">
        <w:trPr>
          <w:trHeight w:val="315"/>
        </w:trPr>
        <w:tc>
          <w:tcPr>
            <w:tcW w:w="3560" w:type="dxa"/>
            <w:noWrap/>
          </w:tcPr>
          <w:p w14:paraId="07CD2244" w14:textId="77777777" w:rsidR="007E0E6D" w:rsidRDefault="007E0E6D" w:rsidP="00531EBF">
            <w:pPr>
              <w:autoSpaceDE w:val="0"/>
              <w:autoSpaceDN w:val="0"/>
              <w:adjustRightInd w:val="0"/>
              <w:spacing w:line="360" w:lineRule="auto"/>
              <w:rPr>
                <w:rFonts w:cstheme="minorHAnsi"/>
                <w:b/>
                <w:bCs/>
              </w:rPr>
            </w:pPr>
            <w:r w:rsidRPr="003522DC">
              <w:rPr>
                <w:rFonts w:cstheme="minorHAnsi"/>
                <w:b/>
                <w:bCs/>
              </w:rPr>
              <w:t>Growth hormone treatment</w:t>
            </w:r>
          </w:p>
        </w:tc>
        <w:tc>
          <w:tcPr>
            <w:tcW w:w="2900" w:type="dxa"/>
            <w:noWrap/>
          </w:tcPr>
          <w:p w14:paraId="63A832D8" w14:textId="77777777" w:rsidR="007E0E6D" w:rsidRDefault="007E0E6D" w:rsidP="00531EBF">
            <w:pPr>
              <w:autoSpaceDE w:val="0"/>
              <w:autoSpaceDN w:val="0"/>
              <w:adjustRightInd w:val="0"/>
              <w:spacing w:line="360" w:lineRule="auto"/>
              <w:rPr>
                <w:rFonts w:cstheme="minorHAnsi"/>
                <w:b/>
                <w:bCs/>
              </w:rPr>
            </w:pPr>
          </w:p>
        </w:tc>
        <w:tc>
          <w:tcPr>
            <w:tcW w:w="2440" w:type="dxa"/>
            <w:noWrap/>
          </w:tcPr>
          <w:p w14:paraId="46B377F1" w14:textId="77777777" w:rsidR="007E0E6D" w:rsidRDefault="007E0E6D" w:rsidP="00531EBF">
            <w:pPr>
              <w:autoSpaceDE w:val="0"/>
              <w:autoSpaceDN w:val="0"/>
              <w:adjustRightInd w:val="0"/>
              <w:spacing w:line="360" w:lineRule="auto"/>
              <w:rPr>
                <w:rFonts w:cstheme="minorHAnsi"/>
              </w:rPr>
            </w:pPr>
          </w:p>
        </w:tc>
      </w:tr>
      <w:tr w:rsidR="007E0E6D" w:rsidRPr="003522DC" w14:paraId="0798931D" w14:textId="77777777" w:rsidTr="00531EBF">
        <w:trPr>
          <w:trHeight w:val="315"/>
        </w:trPr>
        <w:tc>
          <w:tcPr>
            <w:tcW w:w="3560" w:type="dxa"/>
            <w:noWrap/>
          </w:tcPr>
          <w:p w14:paraId="0E1EB7CD" w14:textId="77777777" w:rsidR="007E0E6D" w:rsidRDefault="007E0E6D" w:rsidP="00531EBF">
            <w:pPr>
              <w:autoSpaceDE w:val="0"/>
              <w:autoSpaceDN w:val="0"/>
              <w:adjustRightInd w:val="0"/>
              <w:spacing w:line="360" w:lineRule="auto"/>
              <w:rPr>
                <w:rFonts w:cstheme="minorHAnsi"/>
              </w:rPr>
            </w:pPr>
            <w:r w:rsidRPr="003522DC">
              <w:rPr>
                <w:rFonts w:cstheme="minorHAnsi"/>
              </w:rPr>
              <w:t>Yes</w:t>
            </w:r>
            <w:r>
              <w:rPr>
                <w:rFonts w:cstheme="minorHAnsi"/>
              </w:rPr>
              <w:t xml:space="preserve"> (n, %)</w:t>
            </w:r>
          </w:p>
        </w:tc>
        <w:tc>
          <w:tcPr>
            <w:tcW w:w="2900" w:type="dxa"/>
            <w:noWrap/>
          </w:tcPr>
          <w:p w14:paraId="4B7DF03D" w14:textId="77777777" w:rsidR="007E0E6D" w:rsidRDefault="007E0E6D" w:rsidP="00531EBF">
            <w:pPr>
              <w:autoSpaceDE w:val="0"/>
              <w:autoSpaceDN w:val="0"/>
              <w:adjustRightInd w:val="0"/>
              <w:spacing w:line="360" w:lineRule="auto"/>
              <w:rPr>
                <w:rFonts w:cstheme="minorHAnsi"/>
              </w:rPr>
            </w:pPr>
            <w:r w:rsidRPr="003522DC">
              <w:rPr>
                <w:rFonts w:cstheme="minorHAnsi"/>
              </w:rPr>
              <w:t>17 (63.0)</w:t>
            </w:r>
          </w:p>
        </w:tc>
        <w:tc>
          <w:tcPr>
            <w:tcW w:w="2440" w:type="dxa"/>
            <w:noWrap/>
          </w:tcPr>
          <w:p w14:paraId="397639EA" w14:textId="77777777" w:rsidR="007E0E6D" w:rsidRDefault="007E0E6D" w:rsidP="00531EBF">
            <w:pPr>
              <w:autoSpaceDE w:val="0"/>
              <w:autoSpaceDN w:val="0"/>
              <w:adjustRightInd w:val="0"/>
              <w:spacing w:line="360" w:lineRule="auto"/>
              <w:rPr>
                <w:rFonts w:cstheme="minorHAnsi"/>
              </w:rPr>
            </w:pPr>
            <w:r w:rsidRPr="003522DC">
              <w:rPr>
                <w:rFonts w:cstheme="minorHAnsi"/>
              </w:rPr>
              <w:t>6 (100)</w:t>
            </w:r>
          </w:p>
        </w:tc>
      </w:tr>
      <w:tr w:rsidR="007E0E6D" w:rsidRPr="003522DC" w14:paraId="15103022" w14:textId="77777777" w:rsidTr="00531EBF">
        <w:trPr>
          <w:trHeight w:val="315"/>
        </w:trPr>
        <w:tc>
          <w:tcPr>
            <w:tcW w:w="3560" w:type="dxa"/>
            <w:noWrap/>
          </w:tcPr>
          <w:p w14:paraId="03506F7E" w14:textId="77777777" w:rsidR="007E0E6D" w:rsidRDefault="007E0E6D" w:rsidP="00531EBF">
            <w:pPr>
              <w:autoSpaceDE w:val="0"/>
              <w:autoSpaceDN w:val="0"/>
              <w:adjustRightInd w:val="0"/>
              <w:spacing w:line="360" w:lineRule="auto"/>
              <w:rPr>
                <w:rFonts w:cstheme="minorHAnsi"/>
              </w:rPr>
            </w:pPr>
            <w:r w:rsidRPr="003522DC">
              <w:rPr>
                <w:rFonts w:cstheme="minorHAnsi"/>
              </w:rPr>
              <w:t>No</w:t>
            </w:r>
            <w:r>
              <w:rPr>
                <w:rFonts w:cstheme="minorHAnsi"/>
              </w:rPr>
              <w:t xml:space="preserve"> (n, %)</w:t>
            </w:r>
          </w:p>
        </w:tc>
        <w:tc>
          <w:tcPr>
            <w:tcW w:w="2900" w:type="dxa"/>
            <w:noWrap/>
          </w:tcPr>
          <w:p w14:paraId="3FD1F1D7" w14:textId="77777777" w:rsidR="007E0E6D" w:rsidRPr="0012475E" w:rsidRDefault="007E0E6D" w:rsidP="007E0E6D">
            <w:pPr>
              <w:pStyle w:val="ListParagraph"/>
              <w:numPr>
                <w:ilvl w:val="0"/>
                <w:numId w:val="31"/>
              </w:numPr>
              <w:autoSpaceDE w:val="0"/>
              <w:autoSpaceDN w:val="0"/>
              <w:adjustRightInd w:val="0"/>
              <w:spacing w:after="0" w:line="360" w:lineRule="auto"/>
              <w:rPr>
                <w:rFonts w:cstheme="minorHAnsi"/>
              </w:rPr>
            </w:pPr>
            <w:r w:rsidRPr="0012475E">
              <w:rPr>
                <w:rFonts w:cstheme="minorHAnsi"/>
              </w:rPr>
              <w:t>37.0)</w:t>
            </w:r>
          </w:p>
        </w:tc>
        <w:tc>
          <w:tcPr>
            <w:tcW w:w="2440" w:type="dxa"/>
            <w:noWrap/>
          </w:tcPr>
          <w:p w14:paraId="7437A05E" w14:textId="77777777" w:rsidR="007E0E6D" w:rsidRDefault="007E0E6D" w:rsidP="00531EBF">
            <w:pPr>
              <w:autoSpaceDE w:val="0"/>
              <w:autoSpaceDN w:val="0"/>
              <w:adjustRightInd w:val="0"/>
              <w:spacing w:line="360" w:lineRule="auto"/>
              <w:rPr>
                <w:rFonts w:cstheme="minorHAnsi"/>
              </w:rPr>
            </w:pPr>
            <w:r w:rsidRPr="003522DC">
              <w:rPr>
                <w:rFonts w:cstheme="minorHAnsi"/>
              </w:rPr>
              <w:t>0</w:t>
            </w:r>
          </w:p>
        </w:tc>
      </w:tr>
    </w:tbl>
    <w:p w14:paraId="2913571A" w14:textId="77777777" w:rsidR="007E0E6D" w:rsidRDefault="007E0E6D" w:rsidP="00531EBF">
      <w:pPr>
        <w:spacing w:after="0"/>
      </w:pPr>
    </w:p>
    <w:p w14:paraId="6601569C" w14:textId="77777777" w:rsidR="007E0E6D" w:rsidRDefault="007E0E6D" w:rsidP="00531EBF"/>
    <w:p w14:paraId="65F16BA9" w14:textId="77777777" w:rsidR="000D0C07" w:rsidRDefault="000D0C07" w:rsidP="000D0C07">
      <w:pPr>
        <w:rPr>
          <w:rFonts w:cstheme="minorHAnsi"/>
        </w:rPr>
      </w:pPr>
      <w:r>
        <w:t>B) Growth characteristics shown based on age; adolescents, aged &lt;18 years and adults ≥18 years.  P</w:t>
      </w:r>
      <w:r>
        <w:noBreakHyphen/>
        <w:t xml:space="preserve">values calculated for comparison between individuals aged &lt;18 years and individuals aged ≥18 years.  </w:t>
      </w:r>
    </w:p>
    <w:tbl>
      <w:tblPr>
        <w:tblStyle w:val="TableGrid"/>
        <w:tblW w:w="0" w:type="auto"/>
        <w:tblLook w:val="04A0" w:firstRow="1" w:lastRow="0" w:firstColumn="1" w:lastColumn="0" w:noHBand="0" w:noVBand="1"/>
      </w:tblPr>
      <w:tblGrid>
        <w:gridCol w:w="1801"/>
        <w:gridCol w:w="2069"/>
        <w:gridCol w:w="2106"/>
        <w:gridCol w:w="2093"/>
        <w:gridCol w:w="941"/>
      </w:tblGrid>
      <w:tr w:rsidR="000D0C07" w:rsidRPr="001E7343" w14:paraId="79F8F472" w14:textId="77777777" w:rsidTr="00DC4B6F">
        <w:tc>
          <w:tcPr>
            <w:tcW w:w="1801" w:type="dxa"/>
          </w:tcPr>
          <w:p w14:paraId="79BC2DF3" w14:textId="77777777" w:rsidR="000D0C07" w:rsidRPr="001E7343" w:rsidRDefault="000D0C07" w:rsidP="00DC4B6F">
            <w:pPr>
              <w:rPr>
                <w:rFonts w:cstheme="minorHAnsi"/>
              </w:rPr>
            </w:pPr>
          </w:p>
        </w:tc>
        <w:tc>
          <w:tcPr>
            <w:tcW w:w="2069" w:type="dxa"/>
          </w:tcPr>
          <w:p w14:paraId="433BB146" w14:textId="77777777" w:rsidR="000D0C07" w:rsidRPr="00A6533A" w:rsidRDefault="000D0C07" w:rsidP="00DC4B6F">
            <w:pPr>
              <w:rPr>
                <w:rFonts w:cstheme="minorHAnsi"/>
                <w:b/>
              </w:rPr>
            </w:pPr>
            <w:r w:rsidRPr="00A6533A">
              <w:rPr>
                <w:rFonts w:cstheme="minorHAnsi"/>
                <w:b/>
              </w:rPr>
              <w:t>STAARS UK cohort</w:t>
            </w:r>
          </w:p>
        </w:tc>
        <w:tc>
          <w:tcPr>
            <w:tcW w:w="2106" w:type="dxa"/>
          </w:tcPr>
          <w:p w14:paraId="640C96C8" w14:textId="77777777" w:rsidR="000D0C07" w:rsidRPr="00A6533A" w:rsidRDefault="000D0C07" w:rsidP="00DC4B6F">
            <w:pPr>
              <w:rPr>
                <w:rFonts w:cstheme="minorHAnsi"/>
                <w:b/>
              </w:rPr>
            </w:pPr>
            <w:r w:rsidRPr="00A6533A">
              <w:rPr>
                <w:rFonts w:cstheme="minorHAnsi"/>
                <w:b/>
              </w:rPr>
              <w:t>Individuals &lt;18 years</w:t>
            </w:r>
          </w:p>
        </w:tc>
        <w:tc>
          <w:tcPr>
            <w:tcW w:w="2093" w:type="dxa"/>
          </w:tcPr>
          <w:p w14:paraId="52015404" w14:textId="77777777" w:rsidR="000D0C07" w:rsidRPr="00A6533A" w:rsidRDefault="000D0C07" w:rsidP="00DC4B6F">
            <w:pPr>
              <w:rPr>
                <w:rFonts w:cstheme="minorHAnsi"/>
                <w:b/>
              </w:rPr>
            </w:pPr>
            <w:r w:rsidRPr="00A6533A">
              <w:rPr>
                <w:rFonts w:cstheme="minorHAnsi"/>
                <w:b/>
              </w:rPr>
              <w:t>Individuals ≥ 18 years</w:t>
            </w:r>
          </w:p>
        </w:tc>
        <w:tc>
          <w:tcPr>
            <w:tcW w:w="941" w:type="dxa"/>
          </w:tcPr>
          <w:p w14:paraId="180103BC" w14:textId="77777777" w:rsidR="000D0C07" w:rsidRPr="00A6533A" w:rsidRDefault="000D0C07" w:rsidP="00DC4B6F">
            <w:pPr>
              <w:rPr>
                <w:rFonts w:cstheme="minorHAnsi"/>
                <w:b/>
              </w:rPr>
            </w:pPr>
            <w:r w:rsidRPr="00A6533A">
              <w:rPr>
                <w:rFonts w:cstheme="minorHAnsi"/>
                <w:b/>
              </w:rPr>
              <w:t>P value</w:t>
            </w:r>
          </w:p>
        </w:tc>
      </w:tr>
      <w:tr w:rsidR="000D0C07" w:rsidRPr="001E7343" w14:paraId="79A27408" w14:textId="77777777" w:rsidTr="00DC4B6F">
        <w:tc>
          <w:tcPr>
            <w:tcW w:w="1801" w:type="dxa"/>
          </w:tcPr>
          <w:p w14:paraId="5EC6BF9C" w14:textId="77777777" w:rsidR="000D0C07" w:rsidRPr="001E7343" w:rsidRDefault="000D0C07" w:rsidP="00DC4B6F">
            <w:pPr>
              <w:rPr>
                <w:rFonts w:cstheme="minorHAnsi"/>
              </w:rPr>
            </w:pPr>
          </w:p>
        </w:tc>
        <w:tc>
          <w:tcPr>
            <w:tcW w:w="2069" w:type="dxa"/>
          </w:tcPr>
          <w:p w14:paraId="09B1A9CE" w14:textId="77777777" w:rsidR="000D0C07" w:rsidRPr="001E7343" w:rsidRDefault="000D0C07" w:rsidP="00DC4B6F">
            <w:pPr>
              <w:rPr>
                <w:rFonts w:cstheme="minorHAnsi"/>
              </w:rPr>
            </w:pPr>
          </w:p>
        </w:tc>
        <w:tc>
          <w:tcPr>
            <w:tcW w:w="2106" w:type="dxa"/>
          </w:tcPr>
          <w:p w14:paraId="7FCBE70C" w14:textId="77777777" w:rsidR="000D0C07" w:rsidRPr="001E7343" w:rsidRDefault="000D0C07" w:rsidP="00DC4B6F">
            <w:pPr>
              <w:rPr>
                <w:rFonts w:cstheme="minorHAnsi"/>
              </w:rPr>
            </w:pPr>
          </w:p>
        </w:tc>
        <w:tc>
          <w:tcPr>
            <w:tcW w:w="2093" w:type="dxa"/>
          </w:tcPr>
          <w:p w14:paraId="4C6BC5CC" w14:textId="77777777" w:rsidR="000D0C07" w:rsidRPr="001E7343" w:rsidRDefault="000D0C07" w:rsidP="00DC4B6F">
            <w:pPr>
              <w:rPr>
                <w:rFonts w:cstheme="minorHAnsi"/>
              </w:rPr>
            </w:pPr>
          </w:p>
        </w:tc>
        <w:tc>
          <w:tcPr>
            <w:tcW w:w="941" w:type="dxa"/>
          </w:tcPr>
          <w:p w14:paraId="5D90087C" w14:textId="77777777" w:rsidR="000D0C07" w:rsidRPr="001E7343" w:rsidRDefault="000D0C07" w:rsidP="00DC4B6F">
            <w:pPr>
              <w:rPr>
                <w:rFonts w:cstheme="minorHAnsi"/>
              </w:rPr>
            </w:pPr>
          </w:p>
        </w:tc>
      </w:tr>
      <w:tr w:rsidR="000D0C07" w:rsidRPr="001E7343" w14:paraId="085DC7DF" w14:textId="77777777" w:rsidTr="00DC4B6F">
        <w:tc>
          <w:tcPr>
            <w:tcW w:w="1801" w:type="dxa"/>
          </w:tcPr>
          <w:p w14:paraId="684A41D4" w14:textId="77777777" w:rsidR="000D0C07" w:rsidRPr="001E7343" w:rsidRDefault="000D0C07" w:rsidP="00DC4B6F">
            <w:pPr>
              <w:rPr>
                <w:rFonts w:cstheme="minorHAnsi"/>
              </w:rPr>
            </w:pPr>
            <w:r w:rsidRPr="001E7343">
              <w:rPr>
                <w:rFonts w:cstheme="minorHAnsi"/>
              </w:rPr>
              <w:t>n</w:t>
            </w:r>
          </w:p>
        </w:tc>
        <w:tc>
          <w:tcPr>
            <w:tcW w:w="2069" w:type="dxa"/>
          </w:tcPr>
          <w:p w14:paraId="03CC43A7" w14:textId="77777777" w:rsidR="000D0C07" w:rsidRPr="001E7343" w:rsidRDefault="000D0C07" w:rsidP="00DC4B6F">
            <w:pPr>
              <w:jc w:val="center"/>
              <w:rPr>
                <w:rFonts w:cstheme="minorHAnsi"/>
              </w:rPr>
            </w:pPr>
            <w:r w:rsidRPr="001E7343">
              <w:rPr>
                <w:rFonts w:cstheme="minorHAnsi"/>
              </w:rPr>
              <w:t>33</w:t>
            </w:r>
          </w:p>
        </w:tc>
        <w:tc>
          <w:tcPr>
            <w:tcW w:w="2106" w:type="dxa"/>
          </w:tcPr>
          <w:p w14:paraId="4E4C04C8" w14:textId="77777777" w:rsidR="000D0C07" w:rsidRPr="001E7343" w:rsidRDefault="000D0C07" w:rsidP="00DC4B6F">
            <w:pPr>
              <w:jc w:val="center"/>
              <w:rPr>
                <w:rFonts w:cstheme="minorHAnsi"/>
              </w:rPr>
            </w:pPr>
            <w:r w:rsidRPr="001E7343">
              <w:rPr>
                <w:rFonts w:cstheme="minorHAnsi"/>
              </w:rPr>
              <w:t>8</w:t>
            </w:r>
          </w:p>
        </w:tc>
        <w:tc>
          <w:tcPr>
            <w:tcW w:w="2093" w:type="dxa"/>
          </w:tcPr>
          <w:p w14:paraId="55603F73" w14:textId="77777777" w:rsidR="000D0C07" w:rsidRPr="001E7343" w:rsidRDefault="000D0C07" w:rsidP="00DC4B6F">
            <w:pPr>
              <w:jc w:val="center"/>
              <w:rPr>
                <w:rFonts w:cstheme="minorHAnsi"/>
              </w:rPr>
            </w:pPr>
            <w:r w:rsidRPr="001E7343">
              <w:rPr>
                <w:rFonts w:cstheme="minorHAnsi"/>
              </w:rPr>
              <w:t>25</w:t>
            </w:r>
          </w:p>
        </w:tc>
        <w:tc>
          <w:tcPr>
            <w:tcW w:w="941" w:type="dxa"/>
          </w:tcPr>
          <w:p w14:paraId="686F13F7" w14:textId="77777777" w:rsidR="000D0C07" w:rsidRPr="001E7343" w:rsidRDefault="000D0C07" w:rsidP="00DC4B6F">
            <w:pPr>
              <w:jc w:val="center"/>
              <w:rPr>
                <w:rFonts w:cstheme="minorHAnsi"/>
              </w:rPr>
            </w:pPr>
          </w:p>
        </w:tc>
      </w:tr>
      <w:tr w:rsidR="000D0C07" w:rsidRPr="001E7343" w14:paraId="4C1CE14D" w14:textId="77777777" w:rsidTr="00DC4B6F">
        <w:tc>
          <w:tcPr>
            <w:tcW w:w="1801" w:type="dxa"/>
          </w:tcPr>
          <w:p w14:paraId="10C96106" w14:textId="77777777" w:rsidR="000D0C07" w:rsidRPr="00A6533A" w:rsidRDefault="000D0C07" w:rsidP="00DC4B6F">
            <w:pPr>
              <w:rPr>
                <w:rFonts w:cstheme="minorHAnsi"/>
                <w:b/>
              </w:rPr>
            </w:pPr>
            <w:r w:rsidRPr="00A6533A">
              <w:rPr>
                <w:rFonts w:cstheme="minorHAnsi"/>
                <w:b/>
              </w:rPr>
              <w:t>Gender</w:t>
            </w:r>
          </w:p>
        </w:tc>
        <w:tc>
          <w:tcPr>
            <w:tcW w:w="2069" w:type="dxa"/>
          </w:tcPr>
          <w:p w14:paraId="189BE0B3" w14:textId="77777777" w:rsidR="000D0C07" w:rsidRPr="001E7343" w:rsidRDefault="000D0C07" w:rsidP="00DC4B6F">
            <w:pPr>
              <w:jc w:val="center"/>
              <w:rPr>
                <w:rFonts w:cstheme="minorHAnsi"/>
              </w:rPr>
            </w:pPr>
          </w:p>
        </w:tc>
        <w:tc>
          <w:tcPr>
            <w:tcW w:w="2106" w:type="dxa"/>
          </w:tcPr>
          <w:p w14:paraId="2F07EB60" w14:textId="77777777" w:rsidR="000D0C07" w:rsidRPr="001E7343" w:rsidRDefault="000D0C07" w:rsidP="00DC4B6F">
            <w:pPr>
              <w:jc w:val="center"/>
              <w:rPr>
                <w:rFonts w:cstheme="minorHAnsi"/>
              </w:rPr>
            </w:pPr>
          </w:p>
        </w:tc>
        <w:tc>
          <w:tcPr>
            <w:tcW w:w="2093" w:type="dxa"/>
          </w:tcPr>
          <w:p w14:paraId="5DDD8C21" w14:textId="77777777" w:rsidR="000D0C07" w:rsidRPr="001E7343" w:rsidRDefault="000D0C07" w:rsidP="00DC4B6F">
            <w:pPr>
              <w:jc w:val="center"/>
              <w:rPr>
                <w:rFonts w:cstheme="minorHAnsi"/>
              </w:rPr>
            </w:pPr>
          </w:p>
        </w:tc>
        <w:tc>
          <w:tcPr>
            <w:tcW w:w="941" w:type="dxa"/>
          </w:tcPr>
          <w:p w14:paraId="1755A80E" w14:textId="77777777" w:rsidR="000D0C07" w:rsidRPr="001E7343" w:rsidRDefault="000D0C07" w:rsidP="00DC4B6F">
            <w:pPr>
              <w:jc w:val="center"/>
              <w:rPr>
                <w:rFonts w:cstheme="minorHAnsi"/>
              </w:rPr>
            </w:pPr>
          </w:p>
        </w:tc>
      </w:tr>
      <w:tr w:rsidR="000D0C07" w:rsidRPr="001E7343" w14:paraId="71F3446F" w14:textId="77777777" w:rsidTr="00DC4B6F">
        <w:tc>
          <w:tcPr>
            <w:tcW w:w="1801" w:type="dxa"/>
          </w:tcPr>
          <w:p w14:paraId="0AFC1401" w14:textId="77777777" w:rsidR="000D0C07" w:rsidRPr="001E7343" w:rsidRDefault="000D0C07" w:rsidP="00DC4B6F">
            <w:pPr>
              <w:rPr>
                <w:rFonts w:cstheme="minorHAnsi"/>
              </w:rPr>
            </w:pPr>
            <w:r w:rsidRPr="001E7343">
              <w:rPr>
                <w:rFonts w:cstheme="minorHAnsi"/>
              </w:rPr>
              <w:t>Male</w:t>
            </w:r>
          </w:p>
        </w:tc>
        <w:tc>
          <w:tcPr>
            <w:tcW w:w="2069" w:type="dxa"/>
          </w:tcPr>
          <w:p w14:paraId="0398135A" w14:textId="77777777" w:rsidR="000D0C07" w:rsidRPr="001E7343" w:rsidRDefault="000D0C07" w:rsidP="00DC4B6F">
            <w:pPr>
              <w:jc w:val="center"/>
              <w:rPr>
                <w:rFonts w:cstheme="minorHAnsi"/>
              </w:rPr>
            </w:pPr>
            <w:r w:rsidRPr="001E7343">
              <w:rPr>
                <w:rFonts w:cstheme="minorHAnsi"/>
              </w:rPr>
              <w:t>15 (45.5)</w:t>
            </w:r>
          </w:p>
        </w:tc>
        <w:tc>
          <w:tcPr>
            <w:tcW w:w="2106" w:type="dxa"/>
          </w:tcPr>
          <w:p w14:paraId="7C2B24E1" w14:textId="77777777" w:rsidR="000D0C07" w:rsidRPr="001E7343" w:rsidRDefault="000D0C07" w:rsidP="00DC4B6F">
            <w:pPr>
              <w:jc w:val="center"/>
              <w:rPr>
                <w:rFonts w:cstheme="minorHAnsi"/>
              </w:rPr>
            </w:pPr>
            <w:r w:rsidRPr="001E7343">
              <w:rPr>
                <w:rFonts w:cstheme="minorHAnsi"/>
              </w:rPr>
              <w:t>3 (37.5)</w:t>
            </w:r>
          </w:p>
        </w:tc>
        <w:tc>
          <w:tcPr>
            <w:tcW w:w="2093" w:type="dxa"/>
          </w:tcPr>
          <w:p w14:paraId="1E32CCFE" w14:textId="77777777" w:rsidR="000D0C07" w:rsidRPr="001E7343" w:rsidRDefault="000D0C07" w:rsidP="00DC4B6F">
            <w:pPr>
              <w:jc w:val="center"/>
              <w:rPr>
                <w:rFonts w:cstheme="minorHAnsi"/>
              </w:rPr>
            </w:pPr>
            <w:r w:rsidRPr="001E7343">
              <w:rPr>
                <w:rFonts w:cstheme="minorHAnsi"/>
              </w:rPr>
              <w:t>12 (48.0)</w:t>
            </w:r>
          </w:p>
        </w:tc>
        <w:tc>
          <w:tcPr>
            <w:tcW w:w="941" w:type="dxa"/>
            <w:vMerge w:val="restart"/>
          </w:tcPr>
          <w:p w14:paraId="1DEEEC7D" w14:textId="77777777" w:rsidR="000D0C07" w:rsidRPr="001E7343" w:rsidRDefault="000D0C07" w:rsidP="00DC4B6F">
            <w:pPr>
              <w:spacing w:before="140"/>
              <w:jc w:val="center"/>
              <w:rPr>
                <w:rFonts w:cstheme="minorHAnsi"/>
              </w:rPr>
            </w:pPr>
            <w:r w:rsidRPr="001E7343">
              <w:rPr>
                <w:rFonts w:cstheme="minorHAnsi"/>
              </w:rPr>
              <w:t>0.7</w:t>
            </w:r>
          </w:p>
        </w:tc>
      </w:tr>
      <w:tr w:rsidR="000D0C07" w:rsidRPr="001E7343" w14:paraId="04A15454" w14:textId="77777777" w:rsidTr="00DC4B6F">
        <w:tc>
          <w:tcPr>
            <w:tcW w:w="1801" w:type="dxa"/>
          </w:tcPr>
          <w:p w14:paraId="1C954C0A" w14:textId="77777777" w:rsidR="000D0C07" w:rsidRPr="001E7343" w:rsidRDefault="000D0C07" w:rsidP="00DC4B6F">
            <w:pPr>
              <w:rPr>
                <w:rFonts w:cstheme="minorHAnsi"/>
              </w:rPr>
            </w:pPr>
            <w:r w:rsidRPr="001E7343">
              <w:rPr>
                <w:rFonts w:cstheme="minorHAnsi"/>
              </w:rPr>
              <w:t>Female</w:t>
            </w:r>
          </w:p>
        </w:tc>
        <w:tc>
          <w:tcPr>
            <w:tcW w:w="2069" w:type="dxa"/>
          </w:tcPr>
          <w:p w14:paraId="2692DCE6" w14:textId="77777777" w:rsidR="000D0C07" w:rsidRPr="001E7343" w:rsidRDefault="000D0C07" w:rsidP="00DC4B6F">
            <w:pPr>
              <w:jc w:val="center"/>
              <w:rPr>
                <w:rFonts w:cstheme="minorHAnsi"/>
              </w:rPr>
            </w:pPr>
            <w:r w:rsidRPr="001E7343">
              <w:rPr>
                <w:rFonts w:cstheme="minorHAnsi"/>
              </w:rPr>
              <w:t>18 (54.5)</w:t>
            </w:r>
          </w:p>
        </w:tc>
        <w:tc>
          <w:tcPr>
            <w:tcW w:w="2106" w:type="dxa"/>
          </w:tcPr>
          <w:p w14:paraId="6B311F0C" w14:textId="77777777" w:rsidR="000D0C07" w:rsidRPr="001E7343" w:rsidRDefault="000D0C07" w:rsidP="00DC4B6F">
            <w:pPr>
              <w:jc w:val="center"/>
              <w:rPr>
                <w:rFonts w:cstheme="minorHAnsi"/>
              </w:rPr>
            </w:pPr>
            <w:r w:rsidRPr="001E7343">
              <w:rPr>
                <w:rFonts w:cstheme="minorHAnsi"/>
              </w:rPr>
              <w:t>5 (62.5)</w:t>
            </w:r>
          </w:p>
        </w:tc>
        <w:tc>
          <w:tcPr>
            <w:tcW w:w="2093" w:type="dxa"/>
          </w:tcPr>
          <w:p w14:paraId="5680F1BD" w14:textId="77777777" w:rsidR="000D0C07" w:rsidRPr="001E7343" w:rsidRDefault="000D0C07" w:rsidP="00DC4B6F">
            <w:pPr>
              <w:jc w:val="center"/>
              <w:rPr>
                <w:rFonts w:cstheme="minorHAnsi"/>
              </w:rPr>
            </w:pPr>
            <w:r w:rsidRPr="001E7343">
              <w:rPr>
                <w:rFonts w:cstheme="minorHAnsi"/>
              </w:rPr>
              <w:t>13 (52.0)</w:t>
            </w:r>
          </w:p>
        </w:tc>
        <w:tc>
          <w:tcPr>
            <w:tcW w:w="941" w:type="dxa"/>
            <w:vMerge/>
          </w:tcPr>
          <w:p w14:paraId="2BC6CC88" w14:textId="77777777" w:rsidR="000D0C07" w:rsidRPr="001E7343" w:rsidRDefault="000D0C07" w:rsidP="00DC4B6F">
            <w:pPr>
              <w:jc w:val="center"/>
              <w:rPr>
                <w:rFonts w:cstheme="minorHAnsi"/>
              </w:rPr>
            </w:pPr>
          </w:p>
        </w:tc>
      </w:tr>
      <w:tr w:rsidR="000D0C07" w:rsidRPr="001E7343" w14:paraId="7E09775F" w14:textId="77777777" w:rsidTr="00DC4B6F">
        <w:tc>
          <w:tcPr>
            <w:tcW w:w="1801" w:type="dxa"/>
          </w:tcPr>
          <w:p w14:paraId="3C2CC29A" w14:textId="77777777" w:rsidR="000D0C07" w:rsidRPr="001E7343" w:rsidRDefault="000D0C07" w:rsidP="00DC4B6F">
            <w:pPr>
              <w:rPr>
                <w:rFonts w:cstheme="minorHAnsi"/>
              </w:rPr>
            </w:pPr>
            <w:r w:rsidRPr="001E7343">
              <w:rPr>
                <w:rFonts w:cstheme="minorHAnsi"/>
              </w:rPr>
              <w:t>Age, years</w:t>
            </w:r>
          </w:p>
        </w:tc>
        <w:tc>
          <w:tcPr>
            <w:tcW w:w="2069" w:type="dxa"/>
          </w:tcPr>
          <w:p w14:paraId="1C326E9B" w14:textId="77777777" w:rsidR="000D0C07" w:rsidRPr="001E7343" w:rsidRDefault="000D0C07" w:rsidP="00DC4B6F">
            <w:pPr>
              <w:jc w:val="center"/>
              <w:rPr>
                <w:rFonts w:cstheme="minorHAnsi"/>
              </w:rPr>
            </w:pPr>
            <w:r w:rsidRPr="001E7343">
              <w:rPr>
                <w:rFonts w:cstheme="minorHAnsi"/>
              </w:rPr>
              <w:t>29.58 (13.32-69.71)</w:t>
            </w:r>
          </w:p>
        </w:tc>
        <w:tc>
          <w:tcPr>
            <w:tcW w:w="2106" w:type="dxa"/>
          </w:tcPr>
          <w:p w14:paraId="55C9EFEC" w14:textId="77777777" w:rsidR="000D0C07" w:rsidRPr="001E7343" w:rsidRDefault="000D0C07" w:rsidP="00DC4B6F">
            <w:pPr>
              <w:jc w:val="center"/>
              <w:rPr>
                <w:rFonts w:cstheme="minorHAnsi"/>
              </w:rPr>
            </w:pPr>
            <w:r w:rsidRPr="001E7343">
              <w:rPr>
                <w:rFonts w:cstheme="minorHAnsi"/>
              </w:rPr>
              <w:t>14.15 (13.32-16.52)</w:t>
            </w:r>
          </w:p>
        </w:tc>
        <w:tc>
          <w:tcPr>
            <w:tcW w:w="2093" w:type="dxa"/>
          </w:tcPr>
          <w:p w14:paraId="3F0612BE" w14:textId="77777777" w:rsidR="000D0C07" w:rsidRPr="001E7343" w:rsidRDefault="000D0C07" w:rsidP="00DC4B6F">
            <w:pPr>
              <w:jc w:val="center"/>
              <w:rPr>
                <w:rFonts w:cstheme="minorHAnsi"/>
              </w:rPr>
            </w:pPr>
            <w:r w:rsidRPr="001E7343">
              <w:rPr>
                <w:rFonts w:cstheme="minorHAnsi"/>
              </w:rPr>
              <w:t>32.88 (22.03-69.71)</w:t>
            </w:r>
          </w:p>
        </w:tc>
        <w:tc>
          <w:tcPr>
            <w:tcW w:w="941" w:type="dxa"/>
          </w:tcPr>
          <w:p w14:paraId="6709CCFA" w14:textId="77777777" w:rsidR="000D0C07" w:rsidRPr="001E7343" w:rsidRDefault="000D0C07" w:rsidP="00DC4B6F">
            <w:pPr>
              <w:jc w:val="center"/>
              <w:rPr>
                <w:rFonts w:cstheme="minorHAnsi"/>
              </w:rPr>
            </w:pPr>
          </w:p>
        </w:tc>
      </w:tr>
      <w:tr w:rsidR="000D0C07" w:rsidRPr="001E7343" w14:paraId="0A100215" w14:textId="77777777" w:rsidTr="00DC4B6F">
        <w:tc>
          <w:tcPr>
            <w:tcW w:w="1801" w:type="dxa"/>
          </w:tcPr>
          <w:p w14:paraId="4C356E93" w14:textId="77777777" w:rsidR="000D0C07" w:rsidRPr="00A6533A" w:rsidRDefault="000D0C07" w:rsidP="00DC4B6F">
            <w:pPr>
              <w:rPr>
                <w:rFonts w:cstheme="minorHAnsi"/>
                <w:b/>
              </w:rPr>
            </w:pPr>
            <w:r w:rsidRPr="00A6533A">
              <w:rPr>
                <w:rFonts w:cstheme="minorHAnsi"/>
                <w:b/>
              </w:rPr>
              <w:t>Molecular genetic diagnosis</w:t>
            </w:r>
          </w:p>
        </w:tc>
        <w:tc>
          <w:tcPr>
            <w:tcW w:w="2069" w:type="dxa"/>
          </w:tcPr>
          <w:p w14:paraId="38DFC901" w14:textId="77777777" w:rsidR="000D0C07" w:rsidRPr="001E7343" w:rsidRDefault="000D0C07" w:rsidP="00DC4B6F">
            <w:pPr>
              <w:jc w:val="center"/>
              <w:rPr>
                <w:rFonts w:cstheme="minorHAnsi"/>
              </w:rPr>
            </w:pPr>
          </w:p>
        </w:tc>
        <w:tc>
          <w:tcPr>
            <w:tcW w:w="2106" w:type="dxa"/>
          </w:tcPr>
          <w:p w14:paraId="7C2F0FC4" w14:textId="77777777" w:rsidR="000D0C07" w:rsidRPr="001E7343" w:rsidRDefault="000D0C07" w:rsidP="00DC4B6F">
            <w:pPr>
              <w:jc w:val="center"/>
              <w:rPr>
                <w:rFonts w:cstheme="minorHAnsi"/>
              </w:rPr>
            </w:pPr>
          </w:p>
        </w:tc>
        <w:tc>
          <w:tcPr>
            <w:tcW w:w="2093" w:type="dxa"/>
          </w:tcPr>
          <w:p w14:paraId="347CBB54" w14:textId="77777777" w:rsidR="000D0C07" w:rsidRPr="001E7343" w:rsidRDefault="000D0C07" w:rsidP="00DC4B6F">
            <w:pPr>
              <w:jc w:val="center"/>
              <w:rPr>
                <w:rFonts w:cstheme="minorHAnsi"/>
              </w:rPr>
            </w:pPr>
          </w:p>
        </w:tc>
        <w:tc>
          <w:tcPr>
            <w:tcW w:w="941" w:type="dxa"/>
          </w:tcPr>
          <w:p w14:paraId="302B595D" w14:textId="77777777" w:rsidR="000D0C07" w:rsidRPr="001E7343" w:rsidRDefault="000D0C07" w:rsidP="00DC4B6F">
            <w:pPr>
              <w:jc w:val="center"/>
              <w:rPr>
                <w:rFonts w:cstheme="minorHAnsi"/>
              </w:rPr>
            </w:pPr>
          </w:p>
        </w:tc>
      </w:tr>
      <w:tr w:rsidR="000D0C07" w:rsidRPr="001E7343" w14:paraId="69CF54C8" w14:textId="77777777" w:rsidTr="00DC4B6F">
        <w:tc>
          <w:tcPr>
            <w:tcW w:w="1801" w:type="dxa"/>
          </w:tcPr>
          <w:p w14:paraId="232C8312" w14:textId="77777777" w:rsidR="000D0C07" w:rsidRPr="001E7343" w:rsidRDefault="000D0C07" w:rsidP="00DC4B6F">
            <w:pPr>
              <w:rPr>
                <w:rFonts w:cstheme="minorHAnsi"/>
              </w:rPr>
            </w:pPr>
            <w:r w:rsidRPr="001E7343">
              <w:rPr>
                <w:rFonts w:cstheme="minorHAnsi"/>
              </w:rPr>
              <w:t xml:space="preserve">H19/IGF2 LOM </w:t>
            </w:r>
          </w:p>
        </w:tc>
        <w:tc>
          <w:tcPr>
            <w:tcW w:w="2069" w:type="dxa"/>
          </w:tcPr>
          <w:p w14:paraId="7DAD2027" w14:textId="77777777" w:rsidR="000D0C07" w:rsidRPr="001E7343" w:rsidRDefault="000D0C07" w:rsidP="00DC4B6F">
            <w:pPr>
              <w:jc w:val="center"/>
              <w:rPr>
                <w:rFonts w:cstheme="minorHAnsi"/>
              </w:rPr>
            </w:pPr>
            <w:r w:rsidRPr="001E7343">
              <w:rPr>
                <w:rFonts w:cstheme="minorHAnsi"/>
              </w:rPr>
              <w:t>27 (71.8)</w:t>
            </w:r>
          </w:p>
        </w:tc>
        <w:tc>
          <w:tcPr>
            <w:tcW w:w="2106" w:type="dxa"/>
          </w:tcPr>
          <w:p w14:paraId="75B77778" w14:textId="77777777" w:rsidR="000D0C07" w:rsidRPr="001E7343" w:rsidRDefault="000D0C07" w:rsidP="00DC4B6F">
            <w:pPr>
              <w:jc w:val="center"/>
              <w:rPr>
                <w:rFonts w:cstheme="minorHAnsi"/>
              </w:rPr>
            </w:pPr>
            <w:r w:rsidRPr="001E7343">
              <w:rPr>
                <w:rFonts w:cstheme="minorHAnsi"/>
              </w:rPr>
              <w:t>5 (62.5)</w:t>
            </w:r>
          </w:p>
        </w:tc>
        <w:tc>
          <w:tcPr>
            <w:tcW w:w="2093" w:type="dxa"/>
          </w:tcPr>
          <w:p w14:paraId="1A6F27D0" w14:textId="77777777" w:rsidR="000D0C07" w:rsidRPr="001E7343" w:rsidRDefault="000D0C07" w:rsidP="00DC4B6F">
            <w:pPr>
              <w:jc w:val="center"/>
              <w:rPr>
                <w:rFonts w:cstheme="minorHAnsi"/>
              </w:rPr>
            </w:pPr>
            <w:r w:rsidRPr="001E7343">
              <w:rPr>
                <w:rFonts w:cstheme="minorHAnsi"/>
              </w:rPr>
              <w:t>22 (88.0)</w:t>
            </w:r>
          </w:p>
        </w:tc>
        <w:tc>
          <w:tcPr>
            <w:tcW w:w="941" w:type="dxa"/>
            <w:vMerge w:val="restart"/>
          </w:tcPr>
          <w:p w14:paraId="35571BB9" w14:textId="77777777" w:rsidR="000D0C07" w:rsidRPr="001E7343" w:rsidRDefault="000D0C07" w:rsidP="00DC4B6F">
            <w:pPr>
              <w:spacing w:before="140"/>
              <w:jc w:val="center"/>
              <w:rPr>
                <w:rFonts w:cstheme="minorHAnsi"/>
              </w:rPr>
            </w:pPr>
            <w:r w:rsidRPr="001E7343">
              <w:rPr>
                <w:rFonts w:cstheme="minorHAnsi"/>
              </w:rPr>
              <w:t>0.1</w:t>
            </w:r>
          </w:p>
        </w:tc>
      </w:tr>
      <w:tr w:rsidR="000D0C07" w:rsidRPr="001E7343" w14:paraId="67A08014" w14:textId="77777777" w:rsidTr="00DC4B6F">
        <w:tc>
          <w:tcPr>
            <w:tcW w:w="1801" w:type="dxa"/>
          </w:tcPr>
          <w:p w14:paraId="51F46EEC" w14:textId="77777777" w:rsidR="000D0C07" w:rsidRPr="001E7343" w:rsidRDefault="000D0C07" w:rsidP="00DC4B6F">
            <w:pPr>
              <w:rPr>
                <w:rFonts w:cstheme="minorHAnsi"/>
              </w:rPr>
            </w:pPr>
            <w:r w:rsidRPr="001E7343">
              <w:rPr>
                <w:rFonts w:cstheme="minorHAnsi"/>
              </w:rPr>
              <w:t xml:space="preserve">matUPD7 </w:t>
            </w:r>
          </w:p>
        </w:tc>
        <w:tc>
          <w:tcPr>
            <w:tcW w:w="2069" w:type="dxa"/>
          </w:tcPr>
          <w:p w14:paraId="29502DA6" w14:textId="77777777" w:rsidR="000D0C07" w:rsidRPr="001E7343" w:rsidRDefault="000D0C07" w:rsidP="00DC4B6F">
            <w:pPr>
              <w:jc w:val="center"/>
              <w:rPr>
                <w:rFonts w:cstheme="minorHAnsi"/>
              </w:rPr>
            </w:pPr>
            <w:r w:rsidRPr="001E7343">
              <w:rPr>
                <w:rFonts w:cstheme="minorHAnsi"/>
              </w:rPr>
              <w:t>6 (18.2)</w:t>
            </w:r>
          </w:p>
        </w:tc>
        <w:tc>
          <w:tcPr>
            <w:tcW w:w="2106" w:type="dxa"/>
          </w:tcPr>
          <w:p w14:paraId="03F411F3" w14:textId="77777777" w:rsidR="000D0C07" w:rsidRPr="001E7343" w:rsidRDefault="000D0C07" w:rsidP="00DC4B6F">
            <w:pPr>
              <w:jc w:val="center"/>
              <w:rPr>
                <w:rFonts w:cstheme="minorHAnsi"/>
              </w:rPr>
            </w:pPr>
            <w:r w:rsidRPr="001E7343">
              <w:rPr>
                <w:rFonts w:cstheme="minorHAnsi"/>
              </w:rPr>
              <w:t>3 (37.5)</w:t>
            </w:r>
          </w:p>
        </w:tc>
        <w:tc>
          <w:tcPr>
            <w:tcW w:w="2093" w:type="dxa"/>
          </w:tcPr>
          <w:p w14:paraId="4561462F" w14:textId="77777777" w:rsidR="000D0C07" w:rsidRPr="001E7343" w:rsidRDefault="000D0C07" w:rsidP="00DC4B6F">
            <w:pPr>
              <w:jc w:val="center"/>
              <w:rPr>
                <w:rFonts w:cstheme="minorHAnsi"/>
              </w:rPr>
            </w:pPr>
            <w:r w:rsidRPr="001E7343">
              <w:rPr>
                <w:rFonts w:cstheme="minorHAnsi"/>
              </w:rPr>
              <w:t>3 (12.0)</w:t>
            </w:r>
          </w:p>
        </w:tc>
        <w:tc>
          <w:tcPr>
            <w:tcW w:w="941" w:type="dxa"/>
            <w:vMerge/>
          </w:tcPr>
          <w:p w14:paraId="3FCE47AD" w14:textId="77777777" w:rsidR="000D0C07" w:rsidRPr="001E7343" w:rsidRDefault="000D0C07" w:rsidP="00DC4B6F">
            <w:pPr>
              <w:jc w:val="center"/>
              <w:rPr>
                <w:rFonts w:cstheme="minorHAnsi"/>
              </w:rPr>
            </w:pPr>
          </w:p>
        </w:tc>
      </w:tr>
      <w:tr w:rsidR="000D0C07" w:rsidRPr="001E7343" w14:paraId="3543DE23" w14:textId="77777777" w:rsidTr="00DC4B6F">
        <w:tc>
          <w:tcPr>
            <w:tcW w:w="1801" w:type="dxa"/>
          </w:tcPr>
          <w:p w14:paraId="135E5D01" w14:textId="77777777" w:rsidR="000D0C07" w:rsidRPr="00A6533A" w:rsidRDefault="000D0C07" w:rsidP="00DC4B6F">
            <w:pPr>
              <w:rPr>
                <w:rFonts w:cstheme="minorHAnsi"/>
                <w:b/>
              </w:rPr>
            </w:pPr>
            <w:r w:rsidRPr="00A6533A">
              <w:rPr>
                <w:rFonts w:cstheme="minorHAnsi"/>
                <w:b/>
              </w:rPr>
              <w:t>Growth parameters</w:t>
            </w:r>
          </w:p>
        </w:tc>
        <w:tc>
          <w:tcPr>
            <w:tcW w:w="2069" w:type="dxa"/>
          </w:tcPr>
          <w:p w14:paraId="2622ABC2" w14:textId="77777777" w:rsidR="000D0C07" w:rsidRPr="001E7343" w:rsidRDefault="000D0C07" w:rsidP="00DC4B6F">
            <w:pPr>
              <w:jc w:val="center"/>
              <w:rPr>
                <w:rFonts w:cstheme="minorHAnsi"/>
              </w:rPr>
            </w:pPr>
          </w:p>
        </w:tc>
        <w:tc>
          <w:tcPr>
            <w:tcW w:w="2106" w:type="dxa"/>
          </w:tcPr>
          <w:p w14:paraId="1B23F464" w14:textId="77777777" w:rsidR="000D0C07" w:rsidRPr="001E7343" w:rsidRDefault="000D0C07" w:rsidP="00DC4B6F">
            <w:pPr>
              <w:jc w:val="center"/>
              <w:rPr>
                <w:rFonts w:cstheme="minorHAnsi"/>
              </w:rPr>
            </w:pPr>
          </w:p>
        </w:tc>
        <w:tc>
          <w:tcPr>
            <w:tcW w:w="2093" w:type="dxa"/>
          </w:tcPr>
          <w:p w14:paraId="4D635BAC" w14:textId="77777777" w:rsidR="000D0C07" w:rsidRPr="001E7343" w:rsidRDefault="000D0C07" w:rsidP="00DC4B6F">
            <w:pPr>
              <w:jc w:val="center"/>
              <w:rPr>
                <w:rFonts w:cstheme="minorHAnsi"/>
              </w:rPr>
            </w:pPr>
          </w:p>
        </w:tc>
        <w:tc>
          <w:tcPr>
            <w:tcW w:w="941" w:type="dxa"/>
          </w:tcPr>
          <w:p w14:paraId="77C0A9ED" w14:textId="77777777" w:rsidR="000D0C07" w:rsidRPr="001E7343" w:rsidRDefault="000D0C07" w:rsidP="00DC4B6F">
            <w:pPr>
              <w:jc w:val="center"/>
              <w:rPr>
                <w:rFonts w:cstheme="minorHAnsi"/>
              </w:rPr>
            </w:pPr>
          </w:p>
        </w:tc>
      </w:tr>
      <w:tr w:rsidR="000D0C07" w:rsidRPr="001E7343" w14:paraId="0BBD0F91" w14:textId="77777777" w:rsidTr="00DC4B6F">
        <w:tc>
          <w:tcPr>
            <w:tcW w:w="1801" w:type="dxa"/>
          </w:tcPr>
          <w:p w14:paraId="07ADB411" w14:textId="77777777" w:rsidR="000D0C07" w:rsidRPr="001E7343" w:rsidRDefault="000D0C07" w:rsidP="00DC4B6F">
            <w:pPr>
              <w:rPr>
                <w:rFonts w:cstheme="minorHAnsi"/>
              </w:rPr>
            </w:pPr>
            <w:r w:rsidRPr="001E7343">
              <w:rPr>
                <w:rFonts w:cstheme="minorHAnsi"/>
              </w:rPr>
              <w:t>Height SDS</w:t>
            </w:r>
          </w:p>
        </w:tc>
        <w:tc>
          <w:tcPr>
            <w:tcW w:w="2069" w:type="dxa"/>
          </w:tcPr>
          <w:p w14:paraId="2DE1B15D" w14:textId="77777777" w:rsidR="000D0C07" w:rsidRPr="001E7343" w:rsidRDefault="000D0C07" w:rsidP="00DC4B6F">
            <w:pPr>
              <w:jc w:val="center"/>
              <w:rPr>
                <w:rFonts w:cstheme="minorHAnsi"/>
              </w:rPr>
            </w:pPr>
            <w:r w:rsidRPr="001E7343">
              <w:rPr>
                <w:rFonts w:cstheme="minorHAnsi"/>
              </w:rPr>
              <w:t>-2.67 (-2.83 to -1.07)</w:t>
            </w:r>
          </w:p>
        </w:tc>
        <w:tc>
          <w:tcPr>
            <w:tcW w:w="2106" w:type="dxa"/>
          </w:tcPr>
          <w:p w14:paraId="465E17AC" w14:textId="77777777" w:rsidR="000D0C07" w:rsidRPr="001E7343" w:rsidRDefault="000D0C07" w:rsidP="00DC4B6F">
            <w:pPr>
              <w:jc w:val="center"/>
              <w:rPr>
                <w:rFonts w:cstheme="minorHAnsi"/>
              </w:rPr>
            </w:pPr>
            <w:r w:rsidRPr="001E7343">
              <w:rPr>
                <w:rFonts w:cstheme="minorHAnsi"/>
              </w:rPr>
              <w:t>-1.19 (-3.82 to -0.51)</w:t>
            </w:r>
          </w:p>
        </w:tc>
        <w:tc>
          <w:tcPr>
            <w:tcW w:w="2093" w:type="dxa"/>
          </w:tcPr>
          <w:p w14:paraId="22BF07FD" w14:textId="77777777" w:rsidR="000D0C07" w:rsidRPr="001E7343" w:rsidRDefault="000D0C07" w:rsidP="00DC4B6F">
            <w:pPr>
              <w:jc w:val="center"/>
              <w:rPr>
                <w:rFonts w:cstheme="minorHAnsi"/>
              </w:rPr>
            </w:pPr>
            <w:r w:rsidRPr="001E7343">
              <w:rPr>
                <w:rFonts w:cstheme="minorHAnsi"/>
              </w:rPr>
              <w:t>-3.13 (-3.83 to -1.31)</w:t>
            </w:r>
          </w:p>
        </w:tc>
        <w:tc>
          <w:tcPr>
            <w:tcW w:w="941" w:type="dxa"/>
          </w:tcPr>
          <w:p w14:paraId="15A23AF9" w14:textId="77777777" w:rsidR="000D0C07" w:rsidRPr="001E7343" w:rsidRDefault="000D0C07" w:rsidP="00DC4B6F">
            <w:pPr>
              <w:jc w:val="center"/>
              <w:rPr>
                <w:rFonts w:cstheme="minorHAnsi"/>
              </w:rPr>
            </w:pPr>
            <w:r w:rsidRPr="001E7343">
              <w:rPr>
                <w:rFonts w:cstheme="minorHAnsi"/>
              </w:rPr>
              <w:t>0.1</w:t>
            </w:r>
          </w:p>
        </w:tc>
      </w:tr>
      <w:tr w:rsidR="000D0C07" w:rsidRPr="001E7343" w14:paraId="6E694F32" w14:textId="77777777" w:rsidTr="00DC4B6F">
        <w:tc>
          <w:tcPr>
            <w:tcW w:w="1801" w:type="dxa"/>
          </w:tcPr>
          <w:p w14:paraId="6F0AEE7C" w14:textId="77777777" w:rsidR="000D0C07" w:rsidRPr="001E7343" w:rsidRDefault="000D0C07" w:rsidP="00DC4B6F">
            <w:pPr>
              <w:rPr>
                <w:rFonts w:cstheme="minorHAnsi"/>
              </w:rPr>
            </w:pPr>
            <w:r w:rsidRPr="001E7343">
              <w:rPr>
                <w:rFonts w:cstheme="minorHAnsi"/>
              </w:rPr>
              <w:t>Height</w:t>
            </w:r>
            <w:r>
              <w:rPr>
                <w:rFonts w:cstheme="minorHAnsi"/>
              </w:rPr>
              <w:t xml:space="preserve"> in females</w:t>
            </w:r>
            <w:r w:rsidRPr="001E7343">
              <w:rPr>
                <w:rFonts w:cstheme="minorHAnsi"/>
              </w:rPr>
              <w:t>, cm</w:t>
            </w:r>
          </w:p>
        </w:tc>
        <w:tc>
          <w:tcPr>
            <w:tcW w:w="2069" w:type="dxa"/>
          </w:tcPr>
          <w:p w14:paraId="116C0FD3" w14:textId="77777777" w:rsidR="000D0C07" w:rsidRPr="001E7343" w:rsidRDefault="000D0C07" w:rsidP="00DC4B6F">
            <w:pPr>
              <w:jc w:val="center"/>
              <w:rPr>
                <w:rFonts w:cstheme="minorHAnsi"/>
              </w:rPr>
            </w:pPr>
            <w:r>
              <w:rPr>
                <w:rFonts w:cstheme="minorHAnsi"/>
              </w:rPr>
              <w:t>146.2 (140.3 to 154.1) (n=18)</w:t>
            </w:r>
          </w:p>
        </w:tc>
        <w:tc>
          <w:tcPr>
            <w:tcW w:w="2106" w:type="dxa"/>
          </w:tcPr>
          <w:p w14:paraId="79A7C008" w14:textId="77777777" w:rsidR="000D0C07" w:rsidRPr="001E7343" w:rsidRDefault="000D0C07" w:rsidP="00DC4B6F">
            <w:pPr>
              <w:jc w:val="center"/>
              <w:rPr>
                <w:rFonts w:cstheme="minorHAnsi"/>
              </w:rPr>
            </w:pPr>
            <w:r>
              <w:rPr>
                <w:rFonts w:cstheme="minorHAnsi"/>
              </w:rPr>
              <w:t>153.0 (130.9 to 154.2) (n=5)</w:t>
            </w:r>
          </w:p>
        </w:tc>
        <w:tc>
          <w:tcPr>
            <w:tcW w:w="2093" w:type="dxa"/>
          </w:tcPr>
          <w:p w14:paraId="337EDD75" w14:textId="77777777" w:rsidR="000D0C07" w:rsidRPr="001E7343" w:rsidRDefault="000D0C07" w:rsidP="00DC4B6F">
            <w:pPr>
              <w:jc w:val="center"/>
              <w:rPr>
                <w:rFonts w:cstheme="minorHAnsi"/>
              </w:rPr>
            </w:pPr>
            <w:r>
              <w:rPr>
                <w:rFonts w:cstheme="minorHAnsi"/>
              </w:rPr>
              <w:t>144.7 (140.7 to 153.6) (n=13)</w:t>
            </w:r>
          </w:p>
        </w:tc>
        <w:tc>
          <w:tcPr>
            <w:tcW w:w="941" w:type="dxa"/>
          </w:tcPr>
          <w:p w14:paraId="2502905F" w14:textId="77777777" w:rsidR="000D0C07" w:rsidRPr="001E7343" w:rsidRDefault="000D0C07" w:rsidP="00DC4B6F">
            <w:pPr>
              <w:jc w:val="center"/>
              <w:rPr>
                <w:rFonts w:cstheme="minorHAnsi"/>
              </w:rPr>
            </w:pPr>
          </w:p>
        </w:tc>
      </w:tr>
      <w:tr w:rsidR="000D0C07" w:rsidRPr="001E7343" w14:paraId="72A0EE8C" w14:textId="77777777" w:rsidTr="00DC4B6F">
        <w:tc>
          <w:tcPr>
            <w:tcW w:w="1801" w:type="dxa"/>
          </w:tcPr>
          <w:p w14:paraId="59102454" w14:textId="77777777" w:rsidR="000D0C07" w:rsidRPr="001E7343" w:rsidRDefault="000D0C07" w:rsidP="00DC4B6F">
            <w:pPr>
              <w:rPr>
                <w:rFonts w:cstheme="minorHAnsi"/>
              </w:rPr>
            </w:pPr>
            <w:r>
              <w:rPr>
                <w:rFonts w:cstheme="minorHAnsi"/>
              </w:rPr>
              <w:t>Height in males, cm</w:t>
            </w:r>
          </w:p>
        </w:tc>
        <w:tc>
          <w:tcPr>
            <w:tcW w:w="2069" w:type="dxa"/>
          </w:tcPr>
          <w:p w14:paraId="5B4E8B66" w14:textId="77777777" w:rsidR="000D0C07" w:rsidRPr="001E7343" w:rsidRDefault="000D0C07" w:rsidP="00DC4B6F">
            <w:pPr>
              <w:jc w:val="center"/>
              <w:rPr>
                <w:rFonts w:cstheme="minorHAnsi"/>
              </w:rPr>
            </w:pPr>
            <w:r>
              <w:rPr>
                <w:rFonts w:cstheme="minorHAnsi"/>
              </w:rPr>
              <w:t>159.4 (153.2 to 168.1) (n=15)</w:t>
            </w:r>
          </w:p>
        </w:tc>
        <w:tc>
          <w:tcPr>
            <w:tcW w:w="2106" w:type="dxa"/>
          </w:tcPr>
          <w:p w14:paraId="6F469C92" w14:textId="77777777" w:rsidR="000D0C07" w:rsidRPr="001E7343" w:rsidRDefault="000D0C07" w:rsidP="00DC4B6F">
            <w:pPr>
              <w:jc w:val="center"/>
              <w:rPr>
                <w:rFonts w:cstheme="minorHAnsi"/>
              </w:rPr>
            </w:pPr>
            <w:r>
              <w:rPr>
                <w:rFonts w:cstheme="minorHAnsi"/>
              </w:rPr>
              <w:t>164.0 (median only as n=3)</w:t>
            </w:r>
          </w:p>
        </w:tc>
        <w:tc>
          <w:tcPr>
            <w:tcW w:w="2093" w:type="dxa"/>
          </w:tcPr>
          <w:p w14:paraId="02F1890D" w14:textId="77777777" w:rsidR="000D0C07" w:rsidRPr="001E7343" w:rsidRDefault="000D0C07" w:rsidP="00DC4B6F">
            <w:pPr>
              <w:jc w:val="center"/>
              <w:rPr>
                <w:rFonts w:cstheme="minorHAnsi"/>
              </w:rPr>
            </w:pPr>
            <w:r>
              <w:rPr>
                <w:rFonts w:cstheme="minorHAnsi"/>
              </w:rPr>
              <w:t>158.1 (151.0 to 170.5) (n=12)</w:t>
            </w:r>
          </w:p>
        </w:tc>
        <w:tc>
          <w:tcPr>
            <w:tcW w:w="941" w:type="dxa"/>
          </w:tcPr>
          <w:p w14:paraId="07235C84" w14:textId="77777777" w:rsidR="000D0C07" w:rsidRPr="001E7343" w:rsidRDefault="000D0C07" w:rsidP="00DC4B6F">
            <w:pPr>
              <w:jc w:val="center"/>
              <w:rPr>
                <w:rFonts w:cstheme="minorHAnsi"/>
              </w:rPr>
            </w:pPr>
          </w:p>
        </w:tc>
      </w:tr>
      <w:tr w:rsidR="000D0C07" w:rsidRPr="001E7343" w14:paraId="3EC7228D" w14:textId="77777777" w:rsidTr="00DC4B6F">
        <w:tc>
          <w:tcPr>
            <w:tcW w:w="1801" w:type="dxa"/>
          </w:tcPr>
          <w:p w14:paraId="22EC6358" w14:textId="77777777" w:rsidR="000D0C07" w:rsidRPr="001E7343" w:rsidRDefault="000D0C07" w:rsidP="00DC4B6F">
            <w:pPr>
              <w:rPr>
                <w:rFonts w:cstheme="minorHAnsi"/>
              </w:rPr>
            </w:pPr>
            <w:r w:rsidRPr="001E7343">
              <w:rPr>
                <w:rFonts w:cstheme="minorHAnsi"/>
              </w:rPr>
              <w:t>Weight, kg</w:t>
            </w:r>
          </w:p>
        </w:tc>
        <w:tc>
          <w:tcPr>
            <w:tcW w:w="2069" w:type="dxa"/>
          </w:tcPr>
          <w:p w14:paraId="61ABE04A" w14:textId="77777777" w:rsidR="000D0C07" w:rsidRPr="001E7343" w:rsidRDefault="000D0C07" w:rsidP="00DC4B6F">
            <w:pPr>
              <w:jc w:val="center"/>
              <w:rPr>
                <w:rFonts w:cstheme="minorHAnsi"/>
              </w:rPr>
            </w:pPr>
            <w:r w:rsidRPr="001E7343">
              <w:rPr>
                <w:rFonts w:cstheme="minorHAnsi"/>
              </w:rPr>
              <w:t>47.10 (41.65-58.38)</w:t>
            </w:r>
          </w:p>
        </w:tc>
        <w:tc>
          <w:tcPr>
            <w:tcW w:w="2106" w:type="dxa"/>
          </w:tcPr>
          <w:p w14:paraId="19C84F00" w14:textId="77777777" w:rsidR="000D0C07" w:rsidRPr="001E7343" w:rsidRDefault="000D0C07" w:rsidP="00DC4B6F">
            <w:pPr>
              <w:jc w:val="center"/>
              <w:rPr>
                <w:rFonts w:cstheme="minorHAnsi"/>
              </w:rPr>
            </w:pPr>
            <w:r w:rsidRPr="001E7343">
              <w:rPr>
                <w:rFonts w:cstheme="minorHAnsi"/>
              </w:rPr>
              <w:t>43.83 (31.68-48.26)</w:t>
            </w:r>
          </w:p>
        </w:tc>
        <w:tc>
          <w:tcPr>
            <w:tcW w:w="2093" w:type="dxa"/>
          </w:tcPr>
          <w:p w14:paraId="348B7DDB" w14:textId="77777777" w:rsidR="000D0C07" w:rsidRPr="001E7343" w:rsidRDefault="000D0C07" w:rsidP="00DC4B6F">
            <w:pPr>
              <w:jc w:val="center"/>
              <w:rPr>
                <w:rFonts w:cstheme="minorHAnsi"/>
              </w:rPr>
            </w:pPr>
            <w:r w:rsidRPr="001E7343">
              <w:rPr>
                <w:rFonts w:cstheme="minorHAnsi"/>
              </w:rPr>
              <w:t>55.45 (43.85-63.42)</w:t>
            </w:r>
          </w:p>
        </w:tc>
        <w:tc>
          <w:tcPr>
            <w:tcW w:w="941" w:type="dxa"/>
          </w:tcPr>
          <w:p w14:paraId="6667FFA4" w14:textId="77777777" w:rsidR="000D0C07" w:rsidRPr="001E7343" w:rsidRDefault="000D0C07" w:rsidP="00DC4B6F">
            <w:pPr>
              <w:jc w:val="center"/>
              <w:rPr>
                <w:rFonts w:cstheme="minorHAnsi"/>
              </w:rPr>
            </w:pPr>
            <w:r w:rsidRPr="001E7343">
              <w:rPr>
                <w:rFonts w:cstheme="minorHAnsi"/>
              </w:rPr>
              <w:t>0.08</w:t>
            </w:r>
          </w:p>
        </w:tc>
      </w:tr>
      <w:tr w:rsidR="000D0C07" w:rsidRPr="001E7343" w14:paraId="331B8847" w14:textId="77777777" w:rsidTr="00DC4B6F">
        <w:tc>
          <w:tcPr>
            <w:tcW w:w="1801" w:type="dxa"/>
          </w:tcPr>
          <w:p w14:paraId="78854B3E" w14:textId="77777777" w:rsidR="000D0C07" w:rsidRPr="001E7343" w:rsidRDefault="000D0C07" w:rsidP="00DC4B6F">
            <w:pPr>
              <w:rPr>
                <w:rFonts w:cstheme="minorHAnsi"/>
              </w:rPr>
            </w:pPr>
            <w:r w:rsidRPr="001E7343">
              <w:rPr>
                <w:rFonts w:cstheme="minorHAnsi"/>
              </w:rPr>
              <w:t>Weight SDS</w:t>
            </w:r>
          </w:p>
        </w:tc>
        <w:tc>
          <w:tcPr>
            <w:tcW w:w="2069" w:type="dxa"/>
          </w:tcPr>
          <w:p w14:paraId="2CA4896D" w14:textId="77777777" w:rsidR="000D0C07" w:rsidRPr="001E7343" w:rsidRDefault="000D0C07" w:rsidP="00DC4B6F">
            <w:pPr>
              <w:jc w:val="center"/>
              <w:rPr>
                <w:rFonts w:cstheme="minorHAnsi"/>
              </w:rPr>
            </w:pPr>
            <w:r w:rsidRPr="001E7343">
              <w:rPr>
                <w:rFonts w:cstheme="minorHAnsi"/>
              </w:rPr>
              <w:t>-1.72 (-3.76 to -0.13)</w:t>
            </w:r>
          </w:p>
        </w:tc>
        <w:tc>
          <w:tcPr>
            <w:tcW w:w="2106" w:type="dxa"/>
          </w:tcPr>
          <w:p w14:paraId="3F38F6D6" w14:textId="77777777" w:rsidR="000D0C07" w:rsidRPr="001E7343" w:rsidRDefault="000D0C07" w:rsidP="00DC4B6F">
            <w:pPr>
              <w:jc w:val="center"/>
              <w:rPr>
                <w:rFonts w:cstheme="minorHAnsi"/>
              </w:rPr>
            </w:pPr>
            <w:r w:rsidRPr="001E7343">
              <w:rPr>
                <w:rFonts w:cstheme="minorHAnsi"/>
              </w:rPr>
              <w:t>-1.21 (-4.14 to -0.19)</w:t>
            </w:r>
          </w:p>
        </w:tc>
        <w:tc>
          <w:tcPr>
            <w:tcW w:w="2093" w:type="dxa"/>
          </w:tcPr>
          <w:p w14:paraId="07623A3A" w14:textId="77777777" w:rsidR="000D0C07" w:rsidRPr="001E7343" w:rsidRDefault="000D0C07" w:rsidP="00DC4B6F">
            <w:pPr>
              <w:jc w:val="center"/>
              <w:rPr>
                <w:rFonts w:cstheme="minorHAnsi"/>
              </w:rPr>
            </w:pPr>
            <w:r w:rsidRPr="001E7343">
              <w:rPr>
                <w:rFonts w:cstheme="minorHAnsi"/>
              </w:rPr>
              <w:t>-1.83 (-3.76 to -0.11)</w:t>
            </w:r>
          </w:p>
        </w:tc>
        <w:tc>
          <w:tcPr>
            <w:tcW w:w="941" w:type="dxa"/>
          </w:tcPr>
          <w:p w14:paraId="5E606550" w14:textId="77777777" w:rsidR="000D0C07" w:rsidRPr="001E7343" w:rsidRDefault="000D0C07" w:rsidP="00DC4B6F">
            <w:pPr>
              <w:jc w:val="center"/>
              <w:rPr>
                <w:rFonts w:cstheme="minorHAnsi"/>
              </w:rPr>
            </w:pPr>
            <w:r w:rsidRPr="001E7343">
              <w:rPr>
                <w:rFonts w:cstheme="minorHAnsi"/>
              </w:rPr>
              <w:t>0.95</w:t>
            </w:r>
          </w:p>
        </w:tc>
      </w:tr>
      <w:tr w:rsidR="000D0C07" w:rsidRPr="001E7343" w14:paraId="1E59BE94" w14:textId="77777777" w:rsidTr="00DC4B6F">
        <w:tc>
          <w:tcPr>
            <w:tcW w:w="1801" w:type="dxa"/>
          </w:tcPr>
          <w:p w14:paraId="4247D9F2" w14:textId="77777777" w:rsidR="000D0C07" w:rsidRPr="001E7343" w:rsidRDefault="000D0C07" w:rsidP="00DC4B6F">
            <w:pPr>
              <w:rPr>
                <w:rFonts w:cstheme="minorHAnsi"/>
              </w:rPr>
            </w:pPr>
            <w:r w:rsidRPr="001E7343">
              <w:rPr>
                <w:rFonts w:cstheme="minorHAnsi"/>
              </w:rPr>
              <w:t>BMI, kg/m</w:t>
            </w:r>
            <w:r w:rsidRPr="00681D10">
              <w:rPr>
                <w:rFonts w:cstheme="minorHAnsi"/>
                <w:vertAlign w:val="superscript"/>
              </w:rPr>
              <w:t>2</w:t>
            </w:r>
          </w:p>
        </w:tc>
        <w:tc>
          <w:tcPr>
            <w:tcW w:w="2069" w:type="dxa"/>
          </w:tcPr>
          <w:p w14:paraId="5980DDB2" w14:textId="77777777" w:rsidR="000D0C07" w:rsidRPr="001E7343" w:rsidRDefault="000D0C07" w:rsidP="00DC4B6F">
            <w:pPr>
              <w:jc w:val="center"/>
              <w:rPr>
                <w:rFonts w:cstheme="minorHAnsi"/>
              </w:rPr>
            </w:pPr>
            <w:r w:rsidRPr="001E7343">
              <w:rPr>
                <w:rFonts w:cstheme="minorHAnsi"/>
              </w:rPr>
              <w:t>20.5 (17.7-25.5)</w:t>
            </w:r>
          </w:p>
        </w:tc>
        <w:tc>
          <w:tcPr>
            <w:tcW w:w="2106" w:type="dxa"/>
          </w:tcPr>
          <w:p w14:paraId="3FC5EC20" w14:textId="77777777" w:rsidR="000D0C07" w:rsidRPr="001E7343" w:rsidRDefault="000D0C07" w:rsidP="00DC4B6F">
            <w:pPr>
              <w:jc w:val="center"/>
              <w:rPr>
                <w:rFonts w:cstheme="minorHAnsi"/>
              </w:rPr>
            </w:pPr>
            <w:r w:rsidRPr="001E7343">
              <w:rPr>
                <w:rFonts w:cstheme="minorHAnsi"/>
              </w:rPr>
              <w:t>17.0 (16.2-19.1)</w:t>
            </w:r>
          </w:p>
        </w:tc>
        <w:tc>
          <w:tcPr>
            <w:tcW w:w="2093" w:type="dxa"/>
          </w:tcPr>
          <w:p w14:paraId="27006822" w14:textId="77777777" w:rsidR="000D0C07" w:rsidRPr="001E7343" w:rsidRDefault="000D0C07" w:rsidP="00DC4B6F">
            <w:pPr>
              <w:jc w:val="center"/>
              <w:rPr>
                <w:rFonts w:cstheme="minorHAnsi"/>
              </w:rPr>
            </w:pPr>
            <w:r w:rsidRPr="001E7343">
              <w:rPr>
                <w:rFonts w:cstheme="minorHAnsi"/>
              </w:rPr>
              <w:t>21.2 (19.1-38.0)</w:t>
            </w:r>
          </w:p>
        </w:tc>
        <w:tc>
          <w:tcPr>
            <w:tcW w:w="941" w:type="dxa"/>
          </w:tcPr>
          <w:p w14:paraId="55A7B864" w14:textId="77777777" w:rsidR="000D0C07" w:rsidRPr="001E7343" w:rsidRDefault="000D0C07" w:rsidP="00DC4B6F">
            <w:pPr>
              <w:jc w:val="center"/>
              <w:rPr>
                <w:rFonts w:cstheme="minorHAnsi"/>
              </w:rPr>
            </w:pPr>
            <w:r w:rsidRPr="001E7343">
              <w:rPr>
                <w:rFonts w:cstheme="minorHAnsi"/>
              </w:rPr>
              <w:t>0.003</w:t>
            </w:r>
          </w:p>
        </w:tc>
      </w:tr>
      <w:tr w:rsidR="000D0C07" w:rsidRPr="001E7343" w14:paraId="7975C629" w14:textId="77777777" w:rsidTr="00DC4B6F">
        <w:tc>
          <w:tcPr>
            <w:tcW w:w="1801" w:type="dxa"/>
          </w:tcPr>
          <w:p w14:paraId="73F0FCF8" w14:textId="77777777" w:rsidR="000D0C07" w:rsidRPr="001E7343" w:rsidRDefault="000D0C07" w:rsidP="00DC4B6F">
            <w:pPr>
              <w:rPr>
                <w:rFonts w:cstheme="minorHAnsi"/>
              </w:rPr>
            </w:pPr>
            <w:r w:rsidRPr="001E7343">
              <w:rPr>
                <w:rFonts w:cstheme="minorHAnsi"/>
              </w:rPr>
              <w:t>BMI SDS</w:t>
            </w:r>
          </w:p>
        </w:tc>
        <w:tc>
          <w:tcPr>
            <w:tcW w:w="2069" w:type="dxa"/>
          </w:tcPr>
          <w:p w14:paraId="7F25A1B0" w14:textId="77777777" w:rsidR="000D0C07" w:rsidRPr="001E7343" w:rsidRDefault="000D0C07" w:rsidP="00DC4B6F">
            <w:pPr>
              <w:jc w:val="center"/>
              <w:rPr>
                <w:rFonts w:cstheme="minorHAnsi"/>
              </w:rPr>
            </w:pPr>
            <w:r w:rsidRPr="001E7343">
              <w:rPr>
                <w:rFonts w:cstheme="minorHAnsi"/>
              </w:rPr>
              <w:t>-0.53 (-1.83 to 1.13)</w:t>
            </w:r>
          </w:p>
        </w:tc>
        <w:tc>
          <w:tcPr>
            <w:tcW w:w="2106" w:type="dxa"/>
          </w:tcPr>
          <w:p w14:paraId="61B8D6D8" w14:textId="77777777" w:rsidR="000D0C07" w:rsidRPr="001E7343" w:rsidRDefault="000D0C07" w:rsidP="00DC4B6F">
            <w:pPr>
              <w:jc w:val="center"/>
              <w:rPr>
                <w:rFonts w:cstheme="minorHAnsi"/>
              </w:rPr>
            </w:pPr>
            <w:r w:rsidRPr="001E7343">
              <w:rPr>
                <w:rFonts w:cstheme="minorHAnsi"/>
              </w:rPr>
              <w:t>-1.33 (-1.84 to -0.58)</w:t>
            </w:r>
          </w:p>
        </w:tc>
        <w:tc>
          <w:tcPr>
            <w:tcW w:w="2093" w:type="dxa"/>
          </w:tcPr>
          <w:p w14:paraId="0B170AB1" w14:textId="77777777" w:rsidR="000D0C07" w:rsidRPr="001E7343" w:rsidRDefault="000D0C07" w:rsidP="00DC4B6F">
            <w:pPr>
              <w:jc w:val="center"/>
              <w:rPr>
                <w:rFonts w:cstheme="minorHAnsi"/>
              </w:rPr>
            </w:pPr>
            <w:r w:rsidRPr="001E7343">
              <w:rPr>
                <w:rFonts w:cstheme="minorHAnsi"/>
              </w:rPr>
              <w:t>-0.47 (-1.83 to 1.53)</w:t>
            </w:r>
          </w:p>
        </w:tc>
        <w:tc>
          <w:tcPr>
            <w:tcW w:w="941" w:type="dxa"/>
          </w:tcPr>
          <w:p w14:paraId="0E01E333" w14:textId="77777777" w:rsidR="000D0C07" w:rsidRPr="001E7343" w:rsidRDefault="000D0C07" w:rsidP="00DC4B6F">
            <w:pPr>
              <w:jc w:val="center"/>
              <w:rPr>
                <w:rFonts w:cstheme="minorHAnsi"/>
              </w:rPr>
            </w:pPr>
            <w:r w:rsidRPr="001E7343">
              <w:rPr>
                <w:rFonts w:cstheme="minorHAnsi"/>
              </w:rPr>
              <w:t>0.3</w:t>
            </w:r>
          </w:p>
        </w:tc>
      </w:tr>
      <w:tr w:rsidR="000D0C07" w:rsidRPr="001E7343" w14:paraId="5C797D1E" w14:textId="77777777" w:rsidTr="00DC4B6F">
        <w:trPr>
          <w:trHeight w:val="1066"/>
        </w:trPr>
        <w:tc>
          <w:tcPr>
            <w:tcW w:w="1801" w:type="dxa"/>
          </w:tcPr>
          <w:p w14:paraId="363FFA4C" w14:textId="77777777" w:rsidR="000D0C07" w:rsidRPr="00A6533A" w:rsidRDefault="000D0C07" w:rsidP="00DC4B6F">
            <w:pPr>
              <w:rPr>
                <w:rFonts w:cstheme="minorHAnsi"/>
                <w:b/>
              </w:rPr>
            </w:pPr>
            <w:r w:rsidRPr="00A6533A">
              <w:rPr>
                <w:rFonts w:cstheme="minorHAnsi"/>
                <w:b/>
              </w:rPr>
              <w:t>Growth hormone treatment</w:t>
            </w:r>
          </w:p>
        </w:tc>
        <w:tc>
          <w:tcPr>
            <w:tcW w:w="2069" w:type="dxa"/>
          </w:tcPr>
          <w:p w14:paraId="4F72028F" w14:textId="77777777" w:rsidR="000D0C07" w:rsidRPr="001E7343" w:rsidRDefault="000D0C07" w:rsidP="00DC4B6F">
            <w:pPr>
              <w:jc w:val="center"/>
              <w:rPr>
                <w:rFonts w:cstheme="minorHAnsi"/>
              </w:rPr>
            </w:pPr>
          </w:p>
        </w:tc>
        <w:tc>
          <w:tcPr>
            <w:tcW w:w="2106" w:type="dxa"/>
          </w:tcPr>
          <w:p w14:paraId="63D916B1" w14:textId="77777777" w:rsidR="000D0C07" w:rsidRPr="001E7343" w:rsidRDefault="000D0C07" w:rsidP="00DC4B6F">
            <w:pPr>
              <w:jc w:val="center"/>
              <w:rPr>
                <w:rFonts w:cstheme="minorHAnsi"/>
              </w:rPr>
            </w:pPr>
          </w:p>
        </w:tc>
        <w:tc>
          <w:tcPr>
            <w:tcW w:w="2093" w:type="dxa"/>
          </w:tcPr>
          <w:p w14:paraId="1A486FFA" w14:textId="77777777" w:rsidR="000D0C07" w:rsidRPr="001E7343" w:rsidRDefault="000D0C07" w:rsidP="00DC4B6F">
            <w:pPr>
              <w:jc w:val="center"/>
              <w:rPr>
                <w:rFonts w:cstheme="minorHAnsi"/>
              </w:rPr>
            </w:pPr>
          </w:p>
        </w:tc>
        <w:tc>
          <w:tcPr>
            <w:tcW w:w="941" w:type="dxa"/>
          </w:tcPr>
          <w:p w14:paraId="67FC7DF8" w14:textId="77777777" w:rsidR="000D0C07" w:rsidRPr="001E7343" w:rsidRDefault="000D0C07" w:rsidP="00DC4B6F">
            <w:pPr>
              <w:jc w:val="center"/>
              <w:rPr>
                <w:rFonts w:cstheme="minorHAnsi"/>
              </w:rPr>
            </w:pPr>
          </w:p>
        </w:tc>
      </w:tr>
      <w:tr w:rsidR="000D0C07" w:rsidRPr="001E7343" w14:paraId="41DDFCF3" w14:textId="77777777" w:rsidTr="00DC4B6F">
        <w:tc>
          <w:tcPr>
            <w:tcW w:w="1801" w:type="dxa"/>
          </w:tcPr>
          <w:p w14:paraId="3BC1C290" w14:textId="77777777" w:rsidR="000D0C07" w:rsidRPr="001E7343" w:rsidRDefault="000D0C07" w:rsidP="00DC4B6F">
            <w:pPr>
              <w:rPr>
                <w:rFonts w:cstheme="minorHAnsi"/>
              </w:rPr>
            </w:pPr>
            <w:r w:rsidRPr="001E7343">
              <w:rPr>
                <w:rFonts w:cstheme="minorHAnsi"/>
              </w:rPr>
              <w:t>Yes</w:t>
            </w:r>
          </w:p>
        </w:tc>
        <w:tc>
          <w:tcPr>
            <w:tcW w:w="2069" w:type="dxa"/>
          </w:tcPr>
          <w:p w14:paraId="1351DFEA" w14:textId="77777777" w:rsidR="000D0C07" w:rsidRPr="001E7343" w:rsidRDefault="000D0C07" w:rsidP="00DC4B6F">
            <w:pPr>
              <w:jc w:val="center"/>
              <w:rPr>
                <w:rFonts w:cstheme="minorHAnsi"/>
              </w:rPr>
            </w:pPr>
            <w:r w:rsidRPr="001E7343">
              <w:rPr>
                <w:rFonts w:cstheme="minorHAnsi"/>
              </w:rPr>
              <w:t>23 (69.7)</w:t>
            </w:r>
          </w:p>
        </w:tc>
        <w:tc>
          <w:tcPr>
            <w:tcW w:w="2106" w:type="dxa"/>
          </w:tcPr>
          <w:p w14:paraId="4707C011" w14:textId="77777777" w:rsidR="000D0C07" w:rsidRPr="001E7343" w:rsidRDefault="000D0C07" w:rsidP="00DC4B6F">
            <w:pPr>
              <w:jc w:val="center"/>
              <w:rPr>
                <w:rFonts w:cstheme="minorHAnsi"/>
              </w:rPr>
            </w:pPr>
            <w:r w:rsidRPr="001E7343">
              <w:rPr>
                <w:rFonts w:cstheme="minorHAnsi"/>
              </w:rPr>
              <w:t>8 (100)</w:t>
            </w:r>
          </w:p>
        </w:tc>
        <w:tc>
          <w:tcPr>
            <w:tcW w:w="2093" w:type="dxa"/>
          </w:tcPr>
          <w:p w14:paraId="0F601E86" w14:textId="77777777" w:rsidR="000D0C07" w:rsidRPr="001E7343" w:rsidRDefault="000D0C07" w:rsidP="00DC4B6F">
            <w:pPr>
              <w:jc w:val="center"/>
              <w:rPr>
                <w:rFonts w:cstheme="minorHAnsi"/>
              </w:rPr>
            </w:pPr>
            <w:r w:rsidRPr="001E7343">
              <w:rPr>
                <w:rFonts w:cstheme="minorHAnsi"/>
              </w:rPr>
              <w:t>15 (60.0)</w:t>
            </w:r>
          </w:p>
        </w:tc>
        <w:tc>
          <w:tcPr>
            <w:tcW w:w="941" w:type="dxa"/>
            <w:vMerge w:val="restart"/>
          </w:tcPr>
          <w:p w14:paraId="757FC60E" w14:textId="77777777" w:rsidR="000D0C07" w:rsidRPr="001E7343" w:rsidRDefault="000D0C07" w:rsidP="00DC4B6F">
            <w:pPr>
              <w:spacing w:before="140"/>
              <w:jc w:val="center"/>
              <w:rPr>
                <w:rFonts w:cstheme="minorHAnsi"/>
              </w:rPr>
            </w:pPr>
            <w:r w:rsidRPr="001E7343">
              <w:rPr>
                <w:rFonts w:cstheme="minorHAnsi"/>
              </w:rPr>
              <w:t>0.07</w:t>
            </w:r>
          </w:p>
        </w:tc>
      </w:tr>
      <w:tr w:rsidR="000D0C07" w14:paraId="31168C11" w14:textId="77777777" w:rsidTr="00DC4B6F">
        <w:tc>
          <w:tcPr>
            <w:tcW w:w="1801" w:type="dxa"/>
          </w:tcPr>
          <w:p w14:paraId="7C3DC579" w14:textId="77777777" w:rsidR="000D0C07" w:rsidRPr="001E7343" w:rsidRDefault="000D0C07" w:rsidP="00DC4B6F">
            <w:pPr>
              <w:rPr>
                <w:rFonts w:cstheme="minorHAnsi"/>
              </w:rPr>
            </w:pPr>
            <w:r w:rsidRPr="001E7343">
              <w:rPr>
                <w:rFonts w:cstheme="minorHAnsi"/>
              </w:rPr>
              <w:t>No</w:t>
            </w:r>
          </w:p>
        </w:tc>
        <w:tc>
          <w:tcPr>
            <w:tcW w:w="2069" w:type="dxa"/>
          </w:tcPr>
          <w:p w14:paraId="68CDB2EF" w14:textId="77777777" w:rsidR="000D0C07" w:rsidRPr="001E7343" w:rsidRDefault="000D0C07" w:rsidP="00DC4B6F">
            <w:pPr>
              <w:jc w:val="center"/>
              <w:rPr>
                <w:rFonts w:cstheme="minorHAnsi"/>
              </w:rPr>
            </w:pPr>
            <w:r w:rsidRPr="001E7343">
              <w:rPr>
                <w:rFonts w:cstheme="minorHAnsi"/>
              </w:rPr>
              <w:t>10 (30.3)</w:t>
            </w:r>
          </w:p>
        </w:tc>
        <w:tc>
          <w:tcPr>
            <w:tcW w:w="2106" w:type="dxa"/>
          </w:tcPr>
          <w:p w14:paraId="36565DF5" w14:textId="77777777" w:rsidR="000D0C07" w:rsidRPr="001E7343" w:rsidRDefault="000D0C07" w:rsidP="00DC4B6F">
            <w:pPr>
              <w:jc w:val="center"/>
              <w:rPr>
                <w:rFonts w:cstheme="minorHAnsi"/>
              </w:rPr>
            </w:pPr>
            <w:r w:rsidRPr="001E7343">
              <w:rPr>
                <w:rFonts w:cstheme="minorHAnsi"/>
              </w:rPr>
              <w:t>0 (0)</w:t>
            </w:r>
          </w:p>
        </w:tc>
        <w:tc>
          <w:tcPr>
            <w:tcW w:w="2093" w:type="dxa"/>
          </w:tcPr>
          <w:p w14:paraId="2A5F3F65" w14:textId="77777777" w:rsidR="000D0C07" w:rsidRPr="001E7343" w:rsidRDefault="000D0C07" w:rsidP="00DC4B6F">
            <w:pPr>
              <w:jc w:val="center"/>
              <w:rPr>
                <w:rFonts w:cstheme="minorHAnsi"/>
              </w:rPr>
            </w:pPr>
            <w:r w:rsidRPr="001E7343">
              <w:rPr>
                <w:rFonts w:cstheme="minorHAnsi"/>
              </w:rPr>
              <w:t>10 (40.0)</w:t>
            </w:r>
          </w:p>
        </w:tc>
        <w:tc>
          <w:tcPr>
            <w:tcW w:w="941" w:type="dxa"/>
            <w:vMerge/>
          </w:tcPr>
          <w:p w14:paraId="230FD2CB" w14:textId="77777777" w:rsidR="000D0C07" w:rsidRDefault="000D0C07" w:rsidP="00DC4B6F">
            <w:pPr>
              <w:rPr>
                <w:rFonts w:cstheme="minorHAnsi"/>
              </w:rPr>
            </w:pPr>
          </w:p>
        </w:tc>
      </w:tr>
    </w:tbl>
    <w:p w14:paraId="5888DA4A" w14:textId="1DD7F6AB" w:rsidR="00CF4ADC" w:rsidRDefault="00CF4ADC">
      <w:pPr>
        <w:spacing w:after="0" w:line="240" w:lineRule="auto"/>
      </w:pPr>
      <w:r>
        <w:br w:type="page"/>
      </w:r>
    </w:p>
    <w:p w14:paraId="1E04729B" w14:textId="77777777" w:rsidR="007E0E6D" w:rsidRDefault="007E0E6D" w:rsidP="00531EBF"/>
    <w:p w14:paraId="152B1D68" w14:textId="5088C4E6" w:rsidR="007E0E6D" w:rsidRDefault="007E0E6D" w:rsidP="00531EBF">
      <w:r>
        <w:t xml:space="preserve">Table 2. </w:t>
      </w:r>
    </w:p>
    <w:p w14:paraId="4DAF0F9F" w14:textId="28E2E3EF" w:rsidR="00D61D28" w:rsidRPr="00D50890" w:rsidRDefault="00406663" w:rsidP="00D61D28">
      <w:pPr>
        <w:spacing w:line="360" w:lineRule="auto"/>
        <w:rPr>
          <w:rFonts w:cstheme="minorHAnsi"/>
        </w:rPr>
      </w:pPr>
      <w:r>
        <w:rPr>
          <w:rFonts w:cstheme="minorHAnsi"/>
        </w:rPr>
        <w:t>R</w:t>
      </w:r>
      <w:r w:rsidR="00D61D28" w:rsidRPr="00D50890">
        <w:rPr>
          <w:rFonts w:cstheme="minorHAnsi"/>
        </w:rPr>
        <w:t xml:space="preserve">esults of the clinical assessment of </w:t>
      </w:r>
      <w:r w:rsidR="00F4169C">
        <w:rPr>
          <w:rFonts w:cstheme="minorHAnsi"/>
        </w:rPr>
        <w:t xml:space="preserve">particular </w:t>
      </w:r>
      <w:r w:rsidR="00D61D28" w:rsidRPr="00D50890">
        <w:rPr>
          <w:rFonts w:cstheme="minorHAnsi"/>
        </w:rPr>
        <w:t>phenotypes in adulthood</w:t>
      </w:r>
      <w:r w:rsidR="00F4169C">
        <w:rPr>
          <w:rFonts w:cstheme="minorHAnsi"/>
        </w:rPr>
        <w:t xml:space="preserve"> to create two novel </w:t>
      </w:r>
      <w:r w:rsidR="00874089">
        <w:rPr>
          <w:rFonts w:cstheme="minorHAnsi"/>
        </w:rPr>
        <w:t>s</w:t>
      </w:r>
      <w:r w:rsidR="00F4169C">
        <w:rPr>
          <w:rFonts w:cstheme="minorHAnsi"/>
        </w:rPr>
        <w:t>coring systems</w:t>
      </w:r>
      <w:r w:rsidR="00D61D28" w:rsidRPr="00D50890">
        <w:rPr>
          <w:rFonts w:cstheme="minorHAnsi"/>
        </w:rPr>
        <w:t xml:space="preserve"> </w:t>
      </w:r>
    </w:p>
    <w:p w14:paraId="27B8CAE6" w14:textId="5604EEEC" w:rsidR="00D61D28" w:rsidRPr="00D50890" w:rsidRDefault="00D61D28" w:rsidP="00D61D28">
      <w:pPr>
        <w:spacing w:line="360" w:lineRule="auto"/>
        <w:rPr>
          <w:rFonts w:cstheme="minorHAnsi"/>
        </w:rPr>
      </w:pPr>
      <w:r w:rsidRPr="00D50890">
        <w:rPr>
          <w:rFonts w:cstheme="minorHAnsi"/>
        </w:rPr>
        <w:t xml:space="preserve">Method 1 assessed  i) adult height ≤-2 SDS, ii) relative adult macrocephaly (head circumference SDS ≥1.5 length SDS iii) protruding forehead in adulthood iv) body asymmetry in adulthood and v) feeding difficulties and/or low BMI (BMI ≤-2 SDS) in adulthood. </w:t>
      </w:r>
    </w:p>
    <w:p w14:paraId="774C94E5" w14:textId="25EC3CEB" w:rsidR="00D61D28" w:rsidRPr="00D51599" w:rsidRDefault="00D61D28" w:rsidP="00D61D28">
      <w:pPr>
        <w:spacing w:line="360" w:lineRule="auto"/>
        <w:rPr>
          <w:rFonts w:cstheme="minorHAnsi"/>
        </w:rPr>
      </w:pPr>
      <w:r w:rsidRPr="00D50890">
        <w:rPr>
          <w:rFonts w:cstheme="minorHAnsi"/>
        </w:rPr>
        <w:t xml:space="preserve">Method 2 used historical data from medical notes and parental questionnaires available in the majority of adults </w:t>
      </w:r>
      <w:r w:rsidR="006F5890">
        <w:rPr>
          <w:rFonts w:cstheme="minorHAnsi"/>
        </w:rPr>
        <w:t xml:space="preserve">in addition to examination and </w:t>
      </w:r>
      <w:r w:rsidRPr="00D50890">
        <w:rPr>
          <w:rFonts w:cstheme="minorHAnsi"/>
        </w:rPr>
        <w:t>assessed</w:t>
      </w:r>
      <w:r w:rsidRPr="00D51599">
        <w:rPr>
          <w:rFonts w:cstheme="minorHAnsi"/>
        </w:rPr>
        <w:t xml:space="preserve"> </w:t>
      </w:r>
      <w:r w:rsidRPr="00D50890">
        <w:rPr>
          <w:rFonts w:cstheme="minorHAnsi"/>
        </w:rPr>
        <w:t>i) birth weight and/or length ≤-2 SDS ii) history of childhood feeding difficulties/low BMI iii) adult height ≤-2 SDS, iv) relative adult macrocephaly (head circumference SDS ≥1.5 length SDS v) protruding forehead in adulthood vi) body asymmetry in adulthood.</w:t>
      </w:r>
      <w:r>
        <w:rPr>
          <w:rFonts w:cstheme="minorHAnsi"/>
        </w:rPr>
        <w:t xml:space="preserve"> </w:t>
      </w:r>
      <w:r w:rsidRPr="00D51599">
        <w:rPr>
          <w:rFonts w:cstheme="minorHAnsi"/>
        </w:rPr>
        <w:t xml:space="preserve"> </w:t>
      </w:r>
    </w:p>
    <w:p w14:paraId="537632D1" w14:textId="77777777" w:rsidR="007E0E6D" w:rsidRDefault="007E0E6D" w:rsidP="00531EBF">
      <w:pPr>
        <w:rPr>
          <w:rFonts w:cstheme="minorHAnsi"/>
        </w:rPr>
      </w:pPr>
    </w:p>
    <w:tbl>
      <w:tblPr>
        <w:tblStyle w:val="TableGrid"/>
        <w:tblW w:w="9016" w:type="dxa"/>
        <w:tblLook w:val="04A0" w:firstRow="1" w:lastRow="0" w:firstColumn="1" w:lastColumn="0" w:noHBand="0" w:noVBand="1"/>
      </w:tblPr>
      <w:tblGrid>
        <w:gridCol w:w="5177"/>
        <w:gridCol w:w="1945"/>
        <w:gridCol w:w="1894"/>
      </w:tblGrid>
      <w:tr w:rsidR="007E0E6D" w14:paraId="494B6104" w14:textId="77777777" w:rsidTr="00D50890">
        <w:tc>
          <w:tcPr>
            <w:tcW w:w="5177" w:type="dxa"/>
          </w:tcPr>
          <w:p w14:paraId="78885B88" w14:textId="073071EA" w:rsidR="007E0E6D" w:rsidRPr="0086724A" w:rsidRDefault="007E0E6D" w:rsidP="00CA5C22">
            <w:pPr>
              <w:pStyle w:val="BodyText"/>
              <w:framePr w:hSpace="0" w:wrap="auto" w:vAnchor="margin" w:hAnchor="text" w:yAlign="inline"/>
            </w:pPr>
            <w:r w:rsidRPr="0086724A">
              <w:t xml:space="preserve">Molecularly confirmed SRS patients assessed </w:t>
            </w:r>
            <w:r w:rsidR="00D61D28">
              <w:t xml:space="preserve">using </w:t>
            </w:r>
            <w:r w:rsidR="00935A45">
              <w:t xml:space="preserve">2 </w:t>
            </w:r>
            <w:r w:rsidR="00D61D28">
              <w:t>new adult scoring systems</w:t>
            </w:r>
            <w:r w:rsidR="00935A45">
              <w:t xml:space="preserve"> </w:t>
            </w:r>
            <w:r w:rsidRPr="0086724A">
              <w:t xml:space="preserve"> </w:t>
            </w:r>
          </w:p>
        </w:tc>
        <w:tc>
          <w:tcPr>
            <w:tcW w:w="1945" w:type="dxa"/>
          </w:tcPr>
          <w:p w14:paraId="222C67EB" w14:textId="2060B632" w:rsidR="007E0E6D" w:rsidRPr="00D50890" w:rsidRDefault="007E0E6D" w:rsidP="00CA5C22">
            <w:pPr>
              <w:pStyle w:val="BodyText"/>
              <w:framePr w:hSpace="0" w:wrap="auto" w:vAnchor="margin" w:hAnchor="text" w:yAlign="inline"/>
              <w:rPr>
                <w:rFonts w:asciiTheme="majorHAnsi" w:hAnsiTheme="majorHAnsi" w:cstheme="majorHAnsi"/>
              </w:rPr>
            </w:pPr>
            <w:r w:rsidRPr="00D50890">
              <w:rPr>
                <w:rFonts w:asciiTheme="majorHAnsi" w:hAnsiTheme="majorHAnsi" w:cstheme="majorHAnsi"/>
              </w:rPr>
              <w:t xml:space="preserve">Percentage of </w:t>
            </w:r>
            <w:r w:rsidR="00B313DD" w:rsidRPr="00D50890">
              <w:rPr>
                <w:rFonts w:asciiTheme="majorHAnsi" w:hAnsiTheme="majorHAnsi" w:cstheme="majorHAnsi"/>
              </w:rPr>
              <w:t>patients</w:t>
            </w:r>
            <w:r w:rsidRPr="00D50890">
              <w:rPr>
                <w:rFonts w:asciiTheme="majorHAnsi" w:hAnsiTheme="majorHAnsi" w:cstheme="majorHAnsi"/>
              </w:rPr>
              <w:t xml:space="preserve"> scor</w:t>
            </w:r>
            <w:r w:rsidR="00B313DD" w:rsidRPr="00D50890">
              <w:rPr>
                <w:rFonts w:asciiTheme="majorHAnsi" w:hAnsiTheme="majorHAnsi" w:cstheme="majorHAnsi"/>
              </w:rPr>
              <w:t>ing</w:t>
            </w:r>
            <w:r w:rsidRPr="00D50890">
              <w:rPr>
                <w:rFonts w:asciiTheme="majorHAnsi" w:hAnsiTheme="majorHAnsi" w:cstheme="majorHAnsi"/>
              </w:rPr>
              <w:t xml:space="preserve"> (≥4)</w:t>
            </w:r>
          </w:p>
        </w:tc>
        <w:tc>
          <w:tcPr>
            <w:tcW w:w="1894" w:type="dxa"/>
          </w:tcPr>
          <w:p w14:paraId="1C9B716C" w14:textId="393A6871" w:rsidR="007E0E6D" w:rsidRPr="0086724A" w:rsidRDefault="007E0E6D" w:rsidP="00CA5C22">
            <w:pPr>
              <w:pStyle w:val="BodyText"/>
              <w:framePr w:hSpace="0" w:wrap="auto" w:vAnchor="margin" w:hAnchor="text" w:yAlign="inline"/>
            </w:pPr>
            <w:r w:rsidRPr="0086724A">
              <w:t xml:space="preserve">Percentage of </w:t>
            </w:r>
            <w:r w:rsidR="00B313DD">
              <w:t>patients scoring</w:t>
            </w:r>
            <w:r>
              <w:t xml:space="preserve"> (≥3)</w:t>
            </w:r>
          </w:p>
          <w:p w14:paraId="125B07EA" w14:textId="77777777" w:rsidR="007E0E6D" w:rsidRDefault="007E0E6D" w:rsidP="00CA5C22">
            <w:pPr>
              <w:spacing w:line="360" w:lineRule="auto"/>
              <w:rPr>
                <w:rFonts w:cstheme="minorHAnsi"/>
              </w:rPr>
            </w:pPr>
          </w:p>
        </w:tc>
      </w:tr>
      <w:tr w:rsidR="007E0E6D" w14:paraId="2DF5911E" w14:textId="77777777" w:rsidTr="00D50890">
        <w:tc>
          <w:tcPr>
            <w:tcW w:w="5177" w:type="dxa"/>
          </w:tcPr>
          <w:p w14:paraId="01854BA7" w14:textId="0C84A1DE" w:rsidR="007E0E6D" w:rsidRDefault="00D61D28" w:rsidP="001F5622">
            <w:pPr>
              <w:spacing w:line="360" w:lineRule="auto"/>
              <w:rPr>
                <w:rFonts w:cstheme="minorHAnsi"/>
              </w:rPr>
            </w:pPr>
            <w:r>
              <w:rPr>
                <w:rFonts w:cstheme="minorHAnsi"/>
              </w:rPr>
              <w:t>Method 1 based on 5 criteria (n=29)</w:t>
            </w:r>
            <w:r w:rsidR="001F5622">
              <w:rPr>
                <w:rFonts w:cstheme="minorHAnsi"/>
              </w:rPr>
              <w:t xml:space="preserve"> </w:t>
            </w:r>
          </w:p>
        </w:tc>
        <w:tc>
          <w:tcPr>
            <w:tcW w:w="1945" w:type="dxa"/>
          </w:tcPr>
          <w:p w14:paraId="71B3F88B" w14:textId="77777777" w:rsidR="007E0E6D" w:rsidRDefault="007E0E6D" w:rsidP="00CA5C22">
            <w:pPr>
              <w:spacing w:line="360" w:lineRule="auto"/>
              <w:rPr>
                <w:rFonts w:cstheme="minorHAnsi"/>
              </w:rPr>
            </w:pPr>
            <w:r>
              <w:rPr>
                <w:rFonts w:cstheme="minorHAnsi"/>
              </w:rPr>
              <w:t>21%</w:t>
            </w:r>
          </w:p>
          <w:p w14:paraId="2052D327" w14:textId="77777777" w:rsidR="007E0E6D" w:rsidRDefault="007E0E6D" w:rsidP="00CA5C22">
            <w:pPr>
              <w:spacing w:line="360" w:lineRule="auto"/>
              <w:rPr>
                <w:rFonts w:cstheme="minorHAnsi"/>
              </w:rPr>
            </w:pPr>
            <w:r>
              <w:rPr>
                <w:rFonts w:cstheme="minorHAnsi"/>
              </w:rPr>
              <w:t xml:space="preserve">6/29 </w:t>
            </w:r>
          </w:p>
        </w:tc>
        <w:tc>
          <w:tcPr>
            <w:tcW w:w="1894" w:type="dxa"/>
          </w:tcPr>
          <w:p w14:paraId="247B3857" w14:textId="77777777" w:rsidR="007E0E6D" w:rsidRDefault="007E0E6D" w:rsidP="00CA5C22">
            <w:pPr>
              <w:spacing w:line="360" w:lineRule="auto"/>
              <w:rPr>
                <w:rFonts w:cstheme="minorHAnsi"/>
              </w:rPr>
            </w:pPr>
            <w:r>
              <w:rPr>
                <w:rFonts w:cstheme="minorHAnsi"/>
              </w:rPr>
              <w:t xml:space="preserve">48% </w:t>
            </w:r>
          </w:p>
          <w:p w14:paraId="262D2BC9" w14:textId="77777777" w:rsidR="007E0E6D" w:rsidRDefault="007E0E6D" w:rsidP="00CA5C22">
            <w:pPr>
              <w:spacing w:line="360" w:lineRule="auto"/>
              <w:rPr>
                <w:rFonts w:cstheme="minorHAnsi"/>
              </w:rPr>
            </w:pPr>
            <w:r>
              <w:rPr>
                <w:rFonts w:cstheme="minorHAnsi"/>
              </w:rPr>
              <w:t>14/29</w:t>
            </w:r>
          </w:p>
        </w:tc>
      </w:tr>
      <w:tr w:rsidR="007E0E6D" w14:paraId="1DB62544" w14:textId="77777777" w:rsidTr="00D50890">
        <w:trPr>
          <w:trHeight w:val="1116"/>
        </w:trPr>
        <w:tc>
          <w:tcPr>
            <w:tcW w:w="5177" w:type="dxa"/>
          </w:tcPr>
          <w:p w14:paraId="1128FA74" w14:textId="471DF91D" w:rsidR="007E0E6D" w:rsidRDefault="00D61D28" w:rsidP="001F5622">
            <w:pPr>
              <w:spacing w:line="360" w:lineRule="auto"/>
              <w:rPr>
                <w:rFonts w:cstheme="minorHAnsi"/>
              </w:rPr>
            </w:pPr>
            <w:r>
              <w:rPr>
                <w:rFonts w:cstheme="minorHAnsi"/>
              </w:rPr>
              <w:t>Method 2 based on 6 criteria (n=29)</w:t>
            </w:r>
            <w:r w:rsidR="001F5622">
              <w:rPr>
                <w:rFonts w:cstheme="minorHAnsi"/>
              </w:rPr>
              <w:t xml:space="preserve"> </w:t>
            </w:r>
          </w:p>
        </w:tc>
        <w:tc>
          <w:tcPr>
            <w:tcW w:w="1945" w:type="dxa"/>
          </w:tcPr>
          <w:p w14:paraId="6C1CE0A5" w14:textId="77777777" w:rsidR="007E0E6D" w:rsidRDefault="007E0E6D" w:rsidP="00CA5C22">
            <w:pPr>
              <w:spacing w:line="360" w:lineRule="auto"/>
              <w:rPr>
                <w:rFonts w:cstheme="minorHAnsi"/>
              </w:rPr>
            </w:pPr>
            <w:r>
              <w:rPr>
                <w:rFonts w:cstheme="minorHAnsi"/>
              </w:rPr>
              <w:t>41%</w:t>
            </w:r>
          </w:p>
          <w:p w14:paraId="2AE31619" w14:textId="77777777" w:rsidR="007E0E6D" w:rsidRDefault="007E0E6D" w:rsidP="00CA5C22">
            <w:pPr>
              <w:spacing w:line="360" w:lineRule="auto"/>
              <w:rPr>
                <w:rFonts w:cstheme="minorHAnsi"/>
              </w:rPr>
            </w:pPr>
            <w:r>
              <w:rPr>
                <w:rFonts w:cstheme="minorHAnsi"/>
              </w:rPr>
              <w:t>12/29</w:t>
            </w:r>
          </w:p>
        </w:tc>
        <w:tc>
          <w:tcPr>
            <w:tcW w:w="1894" w:type="dxa"/>
          </w:tcPr>
          <w:p w14:paraId="64D3962B" w14:textId="77777777" w:rsidR="007E0E6D" w:rsidRDefault="007E0E6D" w:rsidP="00CA5C22">
            <w:pPr>
              <w:spacing w:line="360" w:lineRule="auto"/>
              <w:rPr>
                <w:rFonts w:cstheme="minorHAnsi"/>
              </w:rPr>
            </w:pPr>
            <w:r>
              <w:rPr>
                <w:rFonts w:cstheme="minorHAnsi"/>
              </w:rPr>
              <w:t>69%</w:t>
            </w:r>
          </w:p>
          <w:p w14:paraId="2434EEB4" w14:textId="77777777" w:rsidR="007E0E6D" w:rsidRDefault="007E0E6D" w:rsidP="00CA5C22">
            <w:pPr>
              <w:spacing w:line="360" w:lineRule="auto"/>
              <w:rPr>
                <w:rFonts w:cstheme="minorHAnsi"/>
              </w:rPr>
            </w:pPr>
            <w:r>
              <w:rPr>
                <w:rFonts w:cstheme="minorHAnsi"/>
              </w:rPr>
              <w:t>20/29</w:t>
            </w:r>
          </w:p>
        </w:tc>
      </w:tr>
      <w:tr w:rsidR="007E0E6D" w14:paraId="678B4506" w14:textId="77777777" w:rsidTr="00D50890">
        <w:trPr>
          <w:trHeight w:val="967"/>
        </w:trPr>
        <w:tc>
          <w:tcPr>
            <w:tcW w:w="5177" w:type="dxa"/>
          </w:tcPr>
          <w:p w14:paraId="7C941FDA" w14:textId="63EAB622" w:rsidR="007E0E6D" w:rsidRDefault="007E0E6D" w:rsidP="00CA5C22">
            <w:pPr>
              <w:spacing w:line="360" w:lineRule="auto"/>
              <w:rPr>
                <w:rFonts w:cstheme="minorHAnsi"/>
              </w:rPr>
            </w:pPr>
          </w:p>
        </w:tc>
        <w:tc>
          <w:tcPr>
            <w:tcW w:w="1945" w:type="dxa"/>
          </w:tcPr>
          <w:p w14:paraId="0AF1B716" w14:textId="237353B6" w:rsidR="007E0E6D" w:rsidRDefault="007E0E6D" w:rsidP="00CA5C22">
            <w:pPr>
              <w:spacing w:line="360" w:lineRule="auto"/>
              <w:rPr>
                <w:rFonts w:cstheme="minorHAnsi"/>
              </w:rPr>
            </w:pPr>
          </w:p>
        </w:tc>
        <w:tc>
          <w:tcPr>
            <w:tcW w:w="1894" w:type="dxa"/>
          </w:tcPr>
          <w:p w14:paraId="76097931" w14:textId="1A5F386C" w:rsidR="007E0E6D" w:rsidRDefault="007E0E6D" w:rsidP="00CA5C22">
            <w:pPr>
              <w:spacing w:line="360" w:lineRule="auto"/>
              <w:rPr>
                <w:rFonts w:cstheme="minorHAnsi"/>
              </w:rPr>
            </w:pPr>
          </w:p>
          <w:p w14:paraId="647B4176" w14:textId="52044FC4" w:rsidR="007E0E6D" w:rsidRDefault="007E0E6D" w:rsidP="00CA5C22">
            <w:pPr>
              <w:spacing w:line="360" w:lineRule="auto"/>
              <w:rPr>
                <w:rFonts w:cstheme="minorHAnsi"/>
              </w:rPr>
            </w:pPr>
          </w:p>
        </w:tc>
      </w:tr>
    </w:tbl>
    <w:p w14:paraId="64E3EC5E" w14:textId="77777777" w:rsidR="007E0E6D" w:rsidRDefault="007E0E6D" w:rsidP="00531EBF">
      <w:pPr>
        <w:autoSpaceDE w:val="0"/>
        <w:autoSpaceDN w:val="0"/>
        <w:adjustRightInd w:val="0"/>
        <w:spacing w:line="360" w:lineRule="auto"/>
        <w:rPr>
          <w:rFonts w:cstheme="minorHAnsi"/>
        </w:rPr>
      </w:pPr>
    </w:p>
    <w:p w14:paraId="16EFAF4A" w14:textId="77777777" w:rsidR="007E0E6D" w:rsidRDefault="007E0E6D" w:rsidP="00531EBF">
      <w:pPr>
        <w:autoSpaceDE w:val="0"/>
        <w:autoSpaceDN w:val="0"/>
        <w:adjustRightInd w:val="0"/>
        <w:spacing w:line="360" w:lineRule="auto"/>
        <w:rPr>
          <w:rFonts w:cstheme="minorHAnsi"/>
        </w:rPr>
      </w:pPr>
    </w:p>
    <w:p w14:paraId="017EFCAA" w14:textId="77777777" w:rsidR="00D61D28" w:rsidRDefault="00D61D28">
      <w:pPr>
        <w:spacing w:after="0" w:line="240" w:lineRule="auto"/>
        <w:rPr>
          <w:rFonts w:cstheme="minorHAnsi"/>
        </w:rPr>
      </w:pPr>
      <w:r>
        <w:rPr>
          <w:rFonts w:cstheme="minorHAnsi"/>
        </w:rPr>
        <w:br w:type="page"/>
      </w:r>
    </w:p>
    <w:p w14:paraId="042454E5" w14:textId="4AE51B62" w:rsidR="007E0E6D" w:rsidRDefault="007E0E6D" w:rsidP="00531EBF">
      <w:pPr>
        <w:autoSpaceDE w:val="0"/>
        <w:autoSpaceDN w:val="0"/>
        <w:adjustRightInd w:val="0"/>
        <w:spacing w:line="360" w:lineRule="auto"/>
        <w:rPr>
          <w:rFonts w:cstheme="minorHAnsi"/>
        </w:rPr>
      </w:pPr>
      <w:r>
        <w:rPr>
          <w:rFonts w:cstheme="minorHAnsi"/>
        </w:rPr>
        <w:t xml:space="preserve">Table 3. Congenital anomalies identified in the cohort of 33 patients by genotype. </w:t>
      </w:r>
      <w:r w:rsidRPr="004C405E">
        <w:rPr>
          <w:rFonts w:cstheme="minorHAnsi"/>
        </w:rPr>
        <w:t xml:space="preserve">Radial </w:t>
      </w:r>
      <w:r>
        <w:rPr>
          <w:rFonts w:cstheme="minorHAnsi"/>
        </w:rPr>
        <w:t xml:space="preserve">and thumb </w:t>
      </w:r>
      <w:r w:rsidRPr="004C405E">
        <w:rPr>
          <w:rFonts w:cstheme="minorHAnsi"/>
        </w:rPr>
        <w:t xml:space="preserve">anomalies </w:t>
      </w:r>
      <w:r>
        <w:rPr>
          <w:rFonts w:cstheme="minorHAnsi"/>
        </w:rPr>
        <w:t>included</w:t>
      </w:r>
      <w:r w:rsidRPr="004C405E">
        <w:rPr>
          <w:rFonts w:cstheme="minorHAnsi"/>
        </w:rPr>
        <w:t xml:space="preserve"> hypoplasia of the radii </w:t>
      </w:r>
      <w:r>
        <w:rPr>
          <w:rFonts w:cstheme="minorHAnsi"/>
        </w:rPr>
        <w:t xml:space="preserve">with absent thumbs bilaterally, </w:t>
      </w:r>
      <w:r w:rsidRPr="004C405E">
        <w:rPr>
          <w:rFonts w:cstheme="minorHAnsi"/>
        </w:rPr>
        <w:t>a bifid thumb</w:t>
      </w:r>
      <w:r>
        <w:rPr>
          <w:rFonts w:cstheme="minorHAnsi"/>
        </w:rPr>
        <w:t xml:space="preserve">, </w:t>
      </w:r>
      <w:r w:rsidRPr="004C405E">
        <w:rPr>
          <w:rFonts w:cstheme="minorHAnsi"/>
        </w:rPr>
        <w:t>congenital dislocation of the radial head</w:t>
      </w:r>
      <w:r>
        <w:rPr>
          <w:rFonts w:cstheme="minorHAnsi"/>
        </w:rPr>
        <w:t xml:space="preserve">.  </w:t>
      </w:r>
      <w:r w:rsidRPr="00262874">
        <w:rPr>
          <w:rFonts w:cstheme="minorHAnsi"/>
        </w:rPr>
        <w:t xml:space="preserve">Of the three individuals with cleft palate, a bifid uvula </w:t>
      </w:r>
      <w:r>
        <w:rPr>
          <w:rFonts w:cstheme="minorHAnsi"/>
        </w:rPr>
        <w:t xml:space="preserve">only </w:t>
      </w:r>
      <w:r w:rsidRPr="00262874">
        <w:rPr>
          <w:rFonts w:cstheme="minorHAnsi"/>
        </w:rPr>
        <w:t xml:space="preserve">was present in one of these cases.  The genital anomalies in females included: 1) vaginal agenesis with a hypoplastic uterus and single ovary; 2) hypoplastic genitalia with pronounced labia minora and a history of vaginal hernia; and 3) a bicornuate uterus with double cervix.  The genital anomalies in males included: 1) a history of bilateral cryptorchidism in four cases and 2) a history of ambiguous genitalia and severe hypospadias. The cardiac anomalies </w:t>
      </w:r>
      <w:r>
        <w:rPr>
          <w:rFonts w:cstheme="minorHAnsi"/>
        </w:rPr>
        <w:t>were</w:t>
      </w:r>
      <w:r w:rsidRPr="00262874">
        <w:rPr>
          <w:rFonts w:cstheme="minorHAnsi"/>
        </w:rPr>
        <w:t xml:space="preserve"> 1) tricuspid valve regurgitation; 2) cardiac juxtaposition; and 3) history of coarctation of the aorta with multiple ventriculo-septal defects.  Th</w:t>
      </w:r>
      <w:r>
        <w:rPr>
          <w:rFonts w:cstheme="minorHAnsi"/>
        </w:rPr>
        <w:t>e renal anomalies reported were</w:t>
      </w:r>
      <w:r w:rsidRPr="00262874">
        <w:rPr>
          <w:rFonts w:cstheme="minorHAnsi"/>
        </w:rPr>
        <w:t xml:space="preserve"> 1) a solitary kidney with crossed fused ectopia 2) horseshoe kidney, and 3) malrotation of one kidney.  There was one case of ‘congenital hip dislocation’</w:t>
      </w:r>
      <w:r>
        <w:rPr>
          <w:rFonts w:cstheme="minorHAnsi"/>
        </w:rPr>
        <w:t>.  The</w:t>
      </w:r>
      <w:r w:rsidRPr="00262874">
        <w:rPr>
          <w:rFonts w:cstheme="minorHAnsi"/>
        </w:rPr>
        <w:t xml:space="preserve"> coloboma </w:t>
      </w:r>
      <w:r>
        <w:rPr>
          <w:rFonts w:cstheme="minorHAnsi"/>
        </w:rPr>
        <w:t xml:space="preserve">was </w:t>
      </w:r>
      <w:r w:rsidRPr="00262874">
        <w:rPr>
          <w:rFonts w:cstheme="minorHAnsi"/>
        </w:rPr>
        <w:t xml:space="preserve">of the iris </w:t>
      </w:r>
      <w:r>
        <w:rPr>
          <w:rFonts w:cstheme="minorHAnsi"/>
        </w:rPr>
        <w:t>only</w:t>
      </w:r>
      <w:r w:rsidRPr="00262874">
        <w:rPr>
          <w:rFonts w:cstheme="minorHAnsi"/>
        </w:rPr>
        <w:t>.  The brain abnormality was reported as a dysplastic corpus callosum.</w:t>
      </w:r>
      <w:r w:rsidRPr="0040379F">
        <w:rPr>
          <w:rFonts w:cstheme="minorHAnsi"/>
        </w:rPr>
        <w:t xml:space="preserve"> </w:t>
      </w:r>
    </w:p>
    <w:p w14:paraId="00D992B6" w14:textId="77777777" w:rsidR="007E0E6D" w:rsidRDefault="007E0E6D" w:rsidP="00531EBF">
      <w:pPr>
        <w:rPr>
          <w:rFonts w:cstheme="minorHAnsi"/>
        </w:rPr>
      </w:pPr>
    </w:p>
    <w:tbl>
      <w:tblPr>
        <w:tblStyle w:val="TableGrid"/>
        <w:tblW w:w="0" w:type="auto"/>
        <w:tblLook w:val="04A0" w:firstRow="1" w:lastRow="0" w:firstColumn="1" w:lastColumn="0" w:noHBand="0" w:noVBand="1"/>
      </w:tblPr>
      <w:tblGrid>
        <w:gridCol w:w="2333"/>
        <w:gridCol w:w="1652"/>
        <w:gridCol w:w="1693"/>
        <w:gridCol w:w="1694"/>
        <w:gridCol w:w="1638"/>
      </w:tblGrid>
      <w:tr w:rsidR="007E0E6D" w14:paraId="2A6BD4AB" w14:textId="77777777" w:rsidTr="00531EBF">
        <w:tc>
          <w:tcPr>
            <w:tcW w:w="2333" w:type="dxa"/>
          </w:tcPr>
          <w:p w14:paraId="35DE0877" w14:textId="77777777" w:rsidR="007E0E6D" w:rsidRPr="00455455" w:rsidRDefault="007E0E6D" w:rsidP="00531EBF">
            <w:pPr>
              <w:rPr>
                <w:b/>
              </w:rPr>
            </w:pPr>
            <w:r w:rsidRPr="00455455">
              <w:rPr>
                <w:b/>
              </w:rPr>
              <w:t>Phenotype</w:t>
            </w:r>
          </w:p>
        </w:tc>
        <w:tc>
          <w:tcPr>
            <w:tcW w:w="1652" w:type="dxa"/>
          </w:tcPr>
          <w:p w14:paraId="21F7877D" w14:textId="77777777" w:rsidR="007E0E6D" w:rsidRPr="00455455" w:rsidRDefault="007E0E6D" w:rsidP="00531EBF">
            <w:pPr>
              <w:jc w:val="center"/>
              <w:rPr>
                <w:b/>
              </w:rPr>
            </w:pPr>
            <w:r w:rsidRPr="00455455">
              <w:rPr>
                <w:b/>
              </w:rPr>
              <w:t>All cases (n=33)</w:t>
            </w:r>
          </w:p>
        </w:tc>
        <w:tc>
          <w:tcPr>
            <w:tcW w:w="1693" w:type="dxa"/>
          </w:tcPr>
          <w:p w14:paraId="30158593" w14:textId="77777777" w:rsidR="007E0E6D" w:rsidRPr="00455455" w:rsidRDefault="007E0E6D" w:rsidP="00531EBF">
            <w:pPr>
              <w:jc w:val="center"/>
              <w:rPr>
                <w:b/>
              </w:rPr>
            </w:pPr>
            <w:r w:rsidRPr="00455455">
              <w:rPr>
                <w:b/>
              </w:rPr>
              <w:t>H19/IGF2 LOM (n=27)</w:t>
            </w:r>
          </w:p>
        </w:tc>
        <w:tc>
          <w:tcPr>
            <w:tcW w:w="1694" w:type="dxa"/>
          </w:tcPr>
          <w:p w14:paraId="44B236F6" w14:textId="77777777" w:rsidR="007E0E6D" w:rsidRPr="00455455" w:rsidRDefault="007E0E6D" w:rsidP="00531EBF">
            <w:pPr>
              <w:jc w:val="center"/>
              <w:rPr>
                <w:b/>
              </w:rPr>
            </w:pPr>
            <w:r w:rsidRPr="00455455">
              <w:rPr>
                <w:b/>
              </w:rPr>
              <w:t>matUPD7 (n=6)</w:t>
            </w:r>
          </w:p>
        </w:tc>
        <w:tc>
          <w:tcPr>
            <w:tcW w:w="1638" w:type="dxa"/>
          </w:tcPr>
          <w:p w14:paraId="03F35E0D" w14:textId="77777777" w:rsidR="007E0E6D" w:rsidRPr="00455455" w:rsidRDefault="007E0E6D" w:rsidP="00531EBF">
            <w:pPr>
              <w:jc w:val="center"/>
              <w:rPr>
                <w:b/>
              </w:rPr>
            </w:pPr>
            <w:r w:rsidRPr="00455455">
              <w:rPr>
                <w:b/>
              </w:rPr>
              <w:t>P value</w:t>
            </w:r>
          </w:p>
        </w:tc>
      </w:tr>
      <w:tr w:rsidR="007E0E6D" w14:paraId="74EB3AC0" w14:textId="77777777" w:rsidTr="00531EBF">
        <w:tc>
          <w:tcPr>
            <w:tcW w:w="2333" w:type="dxa"/>
          </w:tcPr>
          <w:p w14:paraId="05CA6397" w14:textId="77777777" w:rsidR="007E0E6D" w:rsidRDefault="007E0E6D" w:rsidP="00531EBF">
            <w:r>
              <w:t>Congenital anomaly present</w:t>
            </w:r>
          </w:p>
        </w:tc>
        <w:tc>
          <w:tcPr>
            <w:tcW w:w="1652" w:type="dxa"/>
          </w:tcPr>
          <w:p w14:paraId="405B4590" w14:textId="77777777" w:rsidR="007E0E6D" w:rsidRPr="00B11A0E" w:rsidRDefault="007E0E6D" w:rsidP="00531EBF">
            <w:pPr>
              <w:jc w:val="center"/>
            </w:pPr>
            <w:r>
              <w:t>54.5</w:t>
            </w:r>
            <w:r w:rsidRPr="00B11A0E">
              <w:t>%</w:t>
            </w:r>
          </w:p>
        </w:tc>
        <w:tc>
          <w:tcPr>
            <w:tcW w:w="1693" w:type="dxa"/>
          </w:tcPr>
          <w:p w14:paraId="08887783" w14:textId="77777777" w:rsidR="007E0E6D" w:rsidRPr="00B11A0E" w:rsidRDefault="007E0E6D" w:rsidP="00531EBF">
            <w:pPr>
              <w:jc w:val="center"/>
            </w:pPr>
            <w:r>
              <w:t>63.0%</w:t>
            </w:r>
          </w:p>
        </w:tc>
        <w:tc>
          <w:tcPr>
            <w:tcW w:w="1694" w:type="dxa"/>
          </w:tcPr>
          <w:p w14:paraId="765D9A07" w14:textId="77777777" w:rsidR="007E0E6D" w:rsidRPr="00B11A0E" w:rsidRDefault="007E0E6D" w:rsidP="00531EBF">
            <w:pPr>
              <w:jc w:val="center"/>
            </w:pPr>
            <w:r>
              <w:t>16.7%</w:t>
            </w:r>
          </w:p>
        </w:tc>
        <w:tc>
          <w:tcPr>
            <w:tcW w:w="1638" w:type="dxa"/>
          </w:tcPr>
          <w:p w14:paraId="7FEAFCA5" w14:textId="77777777" w:rsidR="007E0E6D" w:rsidRPr="00B11A0E" w:rsidRDefault="007E0E6D" w:rsidP="00531EBF">
            <w:pPr>
              <w:jc w:val="center"/>
            </w:pPr>
            <w:r>
              <w:t>0.07</w:t>
            </w:r>
          </w:p>
        </w:tc>
      </w:tr>
      <w:tr w:rsidR="007E0E6D" w14:paraId="6B0B0499" w14:textId="77777777" w:rsidTr="00531EBF">
        <w:tc>
          <w:tcPr>
            <w:tcW w:w="2333" w:type="dxa"/>
          </w:tcPr>
          <w:p w14:paraId="7F39DED8" w14:textId="77777777" w:rsidR="007E0E6D" w:rsidRDefault="007E0E6D" w:rsidP="00531EBF">
            <w:r>
              <w:t>Cleft palate/bifid uvula</w:t>
            </w:r>
          </w:p>
        </w:tc>
        <w:tc>
          <w:tcPr>
            <w:tcW w:w="1652" w:type="dxa"/>
          </w:tcPr>
          <w:p w14:paraId="6A26F17D" w14:textId="77777777" w:rsidR="007E0E6D" w:rsidRDefault="007E0E6D" w:rsidP="00531EBF">
            <w:pPr>
              <w:jc w:val="center"/>
            </w:pPr>
            <w:r>
              <w:t>9.1%</w:t>
            </w:r>
          </w:p>
        </w:tc>
        <w:tc>
          <w:tcPr>
            <w:tcW w:w="1693" w:type="dxa"/>
          </w:tcPr>
          <w:p w14:paraId="730B2D56" w14:textId="77777777" w:rsidR="007E0E6D" w:rsidRDefault="007E0E6D" w:rsidP="00531EBF">
            <w:pPr>
              <w:jc w:val="center"/>
            </w:pPr>
            <w:r>
              <w:t>11.5%</w:t>
            </w:r>
          </w:p>
        </w:tc>
        <w:tc>
          <w:tcPr>
            <w:tcW w:w="1694" w:type="dxa"/>
          </w:tcPr>
          <w:p w14:paraId="0ED72FC9" w14:textId="77777777" w:rsidR="007E0E6D" w:rsidRDefault="007E0E6D" w:rsidP="00531EBF">
            <w:pPr>
              <w:jc w:val="center"/>
            </w:pPr>
            <w:r>
              <w:t>0%</w:t>
            </w:r>
          </w:p>
        </w:tc>
        <w:tc>
          <w:tcPr>
            <w:tcW w:w="1638" w:type="dxa"/>
          </w:tcPr>
          <w:p w14:paraId="7050E917" w14:textId="77777777" w:rsidR="007E0E6D" w:rsidRDefault="007E0E6D" w:rsidP="00531EBF">
            <w:pPr>
              <w:jc w:val="center"/>
            </w:pPr>
            <w:r>
              <w:t>0.6</w:t>
            </w:r>
          </w:p>
        </w:tc>
      </w:tr>
      <w:tr w:rsidR="007E0E6D" w14:paraId="24CFCF19" w14:textId="77777777" w:rsidTr="00531EBF">
        <w:tc>
          <w:tcPr>
            <w:tcW w:w="2333" w:type="dxa"/>
          </w:tcPr>
          <w:p w14:paraId="20BC5B7E" w14:textId="77777777" w:rsidR="007E0E6D" w:rsidRDefault="007E0E6D" w:rsidP="00531EBF">
            <w:r>
              <w:t xml:space="preserve">Female genital anomalies </w:t>
            </w:r>
          </w:p>
        </w:tc>
        <w:tc>
          <w:tcPr>
            <w:tcW w:w="1652" w:type="dxa"/>
          </w:tcPr>
          <w:p w14:paraId="750EB8A0" w14:textId="77777777" w:rsidR="007E0E6D" w:rsidRDefault="007E0E6D" w:rsidP="00531EBF">
            <w:pPr>
              <w:jc w:val="center"/>
            </w:pPr>
            <w:r>
              <w:t>16.7% (n=18)</w:t>
            </w:r>
          </w:p>
        </w:tc>
        <w:tc>
          <w:tcPr>
            <w:tcW w:w="1693" w:type="dxa"/>
          </w:tcPr>
          <w:p w14:paraId="50CDD9BF" w14:textId="77777777" w:rsidR="007E0E6D" w:rsidRDefault="007E0E6D" w:rsidP="00531EBF">
            <w:pPr>
              <w:jc w:val="center"/>
            </w:pPr>
            <w:r>
              <w:t>20.0% (n=15)</w:t>
            </w:r>
          </w:p>
        </w:tc>
        <w:tc>
          <w:tcPr>
            <w:tcW w:w="1694" w:type="dxa"/>
          </w:tcPr>
          <w:p w14:paraId="0427458A" w14:textId="77777777" w:rsidR="007E0E6D" w:rsidRDefault="007E0E6D" w:rsidP="00531EBF">
            <w:pPr>
              <w:jc w:val="center"/>
            </w:pPr>
            <w:r>
              <w:t>0% (n=3)</w:t>
            </w:r>
          </w:p>
        </w:tc>
        <w:tc>
          <w:tcPr>
            <w:tcW w:w="1638" w:type="dxa"/>
          </w:tcPr>
          <w:p w14:paraId="71A367BE" w14:textId="77777777" w:rsidR="007E0E6D" w:rsidRDefault="007E0E6D" w:rsidP="00531EBF">
            <w:pPr>
              <w:jc w:val="center"/>
            </w:pPr>
            <w:r>
              <w:t>0.6</w:t>
            </w:r>
          </w:p>
        </w:tc>
      </w:tr>
      <w:tr w:rsidR="007E0E6D" w14:paraId="2B3C0943" w14:textId="77777777" w:rsidTr="00531EBF">
        <w:tc>
          <w:tcPr>
            <w:tcW w:w="2333" w:type="dxa"/>
          </w:tcPr>
          <w:p w14:paraId="5348BB49" w14:textId="77777777" w:rsidR="007E0E6D" w:rsidRDefault="007E0E6D" w:rsidP="00531EBF">
            <w:r>
              <w:t>Male genital anomalies</w:t>
            </w:r>
          </w:p>
        </w:tc>
        <w:tc>
          <w:tcPr>
            <w:tcW w:w="1652" w:type="dxa"/>
          </w:tcPr>
          <w:p w14:paraId="2845CB1E" w14:textId="77777777" w:rsidR="007E0E6D" w:rsidRDefault="007E0E6D" w:rsidP="00531EBF">
            <w:pPr>
              <w:jc w:val="center"/>
            </w:pPr>
            <w:r>
              <w:t>33.3% (n=15)</w:t>
            </w:r>
          </w:p>
        </w:tc>
        <w:tc>
          <w:tcPr>
            <w:tcW w:w="1693" w:type="dxa"/>
          </w:tcPr>
          <w:p w14:paraId="188E1172" w14:textId="77777777" w:rsidR="007E0E6D" w:rsidRDefault="007E0E6D" w:rsidP="00531EBF">
            <w:pPr>
              <w:jc w:val="center"/>
            </w:pPr>
            <w:r>
              <w:t>41.7% (n=12)</w:t>
            </w:r>
          </w:p>
        </w:tc>
        <w:tc>
          <w:tcPr>
            <w:tcW w:w="1694" w:type="dxa"/>
          </w:tcPr>
          <w:p w14:paraId="1D400A33" w14:textId="77777777" w:rsidR="007E0E6D" w:rsidRDefault="007E0E6D" w:rsidP="00531EBF">
            <w:pPr>
              <w:jc w:val="center"/>
            </w:pPr>
            <w:r>
              <w:t>0% (n=3)</w:t>
            </w:r>
          </w:p>
        </w:tc>
        <w:tc>
          <w:tcPr>
            <w:tcW w:w="1638" w:type="dxa"/>
          </w:tcPr>
          <w:p w14:paraId="3CD3FA74" w14:textId="77777777" w:rsidR="007E0E6D" w:rsidRDefault="007E0E6D" w:rsidP="00531EBF">
            <w:pPr>
              <w:jc w:val="center"/>
            </w:pPr>
            <w:r>
              <w:t>0.5</w:t>
            </w:r>
          </w:p>
        </w:tc>
      </w:tr>
      <w:tr w:rsidR="007E0E6D" w14:paraId="2D580C07" w14:textId="77777777" w:rsidTr="00531EBF">
        <w:tc>
          <w:tcPr>
            <w:tcW w:w="2333" w:type="dxa"/>
          </w:tcPr>
          <w:p w14:paraId="393C1001" w14:textId="77777777" w:rsidR="007E0E6D" w:rsidRDefault="007E0E6D" w:rsidP="00531EBF">
            <w:r>
              <w:t>Cardiac anomalies</w:t>
            </w:r>
          </w:p>
        </w:tc>
        <w:tc>
          <w:tcPr>
            <w:tcW w:w="1652" w:type="dxa"/>
          </w:tcPr>
          <w:p w14:paraId="503EC6D6" w14:textId="77777777" w:rsidR="007E0E6D" w:rsidRDefault="007E0E6D" w:rsidP="00531EBF">
            <w:pPr>
              <w:jc w:val="center"/>
            </w:pPr>
            <w:r>
              <w:t>3</w:t>
            </w:r>
          </w:p>
        </w:tc>
        <w:tc>
          <w:tcPr>
            <w:tcW w:w="1693" w:type="dxa"/>
          </w:tcPr>
          <w:p w14:paraId="135EDCBB" w14:textId="77777777" w:rsidR="007E0E6D" w:rsidRDefault="007E0E6D" w:rsidP="00531EBF">
            <w:pPr>
              <w:jc w:val="center"/>
            </w:pPr>
            <w:r>
              <w:t>2</w:t>
            </w:r>
          </w:p>
        </w:tc>
        <w:tc>
          <w:tcPr>
            <w:tcW w:w="1694" w:type="dxa"/>
          </w:tcPr>
          <w:p w14:paraId="3946B55F" w14:textId="77777777" w:rsidR="007E0E6D" w:rsidRDefault="007E0E6D" w:rsidP="00531EBF">
            <w:pPr>
              <w:jc w:val="center"/>
            </w:pPr>
            <w:r>
              <w:t>1</w:t>
            </w:r>
          </w:p>
        </w:tc>
        <w:tc>
          <w:tcPr>
            <w:tcW w:w="1638" w:type="dxa"/>
          </w:tcPr>
          <w:p w14:paraId="68A8C345" w14:textId="77777777" w:rsidR="007E0E6D" w:rsidRDefault="007E0E6D" w:rsidP="00531EBF">
            <w:pPr>
              <w:jc w:val="center"/>
            </w:pPr>
          </w:p>
        </w:tc>
      </w:tr>
      <w:tr w:rsidR="007E0E6D" w14:paraId="0CD59667" w14:textId="77777777" w:rsidTr="00531EBF">
        <w:tc>
          <w:tcPr>
            <w:tcW w:w="2333" w:type="dxa"/>
          </w:tcPr>
          <w:p w14:paraId="25D239D8" w14:textId="77777777" w:rsidR="007E0E6D" w:rsidRDefault="007E0E6D" w:rsidP="00531EBF">
            <w:r>
              <w:t>Brain anomalies</w:t>
            </w:r>
          </w:p>
        </w:tc>
        <w:tc>
          <w:tcPr>
            <w:tcW w:w="1652" w:type="dxa"/>
          </w:tcPr>
          <w:p w14:paraId="0D01CA05" w14:textId="77777777" w:rsidR="007E0E6D" w:rsidRDefault="007E0E6D" w:rsidP="00531EBF">
            <w:pPr>
              <w:jc w:val="center"/>
            </w:pPr>
            <w:r>
              <w:t>1</w:t>
            </w:r>
          </w:p>
        </w:tc>
        <w:tc>
          <w:tcPr>
            <w:tcW w:w="1693" w:type="dxa"/>
          </w:tcPr>
          <w:p w14:paraId="18AFDE49" w14:textId="77777777" w:rsidR="007E0E6D" w:rsidRDefault="007E0E6D" w:rsidP="00531EBF">
            <w:pPr>
              <w:jc w:val="center"/>
            </w:pPr>
            <w:r>
              <w:t>1</w:t>
            </w:r>
          </w:p>
        </w:tc>
        <w:tc>
          <w:tcPr>
            <w:tcW w:w="1694" w:type="dxa"/>
          </w:tcPr>
          <w:p w14:paraId="2DEF6066" w14:textId="77777777" w:rsidR="007E0E6D" w:rsidRDefault="007E0E6D" w:rsidP="00531EBF">
            <w:pPr>
              <w:jc w:val="center"/>
            </w:pPr>
            <w:r>
              <w:t>0</w:t>
            </w:r>
          </w:p>
        </w:tc>
        <w:tc>
          <w:tcPr>
            <w:tcW w:w="1638" w:type="dxa"/>
          </w:tcPr>
          <w:p w14:paraId="535206A4" w14:textId="77777777" w:rsidR="007E0E6D" w:rsidRDefault="007E0E6D" w:rsidP="00531EBF">
            <w:pPr>
              <w:jc w:val="center"/>
            </w:pPr>
          </w:p>
        </w:tc>
      </w:tr>
      <w:tr w:rsidR="007E0E6D" w14:paraId="4DB77BD3" w14:textId="77777777" w:rsidTr="00531EBF">
        <w:tc>
          <w:tcPr>
            <w:tcW w:w="2333" w:type="dxa"/>
          </w:tcPr>
          <w:p w14:paraId="78F79234" w14:textId="77777777" w:rsidR="007E0E6D" w:rsidRDefault="007E0E6D" w:rsidP="00531EBF">
            <w:r>
              <w:t>Renal anomalies</w:t>
            </w:r>
          </w:p>
        </w:tc>
        <w:tc>
          <w:tcPr>
            <w:tcW w:w="1652" w:type="dxa"/>
          </w:tcPr>
          <w:p w14:paraId="4CB0DC36" w14:textId="77777777" w:rsidR="007E0E6D" w:rsidRDefault="007E0E6D" w:rsidP="00531EBF">
            <w:pPr>
              <w:jc w:val="center"/>
            </w:pPr>
            <w:r>
              <w:t>3</w:t>
            </w:r>
          </w:p>
        </w:tc>
        <w:tc>
          <w:tcPr>
            <w:tcW w:w="1693" w:type="dxa"/>
          </w:tcPr>
          <w:p w14:paraId="37FCDF41" w14:textId="77777777" w:rsidR="007E0E6D" w:rsidRDefault="007E0E6D" w:rsidP="00531EBF">
            <w:pPr>
              <w:jc w:val="center"/>
            </w:pPr>
            <w:r>
              <w:t>2</w:t>
            </w:r>
          </w:p>
        </w:tc>
        <w:tc>
          <w:tcPr>
            <w:tcW w:w="1694" w:type="dxa"/>
          </w:tcPr>
          <w:p w14:paraId="7B0DA012" w14:textId="77777777" w:rsidR="007E0E6D" w:rsidRDefault="007E0E6D" w:rsidP="00531EBF">
            <w:pPr>
              <w:jc w:val="center"/>
            </w:pPr>
            <w:r>
              <w:t>1</w:t>
            </w:r>
          </w:p>
        </w:tc>
        <w:tc>
          <w:tcPr>
            <w:tcW w:w="1638" w:type="dxa"/>
          </w:tcPr>
          <w:p w14:paraId="54C2BC1D" w14:textId="77777777" w:rsidR="007E0E6D" w:rsidRDefault="007E0E6D" w:rsidP="00531EBF">
            <w:pPr>
              <w:jc w:val="center"/>
            </w:pPr>
          </w:p>
        </w:tc>
      </w:tr>
      <w:tr w:rsidR="007E0E6D" w14:paraId="288DBA3E" w14:textId="77777777" w:rsidTr="00531EBF">
        <w:tc>
          <w:tcPr>
            <w:tcW w:w="2333" w:type="dxa"/>
          </w:tcPr>
          <w:p w14:paraId="13163EF2" w14:textId="77777777" w:rsidR="007E0E6D" w:rsidRDefault="007E0E6D" w:rsidP="00531EBF">
            <w:r>
              <w:t>Radial anomalies</w:t>
            </w:r>
          </w:p>
        </w:tc>
        <w:tc>
          <w:tcPr>
            <w:tcW w:w="1652" w:type="dxa"/>
          </w:tcPr>
          <w:p w14:paraId="577995F7" w14:textId="77777777" w:rsidR="007E0E6D" w:rsidRDefault="007E0E6D" w:rsidP="00531EBF">
            <w:pPr>
              <w:jc w:val="center"/>
            </w:pPr>
            <w:r>
              <w:t>1</w:t>
            </w:r>
          </w:p>
        </w:tc>
        <w:tc>
          <w:tcPr>
            <w:tcW w:w="1693" w:type="dxa"/>
          </w:tcPr>
          <w:p w14:paraId="6E7B0C94" w14:textId="77777777" w:rsidR="007E0E6D" w:rsidRDefault="007E0E6D" w:rsidP="00531EBF">
            <w:pPr>
              <w:jc w:val="center"/>
            </w:pPr>
            <w:r>
              <w:t>1</w:t>
            </w:r>
          </w:p>
        </w:tc>
        <w:tc>
          <w:tcPr>
            <w:tcW w:w="1694" w:type="dxa"/>
          </w:tcPr>
          <w:p w14:paraId="019E8088" w14:textId="77777777" w:rsidR="007E0E6D" w:rsidRDefault="007E0E6D" w:rsidP="00531EBF">
            <w:pPr>
              <w:jc w:val="center"/>
            </w:pPr>
            <w:r>
              <w:t>0</w:t>
            </w:r>
          </w:p>
        </w:tc>
        <w:tc>
          <w:tcPr>
            <w:tcW w:w="1638" w:type="dxa"/>
          </w:tcPr>
          <w:p w14:paraId="38B59123" w14:textId="77777777" w:rsidR="007E0E6D" w:rsidRDefault="007E0E6D" w:rsidP="00531EBF">
            <w:pPr>
              <w:jc w:val="center"/>
            </w:pPr>
          </w:p>
        </w:tc>
      </w:tr>
      <w:tr w:rsidR="007E0E6D" w14:paraId="25622C42" w14:textId="77777777" w:rsidTr="00531EBF">
        <w:tc>
          <w:tcPr>
            <w:tcW w:w="2333" w:type="dxa"/>
          </w:tcPr>
          <w:p w14:paraId="602EA940" w14:textId="77777777" w:rsidR="007E0E6D" w:rsidRDefault="007E0E6D" w:rsidP="00531EBF">
            <w:r>
              <w:t>Thumb anomalies</w:t>
            </w:r>
          </w:p>
        </w:tc>
        <w:tc>
          <w:tcPr>
            <w:tcW w:w="1652" w:type="dxa"/>
          </w:tcPr>
          <w:p w14:paraId="791FD616" w14:textId="77777777" w:rsidR="007E0E6D" w:rsidRDefault="007E0E6D" w:rsidP="00531EBF">
            <w:pPr>
              <w:jc w:val="center"/>
            </w:pPr>
            <w:r>
              <w:t>2</w:t>
            </w:r>
          </w:p>
        </w:tc>
        <w:tc>
          <w:tcPr>
            <w:tcW w:w="1693" w:type="dxa"/>
          </w:tcPr>
          <w:p w14:paraId="55650207" w14:textId="77777777" w:rsidR="007E0E6D" w:rsidRDefault="007E0E6D" w:rsidP="00531EBF">
            <w:pPr>
              <w:jc w:val="center"/>
            </w:pPr>
            <w:r>
              <w:t>2</w:t>
            </w:r>
          </w:p>
        </w:tc>
        <w:tc>
          <w:tcPr>
            <w:tcW w:w="1694" w:type="dxa"/>
          </w:tcPr>
          <w:p w14:paraId="1F0BA016" w14:textId="77777777" w:rsidR="007E0E6D" w:rsidRDefault="007E0E6D" w:rsidP="00531EBF">
            <w:pPr>
              <w:jc w:val="center"/>
            </w:pPr>
            <w:r>
              <w:t>0</w:t>
            </w:r>
          </w:p>
        </w:tc>
        <w:tc>
          <w:tcPr>
            <w:tcW w:w="1638" w:type="dxa"/>
          </w:tcPr>
          <w:p w14:paraId="1C0921CB" w14:textId="77777777" w:rsidR="007E0E6D" w:rsidRDefault="007E0E6D" w:rsidP="00531EBF">
            <w:pPr>
              <w:jc w:val="center"/>
            </w:pPr>
          </w:p>
        </w:tc>
      </w:tr>
      <w:tr w:rsidR="007E0E6D" w14:paraId="5ED88EA5" w14:textId="77777777" w:rsidTr="00531EBF">
        <w:tc>
          <w:tcPr>
            <w:tcW w:w="2333" w:type="dxa"/>
          </w:tcPr>
          <w:p w14:paraId="4248ACB4" w14:textId="77777777" w:rsidR="007E0E6D" w:rsidRDefault="007E0E6D" w:rsidP="00531EBF">
            <w:r>
              <w:t>Coloboma</w:t>
            </w:r>
          </w:p>
        </w:tc>
        <w:tc>
          <w:tcPr>
            <w:tcW w:w="1652" w:type="dxa"/>
          </w:tcPr>
          <w:p w14:paraId="79164F3A" w14:textId="77777777" w:rsidR="007E0E6D" w:rsidRDefault="007E0E6D" w:rsidP="00531EBF">
            <w:pPr>
              <w:jc w:val="center"/>
            </w:pPr>
            <w:r>
              <w:t>1</w:t>
            </w:r>
          </w:p>
        </w:tc>
        <w:tc>
          <w:tcPr>
            <w:tcW w:w="1693" w:type="dxa"/>
          </w:tcPr>
          <w:p w14:paraId="67EA5C1A" w14:textId="77777777" w:rsidR="007E0E6D" w:rsidRDefault="007E0E6D" w:rsidP="00531EBF">
            <w:pPr>
              <w:jc w:val="center"/>
            </w:pPr>
            <w:r>
              <w:t>1</w:t>
            </w:r>
          </w:p>
        </w:tc>
        <w:tc>
          <w:tcPr>
            <w:tcW w:w="1694" w:type="dxa"/>
          </w:tcPr>
          <w:p w14:paraId="24DC515A" w14:textId="77777777" w:rsidR="007E0E6D" w:rsidRDefault="007E0E6D" w:rsidP="00531EBF">
            <w:pPr>
              <w:jc w:val="center"/>
            </w:pPr>
            <w:r>
              <w:t>0</w:t>
            </w:r>
          </w:p>
        </w:tc>
        <w:tc>
          <w:tcPr>
            <w:tcW w:w="1638" w:type="dxa"/>
          </w:tcPr>
          <w:p w14:paraId="33299F7F" w14:textId="77777777" w:rsidR="007E0E6D" w:rsidRDefault="007E0E6D" w:rsidP="00531EBF">
            <w:pPr>
              <w:jc w:val="center"/>
            </w:pPr>
          </w:p>
        </w:tc>
      </w:tr>
      <w:tr w:rsidR="007E0E6D" w14:paraId="1CC096A2" w14:textId="77777777" w:rsidTr="00531EBF">
        <w:tc>
          <w:tcPr>
            <w:tcW w:w="2333" w:type="dxa"/>
          </w:tcPr>
          <w:p w14:paraId="34E54308" w14:textId="77777777" w:rsidR="007E0E6D" w:rsidRDefault="007E0E6D" w:rsidP="00531EBF">
            <w:r>
              <w:t>Scoliosis/kyphoscoliosis</w:t>
            </w:r>
          </w:p>
        </w:tc>
        <w:tc>
          <w:tcPr>
            <w:tcW w:w="1652" w:type="dxa"/>
          </w:tcPr>
          <w:p w14:paraId="5A4963BE" w14:textId="77777777" w:rsidR="007E0E6D" w:rsidRDefault="007E0E6D" w:rsidP="00531EBF">
            <w:pPr>
              <w:jc w:val="center"/>
            </w:pPr>
            <w:r>
              <w:t>8</w:t>
            </w:r>
          </w:p>
        </w:tc>
        <w:tc>
          <w:tcPr>
            <w:tcW w:w="1693" w:type="dxa"/>
          </w:tcPr>
          <w:p w14:paraId="4C84680F" w14:textId="77777777" w:rsidR="007E0E6D" w:rsidRDefault="007E0E6D" w:rsidP="00531EBF">
            <w:pPr>
              <w:jc w:val="center"/>
            </w:pPr>
            <w:r>
              <w:t>7</w:t>
            </w:r>
          </w:p>
        </w:tc>
        <w:tc>
          <w:tcPr>
            <w:tcW w:w="1694" w:type="dxa"/>
          </w:tcPr>
          <w:p w14:paraId="0E98E0D8" w14:textId="77777777" w:rsidR="007E0E6D" w:rsidRDefault="007E0E6D" w:rsidP="00531EBF">
            <w:pPr>
              <w:jc w:val="center"/>
            </w:pPr>
            <w:r>
              <w:t>1</w:t>
            </w:r>
          </w:p>
        </w:tc>
        <w:tc>
          <w:tcPr>
            <w:tcW w:w="1638" w:type="dxa"/>
          </w:tcPr>
          <w:p w14:paraId="19F66655" w14:textId="77777777" w:rsidR="007E0E6D" w:rsidRDefault="007E0E6D" w:rsidP="00531EBF">
            <w:pPr>
              <w:jc w:val="center"/>
            </w:pPr>
            <w:r>
              <w:t>0.7</w:t>
            </w:r>
          </w:p>
        </w:tc>
      </w:tr>
      <w:tr w:rsidR="007E0E6D" w14:paraId="50D38153" w14:textId="77777777" w:rsidTr="00531EBF">
        <w:tc>
          <w:tcPr>
            <w:tcW w:w="2333" w:type="dxa"/>
          </w:tcPr>
          <w:p w14:paraId="235F90D5" w14:textId="77777777" w:rsidR="007E0E6D" w:rsidRDefault="007E0E6D" w:rsidP="00531EBF">
            <w:r>
              <w:t>Limited elbow supination/congenital dislocation</w:t>
            </w:r>
          </w:p>
        </w:tc>
        <w:tc>
          <w:tcPr>
            <w:tcW w:w="1652" w:type="dxa"/>
          </w:tcPr>
          <w:p w14:paraId="2443F5E6" w14:textId="77777777" w:rsidR="007E0E6D" w:rsidRDefault="007E0E6D" w:rsidP="00531EBF">
            <w:pPr>
              <w:jc w:val="center"/>
            </w:pPr>
            <w:r>
              <w:t>3</w:t>
            </w:r>
          </w:p>
        </w:tc>
        <w:tc>
          <w:tcPr>
            <w:tcW w:w="1693" w:type="dxa"/>
          </w:tcPr>
          <w:p w14:paraId="5E3D4D13" w14:textId="77777777" w:rsidR="007E0E6D" w:rsidRDefault="007E0E6D" w:rsidP="00531EBF">
            <w:pPr>
              <w:jc w:val="center"/>
            </w:pPr>
            <w:r>
              <w:t>3</w:t>
            </w:r>
          </w:p>
        </w:tc>
        <w:tc>
          <w:tcPr>
            <w:tcW w:w="1694" w:type="dxa"/>
          </w:tcPr>
          <w:p w14:paraId="70C2A78B" w14:textId="77777777" w:rsidR="007E0E6D" w:rsidRDefault="007E0E6D" w:rsidP="00531EBF">
            <w:pPr>
              <w:jc w:val="center"/>
            </w:pPr>
            <w:r>
              <w:t>0</w:t>
            </w:r>
          </w:p>
        </w:tc>
        <w:tc>
          <w:tcPr>
            <w:tcW w:w="1638" w:type="dxa"/>
          </w:tcPr>
          <w:p w14:paraId="76A270EF" w14:textId="77777777" w:rsidR="007E0E6D" w:rsidRDefault="007E0E6D" w:rsidP="00531EBF">
            <w:pPr>
              <w:jc w:val="center"/>
            </w:pPr>
            <w:r>
              <w:t>0.6</w:t>
            </w:r>
          </w:p>
        </w:tc>
      </w:tr>
      <w:tr w:rsidR="007E0E6D" w14:paraId="3AAC9574" w14:textId="77777777" w:rsidTr="00531EBF">
        <w:tc>
          <w:tcPr>
            <w:tcW w:w="2333" w:type="dxa"/>
          </w:tcPr>
          <w:p w14:paraId="5D153AC5" w14:textId="77777777" w:rsidR="007E0E6D" w:rsidRDefault="007E0E6D" w:rsidP="00531EBF">
            <w:r>
              <w:t>Camptodactyly</w:t>
            </w:r>
          </w:p>
        </w:tc>
        <w:tc>
          <w:tcPr>
            <w:tcW w:w="1652" w:type="dxa"/>
          </w:tcPr>
          <w:p w14:paraId="127C8DCE" w14:textId="77777777" w:rsidR="007E0E6D" w:rsidRDefault="007E0E6D" w:rsidP="00531EBF">
            <w:pPr>
              <w:jc w:val="center"/>
            </w:pPr>
            <w:r>
              <w:t>5</w:t>
            </w:r>
          </w:p>
        </w:tc>
        <w:tc>
          <w:tcPr>
            <w:tcW w:w="1693" w:type="dxa"/>
          </w:tcPr>
          <w:p w14:paraId="4F58E370" w14:textId="77777777" w:rsidR="007E0E6D" w:rsidRDefault="007E0E6D" w:rsidP="00531EBF">
            <w:pPr>
              <w:jc w:val="center"/>
            </w:pPr>
            <w:r>
              <w:t>5</w:t>
            </w:r>
          </w:p>
        </w:tc>
        <w:tc>
          <w:tcPr>
            <w:tcW w:w="1694" w:type="dxa"/>
          </w:tcPr>
          <w:p w14:paraId="201A2418" w14:textId="77777777" w:rsidR="007E0E6D" w:rsidRDefault="007E0E6D" w:rsidP="00531EBF">
            <w:pPr>
              <w:jc w:val="center"/>
            </w:pPr>
            <w:r>
              <w:t>0</w:t>
            </w:r>
          </w:p>
        </w:tc>
        <w:tc>
          <w:tcPr>
            <w:tcW w:w="1638" w:type="dxa"/>
          </w:tcPr>
          <w:p w14:paraId="25E76F7B" w14:textId="77777777" w:rsidR="007E0E6D" w:rsidRDefault="007E0E6D" w:rsidP="00531EBF">
            <w:pPr>
              <w:jc w:val="center"/>
            </w:pPr>
            <w:r>
              <w:t>0.6</w:t>
            </w:r>
          </w:p>
        </w:tc>
      </w:tr>
    </w:tbl>
    <w:p w14:paraId="4CB9C91B" w14:textId="6E611658" w:rsidR="00CF4ADC" w:rsidRDefault="00CF4ADC">
      <w:pPr>
        <w:spacing w:after="0" w:line="240" w:lineRule="auto"/>
        <w:rPr>
          <w:rFonts w:cstheme="minorHAnsi"/>
        </w:rPr>
      </w:pPr>
    </w:p>
    <w:p w14:paraId="18DF15F2" w14:textId="02C7F976" w:rsidR="007E0E6D" w:rsidRDefault="007E0E6D" w:rsidP="00531EBF">
      <w:pPr>
        <w:autoSpaceDE w:val="0"/>
        <w:autoSpaceDN w:val="0"/>
        <w:adjustRightInd w:val="0"/>
        <w:spacing w:line="360" w:lineRule="auto"/>
        <w:rPr>
          <w:rFonts w:cstheme="minorHAnsi"/>
        </w:rPr>
      </w:pPr>
      <w:r>
        <w:rPr>
          <w:rFonts w:cstheme="minorHAnsi"/>
        </w:rPr>
        <w:t>Table 4</w:t>
      </w:r>
      <w:r w:rsidR="005F2AD3">
        <w:rPr>
          <w:rFonts w:cstheme="minorHAnsi"/>
        </w:rPr>
        <w:t>.  Cardio-metabolic health parameters in cohort as a whole and for the subgroup aged ≥18 years only.  DXA; dual energy x-ray absorptiometry.</w:t>
      </w:r>
    </w:p>
    <w:tbl>
      <w:tblPr>
        <w:tblStyle w:val="TableGrid"/>
        <w:tblW w:w="0" w:type="auto"/>
        <w:tblLook w:val="04A0" w:firstRow="1" w:lastRow="0" w:firstColumn="1" w:lastColumn="0" w:noHBand="0" w:noVBand="1"/>
      </w:tblPr>
      <w:tblGrid>
        <w:gridCol w:w="3005"/>
        <w:gridCol w:w="3002"/>
        <w:gridCol w:w="3003"/>
      </w:tblGrid>
      <w:tr w:rsidR="007E0E6D" w:rsidRPr="00B27FF3" w14:paraId="48184BD2" w14:textId="77777777" w:rsidTr="00531EBF">
        <w:trPr>
          <w:cantSplit/>
        </w:trPr>
        <w:tc>
          <w:tcPr>
            <w:tcW w:w="3005" w:type="dxa"/>
          </w:tcPr>
          <w:p w14:paraId="415994CB" w14:textId="0A74E574" w:rsidR="007E0E6D" w:rsidRPr="00B27FF3" w:rsidRDefault="007E0E6D" w:rsidP="00531EBF"/>
        </w:tc>
        <w:tc>
          <w:tcPr>
            <w:tcW w:w="3005" w:type="dxa"/>
          </w:tcPr>
          <w:p w14:paraId="24AE0C36" w14:textId="77777777" w:rsidR="007E0E6D" w:rsidRPr="00455455" w:rsidRDefault="007E0E6D" w:rsidP="00531EBF">
            <w:pPr>
              <w:jc w:val="center"/>
              <w:rPr>
                <w:b/>
              </w:rPr>
            </w:pPr>
            <w:r w:rsidRPr="00455455">
              <w:rPr>
                <w:b/>
              </w:rPr>
              <w:t>All</w:t>
            </w:r>
          </w:p>
        </w:tc>
        <w:tc>
          <w:tcPr>
            <w:tcW w:w="3006" w:type="dxa"/>
          </w:tcPr>
          <w:p w14:paraId="44172CA3" w14:textId="77777777" w:rsidR="007E0E6D" w:rsidRPr="00455455" w:rsidRDefault="007E0E6D" w:rsidP="00531EBF">
            <w:pPr>
              <w:jc w:val="center"/>
              <w:rPr>
                <w:b/>
              </w:rPr>
            </w:pPr>
            <w:r w:rsidRPr="00455455">
              <w:rPr>
                <w:b/>
              </w:rPr>
              <w:t>Aged ≥18 years only</w:t>
            </w:r>
          </w:p>
        </w:tc>
      </w:tr>
      <w:tr w:rsidR="007E0E6D" w:rsidRPr="00B27FF3" w14:paraId="7F601D4C" w14:textId="77777777" w:rsidTr="00531EBF">
        <w:trPr>
          <w:cantSplit/>
        </w:trPr>
        <w:tc>
          <w:tcPr>
            <w:tcW w:w="3005" w:type="dxa"/>
          </w:tcPr>
          <w:p w14:paraId="672192A0" w14:textId="45324A25" w:rsidR="007E0E6D" w:rsidRPr="00B27FF3" w:rsidRDefault="00F4169C" w:rsidP="00531EBF">
            <w:r w:rsidRPr="00B27FF3">
              <w:t>N</w:t>
            </w:r>
          </w:p>
        </w:tc>
        <w:tc>
          <w:tcPr>
            <w:tcW w:w="3005" w:type="dxa"/>
          </w:tcPr>
          <w:p w14:paraId="0E02EE14" w14:textId="77777777" w:rsidR="007E0E6D" w:rsidRPr="00B27FF3" w:rsidRDefault="007E0E6D" w:rsidP="00531EBF">
            <w:pPr>
              <w:jc w:val="center"/>
            </w:pPr>
            <w:r w:rsidRPr="00B27FF3">
              <w:t>33</w:t>
            </w:r>
          </w:p>
        </w:tc>
        <w:tc>
          <w:tcPr>
            <w:tcW w:w="3006" w:type="dxa"/>
          </w:tcPr>
          <w:p w14:paraId="21742299" w14:textId="77777777" w:rsidR="007E0E6D" w:rsidRPr="00B27FF3" w:rsidRDefault="007E0E6D" w:rsidP="00531EBF">
            <w:pPr>
              <w:jc w:val="center"/>
            </w:pPr>
            <w:r w:rsidRPr="00B27FF3">
              <w:t>25</w:t>
            </w:r>
          </w:p>
        </w:tc>
      </w:tr>
      <w:tr w:rsidR="007E0E6D" w:rsidRPr="00B27FF3" w14:paraId="507A3077" w14:textId="77777777" w:rsidTr="00531EBF">
        <w:trPr>
          <w:cantSplit/>
        </w:trPr>
        <w:tc>
          <w:tcPr>
            <w:tcW w:w="3005" w:type="dxa"/>
          </w:tcPr>
          <w:p w14:paraId="2550E505" w14:textId="0C2A8CF7" w:rsidR="007E0E6D" w:rsidRPr="00B27FF3" w:rsidRDefault="007E0E6D" w:rsidP="00531EBF">
            <w:r>
              <w:t>F</w:t>
            </w:r>
            <w:r w:rsidRPr="00B27FF3">
              <w:t>emale, n</w:t>
            </w:r>
            <w:r w:rsidR="005F2AD3">
              <w:t xml:space="preserve"> </w:t>
            </w:r>
            <w:r w:rsidRPr="00B27FF3">
              <w:t>(%)</w:t>
            </w:r>
          </w:p>
        </w:tc>
        <w:tc>
          <w:tcPr>
            <w:tcW w:w="3005" w:type="dxa"/>
          </w:tcPr>
          <w:p w14:paraId="2B6EC6C3" w14:textId="77777777" w:rsidR="007E0E6D" w:rsidRPr="00B27FF3" w:rsidRDefault="007E0E6D" w:rsidP="00531EBF">
            <w:pPr>
              <w:jc w:val="center"/>
            </w:pPr>
            <w:r w:rsidRPr="00B27FF3">
              <w:t>18 (54.5)</w:t>
            </w:r>
          </w:p>
        </w:tc>
        <w:tc>
          <w:tcPr>
            <w:tcW w:w="3006" w:type="dxa"/>
          </w:tcPr>
          <w:p w14:paraId="53CBE76D" w14:textId="77777777" w:rsidR="007E0E6D" w:rsidRPr="00B27FF3" w:rsidRDefault="007E0E6D" w:rsidP="00531EBF">
            <w:pPr>
              <w:jc w:val="center"/>
            </w:pPr>
            <w:r w:rsidRPr="00B27FF3">
              <w:t>13 (52.0)</w:t>
            </w:r>
          </w:p>
        </w:tc>
      </w:tr>
      <w:tr w:rsidR="007E0E6D" w:rsidRPr="00B27FF3" w14:paraId="17612A7E" w14:textId="77777777" w:rsidTr="00531EBF">
        <w:trPr>
          <w:cantSplit/>
        </w:trPr>
        <w:tc>
          <w:tcPr>
            <w:tcW w:w="3005" w:type="dxa"/>
          </w:tcPr>
          <w:p w14:paraId="7AA22656" w14:textId="1F4DF130" w:rsidR="007E0E6D" w:rsidRPr="00B27FF3" w:rsidRDefault="007E0E6D" w:rsidP="00531EBF">
            <w:r>
              <w:t>M</w:t>
            </w:r>
            <w:r w:rsidRPr="00B27FF3">
              <w:t>ale, n</w:t>
            </w:r>
            <w:r w:rsidR="005F2AD3">
              <w:t xml:space="preserve"> </w:t>
            </w:r>
            <w:r w:rsidRPr="00B27FF3">
              <w:t>(%)</w:t>
            </w:r>
          </w:p>
        </w:tc>
        <w:tc>
          <w:tcPr>
            <w:tcW w:w="3005" w:type="dxa"/>
          </w:tcPr>
          <w:p w14:paraId="39A59AAB" w14:textId="77777777" w:rsidR="007E0E6D" w:rsidRPr="00B27FF3" w:rsidRDefault="007E0E6D" w:rsidP="00531EBF">
            <w:pPr>
              <w:jc w:val="center"/>
            </w:pPr>
            <w:r w:rsidRPr="00B27FF3">
              <w:t>15 (45.5)</w:t>
            </w:r>
          </w:p>
        </w:tc>
        <w:tc>
          <w:tcPr>
            <w:tcW w:w="3006" w:type="dxa"/>
          </w:tcPr>
          <w:p w14:paraId="212B5B7A" w14:textId="77777777" w:rsidR="007E0E6D" w:rsidRPr="00B27FF3" w:rsidRDefault="007E0E6D" w:rsidP="00531EBF">
            <w:pPr>
              <w:jc w:val="center"/>
            </w:pPr>
            <w:r w:rsidRPr="00B27FF3">
              <w:t>12 (48.0)</w:t>
            </w:r>
          </w:p>
        </w:tc>
      </w:tr>
      <w:tr w:rsidR="007E0E6D" w:rsidRPr="00B27FF3" w14:paraId="152A1055" w14:textId="77777777" w:rsidTr="00531EBF">
        <w:trPr>
          <w:cantSplit/>
        </w:trPr>
        <w:tc>
          <w:tcPr>
            <w:tcW w:w="3005" w:type="dxa"/>
          </w:tcPr>
          <w:p w14:paraId="05A7EF15" w14:textId="77777777" w:rsidR="007E0E6D" w:rsidRPr="00B27FF3" w:rsidRDefault="007E0E6D" w:rsidP="00531EBF"/>
        </w:tc>
        <w:tc>
          <w:tcPr>
            <w:tcW w:w="3005" w:type="dxa"/>
          </w:tcPr>
          <w:p w14:paraId="168B9ACD" w14:textId="77777777" w:rsidR="007E0E6D" w:rsidRPr="00B27FF3" w:rsidRDefault="007E0E6D" w:rsidP="00531EBF">
            <w:pPr>
              <w:jc w:val="center"/>
            </w:pPr>
          </w:p>
        </w:tc>
        <w:tc>
          <w:tcPr>
            <w:tcW w:w="3006" w:type="dxa"/>
          </w:tcPr>
          <w:p w14:paraId="04BE575C" w14:textId="77777777" w:rsidR="007E0E6D" w:rsidRPr="00B27FF3" w:rsidRDefault="007E0E6D" w:rsidP="00531EBF">
            <w:pPr>
              <w:jc w:val="center"/>
            </w:pPr>
          </w:p>
        </w:tc>
      </w:tr>
      <w:tr w:rsidR="007E0E6D" w:rsidRPr="00B27FF3" w14:paraId="399A6334" w14:textId="77777777" w:rsidTr="00531EBF">
        <w:trPr>
          <w:cantSplit/>
        </w:trPr>
        <w:tc>
          <w:tcPr>
            <w:tcW w:w="3005" w:type="dxa"/>
          </w:tcPr>
          <w:p w14:paraId="09C1514B" w14:textId="77777777" w:rsidR="007E0E6D" w:rsidRPr="00B27FF3" w:rsidRDefault="007E0E6D" w:rsidP="00531EBF">
            <w:r w:rsidRPr="00B27FF3">
              <w:t>BMI SDS (median, IQR)</w:t>
            </w:r>
          </w:p>
        </w:tc>
        <w:tc>
          <w:tcPr>
            <w:tcW w:w="3005" w:type="dxa"/>
          </w:tcPr>
          <w:p w14:paraId="58585780" w14:textId="77777777" w:rsidR="007E0E6D" w:rsidRPr="00B27FF3" w:rsidRDefault="007E0E6D" w:rsidP="00531EBF">
            <w:pPr>
              <w:jc w:val="center"/>
            </w:pPr>
            <w:r w:rsidRPr="00B27FF3">
              <w:t>-0.53 (-1.83 to 1.14)</w:t>
            </w:r>
          </w:p>
        </w:tc>
        <w:tc>
          <w:tcPr>
            <w:tcW w:w="3006" w:type="dxa"/>
          </w:tcPr>
          <w:p w14:paraId="5021BE9D" w14:textId="77777777" w:rsidR="007E0E6D" w:rsidRPr="00B27FF3" w:rsidRDefault="007E0E6D" w:rsidP="00531EBF">
            <w:pPr>
              <w:jc w:val="center"/>
            </w:pPr>
            <w:r w:rsidRPr="00B27FF3">
              <w:t>-0.47 (-1.83 to 1.53)</w:t>
            </w:r>
          </w:p>
        </w:tc>
      </w:tr>
      <w:tr w:rsidR="007E0E6D" w:rsidRPr="00B27FF3" w14:paraId="4DFD327E" w14:textId="77777777" w:rsidTr="00531EBF">
        <w:trPr>
          <w:cantSplit/>
        </w:trPr>
        <w:tc>
          <w:tcPr>
            <w:tcW w:w="3005" w:type="dxa"/>
          </w:tcPr>
          <w:p w14:paraId="72DC9762" w14:textId="77777777" w:rsidR="007E0E6D" w:rsidRPr="00B27FF3" w:rsidRDefault="007E0E6D" w:rsidP="00531EBF">
            <w:r w:rsidRPr="00B27FF3">
              <w:t>Obesity</w:t>
            </w:r>
          </w:p>
        </w:tc>
        <w:tc>
          <w:tcPr>
            <w:tcW w:w="3005" w:type="dxa"/>
          </w:tcPr>
          <w:p w14:paraId="13A86E1C" w14:textId="77777777" w:rsidR="007E0E6D" w:rsidRPr="00B27FF3" w:rsidRDefault="007E0E6D" w:rsidP="00531EBF">
            <w:pPr>
              <w:jc w:val="center"/>
            </w:pPr>
            <w:r w:rsidRPr="00B27FF3">
              <w:t>9.1% (3/33)</w:t>
            </w:r>
          </w:p>
        </w:tc>
        <w:tc>
          <w:tcPr>
            <w:tcW w:w="3006" w:type="dxa"/>
          </w:tcPr>
          <w:p w14:paraId="3F94E40A" w14:textId="77777777" w:rsidR="007E0E6D" w:rsidRPr="00B27FF3" w:rsidRDefault="007E0E6D" w:rsidP="00531EBF">
            <w:pPr>
              <w:jc w:val="center"/>
            </w:pPr>
            <w:r w:rsidRPr="00B27FF3">
              <w:t>12.0% (3/25)</w:t>
            </w:r>
          </w:p>
        </w:tc>
      </w:tr>
      <w:tr w:rsidR="007E0E6D" w:rsidRPr="00B27FF3" w14:paraId="290A7B35" w14:textId="77777777" w:rsidTr="00531EBF">
        <w:trPr>
          <w:cantSplit/>
        </w:trPr>
        <w:tc>
          <w:tcPr>
            <w:tcW w:w="3005" w:type="dxa"/>
          </w:tcPr>
          <w:p w14:paraId="0586E3F8" w14:textId="77777777" w:rsidR="007E0E6D" w:rsidRPr="00B27FF3" w:rsidRDefault="007E0E6D" w:rsidP="00531EBF">
            <w:r w:rsidRPr="00B27FF3">
              <w:t>High waist circumference</w:t>
            </w:r>
          </w:p>
        </w:tc>
        <w:tc>
          <w:tcPr>
            <w:tcW w:w="3005" w:type="dxa"/>
          </w:tcPr>
          <w:p w14:paraId="22E44C8E" w14:textId="77777777" w:rsidR="007E0E6D" w:rsidRPr="00B27FF3" w:rsidRDefault="007E0E6D" w:rsidP="00531EBF">
            <w:pPr>
              <w:jc w:val="center"/>
            </w:pPr>
            <w:r w:rsidRPr="00B27FF3">
              <w:t>30.3% (10/33)</w:t>
            </w:r>
          </w:p>
        </w:tc>
        <w:tc>
          <w:tcPr>
            <w:tcW w:w="3006" w:type="dxa"/>
          </w:tcPr>
          <w:p w14:paraId="2B59A48D" w14:textId="77777777" w:rsidR="007E0E6D" w:rsidRPr="00B27FF3" w:rsidRDefault="007E0E6D" w:rsidP="00531EBF">
            <w:pPr>
              <w:jc w:val="center"/>
            </w:pPr>
            <w:r w:rsidRPr="00B27FF3">
              <w:t>36.0% (9/25)</w:t>
            </w:r>
          </w:p>
        </w:tc>
      </w:tr>
      <w:tr w:rsidR="007E0E6D" w:rsidRPr="00B27FF3" w14:paraId="6F0399F9" w14:textId="77777777" w:rsidTr="00531EBF">
        <w:trPr>
          <w:cantSplit/>
        </w:trPr>
        <w:tc>
          <w:tcPr>
            <w:tcW w:w="3005" w:type="dxa"/>
          </w:tcPr>
          <w:p w14:paraId="12256CC2" w14:textId="77777777" w:rsidR="007E0E6D" w:rsidRPr="00B27FF3" w:rsidRDefault="007E0E6D" w:rsidP="00531EBF">
            <w:r w:rsidRPr="00B27FF3">
              <w:t>Waist/hip ratio in females (median, IQR)</w:t>
            </w:r>
          </w:p>
        </w:tc>
        <w:tc>
          <w:tcPr>
            <w:tcW w:w="3005" w:type="dxa"/>
          </w:tcPr>
          <w:p w14:paraId="40CA1369" w14:textId="77777777" w:rsidR="007E0E6D" w:rsidRPr="00B27FF3" w:rsidRDefault="007E0E6D" w:rsidP="00531EBF">
            <w:pPr>
              <w:jc w:val="center"/>
            </w:pPr>
            <w:r w:rsidRPr="00B27FF3">
              <w:t>0.820 (0.762-0.893) (n=18)</w:t>
            </w:r>
          </w:p>
        </w:tc>
        <w:tc>
          <w:tcPr>
            <w:tcW w:w="3006" w:type="dxa"/>
          </w:tcPr>
          <w:p w14:paraId="2357812E" w14:textId="77777777" w:rsidR="007E0E6D" w:rsidRPr="00B27FF3" w:rsidRDefault="007E0E6D" w:rsidP="00531EBF">
            <w:pPr>
              <w:jc w:val="center"/>
            </w:pPr>
            <w:r w:rsidRPr="00B27FF3">
              <w:t>0.826 (0.767-0.893) (n=13)</w:t>
            </w:r>
          </w:p>
        </w:tc>
      </w:tr>
      <w:tr w:rsidR="007E0E6D" w:rsidRPr="00B27FF3" w14:paraId="0913A6E7" w14:textId="77777777" w:rsidTr="00531EBF">
        <w:trPr>
          <w:cantSplit/>
        </w:trPr>
        <w:tc>
          <w:tcPr>
            <w:tcW w:w="3005" w:type="dxa"/>
          </w:tcPr>
          <w:p w14:paraId="7836E49B" w14:textId="77777777" w:rsidR="007E0E6D" w:rsidRPr="00B27FF3" w:rsidRDefault="007E0E6D" w:rsidP="00531EBF">
            <w:r w:rsidRPr="00B27FF3">
              <w:t>Waist/hip ratio in males (median, IQR)</w:t>
            </w:r>
          </w:p>
        </w:tc>
        <w:tc>
          <w:tcPr>
            <w:tcW w:w="3005" w:type="dxa"/>
          </w:tcPr>
          <w:p w14:paraId="6CED17F3" w14:textId="77777777" w:rsidR="007E0E6D" w:rsidRPr="00B27FF3" w:rsidRDefault="007E0E6D" w:rsidP="00531EBF">
            <w:pPr>
              <w:jc w:val="center"/>
            </w:pPr>
            <w:r w:rsidRPr="00B27FF3">
              <w:t>0.890 (0.834-0.973) (n=15)</w:t>
            </w:r>
          </w:p>
        </w:tc>
        <w:tc>
          <w:tcPr>
            <w:tcW w:w="3006" w:type="dxa"/>
          </w:tcPr>
          <w:p w14:paraId="5EBCB90A" w14:textId="77777777" w:rsidR="007E0E6D" w:rsidRPr="00B27FF3" w:rsidRDefault="007E0E6D" w:rsidP="00531EBF">
            <w:pPr>
              <w:jc w:val="center"/>
            </w:pPr>
            <w:r w:rsidRPr="00B27FF3">
              <w:t>0.932 (0.883-0.977) (n=12)</w:t>
            </w:r>
          </w:p>
        </w:tc>
      </w:tr>
      <w:tr w:rsidR="007E0E6D" w:rsidRPr="00B27FF3" w14:paraId="3C1090ED" w14:textId="77777777" w:rsidTr="00531EBF">
        <w:trPr>
          <w:cantSplit/>
        </w:trPr>
        <w:tc>
          <w:tcPr>
            <w:tcW w:w="3005" w:type="dxa"/>
          </w:tcPr>
          <w:p w14:paraId="51F69F78" w14:textId="77777777" w:rsidR="007E0E6D" w:rsidRPr="00B27FF3" w:rsidRDefault="007E0E6D" w:rsidP="00531EBF">
            <w:r w:rsidRPr="00B27FF3">
              <w:t>DXA total fat percentage (median, IQR)</w:t>
            </w:r>
          </w:p>
        </w:tc>
        <w:tc>
          <w:tcPr>
            <w:tcW w:w="3005" w:type="dxa"/>
          </w:tcPr>
          <w:p w14:paraId="7D50973B" w14:textId="77777777" w:rsidR="007E0E6D" w:rsidRPr="00B27FF3" w:rsidRDefault="007E0E6D" w:rsidP="00531EBF">
            <w:pPr>
              <w:jc w:val="center"/>
            </w:pPr>
            <w:r w:rsidRPr="00B27FF3">
              <w:t>41.31 (29.53 to 46.88) (n=22)</w:t>
            </w:r>
          </w:p>
        </w:tc>
        <w:tc>
          <w:tcPr>
            <w:tcW w:w="3006" w:type="dxa"/>
          </w:tcPr>
          <w:p w14:paraId="17C6AE11" w14:textId="77777777" w:rsidR="007E0E6D" w:rsidRPr="00B27FF3" w:rsidRDefault="007E0E6D" w:rsidP="00531EBF">
            <w:pPr>
              <w:jc w:val="center"/>
            </w:pPr>
            <w:r w:rsidRPr="00B27FF3">
              <w:t>44.45 (31.45 to 46.88) (n=18)</w:t>
            </w:r>
          </w:p>
        </w:tc>
      </w:tr>
      <w:tr w:rsidR="007E0E6D" w:rsidRPr="00B27FF3" w14:paraId="662CC75A" w14:textId="77777777" w:rsidTr="00531EBF">
        <w:trPr>
          <w:cantSplit/>
        </w:trPr>
        <w:tc>
          <w:tcPr>
            <w:tcW w:w="3005" w:type="dxa"/>
          </w:tcPr>
          <w:p w14:paraId="6294AA43" w14:textId="77777777" w:rsidR="007E0E6D" w:rsidRPr="00B27FF3" w:rsidRDefault="007E0E6D" w:rsidP="00531EBF">
            <w:r w:rsidRPr="00B27FF3">
              <w:t>DXA subtotal fat percentage (median, IQR)</w:t>
            </w:r>
          </w:p>
        </w:tc>
        <w:tc>
          <w:tcPr>
            <w:tcW w:w="3005" w:type="dxa"/>
          </w:tcPr>
          <w:p w14:paraId="7C54C831" w14:textId="77777777" w:rsidR="007E0E6D" w:rsidRPr="00B27FF3" w:rsidRDefault="007E0E6D" w:rsidP="00531EBF">
            <w:pPr>
              <w:jc w:val="center"/>
            </w:pPr>
            <w:r w:rsidRPr="00B27FF3">
              <w:t>42.77 (29.83 to 48.42) (n=22)</w:t>
            </w:r>
          </w:p>
        </w:tc>
        <w:tc>
          <w:tcPr>
            <w:tcW w:w="3006" w:type="dxa"/>
          </w:tcPr>
          <w:p w14:paraId="5B9109AB" w14:textId="77777777" w:rsidR="007E0E6D" w:rsidRPr="00B27FF3" w:rsidRDefault="007E0E6D" w:rsidP="00531EBF">
            <w:pPr>
              <w:jc w:val="center"/>
            </w:pPr>
            <w:r w:rsidRPr="00B27FF3">
              <w:t>46.09 (32.03 to 48.42) (n=18)</w:t>
            </w:r>
          </w:p>
        </w:tc>
      </w:tr>
      <w:tr w:rsidR="007E0E6D" w:rsidRPr="00B27FF3" w14:paraId="5BCF68DC" w14:textId="77777777" w:rsidTr="00531EBF">
        <w:trPr>
          <w:cantSplit/>
        </w:trPr>
        <w:tc>
          <w:tcPr>
            <w:tcW w:w="3005" w:type="dxa"/>
          </w:tcPr>
          <w:p w14:paraId="5EE8A68E" w14:textId="77777777" w:rsidR="007E0E6D" w:rsidRPr="00B27FF3" w:rsidRDefault="007E0E6D" w:rsidP="00531EBF">
            <w:r w:rsidRPr="00B27FF3">
              <w:t>Triglyceride level, mmol/L (median, IQR)</w:t>
            </w:r>
          </w:p>
        </w:tc>
        <w:tc>
          <w:tcPr>
            <w:tcW w:w="3005" w:type="dxa"/>
          </w:tcPr>
          <w:p w14:paraId="1E4A6DC7" w14:textId="77777777" w:rsidR="007E0E6D" w:rsidRPr="00B27FF3" w:rsidRDefault="007E0E6D" w:rsidP="00531EBF">
            <w:pPr>
              <w:jc w:val="center"/>
            </w:pPr>
            <w:r w:rsidRPr="00B27FF3">
              <w:t>1.00 (0.80 to 1.50) (n=31)</w:t>
            </w:r>
          </w:p>
        </w:tc>
        <w:tc>
          <w:tcPr>
            <w:tcW w:w="3006" w:type="dxa"/>
          </w:tcPr>
          <w:p w14:paraId="28623D1E" w14:textId="77777777" w:rsidR="007E0E6D" w:rsidRPr="00B27FF3" w:rsidRDefault="007E0E6D" w:rsidP="00531EBF">
            <w:pPr>
              <w:jc w:val="center"/>
            </w:pPr>
            <w:r w:rsidRPr="00B27FF3">
              <w:t>1.05 (0.80 to 1.58) (n=24)</w:t>
            </w:r>
          </w:p>
        </w:tc>
      </w:tr>
      <w:tr w:rsidR="007E0E6D" w:rsidRPr="00B27FF3" w14:paraId="4778F67E" w14:textId="77777777" w:rsidTr="00531EBF">
        <w:trPr>
          <w:cantSplit/>
        </w:trPr>
        <w:tc>
          <w:tcPr>
            <w:tcW w:w="3005" w:type="dxa"/>
          </w:tcPr>
          <w:p w14:paraId="3EF6AC45" w14:textId="77777777" w:rsidR="007E0E6D" w:rsidRPr="00B27FF3" w:rsidRDefault="007E0E6D" w:rsidP="00531EBF">
            <w:r w:rsidRPr="00B27FF3">
              <w:t>High triglyceride level (≥1.7 mmol/L)</w:t>
            </w:r>
          </w:p>
        </w:tc>
        <w:tc>
          <w:tcPr>
            <w:tcW w:w="3005" w:type="dxa"/>
          </w:tcPr>
          <w:p w14:paraId="183B9F92" w14:textId="77777777" w:rsidR="007E0E6D" w:rsidRPr="00B27FF3" w:rsidRDefault="007E0E6D" w:rsidP="00531EBF">
            <w:pPr>
              <w:jc w:val="center"/>
            </w:pPr>
            <w:r w:rsidRPr="00B27FF3">
              <w:t>16.1% (5/31)</w:t>
            </w:r>
          </w:p>
        </w:tc>
        <w:tc>
          <w:tcPr>
            <w:tcW w:w="3006" w:type="dxa"/>
          </w:tcPr>
          <w:p w14:paraId="426568F9" w14:textId="77777777" w:rsidR="007E0E6D" w:rsidRPr="00B27FF3" w:rsidRDefault="007E0E6D" w:rsidP="00531EBF">
            <w:pPr>
              <w:jc w:val="center"/>
            </w:pPr>
            <w:r w:rsidRPr="00B27FF3">
              <w:t>20.8% (5/24)</w:t>
            </w:r>
          </w:p>
        </w:tc>
      </w:tr>
      <w:tr w:rsidR="007E0E6D" w:rsidRPr="00B27FF3" w14:paraId="263DCF69" w14:textId="77777777" w:rsidTr="00531EBF">
        <w:trPr>
          <w:cantSplit/>
        </w:trPr>
        <w:tc>
          <w:tcPr>
            <w:tcW w:w="3005" w:type="dxa"/>
          </w:tcPr>
          <w:p w14:paraId="0695180B" w14:textId="77777777" w:rsidR="007E0E6D" w:rsidRPr="00B27FF3" w:rsidRDefault="007E0E6D" w:rsidP="00531EBF">
            <w:r w:rsidRPr="00B27FF3">
              <w:t>Glucose level, mmol/L (median, IQR)</w:t>
            </w:r>
          </w:p>
        </w:tc>
        <w:tc>
          <w:tcPr>
            <w:tcW w:w="3005" w:type="dxa"/>
          </w:tcPr>
          <w:p w14:paraId="20C8106D" w14:textId="77777777" w:rsidR="007E0E6D" w:rsidRPr="00B27FF3" w:rsidRDefault="007E0E6D" w:rsidP="00531EBF">
            <w:pPr>
              <w:jc w:val="center"/>
            </w:pPr>
            <w:r w:rsidRPr="00B27FF3">
              <w:t>4.8 (4.4 to 5.7) (n=30)</w:t>
            </w:r>
          </w:p>
        </w:tc>
        <w:tc>
          <w:tcPr>
            <w:tcW w:w="3006" w:type="dxa"/>
          </w:tcPr>
          <w:p w14:paraId="362AE271" w14:textId="77777777" w:rsidR="007E0E6D" w:rsidRPr="00B27FF3" w:rsidRDefault="007E0E6D" w:rsidP="00531EBF">
            <w:pPr>
              <w:jc w:val="center"/>
            </w:pPr>
            <w:r w:rsidRPr="00B27FF3">
              <w:t>4.95 (4.40 to 6.18) (n=24)</w:t>
            </w:r>
          </w:p>
        </w:tc>
      </w:tr>
      <w:tr w:rsidR="007E0E6D" w:rsidRPr="00B27FF3" w14:paraId="32498AE7" w14:textId="77777777" w:rsidTr="00531EBF">
        <w:trPr>
          <w:cantSplit/>
        </w:trPr>
        <w:tc>
          <w:tcPr>
            <w:tcW w:w="3005" w:type="dxa"/>
          </w:tcPr>
          <w:p w14:paraId="2C4AB820" w14:textId="77777777" w:rsidR="007E0E6D" w:rsidRPr="00B27FF3" w:rsidRDefault="007E0E6D" w:rsidP="00531EBF">
            <w:r w:rsidRPr="00B27FF3">
              <w:t>High blood glucose (≥6.1 mmol/L)</w:t>
            </w:r>
          </w:p>
        </w:tc>
        <w:tc>
          <w:tcPr>
            <w:tcW w:w="3005" w:type="dxa"/>
          </w:tcPr>
          <w:p w14:paraId="49867A51" w14:textId="77777777" w:rsidR="007E0E6D" w:rsidRPr="00B27FF3" w:rsidRDefault="007E0E6D" w:rsidP="00531EBF">
            <w:pPr>
              <w:jc w:val="center"/>
            </w:pPr>
            <w:r w:rsidRPr="00B27FF3">
              <w:t>20.0% (6/30)</w:t>
            </w:r>
          </w:p>
        </w:tc>
        <w:tc>
          <w:tcPr>
            <w:tcW w:w="3006" w:type="dxa"/>
          </w:tcPr>
          <w:p w14:paraId="470F5555" w14:textId="77777777" w:rsidR="007E0E6D" w:rsidRPr="00B27FF3" w:rsidRDefault="007E0E6D" w:rsidP="00531EBF">
            <w:pPr>
              <w:jc w:val="center"/>
            </w:pPr>
            <w:r w:rsidRPr="00B27FF3">
              <w:t>25.0% (6/24)</w:t>
            </w:r>
          </w:p>
        </w:tc>
      </w:tr>
      <w:tr w:rsidR="007E0E6D" w:rsidRPr="00B27FF3" w14:paraId="71517260" w14:textId="77777777" w:rsidTr="00531EBF">
        <w:trPr>
          <w:cantSplit/>
        </w:trPr>
        <w:tc>
          <w:tcPr>
            <w:tcW w:w="3005" w:type="dxa"/>
          </w:tcPr>
          <w:p w14:paraId="4A627E68" w14:textId="77777777" w:rsidR="007E0E6D" w:rsidRPr="00B27FF3" w:rsidRDefault="007E0E6D" w:rsidP="00531EBF">
            <w:r w:rsidRPr="00B27FF3">
              <w:t>Type 2 diabetes mellitus</w:t>
            </w:r>
          </w:p>
        </w:tc>
        <w:tc>
          <w:tcPr>
            <w:tcW w:w="3005" w:type="dxa"/>
          </w:tcPr>
          <w:p w14:paraId="3F98485A" w14:textId="77777777" w:rsidR="007E0E6D" w:rsidRPr="00B27FF3" w:rsidRDefault="007E0E6D" w:rsidP="00531EBF">
            <w:pPr>
              <w:jc w:val="center"/>
            </w:pPr>
            <w:r w:rsidRPr="00B27FF3">
              <w:t>10.0% (3/30)</w:t>
            </w:r>
          </w:p>
        </w:tc>
        <w:tc>
          <w:tcPr>
            <w:tcW w:w="3006" w:type="dxa"/>
          </w:tcPr>
          <w:p w14:paraId="501C861A" w14:textId="77777777" w:rsidR="007E0E6D" w:rsidRPr="00B27FF3" w:rsidRDefault="007E0E6D" w:rsidP="00531EBF">
            <w:pPr>
              <w:jc w:val="center"/>
            </w:pPr>
            <w:r w:rsidRPr="00B27FF3">
              <w:t>12.5% (3/24)</w:t>
            </w:r>
          </w:p>
        </w:tc>
      </w:tr>
      <w:tr w:rsidR="007E0E6D" w:rsidRPr="00B27FF3" w14:paraId="2BACEF2C" w14:textId="77777777" w:rsidTr="00531EBF">
        <w:trPr>
          <w:cantSplit/>
        </w:trPr>
        <w:tc>
          <w:tcPr>
            <w:tcW w:w="3005" w:type="dxa"/>
          </w:tcPr>
          <w:p w14:paraId="5C9DD265" w14:textId="77777777" w:rsidR="007E0E6D" w:rsidRPr="00B27FF3" w:rsidRDefault="007E0E6D" w:rsidP="00531EBF">
            <w:r w:rsidRPr="00B27FF3">
              <w:t>Total cholesterol level, mmol/L (median, IQR)</w:t>
            </w:r>
          </w:p>
        </w:tc>
        <w:tc>
          <w:tcPr>
            <w:tcW w:w="3005" w:type="dxa"/>
          </w:tcPr>
          <w:p w14:paraId="2D9D60E8" w14:textId="77777777" w:rsidR="007E0E6D" w:rsidRPr="00B27FF3" w:rsidRDefault="007E0E6D" w:rsidP="00531EBF">
            <w:pPr>
              <w:jc w:val="center"/>
            </w:pPr>
            <w:r w:rsidRPr="00B27FF3">
              <w:t>4.80 (4.30 to 5.63) (n=32)</w:t>
            </w:r>
          </w:p>
        </w:tc>
        <w:tc>
          <w:tcPr>
            <w:tcW w:w="3006" w:type="dxa"/>
          </w:tcPr>
          <w:p w14:paraId="099B738F" w14:textId="77777777" w:rsidR="007E0E6D" w:rsidRPr="00B27FF3" w:rsidRDefault="007E0E6D" w:rsidP="00531EBF">
            <w:pPr>
              <w:jc w:val="center"/>
            </w:pPr>
            <w:r w:rsidRPr="00B27FF3">
              <w:t>5.00 (4.30 to 5.75) (n=25)</w:t>
            </w:r>
          </w:p>
        </w:tc>
      </w:tr>
      <w:tr w:rsidR="007E0E6D" w:rsidRPr="00B27FF3" w14:paraId="2AADA1E6" w14:textId="77777777" w:rsidTr="00531EBF">
        <w:trPr>
          <w:cantSplit/>
        </w:trPr>
        <w:tc>
          <w:tcPr>
            <w:tcW w:w="3005" w:type="dxa"/>
          </w:tcPr>
          <w:p w14:paraId="246023A2" w14:textId="77777777" w:rsidR="007E0E6D" w:rsidRPr="00B27FF3" w:rsidRDefault="007E0E6D" w:rsidP="00531EBF">
            <w:r w:rsidRPr="00B27FF3">
              <w:t>Hypercholesterolaemia (≥5 mmol/L)</w:t>
            </w:r>
          </w:p>
        </w:tc>
        <w:tc>
          <w:tcPr>
            <w:tcW w:w="3005" w:type="dxa"/>
          </w:tcPr>
          <w:p w14:paraId="1743BD9E" w14:textId="77777777" w:rsidR="007E0E6D" w:rsidRPr="00B27FF3" w:rsidRDefault="007E0E6D" w:rsidP="00531EBF">
            <w:pPr>
              <w:jc w:val="center"/>
            </w:pPr>
            <w:r w:rsidRPr="00B27FF3">
              <w:t>43.8% (14/32)</w:t>
            </w:r>
          </w:p>
        </w:tc>
        <w:tc>
          <w:tcPr>
            <w:tcW w:w="3006" w:type="dxa"/>
          </w:tcPr>
          <w:p w14:paraId="1CCE1FFB" w14:textId="77777777" w:rsidR="007E0E6D" w:rsidRPr="00B27FF3" w:rsidRDefault="007E0E6D" w:rsidP="00531EBF">
            <w:pPr>
              <w:jc w:val="center"/>
            </w:pPr>
            <w:r w:rsidRPr="00B27FF3">
              <w:t>52.0% (13/25)</w:t>
            </w:r>
          </w:p>
        </w:tc>
      </w:tr>
      <w:tr w:rsidR="007E0E6D" w14:paraId="5B72B2C7" w14:textId="77777777" w:rsidTr="00531EBF">
        <w:trPr>
          <w:cantSplit/>
        </w:trPr>
        <w:tc>
          <w:tcPr>
            <w:tcW w:w="3005" w:type="dxa"/>
          </w:tcPr>
          <w:p w14:paraId="6228B37E" w14:textId="77777777" w:rsidR="007E0E6D" w:rsidRPr="00B27FF3" w:rsidRDefault="007E0E6D" w:rsidP="00531EBF">
            <w:r w:rsidRPr="00B27FF3">
              <w:t>Hypertension (Alberti criteria 130/85)</w:t>
            </w:r>
          </w:p>
        </w:tc>
        <w:tc>
          <w:tcPr>
            <w:tcW w:w="3005" w:type="dxa"/>
          </w:tcPr>
          <w:p w14:paraId="4E7AD8CA" w14:textId="77777777" w:rsidR="007E0E6D" w:rsidRPr="00B27FF3" w:rsidRDefault="007E0E6D" w:rsidP="00531EBF">
            <w:pPr>
              <w:jc w:val="center"/>
            </w:pPr>
            <w:r w:rsidRPr="00B27FF3">
              <w:t>27.6% (8/29)</w:t>
            </w:r>
          </w:p>
        </w:tc>
        <w:tc>
          <w:tcPr>
            <w:tcW w:w="3006" w:type="dxa"/>
          </w:tcPr>
          <w:p w14:paraId="59DBAC6D" w14:textId="77777777" w:rsidR="007E0E6D" w:rsidRDefault="007E0E6D" w:rsidP="00531EBF">
            <w:pPr>
              <w:jc w:val="center"/>
            </w:pPr>
            <w:r w:rsidRPr="00B27FF3">
              <w:t>33.3% (8/24)</w:t>
            </w:r>
          </w:p>
        </w:tc>
      </w:tr>
    </w:tbl>
    <w:p w14:paraId="05E0C8AA" w14:textId="77777777" w:rsidR="00A469BB" w:rsidRDefault="00A469BB"/>
    <w:sectPr w:rsidR="00A469BB" w:rsidSect="00531EBF">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48DC8" w14:textId="77777777" w:rsidR="005919FC" w:rsidRDefault="005919FC">
      <w:pPr>
        <w:spacing w:after="0" w:line="240" w:lineRule="auto"/>
      </w:pPr>
      <w:r>
        <w:separator/>
      </w:r>
    </w:p>
  </w:endnote>
  <w:endnote w:type="continuationSeparator" w:id="0">
    <w:p w14:paraId="146C5B66" w14:textId="77777777" w:rsidR="005919FC" w:rsidRDefault="0059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TT5bf2ac07">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5FB9B" w14:textId="77777777" w:rsidR="009F5709" w:rsidRDefault="009F5709" w:rsidP="00531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247A5" w14:textId="77777777" w:rsidR="009F5709" w:rsidRDefault="009F5709" w:rsidP="00531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2527" w14:textId="0D1AEE77" w:rsidR="009F5709" w:rsidRDefault="009F5709" w:rsidP="00531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65D8">
      <w:rPr>
        <w:rStyle w:val="PageNumber"/>
        <w:noProof/>
      </w:rPr>
      <w:t>2</w:t>
    </w:r>
    <w:r>
      <w:rPr>
        <w:rStyle w:val="PageNumber"/>
      </w:rPr>
      <w:fldChar w:fldCharType="end"/>
    </w:r>
  </w:p>
  <w:p w14:paraId="0E630783" w14:textId="77777777" w:rsidR="009F5709" w:rsidRDefault="009F5709" w:rsidP="00531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449B0" w14:textId="77777777" w:rsidR="005919FC" w:rsidRDefault="005919FC">
      <w:pPr>
        <w:spacing w:after="0" w:line="240" w:lineRule="auto"/>
      </w:pPr>
      <w:r>
        <w:separator/>
      </w:r>
    </w:p>
  </w:footnote>
  <w:footnote w:type="continuationSeparator" w:id="0">
    <w:p w14:paraId="40B5E702" w14:textId="77777777" w:rsidR="005919FC" w:rsidRDefault="00591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D303A"/>
    <w:multiLevelType w:val="hybridMultilevel"/>
    <w:tmpl w:val="ADCABFDC"/>
    <w:lvl w:ilvl="0" w:tplc="023649D8">
      <w:start w:val="1"/>
      <w:numFmt w:val="bullet"/>
      <w:lvlText w:val="•"/>
      <w:lvlJc w:val="left"/>
      <w:pPr>
        <w:tabs>
          <w:tab w:val="num" w:pos="720"/>
        </w:tabs>
        <w:ind w:left="720" w:hanging="360"/>
      </w:pPr>
      <w:rPr>
        <w:rFonts w:ascii="Arial" w:hAnsi="Arial" w:hint="default"/>
      </w:rPr>
    </w:lvl>
    <w:lvl w:ilvl="1" w:tplc="5F024726" w:tentative="1">
      <w:start w:val="1"/>
      <w:numFmt w:val="bullet"/>
      <w:lvlText w:val="•"/>
      <w:lvlJc w:val="left"/>
      <w:pPr>
        <w:tabs>
          <w:tab w:val="num" w:pos="1440"/>
        </w:tabs>
        <w:ind w:left="1440" w:hanging="360"/>
      </w:pPr>
      <w:rPr>
        <w:rFonts w:ascii="Arial" w:hAnsi="Arial" w:hint="default"/>
      </w:rPr>
    </w:lvl>
    <w:lvl w:ilvl="2" w:tplc="C94C24F2" w:tentative="1">
      <w:start w:val="1"/>
      <w:numFmt w:val="bullet"/>
      <w:lvlText w:val="•"/>
      <w:lvlJc w:val="left"/>
      <w:pPr>
        <w:tabs>
          <w:tab w:val="num" w:pos="2160"/>
        </w:tabs>
        <w:ind w:left="2160" w:hanging="360"/>
      </w:pPr>
      <w:rPr>
        <w:rFonts w:ascii="Arial" w:hAnsi="Arial" w:hint="default"/>
      </w:rPr>
    </w:lvl>
    <w:lvl w:ilvl="3" w:tplc="B0C60904" w:tentative="1">
      <w:start w:val="1"/>
      <w:numFmt w:val="bullet"/>
      <w:lvlText w:val="•"/>
      <w:lvlJc w:val="left"/>
      <w:pPr>
        <w:tabs>
          <w:tab w:val="num" w:pos="2880"/>
        </w:tabs>
        <w:ind w:left="2880" w:hanging="360"/>
      </w:pPr>
      <w:rPr>
        <w:rFonts w:ascii="Arial" w:hAnsi="Arial" w:hint="default"/>
      </w:rPr>
    </w:lvl>
    <w:lvl w:ilvl="4" w:tplc="51C0C376" w:tentative="1">
      <w:start w:val="1"/>
      <w:numFmt w:val="bullet"/>
      <w:lvlText w:val="•"/>
      <w:lvlJc w:val="left"/>
      <w:pPr>
        <w:tabs>
          <w:tab w:val="num" w:pos="3600"/>
        </w:tabs>
        <w:ind w:left="3600" w:hanging="360"/>
      </w:pPr>
      <w:rPr>
        <w:rFonts w:ascii="Arial" w:hAnsi="Arial" w:hint="default"/>
      </w:rPr>
    </w:lvl>
    <w:lvl w:ilvl="5" w:tplc="070460C4" w:tentative="1">
      <w:start w:val="1"/>
      <w:numFmt w:val="bullet"/>
      <w:lvlText w:val="•"/>
      <w:lvlJc w:val="left"/>
      <w:pPr>
        <w:tabs>
          <w:tab w:val="num" w:pos="4320"/>
        </w:tabs>
        <w:ind w:left="4320" w:hanging="360"/>
      </w:pPr>
      <w:rPr>
        <w:rFonts w:ascii="Arial" w:hAnsi="Arial" w:hint="default"/>
      </w:rPr>
    </w:lvl>
    <w:lvl w:ilvl="6" w:tplc="96D6FAF2" w:tentative="1">
      <w:start w:val="1"/>
      <w:numFmt w:val="bullet"/>
      <w:lvlText w:val="•"/>
      <w:lvlJc w:val="left"/>
      <w:pPr>
        <w:tabs>
          <w:tab w:val="num" w:pos="5040"/>
        </w:tabs>
        <w:ind w:left="5040" w:hanging="360"/>
      </w:pPr>
      <w:rPr>
        <w:rFonts w:ascii="Arial" w:hAnsi="Arial" w:hint="default"/>
      </w:rPr>
    </w:lvl>
    <w:lvl w:ilvl="7" w:tplc="9E34ADDC" w:tentative="1">
      <w:start w:val="1"/>
      <w:numFmt w:val="bullet"/>
      <w:lvlText w:val="•"/>
      <w:lvlJc w:val="left"/>
      <w:pPr>
        <w:tabs>
          <w:tab w:val="num" w:pos="5760"/>
        </w:tabs>
        <w:ind w:left="5760" w:hanging="360"/>
      </w:pPr>
      <w:rPr>
        <w:rFonts w:ascii="Arial" w:hAnsi="Arial" w:hint="default"/>
      </w:rPr>
    </w:lvl>
    <w:lvl w:ilvl="8" w:tplc="4DD2F5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B03771"/>
    <w:multiLevelType w:val="hybridMultilevel"/>
    <w:tmpl w:val="AFA275EA"/>
    <w:lvl w:ilvl="0" w:tplc="3FB6A7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20DA1"/>
    <w:multiLevelType w:val="hybridMultilevel"/>
    <w:tmpl w:val="0D6088AE"/>
    <w:lvl w:ilvl="0" w:tplc="26EA5256">
      <w:start w:val="1"/>
      <w:numFmt w:val="bullet"/>
      <w:lvlText w:val="•"/>
      <w:lvlJc w:val="left"/>
      <w:pPr>
        <w:tabs>
          <w:tab w:val="num" w:pos="720"/>
        </w:tabs>
        <w:ind w:left="720" w:hanging="360"/>
      </w:pPr>
      <w:rPr>
        <w:rFonts w:ascii="Arial" w:hAnsi="Arial" w:hint="default"/>
      </w:rPr>
    </w:lvl>
    <w:lvl w:ilvl="1" w:tplc="194603F0" w:tentative="1">
      <w:start w:val="1"/>
      <w:numFmt w:val="bullet"/>
      <w:lvlText w:val="•"/>
      <w:lvlJc w:val="left"/>
      <w:pPr>
        <w:tabs>
          <w:tab w:val="num" w:pos="1440"/>
        </w:tabs>
        <w:ind w:left="1440" w:hanging="360"/>
      </w:pPr>
      <w:rPr>
        <w:rFonts w:ascii="Arial" w:hAnsi="Arial" w:hint="default"/>
      </w:rPr>
    </w:lvl>
    <w:lvl w:ilvl="2" w:tplc="5F94491A" w:tentative="1">
      <w:start w:val="1"/>
      <w:numFmt w:val="bullet"/>
      <w:lvlText w:val="•"/>
      <w:lvlJc w:val="left"/>
      <w:pPr>
        <w:tabs>
          <w:tab w:val="num" w:pos="2160"/>
        </w:tabs>
        <w:ind w:left="2160" w:hanging="360"/>
      </w:pPr>
      <w:rPr>
        <w:rFonts w:ascii="Arial" w:hAnsi="Arial" w:hint="default"/>
      </w:rPr>
    </w:lvl>
    <w:lvl w:ilvl="3" w:tplc="E3C6A7AE" w:tentative="1">
      <w:start w:val="1"/>
      <w:numFmt w:val="bullet"/>
      <w:lvlText w:val="•"/>
      <w:lvlJc w:val="left"/>
      <w:pPr>
        <w:tabs>
          <w:tab w:val="num" w:pos="2880"/>
        </w:tabs>
        <w:ind w:left="2880" w:hanging="360"/>
      </w:pPr>
      <w:rPr>
        <w:rFonts w:ascii="Arial" w:hAnsi="Arial" w:hint="default"/>
      </w:rPr>
    </w:lvl>
    <w:lvl w:ilvl="4" w:tplc="6002AD42" w:tentative="1">
      <w:start w:val="1"/>
      <w:numFmt w:val="bullet"/>
      <w:lvlText w:val="•"/>
      <w:lvlJc w:val="left"/>
      <w:pPr>
        <w:tabs>
          <w:tab w:val="num" w:pos="3600"/>
        </w:tabs>
        <w:ind w:left="3600" w:hanging="360"/>
      </w:pPr>
      <w:rPr>
        <w:rFonts w:ascii="Arial" w:hAnsi="Arial" w:hint="default"/>
      </w:rPr>
    </w:lvl>
    <w:lvl w:ilvl="5" w:tplc="6D4A0712" w:tentative="1">
      <w:start w:val="1"/>
      <w:numFmt w:val="bullet"/>
      <w:lvlText w:val="•"/>
      <w:lvlJc w:val="left"/>
      <w:pPr>
        <w:tabs>
          <w:tab w:val="num" w:pos="4320"/>
        </w:tabs>
        <w:ind w:left="4320" w:hanging="360"/>
      </w:pPr>
      <w:rPr>
        <w:rFonts w:ascii="Arial" w:hAnsi="Arial" w:hint="default"/>
      </w:rPr>
    </w:lvl>
    <w:lvl w:ilvl="6" w:tplc="9050E342" w:tentative="1">
      <w:start w:val="1"/>
      <w:numFmt w:val="bullet"/>
      <w:lvlText w:val="•"/>
      <w:lvlJc w:val="left"/>
      <w:pPr>
        <w:tabs>
          <w:tab w:val="num" w:pos="5040"/>
        </w:tabs>
        <w:ind w:left="5040" w:hanging="360"/>
      </w:pPr>
      <w:rPr>
        <w:rFonts w:ascii="Arial" w:hAnsi="Arial" w:hint="default"/>
      </w:rPr>
    </w:lvl>
    <w:lvl w:ilvl="7" w:tplc="E17E5640" w:tentative="1">
      <w:start w:val="1"/>
      <w:numFmt w:val="bullet"/>
      <w:lvlText w:val="•"/>
      <w:lvlJc w:val="left"/>
      <w:pPr>
        <w:tabs>
          <w:tab w:val="num" w:pos="5760"/>
        </w:tabs>
        <w:ind w:left="5760" w:hanging="360"/>
      </w:pPr>
      <w:rPr>
        <w:rFonts w:ascii="Arial" w:hAnsi="Arial" w:hint="default"/>
      </w:rPr>
    </w:lvl>
    <w:lvl w:ilvl="8" w:tplc="476A32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C57233"/>
    <w:multiLevelType w:val="hybridMultilevel"/>
    <w:tmpl w:val="3E0E1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85D29"/>
    <w:multiLevelType w:val="hybridMultilevel"/>
    <w:tmpl w:val="43F8F33A"/>
    <w:lvl w:ilvl="0" w:tplc="29481D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94224"/>
    <w:multiLevelType w:val="hybridMultilevel"/>
    <w:tmpl w:val="57444DBA"/>
    <w:lvl w:ilvl="0" w:tplc="1A1AD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7329AB"/>
    <w:multiLevelType w:val="hybridMultilevel"/>
    <w:tmpl w:val="9D680E1C"/>
    <w:lvl w:ilvl="0" w:tplc="89564D72">
      <w:start w:val="1"/>
      <w:numFmt w:val="bullet"/>
      <w:lvlText w:val="•"/>
      <w:lvlJc w:val="left"/>
      <w:pPr>
        <w:tabs>
          <w:tab w:val="num" w:pos="720"/>
        </w:tabs>
        <w:ind w:left="720" w:hanging="360"/>
      </w:pPr>
      <w:rPr>
        <w:rFonts w:ascii="Arial" w:hAnsi="Arial" w:hint="default"/>
      </w:rPr>
    </w:lvl>
    <w:lvl w:ilvl="1" w:tplc="7C74DBDC" w:tentative="1">
      <w:start w:val="1"/>
      <w:numFmt w:val="bullet"/>
      <w:lvlText w:val="•"/>
      <w:lvlJc w:val="left"/>
      <w:pPr>
        <w:tabs>
          <w:tab w:val="num" w:pos="1440"/>
        </w:tabs>
        <w:ind w:left="1440" w:hanging="360"/>
      </w:pPr>
      <w:rPr>
        <w:rFonts w:ascii="Arial" w:hAnsi="Arial" w:hint="default"/>
      </w:rPr>
    </w:lvl>
    <w:lvl w:ilvl="2" w:tplc="388CD3A2" w:tentative="1">
      <w:start w:val="1"/>
      <w:numFmt w:val="bullet"/>
      <w:lvlText w:val="•"/>
      <w:lvlJc w:val="left"/>
      <w:pPr>
        <w:tabs>
          <w:tab w:val="num" w:pos="2160"/>
        </w:tabs>
        <w:ind w:left="2160" w:hanging="360"/>
      </w:pPr>
      <w:rPr>
        <w:rFonts w:ascii="Arial" w:hAnsi="Arial" w:hint="default"/>
      </w:rPr>
    </w:lvl>
    <w:lvl w:ilvl="3" w:tplc="8B42F71A" w:tentative="1">
      <w:start w:val="1"/>
      <w:numFmt w:val="bullet"/>
      <w:lvlText w:val="•"/>
      <w:lvlJc w:val="left"/>
      <w:pPr>
        <w:tabs>
          <w:tab w:val="num" w:pos="2880"/>
        </w:tabs>
        <w:ind w:left="2880" w:hanging="360"/>
      </w:pPr>
      <w:rPr>
        <w:rFonts w:ascii="Arial" w:hAnsi="Arial" w:hint="default"/>
      </w:rPr>
    </w:lvl>
    <w:lvl w:ilvl="4" w:tplc="3940BEDC" w:tentative="1">
      <w:start w:val="1"/>
      <w:numFmt w:val="bullet"/>
      <w:lvlText w:val="•"/>
      <w:lvlJc w:val="left"/>
      <w:pPr>
        <w:tabs>
          <w:tab w:val="num" w:pos="3600"/>
        </w:tabs>
        <w:ind w:left="3600" w:hanging="360"/>
      </w:pPr>
      <w:rPr>
        <w:rFonts w:ascii="Arial" w:hAnsi="Arial" w:hint="default"/>
      </w:rPr>
    </w:lvl>
    <w:lvl w:ilvl="5" w:tplc="9F90CF62" w:tentative="1">
      <w:start w:val="1"/>
      <w:numFmt w:val="bullet"/>
      <w:lvlText w:val="•"/>
      <w:lvlJc w:val="left"/>
      <w:pPr>
        <w:tabs>
          <w:tab w:val="num" w:pos="4320"/>
        </w:tabs>
        <w:ind w:left="4320" w:hanging="360"/>
      </w:pPr>
      <w:rPr>
        <w:rFonts w:ascii="Arial" w:hAnsi="Arial" w:hint="default"/>
      </w:rPr>
    </w:lvl>
    <w:lvl w:ilvl="6" w:tplc="5FEA137C" w:tentative="1">
      <w:start w:val="1"/>
      <w:numFmt w:val="bullet"/>
      <w:lvlText w:val="•"/>
      <w:lvlJc w:val="left"/>
      <w:pPr>
        <w:tabs>
          <w:tab w:val="num" w:pos="5040"/>
        </w:tabs>
        <w:ind w:left="5040" w:hanging="360"/>
      </w:pPr>
      <w:rPr>
        <w:rFonts w:ascii="Arial" w:hAnsi="Arial" w:hint="default"/>
      </w:rPr>
    </w:lvl>
    <w:lvl w:ilvl="7" w:tplc="D00E49FA" w:tentative="1">
      <w:start w:val="1"/>
      <w:numFmt w:val="bullet"/>
      <w:lvlText w:val="•"/>
      <w:lvlJc w:val="left"/>
      <w:pPr>
        <w:tabs>
          <w:tab w:val="num" w:pos="5760"/>
        </w:tabs>
        <w:ind w:left="5760" w:hanging="360"/>
      </w:pPr>
      <w:rPr>
        <w:rFonts w:ascii="Arial" w:hAnsi="Arial" w:hint="default"/>
      </w:rPr>
    </w:lvl>
    <w:lvl w:ilvl="8" w:tplc="6994AD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5747CB"/>
    <w:multiLevelType w:val="multilevel"/>
    <w:tmpl w:val="E9CA7944"/>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3935AE6"/>
    <w:multiLevelType w:val="hybridMultilevel"/>
    <w:tmpl w:val="C95ED918"/>
    <w:lvl w:ilvl="0" w:tplc="1B608048">
      <w:start w:val="1"/>
      <w:numFmt w:val="bullet"/>
      <w:lvlText w:val="•"/>
      <w:lvlJc w:val="left"/>
      <w:pPr>
        <w:tabs>
          <w:tab w:val="num" w:pos="720"/>
        </w:tabs>
        <w:ind w:left="720" w:hanging="360"/>
      </w:pPr>
      <w:rPr>
        <w:rFonts w:ascii="Arial" w:hAnsi="Arial" w:hint="default"/>
      </w:rPr>
    </w:lvl>
    <w:lvl w:ilvl="1" w:tplc="BC800B9A" w:tentative="1">
      <w:start w:val="1"/>
      <w:numFmt w:val="bullet"/>
      <w:lvlText w:val="•"/>
      <w:lvlJc w:val="left"/>
      <w:pPr>
        <w:tabs>
          <w:tab w:val="num" w:pos="1440"/>
        </w:tabs>
        <w:ind w:left="1440" w:hanging="360"/>
      </w:pPr>
      <w:rPr>
        <w:rFonts w:ascii="Arial" w:hAnsi="Arial" w:hint="default"/>
      </w:rPr>
    </w:lvl>
    <w:lvl w:ilvl="2" w:tplc="728A775A" w:tentative="1">
      <w:start w:val="1"/>
      <w:numFmt w:val="bullet"/>
      <w:lvlText w:val="•"/>
      <w:lvlJc w:val="left"/>
      <w:pPr>
        <w:tabs>
          <w:tab w:val="num" w:pos="2160"/>
        </w:tabs>
        <w:ind w:left="2160" w:hanging="360"/>
      </w:pPr>
      <w:rPr>
        <w:rFonts w:ascii="Arial" w:hAnsi="Arial" w:hint="default"/>
      </w:rPr>
    </w:lvl>
    <w:lvl w:ilvl="3" w:tplc="2B4E9DAA" w:tentative="1">
      <w:start w:val="1"/>
      <w:numFmt w:val="bullet"/>
      <w:lvlText w:val="•"/>
      <w:lvlJc w:val="left"/>
      <w:pPr>
        <w:tabs>
          <w:tab w:val="num" w:pos="2880"/>
        </w:tabs>
        <w:ind w:left="2880" w:hanging="360"/>
      </w:pPr>
      <w:rPr>
        <w:rFonts w:ascii="Arial" w:hAnsi="Arial" w:hint="default"/>
      </w:rPr>
    </w:lvl>
    <w:lvl w:ilvl="4" w:tplc="00563B5C" w:tentative="1">
      <w:start w:val="1"/>
      <w:numFmt w:val="bullet"/>
      <w:lvlText w:val="•"/>
      <w:lvlJc w:val="left"/>
      <w:pPr>
        <w:tabs>
          <w:tab w:val="num" w:pos="3600"/>
        </w:tabs>
        <w:ind w:left="3600" w:hanging="360"/>
      </w:pPr>
      <w:rPr>
        <w:rFonts w:ascii="Arial" w:hAnsi="Arial" w:hint="default"/>
      </w:rPr>
    </w:lvl>
    <w:lvl w:ilvl="5" w:tplc="C240A6EA" w:tentative="1">
      <w:start w:val="1"/>
      <w:numFmt w:val="bullet"/>
      <w:lvlText w:val="•"/>
      <w:lvlJc w:val="left"/>
      <w:pPr>
        <w:tabs>
          <w:tab w:val="num" w:pos="4320"/>
        </w:tabs>
        <w:ind w:left="4320" w:hanging="360"/>
      </w:pPr>
      <w:rPr>
        <w:rFonts w:ascii="Arial" w:hAnsi="Arial" w:hint="default"/>
      </w:rPr>
    </w:lvl>
    <w:lvl w:ilvl="6" w:tplc="ED848A12" w:tentative="1">
      <w:start w:val="1"/>
      <w:numFmt w:val="bullet"/>
      <w:lvlText w:val="•"/>
      <w:lvlJc w:val="left"/>
      <w:pPr>
        <w:tabs>
          <w:tab w:val="num" w:pos="5040"/>
        </w:tabs>
        <w:ind w:left="5040" w:hanging="360"/>
      </w:pPr>
      <w:rPr>
        <w:rFonts w:ascii="Arial" w:hAnsi="Arial" w:hint="default"/>
      </w:rPr>
    </w:lvl>
    <w:lvl w:ilvl="7" w:tplc="80967252" w:tentative="1">
      <w:start w:val="1"/>
      <w:numFmt w:val="bullet"/>
      <w:lvlText w:val="•"/>
      <w:lvlJc w:val="left"/>
      <w:pPr>
        <w:tabs>
          <w:tab w:val="num" w:pos="5760"/>
        </w:tabs>
        <w:ind w:left="5760" w:hanging="360"/>
      </w:pPr>
      <w:rPr>
        <w:rFonts w:ascii="Arial" w:hAnsi="Arial" w:hint="default"/>
      </w:rPr>
    </w:lvl>
    <w:lvl w:ilvl="8" w:tplc="4C5006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431A4B"/>
    <w:multiLevelType w:val="multilevel"/>
    <w:tmpl w:val="694034CE"/>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6301525"/>
    <w:multiLevelType w:val="hybridMultilevel"/>
    <w:tmpl w:val="D258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F0023"/>
    <w:multiLevelType w:val="multilevel"/>
    <w:tmpl w:val="F968B9D6"/>
    <w:lvl w:ilvl="0">
      <w:start w:val="1"/>
      <w:numFmt w:val="decimal"/>
      <w:lvlText w:val="Chapter %1"/>
      <w:lvlJc w:val="left"/>
      <w:pPr>
        <w:tabs>
          <w:tab w:val="num" w:pos="1985"/>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474"/>
        </w:tabs>
        <w:ind w:left="1474" w:hanging="1474"/>
      </w:pPr>
      <w:rPr>
        <w:rFonts w:hint="default"/>
      </w:rPr>
    </w:lvl>
    <w:lvl w:ilvl="7">
      <w:start w:val="1"/>
      <w:numFmt w:val="decimal"/>
      <w:lvlText w:val="%1.%2.%3.%4.%5.%6.%7.%8"/>
      <w:lvlJc w:val="left"/>
      <w:pPr>
        <w:tabs>
          <w:tab w:val="num" w:pos="1588"/>
        </w:tabs>
        <w:ind w:left="1588" w:hanging="1588"/>
      </w:pPr>
      <w:rPr>
        <w:rFonts w:hint="default"/>
      </w:rPr>
    </w:lvl>
    <w:lvl w:ilvl="8">
      <w:start w:val="1"/>
      <w:numFmt w:val="decimal"/>
      <w:lvlText w:val="%1.%2.%3.%4.%5.%6.%7.%8.%9"/>
      <w:lvlJc w:val="left"/>
      <w:pPr>
        <w:tabs>
          <w:tab w:val="num" w:pos="1701"/>
        </w:tabs>
        <w:ind w:left="1701" w:hanging="1701"/>
      </w:pPr>
      <w:rPr>
        <w:rFonts w:hint="default"/>
      </w:rPr>
    </w:lvl>
  </w:abstractNum>
  <w:abstractNum w:abstractNumId="12" w15:restartNumberingAfterBreak="0">
    <w:nsid w:val="4437344B"/>
    <w:multiLevelType w:val="hybridMultilevel"/>
    <w:tmpl w:val="4420E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B212AC"/>
    <w:multiLevelType w:val="hybridMultilevel"/>
    <w:tmpl w:val="5D6C4FD6"/>
    <w:lvl w:ilvl="0" w:tplc="0809000F">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B2692C"/>
    <w:multiLevelType w:val="hybridMultilevel"/>
    <w:tmpl w:val="C0109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364F44"/>
    <w:multiLevelType w:val="hybridMultilevel"/>
    <w:tmpl w:val="2708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BD0269"/>
    <w:multiLevelType w:val="hybridMultilevel"/>
    <w:tmpl w:val="F110AA06"/>
    <w:lvl w:ilvl="0" w:tplc="C6CE4F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1C15F7"/>
    <w:multiLevelType w:val="hybridMultilevel"/>
    <w:tmpl w:val="D4BEF8D8"/>
    <w:lvl w:ilvl="0" w:tplc="20FCD9D8">
      <w:start w:val="1"/>
      <w:numFmt w:val="bullet"/>
      <w:lvlText w:val="•"/>
      <w:lvlJc w:val="left"/>
      <w:pPr>
        <w:tabs>
          <w:tab w:val="num" w:pos="720"/>
        </w:tabs>
        <w:ind w:left="720" w:hanging="360"/>
      </w:pPr>
      <w:rPr>
        <w:rFonts w:ascii="Arial" w:hAnsi="Arial" w:hint="default"/>
      </w:rPr>
    </w:lvl>
    <w:lvl w:ilvl="1" w:tplc="ABC2AA58" w:tentative="1">
      <w:start w:val="1"/>
      <w:numFmt w:val="bullet"/>
      <w:lvlText w:val="•"/>
      <w:lvlJc w:val="left"/>
      <w:pPr>
        <w:tabs>
          <w:tab w:val="num" w:pos="1440"/>
        </w:tabs>
        <w:ind w:left="1440" w:hanging="360"/>
      </w:pPr>
      <w:rPr>
        <w:rFonts w:ascii="Arial" w:hAnsi="Arial" w:hint="default"/>
      </w:rPr>
    </w:lvl>
    <w:lvl w:ilvl="2" w:tplc="8FE8340A" w:tentative="1">
      <w:start w:val="1"/>
      <w:numFmt w:val="bullet"/>
      <w:lvlText w:val="•"/>
      <w:lvlJc w:val="left"/>
      <w:pPr>
        <w:tabs>
          <w:tab w:val="num" w:pos="2160"/>
        </w:tabs>
        <w:ind w:left="2160" w:hanging="360"/>
      </w:pPr>
      <w:rPr>
        <w:rFonts w:ascii="Arial" w:hAnsi="Arial" w:hint="default"/>
      </w:rPr>
    </w:lvl>
    <w:lvl w:ilvl="3" w:tplc="BBD6B8CC" w:tentative="1">
      <w:start w:val="1"/>
      <w:numFmt w:val="bullet"/>
      <w:lvlText w:val="•"/>
      <w:lvlJc w:val="left"/>
      <w:pPr>
        <w:tabs>
          <w:tab w:val="num" w:pos="2880"/>
        </w:tabs>
        <w:ind w:left="2880" w:hanging="360"/>
      </w:pPr>
      <w:rPr>
        <w:rFonts w:ascii="Arial" w:hAnsi="Arial" w:hint="default"/>
      </w:rPr>
    </w:lvl>
    <w:lvl w:ilvl="4" w:tplc="F434F306" w:tentative="1">
      <w:start w:val="1"/>
      <w:numFmt w:val="bullet"/>
      <w:lvlText w:val="•"/>
      <w:lvlJc w:val="left"/>
      <w:pPr>
        <w:tabs>
          <w:tab w:val="num" w:pos="3600"/>
        </w:tabs>
        <w:ind w:left="3600" w:hanging="360"/>
      </w:pPr>
      <w:rPr>
        <w:rFonts w:ascii="Arial" w:hAnsi="Arial" w:hint="default"/>
      </w:rPr>
    </w:lvl>
    <w:lvl w:ilvl="5" w:tplc="EDE2A094" w:tentative="1">
      <w:start w:val="1"/>
      <w:numFmt w:val="bullet"/>
      <w:lvlText w:val="•"/>
      <w:lvlJc w:val="left"/>
      <w:pPr>
        <w:tabs>
          <w:tab w:val="num" w:pos="4320"/>
        </w:tabs>
        <w:ind w:left="4320" w:hanging="360"/>
      </w:pPr>
      <w:rPr>
        <w:rFonts w:ascii="Arial" w:hAnsi="Arial" w:hint="default"/>
      </w:rPr>
    </w:lvl>
    <w:lvl w:ilvl="6" w:tplc="C7BE3A5E" w:tentative="1">
      <w:start w:val="1"/>
      <w:numFmt w:val="bullet"/>
      <w:lvlText w:val="•"/>
      <w:lvlJc w:val="left"/>
      <w:pPr>
        <w:tabs>
          <w:tab w:val="num" w:pos="5040"/>
        </w:tabs>
        <w:ind w:left="5040" w:hanging="360"/>
      </w:pPr>
      <w:rPr>
        <w:rFonts w:ascii="Arial" w:hAnsi="Arial" w:hint="default"/>
      </w:rPr>
    </w:lvl>
    <w:lvl w:ilvl="7" w:tplc="82546BA0" w:tentative="1">
      <w:start w:val="1"/>
      <w:numFmt w:val="bullet"/>
      <w:lvlText w:val="•"/>
      <w:lvlJc w:val="left"/>
      <w:pPr>
        <w:tabs>
          <w:tab w:val="num" w:pos="5760"/>
        </w:tabs>
        <w:ind w:left="5760" w:hanging="360"/>
      </w:pPr>
      <w:rPr>
        <w:rFonts w:ascii="Arial" w:hAnsi="Arial" w:hint="default"/>
      </w:rPr>
    </w:lvl>
    <w:lvl w:ilvl="8" w:tplc="6AD62C5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01548D9"/>
    <w:multiLevelType w:val="hybridMultilevel"/>
    <w:tmpl w:val="CDF8339E"/>
    <w:lvl w:ilvl="0" w:tplc="A08212C6">
      <w:start w:val="1"/>
      <w:numFmt w:val="bullet"/>
      <w:lvlText w:val="-"/>
      <w:lvlJc w:val="left"/>
      <w:pPr>
        <w:tabs>
          <w:tab w:val="num" w:pos="720"/>
        </w:tabs>
        <w:ind w:left="720" w:hanging="360"/>
      </w:pPr>
      <w:rPr>
        <w:rFonts w:ascii="Times New Roman" w:hAnsi="Times New Roman" w:hint="default"/>
      </w:rPr>
    </w:lvl>
    <w:lvl w:ilvl="1" w:tplc="98E870F2" w:tentative="1">
      <w:start w:val="1"/>
      <w:numFmt w:val="bullet"/>
      <w:lvlText w:val="-"/>
      <w:lvlJc w:val="left"/>
      <w:pPr>
        <w:tabs>
          <w:tab w:val="num" w:pos="1440"/>
        </w:tabs>
        <w:ind w:left="1440" w:hanging="360"/>
      </w:pPr>
      <w:rPr>
        <w:rFonts w:ascii="Times New Roman" w:hAnsi="Times New Roman" w:hint="default"/>
      </w:rPr>
    </w:lvl>
    <w:lvl w:ilvl="2" w:tplc="7D824786" w:tentative="1">
      <w:start w:val="1"/>
      <w:numFmt w:val="bullet"/>
      <w:lvlText w:val="-"/>
      <w:lvlJc w:val="left"/>
      <w:pPr>
        <w:tabs>
          <w:tab w:val="num" w:pos="2160"/>
        </w:tabs>
        <w:ind w:left="2160" w:hanging="360"/>
      </w:pPr>
      <w:rPr>
        <w:rFonts w:ascii="Times New Roman" w:hAnsi="Times New Roman" w:hint="default"/>
      </w:rPr>
    </w:lvl>
    <w:lvl w:ilvl="3" w:tplc="466E6D96" w:tentative="1">
      <w:start w:val="1"/>
      <w:numFmt w:val="bullet"/>
      <w:lvlText w:val="-"/>
      <w:lvlJc w:val="left"/>
      <w:pPr>
        <w:tabs>
          <w:tab w:val="num" w:pos="2880"/>
        </w:tabs>
        <w:ind w:left="2880" w:hanging="360"/>
      </w:pPr>
      <w:rPr>
        <w:rFonts w:ascii="Times New Roman" w:hAnsi="Times New Roman" w:hint="default"/>
      </w:rPr>
    </w:lvl>
    <w:lvl w:ilvl="4" w:tplc="7752ED56" w:tentative="1">
      <w:start w:val="1"/>
      <w:numFmt w:val="bullet"/>
      <w:lvlText w:val="-"/>
      <w:lvlJc w:val="left"/>
      <w:pPr>
        <w:tabs>
          <w:tab w:val="num" w:pos="3600"/>
        </w:tabs>
        <w:ind w:left="3600" w:hanging="360"/>
      </w:pPr>
      <w:rPr>
        <w:rFonts w:ascii="Times New Roman" w:hAnsi="Times New Roman" w:hint="default"/>
      </w:rPr>
    </w:lvl>
    <w:lvl w:ilvl="5" w:tplc="A3AEDB54" w:tentative="1">
      <w:start w:val="1"/>
      <w:numFmt w:val="bullet"/>
      <w:lvlText w:val="-"/>
      <w:lvlJc w:val="left"/>
      <w:pPr>
        <w:tabs>
          <w:tab w:val="num" w:pos="4320"/>
        </w:tabs>
        <w:ind w:left="4320" w:hanging="360"/>
      </w:pPr>
      <w:rPr>
        <w:rFonts w:ascii="Times New Roman" w:hAnsi="Times New Roman" w:hint="default"/>
      </w:rPr>
    </w:lvl>
    <w:lvl w:ilvl="6" w:tplc="D2A48DA4" w:tentative="1">
      <w:start w:val="1"/>
      <w:numFmt w:val="bullet"/>
      <w:lvlText w:val="-"/>
      <w:lvlJc w:val="left"/>
      <w:pPr>
        <w:tabs>
          <w:tab w:val="num" w:pos="5040"/>
        </w:tabs>
        <w:ind w:left="5040" w:hanging="360"/>
      </w:pPr>
      <w:rPr>
        <w:rFonts w:ascii="Times New Roman" w:hAnsi="Times New Roman" w:hint="default"/>
      </w:rPr>
    </w:lvl>
    <w:lvl w:ilvl="7" w:tplc="7264C974" w:tentative="1">
      <w:start w:val="1"/>
      <w:numFmt w:val="bullet"/>
      <w:lvlText w:val="-"/>
      <w:lvlJc w:val="left"/>
      <w:pPr>
        <w:tabs>
          <w:tab w:val="num" w:pos="5760"/>
        </w:tabs>
        <w:ind w:left="5760" w:hanging="360"/>
      </w:pPr>
      <w:rPr>
        <w:rFonts w:ascii="Times New Roman" w:hAnsi="Times New Roman" w:hint="default"/>
      </w:rPr>
    </w:lvl>
    <w:lvl w:ilvl="8" w:tplc="FAAC362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3EF0EE0"/>
    <w:multiLevelType w:val="hybridMultilevel"/>
    <w:tmpl w:val="D75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02276"/>
    <w:multiLevelType w:val="hybridMultilevel"/>
    <w:tmpl w:val="60DC5F14"/>
    <w:lvl w:ilvl="0" w:tplc="129EA782">
      <w:start w:val="1"/>
      <w:numFmt w:val="bullet"/>
      <w:lvlText w:val="•"/>
      <w:lvlJc w:val="left"/>
      <w:pPr>
        <w:tabs>
          <w:tab w:val="num" w:pos="720"/>
        </w:tabs>
        <w:ind w:left="720" w:hanging="360"/>
      </w:pPr>
      <w:rPr>
        <w:rFonts w:ascii="Arial" w:hAnsi="Arial" w:hint="default"/>
      </w:rPr>
    </w:lvl>
    <w:lvl w:ilvl="1" w:tplc="B17A2FB2" w:tentative="1">
      <w:start w:val="1"/>
      <w:numFmt w:val="bullet"/>
      <w:lvlText w:val="•"/>
      <w:lvlJc w:val="left"/>
      <w:pPr>
        <w:tabs>
          <w:tab w:val="num" w:pos="1440"/>
        </w:tabs>
        <w:ind w:left="1440" w:hanging="360"/>
      </w:pPr>
      <w:rPr>
        <w:rFonts w:ascii="Arial" w:hAnsi="Arial" w:hint="default"/>
      </w:rPr>
    </w:lvl>
    <w:lvl w:ilvl="2" w:tplc="414434DE" w:tentative="1">
      <w:start w:val="1"/>
      <w:numFmt w:val="bullet"/>
      <w:lvlText w:val="•"/>
      <w:lvlJc w:val="left"/>
      <w:pPr>
        <w:tabs>
          <w:tab w:val="num" w:pos="2160"/>
        </w:tabs>
        <w:ind w:left="2160" w:hanging="360"/>
      </w:pPr>
      <w:rPr>
        <w:rFonts w:ascii="Arial" w:hAnsi="Arial" w:hint="default"/>
      </w:rPr>
    </w:lvl>
    <w:lvl w:ilvl="3" w:tplc="845E97C8" w:tentative="1">
      <w:start w:val="1"/>
      <w:numFmt w:val="bullet"/>
      <w:lvlText w:val="•"/>
      <w:lvlJc w:val="left"/>
      <w:pPr>
        <w:tabs>
          <w:tab w:val="num" w:pos="2880"/>
        </w:tabs>
        <w:ind w:left="2880" w:hanging="360"/>
      </w:pPr>
      <w:rPr>
        <w:rFonts w:ascii="Arial" w:hAnsi="Arial" w:hint="default"/>
      </w:rPr>
    </w:lvl>
    <w:lvl w:ilvl="4" w:tplc="417A4FCE" w:tentative="1">
      <w:start w:val="1"/>
      <w:numFmt w:val="bullet"/>
      <w:lvlText w:val="•"/>
      <w:lvlJc w:val="left"/>
      <w:pPr>
        <w:tabs>
          <w:tab w:val="num" w:pos="3600"/>
        </w:tabs>
        <w:ind w:left="3600" w:hanging="360"/>
      </w:pPr>
      <w:rPr>
        <w:rFonts w:ascii="Arial" w:hAnsi="Arial" w:hint="default"/>
      </w:rPr>
    </w:lvl>
    <w:lvl w:ilvl="5" w:tplc="1F1276C0" w:tentative="1">
      <w:start w:val="1"/>
      <w:numFmt w:val="bullet"/>
      <w:lvlText w:val="•"/>
      <w:lvlJc w:val="left"/>
      <w:pPr>
        <w:tabs>
          <w:tab w:val="num" w:pos="4320"/>
        </w:tabs>
        <w:ind w:left="4320" w:hanging="360"/>
      </w:pPr>
      <w:rPr>
        <w:rFonts w:ascii="Arial" w:hAnsi="Arial" w:hint="default"/>
      </w:rPr>
    </w:lvl>
    <w:lvl w:ilvl="6" w:tplc="31E0D0FA" w:tentative="1">
      <w:start w:val="1"/>
      <w:numFmt w:val="bullet"/>
      <w:lvlText w:val="•"/>
      <w:lvlJc w:val="left"/>
      <w:pPr>
        <w:tabs>
          <w:tab w:val="num" w:pos="5040"/>
        </w:tabs>
        <w:ind w:left="5040" w:hanging="360"/>
      </w:pPr>
      <w:rPr>
        <w:rFonts w:ascii="Arial" w:hAnsi="Arial" w:hint="default"/>
      </w:rPr>
    </w:lvl>
    <w:lvl w:ilvl="7" w:tplc="AD1E0938" w:tentative="1">
      <w:start w:val="1"/>
      <w:numFmt w:val="bullet"/>
      <w:lvlText w:val="•"/>
      <w:lvlJc w:val="left"/>
      <w:pPr>
        <w:tabs>
          <w:tab w:val="num" w:pos="5760"/>
        </w:tabs>
        <w:ind w:left="5760" w:hanging="360"/>
      </w:pPr>
      <w:rPr>
        <w:rFonts w:ascii="Arial" w:hAnsi="Arial" w:hint="default"/>
      </w:rPr>
    </w:lvl>
    <w:lvl w:ilvl="8" w:tplc="0B58934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5C71FE"/>
    <w:multiLevelType w:val="hybridMultilevel"/>
    <w:tmpl w:val="D75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C26AA1"/>
    <w:multiLevelType w:val="hybridMultilevel"/>
    <w:tmpl w:val="D28CE172"/>
    <w:lvl w:ilvl="0" w:tplc="8A124B3A">
      <w:start w:val="1"/>
      <w:numFmt w:val="bullet"/>
      <w:lvlText w:val="•"/>
      <w:lvlJc w:val="left"/>
      <w:pPr>
        <w:tabs>
          <w:tab w:val="num" w:pos="720"/>
        </w:tabs>
        <w:ind w:left="720" w:hanging="360"/>
      </w:pPr>
      <w:rPr>
        <w:rFonts w:ascii="Arial" w:hAnsi="Arial" w:hint="default"/>
      </w:rPr>
    </w:lvl>
    <w:lvl w:ilvl="1" w:tplc="41606B7E" w:tentative="1">
      <w:start w:val="1"/>
      <w:numFmt w:val="bullet"/>
      <w:lvlText w:val="•"/>
      <w:lvlJc w:val="left"/>
      <w:pPr>
        <w:tabs>
          <w:tab w:val="num" w:pos="1440"/>
        </w:tabs>
        <w:ind w:left="1440" w:hanging="360"/>
      </w:pPr>
      <w:rPr>
        <w:rFonts w:ascii="Arial" w:hAnsi="Arial" w:hint="default"/>
      </w:rPr>
    </w:lvl>
    <w:lvl w:ilvl="2" w:tplc="264EEC46" w:tentative="1">
      <w:start w:val="1"/>
      <w:numFmt w:val="bullet"/>
      <w:lvlText w:val="•"/>
      <w:lvlJc w:val="left"/>
      <w:pPr>
        <w:tabs>
          <w:tab w:val="num" w:pos="2160"/>
        </w:tabs>
        <w:ind w:left="2160" w:hanging="360"/>
      </w:pPr>
      <w:rPr>
        <w:rFonts w:ascii="Arial" w:hAnsi="Arial" w:hint="default"/>
      </w:rPr>
    </w:lvl>
    <w:lvl w:ilvl="3" w:tplc="F308FA1E" w:tentative="1">
      <w:start w:val="1"/>
      <w:numFmt w:val="bullet"/>
      <w:lvlText w:val="•"/>
      <w:lvlJc w:val="left"/>
      <w:pPr>
        <w:tabs>
          <w:tab w:val="num" w:pos="2880"/>
        </w:tabs>
        <w:ind w:left="2880" w:hanging="360"/>
      </w:pPr>
      <w:rPr>
        <w:rFonts w:ascii="Arial" w:hAnsi="Arial" w:hint="default"/>
      </w:rPr>
    </w:lvl>
    <w:lvl w:ilvl="4" w:tplc="03228E0A" w:tentative="1">
      <w:start w:val="1"/>
      <w:numFmt w:val="bullet"/>
      <w:lvlText w:val="•"/>
      <w:lvlJc w:val="left"/>
      <w:pPr>
        <w:tabs>
          <w:tab w:val="num" w:pos="3600"/>
        </w:tabs>
        <w:ind w:left="3600" w:hanging="360"/>
      </w:pPr>
      <w:rPr>
        <w:rFonts w:ascii="Arial" w:hAnsi="Arial" w:hint="default"/>
      </w:rPr>
    </w:lvl>
    <w:lvl w:ilvl="5" w:tplc="B41ADD16" w:tentative="1">
      <w:start w:val="1"/>
      <w:numFmt w:val="bullet"/>
      <w:lvlText w:val="•"/>
      <w:lvlJc w:val="left"/>
      <w:pPr>
        <w:tabs>
          <w:tab w:val="num" w:pos="4320"/>
        </w:tabs>
        <w:ind w:left="4320" w:hanging="360"/>
      </w:pPr>
      <w:rPr>
        <w:rFonts w:ascii="Arial" w:hAnsi="Arial" w:hint="default"/>
      </w:rPr>
    </w:lvl>
    <w:lvl w:ilvl="6" w:tplc="200494CC" w:tentative="1">
      <w:start w:val="1"/>
      <w:numFmt w:val="bullet"/>
      <w:lvlText w:val="•"/>
      <w:lvlJc w:val="left"/>
      <w:pPr>
        <w:tabs>
          <w:tab w:val="num" w:pos="5040"/>
        </w:tabs>
        <w:ind w:left="5040" w:hanging="360"/>
      </w:pPr>
      <w:rPr>
        <w:rFonts w:ascii="Arial" w:hAnsi="Arial" w:hint="default"/>
      </w:rPr>
    </w:lvl>
    <w:lvl w:ilvl="7" w:tplc="FBEC11DE" w:tentative="1">
      <w:start w:val="1"/>
      <w:numFmt w:val="bullet"/>
      <w:lvlText w:val="•"/>
      <w:lvlJc w:val="left"/>
      <w:pPr>
        <w:tabs>
          <w:tab w:val="num" w:pos="5760"/>
        </w:tabs>
        <w:ind w:left="5760" w:hanging="360"/>
      </w:pPr>
      <w:rPr>
        <w:rFonts w:ascii="Arial" w:hAnsi="Arial" w:hint="default"/>
      </w:rPr>
    </w:lvl>
    <w:lvl w:ilvl="8" w:tplc="B750287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AD0E45"/>
    <w:multiLevelType w:val="hybridMultilevel"/>
    <w:tmpl w:val="1658A8F6"/>
    <w:lvl w:ilvl="0" w:tplc="803AD35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F20405"/>
    <w:multiLevelType w:val="hybridMultilevel"/>
    <w:tmpl w:val="CB7E3D32"/>
    <w:lvl w:ilvl="0" w:tplc="FC7244E4">
      <w:start w:val="1"/>
      <w:numFmt w:val="bullet"/>
      <w:lvlText w:val="•"/>
      <w:lvlJc w:val="left"/>
      <w:pPr>
        <w:tabs>
          <w:tab w:val="num" w:pos="720"/>
        </w:tabs>
        <w:ind w:left="720" w:hanging="360"/>
      </w:pPr>
      <w:rPr>
        <w:rFonts w:ascii="Arial" w:hAnsi="Arial" w:hint="default"/>
      </w:rPr>
    </w:lvl>
    <w:lvl w:ilvl="1" w:tplc="4B0461F6" w:tentative="1">
      <w:start w:val="1"/>
      <w:numFmt w:val="bullet"/>
      <w:lvlText w:val="•"/>
      <w:lvlJc w:val="left"/>
      <w:pPr>
        <w:tabs>
          <w:tab w:val="num" w:pos="1440"/>
        </w:tabs>
        <w:ind w:left="1440" w:hanging="360"/>
      </w:pPr>
      <w:rPr>
        <w:rFonts w:ascii="Arial" w:hAnsi="Arial" w:hint="default"/>
      </w:rPr>
    </w:lvl>
    <w:lvl w:ilvl="2" w:tplc="AA4CA7BE" w:tentative="1">
      <w:start w:val="1"/>
      <w:numFmt w:val="bullet"/>
      <w:lvlText w:val="•"/>
      <w:lvlJc w:val="left"/>
      <w:pPr>
        <w:tabs>
          <w:tab w:val="num" w:pos="2160"/>
        </w:tabs>
        <w:ind w:left="2160" w:hanging="360"/>
      </w:pPr>
      <w:rPr>
        <w:rFonts w:ascii="Arial" w:hAnsi="Arial" w:hint="default"/>
      </w:rPr>
    </w:lvl>
    <w:lvl w:ilvl="3" w:tplc="8CA05648" w:tentative="1">
      <w:start w:val="1"/>
      <w:numFmt w:val="bullet"/>
      <w:lvlText w:val="•"/>
      <w:lvlJc w:val="left"/>
      <w:pPr>
        <w:tabs>
          <w:tab w:val="num" w:pos="2880"/>
        </w:tabs>
        <w:ind w:left="2880" w:hanging="360"/>
      </w:pPr>
      <w:rPr>
        <w:rFonts w:ascii="Arial" w:hAnsi="Arial" w:hint="default"/>
      </w:rPr>
    </w:lvl>
    <w:lvl w:ilvl="4" w:tplc="93A8F8B4" w:tentative="1">
      <w:start w:val="1"/>
      <w:numFmt w:val="bullet"/>
      <w:lvlText w:val="•"/>
      <w:lvlJc w:val="left"/>
      <w:pPr>
        <w:tabs>
          <w:tab w:val="num" w:pos="3600"/>
        </w:tabs>
        <w:ind w:left="3600" w:hanging="360"/>
      </w:pPr>
      <w:rPr>
        <w:rFonts w:ascii="Arial" w:hAnsi="Arial" w:hint="default"/>
      </w:rPr>
    </w:lvl>
    <w:lvl w:ilvl="5" w:tplc="B78603E2" w:tentative="1">
      <w:start w:val="1"/>
      <w:numFmt w:val="bullet"/>
      <w:lvlText w:val="•"/>
      <w:lvlJc w:val="left"/>
      <w:pPr>
        <w:tabs>
          <w:tab w:val="num" w:pos="4320"/>
        </w:tabs>
        <w:ind w:left="4320" w:hanging="360"/>
      </w:pPr>
      <w:rPr>
        <w:rFonts w:ascii="Arial" w:hAnsi="Arial" w:hint="default"/>
      </w:rPr>
    </w:lvl>
    <w:lvl w:ilvl="6" w:tplc="7390E1D4" w:tentative="1">
      <w:start w:val="1"/>
      <w:numFmt w:val="bullet"/>
      <w:lvlText w:val="•"/>
      <w:lvlJc w:val="left"/>
      <w:pPr>
        <w:tabs>
          <w:tab w:val="num" w:pos="5040"/>
        </w:tabs>
        <w:ind w:left="5040" w:hanging="360"/>
      </w:pPr>
      <w:rPr>
        <w:rFonts w:ascii="Arial" w:hAnsi="Arial" w:hint="default"/>
      </w:rPr>
    </w:lvl>
    <w:lvl w:ilvl="7" w:tplc="18CCAEDA" w:tentative="1">
      <w:start w:val="1"/>
      <w:numFmt w:val="bullet"/>
      <w:lvlText w:val="•"/>
      <w:lvlJc w:val="left"/>
      <w:pPr>
        <w:tabs>
          <w:tab w:val="num" w:pos="5760"/>
        </w:tabs>
        <w:ind w:left="5760" w:hanging="360"/>
      </w:pPr>
      <w:rPr>
        <w:rFonts w:ascii="Arial" w:hAnsi="Arial" w:hint="default"/>
      </w:rPr>
    </w:lvl>
    <w:lvl w:ilvl="8" w:tplc="808A8EA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19417E9"/>
    <w:multiLevelType w:val="hybridMultilevel"/>
    <w:tmpl w:val="79F65B46"/>
    <w:lvl w:ilvl="0" w:tplc="B1D61510">
      <w:start w:val="33"/>
      <w:numFmt w:val="decimal"/>
      <w:lvlText w:val="%1"/>
      <w:lvlJc w:val="left"/>
      <w:pPr>
        <w:ind w:left="720" w:hanging="360"/>
      </w:pPr>
      <w:rPr>
        <w:rFonts w:ascii="AdvTT5bf2ac07" w:hAnsi="AdvTT5bf2ac07" w:cs="AdvTT5bf2ac07"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B70369"/>
    <w:multiLevelType w:val="hybridMultilevel"/>
    <w:tmpl w:val="04C8CB82"/>
    <w:lvl w:ilvl="0" w:tplc="ADB81A06">
      <w:start w:val="1"/>
      <w:numFmt w:val="bullet"/>
      <w:lvlText w:val="•"/>
      <w:lvlJc w:val="left"/>
      <w:pPr>
        <w:tabs>
          <w:tab w:val="num" w:pos="720"/>
        </w:tabs>
        <w:ind w:left="720" w:hanging="360"/>
      </w:pPr>
      <w:rPr>
        <w:rFonts w:ascii="Arial" w:hAnsi="Arial" w:hint="default"/>
      </w:rPr>
    </w:lvl>
    <w:lvl w:ilvl="1" w:tplc="AB74FCF0" w:tentative="1">
      <w:start w:val="1"/>
      <w:numFmt w:val="bullet"/>
      <w:lvlText w:val="•"/>
      <w:lvlJc w:val="left"/>
      <w:pPr>
        <w:tabs>
          <w:tab w:val="num" w:pos="1440"/>
        </w:tabs>
        <w:ind w:left="1440" w:hanging="360"/>
      </w:pPr>
      <w:rPr>
        <w:rFonts w:ascii="Arial" w:hAnsi="Arial" w:hint="default"/>
      </w:rPr>
    </w:lvl>
    <w:lvl w:ilvl="2" w:tplc="1D48D6AC" w:tentative="1">
      <w:start w:val="1"/>
      <w:numFmt w:val="bullet"/>
      <w:lvlText w:val="•"/>
      <w:lvlJc w:val="left"/>
      <w:pPr>
        <w:tabs>
          <w:tab w:val="num" w:pos="2160"/>
        </w:tabs>
        <w:ind w:left="2160" w:hanging="360"/>
      </w:pPr>
      <w:rPr>
        <w:rFonts w:ascii="Arial" w:hAnsi="Arial" w:hint="default"/>
      </w:rPr>
    </w:lvl>
    <w:lvl w:ilvl="3" w:tplc="3F7A99DE" w:tentative="1">
      <w:start w:val="1"/>
      <w:numFmt w:val="bullet"/>
      <w:lvlText w:val="•"/>
      <w:lvlJc w:val="left"/>
      <w:pPr>
        <w:tabs>
          <w:tab w:val="num" w:pos="2880"/>
        </w:tabs>
        <w:ind w:left="2880" w:hanging="360"/>
      </w:pPr>
      <w:rPr>
        <w:rFonts w:ascii="Arial" w:hAnsi="Arial" w:hint="default"/>
      </w:rPr>
    </w:lvl>
    <w:lvl w:ilvl="4" w:tplc="4C3AA4A2" w:tentative="1">
      <w:start w:val="1"/>
      <w:numFmt w:val="bullet"/>
      <w:lvlText w:val="•"/>
      <w:lvlJc w:val="left"/>
      <w:pPr>
        <w:tabs>
          <w:tab w:val="num" w:pos="3600"/>
        </w:tabs>
        <w:ind w:left="3600" w:hanging="360"/>
      </w:pPr>
      <w:rPr>
        <w:rFonts w:ascii="Arial" w:hAnsi="Arial" w:hint="default"/>
      </w:rPr>
    </w:lvl>
    <w:lvl w:ilvl="5" w:tplc="61EAB26A" w:tentative="1">
      <w:start w:val="1"/>
      <w:numFmt w:val="bullet"/>
      <w:lvlText w:val="•"/>
      <w:lvlJc w:val="left"/>
      <w:pPr>
        <w:tabs>
          <w:tab w:val="num" w:pos="4320"/>
        </w:tabs>
        <w:ind w:left="4320" w:hanging="360"/>
      </w:pPr>
      <w:rPr>
        <w:rFonts w:ascii="Arial" w:hAnsi="Arial" w:hint="default"/>
      </w:rPr>
    </w:lvl>
    <w:lvl w:ilvl="6" w:tplc="0C00DDDC" w:tentative="1">
      <w:start w:val="1"/>
      <w:numFmt w:val="bullet"/>
      <w:lvlText w:val="•"/>
      <w:lvlJc w:val="left"/>
      <w:pPr>
        <w:tabs>
          <w:tab w:val="num" w:pos="5040"/>
        </w:tabs>
        <w:ind w:left="5040" w:hanging="360"/>
      </w:pPr>
      <w:rPr>
        <w:rFonts w:ascii="Arial" w:hAnsi="Arial" w:hint="default"/>
      </w:rPr>
    </w:lvl>
    <w:lvl w:ilvl="7" w:tplc="ECAAF154" w:tentative="1">
      <w:start w:val="1"/>
      <w:numFmt w:val="bullet"/>
      <w:lvlText w:val="•"/>
      <w:lvlJc w:val="left"/>
      <w:pPr>
        <w:tabs>
          <w:tab w:val="num" w:pos="5760"/>
        </w:tabs>
        <w:ind w:left="5760" w:hanging="360"/>
      </w:pPr>
      <w:rPr>
        <w:rFonts w:ascii="Arial" w:hAnsi="Arial" w:hint="default"/>
      </w:rPr>
    </w:lvl>
    <w:lvl w:ilvl="8" w:tplc="A2541F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DD46F3C"/>
    <w:multiLevelType w:val="hybridMultilevel"/>
    <w:tmpl w:val="4ECC39BE"/>
    <w:lvl w:ilvl="0" w:tplc="BFCEF5F8">
      <w:start w:val="1"/>
      <w:numFmt w:val="bullet"/>
      <w:lvlText w:val="•"/>
      <w:lvlJc w:val="left"/>
      <w:pPr>
        <w:tabs>
          <w:tab w:val="num" w:pos="720"/>
        </w:tabs>
        <w:ind w:left="720" w:hanging="360"/>
      </w:pPr>
      <w:rPr>
        <w:rFonts w:ascii="Arial" w:hAnsi="Arial" w:hint="default"/>
      </w:rPr>
    </w:lvl>
    <w:lvl w:ilvl="1" w:tplc="C89247C2" w:tentative="1">
      <w:start w:val="1"/>
      <w:numFmt w:val="bullet"/>
      <w:lvlText w:val="•"/>
      <w:lvlJc w:val="left"/>
      <w:pPr>
        <w:tabs>
          <w:tab w:val="num" w:pos="1440"/>
        </w:tabs>
        <w:ind w:left="1440" w:hanging="360"/>
      </w:pPr>
      <w:rPr>
        <w:rFonts w:ascii="Arial" w:hAnsi="Arial" w:hint="default"/>
      </w:rPr>
    </w:lvl>
    <w:lvl w:ilvl="2" w:tplc="63B48C8A" w:tentative="1">
      <w:start w:val="1"/>
      <w:numFmt w:val="bullet"/>
      <w:lvlText w:val="•"/>
      <w:lvlJc w:val="left"/>
      <w:pPr>
        <w:tabs>
          <w:tab w:val="num" w:pos="2160"/>
        </w:tabs>
        <w:ind w:left="2160" w:hanging="360"/>
      </w:pPr>
      <w:rPr>
        <w:rFonts w:ascii="Arial" w:hAnsi="Arial" w:hint="default"/>
      </w:rPr>
    </w:lvl>
    <w:lvl w:ilvl="3" w:tplc="17404B38" w:tentative="1">
      <w:start w:val="1"/>
      <w:numFmt w:val="bullet"/>
      <w:lvlText w:val="•"/>
      <w:lvlJc w:val="left"/>
      <w:pPr>
        <w:tabs>
          <w:tab w:val="num" w:pos="2880"/>
        </w:tabs>
        <w:ind w:left="2880" w:hanging="360"/>
      </w:pPr>
      <w:rPr>
        <w:rFonts w:ascii="Arial" w:hAnsi="Arial" w:hint="default"/>
      </w:rPr>
    </w:lvl>
    <w:lvl w:ilvl="4" w:tplc="2B585D8C" w:tentative="1">
      <w:start w:val="1"/>
      <w:numFmt w:val="bullet"/>
      <w:lvlText w:val="•"/>
      <w:lvlJc w:val="left"/>
      <w:pPr>
        <w:tabs>
          <w:tab w:val="num" w:pos="3600"/>
        </w:tabs>
        <w:ind w:left="3600" w:hanging="360"/>
      </w:pPr>
      <w:rPr>
        <w:rFonts w:ascii="Arial" w:hAnsi="Arial" w:hint="default"/>
      </w:rPr>
    </w:lvl>
    <w:lvl w:ilvl="5" w:tplc="514EA03A" w:tentative="1">
      <w:start w:val="1"/>
      <w:numFmt w:val="bullet"/>
      <w:lvlText w:val="•"/>
      <w:lvlJc w:val="left"/>
      <w:pPr>
        <w:tabs>
          <w:tab w:val="num" w:pos="4320"/>
        </w:tabs>
        <w:ind w:left="4320" w:hanging="360"/>
      </w:pPr>
      <w:rPr>
        <w:rFonts w:ascii="Arial" w:hAnsi="Arial" w:hint="default"/>
      </w:rPr>
    </w:lvl>
    <w:lvl w:ilvl="6" w:tplc="5E124FDA" w:tentative="1">
      <w:start w:val="1"/>
      <w:numFmt w:val="bullet"/>
      <w:lvlText w:val="•"/>
      <w:lvlJc w:val="left"/>
      <w:pPr>
        <w:tabs>
          <w:tab w:val="num" w:pos="5040"/>
        </w:tabs>
        <w:ind w:left="5040" w:hanging="360"/>
      </w:pPr>
      <w:rPr>
        <w:rFonts w:ascii="Arial" w:hAnsi="Arial" w:hint="default"/>
      </w:rPr>
    </w:lvl>
    <w:lvl w:ilvl="7" w:tplc="BC908F2A" w:tentative="1">
      <w:start w:val="1"/>
      <w:numFmt w:val="bullet"/>
      <w:lvlText w:val="•"/>
      <w:lvlJc w:val="left"/>
      <w:pPr>
        <w:tabs>
          <w:tab w:val="num" w:pos="5760"/>
        </w:tabs>
        <w:ind w:left="5760" w:hanging="360"/>
      </w:pPr>
      <w:rPr>
        <w:rFonts w:ascii="Arial" w:hAnsi="Arial" w:hint="default"/>
      </w:rPr>
    </w:lvl>
    <w:lvl w:ilvl="8" w:tplc="E6C83410"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2"/>
  </w:num>
  <w:num w:numId="8">
    <w:abstractNumId w:val="10"/>
  </w:num>
  <w:num w:numId="9">
    <w:abstractNumId w:val="7"/>
  </w:num>
  <w:num w:numId="10">
    <w:abstractNumId w:val="15"/>
  </w:num>
  <w:num w:numId="11">
    <w:abstractNumId w:val="9"/>
  </w:num>
  <w:num w:numId="12">
    <w:abstractNumId w:val="26"/>
  </w:num>
  <w:num w:numId="13">
    <w:abstractNumId w:val="27"/>
  </w:num>
  <w:num w:numId="14">
    <w:abstractNumId w:val="22"/>
  </w:num>
  <w:num w:numId="15">
    <w:abstractNumId w:val="20"/>
  </w:num>
  <w:num w:numId="16">
    <w:abstractNumId w:val="24"/>
  </w:num>
  <w:num w:numId="17">
    <w:abstractNumId w:val="2"/>
  </w:num>
  <w:num w:numId="18">
    <w:abstractNumId w:val="18"/>
  </w:num>
  <w:num w:numId="19">
    <w:abstractNumId w:val="17"/>
  </w:num>
  <w:num w:numId="20">
    <w:abstractNumId w:val="6"/>
  </w:num>
  <w:num w:numId="21">
    <w:abstractNumId w:val="8"/>
  </w:num>
  <w:num w:numId="22">
    <w:abstractNumId w:val="25"/>
  </w:num>
  <w:num w:numId="23">
    <w:abstractNumId w:val="13"/>
  </w:num>
  <w:num w:numId="24">
    <w:abstractNumId w:val="0"/>
  </w:num>
  <w:num w:numId="25">
    <w:abstractNumId w:val="3"/>
  </w:num>
  <w:num w:numId="26">
    <w:abstractNumId w:val="19"/>
  </w:num>
  <w:num w:numId="27">
    <w:abstractNumId w:val="21"/>
  </w:num>
  <w:num w:numId="28">
    <w:abstractNumId w:val="5"/>
  </w:num>
  <w:num w:numId="29">
    <w:abstractNumId w:val="1"/>
  </w:num>
  <w:num w:numId="30">
    <w:abstractNumId w:val="14"/>
  </w:num>
  <w:num w:numId="31">
    <w:abstractNumId w:val="23"/>
  </w:num>
  <w:num w:numId="32">
    <w:abstractNumId w:val="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E0E6D"/>
    <w:rsid w:val="0000131B"/>
    <w:rsid w:val="000113ED"/>
    <w:rsid w:val="000156E0"/>
    <w:rsid w:val="00020966"/>
    <w:rsid w:val="00025387"/>
    <w:rsid w:val="00025F57"/>
    <w:rsid w:val="00033EFC"/>
    <w:rsid w:val="000475A0"/>
    <w:rsid w:val="00062608"/>
    <w:rsid w:val="00062B73"/>
    <w:rsid w:val="0006751D"/>
    <w:rsid w:val="00072472"/>
    <w:rsid w:val="00072827"/>
    <w:rsid w:val="000738BB"/>
    <w:rsid w:val="0008084C"/>
    <w:rsid w:val="00084B18"/>
    <w:rsid w:val="00090B4F"/>
    <w:rsid w:val="00097E16"/>
    <w:rsid w:val="000A173A"/>
    <w:rsid w:val="000A2F47"/>
    <w:rsid w:val="000A79C4"/>
    <w:rsid w:val="000B1C4F"/>
    <w:rsid w:val="000B6A39"/>
    <w:rsid w:val="000B75BB"/>
    <w:rsid w:val="000C0395"/>
    <w:rsid w:val="000D0C07"/>
    <w:rsid w:val="000D2509"/>
    <w:rsid w:val="000D5C17"/>
    <w:rsid w:val="000D7C3D"/>
    <w:rsid w:val="000D7C83"/>
    <w:rsid w:val="000F7ABC"/>
    <w:rsid w:val="001013F8"/>
    <w:rsid w:val="00104301"/>
    <w:rsid w:val="00106AD7"/>
    <w:rsid w:val="00107F95"/>
    <w:rsid w:val="001110F3"/>
    <w:rsid w:val="00112192"/>
    <w:rsid w:val="0011319F"/>
    <w:rsid w:val="00123F5D"/>
    <w:rsid w:val="00126EBD"/>
    <w:rsid w:val="001312D6"/>
    <w:rsid w:val="0014302F"/>
    <w:rsid w:val="001474EC"/>
    <w:rsid w:val="00151C81"/>
    <w:rsid w:val="001536E1"/>
    <w:rsid w:val="00161CCC"/>
    <w:rsid w:val="00163F99"/>
    <w:rsid w:val="0016524D"/>
    <w:rsid w:val="0016633C"/>
    <w:rsid w:val="00172227"/>
    <w:rsid w:val="00186365"/>
    <w:rsid w:val="001915D3"/>
    <w:rsid w:val="001957EB"/>
    <w:rsid w:val="00197E00"/>
    <w:rsid w:val="001A2AB5"/>
    <w:rsid w:val="001A6029"/>
    <w:rsid w:val="001A7A26"/>
    <w:rsid w:val="001B1CD6"/>
    <w:rsid w:val="001B63C7"/>
    <w:rsid w:val="001C0520"/>
    <w:rsid w:val="001C7570"/>
    <w:rsid w:val="001D0E5C"/>
    <w:rsid w:val="001D5E4F"/>
    <w:rsid w:val="001E6ACE"/>
    <w:rsid w:val="001F4FB8"/>
    <w:rsid w:val="001F5622"/>
    <w:rsid w:val="00212FAF"/>
    <w:rsid w:val="00222A9A"/>
    <w:rsid w:val="00227554"/>
    <w:rsid w:val="00227EE1"/>
    <w:rsid w:val="002356C5"/>
    <w:rsid w:val="00262E4A"/>
    <w:rsid w:val="00272BF6"/>
    <w:rsid w:val="002812E6"/>
    <w:rsid w:val="00287ECB"/>
    <w:rsid w:val="0029122B"/>
    <w:rsid w:val="0029245A"/>
    <w:rsid w:val="002A1D68"/>
    <w:rsid w:val="002A2716"/>
    <w:rsid w:val="002A6E4A"/>
    <w:rsid w:val="002B0B92"/>
    <w:rsid w:val="002B5077"/>
    <w:rsid w:val="002B7B45"/>
    <w:rsid w:val="002C063D"/>
    <w:rsid w:val="002C35EF"/>
    <w:rsid w:val="002D374A"/>
    <w:rsid w:val="002E1839"/>
    <w:rsid w:val="002E3C09"/>
    <w:rsid w:val="002E446D"/>
    <w:rsid w:val="002E56AB"/>
    <w:rsid w:val="002F0A62"/>
    <w:rsid w:val="00307C3E"/>
    <w:rsid w:val="003136DC"/>
    <w:rsid w:val="00316A94"/>
    <w:rsid w:val="0031742D"/>
    <w:rsid w:val="00317C90"/>
    <w:rsid w:val="00323907"/>
    <w:rsid w:val="00332CB3"/>
    <w:rsid w:val="003330C6"/>
    <w:rsid w:val="00337700"/>
    <w:rsid w:val="00353341"/>
    <w:rsid w:val="00353469"/>
    <w:rsid w:val="00357445"/>
    <w:rsid w:val="00361763"/>
    <w:rsid w:val="003633DE"/>
    <w:rsid w:val="00363AC2"/>
    <w:rsid w:val="00366F90"/>
    <w:rsid w:val="0037546C"/>
    <w:rsid w:val="0039177B"/>
    <w:rsid w:val="0039347C"/>
    <w:rsid w:val="00396E26"/>
    <w:rsid w:val="003A1F22"/>
    <w:rsid w:val="003A61C8"/>
    <w:rsid w:val="003B2D56"/>
    <w:rsid w:val="003C10FD"/>
    <w:rsid w:val="003C1322"/>
    <w:rsid w:val="003C23DC"/>
    <w:rsid w:val="003C777B"/>
    <w:rsid w:val="00402230"/>
    <w:rsid w:val="00402BBE"/>
    <w:rsid w:val="00404BDE"/>
    <w:rsid w:val="00406663"/>
    <w:rsid w:val="00406E7B"/>
    <w:rsid w:val="004132A6"/>
    <w:rsid w:val="004135ED"/>
    <w:rsid w:val="00425A57"/>
    <w:rsid w:val="00432ACB"/>
    <w:rsid w:val="00440B85"/>
    <w:rsid w:val="00444EB7"/>
    <w:rsid w:val="00445569"/>
    <w:rsid w:val="004479A9"/>
    <w:rsid w:val="0045296E"/>
    <w:rsid w:val="00457FAD"/>
    <w:rsid w:val="0049200E"/>
    <w:rsid w:val="0049319A"/>
    <w:rsid w:val="00497D05"/>
    <w:rsid w:val="004A1CAE"/>
    <w:rsid w:val="004A3A50"/>
    <w:rsid w:val="004A4E5D"/>
    <w:rsid w:val="004B4465"/>
    <w:rsid w:val="004B5AF9"/>
    <w:rsid w:val="004C09BE"/>
    <w:rsid w:val="004D4FE0"/>
    <w:rsid w:val="004D6BF5"/>
    <w:rsid w:val="004E4CAF"/>
    <w:rsid w:val="00500495"/>
    <w:rsid w:val="00507939"/>
    <w:rsid w:val="00512051"/>
    <w:rsid w:val="00523456"/>
    <w:rsid w:val="005258DB"/>
    <w:rsid w:val="00531EBF"/>
    <w:rsid w:val="00540563"/>
    <w:rsid w:val="00543F5F"/>
    <w:rsid w:val="00554D49"/>
    <w:rsid w:val="005567FE"/>
    <w:rsid w:val="0056463E"/>
    <w:rsid w:val="00575B20"/>
    <w:rsid w:val="00580154"/>
    <w:rsid w:val="00591892"/>
    <w:rsid w:val="005919FC"/>
    <w:rsid w:val="005A4B4B"/>
    <w:rsid w:val="005C1B28"/>
    <w:rsid w:val="005C2976"/>
    <w:rsid w:val="005C6A1C"/>
    <w:rsid w:val="005D0244"/>
    <w:rsid w:val="005D4527"/>
    <w:rsid w:val="005D5CBF"/>
    <w:rsid w:val="005E03B2"/>
    <w:rsid w:val="005E3BD3"/>
    <w:rsid w:val="005F2AD3"/>
    <w:rsid w:val="00607130"/>
    <w:rsid w:val="00610D9E"/>
    <w:rsid w:val="00620A42"/>
    <w:rsid w:val="006218A1"/>
    <w:rsid w:val="00621A4A"/>
    <w:rsid w:val="00622B45"/>
    <w:rsid w:val="00642669"/>
    <w:rsid w:val="00647E3F"/>
    <w:rsid w:val="00656301"/>
    <w:rsid w:val="00667209"/>
    <w:rsid w:val="006728C0"/>
    <w:rsid w:val="0068052C"/>
    <w:rsid w:val="00681197"/>
    <w:rsid w:val="00682F1D"/>
    <w:rsid w:val="00687788"/>
    <w:rsid w:val="00693F5D"/>
    <w:rsid w:val="006A01A8"/>
    <w:rsid w:val="006A3023"/>
    <w:rsid w:val="006B4038"/>
    <w:rsid w:val="006C10CF"/>
    <w:rsid w:val="006E0A58"/>
    <w:rsid w:val="006F5890"/>
    <w:rsid w:val="00704535"/>
    <w:rsid w:val="007077EC"/>
    <w:rsid w:val="007130F6"/>
    <w:rsid w:val="00720CAF"/>
    <w:rsid w:val="0072422C"/>
    <w:rsid w:val="00726B13"/>
    <w:rsid w:val="007374D9"/>
    <w:rsid w:val="00746297"/>
    <w:rsid w:val="00747C30"/>
    <w:rsid w:val="00751CED"/>
    <w:rsid w:val="00752650"/>
    <w:rsid w:val="00753958"/>
    <w:rsid w:val="00764ECF"/>
    <w:rsid w:val="00765C52"/>
    <w:rsid w:val="007730E8"/>
    <w:rsid w:val="0078028D"/>
    <w:rsid w:val="00780AA0"/>
    <w:rsid w:val="00782F1F"/>
    <w:rsid w:val="007838A1"/>
    <w:rsid w:val="007854B2"/>
    <w:rsid w:val="00785D15"/>
    <w:rsid w:val="0079511C"/>
    <w:rsid w:val="007A0514"/>
    <w:rsid w:val="007A0980"/>
    <w:rsid w:val="007A2B36"/>
    <w:rsid w:val="007B16D7"/>
    <w:rsid w:val="007C1A27"/>
    <w:rsid w:val="007C2C0E"/>
    <w:rsid w:val="007C5A1B"/>
    <w:rsid w:val="007D46C3"/>
    <w:rsid w:val="007E0E6D"/>
    <w:rsid w:val="007E3913"/>
    <w:rsid w:val="007F235F"/>
    <w:rsid w:val="007F3DB5"/>
    <w:rsid w:val="00806AEB"/>
    <w:rsid w:val="0081662D"/>
    <w:rsid w:val="00827D2D"/>
    <w:rsid w:val="0083201B"/>
    <w:rsid w:val="00832EC2"/>
    <w:rsid w:val="0083509F"/>
    <w:rsid w:val="008440A6"/>
    <w:rsid w:val="00863320"/>
    <w:rsid w:val="00865193"/>
    <w:rsid w:val="00870952"/>
    <w:rsid w:val="00872D0D"/>
    <w:rsid w:val="00874089"/>
    <w:rsid w:val="00880F84"/>
    <w:rsid w:val="0088145D"/>
    <w:rsid w:val="00884593"/>
    <w:rsid w:val="00887A18"/>
    <w:rsid w:val="00895B98"/>
    <w:rsid w:val="00895E39"/>
    <w:rsid w:val="008B0578"/>
    <w:rsid w:val="008B3074"/>
    <w:rsid w:val="008B4004"/>
    <w:rsid w:val="008C19AA"/>
    <w:rsid w:val="008D2D78"/>
    <w:rsid w:val="008D2E66"/>
    <w:rsid w:val="008D37AE"/>
    <w:rsid w:val="008D7412"/>
    <w:rsid w:val="008E0753"/>
    <w:rsid w:val="008E11B6"/>
    <w:rsid w:val="008F00CA"/>
    <w:rsid w:val="008F6624"/>
    <w:rsid w:val="009162FF"/>
    <w:rsid w:val="00924429"/>
    <w:rsid w:val="00930714"/>
    <w:rsid w:val="009308A8"/>
    <w:rsid w:val="00932ED6"/>
    <w:rsid w:val="009351D6"/>
    <w:rsid w:val="00935915"/>
    <w:rsid w:val="00935A45"/>
    <w:rsid w:val="00937E97"/>
    <w:rsid w:val="00944355"/>
    <w:rsid w:val="00944649"/>
    <w:rsid w:val="00952D53"/>
    <w:rsid w:val="00954E7C"/>
    <w:rsid w:val="009569CA"/>
    <w:rsid w:val="009613D7"/>
    <w:rsid w:val="00965563"/>
    <w:rsid w:val="00965A4F"/>
    <w:rsid w:val="009712F3"/>
    <w:rsid w:val="009769C2"/>
    <w:rsid w:val="00987875"/>
    <w:rsid w:val="009903CE"/>
    <w:rsid w:val="00990981"/>
    <w:rsid w:val="009914E2"/>
    <w:rsid w:val="0099687C"/>
    <w:rsid w:val="009A1013"/>
    <w:rsid w:val="009A1ACF"/>
    <w:rsid w:val="009A1CBC"/>
    <w:rsid w:val="009B66EE"/>
    <w:rsid w:val="009C5680"/>
    <w:rsid w:val="009C5C5E"/>
    <w:rsid w:val="009C6C28"/>
    <w:rsid w:val="009D03AC"/>
    <w:rsid w:val="009D0877"/>
    <w:rsid w:val="009D1EA5"/>
    <w:rsid w:val="009D6BDB"/>
    <w:rsid w:val="009E380A"/>
    <w:rsid w:val="009E3870"/>
    <w:rsid w:val="009E6309"/>
    <w:rsid w:val="009E67DE"/>
    <w:rsid w:val="009F0ED4"/>
    <w:rsid w:val="009F49CB"/>
    <w:rsid w:val="009F5709"/>
    <w:rsid w:val="00A00294"/>
    <w:rsid w:val="00A102F5"/>
    <w:rsid w:val="00A118B3"/>
    <w:rsid w:val="00A127CB"/>
    <w:rsid w:val="00A13872"/>
    <w:rsid w:val="00A13ED7"/>
    <w:rsid w:val="00A21C26"/>
    <w:rsid w:val="00A24D60"/>
    <w:rsid w:val="00A37514"/>
    <w:rsid w:val="00A41AD2"/>
    <w:rsid w:val="00A42596"/>
    <w:rsid w:val="00A4400D"/>
    <w:rsid w:val="00A469BB"/>
    <w:rsid w:val="00A51B87"/>
    <w:rsid w:val="00A56336"/>
    <w:rsid w:val="00A61159"/>
    <w:rsid w:val="00A70B06"/>
    <w:rsid w:val="00A70D85"/>
    <w:rsid w:val="00A72DC4"/>
    <w:rsid w:val="00A76FE8"/>
    <w:rsid w:val="00A77A4D"/>
    <w:rsid w:val="00A8333E"/>
    <w:rsid w:val="00A85475"/>
    <w:rsid w:val="00A85DAF"/>
    <w:rsid w:val="00A92DF9"/>
    <w:rsid w:val="00A965D8"/>
    <w:rsid w:val="00AB54F6"/>
    <w:rsid w:val="00AB5666"/>
    <w:rsid w:val="00AC34BE"/>
    <w:rsid w:val="00AD30BC"/>
    <w:rsid w:val="00AD5CA8"/>
    <w:rsid w:val="00AE3625"/>
    <w:rsid w:val="00AE3DBC"/>
    <w:rsid w:val="00AF2225"/>
    <w:rsid w:val="00B02F3D"/>
    <w:rsid w:val="00B04A1F"/>
    <w:rsid w:val="00B064D1"/>
    <w:rsid w:val="00B106B8"/>
    <w:rsid w:val="00B12C73"/>
    <w:rsid w:val="00B14985"/>
    <w:rsid w:val="00B16590"/>
    <w:rsid w:val="00B313DD"/>
    <w:rsid w:val="00B34F49"/>
    <w:rsid w:val="00B37435"/>
    <w:rsid w:val="00B45176"/>
    <w:rsid w:val="00B468BD"/>
    <w:rsid w:val="00B500D7"/>
    <w:rsid w:val="00B52C07"/>
    <w:rsid w:val="00B5468F"/>
    <w:rsid w:val="00B55185"/>
    <w:rsid w:val="00B57BC6"/>
    <w:rsid w:val="00B63C2F"/>
    <w:rsid w:val="00B70D59"/>
    <w:rsid w:val="00B71F7C"/>
    <w:rsid w:val="00B814CC"/>
    <w:rsid w:val="00B815A7"/>
    <w:rsid w:val="00B86A90"/>
    <w:rsid w:val="00B97151"/>
    <w:rsid w:val="00BA67BC"/>
    <w:rsid w:val="00BA788D"/>
    <w:rsid w:val="00BC3C67"/>
    <w:rsid w:val="00BD2861"/>
    <w:rsid w:val="00BD7B5E"/>
    <w:rsid w:val="00BE03BC"/>
    <w:rsid w:val="00BE17AB"/>
    <w:rsid w:val="00BE33D0"/>
    <w:rsid w:val="00BE3D55"/>
    <w:rsid w:val="00BF5944"/>
    <w:rsid w:val="00C07D0A"/>
    <w:rsid w:val="00C122E2"/>
    <w:rsid w:val="00C216EA"/>
    <w:rsid w:val="00C258C2"/>
    <w:rsid w:val="00C32D94"/>
    <w:rsid w:val="00C32E62"/>
    <w:rsid w:val="00C341F7"/>
    <w:rsid w:val="00C362B6"/>
    <w:rsid w:val="00C41CFF"/>
    <w:rsid w:val="00C42B94"/>
    <w:rsid w:val="00C46E9B"/>
    <w:rsid w:val="00C52A56"/>
    <w:rsid w:val="00C7284C"/>
    <w:rsid w:val="00C808FF"/>
    <w:rsid w:val="00CA0EE6"/>
    <w:rsid w:val="00CA5C22"/>
    <w:rsid w:val="00CB1542"/>
    <w:rsid w:val="00CC767F"/>
    <w:rsid w:val="00CD0BB8"/>
    <w:rsid w:val="00CD3C4E"/>
    <w:rsid w:val="00CE110B"/>
    <w:rsid w:val="00CF39F9"/>
    <w:rsid w:val="00CF4ADC"/>
    <w:rsid w:val="00CF4F25"/>
    <w:rsid w:val="00D03587"/>
    <w:rsid w:val="00D12046"/>
    <w:rsid w:val="00D248C0"/>
    <w:rsid w:val="00D303A0"/>
    <w:rsid w:val="00D30DD5"/>
    <w:rsid w:val="00D32E94"/>
    <w:rsid w:val="00D345BD"/>
    <w:rsid w:val="00D3558B"/>
    <w:rsid w:val="00D46ED7"/>
    <w:rsid w:val="00D47492"/>
    <w:rsid w:val="00D50890"/>
    <w:rsid w:val="00D61D28"/>
    <w:rsid w:val="00D82CCF"/>
    <w:rsid w:val="00D8676D"/>
    <w:rsid w:val="00D91B22"/>
    <w:rsid w:val="00D933D0"/>
    <w:rsid w:val="00D938BA"/>
    <w:rsid w:val="00DA541B"/>
    <w:rsid w:val="00DA5B2D"/>
    <w:rsid w:val="00DA77DF"/>
    <w:rsid w:val="00DC33E7"/>
    <w:rsid w:val="00DC34EA"/>
    <w:rsid w:val="00DC4B27"/>
    <w:rsid w:val="00DC744B"/>
    <w:rsid w:val="00DD2957"/>
    <w:rsid w:val="00DD309E"/>
    <w:rsid w:val="00DD4575"/>
    <w:rsid w:val="00DD4FE6"/>
    <w:rsid w:val="00DD76A7"/>
    <w:rsid w:val="00DE2638"/>
    <w:rsid w:val="00DE3EAD"/>
    <w:rsid w:val="00DE4805"/>
    <w:rsid w:val="00DE48C4"/>
    <w:rsid w:val="00DE71B9"/>
    <w:rsid w:val="00DF1A91"/>
    <w:rsid w:val="00DF25A2"/>
    <w:rsid w:val="00DF5A45"/>
    <w:rsid w:val="00E11476"/>
    <w:rsid w:val="00E21E4C"/>
    <w:rsid w:val="00E307B8"/>
    <w:rsid w:val="00E32C65"/>
    <w:rsid w:val="00E3457D"/>
    <w:rsid w:val="00E50B7D"/>
    <w:rsid w:val="00E52063"/>
    <w:rsid w:val="00E54A52"/>
    <w:rsid w:val="00E54F90"/>
    <w:rsid w:val="00E61A4A"/>
    <w:rsid w:val="00E62171"/>
    <w:rsid w:val="00E63307"/>
    <w:rsid w:val="00E6537C"/>
    <w:rsid w:val="00E65ACF"/>
    <w:rsid w:val="00E82BEE"/>
    <w:rsid w:val="00E93527"/>
    <w:rsid w:val="00E962DF"/>
    <w:rsid w:val="00EA363D"/>
    <w:rsid w:val="00EA54CA"/>
    <w:rsid w:val="00EA77FC"/>
    <w:rsid w:val="00EB0181"/>
    <w:rsid w:val="00EB0A21"/>
    <w:rsid w:val="00EC1CAC"/>
    <w:rsid w:val="00EC41C9"/>
    <w:rsid w:val="00EC79CC"/>
    <w:rsid w:val="00EE7610"/>
    <w:rsid w:val="00EE7F0B"/>
    <w:rsid w:val="00EF18A2"/>
    <w:rsid w:val="00EF2AB0"/>
    <w:rsid w:val="00EF461A"/>
    <w:rsid w:val="00EF659B"/>
    <w:rsid w:val="00F160BA"/>
    <w:rsid w:val="00F22A0A"/>
    <w:rsid w:val="00F256D1"/>
    <w:rsid w:val="00F2707E"/>
    <w:rsid w:val="00F33A52"/>
    <w:rsid w:val="00F41248"/>
    <w:rsid w:val="00F4169C"/>
    <w:rsid w:val="00F421BD"/>
    <w:rsid w:val="00F434DA"/>
    <w:rsid w:val="00F44F9C"/>
    <w:rsid w:val="00F4590F"/>
    <w:rsid w:val="00F47E98"/>
    <w:rsid w:val="00F57FFC"/>
    <w:rsid w:val="00F65FFB"/>
    <w:rsid w:val="00F768A9"/>
    <w:rsid w:val="00F91C8D"/>
    <w:rsid w:val="00F93F08"/>
    <w:rsid w:val="00F964AD"/>
    <w:rsid w:val="00FB48E7"/>
    <w:rsid w:val="00FB5714"/>
    <w:rsid w:val="00FB6C83"/>
    <w:rsid w:val="00FC0AEE"/>
    <w:rsid w:val="00FC41C7"/>
    <w:rsid w:val="00FC6A3F"/>
    <w:rsid w:val="00FD0AFB"/>
    <w:rsid w:val="00FD4953"/>
    <w:rsid w:val="00FE605D"/>
    <w:rsid w:val="00FE7B12"/>
    <w:rsid w:val="00FF3E00"/>
    <w:rsid w:val="00FF5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F0E9"/>
  <w14:defaultImageDpi w14:val="32767"/>
  <w15:docId w15:val="{855D167F-D663-499E-8F9E-70C89533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E6D"/>
    <w:pPr>
      <w:spacing w:after="160" w:line="259" w:lineRule="auto"/>
    </w:pPr>
    <w:rPr>
      <w:sz w:val="22"/>
      <w:szCs w:val="22"/>
    </w:rPr>
  </w:style>
  <w:style w:type="paragraph" w:styleId="Heading1">
    <w:name w:val="heading 1"/>
    <w:basedOn w:val="Normal"/>
    <w:next w:val="Normal"/>
    <w:link w:val="Heading1Char"/>
    <w:autoRedefine/>
    <w:uiPriority w:val="9"/>
    <w:qFormat/>
    <w:rsid w:val="007E0E6D"/>
    <w:pPr>
      <w:keepNext/>
      <w:keepLines/>
      <w:framePr w:hSpace="180" w:wrap="around" w:vAnchor="text" w:hAnchor="margin" w:y="854"/>
      <w:spacing w:before="480" w:after="0" w:line="360" w:lineRule="auto"/>
      <w:ind w:left="432" w:hanging="432"/>
      <w:outlineLvl w:val="0"/>
    </w:pPr>
    <w:rPr>
      <w:rFonts w:eastAsia="MS Gothic" w:cstheme="minorHAnsi"/>
      <w:b/>
      <w:bCs/>
    </w:rPr>
  </w:style>
  <w:style w:type="paragraph" w:styleId="Heading2">
    <w:name w:val="heading 2"/>
    <w:basedOn w:val="Normal"/>
    <w:next w:val="Normal"/>
    <w:link w:val="Heading2Char"/>
    <w:uiPriority w:val="9"/>
    <w:qFormat/>
    <w:rsid w:val="007E0E6D"/>
    <w:pPr>
      <w:keepNext/>
      <w:keepLines/>
      <w:numPr>
        <w:ilvl w:val="1"/>
        <w:numId w:val="9"/>
      </w:numPr>
      <w:spacing w:before="200" w:after="0" w:line="360" w:lineRule="auto"/>
      <w:outlineLvl w:val="1"/>
    </w:pPr>
    <w:rPr>
      <w:rFonts w:ascii="Calibri" w:eastAsia="MS Gothic" w:hAnsi="Calibri" w:cs="Times New Roman"/>
      <w:b/>
      <w:bCs/>
      <w:sz w:val="26"/>
      <w:szCs w:val="26"/>
    </w:rPr>
  </w:style>
  <w:style w:type="paragraph" w:styleId="Heading3">
    <w:name w:val="heading 3"/>
    <w:aliases w:val="Heading 3 UoS"/>
    <w:basedOn w:val="Normal"/>
    <w:next w:val="Normal"/>
    <w:link w:val="Heading3Char"/>
    <w:uiPriority w:val="9"/>
    <w:qFormat/>
    <w:rsid w:val="007E0E6D"/>
    <w:pPr>
      <w:keepNext/>
      <w:keepLines/>
      <w:numPr>
        <w:ilvl w:val="2"/>
        <w:numId w:val="9"/>
      </w:numPr>
      <w:spacing w:before="200" w:after="0" w:line="360" w:lineRule="auto"/>
      <w:outlineLvl w:val="2"/>
    </w:pPr>
    <w:rPr>
      <w:rFonts w:ascii="Calibri" w:eastAsia="MS Gothic" w:hAnsi="Calibri" w:cs="Times New Roman"/>
      <w:b/>
      <w:bCs/>
      <w:sz w:val="24"/>
      <w:szCs w:val="24"/>
    </w:rPr>
  </w:style>
  <w:style w:type="paragraph" w:styleId="Heading4">
    <w:name w:val="heading 4"/>
    <w:aliases w:val="Heading 4 UoS"/>
    <w:basedOn w:val="Normal"/>
    <w:next w:val="Normal"/>
    <w:link w:val="Heading4Char"/>
    <w:uiPriority w:val="9"/>
    <w:qFormat/>
    <w:rsid w:val="007E0E6D"/>
    <w:pPr>
      <w:keepNext/>
      <w:keepLines/>
      <w:numPr>
        <w:ilvl w:val="3"/>
        <w:numId w:val="9"/>
      </w:numPr>
      <w:spacing w:before="200" w:after="0" w:line="360" w:lineRule="auto"/>
      <w:outlineLvl w:val="3"/>
    </w:pPr>
    <w:rPr>
      <w:rFonts w:ascii="Calibri" w:eastAsia="MS Gothic" w:hAnsi="Calibri" w:cs="Times New Roman"/>
      <w:b/>
      <w:bCs/>
      <w:iCs/>
      <w:sz w:val="24"/>
      <w:szCs w:val="24"/>
    </w:rPr>
  </w:style>
  <w:style w:type="paragraph" w:styleId="Heading5">
    <w:name w:val="heading 5"/>
    <w:basedOn w:val="Normal"/>
    <w:next w:val="Normal"/>
    <w:link w:val="Heading5Char"/>
    <w:uiPriority w:val="9"/>
    <w:qFormat/>
    <w:rsid w:val="007E0E6D"/>
    <w:pPr>
      <w:keepNext/>
      <w:keepLines/>
      <w:numPr>
        <w:ilvl w:val="4"/>
        <w:numId w:val="9"/>
      </w:numPr>
      <w:spacing w:before="200" w:after="0" w:line="240" w:lineRule="auto"/>
      <w:outlineLvl w:val="4"/>
    </w:pPr>
    <w:rPr>
      <w:rFonts w:ascii="Calibri" w:eastAsia="MS Gothic" w:hAnsi="Calibri" w:cs="Times New Roman"/>
      <w:color w:val="243F60"/>
      <w:sz w:val="24"/>
      <w:szCs w:val="24"/>
    </w:rPr>
  </w:style>
  <w:style w:type="paragraph" w:styleId="Heading6">
    <w:name w:val="heading 6"/>
    <w:basedOn w:val="Normal"/>
    <w:next w:val="Normal"/>
    <w:link w:val="Heading6Char"/>
    <w:uiPriority w:val="9"/>
    <w:qFormat/>
    <w:rsid w:val="007E0E6D"/>
    <w:pPr>
      <w:keepNext/>
      <w:keepLines/>
      <w:numPr>
        <w:ilvl w:val="5"/>
        <w:numId w:val="9"/>
      </w:numPr>
      <w:spacing w:before="200" w:after="0" w:line="240" w:lineRule="auto"/>
      <w:outlineLvl w:val="5"/>
    </w:pPr>
    <w:rPr>
      <w:rFonts w:ascii="Calibri" w:eastAsia="MS Gothic" w:hAnsi="Calibri" w:cs="Times New Roman"/>
      <w:i/>
      <w:iCs/>
      <w:color w:val="243F60"/>
      <w:sz w:val="24"/>
      <w:szCs w:val="24"/>
    </w:rPr>
  </w:style>
  <w:style w:type="paragraph" w:styleId="Heading7">
    <w:name w:val="heading 7"/>
    <w:basedOn w:val="Normal"/>
    <w:next w:val="Normal"/>
    <w:link w:val="Heading7Char"/>
    <w:uiPriority w:val="9"/>
    <w:qFormat/>
    <w:rsid w:val="007E0E6D"/>
    <w:pPr>
      <w:keepNext/>
      <w:keepLines/>
      <w:numPr>
        <w:ilvl w:val="6"/>
        <w:numId w:val="9"/>
      </w:numPr>
      <w:spacing w:before="200" w:after="0" w:line="240" w:lineRule="auto"/>
      <w:outlineLvl w:val="6"/>
    </w:pPr>
    <w:rPr>
      <w:rFonts w:ascii="Calibri" w:eastAsia="MS Gothic" w:hAnsi="Calibri" w:cs="Times New Roman"/>
      <w:i/>
      <w:iCs/>
      <w:color w:val="404040"/>
      <w:sz w:val="24"/>
      <w:szCs w:val="24"/>
    </w:rPr>
  </w:style>
  <w:style w:type="paragraph" w:styleId="Heading8">
    <w:name w:val="heading 8"/>
    <w:basedOn w:val="Normal"/>
    <w:next w:val="Normal"/>
    <w:link w:val="Heading8Char"/>
    <w:uiPriority w:val="9"/>
    <w:qFormat/>
    <w:rsid w:val="007E0E6D"/>
    <w:pPr>
      <w:keepNext/>
      <w:keepLines/>
      <w:numPr>
        <w:ilvl w:val="7"/>
        <w:numId w:val="9"/>
      </w:numPr>
      <w:spacing w:before="200" w:after="0" w:line="240" w:lineRule="auto"/>
      <w:outlineLvl w:val="7"/>
    </w:pPr>
    <w:rPr>
      <w:rFonts w:ascii="Calibri" w:eastAsia="MS Gothic" w:hAnsi="Calibri" w:cs="Times New Roman"/>
      <w:color w:val="404040"/>
      <w:sz w:val="20"/>
      <w:szCs w:val="20"/>
    </w:rPr>
  </w:style>
  <w:style w:type="paragraph" w:styleId="Heading9">
    <w:name w:val="heading 9"/>
    <w:basedOn w:val="Normal"/>
    <w:next w:val="Normal"/>
    <w:link w:val="Heading9Char"/>
    <w:uiPriority w:val="9"/>
    <w:qFormat/>
    <w:rsid w:val="007E0E6D"/>
    <w:pPr>
      <w:keepNext/>
      <w:keepLines/>
      <w:numPr>
        <w:ilvl w:val="8"/>
        <w:numId w:val="9"/>
      </w:numPr>
      <w:spacing w:before="200" w:after="0" w:line="240" w:lineRule="auto"/>
      <w:outlineLvl w:val="8"/>
    </w:pPr>
    <w:rPr>
      <w:rFonts w:ascii="Calibri" w:eastAsia="MS Gothic"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E6D"/>
    <w:rPr>
      <w:rFonts w:eastAsia="MS Gothic" w:cstheme="minorHAnsi"/>
      <w:b/>
      <w:bCs/>
      <w:sz w:val="22"/>
      <w:szCs w:val="22"/>
    </w:rPr>
  </w:style>
  <w:style w:type="character" w:customStyle="1" w:styleId="Heading2Char">
    <w:name w:val="Heading 2 Char"/>
    <w:basedOn w:val="DefaultParagraphFont"/>
    <w:link w:val="Heading2"/>
    <w:uiPriority w:val="9"/>
    <w:rsid w:val="007E0E6D"/>
    <w:rPr>
      <w:rFonts w:ascii="Calibri" w:eastAsia="MS Gothic" w:hAnsi="Calibri" w:cs="Times New Roman"/>
      <w:b/>
      <w:bCs/>
      <w:sz w:val="26"/>
      <w:szCs w:val="26"/>
    </w:rPr>
  </w:style>
  <w:style w:type="character" w:customStyle="1" w:styleId="Heading3Char">
    <w:name w:val="Heading 3 Char"/>
    <w:aliases w:val="Heading 3 UoS Char"/>
    <w:basedOn w:val="DefaultParagraphFont"/>
    <w:link w:val="Heading3"/>
    <w:uiPriority w:val="9"/>
    <w:rsid w:val="007E0E6D"/>
    <w:rPr>
      <w:rFonts w:ascii="Calibri" w:eastAsia="MS Gothic" w:hAnsi="Calibri" w:cs="Times New Roman"/>
      <w:b/>
      <w:bCs/>
    </w:rPr>
  </w:style>
  <w:style w:type="character" w:customStyle="1" w:styleId="Heading4Char">
    <w:name w:val="Heading 4 Char"/>
    <w:aliases w:val="Heading 4 UoS Char"/>
    <w:basedOn w:val="DefaultParagraphFont"/>
    <w:link w:val="Heading4"/>
    <w:uiPriority w:val="9"/>
    <w:rsid w:val="007E0E6D"/>
    <w:rPr>
      <w:rFonts w:ascii="Calibri" w:eastAsia="MS Gothic" w:hAnsi="Calibri" w:cs="Times New Roman"/>
      <w:b/>
      <w:bCs/>
      <w:iCs/>
    </w:rPr>
  </w:style>
  <w:style w:type="character" w:customStyle="1" w:styleId="Heading5Char">
    <w:name w:val="Heading 5 Char"/>
    <w:basedOn w:val="DefaultParagraphFont"/>
    <w:link w:val="Heading5"/>
    <w:uiPriority w:val="9"/>
    <w:rsid w:val="007E0E6D"/>
    <w:rPr>
      <w:rFonts w:ascii="Calibri" w:eastAsia="MS Gothic" w:hAnsi="Calibri" w:cs="Times New Roman"/>
      <w:color w:val="243F60"/>
    </w:rPr>
  </w:style>
  <w:style w:type="character" w:customStyle="1" w:styleId="Heading6Char">
    <w:name w:val="Heading 6 Char"/>
    <w:basedOn w:val="DefaultParagraphFont"/>
    <w:link w:val="Heading6"/>
    <w:uiPriority w:val="9"/>
    <w:rsid w:val="007E0E6D"/>
    <w:rPr>
      <w:rFonts w:ascii="Calibri" w:eastAsia="MS Gothic" w:hAnsi="Calibri" w:cs="Times New Roman"/>
      <w:i/>
      <w:iCs/>
      <w:color w:val="243F60"/>
    </w:rPr>
  </w:style>
  <w:style w:type="character" w:customStyle="1" w:styleId="Heading7Char">
    <w:name w:val="Heading 7 Char"/>
    <w:basedOn w:val="DefaultParagraphFont"/>
    <w:link w:val="Heading7"/>
    <w:uiPriority w:val="9"/>
    <w:rsid w:val="007E0E6D"/>
    <w:rPr>
      <w:rFonts w:ascii="Calibri" w:eastAsia="MS Gothic" w:hAnsi="Calibri" w:cs="Times New Roman"/>
      <w:i/>
      <w:iCs/>
      <w:color w:val="404040"/>
    </w:rPr>
  </w:style>
  <w:style w:type="character" w:customStyle="1" w:styleId="Heading8Char">
    <w:name w:val="Heading 8 Char"/>
    <w:basedOn w:val="DefaultParagraphFont"/>
    <w:link w:val="Heading8"/>
    <w:uiPriority w:val="9"/>
    <w:rsid w:val="007E0E6D"/>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
    <w:rsid w:val="007E0E6D"/>
    <w:rPr>
      <w:rFonts w:ascii="Calibri" w:eastAsia="MS Gothic" w:hAnsi="Calibri" w:cs="Times New Roman"/>
      <w:i/>
      <w:iCs/>
      <w:color w:val="404040"/>
      <w:sz w:val="20"/>
      <w:szCs w:val="20"/>
    </w:rPr>
  </w:style>
  <w:style w:type="paragraph" w:styleId="BalloonText">
    <w:name w:val="Balloon Text"/>
    <w:basedOn w:val="Normal"/>
    <w:link w:val="BalloonTextChar"/>
    <w:uiPriority w:val="99"/>
    <w:semiHidden/>
    <w:unhideWhenUsed/>
    <w:rsid w:val="007E0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E6D"/>
    <w:rPr>
      <w:rFonts w:ascii="Segoe UI" w:hAnsi="Segoe UI" w:cs="Segoe UI"/>
      <w:sz w:val="18"/>
      <w:szCs w:val="18"/>
    </w:rPr>
  </w:style>
  <w:style w:type="paragraph" w:styleId="Caption">
    <w:name w:val="caption"/>
    <w:basedOn w:val="Normal"/>
    <w:next w:val="Normal"/>
    <w:uiPriority w:val="35"/>
    <w:unhideWhenUsed/>
    <w:qFormat/>
    <w:rsid w:val="007E0E6D"/>
    <w:pPr>
      <w:spacing w:after="200" w:line="240" w:lineRule="auto"/>
    </w:pPr>
    <w:rPr>
      <w:rFonts w:ascii="Calibri" w:eastAsia="MS Mincho" w:hAnsi="Calibri" w:cs="Arial"/>
      <w:iCs/>
      <w:color w:val="000000" w:themeColor="text1"/>
      <w:sz w:val="18"/>
      <w:szCs w:val="18"/>
    </w:rPr>
  </w:style>
  <w:style w:type="character" w:styleId="CommentReference">
    <w:name w:val="annotation reference"/>
    <w:basedOn w:val="DefaultParagraphFont"/>
    <w:uiPriority w:val="99"/>
    <w:semiHidden/>
    <w:unhideWhenUsed/>
    <w:rsid w:val="007E0E6D"/>
    <w:rPr>
      <w:sz w:val="16"/>
      <w:szCs w:val="16"/>
    </w:rPr>
  </w:style>
  <w:style w:type="paragraph" w:styleId="CommentText">
    <w:name w:val="annotation text"/>
    <w:basedOn w:val="Normal"/>
    <w:link w:val="CommentTextChar"/>
    <w:uiPriority w:val="99"/>
    <w:semiHidden/>
    <w:unhideWhenUsed/>
    <w:rsid w:val="007E0E6D"/>
    <w:pPr>
      <w:spacing w:line="240" w:lineRule="auto"/>
    </w:pPr>
    <w:rPr>
      <w:sz w:val="20"/>
      <w:szCs w:val="20"/>
    </w:rPr>
  </w:style>
  <w:style w:type="character" w:customStyle="1" w:styleId="CommentTextChar">
    <w:name w:val="Comment Text Char"/>
    <w:basedOn w:val="DefaultParagraphFont"/>
    <w:link w:val="CommentText"/>
    <w:uiPriority w:val="99"/>
    <w:semiHidden/>
    <w:rsid w:val="007E0E6D"/>
    <w:rPr>
      <w:sz w:val="20"/>
      <w:szCs w:val="20"/>
    </w:rPr>
  </w:style>
  <w:style w:type="paragraph" w:styleId="CommentSubject">
    <w:name w:val="annotation subject"/>
    <w:basedOn w:val="CommentText"/>
    <w:next w:val="CommentText"/>
    <w:link w:val="CommentSubjectChar"/>
    <w:uiPriority w:val="99"/>
    <w:semiHidden/>
    <w:unhideWhenUsed/>
    <w:rsid w:val="007E0E6D"/>
    <w:rPr>
      <w:b/>
      <w:bCs/>
    </w:rPr>
  </w:style>
  <w:style w:type="character" w:customStyle="1" w:styleId="CommentSubjectChar">
    <w:name w:val="Comment Subject Char"/>
    <w:basedOn w:val="CommentTextChar"/>
    <w:link w:val="CommentSubject"/>
    <w:uiPriority w:val="99"/>
    <w:semiHidden/>
    <w:rsid w:val="007E0E6D"/>
    <w:rPr>
      <w:b/>
      <w:bCs/>
      <w:sz w:val="20"/>
      <w:szCs w:val="20"/>
    </w:rPr>
  </w:style>
  <w:style w:type="paragraph" w:styleId="Revision">
    <w:name w:val="Revision"/>
    <w:hidden/>
    <w:uiPriority w:val="99"/>
    <w:semiHidden/>
    <w:rsid w:val="007E0E6D"/>
    <w:rPr>
      <w:sz w:val="22"/>
      <w:szCs w:val="22"/>
    </w:rPr>
  </w:style>
  <w:style w:type="paragraph" w:styleId="NormalWeb">
    <w:name w:val="Normal (Web)"/>
    <w:basedOn w:val="Normal"/>
    <w:uiPriority w:val="99"/>
    <w:unhideWhenUsed/>
    <w:rsid w:val="007E0E6D"/>
    <w:pPr>
      <w:spacing w:before="100" w:beforeAutospacing="1" w:after="100" w:afterAutospacing="1" w:line="240" w:lineRule="auto"/>
    </w:pPr>
    <w:rPr>
      <w:rFonts w:ascii="Times" w:eastAsia="MS Mincho" w:hAnsi="Times" w:cs="Times New Roman"/>
      <w:sz w:val="20"/>
      <w:szCs w:val="20"/>
    </w:rPr>
  </w:style>
  <w:style w:type="paragraph" w:customStyle="1" w:styleId="p1">
    <w:name w:val="p1"/>
    <w:basedOn w:val="Normal"/>
    <w:rsid w:val="007E0E6D"/>
    <w:pPr>
      <w:spacing w:after="0" w:line="240" w:lineRule="auto"/>
    </w:pPr>
    <w:rPr>
      <w:rFonts w:ascii="Times" w:hAnsi="Times" w:cs="Times New Roman"/>
      <w:color w:val="1A1919"/>
      <w:sz w:val="11"/>
      <w:szCs w:val="11"/>
      <w:lang w:eastAsia="en-GB"/>
    </w:rPr>
  </w:style>
  <w:style w:type="paragraph" w:customStyle="1" w:styleId="AppendixMain">
    <w:name w:val="Appendix Main"/>
    <w:basedOn w:val="Normal"/>
    <w:next w:val="Normal"/>
    <w:qFormat/>
    <w:rsid w:val="007E0E6D"/>
    <w:pPr>
      <w:keepNext/>
      <w:numPr>
        <w:numId w:val="11"/>
      </w:numPr>
      <w:spacing w:before="200" w:after="240" w:line="360" w:lineRule="auto"/>
      <w:ind w:left="357" w:hanging="357"/>
      <w:outlineLvl w:val="0"/>
    </w:pPr>
    <w:rPr>
      <w:rFonts w:ascii="Lucida Sans" w:eastAsia="Times New Roman" w:hAnsi="Lucida Sans" w:cs="Arial"/>
      <w:b/>
      <w:bCs/>
      <w:kern w:val="32"/>
      <w:sz w:val="36"/>
      <w:szCs w:val="32"/>
    </w:rPr>
  </w:style>
  <w:style w:type="paragraph" w:customStyle="1" w:styleId="AppendixSubheading">
    <w:name w:val="Appendix Subheading"/>
    <w:basedOn w:val="Normal"/>
    <w:next w:val="Normal"/>
    <w:qFormat/>
    <w:rsid w:val="007E0E6D"/>
    <w:pPr>
      <w:keepNext/>
      <w:numPr>
        <w:ilvl w:val="1"/>
        <w:numId w:val="11"/>
      </w:numPr>
      <w:spacing w:before="200" w:after="240" w:line="360" w:lineRule="auto"/>
      <w:outlineLvl w:val="1"/>
    </w:pPr>
    <w:rPr>
      <w:rFonts w:ascii="Lucida Sans" w:eastAsia="Times New Roman" w:hAnsi="Lucida Sans" w:cs="Arial"/>
      <w:b/>
      <w:bCs/>
      <w:kern w:val="32"/>
      <w:sz w:val="28"/>
      <w:szCs w:val="32"/>
    </w:rPr>
  </w:style>
  <w:style w:type="paragraph" w:customStyle="1" w:styleId="AppendixThird">
    <w:name w:val="Appendix Third"/>
    <w:basedOn w:val="Normal"/>
    <w:next w:val="Normal"/>
    <w:qFormat/>
    <w:rsid w:val="007E0E6D"/>
    <w:pPr>
      <w:keepNext/>
      <w:numPr>
        <w:ilvl w:val="2"/>
        <w:numId w:val="11"/>
      </w:numPr>
      <w:spacing w:before="200" w:after="0" w:line="360" w:lineRule="auto"/>
      <w:ind w:left="1077" w:hanging="1077"/>
      <w:outlineLvl w:val="2"/>
    </w:pPr>
    <w:rPr>
      <w:rFonts w:ascii="Lucida Sans" w:eastAsia="Times New Roman" w:hAnsi="Lucida Sans" w:cs="Times New Roman"/>
      <w:b/>
      <w:sz w:val="24"/>
      <w:lang w:eastAsia="zh-CN"/>
    </w:rPr>
  </w:style>
  <w:style w:type="paragraph" w:styleId="ListParagraph">
    <w:name w:val="List Paragraph"/>
    <w:basedOn w:val="Normal"/>
    <w:uiPriority w:val="34"/>
    <w:qFormat/>
    <w:rsid w:val="007E0E6D"/>
    <w:pPr>
      <w:ind w:left="720"/>
      <w:contextualSpacing/>
    </w:pPr>
  </w:style>
  <w:style w:type="table" w:styleId="TableGrid">
    <w:name w:val="Table Grid"/>
    <w:basedOn w:val="TableNormal"/>
    <w:uiPriority w:val="39"/>
    <w:rsid w:val="007E0E6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0E6D"/>
    <w:rPr>
      <w:color w:val="808080"/>
    </w:rPr>
  </w:style>
  <w:style w:type="paragraph" w:styleId="Footer">
    <w:name w:val="footer"/>
    <w:basedOn w:val="Normal"/>
    <w:link w:val="FooterChar"/>
    <w:uiPriority w:val="99"/>
    <w:unhideWhenUsed/>
    <w:rsid w:val="007E0E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0E6D"/>
    <w:rPr>
      <w:sz w:val="22"/>
      <w:szCs w:val="22"/>
    </w:rPr>
  </w:style>
  <w:style w:type="character" w:styleId="PageNumber">
    <w:name w:val="page number"/>
    <w:basedOn w:val="DefaultParagraphFont"/>
    <w:uiPriority w:val="99"/>
    <w:semiHidden/>
    <w:unhideWhenUsed/>
    <w:rsid w:val="007E0E6D"/>
  </w:style>
  <w:style w:type="paragraph" w:styleId="Header">
    <w:name w:val="header"/>
    <w:basedOn w:val="Normal"/>
    <w:link w:val="HeaderChar"/>
    <w:uiPriority w:val="99"/>
    <w:unhideWhenUsed/>
    <w:rsid w:val="007E0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E6D"/>
    <w:rPr>
      <w:sz w:val="22"/>
      <w:szCs w:val="22"/>
    </w:rPr>
  </w:style>
  <w:style w:type="paragraph" w:styleId="DocumentMap">
    <w:name w:val="Document Map"/>
    <w:basedOn w:val="Normal"/>
    <w:link w:val="DocumentMapChar"/>
    <w:uiPriority w:val="99"/>
    <w:semiHidden/>
    <w:unhideWhenUsed/>
    <w:rsid w:val="007E0E6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E0E6D"/>
    <w:rPr>
      <w:rFonts w:ascii="Times New Roman" w:hAnsi="Times New Roman" w:cs="Times New Roman"/>
    </w:rPr>
  </w:style>
  <w:style w:type="paragraph" w:styleId="Title">
    <w:name w:val="Title"/>
    <w:basedOn w:val="Normal"/>
    <w:next w:val="Normal"/>
    <w:link w:val="TitleChar"/>
    <w:uiPriority w:val="10"/>
    <w:qFormat/>
    <w:rsid w:val="007E0E6D"/>
    <w:pPr>
      <w:spacing w:line="360" w:lineRule="auto"/>
      <w:jc w:val="center"/>
      <w:outlineLvl w:val="0"/>
    </w:pPr>
    <w:rPr>
      <w:rFonts w:cstheme="minorHAnsi"/>
      <w:b/>
    </w:rPr>
  </w:style>
  <w:style w:type="character" w:customStyle="1" w:styleId="TitleChar">
    <w:name w:val="Title Char"/>
    <w:basedOn w:val="DefaultParagraphFont"/>
    <w:link w:val="Title"/>
    <w:uiPriority w:val="10"/>
    <w:rsid w:val="007E0E6D"/>
    <w:rPr>
      <w:rFonts w:cstheme="minorHAnsi"/>
      <w:b/>
      <w:sz w:val="22"/>
      <w:szCs w:val="22"/>
    </w:rPr>
  </w:style>
  <w:style w:type="paragraph" w:customStyle="1" w:styleId="EndNoteBibliographyTitle">
    <w:name w:val="EndNote Bibliography Title"/>
    <w:basedOn w:val="Normal"/>
    <w:rsid w:val="007E0E6D"/>
    <w:pPr>
      <w:spacing w:after="0"/>
      <w:jc w:val="center"/>
    </w:pPr>
    <w:rPr>
      <w:rFonts w:ascii="Calibri" w:hAnsi="Calibri" w:cs="Calibri"/>
      <w:lang w:val="en-US"/>
    </w:rPr>
  </w:style>
  <w:style w:type="paragraph" w:customStyle="1" w:styleId="EndNoteBibliography">
    <w:name w:val="EndNote Bibliography"/>
    <w:basedOn w:val="Normal"/>
    <w:rsid w:val="007E0E6D"/>
    <w:pPr>
      <w:spacing w:line="240" w:lineRule="auto"/>
    </w:pPr>
    <w:rPr>
      <w:rFonts w:ascii="Calibri" w:hAnsi="Calibri" w:cs="Calibri"/>
      <w:lang w:val="en-US"/>
    </w:rPr>
  </w:style>
  <w:style w:type="paragraph" w:styleId="BodyText">
    <w:name w:val="Body Text"/>
    <w:basedOn w:val="Normal"/>
    <w:link w:val="BodyTextChar"/>
    <w:uiPriority w:val="99"/>
    <w:unhideWhenUsed/>
    <w:rsid w:val="007E0E6D"/>
    <w:pPr>
      <w:framePr w:hSpace="180" w:wrap="around" w:vAnchor="page" w:hAnchor="margin" w:y="5581"/>
      <w:spacing w:after="0" w:line="360" w:lineRule="auto"/>
    </w:pPr>
    <w:rPr>
      <w:rFonts w:cstheme="minorHAnsi"/>
      <w:b/>
    </w:rPr>
  </w:style>
  <w:style w:type="character" w:customStyle="1" w:styleId="BodyTextChar">
    <w:name w:val="Body Text Char"/>
    <w:basedOn w:val="DefaultParagraphFont"/>
    <w:link w:val="BodyText"/>
    <w:uiPriority w:val="99"/>
    <w:rsid w:val="007E0E6D"/>
    <w:rPr>
      <w:rFonts w:cs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10166">
      <w:bodyDiv w:val="1"/>
      <w:marLeft w:val="0"/>
      <w:marRight w:val="0"/>
      <w:marTop w:val="0"/>
      <w:marBottom w:val="0"/>
      <w:divBdr>
        <w:top w:val="none" w:sz="0" w:space="0" w:color="auto"/>
        <w:left w:val="none" w:sz="0" w:space="0" w:color="auto"/>
        <w:bottom w:val="none" w:sz="0" w:space="0" w:color="auto"/>
        <w:right w:val="none" w:sz="0" w:space="0" w:color="auto"/>
      </w:divBdr>
    </w:div>
    <w:div w:id="1647390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8328</Words>
  <Characters>47472</Characters>
  <Application>Microsoft Office Word</Application>
  <DocSecurity>4</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Wallis C.M.</cp:lastModifiedBy>
  <cp:revision>2</cp:revision>
  <dcterms:created xsi:type="dcterms:W3CDTF">2020-01-13T16:11:00Z</dcterms:created>
  <dcterms:modified xsi:type="dcterms:W3CDTF">2020-01-13T16:11:00Z</dcterms:modified>
</cp:coreProperties>
</file>