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5E25F" w14:textId="4CBAF6C7" w:rsidR="00542B10" w:rsidRPr="002D459F" w:rsidRDefault="000F787A" w:rsidP="002D459F">
      <w:pPr>
        <w:rPr>
          <w:rFonts w:ascii="Times New Roman" w:hAnsi="Times New Roman" w:cs="Times New Roman"/>
          <w:b/>
        </w:rPr>
      </w:pPr>
      <w:bookmarkStart w:id="0" w:name="_GoBack"/>
      <w:bookmarkEnd w:id="0"/>
      <w:r w:rsidRPr="002D459F">
        <w:rPr>
          <w:rFonts w:ascii="Times New Roman" w:hAnsi="Times New Roman" w:cs="Times New Roman"/>
          <w:b/>
        </w:rPr>
        <w:t>A</w:t>
      </w:r>
      <w:r w:rsidR="007555D3" w:rsidRPr="002D459F">
        <w:rPr>
          <w:rFonts w:ascii="Times New Roman" w:hAnsi="Times New Roman" w:cs="Times New Roman"/>
          <w:b/>
        </w:rPr>
        <w:t xml:space="preserve">ssociation </w:t>
      </w:r>
      <w:r w:rsidR="002D459F" w:rsidRPr="002D459F">
        <w:rPr>
          <w:rFonts w:ascii="Times New Roman" w:hAnsi="Times New Roman" w:cs="Times New Roman"/>
          <w:b/>
        </w:rPr>
        <w:t xml:space="preserve">Between Global Longitudinal Strain </w:t>
      </w:r>
      <w:r w:rsidR="002D459F">
        <w:rPr>
          <w:rFonts w:ascii="Times New Roman" w:hAnsi="Times New Roman" w:cs="Times New Roman"/>
          <w:b/>
        </w:rPr>
        <w:t>a</w:t>
      </w:r>
      <w:r w:rsidR="002D459F" w:rsidRPr="002D459F">
        <w:rPr>
          <w:rFonts w:ascii="Times New Roman" w:hAnsi="Times New Roman" w:cs="Times New Roman"/>
          <w:b/>
        </w:rPr>
        <w:t xml:space="preserve">nd Cardiac Events Among Patients </w:t>
      </w:r>
      <w:r w:rsidR="002D459F">
        <w:rPr>
          <w:rFonts w:ascii="Times New Roman" w:hAnsi="Times New Roman" w:cs="Times New Roman"/>
          <w:b/>
        </w:rPr>
        <w:t>w</w:t>
      </w:r>
      <w:r w:rsidR="002D459F" w:rsidRPr="002D459F">
        <w:rPr>
          <w:rFonts w:ascii="Times New Roman" w:hAnsi="Times New Roman" w:cs="Times New Roman"/>
          <w:b/>
        </w:rPr>
        <w:t xml:space="preserve">ith Immune Checkpoint Inhibitor-Related Myocarditis </w:t>
      </w:r>
    </w:p>
    <w:p w14:paraId="4D7A0D0F" w14:textId="77777777" w:rsidR="00542B10" w:rsidRPr="002D459F" w:rsidRDefault="00542B10" w:rsidP="002D459F">
      <w:pPr>
        <w:jc w:val="center"/>
        <w:rPr>
          <w:rFonts w:ascii="Times New Roman" w:hAnsi="Times New Roman" w:cs="Times New Roman"/>
          <w:b/>
        </w:rPr>
      </w:pPr>
    </w:p>
    <w:p w14:paraId="5E53DB47" w14:textId="4C9D1751" w:rsidR="00542B10" w:rsidRDefault="00542B10" w:rsidP="002D459F">
      <w:pPr>
        <w:widowControl w:val="0"/>
        <w:autoSpaceDE w:val="0"/>
        <w:autoSpaceDN w:val="0"/>
        <w:adjustRightInd w:val="0"/>
        <w:rPr>
          <w:rFonts w:ascii="Times New Roman" w:hAnsi="Times New Roman" w:cs="Times New Roman"/>
        </w:rPr>
      </w:pPr>
      <w:r w:rsidRPr="002D459F">
        <w:rPr>
          <w:rFonts w:ascii="Times New Roman" w:hAnsi="Times New Roman" w:cs="Times New Roman"/>
        </w:rPr>
        <w:t>Magid Awadalla, MD</w:t>
      </w:r>
      <w:r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,2</w:t>
      </w:r>
      <w:r w:rsidRPr="002D459F">
        <w:rPr>
          <w:rFonts w:ascii="Times New Roman" w:hAnsi="Times New Roman" w:cs="Times New Roman"/>
        </w:rPr>
        <w:t>, Syed S. Mahmood, MD</w:t>
      </w:r>
      <w:r w:rsidR="00355053" w:rsidRPr="002D459F">
        <w:rPr>
          <w:rFonts w:ascii="Times New Roman" w:hAnsi="Times New Roman" w:cs="Times New Roman"/>
          <w:vertAlign w:val="superscript"/>
        </w:rPr>
        <w:t>3</w:t>
      </w:r>
      <w:r w:rsidRPr="002D459F">
        <w:rPr>
          <w:rFonts w:ascii="Times New Roman" w:hAnsi="Times New Roman" w:cs="Times New Roman"/>
        </w:rPr>
        <w:t>, MPH, John D. Groarke, MB, BCH, MPH</w:t>
      </w:r>
      <w:r w:rsidR="00355053" w:rsidRPr="002D459F">
        <w:rPr>
          <w:rFonts w:ascii="Times New Roman" w:hAnsi="Times New Roman" w:cs="Times New Roman"/>
          <w:vertAlign w:val="superscript"/>
        </w:rPr>
        <w:t>4</w:t>
      </w:r>
      <w:r w:rsidRPr="002D459F">
        <w:rPr>
          <w:rFonts w:ascii="Times New Roman" w:hAnsi="Times New Roman" w:cs="Times New Roman"/>
        </w:rPr>
        <w:t xml:space="preserve">, </w:t>
      </w:r>
      <w:r w:rsidR="00862259" w:rsidRPr="002D459F">
        <w:rPr>
          <w:rFonts w:ascii="Times New Roman" w:hAnsi="Times New Roman" w:cs="Times New Roman"/>
        </w:rPr>
        <w:t>Malek Z.O. Hassan, MD</w:t>
      </w:r>
      <w:r w:rsidR="00862259" w:rsidRPr="002D459F">
        <w:rPr>
          <w:rFonts w:ascii="Times New Roman" w:hAnsi="Times New Roman" w:cs="Times New Roman"/>
          <w:vertAlign w:val="superscript"/>
        </w:rPr>
        <w:t>1</w:t>
      </w:r>
      <w:r w:rsidR="00862259" w:rsidRPr="002D459F">
        <w:rPr>
          <w:rFonts w:ascii="Times New Roman" w:hAnsi="Times New Roman" w:cs="Times New Roman"/>
        </w:rPr>
        <w:t>, Anju Nohria, MD</w:t>
      </w:r>
      <w:r w:rsidR="00355053" w:rsidRPr="002D459F">
        <w:rPr>
          <w:rFonts w:ascii="Times New Roman" w:hAnsi="Times New Roman" w:cs="Times New Roman"/>
          <w:vertAlign w:val="superscript"/>
        </w:rPr>
        <w:t>4</w:t>
      </w:r>
      <w:r w:rsidR="00684C7F" w:rsidRPr="002D459F">
        <w:rPr>
          <w:rFonts w:ascii="Times New Roman" w:hAnsi="Times New Roman" w:cs="Times New Roman"/>
        </w:rPr>
        <w:t xml:space="preserve">, </w:t>
      </w:r>
      <w:r w:rsidR="00B04707" w:rsidRPr="002D459F">
        <w:rPr>
          <w:rFonts w:ascii="Times New Roman" w:hAnsi="Times New Roman" w:cs="Times New Roman"/>
        </w:rPr>
        <w:t>Adam Rokicki, BS</w:t>
      </w:r>
      <w:r w:rsidR="00B04707" w:rsidRPr="002D459F">
        <w:rPr>
          <w:rFonts w:ascii="Times New Roman" w:hAnsi="Times New Roman" w:cs="Times New Roman"/>
          <w:vertAlign w:val="superscript"/>
        </w:rPr>
        <w:t>1</w:t>
      </w:r>
      <w:r w:rsidR="00B04707" w:rsidRPr="002D459F">
        <w:rPr>
          <w:rFonts w:ascii="Times New Roman" w:hAnsi="Times New Roman" w:cs="Times New Roman"/>
        </w:rPr>
        <w:t xml:space="preserve">, </w:t>
      </w:r>
      <w:r w:rsidR="007B0813" w:rsidRPr="002D459F">
        <w:rPr>
          <w:rFonts w:ascii="Times New Roman" w:hAnsi="Times New Roman" w:cs="Times New Roman"/>
        </w:rPr>
        <w:t>Sean P. T. Murphy, MD</w:t>
      </w:r>
      <w:r w:rsidR="007B0813" w:rsidRPr="002D459F">
        <w:rPr>
          <w:rFonts w:ascii="Times New Roman" w:hAnsi="Times New Roman" w:cs="Times New Roman"/>
          <w:vertAlign w:val="superscript"/>
        </w:rPr>
        <w:t>1</w:t>
      </w:r>
      <w:r w:rsidR="007B0813" w:rsidRPr="002D459F">
        <w:rPr>
          <w:rFonts w:ascii="Times New Roman" w:hAnsi="Times New Roman" w:cs="Times New Roman"/>
        </w:rPr>
        <w:t xml:space="preserve">, </w:t>
      </w:r>
      <w:r w:rsidR="00684C7F" w:rsidRPr="002D459F">
        <w:rPr>
          <w:rFonts w:ascii="Times New Roman" w:hAnsi="Times New Roman" w:cs="Times New Roman"/>
        </w:rPr>
        <w:t>N</w:t>
      </w:r>
      <w:r w:rsidR="00862259" w:rsidRPr="002D459F">
        <w:rPr>
          <w:rFonts w:ascii="Times New Roman" w:hAnsi="Times New Roman" w:cs="Times New Roman"/>
        </w:rPr>
        <w:t xml:space="preserve">athaniel </w:t>
      </w:r>
      <w:r w:rsidR="00DD455D" w:rsidRPr="002D459F">
        <w:rPr>
          <w:rFonts w:ascii="Times New Roman" w:hAnsi="Times New Roman" w:cs="Times New Roman"/>
        </w:rPr>
        <w:t xml:space="preserve">D. </w:t>
      </w:r>
      <w:r w:rsidR="00862259" w:rsidRPr="002D459F">
        <w:rPr>
          <w:rFonts w:ascii="Times New Roman" w:hAnsi="Times New Roman" w:cs="Times New Roman"/>
        </w:rPr>
        <w:t>Mercaldo, PhD</w:t>
      </w:r>
      <w:r w:rsidR="00862259" w:rsidRPr="002D459F">
        <w:rPr>
          <w:rFonts w:ascii="Times New Roman" w:hAnsi="Times New Roman" w:cs="Times New Roman"/>
          <w:vertAlign w:val="superscript"/>
        </w:rPr>
        <w:t>1</w:t>
      </w:r>
      <w:r w:rsidR="00862259" w:rsidRPr="002D459F">
        <w:rPr>
          <w:rFonts w:ascii="Times New Roman" w:hAnsi="Times New Roman" w:cs="Times New Roman"/>
        </w:rPr>
        <w:t xml:space="preserve">, </w:t>
      </w:r>
      <w:r w:rsidR="007B0813" w:rsidRPr="002D459F">
        <w:rPr>
          <w:rFonts w:ascii="Times New Roman" w:hAnsi="Times New Roman" w:cs="Times New Roman"/>
        </w:rPr>
        <w:t>Lili Zhang, MD, MS</w:t>
      </w:r>
      <w:r w:rsidR="007B0813"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,2</w:t>
      </w:r>
      <w:r w:rsidR="007B0813" w:rsidRPr="002D459F">
        <w:rPr>
          <w:rFonts w:ascii="Times New Roman" w:hAnsi="Times New Roman" w:cs="Times New Roman"/>
        </w:rPr>
        <w:t>, Daniel A. Zlotoff, MD, PhD</w:t>
      </w:r>
      <w:r w:rsidR="007B0813" w:rsidRPr="002D459F">
        <w:rPr>
          <w:rFonts w:ascii="Times New Roman" w:hAnsi="Times New Roman" w:cs="Times New Roman"/>
          <w:vertAlign w:val="superscript"/>
        </w:rPr>
        <w:t>1</w:t>
      </w:r>
      <w:r w:rsidR="007B0813" w:rsidRPr="002D459F">
        <w:rPr>
          <w:rFonts w:ascii="Times New Roman" w:hAnsi="Times New Roman" w:cs="Times New Roman"/>
        </w:rPr>
        <w:t>,</w:t>
      </w:r>
      <w:r w:rsidR="00F730B3" w:rsidRPr="002D459F">
        <w:rPr>
          <w:rFonts w:ascii="Times New Roman" w:hAnsi="Times New Roman" w:cs="Times New Roman"/>
        </w:rPr>
        <w:t xml:space="preserve"> </w:t>
      </w:r>
      <w:r w:rsidRPr="002D459F">
        <w:rPr>
          <w:rFonts w:ascii="Times New Roman" w:hAnsi="Times New Roman" w:cs="Times New Roman"/>
        </w:rPr>
        <w:t>Kerry L. Reynolds, MD</w:t>
      </w:r>
      <w:r w:rsidR="00355053" w:rsidRPr="002D459F">
        <w:rPr>
          <w:rFonts w:ascii="Times New Roman" w:hAnsi="Times New Roman" w:cs="Times New Roman"/>
          <w:vertAlign w:val="superscript"/>
        </w:rPr>
        <w:t>5</w:t>
      </w:r>
      <w:r w:rsidRPr="002D459F">
        <w:rPr>
          <w:rFonts w:ascii="Times New Roman" w:hAnsi="Times New Roman" w:cs="Times New Roman"/>
        </w:rPr>
        <w:t>, Raza M. Alvi, MD</w:t>
      </w:r>
      <w:r w:rsidRPr="002D459F">
        <w:rPr>
          <w:rFonts w:ascii="Times New Roman" w:hAnsi="Times New Roman" w:cs="Times New Roman"/>
          <w:vertAlign w:val="superscript"/>
        </w:rPr>
        <w:t>1</w:t>
      </w:r>
      <w:r w:rsidRPr="002D459F">
        <w:rPr>
          <w:rFonts w:ascii="Times New Roman" w:hAnsi="Times New Roman" w:cs="Times New Roman"/>
        </w:rPr>
        <w:t xml:space="preserve">, </w:t>
      </w:r>
      <w:r w:rsidR="00260009" w:rsidRPr="002D459F">
        <w:rPr>
          <w:rFonts w:ascii="Times New Roman" w:hAnsi="Times New Roman" w:cs="Times New Roman"/>
        </w:rPr>
        <w:t>Dahlia Banerji, MD</w:t>
      </w:r>
      <w:r w:rsidR="00260009" w:rsidRPr="002D459F">
        <w:rPr>
          <w:rFonts w:ascii="Times New Roman" w:hAnsi="Times New Roman" w:cs="Times New Roman"/>
          <w:vertAlign w:val="superscript"/>
        </w:rPr>
        <w:t>1</w:t>
      </w:r>
      <w:r w:rsidR="00260009" w:rsidRPr="002D459F">
        <w:rPr>
          <w:rFonts w:ascii="Times New Roman" w:hAnsi="Times New Roman" w:cs="Times New Roman"/>
        </w:rPr>
        <w:t xml:space="preserve">, </w:t>
      </w:r>
      <w:r w:rsidR="008B44B7" w:rsidRPr="002D459F">
        <w:rPr>
          <w:rFonts w:ascii="Times New Roman" w:hAnsi="Times New Roman" w:cs="Times New Roman"/>
        </w:rPr>
        <w:t>S</w:t>
      </w:r>
      <w:r w:rsidRPr="002D459F">
        <w:rPr>
          <w:rFonts w:ascii="Times New Roman" w:hAnsi="Times New Roman" w:cs="Times New Roman"/>
        </w:rPr>
        <w:t>hiying Liu, MD</w:t>
      </w:r>
      <w:r w:rsidR="00355053" w:rsidRPr="002D459F">
        <w:rPr>
          <w:rFonts w:ascii="Times New Roman" w:hAnsi="Times New Roman" w:cs="Times New Roman"/>
          <w:vertAlign w:val="superscript"/>
        </w:rPr>
        <w:t>6</w:t>
      </w:r>
      <w:r w:rsidRPr="002D459F">
        <w:rPr>
          <w:rFonts w:ascii="Times New Roman" w:hAnsi="Times New Roman" w:cs="Times New Roman"/>
        </w:rPr>
        <w:t>,</w:t>
      </w:r>
      <w:r w:rsidR="008B44B7" w:rsidRPr="002D459F">
        <w:rPr>
          <w:rFonts w:ascii="Times New Roman" w:hAnsi="Times New Roman" w:cs="Times New Roman"/>
        </w:rPr>
        <w:t xml:space="preserve"> </w:t>
      </w:r>
      <w:r w:rsidR="007B0813" w:rsidRPr="002D459F">
        <w:rPr>
          <w:rFonts w:ascii="Times New Roman" w:hAnsi="Times New Roman" w:cs="Times New Roman"/>
        </w:rPr>
        <w:t>Lucie M. Heinzerling, MD, MPH</w:t>
      </w:r>
      <w:r w:rsidR="00355053" w:rsidRPr="002D459F">
        <w:rPr>
          <w:rFonts w:ascii="Times New Roman" w:hAnsi="Times New Roman" w:cs="Times New Roman"/>
          <w:vertAlign w:val="superscript"/>
        </w:rPr>
        <w:t>7</w:t>
      </w:r>
      <w:r w:rsidR="007B0813" w:rsidRPr="002D459F">
        <w:rPr>
          <w:rFonts w:ascii="Times New Roman" w:hAnsi="Times New Roman" w:cs="Times New Roman"/>
        </w:rPr>
        <w:t xml:space="preserve">, </w:t>
      </w:r>
      <w:r w:rsidRPr="002D459F">
        <w:rPr>
          <w:rFonts w:ascii="Times New Roman" w:hAnsi="Times New Roman" w:cs="Times New Roman"/>
        </w:rPr>
        <w:t>Maeve Jones-O’Connor, MD</w:t>
      </w:r>
      <w:r w:rsidRPr="002D459F">
        <w:rPr>
          <w:rFonts w:ascii="Times New Roman" w:hAnsi="Times New Roman" w:cs="Times New Roman"/>
          <w:vertAlign w:val="superscript"/>
        </w:rPr>
        <w:t>1</w:t>
      </w:r>
      <w:r w:rsidRPr="002D459F">
        <w:rPr>
          <w:rFonts w:ascii="Times New Roman" w:hAnsi="Times New Roman" w:cs="Times New Roman"/>
        </w:rPr>
        <w:t xml:space="preserve">, </w:t>
      </w:r>
      <w:r w:rsidR="007F0346" w:rsidRPr="002D459F">
        <w:rPr>
          <w:rFonts w:ascii="Times New Roman" w:hAnsi="Times New Roman" w:cs="Times New Roman"/>
        </w:rPr>
        <w:t>Rula B. Bakar, MD</w:t>
      </w:r>
      <w:r w:rsidR="007F0346" w:rsidRPr="002D459F">
        <w:rPr>
          <w:rFonts w:ascii="Times New Roman" w:hAnsi="Times New Roman" w:cs="Times New Roman"/>
          <w:vertAlign w:val="superscript"/>
        </w:rPr>
        <w:t>1</w:t>
      </w:r>
      <w:r w:rsidR="007F0346" w:rsidRPr="002D459F">
        <w:rPr>
          <w:rFonts w:ascii="Times New Roman" w:hAnsi="Times New Roman" w:cs="Times New Roman"/>
        </w:rPr>
        <w:t xml:space="preserve">, </w:t>
      </w:r>
      <w:r w:rsidRPr="002D459F">
        <w:rPr>
          <w:rFonts w:ascii="Times New Roman" w:hAnsi="Times New Roman" w:cs="Times New Roman"/>
        </w:rPr>
        <w:t>Justine V. Cohen, DO</w:t>
      </w:r>
      <w:r w:rsidR="00355053" w:rsidRPr="002D459F">
        <w:rPr>
          <w:rFonts w:ascii="Times New Roman" w:hAnsi="Times New Roman" w:cs="Times New Roman"/>
          <w:vertAlign w:val="superscript"/>
        </w:rPr>
        <w:t>5</w:t>
      </w:r>
      <w:r w:rsidRPr="002D459F">
        <w:rPr>
          <w:rFonts w:ascii="Times New Roman" w:hAnsi="Times New Roman" w:cs="Times New Roman"/>
        </w:rPr>
        <w:t>, Michael C. Kirchberger, MD</w:t>
      </w:r>
      <w:r w:rsidR="00355053" w:rsidRPr="002D459F">
        <w:rPr>
          <w:rFonts w:ascii="Times New Roman" w:hAnsi="Times New Roman" w:cs="Times New Roman"/>
          <w:vertAlign w:val="superscript"/>
        </w:rPr>
        <w:t>7</w:t>
      </w:r>
      <w:r w:rsidRPr="002D459F">
        <w:rPr>
          <w:rFonts w:ascii="Times New Roman" w:hAnsi="Times New Roman" w:cs="Times New Roman"/>
        </w:rPr>
        <w:t>, Ryan J. Sullivan, MD</w:t>
      </w:r>
      <w:r w:rsidR="00355053" w:rsidRPr="002D459F">
        <w:rPr>
          <w:rFonts w:ascii="Times New Roman" w:hAnsi="Times New Roman" w:cs="Times New Roman"/>
          <w:vertAlign w:val="superscript"/>
        </w:rPr>
        <w:t>5</w:t>
      </w:r>
      <w:r w:rsidRPr="002D459F">
        <w:rPr>
          <w:rFonts w:ascii="Times New Roman" w:hAnsi="Times New Roman" w:cs="Times New Roman"/>
        </w:rPr>
        <w:t>, Dipti Gupta, MD, MPH</w:t>
      </w:r>
      <w:r w:rsidR="00355053" w:rsidRPr="002D459F">
        <w:rPr>
          <w:rFonts w:ascii="Times New Roman" w:hAnsi="Times New Roman" w:cs="Times New Roman"/>
          <w:vertAlign w:val="superscript"/>
        </w:rPr>
        <w:t>8</w:t>
      </w:r>
      <w:r w:rsidRPr="002D459F">
        <w:rPr>
          <w:rFonts w:ascii="Times New Roman" w:hAnsi="Times New Roman" w:cs="Times New Roman"/>
        </w:rPr>
        <w:t>,</w:t>
      </w:r>
      <w:r w:rsidRPr="002D459F">
        <w:rPr>
          <w:rFonts w:ascii="Times New Roman" w:hAnsi="Times New Roman" w:cs="Times New Roman"/>
          <w:color w:val="2085C8"/>
          <w:position w:val="8"/>
        </w:rPr>
        <w:t xml:space="preserve"> </w:t>
      </w:r>
      <w:r w:rsidR="007B0813" w:rsidRPr="002D459F">
        <w:rPr>
          <w:rFonts w:ascii="Times New Roman" w:hAnsi="Times New Roman" w:cs="Times New Roman"/>
        </w:rPr>
        <w:t xml:space="preserve">Connor </w:t>
      </w:r>
      <w:r w:rsidR="00DD455D" w:rsidRPr="002D459F">
        <w:rPr>
          <w:rFonts w:ascii="Times New Roman" w:hAnsi="Times New Roman" w:cs="Times New Roman"/>
        </w:rPr>
        <w:t xml:space="preserve">P. </w:t>
      </w:r>
      <w:r w:rsidR="007B0813" w:rsidRPr="002D459F">
        <w:rPr>
          <w:rFonts w:ascii="Times New Roman" w:hAnsi="Times New Roman" w:cs="Times New Roman"/>
        </w:rPr>
        <w:t>Mulligan, BA</w:t>
      </w:r>
      <w:r w:rsidR="007B0813" w:rsidRPr="002D459F">
        <w:rPr>
          <w:rFonts w:ascii="Times New Roman" w:hAnsi="Times New Roman" w:cs="Times New Roman"/>
          <w:vertAlign w:val="superscript"/>
        </w:rPr>
        <w:t>1</w:t>
      </w:r>
      <w:r w:rsidR="007B0813" w:rsidRPr="002D459F">
        <w:rPr>
          <w:rFonts w:ascii="Times New Roman" w:hAnsi="Times New Roman" w:cs="Times New Roman"/>
        </w:rPr>
        <w:t xml:space="preserve">, </w:t>
      </w:r>
      <w:r w:rsidRPr="002D459F">
        <w:rPr>
          <w:rFonts w:ascii="Times New Roman" w:hAnsi="Times New Roman" w:cs="Times New Roman"/>
        </w:rPr>
        <w:t>Sachin P. Shah, MD</w:t>
      </w:r>
      <w:r w:rsidR="00355053" w:rsidRPr="002D459F">
        <w:rPr>
          <w:rFonts w:ascii="Times New Roman" w:hAnsi="Times New Roman" w:cs="Times New Roman"/>
          <w:vertAlign w:val="superscript"/>
        </w:rPr>
        <w:t>9</w:t>
      </w:r>
      <w:r w:rsidRPr="002D459F">
        <w:rPr>
          <w:rFonts w:ascii="Times New Roman" w:hAnsi="Times New Roman" w:cs="Times New Roman"/>
        </w:rPr>
        <w:t>,</w:t>
      </w:r>
      <w:r w:rsidRPr="002D459F">
        <w:rPr>
          <w:rFonts w:ascii="Times New Roman" w:hAnsi="Times New Roman" w:cs="Times New Roman"/>
          <w:color w:val="2085C8"/>
          <w:position w:val="8"/>
        </w:rPr>
        <w:t xml:space="preserve"> </w:t>
      </w:r>
      <w:r w:rsidRPr="002D459F">
        <w:rPr>
          <w:rFonts w:ascii="Times New Roman" w:hAnsi="Times New Roman" w:cs="Times New Roman"/>
        </w:rPr>
        <w:t>Sarju Ganatra, MD</w:t>
      </w:r>
      <w:r w:rsidR="00355053" w:rsidRPr="002D459F">
        <w:rPr>
          <w:rFonts w:ascii="Times New Roman" w:hAnsi="Times New Roman" w:cs="Times New Roman"/>
          <w:vertAlign w:val="superscript"/>
        </w:rPr>
        <w:t>9</w:t>
      </w:r>
      <w:r w:rsidRPr="002D459F">
        <w:rPr>
          <w:rFonts w:ascii="Times New Roman" w:hAnsi="Times New Roman" w:cs="Times New Roman"/>
        </w:rPr>
        <w:t>, Muhammad A. Rizvi, MD</w:t>
      </w:r>
      <w:r w:rsidR="00355053" w:rsidRPr="002D459F">
        <w:rPr>
          <w:rFonts w:ascii="Times New Roman" w:hAnsi="Times New Roman" w:cs="Times New Roman"/>
          <w:vertAlign w:val="superscript"/>
        </w:rPr>
        <w:t>10</w:t>
      </w:r>
      <w:r w:rsidRPr="002D459F">
        <w:rPr>
          <w:rFonts w:ascii="Times New Roman" w:hAnsi="Times New Roman" w:cs="Times New Roman"/>
        </w:rPr>
        <w:t>,</w:t>
      </w:r>
      <w:r w:rsidRPr="002D459F">
        <w:rPr>
          <w:rFonts w:ascii="Times New Roman" w:hAnsi="Times New Roman" w:cs="Times New Roman"/>
          <w:color w:val="2085C8"/>
          <w:position w:val="8"/>
        </w:rPr>
        <w:t xml:space="preserve"> </w:t>
      </w:r>
      <w:r w:rsidRPr="002D459F">
        <w:rPr>
          <w:rFonts w:ascii="Times New Roman" w:hAnsi="Times New Roman" w:cs="Times New Roman"/>
        </w:rPr>
        <w:t>Gagan Sahni, MD</w:t>
      </w:r>
      <w:r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1</w:t>
      </w:r>
      <w:r w:rsidRPr="002D459F">
        <w:rPr>
          <w:rFonts w:ascii="Times New Roman" w:hAnsi="Times New Roman" w:cs="Times New Roman"/>
        </w:rPr>
        <w:t>, Carlo G. Tocchetti MD, PhD</w:t>
      </w:r>
      <w:r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2</w:t>
      </w:r>
      <w:r w:rsidRPr="002D459F">
        <w:rPr>
          <w:rFonts w:ascii="Times New Roman" w:hAnsi="Times New Roman" w:cs="Times New Roman"/>
        </w:rPr>
        <w:t>, Donald P. Lawrence, MD</w:t>
      </w:r>
      <w:r w:rsidR="00355053" w:rsidRPr="002D459F">
        <w:rPr>
          <w:rFonts w:ascii="Times New Roman" w:hAnsi="Times New Roman" w:cs="Times New Roman"/>
          <w:vertAlign w:val="superscript"/>
        </w:rPr>
        <w:t>5</w:t>
      </w:r>
      <w:r w:rsidRPr="002D459F">
        <w:rPr>
          <w:rFonts w:ascii="Times New Roman" w:hAnsi="Times New Roman" w:cs="Times New Roman"/>
        </w:rPr>
        <w:t xml:space="preserve">, </w:t>
      </w:r>
      <w:r w:rsidR="00400197" w:rsidRPr="002D459F">
        <w:rPr>
          <w:rFonts w:ascii="Times New Roman" w:hAnsi="Times New Roman" w:cs="Times New Roman"/>
        </w:rPr>
        <w:t>Michael Mahmoudi, MD,</w:t>
      </w:r>
      <w:r w:rsidR="00862259" w:rsidRPr="002D459F">
        <w:rPr>
          <w:rFonts w:ascii="Times New Roman" w:hAnsi="Times New Roman" w:cs="Times New Roman"/>
        </w:rPr>
        <w:t xml:space="preserve"> </w:t>
      </w:r>
      <w:r w:rsidR="00684C7F" w:rsidRPr="002D459F">
        <w:rPr>
          <w:rFonts w:ascii="Times New Roman" w:hAnsi="Times New Roman" w:cs="Times New Roman"/>
        </w:rPr>
        <w:t>PhD</w:t>
      </w:r>
      <w:r w:rsidR="00684C7F"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3</w:t>
      </w:r>
      <w:r w:rsidR="00684C7F" w:rsidRPr="002D459F">
        <w:rPr>
          <w:rFonts w:ascii="Times New Roman" w:hAnsi="Times New Roman" w:cs="Times New Roman"/>
        </w:rPr>
        <w:t xml:space="preserve">, </w:t>
      </w:r>
      <w:r w:rsidR="00135C46" w:rsidRPr="002D459F">
        <w:rPr>
          <w:rFonts w:ascii="Times New Roman" w:hAnsi="Times New Roman" w:cs="Times New Roman"/>
        </w:rPr>
        <w:t>Richard B. Devereux, MD</w:t>
      </w:r>
      <w:r w:rsidR="00135C46" w:rsidRPr="002D459F">
        <w:rPr>
          <w:rFonts w:ascii="Times New Roman" w:hAnsi="Times New Roman" w:cs="Times New Roman"/>
          <w:vertAlign w:val="superscript"/>
        </w:rPr>
        <w:t>3</w:t>
      </w:r>
      <w:r w:rsidR="00135C46" w:rsidRPr="002D459F">
        <w:rPr>
          <w:rFonts w:ascii="Times New Roman" w:hAnsi="Times New Roman" w:cs="Times New Roman"/>
        </w:rPr>
        <w:t xml:space="preserve">, </w:t>
      </w:r>
      <w:r w:rsidR="007B0813" w:rsidRPr="002D459F">
        <w:rPr>
          <w:rFonts w:ascii="Times New Roman" w:hAnsi="Times New Roman" w:cs="Times New Roman"/>
        </w:rPr>
        <w:t>Brian J. Forrestal, MD</w:t>
      </w:r>
      <w:r w:rsidR="007B0813"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4</w:t>
      </w:r>
      <w:r w:rsidR="007B0813" w:rsidRPr="002D459F">
        <w:rPr>
          <w:rFonts w:ascii="Times New Roman" w:hAnsi="Times New Roman" w:cs="Times New Roman"/>
        </w:rPr>
        <w:t>, Anant Mandawat, MD</w:t>
      </w:r>
      <w:r w:rsidR="007B0813"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5</w:t>
      </w:r>
      <w:r w:rsidR="00F730B3" w:rsidRPr="002D459F">
        <w:rPr>
          <w:rFonts w:ascii="Times New Roman" w:hAnsi="Times New Roman" w:cs="Times New Roman"/>
        </w:rPr>
        <w:t>, A</w:t>
      </w:r>
      <w:r w:rsidR="00060138" w:rsidRPr="002D459F">
        <w:rPr>
          <w:rFonts w:ascii="Times New Roman" w:hAnsi="Times New Roman" w:cs="Times New Roman"/>
        </w:rPr>
        <w:t>lexander R. Lyon MD, PhD</w:t>
      </w:r>
      <w:r w:rsidR="00060138"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6</w:t>
      </w:r>
      <w:r w:rsidR="00346F0B" w:rsidRPr="002D459F">
        <w:rPr>
          <w:rFonts w:ascii="Times New Roman" w:hAnsi="Times New Roman" w:cs="Times New Roman"/>
        </w:rPr>
        <w:t>, C</w:t>
      </w:r>
      <w:r w:rsidR="00060138" w:rsidRPr="002D459F">
        <w:rPr>
          <w:rFonts w:ascii="Times New Roman" w:hAnsi="Times New Roman" w:cs="Times New Roman"/>
        </w:rPr>
        <w:t>arol L. Chen, MD</w:t>
      </w:r>
      <w:r w:rsidR="00355053" w:rsidRPr="002D459F">
        <w:rPr>
          <w:rFonts w:ascii="Times New Roman" w:hAnsi="Times New Roman" w:cs="Times New Roman"/>
          <w:vertAlign w:val="superscript"/>
        </w:rPr>
        <w:t>8</w:t>
      </w:r>
      <w:r w:rsidR="00060138" w:rsidRPr="002D459F">
        <w:rPr>
          <w:rFonts w:ascii="Times New Roman" w:hAnsi="Times New Roman" w:cs="Times New Roman"/>
        </w:rPr>
        <w:t>,</w:t>
      </w:r>
      <w:r w:rsidR="00060138" w:rsidRPr="002D459F">
        <w:rPr>
          <w:rFonts w:ascii="Times New Roman" w:hAnsi="Times New Roman" w:cs="Times New Roman"/>
          <w:color w:val="2085C8"/>
          <w:position w:val="8"/>
        </w:rPr>
        <w:t xml:space="preserve"> </w:t>
      </w:r>
      <w:r w:rsidR="00D70DBE" w:rsidRPr="002D459F">
        <w:rPr>
          <w:rFonts w:ascii="Times New Roman" w:hAnsi="Times New Roman" w:cs="Times New Roman"/>
        </w:rPr>
        <w:t>Ana Barac, MD, PhD</w:t>
      </w:r>
      <w:r w:rsidR="00D70DBE"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4</w:t>
      </w:r>
      <w:r w:rsidR="00A40B16" w:rsidRPr="002D459F">
        <w:rPr>
          <w:rFonts w:ascii="Times New Roman" w:hAnsi="Times New Roman" w:cs="Times New Roman"/>
        </w:rPr>
        <w:t>, J</w:t>
      </w:r>
      <w:r w:rsidR="007B0813" w:rsidRPr="002D459F">
        <w:rPr>
          <w:rFonts w:ascii="Times New Roman" w:hAnsi="Times New Roman" w:cs="Times New Roman"/>
        </w:rPr>
        <w:t>udy Hung, MD</w:t>
      </w:r>
      <w:r w:rsidR="00355053" w:rsidRPr="002D459F">
        <w:rPr>
          <w:rFonts w:ascii="Times New Roman" w:hAnsi="Times New Roman" w:cs="Times New Roman"/>
          <w:vertAlign w:val="superscript"/>
        </w:rPr>
        <w:t>6</w:t>
      </w:r>
      <w:r w:rsidR="007B0813" w:rsidRPr="002D459F">
        <w:rPr>
          <w:rFonts w:ascii="Times New Roman" w:hAnsi="Times New Roman" w:cs="Times New Roman"/>
        </w:rPr>
        <w:t xml:space="preserve">, </w:t>
      </w:r>
      <w:r w:rsidR="00862259" w:rsidRPr="002D459F">
        <w:rPr>
          <w:rFonts w:ascii="Times New Roman" w:hAnsi="Times New Roman" w:cs="Times New Roman"/>
        </w:rPr>
        <w:t>Paaladinesh Thavendiranathan, MD</w:t>
      </w:r>
      <w:r w:rsidR="00862259"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7</w:t>
      </w:r>
      <w:r w:rsidR="00684C7F" w:rsidRPr="002D459F">
        <w:rPr>
          <w:rFonts w:ascii="Times New Roman" w:hAnsi="Times New Roman" w:cs="Times New Roman"/>
        </w:rPr>
        <w:t xml:space="preserve">, </w:t>
      </w:r>
      <w:r w:rsidR="00D70DBE" w:rsidRPr="002D459F">
        <w:rPr>
          <w:rFonts w:ascii="Times New Roman" w:hAnsi="Times New Roman" w:cs="Times New Roman"/>
        </w:rPr>
        <w:t>Michael H. Picard, MD</w:t>
      </w:r>
      <w:r w:rsidR="00355053" w:rsidRPr="002D459F">
        <w:rPr>
          <w:rFonts w:ascii="Times New Roman" w:hAnsi="Times New Roman" w:cs="Times New Roman"/>
          <w:vertAlign w:val="superscript"/>
        </w:rPr>
        <w:t>6</w:t>
      </w:r>
      <w:r w:rsidR="00D70DBE" w:rsidRPr="002D459F">
        <w:rPr>
          <w:rFonts w:ascii="Times New Roman" w:hAnsi="Times New Roman" w:cs="Times New Roman"/>
        </w:rPr>
        <w:t xml:space="preserve">, </w:t>
      </w:r>
      <w:r w:rsidR="007B0813" w:rsidRPr="002D459F">
        <w:rPr>
          <w:rFonts w:ascii="Times New Roman" w:hAnsi="Times New Roman" w:cs="Times New Roman"/>
        </w:rPr>
        <w:t>Franck Thuny, MD</w:t>
      </w:r>
      <w:r w:rsidR="007B0813"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8</w:t>
      </w:r>
      <w:r w:rsidR="007B0813" w:rsidRPr="002D459F">
        <w:rPr>
          <w:rFonts w:ascii="Times New Roman" w:hAnsi="Times New Roman" w:cs="Times New Roman"/>
        </w:rPr>
        <w:t xml:space="preserve">, </w:t>
      </w:r>
      <w:r w:rsidR="00684C7F" w:rsidRPr="002D459F">
        <w:rPr>
          <w:rFonts w:ascii="Times New Roman" w:hAnsi="Times New Roman" w:cs="Times New Roman"/>
        </w:rPr>
        <w:t>S</w:t>
      </w:r>
      <w:r w:rsidR="00862259" w:rsidRPr="002D459F">
        <w:rPr>
          <w:rFonts w:ascii="Times New Roman" w:hAnsi="Times New Roman" w:cs="Times New Roman"/>
        </w:rPr>
        <w:t>tephane Ederhy, MD</w:t>
      </w:r>
      <w:r w:rsidR="00862259"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9</w:t>
      </w:r>
      <w:r w:rsidR="00862259" w:rsidRPr="002D459F">
        <w:rPr>
          <w:rFonts w:ascii="Times New Roman" w:hAnsi="Times New Roman" w:cs="Times New Roman"/>
        </w:rPr>
        <w:t>,</w:t>
      </w:r>
      <w:r w:rsidR="007B0813" w:rsidRPr="002D459F">
        <w:rPr>
          <w:rFonts w:ascii="Times New Roman" w:hAnsi="Times New Roman" w:cs="Times New Roman"/>
        </w:rPr>
        <w:t xml:space="preserve"> </w:t>
      </w:r>
      <w:r w:rsidR="00400197" w:rsidRPr="002D459F">
        <w:rPr>
          <w:rFonts w:ascii="Times New Roman" w:hAnsi="Times New Roman" w:cs="Times New Roman"/>
        </w:rPr>
        <w:t>M</w:t>
      </w:r>
      <w:r w:rsidRPr="002D459F">
        <w:rPr>
          <w:rFonts w:ascii="Times New Roman" w:hAnsi="Times New Roman" w:cs="Times New Roman"/>
        </w:rPr>
        <w:t>ichael G. Fradley, MD</w:t>
      </w:r>
      <w:r w:rsidR="00355053" w:rsidRPr="002D459F">
        <w:rPr>
          <w:rFonts w:ascii="Times New Roman" w:hAnsi="Times New Roman" w:cs="Times New Roman"/>
          <w:vertAlign w:val="superscript"/>
        </w:rPr>
        <w:t>20</w:t>
      </w:r>
      <w:r w:rsidRPr="002D459F">
        <w:rPr>
          <w:rFonts w:ascii="Times New Roman" w:hAnsi="Times New Roman" w:cs="Times New Roman"/>
        </w:rPr>
        <w:t>,</w:t>
      </w:r>
      <w:r w:rsidRPr="002D459F">
        <w:rPr>
          <w:rFonts w:ascii="Times New Roman" w:hAnsi="Times New Roman" w:cs="Times New Roman"/>
          <w:color w:val="2085C8"/>
          <w:position w:val="8"/>
        </w:rPr>
        <w:t xml:space="preserve"> </w:t>
      </w:r>
      <w:r w:rsidRPr="002D459F">
        <w:rPr>
          <w:rFonts w:ascii="Times New Roman" w:hAnsi="Times New Roman" w:cs="Times New Roman"/>
        </w:rPr>
        <w:t>Tomas G Neilan, MD, MPH</w:t>
      </w:r>
      <w:r w:rsidR="009B0555" w:rsidRPr="002D459F">
        <w:rPr>
          <w:rFonts w:ascii="Times New Roman" w:hAnsi="Times New Roman" w:cs="Times New Roman"/>
        </w:rPr>
        <w:t>, FACC</w:t>
      </w:r>
      <w:r w:rsidRPr="002D459F">
        <w:rPr>
          <w:rFonts w:ascii="Times New Roman" w:hAnsi="Times New Roman" w:cs="Times New Roman"/>
          <w:vertAlign w:val="superscript"/>
        </w:rPr>
        <w:t>1,</w:t>
      </w:r>
      <w:r w:rsidR="00820979" w:rsidRPr="002D459F">
        <w:rPr>
          <w:rFonts w:ascii="Times New Roman" w:hAnsi="Times New Roman" w:cs="Times New Roman"/>
          <w:vertAlign w:val="superscript"/>
        </w:rPr>
        <w:t>2</w:t>
      </w:r>
      <w:r w:rsidRPr="002D459F">
        <w:rPr>
          <w:rFonts w:ascii="Times New Roman" w:hAnsi="Times New Roman" w:cs="Times New Roman"/>
        </w:rPr>
        <w:t>.</w:t>
      </w:r>
    </w:p>
    <w:p w14:paraId="41946D3F" w14:textId="77777777" w:rsidR="002D459F" w:rsidRPr="002D459F" w:rsidRDefault="002D459F" w:rsidP="002D459F">
      <w:pPr>
        <w:widowControl w:val="0"/>
        <w:autoSpaceDE w:val="0"/>
        <w:autoSpaceDN w:val="0"/>
        <w:adjustRightInd w:val="0"/>
        <w:rPr>
          <w:rFonts w:ascii="Times New Roman" w:hAnsi="Times New Roman" w:cs="Times New Roman"/>
        </w:rPr>
      </w:pPr>
    </w:p>
    <w:p w14:paraId="3A4B99A9" w14:textId="59C7A6E0" w:rsidR="00400197" w:rsidRPr="002D459F" w:rsidRDefault="00F83AA7" w:rsidP="002D459F">
      <w:pPr>
        <w:rPr>
          <w:rFonts w:ascii="Times New Roman" w:eastAsia="Times New Roman" w:hAnsi="Times New Roman" w:cs="Times New Roman"/>
        </w:rPr>
      </w:pPr>
      <w:r w:rsidRPr="002D459F">
        <w:rPr>
          <w:rFonts w:ascii="Times New Roman" w:hAnsi="Times New Roman" w:cs="Times New Roman"/>
          <w:vertAlign w:val="superscript"/>
        </w:rPr>
        <w:t>1</w:t>
      </w:r>
      <w:r w:rsidRPr="002D459F">
        <w:rPr>
          <w:rFonts w:ascii="Times New Roman" w:hAnsi="Times New Roman" w:cs="Times New Roman"/>
        </w:rPr>
        <w:t>Cardiac MR PET CT Program, Department of Radiology, Massachusetts General Hospital, Boston, Massachusetts;</w:t>
      </w:r>
      <w:r w:rsidR="00C16EB8" w:rsidRPr="002D459F">
        <w:rPr>
          <w:rFonts w:ascii="Times New Roman" w:hAnsi="Times New Roman" w:cs="Times New Roman"/>
        </w:rPr>
        <w:t xml:space="preserve"> </w:t>
      </w:r>
      <w:r w:rsidR="00C16EB8" w:rsidRPr="002D459F">
        <w:rPr>
          <w:rFonts w:ascii="Times New Roman" w:hAnsi="Times New Roman" w:cs="Times New Roman"/>
          <w:vertAlign w:val="superscript"/>
        </w:rPr>
        <w:t>2</w:t>
      </w:r>
      <w:r w:rsidR="00355053" w:rsidRPr="002D459F">
        <w:rPr>
          <w:rFonts w:ascii="Times New Roman" w:hAnsi="Times New Roman" w:cs="Times New Roman"/>
        </w:rPr>
        <w:t xml:space="preserve">Cardio-Oncology Program, Division of Cardiology, Department of Medicine, Massachusetts General Hospital, Boston, Massachusetts; </w:t>
      </w:r>
      <w:r w:rsidR="00355053" w:rsidRPr="002D459F">
        <w:rPr>
          <w:rFonts w:ascii="Times New Roman" w:hAnsi="Times New Roman" w:cs="Times New Roman"/>
          <w:vertAlign w:val="superscript"/>
        </w:rPr>
        <w:t>3</w:t>
      </w:r>
      <w:r w:rsidRPr="002D459F">
        <w:rPr>
          <w:rFonts w:ascii="Times New Roman" w:hAnsi="Times New Roman" w:cs="Times New Roman"/>
        </w:rPr>
        <w:t xml:space="preserve">Cardiology Division, New York-Presbyterian Hospital, Weill Cornell Medical Center, New York, New York; </w:t>
      </w:r>
      <w:r w:rsidR="00355053" w:rsidRPr="002D459F">
        <w:rPr>
          <w:rFonts w:ascii="Times New Roman" w:hAnsi="Times New Roman" w:cs="Times New Roman"/>
          <w:vertAlign w:val="superscript"/>
        </w:rPr>
        <w:t>4</w:t>
      </w:r>
      <w:r w:rsidRPr="002D459F">
        <w:rPr>
          <w:rFonts w:ascii="Times New Roman" w:hAnsi="Times New Roman" w:cs="Times New Roman"/>
        </w:rPr>
        <w:t xml:space="preserve">Cardio-Oncology Program, Division of Cardiology, Department of Medicine, Brigham and Women’s Hospital, Boston, Massachusetts; </w:t>
      </w:r>
      <w:r w:rsidR="00355053" w:rsidRPr="002D459F">
        <w:rPr>
          <w:rFonts w:ascii="Times New Roman" w:hAnsi="Times New Roman" w:cs="Times New Roman"/>
          <w:vertAlign w:val="superscript"/>
        </w:rPr>
        <w:t>5</w:t>
      </w:r>
      <w:r w:rsidRPr="002D459F">
        <w:rPr>
          <w:rFonts w:ascii="Times New Roman" w:hAnsi="Times New Roman" w:cs="Times New Roman"/>
        </w:rPr>
        <w:t xml:space="preserve">Division of Oncology and Hematology, Department of Medicine, Massachusetts General Hospital, Boston, Massachusetts; </w:t>
      </w:r>
      <w:r w:rsidR="00355053" w:rsidRPr="002D459F">
        <w:rPr>
          <w:rFonts w:ascii="Times New Roman" w:hAnsi="Times New Roman" w:cs="Times New Roman"/>
          <w:vertAlign w:val="superscript"/>
        </w:rPr>
        <w:t>6</w:t>
      </w:r>
      <w:r w:rsidRPr="002D459F">
        <w:rPr>
          <w:rFonts w:ascii="Times New Roman" w:hAnsi="Times New Roman" w:cs="Times New Roman"/>
        </w:rPr>
        <w:t xml:space="preserve">Division of Cardiology, Massachusetts General Hospital, Boston, Massachusetts; </w:t>
      </w:r>
      <w:r w:rsidR="00355053" w:rsidRPr="002D459F">
        <w:rPr>
          <w:rFonts w:ascii="Times New Roman" w:hAnsi="Times New Roman" w:cs="Times New Roman"/>
          <w:vertAlign w:val="superscript"/>
        </w:rPr>
        <w:t>7</w:t>
      </w:r>
      <w:r w:rsidRPr="002D459F">
        <w:rPr>
          <w:rFonts w:ascii="Times New Roman" w:hAnsi="Times New Roman" w:cs="Times New Roman"/>
        </w:rPr>
        <w:t>Department of Dermatology, University Hospital Erlangen, Friedrich-Alexander-University Erlangen-Nurnberg (FAU), Germany;</w:t>
      </w:r>
      <w:r w:rsidRPr="002D459F">
        <w:rPr>
          <w:rFonts w:ascii="Times New Roman" w:hAnsi="Times New Roman" w:cs="Times New Roman"/>
          <w:position w:val="8"/>
        </w:rPr>
        <w:t xml:space="preserve"> </w:t>
      </w:r>
      <w:r w:rsidR="00355053" w:rsidRPr="002D459F">
        <w:rPr>
          <w:rFonts w:ascii="Times New Roman" w:hAnsi="Times New Roman" w:cs="Times New Roman"/>
          <w:vertAlign w:val="superscript"/>
        </w:rPr>
        <w:t>8</w:t>
      </w:r>
      <w:r w:rsidRPr="002D459F">
        <w:rPr>
          <w:rFonts w:ascii="Times New Roman" w:hAnsi="Times New Roman" w:cs="Times New Roman"/>
        </w:rPr>
        <w:t xml:space="preserve">Cardiology Division, Memorial Sloan Kettering Cancer Center, Weill Cornell Medical College, New York, New York; </w:t>
      </w:r>
      <w:r w:rsidR="00355053" w:rsidRPr="002D459F">
        <w:rPr>
          <w:rFonts w:ascii="Times New Roman" w:hAnsi="Times New Roman" w:cs="Times New Roman"/>
          <w:vertAlign w:val="superscript"/>
        </w:rPr>
        <w:t>9</w:t>
      </w:r>
      <w:r w:rsidRPr="002D459F">
        <w:rPr>
          <w:rFonts w:ascii="Times New Roman" w:hAnsi="Times New Roman" w:cs="Times New Roman"/>
        </w:rPr>
        <w:t xml:space="preserve">Cardiology Division, Lahey Hospital &amp; Medical Center, Burlington, Massachusetts; </w:t>
      </w:r>
      <w:r w:rsidR="00355053" w:rsidRPr="002D459F">
        <w:rPr>
          <w:rFonts w:ascii="Times New Roman" w:hAnsi="Times New Roman" w:cs="Times New Roman"/>
          <w:vertAlign w:val="superscript"/>
        </w:rPr>
        <w:t>10</w:t>
      </w:r>
      <w:r w:rsidRPr="002D459F">
        <w:rPr>
          <w:rFonts w:ascii="Times New Roman" w:hAnsi="Times New Roman" w:cs="Times New Roman"/>
        </w:rPr>
        <w:t xml:space="preserve">Division of Oncology and Hematology, Department of Medicine, Lehigh Valley Hospital, Allentown, Pennsylvania; </w:t>
      </w:r>
      <w:r w:rsidR="00684C7F"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1</w:t>
      </w:r>
      <w:r w:rsidR="00684C7F" w:rsidRPr="002D459F">
        <w:rPr>
          <w:rFonts w:ascii="Times New Roman" w:hAnsi="Times New Roman" w:cs="Times New Roman"/>
        </w:rPr>
        <w:t xml:space="preserve">The Mount Sinai Hospital, New York, New York; </w:t>
      </w:r>
      <w:r w:rsidR="00684C7F"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2</w:t>
      </w:r>
      <w:r w:rsidR="00684C7F" w:rsidRPr="002D459F">
        <w:rPr>
          <w:rFonts w:ascii="Times New Roman" w:hAnsi="Times New Roman" w:cs="Times New Roman"/>
        </w:rPr>
        <w:t xml:space="preserve">Department of Translational Medical Sciences, Federico II University, Naples, Italy; </w:t>
      </w:r>
      <w:r w:rsidR="00684C7F"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3</w:t>
      </w:r>
      <w:r w:rsidR="00D15FB4" w:rsidRPr="002D459F">
        <w:rPr>
          <w:rFonts w:ascii="Times New Roman" w:hAnsi="Times New Roman" w:cs="Times New Roman"/>
        </w:rPr>
        <w:t>Faculty of Medicine</w:t>
      </w:r>
      <w:r w:rsidR="00684C7F" w:rsidRPr="002D459F">
        <w:rPr>
          <w:rFonts w:ascii="Times New Roman" w:hAnsi="Times New Roman" w:cs="Times New Roman"/>
        </w:rPr>
        <w:t xml:space="preserve">, </w:t>
      </w:r>
      <w:r w:rsidR="00D15FB4" w:rsidRPr="002D459F">
        <w:rPr>
          <w:rFonts w:ascii="Times New Roman" w:hAnsi="Times New Roman" w:cs="Times New Roman"/>
        </w:rPr>
        <w:t>University of Southampton</w:t>
      </w:r>
      <w:r w:rsidR="00684C7F" w:rsidRPr="002D459F">
        <w:rPr>
          <w:rFonts w:ascii="Times New Roman" w:hAnsi="Times New Roman" w:cs="Times New Roman"/>
        </w:rPr>
        <w:t xml:space="preserve">, Southampton, United Kingdom; </w:t>
      </w:r>
      <w:r w:rsidR="00F730B3" w:rsidRPr="002D459F">
        <w:rPr>
          <w:rFonts w:ascii="Times New Roman" w:eastAsia="Times New Roman" w:hAnsi="Times New Roman" w:cs="Times New Roman"/>
          <w:vertAlign w:val="superscript"/>
        </w:rPr>
        <w:t>1</w:t>
      </w:r>
      <w:r w:rsidR="00355053" w:rsidRPr="002D459F">
        <w:rPr>
          <w:rFonts w:ascii="Times New Roman" w:eastAsia="Times New Roman" w:hAnsi="Times New Roman" w:cs="Times New Roman"/>
          <w:vertAlign w:val="superscript"/>
        </w:rPr>
        <w:t>4</w:t>
      </w:r>
      <w:r w:rsidR="00F730B3" w:rsidRPr="002D459F">
        <w:rPr>
          <w:rFonts w:ascii="Times New Roman" w:eastAsia="Times New Roman" w:hAnsi="Times New Roman" w:cs="Times New Roman"/>
        </w:rPr>
        <w:t>Cardio-Oncology program, Division of Cardiology, Department of Medicine, MedStar Heart and Vascular Institute, MedStar Washington Hospital Center, Washington, DC;</w:t>
      </w:r>
      <w:r w:rsidR="00F730B3" w:rsidRPr="002D459F">
        <w:rPr>
          <w:rFonts w:ascii="Times New Roman" w:eastAsia="Times New Roman" w:hAnsi="Times New Roman" w:cs="Times New Roman"/>
          <w:vertAlign w:val="superscript"/>
        </w:rPr>
        <w:t xml:space="preserve"> 1</w:t>
      </w:r>
      <w:r w:rsidR="00355053" w:rsidRPr="002D459F">
        <w:rPr>
          <w:rFonts w:ascii="Times New Roman" w:eastAsia="Times New Roman" w:hAnsi="Times New Roman" w:cs="Times New Roman"/>
          <w:vertAlign w:val="superscript"/>
        </w:rPr>
        <w:t>5</w:t>
      </w:r>
      <w:r w:rsidR="00F730B3" w:rsidRPr="002D459F">
        <w:rPr>
          <w:rFonts w:ascii="Times New Roman" w:eastAsia="Times New Roman" w:hAnsi="Times New Roman" w:cs="Times New Roman"/>
        </w:rPr>
        <w:t>Cardio-Oncology Program, Department of Hematology and Medical Oncology, Winship Cancer Institute of Emory University, Emory University School of Medicine, Atlanta, Georgia;</w:t>
      </w:r>
      <w:r w:rsidR="00895EA5" w:rsidRPr="002D459F">
        <w:rPr>
          <w:rFonts w:ascii="Times New Roman" w:eastAsia="Times New Roman" w:hAnsi="Times New Roman" w:cs="Times New Roman"/>
        </w:rPr>
        <w:t xml:space="preserve"> </w:t>
      </w:r>
      <w:r w:rsidR="00684C7F"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6</w:t>
      </w:r>
      <w:r w:rsidR="00684C7F" w:rsidRPr="002D459F">
        <w:rPr>
          <w:rFonts w:ascii="Times New Roman" w:hAnsi="Times New Roman" w:cs="Times New Roman"/>
        </w:rPr>
        <w:t>Cardio-Oncology Program, Royal Brompton Hospital</w:t>
      </w:r>
      <w:r w:rsidR="00DD455D" w:rsidRPr="002D459F">
        <w:rPr>
          <w:rFonts w:ascii="Times New Roman" w:hAnsi="Times New Roman" w:cs="Times New Roman"/>
        </w:rPr>
        <w:t xml:space="preserve"> and Imperial College</w:t>
      </w:r>
      <w:r w:rsidR="00684C7F" w:rsidRPr="002D459F">
        <w:rPr>
          <w:rFonts w:ascii="Times New Roman" w:hAnsi="Times New Roman" w:cs="Times New Roman"/>
        </w:rPr>
        <w:t>, London, United Kingdom;</w:t>
      </w:r>
      <w:r w:rsidR="00895EA5" w:rsidRPr="002D459F">
        <w:rPr>
          <w:rFonts w:ascii="Times New Roman" w:hAnsi="Times New Roman" w:cs="Times New Roman"/>
        </w:rPr>
        <w:t xml:space="preserve"> </w:t>
      </w:r>
      <w:r w:rsidR="00895EA5"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7</w:t>
      </w:r>
      <w:r w:rsidR="00895EA5" w:rsidRPr="002D459F">
        <w:rPr>
          <w:rFonts w:ascii="Times New Roman" w:hAnsi="Times New Roman" w:cs="Times New Roman"/>
        </w:rPr>
        <w:t>Ted Rogers Program in Cardiotoxicity Prevention, Peter Munk Cardiac Center, Division of Cardiology</w:t>
      </w:r>
      <w:r w:rsidR="00DD455D" w:rsidRPr="002D459F">
        <w:rPr>
          <w:rFonts w:ascii="Times New Roman" w:hAnsi="Times New Roman" w:cs="Times New Roman"/>
        </w:rPr>
        <w:t>,</w:t>
      </w:r>
      <w:r w:rsidR="00895EA5" w:rsidRPr="002D459F">
        <w:rPr>
          <w:rFonts w:ascii="Times New Roman" w:hAnsi="Times New Roman" w:cs="Times New Roman"/>
        </w:rPr>
        <w:t xml:space="preserve"> Toronto General Hospital, University of Toronto, Toronto, Ontario, Canada; Cardiology Division,</w:t>
      </w:r>
      <w:r w:rsidR="00684C7F"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8</w:t>
      </w:r>
      <w:r w:rsidR="00684C7F" w:rsidRPr="002D459F">
        <w:rPr>
          <w:rFonts w:ascii="Times New Roman" w:hAnsi="Times New Roman" w:cs="Times New Roman"/>
        </w:rPr>
        <w:t xml:space="preserve">Cardiovascular Division, Department of Medicine, Aix-Marseille Universite, Marseille, France; </w:t>
      </w:r>
      <w:r w:rsidRPr="002D459F">
        <w:rPr>
          <w:rFonts w:ascii="Times New Roman" w:hAnsi="Times New Roman" w:cs="Times New Roman"/>
        </w:rPr>
        <w:t xml:space="preserve"> </w:t>
      </w:r>
      <w:r w:rsidR="00400197" w:rsidRPr="002D459F">
        <w:rPr>
          <w:rFonts w:ascii="Times New Roman" w:hAnsi="Times New Roman" w:cs="Times New Roman"/>
          <w:vertAlign w:val="superscript"/>
        </w:rPr>
        <w:t>1</w:t>
      </w:r>
      <w:r w:rsidR="00355053" w:rsidRPr="002D459F">
        <w:rPr>
          <w:rFonts w:ascii="Times New Roman" w:hAnsi="Times New Roman" w:cs="Times New Roman"/>
          <w:vertAlign w:val="superscript"/>
        </w:rPr>
        <w:t>9</w:t>
      </w:r>
      <w:r w:rsidR="00400197" w:rsidRPr="002D459F">
        <w:rPr>
          <w:rFonts w:ascii="Times New Roman" w:hAnsi="Times New Roman" w:cs="Times New Roman"/>
        </w:rPr>
        <w:t xml:space="preserve">Cardio-Oncology Program, Division of Cardiology, Hopitaux Universitaires est Paris, Paris, France; </w:t>
      </w:r>
      <w:r w:rsidR="00355053" w:rsidRPr="002D459F">
        <w:rPr>
          <w:rFonts w:ascii="Times New Roman" w:hAnsi="Times New Roman" w:cs="Times New Roman"/>
        </w:rPr>
        <w:t xml:space="preserve">and the </w:t>
      </w:r>
      <w:r w:rsidR="00355053" w:rsidRPr="002D459F">
        <w:rPr>
          <w:rFonts w:ascii="Times New Roman" w:hAnsi="Times New Roman" w:cs="Times New Roman"/>
          <w:vertAlign w:val="superscript"/>
        </w:rPr>
        <w:t>20</w:t>
      </w:r>
      <w:r w:rsidR="00684C7F" w:rsidRPr="002D459F">
        <w:rPr>
          <w:rFonts w:ascii="Times New Roman" w:hAnsi="Times New Roman" w:cs="Times New Roman"/>
        </w:rPr>
        <w:t>Cardio-Oncology Program, H. Lee Moffitt Cancer Center &amp; Research Institute and University of South Florida Division of Cardiovascular Medicine, Tampa, Florida</w:t>
      </w:r>
      <w:r w:rsidR="00355053" w:rsidRPr="002D459F">
        <w:rPr>
          <w:rFonts w:ascii="Times New Roman" w:hAnsi="Times New Roman" w:cs="Times New Roman"/>
        </w:rPr>
        <w:t>.</w:t>
      </w:r>
    </w:p>
    <w:p w14:paraId="2BC0B14B" w14:textId="75C023EA" w:rsidR="00E77B63" w:rsidRPr="002D459F" w:rsidRDefault="00E77B63" w:rsidP="002D459F">
      <w:pPr>
        <w:widowControl w:val="0"/>
        <w:autoSpaceDE w:val="0"/>
        <w:autoSpaceDN w:val="0"/>
        <w:adjustRightInd w:val="0"/>
        <w:rPr>
          <w:rFonts w:ascii="Times New Roman" w:hAnsi="Times New Roman" w:cs="Times New Roman"/>
        </w:rPr>
      </w:pPr>
    </w:p>
    <w:p w14:paraId="5EC8DEEA" w14:textId="5EDB00C2" w:rsidR="006E58A2" w:rsidRPr="002D459F" w:rsidRDefault="006E58A2" w:rsidP="002D459F">
      <w:pPr>
        <w:rPr>
          <w:rFonts w:ascii="Times New Roman" w:hAnsi="Times New Roman" w:cs="Times New Roman"/>
        </w:rPr>
      </w:pPr>
      <w:r w:rsidRPr="002D459F">
        <w:rPr>
          <w:rFonts w:ascii="Times New Roman" w:hAnsi="Times New Roman" w:cs="Times New Roman"/>
          <w:b/>
        </w:rPr>
        <w:t xml:space="preserve">Short title: </w:t>
      </w:r>
      <w:r w:rsidR="00D61DBC" w:rsidRPr="002D459F">
        <w:rPr>
          <w:rFonts w:ascii="Times New Roman" w:hAnsi="Times New Roman" w:cs="Times New Roman"/>
        </w:rPr>
        <w:t>GLS and MACE in ICI-myocarditis</w:t>
      </w:r>
    </w:p>
    <w:p w14:paraId="672EBC85" w14:textId="77777777" w:rsidR="006E58A2" w:rsidRPr="002D459F" w:rsidRDefault="006E58A2" w:rsidP="002D459F">
      <w:pPr>
        <w:widowControl w:val="0"/>
        <w:autoSpaceDE w:val="0"/>
        <w:autoSpaceDN w:val="0"/>
        <w:adjustRightInd w:val="0"/>
        <w:rPr>
          <w:rFonts w:ascii="Times New Roman" w:hAnsi="Times New Roman" w:cs="Times New Roman"/>
        </w:rPr>
      </w:pPr>
    </w:p>
    <w:p w14:paraId="06C29D23" w14:textId="77777777" w:rsidR="002D459F" w:rsidRDefault="00E77B63" w:rsidP="002D459F">
      <w:pPr>
        <w:rPr>
          <w:rFonts w:ascii="Times New Roman" w:hAnsi="Times New Roman" w:cs="Times New Roman"/>
          <w:bCs/>
        </w:rPr>
      </w:pPr>
      <w:r w:rsidRPr="002D459F">
        <w:rPr>
          <w:rFonts w:ascii="Times New Roman" w:hAnsi="Times New Roman" w:cs="Times New Roman"/>
          <w:b/>
          <w:bCs/>
        </w:rPr>
        <w:lastRenderedPageBreak/>
        <w:t xml:space="preserve">Correspondence to: </w:t>
      </w:r>
      <w:r w:rsidRPr="002D459F">
        <w:rPr>
          <w:rFonts w:ascii="Times New Roman" w:hAnsi="Times New Roman" w:cs="Times New Roman"/>
          <w:bCs/>
        </w:rPr>
        <w:t xml:space="preserve">Tomas G Neilan, MD, MPH, </w:t>
      </w:r>
      <w:r w:rsidR="009B0555" w:rsidRPr="002D459F">
        <w:rPr>
          <w:rFonts w:ascii="Times New Roman" w:hAnsi="Times New Roman" w:cs="Times New Roman"/>
          <w:bCs/>
        </w:rPr>
        <w:t xml:space="preserve">FACC, </w:t>
      </w:r>
      <w:r w:rsidRPr="002D459F">
        <w:rPr>
          <w:rFonts w:ascii="Times New Roman" w:hAnsi="Times New Roman" w:cs="Times New Roman"/>
          <w:bCs/>
        </w:rPr>
        <w:t>Cardio-Oncology Program and Cardi</w:t>
      </w:r>
      <w:r w:rsidR="00B04707" w:rsidRPr="002D459F">
        <w:rPr>
          <w:rFonts w:ascii="Times New Roman" w:hAnsi="Times New Roman" w:cs="Times New Roman"/>
          <w:bCs/>
        </w:rPr>
        <w:t xml:space="preserve">ovascular </w:t>
      </w:r>
      <w:r w:rsidR="00C16EB8" w:rsidRPr="002D459F">
        <w:rPr>
          <w:rFonts w:ascii="Times New Roman" w:hAnsi="Times New Roman" w:cs="Times New Roman"/>
          <w:bCs/>
        </w:rPr>
        <w:t xml:space="preserve">Imaging Research Center (CIRC), </w:t>
      </w:r>
      <w:r w:rsidR="00B04707" w:rsidRPr="002D459F">
        <w:rPr>
          <w:rFonts w:ascii="Times New Roman" w:hAnsi="Times New Roman" w:cs="Times New Roman"/>
          <w:bCs/>
        </w:rPr>
        <w:t>M</w:t>
      </w:r>
      <w:r w:rsidRPr="002D459F">
        <w:rPr>
          <w:rFonts w:ascii="Times New Roman" w:hAnsi="Times New Roman" w:cs="Times New Roman"/>
          <w:bCs/>
        </w:rPr>
        <w:t>assachusetts Gen</w:t>
      </w:r>
      <w:r w:rsidR="00C16EB8" w:rsidRPr="002D459F">
        <w:rPr>
          <w:rFonts w:ascii="Times New Roman" w:hAnsi="Times New Roman" w:cs="Times New Roman"/>
          <w:bCs/>
        </w:rPr>
        <w:t xml:space="preserve">eral Hospital, </w:t>
      </w:r>
      <w:r w:rsidRPr="002D459F">
        <w:rPr>
          <w:rFonts w:ascii="Times New Roman" w:hAnsi="Times New Roman" w:cs="Times New Roman"/>
          <w:bCs/>
        </w:rPr>
        <w:t>165 Cambridge Street, Suite 400, Boston, Massachusetts 02114, USA</w:t>
      </w:r>
    </w:p>
    <w:p w14:paraId="48596256" w14:textId="37FD2D60" w:rsidR="002D459F" w:rsidRPr="002D459F" w:rsidRDefault="002D459F" w:rsidP="002D459F">
      <w:pPr>
        <w:rPr>
          <w:rFonts w:ascii="Times New Roman" w:eastAsia="Times New Roman" w:hAnsi="Times New Roman" w:cs="Times New Roman"/>
        </w:rPr>
      </w:pPr>
      <w:r w:rsidRPr="002D459F">
        <w:rPr>
          <w:rFonts w:ascii="Times New Roman" w:hAnsi="Times New Roman" w:cs="Times New Roman"/>
          <w:bCs/>
        </w:rPr>
        <w:t>(617)-724-5351</w:t>
      </w:r>
      <w:r w:rsidRPr="002D459F">
        <w:rPr>
          <w:rFonts w:ascii="Times New Roman" w:hAnsi="Times New Roman" w:cs="Times New Roman"/>
          <w:bCs/>
        </w:rPr>
        <w:br/>
        <w:t>(617)-724-4152 (fax)</w:t>
      </w:r>
    </w:p>
    <w:p w14:paraId="4B08CD81" w14:textId="281E60D3" w:rsidR="00E77B63" w:rsidRPr="002D459F" w:rsidRDefault="00E77B63" w:rsidP="002D459F">
      <w:pPr>
        <w:jc w:val="both"/>
        <w:rPr>
          <w:rStyle w:val="Hyperlink"/>
          <w:rFonts w:ascii="Times New Roman" w:hAnsi="Times New Roman" w:cs="Times New Roman"/>
          <w:bCs/>
        </w:rPr>
      </w:pPr>
      <w:r w:rsidRPr="002D459F">
        <w:rPr>
          <w:rFonts w:ascii="Times New Roman" w:hAnsi="Times New Roman" w:cs="Times New Roman"/>
          <w:bCs/>
        </w:rPr>
        <w:t xml:space="preserve">Email: </w:t>
      </w:r>
      <w:hyperlink r:id="rId8" w:history="1">
        <w:r w:rsidRPr="002D459F">
          <w:rPr>
            <w:rStyle w:val="Hyperlink"/>
            <w:rFonts w:ascii="Times New Roman" w:hAnsi="Times New Roman" w:cs="Times New Roman"/>
            <w:bCs/>
          </w:rPr>
          <w:t>tneilan@mgh.harvard.edu</w:t>
        </w:r>
      </w:hyperlink>
    </w:p>
    <w:p w14:paraId="316A9168" w14:textId="77777777" w:rsidR="003A2A0B" w:rsidRPr="002D459F" w:rsidRDefault="003A2A0B" w:rsidP="002D459F">
      <w:pPr>
        <w:jc w:val="both"/>
        <w:rPr>
          <w:rStyle w:val="Hyperlink"/>
          <w:rFonts w:ascii="Times New Roman" w:hAnsi="Times New Roman" w:cs="Times New Roman"/>
          <w:bCs/>
        </w:rPr>
      </w:pPr>
    </w:p>
    <w:p w14:paraId="392BBD61" w14:textId="75F5701B" w:rsidR="00ED60DA" w:rsidRPr="002D459F" w:rsidRDefault="00ED60DA" w:rsidP="002D459F">
      <w:pPr>
        <w:rPr>
          <w:rFonts w:ascii="Times New Roman" w:eastAsia="Times New Roman" w:hAnsi="Times New Roman" w:cs="Times New Roman"/>
          <w:b/>
          <w:bCs/>
          <w:color w:val="000000"/>
          <w:lang w:val="en-GB"/>
        </w:rPr>
      </w:pPr>
      <w:r w:rsidRPr="002D459F">
        <w:rPr>
          <w:rFonts w:ascii="Times New Roman" w:eastAsia="Times New Roman" w:hAnsi="Times New Roman" w:cs="Times New Roman"/>
          <w:b/>
          <w:bCs/>
          <w:color w:val="000000"/>
          <w:lang w:val="en-GB"/>
        </w:rPr>
        <w:t xml:space="preserve">Disclosures: </w:t>
      </w:r>
      <w:r w:rsidRPr="002D459F">
        <w:rPr>
          <w:rFonts w:ascii="Times New Roman" w:eastAsia="Times New Roman" w:hAnsi="Times New Roman" w:cs="Times New Roman"/>
          <w:color w:val="000000"/>
          <w:lang w:val="en-GB"/>
        </w:rPr>
        <w:t xml:space="preserve">Dr. Mahmood has received consultancy fees from OMR Globus, Alpha Detail, and Opinion Research Team. Dr. Nohria has received research support from Amgen; and has been a consultant for Takeda Oncology. Dr. Heinzerling has received consultancy, advisory board, and speaker fees from MSD, BMS, Roche, Novartis, Amgen, and Curevac. Dr. Sullivan has been a consultant to Merck and Novartis. Dr. Groarke has received research support from Amgen. Dr. Neilan has received advisory fees from Parexel, </w:t>
      </w:r>
      <w:r w:rsidR="00B04707" w:rsidRPr="002D459F">
        <w:rPr>
          <w:rFonts w:ascii="Times New Roman" w:eastAsia="Times New Roman" w:hAnsi="Times New Roman" w:cs="Times New Roman"/>
          <w:color w:val="000000"/>
          <w:lang w:val="en-GB"/>
        </w:rPr>
        <w:t xml:space="preserve">Aprea Therapeutics, </w:t>
      </w:r>
      <w:r w:rsidRPr="002D459F">
        <w:rPr>
          <w:rFonts w:ascii="Times New Roman" w:eastAsia="Times New Roman" w:hAnsi="Times New Roman" w:cs="Times New Roman"/>
          <w:color w:val="000000"/>
          <w:lang w:val="en-GB"/>
        </w:rPr>
        <w:t>BMS, and Intrinsic Imaging. All other authors have reported that they have no relationships relevant to the contents of this paper to disclose.</w:t>
      </w:r>
    </w:p>
    <w:p w14:paraId="76B3D192" w14:textId="77777777" w:rsidR="00ED60DA" w:rsidRPr="002D459F" w:rsidRDefault="00ED60DA" w:rsidP="002D459F">
      <w:pPr>
        <w:rPr>
          <w:rFonts w:ascii="Times New Roman" w:eastAsia="Times New Roman" w:hAnsi="Times New Roman" w:cs="Times New Roman"/>
          <w:lang w:val="en-GB"/>
        </w:rPr>
      </w:pPr>
    </w:p>
    <w:p w14:paraId="7F2B6D29" w14:textId="77777777" w:rsidR="00DF6B72" w:rsidRPr="002D459F" w:rsidRDefault="00DF6B72" w:rsidP="002D459F">
      <w:pPr>
        <w:rPr>
          <w:rFonts w:ascii="Times New Roman" w:hAnsi="Times New Roman" w:cs="Times New Roman"/>
          <w:bCs/>
        </w:rPr>
      </w:pPr>
      <w:bookmarkStart w:id="1" w:name="_Hlk13481705"/>
    </w:p>
    <w:bookmarkEnd w:id="1"/>
    <w:p w14:paraId="4C92DF68" w14:textId="77777777" w:rsidR="006E58A2" w:rsidRPr="002D459F" w:rsidRDefault="006E58A2" w:rsidP="002D459F">
      <w:pPr>
        <w:rPr>
          <w:rFonts w:ascii="Times New Roman" w:hAnsi="Times New Roman" w:cs="Times New Roman"/>
          <w:b/>
          <w:bCs/>
        </w:rPr>
      </w:pPr>
    </w:p>
    <w:p w14:paraId="6DA77C7F" w14:textId="77777777" w:rsidR="003A2A0B" w:rsidRPr="002D459F" w:rsidRDefault="003A2A0B" w:rsidP="002D459F">
      <w:pPr>
        <w:jc w:val="both"/>
        <w:rPr>
          <w:rStyle w:val="Hyperlink"/>
          <w:rFonts w:ascii="Times New Roman" w:hAnsi="Times New Roman" w:cs="Times New Roman"/>
          <w:bCs/>
        </w:rPr>
      </w:pPr>
    </w:p>
    <w:p w14:paraId="4D600162" w14:textId="77777777" w:rsidR="003A2A0B" w:rsidRPr="002D459F" w:rsidRDefault="003A2A0B" w:rsidP="002D459F">
      <w:pPr>
        <w:jc w:val="both"/>
        <w:rPr>
          <w:rStyle w:val="Hyperlink"/>
          <w:rFonts w:ascii="Times New Roman" w:hAnsi="Times New Roman" w:cs="Times New Roman"/>
          <w:bCs/>
        </w:rPr>
      </w:pPr>
    </w:p>
    <w:p w14:paraId="4B27C26A" w14:textId="77777777" w:rsidR="001F2663" w:rsidRPr="002D459F" w:rsidRDefault="001F2663" w:rsidP="002D459F">
      <w:pPr>
        <w:tabs>
          <w:tab w:val="left" w:pos="2400"/>
        </w:tabs>
        <w:rPr>
          <w:rFonts w:ascii="Times New Roman" w:hAnsi="Times New Roman" w:cs="Times New Roman"/>
          <w:b/>
        </w:rPr>
      </w:pPr>
    </w:p>
    <w:p w14:paraId="43687BF7" w14:textId="77777777" w:rsidR="001F2663" w:rsidRPr="002D459F" w:rsidRDefault="001F2663" w:rsidP="002D459F">
      <w:pPr>
        <w:tabs>
          <w:tab w:val="left" w:pos="2400"/>
        </w:tabs>
        <w:rPr>
          <w:rFonts w:ascii="Times New Roman" w:hAnsi="Times New Roman" w:cs="Times New Roman"/>
          <w:b/>
        </w:rPr>
      </w:pPr>
    </w:p>
    <w:p w14:paraId="3237530B" w14:textId="77777777" w:rsidR="001F2663" w:rsidRPr="002D459F" w:rsidRDefault="001F2663" w:rsidP="002D459F">
      <w:pPr>
        <w:tabs>
          <w:tab w:val="left" w:pos="2400"/>
        </w:tabs>
        <w:rPr>
          <w:rFonts w:ascii="Times New Roman" w:hAnsi="Times New Roman" w:cs="Times New Roman"/>
          <w:b/>
        </w:rPr>
      </w:pPr>
    </w:p>
    <w:p w14:paraId="1343D686" w14:textId="77777777" w:rsidR="001F2663" w:rsidRPr="002D459F" w:rsidRDefault="001F2663" w:rsidP="002D459F">
      <w:pPr>
        <w:tabs>
          <w:tab w:val="left" w:pos="2400"/>
        </w:tabs>
        <w:rPr>
          <w:rFonts w:ascii="Times New Roman" w:hAnsi="Times New Roman" w:cs="Times New Roman"/>
          <w:b/>
        </w:rPr>
      </w:pPr>
    </w:p>
    <w:p w14:paraId="55D3E3AF" w14:textId="612E6F8D" w:rsidR="001F2663" w:rsidRPr="002D459F" w:rsidRDefault="001F2663" w:rsidP="002D459F">
      <w:pPr>
        <w:tabs>
          <w:tab w:val="left" w:pos="2400"/>
        </w:tabs>
        <w:rPr>
          <w:rFonts w:ascii="Times New Roman" w:hAnsi="Times New Roman" w:cs="Times New Roman"/>
          <w:b/>
        </w:rPr>
      </w:pPr>
    </w:p>
    <w:p w14:paraId="4D7A61FE" w14:textId="38199E8F" w:rsidR="001F2663" w:rsidRPr="002D459F" w:rsidRDefault="001F2663" w:rsidP="002D459F">
      <w:pPr>
        <w:tabs>
          <w:tab w:val="left" w:pos="2400"/>
        </w:tabs>
        <w:rPr>
          <w:rFonts w:ascii="Times New Roman" w:hAnsi="Times New Roman" w:cs="Times New Roman"/>
          <w:b/>
        </w:rPr>
      </w:pPr>
    </w:p>
    <w:p w14:paraId="49E49F54" w14:textId="04714EEF" w:rsidR="001F2663" w:rsidRPr="002D459F" w:rsidRDefault="001F2663" w:rsidP="002D459F">
      <w:pPr>
        <w:tabs>
          <w:tab w:val="left" w:pos="2400"/>
        </w:tabs>
        <w:rPr>
          <w:rFonts w:ascii="Times New Roman" w:hAnsi="Times New Roman" w:cs="Times New Roman"/>
          <w:b/>
        </w:rPr>
      </w:pPr>
    </w:p>
    <w:p w14:paraId="09EDE864" w14:textId="3566F40E" w:rsidR="001F2663" w:rsidRPr="002D459F" w:rsidRDefault="001F2663" w:rsidP="002D459F">
      <w:pPr>
        <w:tabs>
          <w:tab w:val="left" w:pos="2400"/>
        </w:tabs>
        <w:rPr>
          <w:rFonts w:ascii="Times New Roman" w:hAnsi="Times New Roman" w:cs="Times New Roman"/>
          <w:b/>
        </w:rPr>
      </w:pPr>
    </w:p>
    <w:p w14:paraId="49AD9E7E" w14:textId="70E6E503" w:rsidR="001F2663" w:rsidRPr="002D459F" w:rsidRDefault="001F2663" w:rsidP="002D459F">
      <w:pPr>
        <w:tabs>
          <w:tab w:val="left" w:pos="2400"/>
        </w:tabs>
        <w:rPr>
          <w:rFonts w:ascii="Times New Roman" w:hAnsi="Times New Roman" w:cs="Times New Roman"/>
          <w:b/>
        </w:rPr>
      </w:pPr>
    </w:p>
    <w:p w14:paraId="64ECA4E4" w14:textId="700D7BA4" w:rsidR="001F2663" w:rsidRPr="002D459F" w:rsidRDefault="001F2663" w:rsidP="002D459F">
      <w:pPr>
        <w:tabs>
          <w:tab w:val="left" w:pos="2400"/>
        </w:tabs>
        <w:rPr>
          <w:rFonts w:ascii="Times New Roman" w:hAnsi="Times New Roman" w:cs="Times New Roman"/>
          <w:b/>
        </w:rPr>
      </w:pPr>
    </w:p>
    <w:p w14:paraId="504D3D4F" w14:textId="4BC9EFA6" w:rsidR="001F2663" w:rsidRPr="002D459F" w:rsidRDefault="001F2663" w:rsidP="002D459F">
      <w:pPr>
        <w:tabs>
          <w:tab w:val="left" w:pos="2400"/>
        </w:tabs>
        <w:rPr>
          <w:rFonts w:ascii="Times New Roman" w:hAnsi="Times New Roman" w:cs="Times New Roman"/>
          <w:b/>
        </w:rPr>
      </w:pPr>
    </w:p>
    <w:p w14:paraId="1CFB8E32" w14:textId="50702E9D" w:rsidR="001F2663" w:rsidRPr="002D459F" w:rsidRDefault="001F2663" w:rsidP="002D459F">
      <w:pPr>
        <w:tabs>
          <w:tab w:val="left" w:pos="2400"/>
        </w:tabs>
        <w:rPr>
          <w:rFonts w:ascii="Times New Roman" w:hAnsi="Times New Roman" w:cs="Times New Roman"/>
          <w:b/>
        </w:rPr>
      </w:pPr>
    </w:p>
    <w:p w14:paraId="7AB90FE7" w14:textId="450F3C5C" w:rsidR="001F2663" w:rsidRPr="002D459F" w:rsidRDefault="001F2663" w:rsidP="002D459F">
      <w:pPr>
        <w:tabs>
          <w:tab w:val="left" w:pos="2400"/>
        </w:tabs>
        <w:rPr>
          <w:rFonts w:ascii="Times New Roman" w:hAnsi="Times New Roman" w:cs="Times New Roman"/>
          <w:b/>
        </w:rPr>
      </w:pPr>
    </w:p>
    <w:p w14:paraId="748B75C7" w14:textId="21AD318D" w:rsidR="001F2663" w:rsidRPr="002D459F" w:rsidRDefault="001F2663" w:rsidP="002D459F">
      <w:pPr>
        <w:tabs>
          <w:tab w:val="left" w:pos="2400"/>
        </w:tabs>
        <w:rPr>
          <w:rFonts w:ascii="Times New Roman" w:hAnsi="Times New Roman" w:cs="Times New Roman"/>
          <w:b/>
        </w:rPr>
      </w:pPr>
    </w:p>
    <w:p w14:paraId="0C52B51C" w14:textId="77777777" w:rsidR="001F2663" w:rsidRPr="002D459F" w:rsidRDefault="001F2663" w:rsidP="002D459F">
      <w:pPr>
        <w:tabs>
          <w:tab w:val="left" w:pos="2400"/>
        </w:tabs>
        <w:rPr>
          <w:rFonts w:ascii="Times New Roman" w:hAnsi="Times New Roman" w:cs="Times New Roman"/>
          <w:b/>
        </w:rPr>
      </w:pPr>
    </w:p>
    <w:p w14:paraId="0FA378FE" w14:textId="77777777" w:rsidR="001F2663" w:rsidRPr="002D459F" w:rsidRDefault="001F2663" w:rsidP="002D459F">
      <w:pPr>
        <w:tabs>
          <w:tab w:val="left" w:pos="2400"/>
        </w:tabs>
        <w:rPr>
          <w:rFonts w:ascii="Times New Roman" w:hAnsi="Times New Roman" w:cs="Times New Roman"/>
          <w:b/>
        </w:rPr>
      </w:pPr>
    </w:p>
    <w:p w14:paraId="6AA115D0" w14:textId="77777777" w:rsidR="001F2663" w:rsidRPr="002D459F" w:rsidRDefault="001F2663" w:rsidP="002D459F">
      <w:pPr>
        <w:tabs>
          <w:tab w:val="left" w:pos="2400"/>
        </w:tabs>
        <w:rPr>
          <w:rFonts w:ascii="Times New Roman" w:hAnsi="Times New Roman" w:cs="Times New Roman"/>
          <w:b/>
        </w:rPr>
      </w:pPr>
    </w:p>
    <w:p w14:paraId="0EAA10BA" w14:textId="77777777" w:rsidR="00001A0D" w:rsidRPr="002D459F" w:rsidRDefault="00001A0D" w:rsidP="002D459F">
      <w:pPr>
        <w:tabs>
          <w:tab w:val="left" w:pos="2400"/>
        </w:tabs>
        <w:rPr>
          <w:rFonts w:ascii="Times New Roman" w:hAnsi="Times New Roman" w:cs="Times New Roman"/>
          <w:b/>
        </w:rPr>
      </w:pPr>
    </w:p>
    <w:p w14:paraId="59D854A8" w14:textId="77777777" w:rsidR="002D459F" w:rsidRDefault="002D459F">
      <w:pPr>
        <w:rPr>
          <w:rFonts w:ascii="Times New Roman" w:hAnsi="Times New Roman" w:cs="Times New Roman"/>
          <w:b/>
        </w:rPr>
      </w:pPr>
      <w:r>
        <w:rPr>
          <w:rFonts w:ascii="Times New Roman" w:hAnsi="Times New Roman" w:cs="Times New Roman"/>
          <w:b/>
        </w:rPr>
        <w:br w:type="page"/>
      </w:r>
    </w:p>
    <w:p w14:paraId="065B0A51" w14:textId="74BB8B35" w:rsidR="003A2A0B" w:rsidRPr="002D459F" w:rsidRDefault="003A2A0B" w:rsidP="002D459F">
      <w:pPr>
        <w:tabs>
          <w:tab w:val="left" w:pos="2400"/>
        </w:tabs>
        <w:rPr>
          <w:rFonts w:ascii="Times New Roman" w:hAnsi="Times New Roman" w:cs="Times New Roman"/>
          <w:b/>
        </w:rPr>
      </w:pPr>
      <w:r w:rsidRPr="002D459F">
        <w:rPr>
          <w:rFonts w:ascii="Times New Roman" w:hAnsi="Times New Roman" w:cs="Times New Roman"/>
          <w:b/>
        </w:rPr>
        <w:lastRenderedPageBreak/>
        <w:t>Abstract</w:t>
      </w:r>
    </w:p>
    <w:p w14:paraId="3D3AD1ED" w14:textId="610B71B1" w:rsidR="00DB5BDB" w:rsidRPr="002D459F" w:rsidRDefault="00DB5BDB" w:rsidP="002D459F">
      <w:pPr>
        <w:rPr>
          <w:rFonts w:ascii="Times New Roman" w:hAnsi="Times New Roman" w:cs="Times New Roman"/>
        </w:rPr>
      </w:pPr>
      <w:r w:rsidRPr="002D459F">
        <w:rPr>
          <w:rFonts w:ascii="Times New Roman" w:hAnsi="Times New Roman" w:cs="Times New Roman"/>
          <w:b/>
        </w:rPr>
        <w:t xml:space="preserve">Background: </w:t>
      </w:r>
      <w:r w:rsidRPr="002D459F">
        <w:rPr>
          <w:rFonts w:ascii="Times New Roman" w:hAnsi="Times New Roman" w:cs="Times New Roman"/>
        </w:rPr>
        <w:t xml:space="preserve">There is a need for improved methods for detection and risk stratification of myocarditis associated with immune checkpoint inhibitors (ICI’s). Global longitudinal strain (GLS) is a sensitive marker of cardiac-toxicity among patients receiving standard chemotherapy. There are no data on the use of GLS in ICI-myocarditis. </w:t>
      </w:r>
    </w:p>
    <w:p w14:paraId="149433DD" w14:textId="38B2047F" w:rsidR="00DB5BDB" w:rsidRPr="002D459F" w:rsidRDefault="00DB5BDB" w:rsidP="002D459F">
      <w:pPr>
        <w:rPr>
          <w:rFonts w:ascii="Times New Roman" w:hAnsi="Times New Roman" w:cs="Times New Roman"/>
        </w:rPr>
      </w:pPr>
      <w:r w:rsidRPr="002D459F">
        <w:rPr>
          <w:rFonts w:ascii="Times New Roman" w:hAnsi="Times New Roman" w:cs="Times New Roman"/>
          <w:b/>
        </w:rPr>
        <w:t xml:space="preserve">Methods: </w:t>
      </w:r>
      <w:r w:rsidRPr="002D459F">
        <w:rPr>
          <w:rFonts w:ascii="Times New Roman" w:hAnsi="Times New Roman" w:cs="Times New Roman"/>
        </w:rPr>
        <w:t>We retrospectively compared echocardiographic GLS by speckle tracking at presentation with ICI-myocarditis (cases, n=101) and patients receiving ICI without myocarditis (controls, n=</w:t>
      </w:r>
      <w:r w:rsidR="004839EB" w:rsidRPr="002D459F">
        <w:rPr>
          <w:rFonts w:ascii="Times New Roman" w:hAnsi="Times New Roman" w:cs="Times New Roman"/>
        </w:rPr>
        <w:t>92</w:t>
      </w:r>
      <w:r w:rsidRPr="002D459F">
        <w:rPr>
          <w:rFonts w:ascii="Times New Roman" w:hAnsi="Times New Roman" w:cs="Times New Roman"/>
        </w:rPr>
        <w:t>). Where available, GLS was also measured pre-ICI in both groups. Major adverse cardiac events (MACE) was defined as a composite of cardiogenic shock, arrest, complete heart block, and cardiac death.</w:t>
      </w:r>
    </w:p>
    <w:p w14:paraId="149652B2" w14:textId="54FDB4E4" w:rsidR="00DB5BDB" w:rsidRPr="002D459F" w:rsidRDefault="00DB5BDB" w:rsidP="002D459F">
      <w:pPr>
        <w:rPr>
          <w:rFonts w:ascii="Times New Roman" w:eastAsia="Times New Roman" w:hAnsi="Times New Roman" w:cs="Times New Roman"/>
          <w:lang w:val="en-GB"/>
        </w:rPr>
      </w:pPr>
      <w:r w:rsidRPr="002D459F">
        <w:rPr>
          <w:rFonts w:ascii="Times New Roman" w:hAnsi="Times New Roman" w:cs="Times New Roman"/>
          <w:b/>
        </w:rPr>
        <w:t>Results:</w:t>
      </w:r>
      <w:r w:rsidRPr="002D459F">
        <w:rPr>
          <w:rFonts w:ascii="Times New Roman" w:hAnsi="Times New Roman" w:cs="Times New Roman"/>
        </w:rPr>
        <w:t xml:space="preserve"> </w:t>
      </w:r>
      <w:r w:rsidRPr="002D459F">
        <w:rPr>
          <w:rFonts w:ascii="Times New Roman" w:eastAsia="Times New Roman" w:hAnsi="Times New Roman" w:cs="Times New Roman"/>
          <w:color w:val="000000"/>
          <w:shd w:val="clear" w:color="auto" w:fill="FFFFFF"/>
          <w:lang w:val="en-GB"/>
        </w:rPr>
        <w:t>Cases and controls were similar in age, sex, and cancer type. At presentation with myocarditis, 61 cases (60%) had a normal EF. Pre-ICI, GLS was similar between cases and controls (</w:t>
      </w:r>
      <w:r w:rsidRPr="002D459F">
        <w:rPr>
          <w:rFonts w:ascii="Times New Roman" w:hAnsi="Times New Roman" w:cs="Times New Roman"/>
        </w:rPr>
        <w:t>20.</w:t>
      </w:r>
      <w:r w:rsidR="004839EB" w:rsidRPr="002D459F">
        <w:rPr>
          <w:rFonts w:ascii="Times New Roman" w:hAnsi="Times New Roman" w:cs="Times New Roman"/>
        </w:rPr>
        <w:t>3</w:t>
      </w:r>
      <w:r w:rsidRPr="002D459F">
        <w:rPr>
          <w:rFonts w:ascii="Times New Roman" w:hAnsi="Times New Roman" w:cs="Times New Roman"/>
        </w:rPr>
        <w:t>±2.</w:t>
      </w:r>
      <w:r w:rsidR="004839EB" w:rsidRPr="002D459F">
        <w:rPr>
          <w:rFonts w:ascii="Times New Roman" w:hAnsi="Times New Roman" w:cs="Times New Roman"/>
        </w:rPr>
        <w:t>6</w:t>
      </w:r>
      <w:r w:rsidRPr="002D459F">
        <w:rPr>
          <w:rFonts w:ascii="Times New Roman" w:hAnsi="Times New Roman" w:cs="Times New Roman"/>
        </w:rPr>
        <w:t xml:space="preserve"> vs. 20.</w:t>
      </w:r>
      <w:r w:rsidR="004839EB" w:rsidRPr="002D459F">
        <w:rPr>
          <w:rFonts w:ascii="Times New Roman" w:hAnsi="Times New Roman" w:cs="Times New Roman"/>
        </w:rPr>
        <w:t>6</w:t>
      </w:r>
      <w:r w:rsidRPr="002D459F">
        <w:rPr>
          <w:rFonts w:ascii="Times New Roman" w:hAnsi="Times New Roman" w:cs="Times New Roman"/>
        </w:rPr>
        <w:t>±</w:t>
      </w:r>
      <w:r w:rsidR="004839EB" w:rsidRPr="002D459F">
        <w:rPr>
          <w:rFonts w:ascii="Times New Roman" w:hAnsi="Times New Roman" w:cs="Times New Roman"/>
        </w:rPr>
        <w:t>2</w:t>
      </w:r>
      <w:r w:rsidRPr="002D459F">
        <w:rPr>
          <w:rFonts w:ascii="Times New Roman" w:hAnsi="Times New Roman" w:cs="Times New Roman"/>
        </w:rPr>
        <w:t>.</w:t>
      </w:r>
      <w:r w:rsidR="004839EB" w:rsidRPr="002D459F">
        <w:rPr>
          <w:rFonts w:ascii="Times New Roman" w:hAnsi="Times New Roman" w:cs="Times New Roman"/>
        </w:rPr>
        <w:t>0</w:t>
      </w:r>
      <w:r w:rsidRPr="002D459F">
        <w:rPr>
          <w:rFonts w:ascii="Times New Roman" w:hAnsi="Times New Roman" w:cs="Times New Roman"/>
        </w:rPr>
        <w:t xml:space="preserve"> %, p=0.</w:t>
      </w:r>
      <w:r w:rsidR="004839EB" w:rsidRPr="002D459F">
        <w:rPr>
          <w:rFonts w:ascii="Times New Roman" w:hAnsi="Times New Roman" w:cs="Times New Roman"/>
        </w:rPr>
        <w:t>60</w:t>
      </w:r>
      <w:r w:rsidRPr="002D459F">
        <w:rPr>
          <w:rFonts w:ascii="Times New Roman" w:hAnsi="Times New Roman" w:cs="Times New Roman"/>
        </w:rPr>
        <w:t>)</w:t>
      </w:r>
      <w:r w:rsidRPr="002D459F">
        <w:rPr>
          <w:rFonts w:ascii="Times New Roman" w:eastAsia="Times New Roman" w:hAnsi="Times New Roman" w:cs="Times New Roman"/>
          <w:color w:val="000000"/>
          <w:shd w:val="clear" w:color="auto" w:fill="FFFFFF"/>
          <w:lang w:val="en-GB"/>
        </w:rPr>
        <w:t xml:space="preserve">. There was no change in GLS among controls on an ICI without myocarditis </w:t>
      </w:r>
      <w:r w:rsidRPr="002D459F">
        <w:rPr>
          <w:rFonts w:ascii="Times New Roman" w:hAnsi="Times New Roman" w:cs="Times New Roman"/>
        </w:rPr>
        <w:t>(Pre-ICI vs. on ICI, 20.</w:t>
      </w:r>
      <w:r w:rsidR="004839EB" w:rsidRPr="002D459F">
        <w:rPr>
          <w:rFonts w:ascii="Times New Roman" w:hAnsi="Times New Roman" w:cs="Times New Roman"/>
        </w:rPr>
        <w:t>6</w:t>
      </w:r>
      <w:r w:rsidRPr="002D459F">
        <w:rPr>
          <w:rFonts w:ascii="Times New Roman" w:hAnsi="Times New Roman" w:cs="Times New Roman"/>
        </w:rPr>
        <w:t>±</w:t>
      </w:r>
      <w:r w:rsidR="004839EB" w:rsidRPr="002D459F">
        <w:rPr>
          <w:rFonts w:ascii="Times New Roman" w:hAnsi="Times New Roman" w:cs="Times New Roman"/>
        </w:rPr>
        <w:t>2</w:t>
      </w:r>
      <w:r w:rsidRPr="002D459F">
        <w:rPr>
          <w:rFonts w:ascii="Times New Roman" w:hAnsi="Times New Roman" w:cs="Times New Roman"/>
        </w:rPr>
        <w:t>.</w:t>
      </w:r>
      <w:r w:rsidR="004839EB" w:rsidRPr="002D459F">
        <w:rPr>
          <w:rFonts w:ascii="Times New Roman" w:hAnsi="Times New Roman" w:cs="Times New Roman"/>
        </w:rPr>
        <w:t>0</w:t>
      </w:r>
      <w:r w:rsidRPr="002D459F">
        <w:rPr>
          <w:rFonts w:ascii="Times New Roman" w:hAnsi="Times New Roman" w:cs="Times New Roman"/>
        </w:rPr>
        <w:t xml:space="preserve"> vs. 20.</w:t>
      </w:r>
      <w:r w:rsidR="004839EB" w:rsidRPr="002D459F">
        <w:rPr>
          <w:rFonts w:ascii="Times New Roman" w:hAnsi="Times New Roman" w:cs="Times New Roman"/>
        </w:rPr>
        <w:t>5</w:t>
      </w:r>
      <w:r w:rsidRPr="002D459F">
        <w:rPr>
          <w:rFonts w:ascii="Times New Roman" w:hAnsi="Times New Roman" w:cs="Times New Roman"/>
        </w:rPr>
        <w:t>±1.</w:t>
      </w:r>
      <w:r w:rsidR="004839EB" w:rsidRPr="002D459F">
        <w:rPr>
          <w:rFonts w:ascii="Times New Roman" w:hAnsi="Times New Roman" w:cs="Times New Roman"/>
        </w:rPr>
        <w:t>9</w:t>
      </w:r>
      <w:r w:rsidRPr="002D459F">
        <w:rPr>
          <w:rFonts w:ascii="Times New Roman" w:hAnsi="Times New Roman" w:cs="Times New Roman"/>
        </w:rPr>
        <w:t>%, p=0.</w:t>
      </w:r>
      <w:r w:rsidR="004839EB" w:rsidRPr="002D459F">
        <w:rPr>
          <w:rFonts w:ascii="Times New Roman" w:hAnsi="Times New Roman" w:cs="Times New Roman"/>
        </w:rPr>
        <w:t>41</w:t>
      </w:r>
      <w:r w:rsidRPr="002D459F">
        <w:rPr>
          <w:rFonts w:ascii="Times New Roman" w:hAnsi="Times New Roman" w:cs="Times New Roman"/>
        </w:rPr>
        <w:t>); in contrast, among cases</w:t>
      </w:r>
      <w:r w:rsidRPr="002D459F">
        <w:rPr>
          <w:rFonts w:ascii="Times New Roman" w:eastAsia="Times New Roman" w:hAnsi="Times New Roman" w:cs="Times New Roman"/>
          <w:color w:val="000000"/>
          <w:shd w:val="clear" w:color="auto" w:fill="FFFFFF"/>
          <w:lang w:val="en-GB"/>
        </w:rPr>
        <w:t xml:space="preserve">, GLS decreased to </w:t>
      </w:r>
      <w:r w:rsidRPr="002D459F">
        <w:rPr>
          <w:rFonts w:ascii="Times New Roman" w:hAnsi="Times New Roman" w:cs="Times New Roman"/>
        </w:rPr>
        <w:t>1</w:t>
      </w:r>
      <w:r w:rsidR="004839EB" w:rsidRPr="002D459F">
        <w:rPr>
          <w:rFonts w:ascii="Times New Roman" w:hAnsi="Times New Roman" w:cs="Times New Roman"/>
        </w:rPr>
        <w:t>4</w:t>
      </w:r>
      <w:r w:rsidRPr="002D459F">
        <w:rPr>
          <w:rFonts w:ascii="Times New Roman" w:hAnsi="Times New Roman" w:cs="Times New Roman"/>
        </w:rPr>
        <w:t>.</w:t>
      </w:r>
      <w:r w:rsidR="004839EB" w:rsidRPr="002D459F">
        <w:rPr>
          <w:rFonts w:ascii="Times New Roman" w:hAnsi="Times New Roman" w:cs="Times New Roman"/>
        </w:rPr>
        <w:t>1</w:t>
      </w:r>
      <w:r w:rsidRPr="002D459F">
        <w:rPr>
          <w:rFonts w:ascii="Times New Roman" w:hAnsi="Times New Roman" w:cs="Times New Roman"/>
        </w:rPr>
        <w:t>±2.</w:t>
      </w:r>
      <w:r w:rsidR="004839EB" w:rsidRPr="002D459F">
        <w:rPr>
          <w:rFonts w:ascii="Times New Roman" w:hAnsi="Times New Roman" w:cs="Times New Roman"/>
        </w:rPr>
        <w:t>8</w:t>
      </w:r>
      <w:r w:rsidRPr="002D459F">
        <w:rPr>
          <w:rFonts w:ascii="Times New Roman" w:hAnsi="Times New Roman" w:cs="Times New Roman"/>
        </w:rPr>
        <w:t xml:space="preserve">%, (p&lt;0.001). The </w:t>
      </w:r>
      <w:r w:rsidRPr="002D459F">
        <w:rPr>
          <w:rFonts w:ascii="Times New Roman" w:eastAsia="Times New Roman" w:hAnsi="Times New Roman" w:cs="Times New Roman"/>
          <w:color w:val="000000"/>
          <w:shd w:val="clear" w:color="auto" w:fill="FFFFFF"/>
          <w:lang w:val="en-GB"/>
        </w:rPr>
        <w:t>GLS at presentation with myocarditis was lower among cases presenting with either a reduced (</w:t>
      </w:r>
      <w:r w:rsidRPr="002D459F">
        <w:rPr>
          <w:rFonts w:ascii="Times New Roman" w:hAnsi="Times New Roman" w:cs="Times New Roman"/>
        </w:rPr>
        <w:t xml:space="preserve">12.3±2.7%) or </w:t>
      </w:r>
      <w:r w:rsidRPr="002D459F">
        <w:rPr>
          <w:rFonts w:ascii="Times New Roman" w:eastAsia="Times New Roman" w:hAnsi="Times New Roman" w:cs="Times New Roman"/>
          <w:color w:val="000000"/>
          <w:shd w:val="clear" w:color="auto" w:fill="FFFFFF"/>
          <w:lang w:val="en-GB"/>
        </w:rPr>
        <w:t>preserved EF (</w:t>
      </w:r>
      <w:r w:rsidRPr="002D459F">
        <w:rPr>
          <w:rFonts w:ascii="Times New Roman" w:hAnsi="Times New Roman" w:cs="Times New Roman"/>
        </w:rPr>
        <w:t>15.3±2.0%</w:t>
      </w:r>
      <w:r w:rsidR="007C6D11" w:rsidRPr="002D459F">
        <w:rPr>
          <w:rFonts w:ascii="Times New Roman" w:hAnsi="Times New Roman" w:cs="Times New Roman"/>
        </w:rPr>
        <w:t>, p</w:t>
      </w:r>
      <w:r w:rsidRPr="002D459F">
        <w:rPr>
          <w:rFonts w:ascii="Times New Roman" w:hAnsi="Times New Roman" w:cs="Times New Roman"/>
        </w:rPr>
        <w:t>&lt;0.001).</w:t>
      </w:r>
      <w:r w:rsidRPr="002D459F">
        <w:rPr>
          <w:rFonts w:ascii="Times New Roman" w:eastAsia="Times New Roman" w:hAnsi="Times New Roman" w:cs="Times New Roman"/>
          <w:color w:val="000000"/>
          <w:shd w:val="clear" w:color="auto" w:fill="FFFFFF"/>
          <w:lang w:val="en-GB"/>
        </w:rPr>
        <w:t xml:space="preserve"> Over a median follow-up of 162 days, 51 (51%) experienced MACE. The risk of MACE was higher with a lower GLS among patients with either a reduced or preserved EF. After adjustment for EF, each percent reduction in GLS was associated with a 1.5-fold increase in MACE among patients with a reduced EF (HR 1.5, CI 1.2-1.8) and a 4.4-fold increase with a preserved EF (HR 4.4, CI 2.4-7.8). </w:t>
      </w:r>
    </w:p>
    <w:p w14:paraId="65EF2CFC" w14:textId="77777777" w:rsidR="00DB5BDB" w:rsidRPr="002D459F" w:rsidRDefault="00DB5BDB" w:rsidP="002D459F">
      <w:pPr>
        <w:rPr>
          <w:rFonts w:ascii="Times New Roman" w:eastAsia="Times New Roman" w:hAnsi="Times New Roman" w:cs="Times New Roman"/>
          <w:color w:val="212121"/>
          <w:shd w:val="clear" w:color="auto" w:fill="FFFFFF"/>
          <w:lang w:val="en-GB"/>
        </w:rPr>
      </w:pPr>
      <w:r w:rsidRPr="002D459F">
        <w:rPr>
          <w:rFonts w:ascii="Times New Roman" w:eastAsia="Times New Roman" w:hAnsi="Times New Roman" w:cs="Times New Roman"/>
          <w:b/>
          <w:color w:val="212121"/>
          <w:shd w:val="clear" w:color="auto" w:fill="FFFFFF"/>
          <w:lang w:val="en-GB"/>
        </w:rPr>
        <w:t xml:space="preserve">Conclusion: </w:t>
      </w:r>
      <w:r w:rsidRPr="002D459F">
        <w:rPr>
          <w:rFonts w:ascii="Times New Roman" w:eastAsia="Times New Roman" w:hAnsi="Times New Roman" w:cs="Times New Roman"/>
          <w:color w:val="212121"/>
          <w:shd w:val="clear" w:color="auto" w:fill="FFFFFF"/>
          <w:lang w:val="en-GB"/>
        </w:rPr>
        <w:t xml:space="preserve">GLS decreases with ICI-myocarditis and, compared to controls, was lower among cases presenting with either a preserved or reduced EF. Lower GLS was strongly associated with MACE in ICI-myocarditis presenting with either a preserved or reduced EF. </w:t>
      </w:r>
    </w:p>
    <w:p w14:paraId="0B7FE000" w14:textId="77777777" w:rsidR="00D77AB1" w:rsidRPr="002D459F" w:rsidRDefault="00D77AB1" w:rsidP="002D459F">
      <w:pPr>
        <w:rPr>
          <w:rFonts w:ascii="Times New Roman" w:eastAsia="Times New Roman" w:hAnsi="Times New Roman" w:cs="Times New Roman"/>
          <w:b/>
          <w:color w:val="212121"/>
          <w:shd w:val="clear" w:color="auto" w:fill="FFFFFF"/>
          <w:lang w:val="en-GB"/>
        </w:rPr>
      </w:pPr>
    </w:p>
    <w:p w14:paraId="398F2E2D" w14:textId="3E902446" w:rsidR="00046C1E" w:rsidRPr="002D459F" w:rsidRDefault="005A0298" w:rsidP="002D459F">
      <w:pPr>
        <w:rPr>
          <w:rFonts w:ascii="Times New Roman" w:hAnsi="Times New Roman" w:cs="Times New Roman"/>
        </w:rPr>
      </w:pPr>
      <w:r w:rsidRPr="002D459F">
        <w:rPr>
          <w:rFonts w:ascii="Times New Roman" w:eastAsia="Times New Roman" w:hAnsi="Times New Roman" w:cs="Times New Roman"/>
          <w:b/>
          <w:color w:val="212121"/>
          <w:shd w:val="clear" w:color="auto" w:fill="FFFFFF"/>
          <w:lang w:val="en-GB"/>
        </w:rPr>
        <w:t>Condensed Abstract</w:t>
      </w:r>
    </w:p>
    <w:p w14:paraId="18351B00" w14:textId="1F01190B" w:rsidR="001048CC" w:rsidRPr="002D459F" w:rsidRDefault="001F531F" w:rsidP="002D459F">
      <w:pPr>
        <w:rPr>
          <w:rFonts w:ascii="Times New Roman" w:hAnsi="Times New Roman" w:cs="Times New Roman"/>
        </w:rPr>
      </w:pPr>
      <w:r w:rsidRPr="002D459F">
        <w:rPr>
          <w:rFonts w:ascii="Times New Roman" w:hAnsi="Times New Roman" w:cs="Times New Roman"/>
        </w:rPr>
        <w:t>ICI-m</w:t>
      </w:r>
      <w:r w:rsidR="00F55381" w:rsidRPr="002D459F">
        <w:rPr>
          <w:rFonts w:ascii="Times New Roman" w:hAnsi="Times New Roman" w:cs="Times New Roman"/>
        </w:rPr>
        <w:t xml:space="preserve">yocarditis is poorly characterized </w:t>
      </w:r>
      <w:r w:rsidRPr="002D459F">
        <w:rPr>
          <w:rFonts w:ascii="Times New Roman" w:hAnsi="Times New Roman" w:cs="Times New Roman"/>
        </w:rPr>
        <w:t>and i</w:t>
      </w:r>
      <w:r w:rsidR="00F55381" w:rsidRPr="002D459F">
        <w:rPr>
          <w:rFonts w:ascii="Times New Roman" w:hAnsi="Times New Roman" w:cs="Times New Roman"/>
        </w:rPr>
        <w:t>mproved methods for detection</w:t>
      </w:r>
      <w:r w:rsidR="00A739AA" w:rsidRPr="002D459F">
        <w:rPr>
          <w:rFonts w:ascii="Times New Roman" w:hAnsi="Times New Roman" w:cs="Times New Roman"/>
        </w:rPr>
        <w:t xml:space="preserve"> and </w:t>
      </w:r>
      <w:r w:rsidR="00F55381" w:rsidRPr="002D459F">
        <w:rPr>
          <w:rFonts w:ascii="Times New Roman" w:hAnsi="Times New Roman" w:cs="Times New Roman"/>
        </w:rPr>
        <w:t xml:space="preserve">risk stratification </w:t>
      </w:r>
      <w:r w:rsidR="003420E6" w:rsidRPr="002D459F">
        <w:rPr>
          <w:rFonts w:ascii="Times New Roman" w:hAnsi="Times New Roman" w:cs="Times New Roman"/>
        </w:rPr>
        <w:t>are required</w:t>
      </w:r>
      <w:r w:rsidR="0031586F" w:rsidRPr="002D459F">
        <w:rPr>
          <w:rFonts w:ascii="Times New Roman" w:hAnsi="Times New Roman" w:cs="Times New Roman"/>
        </w:rPr>
        <w:t>. GLS</w:t>
      </w:r>
      <w:r w:rsidR="00F55381" w:rsidRPr="002D459F">
        <w:rPr>
          <w:rFonts w:ascii="Times New Roman" w:hAnsi="Times New Roman" w:cs="Times New Roman"/>
        </w:rPr>
        <w:t xml:space="preserve"> is a sensitive marker of </w:t>
      </w:r>
      <w:r w:rsidR="0031586F" w:rsidRPr="002D459F">
        <w:rPr>
          <w:rFonts w:ascii="Times New Roman" w:hAnsi="Times New Roman" w:cs="Times New Roman"/>
        </w:rPr>
        <w:t>cardiotoxicity.</w:t>
      </w:r>
      <w:r w:rsidR="00AA6A10" w:rsidRPr="002D459F">
        <w:rPr>
          <w:rFonts w:ascii="Times New Roman" w:hAnsi="Times New Roman" w:cs="Times New Roman"/>
        </w:rPr>
        <w:t xml:space="preserve"> </w:t>
      </w:r>
      <w:r w:rsidR="00C24005" w:rsidRPr="002D459F">
        <w:rPr>
          <w:rFonts w:ascii="Times New Roman" w:hAnsi="Times New Roman" w:cs="Times New Roman"/>
        </w:rPr>
        <w:t xml:space="preserve">We compared GLS at presentation with </w:t>
      </w:r>
      <w:r w:rsidR="00954B62" w:rsidRPr="002D459F">
        <w:rPr>
          <w:rFonts w:ascii="Times New Roman" w:hAnsi="Times New Roman" w:cs="Times New Roman"/>
        </w:rPr>
        <w:t>ICI-</w:t>
      </w:r>
      <w:r w:rsidR="00C24005" w:rsidRPr="002D459F">
        <w:rPr>
          <w:rFonts w:ascii="Times New Roman" w:hAnsi="Times New Roman" w:cs="Times New Roman"/>
        </w:rPr>
        <w:t xml:space="preserve">myocarditis among </w:t>
      </w:r>
      <w:r w:rsidR="00805544" w:rsidRPr="002D459F">
        <w:rPr>
          <w:rFonts w:ascii="Times New Roman" w:hAnsi="Times New Roman" w:cs="Times New Roman"/>
        </w:rPr>
        <w:t xml:space="preserve">101 cases </w:t>
      </w:r>
      <w:r w:rsidR="00F315C2" w:rsidRPr="002D459F">
        <w:rPr>
          <w:rFonts w:ascii="Times New Roman" w:hAnsi="Times New Roman" w:cs="Times New Roman"/>
        </w:rPr>
        <w:t xml:space="preserve">to </w:t>
      </w:r>
      <w:r w:rsidR="00551BB6" w:rsidRPr="002D459F">
        <w:rPr>
          <w:rFonts w:ascii="Times New Roman" w:hAnsi="Times New Roman" w:cs="Times New Roman"/>
        </w:rPr>
        <w:t>92</w:t>
      </w:r>
      <w:r w:rsidR="00C24005" w:rsidRPr="002D459F">
        <w:rPr>
          <w:rFonts w:ascii="Times New Roman" w:hAnsi="Times New Roman" w:cs="Times New Roman"/>
        </w:rPr>
        <w:t xml:space="preserve"> controls on ICI</w:t>
      </w:r>
      <w:r w:rsidR="00954B62" w:rsidRPr="002D459F">
        <w:rPr>
          <w:rFonts w:ascii="Times New Roman" w:hAnsi="Times New Roman" w:cs="Times New Roman"/>
        </w:rPr>
        <w:t>s</w:t>
      </w:r>
      <w:r w:rsidR="00C24005" w:rsidRPr="002D459F">
        <w:rPr>
          <w:rFonts w:ascii="Times New Roman" w:hAnsi="Times New Roman" w:cs="Times New Roman"/>
        </w:rPr>
        <w:t xml:space="preserve"> without myocarditis</w:t>
      </w:r>
      <w:r w:rsidR="00F315C2" w:rsidRPr="002D459F">
        <w:rPr>
          <w:rFonts w:ascii="Times New Roman" w:hAnsi="Times New Roman" w:cs="Times New Roman"/>
        </w:rPr>
        <w:t xml:space="preserve">, and assessed its </w:t>
      </w:r>
      <w:r w:rsidR="00D54924" w:rsidRPr="002D459F">
        <w:rPr>
          <w:rFonts w:ascii="Times New Roman" w:hAnsi="Times New Roman" w:cs="Times New Roman"/>
        </w:rPr>
        <w:t>association with</w:t>
      </w:r>
      <w:r w:rsidR="00F315C2" w:rsidRPr="002D459F">
        <w:rPr>
          <w:rFonts w:ascii="Times New Roman" w:hAnsi="Times New Roman" w:cs="Times New Roman"/>
        </w:rPr>
        <w:t xml:space="preserve"> MACE.</w:t>
      </w:r>
      <w:r w:rsidR="00C24005" w:rsidRPr="002D459F">
        <w:rPr>
          <w:rFonts w:ascii="Times New Roman" w:hAnsi="Times New Roman" w:cs="Times New Roman"/>
        </w:rPr>
        <w:t xml:space="preserve"> </w:t>
      </w:r>
      <w:r w:rsidR="00A3085A" w:rsidRPr="002D459F">
        <w:rPr>
          <w:rFonts w:ascii="Times New Roman" w:hAnsi="Times New Roman" w:cs="Times New Roman"/>
        </w:rPr>
        <w:t>GLS decreased with ICI-myocarditis and this decline</w:t>
      </w:r>
      <w:r w:rsidR="003D61B4" w:rsidRPr="002D459F">
        <w:rPr>
          <w:rFonts w:ascii="Times New Roman" w:hAnsi="Times New Roman" w:cs="Times New Roman"/>
        </w:rPr>
        <w:t>, as compared to controls,</w:t>
      </w:r>
      <w:r w:rsidR="00A3085A" w:rsidRPr="002D459F">
        <w:rPr>
          <w:rFonts w:ascii="Times New Roman" w:hAnsi="Times New Roman" w:cs="Times New Roman"/>
        </w:rPr>
        <w:t xml:space="preserve"> was present in cases</w:t>
      </w:r>
      <w:r w:rsidR="003D61B4" w:rsidRPr="002D459F">
        <w:rPr>
          <w:rFonts w:ascii="Times New Roman" w:hAnsi="Times New Roman" w:cs="Times New Roman"/>
        </w:rPr>
        <w:t xml:space="preserve"> </w:t>
      </w:r>
      <w:r w:rsidR="00A3085A" w:rsidRPr="002D459F">
        <w:rPr>
          <w:rFonts w:ascii="Times New Roman" w:hAnsi="Times New Roman" w:cs="Times New Roman"/>
        </w:rPr>
        <w:t>with</w:t>
      </w:r>
      <w:r w:rsidR="00F315C2" w:rsidRPr="002D459F">
        <w:rPr>
          <w:rFonts w:ascii="Times New Roman" w:hAnsi="Times New Roman" w:cs="Times New Roman"/>
        </w:rPr>
        <w:t xml:space="preserve"> both</w:t>
      </w:r>
      <w:r w:rsidR="00A3085A" w:rsidRPr="002D459F">
        <w:rPr>
          <w:rFonts w:ascii="Times New Roman" w:hAnsi="Times New Roman" w:cs="Times New Roman"/>
        </w:rPr>
        <w:t xml:space="preserve"> </w:t>
      </w:r>
      <w:r w:rsidR="003D61B4" w:rsidRPr="002D459F">
        <w:rPr>
          <w:rFonts w:ascii="Times New Roman" w:hAnsi="Times New Roman" w:cs="Times New Roman"/>
        </w:rPr>
        <w:t xml:space="preserve">a </w:t>
      </w:r>
      <w:r w:rsidR="00A3085A" w:rsidRPr="002D459F">
        <w:rPr>
          <w:rFonts w:ascii="Times New Roman" w:hAnsi="Times New Roman" w:cs="Times New Roman"/>
        </w:rPr>
        <w:t>reduced and preserved EF</w:t>
      </w:r>
      <w:r w:rsidR="00F315C2" w:rsidRPr="002D459F">
        <w:rPr>
          <w:rFonts w:ascii="Times New Roman" w:hAnsi="Times New Roman" w:cs="Times New Roman"/>
        </w:rPr>
        <w:t xml:space="preserve"> </w:t>
      </w:r>
      <w:r w:rsidR="001724CE" w:rsidRPr="002D459F">
        <w:rPr>
          <w:rFonts w:ascii="Times New Roman" w:eastAsia="Times New Roman" w:hAnsi="Times New Roman" w:cs="Times New Roman"/>
          <w:color w:val="000000"/>
          <w:shd w:val="clear" w:color="auto" w:fill="FFFFFF"/>
          <w:lang w:val="en-GB"/>
        </w:rPr>
        <w:t>(</w:t>
      </w:r>
      <w:r w:rsidR="001724CE" w:rsidRPr="002D459F">
        <w:rPr>
          <w:rFonts w:ascii="Times New Roman" w:hAnsi="Times New Roman" w:cs="Times New Roman"/>
        </w:rPr>
        <w:t>12.3±2.7% vs. 15.3±2.0% vs</w:t>
      </w:r>
      <w:r w:rsidR="001724CE" w:rsidRPr="002D459F">
        <w:rPr>
          <w:rFonts w:ascii="Times New Roman" w:eastAsia="Times New Roman" w:hAnsi="Times New Roman" w:cs="Times New Roman"/>
          <w:color w:val="000000"/>
          <w:shd w:val="clear" w:color="auto" w:fill="FFFFFF"/>
          <w:lang w:val="en-GB"/>
        </w:rPr>
        <w:t xml:space="preserve">. </w:t>
      </w:r>
      <w:r w:rsidR="001724CE" w:rsidRPr="002D459F">
        <w:rPr>
          <w:rFonts w:ascii="Times New Roman" w:hAnsi="Times New Roman" w:cs="Times New Roman"/>
        </w:rPr>
        <w:t>20.</w:t>
      </w:r>
      <w:r w:rsidR="004839EB" w:rsidRPr="002D459F">
        <w:rPr>
          <w:rFonts w:ascii="Times New Roman" w:hAnsi="Times New Roman" w:cs="Times New Roman"/>
        </w:rPr>
        <w:t>5</w:t>
      </w:r>
      <w:r w:rsidR="001724CE" w:rsidRPr="002D459F">
        <w:rPr>
          <w:rFonts w:ascii="Times New Roman" w:hAnsi="Times New Roman" w:cs="Times New Roman"/>
        </w:rPr>
        <w:t>±1.</w:t>
      </w:r>
      <w:r w:rsidR="004839EB" w:rsidRPr="002D459F">
        <w:rPr>
          <w:rFonts w:ascii="Times New Roman" w:hAnsi="Times New Roman" w:cs="Times New Roman"/>
        </w:rPr>
        <w:t>9</w:t>
      </w:r>
      <w:r w:rsidR="001724CE" w:rsidRPr="002D459F">
        <w:rPr>
          <w:rFonts w:ascii="Times New Roman" w:hAnsi="Times New Roman" w:cs="Times New Roman"/>
        </w:rPr>
        <w:t>%, p&lt;0.001)</w:t>
      </w:r>
      <w:r w:rsidR="00A3085A" w:rsidRPr="002D459F">
        <w:rPr>
          <w:rFonts w:ascii="Times New Roman" w:hAnsi="Times New Roman" w:cs="Times New Roman"/>
        </w:rPr>
        <w:t>.</w:t>
      </w:r>
      <w:r w:rsidR="0031586F" w:rsidRPr="002D459F">
        <w:rPr>
          <w:rFonts w:ascii="Times New Roman" w:hAnsi="Times New Roman" w:cs="Times New Roman"/>
        </w:rPr>
        <w:t xml:space="preserve"> </w:t>
      </w:r>
      <w:r w:rsidR="0031586F" w:rsidRPr="002D459F">
        <w:rPr>
          <w:rFonts w:ascii="Times New Roman" w:eastAsia="Times New Roman" w:hAnsi="Times New Roman" w:cs="Times New Roman"/>
          <w:color w:val="000000"/>
          <w:shd w:val="clear" w:color="auto" w:fill="FFFFFF"/>
          <w:lang w:val="en-GB"/>
        </w:rPr>
        <w:t xml:space="preserve">Over </w:t>
      </w:r>
      <w:r w:rsidR="00AA6A10" w:rsidRPr="002D459F">
        <w:rPr>
          <w:rFonts w:ascii="Times New Roman" w:eastAsia="Times New Roman" w:hAnsi="Times New Roman" w:cs="Times New Roman"/>
          <w:color w:val="000000"/>
          <w:shd w:val="clear" w:color="auto" w:fill="FFFFFF"/>
          <w:lang w:val="en-GB"/>
        </w:rPr>
        <w:t xml:space="preserve">half the </w:t>
      </w:r>
      <w:r w:rsidR="0031586F" w:rsidRPr="002D459F">
        <w:rPr>
          <w:rFonts w:ascii="Times New Roman" w:eastAsia="Times New Roman" w:hAnsi="Times New Roman" w:cs="Times New Roman"/>
          <w:color w:val="000000"/>
          <w:shd w:val="clear" w:color="auto" w:fill="FFFFFF"/>
          <w:lang w:val="en-GB"/>
        </w:rPr>
        <w:t xml:space="preserve">cases had </w:t>
      </w:r>
      <w:r w:rsidRPr="002D459F">
        <w:rPr>
          <w:rFonts w:ascii="Times New Roman" w:eastAsia="Times New Roman" w:hAnsi="Times New Roman" w:cs="Times New Roman"/>
          <w:color w:val="000000"/>
          <w:shd w:val="clear" w:color="auto" w:fill="FFFFFF"/>
          <w:lang w:val="en-GB"/>
        </w:rPr>
        <w:t xml:space="preserve">a </w:t>
      </w:r>
      <w:r w:rsidR="0031586F" w:rsidRPr="002D459F">
        <w:rPr>
          <w:rFonts w:ascii="Times New Roman" w:eastAsia="Times New Roman" w:hAnsi="Times New Roman" w:cs="Times New Roman"/>
          <w:color w:val="000000"/>
          <w:shd w:val="clear" w:color="auto" w:fill="FFFFFF"/>
          <w:lang w:val="en-GB"/>
        </w:rPr>
        <w:t>MACE</w:t>
      </w:r>
      <w:r w:rsidR="00AA6A10" w:rsidRPr="002D459F">
        <w:rPr>
          <w:rFonts w:ascii="Times New Roman" w:eastAsia="Times New Roman" w:hAnsi="Times New Roman" w:cs="Times New Roman"/>
          <w:color w:val="000000"/>
          <w:shd w:val="clear" w:color="auto" w:fill="FFFFFF"/>
          <w:lang w:val="en-GB"/>
        </w:rPr>
        <w:t xml:space="preserve">, </w:t>
      </w:r>
      <w:r w:rsidR="003D61B4" w:rsidRPr="002D459F">
        <w:rPr>
          <w:rFonts w:ascii="Times New Roman" w:eastAsia="Times New Roman" w:hAnsi="Times New Roman" w:cs="Times New Roman"/>
          <w:color w:val="000000"/>
          <w:shd w:val="clear" w:color="auto" w:fill="FFFFFF"/>
          <w:lang w:val="en-GB"/>
        </w:rPr>
        <w:t xml:space="preserve">and lower GLS was strongly associated with MACE in cases presenting with either a preserved or reduced </w:t>
      </w:r>
      <w:r w:rsidR="007E250B" w:rsidRPr="002D459F">
        <w:rPr>
          <w:rFonts w:ascii="Times New Roman" w:eastAsia="Times New Roman" w:hAnsi="Times New Roman" w:cs="Times New Roman"/>
          <w:color w:val="000000"/>
          <w:shd w:val="clear" w:color="auto" w:fill="FFFFFF"/>
          <w:lang w:val="en-GB"/>
        </w:rPr>
        <w:t>EF</w:t>
      </w:r>
      <w:r w:rsidR="003D61B4" w:rsidRPr="002D459F">
        <w:rPr>
          <w:rFonts w:ascii="Times New Roman" w:eastAsia="Times New Roman" w:hAnsi="Times New Roman" w:cs="Times New Roman"/>
          <w:color w:val="000000"/>
          <w:shd w:val="clear" w:color="auto" w:fill="FFFFFF"/>
          <w:lang w:val="en-GB"/>
        </w:rPr>
        <w:t xml:space="preserve">. </w:t>
      </w:r>
    </w:p>
    <w:p w14:paraId="737986CB" w14:textId="5B349A28" w:rsidR="001048CC" w:rsidRDefault="001048CC" w:rsidP="00C24005">
      <w:pPr>
        <w:spacing w:line="480" w:lineRule="auto"/>
        <w:rPr>
          <w:rFonts w:ascii="Times New Roman" w:hAnsi="Times New Roman" w:cs="Times New Roman"/>
        </w:rPr>
      </w:pPr>
    </w:p>
    <w:p w14:paraId="35A50708"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
          <w:bCs/>
        </w:rPr>
        <w:t xml:space="preserve">Keywords: </w:t>
      </w:r>
      <w:r w:rsidRPr="002D459F">
        <w:rPr>
          <w:rFonts w:ascii="Times New Roman" w:hAnsi="Times New Roman" w:cs="Times New Roman"/>
          <w:bCs/>
        </w:rPr>
        <w:t>Global longitudinal strain, Immune checkpoint inhibitors, myocarditis, major adverse cardiac events</w:t>
      </w:r>
    </w:p>
    <w:p w14:paraId="170B9A5F" w14:textId="77777777" w:rsidR="002D459F" w:rsidRPr="002D459F" w:rsidRDefault="002D459F" w:rsidP="002D459F">
      <w:pPr>
        <w:rPr>
          <w:rFonts w:ascii="Times New Roman" w:hAnsi="Times New Roman" w:cs="Times New Roman"/>
          <w:bCs/>
        </w:rPr>
      </w:pPr>
    </w:p>
    <w:p w14:paraId="332DE789" w14:textId="77777777" w:rsidR="002D459F" w:rsidRPr="002D459F" w:rsidRDefault="002D459F" w:rsidP="002D459F">
      <w:pPr>
        <w:rPr>
          <w:rFonts w:ascii="Times New Roman" w:hAnsi="Times New Roman" w:cs="Times New Roman"/>
          <w:b/>
          <w:bCs/>
        </w:rPr>
      </w:pPr>
      <w:r w:rsidRPr="002D459F">
        <w:rPr>
          <w:rFonts w:ascii="Times New Roman" w:hAnsi="Times New Roman" w:cs="Times New Roman"/>
          <w:b/>
          <w:bCs/>
        </w:rPr>
        <w:t>Abbreviations:</w:t>
      </w:r>
    </w:p>
    <w:p w14:paraId="03182F04"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CV= cardiovascular</w:t>
      </w:r>
    </w:p>
    <w:p w14:paraId="51D0616D"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EF= ejection fraction</w:t>
      </w:r>
    </w:p>
    <w:p w14:paraId="42367C8C"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GLS= global longitudinal strain</w:t>
      </w:r>
    </w:p>
    <w:p w14:paraId="3F54F18F"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ICI= Immune checkpoint inhibitors</w:t>
      </w:r>
    </w:p>
    <w:p w14:paraId="38C3C79A"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IrAE= Immune related adverse effect</w:t>
      </w:r>
    </w:p>
    <w:p w14:paraId="49CD31D1"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LV= left ventricle</w:t>
      </w:r>
    </w:p>
    <w:p w14:paraId="5FFCF4B8"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MACE= major adverse cardiac event</w:t>
      </w:r>
    </w:p>
    <w:p w14:paraId="06450FDD"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NT-proBNP= N-terminal pro hormone B-type natriuretic peptide</w:t>
      </w:r>
    </w:p>
    <w:p w14:paraId="227E3CAC"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TTE= transthoracic echocardiogram</w:t>
      </w:r>
    </w:p>
    <w:p w14:paraId="5FEA4C7A" w14:textId="77777777" w:rsidR="002D459F" w:rsidRPr="002D459F" w:rsidRDefault="002D459F" w:rsidP="002D459F">
      <w:pPr>
        <w:rPr>
          <w:rFonts w:ascii="Times New Roman" w:hAnsi="Times New Roman" w:cs="Times New Roman"/>
          <w:bCs/>
        </w:rPr>
      </w:pPr>
      <w:r w:rsidRPr="002D459F">
        <w:rPr>
          <w:rFonts w:ascii="Times New Roman" w:hAnsi="Times New Roman" w:cs="Times New Roman"/>
          <w:bCs/>
        </w:rPr>
        <w:t>VEGF= vascular endothelial growth factor</w:t>
      </w:r>
    </w:p>
    <w:p w14:paraId="0C0AC44E" w14:textId="77777777" w:rsidR="002D459F" w:rsidRPr="002D459F" w:rsidRDefault="002D459F" w:rsidP="00C24005">
      <w:pPr>
        <w:spacing w:line="480" w:lineRule="auto"/>
        <w:rPr>
          <w:rFonts w:ascii="Times New Roman" w:hAnsi="Times New Roman" w:cs="Times New Roman"/>
        </w:rPr>
      </w:pPr>
    </w:p>
    <w:p w14:paraId="709ACE96" w14:textId="77777777" w:rsidR="00C24005" w:rsidRPr="002D459F" w:rsidRDefault="00C24005" w:rsidP="00FE5E98">
      <w:pPr>
        <w:spacing w:line="480" w:lineRule="auto"/>
        <w:rPr>
          <w:rFonts w:ascii="Times New Roman" w:hAnsi="Times New Roman" w:cs="Times New Roman"/>
        </w:rPr>
      </w:pPr>
    </w:p>
    <w:p w14:paraId="033B99C0" w14:textId="77777777" w:rsidR="00F55381" w:rsidRPr="002D459F" w:rsidRDefault="00F55381" w:rsidP="00FE5E98">
      <w:pPr>
        <w:spacing w:line="480" w:lineRule="auto"/>
        <w:rPr>
          <w:rFonts w:ascii="Times New Roman" w:hAnsi="Times New Roman" w:cs="Times New Roman"/>
        </w:rPr>
      </w:pPr>
    </w:p>
    <w:p w14:paraId="4291A0BA" w14:textId="3BC7E98C" w:rsidR="00F55381" w:rsidRPr="002D459F" w:rsidRDefault="00F55381" w:rsidP="00FE5E98">
      <w:pPr>
        <w:spacing w:line="480" w:lineRule="auto"/>
        <w:rPr>
          <w:rFonts w:ascii="Times New Roman" w:hAnsi="Times New Roman" w:cs="Times New Roman"/>
        </w:rPr>
      </w:pPr>
    </w:p>
    <w:p w14:paraId="7F5775F3" w14:textId="5954E02A" w:rsidR="00C26754" w:rsidRPr="002D459F" w:rsidRDefault="00C26754" w:rsidP="00FE5E98">
      <w:pPr>
        <w:spacing w:line="480" w:lineRule="auto"/>
        <w:rPr>
          <w:rFonts w:ascii="Times New Roman" w:hAnsi="Times New Roman" w:cs="Times New Roman"/>
        </w:rPr>
      </w:pPr>
    </w:p>
    <w:p w14:paraId="282892E3" w14:textId="57AB8339" w:rsidR="00C26754" w:rsidRPr="002D459F" w:rsidRDefault="00C26754" w:rsidP="00FE5E98">
      <w:pPr>
        <w:spacing w:line="480" w:lineRule="auto"/>
        <w:rPr>
          <w:rFonts w:ascii="Times New Roman" w:hAnsi="Times New Roman" w:cs="Times New Roman"/>
        </w:rPr>
      </w:pPr>
    </w:p>
    <w:p w14:paraId="69D617F1" w14:textId="55616A84" w:rsidR="00672926" w:rsidRPr="002D459F" w:rsidRDefault="00672926" w:rsidP="00FE5E98">
      <w:pPr>
        <w:spacing w:line="480" w:lineRule="auto"/>
        <w:rPr>
          <w:rFonts w:ascii="Times New Roman" w:hAnsi="Times New Roman" w:cs="Times New Roman"/>
        </w:rPr>
      </w:pPr>
    </w:p>
    <w:p w14:paraId="15402E5C" w14:textId="722C0CAA" w:rsidR="00672926" w:rsidRPr="002D459F" w:rsidRDefault="00672926" w:rsidP="00FE5E98">
      <w:pPr>
        <w:spacing w:line="480" w:lineRule="auto"/>
        <w:rPr>
          <w:rFonts w:ascii="Times New Roman" w:hAnsi="Times New Roman" w:cs="Times New Roman"/>
        </w:rPr>
      </w:pPr>
    </w:p>
    <w:p w14:paraId="1772CAC6" w14:textId="77777777" w:rsidR="009B3A5C" w:rsidRPr="002D459F" w:rsidRDefault="009B3A5C" w:rsidP="00FE5E98">
      <w:pPr>
        <w:spacing w:line="480" w:lineRule="auto"/>
        <w:rPr>
          <w:rFonts w:ascii="Times New Roman" w:hAnsi="Times New Roman" w:cs="Times New Roman"/>
          <w:b/>
        </w:rPr>
      </w:pPr>
    </w:p>
    <w:p w14:paraId="07A29615" w14:textId="77777777" w:rsidR="001F2663" w:rsidRPr="002D459F" w:rsidRDefault="001F2663" w:rsidP="00FE5E98">
      <w:pPr>
        <w:spacing w:line="480" w:lineRule="auto"/>
        <w:rPr>
          <w:rFonts w:ascii="Times New Roman" w:hAnsi="Times New Roman" w:cs="Times New Roman"/>
          <w:b/>
        </w:rPr>
      </w:pPr>
    </w:p>
    <w:p w14:paraId="3A8776F0" w14:textId="77777777" w:rsidR="001F2663" w:rsidRPr="002D459F" w:rsidRDefault="001F2663" w:rsidP="00FE5E98">
      <w:pPr>
        <w:spacing w:line="480" w:lineRule="auto"/>
        <w:rPr>
          <w:rFonts w:ascii="Times New Roman" w:hAnsi="Times New Roman" w:cs="Times New Roman"/>
          <w:b/>
        </w:rPr>
      </w:pPr>
    </w:p>
    <w:p w14:paraId="2EBF7AAD" w14:textId="063BC7E4" w:rsidR="001F2663" w:rsidRPr="002D459F" w:rsidRDefault="001F2663" w:rsidP="00FE5E98">
      <w:pPr>
        <w:spacing w:line="480" w:lineRule="auto"/>
        <w:rPr>
          <w:rFonts w:ascii="Times New Roman" w:hAnsi="Times New Roman" w:cs="Times New Roman"/>
          <w:b/>
        </w:rPr>
      </w:pPr>
    </w:p>
    <w:p w14:paraId="43C11B58" w14:textId="77777777" w:rsidR="00D77AB1" w:rsidRPr="002D459F" w:rsidRDefault="00D77AB1" w:rsidP="00FE5E98">
      <w:pPr>
        <w:spacing w:line="480" w:lineRule="auto"/>
        <w:rPr>
          <w:rFonts w:ascii="Times New Roman" w:hAnsi="Times New Roman" w:cs="Times New Roman"/>
          <w:b/>
        </w:rPr>
      </w:pPr>
    </w:p>
    <w:p w14:paraId="14E41583" w14:textId="77777777" w:rsidR="002D459F" w:rsidRDefault="002D459F">
      <w:pPr>
        <w:rPr>
          <w:rFonts w:ascii="Times New Roman" w:hAnsi="Times New Roman" w:cs="Times New Roman"/>
          <w:b/>
        </w:rPr>
      </w:pPr>
      <w:r>
        <w:rPr>
          <w:rFonts w:ascii="Times New Roman" w:hAnsi="Times New Roman" w:cs="Times New Roman"/>
          <w:b/>
        </w:rPr>
        <w:br w:type="page"/>
      </w:r>
    </w:p>
    <w:p w14:paraId="5C85A3C3" w14:textId="3A84D4CA" w:rsidR="003A2A0B" w:rsidRPr="002D459F" w:rsidRDefault="003A2A0B" w:rsidP="002D459F">
      <w:pPr>
        <w:spacing w:line="480" w:lineRule="auto"/>
        <w:rPr>
          <w:rFonts w:ascii="Times New Roman" w:hAnsi="Times New Roman" w:cs="Times New Roman"/>
          <w:b/>
        </w:rPr>
      </w:pPr>
      <w:r w:rsidRPr="002D459F">
        <w:rPr>
          <w:rFonts w:ascii="Times New Roman" w:hAnsi="Times New Roman" w:cs="Times New Roman"/>
          <w:b/>
        </w:rPr>
        <w:t>Introduction</w:t>
      </w:r>
    </w:p>
    <w:p w14:paraId="338E7D57" w14:textId="6D7DFE34" w:rsidR="00791506" w:rsidRPr="002D459F" w:rsidRDefault="009404EF" w:rsidP="002D459F">
      <w:pPr>
        <w:spacing w:line="480" w:lineRule="auto"/>
        <w:rPr>
          <w:rFonts w:ascii="Times New Roman" w:hAnsi="Times New Roman" w:cs="Times New Roman"/>
        </w:rPr>
      </w:pPr>
      <w:r w:rsidRPr="002D459F">
        <w:rPr>
          <w:rFonts w:ascii="Times New Roman" w:hAnsi="Times New Roman" w:cs="Times New Roman"/>
        </w:rPr>
        <w:t>I</w:t>
      </w:r>
      <w:r w:rsidR="00F16C06" w:rsidRPr="002D459F">
        <w:rPr>
          <w:rFonts w:ascii="Times New Roman" w:hAnsi="Times New Roman" w:cs="Times New Roman"/>
        </w:rPr>
        <w:t xml:space="preserve">mmune checkpoint inhibitors (ICIs) </w:t>
      </w:r>
      <w:r w:rsidRPr="002D459F">
        <w:rPr>
          <w:rFonts w:ascii="Times New Roman" w:hAnsi="Times New Roman" w:cs="Times New Roman"/>
        </w:rPr>
        <w:t xml:space="preserve">represent a </w:t>
      </w:r>
      <w:r w:rsidR="00FB752E" w:rsidRPr="002D459F">
        <w:rPr>
          <w:rFonts w:ascii="Times New Roman" w:hAnsi="Times New Roman" w:cs="Times New Roman"/>
        </w:rPr>
        <w:t xml:space="preserve">significant advance </w:t>
      </w:r>
      <w:r w:rsidRPr="002D459F">
        <w:rPr>
          <w:rFonts w:ascii="Times New Roman" w:hAnsi="Times New Roman" w:cs="Times New Roman"/>
        </w:rPr>
        <w:t xml:space="preserve">in the treatment of patients with cancer </w:t>
      </w:r>
      <w:r w:rsidR="003A2A0B" w:rsidRPr="002D459F">
        <w:rPr>
          <w:rFonts w:ascii="Times New Roman" w:hAnsi="Times New Roman" w:cs="Times New Roman"/>
        </w:rPr>
        <w:fldChar w:fldCharType="begin"/>
      </w:r>
      <w:r w:rsidR="002C6901" w:rsidRPr="002D459F">
        <w:rPr>
          <w:rFonts w:ascii="Times New Roman" w:hAnsi="Times New Roman" w:cs="Times New Roman"/>
        </w:rPr>
        <w:instrText xml:space="preserve"> ADDIN ZOTERO_ITEM CSL_CITATION {"citationID":"aUTuqBTI","properties":{"formattedCitation":"(1)","plainCitation":"(1)","noteIndex":0},"citationItems":[{"id":1042,"uris":["http://zotero.org/users/4622338/items/VT5L2NAY"],"uri":["http://zotero.org/users/4622338/items/VT5L2NAY"],"itemData":{"id":1042,"type":"article-journal","title":"Adjuvant immunotherapy for cancer: the next step","container-title":"The Lancet. Oncology","page":"478-480","volume":"16","issue":"5","source":"PubMed","DOI":"10.1016/S1470-2045(15)70162-2","ISSN":"1474-5488","note":"PMID: 25840692","title-short":"Adjuvant immunotherapy for cancer","journalAbbreviation":"Lancet Oncol.","language":"eng","author":[{"family":"Sondak","given":"Vernon K."},{"family":"McArthur","given":"Grant A."}],"issued":{"date-parts":[["2015",5]]}}}],"schema":"https://github.com/citation-style-language/schema/raw/master/csl-citation.json"} </w:instrText>
      </w:r>
      <w:r w:rsidR="003A2A0B" w:rsidRPr="002D459F">
        <w:rPr>
          <w:rFonts w:ascii="Times New Roman" w:hAnsi="Times New Roman" w:cs="Times New Roman"/>
        </w:rPr>
        <w:fldChar w:fldCharType="separate"/>
      </w:r>
      <w:r w:rsidR="002C6901" w:rsidRPr="002D459F">
        <w:rPr>
          <w:rFonts w:ascii="Times New Roman" w:hAnsi="Times New Roman" w:cs="Times New Roman"/>
          <w:noProof/>
        </w:rPr>
        <w:t>(1)</w:t>
      </w:r>
      <w:r w:rsidR="003A2A0B" w:rsidRPr="002D459F">
        <w:rPr>
          <w:rFonts w:ascii="Times New Roman" w:hAnsi="Times New Roman" w:cs="Times New Roman"/>
        </w:rPr>
        <w:fldChar w:fldCharType="end"/>
      </w:r>
      <w:r w:rsidR="003A2A0B" w:rsidRPr="002D459F">
        <w:rPr>
          <w:rFonts w:ascii="Times New Roman" w:hAnsi="Times New Roman" w:cs="Times New Roman"/>
        </w:rPr>
        <w:t xml:space="preserve">. </w:t>
      </w:r>
      <w:r w:rsidR="00FB752E" w:rsidRPr="002D459F">
        <w:rPr>
          <w:rFonts w:ascii="Times New Roman" w:hAnsi="Times New Roman" w:cs="Times New Roman"/>
        </w:rPr>
        <w:t xml:space="preserve">They work by </w:t>
      </w:r>
      <w:r w:rsidR="00C754C6" w:rsidRPr="002D459F">
        <w:rPr>
          <w:rFonts w:ascii="Times New Roman" w:hAnsi="Times New Roman" w:cs="Times New Roman"/>
        </w:rPr>
        <w:t>promoting T-cell mediated antitumor activity</w:t>
      </w:r>
      <w:r w:rsidR="009B3A5C" w:rsidRPr="002D459F">
        <w:rPr>
          <w:rFonts w:ascii="Times New Roman" w:hAnsi="Times New Roman" w:cs="Times New Roman"/>
        </w:rPr>
        <w:t xml:space="preserve"> </w:t>
      </w:r>
      <w:r w:rsidR="009B3A5C" w:rsidRPr="002D459F">
        <w:rPr>
          <w:rFonts w:ascii="Times New Roman" w:hAnsi="Times New Roman" w:cs="Times New Roman"/>
        </w:rPr>
        <w:fldChar w:fldCharType="begin"/>
      </w:r>
      <w:r w:rsidR="009B3A5C" w:rsidRPr="002D459F">
        <w:rPr>
          <w:rFonts w:ascii="Times New Roman" w:hAnsi="Times New Roman" w:cs="Times New Roman"/>
        </w:rPr>
        <w:instrText xml:space="preserve"> ADDIN ZOTERO_ITEM CSL_CITATION {"citationID":"VF4ykzJ5","properties":{"formattedCitation":"(2)","plainCitation":"(2)","noteIndex":0},"citationItems":[{"id":799,"uris":["http://zotero.org/users/4622338/items/UUZ72MKK"],"uri":["http://zotero.org/users/4622338/items/UUZ72MKK"],"itemData":{"id":799,"type":"article-journal","title":"Fulminant Myocarditis with Combination Immune Checkpoint Blockade","container-title":"The New England Journal of Medicine","page":"1749-1755","volume":"375","issue":"18","source":"PubMed","abstract":"Immune checkpoint inhibitors have improved clinical outcomes associated with numerous cancers, but high-grade, immune-related adverse events can occur, particularly with combination immunotherapy. We report the cases of two patients with melanoma in whom fatal myocarditis developed after treatment with ipilimumab and nivolumab. In both patients, there was development of myositis with rhabdomyolysis, early progressive and refractory cardiac electrical instability, and myocarditis with a robust presence of T-cell and macrophage infiltrates. Selective clonal T-cell populations infiltrating the myocardium were identical to those present in tumors and skeletal muscle. Pharmacovigilance studies show that myocarditis occurred in 0.27% of patients treated with a combination of ipilimumab and nivolumab, which suggests that our patients were having a rare, potentially fatal, T-cell-driven drug reaction. (Funded by Vanderbilt-Ingram Cancer Center Ambassadors and others.).","DOI":"10.1056/NEJMoa1609214","ISSN":"1533-4406","note":"PMID: 27806233\nPMCID: PMC5247797","journalAbbreviation":"N. Engl. J. Med.","language":"eng","author":[{"family":"Johnson","given":"Douglas B."},{"family":"Balko","given":"Justin M."},{"family":"Compton","given":"Margaret L."},{"family":"Chalkias","given":"Spyridon"},{"family":"Gorham","given":"Joshua"},{"family":"Xu","given":"Yaomin"},{"family":"Hicks","given":"Mellissa"},{"family":"Puzanov","given":"Igor"},{"family":"Alexander","given":"Matthew R."},{"family":"Bloomer","given":"Tyler L."},{"family":"Becker","given":"Jason R."},{"family":"Slosky","given":"David A."},{"family":"Phillips","given":"Elizabeth J."},{"family":"Pilkinton","given":"Mark A."},{"family":"Craig-Owens","given":"Laura"},{"family":"Kola","given":"Nina"},{"family":"Plautz","given":"Gregory"},{"family":"Reshef","given":"Daniel S."},{"family":"Deutsch","given":"Jonathan S."},{"family":"Deering","given":"Raquel P."},{"family":"Olenchock","given":"Benjamin A."},{"family":"Lichtman","given":"Andrew H."},{"family":"Roden","given":"Dan M."},{"family":"Seidman","given":"Christine E."},{"family":"Koralnik","given":"Igor J."},{"family":"Seidman","given":"Jonathan G."},{"family":"Hoffman","given":"Robert D."},{"family":"Taube","given":"Janis M."},{"family":"Diaz","given":"Luis A."},{"family":"Anders","given":"Robert A."},{"family":"Sosman","given":"Jeffrey A."},{"family":"Moslehi","given":"Javid J."}],"issued":{"date-parts":[["2016",11,3]]}}}],"schema":"https://github.com/citation-style-language/schema/raw/master/csl-citation.json"} </w:instrText>
      </w:r>
      <w:r w:rsidR="009B3A5C" w:rsidRPr="002D459F">
        <w:rPr>
          <w:rFonts w:ascii="Times New Roman" w:hAnsi="Times New Roman" w:cs="Times New Roman"/>
        </w:rPr>
        <w:fldChar w:fldCharType="separate"/>
      </w:r>
      <w:r w:rsidR="009B3A5C" w:rsidRPr="002D459F">
        <w:rPr>
          <w:rFonts w:ascii="Times New Roman" w:hAnsi="Times New Roman" w:cs="Times New Roman"/>
          <w:noProof/>
        </w:rPr>
        <w:t>(2)</w:t>
      </w:r>
      <w:r w:rsidR="009B3A5C" w:rsidRPr="002D459F">
        <w:rPr>
          <w:rFonts w:ascii="Times New Roman" w:hAnsi="Times New Roman" w:cs="Times New Roman"/>
        </w:rPr>
        <w:fldChar w:fldCharType="end"/>
      </w:r>
      <w:r w:rsidR="003903DA" w:rsidRPr="002D459F">
        <w:rPr>
          <w:rFonts w:ascii="Times New Roman" w:hAnsi="Times New Roman" w:cs="Times New Roman"/>
        </w:rPr>
        <w:t>.</w:t>
      </w:r>
      <w:r w:rsidRPr="002D459F">
        <w:rPr>
          <w:rFonts w:ascii="Times New Roman" w:hAnsi="Times New Roman" w:cs="Times New Roman"/>
        </w:rPr>
        <w:t xml:space="preserve"> </w:t>
      </w:r>
      <w:r w:rsidR="00526F90" w:rsidRPr="002D459F">
        <w:rPr>
          <w:rFonts w:ascii="Times New Roman" w:hAnsi="Times New Roman" w:cs="Times New Roman"/>
        </w:rPr>
        <w:t xml:space="preserve">These therapies are </w:t>
      </w:r>
      <w:r w:rsidR="003903DA" w:rsidRPr="002D459F">
        <w:rPr>
          <w:rFonts w:ascii="Times New Roman" w:hAnsi="Times New Roman" w:cs="Times New Roman"/>
        </w:rPr>
        <w:t xml:space="preserve">approved for a multitude of cancers </w:t>
      </w:r>
      <w:r w:rsidR="0009412A" w:rsidRPr="002D459F">
        <w:rPr>
          <w:rFonts w:ascii="Times New Roman" w:hAnsi="Times New Roman" w:cs="Times New Roman"/>
        </w:rPr>
        <w:t xml:space="preserve">in metastatic and </w:t>
      </w:r>
      <w:r w:rsidR="003903DA" w:rsidRPr="002D459F">
        <w:rPr>
          <w:rFonts w:ascii="Times New Roman" w:hAnsi="Times New Roman" w:cs="Times New Roman"/>
        </w:rPr>
        <w:t>late stage disease</w:t>
      </w:r>
      <w:r w:rsidR="0009412A" w:rsidRPr="002D459F">
        <w:rPr>
          <w:rFonts w:ascii="Times New Roman" w:hAnsi="Times New Roman" w:cs="Times New Roman"/>
        </w:rPr>
        <w:t>, and more rece</w:t>
      </w:r>
      <w:r w:rsidR="009B3A5C" w:rsidRPr="002D459F">
        <w:rPr>
          <w:rFonts w:ascii="Times New Roman" w:hAnsi="Times New Roman" w:cs="Times New Roman"/>
        </w:rPr>
        <w:t xml:space="preserve">ntly in the adjuvant setting </w:t>
      </w:r>
      <w:r w:rsidR="009B3A5C" w:rsidRPr="002D459F">
        <w:rPr>
          <w:rFonts w:ascii="Times New Roman" w:hAnsi="Times New Roman" w:cs="Times New Roman"/>
        </w:rPr>
        <w:fldChar w:fldCharType="begin"/>
      </w:r>
      <w:r w:rsidR="009B3A5C" w:rsidRPr="002D459F">
        <w:rPr>
          <w:rFonts w:ascii="Times New Roman" w:hAnsi="Times New Roman" w:cs="Times New Roman"/>
        </w:rPr>
        <w:instrText xml:space="preserve"> ADDIN ZOTERO_ITEM CSL_CITATION {"citationID":"t3JDQ0v3","properties":{"formattedCitation":"(3)","plainCitation":"(3)","noteIndex":0},"citationItems":[{"id":415,"uris":["http://zotero.org/users/4622338/items/YGUGY45V"],"uri":["http://zotero.org/users/4622338/items/YGUGY45V"],"itemData":{"id":415,"type":"article-journal","title":"Myocarditis in Patients Treated With Immune Checkpoint Inhibitors","container-title":"Journal of the American College of Cardiology","page":"1755-1764","volume":"71","issue":"16","source":"PubMed","abstract":"BACKGROUND: Myocarditis is an uncommon, but potentially fatal, toxicity of immune checkpoint inhibitors (ICI). Myocarditis after ICI has not been well characterized.\nOBJECTIVES: The authors sought to understand the presentation and clinical course of ICI-associated myocarditis.\nMETHODS: After observation of sporadic ICI-associated myocarditis cases, the authors created a multicenter registry with 8 sites. From November 2013 to July 2017, there were 35 patients with ICI-associated myocarditis, who were compared to a random sample of 105 ICI-treated patients without myocarditis. Covariates of interest were extracted from medical records including the occurrence of major adverse cardiac events (MACE), defined as the composite of cardiovascular death, cardiogenic shock, cardiac arrest, and hemodynamically significant complete heart block.\nRESULTS: The prevalence of myocarditis was 1.14% with a median time of onset of 34 days after starting ICI (interquartile range: 21 to 75 days). Cases were 65 ± 13 years of age, 29% were female, and 54% had no other immune-related side effects. Relative to controls, combination ICI (34% vs. 2%; p &lt; 0.001) and diabetes (34% vs. 13%; p = 0.01) were more common in cases. Over 102 days (interquartile range: 62 to 214 days) of median follow-up, 16 (46%) developed MACE; 38% of MACE occurred with normal ejection fraction. There was a 4-fold increased risk of MACE with troponin T of ≥1.5 ng/ml (hazard ratio: 4.0; 95% confidence interval: 1.5 to 10.9; p = 0.003). Steroids were administered in 89%, and lower steroids doses were associated with higher residual troponin and higher MACE rates.\nCONCLUSIONS: Myocarditis after ICI therapy may be more common than appreciated, occurs early after starting treatment, has a malignant course, and responds to higher steroid doses.","DOI":"10.1016/j.jacc.2018.02.037","ISSN":"1558-3597","note":"PMID: 29567210","journalAbbreviation":"J. Am. Coll. Cardiol.","language":"eng","author":[{"family":"Mahmood","given":"Syed S."},{"family":"Fradley","given":"Michael G."},{"family":"Cohen","given":"Justine V."},{"family":"Nohria","given":"Anju"},{"family":"Reynolds","given":"Kerry L."},{"family":"Heinzerling","given":"Lucie M."},{"family":"Sullivan","given":"Ryan J."},{"family":"Damrongwatanasuk","given":"Rongras"},{"family":"Chen","given":"Carol L."},{"family":"Gupta","given":"Dipti"},{"family":"Kirchberger","given":"Michael C."},{"family":"Awadalla","given":"Magid"},{"family":"Hassan","given":"Malek Z. O."},{"family":"Moslehi","given":"Javid J."},{"family":"Shah","given":"Sachin P."},{"family":"Ganatra","given":"Sarju"},{"family":"Thavendiranathan","given":"Paaladinesh"},{"family":"Lawrence","given":"Donald P."},{"family":"Groarke","given":"John D."},{"family":"Neilan","given":"Tomas G."}],"issued":{"date-parts":[["2018",4,24]]}}}],"schema":"https://github.com/citation-style-language/schema/raw/master/csl-citation.json"} </w:instrText>
      </w:r>
      <w:r w:rsidR="009B3A5C" w:rsidRPr="002D459F">
        <w:rPr>
          <w:rFonts w:ascii="Times New Roman" w:hAnsi="Times New Roman" w:cs="Times New Roman"/>
        </w:rPr>
        <w:fldChar w:fldCharType="separate"/>
      </w:r>
      <w:r w:rsidR="009B3A5C" w:rsidRPr="002D459F">
        <w:rPr>
          <w:rFonts w:ascii="Times New Roman" w:hAnsi="Times New Roman" w:cs="Times New Roman"/>
          <w:noProof/>
        </w:rPr>
        <w:t>(3)</w:t>
      </w:r>
      <w:r w:rsidR="009B3A5C" w:rsidRPr="002D459F">
        <w:rPr>
          <w:rFonts w:ascii="Times New Roman" w:hAnsi="Times New Roman" w:cs="Times New Roman"/>
        </w:rPr>
        <w:fldChar w:fldCharType="end"/>
      </w:r>
      <w:r w:rsidR="0009412A" w:rsidRPr="002D459F">
        <w:rPr>
          <w:rFonts w:ascii="Times New Roman" w:hAnsi="Times New Roman" w:cs="Times New Roman"/>
        </w:rPr>
        <w:t>.</w:t>
      </w:r>
      <w:r w:rsidR="00D436A2" w:rsidRPr="002D459F">
        <w:rPr>
          <w:rFonts w:ascii="Times New Roman" w:hAnsi="Times New Roman" w:cs="Times New Roman"/>
        </w:rPr>
        <w:t xml:space="preserve"> During </w:t>
      </w:r>
      <w:r w:rsidR="00791506" w:rsidRPr="002D459F">
        <w:rPr>
          <w:rFonts w:ascii="Times New Roman" w:hAnsi="Times New Roman" w:cs="Times New Roman"/>
        </w:rPr>
        <w:t>approval,</w:t>
      </w:r>
      <w:r w:rsidR="00D436A2" w:rsidRPr="002D459F">
        <w:rPr>
          <w:rFonts w:ascii="Times New Roman" w:hAnsi="Times New Roman" w:cs="Times New Roman"/>
        </w:rPr>
        <w:t xml:space="preserve"> it was anticipated that the activation of the immune system would result in immune-r</w:t>
      </w:r>
      <w:r w:rsidR="009B3A5C" w:rsidRPr="002D459F">
        <w:rPr>
          <w:rFonts w:ascii="Times New Roman" w:hAnsi="Times New Roman" w:cs="Times New Roman"/>
        </w:rPr>
        <w:t>elated adverse effects (irAEs)</w:t>
      </w:r>
      <w:r w:rsidR="009B3A5C"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4YT6E7FY","properties":{"formattedCitation":"(4,5)","plainCitation":"(4,5)","noteIndex":0},"citationItems":[{"id":671,"uris":["http://zotero.org/users/4622338/items/EUTWPSQ6"],"uri":["http://zotero.org/users/4622338/items/EUTWPSQ6"],"itemData":{"id":671,"type":"article-journal","title":"Immune Checkpoint Inhibitor-Associated Myocarditis","container-title":"The Oncologist","page":"879-886","volume":"23","issue":"8","source":"PubMed","abstract":"Immune checkpoint inhibitors (ICIs) are approved for a wide range of malignancies. They work by priming the immune system response to cancer and have changed the landscape of available cancer treatments. As anticipated, modulation of the regulatory controls in the immune system with ICIs results in diverse immune-related adverse events, targeting any organ or gland. These toxicities are rarely fatal and generally regress after treatment discontinuation and/or prescription of corticosteroids. Recently, several cases of ICI-related cardiotoxicity have been reported with complications ranging from cardiogenic shock to sudden death. The true incidence of ICI-associated myocarditis is likely underestimated, due to a combination of factors including the lack of specificity in the clinical presentation, the potential of overlap with other cardiovascular and general medical illnesses, the challenges in the diagnosis, and a general lack of awareness of this condition. Currently, there are no clear guidelines for surveillance, diagnosis, or management of this entity. There are multiple unresolved issues including, but not limited to, identifying those at risk of this uncommon toxicity, elucidating the pathophysiology, determining if and what type of surveillance is appropriate, optimal work-up of suspected patients, and methods for resolution of myocarditis. Here we describe a clinical vignette and discuss the salient features and management strategies of ICI-associated myocarditis.\nKEY POINTS: The incidence of immune checkpoint inhibitor (ICI)-associated myocarditis is unclear and has been reported to range from 0.06% to 1% of patients prescribed an ICI.Myocarditis may be difficult to diagnose.The risk factors for ICI-associated myocarditis are not well understood but may include underlying autoimmune disease and diabetes mellitus.The prevalence of myocarditis has been reported to be higher with combination immune therapies.Myocarditis with ICI's typically occurs early, with an elevated troponin, may present with an normal left ventricular ejection fraction and may have a fulminant course.The optimal management of myocarditis associated with ICI's is unclear but most cases are treated with high-dose steroids.","DOI":"10.1634/theoncologist.2018-0130","ISSN":"1549-490X","note":"PMID: 29802219","journalAbbreviation":"Oncologist","language":"eng","author":[{"family":"Ganatra","given":"Sarju"},{"family":"Neilan","given":"Tomas G."}],"issued":{"date-parts":[["2018",8]]}}},{"id":1458,"uris":["http://zotero.org/users/4622338/items/LHG4LCZI"],"uri":["http://zotero.org/users/4622338/items/LHG4LCZI"],"itemData":{"id":1458,"type":"article-journal","title":"Cardiotoxicity of Immune Checkpoint Inhibitors","container-title":"Current Treatment Options in Cardiovascular Medicine","page":"32","volume":"21","issue":"7","source":"PubMed","abstract":"PURPOSE OF REVIEW: Immunotherapies, particularly immune checkpoint inhibitors (ICI), are revolutionary cancer therapies being increasingly applied to a broader range of cancers. Our understanding of the mechanism, epidemiology, diagnosis, and treatment of cardiotoxicity related to immunotherapies remains limited. We aim to synthesize the limited current literature on cardiotoxicity of ICIs and to share our opinions on the diagnosis and treatment of this condition.\nRECENT FINDINGS: The incidence of ICI-associated myocarditis ranges from 0.1 to 1%. Patients with ICI-associated myocarditis often have a fulminant course with a case fatality rate of 25-50%. The diagnosis of this condition poses many challenges because independently a normal electrocardiogram, biomarkers, or a preserved left ventricular function do not rule out ICI-associated myocarditis. Endomyocardial biopsy should be pursued when clinical suspicion remains despite normal non-invasive tests. Data on optimal screening and surveillance tools are lacking. Cessation of ICIs, combined with high dose corticosteroids and other immunosuppressant approaches are the cornerstones of the treatment of ICI-associated myocarditis. This condition may recur when patients are re-challenged with these agents and the decision to resume ICIs should be made through a multidisciplinary discussion. Immunotherapies have changed the landscape of cancer treatment. Recognizing and managing cardiotoxicity related to ICIs is of critical importance. Our understanding of ICI-cardiotoxicity has improved, but large information gaps remain for further research. Due to the high case fatality rate, any type of cardiac symptoms or signs in a patient who has recently started an ICI should prompt consideration of ICI-cardiotoxicity.","DOI":"10.1007/s11936-019-0731-6","ISSN":"1092-8464","note":"PMID: 31175469","journalAbbreviation":"Curr Treat Options Cardiovasc Med","language":"eng","author":[{"family":"Zhang","given":"Lili"},{"family":"Jones-O'Connor","given":"Maeve"},{"family":"Awadalla","given":"Magid"},{"family":"Zlotoff","given":"Daniel A."},{"family":"Thavendiranathan","given":"Paaladinesh"},{"family":"Groarke","given":"John D."},{"family":"Villani","given":"Alexandra-Chloe"},{"family":"Lyon","given":"Alexander R."},{"family":"Neilan","given":"Tomas G."}],"issued":{"date-parts":[["2019",6,8]]}}}],"schema":"https://github.com/citation-style-language/schema/raw/master/csl-citation.json"} </w:instrText>
      </w:r>
      <w:r w:rsidR="009B3A5C" w:rsidRPr="002D459F">
        <w:rPr>
          <w:rFonts w:ascii="Times New Roman" w:hAnsi="Times New Roman" w:cs="Times New Roman"/>
        </w:rPr>
        <w:fldChar w:fldCharType="separate"/>
      </w:r>
      <w:r w:rsidR="00C96F60" w:rsidRPr="002D459F">
        <w:rPr>
          <w:rFonts w:ascii="Times New Roman" w:hAnsi="Times New Roman" w:cs="Times New Roman"/>
          <w:noProof/>
        </w:rPr>
        <w:t>(4,5)</w:t>
      </w:r>
      <w:r w:rsidR="009B3A5C" w:rsidRPr="002D459F">
        <w:rPr>
          <w:rFonts w:ascii="Times New Roman" w:hAnsi="Times New Roman" w:cs="Times New Roman"/>
        </w:rPr>
        <w:fldChar w:fldCharType="end"/>
      </w:r>
      <w:r w:rsidR="00D436A2" w:rsidRPr="002D459F">
        <w:rPr>
          <w:rFonts w:ascii="Times New Roman" w:hAnsi="Times New Roman" w:cs="Times New Roman"/>
        </w:rPr>
        <w:t xml:space="preserve">. </w:t>
      </w:r>
      <w:r w:rsidR="00AB1AB6" w:rsidRPr="002D459F">
        <w:rPr>
          <w:rFonts w:ascii="Times New Roman" w:hAnsi="Times New Roman" w:cs="Times New Roman"/>
        </w:rPr>
        <w:t xml:space="preserve">Myocarditis is </w:t>
      </w:r>
      <w:r w:rsidR="00551BB6" w:rsidRPr="002D459F">
        <w:rPr>
          <w:rFonts w:ascii="Times New Roman" w:hAnsi="Times New Roman" w:cs="Times New Roman"/>
        </w:rPr>
        <w:t xml:space="preserve">likely an </w:t>
      </w:r>
      <w:r w:rsidR="00791506" w:rsidRPr="002D459F">
        <w:rPr>
          <w:rFonts w:ascii="Times New Roman" w:hAnsi="Times New Roman" w:cs="Times New Roman"/>
        </w:rPr>
        <w:t>uncommon</w:t>
      </w:r>
      <w:r w:rsidR="00AB1AB6" w:rsidRPr="002D459F">
        <w:rPr>
          <w:rFonts w:ascii="Times New Roman" w:hAnsi="Times New Roman" w:cs="Times New Roman"/>
        </w:rPr>
        <w:t xml:space="preserve"> irAE</w:t>
      </w:r>
      <w:r w:rsidR="001F2663" w:rsidRPr="002D459F">
        <w:rPr>
          <w:rFonts w:ascii="Times New Roman" w:hAnsi="Times New Roman" w:cs="Times New Roman"/>
        </w:rPr>
        <w:t xml:space="preserve"> but </w:t>
      </w:r>
      <w:r w:rsidR="004031DB" w:rsidRPr="002D459F">
        <w:rPr>
          <w:rFonts w:ascii="Times New Roman" w:hAnsi="Times New Roman" w:cs="Times New Roman"/>
        </w:rPr>
        <w:t>the reporting</w:t>
      </w:r>
      <w:r w:rsidR="001C46AE" w:rsidRPr="002D459F">
        <w:rPr>
          <w:rFonts w:ascii="Times New Roman" w:hAnsi="Times New Roman" w:cs="Times New Roman"/>
        </w:rPr>
        <w:t xml:space="preserve"> of </w:t>
      </w:r>
      <w:r w:rsidR="001F2663" w:rsidRPr="002D459F">
        <w:rPr>
          <w:rFonts w:ascii="Times New Roman" w:hAnsi="Times New Roman" w:cs="Times New Roman"/>
        </w:rPr>
        <w:t>ICI-</w:t>
      </w:r>
      <w:r w:rsidR="001C46AE" w:rsidRPr="002D459F">
        <w:rPr>
          <w:rFonts w:ascii="Times New Roman" w:hAnsi="Times New Roman" w:cs="Times New Roman"/>
        </w:rPr>
        <w:t>myocarditis has increased</w:t>
      </w:r>
      <w:r w:rsidR="00BA52BF" w:rsidRPr="002D459F">
        <w:rPr>
          <w:rFonts w:ascii="Times New Roman" w:hAnsi="Times New Roman" w:cs="Times New Roman"/>
        </w:rPr>
        <w:t xml:space="preserve"> </w:t>
      </w:r>
      <w:r w:rsidR="00BA52BF"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Jk2yHjiY","properties":{"formattedCitation":"(6)","plainCitation":"(6)","noteIndex":0},"citationItems":[{"id":669,"uris":["http://zotero.org/users/4622338/items/RAY9HKD2"],"uri":["http://zotero.org/users/4622338/items/RAY9HKD2"],"itemData":{"id":669,"type":"article-journal","title":"Myocarditis Associated with Immune Checkpoint Inhibitors: An Expert Consensus on Data Gaps and a Call to Action","container-title":"The Oncologist","page":"874-878","volume":"23","issue":"8","source":"PubMed","abstract":"Immune checkpoint inhibitors (ICIs) have transformed the treatment landscape for cancer. Due to the mechanism of action of ICIs, inflammatory reactions against normal tissue were an anticipated side effect of these agents; these immune-related adverse events have been documented and are typically low grade and manageable. Myocarditis has emerged as an uncommon but potentially life-threatening adverse reaction in patients treated with ICIs. Assessment and characterization of ICI-associated myocarditis is challenging because of its low incidence and protean manifestations. Nevertheless, the seriousness of ICI-associated myocarditis justifies a coordinated effort to increase awareness of this syndrome, identify patients who may be at risk, and enable early diagnosis and appropriate treatment. The \"Checkpoint Inhibitor Safety Working Group,\" a multidisciplinary committee of academic, industry, and regulatory partners, convened at a workshop hosted by Project Data Sphere, LLC, on December 15, 2017. This meeting aimed to evaluate the current information on ICI-associated myocarditis, determine methods to collect and share data on this adverse reaction, and establish task forces to close the identified knowledge gaps. In this report, we summarize the workshop findings and proposed steps to address the impact of ICI-associated myocarditis in patients with cancer.","DOI":"10.1634/theoncologist.2018-0157","ISSN":"1549-490X","note":"PMID: 29802220","title-short":"Myocarditis Associated with Immune Checkpoint Inhibitors","journalAbbreviation":"Oncologist","language":"eng","author":[{"family":"Neilan","given":"Tomas G."},{"family":"Rothenberg","given":"Mace L."},{"family":"Amiri-Kordestani","given":"Laleh"},{"family":"Sullivan","given":"Ryan J."},{"family":"Steingart","given":"Richard M."},{"family":"Gregory","given":"William"},{"family":"Hariharan","given":"Subramanian"},{"family":"Hammad","given":"Tarek A."},{"family":"Lindenfeld","given":"JoAnn"},{"family":"Murphy","given":"Martin J."},{"family":"Moslehi","given":"Javid J."},{"literal":"Checkpoint Inhibitor Safety Working Group"}],"issued":{"date-parts":[["2018",8]]}}}],"schema":"https://github.com/citation-style-language/schema/raw/master/csl-citation.json"} </w:instrText>
      </w:r>
      <w:r w:rsidR="00BA52BF" w:rsidRPr="002D459F">
        <w:rPr>
          <w:rFonts w:ascii="Times New Roman" w:hAnsi="Times New Roman" w:cs="Times New Roman"/>
        </w:rPr>
        <w:fldChar w:fldCharType="separate"/>
      </w:r>
      <w:r w:rsidR="00C96F60" w:rsidRPr="002D459F">
        <w:rPr>
          <w:rFonts w:ascii="Times New Roman" w:hAnsi="Times New Roman" w:cs="Times New Roman"/>
          <w:noProof/>
        </w:rPr>
        <w:t>(6)</w:t>
      </w:r>
      <w:r w:rsidR="00BA52BF" w:rsidRPr="002D459F">
        <w:rPr>
          <w:rFonts w:ascii="Times New Roman" w:hAnsi="Times New Roman" w:cs="Times New Roman"/>
        </w:rPr>
        <w:fldChar w:fldCharType="end"/>
      </w:r>
      <w:r w:rsidR="00551BB6" w:rsidRPr="002D459F">
        <w:rPr>
          <w:rFonts w:ascii="Times New Roman" w:hAnsi="Times New Roman" w:cs="Times New Roman"/>
        </w:rPr>
        <w:t xml:space="preserve"> and c</w:t>
      </w:r>
      <w:r w:rsidR="002D2494" w:rsidRPr="002D459F">
        <w:rPr>
          <w:rFonts w:ascii="Times New Roman" w:hAnsi="Times New Roman" w:cs="Times New Roman"/>
        </w:rPr>
        <w:t xml:space="preserve">onsistent data have shown the case fatality rate with myocarditis related to an ICI is very high, ranging from </w:t>
      </w:r>
      <w:r w:rsidR="00566ECD" w:rsidRPr="002D459F">
        <w:rPr>
          <w:rFonts w:ascii="Times New Roman" w:hAnsi="Times New Roman" w:cs="Times New Roman"/>
        </w:rPr>
        <w:t>3</w:t>
      </w:r>
      <w:r w:rsidR="002D2494" w:rsidRPr="002D459F">
        <w:rPr>
          <w:rFonts w:ascii="Times New Roman" w:hAnsi="Times New Roman" w:cs="Times New Roman"/>
        </w:rPr>
        <w:t xml:space="preserve">5-50% </w:t>
      </w:r>
      <w:r w:rsidR="00BA52BF"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R0U9E7n7","properties":{"formattedCitation":"(2,3,6,7)","plainCitation":"(2,3,6,7)","noteIndex":0},"citationItems":[{"id":415,"uris":["http://zotero.org/users/4622338/items/YGUGY45V"],"uri":["http://zotero.org/users/4622338/items/YGUGY45V"],"itemData":{"id":415,"type":"article-journal","title":"Myocarditis in Patients Treated With Immune Checkpoint Inhibitors","container-title":"Journal of the American College of Cardiology","page":"1755-1764","volume":"71","issue":"16","source":"PubMed","abstract":"BACKGROUND: Myocarditis is an uncommon, but potentially fatal, toxicity of immune checkpoint inhibitors (ICI). Myocarditis after ICI has not been well characterized.\nOBJECTIVES: The authors sought to understand the presentation and clinical course of ICI-associated myocarditis.\nMETHODS: After observation of sporadic ICI-associated myocarditis cases, the authors created a multicenter registry with 8 sites. From November 2013 to July 2017, there were 35 patients with ICI-associated myocarditis, who were compared to a random sample of 105 ICI-treated patients without myocarditis. Covariates of interest were extracted from medical records including the occurrence of major adverse cardiac events (MACE), defined as the composite of cardiovascular death, cardiogenic shock, cardiac arrest, and hemodynamically significant complete heart block.\nRESULTS: The prevalence of myocarditis was 1.14% with a median time of onset of 34 days after starting ICI (interquartile range: 21 to 75 days). Cases were 65 ± 13 years of age, 29% were female, and 54% had no other immune-related side effects. Relative to controls, combination ICI (34% vs. 2%; p &lt; 0.001) and diabetes (34% vs. 13%; p = 0.01) were more common in cases. Over 102 days (interquartile range: 62 to 214 days) of median follow-up, 16 (46%) developed MACE; 38% of MACE occurred with normal ejection fraction. There was a 4-fold increased risk of MACE with troponin T of ≥1.5 ng/ml (hazard ratio: 4.0; 95% confidence interval: 1.5 to 10.9; p = 0.003). Steroids were administered in 89%, and lower steroids doses were associated with higher residual troponin and higher MACE rates.\nCONCLUSIONS: Myocarditis after ICI therapy may be more common than appreciated, occurs early after starting treatment, has a malignant course, and responds to higher steroid doses.","DOI":"10.1016/j.jacc.2018.02.037","ISSN":"1558-3597","note":"PMID: 29567210","journalAbbreviation":"J. Am. Coll. Cardiol.","language":"eng","author":[{"family":"Mahmood","given":"Syed S."},{"family":"Fradley","given":"Michael G."},{"family":"Cohen","given":"Justine V."},{"family":"Nohria","given":"Anju"},{"family":"Reynolds","given":"Kerry L."},{"family":"Heinzerling","given":"Lucie M."},{"family":"Sullivan","given":"Ryan J."},{"family":"Damrongwatanasuk","given":"Rongras"},{"family":"Chen","given":"Carol L."},{"family":"Gupta","given":"Dipti"},{"family":"Kirchberger","given":"Michael C."},{"family":"Awadalla","given":"Magid"},{"family":"Hassan","given":"Malek Z. O."},{"family":"Moslehi","given":"Javid J."},{"family":"Shah","given":"Sachin P."},{"family":"Ganatra","given":"Sarju"},{"family":"Thavendiranathan","given":"Paaladinesh"},{"family":"Lawrence","given":"Donald P."},{"family":"Groarke","given":"John D."},{"family":"Neilan","given":"Tomas G."}],"issued":{"date-parts":[["2018",4,24]]}}},{"id":799,"uris":["http://zotero.org/users/4622338/items/UUZ72MKK"],"uri":["http://zotero.org/users/4622338/items/UUZ72MKK"],"itemData":{"id":799,"type":"article-journal","title":"Fulminant Myocarditis with Combination Immune Checkpoint Blockade","container-title":"The New England Journal of Medicine","page":"1749-1755","volume":"375","issue":"18","source":"PubMed","abstract":"Immune checkpoint inhibitors have improved clinical outcomes associated with numerous cancers, but high-grade, immune-related adverse events can occur, particularly with combination immunotherapy. We report the cases of two patients with melanoma in whom fatal myocarditis developed after treatment with ipilimumab and nivolumab. In both patients, there was development of myositis with rhabdomyolysis, early progressive and refractory cardiac electrical instability, and myocarditis with a robust presence of T-cell and macrophage infiltrates. Selective clonal T-cell populations infiltrating the myocardium were identical to those present in tumors and skeletal muscle. Pharmacovigilance studies show that myocarditis occurred in 0.27% of patients treated with a combination of ipilimumab and nivolumab, which suggests that our patients were having a rare, potentially fatal, T-cell-driven drug reaction. (Funded by Vanderbilt-Ingram Cancer Center Ambassadors and others.).","DOI":"10.1056/NEJMoa1609214","ISSN":"1533-4406","note":"PMID: 27806233\nPMCID: PMC5247797","journalAbbreviation":"N. Engl. J. Med.","language":"eng","author":[{"family":"Johnson","given":"Douglas B."},{"family":"Balko","given":"Justin M."},{"family":"Compton","given":"Margaret L."},{"family":"Chalkias","given":"Spyridon"},{"family":"Gorham","given":"Joshua"},{"family":"Xu","given":"Yaomin"},{"family":"Hicks","given":"Mellissa"},{"family":"Puzanov","given":"Igor"},{"family":"Alexander","given":"Matthew R."},{"family":"Bloomer","given":"Tyler L."},{"family":"Becker","given":"Jason R."},{"family":"Slosky","given":"David A."},{"family":"Phillips","given":"Elizabeth J."},{"family":"Pilkinton","given":"Mark A."},{"family":"Craig-Owens","given":"Laura"},{"family":"Kola","given":"Nina"},{"family":"Plautz","given":"Gregory"},{"family":"Reshef","given":"Daniel S."},{"family":"Deutsch","given":"Jonathan S."},{"family":"Deering","given":"Raquel P."},{"family":"Olenchock","given":"Benjamin A."},{"family":"Lichtman","given":"Andrew H."},{"family":"Roden","given":"Dan M."},{"family":"Seidman","given":"Christine E."},{"family":"Koralnik","given":"Igor J."},{"family":"Seidman","given":"Jonathan G."},{"family":"Hoffman","given":"Robert D."},{"family":"Taube","given":"Janis M."},{"family":"Diaz","given":"Luis A."},{"family":"Anders","given":"Robert A."},{"family":"Sosman","given":"Jeffrey A."},{"family":"Moslehi","given":"Javid J."}],"issued":{"date-parts":[["2016",11,3]]}}},{"id":1079,"uris":["http://zotero.org/users/4622338/items/NXM6H5PW"],"uri":["http://zotero.org/users/4622338/items/NXM6H5PW"],"itemData":{"id":1079,"type":"article-journal","title":"Influenza vaccination and myocarditis among patients receiving immune checkpoint inhibitors","container-title":"Journal for Immunotherapy of Cancer","page":"53","volume":"7","issue":"1","source":"PubMed","abstract":"BACKGROUND: Influenza vaccination (FV) is recommended for patients with cancer. Recent data suggested that the administration of the FV was associated with an increase in immune-related adverse events (irAEs) among patients on immune checkpoint inhibitors (ICIs). Myocarditis is an uncommon but serious complication of ICIs and may also result from infection with influenza. There are no data testing the relationship between FV and the development of myocarditis on ICIs.\nMETHODS: Patients on ICIs who developed myocarditis (n = 101) (cases) were compared to ICI-treated patients (n = 201) without myocarditis (controls). A patient was defined as having the FV if they were administered the FV from 6 months prior to start of ICI to anytime during ICI therapy. Alternate thresholds for FV status were also tested. The primary comparison of interest was the rate of FV between cases and controls. Patients with myocarditis were followed for major adverse cardiac events (MACE), defined as the composite of cardiogenic shock, cardiac arrest, hemodynamically significant complete heart block and cardiovascular death.\nRESULTS: The FV was administered to 25% of the myocarditis cases compared to 40% of the non-myocarditis ICI-treated controls (p = 0.01). Similar findings of lower rates of FV administration were noted among myocarditis cases when alternate thresholds were tested. Among the myocarditis cases, those who were vaccinated had 3-fold lower troponin levels when compared to unvaccinated cases (FV vs. No FV: 0.12 [0.02, 0.47] vs. 0.40 [0.11, 1.26] ng/ml, p = 0.02). Within myocarditis cases, those administered the FV also had a lower rate of other irAEs when compared to unvaccinated cases (36 vs. 55% p = 0.10) including lower rates of pneumonitis (12 vs. 36%, p = 0.03). During follow-up (175 [IQR 89, 363] days), 47% of myocarditis cases experienced a MACE. Myocarditis cases who received the FV were at a lower risk of cumulative MACE when compared to unvaccinated cases (24 vs. 59%, p = 0.002).\nCONCLUSION: The rate of FV among ICI-related myocarditis cases was lower than controls on ICIs who did not develop myocarditis. In those who developed myocarditis related to an ICI, there was less myocardial injury and a lower risk of MACE among those who were administered the FV.","DOI":"10.1186/s40425-019-0535-y","ISSN":"2051-1426","note":"PMID: 30795818\nPMCID: PMC6387531","journalAbbreviation":"J Immunother Cancer","language":"eng","author":[{"family":"Awadalla","given":"Magid"},{"family":"Golden","given":"Doll Lauren Alexandra"},{"family":"Mahmood","given":"Syed S."},{"family":"Alvi","given":"Raza M."},{"family":"Mercaldo","given":"Nathaniel D."},{"family":"Hassan","given":"Malek Z. O."},{"family":"Banerji","given":"Dahlia"},{"family":"Rokicki","given":"Adam"},{"family":"Mulligan","given":"Connor"},{"family":"Murphy","given":"Sean P. T."},{"family":"Jones-O'Connor","given":"Maeve"},{"family":"Cohen","given":"Justine V."},{"family":"Heinzerling","given":"Lucie M."},{"family":"Armanious","given":"Merna"},{"family":"Sullivan","given":"Ryan J."},{"family":"Damrongwatanasuk","given":"Rongras"},{"family":"Chen","given":"Carol L."},{"family":"Gupta","given":"Dipti"},{"family":"Kirchberger","given":"Michael C."},{"family":"Moslehi","given":"Javid J."},{"family":"Shah","given":"Sachin P."},{"family":"Ganatra","given":"Sarju"},{"family":"Thavendiranathan","given":"Paaladinesh"},{"family":"Rizvi","given":"Muhammad A."},{"family":"Sahni","given":"Gagan"},{"family":"Lyon","given":"Alexander R."},{"family":"Tocchetti","given":"Carlo G."},{"family":"Mercurio","given":"Valentina"},{"family":"Thuny","given":"Franck"},{"family":"Ederhy","given":"Stephane"},{"family":"Mahmoudi","given":"Michael"},{"family":"Lawrence","given":"Donald P."},{"family":"Groarke","given":"John D."},{"family":"Nohria","given":"Anju"},{"family":"Fradley","given":"Michael G."},{"family":"Reynolds","given":"Kerry L."},{"family":"Neilan","given":"Tomas G."}],"issued":{"date-parts":[["2019",2,22]]}}},{"id":669,"uris":["http://zotero.org/users/4622338/items/RAY9HKD2"],"uri":["http://zotero.org/users/4622338/items/RAY9HKD2"],"itemData":{"id":669,"type":"article-journal","title":"Myocarditis Associated with Immune Checkpoint Inhibitors: An Expert Consensus on Data Gaps and a Call to Action","container-title":"The Oncologist","page":"874-878","volume":"23","issue":"8","source":"PubMed","abstract":"Immune checkpoint inhibitors (ICIs) have transformed the treatment landscape for cancer. Due to the mechanism of action of ICIs, inflammatory reactions against normal tissue were an anticipated side effect of these agents; these immune-related adverse events have been documented and are typically low grade and manageable. Myocarditis has emerged as an uncommon but potentially life-threatening adverse reaction in patients treated with ICIs. Assessment and characterization of ICI-associated myocarditis is challenging because of its low incidence and protean manifestations. Nevertheless, the seriousness of ICI-associated myocarditis justifies a coordinated effort to increase awareness of this syndrome, identify patients who may be at risk, and enable early diagnosis and appropriate treatment. The \"Checkpoint Inhibitor Safety Working Group,\" a multidisciplinary committee of academic, industry, and regulatory partners, convened at a workshop hosted by Project Data Sphere, LLC, on December 15, 2017. This meeting aimed to evaluate the current information on ICI-associated myocarditis, determine methods to collect and share data on this adverse reaction, and establish task forces to close the identified knowledge gaps. In this report, we summarize the workshop findings and proposed steps to address the impact of ICI-associated myocarditis in patients with cancer.","DOI":"10.1634/theoncologist.2018-0157","ISSN":"1549-490X","note":"PMID: 29802220","title-short":"Myocarditis Associated with Immune Checkpoint Inhibitors","journalAbbreviation":"Oncologist","language":"eng","author":[{"family":"Neilan","given":"Tomas G."},{"family":"Rothenberg","given":"Mace L."},{"family":"Amiri-Kordestani","given":"Laleh"},{"family":"Sullivan","given":"Ryan J."},{"family":"Steingart","given":"Richard M."},{"family":"Gregory","given":"William"},{"family":"Hariharan","given":"Subramanian"},{"family":"Hammad","given":"Tarek A."},{"family":"Lindenfeld","given":"JoAnn"},{"family":"Murphy","given":"Martin J."},{"family":"Moslehi","given":"Javid J."},{"literal":"Checkpoint Inhibitor Safety Working Group"}],"issued":{"date-parts":[["2018",8]]}}}],"schema":"https://github.com/citation-style-language/schema/raw/master/csl-citation.json"} </w:instrText>
      </w:r>
      <w:r w:rsidR="00BA52BF" w:rsidRPr="002D459F">
        <w:rPr>
          <w:rFonts w:ascii="Times New Roman" w:hAnsi="Times New Roman" w:cs="Times New Roman"/>
        </w:rPr>
        <w:fldChar w:fldCharType="separate"/>
      </w:r>
      <w:r w:rsidR="00C96F60" w:rsidRPr="002D459F">
        <w:rPr>
          <w:rFonts w:ascii="Times New Roman" w:hAnsi="Times New Roman" w:cs="Times New Roman"/>
        </w:rPr>
        <w:t>(2,3,6,7)</w:t>
      </w:r>
      <w:r w:rsidR="00BA52BF" w:rsidRPr="002D459F">
        <w:rPr>
          <w:rFonts w:ascii="Times New Roman" w:hAnsi="Times New Roman" w:cs="Times New Roman"/>
        </w:rPr>
        <w:fldChar w:fldCharType="end"/>
      </w:r>
      <w:r w:rsidR="00BA52BF" w:rsidRPr="002D459F">
        <w:rPr>
          <w:rFonts w:ascii="Times New Roman" w:hAnsi="Times New Roman" w:cs="Times New Roman"/>
        </w:rPr>
        <w:t>.</w:t>
      </w:r>
      <w:r w:rsidR="00791506" w:rsidRPr="002D459F">
        <w:rPr>
          <w:rFonts w:ascii="Times New Roman" w:hAnsi="Times New Roman" w:cs="Times New Roman"/>
        </w:rPr>
        <w:t xml:space="preserve"> </w:t>
      </w:r>
      <w:r w:rsidR="00C754C6" w:rsidRPr="002D459F">
        <w:rPr>
          <w:rFonts w:ascii="Times New Roman" w:hAnsi="Times New Roman" w:cs="Times New Roman"/>
        </w:rPr>
        <w:t>However, o</w:t>
      </w:r>
      <w:r w:rsidR="00AB1AB6" w:rsidRPr="002D459F">
        <w:rPr>
          <w:rFonts w:ascii="Times New Roman" w:hAnsi="Times New Roman" w:cs="Times New Roman"/>
        </w:rPr>
        <w:t xml:space="preserve">ur understanding of ICI myocarditis is limited and </w:t>
      </w:r>
      <w:r w:rsidR="00C754C6" w:rsidRPr="002D459F">
        <w:rPr>
          <w:rFonts w:ascii="Times New Roman" w:hAnsi="Times New Roman" w:cs="Times New Roman"/>
        </w:rPr>
        <w:t xml:space="preserve">this </w:t>
      </w:r>
      <w:r w:rsidR="00AB1AB6" w:rsidRPr="002D459F">
        <w:rPr>
          <w:rFonts w:ascii="Times New Roman" w:hAnsi="Times New Roman" w:cs="Times New Roman"/>
        </w:rPr>
        <w:t xml:space="preserve">needs to improve as </w:t>
      </w:r>
      <w:r w:rsidR="00791506" w:rsidRPr="002D459F">
        <w:rPr>
          <w:rFonts w:ascii="Times New Roman" w:hAnsi="Times New Roman" w:cs="Times New Roman"/>
        </w:rPr>
        <w:t>ICIs are being tested broadly in additional adjuvant settings and in combination with targeted and traditional cytotoxic therapies</w:t>
      </w:r>
      <w:r w:rsidR="00E257FA" w:rsidRPr="002D459F">
        <w:rPr>
          <w:rFonts w:ascii="Times New Roman" w:hAnsi="Times New Roman" w:cs="Times New Roman"/>
        </w:rPr>
        <w:t xml:space="preserve"> </w:t>
      </w:r>
      <w:r w:rsidR="00E257FA" w:rsidRPr="002D459F">
        <w:rPr>
          <w:rFonts w:ascii="Times New Roman" w:hAnsi="Times New Roman" w:cs="Times New Roman"/>
        </w:rPr>
        <w:fldChar w:fldCharType="begin"/>
      </w:r>
      <w:r w:rsidR="002C6901" w:rsidRPr="002D459F">
        <w:rPr>
          <w:rFonts w:ascii="Times New Roman" w:hAnsi="Times New Roman" w:cs="Times New Roman"/>
        </w:rPr>
        <w:instrText xml:space="preserve"> ADDIN ZOTERO_ITEM CSL_CITATION {"citationID":"3eT4wKU6","properties":{"formattedCitation":"(1)","plainCitation":"(1)","noteIndex":0},"citationItems":[{"id":1042,"uris":["http://zotero.org/users/4622338/items/VT5L2NAY"],"uri":["http://zotero.org/users/4622338/items/VT5L2NAY"],"itemData":{"id":1042,"type":"article-journal","title":"Adjuvant immunotherapy for cancer: the next step","container-title":"The Lancet. Oncology","page":"478-480","volume":"16","issue":"5","source":"PubMed","DOI":"10.1016/S1470-2045(15)70162-2","ISSN":"1474-5488","note":"PMID: 25840692","title-short":"Adjuvant immunotherapy for cancer","journalAbbreviation":"Lancet Oncol.","language":"eng","author":[{"family":"Sondak","given":"Vernon K."},{"family":"McArthur","given":"Grant A."}],"issued":{"date-parts":[["2015",5]]}}}],"schema":"https://github.com/citation-style-language/schema/raw/master/csl-citation.json"} </w:instrText>
      </w:r>
      <w:r w:rsidR="00E257FA" w:rsidRPr="002D459F">
        <w:rPr>
          <w:rFonts w:ascii="Times New Roman" w:hAnsi="Times New Roman" w:cs="Times New Roman"/>
        </w:rPr>
        <w:fldChar w:fldCharType="separate"/>
      </w:r>
      <w:r w:rsidR="002C6901" w:rsidRPr="002D459F">
        <w:rPr>
          <w:rFonts w:ascii="Times New Roman" w:hAnsi="Times New Roman" w:cs="Times New Roman"/>
        </w:rPr>
        <w:t>(1)</w:t>
      </w:r>
      <w:r w:rsidR="00E257FA" w:rsidRPr="002D459F">
        <w:rPr>
          <w:rFonts w:ascii="Times New Roman" w:hAnsi="Times New Roman" w:cs="Times New Roman"/>
        </w:rPr>
        <w:fldChar w:fldCharType="end"/>
      </w:r>
      <w:r w:rsidR="00791506" w:rsidRPr="002D459F">
        <w:rPr>
          <w:rFonts w:ascii="Times New Roman" w:hAnsi="Times New Roman" w:cs="Times New Roman"/>
        </w:rPr>
        <w:t>.</w:t>
      </w:r>
      <w:r w:rsidR="00AB1AB6" w:rsidRPr="002D459F">
        <w:rPr>
          <w:rFonts w:ascii="Times New Roman" w:hAnsi="Times New Roman" w:cs="Times New Roman"/>
        </w:rPr>
        <w:t xml:space="preserve"> </w:t>
      </w:r>
    </w:p>
    <w:p w14:paraId="68140B0D" w14:textId="0D1A0B0D" w:rsidR="003A2A0B" w:rsidRPr="002D459F" w:rsidRDefault="00791506" w:rsidP="002D459F">
      <w:pPr>
        <w:spacing w:line="480" w:lineRule="auto"/>
        <w:ind w:firstLine="720"/>
        <w:rPr>
          <w:rFonts w:ascii="Times New Roman" w:hAnsi="Times New Roman" w:cs="Times New Roman"/>
        </w:rPr>
      </w:pPr>
      <w:r w:rsidRPr="002D459F">
        <w:rPr>
          <w:rFonts w:ascii="Times New Roman" w:hAnsi="Times New Roman" w:cs="Times New Roman"/>
        </w:rPr>
        <w:t xml:space="preserve">A key limitation is the </w:t>
      </w:r>
      <w:r w:rsidR="00AB1AB6" w:rsidRPr="002D459F">
        <w:rPr>
          <w:rFonts w:ascii="Times New Roman" w:hAnsi="Times New Roman" w:cs="Times New Roman"/>
        </w:rPr>
        <w:t xml:space="preserve">lack of robust techniques for </w:t>
      </w:r>
      <w:r w:rsidRPr="002D459F">
        <w:rPr>
          <w:rFonts w:ascii="Times New Roman" w:hAnsi="Times New Roman" w:cs="Times New Roman"/>
        </w:rPr>
        <w:t xml:space="preserve">the </w:t>
      </w:r>
      <w:r w:rsidR="00AB1AB6" w:rsidRPr="002D459F">
        <w:rPr>
          <w:rFonts w:ascii="Times New Roman" w:hAnsi="Times New Roman" w:cs="Times New Roman"/>
        </w:rPr>
        <w:t>detection of ICI myocarditis and the lack of methods for risk stratification among patients who develop myocarditis</w:t>
      </w:r>
      <w:r w:rsidR="009B3A5C" w:rsidRPr="002D459F">
        <w:rPr>
          <w:rFonts w:ascii="Times New Roman" w:hAnsi="Times New Roman" w:cs="Times New Roman"/>
        </w:rPr>
        <w:t xml:space="preserve"> </w:t>
      </w:r>
      <w:r w:rsidR="009B3A5C" w:rsidRPr="002D459F">
        <w:rPr>
          <w:rFonts w:ascii="Times New Roman" w:hAnsi="Times New Roman" w:cs="Times New Roman"/>
        </w:rPr>
        <w:fldChar w:fldCharType="begin"/>
      </w:r>
      <w:r w:rsidR="009B3A5C" w:rsidRPr="002D459F">
        <w:rPr>
          <w:rFonts w:ascii="Times New Roman" w:hAnsi="Times New Roman" w:cs="Times New Roman"/>
        </w:rPr>
        <w:instrText xml:space="preserve"> ADDIN ZOTERO_ITEM CSL_CITATION {"citationID":"KXJx0bGM","properties":{"formattedCitation":"(4)","plainCitation":"(4)","noteIndex":0},"citationItems":[{"id":671,"uris":["http://zotero.org/users/4622338/items/EUTWPSQ6"],"uri":["http://zotero.org/users/4622338/items/EUTWPSQ6"],"itemData":{"id":671,"type":"article-journal","title":"Immune Checkpoint Inhibitor-Associated Myocarditis","container-title":"The Oncologist","page":"879-886","volume":"23","issue":"8","source":"PubMed","abstract":"Immune checkpoint inhibitors (ICIs) are approved for a wide range of malignancies. They work by priming the immune system response to cancer and have changed the landscape of available cancer treatments. As anticipated, modulation of the regulatory controls in the immune system with ICIs results in diverse immune-related adverse events, targeting any organ or gland. These toxicities are rarely fatal and generally regress after treatment discontinuation and/or prescription of corticosteroids. Recently, several cases of ICI-related cardiotoxicity have been reported with complications ranging from cardiogenic shock to sudden death. The true incidence of ICI-associated myocarditis is likely underestimated, due to a combination of factors including the lack of specificity in the clinical presentation, the potential of overlap with other cardiovascular and general medical illnesses, the challenges in the diagnosis, and a general lack of awareness of this condition. Currently, there are no clear guidelines for surveillance, diagnosis, or management of this entity. There are multiple unresolved issues including, but not limited to, identifying those at risk of this uncommon toxicity, elucidating the pathophysiology, determining if and what type of surveillance is appropriate, optimal work-up of suspected patients, and methods for resolution of myocarditis. Here we describe a clinical vignette and discuss the salient features and management strategies of ICI-associated myocarditis.\nKEY POINTS: The incidence of immune checkpoint inhibitor (ICI)-associated myocarditis is unclear and has been reported to range from 0.06% to 1% of patients prescribed an ICI.Myocarditis may be difficult to diagnose.The risk factors for ICI-associated myocarditis are not well understood but may include underlying autoimmune disease and diabetes mellitus.The prevalence of myocarditis has been reported to be higher with combination immune therapies.Myocarditis with ICI's typically occurs early, with an elevated troponin, may present with an normal left ventricular ejection fraction and may have a fulminant course.The optimal management of myocarditis associated with ICI's is unclear but most cases are treated with high-dose steroids.","DOI":"10.1634/theoncologist.2018-0130","ISSN":"1549-490X","note":"PMID: 29802219","journalAbbreviation":"Oncologist","language":"eng","author":[{"family":"Ganatra","given":"Sarju"},{"family":"Neilan","given":"Tomas G."}],"issued":{"date-parts":[["2018",8]]}}}],"schema":"https://github.com/citation-style-language/schema/raw/master/csl-citation.json"} </w:instrText>
      </w:r>
      <w:r w:rsidR="009B3A5C" w:rsidRPr="002D459F">
        <w:rPr>
          <w:rFonts w:ascii="Times New Roman" w:hAnsi="Times New Roman" w:cs="Times New Roman"/>
        </w:rPr>
        <w:fldChar w:fldCharType="separate"/>
      </w:r>
      <w:r w:rsidR="009B3A5C" w:rsidRPr="002D459F">
        <w:rPr>
          <w:rFonts w:ascii="Times New Roman" w:hAnsi="Times New Roman" w:cs="Times New Roman"/>
          <w:noProof/>
        </w:rPr>
        <w:t>(4)</w:t>
      </w:r>
      <w:r w:rsidR="009B3A5C" w:rsidRPr="002D459F">
        <w:rPr>
          <w:rFonts w:ascii="Times New Roman" w:hAnsi="Times New Roman" w:cs="Times New Roman"/>
        </w:rPr>
        <w:fldChar w:fldCharType="end"/>
      </w:r>
      <w:r w:rsidR="00AB1AB6" w:rsidRPr="002D459F">
        <w:rPr>
          <w:rFonts w:ascii="Times New Roman" w:hAnsi="Times New Roman" w:cs="Times New Roman"/>
        </w:rPr>
        <w:t xml:space="preserve">. </w:t>
      </w:r>
      <w:r w:rsidR="00886BB7" w:rsidRPr="002D459F">
        <w:rPr>
          <w:rFonts w:ascii="Times New Roman" w:hAnsi="Times New Roman" w:cs="Times New Roman"/>
        </w:rPr>
        <w:t>The</w:t>
      </w:r>
      <w:r w:rsidRPr="002D459F">
        <w:rPr>
          <w:rFonts w:ascii="Times New Roman" w:hAnsi="Times New Roman" w:cs="Times New Roman"/>
        </w:rPr>
        <w:t xml:space="preserve"> </w:t>
      </w:r>
      <w:r w:rsidR="00AB1AB6" w:rsidRPr="002D459F">
        <w:rPr>
          <w:rFonts w:ascii="Times New Roman" w:hAnsi="Times New Roman" w:cs="Times New Roman"/>
        </w:rPr>
        <w:t xml:space="preserve">measurement of </w:t>
      </w:r>
      <w:r w:rsidR="002479F2" w:rsidRPr="002D459F">
        <w:rPr>
          <w:rFonts w:ascii="Times New Roman" w:hAnsi="Times New Roman" w:cs="Times New Roman"/>
        </w:rPr>
        <w:t xml:space="preserve">left ventricular </w:t>
      </w:r>
      <w:r w:rsidR="00886BB7" w:rsidRPr="002D459F">
        <w:rPr>
          <w:rFonts w:ascii="Times New Roman" w:hAnsi="Times New Roman" w:cs="Times New Roman"/>
        </w:rPr>
        <w:t>global longitudinal strain (</w:t>
      </w:r>
      <w:r w:rsidR="00AB1AB6" w:rsidRPr="002D459F">
        <w:rPr>
          <w:rFonts w:ascii="Times New Roman" w:hAnsi="Times New Roman" w:cs="Times New Roman"/>
        </w:rPr>
        <w:t>GLS</w:t>
      </w:r>
      <w:r w:rsidR="00886BB7" w:rsidRPr="002D459F">
        <w:rPr>
          <w:rFonts w:ascii="Times New Roman" w:hAnsi="Times New Roman" w:cs="Times New Roman"/>
        </w:rPr>
        <w:t>)</w:t>
      </w:r>
      <w:r w:rsidR="00AB1AB6" w:rsidRPr="002D459F">
        <w:rPr>
          <w:rFonts w:ascii="Times New Roman" w:hAnsi="Times New Roman" w:cs="Times New Roman"/>
        </w:rPr>
        <w:t xml:space="preserve"> has been extensively applied in the detection of cardiac injury with traditional cytotoxic chemotherapies</w:t>
      </w:r>
      <w:r w:rsidR="00886BB7" w:rsidRPr="002D459F">
        <w:rPr>
          <w:rFonts w:ascii="Times New Roman" w:hAnsi="Times New Roman" w:cs="Times New Roman"/>
        </w:rPr>
        <w:t xml:space="preserve"> </w:t>
      </w:r>
      <w:r w:rsidR="00AB1AB6" w:rsidRPr="002D459F">
        <w:rPr>
          <w:rFonts w:ascii="Times New Roman" w:hAnsi="Times New Roman" w:cs="Times New Roman"/>
        </w:rPr>
        <w:t xml:space="preserve">and for the prediction of subsequent cardiac events after chemotherapy </w:t>
      </w:r>
      <w:r w:rsidR="00BC3515" w:rsidRPr="002D459F">
        <w:rPr>
          <w:rFonts w:ascii="Times New Roman" w:hAnsi="Times New Roman" w:cs="Times New Roman"/>
        </w:rPr>
        <w:fldChar w:fldCharType="begin"/>
      </w:r>
      <w:r w:rsidR="00134B16" w:rsidRPr="002D459F">
        <w:rPr>
          <w:rFonts w:ascii="Times New Roman" w:hAnsi="Times New Roman" w:cs="Times New Roman"/>
        </w:rPr>
        <w:instrText xml:space="preserve"> ADDIN ZOTERO_ITEM CSL_CITATION {"citationID":"wKBGkcmk","properties":{"formattedCitation":"(8,9)","plainCitation":"(8,9)","noteIndex":0},"citationItems":[{"id":491,"uris":["http://zotero.org/users/4622338/items/SD675BW8"],"uri":["http://zotero.org/users/4622338/items/SD675BW8"],"itemData":{"id":491,"type":"article-journal","title":"Assessment of Echocardiography and Biomarkers for the Extended Prediction of Cardiotoxicity in Patients Treated With Anthracyclines, Taxanes, and Trastuzumab","container-title":"Circulation. Cardiovascular imaging","page":"596-603","volume":"5","issue":"5","source":"PubMed Central","abstract":"Background\nBecause cancer patients survive longer, the impact of cardiotoxicity associated with the use of cancer treatments escalates. The present study investigates whether early alterations of myocardial strain and blood biomarkers predict incident cardiotoxicity in patients with breast cancer during treatment with anthracyclines, taxanes, and trastuzumab.\n\nMethods and Results\nEighty-one women with newly diagnosed human epidermal growth factor receptor 2–positive breast cancer, treated with anthracyclines followed by taxanes and trastuzumab were enrolled to be evaluated every 3 months during their cancer therapy (total of 15 months) using echocardiograms and blood samples. Left ventricular ejection fraction, peak systolic longitudinal, radial, and circumferential myocardial strain were calculated. Ultrasensitive troponin I, N-terminal pro–B-type natriuretic peptide, and the interleukin family member (ST2) were also measured. Left ventricular ejection fraction decreased (64 ± 5% to 59 ± 6%; P&lt;0.0001) over 15 months. Twenty-six patients (32%, [22%–43%]) developed cardiotoxicity as defined by the Cardiac Review and Evaluation Committee Reviewing Trastuzumab; of these patients, 5 (6%, [2%–14%]) had symptoms of heart failure. Peak systolic longitudinal myocardial strain and ultrasensitive troponin I measured at the completion of anthracyclines treatment predicted the subsequent development of cardiotoxicity; no significant associations were observed for left ventricular ejection fraction, N-terminal pro–B-type natriuretic peptide, and ST2. Longitudinal strain was &lt;19% in all patients who later developed heart failure.\n\nConclusions\nIn patients with breast cancer treated with anthracyclines, taxanes, and trastuzumab, systolic longitudinal myocardial strain and ultrasensitive troponin I measured at the completion of anthracyclines therapy are useful in the prediction of subsequent cardiotoxicity and may help guide treatment to avoid cardiac side-effects.","DOI":"10.1161/CIRCIMAGING.112.973321","ISSN":"1941-9651","note":"PMID: 22744937\nPMCID: PMC3703313","journalAbbreviation":"Circ Cardiovasc Imaging","author":[{"family":"Sawaya","given":"Heloisa"},{"family":"Sebag","given":"Igal A."},{"family":"Plana","given":"Juan Carlos"},{"family":"Januzzi","given":"James L."},{"family":"Ky","given":"Bonnie"},{"family":"Tan","given":"Timothy C."},{"family":"Cohen","given":"Victor"},{"family":"Banchs","given":"Jose"},{"family":"Carver","given":"Joseph R."},{"family":"Wiegers","given":"Susan E."},{"family":"Martin","given":"Randolph P."},{"family":"Picard","given":"Michael H."},{"family":"Gerszten","given":"Robert E."},{"family":"Halpern","given":"Elkan F."},{"family":"Passeri","given":"Jonathan"},{"family":"Kuter","given":"Irene"},{"family":"Scherrer-Crosbie","given":"Marielle"}],"issued":{"date-parts":[["2012",9,1]]}}},{"id":1091,"uris":["http://zotero.org/users/4622338/items/TNX2ZWJR"],"uri":["http://zotero.org/users/4622338/items/TNX2ZWJR"],"itemData":{"id":1091,"type":"article-journal","title":"Independent and incremental value of deformation indices for prediction of trastuzumab-induced cardiotoxicity","container-title":"Journal of the American Society of Echocardiography","page":"493-498","volume":"26","issue":"5","source":"PubMed","abstract":"BACKGROUND: Assessment of left ventricular systolic function is necessary during trastuzumab-based chemotherapy because of potential cardiotoxicity. Deformation indices have been proposed as an adjunct to clinical risk factors and ejection fraction (EF), but the optimal parameter and optimal cutoffs are undefined. The aim of this study was to determine the best means of early detection of subsequent reduction of EF in patients with breast cancer treated with trastuzumab.\nMETHODS: Eighty-one consecutive women (mean age, 50 ± 11 years) receiving trastuzumab were prospectively studied, 37 of whom received concurrent anthracyclines. Conventional echocardiographic indices (mitral annular systolic [s'] and diastolic [e'] velocities) and myocardial deformation indices (global longitudinal peak systolic strain [GLS], global longitudinal peak systolic strain rate [GLSR-S], and global longitudinal early diastolic strain rate [GLSR-E]) were measured at baseline and at 6 and 12 months. Cardiotoxicity was defined as a &gt;10% decline as a percentage of baseline EF in 12 months.\nRESULTS: In the 24 patients (30%) who later developed cardiotoxicity, myocardial deformation indices decreased at 6 months (GLS, P &lt; .001; GLSR-S, P = .009; GLSR-E, P = .002 vs baseline), but e' was unchanged. The strongest predictor of cardiotoxicity was ΔGLS (area under the curve, 0.84); an 11% reduction (95% confidence interval, 8.3%-14.6%) was the optimal cutoff, with sensitivity of 65% and specificity of 94%. In sequential models, the clinical model (χ(2) = 10.2) was improved by GLSR-S (χ(2) = 14.7, P = .03) and even more so by GLSR-E (χ(2) = 18.0, P = .005) or GLS (χ(2) = 21.3, P = .0008). Discrimination improvement by adding GLS was confirmed by an integrated discrimination improvement of 18.6% (95% confidence interval, 8.6%-28.6%; P = .0003). A net 29% of the patients without events were reclassified into lower risk categories, and a net 48% of the patients with events were reclassified into higher risk categories, resulting in a total continuous net reclassification improvement (&gt;0) of 0.77 (95% confidence interval, 0.33-1.22; P = .036).\nCONCLUSIONS: GLS is an independent early predictor of later reductions in EF, incremental to usual predictors in patients at risk for trastuzumab-induced cardiotoxicity.","DOI":"10.1016/j.echo.2013.02.008","ISSN":"1097-6795","note":"PMID: 23562088","journalAbbreviation":"J Am Soc Echocardiogr","language":"eng","author":[{"family":"Negishi","given":"Kazuaki"},{"family":"Negishi","given":"Tomoko"},{"family":"Hare","given":"James L."},{"family":"Haluska","given":"Brian A."},{"family":"Plana","given":"Juan Carlos"},{"family":"Marwick","given":"Thomas H."}],"issued":{"date-parts":[["2013",5]]}}}],"schema":"https://github.com/citation-style-language/schema/raw/master/csl-citation.json"} </w:instrText>
      </w:r>
      <w:r w:rsidR="00BC3515" w:rsidRPr="002D459F">
        <w:rPr>
          <w:rFonts w:ascii="Times New Roman" w:hAnsi="Times New Roman" w:cs="Times New Roman"/>
        </w:rPr>
        <w:fldChar w:fldCharType="separate"/>
      </w:r>
      <w:r w:rsidR="00C96F60" w:rsidRPr="002D459F">
        <w:rPr>
          <w:rFonts w:ascii="Times New Roman" w:hAnsi="Times New Roman" w:cs="Times New Roman"/>
        </w:rPr>
        <w:t>(8,9)</w:t>
      </w:r>
      <w:r w:rsidR="00BC3515" w:rsidRPr="002D459F">
        <w:rPr>
          <w:rFonts w:ascii="Times New Roman" w:hAnsi="Times New Roman" w:cs="Times New Roman"/>
        </w:rPr>
        <w:fldChar w:fldCharType="end"/>
      </w:r>
      <w:r w:rsidR="007F61CE" w:rsidRPr="002D459F">
        <w:rPr>
          <w:rFonts w:ascii="Times New Roman" w:hAnsi="Times New Roman" w:cs="Times New Roman"/>
        </w:rPr>
        <w:t xml:space="preserve">. </w:t>
      </w:r>
      <w:r w:rsidR="00AB1AB6" w:rsidRPr="002D459F">
        <w:rPr>
          <w:rFonts w:ascii="Times New Roman" w:hAnsi="Times New Roman" w:cs="Times New Roman"/>
        </w:rPr>
        <w:t xml:space="preserve">Specifically, </w:t>
      </w:r>
      <w:r w:rsidR="007F61CE" w:rsidRPr="002D459F">
        <w:rPr>
          <w:rFonts w:ascii="Times New Roman" w:hAnsi="Times New Roman" w:cs="Times New Roman"/>
        </w:rPr>
        <w:t>GLS decre</w:t>
      </w:r>
      <w:r w:rsidR="00BA4B0B" w:rsidRPr="002D459F">
        <w:rPr>
          <w:rFonts w:ascii="Times New Roman" w:hAnsi="Times New Roman" w:cs="Times New Roman"/>
        </w:rPr>
        <w:t>ases</w:t>
      </w:r>
      <w:r w:rsidR="007F61CE" w:rsidRPr="002D459F">
        <w:rPr>
          <w:rFonts w:ascii="Times New Roman" w:hAnsi="Times New Roman" w:cs="Times New Roman"/>
        </w:rPr>
        <w:t xml:space="preserve"> acutely</w:t>
      </w:r>
      <w:r w:rsidR="00BA4B0B" w:rsidRPr="002D459F">
        <w:rPr>
          <w:rFonts w:ascii="Times New Roman" w:hAnsi="Times New Roman" w:cs="Times New Roman"/>
        </w:rPr>
        <w:t xml:space="preserve"> among patients with chemotherapy</w:t>
      </w:r>
      <w:r w:rsidR="00886BB7" w:rsidRPr="002D459F">
        <w:rPr>
          <w:rFonts w:ascii="Times New Roman" w:hAnsi="Times New Roman" w:cs="Times New Roman"/>
        </w:rPr>
        <w:t>-</w:t>
      </w:r>
      <w:r w:rsidR="00BA4B0B" w:rsidRPr="002D459F">
        <w:rPr>
          <w:rFonts w:ascii="Times New Roman" w:hAnsi="Times New Roman" w:cs="Times New Roman"/>
        </w:rPr>
        <w:t>induced cardiotoxicity</w:t>
      </w:r>
      <w:r w:rsidR="00BC3515" w:rsidRPr="002D459F">
        <w:rPr>
          <w:rFonts w:ascii="Times New Roman" w:hAnsi="Times New Roman" w:cs="Times New Roman"/>
        </w:rPr>
        <w:t xml:space="preserve"> </w:t>
      </w:r>
      <w:r w:rsidR="00BC3515" w:rsidRPr="002D459F">
        <w:rPr>
          <w:rFonts w:ascii="Times New Roman" w:hAnsi="Times New Roman" w:cs="Times New Roman"/>
        </w:rPr>
        <w:fldChar w:fldCharType="begin"/>
      </w:r>
      <w:r w:rsidR="00134B16" w:rsidRPr="002D459F">
        <w:rPr>
          <w:rFonts w:ascii="Times New Roman" w:hAnsi="Times New Roman" w:cs="Times New Roman"/>
        </w:rPr>
        <w:instrText xml:space="preserve"> ADDIN ZOTERO_ITEM CSL_CITATION {"citationID":"I1kKb2Tl","properties":{"formattedCitation":"(10,11)","plainCitation":"(10,11)","noteIndex":0},"citationItems":[{"id":208,"uris":["http://zotero.org/users/4622338/items/7S64EQFJ"],"uri":["http://zotero.org/users/4622338/items/7S64EQFJ"],"itemData":{"id":208,"type":"article-journal","title":"Expert consensus for multimodality imaging evaluation of adult patients during and after cancer therapy: a report from the American Society of Echocardiography and the European Association of Cardiovascular Imaging","container-title":"Journal of the American Society of Echocardiography","page":"911-939","volume":"27","issue":"9","source":"UpToDate References","DOI":"10.1016/j.echo.2014.07.012","ISSN":"1097-6795","note":"PMID: 25172399","title-short":"Expert consensus for multimodality imaging evaluation of adult patients during and after cancer therapy","journalAbbreviation":"J Am Soc Echocardiogr","language":"eng","author":[{"family":"Plana","given":"Juan Carlos"},{"family":"Galderisi","given":"Maurizio"},{"family":"Barac","given":"Ana"},{"family":"Ewer","given":"Michael S."},{"family":"Ky","given":"Bonnie"},{"family":"Scherrer-Crosbie","given":"Marielle"},{"family":"Ganame","given":"Javier"},{"family":"Sebag","given":"Igal A."},{"family":"Agler","given":"Deborah A."},{"family":"Badano","given":"Luigi P."},{"family":"Banchs","given":"Jose"},{"family":"Cardinale","given":"Daniela"},{"family":"Carver","given":"Joseph"},{"family":"Cerqueira","given":"Manuel"},{"family":"DeCara","given":"Jeanne M."},{"family":"Edvardsen","given":"Thor"},{"family":"Flamm","given":"Scott D."},{"family":"Force","given":"Thomas"},{"family":"Griffin","given":"Brian P."},{"family":"Jerusalem","given":"Guy"},{"family":"Liu","given":"Jennifer E."},{"family":"Magalhães","given":"Andreia"},{"family":"Marwick","given":"Thomas"},{"family":"Sanchez","given":"Liza Y."},{"family":"Sicari","given":"Rosa"},{"family":"Villarraga","given":"Hector R."},{"family":"Lancellotti","given":"Patrizio"}],"issued":{"date-parts":[["2014",9]]}}},{"id":1093,"uris":["http://zotero.org/users/4622338/items/LR8W4WYA"],"uri":["http://zotero.org/users/4622338/items/LR8W4WYA"],"itemData":{"id":1093,"type":"article-journal","title":"Expert consensus for multimodality imaging evaluation of adult patients during and after cancer therapy: a report from the American Society of Echocardiography and the European Association of Cardiovascular Imaging","container-title":"European Heart Journal Cardiovascular Imaging","page":"1063-1093","volume":"15","issue":"10","source":"PubMed","DOI":"10.1093/ehjci/jeu192","ISSN":"2047-2412","note":"PMID: 25239940\nPMCID: PMC4402366","title-short":"Expert consensus for multimodality imaging evaluation of adult patients during and after cancer therapy","journalAbbreviation":"Eur Heart J Cardiovasc Imaging","language":"eng","author":[{"family":"Plana","given":"Juan Carlos"},{"family":"Galderisi","given":"Maurizio"},{"family":"Barac","given":"Ana"},{"family":"Ewer","given":"Michael S."},{"family":"Ky","given":"Bonnie"},{"family":"Scherrer-Crosbie","given":"Marielle"},{"family":"Ganame","given":"Javier"},{"family":"Sebag","given":"Igal A."},{"family":"Agler","given":"Deborah A."},{"family":"Badano","given":"Luigi P."},{"family":"Banchs","given":"Jose"},{"family":"Cardinale","given":"Daniela"},{"family":"Carver","given":"Joseph"},{"family":"Cerqueira","given":"Manuel"},{"family":"DeCara","given":"Jeanne M."},{"family":"Edvardsen","given":"Thor"},{"family":"Flamm","given":"Scott D."},{"family":"Force","given":"Thomas"},{"family":"Griffin","given":"Brian P."},{"family":"Jerusalem","given":"Guy"},{"family":"Liu","given":"Jennifer E."},{"family":"Magalhães","given":"Andreia"},{"family":"Marwick","given":"Thomas"},{"family":"Sanchez","given":"Liza Y."},{"family":"Sicari","given":"Rosa"},{"family":"Villarraga","given":"Hector R."},{"family":"Lancellotti","given":"Patrizio"}],"issued":{"date-parts":[["2014",10]]}}}],"schema":"https://github.com/citation-style-language/schema/raw/master/csl-citation.json"} </w:instrText>
      </w:r>
      <w:r w:rsidR="00BC3515" w:rsidRPr="002D459F">
        <w:rPr>
          <w:rFonts w:ascii="Times New Roman" w:hAnsi="Times New Roman" w:cs="Times New Roman"/>
        </w:rPr>
        <w:fldChar w:fldCharType="separate"/>
      </w:r>
      <w:r w:rsidR="00C96F60" w:rsidRPr="002D459F">
        <w:rPr>
          <w:rFonts w:ascii="Times New Roman" w:hAnsi="Times New Roman" w:cs="Times New Roman"/>
          <w:noProof/>
        </w:rPr>
        <w:t>(10,11)</w:t>
      </w:r>
      <w:r w:rsidR="00BC3515" w:rsidRPr="002D459F">
        <w:rPr>
          <w:rFonts w:ascii="Times New Roman" w:hAnsi="Times New Roman" w:cs="Times New Roman"/>
        </w:rPr>
        <w:fldChar w:fldCharType="end"/>
      </w:r>
      <w:r w:rsidR="00BA4B0B" w:rsidRPr="002D459F">
        <w:rPr>
          <w:rFonts w:ascii="Times New Roman" w:hAnsi="Times New Roman" w:cs="Times New Roman"/>
        </w:rPr>
        <w:t>, and this reduction of GLS early after chemotherapy is predictive of the subsequent decli</w:t>
      </w:r>
      <w:r w:rsidR="00AD13F4" w:rsidRPr="002D459F">
        <w:rPr>
          <w:rFonts w:ascii="Times New Roman" w:hAnsi="Times New Roman" w:cs="Times New Roman"/>
        </w:rPr>
        <w:t xml:space="preserve">ne in EF </w:t>
      </w:r>
      <w:r w:rsidR="00463A06" w:rsidRPr="002D459F">
        <w:rPr>
          <w:rFonts w:ascii="Times New Roman" w:hAnsi="Times New Roman" w:cs="Times New Roman"/>
        </w:rPr>
        <w:fldChar w:fldCharType="begin"/>
      </w:r>
      <w:r w:rsidR="00134B16" w:rsidRPr="002D459F">
        <w:rPr>
          <w:rFonts w:ascii="Times New Roman" w:hAnsi="Times New Roman" w:cs="Times New Roman"/>
        </w:rPr>
        <w:instrText xml:space="preserve"> ADDIN ZOTERO_ITEM CSL_CITATION {"citationID":"jwr96K8R","properties":{"formattedCitation":"(8,11,12)","plainCitation":"(8,11,12)","noteIndex":0},"citationItems":[{"id":491,"uris":["http://zotero.org/users/4622338/items/SD675BW8"],"uri":["http://zotero.org/users/4622338/items/SD675BW8"],"itemData":{"id":491,"type":"article-journal","title":"Assessment of Echocardiography and Biomarkers for the Extended Prediction of Cardiotoxicity in Patients Treated With Anthracyclines, Taxanes, and Trastuzumab","container-title":"Circulation. Cardiovascular imaging","page":"596-603","volume":"5","issue":"5","source":"PubMed Central","abstract":"Background\nBecause cancer patients survive longer, the impact of cardiotoxicity associated with the use of cancer treatments escalates. The present study investigates whether early alterations of myocardial strain and blood biomarkers predict incident cardiotoxicity in patients with breast cancer during treatment with anthracyclines, taxanes, and trastuzumab.\n\nMethods and Results\nEighty-one women with newly diagnosed human epidermal growth factor receptor 2–positive breast cancer, treated with anthracyclines followed by taxanes and trastuzumab were enrolled to be evaluated every 3 months during their cancer therapy (total of 15 months) using echocardiograms and blood samples. Left ventricular ejection fraction, peak systolic longitudinal, radial, and circumferential myocardial strain were calculated. Ultrasensitive troponin I, N-terminal pro–B-type natriuretic peptide, and the interleukin family member (ST2) were also measured. Left ventricular ejection fraction decreased (64 ± 5% to 59 ± 6%; P&lt;0.0001) over 15 months. Twenty-six patients (32%, [22%–43%]) developed cardiotoxicity as defined by the Cardiac Review and Evaluation Committee Reviewing Trastuzumab; of these patients, 5 (6%, [2%–14%]) had symptoms of heart failure. Peak systolic longitudinal myocardial strain and ultrasensitive troponin I measured at the completion of anthracyclines treatment predicted the subsequent development of cardiotoxicity; no significant associations were observed for left ventricular ejection fraction, N-terminal pro–B-type natriuretic peptide, and ST2. Longitudinal strain was &lt;19% in all patients who later developed heart failure.\n\nConclusions\nIn patients with breast cancer treated with anthracyclines, taxanes, and trastuzumab, systolic longitudinal myocardial strain and ultrasensitive troponin I measured at the completion of anthracyclines therapy are useful in the prediction of subsequent cardiotoxicity and may help guide treatment to avoid cardiac side-effects.","DOI":"10.1161/CIRCIMAGING.112.973321","ISSN":"1941-9651","note":"PMID: 22744937\nPMCID: PMC3703313","journalAbbreviation":"Circ Cardiovasc Imaging","author":[{"family":"Sawaya","given":"Heloisa"},{"family":"Sebag","given":"Igal A."},{"family":"Plana","given":"Juan Carlos"},{"family":"Januzzi","given":"James L."},{"family":"Ky","given":"Bonnie"},{"family":"Tan","given":"Timothy C."},{"family":"Cohen","given":"Victor"},{"family":"Banchs","given":"Jose"},{"family":"Carver","given":"Joseph R."},{"family":"Wiegers","given":"Susan E."},{"family":"Martin","given":"Randolph P."},{"family":"Picard","given":"Michael H."},{"family":"Gerszten","given":"Robert E."},{"family":"Halpern","given":"Elkan F."},{"family":"Passeri","given":"Jonathan"},{"family":"Kuter","given":"Irene"},{"family":"Scherrer-Crosbie","given":"Marielle"}],"issued":{"date-parts":[["2012",9,1]]}}},{"id":1093,"uris":["http://zotero.org/users/4622338/items/LR8W4WYA"],"uri":["http://zotero.org/users/4622338/items/LR8W4WYA"],"itemData":{"id":1093,"type":"article-journal","title":"Expert consensus for multimodality imaging evaluation of adult patients during and after cancer therapy: a report from the American Society of Echocardiography and the European Association of Cardiovascular Imaging","container-title":"European Heart Journal Cardiovascular Imaging","page":"1063-1093","volume":"15","issue":"10","source":"PubMed","DOI":"10.1093/ehjci/jeu192","ISSN":"2047-2412","note":"PMID: 25239940\nPMCID: PMC4402366","title-short":"Expert consensus for multimodality imaging evaluation of adult patients during and after cancer therapy","journalAbbreviation":"Eur Heart J Cardiovasc Imaging","language":"eng","author":[{"family":"Plana","given":"Juan Carlos"},{"family":"Galderisi","given":"Maurizio"},{"family":"Barac","given":"Ana"},{"family":"Ewer","given":"Michael S."},{"family":"Ky","given":"Bonnie"},{"family":"Scherrer-Crosbie","given":"Marielle"},{"family":"Ganame","given":"Javier"},{"family":"Sebag","given":"Igal A."},{"family":"Agler","given":"Deborah A."},{"family":"Badano","given":"Luigi P."},{"family":"Banchs","given":"Jose"},{"family":"Cardinale","given":"Daniela"},{"family":"Carver","given":"Joseph"},{"family":"Cerqueira","given":"Manuel"},{"family":"DeCara","given":"Jeanne M."},{"family":"Edvardsen","given":"Thor"},{"family":"Flamm","given":"Scott D."},{"family":"Force","given":"Thomas"},{"family":"Griffin","given":"Brian P."},{"family":"Jerusalem","given":"Guy"},{"family":"Liu","given":"Jennifer E."},{"family":"Magalhães","given":"Andreia"},{"family":"Marwick","given":"Thomas"},{"family":"Sanchez","given":"Liza Y."},{"family":"Sicari","given":"Rosa"},{"family":"Villarraga","given":"Hector R."},{"family":"Lancellotti","given":"Patrizio"}],"issued":{"date-parts":[["2014",10]]}}},{"id":424,"uris":["http://zotero.org/users/4622338/items/RDZRPC29"],"uri":["http://zotero.org/users/4622338/items/RDZRPC29"],"itemData":{"id":424,"type":"article-journal","title":"Independent and incremental value of deformation indices for prediction of trastuzumab-induced cardiotoxicity","container-title":"Journal of the American Society of Echocardiography","page":"493-498","volume":"26","issue":"5","source":"PubMed","abstract":"BACKGROUND: Assessment of left ventricular systolic function is necessary during trastuzumab-based chemotherapy because of potential cardiotoxicity. Deformation indices have been proposed as an adjunct to clinical risk factors and ejection fraction (EF), but the optimal parameter and optimal cutoffs are undefined. The aim of this study was to determine the best means of early detection of subsequent reduction of EF in patients with breast cancer treated with trastuzumab.\nMETHODS: Eighty-one consecutive women (mean age, 50 ± 11 years) receiving trastuzumab were prospectively studied, 37 of whom received concurrent anthracyclines. Conventional echocardiographic indices (mitral annular systolic [s'] and diastolic [e'] velocities) and myocardial deformation indices (global longitudinal peak systolic strain [GLS], global longitudinal peak systolic strain rate [GLSR-S], and global longitudinal early diastolic strain rate [GLSR-E]) were measured at baseline and at 6 and 12 months. Cardiotoxicity was defined as a &gt;10% decline as a percentage of baseline EF in 12 months.\nRESULTS: In the 24 patients (30%) who later developed cardiotoxicity, myocardial deformation indices decreased at 6 months (GLS, P &lt; .001; GLSR-S, P = .009; GLSR-E, P = .002 vs baseline), but e' was unchanged. The strongest predictor of cardiotoxicity was ΔGLS (area under the curve, 0.84); an 11% reduction (95% confidence interval, 8.3%-14.6%) was the optimal cutoff, with sensitivity of 65% and specificity of 94%. In sequential models, the clinical model (χ(2) = 10.2) was improved by GLSR-S (χ(2) = 14.7, P = .03) and even more so by GLSR-E (χ(2) = 18.0, P = .005) or GLS (χ(2) = 21.3, P = .0008). Discrimination improvement by adding GLS was confirmed by an integrated discrimination improvement of 18.6% (95% confidence interval, 8.6%-28.6%; P = .0003). A net 29% of the patients without events were reclassified into lower risk categories, and a net 48% of the patients with events were reclassified into higher risk categories, resulting in a total continuous net reclassification improvement (&gt;0) of 0.77 (95% confidence interval, 0.33-1.22; P = .036).\nCONCLUSIONS: GLS is an independent early predictor of later reductions in EF, incremental to usual predictors in patients at risk for trastuzumab-induced cardiotoxicity.","DOI":"10.1016/j.echo.2013.02.008","ISSN":"1097-6795","note":"PMID: 23562088","journalAbbreviation":"J Am Soc Echocardiogr","language":"eng","author":[{"family":"Negishi","given":"Kazuaki"},{"family":"Negishi","given":"Tomoko"},{"family":"Hare","given":"James L."},{"family":"Haluska","given":"Brian A."},{"family":"Plana","given":"Juan Carlos"},{"family":"Marwick","given":"Thomas H."}],"issued":{"date-parts":[["2013",5]]}}}],"schema":"https://github.com/citation-style-language/schema/raw/master/csl-citation.json"} </w:instrText>
      </w:r>
      <w:r w:rsidR="00463A06" w:rsidRPr="002D459F">
        <w:rPr>
          <w:rFonts w:ascii="Times New Roman" w:hAnsi="Times New Roman" w:cs="Times New Roman"/>
        </w:rPr>
        <w:fldChar w:fldCharType="separate"/>
      </w:r>
      <w:r w:rsidR="00C96F60" w:rsidRPr="002D459F">
        <w:rPr>
          <w:rFonts w:ascii="Times New Roman" w:hAnsi="Times New Roman" w:cs="Times New Roman"/>
          <w:noProof/>
        </w:rPr>
        <w:t>(8,11,12)</w:t>
      </w:r>
      <w:r w:rsidR="00463A06" w:rsidRPr="002D459F">
        <w:rPr>
          <w:rFonts w:ascii="Times New Roman" w:hAnsi="Times New Roman" w:cs="Times New Roman"/>
        </w:rPr>
        <w:fldChar w:fldCharType="end"/>
      </w:r>
      <w:r w:rsidR="00BA4B0B" w:rsidRPr="002D459F">
        <w:rPr>
          <w:rFonts w:ascii="Times New Roman" w:hAnsi="Times New Roman" w:cs="Times New Roman"/>
        </w:rPr>
        <w:t>. These findings have led to the recommendations for the use of GLS among patients at risk of chemotherapy</w:t>
      </w:r>
      <w:r w:rsidR="00FE5E98" w:rsidRPr="002D459F">
        <w:rPr>
          <w:rFonts w:ascii="Times New Roman" w:hAnsi="Times New Roman" w:cs="Times New Roman"/>
        </w:rPr>
        <w:t>-</w:t>
      </w:r>
      <w:r w:rsidR="00BA4B0B" w:rsidRPr="002D459F">
        <w:rPr>
          <w:rFonts w:ascii="Times New Roman" w:hAnsi="Times New Roman" w:cs="Times New Roman"/>
        </w:rPr>
        <w:t xml:space="preserve">induced cardiotoxicity (13). </w:t>
      </w:r>
      <w:r w:rsidR="003A2A0B" w:rsidRPr="002D459F">
        <w:rPr>
          <w:rFonts w:ascii="Times New Roman" w:hAnsi="Times New Roman" w:cs="Times New Roman"/>
        </w:rPr>
        <w:t>There are no data on the use of GLS in ICI-related myocarditis</w:t>
      </w:r>
      <w:r w:rsidR="00C754C6" w:rsidRPr="002D459F">
        <w:rPr>
          <w:rFonts w:ascii="Times New Roman" w:hAnsi="Times New Roman" w:cs="Times New Roman"/>
        </w:rPr>
        <w:t xml:space="preserve">. In addition, </w:t>
      </w:r>
      <w:r w:rsidR="00886BB7" w:rsidRPr="002D459F">
        <w:rPr>
          <w:rFonts w:ascii="Times New Roman" w:hAnsi="Times New Roman" w:cs="Times New Roman"/>
        </w:rPr>
        <w:t>testing the role of GLS in this population may be of additional importance as most cases present with a preserved EF</w:t>
      </w:r>
      <w:r w:rsidR="003A58E4" w:rsidRPr="002D459F">
        <w:rPr>
          <w:rFonts w:ascii="Times New Roman" w:hAnsi="Times New Roman" w:cs="Times New Roman"/>
        </w:rPr>
        <w:t xml:space="preserve"> among who</w:t>
      </w:r>
      <w:r w:rsidR="00B97138" w:rsidRPr="002D459F">
        <w:rPr>
          <w:rFonts w:ascii="Times New Roman" w:hAnsi="Times New Roman" w:cs="Times New Roman"/>
        </w:rPr>
        <w:t>m</w:t>
      </w:r>
      <w:r w:rsidR="003A58E4" w:rsidRPr="002D459F">
        <w:rPr>
          <w:rFonts w:ascii="Times New Roman" w:hAnsi="Times New Roman" w:cs="Times New Roman"/>
        </w:rPr>
        <w:t xml:space="preserve"> detection and risk stratification may be additionally challenging</w:t>
      </w:r>
      <w:r w:rsidR="001B10B5" w:rsidRPr="002D459F">
        <w:rPr>
          <w:rFonts w:ascii="Times New Roman" w:hAnsi="Times New Roman" w:cs="Times New Roman"/>
        </w:rPr>
        <w:t xml:space="preserve"> </w:t>
      </w:r>
      <w:r w:rsidR="001B10B5" w:rsidRPr="002D459F">
        <w:rPr>
          <w:rFonts w:ascii="Times New Roman" w:hAnsi="Times New Roman" w:cs="Times New Roman"/>
        </w:rPr>
        <w:fldChar w:fldCharType="begin"/>
      </w:r>
      <w:r w:rsidR="009B3A5C" w:rsidRPr="002D459F">
        <w:rPr>
          <w:rFonts w:ascii="Times New Roman" w:hAnsi="Times New Roman" w:cs="Times New Roman"/>
        </w:rPr>
        <w:instrText xml:space="preserve"> ADDIN ZOTERO_ITEM CSL_CITATION {"citationID":"Wg6MMET9","properties":{"formattedCitation":"(3)","plainCitation":"(3)","noteIndex":0},"citationItems":[{"id":415,"uris":["http://zotero.org/users/4622338/items/YGUGY45V"],"uri":["http://zotero.org/users/4622338/items/YGUGY45V"],"itemData":{"id":415,"type":"article-journal","title":"Myocarditis in Patients Treated With Immune Checkpoint Inhibitors","container-title":"Journal of the American College of Cardiology","page":"1755-1764","volume":"71","issue":"16","source":"PubMed","abstract":"BACKGROUND: Myocarditis is an uncommon, but potentially fatal, toxicity of immune checkpoint inhibitors (ICI). Myocarditis after ICI has not been well characterized.\nOBJECTIVES: The authors sought to understand the presentation and clinical course of ICI-associated myocarditis.\nMETHODS: After observation of sporadic ICI-associated myocarditis cases, the authors created a multicenter registry with 8 sites. From November 2013 to July 2017, there were 35 patients with ICI-associated myocarditis, who were compared to a random sample of 105 ICI-treated patients without myocarditis. Covariates of interest were extracted from medical records including the occurrence of major adverse cardiac events (MACE), defined as the composite of cardiovascular death, cardiogenic shock, cardiac arrest, and hemodynamically significant complete heart block.\nRESULTS: The prevalence of myocarditis was 1.14% with a median time of onset of 34 days after starting ICI (interquartile range: 21 to 75 days). Cases were 65 ± 13 years of age, 29% were female, and 54% had no other immune-related side effects. Relative to controls, combination ICI (34% vs. 2%; p &lt; 0.001) and diabetes (34% vs. 13%; p = 0.01) were more common in cases. Over 102 days (interquartile range: 62 to 214 days) of median follow-up, 16 (46%) developed MACE; 38% of MACE occurred with normal ejection fraction. There was a 4-fold increased risk of MACE with troponin T of ≥1.5 ng/ml (hazard ratio: 4.0; 95% confidence interval: 1.5 to 10.9; p = 0.003). Steroids were administered in 89%, and lower steroids doses were associated with higher residual troponin and higher MACE rates.\nCONCLUSIONS: Myocarditis after ICI therapy may be more common than appreciated, occurs early after starting treatment, has a malignant course, and responds to higher steroid doses.","DOI":"10.1016/j.jacc.2018.02.037","ISSN":"1558-3597","note":"PMID: 29567210","journalAbbreviation":"J. Am. Coll. Cardiol.","language":"eng","author":[{"family":"Mahmood","given":"Syed S."},{"family":"Fradley","given":"Michael G."},{"family":"Cohen","given":"Justine V."},{"family":"Nohria","given":"Anju"},{"family":"Reynolds","given":"Kerry L."},{"family":"Heinzerling","given":"Lucie M."},{"family":"Sullivan","given":"Ryan J."},{"family":"Damrongwatanasuk","given":"Rongras"},{"family":"Chen","given":"Carol L."},{"family":"Gupta","given":"Dipti"},{"family":"Kirchberger","given":"Michael C."},{"family":"Awadalla","given":"Magid"},{"family":"Hassan","given":"Malek Z. O."},{"family":"Moslehi","given":"Javid J."},{"family":"Shah","given":"Sachin P."},{"family":"Ganatra","given":"Sarju"},{"family":"Thavendiranathan","given":"Paaladinesh"},{"family":"Lawrence","given":"Donald P."},{"family":"Groarke","given":"John D."},{"family":"Neilan","given":"Tomas G."}],"issued":{"date-parts":[["2018",4,24]]}}}],"schema":"https://github.com/citation-style-language/schema/raw/master/csl-citation.json"} </w:instrText>
      </w:r>
      <w:r w:rsidR="001B10B5" w:rsidRPr="002D459F">
        <w:rPr>
          <w:rFonts w:ascii="Times New Roman" w:hAnsi="Times New Roman" w:cs="Times New Roman"/>
        </w:rPr>
        <w:fldChar w:fldCharType="separate"/>
      </w:r>
      <w:r w:rsidR="009B3A5C" w:rsidRPr="002D459F">
        <w:rPr>
          <w:rFonts w:ascii="Times New Roman" w:hAnsi="Times New Roman" w:cs="Times New Roman"/>
          <w:noProof/>
        </w:rPr>
        <w:t>(3)</w:t>
      </w:r>
      <w:r w:rsidR="001B10B5" w:rsidRPr="002D459F">
        <w:rPr>
          <w:rFonts w:ascii="Times New Roman" w:hAnsi="Times New Roman" w:cs="Times New Roman"/>
        </w:rPr>
        <w:fldChar w:fldCharType="end"/>
      </w:r>
      <w:r w:rsidR="001B10B5" w:rsidRPr="002D459F">
        <w:rPr>
          <w:rFonts w:ascii="Times New Roman" w:hAnsi="Times New Roman" w:cs="Times New Roman"/>
        </w:rPr>
        <w:t>.</w:t>
      </w:r>
      <w:r w:rsidR="003A2A0B" w:rsidRPr="002D459F">
        <w:rPr>
          <w:rFonts w:ascii="Times New Roman" w:hAnsi="Times New Roman" w:cs="Times New Roman"/>
        </w:rPr>
        <w:t xml:space="preserve"> </w:t>
      </w:r>
      <w:r w:rsidR="00886BB7" w:rsidRPr="002D459F">
        <w:rPr>
          <w:rFonts w:ascii="Times New Roman" w:hAnsi="Times New Roman" w:cs="Times New Roman"/>
        </w:rPr>
        <w:t xml:space="preserve">Therefore, the aim of this study was to characterize the role of GLS among patients with ICI myocarditis. We hypothesized that GLS would be reduced and this reduction in GLS with ICI myocarditis </w:t>
      </w:r>
      <w:r w:rsidR="00A26127" w:rsidRPr="002D459F">
        <w:rPr>
          <w:rFonts w:ascii="Times New Roman" w:hAnsi="Times New Roman" w:cs="Times New Roman"/>
        </w:rPr>
        <w:t xml:space="preserve">would </w:t>
      </w:r>
      <w:r w:rsidR="006E2188" w:rsidRPr="002D459F">
        <w:rPr>
          <w:rFonts w:ascii="Times New Roman" w:hAnsi="Times New Roman" w:cs="Times New Roman"/>
        </w:rPr>
        <w:t xml:space="preserve">predict </w:t>
      </w:r>
      <w:r w:rsidR="00886BB7" w:rsidRPr="002D459F">
        <w:rPr>
          <w:rFonts w:ascii="Times New Roman" w:hAnsi="Times New Roman" w:cs="Times New Roman"/>
        </w:rPr>
        <w:t xml:space="preserve">adverse </w:t>
      </w:r>
      <w:r w:rsidR="000C7BAF" w:rsidRPr="002D459F">
        <w:rPr>
          <w:rFonts w:ascii="Times New Roman" w:hAnsi="Times New Roman" w:cs="Times New Roman"/>
        </w:rPr>
        <w:t xml:space="preserve">cardiac </w:t>
      </w:r>
      <w:r w:rsidR="00886BB7" w:rsidRPr="002D459F">
        <w:rPr>
          <w:rFonts w:ascii="Times New Roman" w:hAnsi="Times New Roman" w:cs="Times New Roman"/>
        </w:rPr>
        <w:t xml:space="preserve">events. To </w:t>
      </w:r>
      <w:r w:rsidR="00DA77F8" w:rsidRPr="002D459F">
        <w:rPr>
          <w:rFonts w:ascii="Times New Roman" w:hAnsi="Times New Roman" w:cs="Times New Roman"/>
        </w:rPr>
        <w:t>evaluate</w:t>
      </w:r>
      <w:r w:rsidR="00886BB7" w:rsidRPr="002D459F">
        <w:rPr>
          <w:rFonts w:ascii="Times New Roman" w:hAnsi="Times New Roman" w:cs="Times New Roman"/>
        </w:rPr>
        <w:t xml:space="preserve"> th</w:t>
      </w:r>
      <w:r w:rsidR="00DA77F8" w:rsidRPr="002D459F">
        <w:rPr>
          <w:rFonts w:ascii="Times New Roman" w:hAnsi="Times New Roman" w:cs="Times New Roman"/>
        </w:rPr>
        <w:t>e</w:t>
      </w:r>
      <w:r w:rsidR="00886BB7" w:rsidRPr="002D459F">
        <w:rPr>
          <w:rFonts w:ascii="Times New Roman" w:hAnsi="Times New Roman" w:cs="Times New Roman"/>
        </w:rPr>
        <w:t>s</w:t>
      </w:r>
      <w:r w:rsidR="00DA77F8" w:rsidRPr="002D459F">
        <w:rPr>
          <w:rFonts w:ascii="Times New Roman" w:hAnsi="Times New Roman" w:cs="Times New Roman"/>
        </w:rPr>
        <w:t>e</w:t>
      </w:r>
      <w:r w:rsidR="00886BB7" w:rsidRPr="002D459F">
        <w:rPr>
          <w:rFonts w:ascii="Times New Roman" w:hAnsi="Times New Roman" w:cs="Times New Roman"/>
        </w:rPr>
        <w:t xml:space="preserve"> hypothes</w:t>
      </w:r>
      <w:r w:rsidR="00DA77F8" w:rsidRPr="002D459F">
        <w:rPr>
          <w:rFonts w:ascii="Times New Roman" w:hAnsi="Times New Roman" w:cs="Times New Roman"/>
        </w:rPr>
        <w:t>e</w:t>
      </w:r>
      <w:r w:rsidR="00886BB7" w:rsidRPr="002D459F">
        <w:rPr>
          <w:rFonts w:ascii="Times New Roman" w:hAnsi="Times New Roman" w:cs="Times New Roman"/>
        </w:rPr>
        <w:t xml:space="preserve">s, </w:t>
      </w:r>
      <w:r w:rsidR="000A3C69" w:rsidRPr="002D459F">
        <w:rPr>
          <w:rFonts w:ascii="Times New Roman" w:hAnsi="Times New Roman" w:cs="Times New Roman"/>
        </w:rPr>
        <w:t>we leveraged a unique multicenter</w:t>
      </w:r>
      <w:r w:rsidR="00AB1AB6" w:rsidRPr="002D459F">
        <w:rPr>
          <w:rFonts w:ascii="Times New Roman" w:hAnsi="Times New Roman" w:cs="Times New Roman"/>
        </w:rPr>
        <w:t xml:space="preserve"> multinational</w:t>
      </w:r>
      <w:r w:rsidR="000A3C69" w:rsidRPr="002D459F">
        <w:rPr>
          <w:rFonts w:ascii="Times New Roman" w:hAnsi="Times New Roman" w:cs="Times New Roman"/>
        </w:rPr>
        <w:t xml:space="preserve"> registry of patients with </w:t>
      </w:r>
      <w:r w:rsidR="00AB1AB6" w:rsidRPr="002D459F">
        <w:rPr>
          <w:rFonts w:ascii="Times New Roman" w:hAnsi="Times New Roman" w:cs="Times New Roman"/>
        </w:rPr>
        <w:t xml:space="preserve">ICI </w:t>
      </w:r>
      <w:r w:rsidR="000A3C69" w:rsidRPr="002D459F">
        <w:rPr>
          <w:rFonts w:ascii="Times New Roman" w:hAnsi="Times New Roman" w:cs="Times New Roman"/>
        </w:rPr>
        <w:t>myocarditis</w:t>
      </w:r>
      <w:r w:rsidR="003A2A0B" w:rsidRPr="002D459F">
        <w:rPr>
          <w:rFonts w:ascii="Times New Roman" w:hAnsi="Times New Roman" w:cs="Times New Roman"/>
        </w:rPr>
        <w:t xml:space="preserve">. </w:t>
      </w:r>
    </w:p>
    <w:p w14:paraId="4F5168FE" w14:textId="77777777" w:rsidR="003A2A0B" w:rsidRPr="002D459F" w:rsidRDefault="003A2A0B" w:rsidP="002D459F">
      <w:pPr>
        <w:tabs>
          <w:tab w:val="left" w:pos="2400"/>
        </w:tabs>
        <w:spacing w:line="480" w:lineRule="auto"/>
        <w:rPr>
          <w:rFonts w:ascii="Times New Roman" w:hAnsi="Times New Roman" w:cs="Times New Roman"/>
          <w:b/>
        </w:rPr>
      </w:pPr>
      <w:r w:rsidRPr="002D459F">
        <w:rPr>
          <w:rFonts w:ascii="Times New Roman" w:hAnsi="Times New Roman" w:cs="Times New Roman"/>
          <w:b/>
        </w:rPr>
        <w:t>Methods</w:t>
      </w:r>
    </w:p>
    <w:p w14:paraId="0135C586" w14:textId="762FB6C5" w:rsidR="003A2A0B" w:rsidRPr="002D459F" w:rsidRDefault="003A2A0B" w:rsidP="002D459F">
      <w:pPr>
        <w:tabs>
          <w:tab w:val="left" w:pos="2400"/>
        </w:tabs>
        <w:spacing w:line="480" w:lineRule="auto"/>
        <w:rPr>
          <w:rFonts w:ascii="Times New Roman" w:hAnsi="Times New Roman" w:cs="Times New Roman"/>
        </w:rPr>
      </w:pPr>
      <w:r w:rsidRPr="002D459F">
        <w:rPr>
          <w:rFonts w:ascii="Times New Roman" w:hAnsi="Times New Roman" w:cs="Times New Roman"/>
          <w:b/>
        </w:rPr>
        <w:t xml:space="preserve">Patients: </w:t>
      </w:r>
      <w:r w:rsidR="0097294E" w:rsidRPr="002D459F">
        <w:rPr>
          <w:rFonts w:ascii="Times New Roman" w:hAnsi="Times New Roman" w:cs="Times New Roman"/>
        </w:rPr>
        <w:t xml:space="preserve">The GLS was </w:t>
      </w:r>
      <w:r w:rsidR="00820364" w:rsidRPr="002D459F">
        <w:rPr>
          <w:rFonts w:ascii="Times New Roman" w:hAnsi="Times New Roman" w:cs="Times New Roman"/>
        </w:rPr>
        <w:t xml:space="preserve">measured </w:t>
      </w:r>
      <w:r w:rsidR="0097294E" w:rsidRPr="002D459F">
        <w:rPr>
          <w:rFonts w:ascii="Times New Roman" w:hAnsi="Times New Roman" w:cs="Times New Roman"/>
        </w:rPr>
        <w:t>from 101</w:t>
      </w:r>
      <w:r w:rsidR="0097294E" w:rsidRPr="002D459F">
        <w:rPr>
          <w:rFonts w:ascii="Times New Roman" w:hAnsi="Times New Roman" w:cs="Times New Roman"/>
          <w:b/>
        </w:rPr>
        <w:t xml:space="preserve"> </w:t>
      </w:r>
      <w:r w:rsidR="0097294E" w:rsidRPr="002D459F">
        <w:rPr>
          <w:rFonts w:ascii="Times New Roman" w:hAnsi="Times New Roman" w:cs="Times New Roman"/>
        </w:rPr>
        <w:t>c</w:t>
      </w:r>
      <w:r w:rsidR="00416E16" w:rsidRPr="002D459F">
        <w:rPr>
          <w:rFonts w:ascii="Times New Roman" w:hAnsi="Times New Roman" w:cs="Times New Roman"/>
        </w:rPr>
        <w:t xml:space="preserve">ases </w:t>
      </w:r>
      <w:r w:rsidR="0097294E" w:rsidRPr="002D459F">
        <w:rPr>
          <w:rFonts w:ascii="Times New Roman" w:hAnsi="Times New Roman" w:cs="Times New Roman"/>
        </w:rPr>
        <w:t>from a</w:t>
      </w:r>
      <w:r w:rsidR="00416E16" w:rsidRPr="002D459F">
        <w:rPr>
          <w:rFonts w:ascii="Times New Roman" w:hAnsi="Times New Roman" w:cs="Times New Roman"/>
        </w:rPr>
        <w:t xml:space="preserve"> 19</w:t>
      </w:r>
      <w:r w:rsidRPr="002D459F">
        <w:rPr>
          <w:rFonts w:ascii="Times New Roman" w:hAnsi="Times New Roman" w:cs="Times New Roman"/>
        </w:rPr>
        <w:t>-center</w:t>
      </w:r>
      <w:r w:rsidR="00F00739" w:rsidRPr="002D459F">
        <w:rPr>
          <w:rFonts w:ascii="Times New Roman" w:hAnsi="Times New Roman" w:cs="Times New Roman"/>
        </w:rPr>
        <w:t xml:space="preserve"> international </w:t>
      </w:r>
      <w:r w:rsidRPr="002D459F">
        <w:rPr>
          <w:rFonts w:ascii="Times New Roman" w:hAnsi="Times New Roman" w:cs="Times New Roman"/>
        </w:rPr>
        <w:t>registry, designed for collating suspected ca</w:t>
      </w:r>
      <w:r w:rsidR="00416E16" w:rsidRPr="002D459F">
        <w:rPr>
          <w:rFonts w:ascii="Times New Roman" w:hAnsi="Times New Roman" w:cs="Times New Roman"/>
        </w:rPr>
        <w:t>ses of ICI-related myocarditis</w:t>
      </w:r>
      <w:r w:rsidR="00A26127" w:rsidRPr="002D459F">
        <w:rPr>
          <w:rFonts w:ascii="Times New Roman" w:hAnsi="Times New Roman" w:cs="Times New Roman"/>
        </w:rPr>
        <w:t xml:space="preserve">. This report presents data from cases presenting </w:t>
      </w:r>
      <w:r w:rsidR="00A35A11" w:rsidRPr="002D459F">
        <w:rPr>
          <w:rFonts w:ascii="Times New Roman" w:hAnsi="Times New Roman" w:cs="Times New Roman"/>
        </w:rPr>
        <w:t>from November 2013 until</w:t>
      </w:r>
      <w:r w:rsidR="005E3EBF" w:rsidRPr="002D459F">
        <w:rPr>
          <w:rFonts w:ascii="Times New Roman" w:hAnsi="Times New Roman" w:cs="Times New Roman"/>
        </w:rPr>
        <w:t xml:space="preserve"> January 2019</w:t>
      </w:r>
      <w:r w:rsidR="00F00739" w:rsidRPr="002D459F">
        <w:rPr>
          <w:rFonts w:ascii="Times New Roman" w:hAnsi="Times New Roman" w:cs="Times New Roman"/>
        </w:rPr>
        <w:t>.</w:t>
      </w:r>
      <w:r w:rsidR="005E3EBF" w:rsidRPr="002D459F">
        <w:rPr>
          <w:rFonts w:ascii="Times New Roman" w:hAnsi="Times New Roman" w:cs="Times New Roman"/>
        </w:rPr>
        <w:t xml:space="preserve"> </w:t>
      </w:r>
      <w:r w:rsidR="0097294E" w:rsidRPr="002D459F">
        <w:rPr>
          <w:rFonts w:ascii="Times New Roman" w:hAnsi="Times New Roman" w:cs="Times New Roman"/>
        </w:rPr>
        <w:t>In an earlier report, we presented the baseline demographics and outcomes from the first 35 patients in the cohort</w:t>
      </w:r>
      <w:r w:rsidR="00FE5E98" w:rsidRPr="002D459F">
        <w:rPr>
          <w:rFonts w:ascii="Times New Roman" w:hAnsi="Times New Roman" w:cs="Times New Roman"/>
        </w:rPr>
        <w:t xml:space="preserve"> </w:t>
      </w:r>
      <w:r w:rsidR="00FE5E98" w:rsidRPr="002D459F">
        <w:rPr>
          <w:rFonts w:ascii="Times New Roman" w:hAnsi="Times New Roman" w:cs="Times New Roman"/>
        </w:rPr>
        <w:fldChar w:fldCharType="begin"/>
      </w:r>
      <w:r w:rsidR="009B3A5C" w:rsidRPr="002D459F">
        <w:rPr>
          <w:rFonts w:ascii="Times New Roman" w:hAnsi="Times New Roman" w:cs="Times New Roman"/>
        </w:rPr>
        <w:instrText xml:space="preserve"> ADDIN ZOTERO_ITEM CSL_CITATION {"citationID":"1kSoifAE","properties":{"formattedCitation":"(3)","plainCitation":"(3)","noteIndex":0},"citationItems":[{"id":415,"uris":["http://zotero.org/users/4622338/items/YGUGY45V"],"uri":["http://zotero.org/users/4622338/items/YGUGY45V"],"itemData":{"id":415,"type":"article-journal","title":"Myocarditis in Patients Treated With Immune Checkpoint Inhibitors","container-title":"Journal of the American College of Cardiology","page":"1755-1764","volume":"71","issue":"16","source":"PubMed","abstract":"BACKGROUND: Myocarditis is an uncommon, but potentially fatal, toxicity of immune checkpoint inhibitors (ICI). Myocarditis after ICI has not been well characterized.\nOBJECTIVES: The authors sought to understand the presentation and clinical course of ICI-associated myocarditis.\nMETHODS: After observation of sporadic ICI-associated myocarditis cases, the authors created a multicenter registry with 8 sites. From November 2013 to July 2017, there were 35 patients with ICI-associated myocarditis, who were compared to a random sample of 105 ICI-treated patients without myocarditis. Covariates of interest were extracted from medical records including the occurrence of major adverse cardiac events (MACE), defined as the composite of cardiovascular death, cardiogenic shock, cardiac arrest, and hemodynamically significant complete heart block.\nRESULTS: The prevalence of myocarditis was 1.14% with a median time of onset of 34 days after starting ICI (interquartile range: 21 to 75 days). Cases were 65 ± 13 years of age, 29% were female, and 54% had no other immune-related side effects. Relative to controls, combination ICI (34% vs. 2%; p &lt; 0.001) and diabetes (34% vs. 13%; p = 0.01) were more common in cases. Over 102 days (interquartile range: 62 to 214 days) of median follow-up, 16 (46%) developed MACE; 38% of MACE occurred with normal ejection fraction. There was a 4-fold increased risk of MACE with troponin T of ≥1.5 ng/ml (hazard ratio: 4.0; 95% confidence interval: 1.5 to 10.9; p = 0.003). Steroids were administered in 89%, and lower steroids doses were associated with higher residual troponin and higher MACE rates.\nCONCLUSIONS: Myocarditis after ICI therapy may be more common than appreciated, occurs early after starting treatment, has a malignant course, and responds to higher steroid doses.","DOI":"10.1016/j.jacc.2018.02.037","ISSN":"1558-3597","note":"PMID: 29567210","journalAbbreviation":"J. Am. Coll. Cardiol.","language":"eng","author":[{"family":"Mahmood","given":"Syed S."},{"family":"Fradley","given":"Michael G."},{"family":"Cohen","given":"Justine V."},{"family":"Nohria","given":"Anju"},{"family":"Reynolds","given":"Kerry L."},{"family":"Heinzerling","given":"Lucie M."},{"family":"Sullivan","given":"Ryan J."},{"family":"Damrongwatanasuk","given":"Rongras"},{"family":"Chen","given":"Carol L."},{"family":"Gupta","given":"Dipti"},{"family":"Kirchberger","given":"Michael C."},{"family":"Awadalla","given":"Magid"},{"family":"Hassan","given":"Malek Z. O."},{"family":"Moslehi","given":"Javid J."},{"family":"Shah","given":"Sachin P."},{"family":"Ganatra","given":"Sarju"},{"family":"Thavendiranathan","given":"Paaladinesh"},{"family":"Lawrence","given":"Donald P."},{"family":"Groarke","given":"John D."},{"family":"Neilan","given":"Tomas G."}],"issued":{"date-parts":[["2018",4,24]]}}}],"schema":"https://github.com/citation-style-language/schema/raw/master/csl-citation.json"} </w:instrText>
      </w:r>
      <w:r w:rsidR="00FE5E98" w:rsidRPr="002D459F">
        <w:rPr>
          <w:rFonts w:ascii="Times New Roman" w:hAnsi="Times New Roman" w:cs="Times New Roman"/>
        </w:rPr>
        <w:fldChar w:fldCharType="separate"/>
      </w:r>
      <w:r w:rsidR="009B3A5C" w:rsidRPr="002D459F">
        <w:rPr>
          <w:rFonts w:ascii="Times New Roman" w:hAnsi="Times New Roman" w:cs="Times New Roman"/>
          <w:noProof/>
        </w:rPr>
        <w:t>(3)</w:t>
      </w:r>
      <w:r w:rsidR="00FE5E98" w:rsidRPr="002D459F">
        <w:rPr>
          <w:rFonts w:ascii="Times New Roman" w:hAnsi="Times New Roman" w:cs="Times New Roman"/>
        </w:rPr>
        <w:fldChar w:fldCharType="end"/>
      </w:r>
      <w:r w:rsidR="0097294E" w:rsidRPr="002D459F">
        <w:rPr>
          <w:rFonts w:ascii="Times New Roman" w:hAnsi="Times New Roman" w:cs="Times New Roman"/>
        </w:rPr>
        <w:t xml:space="preserve">. </w:t>
      </w:r>
      <w:r w:rsidR="00F00739" w:rsidRPr="002D459F">
        <w:rPr>
          <w:rFonts w:ascii="Times New Roman" w:hAnsi="Times New Roman" w:cs="Times New Roman"/>
        </w:rPr>
        <w:t xml:space="preserve">Controls </w:t>
      </w:r>
      <w:r w:rsidRPr="002D459F">
        <w:rPr>
          <w:rFonts w:ascii="Times New Roman" w:hAnsi="Times New Roman" w:cs="Times New Roman"/>
        </w:rPr>
        <w:t xml:space="preserve">were randomly derived from a </w:t>
      </w:r>
      <w:r w:rsidR="00A35A11" w:rsidRPr="002D459F">
        <w:rPr>
          <w:rFonts w:ascii="Times New Roman" w:hAnsi="Times New Roman" w:cs="Times New Roman"/>
        </w:rPr>
        <w:t xml:space="preserve">registry </w:t>
      </w:r>
      <w:r w:rsidRPr="002D459F">
        <w:rPr>
          <w:rFonts w:ascii="Times New Roman" w:hAnsi="Times New Roman" w:cs="Times New Roman"/>
        </w:rPr>
        <w:t>o</w:t>
      </w:r>
      <w:r w:rsidR="00416E16" w:rsidRPr="002D459F">
        <w:rPr>
          <w:rFonts w:ascii="Times New Roman" w:hAnsi="Times New Roman" w:cs="Times New Roman"/>
        </w:rPr>
        <w:t xml:space="preserve">f all patients started on ICI </w:t>
      </w:r>
      <w:r w:rsidR="00A35A11" w:rsidRPr="002D459F">
        <w:rPr>
          <w:rFonts w:ascii="Times New Roman" w:hAnsi="Times New Roman" w:cs="Times New Roman"/>
        </w:rPr>
        <w:t xml:space="preserve">therapy </w:t>
      </w:r>
      <w:r w:rsidR="00416E16" w:rsidRPr="002D459F">
        <w:rPr>
          <w:rFonts w:ascii="Times New Roman" w:hAnsi="Times New Roman" w:cs="Times New Roman"/>
        </w:rPr>
        <w:t>during</w:t>
      </w:r>
      <w:r w:rsidRPr="002D459F">
        <w:rPr>
          <w:rFonts w:ascii="Times New Roman" w:hAnsi="Times New Roman" w:cs="Times New Roman"/>
        </w:rPr>
        <w:t xml:space="preserve"> the same time interval </w:t>
      </w:r>
      <w:r w:rsidR="00A35A11" w:rsidRPr="002D459F">
        <w:rPr>
          <w:rFonts w:ascii="Times New Roman" w:hAnsi="Times New Roman" w:cs="Times New Roman"/>
        </w:rPr>
        <w:t>in a single center (Massachusetts General Hospital, Boston, Massachusetts) and</w:t>
      </w:r>
      <w:r w:rsidRPr="002D459F">
        <w:rPr>
          <w:rFonts w:ascii="Times New Roman" w:hAnsi="Times New Roman" w:cs="Times New Roman"/>
        </w:rPr>
        <w:t xml:space="preserve"> did not develop myocarditis. </w:t>
      </w:r>
      <w:r w:rsidR="006F4C9D" w:rsidRPr="002D459F">
        <w:rPr>
          <w:rFonts w:ascii="Times New Roman" w:hAnsi="Times New Roman" w:cs="Times New Roman"/>
        </w:rPr>
        <w:t>Controls</w:t>
      </w:r>
      <w:r w:rsidRPr="002D459F">
        <w:rPr>
          <w:rFonts w:ascii="Times New Roman" w:hAnsi="Times New Roman" w:cs="Times New Roman"/>
        </w:rPr>
        <w:t xml:space="preserve"> were not match</w:t>
      </w:r>
      <w:r w:rsidR="008F7BEF" w:rsidRPr="002D459F">
        <w:rPr>
          <w:rFonts w:ascii="Times New Roman" w:hAnsi="Times New Roman" w:cs="Times New Roman"/>
        </w:rPr>
        <w:t>ed to</w:t>
      </w:r>
      <w:r w:rsidRPr="002D459F">
        <w:rPr>
          <w:rFonts w:ascii="Times New Roman" w:hAnsi="Times New Roman" w:cs="Times New Roman"/>
        </w:rPr>
        <w:t xml:space="preserve"> cases on any variables. </w:t>
      </w:r>
      <w:r w:rsidR="002F2D87" w:rsidRPr="002D459F">
        <w:rPr>
          <w:rFonts w:ascii="Times New Roman" w:hAnsi="Times New Roman" w:cs="Times New Roman"/>
        </w:rPr>
        <w:t>Each center’s institutional review board approved the study</w:t>
      </w:r>
      <w:r w:rsidRPr="002D459F">
        <w:rPr>
          <w:rFonts w:ascii="Times New Roman" w:hAnsi="Times New Roman" w:cs="Times New Roman"/>
        </w:rPr>
        <w:t>, and the requirement for written informed consent was waived</w:t>
      </w:r>
      <w:r w:rsidR="00383020" w:rsidRPr="002D459F">
        <w:rPr>
          <w:rFonts w:ascii="Times New Roman" w:hAnsi="Times New Roman" w:cs="Times New Roman"/>
        </w:rPr>
        <w:t xml:space="preserve"> as part of each center’s institutional review board’s approval</w:t>
      </w:r>
      <w:r w:rsidRPr="002D459F">
        <w:rPr>
          <w:rFonts w:ascii="Times New Roman" w:hAnsi="Times New Roman" w:cs="Times New Roman"/>
        </w:rPr>
        <w:t>.</w:t>
      </w:r>
    </w:p>
    <w:p w14:paraId="730ACE8F" w14:textId="45E9B439" w:rsidR="004416D2" w:rsidRPr="002D459F" w:rsidRDefault="003A2A0B" w:rsidP="002D459F">
      <w:pPr>
        <w:tabs>
          <w:tab w:val="left" w:pos="2400"/>
        </w:tabs>
        <w:spacing w:line="480" w:lineRule="auto"/>
        <w:rPr>
          <w:rFonts w:ascii="Times New Roman" w:hAnsi="Times New Roman" w:cs="Times New Roman"/>
        </w:rPr>
      </w:pPr>
      <w:r w:rsidRPr="002D459F">
        <w:rPr>
          <w:rFonts w:ascii="Times New Roman" w:hAnsi="Times New Roman" w:cs="Times New Roman"/>
          <w:b/>
        </w:rPr>
        <w:t xml:space="preserve">Covariates: </w:t>
      </w:r>
      <w:r w:rsidR="0077702F" w:rsidRPr="002D459F">
        <w:rPr>
          <w:rFonts w:ascii="Times New Roman" w:hAnsi="Times New Roman" w:cs="Times New Roman"/>
        </w:rPr>
        <w:t>D</w:t>
      </w:r>
      <w:r w:rsidR="00595704" w:rsidRPr="002D459F">
        <w:rPr>
          <w:rFonts w:ascii="Times New Roman" w:hAnsi="Times New Roman" w:cs="Times New Roman"/>
        </w:rPr>
        <w:t xml:space="preserve">emographics, cardiovascular risk factors, medications, </w:t>
      </w:r>
      <w:r w:rsidR="00820364" w:rsidRPr="002D459F">
        <w:rPr>
          <w:rFonts w:ascii="Times New Roman" w:hAnsi="Times New Roman" w:cs="Times New Roman"/>
        </w:rPr>
        <w:t xml:space="preserve">and </w:t>
      </w:r>
      <w:r w:rsidR="00595704" w:rsidRPr="002D459F">
        <w:rPr>
          <w:rFonts w:ascii="Times New Roman" w:hAnsi="Times New Roman" w:cs="Times New Roman"/>
        </w:rPr>
        <w:t>cardiac biomarker levels were retrospectively extracted from electronic medical records</w:t>
      </w:r>
      <w:r w:rsidRPr="002D459F">
        <w:rPr>
          <w:rFonts w:ascii="Times New Roman" w:hAnsi="Times New Roman" w:cs="Times New Roman"/>
        </w:rPr>
        <w:t xml:space="preserve">. </w:t>
      </w:r>
      <w:r w:rsidR="00595704" w:rsidRPr="002D459F">
        <w:rPr>
          <w:rFonts w:ascii="Times New Roman" w:hAnsi="Times New Roman" w:cs="Times New Roman"/>
        </w:rPr>
        <w:t>Additionally, c</w:t>
      </w:r>
      <w:r w:rsidRPr="002D459F">
        <w:rPr>
          <w:rFonts w:ascii="Times New Roman" w:hAnsi="Times New Roman" w:cs="Times New Roman"/>
        </w:rPr>
        <w:t>ancer-specific covariates includ</w:t>
      </w:r>
      <w:r w:rsidR="00595704" w:rsidRPr="002D459F">
        <w:rPr>
          <w:rFonts w:ascii="Times New Roman" w:hAnsi="Times New Roman" w:cs="Times New Roman"/>
        </w:rPr>
        <w:t xml:space="preserve">ing </w:t>
      </w:r>
      <w:r w:rsidR="0077702F" w:rsidRPr="002D459F">
        <w:rPr>
          <w:rFonts w:ascii="Times New Roman" w:hAnsi="Times New Roman" w:cs="Times New Roman"/>
        </w:rPr>
        <w:t xml:space="preserve">type, </w:t>
      </w:r>
      <w:r w:rsidRPr="002D459F">
        <w:rPr>
          <w:rFonts w:ascii="Times New Roman" w:hAnsi="Times New Roman" w:cs="Times New Roman"/>
        </w:rPr>
        <w:t>treatments, prior cardiotoxic chemotherapy, and radiation therapy</w:t>
      </w:r>
      <w:r w:rsidR="00595704" w:rsidRPr="002D459F">
        <w:rPr>
          <w:rFonts w:ascii="Times New Roman" w:hAnsi="Times New Roman" w:cs="Times New Roman"/>
        </w:rPr>
        <w:t xml:space="preserve"> were also recorded</w:t>
      </w:r>
      <w:r w:rsidRPr="002D459F">
        <w:rPr>
          <w:rFonts w:ascii="Times New Roman" w:hAnsi="Times New Roman" w:cs="Times New Roman"/>
        </w:rPr>
        <w:t>. Myocarditis admission specific covariates included clinical presentation, physical examination</w:t>
      </w:r>
      <w:r w:rsidR="0010600B" w:rsidRPr="002D459F">
        <w:rPr>
          <w:rFonts w:ascii="Times New Roman" w:hAnsi="Times New Roman" w:cs="Times New Roman"/>
        </w:rPr>
        <w:t>, and</w:t>
      </w:r>
      <w:r w:rsidRPr="002D459F">
        <w:rPr>
          <w:rFonts w:ascii="Times New Roman" w:hAnsi="Times New Roman" w:cs="Times New Roman"/>
        </w:rPr>
        <w:t xml:space="preserve"> cardiac biomarkers.</w:t>
      </w:r>
      <w:r w:rsidR="000B7B37" w:rsidRPr="002D459F">
        <w:rPr>
          <w:rFonts w:ascii="Times New Roman" w:hAnsi="Times New Roman" w:cs="Times New Roman"/>
        </w:rPr>
        <w:t xml:space="preserve"> </w:t>
      </w:r>
    </w:p>
    <w:p w14:paraId="06E752B7" w14:textId="72C8FE37" w:rsidR="003A2A0B" w:rsidRPr="002D459F" w:rsidRDefault="004416D2" w:rsidP="002D459F">
      <w:pPr>
        <w:tabs>
          <w:tab w:val="left" w:pos="2400"/>
        </w:tabs>
        <w:spacing w:line="480" w:lineRule="auto"/>
        <w:rPr>
          <w:rFonts w:ascii="Times New Roman" w:hAnsi="Times New Roman" w:cs="Times New Roman"/>
        </w:rPr>
      </w:pPr>
      <w:r w:rsidRPr="002D459F">
        <w:rPr>
          <w:rFonts w:ascii="Times New Roman" w:hAnsi="Times New Roman" w:cs="Times New Roman"/>
          <w:b/>
        </w:rPr>
        <w:t xml:space="preserve">Global Longitudinal Strain: </w:t>
      </w:r>
      <w:r w:rsidR="003F7671" w:rsidRPr="002D459F">
        <w:rPr>
          <w:rFonts w:ascii="Times New Roman" w:hAnsi="Times New Roman" w:cs="Times New Roman"/>
        </w:rPr>
        <w:t>Echocardiographic</w:t>
      </w:r>
      <w:r w:rsidR="0083684B" w:rsidRPr="002D459F">
        <w:rPr>
          <w:rFonts w:ascii="Times New Roman" w:hAnsi="Times New Roman" w:cs="Times New Roman"/>
        </w:rPr>
        <w:t xml:space="preserve"> DICOM images from all centers were uploaded to a core lab, and</w:t>
      </w:r>
      <w:r w:rsidR="003F7671" w:rsidRPr="002D459F">
        <w:rPr>
          <w:rFonts w:ascii="Times New Roman" w:hAnsi="Times New Roman" w:cs="Times New Roman"/>
        </w:rPr>
        <w:t xml:space="preserve"> </w:t>
      </w:r>
      <w:r w:rsidR="000B7B37" w:rsidRPr="002D459F">
        <w:rPr>
          <w:rFonts w:ascii="Times New Roman" w:hAnsi="Times New Roman" w:cs="Times New Roman"/>
        </w:rPr>
        <w:t xml:space="preserve">GLS </w:t>
      </w:r>
      <w:r w:rsidR="009B3390" w:rsidRPr="002D459F">
        <w:rPr>
          <w:rFonts w:ascii="Times New Roman" w:hAnsi="Times New Roman" w:cs="Times New Roman"/>
        </w:rPr>
        <w:t xml:space="preserve">by speckle tracking </w:t>
      </w:r>
      <w:r w:rsidR="000B7B37" w:rsidRPr="002D459F">
        <w:rPr>
          <w:rFonts w:ascii="Times New Roman" w:hAnsi="Times New Roman" w:cs="Times New Roman"/>
        </w:rPr>
        <w:t xml:space="preserve">was measured centrally using </w:t>
      </w:r>
      <w:r w:rsidR="00454BD4" w:rsidRPr="002D459F">
        <w:rPr>
          <w:rFonts w:ascii="Times New Roman" w:hAnsi="Times New Roman" w:cs="Times New Roman"/>
        </w:rPr>
        <w:t xml:space="preserve">the vendor neutral </w:t>
      </w:r>
      <w:r w:rsidR="00006EFC" w:rsidRPr="002D459F">
        <w:rPr>
          <w:rFonts w:ascii="Times New Roman" w:hAnsi="Times New Roman" w:cs="Times New Roman"/>
        </w:rPr>
        <w:t>TomTec-Arena TTA2 (TomTec Imaging Systems GMBH, Germany) by a cardiologist blinded to all other study</w:t>
      </w:r>
      <w:r w:rsidR="00ED5D83" w:rsidRPr="002D459F">
        <w:rPr>
          <w:rFonts w:ascii="Times New Roman" w:hAnsi="Times New Roman" w:cs="Times New Roman"/>
        </w:rPr>
        <w:t>, group</w:t>
      </w:r>
      <w:r w:rsidR="00006EFC" w:rsidRPr="002D459F">
        <w:rPr>
          <w:rFonts w:ascii="Times New Roman" w:hAnsi="Times New Roman" w:cs="Times New Roman"/>
        </w:rPr>
        <w:t xml:space="preserve"> </w:t>
      </w:r>
      <w:r w:rsidRPr="002D459F">
        <w:rPr>
          <w:rFonts w:ascii="Times New Roman" w:hAnsi="Times New Roman" w:cs="Times New Roman"/>
        </w:rPr>
        <w:t xml:space="preserve">and time </w:t>
      </w:r>
      <w:r w:rsidR="00006EFC" w:rsidRPr="002D459F">
        <w:rPr>
          <w:rFonts w:ascii="Times New Roman" w:hAnsi="Times New Roman" w:cs="Times New Roman"/>
        </w:rPr>
        <w:t>variables using the standard</w:t>
      </w:r>
      <w:r w:rsidR="003F7671" w:rsidRPr="002D459F">
        <w:rPr>
          <w:rFonts w:ascii="Times New Roman" w:hAnsi="Times New Roman" w:cs="Times New Roman"/>
        </w:rPr>
        <w:t xml:space="preserve"> echocardiographic 3</w:t>
      </w:r>
      <w:r w:rsidR="00006EFC" w:rsidRPr="002D459F">
        <w:rPr>
          <w:rFonts w:ascii="Times New Roman" w:hAnsi="Times New Roman" w:cs="Times New Roman"/>
        </w:rPr>
        <w:t xml:space="preserve"> apical views (4 Ch, 2 Ch and 3 Ch).</w:t>
      </w:r>
      <w:r w:rsidR="003A2A0B" w:rsidRPr="002D459F">
        <w:rPr>
          <w:rFonts w:ascii="Times New Roman" w:hAnsi="Times New Roman" w:cs="Times New Roman"/>
        </w:rPr>
        <w:t xml:space="preserve"> </w:t>
      </w:r>
      <w:r w:rsidR="005152D2" w:rsidRPr="002D459F">
        <w:rPr>
          <w:rFonts w:ascii="Times New Roman" w:hAnsi="Times New Roman" w:cs="Times New Roman"/>
        </w:rPr>
        <w:t>As</w:t>
      </w:r>
      <w:r w:rsidR="00B60E97" w:rsidRPr="002D459F">
        <w:rPr>
          <w:rFonts w:ascii="Times New Roman" w:hAnsi="Times New Roman" w:cs="Times New Roman"/>
        </w:rPr>
        <w:t xml:space="preserve"> GLS is a negative value, we took the absolute value |x| for a simpler interpretation</w:t>
      </w:r>
      <w:r w:rsidR="005152D2" w:rsidRPr="002D459F">
        <w:rPr>
          <w:rFonts w:ascii="Times New Roman" w:hAnsi="Times New Roman" w:cs="Times New Roman"/>
        </w:rPr>
        <w:t xml:space="preserve">. </w:t>
      </w:r>
      <w:r w:rsidR="00D75550" w:rsidRPr="002D459F">
        <w:rPr>
          <w:rFonts w:ascii="Times New Roman" w:hAnsi="Times New Roman" w:cs="Times New Roman"/>
        </w:rPr>
        <w:t xml:space="preserve">The primary comparison of interest was the </w:t>
      </w:r>
      <w:r w:rsidR="003A2A0B" w:rsidRPr="002D459F">
        <w:rPr>
          <w:rFonts w:ascii="Times New Roman" w:hAnsi="Times New Roman" w:cs="Times New Roman"/>
        </w:rPr>
        <w:t xml:space="preserve">GLS </w:t>
      </w:r>
      <w:r w:rsidR="00A26127" w:rsidRPr="002D459F">
        <w:rPr>
          <w:rFonts w:ascii="Times New Roman" w:hAnsi="Times New Roman" w:cs="Times New Roman"/>
        </w:rPr>
        <w:t xml:space="preserve">derived from echocardiograms performed </w:t>
      </w:r>
      <w:r w:rsidR="00D75550" w:rsidRPr="002D459F">
        <w:rPr>
          <w:rFonts w:ascii="Times New Roman" w:hAnsi="Times New Roman" w:cs="Times New Roman"/>
        </w:rPr>
        <w:t xml:space="preserve">at the time of presentation </w:t>
      </w:r>
      <w:r w:rsidR="00A26127" w:rsidRPr="002D459F">
        <w:rPr>
          <w:rFonts w:ascii="Times New Roman" w:hAnsi="Times New Roman" w:cs="Times New Roman"/>
        </w:rPr>
        <w:t xml:space="preserve">with myocarditis </w:t>
      </w:r>
      <w:r w:rsidR="00D75550" w:rsidRPr="002D459F">
        <w:rPr>
          <w:rFonts w:ascii="Times New Roman" w:hAnsi="Times New Roman" w:cs="Times New Roman"/>
        </w:rPr>
        <w:t>among 101 cases</w:t>
      </w:r>
      <w:r w:rsidR="00A26127" w:rsidRPr="002D459F">
        <w:rPr>
          <w:rFonts w:ascii="Times New Roman" w:hAnsi="Times New Roman" w:cs="Times New Roman"/>
        </w:rPr>
        <w:t xml:space="preserve"> as compared to the GLS from </w:t>
      </w:r>
      <w:r w:rsidR="00AA6D0A" w:rsidRPr="002D459F">
        <w:rPr>
          <w:rFonts w:ascii="Times New Roman" w:hAnsi="Times New Roman" w:cs="Times New Roman"/>
        </w:rPr>
        <w:t>50</w:t>
      </w:r>
      <w:r w:rsidR="00A26127" w:rsidRPr="002D459F">
        <w:rPr>
          <w:rFonts w:ascii="Times New Roman" w:hAnsi="Times New Roman" w:cs="Times New Roman"/>
        </w:rPr>
        <w:t xml:space="preserve"> controls who were on an ICI and did not have myocarditis. The 101 cases were also compared to controls after separation by</w:t>
      </w:r>
      <w:r w:rsidR="002E1C1E" w:rsidRPr="002D459F">
        <w:rPr>
          <w:rFonts w:ascii="Times New Roman" w:hAnsi="Times New Roman" w:cs="Times New Roman"/>
        </w:rPr>
        <w:t xml:space="preserve"> strata of LVEF</w:t>
      </w:r>
      <w:r w:rsidR="00A26127" w:rsidRPr="002D459F">
        <w:rPr>
          <w:rFonts w:ascii="Times New Roman" w:hAnsi="Times New Roman" w:cs="Times New Roman"/>
        </w:rPr>
        <w:t xml:space="preserve">. Several additional comparisons were included where data were available. To </w:t>
      </w:r>
      <w:r w:rsidR="00AC1BA1" w:rsidRPr="002D459F">
        <w:rPr>
          <w:rFonts w:ascii="Times New Roman" w:hAnsi="Times New Roman" w:cs="Times New Roman"/>
        </w:rPr>
        <w:t>evaluate</w:t>
      </w:r>
      <w:r w:rsidR="00A26127" w:rsidRPr="002D459F">
        <w:rPr>
          <w:rFonts w:ascii="Times New Roman" w:hAnsi="Times New Roman" w:cs="Times New Roman"/>
        </w:rPr>
        <w:t xml:space="preserve"> whether the pre-ICI GLS was similar between cases and controls, the GLS from </w:t>
      </w:r>
      <w:r w:rsidR="00AA6D0A" w:rsidRPr="002D459F">
        <w:rPr>
          <w:rFonts w:ascii="Times New Roman" w:hAnsi="Times New Roman" w:cs="Times New Roman"/>
        </w:rPr>
        <w:t>30</w:t>
      </w:r>
      <w:r w:rsidR="00A26127" w:rsidRPr="002D459F">
        <w:rPr>
          <w:rFonts w:ascii="Times New Roman" w:hAnsi="Times New Roman" w:cs="Times New Roman"/>
        </w:rPr>
        <w:t xml:space="preserve"> cases and </w:t>
      </w:r>
      <w:r w:rsidR="00AA6D0A" w:rsidRPr="002D459F">
        <w:rPr>
          <w:rFonts w:ascii="Times New Roman" w:hAnsi="Times New Roman" w:cs="Times New Roman"/>
        </w:rPr>
        <w:t xml:space="preserve">42 </w:t>
      </w:r>
      <w:r w:rsidR="00A26127" w:rsidRPr="002D459F">
        <w:rPr>
          <w:rFonts w:ascii="Times New Roman" w:hAnsi="Times New Roman" w:cs="Times New Roman"/>
        </w:rPr>
        <w:t>controls prior to ICI start were compared. To determine whether the GLS decreased from baseline among cases</w:t>
      </w:r>
      <w:r w:rsidR="004462D4" w:rsidRPr="002D459F">
        <w:rPr>
          <w:rFonts w:ascii="Times New Roman" w:hAnsi="Times New Roman" w:cs="Times New Roman"/>
        </w:rPr>
        <w:t xml:space="preserve">, the GLS values from </w:t>
      </w:r>
      <w:r w:rsidR="00AA6D0A" w:rsidRPr="002D459F">
        <w:rPr>
          <w:rFonts w:ascii="Times New Roman" w:hAnsi="Times New Roman" w:cs="Times New Roman"/>
        </w:rPr>
        <w:t xml:space="preserve">30 </w:t>
      </w:r>
      <w:r w:rsidR="004462D4" w:rsidRPr="002D459F">
        <w:rPr>
          <w:rFonts w:ascii="Times New Roman" w:hAnsi="Times New Roman" w:cs="Times New Roman"/>
        </w:rPr>
        <w:t xml:space="preserve">myocarditis cases </w:t>
      </w:r>
      <w:r w:rsidR="00A26127" w:rsidRPr="002D459F">
        <w:rPr>
          <w:rFonts w:ascii="Times New Roman" w:hAnsi="Times New Roman" w:cs="Times New Roman"/>
        </w:rPr>
        <w:t xml:space="preserve">pre-ICI </w:t>
      </w:r>
      <w:r w:rsidR="004462D4" w:rsidRPr="002D459F">
        <w:rPr>
          <w:rFonts w:ascii="Times New Roman" w:hAnsi="Times New Roman" w:cs="Times New Roman"/>
        </w:rPr>
        <w:t xml:space="preserve">and with myocarditis were measured and compared. To determine whether the GLS decreased from baseline among controls after starting an ICI, the GLS from </w:t>
      </w:r>
      <w:r w:rsidR="00AA6D0A" w:rsidRPr="002D459F">
        <w:rPr>
          <w:rFonts w:ascii="Times New Roman" w:hAnsi="Times New Roman" w:cs="Times New Roman"/>
        </w:rPr>
        <w:t xml:space="preserve">14 </w:t>
      </w:r>
      <w:r w:rsidR="004462D4" w:rsidRPr="002D459F">
        <w:rPr>
          <w:rFonts w:ascii="Times New Roman" w:hAnsi="Times New Roman" w:cs="Times New Roman"/>
        </w:rPr>
        <w:t>controls with paired samples, pre-ICI and on ICI were measured and compared (Figure 1)</w:t>
      </w:r>
      <w:r w:rsidR="0089013C" w:rsidRPr="002D459F">
        <w:rPr>
          <w:rFonts w:ascii="Times New Roman" w:hAnsi="Times New Roman" w:cs="Times New Roman"/>
        </w:rPr>
        <w:t xml:space="preserve">. </w:t>
      </w:r>
    </w:p>
    <w:p w14:paraId="735CF053" w14:textId="4A2D9CF3" w:rsidR="003A2A0B" w:rsidRPr="002D459F" w:rsidRDefault="003A2A0B" w:rsidP="002D459F">
      <w:pPr>
        <w:tabs>
          <w:tab w:val="left" w:pos="2400"/>
        </w:tabs>
        <w:spacing w:line="480" w:lineRule="auto"/>
        <w:rPr>
          <w:rFonts w:ascii="Times New Roman" w:hAnsi="Times New Roman" w:cs="Times New Roman"/>
        </w:rPr>
      </w:pPr>
      <w:r w:rsidRPr="002D459F">
        <w:rPr>
          <w:rFonts w:ascii="Times New Roman" w:hAnsi="Times New Roman" w:cs="Times New Roman"/>
          <w:b/>
        </w:rPr>
        <w:t xml:space="preserve">Definitions and outcome of interest:  </w:t>
      </w:r>
      <w:r w:rsidRPr="002D459F">
        <w:rPr>
          <w:rFonts w:ascii="Times New Roman" w:hAnsi="Times New Roman" w:cs="Times New Roman"/>
        </w:rPr>
        <w:t>The diagnosis of</w:t>
      </w:r>
      <w:r w:rsidRPr="002D459F">
        <w:rPr>
          <w:rFonts w:ascii="Times New Roman" w:hAnsi="Times New Roman" w:cs="Times New Roman"/>
          <w:b/>
        </w:rPr>
        <w:t xml:space="preserve"> </w:t>
      </w:r>
      <w:r w:rsidRPr="002D459F">
        <w:rPr>
          <w:rFonts w:ascii="Times New Roman" w:hAnsi="Times New Roman" w:cs="Times New Roman"/>
        </w:rPr>
        <w:t xml:space="preserve">myocarditis was </w:t>
      </w:r>
      <w:r w:rsidR="00820364" w:rsidRPr="002D459F">
        <w:rPr>
          <w:rFonts w:ascii="Times New Roman" w:hAnsi="Times New Roman" w:cs="Times New Roman"/>
        </w:rPr>
        <w:t xml:space="preserve">made </w:t>
      </w:r>
      <w:r w:rsidR="002E1C1E" w:rsidRPr="002D459F">
        <w:rPr>
          <w:rFonts w:ascii="Times New Roman" w:hAnsi="Times New Roman" w:cs="Times New Roman"/>
        </w:rPr>
        <w:t>using two methods</w:t>
      </w:r>
      <w:r w:rsidR="0077702F" w:rsidRPr="002D459F">
        <w:rPr>
          <w:rFonts w:ascii="Times New Roman" w:hAnsi="Times New Roman" w:cs="Times New Roman"/>
        </w:rPr>
        <w:t>, t</w:t>
      </w:r>
      <w:r w:rsidR="002E1C1E" w:rsidRPr="002D459F">
        <w:rPr>
          <w:rFonts w:ascii="Times New Roman" w:hAnsi="Times New Roman" w:cs="Times New Roman"/>
        </w:rPr>
        <w:t xml:space="preserve">he presence of </w:t>
      </w:r>
      <w:r w:rsidRPr="002D459F">
        <w:rPr>
          <w:rFonts w:ascii="Times New Roman" w:hAnsi="Times New Roman" w:cs="Times New Roman"/>
        </w:rPr>
        <w:t>standard histological features on endomyocardial biopsy or autopsy</w:t>
      </w:r>
      <w:r w:rsidR="002E1C1E" w:rsidRPr="002D459F">
        <w:rPr>
          <w:rFonts w:ascii="Times New Roman" w:hAnsi="Times New Roman" w:cs="Times New Roman"/>
        </w:rPr>
        <w:t xml:space="preserve"> (lymphocytic infiltration)</w:t>
      </w:r>
      <w:r w:rsidR="0077702F" w:rsidRPr="002D459F">
        <w:rPr>
          <w:rFonts w:ascii="Times New Roman" w:hAnsi="Times New Roman" w:cs="Times New Roman"/>
        </w:rPr>
        <w:t xml:space="preserve"> or </w:t>
      </w:r>
      <w:r w:rsidR="002E1C1E" w:rsidRPr="002D459F">
        <w:rPr>
          <w:rFonts w:ascii="Times New Roman" w:hAnsi="Times New Roman" w:cs="Times New Roman"/>
        </w:rPr>
        <w:t>a standardized g</w:t>
      </w:r>
      <w:r w:rsidRPr="002D459F">
        <w:rPr>
          <w:rFonts w:ascii="Times New Roman" w:hAnsi="Times New Roman" w:cs="Times New Roman"/>
        </w:rPr>
        <w:t>uideline-recommended scoring system for clinically suspected myocarditis</w:t>
      </w:r>
      <w:r w:rsidR="002E1C1E" w:rsidRPr="002D459F">
        <w:rPr>
          <w:rFonts w:ascii="Times New Roman" w:hAnsi="Times New Roman" w:cs="Times New Roman"/>
        </w:rPr>
        <w:t xml:space="preserve"> among patients without a biopsy</w:t>
      </w:r>
      <w:r w:rsidR="00173AA0" w:rsidRPr="002D459F">
        <w:rPr>
          <w:rFonts w:ascii="Times New Roman" w:hAnsi="Times New Roman" w:cs="Times New Roman"/>
        </w:rPr>
        <w:t xml:space="preserve"> </w:t>
      </w:r>
      <w:r w:rsidR="00173AA0" w:rsidRPr="002D459F">
        <w:rPr>
          <w:rFonts w:ascii="Times New Roman" w:hAnsi="Times New Roman" w:cs="Times New Roman"/>
        </w:rPr>
        <w:fldChar w:fldCharType="begin"/>
      </w:r>
      <w:r w:rsidR="009B3A5C" w:rsidRPr="002D459F">
        <w:rPr>
          <w:rFonts w:ascii="Times New Roman" w:hAnsi="Times New Roman" w:cs="Times New Roman"/>
        </w:rPr>
        <w:instrText xml:space="preserve"> ADDIN ZOTERO_ITEM CSL_CITATION {"citationID":"21reeamB","properties":{"formattedCitation":"(3)","plainCitation":"(3)","noteIndex":0},"citationItems":[{"id":415,"uris":["http://zotero.org/users/4622338/items/YGUGY45V"],"uri":["http://zotero.org/users/4622338/items/YGUGY45V"],"itemData":{"id":415,"type":"article-journal","title":"Myocarditis in Patients Treated With Immune Checkpoint Inhibitors","container-title":"Journal of the American College of Cardiology","page":"1755-1764","volume":"71","issue":"16","source":"PubMed","abstract":"BACKGROUND: Myocarditis is an uncommon, but potentially fatal, toxicity of immune checkpoint inhibitors (ICI). Myocarditis after ICI has not been well characterized.\nOBJECTIVES: The authors sought to understand the presentation and clinical course of ICI-associated myocarditis.\nMETHODS: After observation of sporadic ICI-associated myocarditis cases, the authors created a multicenter registry with 8 sites. From November 2013 to July 2017, there were 35 patients with ICI-associated myocarditis, who were compared to a random sample of 105 ICI-treated patients without myocarditis. Covariates of interest were extracted from medical records including the occurrence of major adverse cardiac events (MACE), defined as the composite of cardiovascular death, cardiogenic shock, cardiac arrest, and hemodynamically significant complete heart block.\nRESULTS: The prevalence of myocarditis was 1.14% with a median time of onset of 34 days after starting ICI (interquartile range: 21 to 75 days). Cases were 65 ± 13 years of age, 29% were female, and 54% had no other immune-related side effects. Relative to controls, combination ICI (34% vs. 2%; p &lt; 0.001) and diabetes (34% vs. 13%; p = 0.01) were more common in cases. Over 102 days (interquartile range: 62 to 214 days) of median follow-up, 16 (46%) developed MACE; 38% of MACE occurred with normal ejection fraction. There was a 4-fold increased risk of MACE with troponin T of ≥1.5 ng/ml (hazard ratio: 4.0; 95% confidence interval: 1.5 to 10.9; p = 0.003). Steroids were administered in 89%, and lower steroids doses were associated with higher residual troponin and higher MACE rates.\nCONCLUSIONS: Myocarditis after ICI therapy may be more common than appreciated, occurs early after starting treatment, has a malignant course, and responds to higher steroid doses.","DOI":"10.1016/j.jacc.2018.02.037","ISSN":"1558-3597","note":"PMID: 29567210","journalAbbreviation":"J. Am. Coll. Cardiol.","language":"eng","author":[{"family":"Mahmood","given":"Syed S."},{"family":"Fradley","given":"Michael G."},{"family":"Cohen","given":"Justine V."},{"family":"Nohria","given":"Anju"},{"family":"Reynolds","given":"Kerry L."},{"family":"Heinzerling","given":"Lucie M."},{"family":"Sullivan","given":"Ryan J."},{"family":"Damrongwatanasuk","given":"Rongras"},{"family":"Chen","given":"Carol L."},{"family":"Gupta","given":"Dipti"},{"family":"Kirchberger","given":"Michael C."},{"family":"Awadalla","given":"Magid"},{"family":"Hassan","given":"Malek Z. O."},{"family":"Moslehi","given":"Javid J."},{"family":"Shah","given":"Sachin P."},{"family":"Ganatra","given":"Sarju"},{"family":"Thavendiranathan","given":"Paaladinesh"},{"family":"Lawrence","given":"Donald P."},{"family":"Groarke","given":"John D."},{"family":"Neilan","given":"Tomas G."}],"issued":{"date-parts":[["2018",4,24]]}}}],"schema":"https://github.com/citation-style-language/schema/raw/master/csl-citation.json"} </w:instrText>
      </w:r>
      <w:r w:rsidR="00173AA0" w:rsidRPr="002D459F">
        <w:rPr>
          <w:rFonts w:ascii="Times New Roman" w:hAnsi="Times New Roman" w:cs="Times New Roman"/>
        </w:rPr>
        <w:fldChar w:fldCharType="separate"/>
      </w:r>
      <w:r w:rsidR="009B3A5C" w:rsidRPr="002D459F">
        <w:rPr>
          <w:rFonts w:ascii="Times New Roman" w:hAnsi="Times New Roman" w:cs="Times New Roman"/>
          <w:noProof/>
        </w:rPr>
        <w:t>(3)</w:t>
      </w:r>
      <w:r w:rsidR="00173AA0" w:rsidRPr="002D459F">
        <w:rPr>
          <w:rFonts w:ascii="Times New Roman" w:hAnsi="Times New Roman" w:cs="Times New Roman"/>
        </w:rPr>
        <w:fldChar w:fldCharType="end"/>
      </w:r>
      <w:r w:rsidR="002E1C1E" w:rsidRPr="002D459F">
        <w:rPr>
          <w:rFonts w:ascii="Times New Roman" w:hAnsi="Times New Roman" w:cs="Times New Roman"/>
        </w:rPr>
        <w:t xml:space="preserve">. This </w:t>
      </w:r>
      <w:r w:rsidRPr="002D459F">
        <w:rPr>
          <w:rFonts w:ascii="Times New Roman" w:hAnsi="Times New Roman" w:cs="Times New Roman"/>
        </w:rPr>
        <w:t xml:space="preserve">incorporates </w:t>
      </w:r>
      <w:r w:rsidR="00DA4BC6" w:rsidRPr="002D459F">
        <w:rPr>
          <w:rFonts w:ascii="Times New Roman" w:hAnsi="Times New Roman" w:cs="Times New Roman"/>
        </w:rPr>
        <w:t xml:space="preserve">selected </w:t>
      </w:r>
      <w:r w:rsidRPr="002D459F">
        <w:rPr>
          <w:rFonts w:ascii="Times New Roman" w:hAnsi="Times New Roman" w:cs="Times New Roman"/>
        </w:rPr>
        <w:t>variables including the clinical, biomarker and imaging features</w:t>
      </w:r>
      <w:r w:rsidR="0037658D" w:rsidRPr="002D459F">
        <w:rPr>
          <w:rFonts w:ascii="Times New Roman" w:hAnsi="Times New Roman" w:cs="Times New Roman"/>
        </w:rPr>
        <w:t xml:space="preserve"> </w:t>
      </w:r>
      <w:r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g83Oh6bS","properties":{"formattedCitation":"(13)","plainCitation":"(13)","noteIndex":0},"citationItems":[{"id":580,"uris":["http://zotero.org/users/4622338/items/ZAUCRG78"],"uri":["http://zotero.org/users/4622338/items/ZAUCRG78"],"itemData":{"id":580,"type":"article-journal","title":"Current state of knowledge on aetiology, diagnosis, management, and therapy of myocarditis: a position statement of the European Society of Cardiology Working Group on Myocardial and Pericardial Diseases","container-title":"European Heart Journal","page":"2636-2648, 2648a-2648d","volume":"34","issue":"33","source":"PubMed","abstract":"In this position statement of the ESC Working Group on Myocardial and Pericardial Diseases an expert consensus group reviews the current knowledge on clinical presentation, diagnosis and treatment of myocarditis, and proposes new diagnostic criteria for clinically suspected myocarditis and its distinct biopsy-proven pathogenetic forms. The aims are to bridge the gap between clinical and tissue-based diagnosis, to improve management and provide a common reference point for future registries and multicentre randomised controlled trials of aetiology-driven treatment in inflammatory heart muscle disease.","DOI":"10.1093/eurheartj/eht210","ISSN":"1522-9645","note":"PMID: 23824828","title-short":"Current state of knowledge on aetiology, diagnosis, management, and therapy of myocarditis","journalAbbreviation":"Eur. Heart J.","language":"eng","author":[{"family":"Caforio","given":"Alida L. P."},{"family":"Pankuweit","given":"Sabine"},{"family":"Arbustini","given":"Eloisa"},{"family":"Basso","given":"Cristina"},{"family":"Gimeno-Blanes","given":"Juan"},{"family":"Felix","given":"Stephan B."},{"family":"Fu","given":"Michael"},{"family":"Heliö","given":"Tiina"},{"family":"Heymans","given":"Stephane"},{"family":"Jahns","given":"Roland"},{"family":"Klingel","given":"Karin"},{"family":"Linhart","given":"Ales"},{"family":"Maisch","given":"Bernhard"},{"family":"McKenna","given":"William"},{"family":"Mogensen","given":"Jens"},{"family":"Pinto","given":"Yigal M."},{"family":"Ristic","given":"Arsen"},{"family":"Schultheiss","given":"Heinz-Peter"},{"family":"Seggewiss","given":"Hubert"},{"family":"Tavazzi","given":"Luigi"},{"family":"Thiene","given":"Gaetano"},{"family":"Yilmaz","given":"Ali"},{"family":"Charron","given":"Philippe"},{"family":"Elliott","given":"Perry M."},{"literal":"European Society of Cardiology Working Group on Myocardial and Pericardial Diseases"}],"issued":{"date-parts":[["2013",9]]}}}],"schema":"https://github.com/citation-style-language/schema/raw/master/csl-citation.json"} </w:instrText>
      </w:r>
      <w:r w:rsidRPr="002D459F">
        <w:rPr>
          <w:rFonts w:ascii="Times New Roman" w:hAnsi="Times New Roman" w:cs="Times New Roman"/>
        </w:rPr>
        <w:fldChar w:fldCharType="separate"/>
      </w:r>
      <w:r w:rsidR="00C96F60" w:rsidRPr="002D459F">
        <w:rPr>
          <w:rFonts w:ascii="Times New Roman" w:hAnsi="Times New Roman" w:cs="Times New Roman"/>
          <w:noProof/>
        </w:rPr>
        <w:t>(13)</w:t>
      </w:r>
      <w:r w:rsidRPr="002D459F">
        <w:rPr>
          <w:rFonts w:ascii="Times New Roman" w:hAnsi="Times New Roman" w:cs="Times New Roman"/>
        </w:rPr>
        <w:fldChar w:fldCharType="end"/>
      </w:r>
      <w:r w:rsidRPr="002D459F">
        <w:rPr>
          <w:rFonts w:ascii="Times New Roman" w:hAnsi="Times New Roman" w:cs="Times New Roman"/>
        </w:rPr>
        <w:t xml:space="preserve">. </w:t>
      </w:r>
      <w:r w:rsidR="002E1C1E" w:rsidRPr="002D459F">
        <w:rPr>
          <w:rFonts w:ascii="Times New Roman" w:hAnsi="Times New Roman" w:cs="Times New Roman"/>
        </w:rPr>
        <w:t>Patients were followed for the development of MACE</w:t>
      </w:r>
      <w:r w:rsidR="00DA4BC6" w:rsidRPr="002D459F">
        <w:rPr>
          <w:rFonts w:ascii="Times New Roman" w:hAnsi="Times New Roman" w:cs="Times New Roman"/>
        </w:rPr>
        <w:t>, defined as prior,</w:t>
      </w:r>
      <w:r w:rsidR="002E1C1E" w:rsidRPr="002D459F">
        <w:rPr>
          <w:rFonts w:ascii="Times New Roman" w:hAnsi="Times New Roman" w:cs="Times New Roman"/>
        </w:rPr>
        <w:t xml:space="preserve"> </w:t>
      </w:r>
      <w:r w:rsidR="00110845" w:rsidRPr="002D459F">
        <w:rPr>
          <w:rFonts w:ascii="Times New Roman" w:hAnsi="Times New Roman" w:cs="Times New Roman"/>
        </w:rPr>
        <w:fldChar w:fldCharType="begin"/>
      </w:r>
      <w:r w:rsidR="009B3A5C" w:rsidRPr="002D459F">
        <w:rPr>
          <w:rFonts w:ascii="Times New Roman" w:hAnsi="Times New Roman" w:cs="Times New Roman"/>
        </w:rPr>
        <w:instrText xml:space="preserve"> ADDIN ZOTERO_ITEM CSL_CITATION {"citationID":"74DOrWww","properties":{"formattedCitation":"(3)","plainCitation":"(3)","noteIndex":0},"citationItems":[{"id":415,"uris":["http://zotero.org/users/4622338/items/YGUGY45V"],"uri":["http://zotero.org/users/4622338/items/YGUGY45V"],"itemData":{"id":415,"type":"article-journal","title":"Myocarditis in Patients Treated With Immune Checkpoint Inhibitors","container-title":"Journal of the American College of Cardiology","page":"1755-1764","volume":"71","issue":"16","source":"PubMed","abstract":"BACKGROUND: Myocarditis is an uncommon, but potentially fatal, toxicity of immune checkpoint inhibitors (ICI). Myocarditis after ICI has not been well characterized.\nOBJECTIVES: The authors sought to understand the presentation and clinical course of ICI-associated myocarditis.\nMETHODS: After observation of sporadic ICI-associated myocarditis cases, the authors created a multicenter registry with 8 sites. From November 2013 to July 2017, there were 35 patients with ICI-associated myocarditis, who were compared to a random sample of 105 ICI-treated patients without myocarditis. Covariates of interest were extracted from medical records including the occurrence of major adverse cardiac events (MACE), defined as the composite of cardiovascular death, cardiogenic shock, cardiac arrest, and hemodynamically significant complete heart block.\nRESULTS: The prevalence of myocarditis was 1.14% with a median time of onset of 34 days after starting ICI (interquartile range: 21 to 75 days). Cases were 65 ± 13 years of age, 29% were female, and 54% had no other immune-related side effects. Relative to controls, combination ICI (34% vs. 2%; p &lt; 0.001) and diabetes (34% vs. 13%; p = 0.01) were more common in cases. Over 102 days (interquartile range: 62 to 214 days) of median follow-up, 16 (46%) developed MACE; 38% of MACE occurred with normal ejection fraction. There was a 4-fold increased risk of MACE with troponin T of ≥1.5 ng/ml (hazard ratio: 4.0; 95% confidence interval: 1.5 to 10.9; p = 0.003). Steroids were administered in 89%, and lower steroids doses were associated with higher residual troponin and higher MACE rates.\nCONCLUSIONS: Myocarditis after ICI therapy may be more common than appreciated, occurs early after starting treatment, has a malignant course, and responds to higher steroid doses.","DOI":"10.1016/j.jacc.2018.02.037","ISSN":"1558-3597","note":"PMID: 29567210","journalAbbreviation":"J. Am. Coll. Cardiol.","language":"eng","author":[{"family":"Mahmood","given":"Syed S."},{"family":"Fradley","given":"Michael G."},{"family":"Cohen","given":"Justine V."},{"family":"Nohria","given":"Anju"},{"family":"Reynolds","given":"Kerry L."},{"family":"Heinzerling","given":"Lucie M."},{"family":"Sullivan","given":"Ryan J."},{"family":"Damrongwatanasuk","given":"Rongras"},{"family":"Chen","given":"Carol L."},{"family":"Gupta","given":"Dipti"},{"family":"Kirchberger","given":"Michael C."},{"family":"Awadalla","given":"Magid"},{"family":"Hassan","given":"Malek Z. O."},{"family":"Moslehi","given":"Javid J."},{"family":"Shah","given":"Sachin P."},{"family":"Ganatra","given":"Sarju"},{"family":"Thavendiranathan","given":"Paaladinesh"},{"family":"Lawrence","given":"Donald P."},{"family":"Groarke","given":"John D."},{"family":"Neilan","given":"Tomas G."}],"issued":{"date-parts":[["2018",4,24]]}}}],"schema":"https://github.com/citation-style-language/schema/raw/master/csl-citation.json"} </w:instrText>
      </w:r>
      <w:r w:rsidR="00110845" w:rsidRPr="002D459F">
        <w:rPr>
          <w:rFonts w:ascii="Times New Roman" w:hAnsi="Times New Roman" w:cs="Times New Roman"/>
        </w:rPr>
        <w:fldChar w:fldCharType="separate"/>
      </w:r>
      <w:r w:rsidR="009B3A5C" w:rsidRPr="002D459F">
        <w:rPr>
          <w:rFonts w:ascii="Times New Roman" w:hAnsi="Times New Roman" w:cs="Times New Roman"/>
          <w:noProof/>
        </w:rPr>
        <w:t>(3)</w:t>
      </w:r>
      <w:r w:rsidR="00110845" w:rsidRPr="002D459F">
        <w:rPr>
          <w:rFonts w:ascii="Times New Roman" w:hAnsi="Times New Roman" w:cs="Times New Roman"/>
        </w:rPr>
        <w:fldChar w:fldCharType="end"/>
      </w:r>
      <w:r w:rsidR="002E1C1E" w:rsidRPr="002D459F">
        <w:rPr>
          <w:rFonts w:ascii="Times New Roman" w:hAnsi="Times New Roman" w:cs="Times New Roman"/>
        </w:rPr>
        <w:t xml:space="preserve"> as a composite </w:t>
      </w:r>
      <w:r w:rsidRPr="002D459F">
        <w:rPr>
          <w:rFonts w:ascii="Times New Roman" w:hAnsi="Times New Roman" w:cs="Times New Roman"/>
        </w:rPr>
        <w:t xml:space="preserve">of cardiovascular death, cardiac arrest, cardiogenic shock, and hemodynamically significant complete heart block (CHB). In cases where cardiac arrest, cardiogenic shock, or CHB lead to death, that case was counted as a cardiac death. </w:t>
      </w:r>
    </w:p>
    <w:p w14:paraId="09F4A07E" w14:textId="3B2697A3" w:rsidR="00186C3A" w:rsidRPr="002D459F" w:rsidRDefault="003A2A0B" w:rsidP="002D459F">
      <w:pPr>
        <w:spacing w:line="480" w:lineRule="auto"/>
        <w:rPr>
          <w:rFonts w:ascii="Times New Roman" w:hAnsi="Times New Roman" w:cs="Times New Roman"/>
        </w:rPr>
      </w:pPr>
      <w:r w:rsidRPr="002D459F">
        <w:rPr>
          <w:rFonts w:ascii="Times New Roman" w:hAnsi="Times New Roman" w:cs="Times New Roman"/>
          <w:b/>
        </w:rPr>
        <w:t>Statistical analysis</w:t>
      </w:r>
      <w:r w:rsidR="00B21434" w:rsidRPr="002D459F">
        <w:rPr>
          <w:rFonts w:ascii="Times New Roman" w:hAnsi="Times New Roman" w:cs="Times New Roman"/>
          <w:b/>
        </w:rPr>
        <w:t>:</w:t>
      </w:r>
      <w:r w:rsidR="00B21434" w:rsidRPr="002D459F">
        <w:rPr>
          <w:rFonts w:ascii="Times New Roman" w:hAnsi="Times New Roman" w:cs="Times New Roman"/>
        </w:rPr>
        <w:t xml:space="preserve"> Continuous variables were summarized as either the mean ± standard deviation (SD) or as the median and interquartile range (IQR), as appropriate, and categorical variables were presented as percentages. Comparisons by case status (case vs. control) and by </w:t>
      </w:r>
      <w:r w:rsidR="00C656CC" w:rsidRPr="002D459F">
        <w:rPr>
          <w:rFonts w:ascii="Times New Roman" w:hAnsi="Times New Roman" w:cs="Times New Roman"/>
        </w:rPr>
        <w:t>MACE</w:t>
      </w:r>
      <w:r w:rsidR="00B21434" w:rsidRPr="002D459F">
        <w:rPr>
          <w:rFonts w:ascii="Times New Roman" w:hAnsi="Times New Roman" w:cs="Times New Roman"/>
        </w:rPr>
        <w:t xml:space="preserve"> status were compared using the Student’s </w:t>
      </w:r>
      <w:r w:rsidR="00B21434" w:rsidRPr="002D459F">
        <w:rPr>
          <w:rFonts w:ascii="Times New Roman" w:hAnsi="Times New Roman" w:cs="Times New Roman"/>
          <w:i/>
          <w:iCs/>
        </w:rPr>
        <w:t>t</w:t>
      </w:r>
      <w:r w:rsidR="00B21434" w:rsidRPr="002D459F">
        <w:rPr>
          <w:rFonts w:ascii="Times New Roman" w:hAnsi="Times New Roman" w:cs="Times New Roman"/>
        </w:rPr>
        <w:t xml:space="preserve">-test for continuous variables or either the chi-square or Fisher’s exact test for categorical variables. </w:t>
      </w:r>
      <w:r w:rsidR="00AC1BA1" w:rsidRPr="002D459F">
        <w:rPr>
          <w:rFonts w:ascii="Times New Roman" w:hAnsi="Times New Roman" w:cs="Times New Roman"/>
        </w:rPr>
        <w:t>Kaplan Meier curves and the log-rank test were generated to quantify the relationship between</w:t>
      </w:r>
      <w:r w:rsidR="005E2563" w:rsidRPr="002D459F">
        <w:rPr>
          <w:rFonts w:ascii="Times New Roman" w:hAnsi="Times New Roman" w:cs="Times New Roman"/>
        </w:rPr>
        <w:t xml:space="preserve"> GLS (</w:t>
      </w:r>
      <w:r w:rsidR="00737AEF" w:rsidRPr="002D459F">
        <w:rPr>
          <w:rFonts w:ascii="Times New Roman" w:hAnsi="Times New Roman" w:cs="Times New Roman"/>
        </w:rPr>
        <w:t xml:space="preserve">separated </w:t>
      </w:r>
      <w:r w:rsidR="005E2563" w:rsidRPr="002D459F">
        <w:rPr>
          <w:rFonts w:ascii="Times New Roman" w:hAnsi="Times New Roman" w:cs="Times New Roman"/>
        </w:rPr>
        <w:t>by</w:t>
      </w:r>
      <w:r w:rsidR="00737AEF" w:rsidRPr="002D459F">
        <w:rPr>
          <w:rFonts w:ascii="Times New Roman" w:hAnsi="Times New Roman" w:cs="Times New Roman"/>
        </w:rPr>
        <w:t xml:space="preserve"> tertiles among the whole cohort of cases, </w:t>
      </w:r>
      <w:r w:rsidR="00EC789E" w:rsidRPr="002D459F">
        <w:rPr>
          <w:rFonts w:ascii="Times New Roman" w:hAnsi="Times New Roman" w:cs="Times New Roman"/>
        </w:rPr>
        <w:t>and by</w:t>
      </w:r>
      <w:r w:rsidR="00AC1BA1" w:rsidRPr="002D459F">
        <w:rPr>
          <w:rFonts w:ascii="Times New Roman" w:hAnsi="Times New Roman" w:cs="Times New Roman"/>
        </w:rPr>
        <w:t xml:space="preserve"> median GLS </w:t>
      </w:r>
      <w:r w:rsidR="00737AEF" w:rsidRPr="002D459F">
        <w:rPr>
          <w:rFonts w:ascii="Times New Roman" w:hAnsi="Times New Roman" w:cs="Times New Roman"/>
        </w:rPr>
        <w:t>among the 2 groups</w:t>
      </w:r>
      <w:r w:rsidR="00EC789E" w:rsidRPr="002D459F">
        <w:rPr>
          <w:rFonts w:ascii="Times New Roman" w:hAnsi="Times New Roman" w:cs="Times New Roman"/>
        </w:rPr>
        <w:t>: 1-</w:t>
      </w:r>
      <w:r w:rsidR="00737AEF" w:rsidRPr="002D459F">
        <w:rPr>
          <w:rFonts w:ascii="Times New Roman" w:hAnsi="Times New Roman" w:cs="Times New Roman"/>
        </w:rPr>
        <w:t>cases with preserved EF</w:t>
      </w:r>
      <w:r w:rsidR="00EC789E" w:rsidRPr="002D459F">
        <w:rPr>
          <w:rFonts w:ascii="Times New Roman" w:hAnsi="Times New Roman" w:cs="Times New Roman"/>
        </w:rPr>
        <w:t>, 2- cases with</w:t>
      </w:r>
      <w:r w:rsidR="00737AEF" w:rsidRPr="002D459F">
        <w:rPr>
          <w:rFonts w:ascii="Times New Roman" w:hAnsi="Times New Roman" w:cs="Times New Roman"/>
        </w:rPr>
        <w:t xml:space="preserve"> reduced EF</w:t>
      </w:r>
      <w:r w:rsidR="005E2563" w:rsidRPr="002D459F">
        <w:rPr>
          <w:rFonts w:ascii="Times New Roman" w:hAnsi="Times New Roman" w:cs="Times New Roman"/>
        </w:rPr>
        <w:t>) and MACE-free survival</w:t>
      </w:r>
      <w:r w:rsidR="00AC1BA1" w:rsidRPr="002D459F">
        <w:rPr>
          <w:rFonts w:ascii="Times New Roman" w:hAnsi="Times New Roman" w:cs="Times New Roman"/>
        </w:rPr>
        <w:t>. Cox proportional hazard models were constructed to quantify the association between GLS and follow-up time</w:t>
      </w:r>
      <w:r w:rsidR="001E7078" w:rsidRPr="002D459F">
        <w:rPr>
          <w:rFonts w:ascii="Times New Roman" w:hAnsi="Times New Roman" w:cs="Times New Roman"/>
        </w:rPr>
        <w:t xml:space="preserve"> while controlling for LVEF. The proportional hazards assumption was evaluated testing and graphically assess the scaled Schoenfeld residuals. Linearity of model covariates was assessed using likelihood ratio tests (by comparing nested models with and without flexible parameterizations of covariates) as well as graphically via marginal effects plots. </w:t>
      </w:r>
      <w:r w:rsidR="002E1C1E" w:rsidRPr="002D459F">
        <w:rPr>
          <w:rFonts w:ascii="Times New Roman" w:eastAsia="Times New Roman" w:hAnsi="Times New Roman" w:cs="Times New Roman"/>
          <w:color w:val="000000" w:themeColor="text1"/>
        </w:rPr>
        <w:t xml:space="preserve">Hazard ratios (HR) were estimated with and without the addition of potential confounders as covariates, and 95% confidence intervals (CIs) were estimated for each </w:t>
      </w:r>
      <w:r w:rsidR="00C84160" w:rsidRPr="002D459F">
        <w:rPr>
          <w:rFonts w:ascii="Times New Roman" w:eastAsia="Times New Roman" w:hAnsi="Times New Roman" w:cs="Times New Roman"/>
          <w:color w:val="000000" w:themeColor="text1"/>
        </w:rPr>
        <w:t>percent</w:t>
      </w:r>
      <w:r w:rsidR="002E1C1E" w:rsidRPr="002D459F">
        <w:rPr>
          <w:rFonts w:ascii="Times New Roman" w:eastAsia="Times New Roman" w:hAnsi="Times New Roman" w:cs="Times New Roman"/>
          <w:color w:val="000000" w:themeColor="text1"/>
        </w:rPr>
        <w:t xml:space="preserve"> decrease in GLS.</w:t>
      </w:r>
      <w:r w:rsidR="00B21434" w:rsidRPr="002D459F">
        <w:rPr>
          <w:rFonts w:ascii="Times New Roman" w:hAnsi="Times New Roman" w:cs="Times New Roman"/>
        </w:rPr>
        <w:t> </w:t>
      </w:r>
      <w:r w:rsidR="00DA4BC6" w:rsidRPr="002D459F">
        <w:rPr>
          <w:rFonts w:ascii="Times New Roman" w:hAnsi="Times New Roman" w:cs="Times New Roman"/>
        </w:rPr>
        <w:t xml:space="preserve">Three multivariable models were performed, all adjusting for LVEF, and additional adjustments for left ventricular internal diastolic dimension, age and diabetes mellitus. </w:t>
      </w:r>
      <w:r w:rsidR="00B21434" w:rsidRPr="002D459F">
        <w:rPr>
          <w:rFonts w:ascii="Times New Roman" w:hAnsi="Times New Roman" w:cs="Times New Roman"/>
        </w:rPr>
        <w:t>All statistical tests were 2-sided and 5% was set as the level of significance. Statistical analysis was performed using R Version 3.5.1 (R foundation for statistical computing, Vienna, Austria).</w:t>
      </w:r>
    </w:p>
    <w:p w14:paraId="78678434" w14:textId="45A5EFFD" w:rsidR="003A2A0B" w:rsidRPr="002D459F" w:rsidRDefault="003A2A0B" w:rsidP="002D459F">
      <w:pPr>
        <w:spacing w:line="480" w:lineRule="auto"/>
        <w:rPr>
          <w:rFonts w:ascii="Times New Roman" w:hAnsi="Times New Roman" w:cs="Times New Roman"/>
          <w:b/>
        </w:rPr>
      </w:pPr>
      <w:r w:rsidRPr="002D459F">
        <w:rPr>
          <w:rFonts w:ascii="Times New Roman" w:hAnsi="Times New Roman" w:cs="Times New Roman"/>
          <w:b/>
        </w:rPr>
        <w:t>Results</w:t>
      </w:r>
    </w:p>
    <w:p w14:paraId="643EA595" w14:textId="1CB4BBE6" w:rsidR="00F65AC6" w:rsidRPr="002D459F" w:rsidRDefault="004B3499" w:rsidP="002D459F">
      <w:pPr>
        <w:spacing w:line="480" w:lineRule="auto"/>
        <w:rPr>
          <w:rFonts w:ascii="Times New Roman" w:hAnsi="Times New Roman" w:cs="Times New Roman"/>
        </w:rPr>
      </w:pPr>
      <w:r w:rsidRPr="002D459F">
        <w:rPr>
          <w:rFonts w:ascii="Times New Roman" w:hAnsi="Times New Roman" w:cs="Times New Roman"/>
          <w:b/>
        </w:rPr>
        <w:t xml:space="preserve">Patient characteristics: </w:t>
      </w:r>
      <w:r w:rsidR="00F65AC6" w:rsidRPr="002D459F">
        <w:rPr>
          <w:rFonts w:ascii="Times New Roman" w:hAnsi="Times New Roman" w:cs="Times New Roman"/>
        </w:rPr>
        <w:t xml:space="preserve">The mean age of </w:t>
      </w:r>
      <w:r w:rsidR="00186C3A" w:rsidRPr="002D459F">
        <w:rPr>
          <w:rFonts w:ascii="Times New Roman" w:hAnsi="Times New Roman" w:cs="Times New Roman"/>
        </w:rPr>
        <w:t xml:space="preserve">cases </w:t>
      </w:r>
      <w:r w:rsidR="00F65AC6" w:rsidRPr="002D459F">
        <w:rPr>
          <w:rFonts w:ascii="Times New Roman" w:hAnsi="Times New Roman" w:cs="Times New Roman"/>
        </w:rPr>
        <w:t>(n=101) was 66±14 years with 73% being male (Table 1</w:t>
      </w:r>
      <w:r w:rsidR="00A44A1F" w:rsidRPr="002D459F">
        <w:rPr>
          <w:rFonts w:ascii="Times New Roman" w:hAnsi="Times New Roman" w:cs="Times New Roman"/>
        </w:rPr>
        <w:t>A</w:t>
      </w:r>
      <w:r w:rsidR="00F65AC6" w:rsidRPr="002D459F">
        <w:rPr>
          <w:rFonts w:ascii="Times New Roman" w:hAnsi="Times New Roman" w:cs="Times New Roman"/>
        </w:rPr>
        <w:t xml:space="preserve">). The median time to onset of myocarditis from </w:t>
      </w:r>
      <w:r w:rsidR="001D0E29" w:rsidRPr="002D459F">
        <w:rPr>
          <w:rFonts w:ascii="Times New Roman" w:hAnsi="Times New Roman" w:cs="Times New Roman"/>
        </w:rPr>
        <w:t xml:space="preserve">starting </w:t>
      </w:r>
      <w:r w:rsidR="00F65AC6" w:rsidRPr="002D459F">
        <w:rPr>
          <w:rFonts w:ascii="Times New Roman" w:hAnsi="Times New Roman" w:cs="Times New Roman"/>
        </w:rPr>
        <w:t>ICI was 57 days (</w:t>
      </w:r>
      <w:r w:rsidR="009D0ACC" w:rsidRPr="002D459F">
        <w:rPr>
          <w:rFonts w:ascii="Times New Roman" w:hAnsi="Times New Roman" w:cs="Times New Roman"/>
        </w:rPr>
        <w:t>IQR</w:t>
      </w:r>
      <w:r w:rsidR="00F65AC6" w:rsidRPr="002D459F">
        <w:rPr>
          <w:rFonts w:ascii="Times New Roman" w:hAnsi="Times New Roman" w:cs="Times New Roman"/>
        </w:rPr>
        <w:t xml:space="preserve"> 27-122 days)</w:t>
      </w:r>
      <w:r w:rsidR="00A44A1F" w:rsidRPr="002D459F">
        <w:rPr>
          <w:rFonts w:ascii="Times New Roman" w:hAnsi="Times New Roman" w:cs="Times New Roman"/>
        </w:rPr>
        <w:t>, and</w:t>
      </w:r>
      <w:r w:rsidR="00186C3A" w:rsidRPr="002D459F">
        <w:rPr>
          <w:rFonts w:ascii="Times New Roman" w:hAnsi="Times New Roman" w:cs="Times New Roman"/>
        </w:rPr>
        <w:t xml:space="preserve"> most common presentations were chest pain and shortness of breath. At presentation, 40% had a reduced ejection fraction (EF) (&lt;50%) and 60% had a preserved EF. </w:t>
      </w:r>
      <w:r w:rsidR="004462D4" w:rsidRPr="002D459F">
        <w:rPr>
          <w:rFonts w:ascii="Times New Roman" w:hAnsi="Times New Roman" w:cs="Times New Roman"/>
        </w:rPr>
        <w:t xml:space="preserve">In comparison with controls, </w:t>
      </w:r>
      <w:r w:rsidR="00F65AC6" w:rsidRPr="002D459F">
        <w:rPr>
          <w:rFonts w:ascii="Times New Roman" w:hAnsi="Times New Roman" w:cs="Times New Roman"/>
        </w:rPr>
        <w:t xml:space="preserve">myocarditis cases were </w:t>
      </w:r>
      <w:r w:rsidR="003A4B5B" w:rsidRPr="002D459F">
        <w:rPr>
          <w:rFonts w:ascii="Times New Roman" w:hAnsi="Times New Roman" w:cs="Times New Roman"/>
        </w:rPr>
        <w:t xml:space="preserve">evenly matched in age, sex, </w:t>
      </w:r>
      <w:r w:rsidR="004462D4" w:rsidRPr="002D459F">
        <w:rPr>
          <w:rFonts w:ascii="Times New Roman" w:hAnsi="Times New Roman" w:cs="Times New Roman"/>
        </w:rPr>
        <w:t xml:space="preserve">and </w:t>
      </w:r>
      <w:r w:rsidR="003A4B5B" w:rsidRPr="002D459F">
        <w:rPr>
          <w:rFonts w:ascii="Times New Roman" w:hAnsi="Times New Roman" w:cs="Times New Roman"/>
        </w:rPr>
        <w:t>cardiovascular risk factors (Table 1</w:t>
      </w:r>
      <w:r w:rsidR="00A44A1F" w:rsidRPr="002D459F">
        <w:rPr>
          <w:rFonts w:ascii="Times New Roman" w:hAnsi="Times New Roman" w:cs="Times New Roman"/>
        </w:rPr>
        <w:t>A</w:t>
      </w:r>
      <w:r w:rsidR="003A4B5B" w:rsidRPr="002D459F">
        <w:rPr>
          <w:rFonts w:ascii="Times New Roman" w:hAnsi="Times New Roman" w:cs="Times New Roman"/>
        </w:rPr>
        <w:t>)</w:t>
      </w:r>
      <w:r w:rsidR="007D27E8" w:rsidRPr="002D459F">
        <w:rPr>
          <w:rFonts w:ascii="Times New Roman" w:hAnsi="Times New Roman" w:cs="Times New Roman"/>
        </w:rPr>
        <w:t xml:space="preserve">. </w:t>
      </w:r>
    </w:p>
    <w:p w14:paraId="5435AF40" w14:textId="611CEAB5" w:rsidR="00442D4B" w:rsidRPr="002D459F" w:rsidRDefault="00F65AC6" w:rsidP="002D459F">
      <w:pPr>
        <w:spacing w:line="480" w:lineRule="auto"/>
        <w:rPr>
          <w:rFonts w:ascii="Times New Roman" w:hAnsi="Times New Roman" w:cs="Times New Roman"/>
        </w:rPr>
      </w:pPr>
      <w:r w:rsidRPr="002D459F">
        <w:rPr>
          <w:rFonts w:ascii="Times New Roman" w:hAnsi="Times New Roman" w:cs="Times New Roman"/>
          <w:b/>
        </w:rPr>
        <w:t xml:space="preserve">Cancer and treatment characteristics: </w:t>
      </w:r>
      <w:r w:rsidRPr="002D459F">
        <w:rPr>
          <w:rFonts w:ascii="Times New Roman" w:hAnsi="Times New Roman" w:cs="Times New Roman"/>
        </w:rPr>
        <w:t>The most common</w:t>
      </w:r>
      <w:r w:rsidRPr="002D459F">
        <w:rPr>
          <w:rFonts w:ascii="Times New Roman" w:hAnsi="Times New Roman" w:cs="Times New Roman"/>
          <w:b/>
        </w:rPr>
        <w:t xml:space="preserve"> </w:t>
      </w:r>
      <w:r w:rsidRPr="002D459F">
        <w:rPr>
          <w:rFonts w:ascii="Times New Roman" w:hAnsi="Times New Roman" w:cs="Times New Roman"/>
        </w:rPr>
        <w:t xml:space="preserve">indications for </w:t>
      </w:r>
      <w:r w:rsidR="00DA4BC6" w:rsidRPr="002D459F">
        <w:rPr>
          <w:rFonts w:ascii="Times New Roman" w:hAnsi="Times New Roman" w:cs="Times New Roman"/>
        </w:rPr>
        <w:t xml:space="preserve">an </w:t>
      </w:r>
      <w:r w:rsidRPr="002D459F">
        <w:rPr>
          <w:rFonts w:ascii="Times New Roman" w:hAnsi="Times New Roman" w:cs="Times New Roman"/>
        </w:rPr>
        <w:t>ICI were melanoma and lung cancer (Table 1</w:t>
      </w:r>
      <w:r w:rsidR="00A44A1F" w:rsidRPr="002D459F">
        <w:rPr>
          <w:rFonts w:ascii="Times New Roman" w:hAnsi="Times New Roman" w:cs="Times New Roman"/>
        </w:rPr>
        <w:t>A</w:t>
      </w:r>
      <w:r w:rsidRPr="002D459F">
        <w:rPr>
          <w:rFonts w:ascii="Times New Roman" w:hAnsi="Times New Roman" w:cs="Times New Roman"/>
        </w:rPr>
        <w:t xml:space="preserve">). </w:t>
      </w:r>
      <w:r w:rsidR="00B97138" w:rsidRPr="002D459F">
        <w:rPr>
          <w:rFonts w:ascii="Times New Roman" w:hAnsi="Times New Roman" w:cs="Times New Roman"/>
        </w:rPr>
        <w:t>Patients with myocarditis</w:t>
      </w:r>
      <w:r w:rsidRPr="002D459F">
        <w:rPr>
          <w:rFonts w:ascii="Times New Roman" w:hAnsi="Times New Roman" w:cs="Times New Roman"/>
        </w:rPr>
        <w:t xml:space="preserve"> were more likely to have received combination ICI therapy (Table </w:t>
      </w:r>
      <w:r w:rsidR="00455A96" w:rsidRPr="002D459F">
        <w:rPr>
          <w:rFonts w:ascii="Times New Roman" w:hAnsi="Times New Roman" w:cs="Times New Roman"/>
        </w:rPr>
        <w:t>1B</w:t>
      </w:r>
      <w:r w:rsidRPr="002D459F">
        <w:rPr>
          <w:rFonts w:ascii="Times New Roman" w:hAnsi="Times New Roman" w:cs="Times New Roman"/>
        </w:rPr>
        <w:t>)</w:t>
      </w:r>
      <w:r w:rsidR="00C639F3" w:rsidRPr="002D459F">
        <w:rPr>
          <w:rFonts w:ascii="Times New Roman" w:hAnsi="Times New Roman" w:cs="Times New Roman"/>
        </w:rPr>
        <w:t>; h</w:t>
      </w:r>
      <w:r w:rsidR="00157EF4" w:rsidRPr="002D459F">
        <w:rPr>
          <w:rFonts w:ascii="Times New Roman" w:hAnsi="Times New Roman" w:cs="Times New Roman"/>
        </w:rPr>
        <w:t xml:space="preserve">owever, the majority </w:t>
      </w:r>
      <w:r w:rsidR="006F4C9D" w:rsidRPr="002D459F">
        <w:rPr>
          <w:rFonts w:ascii="Times New Roman" w:hAnsi="Times New Roman" w:cs="Times New Roman"/>
        </w:rPr>
        <w:t xml:space="preserve">were </w:t>
      </w:r>
      <w:r w:rsidR="00C639F3" w:rsidRPr="002D459F">
        <w:rPr>
          <w:rFonts w:ascii="Times New Roman" w:hAnsi="Times New Roman" w:cs="Times New Roman"/>
        </w:rPr>
        <w:t>on</w:t>
      </w:r>
      <w:r w:rsidRPr="002D459F">
        <w:rPr>
          <w:rFonts w:ascii="Times New Roman" w:hAnsi="Times New Roman" w:cs="Times New Roman"/>
        </w:rPr>
        <w:t xml:space="preserve"> single ICI therapy (7</w:t>
      </w:r>
      <w:r w:rsidR="00F412FE" w:rsidRPr="002D459F">
        <w:rPr>
          <w:rFonts w:ascii="Times New Roman" w:hAnsi="Times New Roman" w:cs="Times New Roman"/>
        </w:rPr>
        <w:t>3</w:t>
      </w:r>
      <w:r w:rsidRPr="002D459F">
        <w:rPr>
          <w:rFonts w:ascii="Times New Roman" w:hAnsi="Times New Roman" w:cs="Times New Roman"/>
        </w:rPr>
        <w:t xml:space="preserve">%). The median follow-up time was </w:t>
      </w:r>
      <w:r w:rsidR="00AA6D0A" w:rsidRPr="002D459F">
        <w:rPr>
          <w:rFonts w:ascii="Times New Roman" w:hAnsi="Times New Roman" w:cs="Times New Roman"/>
        </w:rPr>
        <w:t>283</w:t>
      </w:r>
      <w:r w:rsidR="002257ED" w:rsidRPr="002D459F">
        <w:rPr>
          <w:rFonts w:ascii="Times New Roman" w:hAnsi="Times New Roman" w:cs="Times New Roman"/>
        </w:rPr>
        <w:t xml:space="preserve"> [IQR 1</w:t>
      </w:r>
      <w:r w:rsidR="00AA6D0A" w:rsidRPr="002D459F">
        <w:rPr>
          <w:rFonts w:ascii="Times New Roman" w:hAnsi="Times New Roman" w:cs="Times New Roman"/>
        </w:rPr>
        <w:t>0</w:t>
      </w:r>
      <w:r w:rsidR="002257ED" w:rsidRPr="002D459F">
        <w:rPr>
          <w:rFonts w:ascii="Times New Roman" w:hAnsi="Times New Roman" w:cs="Times New Roman"/>
        </w:rPr>
        <w:t>1,5</w:t>
      </w:r>
      <w:r w:rsidR="00AA6D0A" w:rsidRPr="002D459F">
        <w:rPr>
          <w:rFonts w:ascii="Times New Roman" w:hAnsi="Times New Roman" w:cs="Times New Roman"/>
        </w:rPr>
        <w:t>14</w:t>
      </w:r>
      <w:r w:rsidRPr="002D459F">
        <w:rPr>
          <w:rFonts w:ascii="Times New Roman" w:hAnsi="Times New Roman" w:cs="Times New Roman"/>
        </w:rPr>
        <w:t>] days</w:t>
      </w:r>
      <w:r w:rsidR="002257ED" w:rsidRPr="002D459F">
        <w:rPr>
          <w:rFonts w:ascii="Times New Roman" w:hAnsi="Times New Roman" w:cs="Times New Roman"/>
        </w:rPr>
        <w:t xml:space="preserve"> for controls, and 17</w:t>
      </w:r>
      <w:r w:rsidR="00AA6D0A" w:rsidRPr="002D459F">
        <w:rPr>
          <w:rFonts w:ascii="Times New Roman" w:hAnsi="Times New Roman" w:cs="Times New Roman"/>
        </w:rPr>
        <w:t>5</w:t>
      </w:r>
      <w:r w:rsidR="002257ED" w:rsidRPr="002D459F">
        <w:rPr>
          <w:rFonts w:ascii="Times New Roman" w:hAnsi="Times New Roman" w:cs="Times New Roman"/>
        </w:rPr>
        <w:t xml:space="preserve"> [</w:t>
      </w:r>
      <w:r w:rsidR="007C53CD" w:rsidRPr="002D459F">
        <w:rPr>
          <w:rFonts w:ascii="Times New Roman" w:hAnsi="Times New Roman" w:cs="Times New Roman"/>
        </w:rPr>
        <w:t xml:space="preserve">IQR </w:t>
      </w:r>
      <w:r w:rsidR="002257ED" w:rsidRPr="002D459F">
        <w:rPr>
          <w:rFonts w:ascii="Times New Roman" w:hAnsi="Times New Roman" w:cs="Times New Roman"/>
        </w:rPr>
        <w:t>9</w:t>
      </w:r>
      <w:r w:rsidR="00AA6D0A" w:rsidRPr="002D459F">
        <w:rPr>
          <w:rFonts w:ascii="Times New Roman" w:hAnsi="Times New Roman" w:cs="Times New Roman"/>
        </w:rPr>
        <w:t>5</w:t>
      </w:r>
      <w:r w:rsidR="002257ED" w:rsidRPr="002D459F">
        <w:rPr>
          <w:rFonts w:ascii="Times New Roman" w:hAnsi="Times New Roman" w:cs="Times New Roman"/>
        </w:rPr>
        <w:t>,3</w:t>
      </w:r>
      <w:r w:rsidR="00AA6D0A" w:rsidRPr="002D459F">
        <w:rPr>
          <w:rFonts w:ascii="Times New Roman" w:hAnsi="Times New Roman" w:cs="Times New Roman"/>
        </w:rPr>
        <w:t>5</w:t>
      </w:r>
      <w:r w:rsidR="002257ED" w:rsidRPr="002D459F">
        <w:rPr>
          <w:rFonts w:ascii="Times New Roman" w:hAnsi="Times New Roman" w:cs="Times New Roman"/>
        </w:rPr>
        <w:t>2</w:t>
      </w:r>
      <w:r w:rsidRPr="002D459F">
        <w:rPr>
          <w:rFonts w:ascii="Times New Roman" w:hAnsi="Times New Roman" w:cs="Times New Roman"/>
        </w:rPr>
        <w:t xml:space="preserve">] days for cases (Table </w:t>
      </w:r>
      <w:r w:rsidR="00365D1F" w:rsidRPr="002D459F">
        <w:rPr>
          <w:rFonts w:ascii="Times New Roman" w:hAnsi="Times New Roman" w:cs="Times New Roman"/>
        </w:rPr>
        <w:t>1B</w:t>
      </w:r>
      <w:r w:rsidRPr="002D459F">
        <w:rPr>
          <w:rFonts w:ascii="Times New Roman" w:hAnsi="Times New Roman" w:cs="Times New Roman"/>
        </w:rPr>
        <w:t xml:space="preserve">). </w:t>
      </w:r>
      <w:r w:rsidR="00C639F3" w:rsidRPr="002D459F">
        <w:rPr>
          <w:rFonts w:ascii="Times New Roman" w:hAnsi="Times New Roman" w:cs="Times New Roman"/>
        </w:rPr>
        <w:t xml:space="preserve">Among cases, </w:t>
      </w:r>
      <w:r w:rsidR="00B97138" w:rsidRPr="002D459F">
        <w:rPr>
          <w:rFonts w:ascii="Times New Roman" w:hAnsi="Times New Roman" w:cs="Times New Roman"/>
        </w:rPr>
        <w:t>46</w:t>
      </w:r>
      <w:r w:rsidRPr="002D459F">
        <w:rPr>
          <w:rFonts w:ascii="Times New Roman" w:hAnsi="Times New Roman" w:cs="Times New Roman"/>
        </w:rPr>
        <w:t>% had experienced another ICI-related side effect</w:t>
      </w:r>
      <w:r w:rsidR="0077702F" w:rsidRPr="002D459F">
        <w:rPr>
          <w:rFonts w:ascii="Times New Roman" w:hAnsi="Times New Roman" w:cs="Times New Roman"/>
        </w:rPr>
        <w:t xml:space="preserve"> </w:t>
      </w:r>
      <w:r w:rsidRPr="002D459F">
        <w:rPr>
          <w:rFonts w:ascii="Times New Roman" w:hAnsi="Times New Roman" w:cs="Times New Roman"/>
        </w:rPr>
        <w:t xml:space="preserve">(Table </w:t>
      </w:r>
      <w:r w:rsidR="00365D1F" w:rsidRPr="002D459F">
        <w:rPr>
          <w:rFonts w:ascii="Times New Roman" w:hAnsi="Times New Roman" w:cs="Times New Roman"/>
        </w:rPr>
        <w:t>1B</w:t>
      </w:r>
      <w:r w:rsidRPr="002D459F">
        <w:rPr>
          <w:rFonts w:ascii="Times New Roman" w:hAnsi="Times New Roman" w:cs="Times New Roman"/>
        </w:rPr>
        <w:t xml:space="preserve">). </w:t>
      </w:r>
    </w:p>
    <w:p w14:paraId="2CF6E2AD" w14:textId="77777777" w:rsidR="008D2CF3" w:rsidRPr="002D459F" w:rsidRDefault="008D2CF3" w:rsidP="002D459F">
      <w:pPr>
        <w:spacing w:line="480" w:lineRule="auto"/>
        <w:rPr>
          <w:rFonts w:ascii="Times New Roman" w:hAnsi="Times New Roman" w:cs="Times New Roman"/>
          <w:b/>
        </w:rPr>
      </w:pPr>
      <w:r w:rsidRPr="002D459F">
        <w:rPr>
          <w:rFonts w:ascii="Times New Roman" w:hAnsi="Times New Roman" w:cs="Times New Roman"/>
          <w:b/>
        </w:rPr>
        <w:t xml:space="preserve">Global Longitudinal Strain: </w:t>
      </w:r>
    </w:p>
    <w:p w14:paraId="2FA7A77F" w14:textId="48C669B3" w:rsidR="000C2169" w:rsidRPr="002D459F" w:rsidRDefault="008D2CF3" w:rsidP="002D459F">
      <w:pPr>
        <w:spacing w:line="480" w:lineRule="auto"/>
        <w:rPr>
          <w:rFonts w:ascii="Times New Roman" w:hAnsi="Times New Roman" w:cs="Times New Roman"/>
        </w:rPr>
      </w:pPr>
      <w:r w:rsidRPr="002D459F">
        <w:rPr>
          <w:rFonts w:ascii="Times New Roman" w:hAnsi="Times New Roman" w:cs="Times New Roman"/>
          <w:u w:val="single"/>
        </w:rPr>
        <w:t>Pre-ICI GLS</w:t>
      </w:r>
      <w:r w:rsidR="00FA428E" w:rsidRPr="002D459F">
        <w:rPr>
          <w:rFonts w:ascii="Times New Roman" w:hAnsi="Times New Roman" w:cs="Times New Roman"/>
          <w:u w:val="single"/>
        </w:rPr>
        <w:t xml:space="preserve"> in cases and controls</w:t>
      </w:r>
      <w:r w:rsidRPr="002D459F">
        <w:rPr>
          <w:rFonts w:ascii="Times New Roman" w:hAnsi="Times New Roman" w:cs="Times New Roman"/>
          <w:u w:val="single"/>
        </w:rPr>
        <w:t>:</w:t>
      </w:r>
      <w:r w:rsidRPr="002D459F">
        <w:rPr>
          <w:rFonts w:ascii="Times New Roman" w:hAnsi="Times New Roman" w:cs="Times New Roman"/>
          <w:b/>
        </w:rPr>
        <w:t xml:space="preserve"> </w:t>
      </w:r>
      <w:r w:rsidR="008E6F01" w:rsidRPr="002D459F">
        <w:rPr>
          <w:rFonts w:ascii="Times New Roman" w:hAnsi="Times New Roman" w:cs="Times New Roman"/>
        </w:rPr>
        <w:t xml:space="preserve">Among the 101 cases, </w:t>
      </w:r>
      <w:r w:rsidR="00B3266C" w:rsidRPr="002D459F">
        <w:rPr>
          <w:rFonts w:ascii="Times New Roman" w:hAnsi="Times New Roman" w:cs="Times New Roman"/>
        </w:rPr>
        <w:t xml:space="preserve">30 </w:t>
      </w:r>
      <w:r w:rsidR="008E6F01" w:rsidRPr="002D459F">
        <w:rPr>
          <w:rFonts w:ascii="Times New Roman" w:hAnsi="Times New Roman" w:cs="Times New Roman"/>
        </w:rPr>
        <w:t xml:space="preserve">had </w:t>
      </w:r>
      <w:r w:rsidR="00C639F3" w:rsidRPr="002D459F">
        <w:rPr>
          <w:rFonts w:ascii="Times New Roman" w:hAnsi="Times New Roman" w:cs="Times New Roman"/>
        </w:rPr>
        <w:t xml:space="preserve">an </w:t>
      </w:r>
      <w:r w:rsidR="008E6F01" w:rsidRPr="002D459F">
        <w:rPr>
          <w:rFonts w:ascii="Times New Roman" w:hAnsi="Times New Roman" w:cs="Times New Roman"/>
        </w:rPr>
        <w:t>additional GLS measure from pre-ICI therapy</w:t>
      </w:r>
      <w:r w:rsidR="003B0D11" w:rsidRPr="002D459F">
        <w:rPr>
          <w:rFonts w:ascii="Times New Roman" w:hAnsi="Times New Roman" w:cs="Times New Roman"/>
        </w:rPr>
        <w:t xml:space="preserve">. The pre-ICI GLS </w:t>
      </w:r>
      <w:r w:rsidR="003811E5" w:rsidRPr="002D459F">
        <w:rPr>
          <w:rFonts w:ascii="Times New Roman" w:hAnsi="Times New Roman" w:cs="Times New Roman"/>
        </w:rPr>
        <w:t xml:space="preserve">of cases </w:t>
      </w:r>
      <w:r w:rsidR="00C639F3" w:rsidRPr="002D459F">
        <w:rPr>
          <w:rFonts w:ascii="Times New Roman" w:hAnsi="Times New Roman" w:cs="Times New Roman"/>
        </w:rPr>
        <w:t>wa</w:t>
      </w:r>
      <w:r w:rsidR="003811E5" w:rsidRPr="002D459F">
        <w:rPr>
          <w:rFonts w:ascii="Times New Roman" w:hAnsi="Times New Roman" w:cs="Times New Roman"/>
        </w:rPr>
        <w:t xml:space="preserve">s similar </w:t>
      </w:r>
      <w:r w:rsidR="008E6F01" w:rsidRPr="002D459F">
        <w:rPr>
          <w:rFonts w:ascii="Times New Roman" w:hAnsi="Times New Roman" w:cs="Times New Roman"/>
        </w:rPr>
        <w:t xml:space="preserve">when compared to </w:t>
      </w:r>
      <w:r w:rsidR="003811E5" w:rsidRPr="002D459F">
        <w:rPr>
          <w:rFonts w:ascii="Times New Roman" w:hAnsi="Times New Roman" w:cs="Times New Roman"/>
        </w:rPr>
        <w:t>that of the</w:t>
      </w:r>
      <w:r w:rsidR="008E6F01" w:rsidRPr="002D459F">
        <w:rPr>
          <w:rFonts w:ascii="Times New Roman" w:hAnsi="Times New Roman" w:cs="Times New Roman"/>
        </w:rPr>
        <w:t xml:space="preserve"> </w:t>
      </w:r>
      <w:r w:rsidR="00B3266C" w:rsidRPr="002D459F">
        <w:rPr>
          <w:rFonts w:ascii="Times New Roman" w:hAnsi="Times New Roman" w:cs="Times New Roman"/>
        </w:rPr>
        <w:t xml:space="preserve">42 </w:t>
      </w:r>
      <w:r w:rsidR="008E6F01" w:rsidRPr="002D459F">
        <w:rPr>
          <w:rFonts w:ascii="Times New Roman" w:hAnsi="Times New Roman" w:cs="Times New Roman"/>
        </w:rPr>
        <w:t xml:space="preserve">controls </w:t>
      </w:r>
      <w:r w:rsidR="000C2169" w:rsidRPr="002D459F">
        <w:rPr>
          <w:rFonts w:ascii="Times New Roman" w:hAnsi="Times New Roman" w:cs="Times New Roman"/>
        </w:rPr>
        <w:t>(cases vs. controls</w:t>
      </w:r>
      <w:r w:rsidR="00074589" w:rsidRPr="002D459F">
        <w:rPr>
          <w:rFonts w:ascii="Times New Roman" w:hAnsi="Times New Roman" w:cs="Times New Roman"/>
        </w:rPr>
        <w:t xml:space="preserve"> pre-ICI</w:t>
      </w:r>
      <w:r w:rsidR="000C2169" w:rsidRPr="002D459F">
        <w:rPr>
          <w:rFonts w:ascii="Times New Roman" w:hAnsi="Times New Roman" w:cs="Times New Roman"/>
        </w:rPr>
        <w:t>: 20.</w:t>
      </w:r>
      <w:r w:rsidR="00B3266C" w:rsidRPr="002D459F">
        <w:rPr>
          <w:rFonts w:ascii="Times New Roman" w:hAnsi="Times New Roman" w:cs="Times New Roman"/>
        </w:rPr>
        <w:t>3</w:t>
      </w:r>
      <w:r w:rsidR="000C2169" w:rsidRPr="002D459F">
        <w:rPr>
          <w:rFonts w:ascii="Times New Roman" w:hAnsi="Times New Roman" w:cs="Times New Roman"/>
        </w:rPr>
        <w:t>±2.</w:t>
      </w:r>
      <w:r w:rsidR="00B3266C" w:rsidRPr="002D459F">
        <w:rPr>
          <w:rFonts w:ascii="Times New Roman" w:hAnsi="Times New Roman" w:cs="Times New Roman"/>
        </w:rPr>
        <w:t>6</w:t>
      </w:r>
      <w:r w:rsidR="000C2169" w:rsidRPr="002D459F">
        <w:rPr>
          <w:rFonts w:ascii="Times New Roman" w:hAnsi="Times New Roman" w:cs="Times New Roman"/>
        </w:rPr>
        <w:t>% vs. 20.</w:t>
      </w:r>
      <w:r w:rsidR="00B3266C" w:rsidRPr="002D459F">
        <w:rPr>
          <w:rFonts w:ascii="Times New Roman" w:hAnsi="Times New Roman" w:cs="Times New Roman"/>
        </w:rPr>
        <w:t>6</w:t>
      </w:r>
      <w:r w:rsidR="000C2169" w:rsidRPr="002D459F">
        <w:rPr>
          <w:rFonts w:ascii="Times New Roman" w:hAnsi="Times New Roman" w:cs="Times New Roman"/>
        </w:rPr>
        <w:t>±</w:t>
      </w:r>
      <w:r w:rsidR="00B3266C" w:rsidRPr="002D459F">
        <w:rPr>
          <w:rFonts w:ascii="Times New Roman" w:hAnsi="Times New Roman" w:cs="Times New Roman"/>
        </w:rPr>
        <w:t>2</w:t>
      </w:r>
      <w:r w:rsidR="000C2169" w:rsidRPr="002D459F">
        <w:rPr>
          <w:rFonts w:ascii="Times New Roman" w:hAnsi="Times New Roman" w:cs="Times New Roman"/>
        </w:rPr>
        <w:t>.</w:t>
      </w:r>
      <w:r w:rsidR="00B3266C" w:rsidRPr="002D459F">
        <w:rPr>
          <w:rFonts w:ascii="Times New Roman" w:hAnsi="Times New Roman" w:cs="Times New Roman"/>
        </w:rPr>
        <w:t>0</w:t>
      </w:r>
      <w:r w:rsidR="000C2169" w:rsidRPr="002D459F">
        <w:rPr>
          <w:rFonts w:ascii="Times New Roman" w:hAnsi="Times New Roman" w:cs="Times New Roman"/>
        </w:rPr>
        <w:t xml:space="preserve"> %, p=0.</w:t>
      </w:r>
      <w:r w:rsidR="00B3266C" w:rsidRPr="002D459F">
        <w:rPr>
          <w:rFonts w:ascii="Times New Roman" w:hAnsi="Times New Roman" w:cs="Times New Roman"/>
        </w:rPr>
        <w:t>60</w:t>
      </w:r>
      <w:r w:rsidR="000C2169" w:rsidRPr="002D459F">
        <w:rPr>
          <w:rFonts w:ascii="Times New Roman" w:hAnsi="Times New Roman" w:cs="Times New Roman"/>
        </w:rPr>
        <w:t xml:space="preserve">) </w:t>
      </w:r>
      <w:r w:rsidR="00365D1F" w:rsidRPr="002D459F">
        <w:rPr>
          <w:rFonts w:ascii="Times New Roman" w:hAnsi="Times New Roman" w:cs="Times New Roman"/>
        </w:rPr>
        <w:t xml:space="preserve">(Table 2A) </w:t>
      </w:r>
      <w:r w:rsidR="000C2169" w:rsidRPr="002D459F">
        <w:rPr>
          <w:rFonts w:ascii="Times New Roman" w:hAnsi="Times New Roman" w:cs="Times New Roman"/>
        </w:rPr>
        <w:t>(Fig 2A).</w:t>
      </w:r>
    </w:p>
    <w:p w14:paraId="2A51D529" w14:textId="011F93AF" w:rsidR="000C2169" w:rsidRPr="002D459F" w:rsidRDefault="00DD2A89" w:rsidP="002D459F">
      <w:pPr>
        <w:spacing w:line="480" w:lineRule="auto"/>
        <w:rPr>
          <w:rFonts w:ascii="Times New Roman" w:hAnsi="Times New Roman" w:cs="Times New Roman"/>
        </w:rPr>
      </w:pPr>
      <w:r w:rsidRPr="002D459F">
        <w:rPr>
          <w:rFonts w:ascii="Times New Roman" w:hAnsi="Times New Roman" w:cs="Times New Roman"/>
          <w:u w:val="single"/>
        </w:rPr>
        <w:t xml:space="preserve">Serial </w:t>
      </w:r>
      <w:r w:rsidR="000C2169" w:rsidRPr="002D459F">
        <w:rPr>
          <w:rFonts w:ascii="Times New Roman" w:hAnsi="Times New Roman" w:cs="Times New Roman"/>
          <w:u w:val="single"/>
        </w:rPr>
        <w:t>GLS during ICI-myocarditis</w:t>
      </w:r>
      <w:r w:rsidR="00FA428E" w:rsidRPr="002D459F">
        <w:rPr>
          <w:rFonts w:ascii="Times New Roman" w:hAnsi="Times New Roman" w:cs="Times New Roman"/>
          <w:u w:val="single"/>
        </w:rPr>
        <w:t xml:space="preserve"> among cases</w:t>
      </w:r>
      <w:r w:rsidR="000C2169" w:rsidRPr="002D459F">
        <w:rPr>
          <w:rFonts w:ascii="Times New Roman" w:hAnsi="Times New Roman" w:cs="Times New Roman"/>
          <w:u w:val="single"/>
        </w:rPr>
        <w:t>:</w:t>
      </w:r>
      <w:r w:rsidR="000C2169" w:rsidRPr="002D459F">
        <w:rPr>
          <w:rFonts w:ascii="Times New Roman" w:hAnsi="Times New Roman" w:cs="Times New Roman"/>
        </w:rPr>
        <w:t xml:space="preserve"> </w:t>
      </w:r>
      <w:r w:rsidR="00EB21D1" w:rsidRPr="002D459F">
        <w:rPr>
          <w:rFonts w:ascii="Times New Roman" w:hAnsi="Times New Roman" w:cs="Times New Roman"/>
        </w:rPr>
        <w:t>Within</w:t>
      </w:r>
      <w:r w:rsidR="008E6F01" w:rsidRPr="002D459F">
        <w:rPr>
          <w:rFonts w:ascii="Times New Roman" w:hAnsi="Times New Roman" w:cs="Times New Roman"/>
        </w:rPr>
        <w:t xml:space="preserve"> the </w:t>
      </w:r>
      <w:r w:rsidR="00B3266C" w:rsidRPr="002D459F">
        <w:rPr>
          <w:rFonts w:ascii="Times New Roman" w:hAnsi="Times New Roman" w:cs="Times New Roman"/>
        </w:rPr>
        <w:t xml:space="preserve">30 </w:t>
      </w:r>
      <w:r w:rsidR="006D711D" w:rsidRPr="002D459F">
        <w:rPr>
          <w:rFonts w:ascii="Times New Roman" w:hAnsi="Times New Roman" w:cs="Times New Roman"/>
        </w:rPr>
        <w:t xml:space="preserve">myocarditis </w:t>
      </w:r>
      <w:r w:rsidR="008E6F01" w:rsidRPr="002D459F">
        <w:rPr>
          <w:rFonts w:ascii="Times New Roman" w:hAnsi="Times New Roman" w:cs="Times New Roman"/>
        </w:rPr>
        <w:t xml:space="preserve">cases with </w:t>
      </w:r>
      <w:r w:rsidR="000C2169" w:rsidRPr="002D459F">
        <w:rPr>
          <w:rFonts w:ascii="Times New Roman" w:hAnsi="Times New Roman" w:cs="Times New Roman"/>
        </w:rPr>
        <w:t>paired</w:t>
      </w:r>
      <w:r w:rsidR="008E6F01" w:rsidRPr="002D459F">
        <w:rPr>
          <w:rFonts w:ascii="Times New Roman" w:hAnsi="Times New Roman" w:cs="Times New Roman"/>
        </w:rPr>
        <w:t xml:space="preserve"> GLS</w:t>
      </w:r>
      <w:r w:rsidR="000C2169" w:rsidRPr="002D459F">
        <w:rPr>
          <w:rFonts w:ascii="Times New Roman" w:hAnsi="Times New Roman" w:cs="Times New Roman"/>
        </w:rPr>
        <w:t xml:space="preserve"> values (pre-</w:t>
      </w:r>
      <w:r w:rsidR="00B320F5" w:rsidRPr="002D459F">
        <w:rPr>
          <w:rFonts w:ascii="Times New Roman" w:hAnsi="Times New Roman" w:cs="Times New Roman"/>
        </w:rPr>
        <w:t>ICI</w:t>
      </w:r>
      <w:r w:rsidR="000C2169" w:rsidRPr="002D459F">
        <w:rPr>
          <w:rFonts w:ascii="Times New Roman" w:hAnsi="Times New Roman" w:cs="Times New Roman"/>
        </w:rPr>
        <w:t xml:space="preserve"> </w:t>
      </w:r>
      <w:r w:rsidRPr="002D459F">
        <w:rPr>
          <w:rFonts w:ascii="Times New Roman" w:hAnsi="Times New Roman" w:cs="Times New Roman"/>
        </w:rPr>
        <w:t xml:space="preserve">compared to the development of </w:t>
      </w:r>
      <w:r w:rsidR="000C2169" w:rsidRPr="002D459F">
        <w:rPr>
          <w:rFonts w:ascii="Times New Roman" w:hAnsi="Times New Roman" w:cs="Times New Roman"/>
        </w:rPr>
        <w:t>myocarditis)</w:t>
      </w:r>
      <w:r w:rsidR="008E6F01" w:rsidRPr="002D459F">
        <w:rPr>
          <w:rFonts w:ascii="Times New Roman" w:hAnsi="Times New Roman" w:cs="Times New Roman"/>
        </w:rPr>
        <w:t xml:space="preserve">, </w:t>
      </w:r>
      <w:r w:rsidR="000C2169" w:rsidRPr="002D459F">
        <w:rPr>
          <w:rFonts w:ascii="Times New Roman" w:hAnsi="Times New Roman" w:cs="Times New Roman"/>
        </w:rPr>
        <w:t>GLS</w:t>
      </w:r>
      <w:r w:rsidR="008E6F01" w:rsidRPr="002D459F">
        <w:rPr>
          <w:rFonts w:ascii="Times New Roman" w:hAnsi="Times New Roman" w:cs="Times New Roman"/>
        </w:rPr>
        <w:t xml:space="preserve"> decreased with the development of myocarditis</w:t>
      </w:r>
      <w:r w:rsidR="000C2169" w:rsidRPr="002D459F">
        <w:rPr>
          <w:rFonts w:ascii="Times New Roman" w:hAnsi="Times New Roman" w:cs="Times New Roman"/>
        </w:rPr>
        <w:t xml:space="preserve"> (pre-</w:t>
      </w:r>
      <w:r w:rsidR="00B320F5" w:rsidRPr="002D459F">
        <w:rPr>
          <w:rFonts w:ascii="Times New Roman" w:hAnsi="Times New Roman" w:cs="Times New Roman"/>
        </w:rPr>
        <w:t>ICI</w:t>
      </w:r>
      <w:r w:rsidR="000C2169" w:rsidRPr="002D459F">
        <w:rPr>
          <w:rFonts w:ascii="Times New Roman" w:hAnsi="Times New Roman" w:cs="Times New Roman"/>
        </w:rPr>
        <w:t xml:space="preserve"> </w:t>
      </w:r>
      <w:r w:rsidR="006F4C9D" w:rsidRPr="002D459F">
        <w:rPr>
          <w:rFonts w:ascii="Times New Roman" w:hAnsi="Times New Roman" w:cs="Times New Roman"/>
        </w:rPr>
        <w:t>vs.</w:t>
      </w:r>
      <w:r w:rsidR="000C2169" w:rsidRPr="002D459F">
        <w:rPr>
          <w:rFonts w:ascii="Times New Roman" w:hAnsi="Times New Roman" w:cs="Times New Roman"/>
        </w:rPr>
        <w:t xml:space="preserve"> during myocarditis 20.</w:t>
      </w:r>
      <w:r w:rsidR="00B3266C" w:rsidRPr="002D459F">
        <w:rPr>
          <w:rFonts w:ascii="Times New Roman" w:hAnsi="Times New Roman" w:cs="Times New Roman"/>
        </w:rPr>
        <w:t>3</w:t>
      </w:r>
      <w:r w:rsidR="000C2169" w:rsidRPr="002D459F">
        <w:rPr>
          <w:rFonts w:ascii="Times New Roman" w:hAnsi="Times New Roman" w:cs="Times New Roman"/>
        </w:rPr>
        <w:t>±2.</w:t>
      </w:r>
      <w:r w:rsidR="00B3266C" w:rsidRPr="002D459F">
        <w:rPr>
          <w:rFonts w:ascii="Times New Roman" w:hAnsi="Times New Roman" w:cs="Times New Roman"/>
        </w:rPr>
        <w:t>6</w:t>
      </w:r>
      <w:r w:rsidR="000C2169" w:rsidRPr="002D459F">
        <w:rPr>
          <w:rFonts w:ascii="Times New Roman" w:hAnsi="Times New Roman" w:cs="Times New Roman"/>
        </w:rPr>
        <w:t>% vs. 1</w:t>
      </w:r>
      <w:r w:rsidR="00B3266C" w:rsidRPr="002D459F">
        <w:rPr>
          <w:rFonts w:ascii="Times New Roman" w:hAnsi="Times New Roman" w:cs="Times New Roman"/>
        </w:rPr>
        <w:t>4</w:t>
      </w:r>
      <w:r w:rsidR="000C2169" w:rsidRPr="002D459F">
        <w:rPr>
          <w:rFonts w:ascii="Times New Roman" w:hAnsi="Times New Roman" w:cs="Times New Roman"/>
        </w:rPr>
        <w:t>.</w:t>
      </w:r>
      <w:r w:rsidR="00B3266C" w:rsidRPr="002D459F">
        <w:rPr>
          <w:rFonts w:ascii="Times New Roman" w:hAnsi="Times New Roman" w:cs="Times New Roman"/>
        </w:rPr>
        <w:t>1</w:t>
      </w:r>
      <w:r w:rsidR="000C2169" w:rsidRPr="002D459F">
        <w:rPr>
          <w:rFonts w:ascii="Times New Roman" w:hAnsi="Times New Roman" w:cs="Times New Roman"/>
        </w:rPr>
        <w:t>±2.</w:t>
      </w:r>
      <w:r w:rsidR="00B3266C" w:rsidRPr="002D459F">
        <w:rPr>
          <w:rFonts w:ascii="Times New Roman" w:hAnsi="Times New Roman" w:cs="Times New Roman"/>
        </w:rPr>
        <w:t>8</w:t>
      </w:r>
      <w:r w:rsidR="000C2169" w:rsidRPr="002D459F">
        <w:rPr>
          <w:rFonts w:ascii="Times New Roman" w:hAnsi="Times New Roman" w:cs="Times New Roman"/>
        </w:rPr>
        <w:t>%, p&lt;0.001)</w:t>
      </w:r>
      <w:bookmarkStart w:id="2" w:name="_Hlk8819729"/>
      <w:r w:rsidR="000C2169" w:rsidRPr="002D459F">
        <w:rPr>
          <w:rFonts w:ascii="Times New Roman" w:hAnsi="Times New Roman" w:cs="Times New Roman"/>
        </w:rPr>
        <w:t xml:space="preserve"> </w:t>
      </w:r>
      <w:r w:rsidR="00164155" w:rsidRPr="002D459F">
        <w:rPr>
          <w:rFonts w:ascii="Times New Roman" w:hAnsi="Times New Roman" w:cs="Times New Roman"/>
        </w:rPr>
        <w:t>(Table 2</w:t>
      </w:r>
      <w:r w:rsidR="00EE41E0" w:rsidRPr="002D459F">
        <w:rPr>
          <w:rFonts w:ascii="Times New Roman" w:hAnsi="Times New Roman" w:cs="Times New Roman"/>
        </w:rPr>
        <w:t xml:space="preserve">A &amp; 2B) </w:t>
      </w:r>
      <w:bookmarkEnd w:id="2"/>
      <w:r w:rsidR="000C2169" w:rsidRPr="002D459F">
        <w:rPr>
          <w:rFonts w:ascii="Times New Roman" w:hAnsi="Times New Roman" w:cs="Times New Roman"/>
        </w:rPr>
        <w:t xml:space="preserve">(Fig 2B). </w:t>
      </w:r>
    </w:p>
    <w:p w14:paraId="53AE5DE2" w14:textId="1E6349BC" w:rsidR="00873107" w:rsidRPr="002D459F" w:rsidRDefault="00DD2A89" w:rsidP="002D459F">
      <w:pPr>
        <w:spacing w:line="480" w:lineRule="auto"/>
        <w:rPr>
          <w:rFonts w:ascii="Times New Roman" w:hAnsi="Times New Roman" w:cs="Times New Roman"/>
        </w:rPr>
      </w:pPr>
      <w:r w:rsidRPr="002D459F">
        <w:rPr>
          <w:rFonts w:ascii="Times New Roman" w:hAnsi="Times New Roman" w:cs="Times New Roman"/>
          <w:u w:val="single"/>
        </w:rPr>
        <w:t xml:space="preserve">Serial </w:t>
      </w:r>
      <w:r w:rsidR="008D2CF3" w:rsidRPr="002D459F">
        <w:rPr>
          <w:rFonts w:ascii="Times New Roman" w:hAnsi="Times New Roman" w:cs="Times New Roman"/>
          <w:u w:val="single"/>
        </w:rPr>
        <w:t>GLS among ICI patients who did not develop myocarditis:</w:t>
      </w:r>
      <w:r w:rsidR="008D2CF3" w:rsidRPr="002D459F">
        <w:rPr>
          <w:rFonts w:ascii="Times New Roman" w:hAnsi="Times New Roman" w:cs="Times New Roman"/>
        </w:rPr>
        <w:t xml:space="preserve"> </w:t>
      </w:r>
      <w:r w:rsidR="00EB21D1" w:rsidRPr="002D459F">
        <w:rPr>
          <w:rFonts w:ascii="Times New Roman" w:hAnsi="Times New Roman" w:cs="Times New Roman"/>
        </w:rPr>
        <w:t xml:space="preserve">The GLS of </w:t>
      </w:r>
      <w:r w:rsidR="00B3266C" w:rsidRPr="002D459F">
        <w:rPr>
          <w:rFonts w:ascii="Times New Roman" w:hAnsi="Times New Roman" w:cs="Times New Roman"/>
        </w:rPr>
        <w:t>14</w:t>
      </w:r>
      <w:r w:rsidR="00EB21D1" w:rsidRPr="002D459F">
        <w:rPr>
          <w:rFonts w:ascii="Times New Roman" w:hAnsi="Times New Roman" w:cs="Times New Roman"/>
        </w:rPr>
        <w:t xml:space="preserve"> controls with paired measurements pre-ICI and on ICI therapy were compared, </w:t>
      </w:r>
      <w:r w:rsidR="00873107" w:rsidRPr="002D459F">
        <w:rPr>
          <w:rFonts w:ascii="Times New Roman" w:hAnsi="Times New Roman" w:cs="Times New Roman"/>
        </w:rPr>
        <w:t xml:space="preserve">and </w:t>
      </w:r>
      <w:r w:rsidR="00A01E47" w:rsidRPr="002D459F">
        <w:rPr>
          <w:rFonts w:ascii="Times New Roman" w:hAnsi="Times New Roman" w:cs="Times New Roman"/>
        </w:rPr>
        <w:t xml:space="preserve">similar values were </w:t>
      </w:r>
      <w:r w:rsidR="00873107" w:rsidRPr="002D459F">
        <w:rPr>
          <w:rFonts w:ascii="Times New Roman" w:hAnsi="Times New Roman" w:cs="Times New Roman"/>
        </w:rPr>
        <w:t>noted (pre-ICI vs. on ICI 20.</w:t>
      </w:r>
      <w:r w:rsidR="00B3266C" w:rsidRPr="002D459F">
        <w:rPr>
          <w:rFonts w:ascii="Times New Roman" w:hAnsi="Times New Roman" w:cs="Times New Roman"/>
        </w:rPr>
        <w:t>6</w:t>
      </w:r>
      <w:r w:rsidR="00873107" w:rsidRPr="002D459F">
        <w:rPr>
          <w:rFonts w:ascii="Times New Roman" w:hAnsi="Times New Roman" w:cs="Times New Roman"/>
        </w:rPr>
        <w:t>±</w:t>
      </w:r>
      <w:r w:rsidR="00B3266C" w:rsidRPr="002D459F">
        <w:rPr>
          <w:rFonts w:ascii="Times New Roman" w:hAnsi="Times New Roman" w:cs="Times New Roman"/>
        </w:rPr>
        <w:t>2</w:t>
      </w:r>
      <w:r w:rsidR="00873107" w:rsidRPr="002D459F">
        <w:rPr>
          <w:rFonts w:ascii="Times New Roman" w:hAnsi="Times New Roman" w:cs="Times New Roman"/>
        </w:rPr>
        <w:t>.</w:t>
      </w:r>
      <w:r w:rsidR="00B3266C" w:rsidRPr="002D459F">
        <w:rPr>
          <w:rFonts w:ascii="Times New Roman" w:hAnsi="Times New Roman" w:cs="Times New Roman"/>
        </w:rPr>
        <w:t>0</w:t>
      </w:r>
      <w:r w:rsidR="00873107" w:rsidRPr="002D459F">
        <w:rPr>
          <w:rFonts w:ascii="Times New Roman" w:hAnsi="Times New Roman" w:cs="Times New Roman"/>
        </w:rPr>
        <w:t>% vs. 20.</w:t>
      </w:r>
      <w:r w:rsidR="00B3266C" w:rsidRPr="002D459F">
        <w:rPr>
          <w:rFonts w:ascii="Times New Roman" w:hAnsi="Times New Roman" w:cs="Times New Roman"/>
        </w:rPr>
        <w:t>5</w:t>
      </w:r>
      <w:r w:rsidR="00873107" w:rsidRPr="002D459F">
        <w:rPr>
          <w:rFonts w:ascii="Times New Roman" w:hAnsi="Times New Roman" w:cs="Times New Roman"/>
        </w:rPr>
        <w:t>±1.</w:t>
      </w:r>
      <w:r w:rsidR="00B3266C" w:rsidRPr="002D459F">
        <w:rPr>
          <w:rFonts w:ascii="Times New Roman" w:hAnsi="Times New Roman" w:cs="Times New Roman"/>
        </w:rPr>
        <w:t>9</w:t>
      </w:r>
      <w:r w:rsidR="00873107" w:rsidRPr="002D459F">
        <w:rPr>
          <w:rFonts w:ascii="Times New Roman" w:hAnsi="Times New Roman" w:cs="Times New Roman"/>
        </w:rPr>
        <w:t>%, p=0.</w:t>
      </w:r>
      <w:r w:rsidR="00B3266C" w:rsidRPr="002D459F">
        <w:rPr>
          <w:rFonts w:ascii="Times New Roman" w:hAnsi="Times New Roman" w:cs="Times New Roman"/>
        </w:rPr>
        <w:t>41</w:t>
      </w:r>
      <w:r w:rsidR="00873107" w:rsidRPr="002D459F">
        <w:rPr>
          <w:rFonts w:ascii="Times New Roman" w:hAnsi="Times New Roman" w:cs="Times New Roman"/>
        </w:rPr>
        <w:t>)</w:t>
      </w:r>
      <w:r w:rsidR="00EE41E0" w:rsidRPr="002D459F">
        <w:rPr>
          <w:rFonts w:ascii="Times New Roman" w:hAnsi="Times New Roman" w:cs="Times New Roman"/>
        </w:rPr>
        <w:t xml:space="preserve"> (Table 2A &amp; 2B)</w:t>
      </w:r>
      <w:r w:rsidR="00873107" w:rsidRPr="002D459F">
        <w:rPr>
          <w:rFonts w:ascii="Times New Roman" w:hAnsi="Times New Roman" w:cs="Times New Roman"/>
        </w:rPr>
        <w:t xml:space="preserve"> (Fig 2C)</w:t>
      </w:r>
      <w:r w:rsidR="00EE41E0" w:rsidRPr="002D459F">
        <w:rPr>
          <w:rFonts w:ascii="Times New Roman" w:hAnsi="Times New Roman" w:cs="Times New Roman"/>
        </w:rPr>
        <w:t>.</w:t>
      </w:r>
      <w:r w:rsidR="00873107" w:rsidRPr="002D459F">
        <w:rPr>
          <w:rFonts w:ascii="Times New Roman" w:hAnsi="Times New Roman" w:cs="Times New Roman"/>
        </w:rPr>
        <w:t xml:space="preserve">          </w:t>
      </w:r>
    </w:p>
    <w:p w14:paraId="5C45EBFA" w14:textId="2F9F9854" w:rsidR="00873107" w:rsidRPr="002D459F" w:rsidRDefault="008D2CF3" w:rsidP="002D459F">
      <w:pPr>
        <w:spacing w:line="480" w:lineRule="auto"/>
        <w:rPr>
          <w:rFonts w:ascii="Times New Roman" w:hAnsi="Times New Roman" w:cs="Times New Roman"/>
        </w:rPr>
      </w:pPr>
      <w:r w:rsidRPr="002D459F">
        <w:rPr>
          <w:rFonts w:ascii="Times New Roman" w:hAnsi="Times New Roman" w:cs="Times New Roman"/>
          <w:u w:val="single"/>
        </w:rPr>
        <w:t>GLS at presentation with myocarditis compared to controls on ICI:</w:t>
      </w:r>
      <w:r w:rsidRPr="002D459F">
        <w:rPr>
          <w:rFonts w:ascii="Times New Roman" w:hAnsi="Times New Roman" w:cs="Times New Roman"/>
        </w:rPr>
        <w:t xml:space="preserve"> </w:t>
      </w:r>
      <w:r w:rsidR="00A01E47" w:rsidRPr="002D459F">
        <w:rPr>
          <w:rFonts w:ascii="Times New Roman" w:hAnsi="Times New Roman" w:cs="Times New Roman"/>
        </w:rPr>
        <w:t xml:space="preserve">The </w:t>
      </w:r>
      <w:r w:rsidR="00364B03" w:rsidRPr="002D459F">
        <w:rPr>
          <w:rFonts w:ascii="Times New Roman" w:hAnsi="Times New Roman" w:cs="Times New Roman"/>
        </w:rPr>
        <w:t xml:space="preserve">GLS among cases </w:t>
      </w:r>
      <w:r w:rsidR="00A01E47" w:rsidRPr="002D459F">
        <w:rPr>
          <w:rFonts w:ascii="Times New Roman" w:hAnsi="Times New Roman" w:cs="Times New Roman"/>
        </w:rPr>
        <w:t xml:space="preserve">at </w:t>
      </w:r>
      <w:r w:rsidR="00364B03" w:rsidRPr="002D459F">
        <w:rPr>
          <w:rFonts w:ascii="Times New Roman" w:hAnsi="Times New Roman" w:cs="Times New Roman"/>
        </w:rPr>
        <w:t xml:space="preserve">admission </w:t>
      </w:r>
      <w:r w:rsidR="00B97138" w:rsidRPr="002D459F">
        <w:rPr>
          <w:rFonts w:ascii="Times New Roman" w:hAnsi="Times New Roman" w:cs="Times New Roman"/>
        </w:rPr>
        <w:t xml:space="preserve">for myocarditis </w:t>
      </w:r>
      <w:r w:rsidR="00364B03" w:rsidRPr="002D459F">
        <w:rPr>
          <w:rFonts w:ascii="Times New Roman" w:hAnsi="Times New Roman" w:cs="Times New Roman"/>
        </w:rPr>
        <w:t xml:space="preserve">(n=101) was lower </w:t>
      </w:r>
      <w:r w:rsidR="00A01E47" w:rsidRPr="002D459F">
        <w:rPr>
          <w:rFonts w:ascii="Times New Roman" w:hAnsi="Times New Roman" w:cs="Times New Roman"/>
        </w:rPr>
        <w:t>than</w:t>
      </w:r>
      <w:r w:rsidR="00364B03" w:rsidRPr="002D459F">
        <w:rPr>
          <w:rFonts w:ascii="Times New Roman" w:hAnsi="Times New Roman" w:cs="Times New Roman"/>
        </w:rPr>
        <w:t xml:space="preserve"> controls on ICI therapy without myocarditis (n=</w:t>
      </w:r>
      <w:r w:rsidR="00B3266C" w:rsidRPr="002D459F">
        <w:rPr>
          <w:rFonts w:ascii="Times New Roman" w:hAnsi="Times New Roman" w:cs="Times New Roman"/>
        </w:rPr>
        <w:t>50</w:t>
      </w:r>
      <w:r w:rsidR="00364B03" w:rsidRPr="002D459F">
        <w:rPr>
          <w:rFonts w:ascii="Times New Roman" w:hAnsi="Times New Roman" w:cs="Times New Roman"/>
        </w:rPr>
        <w:t xml:space="preserve">) </w:t>
      </w:r>
      <w:r w:rsidR="00873107" w:rsidRPr="002D459F">
        <w:rPr>
          <w:rFonts w:ascii="Times New Roman" w:hAnsi="Times New Roman" w:cs="Times New Roman"/>
        </w:rPr>
        <w:t xml:space="preserve">(myocarditis cases </w:t>
      </w:r>
      <w:r w:rsidR="006F4C9D" w:rsidRPr="002D459F">
        <w:rPr>
          <w:rFonts w:ascii="Times New Roman" w:hAnsi="Times New Roman" w:cs="Times New Roman"/>
        </w:rPr>
        <w:t>vs.</w:t>
      </w:r>
      <w:r w:rsidR="00873107" w:rsidRPr="002D459F">
        <w:rPr>
          <w:rFonts w:ascii="Times New Roman" w:hAnsi="Times New Roman" w:cs="Times New Roman"/>
        </w:rPr>
        <w:t xml:space="preserve"> controls on ICI, 1</w:t>
      </w:r>
      <w:r w:rsidR="00B3266C" w:rsidRPr="002D459F">
        <w:rPr>
          <w:rFonts w:ascii="Times New Roman" w:hAnsi="Times New Roman" w:cs="Times New Roman"/>
        </w:rPr>
        <w:t>4</w:t>
      </w:r>
      <w:r w:rsidR="00873107" w:rsidRPr="002D459F">
        <w:rPr>
          <w:rFonts w:ascii="Times New Roman" w:hAnsi="Times New Roman" w:cs="Times New Roman"/>
        </w:rPr>
        <w:t>.</w:t>
      </w:r>
      <w:r w:rsidR="00B3266C" w:rsidRPr="002D459F">
        <w:rPr>
          <w:rFonts w:ascii="Times New Roman" w:hAnsi="Times New Roman" w:cs="Times New Roman"/>
        </w:rPr>
        <w:t>1</w:t>
      </w:r>
      <w:r w:rsidR="00873107" w:rsidRPr="002D459F">
        <w:rPr>
          <w:rFonts w:ascii="Times New Roman" w:hAnsi="Times New Roman" w:cs="Times New Roman"/>
        </w:rPr>
        <w:t>±2.7% vs. 20.</w:t>
      </w:r>
      <w:r w:rsidR="00946C8C" w:rsidRPr="002D459F">
        <w:rPr>
          <w:rFonts w:ascii="Times New Roman" w:hAnsi="Times New Roman" w:cs="Times New Roman"/>
        </w:rPr>
        <w:t>5</w:t>
      </w:r>
      <w:r w:rsidR="00873107" w:rsidRPr="002D459F">
        <w:rPr>
          <w:rFonts w:ascii="Times New Roman" w:hAnsi="Times New Roman" w:cs="Times New Roman"/>
        </w:rPr>
        <w:t>±1.</w:t>
      </w:r>
      <w:r w:rsidR="00946C8C" w:rsidRPr="002D459F">
        <w:rPr>
          <w:rFonts w:ascii="Times New Roman" w:hAnsi="Times New Roman" w:cs="Times New Roman"/>
        </w:rPr>
        <w:t>9</w:t>
      </w:r>
      <w:r w:rsidR="00873107" w:rsidRPr="002D459F">
        <w:rPr>
          <w:rFonts w:ascii="Times New Roman" w:hAnsi="Times New Roman" w:cs="Times New Roman"/>
        </w:rPr>
        <w:t xml:space="preserve"> %, p&lt;0.001)</w:t>
      </w:r>
      <w:r w:rsidR="00AE28D8" w:rsidRPr="002D459F">
        <w:rPr>
          <w:rFonts w:ascii="Times New Roman" w:hAnsi="Times New Roman" w:cs="Times New Roman"/>
        </w:rPr>
        <w:t xml:space="preserve"> (Table 2B)</w:t>
      </w:r>
      <w:r w:rsidR="00873107" w:rsidRPr="002D459F">
        <w:rPr>
          <w:rFonts w:ascii="Times New Roman" w:hAnsi="Times New Roman" w:cs="Times New Roman"/>
        </w:rPr>
        <w:t xml:space="preserve"> (Fig 2D).</w:t>
      </w:r>
    </w:p>
    <w:p w14:paraId="7498A307" w14:textId="258F4540" w:rsidR="007C53CD" w:rsidRPr="002D459F" w:rsidRDefault="005B74B2" w:rsidP="002D459F">
      <w:pPr>
        <w:spacing w:line="480" w:lineRule="auto"/>
        <w:rPr>
          <w:rFonts w:ascii="Times New Roman" w:hAnsi="Times New Roman" w:cs="Times New Roman"/>
          <w:u w:val="single"/>
        </w:rPr>
      </w:pPr>
      <w:r w:rsidRPr="002D459F">
        <w:rPr>
          <w:rFonts w:ascii="Times New Roman" w:hAnsi="Times New Roman" w:cs="Times New Roman"/>
          <w:u w:val="single"/>
        </w:rPr>
        <w:t>GLS among ICI-myocarditis cases post discontinuation of ICI-therapy</w:t>
      </w:r>
      <w:r w:rsidR="008C6B50" w:rsidRPr="002D459F">
        <w:rPr>
          <w:rFonts w:ascii="Times New Roman" w:hAnsi="Times New Roman" w:cs="Times New Roman"/>
          <w:u w:val="single"/>
        </w:rPr>
        <w:t xml:space="preserve"> and starting steroids</w:t>
      </w:r>
      <w:r w:rsidRPr="002D459F">
        <w:rPr>
          <w:rFonts w:ascii="Times New Roman" w:hAnsi="Times New Roman" w:cs="Times New Roman"/>
          <w:u w:val="single"/>
        </w:rPr>
        <w:t>:</w:t>
      </w:r>
      <w:r w:rsidRPr="002D459F">
        <w:rPr>
          <w:rFonts w:ascii="Times New Roman" w:hAnsi="Times New Roman" w:cs="Times New Roman"/>
        </w:rPr>
        <w:t xml:space="preserve"> </w:t>
      </w:r>
      <w:r w:rsidR="00040F56" w:rsidRPr="002D459F">
        <w:rPr>
          <w:rFonts w:ascii="Times New Roman" w:hAnsi="Times New Roman" w:cs="Times New Roman"/>
        </w:rPr>
        <w:t>Among the 101 cases with ICI-myocarditis, 42 were treated at Massachusetts General Hospital or the Brigham and Women’s Hospital in Boston. Of these 42, 9 died prior to any follow up TTEs, and 20 had a follow-up TTE at median time between imaging of 102 [</w:t>
      </w:r>
      <w:r w:rsidR="008C6B50" w:rsidRPr="002D459F">
        <w:rPr>
          <w:rFonts w:ascii="Times New Roman" w:hAnsi="Times New Roman" w:cs="Times New Roman"/>
        </w:rPr>
        <w:t xml:space="preserve">IQR </w:t>
      </w:r>
      <w:r w:rsidR="00040F56" w:rsidRPr="002D459F">
        <w:rPr>
          <w:rFonts w:ascii="Times New Roman" w:hAnsi="Times New Roman" w:cs="Times New Roman"/>
        </w:rPr>
        <w:t xml:space="preserve">36, 152] days. In follow-up, GLS increased from 14.3±2.9% to 16.9±4.7% (p=0.14, Fig. 2E). </w:t>
      </w:r>
      <w:r w:rsidRPr="002D459F">
        <w:rPr>
          <w:rFonts w:ascii="Times New Roman" w:hAnsi="Times New Roman" w:cs="Times New Roman"/>
        </w:rPr>
        <w:t>This was a</w:t>
      </w:r>
      <w:r w:rsidR="007C53CD" w:rsidRPr="002D459F">
        <w:rPr>
          <w:rFonts w:ascii="Times New Roman" w:hAnsi="Times New Roman" w:cs="Times New Roman"/>
        </w:rPr>
        <w:t>n absolute increase o</w:t>
      </w:r>
      <w:r w:rsidR="00551BB6" w:rsidRPr="002D459F">
        <w:rPr>
          <w:rFonts w:ascii="Times New Roman" w:hAnsi="Times New Roman" w:cs="Times New Roman"/>
        </w:rPr>
        <w:t xml:space="preserve">f </w:t>
      </w:r>
      <w:r w:rsidR="007C53CD" w:rsidRPr="002D459F">
        <w:rPr>
          <w:rFonts w:ascii="Times New Roman" w:hAnsi="Times New Roman" w:cs="Times New Roman"/>
        </w:rPr>
        <w:t>2.6% and a relative increase of 18%</w:t>
      </w:r>
      <w:r w:rsidRPr="002D459F">
        <w:rPr>
          <w:rFonts w:ascii="Times New Roman" w:hAnsi="Times New Roman" w:cs="Times New Roman"/>
        </w:rPr>
        <w:t xml:space="preserve"> </w:t>
      </w:r>
      <w:r w:rsidR="007C53CD" w:rsidRPr="002D459F">
        <w:rPr>
          <w:rFonts w:ascii="Times New Roman" w:hAnsi="Times New Roman" w:cs="Times New Roman"/>
        </w:rPr>
        <w:t xml:space="preserve">in the GLS with cessation of ICI and treatment with immunosuppression. </w:t>
      </w:r>
    </w:p>
    <w:p w14:paraId="4479F5A9" w14:textId="01495042" w:rsidR="003D1FFA" w:rsidRPr="002D459F" w:rsidRDefault="008D2CF3" w:rsidP="002D459F">
      <w:pPr>
        <w:spacing w:line="480" w:lineRule="auto"/>
        <w:rPr>
          <w:rFonts w:ascii="Times New Roman" w:hAnsi="Times New Roman" w:cs="Times New Roman"/>
        </w:rPr>
      </w:pPr>
      <w:r w:rsidRPr="002D459F">
        <w:rPr>
          <w:rFonts w:ascii="Times New Roman" w:hAnsi="Times New Roman" w:cs="Times New Roman"/>
          <w:u w:val="single"/>
        </w:rPr>
        <w:t>GLS among ICI-myocarditis cases stratified by LVEF:</w:t>
      </w:r>
      <w:r w:rsidR="002B0F55" w:rsidRPr="002D459F">
        <w:rPr>
          <w:rFonts w:ascii="Times New Roman" w:hAnsi="Times New Roman" w:cs="Times New Roman"/>
        </w:rPr>
        <w:t xml:space="preserve"> </w:t>
      </w:r>
      <w:bookmarkStart w:id="3" w:name="_Hlk11750124"/>
      <w:bookmarkStart w:id="4" w:name="_Hlk11750194"/>
      <w:r w:rsidR="002B0F55" w:rsidRPr="002D459F">
        <w:rPr>
          <w:rFonts w:ascii="Times New Roman" w:hAnsi="Times New Roman" w:cs="Times New Roman"/>
        </w:rPr>
        <w:t xml:space="preserve">Among </w:t>
      </w:r>
      <w:r w:rsidR="00150316" w:rsidRPr="002D459F">
        <w:rPr>
          <w:rFonts w:ascii="Times New Roman" w:hAnsi="Times New Roman" w:cs="Times New Roman"/>
        </w:rPr>
        <w:t xml:space="preserve">the 101 ICI-myocarditis cases, 61 presented with a preserved EF (60%) </w:t>
      </w:r>
      <w:r w:rsidR="007F79B1" w:rsidRPr="002D459F">
        <w:rPr>
          <w:rFonts w:ascii="Times New Roman" w:hAnsi="Times New Roman" w:cs="Times New Roman"/>
        </w:rPr>
        <w:t>with a mean of 62</w:t>
      </w:r>
      <w:bookmarkStart w:id="5" w:name="_Hlk11749995"/>
      <w:r w:rsidR="007F79B1" w:rsidRPr="002D459F">
        <w:rPr>
          <w:rFonts w:ascii="Times New Roman" w:hAnsi="Times New Roman" w:cs="Times New Roman"/>
        </w:rPr>
        <w:t>±</w:t>
      </w:r>
      <w:bookmarkEnd w:id="5"/>
      <w:r w:rsidR="007F79B1" w:rsidRPr="002D459F">
        <w:rPr>
          <w:rFonts w:ascii="Times New Roman" w:hAnsi="Times New Roman" w:cs="Times New Roman"/>
        </w:rPr>
        <w:t xml:space="preserve">7% </w:t>
      </w:r>
      <w:r w:rsidR="00150316" w:rsidRPr="002D459F">
        <w:rPr>
          <w:rFonts w:ascii="Times New Roman" w:hAnsi="Times New Roman" w:cs="Times New Roman"/>
        </w:rPr>
        <w:t>and 40 with reduced EF</w:t>
      </w:r>
      <w:r w:rsidR="00A87C91" w:rsidRPr="002D459F">
        <w:rPr>
          <w:rFonts w:ascii="Times New Roman" w:hAnsi="Times New Roman" w:cs="Times New Roman"/>
        </w:rPr>
        <w:t xml:space="preserve"> </w:t>
      </w:r>
      <w:r w:rsidR="00150316" w:rsidRPr="002D459F">
        <w:rPr>
          <w:rFonts w:ascii="Times New Roman" w:hAnsi="Times New Roman" w:cs="Times New Roman"/>
        </w:rPr>
        <w:t>(</w:t>
      </w:r>
      <w:r w:rsidR="003B0D11" w:rsidRPr="002D459F">
        <w:rPr>
          <w:rFonts w:ascii="Times New Roman" w:hAnsi="Times New Roman" w:cs="Times New Roman"/>
        </w:rPr>
        <w:t>40</w:t>
      </w:r>
      <w:r w:rsidR="00150316" w:rsidRPr="002D459F">
        <w:rPr>
          <w:rFonts w:ascii="Times New Roman" w:hAnsi="Times New Roman" w:cs="Times New Roman"/>
        </w:rPr>
        <w:t>%)</w:t>
      </w:r>
      <w:r w:rsidR="007F79B1" w:rsidRPr="002D459F">
        <w:rPr>
          <w:rFonts w:ascii="Times New Roman" w:hAnsi="Times New Roman" w:cs="Times New Roman"/>
        </w:rPr>
        <w:t xml:space="preserve"> with a mean of 33±8%</w:t>
      </w:r>
      <w:r w:rsidR="00150316" w:rsidRPr="002D459F">
        <w:rPr>
          <w:rFonts w:ascii="Times New Roman" w:hAnsi="Times New Roman" w:cs="Times New Roman"/>
        </w:rPr>
        <w:t>.</w:t>
      </w:r>
      <w:bookmarkEnd w:id="3"/>
      <w:r w:rsidR="00150316" w:rsidRPr="002D459F">
        <w:rPr>
          <w:rFonts w:ascii="Times New Roman" w:hAnsi="Times New Roman" w:cs="Times New Roman"/>
        </w:rPr>
        <w:t xml:space="preserve"> </w:t>
      </w:r>
      <w:bookmarkEnd w:id="4"/>
      <w:r w:rsidR="00E96CF6" w:rsidRPr="002D459F">
        <w:rPr>
          <w:rFonts w:ascii="Times New Roman" w:hAnsi="Times New Roman" w:cs="Times New Roman"/>
        </w:rPr>
        <w:t xml:space="preserve">Of all </w:t>
      </w:r>
      <w:r w:rsidR="002B0F55" w:rsidRPr="002D459F">
        <w:rPr>
          <w:rFonts w:ascii="Times New Roman" w:hAnsi="Times New Roman" w:cs="Times New Roman"/>
        </w:rPr>
        <w:t>101 cases,</w:t>
      </w:r>
      <w:r w:rsidR="003B0D11" w:rsidRPr="002D459F">
        <w:rPr>
          <w:rFonts w:ascii="Times New Roman" w:hAnsi="Times New Roman" w:cs="Times New Roman"/>
        </w:rPr>
        <w:t xml:space="preserve"> </w:t>
      </w:r>
      <w:r w:rsidR="000060BE" w:rsidRPr="002D459F">
        <w:rPr>
          <w:rFonts w:ascii="Times New Roman" w:hAnsi="Times New Roman" w:cs="Times New Roman"/>
        </w:rPr>
        <w:t xml:space="preserve">31 had a GLS≥16%, </w:t>
      </w:r>
      <w:r w:rsidR="00334840" w:rsidRPr="002D459F">
        <w:rPr>
          <w:rFonts w:ascii="Times New Roman" w:hAnsi="Times New Roman" w:cs="Times New Roman"/>
        </w:rPr>
        <w:t>1</w:t>
      </w:r>
      <w:r w:rsidR="007E2502" w:rsidRPr="002D459F">
        <w:rPr>
          <w:rFonts w:ascii="Times New Roman" w:hAnsi="Times New Roman" w:cs="Times New Roman"/>
        </w:rPr>
        <w:t>6</w:t>
      </w:r>
      <w:r w:rsidR="000060BE" w:rsidRPr="002D459F">
        <w:rPr>
          <w:rFonts w:ascii="Times New Roman" w:hAnsi="Times New Roman" w:cs="Times New Roman"/>
        </w:rPr>
        <w:t xml:space="preserve"> had a</w:t>
      </w:r>
      <w:r w:rsidR="0015573F" w:rsidRPr="002D459F">
        <w:rPr>
          <w:rFonts w:ascii="Times New Roman" w:hAnsi="Times New Roman" w:cs="Times New Roman"/>
        </w:rPr>
        <w:t xml:space="preserve"> GLS </w:t>
      </w:r>
      <w:r w:rsidR="003B0D11" w:rsidRPr="002D459F">
        <w:rPr>
          <w:rFonts w:ascii="Times New Roman" w:hAnsi="Times New Roman" w:cs="Times New Roman"/>
        </w:rPr>
        <w:t>≥</w:t>
      </w:r>
      <w:r w:rsidR="0015573F" w:rsidRPr="002D459F">
        <w:rPr>
          <w:rFonts w:ascii="Times New Roman" w:hAnsi="Times New Roman" w:cs="Times New Roman"/>
        </w:rPr>
        <w:t>17%</w:t>
      </w:r>
      <w:r w:rsidR="001648B8" w:rsidRPr="002D459F">
        <w:rPr>
          <w:rFonts w:ascii="Times New Roman" w:hAnsi="Times New Roman" w:cs="Times New Roman"/>
        </w:rPr>
        <w:t xml:space="preserve">, </w:t>
      </w:r>
      <w:r w:rsidR="000060BE" w:rsidRPr="002D459F">
        <w:rPr>
          <w:rFonts w:ascii="Times New Roman" w:hAnsi="Times New Roman" w:cs="Times New Roman"/>
        </w:rPr>
        <w:t>and 2 had a GLS≥18%.</w:t>
      </w:r>
      <w:r w:rsidR="00896CA5" w:rsidRPr="002D459F">
        <w:rPr>
          <w:rFonts w:ascii="Times New Roman" w:hAnsi="Times New Roman" w:cs="Times New Roman"/>
        </w:rPr>
        <w:t xml:space="preserve"> The </w:t>
      </w:r>
      <w:r w:rsidR="00873107" w:rsidRPr="002D459F">
        <w:rPr>
          <w:rFonts w:ascii="Times New Roman" w:hAnsi="Times New Roman" w:cs="Times New Roman"/>
        </w:rPr>
        <w:t xml:space="preserve">GLS was lower in </w:t>
      </w:r>
      <w:r w:rsidR="00B97138" w:rsidRPr="002D459F">
        <w:rPr>
          <w:rFonts w:ascii="Times New Roman" w:hAnsi="Times New Roman" w:cs="Times New Roman"/>
        </w:rPr>
        <w:t xml:space="preserve">patients with </w:t>
      </w:r>
      <w:r w:rsidR="00873107" w:rsidRPr="002D459F">
        <w:rPr>
          <w:rFonts w:ascii="Times New Roman" w:hAnsi="Times New Roman" w:cs="Times New Roman"/>
        </w:rPr>
        <w:t>myocarditis prese</w:t>
      </w:r>
      <w:r w:rsidR="00896CA5" w:rsidRPr="002D459F">
        <w:rPr>
          <w:rFonts w:ascii="Times New Roman" w:hAnsi="Times New Roman" w:cs="Times New Roman"/>
        </w:rPr>
        <w:t>nting with both a reduced and preserved EF</w:t>
      </w:r>
      <w:r w:rsidR="00873107" w:rsidRPr="002D459F">
        <w:rPr>
          <w:rFonts w:ascii="Times New Roman" w:hAnsi="Times New Roman" w:cs="Times New Roman"/>
        </w:rPr>
        <w:t xml:space="preserve"> compared to controls</w:t>
      </w:r>
      <w:r w:rsidR="001D14B2" w:rsidRPr="002D459F">
        <w:rPr>
          <w:rFonts w:ascii="Times New Roman" w:hAnsi="Times New Roman" w:cs="Times New Roman"/>
        </w:rPr>
        <w:t xml:space="preserve"> during ICI therapy</w:t>
      </w:r>
      <w:r w:rsidR="00873107" w:rsidRPr="002D459F">
        <w:rPr>
          <w:rFonts w:ascii="Times New Roman" w:hAnsi="Times New Roman" w:cs="Times New Roman"/>
        </w:rPr>
        <w:t xml:space="preserve"> (n=</w:t>
      </w:r>
      <w:r w:rsidR="00946C8C" w:rsidRPr="002D459F">
        <w:rPr>
          <w:rFonts w:ascii="Times New Roman" w:hAnsi="Times New Roman" w:cs="Times New Roman"/>
        </w:rPr>
        <w:t>50</w:t>
      </w:r>
      <w:r w:rsidR="00873107" w:rsidRPr="002D459F">
        <w:rPr>
          <w:rFonts w:ascii="Times New Roman" w:hAnsi="Times New Roman" w:cs="Times New Roman"/>
        </w:rPr>
        <w:t>) (</w:t>
      </w:r>
      <w:r w:rsidR="00896CA5" w:rsidRPr="002D459F">
        <w:rPr>
          <w:rFonts w:ascii="Times New Roman" w:hAnsi="Times New Roman" w:cs="Times New Roman"/>
        </w:rPr>
        <w:t>cases</w:t>
      </w:r>
      <w:r w:rsidR="00F32746" w:rsidRPr="002D459F">
        <w:rPr>
          <w:rFonts w:ascii="Times New Roman" w:hAnsi="Times New Roman" w:cs="Times New Roman"/>
        </w:rPr>
        <w:t xml:space="preserve"> with</w:t>
      </w:r>
      <w:r w:rsidR="00896CA5" w:rsidRPr="002D459F">
        <w:rPr>
          <w:rFonts w:ascii="Times New Roman" w:hAnsi="Times New Roman" w:cs="Times New Roman"/>
        </w:rPr>
        <w:t xml:space="preserve"> reduced EF vs. cases </w:t>
      </w:r>
      <w:r w:rsidR="00F32746" w:rsidRPr="002D459F">
        <w:rPr>
          <w:rFonts w:ascii="Times New Roman" w:hAnsi="Times New Roman" w:cs="Times New Roman"/>
        </w:rPr>
        <w:t xml:space="preserve">with </w:t>
      </w:r>
      <w:r w:rsidR="00896CA5" w:rsidRPr="002D459F">
        <w:rPr>
          <w:rFonts w:ascii="Times New Roman" w:hAnsi="Times New Roman" w:cs="Times New Roman"/>
        </w:rPr>
        <w:t xml:space="preserve">preserved EF, controls on ICI: </w:t>
      </w:r>
      <w:r w:rsidR="00873107" w:rsidRPr="002D459F">
        <w:rPr>
          <w:rFonts w:ascii="Times New Roman" w:hAnsi="Times New Roman" w:cs="Times New Roman"/>
        </w:rPr>
        <w:t>12.3±2.7% vs. 15.3±2.0% vs. 20.</w:t>
      </w:r>
      <w:r w:rsidR="00946C8C" w:rsidRPr="002D459F">
        <w:rPr>
          <w:rFonts w:ascii="Times New Roman" w:hAnsi="Times New Roman" w:cs="Times New Roman"/>
        </w:rPr>
        <w:t>5</w:t>
      </w:r>
      <w:r w:rsidR="00873107" w:rsidRPr="002D459F">
        <w:rPr>
          <w:rFonts w:ascii="Times New Roman" w:hAnsi="Times New Roman" w:cs="Times New Roman"/>
        </w:rPr>
        <w:t>±1.</w:t>
      </w:r>
      <w:r w:rsidR="00946C8C" w:rsidRPr="002D459F">
        <w:rPr>
          <w:rFonts w:ascii="Times New Roman" w:hAnsi="Times New Roman" w:cs="Times New Roman"/>
        </w:rPr>
        <w:t>9</w:t>
      </w:r>
      <w:r w:rsidR="00873107" w:rsidRPr="002D459F">
        <w:rPr>
          <w:rFonts w:ascii="Times New Roman" w:hAnsi="Times New Roman" w:cs="Times New Roman"/>
        </w:rPr>
        <w:t>%, p&lt;0</w:t>
      </w:r>
      <w:r w:rsidR="005B74B2" w:rsidRPr="002D459F">
        <w:rPr>
          <w:rFonts w:ascii="Times New Roman" w:hAnsi="Times New Roman" w:cs="Times New Roman"/>
        </w:rPr>
        <w:t>.001 between the groups) (Fig 2F</w:t>
      </w:r>
      <w:r w:rsidR="00873107" w:rsidRPr="002D459F">
        <w:rPr>
          <w:rFonts w:ascii="Times New Roman" w:hAnsi="Times New Roman" w:cs="Times New Roman"/>
        </w:rPr>
        <w:t>).</w:t>
      </w:r>
      <w:r w:rsidR="006D711D" w:rsidRPr="002D459F">
        <w:rPr>
          <w:rFonts w:ascii="Times New Roman" w:hAnsi="Times New Roman" w:cs="Times New Roman"/>
        </w:rPr>
        <w:t xml:space="preserve"> There were no differences in GLS between biopsy-</w:t>
      </w:r>
      <w:r w:rsidR="00FA2010" w:rsidRPr="002D459F">
        <w:rPr>
          <w:rFonts w:ascii="Times New Roman" w:hAnsi="Times New Roman" w:cs="Times New Roman"/>
        </w:rPr>
        <w:t xml:space="preserve">proven myocarditis cases </w:t>
      </w:r>
      <w:r w:rsidR="006D711D" w:rsidRPr="002D459F">
        <w:rPr>
          <w:rFonts w:ascii="Times New Roman" w:hAnsi="Times New Roman" w:cs="Times New Roman"/>
        </w:rPr>
        <w:t xml:space="preserve">when compared to </w:t>
      </w:r>
      <w:r w:rsidR="00FA2010" w:rsidRPr="002D459F">
        <w:rPr>
          <w:rFonts w:ascii="Times New Roman" w:hAnsi="Times New Roman" w:cs="Times New Roman"/>
        </w:rPr>
        <w:t>non-biopsy proven cases (Supplementary Table 1).</w:t>
      </w:r>
    </w:p>
    <w:p w14:paraId="271B28E5" w14:textId="77777777" w:rsidR="009B3FE5" w:rsidRPr="002D459F" w:rsidRDefault="009B3FE5" w:rsidP="002D459F">
      <w:pPr>
        <w:spacing w:line="480" w:lineRule="auto"/>
        <w:rPr>
          <w:rFonts w:ascii="Times New Roman" w:hAnsi="Times New Roman" w:cs="Times New Roman"/>
          <w:b/>
        </w:rPr>
      </w:pPr>
      <w:r w:rsidRPr="002D459F">
        <w:rPr>
          <w:rFonts w:ascii="Times New Roman" w:hAnsi="Times New Roman" w:cs="Times New Roman"/>
          <w:b/>
        </w:rPr>
        <w:t xml:space="preserve">Cardiac Biomarkers: </w:t>
      </w:r>
    </w:p>
    <w:p w14:paraId="782C9A2E" w14:textId="53813482" w:rsidR="003C0C3A" w:rsidRPr="002D459F" w:rsidRDefault="003C0C3A" w:rsidP="002D459F">
      <w:pPr>
        <w:spacing w:line="480" w:lineRule="auto"/>
        <w:rPr>
          <w:rFonts w:ascii="Times New Roman" w:hAnsi="Times New Roman" w:cs="Times New Roman"/>
        </w:rPr>
      </w:pPr>
      <w:r w:rsidRPr="002D459F">
        <w:rPr>
          <w:rFonts w:ascii="Times New Roman" w:hAnsi="Times New Roman" w:cs="Times New Roman"/>
        </w:rPr>
        <w:t xml:space="preserve">Among cases, troponin levels at admission (n=101) were elevated in </w:t>
      </w:r>
      <w:r w:rsidR="00F60C9A" w:rsidRPr="002D459F">
        <w:rPr>
          <w:rFonts w:ascii="Times New Roman" w:hAnsi="Times New Roman" w:cs="Times New Roman"/>
        </w:rPr>
        <w:t>98</w:t>
      </w:r>
      <w:r w:rsidRPr="002D459F">
        <w:rPr>
          <w:rFonts w:ascii="Times New Roman" w:hAnsi="Times New Roman" w:cs="Times New Roman"/>
        </w:rPr>
        <w:t>/101 (</w:t>
      </w:r>
      <w:r w:rsidR="00F60C9A" w:rsidRPr="002D459F">
        <w:rPr>
          <w:rFonts w:ascii="Times New Roman" w:hAnsi="Times New Roman" w:cs="Times New Roman"/>
        </w:rPr>
        <w:t>97</w:t>
      </w:r>
      <w:r w:rsidR="00662378" w:rsidRPr="002D459F">
        <w:rPr>
          <w:rFonts w:ascii="Times New Roman" w:hAnsi="Times New Roman" w:cs="Times New Roman"/>
        </w:rPr>
        <w:t xml:space="preserve">%), with a median value of </w:t>
      </w:r>
      <w:r w:rsidRPr="002D459F">
        <w:rPr>
          <w:rFonts w:ascii="Times New Roman" w:hAnsi="Times New Roman" w:cs="Times New Roman"/>
        </w:rPr>
        <w:t>0.85 [</w:t>
      </w:r>
      <w:r w:rsidR="00247295" w:rsidRPr="002D459F">
        <w:rPr>
          <w:rFonts w:ascii="Times New Roman" w:hAnsi="Times New Roman" w:cs="Times New Roman"/>
        </w:rPr>
        <w:t xml:space="preserve">IQR </w:t>
      </w:r>
      <w:r w:rsidRPr="002D459F">
        <w:rPr>
          <w:rFonts w:ascii="Times New Roman" w:hAnsi="Times New Roman" w:cs="Times New Roman"/>
        </w:rPr>
        <w:t xml:space="preserve">0.17, 2.3] ng/dl. Among controls on an ICI, a measure of troponin was available in 59 subjects, all of which </w:t>
      </w:r>
      <w:r w:rsidR="003726B3" w:rsidRPr="002D459F">
        <w:rPr>
          <w:rFonts w:ascii="Times New Roman" w:hAnsi="Times New Roman" w:cs="Times New Roman"/>
        </w:rPr>
        <w:t xml:space="preserve">were &lt;0.01 </w:t>
      </w:r>
      <w:r w:rsidRPr="002D459F">
        <w:rPr>
          <w:rFonts w:ascii="Times New Roman" w:hAnsi="Times New Roman" w:cs="Times New Roman"/>
        </w:rPr>
        <w:t>ng/dl. This difference was statistically significant (p&lt;0.001). Among cases, higher admission troponin correlated with lower GLS (r=-0.26, p=0.008). There was no association between admission troponin and lower EF (r=-0.1, p=0.29).</w:t>
      </w:r>
      <w:r w:rsidR="00C379BE" w:rsidRPr="002D459F">
        <w:rPr>
          <w:rFonts w:ascii="Times New Roman" w:hAnsi="Times New Roman" w:cs="Times New Roman"/>
        </w:rPr>
        <w:t xml:space="preserve"> </w:t>
      </w:r>
      <w:r w:rsidRPr="002D459F">
        <w:rPr>
          <w:rFonts w:ascii="Times New Roman" w:hAnsi="Times New Roman" w:cs="Times New Roman"/>
        </w:rPr>
        <w:t>Among cases, NT-proBNP levels at admission were elevated in 73/83 (88%). The median NT-proBNP value among cases was 589 [</w:t>
      </w:r>
      <w:r w:rsidR="00247295" w:rsidRPr="002D459F">
        <w:rPr>
          <w:rFonts w:ascii="Times New Roman" w:hAnsi="Times New Roman" w:cs="Times New Roman"/>
        </w:rPr>
        <w:t xml:space="preserve">IQR </w:t>
      </w:r>
      <w:r w:rsidRPr="002D459F">
        <w:rPr>
          <w:rFonts w:ascii="Times New Roman" w:hAnsi="Times New Roman" w:cs="Times New Roman"/>
        </w:rPr>
        <w:t>208, 2413] pg/ml. Among controls on an ICI, a measure of NT-pro</w:t>
      </w:r>
      <w:r w:rsidR="007C53CD" w:rsidRPr="002D459F">
        <w:rPr>
          <w:rFonts w:ascii="Times New Roman" w:hAnsi="Times New Roman" w:cs="Times New Roman"/>
        </w:rPr>
        <w:t>B</w:t>
      </w:r>
      <w:r w:rsidRPr="002D459F">
        <w:rPr>
          <w:rFonts w:ascii="Times New Roman" w:hAnsi="Times New Roman" w:cs="Times New Roman"/>
        </w:rPr>
        <w:t>NP was available in 41 subjects. The median NT-proBNP value among controls on an ICI was 560 [</w:t>
      </w:r>
      <w:r w:rsidR="00247295" w:rsidRPr="002D459F">
        <w:rPr>
          <w:rFonts w:ascii="Times New Roman" w:hAnsi="Times New Roman" w:cs="Times New Roman"/>
        </w:rPr>
        <w:t xml:space="preserve">IQR </w:t>
      </w:r>
      <w:r w:rsidRPr="002D459F">
        <w:rPr>
          <w:rFonts w:ascii="Times New Roman" w:hAnsi="Times New Roman" w:cs="Times New Roman"/>
        </w:rPr>
        <w:t>243, 2093] pg/ml. There was a trend toward a higher NT-proBNP level in cases (p=0.07).</w:t>
      </w:r>
      <w:r w:rsidRPr="002D459F">
        <w:rPr>
          <w:rFonts w:ascii="Times New Roman" w:hAnsi="Times New Roman" w:cs="Times New Roman"/>
          <w:b/>
        </w:rPr>
        <w:t xml:space="preserve"> </w:t>
      </w:r>
      <w:r w:rsidRPr="002D459F">
        <w:rPr>
          <w:rFonts w:ascii="Times New Roman" w:hAnsi="Times New Roman" w:cs="Times New Roman"/>
        </w:rPr>
        <w:t>Among cases, higher admission NT-proBNP trended toward correlation with a lower GLS (r=-0.21, p=0.06). There was an association between higher admission NT-proBNP and lower EF (r=-0.32, p=0.003).</w:t>
      </w:r>
    </w:p>
    <w:p w14:paraId="2AFCC914" w14:textId="69C10D50" w:rsidR="007063AE" w:rsidRPr="002D459F" w:rsidRDefault="008D2CF3" w:rsidP="002D459F">
      <w:pPr>
        <w:spacing w:line="480" w:lineRule="auto"/>
        <w:rPr>
          <w:rFonts w:ascii="Times New Roman" w:hAnsi="Times New Roman" w:cs="Times New Roman"/>
        </w:rPr>
      </w:pPr>
      <w:r w:rsidRPr="002D459F">
        <w:rPr>
          <w:rFonts w:ascii="Times New Roman" w:hAnsi="Times New Roman" w:cs="Times New Roman"/>
          <w:b/>
        </w:rPr>
        <w:t xml:space="preserve">MACE: </w:t>
      </w:r>
      <w:r w:rsidR="00A01E47" w:rsidRPr="002D459F">
        <w:rPr>
          <w:rFonts w:ascii="Times New Roman" w:eastAsia="Times New Roman" w:hAnsi="Times New Roman" w:cs="Times New Roman"/>
          <w:color w:val="000000"/>
          <w:shd w:val="clear" w:color="auto" w:fill="FFFFFF"/>
          <w:lang w:val="en-GB"/>
        </w:rPr>
        <w:t xml:space="preserve">Over a </w:t>
      </w:r>
      <w:r w:rsidR="009C0DEC">
        <w:rPr>
          <w:rFonts w:ascii="Times New Roman" w:eastAsia="Times New Roman" w:hAnsi="Times New Roman" w:cs="Times New Roman"/>
          <w:color w:val="000000"/>
          <w:shd w:val="clear" w:color="auto" w:fill="FFFFFF"/>
          <w:lang w:val="en-GB"/>
        </w:rPr>
        <w:t xml:space="preserve">median </w:t>
      </w:r>
      <w:r w:rsidR="00A01E47" w:rsidRPr="002D459F">
        <w:rPr>
          <w:rFonts w:ascii="Times New Roman" w:eastAsia="Times New Roman" w:hAnsi="Times New Roman" w:cs="Times New Roman"/>
          <w:color w:val="000000"/>
          <w:shd w:val="clear" w:color="auto" w:fill="FFFFFF"/>
          <w:lang w:val="en-GB"/>
        </w:rPr>
        <w:t>follow-up of 162</w:t>
      </w:r>
      <w:r w:rsidR="009C0DEC">
        <w:rPr>
          <w:rFonts w:ascii="Times New Roman" w:eastAsia="Times New Roman" w:hAnsi="Times New Roman" w:cs="Times New Roman"/>
          <w:color w:val="000000"/>
          <w:shd w:val="clear" w:color="auto" w:fill="FFFFFF"/>
          <w:lang w:val="en-GB"/>
        </w:rPr>
        <w:t xml:space="preserve"> [IQR 58, 334]</w:t>
      </w:r>
      <w:r w:rsidR="00A01E47" w:rsidRPr="002D459F">
        <w:rPr>
          <w:rFonts w:ascii="Times New Roman" w:eastAsia="Times New Roman" w:hAnsi="Times New Roman" w:cs="Times New Roman"/>
          <w:color w:val="000000"/>
          <w:shd w:val="clear" w:color="auto" w:fill="FFFFFF"/>
          <w:lang w:val="en-GB"/>
        </w:rPr>
        <w:t xml:space="preserve"> days, </w:t>
      </w:r>
      <w:r w:rsidR="00405F2A" w:rsidRPr="002D459F">
        <w:rPr>
          <w:rFonts w:ascii="Times New Roman" w:eastAsia="Times New Roman" w:hAnsi="Times New Roman" w:cs="Times New Roman"/>
          <w:color w:val="000000"/>
          <w:shd w:val="clear" w:color="auto" w:fill="FFFFFF"/>
          <w:lang w:val="en-GB"/>
        </w:rPr>
        <w:t>51</w:t>
      </w:r>
      <w:r w:rsidR="00A01E47" w:rsidRPr="002D459F">
        <w:rPr>
          <w:rFonts w:ascii="Times New Roman" w:eastAsia="Times New Roman" w:hAnsi="Times New Roman" w:cs="Times New Roman"/>
          <w:color w:val="000000"/>
          <w:shd w:val="clear" w:color="auto" w:fill="FFFFFF"/>
          <w:lang w:val="en-GB"/>
        </w:rPr>
        <w:t xml:space="preserve"> (</w:t>
      </w:r>
      <w:r w:rsidR="00405F2A" w:rsidRPr="002D459F">
        <w:rPr>
          <w:rFonts w:ascii="Times New Roman" w:eastAsia="Times New Roman" w:hAnsi="Times New Roman" w:cs="Times New Roman"/>
          <w:color w:val="000000"/>
          <w:shd w:val="clear" w:color="auto" w:fill="FFFFFF"/>
          <w:lang w:val="en-GB"/>
        </w:rPr>
        <w:t>51</w:t>
      </w:r>
      <w:r w:rsidR="00A01E47" w:rsidRPr="002D459F">
        <w:rPr>
          <w:rFonts w:ascii="Times New Roman" w:eastAsia="Times New Roman" w:hAnsi="Times New Roman" w:cs="Times New Roman"/>
          <w:color w:val="000000"/>
          <w:shd w:val="clear" w:color="auto" w:fill="FFFFFF"/>
          <w:lang w:val="en-GB"/>
        </w:rPr>
        <w:t xml:space="preserve">%) had a MACE. These included </w:t>
      </w:r>
      <w:r w:rsidR="008E5258" w:rsidRPr="002D459F">
        <w:rPr>
          <w:rFonts w:ascii="Times New Roman" w:eastAsia="Times New Roman" w:hAnsi="Times New Roman" w:cs="Times New Roman"/>
          <w:color w:val="000000"/>
          <w:shd w:val="clear" w:color="auto" w:fill="FFFFFF"/>
          <w:lang w:val="en-GB"/>
        </w:rPr>
        <w:t>complete heart block</w:t>
      </w:r>
      <w:r w:rsidR="004462D4" w:rsidRPr="002D459F">
        <w:rPr>
          <w:rFonts w:ascii="Times New Roman" w:eastAsia="Times New Roman" w:hAnsi="Times New Roman" w:cs="Times New Roman"/>
          <w:color w:val="000000"/>
          <w:shd w:val="clear" w:color="auto" w:fill="FFFFFF"/>
          <w:lang w:val="en-GB"/>
        </w:rPr>
        <w:t xml:space="preserve"> (n=19)</w:t>
      </w:r>
      <w:r w:rsidR="008E5258" w:rsidRPr="002D459F">
        <w:rPr>
          <w:rFonts w:ascii="Times New Roman" w:eastAsia="Times New Roman" w:hAnsi="Times New Roman" w:cs="Times New Roman"/>
          <w:color w:val="000000"/>
          <w:shd w:val="clear" w:color="auto" w:fill="FFFFFF"/>
          <w:lang w:val="en-GB"/>
        </w:rPr>
        <w:t>, cardiogenic shock</w:t>
      </w:r>
      <w:r w:rsidR="004462D4" w:rsidRPr="002D459F">
        <w:rPr>
          <w:rFonts w:ascii="Times New Roman" w:eastAsia="Times New Roman" w:hAnsi="Times New Roman" w:cs="Times New Roman"/>
          <w:color w:val="000000"/>
          <w:shd w:val="clear" w:color="auto" w:fill="FFFFFF"/>
          <w:lang w:val="en-GB"/>
        </w:rPr>
        <w:t xml:space="preserve"> (n=14), cardiac arrest (n=12)</w:t>
      </w:r>
      <w:r w:rsidR="008E5258" w:rsidRPr="002D459F">
        <w:rPr>
          <w:rFonts w:ascii="Times New Roman" w:eastAsia="Times New Roman" w:hAnsi="Times New Roman" w:cs="Times New Roman"/>
          <w:color w:val="000000"/>
          <w:shd w:val="clear" w:color="auto" w:fill="FFFFFF"/>
          <w:lang w:val="en-GB"/>
        </w:rPr>
        <w:t>, and 6 CV deaths.</w:t>
      </w:r>
      <w:r w:rsidR="00A01E47" w:rsidRPr="002D459F">
        <w:rPr>
          <w:rFonts w:ascii="Times New Roman" w:eastAsia="Times New Roman" w:hAnsi="Times New Roman" w:cs="Times New Roman"/>
          <w:color w:val="000000"/>
          <w:shd w:val="clear" w:color="auto" w:fill="FFFFFF"/>
          <w:lang w:val="en-GB"/>
        </w:rPr>
        <w:t xml:space="preserve"> </w:t>
      </w:r>
      <w:r w:rsidR="007063AE" w:rsidRPr="002D459F">
        <w:rPr>
          <w:rFonts w:ascii="Times New Roman" w:eastAsia="Times New Roman" w:hAnsi="Times New Roman" w:cs="Times New Roman"/>
          <w:color w:val="000000"/>
          <w:shd w:val="clear" w:color="auto" w:fill="FFFFFF"/>
          <w:lang w:val="en-GB"/>
        </w:rPr>
        <w:t>The LV</w:t>
      </w:r>
      <w:r w:rsidR="007063AE" w:rsidRPr="002D459F">
        <w:rPr>
          <w:rFonts w:ascii="Times New Roman" w:eastAsia="Times New Roman" w:hAnsi="Times New Roman" w:cs="Times New Roman"/>
          <w:color w:val="000000"/>
          <w:shd w:val="clear" w:color="auto" w:fill="FFFFFF"/>
        </w:rPr>
        <w:t>EF among myocarditis cases with MACE (n=51) was 45±16%, and among cases without MACE (n=50) was 55</w:t>
      </w:r>
      <w:bookmarkStart w:id="6" w:name="_Hlk11751845"/>
      <w:r w:rsidR="007063AE" w:rsidRPr="002D459F">
        <w:rPr>
          <w:rFonts w:ascii="Times New Roman" w:eastAsia="Times New Roman" w:hAnsi="Times New Roman" w:cs="Times New Roman"/>
          <w:color w:val="000000"/>
          <w:shd w:val="clear" w:color="auto" w:fill="FFFFFF"/>
        </w:rPr>
        <w:t>±</w:t>
      </w:r>
      <w:bookmarkEnd w:id="6"/>
      <w:r w:rsidR="007063AE" w:rsidRPr="002D459F">
        <w:rPr>
          <w:rFonts w:ascii="Times New Roman" w:eastAsia="Times New Roman" w:hAnsi="Times New Roman" w:cs="Times New Roman"/>
          <w:color w:val="000000"/>
          <w:shd w:val="clear" w:color="auto" w:fill="FFFFFF"/>
        </w:rPr>
        <w:t>15% (p=0.002).</w:t>
      </w:r>
      <w:r w:rsidR="000362F8" w:rsidRPr="002D459F">
        <w:rPr>
          <w:rFonts w:ascii="Times New Roman" w:eastAsia="Times New Roman" w:hAnsi="Times New Roman" w:cs="Times New Roman"/>
          <w:color w:val="000000"/>
          <w:shd w:val="clear" w:color="auto" w:fill="FFFFFF"/>
        </w:rPr>
        <w:t xml:space="preserve"> </w:t>
      </w:r>
      <w:r w:rsidR="006C07D4" w:rsidRPr="002D459F">
        <w:rPr>
          <w:rFonts w:ascii="Times New Roman" w:hAnsi="Times New Roman" w:cs="Times New Roman"/>
        </w:rPr>
        <w:t xml:space="preserve">The stroke volume (SV) was lower among cases compared to controls (cases vs. controls, 46±19 vs. 61±19 mls, p&lt;0.001, Table 2b). However, the SV among myocarditis cases </w:t>
      </w:r>
      <w:r w:rsidR="007B684B" w:rsidRPr="002D459F">
        <w:rPr>
          <w:rFonts w:ascii="Times New Roman" w:hAnsi="Times New Roman" w:cs="Times New Roman"/>
        </w:rPr>
        <w:t>with a MACE (</w:t>
      </w:r>
      <w:r w:rsidR="006C07D4" w:rsidRPr="002D459F">
        <w:rPr>
          <w:rFonts w:ascii="Times New Roman" w:hAnsi="Times New Roman" w:cs="Times New Roman"/>
        </w:rPr>
        <w:t>55.7±26.6 mls) was simil</w:t>
      </w:r>
      <w:r w:rsidR="007B684B" w:rsidRPr="002D459F">
        <w:rPr>
          <w:rFonts w:ascii="Times New Roman" w:hAnsi="Times New Roman" w:cs="Times New Roman"/>
        </w:rPr>
        <w:t>ar to cases without MACE (</w:t>
      </w:r>
      <w:r w:rsidR="006C07D4" w:rsidRPr="002D459F">
        <w:rPr>
          <w:rFonts w:ascii="Times New Roman" w:hAnsi="Times New Roman" w:cs="Times New Roman"/>
        </w:rPr>
        <w:t>43.5±11.1 mls</w:t>
      </w:r>
      <w:r w:rsidR="008C6B50" w:rsidRPr="002D459F">
        <w:rPr>
          <w:rFonts w:ascii="Times New Roman" w:hAnsi="Times New Roman" w:cs="Times New Roman"/>
        </w:rPr>
        <w:t xml:space="preserve">, </w:t>
      </w:r>
      <w:r w:rsidR="006C07D4" w:rsidRPr="002D459F">
        <w:rPr>
          <w:rFonts w:ascii="Times New Roman" w:hAnsi="Times New Roman" w:cs="Times New Roman"/>
        </w:rPr>
        <w:t xml:space="preserve">p=0.47). </w:t>
      </w:r>
      <w:r w:rsidR="000362F8" w:rsidRPr="002D459F">
        <w:rPr>
          <w:rFonts w:ascii="Times New Roman" w:eastAsia="Times New Roman" w:hAnsi="Times New Roman" w:cs="Times New Roman"/>
          <w:color w:val="000000"/>
          <w:shd w:val="clear" w:color="auto" w:fill="FFFFFF"/>
        </w:rPr>
        <w:t xml:space="preserve">The components of MACE stratified by preserved and reduced LVEF as well as normal/abnormal GLS are </w:t>
      </w:r>
      <w:r w:rsidR="00442648" w:rsidRPr="002D459F">
        <w:rPr>
          <w:rFonts w:ascii="Times New Roman" w:eastAsia="Times New Roman" w:hAnsi="Times New Roman" w:cs="Times New Roman"/>
          <w:color w:val="000000"/>
          <w:shd w:val="clear" w:color="auto" w:fill="FFFFFF"/>
        </w:rPr>
        <w:t>summarized</w:t>
      </w:r>
      <w:r w:rsidR="000362F8" w:rsidRPr="002D459F">
        <w:rPr>
          <w:rFonts w:ascii="Times New Roman" w:eastAsia="Times New Roman" w:hAnsi="Times New Roman" w:cs="Times New Roman"/>
          <w:color w:val="000000"/>
          <w:shd w:val="clear" w:color="auto" w:fill="FFFFFF"/>
        </w:rPr>
        <w:t xml:space="preserve"> in </w:t>
      </w:r>
      <w:r w:rsidR="00442648" w:rsidRPr="002D459F">
        <w:rPr>
          <w:rFonts w:ascii="Times New Roman" w:eastAsia="Times New Roman" w:hAnsi="Times New Roman" w:cs="Times New Roman"/>
          <w:color w:val="000000"/>
          <w:shd w:val="clear" w:color="auto" w:fill="FFFFFF"/>
        </w:rPr>
        <w:t>Supplementary Table 2A and 2B</w:t>
      </w:r>
      <w:r w:rsidR="000362F8" w:rsidRPr="002D459F">
        <w:rPr>
          <w:rFonts w:ascii="Times New Roman" w:eastAsia="Times New Roman" w:hAnsi="Times New Roman" w:cs="Times New Roman"/>
          <w:color w:val="000000"/>
          <w:shd w:val="clear" w:color="auto" w:fill="FFFFFF"/>
        </w:rPr>
        <w:t>.</w:t>
      </w:r>
    </w:p>
    <w:p w14:paraId="15523736" w14:textId="52941E9B" w:rsidR="00656443" w:rsidRPr="002D459F" w:rsidRDefault="00A01E47" w:rsidP="002D459F">
      <w:pPr>
        <w:spacing w:line="480" w:lineRule="auto"/>
        <w:rPr>
          <w:rFonts w:ascii="Times New Roman" w:hAnsi="Times New Roman" w:cs="Times New Roman"/>
        </w:rPr>
      </w:pPr>
      <w:r w:rsidRPr="002D459F">
        <w:rPr>
          <w:rFonts w:ascii="Times New Roman" w:hAnsi="Times New Roman" w:cs="Times New Roman"/>
        </w:rPr>
        <w:t>In follow-up</w:t>
      </w:r>
      <w:r w:rsidR="00FA428E" w:rsidRPr="002D459F">
        <w:rPr>
          <w:rFonts w:ascii="Times New Roman" w:hAnsi="Times New Roman" w:cs="Times New Roman"/>
        </w:rPr>
        <w:t>,</w:t>
      </w:r>
      <w:r w:rsidR="00B91493" w:rsidRPr="002D459F">
        <w:rPr>
          <w:rFonts w:ascii="Times New Roman" w:hAnsi="Times New Roman" w:cs="Times New Roman"/>
        </w:rPr>
        <w:t xml:space="preserve"> among the entire group, </w:t>
      </w:r>
      <w:r w:rsidR="00043702" w:rsidRPr="002D459F">
        <w:rPr>
          <w:rFonts w:ascii="Times New Roman" w:hAnsi="Times New Roman" w:cs="Times New Roman"/>
        </w:rPr>
        <w:t>when separated by tertiles, MACE was highest</w:t>
      </w:r>
      <w:r w:rsidR="00E974CE" w:rsidRPr="002D459F">
        <w:rPr>
          <w:rFonts w:ascii="Times New Roman" w:hAnsi="Times New Roman" w:cs="Times New Roman"/>
        </w:rPr>
        <w:t xml:space="preserve"> among cases with a GLS ≤ 14%</w:t>
      </w:r>
      <w:r w:rsidR="00043702" w:rsidRPr="002D459F">
        <w:rPr>
          <w:rFonts w:ascii="Times New Roman" w:hAnsi="Times New Roman" w:cs="Times New Roman"/>
        </w:rPr>
        <w:t>,</w:t>
      </w:r>
      <w:r w:rsidR="00943777" w:rsidRPr="002D459F">
        <w:rPr>
          <w:rFonts w:ascii="Times New Roman" w:hAnsi="Times New Roman" w:cs="Times New Roman"/>
        </w:rPr>
        <w:t xml:space="preserve"> </w:t>
      </w:r>
      <w:r w:rsidR="00043702" w:rsidRPr="002D459F">
        <w:rPr>
          <w:rFonts w:ascii="Times New Roman" w:hAnsi="Times New Roman" w:cs="Times New Roman"/>
        </w:rPr>
        <w:t xml:space="preserve">followed by GLS in the range between 14.1 to 15.9%, </w:t>
      </w:r>
      <w:r w:rsidR="00943777" w:rsidRPr="002D459F">
        <w:rPr>
          <w:rFonts w:ascii="Times New Roman" w:hAnsi="Times New Roman" w:cs="Times New Roman"/>
        </w:rPr>
        <w:t>and lowe</w:t>
      </w:r>
      <w:r w:rsidR="00043702" w:rsidRPr="002D459F">
        <w:rPr>
          <w:rFonts w:ascii="Times New Roman" w:hAnsi="Times New Roman" w:cs="Times New Roman"/>
        </w:rPr>
        <w:t>st</w:t>
      </w:r>
      <w:r w:rsidR="00943777" w:rsidRPr="002D459F">
        <w:rPr>
          <w:rFonts w:ascii="Times New Roman" w:hAnsi="Times New Roman" w:cs="Times New Roman"/>
        </w:rPr>
        <w:t xml:space="preserve"> among cases wi</w:t>
      </w:r>
      <w:r w:rsidR="00C97534" w:rsidRPr="002D459F">
        <w:rPr>
          <w:rFonts w:ascii="Times New Roman" w:hAnsi="Times New Roman" w:cs="Times New Roman"/>
        </w:rPr>
        <w:t>th</w:t>
      </w:r>
      <w:r w:rsidR="00E974CE" w:rsidRPr="002D459F">
        <w:rPr>
          <w:rFonts w:ascii="Times New Roman" w:hAnsi="Times New Roman" w:cs="Times New Roman"/>
        </w:rPr>
        <w:t xml:space="preserve"> GLS </w:t>
      </w:r>
      <w:r w:rsidR="000725E1" w:rsidRPr="002D459F">
        <w:rPr>
          <w:rFonts w:ascii="Times New Roman" w:hAnsi="Times New Roman" w:cs="Times New Roman"/>
        </w:rPr>
        <w:t>≥</w:t>
      </w:r>
      <w:r w:rsidR="00644032" w:rsidRPr="002D459F">
        <w:rPr>
          <w:rFonts w:ascii="Times New Roman" w:hAnsi="Times New Roman" w:cs="Times New Roman"/>
        </w:rPr>
        <w:t xml:space="preserve"> </w:t>
      </w:r>
      <w:r w:rsidR="00E974CE" w:rsidRPr="002D459F">
        <w:rPr>
          <w:rFonts w:ascii="Times New Roman" w:hAnsi="Times New Roman" w:cs="Times New Roman"/>
        </w:rPr>
        <w:t>16% (</w:t>
      </w:r>
      <w:r w:rsidR="000725E1" w:rsidRPr="002D459F">
        <w:rPr>
          <w:rFonts w:ascii="Times New Roman" w:hAnsi="Times New Roman" w:cs="Times New Roman"/>
        </w:rPr>
        <w:t>p&lt;0.001) (Fig 3A</w:t>
      </w:r>
      <w:r w:rsidR="00943777" w:rsidRPr="002D459F">
        <w:rPr>
          <w:rFonts w:ascii="Times New Roman" w:hAnsi="Times New Roman" w:cs="Times New Roman"/>
        </w:rPr>
        <w:t xml:space="preserve">). </w:t>
      </w:r>
      <w:r w:rsidR="00FA428E" w:rsidRPr="002D459F">
        <w:rPr>
          <w:rFonts w:ascii="Times New Roman" w:hAnsi="Times New Roman" w:cs="Times New Roman"/>
        </w:rPr>
        <w:t>A</w:t>
      </w:r>
      <w:r w:rsidR="00943777" w:rsidRPr="002D459F">
        <w:rPr>
          <w:rFonts w:ascii="Times New Roman" w:hAnsi="Times New Roman" w:cs="Times New Roman"/>
        </w:rPr>
        <w:t xml:space="preserve">mong </w:t>
      </w:r>
      <w:r w:rsidR="0080003B" w:rsidRPr="002D459F">
        <w:rPr>
          <w:rFonts w:ascii="Times New Roman" w:hAnsi="Times New Roman" w:cs="Times New Roman"/>
        </w:rPr>
        <w:t>patients with myocarditis</w:t>
      </w:r>
      <w:r w:rsidR="00943777" w:rsidRPr="002D459F">
        <w:rPr>
          <w:rFonts w:ascii="Times New Roman" w:hAnsi="Times New Roman" w:cs="Times New Roman"/>
        </w:rPr>
        <w:t xml:space="preserve"> presenting with a reduced EF,</w:t>
      </w:r>
      <w:r w:rsidR="00DA2197" w:rsidRPr="002D459F">
        <w:rPr>
          <w:rFonts w:ascii="Times New Roman" w:hAnsi="Times New Roman" w:cs="Times New Roman"/>
        </w:rPr>
        <w:t xml:space="preserve"> a GLS lower than 13%</w:t>
      </w:r>
      <w:r w:rsidR="00943777" w:rsidRPr="002D459F">
        <w:rPr>
          <w:rFonts w:ascii="Times New Roman" w:hAnsi="Times New Roman" w:cs="Times New Roman"/>
        </w:rPr>
        <w:t xml:space="preserve"> was associated wi</w:t>
      </w:r>
      <w:r w:rsidR="000725E1" w:rsidRPr="002D459F">
        <w:rPr>
          <w:rFonts w:ascii="Times New Roman" w:hAnsi="Times New Roman" w:cs="Times New Roman"/>
        </w:rPr>
        <w:t>th higher MACE (p&lt;0.001) (Fig 3B</w:t>
      </w:r>
      <w:r w:rsidR="00943777" w:rsidRPr="002D459F">
        <w:rPr>
          <w:rFonts w:ascii="Times New Roman" w:hAnsi="Times New Roman" w:cs="Times New Roman"/>
        </w:rPr>
        <w:t>).</w:t>
      </w:r>
      <w:r w:rsidR="007D61E1" w:rsidRPr="002D459F">
        <w:rPr>
          <w:rFonts w:ascii="Times New Roman" w:hAnsi="Times New Roman" w:cs="Times New Roman"/>
        </w:rPr>
        <w:t xml:space="preserve"> </w:t>
      </w:r>
      <w:r w:rsidR="008D2CF3" w:rsidRPr="002D459F">
        <w:rPr>
          <w:rFonts w:ascii="Times New Roman" w:hAnsi="Times New Roman" w:cs="Times New Roman"/>
        </w:rPr>
        <w:t xml:space="preserve">Similarly, </w:t>
      </w:r>
      <w:r w:rsidR="007D61E1" w:rsidRPr="002D459F">
        <w:rPr>
          <w:rFonts w:ascii="Times New Roman" w:hAnsi="Times New Roman" w:cs="Times New Roman"/>
        </w:rPr>
        <w:t>among ICI myocarditis cases presenting with a preserved E</w:t>
      </w:r>
      <w:r w:rsidR="00DA2197" w:rsidRPr="002D459F">
        <w:rPr>
          <w:rFonts w:ascii="Times New Roman" w:hAnsi="Times New Roman" w:cs="Times New Roman"/>
        </w:rPr>
        <w:t>F, a GLS lower than 16%</w:t>
      </w:r>
      <w:r w:rsidR="007D61E1" w:rsidRPr="002D459F">
        <w:rPr>
          <w:rFonts w:ascii="Times New Roman" w:hAnsi="Times New Roman" w:cs="Times New Roman"/>
        </w:rPr>
        <w:t xml:space="preserve"> was associated wit</w:t>
      </w:r>
      <w:r w:rsidR="000725E1" w:rsidRPr="002D459F">
        <w:rPr>
          <w:rFonts w:ascii="Times New Roman" w:hAnsi="Times New Roman" w:cs="Times New Roman"/>
        </w:rPr>
        <w:t>h higher MACE (p&lt; 0.001) (Fig 3C</w:t>
      </w:r>
      <w:r w:rsidR="007D61E1" w:rsidRPr="002D459F">
        <w:rPr>
          <w:rFonts w:ascii="Times New Roman" w:hAnsi="Times New Roman" w:cs="Times New Roman"/>
        </w:rPr>
        <w:t>).</w:t>
      </w:r>
      <w:r w:rsidR="008D2CF3" w:rsidRPr="002D459F">
        <w:rPr>
          <w:rFonts w:ascii="Times New Roman" w:hAnsi="Times New Roman" w:cs="Times New Roman"/>
        </w:rPr>
        <w:t xml:space="preserve"> </w:t>
      </w:r>
      <w:r w:rsidR="003726B3" w:rsidRPr="002D459F">
        <w:rPr>
          <w:rFonts w:ascii="Times New Roman" w:hAnsi="Times New Roman" w:cs="Times New Roman"/>
        </w:rPr>
        <w:t>Similarly, a</w:t>
      </w:r>
      <w:r w:rsidR="00CD08ED" w:rsidRPr="002D459F">
        <w:rPr>
          <w:rFonts w:ascii="Times New Roman" w:hAnsi="Times New Roman" w:cs="Times New Roman"/>
        </w:rPr>
        <w:t xml:space="preserve">n absolute (9.5±2.1%) and relative (47±7%) drop in GLS in reduced EF was predictive of MACE, and an absolute (7.8±2.8%) and relative (35±10%) drop in GLS in preserved EF was predictive of MACE. </w:t>
      </w:r>
      <w:r w:rsidR="007D61E1" w:rsidRPr="002D459F">
        <w:rPr>
          <w:rFonts w:ascii="Times New Roman" w:hAnsi="Times New Roman" w:cs="Times New Roman"/>
        </w:rPr>
        <w:t xml:space="preserve">In </w:t>
      </w:r>
      <w:r w:rsidR="00A34B44" w:rsidRPr="002D459F">
        <w:rPr>
          <w:rFonts w:ascii="Times New Roman" w:hAnsi="Times New Roman" w:cs="Times New Roman"/>
        </w:rPr>
        <w:t>th</w:t>
      </w:r>
      <w:r w:rsidR="006E2188" w:rsidRPr="002D459F">
        <w:rPr>
          <w:rFonts w:ascii="Times New Roman" w:hAnsi="Times New Roman" w:cs="Times New Roman"/>
        </w:rPr>
        <w:t>e</w:t>
      </w:r>
      <w:r w:rsidR="007D61E1" w:rsidRPr="002D459F">
        <w:rPr>
          <w:rFonts w:ascii="Times New Roman" w:hAnsi="Times New Roman" w:cs="Times New Roman"/>
        </w:rPr>
        <w:t xml:space="preserve"> multivaria</w:t>
      </w:r>
      <w:r w:rsidR="0080003B" w:rsidRPr="002D459F">
        <w:rPr>
          <w:rFonts w:ascii="Times New Roman" w:hAnsi="Times New Roman" w:cs="Times New Roman"/>
        </w:rPr>
        <w:t>ble</w:t>
      </w:r>
      <w:r w:rsidR="007D61E1" w:rsidRPr="002D459F">
        <w:rPr>
          <w:rFonts w:ascii="Times New Roman" w:hAnsi="Times New Roman" w:cs="Times New Roman"/>
        </w:rPr>
        <w:t xml:space="preserve"> model</w:t>
      </w:r>
      <w:r w:rsidR="007E2502" w:rsidRPr="002D459F">
        <w:rPr>
          <w:rFonts w:ascii="Times New Roman" w:hAnsi="Times New Roman" w:cs="Times New Roman"/>
        </w:rPr>
        <w:t xml:space="preserve"> adjust</w:t>
      </w:r>
      <w:r w:rsidR="00382B8D" w:rsidRPr="002D459F">
        <w:rPr>
          <w:rFonts w:ascii="Times New Roman" w:hAnsi="Times New Roman" w:cs="Times New Roman"/>
        </w:rPr>
        <w:t>ed</w:t>
      </w:r>
      <w:r w:rsidR="007E2502" w:rsidRPr="002D459F">
        <w:rPr>
          <w:rFonts w:ascii="Times New Roman" w:hAnsi="Times New Roman" w:cs="Times New Roman"/>
        </w:rPr>
        <w:t xml:space="preserve"> for EF</w:t>
      </w:r>
      <w:r w:rsidR="007D61E1" w:rsidRPr="002D459F">
        <w:rPr>
          <w:rFonts w:ascii="Times New Roman" w:hAnsi="Times New Roman" w:cs="Times New Roman"/>
        </w:rPr>
        <w:t xml:space="preserve">, GLS was predictive of MACE among all patients (HR 1.93, 95% CI (1.56, 2.39), p&lt;0.001), </w:t>
      </w:r>
      <w:r w:rsidR="00334865" w:rsidRPr="002D459F">
        <w:rPr>
          <w:rFonts w:ascii="Times New Roman" w:hAnsi="Times New Roman" w:cs="Times New Roman"/>
        </w:rPr>
        <w:t xml:space="preserve">among </w:t>
      </w:r>
      <w:r w:rsidR="007D61E1" w:rsidRPr="002D459F">
        <w:rPr>
          <w:rFonts w:ascii="Times New Roman" w:hAnsi="Times New Roman" w:cs="Times New Roman"/>
        </w:rPr>
        <w:t xml:space="preserve">cases with a reduced EF (HR 1.49, 95% CI (1.2, 1.84), p&lt;0.001) and </w:t>
      </w:r>
      <w:r w:rsidR="00334865" w:rsidRPr="002D459F">
        <w:rPr>
          <w:rFonts w:ascii="Times New Roman" w:hAnsi="Times New Roman" w:cs="Times New Roman"/>
        </w:rPr>
        <w:t xml:space="preserve">among </w:t>
      </w:r>
      <w:r w:rsidR="007D61E1" w:rsidRPr="002D459F">
        <w:rPr>
          <w:rFonts w:ascii="Times New Roman" w:hAnsi="Times New Roman" w:cs="Times New Roman"/>
        </w:rPr>
        <w:t xml:space="preserve">cases with a preserved EF (HR 4.36, 95% CI </w:t>
      </w:r>
      <w:r w:rsidR="00B2626F" w:rsidRPr="002D459F">
        <w:rPr>
          <w:rFonts w:ascii="Times New Roman" w:hAnsi="Times New Roman" w:cs="Times New Roman"/>
        </w:rPr>
        <w:t>(2.44, 7.79), p&lt;0.001) (Table 3</w:t>
      </w:r>
      <w:r w:rsidR="007D61E1" w:rsidRPr="002D459F">
        <w:rPr>
          <w:rFonts w:ascii="Times New Roman" w:hAnsi="Times New Roman" w:cs="Times New Roman"/>
        </w:rPr>
        <w:t>)</w:t>
      </w:r>
      <w:r w:rsidR="00382B8D" w:rsidRPr="002D459F">
        <w:rPr>
          <w:rFonts w:ascii="Times New Roman" w:hAnsi="Times New Roman" w:cs="Times New Roman"/>
        </w:rPr>
        <w:t>.</w:t>
      </w:r>
      <w:r w:rsidR="00247AFA" w:rsidRPr="002D459F">
        <w:rPr>
          <w:rFonts w:ascii="Times New Roman" w:hAnsi="Times New Roman" w:cs="Times New Roman"/>
        </w:rPr>
        <w:t xml:space="preserve"> </w:t>
      </w:r>
      <w:r w:rsidR="00382B8D" w:rsidRPr="002D459F">
        <w:rPr>
          <w:rFonts w:ascii="Times New Roman" w:hAnsi="Times New Roman" w:cs="Times New Roman"/>
        </w:rPr>
        <w:t xml:space="preserve">An additional multivariable model adjusting for EF, left ventricular internal diastolic diameter (LVIDD), age and history of diabetes is available in </w:t>
      </w:r>
      <w:r w:rsidR="00247AFA" w:rsidRPr="002D459F">
        <w:rPr>
          <w:rFonts w:ascii="Times New Roman" w:hAnsi="Times New Roman" w:cs="Times New Roman"/>
        </w:rPr>
        <w:t xml:space="preserve">Supplementary Table </w:t>
      </w:r>
      <w:r w:rsidR="00573518" w:rsidRPr="002D459F">
        <w:rPr>
          <w:rFonts w:ascii="Times New Roman" w:hAnsi="Times New Roman" w:cs="Times New Roman"/>
        </w:rPr>
        <w:t>3</w:t>
      </w:r>
      <w:r w:rsidR="007D61E1" w:rsidRPr="002D459F">
        <w:rPr>
          <w:rFonts w:ascii="Times New Roman" w:hAnsi="Times New Roman" w:cs="Times New Roman"/>
        </w:rPr>
        <w:t>.</w:t>
      </w:r>
    </w:p>
    <w:p w14:paraId="74BD741B" w14:textId="39F4B8FB" w:rsidR="00CF6717" w:rsidRPr="002D459F" w:rsidRDefault="00CF6717" w:rsidP="002D459F">
      <w:pPr>
        <w:spacing w:line="480" w:lineRule="auto"/>
        <w:rPr>
          <w:rFonts w:ascii="Times New Roman" w:hAnsi="Times New Roman" w:cs="Times New Roman"/>
          <w:b/>
        </w:rPr>
      </w:pPr>
      <w:r w:rsidRPr="002D459F">
        <w:rPr>
          <w:rFonts w:ascii="Times New Roman" w:hAnsi="Times New Roman" w:cs="Times New Roman"/>
          <w:b/>
        </w:rPr>
        <w:t>Discussion</w:t>
      </w:r>
    </w:p>
    <w:p w14:paraId="5E9B33A5" w14:textId="5E3A0094" w:rsidR="00334865" w:rsidRPr="002D459F" w:rsidRDefault="005942B3" w:rsidP="002D459F">
      <w:pPr>
        <w:spacing w:line="480" w:lineRule="auto"/>
        <w:rPr>
          <w:rFonts w:ascii="Times New Roman" w:hAnsi="Times New Roman" w:cs="Times New Roman"/>
        </w:rPr>
      </w:pPr>
      <w:r w:rsidRPr="002D459F">
        <w:rPr>
          <w:rFonts w:ascii="Times New Roman" w:hAnsi="Times New Roman" w:cs="Times New Roman"/>
        </w:rPr>
        <w:t xml:space="preserve">In this </w:t>
      </w:r>
      <w:r w:rsidR="00334865" w:rsidRPr="002D459F">
        <w:rPr>
          <w:rFonts w:ascii="Times New Roman" w:hAnsi="Times New Roman" w:cs="Times New Roman"/>
        </w:rPr>
        <w:t>report,</w:t>
      </w:r>
      <w:r w:rsidRPr="002D459F">
        <w:rPr>
          <w:rFonts w:ascii="Times New Roman" w:hAnsi="Times New Roman" w:cs="Times New Roman"/>
        </w:rPr>
        <w:t xml:space="preserve"> we leverage</w:t>
      </w:r>
      <w:r w:rsidR="00334865" w:rsidRPr="002D459F">
        <w:rPr>
          <w:rFonts w:ascii="Times New Roman" w:hAnsi="Times New Roman" w:cs="Times New Roman"/>
        </w:rPr>
        <w:t>d</w:t>
      </w:r>
      <w:r w:rsidRPr="002D459F">
        <w:rPr>
          <w:rFonts w:ascii="Times New Roman" w:hAnsi="Times New Roman" w:cs="Times New Roman"/>
        </w:rPr>
        <w:t xml:space="preserve"> a large </w:t>
      </w:r>
      <w:r w:rsidR="00074589" w:rsidRPr="002D459F">
        <w:rPr>
          <w:rFonts w:ascii="Times New Roman" w:hAnsi="Times New Roman" w:cs="Times New Roman"/>
        </w:rPr>
        <w:t>inter</w:t>
      </w:r>
      <w:r w:rsidRPr="002D459F">
        <w:rPr>
          <w:rFonts w:ascii="Times New Roman" w:hAnsi="Times New Roman" w:cs="Times New Roman"/>
        </w:rPr>
        <w:t xml:space="preserve">national multicenter registry to present the first data </w:t>
      </w:r>
      <w:r w:rsidR="00A01E47" w:rsidRPr="002D459F">
        <w:rPr>
          <w:rFonts w:ascii="Times New Roman" w:hAnsi="Times New Roman" w:cs="Times New Roman"/>
        </w:rPr>
        <w:t xml:space="preserve">characterizing the role </w:t>
      </w:r>
      <w:r w:rsidRPr="002D459F">
        <w:rPr>
          <w:rFonts w:ascii="Times New Roman" w:hAnsi="Times New Roman" w:cs="Times New Roman"/>
        </w:rPr>
        <w:t xml:space="preserve">GLS among patients with ICI myocarditis. </w:t>
      </w:r>
      <w:r w:rsidR="00334865" w:rsidRPr="002D459F">
        <w:rPr>
          <w:rFonts w:ascii="Times New Roman" w:hAnsi="Times New Roman" w:cs="Times New Roman"/>
        </w:rPr>
        <w:t>The study had the following novel findings</w:t>
      </w:r>
      <w:r w:rsidR="009A7CD3" w:rsidRPr="002D459F">
        <w:rPr>
          <w:rFonts w:ascii="Times New Roman" w:hAnsi="Times New Roman" w:cs="Times New Roman"/>
        </w:rPr>
        <w:t>: 1. GLS pre-ICI therapy</w:t>
      </w:r>
      <w:r w:rsidR="00ED08C9" w:rsidRPr="002D459F">
        <w:rPr>
          <w:rFonts w:ascii="Times New Roman" w:hAnsi="Times New Roman" w:cs="Times New Roman"/>
        </w:rPr>
        <w:t xml:space="preserve"> </w:t>
      </w:r>
      <w:r w:rsidR="00A01E47" w:rsidRPr="002D459F">
        <w:rPr>
          <w:rFonts w:ascii="Times New Roman" w:hAnsi="Times New Roman" w:cs="Times New Roman"/>
        </w:rPr>
        <w:t>was similar between cases and controls</w:t>
      </w:r>
      <w:r w:rsidR="00ED08C9" w:rsidRPr="002D459F">
        <w:rPr>
          <w:rFonts w:ascii="Times New Roman" w:hAnsi="Times New Roman" w:cs="Times New Roman"/>
        </w:rPr>
        <w:t>; 2. GLS decreased with the development of ICI-related myocarditis</w:t>
      </w:r>
      <w:r w:rsidR="00A01E47" w:rsidRPr="002D459F">
        <w:rPr>
          <w:rFonts w:ascii="Times New Roman" w:hAnsi="Times New Roman" w:cs="Times New Roman"/>
        </w:rPr>
        <w:t xml:space="preserve"> but did not change among controls who did not develop myocarditis</w:t>
      </w:r>
      <w:r w:rsidR="00ED08C9" w:rsidRPr="002D459F">
        <w:rPr>
          <w:rFonts w:ascii="Times New Roman" w:hAnsi="Times New Roman" w:cs="Times New Roman"/>
        </w:rPr>
        <w:t xml:space="preserve">; </w:t>
      </w:r>
      <w:r w:rsidR="00A01E47" w:rsidRPr="002D459F">
        <w:rPr>
          <w:rFonts w:ascii="Times New Roman" w:hAnsi="Times New Roman" w:cs="Times New Roman"/>
        </w:rPr>
        <w:t>3</w:t>
      </w:r>
      <w:r w:rsidR="00ED08C9" w:rsidRPr="002D459F">
        <w:rPr>
          <w:rFonts w:ascii="Times New Roman" w:hAnsi="Times New Roman" w:cs="Times New Roman"/>
        </w:rPr>
        <w:t>. GLS was reduced among ICI-myocarditis cases</w:t>
      </w:r>
      <w:r w:rsidR="00A01E47" w:rsidRPr="002D459F">
        <w:rPr>
          <w:rFonts w:ascii="Times New Roman" w:hAnsi="Times New Roman" w:cs="Times New Roman"/>
        </w:rPr>
        <w:t xml:space="preserve"> presenting </w:t>
      </w:r>
      <w:r w:rsidR="00ED08C9" w:rsidRPr="002D459F">
        <w:rPr>
          <w:rFonts w:ascii="Times New Roman" w:hAnsi="Times New Roman" w:cs="Times New Roman"/>
        </w:rPr>
        <w:t xml:space="preserve">with </w:t>
      </w:r>
      <w:r w:rsidR="00A01E47" w:rsidRPr="002D459F">
        <w:rPr>
          <w:rFonts w:ascii="Times New Roman" w:hAnsi="Times New Roman" w:cs="Times New Roman"/>
        </w:rPr>
        <w:t xml:space="preserve">either a </w:t>
      </w:r>
      <w:r w:rsidR="00ED08C9" w:rsidRPr="002D459F">
        <w:rPr>
          <w:rFonts w:ascii="Times New Roman" w:hAnsi="Times New Roman" w:cs="Times New Roman"/>
        </w:rPr>
        <w:t xml:space="preserve">reduced EF, </w:t>
      </w:r>
      <w:r w:rsidR="001F3270" w:rsidRPr="002D459F">
        <w:rPr>
          <w:rFonts w:ascii="Times New Roman" w:hAnsi="Times New Roman" w:cs="Times New Roman"/>
        </w:rPr>
        <w:t xml:space="preserve">and </w:t>
      </w:r>
      <w:r w:rsidR="00A40B16" w:rsidRPr="002D459F">
        <w:rPr>
          <w:rFonts w:ascii="Times New Roman" w:hAnsi="Times New Roman" w:cs="Times New Roman"/>
        </w:rPr>
        <w:t xml:space="preserve">importantly a </w:t>
      </w:r>
      <w:r w:rsidR="004462D4" w:rsidRPr="002D459F">
        <w:rPr>
          <w:rFonts w:ascii="Times New Roman" w:hAnsi="Times New Roman" w:cs="Times New Roman"/>
        </w:rPr>
        <w:t>preserved EF</w:t>
      </w:r>
      <w:r w:rsidR="00ED08C9" w:rsidRPr="002D459F">
        <w:rPr>
          <w:rFonts w:ascii="Times New Roman" w:hAnsi="Times New Roman" w:cs="Times New Roman"/>
        </w:rPr>
        <w:t xml:space="preserve">; </w:t>
      </w:r>
      <w:r w:rsidR="00A40B16" w:rsidRPr="002D459F">
        <w:rPr>
          <w:rFonts w:ascii="Times New Roman" w:hAnsi="Times New Roman" w:cs="Times New Roman"/>
        </w:rPr>
        <w:t>4</w:t>
      </w:r>
      <w:r w:rsidR="00ED08C9" w:rsidRPr="002D459F">
        <w:rPr>
          <w:rFonts w:ascii="Times New Roman" w:hAnsi="Times New Roman" w:cs="Times New Roman"/>
        </w:rPr>
        <w:t xml:space="preserve">. </w:t>
      </w:r>
      <w:r w:rsidR="00A01E47" w:rsidRPr="002D459F">
        <w:rPr>
          <w:rFonts w:ascii="Times New Roman" w:hAnsi="Times New Roman" w:cs="Times New Roman"/>
        </w:rPr>
        <w:t xml:space="preserve">Lower </w:t>
      </w:r>
      <w:r w:rsidR="00ED08C9" w:rsidRPr="002D459F">
        <w:rPr>
          <w:rFonts w:ascii="Times New Roman" w:hAnsi="Times New Roman" w:cs="Times New Roman"/>
        </w:rPr>
        <w:t>GLS was a s</w:t>
      </w:r>
      <w:r w:rsidR="00A01E47" w:rsidRPr="002D459F">
        <w:rPr>
          <w:rFonts w:ascii="Times New Roman" w:hAnsi="Times New Roman" w:cs="Times New Roman"/>
        </w:rPr>
        <w:t xml:space="preserve">trong </w:t>
      </w:r>
      <w:r w:rsidR="00ED08C9" w:rsidRPr="002D459F">
        <w:rPr>
          <w:rFonts w:ascii="Times New Roman" w:hAnsi="Times New Roman" w:cs="Times New Roman"/>
        </w:rPr>
        <w:t>predictor of MACE among myocarditis-cases</w:t>
      </w:r>
      <w:r w:rsidR="00A01E47" w:rsidRPr="002D459F">
        <w:rPr>
          <w:rFonts w:ascii="Times New Roman" w:hAnsi="Times New Roman" w:cs="Times New Roman"/>
        </w:rPr>
        <w:t xml:space="preserve">, presenting with either a </w:t>
      </w:r>
      <w:r w:rsidR="00ED08C9" w:rsidRPr="002D459F">
        <w:rPr>
          <w:rFonts w:ascii="Times New Roman" w:hAnsi="Times New Roman" w:cs="Times New Roman"/>
        </w:rPr>
        <w:t xml:space="preserve">preserved </w:t>
      </w:r>
      <w:r w:rsidR="00A01E47" w:rsidRPr="002D459F">
        <w:rPr>
          <w:rFonts w:ascii="Times New Roman" w:hAnsi="Times New Roman" w:cs="Times New Roman"/>
        </w:rPr>
        <w:t xml:space="preserve">or </w:t>
      </w:r>
      <w:r w:rsidR="00ED08C9" w:rsidRPr="002D459F">
        <w:rPr>
          <w:rFonts w:ascii="Times New Roman" w:hAnsi="Times New Roman" w:cs="Times New Roman"/>
        </w:rPr>
        <w:t>reduced EF</w:t>
      </w:r>
      <w:r w:rsidR="009041BA" w:rsidRPr="002D459F">
        <w:rPr>
          <w:rFonts w:ascii="Times New Roman" w:hAnsi="Times New Roman" w:cs="Times New Roman"/>
        </w:rPr>
        <w:t>.</w:t>
      </w:r>
    </w:p>
    <w:p w14:paraId="1A827CB5" w14:textId="5180F63A" w:rsidR="00A07A4E" w:rsidRPr="002D459F" w:rsidRDefault="00D65216" w:rsidP="002D459F">
      <w:pPr>
        <w:spacing w:line="480" w:lineRule="auto"/>
        <w:ind w:firstLine="720"/>
        <w:rPr>
          <w:rFonts w:ascii="Times New Roman" w:hAnsi="Times New Roman" w:cs="Times New Roman"/>
        </w:rPr>
      </w:pPr>
      <w:r w:rsidRPr="002D459F">
        <w:rPr>
          <w:rFonts w:ascii="Times New Roman" w:hAnsi="Times New Roman" w:cs="Times New Roman"/>
        </w:rPr>
        <w:t>Global longitudinal strain is a sensitive measure of cardiac function and cardiac injury</w:t>
      </w:r>
      <w:r w:rsidR="00777BDF" w:rsidRPr="002D459F">
        <w:rPr>
          <w:rFonts w:ascii="Times New Roman" w:hAnsi="Times New Roman" w:cs="Times New Roman"/>
        </w:rPr>
        <w:t xml:space="preserve"> </w:t>
      </w:r>
      <w:r w:rsidR="00777BDF"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0a3CSTbC","properties":{"formattedCitation":"(14,15)","plainCitation":"(14,15)","noteIndex":0},"citationItems":[{"id":422,"uris":["http://zotero.org/users/4622338/items/AWG4XX8Y"],"uri":["http://zotero.org/users/4622338/items/AWG4XX8Y"],"itemData":{"id":422,"type":"article-journal","title":"Use of myocardial strain imaging by echocardiography for the early detection of cardiotoxicity in patients during and after cancer chemotherapy: a systematic review","container-title":"Journal of the American College of Cardiology","page":"2751-2768","volume":"63","issue":"25 Pt A","source":"PubMed","abstract":"The literature exploring the utility of advanced echocardiographic techniques (such as deformation imaging) in the diagnosis and prognostication of patients receiving potentially cardiotoxic cancer therapy has involved relatively small trials in the research setting. In this systematic review of the current literature, we describe echocardiographic myocardial deformation parameters in 1,504 patients during or after cancer chemotherapy for 3 clinically-relevant scenarios. The systematic review was performed following the PRISMA (Preferred Reporting Items for Systematic Reviews and Meta-Analyses) guidelines using the EMBASE (1974 to November 2013) and MEDLINE (1946 to November 2013) databases. All studies of early myocardial changes with chemotherapy demonstrate that alterations of myocardial deformation precede significant change in left ventricular ejection fraction (LVEF). Using tissue Doppler-based strain imaging, peak systolic longitudinal strain rate has most consistently detected early myocardial changes during therapy, whereas with speckle tracking echocardiography (STE), peak systolic global longitudinal strain (GLS) appears to be the best measure. A 10% to 15% early reduction in GLS by STE during therapy appears to be the most useful parameter for the prediction of cardiotoxicity, defined as a drop in LVEF or heart failure. In late survivors of cancer, measures of global radial and circumferential strain are consistently abnormal, even in the context of normal LVEF, but their clinical value in predicting subsequent ventricular dysfunction or heart failure has not been explored. Thus, this systematic review confirms the value of echocardiographic myocardial deformation parameters for the early detection of myocardial changes and prediction of cardiotoxicity in patients receiving cancer therapy.","DOI":"10.1016/j.jacc.2014.01.073","ISSN":"1558-3597","note":"PMID: 24703918","title-short":"Use of myocardial strain imaging by echocardiography for the early detection of cardiotoxicity in patients during and after cancer chemotherapy","journalAbbreviation":"J. Am. Coll. Cardiol.","language":"eng","author":[{"family":"Thavendiranathan","given":"Paaladinesh"},{"family":"Poulin","given":"Frédéric"},{"family":"Lim","given":"Ki-Dong"},{"family":"Plana","given":"Juan Carlos"},{"family":"Woo","given":"Anna"},{"family":"Marwick","given":"Thomas H."}],"issued":{"date-parts":[["2014",7,1]]}}},{"id":1046,"uris":["http://zotero.org/users/4622338/items/3HYCSNHU"],"uri":["http://zotero.org/users/4622338/items/3HYCSNHU"],"itemData":{"id":1046,"type":"article-journal","title":"Myocardial strain imaging: how useful is it in clinical decision making?","container-title":"European Heart Journal","page":"1196-1207","volume":"37","issue":"15","source":"PubMed Central","abstract":"Myocardial strain is a principle for quantification of left ventricular (LV) function which is now feasible with speckle-tracking echocardiography. The best evaluated strain parameter is global longitudinal strain (GLS) which is more sensitive than left ventricular ejection fraction (LVEF) as a measure of systolic function, and may be used to identify sub-clinical LV dysfunction in cardiomyopathies. Furthermore, GLS is recommended as routine measurement in patients undergoing chemotherapy to detect reduction in LV function prior to fall in LVEF. Intersegmental variability in timing of peak myocardial strain has been proposed as predictor of risk of ventricular arrhythmias. Strain imaging may be applied to guide placement of the LV pacing lead in patients receiving cardiac resynchronization therapy. Strain may also be used to diagnose myocardial ischaemia, but the technology is not sufficiently standardized to be recommended as a general tool for this purpose. Peak systolic left atrial strain is a promising supplementary index of LV filling pressure. The strain imaging methodology is still undergoing development, and further clinical trials are needed to determine if clinical decisions based on strain imaging result in better outcome. With this important limitation in mind, strain may be applied clinically as a supplementary diagnostic method.","DOI":"10.1093/eurheartj/ehv529","ISSN":"0195-668X","note":"PMID: 26508168\nPMCID: PMC4830908","title-short":"Myocardial strain imaging","journalAbbreviation":"Eur Heart J","author":[{"family":"Smiseth","given":"Otto A."},{"family":"Torp","given":"Hans"},{"family":"Opdahl","given":"Anders"},{"family":"Haugaa","given":"Kristina H."},{"family":"Urheim","given":"Stig"}],"issued":{"date-parts":[["2016",4,14]]}}}],"schema":"https://github.com/citation-style-language/schema/raw/master/csl-citation.json"} </w:instrText>
      </w:r>
      <w:r w:rsidR="00777BDF" w:rsidRPr="002D459F">
        <w:rPr>
          <w:rFonts w:ascii="Times New Roman" w:hAnsi="Times New Roman" w:cs="Times New Roman"/>
        </w:rPr>
        <w:fldChar w:fldCharType="separate"/>
      </w:r>
      <w:r w:rsidR="00C96F60" w:rsidRPr="002D459F">
        <w:rPr>
          <w:rFonts w:ascii="Times New Roman" w:hAnsi="Times New Roman" w:cs="Times New Roman"/>
          <w:noProof/>
        </w:rPr>
        <w:t>(14,15)</w:t>
      </w:r>
      <w:r w:rsidR="00777BDF" w:rsidRPr="002D459F">
        <w:rPr>
          <w:rFonts w:ascii="Times New Roman" w:hAnsi="Times New Roman" w:cs="Times New Roman"/>
        </w:rPr>
        <w:fldChar w:fldCharType="end"/>
      </w:r>
      <w:r w:rsidRPr="002D459F">
        <w:rPr>
          <w:rFonts w:ascii="Times New Roman" w:hAnsi="Times New Roman" w:cs="Times New Roman"/>
        </w:rPr>
        <w:t xml:space="preserve">. </w:t>
      </w:r>
      <w:r w:rsidR="00296349" w:rsidRPr="002D459F">
        <w:rPr>
          <w:rFonts w:ascii="Times New Roman" w:hAnsi="Times New Roman" w:cs="Times New Roman"/>
        </w:rPr>
        <w:t xml:space="preserve">As compared to </w:t>
      </w:r>
      <w:r w:rsidR="00C379BE" w:rsidRPr="002D459F">
        <w:rPr>
          <w:rFonts w:ascii="Times New Roman" w:hAnsi="Times New Roman" w:cs="Times New Roman"/>
        </w:rPr>
        <w:t>EF</w:t>
      </w:r>
      <w:r w:rsidR="00296349" w:rsidRPr="002D459F">
        <w:rPr>
          <w:rFonts w:ascii="Times New Roman" w:hAnsi="Times New Roman" w:cs="Times New Roman"/>
        </w:rPr>
        <w:t xml:space="preserve">, measurement of </w:t>
      </w:r>
      <w:r w:rsidR="000436C0" w:rsidRPr="002D459F">
        <w:rPr>
          <w:rFonts w:ascii="Times New Roman" w:hAnsi="Times New Roman" w:cs="Times New Roman"/>
        </w:rPr>
        <w:t xml:space="preserve">GLS </w:t>
      </w:r>
      <w:r w:rsidR="00296349" w:rsidRPr="002D459F">
        <w:rPr>
          <w:rFonts w:ascii="Times New Roman" w:hAnsi="Times New Roman" w:cs="Times New Roman"/>
          <w:color w:val="333333"/>
          <w:shd w:val="clear" w:color="auto" w:fill="FFFFFF"/>
        </w:rPr>
        <w:t xml:space="preserve">improves risk stratification, redefines criteria for disease classification, and may help determine treatment in asymptomatic left ventricular dysfunction resulting from a wide variety of etiologies </w:t>
      </w:r>
      <w:r w:rsidR="00296349" w:rsidRPr="002D459F">
        <w:rPr>
          <w:rFonts w:ascii="Times New Roman" w:hAnsi="Times New Roman" w:cs="Times New Roman"/>
          <w:color w:val="333333"/>
          <w:shd w:val="clear" w:color="auto" w:fill="FFFFFF"/>
        </w:rPr>
        <w:fldChar w:fldCharType="begin"/>
      </w:r>
      <w:r w:rsidR="00C96F60" w:rsidRPr="002D459F">
        <w:rPr>
          <w:rFonts w:ascii="Times New Roman" w:hAnsi="Times New Roman" w:cs="Times New Roman"/>
          <w:color w:val="333333"/>
          <w:shd w:val="clear" w:color="auto" w:fill="FFFFFF"/>
        </w:rPr>
        <w:instrText xml:space="preserve"> ADDIN ZOTERO_ITEM CSL_CITATION {"citationID":"4pO0VLOu","properties":{"formattedCitation":"(16\\uc0\\u8211{}18)","plainCitation":"(16–18)","noteIndex":0},"citationItems":[{"id":859,"uris":["http://zotero.org/users/4622338/items/SWCZGXG9"],"uri":["http://zotero.org/users/4622338/items/SWCZGXG9"],"itemData":{"id":859,"type":"article-journal","title":"Prediction of all-cause mortality and heart failure admissions from global left ventricular longitudinal strain in patients with acute myocardial infarction and preserved left ventricular ejection fraction","container-title":"Journal of the American College of Cardiology","page":"2365-2373","volume":"61","issue":"23","source":"PubMed","abstract":"OBJECTIVES: This study sought to test the hypothesis that semiautomated calculation of left ventricular global longitudinal strain (GLS) can identify high-risk subjects among patients with myocardial infarctions (MIs) with left ventricular ejection fractions (LVEFs) &gt;40%.\nBACKGROUND: LVEF is a key determinant in decision making after acute MI, yet it is relatively indiscriminant within the normal range. Novel echocardiographic deformation parameters may be of particular clinical relevance in patients with relatively preserved LVEFs.\nMETHODS: Patients with MIs and LVEFs &gt;40% within 48 h of admission for coronary angiography were prospectively included. All patients underwent echocardiography with semiautomated measurement of GLS. The primary composite endpoint (all-cause mortality and hospitalization for heart failure) was analyzed using Cox regression analyses. The secondary endpoints were cardiac death and heart failure hospitalization.\nRESULTS: A total of 849 patients (mean age 61.9 ± 12.0 years, 73% men) were included, and 57 (6.7%) reached the primary endpoint (median follow-up 30 months). Significant prognostic value was found for GLS (hazard ratio [HR]: 1.20; 95% confidence interval [CI]: 1.10 to 1.32; p &lt; 0.001). GLS &gt; -14% was associated with a 3-fold increase in risk for the combined endpoint (HR: 3.21; 95% CI: 1.82 to 5.67; p &lt; 0.001). After adjustment for other variables, GLS remained independently related to the combined endpoint (HR: 1.14; 95% CI: 1.04 to 1.26; p = 0.007). For the secondary endpoints, GLS &gt; -14% was significantly associated with cardiovascular death (HR: 12.7; 95% CI: 3.0 to 54.6; p &lt; 0.001) and heart failure hospitalization (HR: 5.31; 95% CI: 1.50 to 18.82; p &lt; 0.001).\nCONCLUSIONS: Assessment of GLS using a semiautomated algorithm provides important prognostic information in patients with LVEFs &gt;40% above and beyond traditional indexes of high-risk MI.","DOI":"10.1016/j.jacc.2013.02.061","ISSN":"1558-3597","note":"PMID: 23563128","journalAbbreviation":"J. Am. Coll. Cardiol.","language":"eng","author":[{"family":"Ersbøll","given":"Mads"},{"family":"Valeur","given":"Nana"},{"family":"Mogensen","given":"Ulrik Madvig"},{"family":"Andersen","given":"Mads Jønsson"},{"family":"Møller","given":"Jacob Eifer"},{"family":"Velazquez","given":"Eric J."},{"family":"Hassager","given":"Christian"},{"family":"Søgaard","given":"Peter"},{"family":"Køber","given":"Lars"}],"issued":{"date-parts":[["2013",6,11]]}}},{"id":861,"uris":["http://zotero.org/users/4622338/items/8JP82XUS"],"uri":["http://zotero.org/users/4622338/items/8JP82XUS"],"itemData":{"id":861,"type":"article-journal","title":"Strain echocardiography improves risk prediction of ventricular arrhythmias after myocardial infarction","container-title":"JACC. Cardiovascular imaging","page":"841-850","volume":"6","issue":"8","source":"PubMed","abstract":"OBJECTIVES: The aim of this study was to test the hypothesis that strain echocardiography might improve arrhythmic risk stratification in patients after myocardial infarction (MI).\nBACKGROUND: Prediction of ventricular arrhythmias after MI is challenging. Left ventricular ejection fraction (LVEF) &lt;35% is the main parameter for selecting patients for implantable cardioverter-defibrillator therapy.\nMETHODS: In this prospective, multicenter study, 569 patients &gt;40 days after acute MI were included, 268 of whom had ST-segment elevation MIs and 301 non-ST-segment elevation MIs. By echocardiography, global strain was assessed as average peak longitudinal systolic strain from 16 left ventricular segments. Time from the electrocardiographic R-wave to peak negative strain was assessed in each segment. Mechanical dispersion was defined as the standard deviation from these 16 time intervals, reflecting contraction heterogeneity.\nRESULTS: Ventricular arrhythmias, defined as sustained ventricular tachycardia or sudden death during a median 30 months (interquartile range: 18 months) of follow-up, occurred in 15 patients (3%). LVEFs were reduced (48 ± 17% vs. 55 ± 11%, p &lt; 0.01), global strain was markedly reduced (-14.8 ± 4.7% vs. -18.2 ± 3.7%, p = 0.001), and mechanical dispersion was increased (63 ± 25 ms vs. 42 ± 17 ms, p &lt; 0.001) in patients with arrhythmias compared with those without. Mechanical dispersion was an independent predictor of arrhythmic events (per 10-ms increase, hazard ratio: 1.7; 95% confidence interval: 1.2 to 2.5; p &lt; 0.01). Mechanical dispersion and global strain were markers of arrhythmias in patients with non-ST-segment elevation MIs (p &lt; 0.05 for both) and in those with LVEFs &gt;35% (p &lt; 0.05 for both), whereas LVEF was not (p = 0.33). A combination of mechanical dispersion and global strain showed the best positive predictive value for arrhythmic events (21%; 95% confidence interval: 6% to 46%).\nCONCLUSIONS: Mechanical dispersion by strain echocardiography predicted arrhythmic events independently of LVEF in this prospective, multicenter study of patients after MI. A combination of mechanical dispersion and global strain may improve the selection of patients after MI for implantable cardioverter-defibrillator therapy, particularly in patients with LVEFs &gt;35% who did not fulfill current implantable cardioverter-defibrillator indications.","DOI":"10.1016/j.jcmg.2013.03.005","ISSN":"1876-7591","note":"PMID: 23850251","journalAbbreviation":"JACC Cardiovasc Imaging","language":"eng","author":[{"family":"Haugaa","given":"Kristina H."},{"family":"Grenne","given":"Bjørnar L."},{"family":"Eek","given":"Christian H."},{"family":"Ersbøll","given":"Mads"},{"family":"Valeur","given":"Nana"},{"family":"Svendsen","given":"Jesper H."},{"family":"Florian","given":"Anca"},{"family":"Sjøli","given":"Benthe"},{"family":"Brunvand","given":"Harald"},{"family":"Køber","given":"Lars"},{"family":"Voigt","given":"Jens-Uwe"},{"family":"Desmet","given":"Walter"},{"family":"Smiseth","given":"Otto A."},{"family":"Edvardsen","given":"Thor"}],"issued":{"date-parts":[["2013",8]]}}},{"id":843,"uris":["http://zotero.org/users/4622338/items/ZAL5S5RA"],"uri":["http://zotero.org/users/4622338/items/ZAL5S5RA"],"itemData":{"id":843,"type":"article-journal","title":"Global longitudinal strain: the best biomarker for predicting prognosis in heart failure?","container-title":"European Journal of Heart Failure","page":"1340-1341","volume":"18","issue":"11","source":"PubMed","DOI":"10.1002/ejhf.632","ISSN":"1879-0844","note":"PMID: 27813299\nPMCID: PMC5129538","title-short":"Global longitudinal strain","journalAbbreviation":"Eur. J. Heart Fail.","language":"eng","author":[{"family":"Haugaa","given":"Kristina H."},{"family":"Edvardsen","given":"Thor"}],"issued":{"date-parts":[["2016"]]}}}],"schema":"https://github.com/citation-style-language/schema/raw/master/csl-citation.json"} </w:instrText>
      </w:r>
      <w:r w:rsidR="00296349" w:rsidRPr="002D459F">
        <w:rPr>
          <w:rFonts w:ascii="Times New Roman" w:hAnsi="Times New Roman" w:cs="Times New Roman"/>
          <w:color w:val="333333"/>
          <w:shd w:val="clear" w:color="auto" w:fill="FFFFFF"/>
        </w:rPr>
        <w:fldChar w:fldCharType="separate"/>
      </w:r>
      <w:r w:rsidR="00C96F60" w:rsidRPr="002D459F">
        <w:rPr>
          <w:rFonts w:ascii="Times New Roman" w:hAnsi="Times New Roman" w:cs="Times New Roman"/>
          <w:color w:val="000000"/>
        </w:rPr>
        <w:t>(16–18)</w:t>
      </w:r>
      <w:r w:rsidR="00296349" w:rsidRPr="002D459F">
        <w:rPr>
          <w:rFonts w:ascii="Times New Roman" w:hAnsi="Times New Roman" w:cs="Times New Roman"/>
          <w:color w:val="333333"/>
          <w:shd w:val="clear" w:color="auto" w:fill="FFFFFF"/>
        </w:rPr>
        <w:fldChar w:fldCharType="end"/>
      </w:r>
      <w:r w:rsidR="00296349" w:rsidRPr="002D459F">
        <w:rPr>
          <w:rFonts w:ascii="Times New Roman" w:hAnsi="Times New Roman" w:cs="Times New Roman"/>
          <w:color w:val="333333"/>
          <w:shd w:val="clear" w:color="auto" w:fill="FFFFFF"/>
        </w:rPr>
        <w:t xml:space="preserve">. </w:t>
      </w:r>
      <w:r w:rsidRPr="002D459F">
        <w:rPr>
          <w:rFonts w:ascii="Times New Roman" w:hAnsi="Times New Roman" w:cs="Times New Roman"/>
          <w:color w:val="333333"/>
          <w:shd w:val="clear" w:color="auto" w:fill="FFFFFF"/>
        </w:rPr>
        <w:t xml:space="preserve">The measurement </w:t>
      </w:r>
      <w:r w:rsidRPr="002D459F">
        <w:rPr>
          <w:rFonts w:ascii="Times New Roman" w:hAnsi="Times New Roman" w:cs="Times New Roman"/>
        </w:rPr>
        <w:t xml:space="preserve">of GLS </w:t>
      </w:r>
      <w:r w:rsidR="000436C0" w:rsidRPr="002D459F">
        <w:rPr>
          <w:rFonts w:ascii="Times New Roman" w:hAnsi="Times New Roman" w:cs="Times New Roman"/>
          <w:color w:val="333333"/>
          <w:shd w:val="clear" w:color="auto" w:fill="FFFFFF"/>
        </w:rPr>
        <w:t xml:space="preserve">is validated, reproducible within an acceptable range </w:t>
      </w:r>
      <w:r w:rsidR="002A3135" w:rsidRPr="002D459F">
        <w:rPr>
          <w:rFonts w:ascii="Times New Roman" w:hAnsi="Times New Roman" w:cs="Times New Roman"/>
          <w:color w:val="333333"/>
          <w:shd w:val="clear" w:color="auto" w:fill="FFFFFF"/>
        </w:rPr>
        <w:fldChar w:fldCharType="begin"/>
      </w:r>
      <w:r w:rsidR="00C96F60" w:rsidRPr="002D459F">
        <w:rPr>
          <w:rFonts w:ascii="Times New Roman" w:hAnsi="Times New Roman" w:cs="Times New Roman"/>
          <w:color w:val="333333"/>
          <w:shd w:val="clear" w:color="auto" w:fill="FFFFFF"/>
        </w:rPr>
        <w:instrText xml:space="preserve"> ADDIN ZOTERO_ITEM CSL_CITATION {"citationID":"Mbt6AC6g","properties":{"formattedCitation":"(14,19,20)","plainCitation":"(14,19,20)","noteIndex":0},"citationItems":[{"id":422,"uris":["http://zotero.org/users/4622338/items/AWG4XX8Y"],"uri":["http://zotero.org/users/4622338/items/AWG4XX8Y"],"itemData":{"id":422,"type":"article-journal","title":"Use of myocardial strain imaging by echocardiography for the early detection of cardiotoxicity in patients during and after cancer chemotherapy: a systematic review","container-title":"Journal of the American College of Cardiology","page":"2751-2768","volume":"63","issue":"25 Pt A","source":"PubMed","abstract":"The literature exploring the utility of advanced echocardiographic techniques (such as deformation imaging) in the diagnosis and prognostication of patients receiving potentially cardiotoxic cancer therapy has involved relatively small trials in the research setting. In this systematic review of the current literature, we describe echocardiographic myocardial deformation parameters in 1,504 patients during or after cancer chemotherapy for 3 clinically-relevant scenarios. The systematic review was performed following the PRISMA (Preferred Reporting Items for Systematic Reviews and Meta-Analyses) guidelines using the EMBASE (1974 to November 2013) and MEDLINE (1946 to November 2013) databases. All studies of early myocardial changes with chemotherapy demonstrate that alterations of myocardial deformation precede significant change in left ventricular ejection fraction (LVEF). Using tissue Doppler-based strain imaging, peak systolic longitudinal strain rate has most consistently detected early myocardial changes during therapy, whereas with speckle tracking echocardiography (STE), peak systolic global longitudinal strain (GLS) appears to be the best measure. A 10% to 15% early reduction in GLS by STE during therapy appears to be the most useful parameter for the prediction of cardiotoxicity, defined as a drop in LVEF or heart failure. In late survivors of cancer, measures of global radial and circumferential strain are consistently abnormal, even in the context of normal LVEF, but their clinical value in predicting subsequent ventricular dysfunction or heart failure has not been explored. Thus, this systematic review confirms the value of echocardiographic myocardial deformation parameters for the early detection of myocardial changes and prediction of cardiotoxicity in patients receiving cancer therapy.","DOI":"10.1016/j.jacc.2014.01.073","ISSN":"1558-3597","note":"PMID: 24703918","title-short":"Use of myocardial strain imaging by echocardiography for the early detection of cardiotoxicity in patients during and after cancer chemotherapy","journalAbbreviation":"J. Am. Coll. Cardiol.","language":"eng","author":[{"family":"Thavendiranathan","given":"Paaladinesh"},{"family":"Poulin","given":"Frédéric"},{"family":"Lim","given":"Ki-Dong"},{"family":"Plana","given":"Juan Carlos"},{"family":"Woo","given":"Anna"},{"family":"Marwick","given":"Thomas H."}],"issued":{"date-parts":[["2014",7,1]]}}},{"id":1015,"uris":["http://zotero.org/users/4622338/items/REQ6HQFW"],"uri":["http://zotero.org/users/4622338/items/REQ6HQFW"],"itemData":{"id":1015,"type":"article-journal","title":"Effect of Experience and Training on the Concordance and Precision of Strain Measurements","container-title":"JACC. Cardiovascular imaging","page":"518-522","volume":"10","issue":"5","source":"PubMed","abstract":"OBJECTIVES: This study sought to show the degree to which experience and training affect the precision and validity of global longitudinal strain (GLS) measurement and to evaluate the variability of strain measurement after feedback.\nBACKGROUND: The application of GLS for the detection of subclinical dysfunction has been recommended in an expert consensus document and is being used with increasing frequency. The role of experience in the precision and validity of GLS measurement is unknown, as is the efficacy of training.\nMETHODS: Fifty-eight readers, divided into 4 groups on the basis of their experience with GLS, calculated GLS from speckle strain analysis of 9 cases with various degrees of image quality. Intraclass correlation coefficients (ICCs), mean difference, SD, and coefficient of variation (CV) were compared against the measurements of a reference group that had experience with &gt;1,000 cases of strain measurement. Individualized feedback was distributed, and repeat measurements were performed by 40 readers. Comparisons with the baseline variation provided information about whether feedback was effective.\nRESULTS: The ICC for GLS was significantly greater than that for ejection fraction regardless of image quality. Experience with strain measurement affected the concordance in strain values among the readers; the group with the highest level of experience showed significantly better ICC than those with no experience, although the ICC of the inexperienced readers was still very good (0.996 vs. 0.975; p = 0.0002). As experience increased, the mean difference, SD, and CV became significantly smaller. The CV of segmental strain analysis showed significant improvement after training, regardless of experience.\nCONCLUSIONS: The favorable interobserver agreement of GLS makes it more attractive than ejection fraction for follow-up of left ventricular function by multiple observers. Although experience is important, the precision of GLS was high for all groups. Training appears to be of most value for the assessment of segmental strain.","DOI":"10.1016/j.jcmg.2016.06.012","ISSN":"1876-7591","note":"PMID: 27743951","journalAbbreviation":"JACC Cardiovasc Imaging","language":"eng","author":[{"family":"Negishi","given":"Tomoko"},{"family":"Negishi","given":"Kazuaki"},{"family":"Thavendiranathan","given":"Paaladinesh"},{"family":"Cho","given":"Goo-Yeong"},{"family":"Popescu","given":"Bogdan A."},{"family":"Vinereanu","given":"Dragos"},{"family":"Kurosawa","given":"Koji"},{"family":"Penicka","given":"Martin"},{"family":"Marwick","given":"Thomas H."},{"literal":"SUCCOUR Investigators"}],"issued":{"date-parts":[["2017"]]}}},{"id":249,"uris":["http://zotero.org/users/4622338/items/JK659EZQ"],"uri":["http://zotero.org/users/4622338/items/JK659EZQ"],"itemData":{"id":249,"type":"article-journal","title":"Reproducibility of echocardiographic techniques for sequential assessment of left ventricular ejection fraction and volumes: application to patients undergoing cancer chemotherapy","container-title":"Journal of the American College of Cardiology","page":"77-84","volume":"61","issue":"1","source":"PubMed","abstract":"OBJECTIVES: The aim of this study was to identify the best echocardiographic method for sequential quantification of left ventricular (LV) ejection fraction (EF) and volumes in patients undergoing cancer chemotherapy.\nBACKGROUND: Decisions regarding cancer therapy are based on temporal changes of EF. However the method for EF measurement with the lowest temporal variability is unknown.\nMETHODS: We selected patients in whom stable function in the face of chemotherapy for breast cancer was defined by stability of global longitudinal strain (GLS) at up to 5 time points (baseline, 3, 6, 9, and 12 months). In this way, changes in EF were considered to reflect temporal variability of measurements rather than cardiotoxicity. A comprehensive echocardiogram consisting of 2-dimensional (2D) and 3-dimensional (3D) acquisitions with and without contrast administration was performed at each time point. Stable LV function was defined as normal GLS (≤-16.0%) at each examination. The EF and volumes were measured with 2D-biplane Simpson's method, 2D-triplane, and 3-dimensional echocardiography (3DE) by 2 investigators blinded to any clinical data. Inter-, intra-, and test-retest variability were assessed in a subgroup. Variability was assessed by analysis of variance and compared with Levene's or t test.\nRESULTS: Among 56 patients (all female, 54 ± 13 years of age), noncontrast 3D EF, end-diastolic volume, and end-systolic volume had significantly lower temporal variability than all other methods. Contrast only decreased the temporal variability of LV end-diastolic volume measurements by the 2D biplane method. Our data suggest that a temporal variability in EF of 0.06 might occur with noncontrast 3DE due to physiological differences and measurement variability, whereas this might be &gt;0.10 with 2D methods. Overall, 3DE also had the best intra- and inter-observer as well as test-retest variability.\nCONCLUSIONS: Noncontrast 3DE was the most reproducible technique for LVEF and LV volume measurements over 1 year of follow-up.","DOI":"10.1016/j.jacc.2012.09.035","ISSN":"1558-3597","note":"PMID: 23199515","title-short":"Reproducibility of echocardiographic techniques for sequential assessment of left ventricular ejection fraction and volumes","journalAbbreviation":"J. Am. Coll. Cardiol.","language":"eng","author":[{"family":"Thavendiranathan","given":"Paaladinesh"},{"family":"Grant","given":"Andrew D."},{"family":"Negishi","given":"Tomoko"},{"family":"Plana","given":"Juan Carlos"},{"family":"Popović","given":"Zoran B."},{"family":"Marwick","given":"Thomas H."}],"issued":{"date-parts":[["2013",1,8]]}}}],"schema":"https://github.com/citation-style-language/schema/raw/master/csl-citation.json"} </w:instrText>
      </w:r>
      <w:r w:rsidR="002A3135" w:rsidRPr="002D459F">
        <w:rPr>
          <w:rFonts w:ascii="Times New Roman" w:hAnsi="Times New Roman" w:cs="Times New Roman"/>
          <w:color w:val="333333"/>
          <w:shd w:val="clear" w:color="auto" w:fill="FFFFFF"/>
        </w:rPr>
        <w:fldChar w:fldCharType="separate"/>
      </w:r>
      <w:r w:rsidR="00C96F60" w:rsidRPr="002D459F">
        <w:rPr>
          <w:rFonts w:ascii="Times New Roman" w:hAnsi="Times New Roman" w:cs="Times New Roman"/>
          <w:color w:val="000000"/>
        </w:rPr>
        <w:t>(14,19,20)</w:t>
      </w:r>
      <w:r w:rsidR="002A3135" w:rsidRPr="002D459F">
        <w:rPr>
          <w:rFonts w:ascii="Times New Roman" w:hAnsi="Times New Roman" w:cs="Times New Roman"/>
          <w:color w:val="333333"/>
          <w:shd w:val="clear" w:color="auto" w:fill="FFFFFF"/>
        </w:rPr>
        <w:fldChar w:fldCharType="end"/>
      </w:r>
      <w:r w:rsidR="000436C0" w:rsidRPr="002D459F">
        <w:rPr>
          <w:rFonts w:ascii="Times New Roman" w:hAnsi="Times New Roman" w:cs="Times New Roman"/>
          <w:color w:val="333333"/>
          <w:shd w:val="clear" w:color="auto" w:fill="FFFFFF"/>
        </w:rPr>
        <w:t>, widely available and does not require any additional imaging beyond standard TTE images</w:t>
      </w:r>
      <w:r w:rsidRPr="002D459F">
        <w:rPr>
          <w:rFonts w:ascii="Times New Roman" w:hAnsi="Times New Roman" w:cs="Times New Roman"/>
          <w:color w:val="333333"/>
          <w:shd w:val="clear" w:color="auto" w:fill="FFFFFF"/>
        </w:rPr>
        <w:t xml:space="preserve">. Consistent studies have demonstrated a reduction in GLS despite a preserved </w:t>
      </w:r>
      <w:r w:rsidR="006D711D" w:rsidRPr="002D459F">
        <w:rPr>
          <w:rFonts w:ascii="Times New Roman" w:hAnsi="Times New Roman" w:cs="Times New Roman"/>
          <w:color w:val="333333"/>
          <w:shd w:val="clear" w:color="auto" w:fill="FFFFFF"/>
        </w:rPr>
        <w:t>EF</w:t>
      </w:r>
      <w:r w:rsidRPr="002D459F">
        <w:rPr>
          <w:rFonts w:ascii="Times New Roman" w:hAnsi="Times New Roman" w:cs="Times New Roman"/>
          <w:color w:val="333333"/>
          <w:shd w:val="clear" w:color="auto" w:fill="FFFFFF"/>
        </w:rPr>
        <w:t xml:space="preserve"> among patients at risk for cardiac injury and cardiac dysfunction</w:t>
      </w:r>
      <w:r w:rsidR="000E4E73" w:rsidRPr="002D459F">
        <w:rPr>
          <w:rFonts w:ascii="Times New Roman" w:hAnsi="Times New Roman" w:cs="Times New Roman"/>
          <w:color w:val="333333"/>
          <w:shd w:val="clear" w:color="auto" w:fill="FFFFFF"/>
        </w:rPr>
        <w:t xml:space="preserve"> </w:t>
      </w:r>
      <w:r w:rsidR="000E4E73" w:rsidRPr="002D459F">
        <w:rPr>
          <w:rFonts w:ascii="Times New Roman" w:hAnsi="Times New Roman" w:cs="Times New Roman"/>
          <w:color w:val="333333"/>
          <w:shd w:val="clear" w:color="auto" w:fill="FFFFFF"/>
        </w:rPr>
        <w:fldChar w:fldCharType="begin"/>
      </w:r>
      <w:r w:rsidR="00C96F60" w:rsidRPr="002D459F">
        <w:rPr>
          <w:rFonts w:ascii="Times New Roman" w:hAnsi="Times New Roman" w:cs="Times New Roman"/>
          <w:color w:val="333333"/>
          <w:shd w:val="clear" w:color="auto" w:fill="FFFFFF"/>
        </w:rPr>
        <w:instrText xml:space="preserve"> ADDIN ZOTERO_ITEM CSL_CITATION {"citationID":"KyRXHbAb","properties":{"formattedCitation":"(21)","plainCitation":"(21)","noteIndex":0},"citationItems":[{"id":1049,"uris":["http://zotero.org/users/4622338/items/BVMGITUS"],"uri":["http://zotero.org/users/4622338/items/BVMGITUS"],"itemData":{"id":1049,"type":"article-journal","title":"Geometry as a Confounder When Assessing Ventricular Systolic Function: Comparison Between Ejection Fraction and Strain","container-title":"Journal of the American College of Cardiology","page":"942-954","volume":"70","issue":"8","source":"PubMed","abstract":"BACKGROUND: Preserved left ventricular (LV) ejection fraction (EF) and reduced myocardial strain are reported in patients with hypertrophic cardiomyopathy, ischemic heart disease, diabetes mellitus, and more.\nOBJECTIVES: The authors performed a combined mathematical and echocardiographic study to understand the inconsistencies between EF and strains.\nMETHODS: An analytical equation showing the relationship between EF and the 4 parameters, global longitudinal strain (GLS), global circumferential strain (GCS), wall thickness, and short-axis diameter, was derived from an elliptical LV model. The equation was validated by measuring the 4 parameters by echocardiography in 100 subjects with EF ranging from 16% to 72% and comparing model-predicted EF with measured EF. The effect of the different parameters on EF was explored in the model and compared with findings in the patients.\nRESULTS: Calculated EF had very good agreement with measured EF (r = 0.95). The model showed that GCS contributes more than twice as much to EF than GLS. A significant reduction of GLS could be compensated by a small increase of GCS or wall thickness or reduced diameter. The model further demonstrated how EF can be maintained in ventricles with increased wall thickness or reduced diameter, despite reductions in both longitudinal and circumferential shortening. This was consistent with similar EF in 20 control subjects and 20 hypertrophic cardiomyopathy patients with increased wall thickness and reductions in both circumferential and longitudinal shortening (all p &lt; 0.01).\nCONCLUSIONS: Reduced deformation despite preserved EF can be explained through geometric factors. Due to geometric confounders, strain better reflects systolic function in patients with preserved EF.","DOI":"10.1016/j.jacc.2017.06.046","ISSN":"1558-3597","note":"PMID: 28818204","title-short":"Geometry as a Confounder When Assessing Ventricular Systolic Function","journalAbbreviation":"J. Am. Coll. Cardiol.","language":"eng","author":[{"family":"Stokke","given":"Thomas M."},{"family":"Hasselberg","given":"Nina E."},{"family":"Smedsrud","given":"Marit K."},{"family":"Sarvari","given":"Sebastian I."},{"family":"Haugaa","given":"Kristina H."},{"family":"Smiseth","given":"Otto A."},{"family":"Edvardsen","given":"Thor"},{"family":"Remme","given":"Espen W."}],"issued":{"date-parts":[["2017",8,22]]}}}],"schema":"https://github.com/citation-style-language/schema/raw/master/csl-citation.json"} </w:instrText>
      </w:r>
      <w:r w:rsidR="000E4E73" w:rsidRPr="002D459F">
        <w:rPr>
          <w:rFonts w:ascii="Times New Roman" w:hAnsi="Times New Roman" w:cs="Times New Roman"/>
          <w:color w:val="333333"/>
          <w:shd w:val="clear" w:color="auto" w:fill="FFFFFF"/>
        </w:rPr>
        <w:fldChar w:fldCharType="separate"/>
      </w:r>
      <w:r w:rsidR="00C96F60" w:rsidRPr="002D459F">
        <w:rPr>
          <w:rFonts w:ascii="Times New Roman" w:hAnsi="Times New Roman" w:cs="Times New Roman"/>
          <w:noProof/>
          <w:color w:val="333333"/>
          <w:shd w:val="clear" w:color="auto" w:fill="FFFFFF"/>
        </w:rPr>
        <w:t>(21)</w:t>
      </w:r>
      <w:r w:rsidR="000E4E73" w:rsidRPr="002D459F">
        <w:rPr>
          <w:rFonts w:ascii="Times New Roman" w:hAnsi="Times New Roman" w:cs="Times New Roman"/>
          <w:color w:val="333333"/>
          <w:shd w:val="clear" w:color="auto" w:fill="FFFFFF"/>
        </w:rPr>
        <w:fldChar w:fldCharType="end"/>
      </w:r>
      <w:r w:rsidRPr="002D459F">
        <w:rPr>
          <w:rFonts w:ascii="Times New Roman" w:hAnsi="Times New Roman" w:cs="Times New Roman"/>
          <w:color w:val="333333"/>
          <w:shd w:val="clear" w:color="auto" w:fill="FFFFFF"/>
        </w:rPr>
        <w:t xml:space="preserve">. This is </w:t>
      </w:r>
      <w:r w:rsidR="00D12188" w:rsidRPr="002D459F">
        <w:rPr>
          <w:rFonts w:ascii="Times New Roman" w:hAnsi="Times New Roman" w:cs="Times New Roman"/>
          <w:color w:val="333333"/>
          <w:shd w:val="clear" w:color="auto" w:fill="FFFFFF"/>
        </w:rPr>
        <w:t>particularly relevant</w:t>
      </w:r>
      <w:r w:rsidRPr="002D459F">
        <w:rPr>
          <w:rFonts w:ascii="Times New Roman" w:hAnsi="Times New Roman" w:cs="Times New Roman"/>
          <w:color w:val="333333"/>
          <w:shd w:val="clear" w:color="auto" w:fill="FFFFFF"/>
        </w:rPr>
        <w:t xml:space="preserve"> for monitoring of patients with cancer who are being treated with traditional cytotoxic chemotherapy drugs, where pathological cardiac injury occurs despite a preserved </w:t>
      </w:r>
      <w:r w:rsidR="006D711D" w:rsidRPr="002D459F">
        <w:rPr>
          <w:rFonts w:ascii="Times New Roman" w:hAnsi="Times New Roman" w:cs="Times New Roman"/>
          <w:color w:val="333333"/>
          <w:shd w:val="clear" w:color="auto" w:fill="FFFFFF"/>
        </w:rPr>
        <w:t>EF</w:t>
      </w:r>
      <w:r w:rsidR="002C23ED" w:rsidRPr="002D459F">
        <w:rPr>
          <w:rFonts w:ascii="Times New Roman" w:hAnsi="Times New Roman" w:cs="Times New Roman"/>
          <w:color w:val="333333"/>
          <w:shd w:val="clear" w:color="auto" w:fill="FFFFFF"/>
        </w:rPr>
        <w:t xml:space="preserve"> </w:t>
      </w:r>
      <w:r w:rsidR="002C23ED" w:rsidRPr="002D459F">
        <w:rPr>
          <w:rFonts w:ascii="Times New Roman" w:hAnsi="Times New Roman" w:cs="Times New Roman"/>
          <w:color w:val="333333"/>
          <w:shd w:val="clear" w:color="auto" w:fill="FFFFFF"/>
        </w:rPr>
        <w:fldChar w:fldCharType="begin"/>
      </w:r>
      <w:r w:rsidR="006433DB" w:rsidRPr="002D459F">
        <w:rPr>
          <w:rFonts w:ascii="Times New Roman" w:hAnsi="Times New Roman" w:cs="Times New Roman"/>
          <w:color w:val="333333"/>
          <w:shd w:val="clear" w:color="auto" w:fill="FFFFFF"/>
        </w:rPr>
        <w:instrText xml:space="preserve"> ADDIN ZOTERO_ITEM CSL_CITATION {"citationID":"lYxvgzPm","properties":{"formattedCitation":"(22\\uc0\\u8211{}24)","plainCitation":"(22–24)","noteIndex":0},"citationItems":[{"id":65,"uris":["http://zotero.org/users/4622338/items/R2ZSYPDX"],"uri":["http://zotero.org/users/4622338/items/R2ZSYPDX"],"itemData":{"id":65,"type":"article-journal","title":"A comparison of cardiac biopsy grades and ejection fraction estimations in patients receiving Adriamycin","container-title":"Journal of Clinical Oncology","page":"112-117","volume":"2","issue":"2","source":"PubMed","abstract":"One hundred fifty-eight patients receiving Adriamycin underwent 226 transjugular biopsy procedures. The specimens were evaluated by electron microscopy for evidence of drug-related cardiotoxicity. Ejection fraction determinations using echocardiographic or nuclear techniques at rest were available for 69% and 81% of the patients, respectively. Analysis of the data revealed a correlation between cumulative Adriamycin dose and biopsy grade (p less than 0.02). No similar relationship existed between cumulative Adriamycin dose and ejection fractions obtained at rest or between biopsy grades and ejection fractions. In patients who underwent serial endomyocardial biopsies and serial ejection fraction determinations, the correlation between changes in biopsy grade and ejection fraction was poor. A change in resting ejection fraction detected by either method did not reliably predict a change in biopsy grade. The poor correlation between ejection fractions and biopsy grades could be due in part to the sensitivity and specificity of the Adriamycin-related structural changes in contrast to the wider range of disease processes that can affect myocardial function, and to the fact that structural changes often precede the ejection fraction abnormalities. The greater sensitivity and specificity of the biopsy grade should prove useful in reducing the risks associated with evaluating new anthracyclines and potential myocardial protectors of Adriamycin toxicity.","DOI":"10.1200/JCO.1984.2.2.112","ISSN":"0732-183X","note":"PMID: 6699662","journalAbbreviation":"J. Clin. Oncol.","language":"eng","author":[{"family":"Ewer","given":"M. S."},{"family":"Ali","given":"M. K."},{"family":"Mackay","given":"B."},{"family":"Wallace","given":"S."},{"family":"Valdivieso","given":"M."},{"family":"Legha","given":"S. S."},{"family":"Benjamin","given":"R. S."},{"family":"Haynie","given":"T. P."}],"issued":{"date-parts":[["1984",2]]}}},{"id":1056,"uris":["http://zotero.org/users/4622338/items/VQW2EWCT"],"uri":["http://zotero.org/users/4622338/items/VQW2EWCT"],"itemData":{"id":1056,"type":"article-journal","title":"Left ventricular ejection fraction and cardiotoxicity: is our ear really to the ground?","container-title":"Journal of Clinical Oncology","page":"1201-1203","volume":"26","issue":"8","source":"PubMed","DOI":"10.1200/JCO.2007.14.8742","ISSN":"1527-7755","note":"PMID: 18227525","title-short":"Left ventricular ejection fraction and cardiotoxicity","journalAbbreviation":"J. Clin. Oncol.","language":"eng","author":[{"family":"Ewer","given":"Michael S."},{"family":"Lenihan","given":"Daniel J."}],"issued":{"date-parts":[["2008",3,10]]}}},{"id":1060,"uris":["http://zotero.org/users/4622338/items/3EV9ER6A"],"uri":["http://zotero.org/users/4622338/items/3EV9ER6A"],"itemData":{"id":1060,"type":"article-journal","title":"Prognostic value of troponin I in cardiac risk stratification of cancer patients undergoing high-dose chemotherapy","container-title":"Circulation","page":"2749-2754","volume":"109","issue":"22","source":"PubMed","abstract":"BACKGROUND: In patients with aggressive malignancies who are undergoing high-dose chemotherapy, even minimal elevation of troponin I (TnI) is associated with late left ventricular dysfunction. The time course of the subclinical myocardial damage and its impact on the clinical outcome have never been investigated previously.\nMETHODS AND RESULTS: In 703 cancer patients, we measured TnI soon after chemotherapy (early TnI) and 1 month later (late TnI). Troponin was considered positive for values &gt; or =0.08 ng/mL. Clinical and left ventricular ejection fraction evaluation (echocardiography) were performed before chemotherapy, 1, 3, 6, and 12 months after the end of the treatment, and again every 6 months afterward. Three different TnI patterns were identified, and patients were grouped accordingly. In 495 patients, both early and late TnI values were &lt;0.08 ng/mL (TnI-/- group); in 145, there was only an early increase (TnI+/- group); and in 63 patients, both values increased (TnI+/+ group). In the TnI-/- group, no significant reduction in ejection fraction was observed during the follow-up, and there was a very low incidence of cardiac events (1%). In contrast, a greater incidence of cardiac events occurred in TnI-positive patients, particularly in the TnI(+/+) group (84% versus 37% in the TnI+/- group; P&lt;0.001).\nCONCLUSIONS: TnI release pattern after high-dose chemotherapy identifies patients at different risks of cardiac events in the 3 years thereafter. This stratification allows us to differentiate the monitoring program and to plan, in selected patients, preventive strategies aimed at improving clinical outcome.","DOI":"10.1161/01.CIR.0000130926.51766.CC","ISSN":"1524-4539","note":"PMID: 15148277","journalAbbreviation":"Circulation","language":"eng","author":[{"family":"Cardinale","given":"Daniela"},{"family":"Sandri","given":"Maria T."},{"family":"Colombo","given":"Alessandro"},{"family":"Colombo","given":"Nicola"},{"family":"Boeri","given":"Marina"},{"family":"Lamantia","given":"Giuseppina"},{"family":"Civelli","given":"Maurizio"},{"family":"Peccatori","given":"Fedro"},{"family":"Martinelli","given":"Giovanni"},{"family":"Fiorentini","given":"Cesare"},{"family":"Cipolla","given":"Carlo M."}],"issued":{"date-parts":[["2004",6,8]]}}}],"schema":"https://github.com/citation-style-language/schema/raw/master/csl-citation.json"} </w:instrText>
      </w:r>
      <w:r w:rsidR="002C23ED" w:rsidRPr="002D459F">
        <w:rPr>
          <w:rFonts w:ascii="Times New Roman" w:hAnsi="Times New Roman" w:cs="Times New Roman"/>
          <w:color w:val="333333"/>
          <w:shd w:val="clear" w:color="auto" w:fill="FFFFFF"/>
        </w:rPr>
        <w:fldChar w:fldCharType="separate"/>
      </w:r>
      <w:r w:rsidR="00C96F60" w:rsidRPr="002D459F">
        <w:rPr>
          <w:rFonts w:ascii="Times New Roman" w:hAnsi="Times New Roman" w:cs="Times New Roman"/>
          <w:color w:val="000000"/>
        </w:rPr>
        <w:t>(22–24)</w:t>
      </w:r>
      <w:r w:rsidR="002C23ED" w:rsidRPr="002D459F">
        <w:rPr>
          <w:rFonts w:ascii="Times New Roman" w:hAnsi="Times New Roman" w:cs="Times New Roman"/>
          <w:color w:val="333333"/>
          <w:shd w:val="clear" w:color="auto" w:fill="FFFFFF"/>
        </w:rPr>
        <w:fldChar w:fldCharType="end"/>
      </w:r>
      <w:r w:rsidRPr="002D459F">
        <w:rPr>
          <w:rFonts w:ascii="Times New Roman" w:hAnsi="Times New Roman" w:cs="Times New Roman"/>
          <w:color w:val="333333"/>
          <w:shd w:val="clear" w:color="auto" w:fill="FFFFFF"/>
        </w:rPr>
        <w:t xml:space="preserve">. </w:t>
      </w:r>
      <w:r w:rsidR="00D12188" w:rsidRPr="002D459F">
        <w:rPr>
          <w:rFonts w:ascii="Times New Roman" w:hAnsi="Times New Roman" w:cs="Times New Roman"/>
          <w:color w:val="333333"/>
          <w:shd w:val="clear" w:color="auto" w:fill="FFFFFF"/>
        </w:rPr>
        <w:t xml:space="preserve">As a result, </w:t>
      </w:r>
      <w:r w:rsidR="000436C0" w:rsidRPr="002D459F">
        <w:rPr>
          <w:rFonts w:ascii="Times New Roman" w:hAnsi="Times New Roman" w:cs="Times New Roman"/>
          <w:color w:val="333333"/>
          <w:shd w:val="clear" w:color="auto" w:fill="FFFFFF"/>
        </w:rPr>
        <w:t xml:space="preserve">GLS has been proposed for monitoring of cardiotoxicity related </w:t>
      </w:r>
      <w:r w:rsidR="002C43C4" w:rsidRPr="002D459F">
        <w:rPr>
          <w:rFonts w:ascii="Times New Roman" w:hAnsi="Times New Roman" w:cs="Times New Roman"/>
          <w:color w:val="333333"/>
          <w:shd w:val="clear" w:color="auto" w:fill="FFFFFF"/>
        </w:rPr>
        <w:t xml:space="preserve">to traditional </w:t>
      </w:r>
      <w:r w:rsidRPr="002D459F">
        <w:rPr>
          <w:rFonts w:ascii="Times New Roman" w:hAnsi="Times New Roman" w:cs="Times New Roman"/>
          <w:color w:val="333333"/>
          <w:shd w:val="clear" w:color="auto" w:fill="FFFFFF"/>
        </w:rPr>
        <w:t xml:space="preserve">cytotoxic </w:t>
      </w:r>
      <w:r w:rsidR="002C43C4" w:rsidRPr="002D459F">
        <w:rPr>
          <w:rFonts w:ascii="Times New Roman" w:hAnsi="Times New Roman" w:cs="Times New Roman"/>
          <w:color w:val="333333"/>
          <w:shd w:val="clear" w:color="auto" w:fill="FFFFFF"/>
        </w:rPr>
        <w:t>chemotherapies</w:t>
      </w:r>
      <w:r w:rsidR="009041BA" w:rsidRPr="002D459F">
        <w:rPr>
          <w:rFonts w:ascii="Times New Roman" w:hAnsi="Times New Roman" w:cs="Times New Roman"/>
          <w:color w:val="333333"/>
          <w:shd w:val="clear" w:color="auto" w:fill="FFFFFF"/>
        </w:rPr>
        <w:t xml:space="preserve"> </w:t>
      </w:r>
      <w:r w:rsidR="0090682A" w:rsidRPr="002D459F">
        <w:rPr>
          <w:rFonts w:ascii="Times New Roman" w:hAnsi="Times New Roman" w:cs="Times New Roman"/>
          <w:color w:val="333333"/>
          <w:shd w:val="clear" w:color="auto" w:fill="FFFFFF"/>
        </w:rPr>
        <w:fldChar w:fldCharType="begin"/>
      </w:r>
      <w:r w:rsidR="00134B16" w:rsidRPr="002D459F">
        <w:rPr>
          <w:rFonts w:ascii="Times New Roman" w:hAnsi="Times New Roman" w:cs="Times New Roman"/>
          <w:color w:val="333333"/>
          <w:shd w:val="clear" w:color="auto" w:fill="FFFFFF"/>
        </w:rPr>
        <w:instrText xml:space="preserve"> ADDIN ZOTERO_ITEM CSL_CITATION {"citationID":"ovdbl01R","properties":{"formattedCitation":"(10,25)","plainCitation":"(10,25)","noteIndex":0},"citationItems":[{"id":1021,"uris":["http://zotero.org/users/4622338/items/VW8MFQYZ"],"uri":["http://zotero.org/users/4622338/items/VW8MFQYZ"],"itemData":{"id":1021,"type":"article-journal","title":"Definitions for a common standard for 2D speckle tracking echocardiography: consensus document of the EACVI/ASE/Industry Task Force to standardize deformation imaging","container-title":"Journal of the American Society of Echocardiography","page":"183-193","volume":"28","issue":"2","source":"PubMed","abstract":"Recognizing the critical need for standardization in strain imaging, in 2010, the European Association of Echocardiography (now the European Association of Cardiovascular Imaging, EACVI) and the American Society of Echocardiography (ASE) invited technical representatives from all interested vendors to participate in a concerted effort to reduce intervendor variability of strain measurement. As an initial product of the work of the EACVI/ASE/Industry initiative to standardize deformation imaging, we prepared this technical document which is intended to provide definitions, names, abbreviations, formulas, and procedures for calculation of physical quantities derived from speckle tracking echocardiography and thus create a common standard.","DOI":"10.1016/j.echo.2014.11.003","ISSN":"1097-6795","note":"PMID: 25623220","title-short":"Definitions for a common standard for 2D speckle tracking echocardiography","journalAbbreviation":"J Am Soc Echocardiogr","language":"eng","author":[{"family":"Voigt","given":"Jens-Uwe"},{"family":"Pedrizzetti","given":"Gianni"},{"family":"Lysyansky","given":"Peter"},{"family":"Marwick","given":"Tom H."},{"family":"Houle","given":"Hélène"},{"family":"Baumann","given":"Rolf"},{"family":"Pedri","given":"Stefano"},{"family":"Ito","given":"Yasuhiro"},{"family":"Abe","given":"Yasuhiko"},{"family":"Metz","given":"Stephen"},{"family":"Song","given":"Joo Hyun"},{"family":"Hamilton","given":"Jamie"},{"family":"Sengupta","given":"Partho P."},{"family":"Kolias","given":"Theodore J."},{"family":"Hooge","given":"Jan","non-dropping-particle":"d'"},{"family":"Aurigemma","given":"Gerard P."},{"family":"Thomas","given":"James D."},{"family":"Badano","given":"Luigi Paolo"}],"issued":{"date-parts":[["2015",2]]}}},{"id":208,"uris":["http://zotero.org/users/4622338/items/7S64EQFJ"],"uri":["http://zotero.org/users/4622338/items/7S64EQFJ"],"itemData":{"id":208,"type":"article-journal","title":"Expert consensus for multimodality imaging evaluation of adult patients during and after cancer therapy: a report from the American Society of Echocardiography and the European Association of Cardiovascular Imaging","container-title":"Journal of the American Society of Echocardiography","page":"911-939","volume":"27","issue":"9","source":"UpToDate References","DOI":"10.1016/j.echo.2014.07.012","ISSN":"1097-6795","note":"PMID: 25172399","title-short":"Expert consensus for multimodality imaging evaluation of adult patients during and after cancer therapy","journalAbbreviation":"J Am Soc Echocardiogr","language":"eng","author":[{"family":"Plana","given":"Juan Carlos"},{"family":"Galderisi","given":"Maurizio"},{"family":"Barac","given":"Ana"},{"family":"Ewer","given":"Michael S."},{"family":"Ky","given":"Bonnie"},{"family":"Scherrer-Crosbie","given":"Marielle"},{"family":"Ganame","given":"Javier"},{"family":"Sebag","given":"Igal A."},{"family":"Agler","given":"Deborah A."},{"family":"Badano","given":"Luigi P."},{"family":"Banchs","given":"Jose"},{"family":"Cardinale","given":"Daniela"},{"family":"Carver","given":"Joseph"},{"family":"Cerqueira","given":"Manuel"},{"family":"DeCara","given":"Jeanne M."},{"family":"Edvardsen","given":"Thor"},{"family":"Flamm","given":"Scott D."},{"family":"Force","given":"Thomas"},{"family":"Griffin","given":"Brian P."},{"family":"Jerusalem","given":"Guy"},{"family":"Liu","given":"Jennifer E."},{"family":"Magalhães","given":"Andreia"},{"family":"Marwick","given":"Thomas"},{"family":"Sanchez","given":"Liza Y."},{"family":"Sicari","given":"Rosa"},{"family":"Villarraga","given":"Hector R."},{"family":"Lancellotti","given":"Patrizio"}],"issued":{"date-parts":[["2014",9]]}}}],"schema":"https://github.com/citation-style-language/schema/raw/master/csl-citation.json"} </w:instrText>
      </w:r>
      <w:r w:rsidR="0090682A" w:rsidRPr="002D459F">
        <w:rPr>
          <w:rFonts w:ascii="Times New Roman" w:hAnsi="Times New Roman" w:cs="Times New Roman"/>
          <w:color w:val="333333"/>
          <w:shd w:val="clear" w:color="auto" w:fill="FFFFFF"/>
        </w:rPr>
        <w:fldChar w:fldCharType="separate"/>
      </w:r>
      <w:r w:rsidR="00C96F60" w:rsidRPr="002D459F">
        <w:rPr>
          <w:rFonts w:ascii="Times New Roman" w:hAnsi="Times New Roman" w:cs="Times New Roman"/>
          <w:noProof/>
          <w:color w:val="333333"/>
          <w:shd w:val="clear" w:color="auto" w:fill="FFFFFF"/>
        </w:rPr>
        <w:t>(10,25)</w:t>
      </w:r>
      <w:r w:rsidR="0090682A" w:rsidRPr="002D459F">
        <w:rPr>
          <w:rFonts w:ascii="Times New Roman" w:hAnsi="Times New Roman" w:cs="Times New Roman"/>
          <w:color w:val="333333"/>
          <w:shd w:val="clear" w:color="auto" w:fill="FFFFFF"/>
        </w:rPr>
        <w:fldChar w:fldCharType="end"/>
      </w:r>
      <w:r w:rsidR="002C43C4" w:rsidRPr="002D459F">
        <w:rPr>
          <w:rFonts w:ascii="Times New Roman" w:hAnsi="Times New Roman" w:cs="Times New Roman"/>
          <w:color w:val="333333"/>
          <w:shd w:val="clear" w:color="auto" w:fill="FFFFFF"/>
        </w:rPr>
        <w:t xml:space="preserve">. </w:t>
      </w:r>
      <w:r w:rsidR="007427FF" w:rsidRPr="002D459F">
        <w:rPr>
          <w:rFonts w:ascii="Times New Roman" w:hAnsi="Times New Roman" w:cs="Times New Roman"/>
          <w:color w:val="333333"/>
          <w:shd w:val="clear" w:color="auto" w:fill="FFFFFF"/>
        </w:rPr>
        <w:t xml:space="preserve">There are no prior data on the measurement of GLS among patients with ICI myocarditis. </w:t>
      </w:r>
      <w:r w:rsidR="0039043A" w:rsidRPr="002D459F">
        <w:rPr>
          <w:rFonts w:ascii="Times New Roman" w:hAnsi="Times New Roman" w:cs="Times New Roman"/>
          <w:color w:val="333333"/>
          <w:shd w:val="clear" w:color="auto" w:fill="FFFFFF"/>
        </w:rPr>
        <w:t>I</w:t>
      </w:r>
      <w:r w:rsidR="007427FF" w:rsidRPr="002D459F">
        <w:rPr>
          <w:rFonts w:ascii="Times New Roman" w:hAnsi="Times New Roman" w:cs="Times New Roman"/>
        </w:rPr>
        <w:t>n the general population, a reduction in GLS has been noted among patients with suspected myocarditis, even those with a preserved EF</w:t>
      </w:r>
      <w:r w:rsidR="00A07A4E" w:rsidRPr="002D459F">
        <w:rPr>
          <w:rFonts w:ascii="Times New Roman" w:hAnsi="Times New Roman" w:cs="Times New Roman"/>
        </w:rPr>
        <w:t>,</w:t>
      </w:r>
      <w:r w:rsidR="007427FF" w:rsidRPr="002D459F">
        <w:rPr>
          <w:rFonts w:ascii="Times New Roman" w:hAnsi="Times New Roman" w:cs="Times New Roman"/>
        </w:rPr>
        <w:t xml:space="preserve"> with a similar diagnostic performance as compared to other conventional assessments such as the Lake-Louise criteria on magnetic resonance </w:t>
      </w:r>
      <w:r w:rsidR="007427FF"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lndet4TC","properties":{"formattedCitation":"(26)","plainCitation":"(26)","noteIndex":0},"citationItems":[{"id":871,"uris":["http://zotero.org/users/4622338/items/HQFT8X3F"],"uri":["http://zotero.org/users/4622338/items/HQFT8X3F"],"itemData":{"id":871,"type":"article-journal","title":"Multimodality imaging approach in the diagnosis of chronic myocarditis with preserved left ventricular ejection fraction (MCpEF): The role of 2D speckle-tracking echocardiography","container-title":"International Journal of Cardiology","page":"374-378","volume":"243","source":"PubMed","abstract":"BACKGROUND: Up to one third of patients with chronic myocarditis (MC) have preserved left ventricular (LV) ejection fraction (MCpEF). The purpose of this study was to evaluate the role of adding 2D speckle-tracking echocardiography (STE) to cardiac magnetic resonance imaging (cMRI) in the diagnosis of patients with MCpEF.\nMETHODS AND RESULTS: We analyzed 67 patients with suspected MCpEF who underwent endomyocardial biopsy (EMB). Thirty-two patients with confirmed chronic myocardial inflammation by EMB served as study group (MCpEF) and the remaining patients (n=35) served as control group. In all patients, 2D STE and cMRI were performed within 48h before EMB. Patients with MCpEF had significantly lower LV global longitudinal systolic strain (GLS) than controls (GLS: -17.01±2.42% vs. -19.39±3.81%, p&lt;0.001; respectively). In line, an abnormal GLS had adequate diagnostic performance to detect MCpEF (sensitivity, specificity, and accuracy of 82%, 70%, and 76%, respectively), which was superior to cMRI based on the Lake-Louise criteria (sensitivity, specificity, and accuracy 54%, 71%, and 67%, respectively). In addition, adding GLS to the Lake-Louise criteria improved significantly the diagnostic performance of cMRI to detect MCpEF (sensitivity, specificity, and accuracy 96%, 55%, and 75%, respectively).\nCONCLUSION: The findings of this study suggest that GLS using 2D STE could play an important role in the diagnostic evaluation of patients with suspected chronic myocarditis with preserved LV ejection fraction (MCpEF).","DOI":"10.1016/j.ijcard.2017.05.038","ISSN":"1874-1754","note":"PMID: 28536004","title-short":"Multimodality imaging approach in the diagnosis of chronic myocarditis with preserved left ventricular ejection fraction (MCpEF)","journalAbbreviation":"Int. J. Cardiol.","language":"eng","author":[{"family":"Kasner","given":"Mario"},{"family":"Aleksandrov","given":"Aleksandar"},{"family":"Escher","given":"Felicitas"},{"family":"Al-Saadi","given":"Nidal"},{"family":"Makowski","given":"Markus"},{"family":"Spillmann","given":"Frank"},{"family":"Genger","given":"Martin"},{"family":"Schultheiss","given":"Heinz-Peter"},{"family":"Kühl","given":"Uwe"},{"family":"Pieske","given":"Burkert"},{"family":"Morris","given":"Daniel A."},{"family":"Noutsias","given":"Michel"},{"family":"Tschöpe","given":"Carsten"}],"issued":{"date-parts":[["2017",9,15]]}}}],"schema":"https://github.com/citation-style-language/schema/raw/master/csl-citation.json"} </w:instrText>
      </w:r>
      <w:r w:rsidR="007427FF" w:rsidRPr="002D459F">
        <w:rPr>
          <w:rFonts w:ascii="Times New Roman" w:hAnsi="Times New Roman" w:cs="Times New Roman"/>
        </w:rPr>
        <w:fldChar w:fldCharType="separate"/>
      </w:r>
      <w:r w:rsidR="00C96F60" w:rsidRPr="002D459F">
        <w:rPr>
          <w:rFonts w:ascii="Times New Roman" w:hAnsi="Times New Roman" w:cs="Times New Roman"/>
          <w:noProof/>
        </w:rPr>
        <w:t>(26)</w:t>
      </w:r>
      <w:r w:rsidR="007427FF" w:rsidRPr="002D459F">
        <w:rPr>
          <w:rFonts w:ascii="Times New Roman" w:hAnsi="Times New Roman" w:cs="Times New Roman"/>
        </w:rPr>
        <w:fldChar w:fldCharType="end"/>
      </w:r>
      <w:r w:rsidR="007427FF" w:rsidRPr="002D459F">
        <w:rPr>
          <w:rFonts w:ascii="Times New Roman" w:hAnsi="Times New Roman" w:cs="Times New Roman"/>
        </w:rPr>
        <w:t>.</w:t>
      </w:r>
      <w:r w:rsidR="00A07A4E" w:rsidRPr="002D459F">
        <w:rPr>
          <w:rFonts w:ascii="Times New Roman" w:hAnsi="Times New Roman" w:cs="Times New Roman"/>
        </w:rPr>
        <w:t xml:space="preserve"> </w:t>
      </w:r>
      <w:r w:rsidR="0039043A" w:rsidRPr="002D459F">
        <w:rPr>
          <w:rFonts w:ascii="Times New Roman" w:hAnsi="Times New Roman" w:cs="Times New Roman"/>
        </w:rPr>
        <w:t xml:space="preserve">The study finding of a decrease in GLS with </w:t>
      </w:r>
      <w:r w:rsidR="00A07A4E" w:rsidRPr="002D459F">
        <w:rPr>
          <w:rFonts w:ascii="Times New Roman" w:hAnsi="Times New Roman" w:cs="Times New Roman"/>
          <w:color w:val="333333"/>
          <w:shd w:val="clear" w:color="auto" w:fill="FFFFFF"/>
        </w:rPr>
        <w:t>myocarditis</w:t>
      </w:r>
      <w:r w:rsidR="0039043A" w:rsidRPr="002D459F">
        <w:rPr>
          <w:rFonts w:ascii="Times New Roman" w:hAnsi="Times New Roman" w:cs="Times New Roman"/>
          <w:color w:val="333333"/>
          <w:shd w:val="clear" w:color="auto" w:fill="FFFFFF"/>
        </w:rPr>
        <w:t xml:space="preserve"> </w:t>
      </w:r>
      <w:r w:rsidR="00A07A4E" w:rsidRPr="002D459F">
        <w:rPr>
          <w:rFonts w:ascii="Times New Roman" w:hAnsi="Times New Roman" w:cs="Times New Roman"/>
          <w:color w:val="333333"/>
          <w:shd w:val="clear" w:color="auto" w:fill="FFFFFF"/>
        </w:rPr>
        <w:t xml:space="preserve">may be of additional importance among cancer patients where due to overlapping symptoms of chest pain and shortness of breath the diagnosis may be challenging. The finding is </w:t>
      </w:r>
      <w:r w:rsidR="00C379BE" w:rsidRPr="002D459F">
        <w:rPr>
          <w:rFonts w:ascii="Times New Roman" w:hAnsi="Times New Roman" w:cs="Times New Roman"/>
          <w:color w:val="333333"/>
          <w:shd w:val="clear" w:color="auto" w:fill="FFFFFF"/>
        </w:rPr>
        <w:t xml:space="preserve">also </w:t>
      </w:r>
      <w:r w:rsidR="00A07A4E" w:rsidRPr="002D459F">
        <w:rPr>
          <w:rFonts w:ascii="Times New Roman" w:hAnsi="Times New Roman" w:cs="Times New Roman"/>
          <w:color w:val="333333"/>
          <w:shd w:val="clear" w:color="auto" w:fill="FFFFFF"/>
        </w:rPr>
        <w:t xml:space="preserve">of key additional importance to the majority of patients who present with a preserved EF, </w:t>
      </w:r>
      <w:r w:rsidR="00A07A4E" w:rsidRPr="002D459F">
        <w:rPr>
          <w:rFonts w:ascii="Times New Roman" w:hAnsi="Times New Roman" w:cs="Times New Roman"/>
        </w:rPr>
        <w:t xml:space="preserve">when, with aggressive immunosuppression, there is still potential for reversibility in myocyte damage </w:t>
      </w:r>
      <w:r w:rsidR="00A07A4E" w:rsidRPr="002D459F">
        <w:rPr>
          <w:rFonts w:ascii="Times New Roman" w:hAnsi="Times New Roman" w:cs="Times New Roman"/>
        </w:rPr>
        <w:fldChar w:fldCharType="begin"/>
      </w:r>
      <w:r w:rsidR="006433DB" w:rsidRPr="002D459F">
        <w:rPr>
          <w:rFonts w:ascii="Times New Roman" w:hAnsi="Times New Roman" w:cs="Times New Roman"/>
        </w:rPr>
        <w:instrText xml:space="preserve"> ADDIN ZOTERO_ITEM CSL_CITATION {"citationID":"PUCB96sN","properties":{"formattedCitation":"(27,28)","plainCitation":"(27,28)","noteIndex":0},"citationItems":[{"id":7,"uris":["http://zotero.org/users/4622338/items/2SULV939"],"uri":["http://zotero.org/users/4622338/items/2SULV939"],"itemData":{"id":7,"type":"article-journal","title":"Anthracycline-induced cardiomyopathy: clinical relevance and response to pharmacologic therapy","container-title":"Journal of the American College of Cardiology","page":"213-220","volume":"55","issue":"3","source":"PubMed","abstract":"OBJECTIVES: The purpose of this study was to evaluate the clinical relevance of anthracycline-induced cardiomyopathy (AC-CMP) and its response to heart failure (HF) therapy.\nBACKGROUND: The natural history of AC-CMP, as well as its response to modern HF therapy, remains poorly defined. Hence, evidence-based recommendations for management of this form of cardiomyopathy are still lacking.\nMETHODS: We included in the study 201 consecutive patients with a left ventricular ejection fraction (LVEF) &lt;or=45% due to AC-CMP. Enalapril and, when possible, carvedilol were promptly initiated after detection of LVEF impairment. LVEF was measured at enrollment, every month for the first 3 months, every 3 months during the first 2 following years, and every 6 months afterward (mean follow-up 36 +/- 27 months). Patients were considered responders, partial responders, or nonresponders according to complete, partial, or no recovery in LVEF, respectively. Major adverse cardiac events during follow-up were also evaluated.\nRESULTS: Eighty-five patients (42%) were responders; 26 patients (13%) were partial responders, and 90 patients (45%) were nonresponders. The percentage of responders progressively decreased as the time from the end of chemotherapy to the start of HF treatment increased; no complete recovery of LVEF was observed after 6 months. Responders showed a lower rate of cumulative cardiac events than partial and nonresponders (5%, 31%, and 29%, respectively; p &lt; 0.001).\nCONCLUSIONS: In cancer patients developing AC-CMP, LVEF recovery and cardiac event reduction may be achieved when cardiac dysfunction is detected early and a modern HF treatment is promptly initiated.","DOI":"10.1016/j.jacc.2009.03.095","ISSN":"1558-3597","note":"PMID: 20117401","title-short":"Anthracycline-induced cardiomyopathy","journalAbbreviation":"J. Am. Coll. Cardiol.","language":"eng","author":[{"family":"Cardinale","given":"Daniela"},{"family":"Colombo","given":"Alessandro"},{"family":"Lamantia","given":"Giuseppina"},{"family":"Colombo","given":"Nicola"},{"family":"Civelli","given":"Maurizio"},{"family":"De Giacomi","given":"Gaia"},{"family":"Rubino","given":"Mara"},{"family":"Veglia","given":"Fabrizio"},{"family":"Fiorentini","given":"Cesare"},{"family":"Cipolla","given":"Carlo M."}],"issued":{"date-parts":[["2010",1,19]]}}},{"id":183,"uris":["http://zotero.org/users/4622338/items/JSUTYZIP"],"uri":["http://zotero.org/users/4622338/items/JSUTYZIP"],"itemData":{"id":183,"type":"article-journal","title":"Delayed contrast enhancement cardiac magnetic resonance imaging in trastuzumab induced cardiomyopathy","container-title":"Journal of Cardiovascular Magnetic Resonance","page":"5","volume":"10","source":"PubMed","abstract":"BACKGROUND: Trastuzumab (Herceptin), an antagonist to the human epidermal growth factor 2 (HER2) receptor significantly decreases the rates of breast cancer recurrence and mortality by 50%. Despite therapeutic benefits, the risk of cardiotoxicity with trastuzumab ranges from 10-15% when administered sequentially following anthraycline chemotherapy. Little is known about the utility of cardiac magnetic resonance (CMR) in the assessment of trastuzumab mediated cardiomyopathy.\nMETHODS AND RESULTS: Between 2005-2006 inclusive, 160 breast cancer patients were identified at a single tertiary care oncology centre. Of the total population, 10 patients (mean age 40 +/- 8 years) were identified with trastuzumab induced cardiomyopathy, based on a LVEF less than 40% on serial MUGA or echocardiography. CMR was performed in all patients to determine LV volumes, systolic function and evidence of late gadolinium enhancement (LGE). At the time of diagnosis of trastuzumab induced cardiomyopathy, the mean LVEF was 29 +/- 4%. Subepicardial linear LGE was present in the lateral portion of the left ventricles in all 10 patients.\nCONCLUSION: LGE-CMR is a novel way of detecting early changes in the myocardium due to trastuzumab induced cardiotoxicity.","DOI":"10.1186/1532-429X-10-5","ISSN":"1532-429X","note":"PMID: 18272009\nPMCID: PMC2244612","journalAbbreviation":"J Cardiovasc Magn Reson","language":"eng","author":[{"family":"Fallah-Rad","given":"Nazanin"},{"family":"Lytwyn","given":"Matthew"},{"family":"Fang","given":"Tielan"},{"family":"Kirkpatrick","given":"Iain"},{"family":"Jassal","given":"Davinder S."}],"issued":{"date-parts":[["2008",1,22]]}}}],"schema":"https://github.com/citation-style-language/schema/raw/master/csl-citation.json"} </w:instrText>
      </w:r>
      <w:r w:rsidR="00A07A4E" w:rsidRPr="002D459F">
        <w:rPr>
          <w:rFonts w:ascii="Times New Roman" w:hAnsi="Times New Roman" w:cs="Times New Roman"/>
        </w:rPr>
        <w:fldChar w:fldCharType="separate"/>
      </w:r>
      <w:r w:rsidR="00C96F60" w:rsidRPr="002D459F">
        <w:rPr>
          <w:rFonts w:ascii="Times New Roman" w:hAnsi="Times New Roman" w:cs="Times New Roman"/>
        </w:rPr>
        <w:t>(27,28)</w:t>
      </w:r>
      <w:r w:rsidR="00A07A4E" w:rsidRPr="002D459F">
        <w:rPr>
          <w:rFonts w:ascii="Times New Roman" w:hAnsi="Times New Roman" w:cs="Times New Roman"/>
        </w:rPr>
        <w:fldChar w:fldCharType="end"/>
      </w:r>
      <w:r w:rsidR="00A07A4E" w:rsidRPr="002D459F">
        <w:rPr>
          <w:rFonts w:ascii="Times New Roman" w:hAnsi="Times New Roman" w:cs="Times New Roman"/>
        </w:rPr>
        <w:t xml:space="preserve">. </w:t>
      </w:r>
    </w:p>
    <w:p w14:paraId="49DE3801" w14:textId="17670AB6" w:rsidR="00C379BE" w:rsidRPr="002D459F" w:rsidRDefault="00D12188" w:rsidP="002D459F">
      <w:pPr>
        <w:spacing w:line="480" w:lineRule="auto"/>
        <w:ind w:firstLine="720"/>
        <w:rPr>
          <w:rFonts w:ascii="Times New Roman" w:hAnsi="Times New Roman" w:cs="Times New Roman"/>
        </w:rPr>
      </w:pPr>
      <w:r w:rsidRPr="002D459F">
        <w:rPr>
          <w:rFonts w:ascii="Times New Roman" w:hAnsi="Times New Roman" w:cs="Times New Roman"/>
          <w:color w:val="333333"/>
          <w:shd w:val="clear" w:color="auto" w:fill="FFFFFF"/>
        </w:rPr>
        <w:t xml:space="preserve">Traditionally, myocarditis unrelated to an ICI presenting with a preserved </w:t>
      </w:r>
      <w:r w:rsidR="006D711D" w:rsidRPr="002D459F">
        <w:rPr>
          <w:rFonts w:ascii="Times New Roman" w:hAnsi="Times New Roman" w:cs="Times New Roman"/>
          <w:color w:val="333333"/>
          <w:shd w:val="clear" w:color="auto" w:fill="FFFFFF"/>
        </w:rPr>
        <w:t xml:space="preserve">EF </w:t>
      </w:r>
      <w:r w:rsidRPr="002D459F">
        <w:rPr>
          <w:rFonts w:ascii="Times New Roman" w:hAnsi="Times New Roman" w:cs="Times New Roman"/>
          <w:color w:val="333333"/>
          <w:shd w:val="clear" w:color="auto" w:fill="FFFFFF"/>
        </w:rPr>
        <w:t>is a comparatively benign entity</w:t>
      </w:r>
      <w:r w:rsidR="007528BF" w:rsidRPr="002D459F">
        <w:rPr>
          <w:rFonts w:ascii="Times New Roman" w:hAnsi="Times New Roman" w:cs="Times New Roman"/>
          <w:color w:val="333333"/>
          <w:shd w:val="clear" w:color="auto" w:fill="FFFFFF"/>
        </w:rPr>
        <w:t xml:space="preserve"> </w:t>
      </w:r>
      <w:r w:rsidR="007528BF" w:rsidRPr="002D459F">
        <w:rPr>
          <w:rFonts w:ascii="Times New Roman" w:hAnsi="Times New Roman" w:cs="Times New Roman"/>
          <w:color w:val="333333"/>
          <w:shd w:val="clear" w:color="auto" w:fill="FFFFFF"/>
        </w:rPr>
        <w:fldChar w:fldCharType="begin"/>
      </w:r>
      <w:r w:rsidR="00C96F60" w:rsidRPr="002D459F">
        <w:rPr>
          <w:rFonts w:ascii="Times New Roman" w:hAnsi="Times New Roman" w:cs="Times New Roman"/>
          <w:color w:val="333333"/>
          <w:shd w:val="clear" w:color="auto" w:fill="FFFFFF"/>
        </w:rPr>
        <w:instrText xml:space="preserve"> ADDIN ZOTERO_ITEM CSL_CITATION {"citationID":"gC9V3tCJ","properties":{"formattedCitation":"(29)","plainCitation":"(29)","noteIndex":0},"citationItems":[{"id":1064,"uris":["http://zotero.org/users/4622338/items/B83FL4PM"],"uri":["http://zotero.org/users/4622338/items/B83FL4PM"],"itemData":{"id":1064,"type":"article-journal","title":"Clinical Presentation and Outcome in a Contemporary Cohort of Patients With Acute Myocarditis","container-title":"Circulation","page":"1088-1099","volume":"138","issue":"11","source":"PubMed","abstract":"BACKGROUND: There is controversy about the outcome of patients with acute myocarditis (AM), and data are lacking on how patients admitted with suspected AM are managed. We report characteristics, in-hospital management, and long-term outcome of patients with AM based on a retrospective multicenter registry from 19 Italian hospitals.\nMETHODS: A total of 684 patients with suspected AM and recent onset of symptoms (&lt;30 days) were screened between May 2001 and February 2017. Patients &gt;70 years of age and those &gt;50 years of age without coronary angiography were excluded. The final study population comprised 443 patients (median age, 34 years; 19.4% female) with AM diagnosed by either endomyocardial biopsy or increased troponin plus edema and late gadolinium enhancement at cardiac magnetic resonance.\nRESULTS: At presentation, 118 patients (26.6%) had left ventricular ejection fraction &lt;50%, sustained ventricular arrhythmias, or a low cardiac output syndrome, whereas 325 (73.4%) had no such complications. Endomyocardial biopsy was performed in 56 of 443 (12.6%), and a baseline cardiac magnetic resonance was performed in 415 of 443 (93.7%). Cardiac mortality plus heart transplantation rates at 1 and 5 years were 3.0% and 4.1%. Cardiac mortality plus heart transplantation rates were 11.3% and 14.7% in patients with complicated presentation and 0% in uncomplicated cases (log-rank P&lt;0.0001). Major AM-related cardiac events after the acute phase (postdischarge death and heart transplantation, sustained ventricular arrhythmias treated with electric shock or ablation, symptomatic heart failure needing device implantation) occurred in 2.8% at the 5-year follow-up, with a higher incidence in patients with complicated forms (10.8% versus 0% in uncomplicated AM; log-rank P&lt;0.0001). β-Adrenoceptor blockers were the most frequently used medications both in complicated (61.9%) and in uncomplicated forms (53.8%; P=0.18). After a median time of 196 days, 200 patients had follow-up cardiac magnetic resonance, and 8 of 55 (14.5%) with complications at presentation had left ventricular ejection fraction &lt;50% compared with 1 of 145 (0.7%) of those with uncomplicated presentation.\nCONCLUSIONS: In this contemporary study, overall serious adverse events after AM were lower than previously reported. However, patients with left ventricular ejection fraction &lt;50%, ventricular arrhythmias, or low cardiac output syndrome at presentation were at higher risk compared with uncomplicated cases that had a benign prognosis and low risk of subsequent left ventricular systolic dysfunction.","DOI":"10.1161/CIRCULATIONAHA.118.035319","ISSN":"1524-4539","note":"PMID: 29764898","journalAbbreviation":"Circulation","language":"eng","author":[{"family":"Ammirati","given":"Enrico"},{"family":"Cipriani","given":"Manlio"},{"family":"Moro","given":"Claudio"},{"family":"Raineri","given":"Claudia"},{"family":"Pini","given":"Daniela"},{"family":"Sormani","given":"Paola"},{"family":"Mantovani","given":"Riccardo"},{"family":"Varrenti","given":"Marisa"},{"family":"Pedrotti","given":"Patrizia"},{"family":"Conca","given":"Cristina"},{"family":"Mafrici","given":"Antonio"},{"family":"Grosu","given":"Aurelia"},{"family":"Briguglia","given":"Daniele"},{"family":"Guglielmetto","given":"Silvia"},{"family":"Perego","given":"Giovanni B."},{"family":"Colombo","given":"Stefania"},{"family":"Caico","given":"Salvatore I."},{"family":"Giannattasio","given":"Cristina"},{"family":"Maestroni","given":"Alberto"},{"family":"Carubelli","given":"Valentina"},{"family":"Metra","given":"Marco"},{"family":"Lombardi","given":"Carlo"},{"family":"Campodonico","given":"Jeness"},{"family":"Agostoni","given":"Piergiuseppe"},{"family":"Peretto","given":"Giovanni"},{"family":"Scelsi","given":"Laura"},{"family":"Turco","given":"Annalisa"},{"family":"Di Tano","given":"Giuseppe"},{"family":"Campana","given":"Carlo"},{"family":"Belloni","given":"Armando"},{"family":"Morandi","given":"Fabrizio"},{"family":"Mortara","given":"Andrea"},{"family":"Cirò","given":"Antonio"},{"family":"Senni","given":"Michele"},{"family":"Gavazzi","given":"Antonello"},{"family":"Frigerio","given":"Maria"},{"family":"Oliva","given":"Fabrizio"},{"family":"Camici","given":"Paolo G."},{"literal":"Registro Lombardo delle Miocarditi"}],"issued":{"date-parts":[["2018",9,11]]}}}],"schema":"https://github.com/citation-style-language/schema/raw/master/csl-citation.json"} </w:instrText>
      </w:r>
      <w:r w:rsidR="007528BF" w:rsidRPr="002D459F">
        <w:rPr>
          <w:rFonts w:ascii="Times New Roman" w:hAnsi="Times New Roman" w:cs="Times New Roman"/>
          <w:color w:val="333333"/>
          <w:shd w:val="clear" w:color="auto" w:fill="FFFFFF"/>
        </w:rPr>
        <w:fldChar w:fldCharType="separate"/>
      </w:r>
      <w:r w:rsidR="00C96F60" w:rsidRPr="002D459F">
        <w:rPr>
          <w:rFonts w:ascii="Times New Roman" w:hAnsi="Times New Roman" w:cs="Times New Roman"/>
          <w:noProof/>
          <w:color w:val="333333"/>
          <w:shd w:val="clear" w:color="auto" w:fill="FFFFFF"/>
        </w:rPr>
        <w:t>(29)</w:t>
      </w:r>
      <w:r w:rsidR="007528BF" w:rsidRPr="002D459F">
        <w:rPr>
          <w:rFonts w:ascii="Times New Roman" w:hAnsi="Times New Roman" w:cs="Times New Roman"/>
          <w:color w:val="333333"/>
          <w:shd w:val="clear" w:color="auto" w:fill="FFFFFF"/>
        </w:rPr>
        <w:fldChar w:fldCharType="end"/>
      </w:r>
      <w:r w:rsidRPr="002D459F">
        <w:rPr>
          <w:rFonts w:ascii="Times New Roman" w:hAnsi="Times New Roman" w:cs="Times New Roman"/>
          <w:color w:val="333333"/>
          <w:shd w:val="clear" w:color="auto" w:fill="FFFFFF"/>
        </w:rPr>
        <w:t xml:space="preserve">; in contrast, </w:t>
      </w:r>
      <w:r w:rsidR="008F64FA" w:rsidRPr="002D459F">
        <w:rPr>
          <w:rFonts w:ascii="Times New Roman" w:hAnsi="Times New Roman" w:cs="Times New Roman"/>
          <w:color w:val="333333"/>
          <w:shd w:val="clear" w:color="auto" w:fill="FFFFFF"/>
        </w:rPr>
        <w:t xml:space="preserve">data from this group and others have shown that </w:t>
      </w:r>
      <w:r w:rsidRPr="002D459F">
        <w:rPr>
          <w:rFonts w:ascii="Times New Roman" w:hAnsi="Times New Roman" w:cs="Times New Roman"/>
          <w:color w:val="333333"/>
          <w:shd w:val="clear" w:color="auto" w:fill="FFFFFF"/>
        </w:rPr>
        <w:t xml:space="preserve">myocarditis related to an ICI is not </w:t>
      </w:r>
      <w:r w:rsidR="00984932" w:rsidRPr="002D459F">
        <w:rPr>
          <w:rFonts w:ascii="Times New Roman" w:hAnsi="Times New Roman" w:cs="Times New Roman"/>
          <w:color w:val="333333"/>
          <w:shd w:val="clear" w:color="auto" w:fill="FFFFFF"/>
        </w:rPr>
        <w:fldChar w:fldCharType="begin"/>
      </w:r>
      <w:r w:rsidR="00C96F60" w:rsidRPr="002D459F">
        <w:rPr>
          <w:rFonts w:ascii="Times New Roman" w:hAnsi="Times New Roman" w:cs="Times New Roman"/>
          <w:color w:val="333333"/>
          <w:shd w:val="clear" w:color="auto" w:fill="FFFFFF"/>
        </w:rPr>
        <w:instrText xml:space="preserve"> ADDIN ZOTERO_ITEM CSL_CITATION {"citationID":"Uyv9rufV","properties":{"formattedCitation":"(2\\uc0\\u8211{}4,6)","plainCitation":"(2–4,6)","noteIndex":0},"citationItems":[{"id":799,"uris":["http://zotero.org/users/4622338/items/UUZ72MKK"],"uri":["http://zotero.org/users/4622338/items/UUZ72MKK"],"itemData":{"id":799,"type":"article-journal","title":"Fulminant Myocarditis with Combination Immune Checkpoint Blockade","container-title":"The New England Journal of Medicine","page":"1749-1755","volume":"375","issue":"18","source":"PubMed","abstract":"Immune checkpoint inhibitors have improved clinical outcomes associated with numerous cancers, but high-grade, immune-related adverse events can occur, particularly with combination immunotherapy. We report the cases of two patients with melanoma in whom fatal myocarditis developed after treatment with ipilimumab and nivolumab. In both patients, there was development of myositis with rhabdomyolysis, early progressive and refractory cardiac electrical instability, and myocarditis with a robust presence of T-cell and macrophage infiltrates. Selective clonal T-cell populations infiltrating the myocardium were identical to those present in tumors and skeletal muscle. Pharmacovigilance studies show that myocarditis occurred in 0.27% of patients treated with a combination of ipilimumab and nivolumab, which suggests that our patients were having a rare, potentially fatal, T-cell-driven drug reaction. (Funded by Vanderbilt-Ingram Cancer Center Ambassadors and others.).","DOI":"10.1056/NEJMoa1609214","ISSN":"1533-4406","note":"PMID: 27806233\nPMCID: PMC5247797","journalAbbreviation":"N. Engl. J. Med.","language":"eng","author":[{"family":"Johnson","given":"Douglas B."},{"family":"Balko","given":"Justin M."},{"family":"Compton","given":"Margaret L."},{"family":"Chalkias","given":"Spyridon"},{"family":"Gorham","given":"Joshua"},{"family":"Xu","given":"Yaomin"},{"family":"Hicks","given":"Mellissa"},{"family":"Puzanov","given":"Igor"},{"family":"Alexander","given":"Matthew R."},{"family":"Bloomer","given":"Tyler L."},{"family":"Becker","given":"Jason R."},{"family":"Slosky","given":"David A."},{"family":"Phillips","given":"Elizabeth J."},{"family":"Pilkinton","given":"Mark A."},{"family":"Craig-Owens","given":"Laura"},{"family":"Kola","given":"Nina"},{"family":"Plautz","given":"Gregory"},{"family":"Reshef","given":"Daniel S."},{"family":"Deutsch","given":"Jonathan S."},{"family":"Deering","given":"Raquel P."},{"family":"Olenchock","given":"Benjamin A."},{"family":"Lichtman","given":"Andrew H."},{"family":"Roden","given":"Dan M."},{"family":"Seidman","given":"Christine E."},{"family":"Koralnik","given":"Igor J."},{"family":"Seidman","given":"Jonathan G."},{"family":"Hoffman","given":"Robert D."},{"family":"Taube","given":"Janis M."},{"family":"Diaz","given":"Luis A."},{"family":"Anders","given":"Robert A."},{"family":"Sosman","given":"Jeffrey A."},{"family":"Moslehi","given":"Javid J."}],"issued":{"date-parts":[["2016",11,3]]}}},{"id":415,"uris":["http://zotero.org/users/4622338/items/YGUGY45V"],"uri":["http://zotero.org/users/4622338/items/YGUGY45V"],"itemData":{"id":415,"type":"article-journal","title":"Myocarditis in Patients Treated With Immune Checkpoint Inhibitors","container-title":"Journal of the American College of Cardiology","page":"1755-1764","volume":"71","issue":"16","source":"PubMed","abstract":"BACKGROUND: Myocarditis is an uncommon, but potentially fatal, toxicity of immune checkpoint inhibitors (ICI). Myocarditis after ICI has not been well characterized.\nOBJECTIVES: The authors sought to understand the presentation and clinical course of ICI-associated myocarditis.\nMETHODS: After observation of sporadic ICI-associated myocarditis cases, the authors created a multicenter registry with 8 sites. From November 2013 to July 2017, there were 35 patients with ICI-associated myocarditis, who were compared to a random sample of 105 ICI-treated patients without myocarditis. Covariates of interest were extracted from medical records including the occurrence of major adverse cardiac events (MACE), defined as the composite of cardiovascular death, cardiogenic shock, cardiac arrest, and hemodynamically significant complete heart block.\nRESULTS: The prevalence of myocarditis was 1.14% with a median time of onset of 34 days after starting ICI (interquartile range: 21 to 75 days). Cases were 65 ± 13 years of age, 29% were female, and 54% had no other immune-related side effects. Relative to controls, combination ICI (34% vs. 2%; p &lt; 0.001) and diabetes (34% vs. 13%; p = 0.01) were more common in cases. Over 102 days (interquartile range: 62 to 214 days) of median follow-up, 16 (46%) developed MACE; 38% of MACE occurred with normal ejection fraction. There was a 4-fold increased risk of MACE with troponin T of ≥1.5 ng/ml (hazard ratio: 4.0; 95% confidence interval: 1.5 to 10.9; p = 0.003). Steroids were administered in 89%, and lower steroids doses were associated with higher residual troponin and higher MACE rates.\nCONCLUSIONS: Myocarditis after ICI therapy may be more common than appreciated, occurs early after starting treatment, has a malignant course, and responds to higher steroid doses.","DOI":"10.1016/j.jacc.2018.02.037","ISSN":"1558-3597","note":"PMID: 29567210","journalAbbreviation":"J. Am. Coll. Cardiol.","language":"eng","author":[{"family":"Mahmood","given":"Syed S."},{"family":"Fradley","given":"Michael G."},{"family":"Cohen","given":"Justine V."},{"family":"Nohria","given":"Anju"},{"family":"Reynolds","given":"Kerry L."},{"family":"Heinzerling","given":"Lucie M."},{"family":"Sullivan","given":"Ryan J."},{"family":"Damrongwatanasuk","given":"Rongras"},{"family":"Chen","given":"Carol L."},{"family":"Gupta","given":"Dipti"},{"family":"Kirchberger","given":"Michael C."},{"family":"Awadalla","given":"Magid"},{"family":"Hassan","given":"Malek Z. O."},{"family":"Moslehi","given":"Javid J."},{"family":"Shah","given":"Sachin P."},{"family":"Ganatra","given":"Sarju"},{"family":"Thavendiranathan","given":"Paaladinesh"},{"family":"Lawrence","given":"Donald P."},{"family":"Groarke","given":"John D."},{"family":"Neilan","given":"Tomas G."}],"issued":{"date-parts":[["2018",4,24]]}}},{"id":671,"uris":["http://zotero.org/users/4622338/items/EUTWPSQ6"],"uri":["http://zotero.org/users/4622338/items/EUTWPSQ6"],"itemData":{"id":671,"type":"article-journal","title":"Immune Checkpoint Inhibitor-Associated Myocarditis","container-title":"The Oncologist","page":"879-886","volume":"23","issue":"8","source":"PubMed","abstract":"Immune checkpoint inhibitors (ICIs) are approved for a wide range of malignancies. They work by priming the immune system response to cancer and have changed the landscape of available cancer treatments. As anticipated, modulation of the regulatory controls in the immune system with ICIs results in diverse immune-related adverse events, targeting any organ or gland. These toxicities are rarely fatal and generally regress after treatment discontinuation and/or prescription of corticosteroids. Recently, several cases of ICI-related cardiotoxicity have been reported with complications ranging from cardiogenic shock to sudden death. The true incidence of ICI-associated myocarditis is likely underestimated, due to a combination of factors including the lack of specificity in the clinical presentation, the potential of overlap with other cardiovascular and general medical illnesses, the challenges in the diagnosis, and a general lack of awareness of this condition. Currently, there are no clear guidelines for surveillance, diagnosis, or management of this entity. There are multiple unresolved issues including, but not limited to, identifying those at risk of this uncommon toxicity, elucidating the pathophysiology, determining if and what type of surveillance is appropriate, optimal work-up of suspected patients, and methods for resolution of myocarditis. Here we describe a clinical vignette and discuss the salient features and management strategies of ICI-associated myocarditis.\nKEY POINTS: The incidence of immune checkpoint inhibitor (ICI)-associated myocarditis is unclear and has been reported to range from 0.06% to 1% of patients prescribed an ICI.Myocarditis may be difficult to diagnose.The risk factors for ICI-associated myocarditis are not well understood but may include underlying autoimmune disease and diabetes mellitus.The prevalence of myocarditis has been reported to be higher with combination immune therapies.Myocarditis with ICI's typically occurs early, with an elevated troponin, may present with an normal left ventricular ejection fraction and may have a fulminant course.The optimal management of myocarditis associated with ICI's is unclear but most cases are treated with high-dose steroids.","DOI":"10.1634/theoncologist.2018-0130","ISSN":"1549-490X","note":"PMID: 29802219","journalAbbreviation":"Oncologist","language":"eng","author":[{"family":"Ganatra","given":"Sarju"},{"family":"Neilan","given":"Tomas G."}],"issued":{"date-parts":[["2018",8]]}}},{"id":669,"uris":["http://zotero.org/users/4622338/items/RAY9HKD2"],"uri":["http://zotero.org/users/4622338/items/RAY9HKD2"],"itemData":{"id":669,"type":"article-journal","title":"Myocarditis Associated with Immune Checkpoint Inhibitors: An Expert Consensus on Data Gaps and a Call to Action","container-title":"The Oncologist","page":"874-878","volume":"23","issue":"8","source":"PubMed","abstract":"Immune checkpoint inhibitors (ICIs) have transformed the treatment landscape for cancer. Due to the mechanism of action of ICIs, inflammatory reactions against normal tissue were an anticipated side effect of these agents; these immune-related adverse events have been documented and are typically low grade and manageable. Myocarditis has emerged as an uncommon but potentially life-threatening adverse reaction in patients treated with ICIs. Assessment and characterization of ICI-associated myocarditis is challenging because of its low incidence and protean manifestations. Nevertheless, the seriousness of ICI-associated myocarditis justifies a coordinated effort to increase awareness of this syndrome, identify patients who may be at risk, and enable early diagnosis and appropriate treatment. The \"Checkpoint Inhibitor Safety Working Group,\" a multidisciplinary committee of academic, industry, and regulatory partners, convened at a workshop hosted by Project Data Sphere, LLC, on December 15, 2017. This meeting aimed to evaluate the current information on ICI-associated myocarditis, determine methods to collect and share data on this adverse reaction, and establish task forces to close the identified knowledge gaps. In this report, we summarize the workshop findings and proposed steps to address the impact of ICI-associated myocarditis in patients with cancer.","DOI":"10.1634/theoncologist.2018-0157","ISSN":"1549-490X","note":"PMID: 29802220","title-short":"Myocarditis Associated with Immune Checkpoint Inhibitors","journalAbbreviation":"Oncologist","language":"eng","author":[{"family":"Neilan","given":"Tomas G."},{"family":"Rothenberg","given":"Mace L."},{"family":"Amiri-Kordestani","given":"Laleh"},{"family":"Sullivan","given":"Ryan J."},{"family":"Steingart","given":"Richard M."},{"family":"Gregory","given":"William"},{"family":"Hariharan","given":"Subramanian"},{"family":"Hammad","given":"Tarek A."},{"family":"Lindenfeld","given":"JoAnn"},{"family":"Murphy","given":"Martin J."},{"family":"Moslehi","given":"Javid J."},{"literal":"Checkpoint Inhibitor Safety Working Group"}],"issued":{"date-parts":[["2018",8]]}}}],"schema":"https://github.com/citation-style-language/schema/raw/master/csl-citation.json"} </w:instrText>
      </w:r>
      <w:r w:rsidR="00984932" w:rsidRPr="002D459F">
        <w:rPr>
          <w:rFonts w:ascii="Times New Roman" w:hAnsi="Times New Roman" w:cs="Times New Roman"/>
          <w:color w:val="333333"/>
          <w:shd w:val="clear" w:color="auto" w:fill="FFFFFF"/>
        </w:rPr>
        <w:fldChar w:fldCharType="separate"/>
      </w:r>
      <w:r w:rsidR="00C96F60" w:rsidRPr="002D459F">
        <w:rPr>
          <w:rFonts w:ascii="Times New Roman" w:hAnsi="Times New Roman" w:cs="Times New Roman"/>
          <w:color w:val="000000"/>
        </w:rPr>
        <w:t>(2–4,6)</w:t>
      </w:r>
      <w:r w:rsidR="00984932" w:rsidRPr="002D459F">
        <w:rPr>
          <w:rFonts w:ascii="Times New Roman" w:hAnsi="Times New Roman" w:cs="Times New Roman"/>
          <w:color w:val="333333"/>
          <w:shd w:val="clear" w:color="auto" w:fill="FFFFFF"/>
        </w:rPr>
        <w:fldChar w:fldCharType="end"/>
      </w:r>
      <w:r w:rsidRPr="002D459F">
        <w:rPr>
          <w:rFonts w:ascii="Times New Roman" w:hAnsi="Times New Roman" w:cs="Times New Roman"/>
          <w:color w:val="333333"/>
          <w:shd w:val="clear" w:color="auto" w:fill="FFFFFF"/>
        </w:rPr>
        <w:t xml:space="preserve">. </w:t>
      </w:r>
      <w:r w:rsidR="0039043A" w:rsidRPr="002D459F">
        <w:rPr>
          <w:rFonts w:ascii="Times New Roman" w:hAnsi="Times New Roman" w:cs="Times New Roman"/>
          <w:color w:val="333333"/>
          <w:shd w:val="clear" w:color="auto" w:fill="FFFFFF"/>
        </w:rPr>
        <w:t xml:space="preserve">Specifically, </w:t>
      </w:r>
      <w:r w:rsidR="00A07A4E" w:rsidRPr="002D459F">
        <w:rPr>
          <w:rFonts w:ascii="Times New Roman" w:hAnsi="Times New Roman" w:cs="Times New Roman"/>
          <w:color w:val="333333"/>
          <w:shd w:val="clear" w:color="auto" w:fill="FFFFFF"/>
        </w:rPr>
        <w:t xml:space="preserve">consistent data have shown that </w:t>
      </w:r>
      <w:r w:rsidR="00A07A4E" w:rsidRPr="002D459F">
        <w:rPr>
          <w:rFonts w:ascii="Times New Roman" w:hAnsi="Times New Roman" w:cs="Times New Roman"/>
        </w:rPr>
        <w:t>m</w:t>
      </w:r>
      <w:r w:rsidR="007427FF" w:rsidRPr="002D459F">
        <w:rPr>
          <w:rFonts w:ascii="Times New Roman" w:hAnsi="Times New Roman" w:cs="Times New Roman"/>
        </w:rPr>
        <w:t xml:space="preserve">yocarditis with an ICI </w:t>
      </w:r>
      <w:r w:rsidR="006D711D" w:rsidRPr="002D459F">
        <w:rPr>
          <w:rFonts w:ascii="Times New Roman" w:hAnsi="Times New Roman" w:cs="Times New Roman"/>
        </w:rPr>
        <w:t>is associated with</w:t>
      </w:r>
      <w:r w:rsidR="007427FF" w:rsidRPr="002D459F">
        <w:rPr>
          <w:rFonts w:ascii="Times New Roman" w:hAnsi="Times New Roman" w:cs="Times New Roman"/>
        </w:rPr>
        <w:t xml:space="preserve"> a case-fatality rate ranging from </w:t>
      </w:r>
      <w:r w:rsidR="00063EE1" w:rsidRPr="002D459F">
        <w:rPr>
          <w:rFonts w:ascii="Times New Roman" w:hAnsi="Times New Roman" w:cs="Times New Roman"/>
        </w:rPr>
        <w:t>35</w:t>
      </w:r>
      <w:r w:rsidR="007427FF" w:rsidRPr="002D459F">
        <w:rPr>
          <w:rFonts w:ascii="Times New Roman" w:hAnsi="Times New Roman" w:cs="Times New Roman"/>
        </w:rPr>
        <w:t>-</w:t>
      </w:r>
      <w:r w:rsidR="00063EE1" w:rsidRPr="002D459F">
        <w:rPr>
          <w:rFonts w:ascii="Times New Roman" w:hAnsi="Times New Roman" w:cs="Times New Roman"/>
        </w:rPr>
        <w:t xml:space="preserve">50% </w:t>
      </w:r>
      <w:r w:rsidR="00434C3B"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PAgH2pC0","properties":{"formattedCitation":"(3,30,31)","plainCitation":"(3,30,31)","noteIndex":0},"citationItems":[{"id":415,"uris":["http://zotero.org/users/4622338/items/YGUGY45V"],"uri":["http://zotero.org/users/4622338/items/YGUGY45V"],"itemData":{"id":415,"type":"article-journal","title":"Myocarditis in Patients Treated With Immune Checkpoint Inhibitors","container-title":"Journal of the American College of Cardiology","page":"1755-1764","volume":"71","issue":"16","source":"PubMed","abstract":"BACKGROUND: Myocarditis is an uncommon, but potentially fatal, toxicity of immune checkpoint inhibitors (ICI). Myocarditis after ICI has not been well characterized.\nOBJECTIVES: The authors sought to understand the presentation and clinical course of ICI-associated myocarditis.\nMETHODS: After observation of sporadic ICI-associated myocarditis cases, the authors created a multicenter registry with 8 sites. From November 2013 to July 2017, there were 35 patients with ICI-associated myocarditis, who were compared to a random sample of 105 ICI-treated patients without myocarditis. Covariates of interest were extracted from medical records including the occurrence of major adverse cardiac events (MACE), defined as the composite of cardiovascular death, cardiogenic shock, cardiac arrest, and hemodynamically significant complete heart block.\nRESULTS: The prevalence of myocarditis was 1.14% with a median time of onset of 34 days after starting ICI (interquartile range: 21 to 75 days). Cases were 65 ± 13 years of age, 29% were female, and 54% had no other immune-related side effects. Relative to controls, combination ICI (34% vs. 2%; p &lt; 0.001) and diabetes (34% vs. 13%; p = 0.01) were more common in cases. Over 102 days (interquartile range: 62 to 214 days) of median follow-up, 16 (46%) developed MACE; 38% of MACE occurred with normal ejection fraction. There was a 4-fold increased risk of MACE with troponin T of ≥1.5 ng/ml (hazard ratio: 4.0; 95% confidence interval: 1.5 to 10.9; p = 0.003). Steroids were administered in 89%, and lower steroids doses were associated with higher residual troponin and higher MACE rates.\nCONCLUSIONS: Myocarditis after ICI therapy may be more common than appreciated, occurs early after starting treatment, has a malignant course, and responds to higher steroid doses.","DOI":"10.1016/j.jacc.2018.02.037","ISSN":"1558-3597","note":"PMID: 29567210","journalAbbreviation":"J. Am. Coll. Cardiol.","language":"eng","author":[{"family":"Mahmood","given":"Syed S."},{"family":"Fradley","given":"Michael G."},{"family":"Cohen","given":"Justine V."},{"family":"Nohria","given":"Anju"},{"family":"Reynolds","given":"Kerry L."},{"family":"Heinzerling","given":"Lucie M."},{"family":"Sullivan","given":"Ryan J."},{"family":"Damrongwatanasuk","given":"Rongras"},{"family":"Chen","given":"Carol L."},{"family":"Gupta","given":"Dipti"},{"family":"Kirchberger","given":"Michael C."},{"family":"Awadalla","given":"Magid"},{"family":"Hassan","given":"Malek Z. O."},{"family":"Moslehi","given":"Javid J."},{"family":"Shah","given":"Sachin P."},{"family":"Ganatra","given":"Sarju"},{"family":"Thavendiranathan","given":"Paaladinesh"},{"family":"Lawrence","given":"Donald P."},{"family":"Groarke","given":"John D."},{"family":"Neilan","given":"Tomas G."}],"issued":{"date-parts":[["2018",4,24]]}}},{"id":1069,"uris":["http://zotero.org/users/4622338/items/T3FL6X76"],"uri":["http://zotero.org/users/4622338/items/T3FL6X76"],"itemData":{"id":1069,"type":"article-journal","title":"Immune checkpoint inhibitors and cardiovascular toxicity","container-title":"The Lancet. Oncology","page":"e447-e458","volume":"19","issue":"9","source":"PubMed","abstract":"Immune checkpoint inhibitors are a new class of anticancer therapies that amplify T-cell-mediated immune responses against cancer cells. Immune checkpoint inhibitors have shown important benefits in phase 3 trials, and several agents have been approved for specific malignancies. Although adverse events from immune checkpoint inhibitors are a common occurrence, cardiotoxic effects are uncommon, but are often serious complications with a relatively high mortality. Most cardiotoxic effects appear to be inflammatory in nature. Clinical assessment of a combination of biomarkers, electrocardiography, cardiac imaging, and endomyocardial biopsy can be used to confirm a possible diagnosis. In this Review, we discuss the epidemiology of immune checkpoint inhibitor-mediated cardiotoxic effects, as well as their clinical presentation, subtypes, risk factors, pathophysiology, and clinical management, including the introduction of a new surveillance strategy.","DOI":"10.1016/S1470-2045(18)30457-1","ISSN":"1474-5488","note":"PMID: 30191849","journalAbbreviation":"Lancet Oncol.","language":"eng","author":[{"family":"Lyon","given":"Alexander R."},{"family":"Yousaf","given":"Nadia"},{"family":"Battisti","given":"Nicolò M. L."},{"family":"Moslehi","given":"Javid"},{"family":"Larkin","given":"James"}],"issued":{"date-parts":[["2018",9]]}}},{"id":1067,"uris":["http://zotero.org/users/4622338/items/MJ7J27Y4"],"uri":["http://zotero.org/users/4622338/items/MJ7J27Y4"],"itemData":{"id":1067,"type":"article-journal","title":"Cardiac Complications Associated With Checkpoint Inhibition: A Systematic Review of the Literature in an Important Emerging Area","container-title":"The Canadian Journal of Cardiology","page":"1059-1068","volume":"34","issue":"8","source":"PubMed","abstract":"BACKGROUND: Immune checkpoint inhibitors, including programmed cell death-1, programmed cell death ligand-1 and cytotoxic lymphocyte antigen-4 inhibitors, have emerged as important therapeutic alternatives for advanced malignancies. This drug class upregulates T-cell activity, leading to an immune response against cancer cells. However, the increased activity of T cells can lead to autoimmune reactions.\nMETHODS: We conducted a systematic review of all published articles and grey literature in PubMed, Medline, and Embase on cardiac complications associated with checkpoint inhibitor use from September 1, 1996 to November 10, 2017.\nRESULTS: The search strategy yielded 908 unique articles. Of these, 835 were excluded on the basis of abstract and full-text review. A total of 73 studies met eligibility criteria and were included. We found a total of 99 cases of cardiotoxicity with the use of checkpoint inhibitors. Myocarditis (45%) was the most common cardiotoxicity. The overall case fatality rate was 35%. This was notably higher in patients with myocarditis, complete heart block, or conduction abnormalities, and ventricular arrhythmias. There was no difference in outcomes for patients treated with or without steroids. Immunosuppressive therapies such as infliximab, mycophenolate, intravenous immunoglobulin, antithymocyte globulin, and/or plasmapheresis were used in 12 patients leading to survival in 9 of these patients (75%).\nCONCLUSIONS: Immune checkpoint inhibitors are associated with cardiotoxicity. Because of the high case fatality rate, close surveillance and prompt empiric therapy for cardiovascular complications of checkpoint inhibitors should be considered. Aggressive treatment with immunosuppressive agents and/or plasmapheresis might lead to clinical improvement and increased survival.","DOI":"10.1016/j.cjca.2018.03.012","ISSN":"1916-7075","note":"PMID: 29980467","title-short":"Cardiac Complications Associated With Checkpoint Inhibition","journalAbbreviation":"Can J Cardiol","language":"eng","author":[{"family":"Mir","given":"Hassan"},{"family":"Alhussein","given":"Muhammad"},{"family":"Alrashidi","given":"Sulaiman"},{"family":"Alzayer","given":"Hussain"},{"family":"Alshatti","given":"Ahmad"},{"family":"Valettas","given":"Nicholas"},{"family":"Mukherjee","given":"Som D."},{"family":"Nair","given":"Vidhya"},{"family":"Leong","given":"Darryl P."}],"issued":{"date-parts":[["2018",8]]}}}],"schema":"https://github.com/citation-style-language/schema/raw/master/csl-citation.json"} </w:instrText>
      </w:r>
      <w:r w:rsidR="00434C3B" w:rsidRPr="002D459F">
        <w:rPr>
          <w:rFonts w:ascii="Times New Roman" w:hAnsi="Times New Roman" w:cs="Times New Roman"/>
        </w:rPr>
        <w:fldChar w:fldCharType="separate"/>
      </w:r>
      <w:r w:rsidR="00C96F60" w:rsidRPr="002D459F">
        <w:rPr>
          <w:rFonts w:ascii="Times New Roman" w:hAnsi="Times New Roman" w:cs="Times New Roman"/>
          <w:noProof/>
        </w:rPr>
        <w:t>(3,30,31)</w:t>
      </w:r>
      <w:r w:rsidR="00434C3B" w:rsidRPr="002D459F">
        <w:rPr>
          <w:rFonts w:ascii="Times New Roman" w:hAnsi="Times New Roman" w:cs="Times New Roman"/>
        </w:rPr>
        <w:fldChar w:fldCharType="end"/>
      </w:r>
      <w:r w:rsidR="00A07A4E" w:rsidRPr="002D459F">
        <w:rPr>
          <w:rFonts w:ascii="Times New Roman" w:hAnsi="Times New Roman" w:cs="Times New Roman"/>
        </w:rPr>
        <w:t>; in contrast, the case fatality rate for myocarditis unrelated to an ICI is markedly lower</w:t>
      </w:r>
      <w:r w:rsidR="00C379BE" w:rsidRPr="002D459F">
        <w:rPr>
          <w:rFonts w:ascii="Times New Roman" w:hAnsi="Times New Roman" w:cs="Times New Roman"/>
        </w:rPr>
        <w:t>,</w:t>
      </w:r>
      <w:r w:rsidR="00A07A4E" w:rsidRPr="002D459F">
        <w:rPr>
          <w:rFonts w:ascii="Times New Roman" w:hAnsi="Times New Roman" w:cs="Times New Roman"/>
        </w:rPr>
        <w:t xml:space="preserve"> ranging from</w:t>
      </w:r>
      <w:r w:rsidR="00A50CE2" w:rsidRPr="002D459F">
        <w:rPr>
          <w:rFonts w:ascii="Times New Roman" w:hAnsi="Times New Roman" w:cs="Times New Roman"/>
        </w:rPr>
        <w:t xml:space="preserve"> 9</w:t>
      </w:r>
      <w:r w:rsidR="00A07A4E" w:rsidRPr="002D459F">
        <w:rPr>
          <w:rFonts w:ascii="Times New Roman" w:hAnsi="Times New Roman" w:cs="Times New Roman"/>
        </w:rPr>
        <w:t>-</w:t>
      </w:r>
      <w:r w:rsidR="00A50CE2" w:rsidRPr="002D459F">
        <w:rPr>
          <w:rFonts w:ascii="Times New Roman" w:hAnsi="Times New Roman" w:cs="Times New Roman"/>
        </w:rPr>
        <w:t xml:space="preserve">16% </w:t>
      </w:r>
      <w:r w:rsidR="00A50CE2"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h0ENhH1o","properties":{"formattedCitation":"(32,33)","plainCitation":"(32,33)","noteIndex":0},"citationItems":[{"id":1074,"uris":["http://zotero.org/users/4622338/items/TD4HQX74"],"uri":["http://zotero.org/users/4622338/items/TD4HQX74"],"itemData":{"id":1074,"type":"article-journal","title":"The fate of acute myocarditis between spontaneous improvement and evolution to dilated cardiomyopathy: a review","container-title":"Heart","page":"499-504","volume":"85","issue":"5","source":"PubMed Central","DOI":"10.1136/heart.85.5.499","ISSN":"1355-6037","note":"PMID: 11302994\nPMCID: PMC1729727","title-short":"The fate of acute myocarditis between spontaneous improvement and evolution to dilated cardiomyopathy","journalAbbreviation":"Heart","author":[{"family":"D'Ambrosio","given":"A"},{"family":"Patti","given":"G"},{"family":"Manzoli","given":"A"},{"family":"Sinagra","given":"G"},{"family":"Di","given":"L"},{"family":"Silvestri","given":"F"},{"family":"Di","given":"S"}],"issued":{"date-parts":[["2001",5]]}}},{"id":1071,"uris":["http://zotero.org/users/4622338/items/C3EU6ETK"],"uri":["http://zotero.org/users/4622338/items/C3EU6ETK"],"itemData":{"id":1071,"type":"article-journal","title":"Myocarditis: current trends in diagnosis and treatment","container-title":"Circulation","page":"876-890","volume":"113","issue":"6","source":"PubMed","DOI":"10.1161/CIRCULATIONAHA.105.584532","ISSN":"1524-4539","note":"PMID: 16476862","title-short":"Myocarditis","journalAbbreviation":"Circulation","language":"eng","author":[{"family":"Magnani","given":"Jared W."},{"family":"Dec","given":"G. William"}],"issued":{"date-parts":[["2006",2,14]]}}}],"schema":"https://github.com/citation-style-language/schema/raw/master/csl-citation.json"} </w:instrText>
      </w:r>
      <w:r w:rsidR="00A50CE2" w:rsidRPr="002D459F">
        <w:rPr>
          <w:rFonts w:ascii="Times New Roman" w:hAnsi="Times New Roman" w:cs="Times New Roman"/>
        </w:rPr>
        <w:fldChar w:fldCharType="separate"/>
      </w:r>
      <w:r w:rsidR="00C96F60" w:rsidRPr="002D459F">
        <w:rPr>
          <w:rFonts w:ascii="Times New Roman" w:hAnsi="Times New Roman" w:cs="Times New Roman"/>
          <w:noProof/>
        </w:rPr>
        <w:t>(32,33)</w:t>
      </w:r>
      <w:r w:rsidR="00A50CE2" w:rsidRPr="002D459F">
        <w:rPr>
          <w:rFonts w:ascii="Times New Roman" w:hAnsi="Times New Roman" w:cs="Times New Roman"/>
        </w:rPr>
        <w:fldChar w:fldCharType="end"/>
      </w:r>
      <w:r w:rsidR="007427FF" w:rsidRPr="002D459F">
        <w:rPr>
          <w:rFonts w:ascii="Times New Roman" w:hAnsi="Times New Roman" w:cs="Times New Roman"/>
        </w:rPr>
        <w:t>.</w:t>
      </w:r>
      <w:r w:rsidR="00A07A4E" w:rsidRPr="002D459F">
        <w:rPr>
          <w:rFonts w:ascii="Times New Roman" w:hAnsi="Times New Roman" w:cs="Times New Roman"/>
        </w:rPr>
        <w:t xml:space="preserve"> Previously, GLS has been shown to </w:t>
      </w:r>
      <w:r w:rsidR="005D3C24" w:rsidRPr="002D459F">
        <w:rPr>
          <w:rFonts w:ascii="Times New Roman" w:hAnsi="Times New Roman" w:cs="Times New Roman"/>
        </w:rPr>
        <w:t>provide prognostic information beyond EF among a broad range of cardiovascular disease from post-</w:t>
      </w:r>
      <w:r w:rsidR="00A07A4E" w:rsidRPr="002D459F">
        <w:rPr>
          <w:rFonts w:ascii="Times New Roman" w:hAnsi="Times New Roman" w:cs="Times New Roman"/>
        </w:rPr>
        <w:t xml:space="preserve">myocardial infarction </w:t>
      </w:r>
      <w:r w:rsidR="00A07A4E"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C7NZOR3o","properties":{"formattedCitation":"(34)","plainCitation":"(34)","noteIndex":0},"citationItems":[{"id":857,"uris":["http://zotero.org/users/4622338/items/JTGP8JP6"],"uri":["http://zotero.org/users/4622338/items/JTGP8JP6"],"itemData":{"id":857,"type":"article-journal","title":"Mechanical dispersion assessed by myocardial strain in patients after myocardial infarction for risk prediction of ventricular arrhythmia","container-title":"JACC. Cardiovascular imaging","page":"247-256","volume":"3","issue":"3","source":"PubMed","abstract":"OBJECTIVES: The aim of this study was to investigate whether myocardial strain echocardiography can predict ventricular arrhythmias in patients after myocardial infarction (MI).\nBACKGROUND: Left ventricular (LV) ejection fraction (EF) is insufficient for selecting patients for implantable cardioverter-defibrillator (ICD) therapy after MI. Electrical dispersion in infarcted myocardium facilitates malignant arrhythmia. Myocardial strain by echocardiography can quantify detailed regional and global myocardial function and timing. We hypothesized that electrical abnormalities in patients after MI will lead to LV mechanical dispersion, which can be measured as regional heterogeneity of contraction by myocardial strain.\nMETHODS: We prospectively included 85 post-MI patients, 44 meeting primary and 41 meeting secondary ICD prevention criteria. After 2.3 years (range 0.6 to 5.5 years) of follow-up, 47 patients had no and 38 patients had 1 or more recorded arrhythmias requiring appropriate ICD therapy. Longitudinal strain was measured by speckle tracking echocardiography. The SD of time to maximum myocardial shortening in a 16-segment LV model was calculated as a parameter of mechanical dispersion. Global strain was calculated as average strain in a 16-segment LV model.\nRESULTS: The EF did not differ between ICD patients with and without arrhythmias occurring during follow-up (34 +/- 11% vs. 35 +/- 9%, p = 0.70). Mechanical dispersion was greater in ICD patients with recorded ventricular arrhythmias compared with those without (85 +/- 29 ms vs. 56 +/- 13 ms, p &lt; 0.001). By Cox regression, mechanical dispersion was a strong and independent predictor of arrhythmias requiring ICD therapy (hazard ratio: 1.25 per 10-ms increase, 95% confidence interval: 1.1 to 1.4, p &lt; 0.001). In patients with an EF &gt;35%, global strain showed better LV function in those without recorded arrhythmias (-14.0% +/- 4.0% vs. -12.0 +/- 3.0%, p = 0.05), whereas the EF did not differ (44 +/- 8% vs. 41 +/- 5%, p = 0.23).\nCONCLUSIONS: Mechanical dispersion was more pronounced in post-MI patients with recurrent arrhythmias. Global strain was a marker of arrhythmias in post-MI patients with relatively preserved ventricular function. These novel parameters assessed by myocardial strain may add important information about susceptibility for ventricular arrhythmias after MI.","DOI":"10.1016/j.jcmg.2009.11.012","ISSN":"1876-7591","note":"PMID: 20223421","journalAbbreviation":"JACC Cardiovasc Imaging","language":"eng","author":[{"family":"Haugaa","given":"Kristina H."},{"family":"Smedsrud","given":"Marit Kristine"},{"family":"Steen","given":"Torkel"},{"family":"Kongsgaard","given":"Erik"},{"family":"Loennechen","given":"Jan Pål"},{"family":"Skjaerpe","given":"Terje"},{"family":"Voigt","given":"Jens-Uwe"},{"family":"Willems","given":"Rik"},{"family":"Smith","given":"Gunnar"},{"family":"Smiseth","given":"Otto A."},{"family":"Amlie","given":"Jan P."},{"family":"Edvardsen","given":"Thor"}],"issued":{"date-parts":[["2010",3]]}}}],"schema":"https://github.com/citation-style-language/schema/raw/master/csl-citation.json"} </w:instrText>
      </w:r>
      <w:r w:rsidR="00A07A4E" w:rsidRPr="002D459F">
        <w:rPr>
          <w:rFonts w:ascii="Times New Roman" w:hAnsi="Times New Roman" w:cs="Times New Roman"/>
        </w:rPr>
        <w:fldChar w:fldCharType="separate"/>
      </w:r>
      <w:r w:rsidR="00C96F60" w:rsidRPr="002D459F">
        <w:rPr>
          <w:rFonts w:ascii="Times New Roman" w:hAnsi="Times New Roman" w:cs="Times New Roman"/>
        </w:rPr>
        <w:t>(34)</w:t>
      </w:r>
      <w:r w:rsidR="00A07A4E" w:rsidRPr="002D459F">
        <w:rPr>
          <w:rFonts w:ascii="Times New Roman" w:hAnsi="Times New Roman" w:cs="Times New Roman"/>
        </w:rPr>
        <w:fldChar w:fldCharType="end"/>
      </w:r>
      <w:r w:rsidR="00A07A4E" w:rsidRPr="002D459F">
        <w:rPr>
          <w:rFonts w:ascii="Times New Roman" w:hAnsi="Times New Roman" w:cs="Times New Roman"/>
        </w:rPr>
        <w:t xml:space="preserve">, </w:t>
      </w:r>
      <w:r w:rsidR="005D3C24" w:rsidRPr="002D459F">
        <w:rPr>
          <w:rFonts w:ascii="Times New Roman" w:hAnsi="Times New Roman" w:cs="Times New Roman"/>
        </w:rPr>
        <w:t xml:space="preserve">to </w:t>
      </w:r>
      <w:r w:rsidR="00A07A4E" w:rsidRPr="002D459F">
        <w:rPr>
          <w:rFonts w:ascii="Times New Roman" w:hAnsi="Times New Roman" w:cs="Times New Roman"/>
        </w:rPr>
        <w:t xml:space="preserve">patients with aortic stenosis </w:t>
      </w:r>
      <w:r w:rsidR="00A07A4E"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49nEPcpL","properties":{"formattedCitation":"(35)","plainCitation":"(35)","noteIndex":0},"citationItems":[{"id":863,"uris":["http://zotero.org/users/4622338/items/G6XGMY6H"],"uri":["http://zotero.org/users/4622338/items/G6XGMY6H"],"itemData":{"id":863,"type":"article-journal","title":"Global longitudinal strain is a strong independent predictor of all-cause mortality in patients with aortic stenosis","container-title":"European Heart Journal Cardiovascular Imaging","page":"827-833","volume":"13","issue":"10","source":"PubMed","abstract":"AIMS: To assess the capacity of global longitudinal strain (GLS) in patients with aortic stenosis (AS) to (i) detect the subclinical left ventricular (LV) dysfunction [LV ejection fraction (LVEF) ≥50% patients]; (ii) predict all-cause mortality and major adverse cardiac events (MACE) (all patients), and (iii) provide incremental prognostic information over current risk markers.\nMETHODS AND RESULTS: Patients with AS (n = 146) and age-matched controls (n = 12) underwent baseline echocardiography to assess AS severity, conventional LV parameters and GLS via speckle tracking echocardiography. Baseline demographics, symptom severity class and comorbidities were recorded. Outcomes were identified via hospital record review and subject/physician interview. The mean age was 75 ± 11, 62% were male. The baseline aortic valve (AV) area was 1.0 ± 0.4 cm(2) and LVEF was 59 ± 11%. In patients with a normal LVEF (n = 122), the baseline GLS was controls -21 ± 2%, mild AS -18 ± 3%, moderate AS -17 ± 3% and severe AS -15 ± 3% (P&lt; 0.001). GLS correlated with the LV mass index, LVEF, AS severity, and symptom class (P&lt; 0.05). During a median follow-up of 2.1 (inter-quartile range: 1.8-2.4) years, there were 20 deaths and 101 MACE. Unadjusted hazard ratios (HRs) for GLS (per %) were all-cause mortality (HR: 1.42, P&lt; 0.001) and MACE (HR: 1.09, P&lt; 0.001). After adjustment for clinical and echocardiographic variables, GLS remained a strong independent predictor of all-cause mortality (HR: 1.38, P&lt; 0.001).\nCONCLUSIONS: GLS detects subclinical dysfunction and has incremental prognostic value over traditional risk markers including haemodynamic severity, symptom class, and LVEF in patients with AS. Incorporation of GLS into risk models may improve the identification of the optimal timing for AV replacement.","DOI":"10.1093/ehjci/jes115","ISSN":"2047-2412","note":"PMID: 22736713","journalAbbreviation":"Eur Heart J Cardiovasc Imaging","language":"eng","author":[{"family":"Kearney","given":"L. G."},{"family":"Lu","given":"K."},{"family":"Ord","given":"M."},{"family":"Patel","given":"S. K."},{"family":"Profitis","given":"K."},{"family":"Matalanis","given":"G."},{"family":"Burrell","given":"L. M."},{"family":"Srivastava","given":"P. M."}],"issued":{"date-parts":[["2012",10]]}}}],"schema":"https://github.com/citation-style-language/schema/raw/master/csl-citation.json"} </w:instrText>
      </w:r>
      <w:r w:rsidR="00A07A4E" w:rsidRPr="002D459F">
        <w:rPr>
          <w:rFonts w:ascii="Times New Roman" w:hAnsi="Times New Roman" w:cs="Times New Roman"/>
        </w:rPr>
        <w:fldChar w:fldCharType="separate"/>
      </w:r>
      <w:r w:rsidR="00C96F60" w:rsidRPr="002D459F">
        <w:rPr>
          <w:rFonts w:ascii="Times New Roman" w:hAnsi="Times New Roman" w:cs="Times New Roman"/>
          <w:noProof/>
        </w:rPr>
        <w:t>(35)</w:t>
      </w:r>
      <w:r w:rsidR="00A07A4E" w:rsidRPr="002D459F">
        <w:rPr>
          <w:rFonts w:ascii="Times New Roman" w:hAnsi="Times New Roman" w:cs="Times New Roman"/>
        </w:rPr>
        <w:fldChar w:fldCharType="end"/>
      </w:r>
      <w:r w:rsidR="00A07A4E" w:rsidRPr="002D459F">
        <w:rPr>
          <w:rFonts w:ascii="Times New Roman" w:hAnsi="Times New Roman" w:cs="Times New Roman"/>
        </w:rPr>
        <w:t xml:space="preserve">, and </w:t>
      </w:r>
      <w:r w:rsidR="005D3C24" w:rsidRPr="002D459F">
        <w:rPr>
          <w:rFonts w:ascii="Times New Roman" w:hAnsi="Times New Roman" w:cs="Times New Roman"/>
        </w:rPr>
        <w:t>including patients with heart failure</w:t>
      </w:r>
      <w:r w:rsidR="00E60F13" w:rsidRPr="002D459F">
        <w:rPr>
          <w:rFonts w:ascii="Times New Roman" w:hAnsi="Times New Roman" w:cs="Times New Roman"/>
        </w:rPr>
        <w:t xml:space="preserve"> </w:t>
      </w:r>
      <w:r w:rsidR="00E60F13"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QsCKo3WG","properties":{"formattedCitation":"(36)","plainCitation":"(36)","noteIndex":0},"citationItems":[{"id":852,"uris":["http://zotero.org/users/4622338/items/EGFWWFDR"],"uri":["http://zotero.org/users/4622338/items/EGFWWFDR"],"itemData":{"id":852,"type":"article-journal","title":"Global Longitudinal Strain to Predict Mortality in Patients With Acute Heart Failure","container-title":"Journal of the American College of Cardiology","page":"1947-1957","volume":"71","issue":"18","source":"PubMed","abstract":"BACKGROUND: Heart failure (HF) is currently classified according to left ventricular ejection fraction (LVEF); however, the prognostic value of LVEF is controversial. Myocardial strain is a prognostic factor independently of LVEF.\nOBJECTIVES: The authors sought to evaluate the prognostic value of global longitudinal strain (GLS) in patients with HF.\nMETHODS: GLS was measured in 4,172 consecutive patients with acute HF. Patients were categorized as either HF with reduced (LVEF &lt;40%), midrange (LVEF 40% to 49%), or preserved ejection fraction (LVEF ≥50%) and were also classified as having mildly (GLS &gt;12.6%), moderately (8.1% &lt; GLS &lt;12.5%), or severely (GLS ≤8.0%) reduced strain. The primary endpoint was 5-year all-cause mortality.\nRESULTS: Mean GLS was 10.8%, and mean LVEF was 40%. Overall, 1,740 (40.4%) patients had died at 5 years. Patients with reduced ejection fraction had slightly higher mortality than those with midrange or preserved ejection fraction (41%, 38%, and 39%, respectively; log-rank p = 0.031), whereas patients with reduced strain had significantly higher mortality (severely reduced GLS, 49%; moderately reduced GLS, 38%; mildly reduced GLS, 34%; log-rank p &lt; 0.001). In multivariable analysis, each 1% increase in GLS was associated with a 5% decreased risk for mortality (p &lt; 0.001). Patients with moderate (hazard ratio: 1.31; 95% confidence interval: 1.13 to 1.53) and severe GLS reductions (hazard ratio: 1.61; 95% confidence interval: 1.36 to 1.91) had higher mortality, but LVEF was not associated with mortality.\nCONCLUSIONS: In patients with acute HF, GLS has greater prognostic value than LVEF. Therefore, the authors suggest that GLS should be considered as the standard measurement in all patients with HF. This new concept needs validation in further studies.","DOI":"10.1016/j.jacc.2018.02.064","ISSN":"1558-3597","note":"PMID: 29724346","journalAbbreviation":"J. Am. Coll. Cardiol.","language":"eng","author":[{"family":"Park","given":"Jin Joo"},{"family":"Park","given":"Jun-Bean"},{"family":"Park","given":"Jae-Hyeong"},{"family":"Cho","given":"Goo-Yeong"}],"issued":{"date-parts":[["2018",5,8]]}}}],"schema":"https://github.com/citation-style-language/schema/raw/master/csl-citation.json"} </w:instrText>
      </w:r>
      <w:r w:rsidR="00E60F13" w:rsidRPr="002D459F">
        <w:rPr>
          <w:rFonts w:ascii="Times New Roman" w:hAnsi="Times New Roman" w:cs="Times New Roman"/>
        </w:rPr>
        <w:fldChar w:fldCharType="separate"/>
      </w:r>
      <w:r w:rsidR="00C96F60" w:rsidRPr="002D459F">
        <w:rPr>
          <w:rFonts w:ascii="Times New Roman" w:hAnsi="Times New Roman" w:cs="Times New Roman"/>
          <w:noProof/>
        </w:rPr>
        <w:t>(36)</w:t>
      </w:r>
      <w:r w:rsidR="00E60F13" w:rsidRPr="002D459F">
        <w:rPr>
          <w:rFonts w:ascii="Times New Roman" w:hAnsi="Times New Roman" w:cs="Times New Roman"/>
        </w:rPr>
        <w:fldChar w:fldCharType="end"/>
      </w:r>
      <w:r w:rsidR="005D3C24" w:rsidRPr="002D459F">
        <w:rPr>
          <w:rFonts w:ascii="Times New Roman" w:hAnsi="Times New Roman" w:cs="Times New Roman"/>
        </w:rPr>
        <w:t xml:space="preserve"> and with myocarditis</w:t>
      </w:r>
      <w:r w:rsidR="00547006" w:rsidRPr="002D459F">
        <w:rPr>
          <w:rFonts w:ascii="Times New Roman" w:hAnsi="Times New Roman" w:cs="Times New Roman"/>
        </w:rPr>
        <w:t xml:space="preserve"> </w:t>
      </w:r>
      <w:r w:rsidR="00547006" w:rsidRPr="002D459F">
        <w:rPr>
          <w:rFonts w:ascii="Times New Roman" w:hAnsi="Times New Roman" w:cs="Times New Roman"/>
        </w:rPr>
        <w:fldChar w:fldCharType="begin"/>
      </w:r>
      <w:r w:rsidR="006433DB" w:rsidRPr="002D459F">
        <w:rPr>
          <w:rFonts w:ascii="Times New Roman" w:hAnsi="Times New Roman" w:cs="Times New Roman"/>
        </w:rPr>
        <w:instrText xml:space="preserve"> ADDIN ZOTERO_ITEM CSL_CITATION {"citationID":"hrFNMrPc","properties":{"formattedCitation":"(37,38)","plainCitation":"(37,38)","noteIndex":0},"citationItems":[{"id":1096,"uris":["http://zotero.org/users/4622338/items/4SBD53HE"],"uri":["http://zotero.org/users/4622338/items/4SBD53HE"],"itemData":{"id":1096,"type":"article-journal","title":"Late Detection of Left Ventricular Dysfunction Using Two-Dimensional and Three-Dimensional Speckle-Tracking Echocardiography in Patients with History of Nonsevere Acute Myocarditis","container-title":"Journal of the American Society of Echocardiography","page":"756-762","volume":"30","issue":"8","source":"PubMed","abstract":"BACKGROUND: Acute myocarditis (AM) often involves the left ventricular (LV) subepicardium that might be displayed by cardiac magnetic resonance even late after the acute phase. In the absence of global or regional LV dysfunction, conventional transthoracic echocardiography (TTE) does not accurately identify tissue sequelae of AM. We sought to evaluate the diagnostic value of two-dimensional (2D) and three-dimensional (3D) speckle-tracking echocardiography to identify patients with a history of AM with preserved LV ejection fraction (LVEF).\nMETHODS: Fifty patients (group 1: age, 31.4 ± 10.5 years; 76% males) with a history of cardiac magnetic resonance-confirmed diagnosis of AM (according to the Lake Louise criteria) were retrospectively identified and then (21.7 ± 23.4 months later) evaluated by complete echocardiography including 2D and 3D speckle-tracking analysis, as well as 50 age- and gender-matched healthy controls (group 2: age, 31.2 ± 9.5 years: 76% males). Patients with a history of severe clinical presentation of AM (sudden death, ventricular arrhythmia, heart failure, alteration of LVEF) were excluded.\nRESULTS: At diagnosis, peak troponin and C-reactive protein were 11.97 (interquartile range, 4.52-25.92) μg/L and 32.3 (interquartile range, 14.85-70.45) mg/L, respectively. Mean delay between acute phase and follow-up study TTE was 21.7 ± 23.4 months. LVEF was not statistically different between groups (62.1% vs 63.5%, P = .099). Two-dimensional global longitudinal strain (GLS) was lower in magnitude in group 1 (-17.8% vs -22.1%, P &lt; .0001) as were 2D layer-specific subepicardial GLS (-15.4% vs -19.7%, P &lt; .0001) and subendocardial GLS (-20.71% vs -25.08%, P &lt; .0001). Three-dimensional global longitudinal, circumferential, area, and radial strains were lower in magnitude in group 1 (-11.80% vs -14.98%, P &lt; .0001; -12.57% vs -15.12%, P &lt; .0001; -22.28% vs -25.87%, P &lt; .0001; 31.47% vs 38.06%, P &lt; .0001, respectively). Receiver operating characteristic curve analysis showed that subepicardial GLS displayed a better diagnostic performance to detect sequelae of AM as compared with GLS (area under the curve = 0.97 vs 0.93, P = .045).\nCONCLUSIONS: In patients with a history of AM, a subtle LV dysfunction can be detected by 2D and 3D speckle-tracking echocardiography, even though LVEF is conserved, adding incremental information over conventional TTE.","DOI":"10.1016/j.echo.2017.04.002","ISSN":"1097-6795","note":"PMID: 28599827","journalAbbreviation":"J Am Soc Echocardiogr","language":"eng","author":[{"family":"Caspar","given":"Thibault"},{"family":"Fichot","given":"Marie"},{"family":"Ohana","given":"Mickaël"},{"family":"El Ghannudi","given":"Soraya"},{"family":"Morel","given":"Olivier"},{"family":"Ohlmann","given":"Patrick"}],"issued":{"date-parts":[["2017",8]]}}},{"id":1098,"uris":["http://zotero.org/users/4622338/items/5LCDXWW9"],"uri":["http://zotero.org/users/4622338/items/5LCDXWW9"],"itemData":{"id":1098,"type":"article-journal","title":"Global assessment of left ventricle longitudinal strain in patients after acute myocarditis: going further in left ventricular function","container-title":"European Heart Journal","volume":"34","issue":"suppl_1","abstract":"Introduction: The assessment of prognosis following acute myocarditis is still a difficult task. Novel echocardiographic modalities, such as strain measurement added new parameters in evaluating left ventricular (LV) function. The aim of our study was to assess left ventricle (LV) function by longitudinal (L) strain (S) at midterm follow-up in patients after acute myocarditis.Methods: We included 31 subjects, among which 18 patients (pts) admitted consecutively in a tertiary center after an episode of acute myocarditis and 13 healthy controls. Definition of myocarditis was based on clinical, biochemical and cardiac magnetic resonance imaging information. At 12±7 months follow-up pts were revaluated using strain analysis by speckle tracking imaging. At this stage LV function was compared with the control group.Results: Among the patients with acute myocarditis 15 (83%) were men, 4 (22%) pts presented NYHA class III-IV at baseline and at the acute setting LV ejection fraction (EF) was 52±9%. Moderate LV dysfunction (EF &amp;lt;45%) was present in 3 (17%) pts. All pts showed late gadolinium enhancement (LGE), of which, 12 (66.7%) had a subepicardial pattern, and 6 (33.3%) presented subepicardial and intramural pattern. Extension of LGE was assessed in number of affected segments and 9 (50%) pts had less than 3 segments affected, 7 (40%) pts had between 4 and 7 and 2 (11%) pts had between 8 and 10. Oedema in T2 weight imaging was present in 11 (61.1%) pts. At 12±7 months follow-up all pts were revaluated. There were no changes in EF, regardless of LV function at presentation, extension of LGE or oedema in T2 weight imaging. Mean EF was 58±8% and speckle tracking strain analysis revealed GLS of -17.8±3.2%. Comparing these patients with the control group there was no difference regarding values mean EF (58±8% vs 61.8±3.5 p=0.1) neither GLS (-17.8±3.2% vs -18.7±1.8% p=0.9). There were also no differences when comparing GLS with extension LGE in MRI (p=0.36).Conclusions: In pts with myocarditis, LV function was similar to healthy individuals at one year follow-up. GLS, a marker of refined LV function, was normal despite the presence of LGE in MRI at the acute setting. Further studies are in order to better understand the prognostic role of late gadolinium enhancement in these patients.","URL":"https://dx.doi.org/10.1093/eurheartj/eht309.P3869","DOI":"10.1093/eurheartj/eht309.P3869","ISSN":"0195-668X","journalAbbreviation":"European Heart Journal","author":[{"family":"Goncalves","given":"A."},{"family":"Madureira","given":"A."},{"family":"Sousa","given":"C."},{"family":"Martins","given":"E."},{"family":"Macedo","given":"F."},{"family":"Melao","given":"F."},{"family":"Rangel","given":"I."},{"family":"Paiva","given":"M."},{"family":"Maciel","given":"M.J."},{"family":"Pinto","given":"T."}],"issued":{"date-parts":[["2013",8,1]]},"accessed":{"date-parts":[["2019",3,21]]}}}],"schema":"https://github.com/citation-style-language/schema/raw/master/csl-citation.json"} </w:instrText>
      </w:r>
      <w:r w:rsidR="00547006" w:rsidRPr="002D459F">
        <w:rPr>
          <w:rFonts w:ascii="Times New Roman" w:hAnsi="Times New Roman" w:cs="Times New Roman"/>
        </w:rPr>
        <w:fldChar w:fldCharType="separate"/>
      </w:r>
      <w:r w:rsidR="00C96F60" w:rsidRPr="002D459F">
        <w:rPr>
          <w:rFonts w:ascii="Times New Roman" w:hAnsi="Times New Roman" w:cs="Times New Roman"/>
          <w:noProof/>
        </w:rPr>
        <w:t>(37,38)</w:t>
      </w:r>
      <w:r w:rsidR="00547006" w:rsidRPr="002D459F">
        <w:rPr>
          <w:rFonts w:ascii="Times New Roman" w:hAnsi="Times New Roman" w:cs="Times New Roman"/>
        </w:rPr>
        <w:fldChar w:fldCharType="end"/>
      </w:r>
      <w:r w:rsidR="005D3C24" w:rsidRPr="002D459F">
        <w:rPr>
          <w:rFonts w:ascii="Times New Roman" w:hAnsi="Times New Roman" w:cs="Times New Roman"/>
        </w:rPr>
        <w:t>. For example, among patients with heart failure</w:t>
      </w:r>
      <w:r w:rsidR="009D6DC1" w:rsidRPr="002D459F">
        <w:rPr>
          <w:rFonts w:ascii="Times New Roman" w:hAnsi="Times New Roman" w:cs="Times New Roman"/>
        </w:rPr>
        <w:t>, each</w:t>
      </w:r>
      <w:r w:rsidR="00A07A4E" w:rsidRPr="002D459F">
        <w:rPr>
          <w:rFonts w:ascii="Times New Roman" w:hAnsi="Times New Roman" w:cs="Times New Roman"/>
        </w:rPr>
        <w:t xml:space="preserve"> 1% increase in GLS </w:t>
      </w:r>
      <w:r w:rsidR="009D6DC1" w:rsidRPr="002D459F">
        <w:rPr>
          <w:rFonts w:ascii="Times New Roman" w:hAnsi="Times New Roman" w:cs="Times New Roman"/>
        </w:rPr>
        <w:t>is</w:t>
      </w:r>
      <w:r w:rsidR="00A07A4E" w:rsidRPr="002D459F">
        <w:rPr>
          <w:rFonts w:ascii="Times New Roman" w:hAnsi="Times New Roman" w:cs="Times New Roman"/>
        </w:rPr>
        <w:t xml:space="preserve"> associated with a 5% decreased risk of mortality (p &lt; 0.001) </w:t>
      </w:r>
      <w:r w:rsidR="00A07A4E"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D7spIBQ9","properties":{"formattedCitation":"(36)","plainCitation":"(36)","noteIndex":0},"citationItems":[{"id":852,"uris":["http://zotero.org/users/4622338/items/EGFWWFDR"],"uri":["http://zotero.org/users/4622338/items/EGFWWFDR"],"itemData":{"id":852,"type":"article-journal","title":"Global Longitudinal Strain to Predict Mortality in Patients With Acute Heart Failure","container-title":"Journal of the American College of Cardiology","page":"1947-1957","volume":"71","issue":"18","source":"PubMed","abstract":"BACKGROUND: Heart failure (HF) is currently classified according to left ventricular ejection fraction (LVEF); however, the prognostic value of LVEF is controversial. Myocardial strain is a prognostic factor independently of LVEF.\nOBJECTIVES: The authors sought to evaluate the prognostic value of global longitudinal strain (GLS) in patients with HF.\nMETHODS: GLS was measured in 4,172 consecutive patients with acute HF. Patients were categorized as either HF with reduced (LVEF &lt;40%), midrange (LVEF 40% to 49%), or preserved ejection fraction (LVEF ≥50%) and were also classified as having mildly (GLS &gt;12.6%), moderately (8.1% &lt; GLS &lt;12.5%), or severely (GLS ≤8.0%) reduced strain. The primary endpoint was 5-year all-cause mortality.\nRESULTS: Mean GLS was 10.8%, and mean LVEF was 40%. Overall, 1,740 (40.4%) patients had died at 5 years. Patients with reduced ejection fraction had slightly higher mortality than those with midrange or preserved ejection fraction (41%, 38%, and 39%, respectively; log-rank p = 0.031), whereas patients with reduced strain had significantly higher mortality (severely reduced GLS, 49%; moderately reduced GLS, 38%; mildly reduced GLS, 34%; log-rank p &lt; 0.001). In multivariable analysis, each 1% increase in GLS was associated with a 5% decreased risk for mortality (p &lt; 0.001). Patients with moderate (hazard ratio: 1.31; 95% confidence interval: 1.13 to 1.53) and severe GLS reductions (hazard ratio: 1.61; 95% confidence interval: 1.36 to 1.91) had higher mortality, but LVEF was not associated with mortality.\nCONCLUSIONS: In patients with acute HF, GLS has greater prognostic value than LVEF. Therefore, the authors suggest that GLS should be considered as the standard measurement in all patients with HF. This new concept needs validation in further studies.","DOI":"10.1016/j.jacc.2018.02.064","ISSN":"1558-3597","note":"PMID: 29724346","journalAbbreviation":"J. Am. Coll. Cardiol.","language":"eng","author":[{"family":"Park","given":"Jin Joo"},{"family":"Park","given":"Jun-Bean"},{"family":"Park","given":"Jae-Hyeong"},{"family":"Cho","given":"Goo-Yeong"}],"issued":{"date-parts":[["2018",5,8]]}}}],"schema":"https://github.com/citation-style-language/schema/raw/master/csl-citation.json"} </w:instrText>
      </w:r>
      <w:r w:rsidR="00A07A4E" w:rsidRPr="002D459F">
        <w:rPr>
          <w:rFonts w:ascii="Times New Roman" w:hAnsi="Times New Roman" w:cs="Times New Roman"/>
        </w:rPr>
        <w:fldChar w:fldCharType="separate"/>
      </w:r>
      <w:r w:rsidR="00C96F60" w:rsidRPr="002D459F">
        <w:rPr>
          <w:rFonts w:ascii="Times New Roman" w:hAnsi="Times New Roman" w:cs="Times New Roman"/>
          <w:noProof/>
        </w:rPr>
        <w:t>(36)</w:t>
      </w:r>
      <w:r w:rsidR="00A07A4E" w:rsidRPr="002D459F">
        <w:rPr>
          <w:rFonts w:ascii="Times New Roman" w:hAnsi="Times New Roman" w:cs="Times New Roman"/>
        </w:rPr>
        <w:fldChar w:fldCharType="end"/>
      </w:r>
      <w:r w:rsidR="00A07A4E" w:rsidRPr="002D459F">
        <w:rPr>
          <w:rFonts w:ascii="Times New Roman" w:hAnsi="Times New Roman" w:cs="Times New Roman"/>
        </w:rPr>
        <w:t>.</w:t>
      </w:r>
      <w:r w:rsidR="009D6DC1" w:rsidRPr="002D459F">
        <w:rPr>
          <w:rFonts w:ascii="Times New Roman" w:hAnsi="Times New Roman" w:cs="Times New Roman"/>
        </w:rPr>
        <w:t xml:space="preserve"> </w:t>
      </w:r>
      <w:r w:rsidR="00A07A4E" w:rsidRPr="002D459F">
        <w:rPr>
          <w:rFonts w:ascii="Times New Roman" w:hAnsi="Times New Roman" w:cs="Times New Roman"/>
        </w:rPr>
        <w:t xml:space="preserve">In this report, </w:t>
      </w:r>
      <w:r w:rsidR="005B2931" w:rsidRPr="002D459F">
        <w:rPr>
          <w:rFonts w:ascii="Times New Roman" w:hAnsi="Times New Roman" w:cs="Times New Roman"/>
        </w:rPr>
        <w:t xml:space="preserve">GLS was found to be </w:t>
      </w:r>
      <w:r w:rsidR="00377AE0" w:rsidRPr="002D459F">
        <w:rPr>
          <w:rFonts w:ascii="Times New Roman" w:hAnsi="Times New Roman" w:cs="Times New Roman"/>
        </w:rPr>
        <w:t xml:space="preserve">predictive of MACE among cases with </w:t>
      </w:r>
      <w:r w:rsidR="0039043A" w:rsidRPr="002D459F">
        <w:rPr>
          <w:rFonts w:ascii="Times New Roman" w:hAnsi="Times New Roman" w:cs="Times New Roman"/>
        </w:rPr>
        <w:t xml:space="preserve">either a </w:t>
      </w:r>
      <w:r w:rsidR="00377AE0" w:rsidRPr="002D459F">
        <w:rPr>
          <w:rFonts w:ascii="Times New Roman" w:hAnsi="Times New Roman" w:cs="Times New Roman"/>
        </w:rPr>
        <w:t xml:space="preserve">preserved </w:t>
      </w:r>
      <w:r w:rsidR="0039043A" w:rsidRPr="002D459F">
        <w:rPr>
          <w:rFonts w:ascii="Times New Roman" w:hAnsi="Times New Roman" w:cs="Times New Roman"/>
        </w:rPr>
        <w:t xml:space="preserve">or a </w:t>
      </w:r>
      <w:r w:rsidR="00377AE0" w:rsidRPr="002D459F">
        <w:rPr>
          <w:rFonts w:ascii="Times New Roman" w:hAnsi="Times New Roman" w:cs="Times New Roman"/>
        </w:rPr>
        <w:t xml:space="preserve">reduced EF. The </w:t>
      </w:r>
      <w:r w:rsidR="009D6DC1" w:rsidRPr="002D459F">
        <w:rPr>
          <w:rFonts w:ascii="Times New Roman" w:hAnsi="Times New Roman" w:cs="Times New Roman"/>
        </w:rPr>
        <w:t xml:space="preserve">magnitude of the </w:t>
      </w:r>
      <w:r w:rsidR="00377AE0" w:rsidRPr="002D459F">
        <w:rPr>
          <w:rFonts w:ascii="Times New Roman" w:hAnsi="Times New Roman" w:cs="Times New Roman"/>
        </w:rPr>
        <w:t xml:space="preserve">decrease in GLS </w:t>
      </w:r>
      <w:r w:rsidR="006D711D" w:rsidRPr="002D459F">
        <w:rPr>
          <w:rFonts w:ascii="Times New Roman" w:hAnsi="Times New Roman" w:cs="Times New Roman"/>
        </w:rPr>
        <w:t xml:space="preserve">in our study also </w:t>
      </w:r>
      <w:r w:rsidR="00377AE0" w:rsidRPr="002D459F">
        <w:rPr>
          <w:rFonts w:ascii="Times New Roman" w:hAnsi="Times New Roman" w:cs="Times New Roman"/>
        </w:rPr>
        <w:t>had prognostic significance, where each 1% reduction was associated with a 1.</w:t>
      </w:r>
      <w:r w:rsidR="009D6DC1" w:rsidRPr="002D459F">
        <w:rPr>
          <w:rFonts w:ascii="Times New Roman" w:hAnsi="Times New Roman" w:cs="Times New Roman"/>
        </w:rPr>
        <w:t>5-</w:t>
      </w:r>
      <w:r w:rsidR="00377AE0" w:rsidRPr="002D459F">
        <w:rPr>
          <w:rFonts w:ascii="Times New Roman" w:hAnsi="Times New Roman" w:cs="Times New Roman"/>
        </w:rPr>
        <w:t>fold increase in MACE among cases with reduced EF and a 4.</w:t>
      </w:r>
      <w:r w:rsidR="009D6DC1" w:rsidRPr="002D459F">
        <w:rPr>
          <w:rFonts w:ascii="Times New Roman" w:hAnsi="Times New Roman" w:cs="Times New Roman"/>
        </w:rPr>
        <w:t>4-</w:t>
      </w:r>
      <w:r w:rsidR="00377AE0" w:rsidRPr="002D459F">
        <w:rPr>
          <w:rFonts w:ascii="Times New Roman" w:hAnsi="Times New Roman" w:cs="Times New Roman"/>
        </w:rPr>
        <w:t xml:space="preserve">fold increase in MACE in those with a preserved EF. </w:t>
      </w:r>
      <w:r w:rsidR="009D6DC1" w:rsidRPr="002D459F">
        <w:rPr>
          <w:rFonts w:ascii="Times New Roman" w:hAnsi="Times New Roman" w:cs="Times New Roman"/>
        </w:rPr>
        <w:t xml:space="preserve">These findings may have </w:t>
      </w:r>
      <w:r w:rsidR="006D711D" w:rsidRPr="002D459F">
        <w:rPr>
          <w:rFonts w:ascii="Times New Roman" w:hAnsi="Times New Roman" w:cs="Times New Roman"/>
        </w:rPr>
        <w:t xml:space="preserve">treatment </w:t>
      </w:r>
      <w:r w:rsidR="009D6DC1" w:rsidRPr="002D459F">
        <w:rPr>
          <w:rFonts w:ascii="Times New Roman" w:hAnsi="Times New Roman" w:cs="Times New Roman"/>
        </w:rPr>
        <w:t>implications. The standard primary therapy for ICI myocarditis is high-dose immunosuppression with steroids. Initial data suggested the high-dose steroids may be safe and do not affect anti-cancer efficacy</w:t>
      </w:r>
      <w:r w:rsidR="006D711D" w:rsidRPr="002D459F">
        <w:rPr>
          <w:rFonts w:ascii="Times New Roman" w:hAnsi="Times New Roman" w:cs="Times New Roman"/>
        </w:rPr>
        <w:t xml:space="preserve"> </w:t>
      </w:r>
      <w:r w:rsidR="00F41A75" w:rsidRPr="002D459F">
        <w:rPr>
          <w:rFonts w:ascii="Times New Roman" w:hAnsi="Times New Roman" w:cs="Times New Roman"/>
        </w:rPr>
        <w:fldChar w:fldCharType="begin"/>
      </w:r>
      <w:r w:rsidR="006433DB" w:rsidRPr="002D459F">
        <w:rPr>
          <w:rFonts w:ascii="Times New Roman" w:hAnsi="Times New Roman" w:cs="Times New Roman"/>
        </w:rPr>
        <w:instrText xml:space="preserve"> ADDIN ZOTERO_ITEM CSL_CITATION {"citationID":"TNahmlQf","properties":{"formattedCitation":"(39)","plainCitation":"(39)","noteIndex":0},"citationItems":[{"id":1225,"uris":["http://zotero.org/users/4622338/items/Z2WFJ6CU"],"uri":["http://zotero.org/users/4622338/items/Z2WFJ6CU"],"itemData":{"id":1225,"type":"article-journal","title":"Management of toxicities from immunotherapy: ESMO Clinical Practice Guidelines for diagnosis, treatment and follow-up","container-title":"Annals of Oncology","page":"iv119-iv142","volume":"28","issue":"suppl_4","source":"PubMed","DOI":"10.1093/annonc/mdx225","ISSN":"1569-8041","note":"PMID: 28881921","title-short":"Management of toxicities from immunotherapy","journalAbbreviation":"Ann. Oncol.","language":"eng","author":[{"family":"Haanen","given":"J. B. a. G."},{"family":"Carbonnel","given":"F."},{"family":"Robert","given":"C."},{"family":"Kerr","given":"K. M."},{"family":"Peters","given":"S."},{"family":"Larkin","given":"J."},{"family":"Jordan","given":"K."},{"literal":"ESMO Guidelines Committee"}],"issued":{"date-parts":[["2017",7,1]]}}}],"schema":"https://github.com/citation-style-language/schema/raw/master/csl-citation.json"} </w:instrText>
      </w:r>
      <w:r w:rsidR="00F41A75" w:rsidRPr="002D459F">
        <w:rPr>
          <w:rFonts w:ascii="Times New Roman" w:hAnsi="Times New Roman" w:cs="Times New Roman"/>
        </w:rPr>
        <w:fldChar w:fldCharType="separate"/>
      </w:r>
      <w:r w:rsidR="00C96F60" w:rsidRPr="002D459F">
        <w:rPr>
          <w:rFonts w:ascii="Times New Roman" w:hAnsi="Times New Roman" w:cs="Times New Roman"/>
          <w:noProof/>
        </w:rPr>
        <w:t>(39)</w:t>
      </w:r>
      <w:r w:rsidR="00F41A75" w:rsidRPr="002D459F">
        <w:rPr>
          <w:rFonts w:ascii="Times New Roman" w:hAnsi="Times New Roman" w:cs="Times New Roman"/>
        </w:rPr>
        <w:fldChar w:fldCharType="end"/>
      </w:r>
      <w:r w:rsidR="009D6DC1" w:rsidRPr="002D459F">
        <w:rPr>
          <w:rFonts w:ascii="Times New Roman" w:hAnsi="Times New Roman" w:cs="Times New Roman"/>
        </w:rPr>
        <w:t>; however, recent data suggest caution where very high-dose immunosuppression may be associated with worse cancer outcomes</w:t>
      </w:r>
      <w:r w:rsidR="00217EF5" w:rsidRPr="002D459F">
        <w:rPr>
          <w:rFonts w:ascii="Times New Roman" w:hAnsi="Times New Roman" w:cs="Times New Roman"/>
        </w:rPr>
        <w:t xml:space="preserve"> </w:t>
      </w:r>
      <w:r w:rsidR="00217EF5" w:rsidRPr="002D459F">
        <w:rPr>
          <w:rFonts w:ascii="Times New Roman" w:hAnsi="Times New Roman" w:cs="Times New Roman"/>
        </w:rPr>
        <w:fldChar w:fldCharType="begin"/>
      </w:r>
      <w:r w:rsidR="00C96F60" w:rsidRPr="002D459F">
        <w:rPr>
          <w:rFonts w:ascii="Times New Roman" w:hAnsi="Times New Roman" w:cs="Times New Roman"/>
        </w:rPr>
        <w:instrText xml:space="preserve"> ADDIN ZOTERO_ITEM CSL_CITATION {"citationID":"5u7beslD","properties":{"formattedCitation":"(40)","plainCitation":"(40)","noteIndex":0},"citationItems":[{"id":1077,"uris":["http://zotero.org/users/4622338/items/793T59KD"],"uri":["http://zotero.org/users/4622338/items/793T59KD"],"itemData":{"id":1077,"type":"article-journal","title":"Mechanisms of Resistance to Immune Checkpoint Blockade","container-title":"American Journal of Clinical Dermatology","page":"41-54","volume":"20","issue":"1","source":"PubMed","abstract":"The recent development of effective immune checkpoint inhibition (ICI), first demonstrated in melanoma, has revolutionized cancer treatment. Monoclonal antibodies blocking the immune checkpoints cytotoxic T lymphocyte-associated antigen 4 (CTLA-4) and programmed death 1 receptor (PD-1) have shown substantial clinical benefit in a subset of patients across tumor types and in both the metastatic and adjuvant settings. In this article, we review the interaction between the immune system and solid tumors, and describe modes of immune response failure and the physiologic role of immune checkpoints. We also review the known mechanisms of immune checkpoint inhibitors, focusing on US FDA-approved agents targeting CTLA-4 and PD-1. Within this framework, we classify hypothesized tumor intrinsic and extrinsic predictive markers for response and resistance to ICI, and map them to their putative underlying biological mechanism. Finally, we outline future directions in ICI, including the development of new therapeutic targets, rational combination therapies, integrated predictive models for individual patients to optimize therapy, and expansion into different disease types.","DOI":"10.1007/s40257-018-0389-y","ISSN":"1179-1888","note":"PMID: 30259383\nPMCID: PMC6358473","journalAbbreviation":"Am J Clin Dermatol","language":"eng","author":[{"family":"Liu","given":"David"},{"family":"Jenkins","given":"Russell W."},{"family":"Sullivan","given":"Ryan J."}],"issued":{"date-parts":[["2019",2]]}}}],"schema":"https://github.com/citation-style-language/schema/raw/master/csl-citation.json"} </w:instrText>
      </w:r>
      <w:r w:rsidR="00217EF5" w:rsidRPr="002D459F">
        <w:rPr>
          <w:rFonts w:ascii="Times New Roman" w:hAnsi="Times New Roman" w:cs="Times New Roman"/>
        </w:rPr>
        <w:fldChar w:fldCharType="separate"/>
      </w:r>
      <w:r w:rsidR="00C96F60" w:rsidRPr="002D459F">
        <w:rPr>
          <w:rFonts w:ascii="Times New Roman" w:hAnsi="Times New Roman" w:cs="Times New Roman"/>
          <w:noProof/>
        </w:rPr>
        <w:t>(40)</w:t>
      </w:r>
      <w:r w:rsidR="00217EF5" w:rsidRPr="002D459F">
        <w:rPr>
          <w:rFonts w:ascii="Times New Roman" w:hAnsi="Times New Roman" w:cs="Times New Roman"/>
        </w:rPr>
        <w:fldChar w:fldCharType="end"/>
      </w:r>
      <w:r w:rsidR="009D6DC1" w:rsidRPr="002D459F">
        <w:rPr>
          <w:rFonts w:ascii="Times New Roman" w:hAnsi="Times New Roman" w:cs="Times New Roman"/>
        </w:rPr>
        <w:t xml:space="preserve">. Therefore, the use of GLS may allow the identification of a group of patients at lower risk of subsequent adverse cardiac events and </w:t>
      </w:r>
      <w:r w:rsidR="00801D75" w:rsidRPr="002D459F">
        <w:rPr>
          <w:rFonts w:ascii="Times New Roman" w:hAnsi="Times New Roman" w:cs="Times New Roman"/>
        </w:rPr>
        <w:t xml:space="preserve">help avoid unnecessary </w:t>
      </w:r>
      <w:r w:rsidR="009D6DC1" w:rsidRPr="002D459F">
        <w:rPr>
          <w:rFonts w:ascii="Times New Roman" w:hAnsi="Times New Roman" w:cs="Times New Roman"/>
        </w:rPr>
        <w:t xml:space="preserve">immunosuppression. </w:t>
      </w:r>
    </w:p>
    <w:p w14:paraId="6E20ADA9" w14:textId="2710C83B" w:rsidR="001C324D" w:rsidRPr="002D459F" w:rsidRDefault="001F2663" w:rsidP="002D459F">
      <w:pPr>
        <w:spacing w:line="480" w:lineRule="auto"/>
        <w:rPr>
          <w:rFonts w:ascii="Times New Roman" w:hAnsi="Times New Roman" w:cs="Times New Roman"/>
          <w:b/>
        </w:rPr>
      </w:pPr>
      <w:r w:rsidRPr="002D459F">
        <w:rPr>
          <w:rFonts w:ascii="Times New Roman" w:hAnsi="Times New Roman" w:cs="Times New Roman"/>
          <w:b/>
        </w:rPr>
        <w:t>Limitations</w:t>
      </w:r>
    </w:p>
    <w:p w14:paraId="0DA0F041" w14:textId="1E625F58" w:rsidR="004E412E" w:rsidRPr="002D459F" w:rsidRDefault="004E412E" w:rsidP="002D459F">
      <w:pPr>
        <w:spacing w:line="480" w:lineRule="auto"/>
        <w:rPr>
          <w:rFonts w:ascii="Times New Roman" w:hAnsi="Times New Roman" w:cs="Times New Roman"/>
        </w:rPr>
      </w:pPr>
      <w:r w:rsidRPr="002D459F">
        <w:rPr>
          <w:rFonts w:ascii="Times New Roman" w:hAnsi="Times New Roman" w:cs="Times New Roman"/>
        </w:rPr>
        <w:t xml:space="preserve">This study needs to be interpreted within the context of the study design. Myocarditis with ICI’s is uncommon and with an uncommon adverse event, a </w:t>
      </w:r>
      <w:r w:rsidR="0039043A" w:rsidRPr="002D459F">
        <w:rPr>
          <w:rFonts w:ascii="Times New Roman" w:hAnsi="Times New Roman" w:cs="Times New Roman"/>
        </w:rPr>
        <w:t xml:space="preserve">multicenter international </w:t>
      </w:r>
      <w:r w:rsidRPr="002D459F">
        <w:rPr>
          <w:rFonts w:ascii="Times New Roman" w:hAnsi="Times New Roman" w:cs="Times New Roman"/>
        </w:rPr>
        <w:t>registry</w:t>
      </w:r>
      <w:r w:rsidR="00055E76" w:rsidRPr="002D459F">
        <w:rPr>
          <w:rFonts w:ascii="Times New Roman" w:hAnsi="Times New Roman" w:cs="Times New Roman"/>
        </w:rPr>
        <w:t>, as compared to a prospective study,</w:t>
      </w:r>
      <w:r w:rsidRPr="002D459F">
        <w:rPr>
          <w:rFonts w:ascii="Times New Roman" w:hAnsi="Times New Roman" w:cs="Times New Roman"/>
        </w:rPr>
        <w:t xml:space="preserve"> represents the most practical method to provide initial insights. </w:t>
      </w:r>
      <w:bookmarkStart w:id="7" w:name="_Hlk11745693"/>
      <w:r w:rsidR="006E3A36" w:rsidRPr="002D459F">
        <w:rPr>
          <w:rFonts w:ascii="Times New Roman" w:hAnsi="Times New Roman" w:cs="Times New Roman"/>
        </w:rPr>
        <w:t xml:space="preserve">However, the use of echocardiography varies by center. </w:t>
      </w:r>
      <w:r w:rsidR="00B66BE3" w:rsidRPr="002D459F">
        <w:rPr>
          <w:rFonts w:ascii="Times New Roman" w:hAnsi="Times New Roman" w:cs="Times New Roman"/>
        </w:rPr>
        <w:t>For example, n</w:t>
      </w:r>
      <w:r w:rsidR="006E3A36" w:rsidRPr="002D459F">
        <w:rPr>
          <w:rFonts w:ascii="Times New Roman" w:hAnsi="Times New Roman" w:cs="Times New Roman"/>
        </w:rPr>
        <w:t>ot all patients in this multicenter registry</w:t>
      </w:r>
      <w:r w:rsidR="002B2ED8" w:rsidRPr="002D459F">
        <w:rPr>
          <w:rFonts w:ascii="Times New Roman" w:hAnsi="Times New Roman" w:cs="Times New Roman"/>
        </w:rPr>
        <w:t xml:space="preserve"> </w:t>
      </w:r>
      <w:r w:rsidR="006E3A36" w:rsidRPr="002D459F">
        <w:rPr>
          <w:rFonts w:ascii="Times New Roman" w:hAnsi="Times New Roman" w:cs="Times New Roman"/>
        </w:rPr>
        <w:t>ha</w:t>
      </w:r>
      <w:r w:rsidR="00395DA0" w:rsidRPr="002D459F">
        <w:rPr>
          <w:rFonts w:ascii="Times New Roman" w:hAnsi="Times New Roman" w:cs="Times New Roman"/>
        </w:rPr>
        <w:t>d</w:t>
      </w:r>
      <w:r w:rsidR="006E3A36" w:rsidRPr="002D459F">
        <w:rPr>
          <w:rFonts w:ascii="Times New Roman" w:hAnsi="Times New Roman" w:cs="Times New Roman"/>
        </w:rPr>
        <w:t xml:space="preserve"> a measure of GLS performed prior to starting ICI and </w:t>
      </w:r>
      <w:r w:rsidR="002B2ED8" w:rsidRPr="002D459F">
        <w:rPr>
          <w:rFonts w:ascii="Times New Roman" w:hAnsi="Times New Roman" w:cs="Times New Roman"/>
        </w:rPr>
        <w:t>among controls reasons why some had a TTE and others did not were physician dependent.</w:t>
      </w:r>
      <w:bookmarkEnd w:id="7"/>
      <w:r w:rsidR="00395DA0" w:rsidRPr="002D459F">
        <w:rPr>
          <w:rFonts w:ascii="Times New Roman" w:hAnsi="Times New Roman" w:cs="Times New Roman"/>
        </w:rPr>
        <w:t xml:space="preserve"> Also, </w:t>
      </w:r>
      <w:r w:rsidR="006E3A36" w:rsidRPr="002D459F">
        <w:rPr>
          <w:rFonts w:ascii="Times New Roman" w:hAnsi="Times New Roman" w:cs="Times New Roman"/>
        </w:rPr>
        <w:t>patients who developed myocarditis did not routinely have serial echocardiograms performe</w:t>
      </w:r>
      <w:r w:rsidR="002069A2" w:rsidRPr="002D459F">
        <w:rPr>
          <w:rFonts w:ascii="Times New Roman" w:hAnsi="Times New Roman" w:cs="Times New Roman"/>
        </w:rPr>
        <w:t xml:space="preserve">d and thus it was not possible </w:t>
      </w:r>
      <w:r w:rsidR="006E3A36" w:rsidRPr="002D459F">
        <w:rPr>
          <w:rFonts w:ascii="Times New Roman" w:hAnsi="Times New Roman" w:cs="Times New Roman"/>
        </w:rPr>
        <w:t xml:space="preserve">determine if the GLS decrease occurred prior to the development of myocarditis. </w:t>
      </w:r>
      <w:bookmarkStart w:id="8" w:name="_Hlk11750891"/>
      <w:bookmarkStart w:id="9" w:name="_Hlk11750957"/>
      <w:r w:rsidR="002D5563" w:rsidRPr="002D459F">
        <w:rPr>
          <w:rFonts w:ascii="Times New Roman" w:hAnsi="Times New Roman" w:cs="Times New Roman"/>
        </w:rPr>
        <w:t xml:space="preserve">Whilst GLS may help identify those at higher or lower risk of ICI-myocarditis, changes in GLS may occur due to </w:t>
      </w:r>
      <w:r w:rsidR="00DB260B" w:rsidRPr="002D459F">
        <w:rPr>
          <w:rFonts w:ascii="Times New Roman" w:hAnsi="Times New Roman" w:cs="Times New Roman"/>
        </w:rPr>
        <w:t>cardiovascular disease</w:t>
      </w:r>
      <w:r w:rsidR="002D5563" w:rsidRPr="002D459F">
        <w:rPr>
          <w:rFonts w:ascii="Times New Roman" w:hAnsi="Times New Roman" w:cs="Times New Roman"/>
        </w:rPr>
        <w:t xml:space="preserve"> that would not be treated with immunosuppression </w:t>
      </w:r>
      <w:r w:rsidR="00843533" w:rsidRPr="002D459F">
        <w:rPr>
          <w:rFonts w:ascii="Times New Roman" w:hAnsi="Times New Roman" w:cs="Times New Roman"/>
        </w:rPr>
        <w:t xml:space="preserve">treatment of ICI-myocarditis </w:t>
      </w:r>
      <w:r w:rsidR="002D5563" w:rsidRPr="002D459F">
        <w:rPr>
          <w:rFonts w:ascii="Times New Roman" w:hAnsi="Times New Roman" w:cs="Times New Roman"/>
        </w:rPr>
        <w:t xml:space="preserve">such as coronary artery disease, heart failure or cardiotoxicity from radiation therapy or </w:t>
      </w:r>
      <w:r w:rsidR="00843533" w:rsidRPr="002D459F">
        <w:rPr>
          <w:rFonts w:ascii="Times New Roman" w:hAnsi="Times New Roman" w:cs="Times New Roman"/>
        </w:rPr>
        <w:t>standard chemotherapeutic agents such as anthracyclines.</w:t>
      </w:r>
      <w:bookmarkEnd w:id="8"/>
      <w:r w:rsidR="00843533" w:rsidRPr="002D459F">
        <w:rPr>
          <w:rFonts w:ascii="Times New Roman" w:hAnsi="Times New Roman" w:cs="Times New Roman"/>
        </w:rPr>
        <w:t xml:space="preserve"> </w:t>
      </w:r>
      <w:bookmarkEnd w:id="9"/>
      <w:r w:rsidR="0039043A" w:rsidRPr="002D459F">
        <w:rPr>
          <w:rFonts w:ascii="Times New Roman" w:hAnsi="Times New Roman" w:cs="Times New Roman"/>
        </w:rPr>
        <w:t xml:space="preserve">Additionally, while </w:t>
      </w:r>
      <w:r w:rsidR="00427C49" w:rsidRPr="002D459F">
        <w:rPr>
          <w:rFonts w:ascii="Times New Roman" w:hAnsi="Times New Roman" w:cs="Times New Roman"/>
        </w:rPr>
        <w:t>GLS provided prognostic i</w:t>
      </w:r>
      <w:r w:rsidR="009D00CC" w:rsidRPr="002D459F">
        <w:rPr>
          <w:rFonts w:ascii="Times New Roman" w:hAnsi="Times New Roman" w:cs="Times New Roman"/>
        </w:rPr>
        <w:t>n</w:t>
      </w:r>
      <w:r w:rsidR="00427C49" w:rsidRPr="002D459F">
        <w:rPr>
          <w:rFonts w:ascii="Times New Roman" w:hAnsi="Times New Roman" w:cs="Times New Roman"/>
        </w:rPr>
        <w:t>formation beyond measurement of GLS in patients with a preserved and a reduced EF</w:t>
      </w:r>
      <w:r w:rsidR="0039043A" w:rsidRPr="002D459F">
        <w:rPr>
          <w:rFonts w:ascii="Times New Roman" w:hAnsi="Times New Roman" w:cs="Times New Roman"/>
        </w:rPr>
        <w:t xml:space="preserve">, </w:t>
      </w:r>
      <w:r w:rsidR="00427C49" w:rsidRPr="002D459F">
        <w:rPr>
          <w:rFonts w:ascii="Times New Roman" w:hAnsi="Times New Roman" w:cs="Times New Roman"/>
        </w:rPr>
        <w:t xml:space="preserve">the modest number of events in each </w:t>
      </w:r>
      <w:r w:rsidR="000962BC" w:rsidRPr="002D459F">
        <w:rPr>
          <w:rFonts w:ascii="Times New Roman" w:hAnsi="Times New Roman" w:cs="Times New Roman"/>
        </w:rPr>
        <w:t>stratum</w:t>
      </w:r>
      <w:r w:rsidR="00427C49" w:rsidRPr="002D459F">
        <w:rPr>
          <w:rFonts w:ascii="Times New Roman" w:hAnsi="Times New Roman" w:cs="Times New Roman"/>
        </w:rPr>
        <w:t xml:space="preserve"> precluded the addition of other covariates such as the presence of diabetes, the occurrence of other irAE’s and the use of combination ICI therapy. </w:t>
      </w:r>
    </w:p>
    <w:p w14:paraId="1044FA70" w14:textId="6AF485B5" w:rsidR="00427C49" w:rsidRPr="002D459F" w:rsidRDefault="00BC1F3C" w:rsidP="002D459F">
      <w:pPr>
        <w:spacing w:line="480" w:lineRule="auto"/>
        <w:rPr>
          <w:rFonts w:ascii="Times New Roman" w:hAnsi="Times New Roman" w:cs="Times New Roman"/>
          <w:b/>
        </w:rPr>
      </w:pPr>
      <w:r w:rsidRPr="002D459F">
        <w:rPr>
          <w:rFonts w:ascii="Times New Roman" w:hAnsi="Times New Roman" w:cs="Times New Roman"/>
          <w:b/>
        </w:rPr>
        <w:t>Conclusion</w:t>
      </w:r>
    </w:p>
    <w:p w14:paraId="565FFCF6" w14:textId="51807FED" w:rsidR="009D6DC1" w:rsidRPr="002D459F" w:rsidRDefault="00055E76" w:rsidP="002D459F">
      <w:pPr>
        <w:spacing w:line="480" w:lineRule="auto"/>
        <w:rPr>
          <w:rFonts w:ascii="Times New Roman" w:hAnsi="Times New Roman" w:cs="Times New Roman"/>
        </w:rPr>
      </w:pPr>
      <w:r w:rsidRPr="002D459F">
        <w:rPr>
          <w:rFonts w:ascii="Times New Roman" w:hAnsi="Times New Roman" w:cs="Times New Roman"/>
        </w:rPr>
        <w:t xml:space="preserve">Among patients with ICI myocarditis, </w:t>
      </w:r>
      <w:r w:rsidR="00427C49" w:rsidRPr="002D459F">
        <w:rPr>
          <w:rFonts w:ascii="Times New Roman" w:hAnsi="Times New Roman" w:cs="Times New Roman"/>
        </w:rPr>
        <w:t xml:space="preserve">GLS is reduced </w:t>
      </w:r>
      <w:r w:rsidRPr="002D459F">
        <w:rPr>
          <w:rFonts w:ascii="Times New Roman" w:hAnsi="Times New Roman" w:cs="Times New Roman"/>
        </w:rPr>
        <w:t xml:space="preserve">and the </w:t>
      </w:r>
      <w:r w:rsidR="00427C49" w:rsidRPr="002D459F">
        <w:rPr>
          <w:rFonts w:ascii="Times New Roman" w:hAnsi="Times New Roman" w:cs="Times New Roman"/>
        </w:rPr>
        <w:t>GLS with myocarditis is lower (among patients presenting with both a preserved and reduced EF)</w:t>
      </w:r>
      <w:r w:rsidR="005F058E" w:rsidRPr="002D459F">
        <w:rPr>
          <w:rFonts w:ascii="Times New Roman" w:hAnsi="Times New Roman" w:cs="Times New Roman"/>
        </w:rPr>
        <w:t>.</w:t>
      </w:r>
      <w:r w:rsidRPr="002D459F">
        <w:rPr>
          <w:rFonts w:ascii="Times New Roman" w:hAnsi="Times New Roman" w:cs="Times New Roman"/>
        </w:rPr>
        <w:t xml:space="preserve"> In follow-up, </w:t>
      </w:r>
      <w:r w:rsidR="00427C49" w:rsidRPr="002D459F">
        <w:rPr>
          <w:rFonts w:ascii="Times New Roman" w:hAnsi="Times New Roman" w:cs="Times New Roman"/>
        </w:rPr>
        <w:t xml:space="preserve">the decrease in GLS is strongly associated with major adverse cardiac events </w:t>
      </w:r>
      <w:r w:rsidR="00C1741F" w:rsidRPr="002D459F">
        <w:rPr>
          <w:rFonts w:ascii="Times New Roman" w:hAnsi="Times New Roman" w:cs="Times New Roman"/>
        </w:rPr>
        <w:t xml:space="preserve">in ICI </w:t>
      </w:r>
      <w:r w:rsidR="00427C49" w:rsidRPr="002D459F">
        <w:rPr>
          <w:rFonts w:ascii="Times New Roman" w:hAnsi="Times New Roman" w:cs="Times New Roman"/>
        </w:rPr>
        <w:t>myocarditis</w:t>
      </w:r>
      <w:r w:rsidRPr="002D459F">
        <w:rPr>
          <w:rFonts w:ascii="Times New Roman" w:hAnsi="Times New Roman" w:cs="Times New Roman"/>
        </w:rPr>
        <w:t xml:space="preserve">, </w:t>
      </w:r>
      <w:r w:rsidR="0039043A" w:rsidRPr="002D459F">
        <w:rPr>
          <w:rFonts w:ascii="Times New Roman" w:hAnsi="Times New Roman" w:cs="Times New Roman"/>
        </w:rPr>
        <w:t xml:space="preserve">and, importantly, among </w:t>
      </w:r>
      <w:r w:rsidRPr="002D459F">
        <w:rPr>
          <w:rFonts w:ascii="Times New Roman" w:hAnsi="Times New Roman" w:cs="Times New Roman"/>
        </w:rPr>
        <w:t xml:space="preserve">those with a preserved EF. </w:t>
      </w:r>
      <w:r w:rsidR="00427C49" w:rsidRPr="002D459F">
        <w:rPr>
          <w:rFonts w:ascii="Times New Roman" w:hAnsi="Times New Roman" w:cs="Times New Roman"/>
        </w:rPr>
        <w:t xml:space="preserve">Additional work is needed to test if the GLS decrease occurs prior to the </w:t>
      </w:r>
      <w:r w:rsidR="00A13F1F" w:rsidRPr="002D459F">
        <w:rPr>
          <w:rFonts w:ascii="Times New Roman" w:hAnsi="Times New Roman" w:cs="Times New Roman"/>
        </w:rPr>
        <w:t>development</w:t>
      </w:r>
      <w:r w:rsidR="00427C49" w:rsidRPr="002D459F">
        <w:rPr>
          <w:rFonts w:ascii="Times New Roman" w:hAnsi="Times New Roman" w:cs="Times New Roman"/>
        </w:rPr>
        <w:t xml:space="preserve"> of clinical myocarditis</w:t>
      </w:r>
      <w:r w:rsidR="006D711D" w:rsidRPr="002D459F">
        <w:rPr>
          <w:rFonts w:ascii="Times New Roman" w:hAnsi="Times New Roman" w:cs="Times New Roman"/>
        </w:rPr>
        <w:t>, can provide an early method of detection,</w:t>
      </w:r>
      <w:r w:rsidR="00427C49" w:rsidRPr="002D459F">
        <w:rPr>
          <w:rFonts w:ascii="Times New Roman" w:hAnsi="Times New Roman" w:cs="Times New Roman"/>
        </w:rPr>
        <w:t xml:space="preserve"> and whether tailoring </w:t>
      </w:r>
      <w:r w:rsidRPr="002D459F">
        <w:rPr>
          <w:rFonts w:ascii="Times New Roman" w:hAnsi="Times New Roman" w:cs="Times New Roman"/>
        </w:rPr>
        <w:t xml:space="preserve">immunosuppressive </w:t>
      </w:r>
      <w:r w:rsidR="00427C49" w:rsidRPr="002D459F">
        <w:rPr>
          <w:rFonts w:ascii="Times New Roman" w:hAnsi="Times New Roman" w:cs="Times New Roman"/>
        </w:rPr>
        <w:t xml:space="preserve">therapy based on the measurement of GLS at presentation with myocarditis </w:t>
      </w:r>
      <w:r w:rsidRPr="002D459F">
        <w:rPr>
          <w:rFonts w:ascii="Times New Roman" w:hAnsi="Times New Roman" w:cs="Times New Roman"/>
        </w:rPr>
        <w:t xml:space="preserve">may be </w:t>
      </w:r>
      <w:r w:rsidR="00427C49" w:rsidRPr="002D459F">
        <w:rPr>
          <w:rFonts w:ascii="Times New Roman" w:hAnsi="Times New Roman" w:cs="Times New Roman"/>
        </w:rPr>
        <w:t>of value in decreasing the marked morbidity and mortality associated with ICI myocarditis</w:t>
      </w:r>
      <w:r w:rsidR="009D6DC1" w:rsidRPr="002D459F">
        <w:rPr>
          <w:rFonts w:ascii="Times New Roman" w:hAnsi="Times New Roman" w:cs="Times New Roman"/>
        </w:rPr>
        <w:t xml:space="preserve"> while not compromising the anti-tumor efficacy</w:t>
      </w:r>
      <w:r w:rsidR="00427C49" w:rsidRPr="002D459F">
        <w:rPr>
          <w:rFonts w:ascii="Times New Roman" w:hAnsi="Times New Roman" w:cs="Times New Roman"/>
        </w:rPr>
        <w:t xml:space="preserve">. </w:t>
      </w:r>
    </w:p>
    <w:p w14:paraId="5DA823DD" w14:textId="77777777" w:rsidR="0065041C" w:rsidRPr="002D459F" w:rsidRDefault="0065041C" w:rsidP="002D459F">
      <w:pPr>
        <w:spacing w:line="480" w:lineRule="auto"/>
        <w:rPr>
          <w:rFonts w:ascii="Times New Roman" w:hAnsi="Times New Roman" w:cs="Times New Roman"/>
        </w:rPr>
      </w:pPr>
    </w:p>
    <w:p w14:paraId="4F806C8C" w14:textId="77777777" w:rsidR="002D459F" w:rsidRDefault="002D459F" w:rsidP="002D459F">
      <w:pPr>
        <w:spacing w:line="480" w:lineRule="auto"/>
        <w:rPr>
          <w:rFonts w:ascii="Times New Roman" w:hAnsi="Times New Roman" w:cs="Times New Roman"/>
          <w:b/>
        </w:rPr>
      </w:pPr>
      <w:r>
        <w:rPr>
          <w:rFonts w:ascii="Times New Roman" w:hAnsi="Times New Roman" w:cs="Times New Roman"/>
          <w:b/>
        </w:rPr>
        <w:br w:type="page"/>
      </w:r>
    </w:p>
    <w:p w14:paraId="771E35BB" w14:textId="671298E5" w:rsidR="00F40995" w:rsidRPr="002D459F" w:rsidRDefault="00F40995" w:rsidP="002D459F">
      <w:pPr>
        <w:spacing w:line="480" w:lineRule="auto"/>
        <w:rPr>
          <w:rFonts w:ascii="Times New Roman" w:hAnsi="Times New Roman" w:cs="Times New Roman"/>
          <w:b/>
        </w:rPr>
      </w:pPr>
      <w:r w:rsidRPr="002D459F">
        <w:rPr>
          <w:rFonts w:ascii="Times New Roman" w:hAnsi="Times New Roman" w:cs="Times New Roman"/>
          <w:b/>
        </w:rPr>
        <w:t>Perspectives</w:t>
      </w:r>
    </w:p>
    <w:p w14:paraId="5D004722" w14:textId="77777777" w:rsidR="00F40995" w:rsidRPr="002D459F" w:rsidRDefault="00F40995" w:rsidP="002D459F">
      <w:pPr>
        <w:spacing w:line="480" w:lineRule="auto"/>
        <w:rPr>
          <w:rFonts w:ascii="Times New Roman" w:hAnsi="Times New Roman" w:cs="Times New Roman"/>
        </w:rPr>
      </w:pPr>
      <w:r w:rsidRPr="002D459F">
        <w:rPr>
          <w:rFonts w:ascii="Times New Roman" w:hAnsi="Times New Roman" w:cs="Times New Roman"/>
          <w:b/>
        </w:rPr>
        <w:t xml:space="preserve">Competency in Medical Knowledge: </w:t>
      </w:r>
      <w:r w:rsidRPr="002D459F">
        <w:rPr>
          <w:rFonts w:ascii="Times New Roman" w:hAnsi="Times New Roman" w:cs="Times New Roman"/>
        </w:rPr>
        <w:t>ICI-related myocarditis runs a fulminant course, with over half experiencing a MACE. Speckle tracking GLS is a proven and reproducible marker of standard chemotherapy-induced cardiotoxicity. This sensitive marker may have an advantage in detecting earlier myocardial deformation compared to LVEF, and levels were associated with MACE.</w:t>
      </w:r>
    </w:p>
    <w:p w14:paraId="6EB5DB76" w14:textId="77777777" w:rsidR="00F40995" w:rsidRPr="002D459F" w:rsidRDefault="00F40995" w:rsidP="002D459F">
      <w:pPr>
        <w:spacing w:line="480" w:lineRule="auto"/>
        <w:rPr>
          <w:rFonts w:ascii="Times New Roman" w:hAnsi="Times New Roman" w:cs="Times New Roman"/>
        </w:rPr>
      </w:pPr>
      <w:bookmarkStart w:id="10" w:name="_Hlk8825590"/>
      <w:r w:rsidRPr="002D459F">
        <w:rPr>
          <w:rFonts w:ascii="Times New Roman" w:hAnsi="Times New Roman" w:cs="Times New Roman"/>
          <w:b/>
        </w:rPr>
        <w:t>Translational Outlook</w:t>
      </w:r>
      <w:bookmarkEnd w:id="10"/>
      <w:r w:rsidRPr="002D459F">
        <w:rPr>
          <w:rFonts w:ascii="Times New Roman" w:hAnsi="Times New Roman" w:cs="Times New Roman"/>
          <w:b/>
        </w:rPr>
        <w:t xml:space="preserve"> 1: </w:t>
      </w:r>
      <w:r w:rsidRPr="002D459F">
        <w:rPr>
          <w:rFonts w:ascii="Times New Roman" w:hAnsi="Times New Roman" w:cs="Times New Roman"/>
        </w:rPr>
        <w:t>LVEF provides an overall assessment of cardiac function, however a decline normally occurs at a late stage of cardiotoxicity. Earlier detection of cardiotoxicity may allow identification of patients at high-risk of future MACE and potential for prevention.</w:t>
      </w:r>
    </w:p>
    <w:p w14:paraId="51B11E39" w14:textId="77777777" w:rsidR="00F40995" w:rsidRPr="002D459F" w:rsidRDefault="00F40995" w:rsidP="002D459F">
      <w:pPr>
        <w:spacing w:line="480" w:lineRule="auto"/>
        <w:rPr>
          <w:rFonts w:ascii="Times New Roman" w:hAnsi="Times New Roman" w:cs="Times New Roman"/>
        </w:rPr>
      </w:pPr>
      <w:r w:rsidRPr="002D459F">
        <w:rPr>
          <w:rFonts w:ascii="Times New Roman" w:hAnsi="Times New Roman" w:cs="Times New Roman"/>
          <w:b/>
        </w:rPr>
        <w:t xml:space="preserve">Translational Outlook 2: </w:t>
      </w:r>
      <w:r w:rsidRPr="002D459F">
        <w:rPr>
          <w:rFonts w:ascii="Times New Roman" w:hAnsi="Times New Roman" w:cs="Times New Roman"/>
        </w:rPr>
        <w:t>Additional research is required at a larger scale, where serial GLS measurements are performed prospectively in all patients commencing treatment on ICIs and assessing how GLS may predict MACE in those who develop ICI-myocarditis.</w:t>
      </w:r>
    </w:p>
    <w:p w14:paraId="2DA960BF" w14:textId="55F1551B" w:rsidR="00644032" w:rsidRPr="002D459F" w:rsidRDefault="00644032" w:rsidP="002D459F">
      <w:pPr>
        <w:spacing w:line="480" w:lineRule="auto"/>
        <w:rPr>
          <w:rFonts w:ascii="Times New Roman" w:hAnsi="Times New Roman" w:cs="Times New Roman"/>
        </w:rPr>
      </w:pPr>
    </w:p>
    <w:p w14:paraId="265ABEDB" w14:textId="0258AD6E" w:rsidR="00644032" w:rsidRPr="002D459F" w:rsidRDefault="00644032" w:rsidP="002D459F">
      <w:pPr>
        <w:spacing w:line="480" w:lineRule="auto"/>
        <w:rPr>
          <w:rFonts w:ascii="Times New Roman" w:hAnsi="Times New Roman" w:cs="Times New Roman"/>
        </w:rPr>
      </w:pPr>
    </w:p>
    <w:p w14:paraId="1F020E95" w14:textId="2CF637C2" w:rsidR="00644032" w:rsidRPr="002D459F" w:rsidRDefault="00644032" w:rsidP="002D459F">
      <w:pPr>
        <w:spacing w:line="480" w:lineRule="auto"/>
        <w:rPr>
          <w:rFonts w:ascii="Times New Roman" w:hAnsi="Times New Roman" w:cs="Times New Roman"/>
        </w:rPr>
      </w:pPr>
    </w:p>
    <w:p w14:paraId="7CC5DED8" w14:textId="4E030EB6" w:rsidR="00644032" w:rsidRPr="002D459F" w:rsidRDefault="00644032" w:rsidP="002D459F">
      <w:pPr>
        <w:spacing w:line="480" w:lineRule="auto"/>
        <w:rPr>
          <w:rFonts w:ascii="Times New Roman" w:hAnsi="Times New Roman" w:cs="Times New Roman"/>
        </w:rPr>
      </w:pPr>
    </w:p>
    <w:p w14:paraId="66583AE6" w14:textId="20701973" w:rsidR="00644032" w:rsidRPr="002D459F" w:rsidRDefault="00644032" w:rsidP="002D459F">
      <w:pPr>
        <w:spacing w:line="480" w:lineRule="auto"/>
        <w:rPr>
          <w:rFonts w:ascii="Times New Roman" w:hAnsi="Times New Roman" w:cs="Times New Roman"/>
        </w:rPr>
      </w:pPr>
    </w:p>
    <w:p w14:paraId="078D2081" w14:textId="3520EF52" w:rsidR="00971EAA" w:rsidRPr="002D459F" w:rsidRDefault="00971EAA" w:rsidP="002D459F">
      <w:pPr>
        <w:spacing w:line="480" w:lineRule="auto"/>
        <w:rPr>
          <w:rFonts w:ascii="Times New Roman" w:hAnsi="Times New Roman" w:cs="Times New Roman"/>
        </w:rPr>
      </w:pPr>
    </w:p>
    <w:p w14:paraId="4B89E6AB" w14:textId="4AFB5932" w:rsidR="003726B3" w:rsidRPr="002D459F" w:rsidRDefault="003726B3" w:rsidP="002D459F">
      <w:pPr>
        <w:spacing w:line="480" w:lineRule="auto"/>
        <w:rPr>
          <w:rFonts w:ascii="Times New Roman" w:hAnsi="Times New Roman" w:cs="Times New Roman"/>
        </w:rPr>
      </w:pPr>
    </w:p>
    <w:p w14:paraId="2799C1FC" w14:textId="77777777" w:rsidR="003726B3" w:rsidRPr="002D459F" w:rsidRDefault="003726B3" w:rsidP="002D459F">
      <w:pPr>
        <w:spacing w:line="480" w:lineRule="auto"/>
        <w:rPr>
          <w:rFonts w:ascii="Times New Roman" w:hAnsi="Times New Roman" w:cs="Times New Roman"/>
        </w:rPr>
      </w:pPr>
    </w:p>
    <w:p w14:paraId="719A9501" w14:textId="77777777" w:rsidR="00620A3D" w:rsidRPr="002D459F" w:rsidRDefault="00620A3D" w:rsidP="002D459F">
      <w:pPr>
        <w:spacing w:line="480" w:lineRule="auto"/>
        <w:rPr>
          <w:rFonts w:ascii="Times New Roman" w:hAnsi="Times New Roman" w:cs="Times New Roman"/>
        </w:rPr>
      </w:pPr>
    </w:p>
    <w:p w14:paraId="525334FC" w14:textId="77777777" w:rsidR="00620A3D" w:rsidRPr="002D459F" w:rsidRDefault="00620A3D" w:rsidP="002D459F">
      <w:pPr>
        <w:spacing w:line="480" w:lineRule="auto"/>
        <w:rPr>
          <w:rFonts w:ascii="Times New Roman" w:hAnsi="Times New Roman" w:cs="Times New Roman"/>
        </w:rPr>
      </w:pPr>
    </w:p>
    <w:p w14:paraId="569BD16C" w14:textId="35115018" w:rsidR="00B50197" w:rsidRPr="002D459F" w:rsidRDefault="00B50197" w:rsidP="002D459F">
      <w:pPr>
        <w:spacing w:line="480" w:lineRule="auto"/>
        <w:rPr>
          <w:rFonts w:ascii="Times New Roman" w:hAnsi="Times New Roman" w:cs="Times New Roman"/>
        </w:rPr>
      </w:pPr>
    </w:p>
    <w:p w14:paraId="4E2F9DD3" w14:textId="1EC83818" w:rsidR="00C6452A" w:rsidRPr="002D459F" w:rsidRDefault="00E53A8A" w:rsidP="002D459F">
      <w:pPr>
        <w:spacing w:line="480" w:lineRule="auto"/>
        <w:rPr>
          <w:rFonts w:ascii="Times New Roman" w:hAnsi="Times New Roman" w:cs="Times New Roman"/>
          <w:b/>
        </w:rPr>
      </w:pPr>
      <w:r w:rsidRPr="002D459F">
        <w:rPr>
          <w:rFonts w:ascii="Times New Roman" w:hAnsi="Times New Roman" w:cs="Times New Roman"/>
          <w:b/>
        </w:rPr>
        <w:t>References:</w:t>
      </w:r>
    </w:p>
    <w:p w14:paraId="5A55399B" w14:textId="77777777" w:rsidR="006433DB" w:rsidRPr="002D459F" w:rsidRDefault="009A0367" w:rsidP="002D459F">
      <w:pPr>
        <w:pStyle w:val="Bibliography"/>
        <w:spacing w:after="0" w:line="480" w:lineRule="auto"/>
        <w:rPr>
          <w:rFonts w:ascii="Times New Roman" w:hAnsi="Times New Roman" w:cs="Times New Roman"/>
        </w:rPr>
      </w:pPr>
      <w:r w:rsidRPr="002D459F">
        <w:rPr>
          <w:rFonts w:ascii="Times New Roman" w:hAnsi="Times New Roman" w:cs="Times New Roman"/>
        </w:rPr>
        <w:fldChar w:fldCharType="begin"/>
      </w:r>
      <w:r w:rsidR="006433DB" w:rsidRPr="002D459F">
        <w:rPr>
          <w:rFonts w:ascii="Times New Roman" w:hAnsi="Times New Roman" w:cs="Times New Roman"/>
        </w:rPr>
        <w:instrText xml:space="preserve"> ADDIN ZOTERO_BIBL {"uncited":[],"omitted":[],"custom":[]} CSL_BIBLIOGRAPHY </w:instrText>
      </w:r>
      <w:r w:rsidRPr="002D459F">
        <w:rPr>
          <w:rFonts w:ascii="Times New Roman" w:hAnsi="Times New Roman" w:cs="Times New Roman"/>
        </w:rPr>
        <w:fldChar w:fldCharType="separate"/>
      </w:r>
      <w:r w:rsidR="006433DB" w:rsidRPr="002D459F">
        <w:rPr>
          <w:rFonts w:ascii="Times New Roman" w:hAnsi="Times New Roman" w:cs="Times New Roman"/>
        </w:rPr>
        <w:t xml:space="preserve">1. </w:t>
      </w:r>
      <w:r w:rsidR="006433DB" w:rsidRPr="002D459F">
        <w:rPr>
          <w:rFonts w:ascii="Times New Roman" w:hAnsi="Times New Roman" w:cs="Times New Roman"/>
        </w:rPr>
        <w:tab/>
        <w:t xml:space="preserve">Sondak VK, McArthur GA. Adjuvant immunotherapy for cancer: the next step. Lancet Oncol. 2015 May;16(5):478–80. </w:t>
      </w:r>
    </w:p>
    <w:p w14:paraId="128FDBE2"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 </w:t>
      </w:r>
      <w:r w:rsidRPr="002D459F">
        <w:rPr>
          <w:rFonts w:ascii="Times New Roman" w:hAnsi="Times New Roman" w:cs="Times New Roman"/>
        </w:rPr>
        <w:tab/>
        <w:t xml:space="preserve">Johnson DB, Balko JM, Compton ML, Chalkias S, Gorham J, Xu Y, et al. Fulminant Myocarditis with Combination Immune Checkpoint Blockade. N Engl J Med. 2016 Nov 3;375(18):1749–55. </w:t>
      </w:r>
    </w:p>
    <w:p w14:paraId="33F32825"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 </w:t>
      </w:r>
      <w:r w:rsidRPr="002D459F">
        <w:rPr>
          <w:rFonts w:ascii="Times New Roman" w:hAnsi="Times New Roman" w:cs="Times New Roman"/>
        </w:rPr>
        <w:tab/>
        <w:t xml:space="preserve">Mahmood SS, Fradley MG, Cohen JV, Nohria A, Reynolds KL, Heinzerling LM, et al. Myocarditis in Patients Treated With Immune Checkpoint Inhibitors. J Am Coll Cardiol. 2018 Apr 24;71(16):1755–64. </w:t>
      </w:r>
    </w:p>
    <w:p w14:paraId="1257F261"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4. </w:t>
      </w:r>
      <w:r w:rsidRPr="002D459F">
        <w:rPr>
          <w:rFonts w:ascii="Times New Roman" w:hAnsi="Times New Roman" w:cs="Times New Roman"/>
        </w:rPr>
        <w:tab/>
        <w:t xml:space="preserve">Ganatra S, Neilan TG. Immune Checkpoint Inhibitor-Associated Myocarditis. The Oncologist. 2018 Aug;23(8):879–86. </w:t>
      </w:r>
    </w:p>
    <w:p w14:paraId="52FA2C08"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5. </w:t>
      </w:r>
      <w:r w:rsidRPr="002D459F">
        <w:rPr>
          <w:rFonts w:ascii="Times New Roman" w:hAnsi="Times New Roman" w:cs="Times New Roman"/>
        </w:rPr>
        <w:tab/>
        <w:t xml:space="preserve">Zhang L, Jones-O’Connor M, Awadalla M, Zlotoff DA, Thavendiranathan P, Groarke JD, et al. Cardiotoxicity of Immune Checkpoint Inhibitors. Curr Treat Options Cardiovasc Med. 2019 Jun 8;21(7):32. </w:t>
      </w:r>
    </w:p>
    <w:p w14:paraId="627822F8"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6. </w:t>
      </w:r>
      <w:r w:rsidRPr="002D459F">
        <w:rPr>
          <w:rFonts w:ascii="Times New Roman" w:hAnsi="Times New Roman" w:cs="Times New Roman"/>
        </w:rPr>
        <w:tab/>
        <w:t xml:space="preserve">Neilan TG, Rothenberg ML, Amiri-Kordestani L, Sullivan RJ, Steingart RM, Gregory W, et al. Myocarditis Associated with Immune Checkpoint Inhibitors: An Expert Consensus on Data Gaps and a Call to Action. The Oncologist. 2018 Aug;23(8):874–8. </w:t>
      </w:r>
    </w:p>
    <w:p w14:paraId="35E26BCC"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7. </w:t>
      </w:r>
      <w:r w:rsidRPr="002D459F">
        <w:rPr>
          <w:rFonts w:ascii="Times New Roman" w:hAnsi="Times New Roman" w:cs="Times New Roman"/>
        </w:rPr>
        <w:tab/>
        <w:t xml:space="preserve">Awadalla M, Golden DLA, Mahmood SS, Alvi RM, Mercaldo ND, Hassan MZO, et al. Influenza vaccination and myocarditis among patients receiving immune checkpoint inhibitors. J Immunother Cancer. 2019 Feb 22;7(1):53. </w:t>
      </w:r>
    </w:p>
    <w:p w14:paraId="4A4E3392"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8. </w:t>
      </w:r>
      <w:r w:rsidRPr="002D459F">
        <w:rPr>
          <w:rFonts w:ascii="Times New Roman" w:hAnsi="Times New Roman" w:cs="Times New Roman"/>
        </w:rPr>
        <w:tab/>
        <w:t xml:space="preserve">Sawaya H, Sebag IA, Plana JC, Januzzi JL, Ky B, Tan TC, et al. Assessment of Echocardiography and Biomarkers for the Extended Prediction of Cardiotoxicity in Patients Treated With Anthracyclines, Taxanes, and Trastuzumab. Circ Cardiovasc Imaging. 2012 Sep 1;5(5):596–603. </w:t>
      </w:r>
    </w:p>
    <w:p w14:paraId="351D464D"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9. </w:t>
      </w:r>
      <w:r w:rsidRPr="002D459F">
        <w:rPr>
          <w:rFonts w:ascii="Times New Roman" w:hAnsi="Times New Roman" w:cs="Times New Roman"/>
        </w:rPr>
        <w:tab/>
        <w:t xml:space="preserve">Negishi K, Negishi T, Hare JL, Haluska BA, Plana JC, Marwick TH. Independent and incremental value of deformation indices for prediction of trastuzumab-induced cardiotoxicity. J Am Soc Echocardiogr. 2013 May;26(5):493–8. </w:t>
      </w:r>
    </w:p>
    <w:p w14:paraId="3F1EBEC8"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10. </w:t>
      </w:r>
      <w:r w:rsidRPr="002D459F">
        <w:rPr>
          <w:rFonts w:ascii="Times New Roman" w:hAnsi="Times New Roman" w:cs="Times New Roman"/>
        </w:rPr>
        <w:tab/>
        <w:t xml:space="preserve">Plana JC, Galderisi M, Barac A, Ewer MS, Ky B, Scherrer-Crosbie M, et al. Expert consensus for multimodality imaging evaluation of adult patients during and after cancer therapy: a report from the American Society of Echocardiography and the European Association of Cardiovascular Imaging. J Am Soc Echocardiogr. 2014 Sep;27(9):911–39. </w:t>
      </w:r>
    </w:p>
    <w:p w14:paraId="1989CB16"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11. </w:t>
      </w:r>
      <w:r w:rsidRPr="002D459F">
        <w:rPr>
          <w:rFonts w:ascii="Times New Roman" w:hAnsi="Times New Roman" w:cs="Times New Roman"/>
        </w:rPr>
        <w:tab/>
        <w:t xml:space="preserve">Plana JC, Galderisi M, Barac A, Ewer MS, Ky B, Scherrer-Crosbie M, et al. Expert consensus for multimodality imaging evaluation of adult patients during and after cancer therapy: a report from the American Society of Echocardiography and the European Association of Cardiovascular Imaging. Eur Heart J Cardiovasc Imaging. 2014 Oct;15(10):1063–93. </w:t>
      </w:r>
    </w:p>
    <w:p w14:paraId="5640C8F5"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12. </w:t>
      </w:r>
      <w:r w:rsidRPr="002D459F">
        <w:rPr>
          <w:rFonts w:ascii="Times New Roman" w:hAnsi="Times New Roman" w:cs="Times New Roman"/>
        </w:rPr>
        <w:tab/>
        <w:t xml:space="preserve">Negishi K, Negishi T, Hare JL, Haluska BA, Plana JC, Marwick TH. Independent and incremental value of deformation indices for prediction of trastuzumab-induced cardiotoxicity. J Am Soc Echocardiogr. 2013 May;26(5):493–8. </w:t>
      </w:r>
    </w:p>
    <w:p w14:paraId="0E6A412A"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13. </w:t>
      </w:r>
      <w:r w:rsidRPr="002D459F">
        <w:rPr>
          <w:rFonts w:ascii="Times New Roman" w:hAnsi="Times New Roman" w:cs="Times New Roman"/>
        </w:rPr>
        <w:tab/>
        <w:t xml:space="preserve">Caforio ALP, Pankuweit S, Arbustini E, Basso C, Gimeno-Blanes J, Felix SB, et al. Current state of knowledge on aetiology, diagnosis, management, and therapy of myocarditis: a position statement of the European Society of Cardiology Working Group on Myocardial and Pericardial Diseases. Eur Heart J. 2013 Sep;34(33):2636–48, 2648a–2648d. </w:t>
      </w:r>
    </w:p>
    <w:p w14:paraId="1D5299CA"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14. </w:t>
      </w:r>
      <w:r w:rsidRPr="002D459F">
        <w:rPr>
          <w:rFonts w:ascii="Times New Roman" w:hAnsi="Times New Roman" w:cs="Times New Roman"/>
        </w:rPr>
        <w:tab/>
        <w:t xml:space="preserve">Thavendiranathan P, Poulin F, Lim K-D, Plana JC, Woo A, Marwick TH. Use of myocardial strain imaging by echocardiography for the early detection of cardiotoxicity in patients during and after cancer chemotherapy: a systematic review. J Am Coll Cardiol. 2014 Jul 1;63(25 Pt A):2751–68. </w:t>
      </w:r>
    </w:p>
    <w:p w14:paraId="04E29056"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15. </w:t>
      </w:r>
      <w:r w:rsidRPr="002D459F">
        <w:rPr>
          <w:rFonts w:ascii="Times New Roman" w:hAnsi="Times New Roman" w:cs="Times New Roman"/>
        </w:rPr>
        <w:tab/>
        <w:t xml:space="preserve">Smiseth OA, Torp H, Opdahl A, Haugaa KH, Urheim S. Myocardial strain imaging: how useful is it in clinical decision making? Eur Heart J. 2016 Apr 14;37(15):1196–207. </w:t>
      </w:r>
    </w:p>
    <w:p w14:paraId="02C7DE54"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16. </w:t>
      </w:r>
      <w:r w:rsidRPr="002D459F">
        <w:rPr>
          <w:rFonts w:ascii="Times New Roman" w:hAnsi="Times New Roman" w:cs="Times New Roman"/>
        </w:rPr>
        <w:tab/>
        <w:t xml:space="preserve">Ersbøll M, Valeur N, Mogensen UM, Andersen MJ, Møller JE, Velazquez EJ, et al. Prediction of all-cause mortality and heart failure admissions from global left ventricular longitudinal strain in patients with acute myocardial infarction and preserved left ventricular ejection fraction. J Am Coll Cardiol. 2013 Jun 11;61(23):2365–73. </w:t>
      </w:r>
    </w:p>
    <w:p w14:paraId="48A90100"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17. </w:t>
      </w:r>
      <w:r w:rsidRPr="002D459F">
        <w:rPr>
          <w:rFonts w:ascii="Times New Roman" w:hAnsi="Times New Roman" w:cs="Times New Roman"/>
        </w:rPr>
        <w:tab/>
        <w:t xml:space="preserve">Haugaa KH, Grenne BL, Eek CH, Ersbøll M, Valeur N, Svendsen JH, et al. Strain echocardiography improves risk prediction of ventricular arrhythmias after myocardial infarction. JACC Cardiovasc Imaging. 2013 Aug;6(8):841–50. </w:t>
      </w:r>
    </w:p>
    <w:p w14:paraId="16983798"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18. </w:t>
      </w:r>
      <w:r w:rsidRPr="002D459F">
        <w:rPr>
          <w:rFonts w:ascii="Times New Roman" w:hAnsi="Times New Roman" w:cs="Times New Roman"/>
        </w:rPr>
        <w:tab/>
        <w:t xml:space="preserve">Haugaa KH, Edvardsen T. Global longitudinal strain: the best biomarker for predicting prognosis in heart failure? Eur J Heart Fail. 2016;18(11):1340–1. </w:t>
      </w:r>
    </w:p>
    <w:p w14:paraId="68997D7C"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19. </w:t>
      </w:r>
      <w:r w:rsidRPr="002D459F">
        <w:rPr>
          <w:rFonts w:ascii="Times New Roman" w:hAnsi="Times New Roman" w:cs="Times New Roman"/>
        </w:rPr>
        <w:tab/>
        <w:t xml:space="preserve">Negishi T, Negishi K, Thavendiranathan P, Cho G-Y, Popescu BA, Vinereanu D, et al. Effect of Experience and Training on the Concordance and Precision of Strain Measurements. JACC Cardiovasc Imaging. 2017;10(5):518–22. </w:t>
      </w:r>
    </w:p>
    <w:p w14:paraId="636FF1E2"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20. </w:t>
      </w:r>
      <w:r w:rsidRPr="002D459F">
        <w:rPr>
          <w:rFonts w:ascii="Times New Roman" w:hAnsi="Times New Roman" w:cs="Times New Roman"/>
        </w:rPr>
        <w:tab/>
        <w:t xml:space="preserve">Thavendiranathan P, Grant AD, Negishi T, Plana JC, Popović ZB, Marwick TH. Reproducibility of echocardiographic techniques for sequential assessment of left ventricular ejection fraction and volumes: application to patients undergoing cancer chemotherapy. J Am Coll Cardiol. 2013 Jan 8;61(1):77–84. </w:t>
      </w:r>
    </w:p>
    <w:p w14:paraId="589F6442"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21. </w:t>
      </w:r>
      <w:r w:rsidRPr="002D459F">
        <w:rPr>
          <w:rFonts w:ascii="Times New Roman" w:hAnsi="Times New Roman" w:cs="Times New Roman"/>
        </w:rPr>
        <w:tab/>
        <w:t xml:space="preserve">Stokke TM, Hasselberg NE, Smedsrud MK, Sarvari SI, Haugaa KH, Smiseth OA, et al. Geometry as a Confounder When Assessing Ventricular Systolic Function: Comparison Between Ejection Fraction and Strain. J Am Coll Cardiol. 2017 Aug 22;70(8):942–54. </w:t>
      </w:r>
    </w:p>
    <w:p w14:paraId="75D62D29"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22. </w:t>
      </w:r>
      <w:r w:rsidRPr="002D459F">
        <w:rPr>
          <w:rFonts w:ascii="Times New Roman" w:hAnsi="Times New Roman" w:cs="Times New Roman"/>
        </w:rPr>
        <w:tab/>
        <w:t xml:space="preserve">Ewer MS, Ali MK, Mackay B, Wallace S, Valdivieso M, Legha SS, et al. A comparison of cardiac biopsy grades and ejection fraction estimations in patients receiving Adriamycin. J Clin Oncol. 1984 Feb;2(2):112–7. </w:t>
      </w:r>
    </w:p>
    <w:p w14:paraId="348F8165"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23. </w:t>
      </w:r>
      <w:r w:rsidRPr="002D459F">
        <w:rPr>
          <w:rFonts w:ascii="Times New Roman" w:hAnsi="Times New Roman" w:cs="Times New Roman"/>
        </w:rPr>
        <w:tab/>
        <w:t xml:space="preserve">Ewer MS, Lenihan DJ. Left ventricular ejection fraction and cardiotoxicity: is our ear really to the ground? J Clin Oncol. 2008 Mar 10;26(8):1201–3. </w:t>
      </w:r>
    </w:p>
    <w:p w14:paraId="0063D125"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24. </w:t>
      </w:r>
      <w:r w:rsidRPr="002D459F">
        <w:rPr>
          <w:rFonts w:ascii="Times New Roman" w:hAnsi="Times New Roman" w:cs="Times New Roman"/>
        </w:rPr>
        <w:tab/>
        <w:t xml:space="preserve">Cardinale D, Sandri MT, Colombo A, Colombo N, Boeri M, Lamantia G, et al. Prognostic value of troponin I in cardiac risk stratification of cancer patients undergoing high-dose chemotherapy. Circulation. 2004 Jun 8;109(22):2749–54. </w:t>
      </w:r>
    </w:p>
    <w:p w14:paraId="105B1691"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25. </w:t>
      </w:r>
      <w:r w:rsidRPr="002D459F">
        <w:rPr>
          <w:rFonts w:ascii="Times New Roman" w:hAnsi="Times New Roman" w:cs="Times New Roman"/>
        </w:rPr>
        <w:tab/>
        <w:t xml:space="preserve">Voigt J-U, Pedrizzetti G, Lysyansky P, Marwick TH, Houle H, Baumann R, et al. Definitions for a common standard for 2D speckle tracking echocardiography: consensus document of the EACVI/ASE/Industry Task Force to standardize deformation imaging. J Am Soc Echocardiogr. 2015 Feb;28(2):183–93. </w:t>
      </w:r>
    </w:p>
    <w:p w14:paraId="117D6CE8"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26. </w:t>
      </w:r>
      <w:r w:rsidRPr="002D459F">
        <w:rPr>
          <w:rFonts w:ascii="Times New Roman" w:hAnsi="Times New Roman" w:cs="Times New Roman"/>
        </w:rPr>
        <w:tab/>
        <w:t xml:space="preserve">Kasner M, Aleksandrov A, Escher F, Al-Saadi N, Makowski M, Spillmann F, et al. Multimodality imaging approach in the diagnosis of chronic myocarditis with preserved left ventricular ejection fraction (MCpEF): The role of 2D speckle-tracking echocardiography. Int J Cardiol. 2017 Sep 15;243:374–8. </w:t>
      </w:r>
    </w:p>
    <w:p w14:paraId="13C7B2EB"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27. </w:t>
      </w:r>
      <w:r w:rsidRPr="002D459F">
        <w:rPr>
          <w:rFonts w:ascii="Times New Roman" w:hAnsi="Times New Roman" w:cs="Times New Roman"/>
        </w:rPr>
        <w:tab/>
        <w:t xml:space="preserve">Cardinale D, Colombo A, Lamantia G, Colombo N, Civelli M, De Giacomi G, et al. Anthracycline-induced cardiomyopathy: clinical relevance and response to pharmacologic therapy. J Am Coll Cardiol. 2010 Jan 19;55(3):213–20. </w:t>
      </w:r>
    </w:p>
    <w:p w14:paraId="6F27949A"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28. </w:t>
      </w:r>
      <w:r w:rsidRPr="002D459F">
        <w:rPr>
          <w:rFonts w:ascii="Times New Roman" w:hAnsi="Times New Roman" w:cs="Times New Roman"/>
        </w:rPr>
        <w:tab/>
        <w:t xml:space="preserve">Fallah-Rad N, Lytwyn M, Fang T, Kirkpatrick I, Jassal DS. Delayed contrast enhancement cardiac magnetic resonance imaging in trastuzumab induced cardiomyopathy. J Cardiovasc Magn Reson. 2008 Jan 22;10:5. </w:t>
      </w:r>
    </w:p>
    <w:p w14:paraId="5C7CC2EC"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29. </w:t>
      </w:r>
      <w:r w:rsidRPr="002D459F">
        <w:rPr>
          <w:rFonts w:ascii="Times New Roman" w:hAnsi="Times New Roman" w:cs="Times New Roman"/>
        </w:rPr>
        <w:tab/>
        <w:t xml:space="preserve">Ammirati E, Cipriani M, Moro C, Raineri C, Pini D, Sormani P, et al. Clinical Presentation and Outcome in a Contemporary Cohort of Patients With Acute Myocarditis. Circulation. 2018 Sep 11;138(11):1088–99. </w:t>
      </w:r>
    </w:p>
    <w:p w14:paraId="394EC834"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30. </w:t>
      </w:r>
      <w:r w:rsidRPr="002D459F">
        <w:rPr>
          <w:rFonts w:ascii="Times New Roman" w:hAnsi="Times New Roman" w:cs="Times New Roman"/>
        </w:rPr>
        <w:tab/>
        <w:t xml:space="preserve">Lyon AR, Yousaf N, Battisti NML, Moslehi J, Larkin J. Immune checkpoint inhibitors and cardiovascular toxicity. Lancet Oncol. 2018 Sep;19(9):e447–58. </w:t>
      </w:r>
    </w:p>
    <w:p w14:paraId="1E633F05"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31. </w:t>
      </w:r>
      <w:r w:rsidRPr="002D459F">
        <w:rPr>
          <w:rFonts w:ascii="Times New Roman" w:hAnsi="Times New Roman" w:cs="Times New Roman"/>
        </w:rPr>
        <w:tab/>
        <w:t xml:space="preserve">Mir H, Alhussein M, Alrashidi S, Alzayer H, Alshatti A, Valettas N, et al. Cardiac Complications Associated With Checkpoint Inhibition: A Systematic Review of the Literature in an Important Emerging Area. Can J Cardiol. 2018 Aug;34(8):1059–68. </w:t>
      </w:r>
    </w:p>
    <w:p w14:paraId="60756B45"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32. </w:t>
      </w:r>
      <w:r w:rsidRPr="002D459F">
        <w:rPr>
          <w:rFonts w:ascii="Times New Roman" w:hAnsi="Times New Roman" w:cs="Times New Roman"/>
        </w:rPr>
        <w:tab/>
        <w:t xml:space="preserve">D’Ambrosio A, Patti G, Manzoli A, Sinagra G, Di L, Silvestri F, et al. The fate of acute myocarditis between spontaneous improvement and evolution to dilated cardiomyopathy: a review. Heart. 2001 May;85(5):499–504. </w:t>
      </w:r>
    </w:p>
    <w:p w14:paraId="13A128B6"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33. </w:t>
      </w:r>
      <w:r w:rsidRPr="002D459F">
        <w:rPr>
          <w:rFonts w:ascii="Times New Roman" w:hAnsi="Times New Roman" w:cs="Times New Roman"/>
        </w:rPr>
        <w:tab/>
        <w:t xml:space="preserve">Magnani JW, Dec GW. Myocarditis: current trends in diagnosis and treatment. Circulation. 2006 Feb 14;113(6):876–90. </w:t>
      </w:r>
    </w:p>
    <w:p w14:paraId="28A37E26"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34. </w:t>
      </w:r>
      <w:r w:rsidRPr="002D459F">
        <w:rPr>
          <w:rFonts w:ascii="Times New Roman" w:hAnsi="Times New Roman" w:cs="Times New Roman"/>
        </w:rPr>
        <w:tab/>
        <w:t xml:space="preserve">Haugaa KH, Smedsrud MK, Steen T, Kongsgaard E, Loennechen JP, Skjaerpe T, et al. Mechanical dispersion assessed by myocardial strain in patients after myocardial infarction for risk prediction of ventricular arrhythmia. JACC Cardiovasc Imaging. 2010 Mar;3(3):247–56. </w:t>
      </w:r>
    </w:p>
    <w:p w14:paraId="232B3BD7"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35. </w:t>
      </w:r>
      <w:r w:rsidRPr="002D459F">
        <w:rPr>
          <w:rFonts w:ascii="Times New Roman" w:hAnsi="Times New Roman" w:cs="Times New Roman"/>
        </w:rPr>
        <w:tab/>
        <w:t xml:space="preserve">Kearney LG, Lu K, Ord M, Patel SK, Profitis K, Matalanis G, et al. Global longitudinal strain is a strong independent predictor of all-cause mortality in patients with aortic stenosis. Eur Heart J Cardiovasc Imaging. 2012 Oct;13(10):827–33. </w:t>
      </w:r>
    </w:p>
    <w:p w14:paraId="4CA37E3F"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36. </w:t>
      </w:r>
      <w:r w:rsidRPr="002D459F">
        <w:rPr>
          <w:rFonts w:ascii="Times New Roman" w:hAnsi="Times New Roman" w:cs="Times New Roman"/>
        </w:rPr>
        <w:tab/>
        <w:t xml:space="preserve">Park JJ, Park J-B, Park J-H, Cho G-Y. Global Longitudinal Strain to Predict Mortality in Patients With Acute Heart Failure. J Am Coll Cardiol. 2018 May 8;71(18):1947–57. </w:t>
      </w:r>
    </w:p>
    <w:p w14:paraId="372F1A3E"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37. </w:t>
      </w:r>
      <w:r w:rsidRPr="002D459F">
        <w:rPr>
          <w:rFonts w:ascii="Times New Roman" w:hAnsi="Times New Roman" w:cs="Times New Roman"/>
        </w:rPr>
        <w:tab/>
        <w:t xml:space="preserve">Caspar T, Fichot M, Ohana M, El Ghannudi S, Morel O, Ohlmann P. Late Detection of Left Ventricular Dysfunction Using Two-Dimensional and Three-Dimensional Speckle-Tracking Echocardiography in Patients with History of Nonsevere Acute Myocarditis. J Am Soc Echocardiogr. 2017 Aug;30(8):756–62. </w:t>
      </w:r>
    </w:p>
    <w:p w14:paraId="250E90D2"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38. </w:t>
      </w:r>
      <w:r w:rsidRPr="002D459F">
        <w:rPr>
          <w:rFonts w:ascii="Times New Roman" w:hAnsi="Times New Roman" w:cs="Times New Roman"/>
        </w:rPr>
        <w:tab/>
        <w:t>Goncalves A, Madureira A, Sousa C, Martins E, Macedo F, Melao F, et al. Global assessment of left ventricle longitudinal strain in patients after acute myocarditis: going further in left ventricular function. Eur Heart J [Internet]. 2013 Aug 1 [cited 2019 Mar 21];34(suppl_1). Available from: https://dx.doi.org/10.1093/eurheartj/eht309.P3869</w:t>
      </w:r>
    </w:p>
    <w:p w14:paraId="3AD68907"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39. </w:t>
      </w:r>
      <w:r w:rsidRPr="002D459F">
        <w:rPr>
          <w:rFonts w:ascii="Times New Roman" w:hAnsi="Times New Roman" w:cs="Times New Roman"/>
        </w:rPr>
        <w:tab/>
        <w:t xml:space="preserve">Haanen JB a. G, Carbonnel F, Robert C, Kerr KM, Peters S, Larkin J, et al. Management of toxicities from immunotherapy: ESMO Clinical Practice Guidelines for diagnosis, treatment and follow-up. Ann Oncol. 2017 Jul 1;28(suppl_4):iv119–42. </w:t>
      </w:r>
    </w:p>
    <w:p w14:paraId="5353A8FC" w14:textId="77777777" w:rsidR="006433DB" w:rsidRPr="002D459F" w:rsidRDefault="006433DB" w:rsidP="002D459F">
      <w:pPr>
        <w:pStyle w:val="Bibliography"/>
        <w:spacing w:after="0" w:line="480" w:lineRule="auto"/>
        <w:rPr>
          <w:rFonts w:ascii="Times New Roman" w:hAnsi="Times New Roman" w:cs="Times New Roman"/>
        </w:rPr>
      </w:pPr>
      <w:r w:rsidRPr="002D459F">
        <w:rPr>
          <w:rFonts w:ascii="Times New Roman" w:hAnsi="Times New Roman" w:cs="Times New Roman"/>
        </w:rPr>
        <w:t xml:space="preserve">40. </w:t>
      </w:r>
      <w:r w:rsidRPr="002D459F">
        <w:rPr>
          <w:rFonts w:ascii="Times New Roman" w:hAnsi="Times New Roman" w:cs="Times New Roman"/>
        </w:rPr>
        <w:tab/>
        <w:t xml:space="preserve">Liu D, Jenkins RW, Sullivan RJ. Mechanisms of Resistance to Immune Checkpoint Blockade. Am J Clin Dermatol. 2019 Feb;20(1):41–54. </w:t>
      </w:r>
    </w:p>
    <w:p w14:paraId="56EFD538" w14:textId="7BD88C49" w:rsidR="005E48D6" w:rsidRPr="002D459F" w:rsidRDefault="009A0367" w:rsidP="002D459F">
      <w:pPr>
        <w:spacing w:line="480" w:lineRule="auto"/>
        <w:rPr>
          <w:rFonts w:ascii="Times New Roman" w:hAnsi="Times New Roman" w:cs="Times New Roman"/>
          <w:b/>
        </w:rPr>
      </w:pPr>
      <w:r w:rsidRPr="002D459F">
        <w:rPr>
          <w:rFonts w:ascii="Times New Roman" w:hAnsi="Times New Roman" w:cs="Times New Roman"/>
          <w:b/>
        </w:rPr>
        <w:fldChar w:fldCharType="end"/>
      </w:r>
    </w:p>
    <w:p w14:paraId="570A9BAE" w14:textId="77777777" w:rsidR="007807BA" w:rsidRPr="002D459F" w:rsidRDefault="007807BA" w:rsidP="002D459F">
      <w:pPr>
        <w:spacing w:line="480" w:lineRule="auto"/>
        <w:rPr>
          <w:rFonts w:ascii="Times New Roman" w:hAnsi="Times New Roman" w:cs="Times New Roman"/>
          <w:b/>
        </w:rPr>
      </w:pPr>
    </w:p>
    <w:p w14:paraId="4D0349FC" w14:textId="77777777" w:rsidR="007807BA" w:rsidRPr="002D459F" w:rsidRDefault="007807BA" w:rsidP="002D459F">
      <w:pPr>
        <w:spacing w:line="480" w:lineRule="auto"/>
        <w:rPr>
          <w:rFonts w:ascii="Times New Roman" w:hAnsi="Times New Roman" w:cs="Times New Roman"/>
          <w:b/>
        </w:rPr>
      </w:pPr>
    </w:p>
    <w:p w14:paraId="123A3858" w14:textId="77777777" w:rsidR="007807BA" w:rsidRPr="002D459F" w:rsidRDefault="007807BA" w:rsidP="002D459F">
      <w:pPr>
        <w:spacing w:line="480" w:lineRule="auto"/>
        <w:rPr>
          <w:rFonts w:ascii="Times New Roman" w:hAnsi="Times New Roman" w:cs="Times New Roman"/>
          <w:b/>
        </w:rPr>
      </w:pPr>
    </w:p>
    <w:p w14:paraId="5E903BBE" w14:textId="77777777" w:rsidR="007807BA" w:rsidRPr="002D459F" w:rsidRDefault="007807BA" w:rsidP="002D459F">
      <w:pPr>
        <w:spacing w:line="480" w:lineRule="auto"/>
        <w:rPr>
          <w:rFonts w:ascii="Times New Roman" w:hAnsi="Times New Roman" w:cs="Times New Roman"/>
          <w:b/>
        </w:rPr>
      </w:pPr>
    </w:p>
    <w:p w14:paraId="5E50D591" w14:textId="77777777" w:rsidR="007807BA" w:rsidRPr="002D459F" w:rsidRDefault="007807BA" w:rsidP="002D459F">
      <w:pPr>
        <w:spacing w:line="480" w:lineRule="auto"/>
        <w:rPr>
          <w:rFonts w:ascii="Times New Roman" w:hAnsi="Times New Roman" w:cs="Times New Roman"/>
          <w:b/>
        </w:rPr>
      </w:pPr>
    </w:p>
    <w:p w14:paraId="5E1E0AF1" w14:textId="77777777" w:rsidR="007807BA" w:rsidRPr="002D459F" w:rsidRDefault="007807BA" w:rsidP="002D459F">
      <w:pPr>
        <w:spacing w:line="480" w:lineRule="auto"/>
        <w:rPr>
          <w:rFonts w:ascii="Times New Roman" w:hAnsi="Times New Roman" w:cs="Times New Roman"/>
          <w:b/>
        </w:rPr>
      </w:pPr>
    </w:p>
    <w:p w14:paraId="4196B5A3" w14:textId="77777777" w:rsidR="007807BA" w:rsidRPr="002D459F" w:rsidRDefault="007807BA" w:rsidP="002D459F">
      <w:pPr>
        <w:spacing w:line="480" w:lineRule="auto"/>
        <w:rPr>
          <w:rFonts w:ascii="Times New Roman" w:hAnsi="Times New Roman" w:cs="Times New Roman"/>
          <w:b/>
        </w:rPr>
      </w:pPr>
    </w:p>
    <w:p w14:paraId="4DC3123E" w14:textId="77777777" w:rsidR="007807BA" w:rsidRPr="002D459F" w:rsidRDefault="007807BA" w:rsidP="002D459F">
      <w:pPr>
        <w:spacing w:line="480" w:lineRule="auto"/>
        <w:rPr>
          <w:rFonts w:ascii="Times New Roman" w:hAnsi="Times New Roman" w:cs="Times New Roman"/>
          <w:b/>
        </w:rPr>
      </w:pPr>
    </w:p>
    <w:p w14:paraId="4F9FC12B" w14:textId="77777777" w:rsidR="007807BA" w:rsidRPr="002D459F" w:rsidRDefault="007807BA" w:rsidP="002D459F">
      <w:pPr>
        <w:spacing w:line="480" w:lineRule="auto"/>
        <w:rPr>
          <w:rFonts w:ascii="Times New Roman" w:hAnsi="Times New Roman" w:cs="Times New Roman"/>
          <w:b/>
        </w:rPr>
      </w:pPr>
    </w:p>
    <w:p w14:paraId="6A0C43E2" w14:textId="224687A5" w:rsidR="009C07E9" w:rsidRPr="002D459F" w:rsidRDefault="009C07E9" w:rsidP="002D459F">
      <w:pPr>
        <w:spacing w:line="480" w:lineRule="auto"/>
        <w:rPr>
          <w:rFonts w:ascii="Times New Roman" w:hAnsi="Times New Roman" w:cs="Times New Roman"/>
          <w:b/>
        </w:rPr>
      </w:pPr>
      <w:r w:rsidRPr="002D459F">
        <w:rPr>
          <w:rFonts w:ascii="Times New Roman" w:hAnsi="Times New Roman" w:cs="Times New Roman"/>
          <w:b/>
        </w:rPr>
        <w:t>Figure Legend</w:t>
      </w:r>
      <w:r w:rsidR="002D459F">
        <w:rPr>
          <w:rFonts w:ascii="Times New Roman" w:hAnsi="Times New Roman" w:cs="Times New Roman"/>
          <w:b/>
        </w:rPr>
        <w:t>s</w:t>
      </w:r>
    </w:p>
    <w:p w14:paraId="3D742C2A" w14:textId="77777777" w:rsidR="00AD52C4" w:rsidRPr="002D459F" w:rsidRDefault="009C07E9" w:rsidP="002D459F">
      <w:pPr>
        <w:spacing w:line="480" w:lineRule="auto"/>
        <w:rPr>
          <w:rFonts w:ascii="Times New Roman" w:hAnsi="Times New Roman" w:cs="Times New Roman"/>
          <w:b/>
          <w:bCs/>
        </w:rPr>
      </w:pPr>
      <w:r w:rsidRPr="002D459F">
        <w:rPr>
          <w:rFonts w:ascii="Times New Roman" w:hAnsi="Times New Roman" w:cs="Times New Roman"/>
          <w:b/>
          <w:bCs/>
        </w:rPr>
        <w:t xml:space="preserve">Figure 1: </w:t>
      </w:r>
    </w:p>
    <w:p w14:paraId="08A748F3" w14:textId="77777777" w:rsidR="00AD52C4" w:rsidRPr="002D459F" w:rsidRDefault="00AD52C4" w:rsidP="002D459F">
      <w:pPr>
        <w:spacing w:line="480" w:lineRule="auto"/>
        <w:rPr>
          <w:rFonts w:ascii="Times New Roman" w:hAnsi="Times New Roman" w:cs="Times New Roman"/>
          <w:b/>
          <w:bCs/>
        </w:rPr>
      </w:pPr>
      <w:r w:rsidRPr="002D459F">
        <w:rPr>
          <w:rFonts w:ascii="Times New Roman" w:hAnsi="Times New Roman" w:cs="Times New Roman"/>
          <w:b/>
          <w:bCs/>
        </w:rPr>
        <w:t>Title- Consort Flow Diagram of Cohort</w:t>
      </w:r>
    </w:p>
    <w:p w14:paraId="42DB8B11" w14:textId="06CE8E4D" w:rsidR="007A4837" w:rsidRPr="002D459F" w:rsidRDefault="00AD52C4" w:rsidP="002D459F">
      <w:pPr>
        <w:spacing w:line="480" w:lineRule="auto"/>
        <w:rPr>
          <w:rFonts w:ascii="Times New Roman" w:hAnsi="Times New Roman" w:cs="Times New Roman"/>
        </w:rPr>
      </w:pPr>
      <w:r w:rsidRPr="002D459F">
        <w:rPr>
          <w:rFonts w:ascii="Times New Roman" w:hAnsi="Times New Roman" w:cs="Times New Roman"/>
          <w:b/>
          <w:bCs/>
        </w:rPr>
        <w:t xml:space="preserve">Caption- </w:t>
      </w:r>
      <w:r w:rsidR="009C07E9" w:rsidRPr="002D459F">
        <w:rPr>
          <w:rFonts w:ascii="Times New Roman" w:hAnsi="Times New Roman" w:cs="Times New Roman"/>
        </w:rPr>
        <w:t xml:space="preserve">Consort flow diagram showing the cases </w:t>
      </w:r>
      <w:r w:rsidRPr="002D459F">
        <w:rPr>
          <w:rFonts w:ascii="Times New Roman" w:hAnsi="Times New Roman" w:cs="Times New Roman"/>
        </w:rPr>
        <w:t xml:space="preserve">from multicenter registry </w:t>
      </w:r>
      <w:r w:rsidR="009C07E9" w:rsidRPr="002D459F">
        <w:rPr>
          <w:rFonts w:ascii="Times New Roman" w:hAnsi="Times New Roman" w:cs="Times New Roman"/>
        </w:rPr>
        <w:t xml:space="preserve">and controls </w:t>
      </w:r>
      <w:r w:rsidRPr="002D459F">
        <w:rPr>
          <w:rFonts w:ascii="Times New Roman" w:hAnsi="Times New Roman" w:cs="Times New Roman"/>
        </w:rPr>
        <w:t xml:space="preserve">from MGH </w:t>
      </w:r>
      <w:r w:rsidR="009C07E9" w:rsidRPr="002D459F">
        <w:rPr>
          <w:rFonts w:ascii="Times New Roman" w:hAnsi="Times New Roman" w:cs="Times New Roman"/>
        </w:rPr>
        <w:t>with available TTE GLS.</w:t>
      </w:r>
      <w:r w:rsidRPr="002D459F">
        <w:rPr>
          <w:rFonts w:ascii="Times New Roman" w:hAnsi="Times New Roman" w:cs="Times New Roman"/>
        </w:rPr>
        <w:t xml:space="preserve"> GLS= global longitudinal strain; ICI= immune checkpoint inhibitors; MGH= Massachusetts General Hospital; TTE= transthoracic echocardiogram.</w:t>
      </w:r>
    </w:p>
    <w:p w14:paraId="5B824A4E" w14:textId="77777777" w:rsidR="00AD52C4" w:rsidRPr="002D459F" w:rsidRDefault="009C07E9" w:rsidP="002D459F">
      <w:pPr>
        <w:spacing w:line="480" w:lineRule="auto"/>
        <w:rPr>
          <w:rFonts w:ascii="Times New Roman" w:hAnsi="Times New Roman" w:cs="Times New Roman"/>
          <w:b/>
          <w:bCs/>
        </w:rPr>
      </w:pPr>
      <w:r w:rsidRPr="002D459F">
        <w:rPr>
          <w:rFonts w:ascii="Times New Roman" w:hAnsi="Times New Roman" w:cs="Times New Roman"/>
          <w:b/>
          <w:bCs/>
        </w:rPr>
        <w:t xml:space="preserve">Figure 2: </w:t>
      </w:r>
    </w:p>
    <w:p w14:paraId="3B3A33C3" w14:textId="77777777" w:rsidR="00AD52C4" w:rsidRPr="002D459F" w:rsidRDefault="00AD52C4" w:rsidP="002D459F">
      <w:pPr>
        <w:spacing w:line="480" w:lineRule="auto"/>
        <w:rPr>
          <w:rFonts w:ascii="Times New Roman" w:hAnsi="Times New Roman" w:cs="Times New Roman"/>
          <w:b/>
          <w:bCs/>
        </w:rPr>
      </w:pPr>
      <w:r w:rsidRPr="002D459F">
        <w:rPr>
          <w:rFonts w:ascii="Times New Roman" w:hAnsi="Times New Roman" w:cs="Times New Roman"/>
          <w:b/>
          <w:bCs/>
        </w:rPr>
        <w:t xml:space="preserve">Title- GLS among Cases and Controls </w:t>
      </w:r>
    </w:p>
    <w:p w14:paraId="7B72DE45" w14:textId="6EC402DF" w:rsidR="007A4837" w:rsidRPr="002D459F" w:rsidRDefault="00AD52C4" w:rsidP="002D459F">
      <w:pPr>
        <w:spacing w:line="480" w:lineRule="auto"/>
        <w:rPr>
          <w:rFonts w:ascii="Times New Roman" w:hAnsi="Times New Roman" w:cs="Times New Roman"/>
        </w:rPr>
      </w:pPr>
      <w:r w:rsidRPr="002D459F">
        <w:rPr>
          <w:rFonts w:ascii="Times New Roman" w:hAnsi="Times New Roman" w:cs="Times New Roman"/>
          <w:b/>
          <w:bCs/>
        </w:rPr>
        <w:t xml:space="preserve">Caption- </w:t>
      </w:r>
      <w:r w:rsidR="009C07E9" w:rsidRPr="002D459F">
        <w:rPr>
          <w:rFonts w:ascii="Times New Roman" w:hAnsi="Times New Roman" w:cs="Times New Roman"/>
          <w:b/>
          <w:bCs/>
        </w:rPr>
        <w:t>A-</w:t>
      </w:r>
      <w:r w:rsidR="009C07E9" w:rsidRPr="002D459F">
        <w:rPr>
          <w:rFonts w:ascii="Times New Roman" w:hAnsi="Times New Roman" w:cs="Times New Roman"/>
        </w:rPr>
        <w:t xml:space="preserve"> </w:t>
      </w:r>
      <w:r w:rsidRPr="002D459F">
        <w:rPr>
          <w:rFonts w:ascii="Times New Roman" w:hAnsi="Times New Roman" w:cs="Times New Roman"/>
        </w:rPr>
        <w:t xml:space="preserve">Box plot graph of </w:t>
      </w:r>
      <w:r w:rsidR="009C07E9" w:rsidRPr="002D459F">
        <w:rPr>
          <w:rFonts w:ascii="Times New Roman" w:hAnsi="Times New Roman" w:cs="Times New Roman"/>
        </w:rPr>
        <w:t xml:space="preserve">GLS </w:t>
      </w:r>
      <w:r w:rsidRPr="002D459F">
        <w:rPr>
          <w:rFonts w:ascii="Times New Roman" w:hAnsi="Times New Roman" w:cs="Times New Roman"/>
        </w:rPr>
        <w:t xml:space="preserve">among cases and controls pre-ICI showing </w:t>
      </w:r>
      <w:r w:rsidR="009C07E9" w:rsidRPr="002D459F">
        <w:rPr>
          <w:rFonts w:ascii="Times New Roman" w:hAnsi="Times New Roman" w:cs="Times New Roman"/>
        </w:rPr>
        <w:t xml:space="preserve">lower </w:t>
      </w:r>
      <w:r w:rsidRPr="002D459F">
        <w:rPr>
          <w:rFonts w:ascii="Times New Roman" w:hAnsi="Times New Roman" w:cs="Times New Roman"/>
        </w:rPr>
        <w:t xml:space="preserve">values </w:t>
      </w:r>
      <w:r w:rsidR="009C07E9" w:rsidRPr="002D459F">
        <w:rPr>
          <w:rFonts w:ascii="Times New Roman" w:hAnsi="Times New Roman" w:cs="Times New Roman"/>
        </w:rPr>
        <w:t>among cases</w:t>
      </w:r>
      <w:r w:rsidRPr="002D459F">
        <w:rPr>
          <w:rFonts w:ascii="Times New Roman" w:hAnsi="Times New Roman" w:cs="Times New Roman"/>
        </w:rPr>
        <w:t xml:space="preserve"> </w:t>
      </w:r>
      <w:r w:rsidR="009C07E9" w:rsidRPr="002D459F">
        <w:rPr>
          <w:rFonts w:ascii="Times New Roman" w:hAnsi="Times New Roman" w:cs="Times New Roman"/>
        </w:rPr>
        <w:t xml:space="preserve">compared to controls; </w:t>
      </w:r>
      <w:r w:rsidR="009C07E9" w:rsidRPr="002D459F">
        <w:rPr>
          <w:rFonts w:ascii="Times New Roman" w:hAnsi="Times New Roman" w:cs="Times New Roman"/>
          <w:b/>
          <w:bCs/>
        </w:rPr>
        <w:t>B-</w:t>
      </w:r>
      <w:r w:rsidR="009C07E9" w:rsidRPr="002D459F">
        <w:rPr>
          <w:rFonts w:ascii="Times New Roman" w:hAnsi="Times New Roman" w:cs="Times New Roman"/>
        </w:rPr>
        <w:t xml:space="preserve"> </w:t>
      </w:r>
      <w:r w:rsidRPr="002D459F">
        <w:rPr>
          <w:rFonts w:ascii="Times New Roman" w:hAnsi="Times New Roman" w:cs="Times New Roman"/>
        </w:rPr>
        <w:t xml:space="preserve">Spaghetti plot graph of </w:t>
      </w:r>
      <w:r w:rsidR="009C07E9" w:rsidRPr="002D459F">
        <w:rPr>
          <w:rFonts w:ascii="Times New Roman" w:hAnsi="Times New Roman" w:cs="Times New Roman"/>
        </w:rPr>
        <w:t xml:space="preserve">GLS </w:t>
      </w:r>
      <w:r w:rsidRPr="002D459F">
        <w:rPr>
          <w:rFonts w:ascii="Times New Roman" w:hAnsi="Times New Roman" w:cs="Times New Roman"/>
        </w:rPr>
        <w:t>among cases showing the reduction in GLS</w:t>
      </w:r>
      <w:r w:rsidR="009C07E9" w:rsidRPr="002D459F">
        <w:rPr>
          <w:rFonts w:ascii="Times New Roman" w:hAnsi="Times New Roman" w:cs="Times New Roman"/>
        </w:rPr>
        <w:t xml:space="preserve"> with the development of myocarditis; </w:t>
      </w:r>
      <w:r w:rsidR="009C07E9" w:rsidRPr="002D459F">
        <w:rPr>
          <w:rFonts w:ascii="Times New Roman" w:hAnsi="Times New Roman" w:cs="Times New Roman"/>
          <w:b/>
          <w:bCs/>
        </w:rPr>
        <w:t>C-</w:t>
      </w:r>
      <w:r w:rsidR="009C07E9" w:rsidRPr="002D459F">
        <w:rPr>
          <w:rFonts w:ascii="Times New Roman" w:hAnsi="Times New Roman" w:cs="Times New Roman"/>
        </w:rPr>
        <w:t xml:space="preserve"> </w:t>
      </w:r>
      <w:r w:rsidRPr="002D459F">
        <w:rPr>
          <w:rFonts w:ascii="Times New Roman" w:hAnsi="Times New Roman" w:cs="Times New Roman"/>
        </w:rPr>
        <w:t xml:space="preserve">Spaghetti plot graph of </w:t>
      </w:r>
      <w:r w:rsidR="009C07E9" w:rsidRPr="002D459F">
        <w:rPr>
          <w:rFonts w:ascii="Times New Roman" w:hAnsi="Times New Roman" w:cs="Times New Roman"/>
        </w:rPr>
        <w:t>GLS</w:t>
      </w:r>
      <w:r w:rsidRPr="002D459F">
        <w:rPr>
          <w:rFonts w:ascii="Times New Roman" w:hAnsi="Times New Roman" w:cs="Times New Roman"/>
        </w:rPr>
        <w:t xml:space="preserve"> among controls showing no change in GLS</w:t>
      </w:r>
      <w:r w:rsidR="009C07E9" w:rsidRPr="002D459F">
        <w:rPr>
          <w:rFonts w:ascii="Times New Roman" w:hAnsi="Times New Roman" w:cs="Times New Roman"/>
        </w:rPr>
        <w:t xml:space="preserve"> among controls on ICI who did not develop myocarditis; </w:t>
      </w:r>
      <w:r w:rsidR="009C07E9" w:rsidRPr="002D459F">
        <w:rPr>
          <w:rFonts w:ascii="Times New Roman" w:hAnsi="Times New Roman" w:cs="Times New Roman"/>
          <w:b/>
          <w:bCs/>
        </w:rPr>
        <w:t>D-</w:t>
      </w:r>
      <w:r w:rsidR="009C07E9" w:rsidRPr="002D459F">
        <w:rPr>
          <w:rFonts w:ascii="Times New Roman" w:hAnsi="Times New Roman" w:cs="Times New Roman"/>
        </w:rPr>
        <w:t xml:space="preserve"> </w:t>
      </w:r>
      <w:r w:rsidR="00205605" w:rsidRPr="002D459F">
        <w:rPr>
          <w:rFonts w:ascii="Times New Roman" w:hAnsi="Times New Roman" w:cs="Times New Roman"/>
        </w:rPr>
        <w:t xml:space="preserve">Box plot graph of </w:t>
      </w:r>
      <w:r w:rsidR="009C07E9" w:rsidRPr="002D459F">
        <w:rPr>
          <w:rFonts w:ascii="Times New Roman" w:hAnsi="Times New Roman" w:cs="Times New Roman"/>
        </w:rPr>
        <w:t>GLS</w:t>
      </w:r>
      <w:r w:rsidR="00205605" w:rsidRPr="002D459F">
        <w:rPr>
          <w:rFonts w:ascii="Times New Roman" w:hAnsi="Times New Roman" w:cs="Times New Roman"/>
        </w:rPr>
        <w:t xml:space="preserve"> among cases during presentation with myocarditis and controls on ICI who did not develop myocarditis, showing lower GLS values among the cases compared to controls</w:t>
      </w:r>
      <w:r w:rsidR="009C07E9" w:rsidRPr="002D459F">
        <w:rPr>
          <w:rFonts w:ascii="Times New Roman" w:hAnsi="Times New Roman" w:cs="Times New Roman"/>
        </w:rPr>
        <w:t xml:space="preserve">; </w:t>
      </w:r>
      <w:r w:rsidR="00205605" w:rsidRPr="002D459F">
        <w:rPr>
          <w:rFonts w:ascii="Times New Roman" w:hAnsi="Times New Roman" w:cs="Times New Roman"/>
          <w:b/>
          <w:bCs/>
        </w:rPr>
        <w:t>E</w:t>
      </w:r>
      <w:r w:rsidR="009C07E9" w:rsidRPr="002D459F">
        <w:rPr>
          <w:rFonts w:ascii="Times New Roman" w:hAnsi="Times New Roman" w:cs="Times New Roman"/>
          <w:b/>
          <w:bCs/>
        </w:rPr>
        <w:t xml:space="preserve">- </w:t>
      </w:r>
      <w:r w:rsidR="00205605" w:rsidRPr="002D459F">
        <w:rPr>
          <w:rFonts w:ascii="Times New Roman" w:hAnsi="Times New Roman" w:cs="Times New Roman"/>
          <w:bCs/>
        </w:rPr>
        <w:t xml:space="preserve">Spaghetti plot graph of </w:t>
      </w:r>
      <w:r w:rsidR="009C07E9" w:rsidRPr="002D459F">
        <w:rPr>
          <w:rFonts w:ascii="Times New Roman" w:hAnsi="Times New Roman" w:cs="Times New Roman"/>
        </w:rPr>
        <w:t>GLS among cases with follow-up values post discontinuation of ICI-therapy compared to during ICI-myocarditis admission</w:t>
      </w:r>
      <w:r w:rsidR="00205605" w:rsidRPr="002D459F">
        <w:rPr>
          <w:rFonts w:ascii="Times New Roman" w:hAnsi="Times New Roman" w:cs="Times New Roman"/>
        </w:rPr>
        <w:t>, showing improved GLS post discontinuation of therapy</w:t>
      </w:r>
      <w:r w:rsidR="009C07E9" w:rsidRPr="002D459F">
        <w:rPr>
          <w:rFonts w:ascii="Times New Roman" w:hAnsi="Times New Roman" w:cs="Times New Roman"/>
        </w:rPr>
        <w:t xml:space="preserve">; </w:t>
      </w:r>
      <w:r w:rsidR="009C07E9" w:rsidRPr="002D459F">
        <w:rPr>
          <w:rFonts w:ascii="Times New Roman" w:hAnsi="Times New Roman" w:cs="Times New Roman"/>
          <w:b/>
          <w:bCs/>
        </w:rPr>
        <w:t>F-</w:t>
      </w:r>
      <w:r w:rsidR="009C07E9" w:rsidRPr="002D459F">
        <w:rPr>
          <w:rFonts w:ascii="Times New Roman" w:hAnsi="Times New Roman" w:cs="Times New Roman"/>
        </w:rPr>
        <w:t xml:space="preserve"> </w:t>
      </w:r>
      <w:r w:rsidR="00205605" w:rsidRPr="002D459F">
        <w:rPr>
          <w:rFonts w:ascii="Times New Roman" w:hAnsi="Times New Roman" w:cs="Times New Roman"/>
        </w:rPr>
        <w:t xml:space="preserve">Box plot graph of GLS among </w:t>
      </w:r>
      <w:r w:rsidR="009C07E9" w:rsidRPr="002D459F">
        <w:rPr>
          <w:rFonts w:ascii="Times New Roman" w:hAnsi="Times New Roman" w:cs="Times New Roman"/>
        </w:rPr>
        <w:t>cases presenting with both a reduced and preserved EF compared to controls</w:t>
      </w:r>
      <w:r w:rsidR="00205605" w:rsidRPr="002D459F">
        <w:rPr>
          <w:rFonts w:ascii="Times New Roman" w:hAnsi="Times New Roman" w:cs="Times New Roman"/>
        </w:rPr>
        <w:t>, showing lower GLS among cases compared to controls irrelevant of EF.</w:t>
      </w:r>
      <w:r w:rsidR="009C07E9" w:rsidRPr="002D459F">
        <w:rPr>
          <w:rFonts w:ascii="Times New Roman" w:hAnsi="Times New Roman" w:cs="Times New Roman"/>
        </w:rPr>
        <w:t xml:space="preserve"> </w:t>
      </w:r>
      <w:r w:rsidR="009C0DEC">
        <w:rPr>
          <w:rFonts w:ascii="Times New Roman" w:hAnsi="Times New Roman" w:cs="Times New Roman"/>
        </w:rPr>
        <w:t xml:space="preserve">Box plots summarizing data from minimal values (lowest horizontal line), first quartile (bottom of box), median (horizontal line within the box), third quartile (top of box), and maximum values (highest horizontal line). </w:t>
      </w:r>
      <w:r w:rsidR="009C07E9" w:rsidRPr="002D459F">
        <w:rPr>
          <w:rFonts w:ascii="Times New Roman" w:hAnsi="Times New Roman" w:cs="Times New Roman"/>
        </w:rPr>
        <w:t>GLS= global longitudinal strain; ICI=immune checkpoint inhibitors; LVEF= left ventricular ejection fraction.</w:t>
      </w:r>
    </w:p>
    <w:p w14:paraId="254171BB" w14:textId="77777777" w:rsidR="00857805" w:rsidRPr="002D459F" w:rsidRDefault="007A4837" w:rsidP="002D459F">
      <w:pPr>
        <w:spacing w:line="480" w:lineRule="auto"/>
        <w:rPr>
          <w:rFonts w:ascii="Times New Roman" w:hAnsi="Times New Roman" w:cs="Times New Roman"/>
          <w:b/>
          <w:bCs/>
        </w:rPr>
      </w:pPr>
      <w:r w:rsidRPr="002D459F">
        <w:rPr>
          <w:rFonts w:ascii="Times New Roman" w:hAnsi="Times New Roman" w:cs="Times New Roman"/>
          <w:b/>
          <w:bCs/>
        </w:rPr>
        <w:t xml:space="preserve">Figure 3: </w:t>
      </w:r>
    </w:p>
    <w:p w14:paraId="1DCD7638" w14:textId="2868FF79" w:rsidR="00857805" w:rsidRPr="002D459F" w:rsidRDefault="00857805" w:rsidP="002D459F">
      <w:pPr>
        <w:spacing w:line="480" w:lineRule="auto"/>
        <w:rPr>
          <w:rFonts w:ascii="Times New Roman" w:hAnsi="Times New Roman" w:cs="Times New Roman"/>
          <w:b/>
          <w:bCs/>
        </w:rPr>
      </w:pPr>
      <w:r w:rsidRPr="002D459F">
        <w:rPr>
          <w:rFonts w:ascii="Times New Roman" w:hAnsi="Times New Roman" w:cs="Times New Roman"/>
          <w:b/>
          <w:bCs/>
        </w:rPr>
        <w:t xml:space="preserve">Title- Kaplan- Meier </w:t>
      </w:r>
      <w:r w:rsidR="00CA25C9" w:rsidRPr="002D459F">
        <w:rPr>
          <w:rFonts w:ascii="Times New Roman" w:hAnsi="Times New Roman" w:cs="Times New Roman"/>
          <w:b/>
          <w:bCs/>
        </w:rPr>
        <w:t xml:space="preserve">survival </w:t>
      </w:r>
      <w:r w:rsidRPr="002D459F">
        <w:rPr>
          <w:rFonts w:ascii="Times New Roman" w:hAnsi="Times New Roman" w:cs="Times New Roman"/>
          <w:b/>
          <w:bCs/>
        </w:rPr>
        <w:t xml:space="preserve">curves showing </w:t>
      </w:r>
      <w:r w:rsidR="005F411F" w:rsidRPr="002D459F">
        <w:rPr>
          <w:rFonts w:ascii="Times New Roman" w:hAnsi="Times New Roman" w:cs="Times New Roman"/>
          <w:b/>
          <w:bCs/>
        </w:rPr>
        <w:t xml:space="preserve">the </w:t>
      </w:r>
      <w:r w:rsidRPr="002D459F">
        <w:rPr>
          <w:rFonts w:ascii="Times New Roman" w:hAnsi="Times New Roman" w:cs="Times New Roman"/>
          <w:b/>
          <w:bCs/>
        </w:rPr>
        <w:t xml:space="preserve">association of MACE </w:t>
      </w:r>
      <w:r w:rsidR="005F411F" w:rsidRPr="002D459F">
        <w:rPr>
          <w:rFonts w:ascii="Times New Roman" w:hAnsi="Times New Roman" w:cs="Times New Roman"/>
          <w:b/>
          <w:bCs/>
        </w:rPr>
        <w:t>and GLS among Cases</w:t>
      </w:r>
    </w:p>
    <w:p w14:paraId="400EEAFA" w14:textId="57705841" w:rsidR="009C07E9" w:rsidRPr="002D459F" w:rsidRDefault="00857805" w:rsidP="002D459F">
      <w:pPr>
        <w:spacing w:line="480" w:lineRule="auto"/>
        <w:rPr>
          <w:rFonts w:ascii="Times New Roman" w:hAnsi="Times New Roman" w:cs="Times New Roman"/>
          <w:lang w:val="en-GB"/>
        </w:rPr>
      </w:pPr>
      <w:r w:rsidRPr="002D459F">
        <w:rPr>
          <w:rFonts w:ascii="Times New Roman" w:hAnsi="Times New Roman" w:cs="Times New Roman"/>
          <w:b/>
          <w:bCs/>
        </w:rPr>
        <w:t xml:space="preserve">Caption- </w:t>
      </w:r>
      <w:r w:rsidR="007A4837" w:rsidRPr="002D459F">
        <w:rPr>
          <w:rFonts w:ascii="Times New Roman" w:hAnsi="Times New Roman" w:cs="Times New Roman"/>
          <w:b/>
          <w:bCs/>
        </w:rPr>
        <w:t>A-</w:t>
      </w:r>
      <w:r w:rsidR="007A4837" w:rsidRPr="002D459F">
        <w:rPr>
          <w:rFonts w:ascii="Times New Roman" w:hAnsi="Times New Roman" w:cs="Times New Roman"/>
        </w:rPr>
        <w:t xml:space="preserve"> Kaplan-Meier curve </w:t>
      </w:r>
      <w:r w:rsidRPr="002D459F">
        <w:rPr>
          <w:rFonts w:ascii="Times New Roman" w:hAnsi="Times New Roman" w:cs="Times New Roman"/>
        </w:rPr>
        <w:t>of</w:t>
      </w:r>
      <w:r w:rsidR="007A4837" w:rsidRPr="002D459F">
        <w:rPr>
          <w:rFonts w:ascii="Times New Roman" w:hAnsi="Times New Roman" w:cs="Times New Roman"/>
        </w:rPr>
        <w:t xml:space="preserve"> MACE</w:t>
      </w:r>
      <w:r w:rsidRPr="002D459F">
        <w:rPr>
          <w:rFonts w:ascii="Times New Roman" w:hAnsi="Times New Roman" w:cs="Times New Roman"/>
        </w:rPr>
        <w:t xml:space="preserve"> free survival among all cases stratified by tertiles</w:t>
      </w:r>
      <w:r w:rsidR="007B13BF" w:rsidRPr="002D459F">
        <w:rPr>
          <w:rFonts w:ascii="Times New Roman" w:hAnsi="Times New Roman" w:cs="Times New Roman"/>
        </w:rPr>
        <w:t xml:space="preserve"> of GLS values</w:t>
      </w:r>
      <w:r w:rsidRPr="002D459F">
        <w:rPr>
          <w:rFonts w:ascii="Times New Roman" w:hAnsi="Times New Roman" w:cs="Times New Roman"/>
        </w:rPr>
        <w:t xml:space="preserve"> showing </w:t>
      </w:r>
      <w:r w:rsidR="007A4837" w:rsidRPr="002D459F">
        <w:rPr>
          <w:rFonts w:ascii="Times New Roman" w:hAnsi="Times New Roman" w:cs="Times New Roman"/>
        </w:rPr>
        <w:t>highest</w:t>
      </w:r>
      <w:r w:rsidRPr="002D459F">
        <w:rPr>
          <w:rFonts w:ascii="Times New Roman" w:hAnsi="Times New Roman" w:cs="Times New Roman"/>
        </w:rPr>
        <w:t xml:space="preserve"> MACE free survival</w:t>
      </w:r>
      <w:r w:rsidR="007A4837" w:rsidRPr="002D459F">
        <w:rPr>
          <w:rFonts w:ascii="Times New Roman" w:hAnsi="Times New Roman" w:cs="Times New Roman"/>
        </w:rPr>
        <w:t xml:space="preserve"> among cases with a </w:t>
      </w:r>
      <w:r w:rsidRPr="002D459F">
        <w:rPr>
          <w:rFonts w:ascii="Times New Roman" w:hAnsi="Times New Roman" w:cs="Times New Roman"/>
        </w:rPr>
        <w:t xml:space="preserve">GLS ≥16% and lowest among cases with a </w:t>
      </w:r>
      <w:r w:rsidR="007A4837" w:rsidRPr="002D459F">
        <w:rPr>
          <w:rFonts w:ascii="Times New Roman" w:hAnsi="Times New Roman" w:cs="Times New Roman"/>
        </w:rPr>
        <w:t>GLS ≤14%</w:t>
      </w:r>
      <w:r w:rsidRPr="002D459F">
        <w:rPr>
          <w:rFonts w:ascii="Times New Roman" w:hAnsi="Times New Roman" w:cs="Times New Roman"/>
        </w:rPr>
        <w:t xml:space="preserve"> </w:t>
      </w:r>
      <w:r w:rsidR="007A4837" w:rsidRPr="002D459F">
        <w:rPr>
          <w:rFonts w:ascii="Times New Roman" w:hAnsi="Times New Roman" w:cs="Times New Roman"/>
        </w:rPr>
        <w:t xml:space="preserve">(p&lt;0.001). </w:t>
      </w:r>
      <w:r w:rsidR="007A4837" w:rsidRPr="002D459F">
        <w:rPr>
          <w:rFonts w:ascii="Times New Roman" w:hAnsi="Times New Roman" w:cs="Times New Roman"/>
          <w:b/>
          <w:bCs/>
        </w:rPr>
        <w:t>B-</w:t>
      </w:r>
      <w:r w:rsidR="007A4837" w:rsidRPr="002D459F">
        <w:rPr>
          <w:rFonts w:ascii="Times New Roman" w:hAnsi="Times New Roman" w:cs="Times New Roman"/>
        </w:rPr>
        <w:t xml:space="preserve"> Kaplan- Meier curve </w:t>
      </w:r>
      <w:r w:rsidRPr="002D459F">
        <w:rPr>
          <w:rFonts w:ascii="Times New Roman" w:hAnsi="Times New Roman" w:cs="Times New Roman"/>
        </w:rPr>
        <w:t xml:space="preserve">of MACE free survival </w:t>
      </w:r>
      <w:r w:rsidR="007B13BF" w:rsidRPr="002D459F">
        <w:rPr>
          <w:rFonts w:ascii="Times New Roman" w:hAnsi="Times New Roman" w:cs="Times New Roman"/>
        </w:rPr>
        <w:t xml:space="preserve">among cases with reduced LVEF stratified by GLS values above and below the median value of 13%, </w:t>
      </w:r>
      <w:r w:rsidR="007A4837" w:rsidRPr="002D459F">
        <w:rPr>
          <w:rFonts w:ascii="Times New Roman" w:hAnsi="Times New Roman" w:cs="Times New Roman"/>
        </w:rPr>
        <w:t>showing</w:t>
      </w:r>
      <w:r w:rsidR="007B13BF" w:rsidRPr="002D459F">
        <w:rPr>
          <w:rFonts w:ascii="Times New Roman" w:hAnsi="Times New Roman" w:cs="Times New Roman"/>
        </w:rPr>
        <w:t xml:space="preserve"> increased MACE free survival among cases with GLS ≥13% compared to GLS &lt;13% </w:t>
      </w:r>
      <w:r w:rsidR="007A4837" w:rsidRPr="002D459F">
        <w:rPr>
          <w:rFonts w:ascii="Times New Roman" w:hAnsi="Times New Roman" w:cs="Times New Roman"/>
        </w:rPr>
        <w:t xml:space="preserve">(p&lt;0.001). </w:t>
      </w:r>
      <w:r w:rsidR="007A4837" w:rsidRPr="002D459F">
        <w:rPr>
          <w:rFonts w:ascii="Times New Roman" w:hAnsi="Times New Roman" w:cs="Times New Roman"/>
          <w:b/>
          <w:bCs/>
        </w:rPr>
        <w:t>C-</w:t>
      </w:r>
      <w:r w:rsidR="007A4837" w:rsidRPr="002D459F">
        <w:rPr>
          <w:rFonts w:ascii="Times New Roman" w:hAnsi="Times New Roman" w:cs="Times New Roman"/>
        </w:rPr>
        <w:t xml:space="preserve"> </w:t>
      </w:r>
      <w:r w:rsidR="00C058F3" w:rsidRPr="002D459F">
        <w:rPr>
          <w:rFonts w:ascii="Times New Roman" w:hAnsi="Times New Roman" w:cs="Times New Roman"/>
        </w:rPr>
        <w:t xml:space="preserve">Kaplan- Meier curve of MACE free survival among cases with preserved LVEF stratified by GLS values above and below the median value of 16%, showing increased MACE free survival among cases with GLS ≥16% compared to GLS &lt;16% (p&lt;0.001). </w:t>
      </w:r>
      <w:r w:rsidR="007A4837" w:rsidRPr="002D459F">
        <w:rPr>
          <w:rFonts w:ascii="Times New Roman" w:hAnsi="Times New Roman" w:cs="Times New Roman"/>
        </w:rPr>
        <w:t>GLS= global longitudinal strain; LVEF= left ventricular ejection fraction; MACE= major adverse cardiac event.</w:t>
      </w:r>
    </w:p>
    <w:p w14:paraId="121CF30A" w14:textId="77777777" w:rsidR="001C0B81" w:rsidRPr="002D459F" w:rsidRDefault="007A4837" w:rsidP="002D459F">
      <w:pPr>
        <w:spacing w:line="480" w:lineRule="auto"/>
        <w:rPr>
          <w:rFonts w:ascii="Times New Roman" w:hAnsi="Times New Roman" w:cs="Times New Roman"/>
        </w:rPr>
      </w:pPr>
      <w:r w:rsidRPr="002D459F">
        <w:rPr>
          <w:rFonts w:ascii="Times New Roman" w:hAnsi="Times New Roman" w:cs="Times New Roman"/>
          <w:b/>
          <w:bCs/>
        </w:rPr>
        <w:t>Figure 4:</w:t>
      </w:r>
      <w:r w:rsidRPr="002D459F">
        <w:rPr>
          <w:rFonts w:ascii="Times New Roman" w:hAnsi="Times New Roman" w:cs="Times New Roman"/>
        </w:rPr>
        <w:t xml:space="preserve"> </w:t>
      </w:r>
    </w:p>
    <w:p w14:paraId="7891CA6E" w14:textId="76B3AB5C" w:rsidR="001C0B81" w:rsidRPr="002D459F" w:rsidRDefault="001C0B81" w:rsidP="002D459F">
      <w:pPr>
        <w:spacing w:line="480" w:lineRule="auto"/>
        <w:rPr>
          <w:rFonts w:ascii="Times New Roman" w:hAnsi="Times New Roman" w:cs="Times New Roman"/>
          <w:b/>
        </w:rPr>
      </w:pPr>
      <w:r w:rsidRPr="002D459F">
        <w:rPr>
          <w:rFonts w:ascii="Times New Roman" w:hAnsi="Times New Roman" w:cs="Times New Roman"/>
          <w:b/>
        </w:rPr>
        <w:t xml:space="preserve">Title- Central Illustration: GLS in ICI-myocarditis </w:t>
      </w:r>
    </w:p>
    <w:p w14:paraId="4082D6B6" w14:textId="3E2440A2" w:rsidR="00151ECF" w:rsidRDefault="001C0B81" w:rsidP="00151ECF">
      <w:pPr>
        <w:spacing w:line="480" w:lineRule="auto"/>
        <w:rPr>
          <w:rFonts w:ascii="Times New Roman" w:hAnsi="Times New Roman" w:cs="Times New Roman"/>
          <w:lang w:val="en-GB"/>
        </w:rPr>
      </w:pPr>
      <w:r w:rsidRPr="002D459F">
        <w:rPr>
          <w:rFonts w:ascii="Times New Roman" w:hAnsi="Times New Roman" w:cs="Times New Roman"/>
          <w:b/>
        </w:rPr>
        <w:t>Caption:</w:t>
      </w:r>
      <w:r w:rsidRPr="002D459F">
        <w:rPr>
          <w:rFonts w:ascii="Times New Roman" w:hAnsi="Times New Roman" w:cs="Times New Roman"/>
        </w:rPr>
        <w:t xml:space="preserve"> </w:t>
      </w:r>
      <w:r w:rsidR="007A4837" w:rsidRPr="002D459F">
        <w:rPr>
          <w:rFonts w:ascii="Times New Roman" w:hAnsi="Times New Roman" w:cs="Times New Roman"/>
        </w:rPr>
        <w:t xml:space="preserve">Central illustration showing the association of different GLS cut-offs and MACE among cases with reduced and preserved EF. </w:t>
      </w:r>
      <w:r w:rsidR="00D12407" w:rsidRPr="002D459F">
        <w:rPr>
          <w:rFonts w:ascii="Times New Roman" w:hAnsi="Times New Roman" w:cs="Times New Roman"/>
        </w:rPr>
        <w:t>NT-pro</w:t>
      </w:r>
      <w:r w:rsidR="007A4837" w:rsidRPr="002D459F">
        <w:rPr>
          <w:rFonts w:ascii="Times New Roman" w:hAnsi="Times New Roman" w:cs="Times New Roman"/>
        </w:rPr>
        <w:t xml:space="preserve">BNP= </w:t>
      </w:r>
      <w:r w:rsidR="00D12407" w:rsidRPr="002D459F">
        <w:rPr>
          <w:rFonts w:ascii="Times New Roman" w:hAnsi="Times New Roman" w:cs="Times New Roman"/>
        </w:rPr>
        <w:t>N-terminal pro hormone B</w:t>
      </w:r>
      <w:r w:rsidR="007A4837" w:rsidRPr="002D459F">
        <w:rPr>
          <w:rFonts w:ascii="Times New Roman" w:hAnsi="Times New Roman" w:cs="Times New Roman"/>
        </w:rPr>
        <w:t xml:space="preserve">-type </w:t>
      </w:r>
      <w:r w:rsidR="00D12407" w:rsidRPr="002D459F">
        <w:rPr>
          <w:rFonts w:ascii="Times New Roman" w:hAnsi="Times New Roman" w:cs="Times New Roman"/>
        </w:rPr>
        <w:t>n</w:t>
      </w:r>
      <w:r w:rsidR="007A4837" w:rsidRPr="002D459F">
        <w:rPr>
          <w:rFonts w:ascii="Times New Roman" w:hAnsi="Times New Roman" w:cs="Times New Roman"/>
        </w:rPr>
        <w:t>atriuretic peptide; ECG= electrocardiogram; EF= ejection fraction; GLS= global longitudinal strain; ICI= immune checkpoint inhibitors; MACE= major adverse cardiac event.</w:t>
      </w:r>
    </w:p>
    <w:p w14:paraId="0FD05707" w14:textId="77777777" w:rsidR="00151ECF" w:rsidRDefault="00151ECF">
      <w:pPr>
        <w:rPr>
          <w:rFonts w:ascii="Times New Roman" w:hAnsi="Times New Roman" w:cs="Times New Roman"/>
          <w:lang w:val="en-GB"/>
        </w:rPr>
      </w:pPr>
      <w:r>
        <w:rPr>
          <w:rFonts w:ascii="Times New Roman" w:hAnsi="Times New Roman" w:cs="Times New Roman"/>
          <w:lang w:val="en-GB"/>
        </w:rPr>
        <w:br w:type="page"/>
      </w:r>
    </w:p>
    <w:tbl>
      <w:tblPr>
        <w:tblStyle w:val="TableGrid"/>
        <w:tblW w:w="12630" w:type="dxa"/>
        <w:tblInd w:w="-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624"/>
        <w:gridCol w:w="1897"/>
        <w:gridCol w:w="533"/>
        <w:gridCol w:w="1890"/>
        <w:gridCol w:w="270"/>
        <w:gridCol w:w="1242"/>
        <w:gridCol w:w="652"/>
        <w:gridCol w:w="270"/>
        <w:gridCol w:w="270"/>
        <w:gridCol w:w="270"/>
        <w:gridCol w:w="240"/>
        <w:gridCol w:w="236"/>
      </w:tblGrid>
      <w:tr w:rsidR="007A4837" w:rsidRPr="00D73320" w14:paraId="4958F4CF" w14:textId="77777777" w:rsidTr="007A4837">
        <w:trPr>
          <w:gridAfter w:val="6"/>
          <w:wAfter w:w="1938" w:type="dxa"/>
          <w:trHeight w:val="647"/>
        </w:trPr>
        <w:tc>
          <w:tcPr>
            <w:tcW w:w="4860" w:type="dxa"/>
            <w:gridSpan w:val="2"/>
            <w:tcBorders>
              <w:top w:val="single" w:sz="18" w:space="0" w:color="auto"/>
              <w:bottom w:val="single" w:sz="18" w:space="0" w:color="auto"/>
            </w:tcBorders>
          </w:tcPr>
          <w:p w14:paraId="7673CC6C" w14:textId="77777777" w:rsidR="007A4837" w:rsidRPr="00D73320" w:rsidRDefault="007A4837" w:rsidP="007A4837">
            <w:pPr>
              <w:spacing w:line="276" w:lineRule="auto"/>
              <w:rPr>
                <w:rFonts w:ascii="Times New Roman" w:hAnsi="Times New Roman" w:cs="Times New Roman"/>
                <w:b/>
              </w:rPr>
            </w:pPr>
            <w:r w:rsidRPr="00D73320">
              <w:rPr>
                <w:rFonts w:ascii="Times New Roman" w:hAnsi="Times New Roman" w:cs="Times New Roman"/>
                <w:b/>
              </w:rPr>
              <w:t>Table 1A: Description of cases and controls</w:t>
            </w:r>
          </w:p>
        </w:tc>
        <w:tc>
          <w:tcPr>
            <w:tcW w:w="2430" w:type="dxa"/>
            <w:gridSpan w:val="2"/>
            <w:tcBorders>
              <w:top w:val="single" w:sz="18" w:space="0" w:color="auto"/>
              <w:bottom w:val="single" w:sz="18" w:space="0" w:color="auto"/>
            </w:tcBorders>
          </w:tcPr>
          <w:p w14:paraId="53762FF0"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Cases</w:t>
            </w:r>
          </w:p>
          <w:p w14:paraId="7819E8D2"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(n=101)</w:t>
            </w:r>
          </w:p>
        </w:tc>
        <w:tc>
          <w:tcPr>
            <w:tcW w:w="1890" w:type="dxa"/>
            <w:tcBorders>
              <w:top w:val="single" w:sz="18" w:space="0" w:color="auto"/>
              <w:bottom w:val="single" w:sz="18" w:space="0" w:color="auto"/>
            </w:tcBorders>
          </w:tcPr>
          <w:p w14:paraId="1505A9F1"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Controls</w:t>
            </w:r>
          </w:p>
          <w:p w14:paraId="15553A86"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(n=92)</w:t>
            </w:r>
          </w:p>
        </w:tc>
        <w:tc>
          <w:tcPr>
            <w:tcW w:w="1512" w:type="dxa"/>
            <w:gridSpan w:val="2"/>
            <w:tcBorders>
              <w:top w:val="single" w:sz="18" w:space="0" w:color="auto"/>
              <w:bottom w:val="single" w:sz="18" w:space="0" w:color="auto"/>
            </w:tcBorders>
          </w:tcPr>
          <w:p w14:paraId="01B2F476" w14:textId="77777777" w:rsidR="007A4837" w:rsidRPr="00D73320" w:rsidRDefault="007A4837" w:rsidP="007A4837">
            <w:pPr>
              <w:spacing w:line="276" w:lineRule="auto"/>
              <w:jc w:val="center"/>
              <w:rPr>
                <w:rFonts w:ascii="Times New Roman" w:hAnsi="Times New Roman" w:cs="Times New Roman"/>
                <w:b/>
                <w:i/>
              </w:rPr>
            </w:pPr>
            <w:r w:rsidRPr="00D73320">
              <w:rPr>
                <w:rFonts w:ascii="Times New Roman" w:hAnsi="Times New Roman" w:cs="Times New Roman"/>
                <w:b/>
                <w:i/>
              </w:rPr>
              <w:t>P Value</w:t>
            </w:r>
          </w:p>
        </w:tc>
      </w:tr>
      <w:tr w:rsidR="007A4837" w:rsidRPr="00D73320" w14:paraId="1803FF5A" w14:textId="77777777" w:rsidTr="007A4837">
        <w:trPr>
          <w:trHeight w:val="99"/>
        </w:trPr>
        <w:tc>
          <w:tcPr>
            <w:tcW w:w="236" w:type="dxa"/>
            <w:tcBorders>
              <w:top w:val="single" w:sz="8" w:space="0" w:color="auto"/>
            </w:tcBorders>
          </w:tcPr>
          <w:p w14:paraId="74B48DE7" w14:textId="77777777" w:rsidR="007A4837" w:rsidRPr="00D73320" w:rsidRDefault="007A4837" w:rsidP="007A4837">
            <w:pPr>
              <w:spacing w:line="276" w:lineRule="auto"/>
              <w:rPr>
                <w:rFonts w:ascii="Times New Roman" w:hAnsi="Times New Roman" w:cs="Times New Roman"/>
              </w:rPr>
            </w:pPr>
          </w:p>
        </w:tc>
        <w:tc>
          <w:tcPr>
            <w:tcW w:w="6521" w:type="dxa"/>
            <w:gridSpan w:val="2"/>
            <w:tcBorders>
              <w:top w:val="single" w:sz="8" w:space="0" w:color="auto"/>
            </w:tcBorders>
          </w:tcPr>
          <w:p w14:paraId="4DB4CC8E" w14:textId="77777777" w:rsidR="007A4837" w:rsidRPr="00D73320" w:rsidRDefault="007A4837" w:rsidP="007A4837">
            <w:pPr>
              <w:spacing w:line="276" w:lineRule="auto"/>
              <w:rPr>
                <w:rFonts w:ascii="Times New Roman" w:hAnsi="Times New Roman" w:cs="Times New Roman"/>
              </w:rPr>
            </w:pPr>
          </w:p>
        </w:tc>
        <w:tc>
          <w:tcPr>
            <w:tcW w:w="2693" w:type="dxa"/>
            <w:gridSpan w:val="3"/>
            <w:tcBorders>
              <w:top w:val="single" w:sz="8" w:space="0" w:color="auto"/>
            </w:tcBorders>
          </w:tcPr>
          <w:p w14:paraId="2C184452" w14:textId="77777777" w:rsidR="007A4837" w:rsidRPr="00D73320" w:rsidRDefault="007A4837" w:rsidP="007A4837">
            <w:pPr>
              <w:spacing w:line="276" w:lineRule="auto"/>
              <w:rPr>
                <w:rFonts w:ascii="Times New Roman" w:hAnsi="Times New Roman" w:cs="Times New Roman"/>
              </w:rPr>
            </w:pPr>
          </w:p>
        </w:tc>
        <w:tc>
          <w:tcPr>
            <w:tcW w:w="1894" w:type="dxa"/>
            <w:gridSpan w:val="2"/>
          </w:tcPr>
          <w:p w14:paraId="3A01C45F" w14:textId="77777777" w:rsidR="007A4837" w:rsidRPr="00D73320" w:rsidRDefault="007A4837" w:rsidP="007A4837">
            <w:pPr>
              <w:spacing w:line="276" w:lineRule="auto"/>
              <w:rPr>
                <w:rFonts w:ascii="Times New Roman" w:hAnsi="Times New Roman" w:cs="Times New Roman"/>
              </w:rPr>
            </w:pPr>
          </w:p>
        </w:tc>
        <w:tc>
          <w:tcPr>
            <w:tcW w:w="270" w:type="dxa"/>
          </w:tcPr>
          <w:p w14:paraId="70D74E65" w14:textId="77777777" w:rsidR="007A4837" w:rsidRPr="00D73320" w:rsidRDefault="007A4837" w:rsidP="007A4837">
            <w:pPr>
              <w:spacing w:line="276" w:lineRule="auto"/>
              <w:rPr>
                <w:rFonts w:ascii="Times New Roman" w:hAnsi="Times New Roman" w:cs="Times New Roman"/>
              </w:rPr>
            </w:pPr>
          </w:p>
        </w:tc>
        <w:tc>
          <w:tcPr>
            <w:tcW w:w="270" w:type="dxa"/>
          </w:tcPr>
          <w:p w14:paraId="0EE76963" w14:textId="77777777" w:rsidR="007A4837" w:rsidRPr="00D73320" w:rsidRDefault="007A4837" w:rsidP="007A4837">
            <w:pPr>
              <w:spacing w:line="276" w:lineRule="auto"/>
              <w:rPr>
                <w:rFonts w:ascii="Times New Roman" w:hAnsi="Times New Roman" w:cs="Times New Roman"/>
              </w:rPr>
            </w:pPr>
          </w:p>
        </w:tc>
        <w:tc>
          <w:tcPr>
            <w:tcW w:w="270" w:type="dxa"/>
          </w:tcPr>
          <w:p w14:paraId="5EC2B5A2" w14:textId="77777777" w:rsidR="007A4837" w:rsidRPr="00D73320" w:rsidRDefault="007A4837" w:rsidP="007A4837">
            <w:pPr>
              <w:spacing w:line="276" w:lineRule="auto"/>
              <w:rPr>
                <w:rFonts w:ascii="Times New Roman" w:hAnsi="Times New Roman" w:cs="Times New Roman"/>
              </w:rPr>
            </w:pPr>
          </w:p>
        </w:tc>
        <w:tc>
          <w:tcPr>
            <w:tcW w:w="240" w:type="dxa"/>
          </w:tcPr>
          <w:p w14:paraId="6EBEEA4E" w14:textId="77777777" w:rsidR="007A4837" w:rsidRPr="00D73320" w:rsidRDefault="007A4837" w:rsidP="007A4837">
            <w:pPr>
              <w:spacing w:line="276" w:lineRule="auto"/>
              <w:rPr>
                <w:rFonts w:ascii="Times New Roman" w:hAnsi="Times New Roman" w:cs="Times New Roman"/>
              </w:rPr>
            </w:pPr>
          </w:p>
        </w:tc>
        <w:tc>
          <w:tcPr>
            <w:tcW w:w="236" w:type="dxa"/>
          </w:tcPr>
          <w:p w14:paraId="2D2FA61A" w14:textId="77777777" w:rsidR="007A4837" w:rsidRPr="00D73320" w:rsidRDefault="007A4837" w:rsidP="007A4837">
            <w:pPr>
              <w:spacing w:line="276" w:lineRule="auto"/>
              <w:rPr>
                <w:rFonts w:ascii="Times New Roman" w:hAnsi="Times New Roman" w:cs="Times New Roman"/>
              </w:rPr>
            </w:pPr>
          </w:p>
        </w:tc>
      </w:tr>
      <w:tr w:rsidR="00151ECF" w:rsidRPr="00D73320" w14:paraId="76AD9AAA" w14:textId="77777777" w:rsidTr="007A4837">
        <w:trPr>
          <w:gridAfter w:val="6"/>
          <w:wAfter w:w="1938" w:type="dxa"/>
          <w:trHeight w:val="334"/>
        </w:trPr>
        <w:tc>
          <w:tcPr>
            <w:tcW w:w="4860" w:type="dxa"/>
            <w:gridSpan w:val="2"/>
          </w:tcPr>
          <w:p w14:paraId="6C67D33E" w14:textId="77777777" w:rsidR="00151ECF" w:rsidRPr="00D73320" w:rsidRDefault="00151ECF" w:rsidP="007A4837">
            <w:pPr>
              <w:spacing w:line="276" w:lineRule="auto"/>
              <w:rPr>
                <w:rFonts w:ascii="Times New Roman" w:hAnsi="Times New Roman" w:cs="Times New Roman"/>
              </w:rPr>
            </w:pPr>
            <w:r w:rsidRPr="00D73320">
              <w:rPr>
                <w:rFonts w:ascii="Times New Roman" w:hAnsi="Times New Roman" w:cs="Times New Roman"/>
              </w:rPr>
              <w:t>Age at start of ICI, years</w:t>
            </w:r>
          </w:p>
        </w:tc>
        <w:tc>
          <w:tcPr>
            <w:tcW w:w="2430" w:type="dxa"/>
            <w:gridSpan w:val="2"/>
          </w:tcPr>
          <w:p w14:paraId="661FF086" w14:textId="77777777" w:rsidR="00151ECF" w:rsidRPr="00D73320" w:rsidRDefault="00151ECF" w:rsidP="007A4837">
            <w:pPr>
              <w:spacing w:line="276" w:lineRule="auto"/>
              <w:jc w:val="center"/>
              <w:rPr>
                <w:rFonts w:ascii="Times New Roman" w:hAnsi="Times New Roman" w:cs="Times New Roman"/>
              </w:rPr>
            </w:pPr>
            <w:r w:rsidRPr="00D73320">
              <w:rPr>
                <w:rFonts w:ascii="Times New Roman" w:hAnsi="Times New Roman" w:cs="Times New Roman"/>
              </w:rPr>
              <w:t>66±14</w:t>
            </w:r>
          </w:p>
        </w:tc>
        <w:tc>
          <w:tcPr>
            <w:tcW w:w="1890" w:type="dxa"/>
          </w:tcPr>
          <w:p w14:paraId="725B4062" w14:textId="77777777" w:rsidR="00151ECF" w:rsidRPr="00D73320" w:rsidRDefault="00151ECF" w:rsidP="007A4837">
            <w:pPr>
              <w:spacing w:line="276" w:lineRule="auto"/>
              <w:jc w:val="center"/>
              <w:rPr>
                <w:rFonts w:ascii="Times New Roman" w:hAnsi="Times New Roman" w:cs="Times New Roman"/>
              </w:rPr>
            </w:pPr>
            <w:r w:rsidRPr="00D73320">
              <w:rPr>
                <w:rFonts w:ascii="Times New Roman" w:hAnsi="Times New Roman" w:cs="Times New Roman"/>
              </w:rPr>
              <w:t>64±14</w:t>
            </w:r>
          </w:p>
        </w:tc>
        <w:tc>
          <w:tcPr>
            <w:tcW w:w="1512" w:type="dxa"/>
            <w:gridSpan w:val="2"/>
          </w:tcPr>
          <w:p w14:paraId="31C1EB89" w14:textId="77777777" w:rsidR="00151ECF" w:rsidRPr="00D73320" w:rsidRDefault="00151ECF" w:rsidP="007A4837">
            <w:pPr>
              <w:spacing w:line="276" w:lineRule="auto"/>
              <w:jc w:val="center"/>
              <w:rPr>
                <w:rFonts w:ascii="Times New Roman" w:hAnsi="Times New Roman" w:cs="Times New Roman"/>
              </w:rPr>
            </w:pPr>
            <w:r w:rsidRPr="00D73320">
              <w:rPr>
                <w:rFonts w:ascii="Times New Roman" w:hAnsi="Times New Roman" w:cs="Times New Roman"/>
              </w:rPr>
              <w:t>0.42</w:t>
            </w:r>
          </w:p>
        </w:tc>
      </w:tr>
      <w:tr w:rsidR="007A4837" w:rsidRPr="00D73320" w14:paraId="5C9F26E7" w14:textId="77777777" w:rsidTr="007A4837">
        <w:trPr>
          <w:gridAfter w:val="6"/>
          <w:wAfter w:w="1938" w:type="dxa"/>
          <w:trHeight w:val="334"/>
        </w:trPr>
        <w:tc>
          <w:tcPr>
            <w:tcW w:w="4860" w:type="dxa"/>
            <w:gridSpan w:val="2"/>
          </w:tcPr>
          <w:p w14:paraId="7D136A02"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Male</w:t>
            </w:r>
          </w:p>
        </w:tc>
        <w:tc>
          <w:tcPr>
            <w:tcW w:w="2430" w:type="dxa"/>
            <w:gridSpan w:val="2"/>
          </w:tcPr>
          <w:p w14:paraId="6CD6D17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74 (73)</w:t>
            </w:r>
          </w:p>
        </w:tc>
        <w:tc>
          <w:tcPr>
            <w:tcW w:w="1890" w:type="dxa"/>
          </w:tcPr>
          <w:p w14:paraId="082F0DD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59 (64)</w:t>
            </w:r>
          </w:p>
        </w:tc>
        <w:tc>
          <w:tcPr>
            <w:tcW w:w="1512" w:type="dxa"/>
            <w:gridSpan w:val="2"/>
          </w:tcPr>
          <w:p w14:paraId="1031ABF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0.17</w:t>
            </w:r>
          </w:p>
        </w:tc>
      </w:tr>
      <w:tr w:rsidR="007A4837" w:rsidRPr="00D73320" w14:paraId="64F4AA4E" w14:textId="77777777" w:rsidTr="007A4837">
        <w:trPr>
          <w:gridAfter w:val="6"/>
          <w:wAfter w:w="1938" w:type="dxa"/>
          <w:trHeight w:val="334"/>
        </w:trPr>
        <w:tc>
          <w:tcPr>
            <w:tcW w:w="4860" w:type="dxa"/>
            <w:gridSpan w:val="2"/>
          </w:tcPr>
          <w:p w14:paraId="60A455A4" w14:textId="77777777" w:rsidR="007A4837" w:rsidRPr="00D73320" w:rsidRDefault="007A4837" w:rsidP="007A4837">
            <w:pPr>
              <w:spacing w:line="276" w:lineRule="auto"/>
              <w:rPr>
                <w:rFonts w:ascii="Times New Roman" w:hAnsi="Times New Roman" w:cs="Times New Roman"/>
                <w:i/>
              </w:rPr>
            </w:pPr>
            <w:r w:rsidRPr="00D73320">
              <w:rPr>
                <w:rFonts w:ascii="Times New Roman" w:hAnsi="Times New Roman" w:cs="Times New Roman"/>
                <w:i/>
              </w:rPr>
              <w:t>CV risk factors</w:t>
            </w:r>
            <w:r w:rsidRPr="00D73320">
              <w:rPr>
                <w:rFonts w:ascii="Times New Roman" w:hAnsi="Times New Roman" w:cs="Times New Roman"/>
              </w:rPr>
              <w:t>*</w:t>
            </w:r>
          </w:p>
        </w:tc>
        <w:tc>
          <w:tcPr>
            <w:tcW w:w="2430" w:type="dxa"/>
            <w:gridSpan w:val="2"/>
          </w:tcPr>
          <w:p w14:paraId="1B7659BC" w14:textId="77777777" w:rsidR="007A4837" w:rsidRPr="00D73320" w:rsidRDefault="007A4837" w:rsidP="007A4837">
            <w:pPr>
              <w:spacing w:line="276" w:lineRule="auto"/>
              <w:jc w:val="center"/>
              <w:rPr>
                <w:rFonts w:ascii="Times New Roman" w:hAnsi="Times New Roman" w:cs="Times New Roman"/>
              </w:rPr>
            </w:pPr>
          </w:p>
        </w:tc>
        <w:tc>
          <w:tcPr>
            <w:tcW w:w="1890" w:type="dxa"/>
          </w:tcPr>
          <w:p w14:paraId="265D3D04" w14:textId="77777777" w:rsidR="007A4837" w:rsidRPr="00D73320" w:rsidRDefault="007A4837" w:rsidP="007A4837">
            <w:pPr>
              <w:spacing w:line="276" w:lineRule="auto"/>
              <w:jc w:val="center"/>
              <w:rPr>
                <w:rFonts w:ascii="Times New Roman" w:hAnsi="Times New Roman" w:cs="Times New Roman"/>
              </w:rPr>
            </w:pPr>
          </w:p>
        </w:tc>
        <w:tc>
          <w:tcPr>
            <w:tcW w:w="1512" w:type="dxa"/>
            <w:gridSpan w:val="2"/>
          </w:tcPr>
          <w:p w14:paraId="61FA9360" w14:textId="77777777" w:rsidR="007A4837" w:rsidRPr="00D73320" w:rsidRDefault="007A4837" w:rsidP="007A4837">
            <w:pPr>
              <w:spacing w:line="276" w:lineRule="auto"/>
              <w:jc w:val="center"/>
              <w:rPr>
                <w:rFonts w:ascii="Times New Roman" w:hAnsi="Times New Roman" w:cs="Times New Roman"/>
              </w:rPr>
            </w:pPr>
          </w:p>
        </w:tc>
      </w:tr>
      <w:tr w:rsidR="007A4837" w:rsidRPr="00D73320" w14:paraId="1C9AE931" w14:textId="77777777" w:rsidTr="007A4837">
        <w:trPr>
          <w:gridAfter w:val="6"/>
          <w:wAfter w:w="1938" w:type="dxa"/>
          <w:trHeight w:val="334"/>
        </w:trPr>
        <w:tc>
          <w:tcPr>
            <w:tcW w:w="4860" w:type="dxa"/>
            <w:gridSpan w:val="2"/>
          </w:tcPr>
          <w:p w14:paraId="193669C6"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Current or prior smoking</w:t>
            </w:r>
          </w:p>
        </w:tc>
        <w:tc>
          <w:tcPr>
            <w:tcW w:w="2430" w:type="dxa"/>
            <w:gridSpan w:val="2"/>
          </w:tcPr>
          <w:p w14:paraId="578498EF"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41 (49)</w:t>
            </w:r>
          </w:p>
        </w:tc>
        <w:tc>
          <w:tcPr>
            <w:tcW w:w="1890" w:type="dxa"/>
          </w:tcPr>
          <w:p w14:paraId="14EBF80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56 (61)</w:t>
            </w:r>
          </w:p>
        </w:tc>
        <w:tc>
          <w:tcPr>
            <w:tcW w:w="1512" w:type="dxa"/>
            <w:gridSpan w:val="2"/>
          </w:tcPr>
          <w:p w14:paraId="3B96A09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0.11</w:t>
            </w:r>
          </w:p>
        </w:tc>
      </w:tr>
      <w:tr w:rsidR="007A4837" w:rsidRPr="00D73320" w14:paraId="7BAFBE6F" w14:textId="77777777" w:rsidTr="007A4837">
        <w:trPr>
          <w:gridAfter w:val="6"/>
          <w:wAfter w:w="1938" w:type="dxa"/>
          <w:trHeight w:val="334"/>
        </w:trPr>
        <w:tc>
          <w:tcPr>
            <w:tcW w:w="4860" w:type="dxa"/>
            <w:gridSpan w:val="2"/>
          </w:tcPr>
          <w:p w14:paraId="7DF0C2B5"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Hypertension</w:t>
            </w:r>
          </w:p>
        </w:tc>
        <w:tc>
          <w:tcPr>
            <w:tcW w:w="2430" w:type="dxa"/>
            <w:gridSpan w:val="2"/>
          </w:tcPr>
          <w:p w14:paraId="186A85A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56 (57)</w:t>
            </w:r>
          </w:p>
        </w:tc>
        <w:tc>
          <w:tcPr>
            <w:tcW w:w="1890" w:type="dxa"/>
          </w:tcPr>
          <w:p w14:paraId="499620B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62 (67)</w:t>
            </w:r>
          </w:p>
        </w:tc>
        <w:tc>
          <w:tcPr>
            <w:tcW w:w="1512" w:type="dxa"/>
            <w:gridSpan w:val="2"/>
          </w:tcPr>
          <w:p w14:paraId="1F7236DF"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0.12</w:t>
            </w:r>
          </w:p>
        </w:tc>
      </w:tr>
      <w:tr w:rsidR="007A4837" w:rsidRPr="00D73320" w14:paraId="21D7CC0A" w14:textId="77777777" w:rsidTr="007A4837">
        <w:trPr>
          <w:gridAfter w:val="6"/>
          <w:wAfter w:w="1938" w:type="dxa"/>
          <w:trHeight w:val="334"/>
        </w:trPr>
        <w:tc>
          <w:tcPr>
            <w:tcW w:w="4860" w:type="dxa"/>
            <w:gridSpan w:val="2"/>
          </w:tcPr>
          <w:p w14:paraId="202995B9"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Diabetes mellitus</w:t>
            </w:r>
          </w:p>
        </w:tc>
        <w:tc>
          <w:tcPr>
            <w:tcW w:w="2430" w:type="dxa"/>
            <w:gridSpan w:val="2"/>
          </w:tcPr>
          <w:p w14:paraId="7661952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23 (24)</w:t>
            </w:r>
          </w:p>
        </w:tc>
        <w:tc>
          <w:tcPr>
            <w:tcW w:w="1890" w:type="dxa"/>
          </w:tcPr>
          <w:p w14:paraId="18A4B75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15 (16)</w:t>
            </w:r>
          </w:p>
        </w:tc>
        <w:tc>
          <w:tcPr>
            <w:tcW w:w="1512" w:type="dxa"/>
            <w:gridSpan w:val="2"/>
          </w:tcPr>
          <w:p w14:paraId="02195B7F"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0.18</w:t>
            </w:r>
          </w:p>
        </w:tc>
      </w:tr>
      <w:tr w:rsidR="007A4837" w:rsidRPr="00D73320" w14:paraId="010563B8" w14:textId="77777777" w:rsidTr="007A4837">
        <w:trPr>
          <w:gridAfter w:val="6"/>
          <w:wAfter w:w="1938" w:type="dxa"/>
          <w:trHeight w:val="357"/>
        </w:trPr>
        <w:tc>
          <w:tcPr>
            <w:tcW w:w="4860" w:type="dxa"/>
            <w:gridSpan w:val="2"/>
          </w:tcPr>
          <w:p w14:paraId="6EBB5840"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No CV risk factors</w:t>
            </w:r>
          </w:p>
        </w:tc>
        <w:tc>
          <w:tcPr>
            <w:tcW w:w="2430" w:type="dxa"/>
            <w:gridSpan w:val="2"/>
          </w:tcPr>
          <w:p w14:paraId="24357E1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26 (26)</w:t>
            </w:r>
          </w:p>
        </w:tc>
        <w:tc>
          <w:tcPr>
            <w:tcW w:w="1890" w:type="dxa"/>
          </w:tcPr>
          <w:p w14:paraId="333244E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 (11)</w:t>
            </w:r>
          </w:p>
        </w:tc>
        <w:tc>
          <w:tcPr>
            <w:tcW w:w="1512" w:type="dxa"/>
            <w:gridSpan w:val="2"/>
          </w:tcPr>
          <w:p w14:paraId="2A89BC3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0.01</w:t>
            </w:r>
          </w:p>
        </w:tc>
      </w:tr>
      <w:tr w:rsidR="007A4837" w:rsidRPr="00D73320" w14:paraId="6F0C919F" w14:textId="77777777" w:rsidTr="007A4837">
        <w:trPr>
          <w:gridAfter w:val="6"/>
          <w:wAfter w:w="1938" w:type="dxa"/>
          <w:trHeight w:val="357"/>
        </w:trPr>
        <w:tc>
          <w:tcPr>
            <w:tcW w:w="4860" w:type="dxa"/>
            <w:gridSpan w:val="2"/>
          </w:tcPr>
          <w:p w14:paraId="46CF3AFF"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Coronary artery disease</w:t>
            </w:r>
          </w:p>
        </w:tc>
        <w:tc>
          <w:tcPr>
            <w:tcW w:w="2430" w:type="dxa"/>
            <w:gridSpan w:val="2"/>
          </w:tcPr>
          <w:p w14:paraId="1717287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12 (13)</w:t>
            </w:r>
          </w:p>
        </w:tc>
        <w:tc>
          <w:tcPr>
            <w:tcW w:w="1890" w:type="dxa"/>
          </w:tcPr>
          <w:p w14:paraId="6E78751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14 (15)</w:t>
            </w:r>
          </w:p>
        </w:tc>
        <w:tc>
          <w:tcPr>
            <w:tcW w:w="1512" w:type="dxa"/>
            <w:gridSpan w:val="2"/>
          </w:tcPr>
          <w:p w14:paraId="1E31942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0.67</w:t>
            </w:r>
          </w:p>
        </w:tc>
      </w:tr>
      <w:tr w:rsidR="007A4837" w:rsidRPr="00D73320" w14:paraId="4BE3B26E" w14:textId="77777777" w:rsidTr="007A4837">
        <w:trPr>
          <w:gridAfter w:val="6"/>
          <w:wAfter w:w="1938" w:type="dxa"/>
          <w:trHeight w:val="357"/>
        </w:trPr>
        <w:tc>
          <w:tcPr>
            <w:tcW w:w="4860" w:type="dxa"/>
            <w:gridSpan w:val="2"/>
          </w:tcPr>
          <w:p w14:paraId="503B8695"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Stroke</w:t>
            </w:r>
          </w:p>
        </w:tc>
        <w:tc>
          <w:tcPr>
            <w:tcW w:w="2430" w:type="dxa"/>
            <w:gridSpan w:val="2"/>
          </w:tcPr>
          <w:p w14:paraId="16A6EBD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 (7)</w:t>
            </w:r>
          </w:p>
        </w:tc>
        <w:tc>
          <w:tcPr>
            <w:tcW w:w="1890" w:type="dxa"/>
          </w:tcPr>
          <w:p w14:paraId="1CB2EF5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12 (11)</w:t>
            </w:r>
          </w:p>
        </w:tc>
        <w:tc>
          <w:tcPr>
            <w:tcW w:w="1512" w:type="dxa"/>
            <w:gridSpan w:val="2"/>
          </w:tcPr>
          <w:p w14:paraId="17950B6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0.20</w:t>
            </w:r>
          </w:p>
        </w:tc>
      </w:tr>
      <w:tr w:rsidR="007A4837" w:rsidRPr="00D73320" w14:paraId="01477C51" w14:textId="77777777" w:rsidTr="007A4837">
        <w:trPr>
          <w:gridAfter w:val="6"/>
          <w:wAfter w:w="1938" w:type="dxa"/>
          <w:trHeight w:val="357"/>
        </w:trPr>
        <w:tc>
          <w:tcPr>
            <w:tcW w:w="4860" w:type="dxa"/>
            <w:gridSpan w:val="2"/>
          </w:tcPr>
          <w:p w14:paraId="79410664"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Atrial fibrillation</w:t>
            </w:r>
          </w:p>
        </w:tc>
        <w:tc>
          <w:tcPr>
            <w:tcW w:w="2430" w:type="dxa"/>
            <w:gridSpan w:val="2"/>
          </w:tcPr>
          <w:p w14:paraId="4E9F21C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 (7)</w:t>
            </w:r>
          </w:p>
        </w:tc>
        <w:tc>
          <w:tcPr>
            <w:tcW w:w="1890" w:type="dxa"/>
          </w:tcPr>
          <w:p w14:paraId="49DF245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18 (20)</w:t>
            </w:r>
          </w:p>
        </w:tc>
        <w:tc>
          <w:tcPr>
            <w:tcW w:w="1512" w:type="dxa"/>
            <w:gridSpan w:val="2"/>
          </w:tcPr>
          <w:p w14:paraId="1082B43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0.01</w:t>
            </w:r>
          </w:p>
        </w:tc>
      </w:tr>
      <w:tr w:rsidR="007A4837" w:rsidRPr="00D73320" w14:paraId="003385B0" w14:textId="77777777" w:rsidTr="007A4837">
        <w:trPr>
          <w:gridAfter w:val="6"/>
          <w:wAfter w:w="1938" w:type="dxa"/>
          <w:trHeight w:val="357"/>
        </w:trPr>
        <w:tc>
          <w:tcPr>
            <w:tcW w:w="4860" w:type="dxa"/>
            <w:gridSpan w:val="2"/>
          </w:tcPr>
          <w:p w14:paraId="2E78F1F7"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Heart failure</w:t>
            </w:r>
          </w:p>
        </w:tc>
        <w:tc>
          <w:tcPr>
            <w:tcW w:w="2430" w:type="dxa"/>
            <w:gridSpan w:val="2"/>
          </w:tcPr>
          <w:p w14:paraId="70E74F98"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 (5)</w:t>
            </w:r>
          </w:p>
        </w:tc>
        <w:tc>
          <w:tcPr>
            <w:tcW w:w="1890" w:type="dxa"/>
          </w:tcPr>
          <w:p w14:paraId="74E56EC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 (11)</w:t>
            </w:r>
          </w:p>
        </w:tc>
        <w:tc>
          <w:tcPr>
            <w:tcW w:w="1512" w:type="dxa"/>
            <w:gridSpan w:val="2"/>
          </w:tcPr>
          <w:p w14:paraId="20D7570E"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0.19</w:t>
            </w:r>
          </w:p>
        </w:tc>
      </w:tr>
      <w:tr w:rsidR="007A4837" w:rsidRPr="00D73320" w14:paraId="264510B7" w14:textId="77777777" w:rsidTr="007A4837">
        <w:trPr>
          <w:gridAfter w:val="6"/>
          <w:wAfter w:w="1938" w:type="dxa"/>
          <w:trHeight w:val="357"/>
        </w:trPr>
        <w:tc>
          <w:tcPr>
            <w:tcW w:w="4860" w:type="dxa"/>
            <w:gridSpan w:val="2"/>
          </w:tcPr>
          <w:p w14:paraId="539C5CFF"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COPD</w:t>
            </w:r>
          </w:p>
        </w:tc>
        <w:tc>
          <w:tcPr>
            <w:tcW w:w="2430" w:type="dxa"/>
            <w:gridSpan w:val="2"/>
          </w:tcPr>
          <w:p w14:paraId="30A874F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12 (15)</w:t>
            </w:r>
          </w:p>
        </w:tc>
        <w:tc>
          <w:tcPr>
            <w:tcW w:w="1890" w:type="dxa"/>
          </w:tcPr>
          <w:p w14:paraId="499CC15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18 (20)</w:t>
            </w:r>
          </w:p>
        </w:tc>
        <w:tc>
          <w:tcPr>
            <w:tcW w:w="1512" w:type="dxa"/>
            <w:gridSpan w:val="2"/>
          </w:tcPr>
          <w:p w14:paraId="1DB0E4C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0.39</w:t>
            </w:r>
          </w:p>
        </w:tc>
      </w:tr>
      <w:tr w:rsidR="007A4837" w:rsidRPr="00D73320" w14:paraId="04E9EA9C" w14:textId="77777777" w:rsidTr="007A4837">
        <w:trPr>
          <w:gridAfter w:val="6"/>
          <w:wAfter w:w="1938" w:type="dxa"/>
          <w:trHeight w:val="357"/>
        </w:trPr>
        <w:tc>
          <w:tcPr>
            <w:tcW w:w="4860" w:type="dxa"/>
            <w:gridSpan w:val="2"/>
          </w:tcPr>
          <w:p w14:paraId="429F0A55"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Obstructive sleep apnea</w:t>
            </w:r>
          </w:p>
        </w:tc>
        <w:tc>
          <w:tcPr>
            <w:tcW w:w="2430" w:type="dxa"/>
            <w:gridSpan w:val="2"/>
          </w:tcPr>
          <w:p w14:paraId="6A5C2E2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 (5)</w:t>
            </w:r>
          </w:p>
        </w:tc>
        <w:tc>
          <w:tcPr>
            <w:tcW w:w="1890" w:type="dxa"/>
          </w:tcPr>
          <w:p w14:paraId="6D636EC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9 (10)</w:t>
            </w:r>
          </w:p>
        </w:tc>
        <w:tc>
          <w:tcPr>
            <w:tcW w:w="1512" w:type="dxa"/>
            <w:gridSpan w:val="2"/>
          </w:tcPr>
          <w:p w14:paraId="1A9C9AC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0.23</w:t>
            </w:r>
          </w:p>
        </w:tc>
      </w:tr>
      <w:tr w:rsidR="007A4837" w:rsidRPr="00D73320" w14:paraId="36B31EA6" w14:textId="77777777" w:rsidTr="007A4837">
        <w:trPr>
          <w:gridAfter w:val="6"/>
          <w:wAfter w:w="1938" w:type="dxa"/>
          <w:trHeight w:val="357"/>
        </w:trPr>
        <w:tc>
          <w:tcPr>
            <w:tcW w:w="4860" w:type="dxa"/>
            <w:gridSpan w:val="2"/>
          </w:tcPr>
          <w:p w14:paraId="1CDA05E4"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Chronic kidney disease**</w:t>
            </w:r>
          </w:p>
        </w:tc>
        <w:tc>
          <w:tcPr>
            <w:tcW w:w="2430" w:type="dxa"/>
            <w:gridSpan w:val="2"/>
          </w:tcPr>
          <w:p w14:paraId="7320BD8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9 (11)</w:t>
            </w:r>
          </w:p>
        </w:tc>
        <w:tc>
          <w:tcPr>
            <w:tcW w:w="1890" w:type="dxa"/>
          </w:tcPr>
          <w:p w14:paraId="4A143C7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18 (20)</w:t>
            </w:r>
          </w:p>
        </w:tc>
        <w:tc>
          <w:tcPr>
            <w:tcW w:w="1512" w:type="dxa"/>
            <w:gridSpan w:val="2"/>
          </w:tcPr>
          <w:p w14:paraId="055F5E5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0.14</w:t>
            </w:r>
          </w:p>
        </w:tc>
      </w:tr>
      <w:tr w:rsidR="007A4837" w:rsidRPr="00D73320" w14:paraId="62936211" w14:textId="77777777" w:rsidTr="007A4837">
        <w:trPr>
          <w:gridAfter w:val="6"/>
          <w:wAfter w:w="1938" w:type="dxa"/>
          <w:trHeight w:val="357"/>
        </w:trPr>
        <w:tc>
          <w:tcPr>
            <w:tcW w:w="4860" w:type="dxa"/>
            <w:gridSpan w:val="2"/>
          </w:tcPr>
          <w:p w14:paraId="10ABA77D"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Body mass index, kg/m</w:t>
            </w:r>
            <w:r w:rsidRPr="00D73320">
              <w:rPr>
                <w:rFonts w:ascii="Times New Roman" w:hAnsi="Times New Roman" w:cs="Times New Roman"/>
                <w:vertAlign w:val="superscript"/>
              </w:rPr>
              <w:t>2</w:t>
            </w:r>
          </w:p>
        </w:tc>
        <w:tc>
          <w:tcPr>
            <w:tcW w:w="2430" w:type="dxa"/>
            <w:gridSpan w:val="2"/>
          </w:tcPr>
          <w:p w14:paraId="2445307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28±7</w:t>
            </w:r>
          </w:p>
        </w:tc>
        <w:tc>
          <w:tcPr>
            <w:tcW w:w="1890" w:type="dxa"/>
          </w:tcPr>
          <w:p w14:paraId="0D60243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27±7</w:t>
            </w:r>
          </w:p>
        </w:tc>
        <w:tc>
          <w:tcPr>
            <w:tcW w:w="1512" w:type="dxa"/>
            <w:gridSpan w:val="2"/>
          </w:tcPr>
          <w:p w14:paraId="3C59F83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0.32</w:t>
            </w:r>
          </w:p>
        </w:tc>
      </w:tr>
      <w:tr w:rsidR="007A4837" w:rsidRPr="00D73320" w14:paraId="2D7CC555" w14:textId="77777777" w:rsidTr="007A4837">
        <w:trPr>
          <w:gridAfter w:val="6"/>
          <w:wAfter w:w="1938" w:type="dxa"/>
          <w:trHeight w:val="357"/>
        </w:trPr>
        <w:tc>
          <w:tcPr>
            <w:tcW w:w="4860" w:type="dxa"/>
            <w:gridSpan w:val="2"/>
          </w:tcPr>
          <w:p w14:paraId="4B260017" w14:textId="77777777" w:rsidR="007A4837" w:rsidRPr="00D73320" w:rsidRDefault="007A4837" w:rsidP="007A4837">
            <w:pPr>
              <w:spacing w:line="276" w:lineRule="auto"/>
              <w:rPr>
                <w:rFonts w:ascii="Times New Roman" w:hAnsi="Times New Roman" w:cs="Times New Roman"/>
                <w:i/>
                <w:vertAlign w:val="superscript"/>
              </w:rPr>
            </w:pPr>
            <w:r w:rsidRPr="00D73320">
              <w:rPr>
                <w:rFonts w:ascii="Times New Roman" w:hAnsi="Times New Roman" w:cs="Times New Roman"/>
                <w:i/>
              </w:rPr>
              <w:t>Primary cancer type</w:t>
            </w:r>
          </w:p>
        </w:tc>
        <w:tc>
          <w:tcPr>
            <w:tcW w:w="2430" w:type="dxa"/>
            <w:gridSpan w:val="2"/>
          </w:tcPr>
          <w:p w14:paraId="0BDE4B00" w14:textId="77777777" w:rsidR="007A4837" w:rsidRPr="00D73320" w:rsidRDefault="007A4837" w:rsidP="007A4837">
            <w:pPr>
              <w:spacing w:line="276" w:lineRule="auto"/>
              <w:jc w:val="center"/>
              <w:rPr>
                <w:rFonts w:ascii="Times New Roman" w:hAnsi="Times New Roman" w:cs="Times New Roman"/>
              </w:rPr>
            </w:pPr>
          </w:p>
        </w:tc>
        <w:tc>
          <w:tcPr>
            <w:tcW w:w="1890" w:type="dxa"/>
          </w:tcPr>
          <w:p w14:paraId="69EFEDE7" w14:textId="77777777" w:rsidR="007A4837" w:rsidRPr="00D73320" w:rsidRDefault="007A4837" w:rsidP="007A4837">
            <w:pPr>
              <w:spacing w:line="276" w:lineRule="auto"/>
              <w:jc w:val="center"/>
              <w:rPr>
                <w:rFonts w:ascii="Times New Roman" w:hAnsi="Times New Roman" w:cs="Times New Roman"/>
              </w:rPr>
            </w:pPr>
          </w:p>
        </w:tc>
        <w:tc>
          <w:tcPr>
            <w:tcW w:w="1512" w:type="dxa"/>
            <w:gridSpan w:val="2"/>
          </w:tcPr>
          <w:p w14:paraId="3486ABE2" w14:textId="77777777" w:rsidR="007A4837" w:rsidRPr="00D73320" w:rsidRDefault="007A4837" w:rsidP="007A4837">
            <w:pPr>
              <w:spacing w:line="276" w:lineRule="auto"/>
              <w:jc w:val="center"/>
              <w:rPr>
                <w:rFonts w:ascii="Times New Roman" w:hAnsi="Times New Roman" w:cs="Times New Roman"/>
              </w:rPr>
            </w:pPr>
          </w:p>
        </w:tc>
      </w:tr>
      <w:tr w:rsidR="007A4837" w:rsidRPr="00D73320" w14:paraId="7AB6831A" w14:textId="77777777" w:rsidTr="007A4837">
        <w:trPr>
          <w:gridAfter w:val="6"/>
          <w:wAfter w:w="1938" w:type="dxa"/>
          <w:trHeight w:val="357"/>
        </w:trPr>
        <w:tc>
          <w:tcPr>
            <w:tcW w:w="4860" w:type="dxa"/>
            <w:gridSpan w:val="2"/>
          </w:tcPr>
          <w:p w14:paraId="26AB2B9E"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Head and neck</w:t>
            </w:r>
          </w:p>
        </w:tc>
        <w:tc>
          <w:tcPr>
            <w:tcW w:w="2430" w:type="dxa"/>
            <w:gridSpan w:val="2"/>
          </w:tcPr>
          <w:p w14:paraId="0FB508C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 (6)</w:t>
            </w:r>
          </w:p>
        </w:tc>
        <w:tc>
          <w:tcPr>
            <w:tcW w:w="1890" w:type="dxa"/>
          </w:tcPr>
          <w:p w14:paraId="2F1F16A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 (11)</w:t>
            </w:r>
          </w:p>
        </w:tc>
        <w:tc>
          <w:tcPr>
            <w:tcW w:w="1512" w:type="dxa"/>
            <w:gridSpan w:val="2"/>
          </w:tcPr>
          <w:p w14:paraId="56B50CB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0.22</w:t>
            </w:r>
          </w:p>
        </w:tc>
      </w:tr>
      <w:tr w:rsidR="007A4837" w:rsidRPr="00D73320" w14:paraId="756C22A5" w14:textId="77777777" w:rsidTr="007A4837">
        <w:trPr>
          <w:gridAfter w:val="6"/>
          <w:wAfter w:w="1938" w:type="dxa"/>
          <w:trHeight w:val="357"/>
        </w:trPr>
        <w:tc>
          <w:tcPr>
            <w:tcW w:w="4860" w:type="dxa"/>
            <w:gridSpan w:val="2"/>
          </w:tcPr>
          <w:p w14:paraId="46D0717C"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Breast</w:t>
            </w:r>
          </w:p>
        </w:tc>
        <w:tc>
          <w:tcPr>
            <w:tcW w:w="2430" w:type="dxa"/>
            <w:gridSpan w:val="2"/>
          </w:tcPr>
          <w:p w14:paraId="459E7165" w14:textId="77777777" w:rsidR="007A4837" w:rsidRPr="00D73320" w:rsidRDefault="007A4837" w:rsidP="007A4837">
            <w:pPr>
              <w:tabs>
                <w:tab w:val="left" w:pos="1178"/>
                <w:tab w:val="center" w:pos="1333"/>
              </w:tabs>
              <w:spacing w:line="276" w:lineRule="auto"/>
              <w:jc w:val="center"/>
              <w:rPr>
                <w:rFonts w:ascii="Times New Roman" w:hAnsi="Times New Roman" w:cs="Times New Roman"/>
              </w:rPr>
            </w:pPr>
            <w:r w:rsidRPr="00D73320">
              <w:rPr>
                <w:rFonts w:ascii="Times New Roman" w:hAnsi="Times New Roman" w:cs="Times New Roman"/>
              </w:rPr>
              <w:t>5 (5)</w:t>
            </w:r>
          </w:p>
        </w:tc>
        <w:tc>
          <w:tcPr>
            <w:tcW w:w="1890" w:type="dxa"/>
          </w:tcPr>
          <w:p w14:paraId="6A71173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w:t>
            </w:r>
          </w:p>
        </w:tc>
        <w:tc>
          <w:tcPr>
            <w:tcW w:w="1512" w:type="dxa"/>
            <w:gridSpan w:val="2"/>
          </w:tcPr>
          <w:p w14:paraId="0F95806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0.06</w:t>
            </w:r>
          </w:p>
        </w:tc>
      </w:tr>
      <w:tr w:rsidR="007A4837" w:rsidRPr="00D73320" w14:paraId="2EAD9A6F" w14:textId="77777777" w:rsidTr="007A4837">
        <w:trPr>
          <w:gridAfter w:val="6"/>
          <w:wAfter w:w="1938" w:type="dxa"/>
          <w:trHeight w:val="357"/>
        </w:trPr>
        <w:tc>
          <w:tcPr>
            <w:tcW w:w="4860" w:type="dxa"/>
            <w:gridSpan w:val="2"/>
          </w:tcPr>
          <w:p w14:paraId="507A005D"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Hodgkin’s lymphoma</w:t>
            </w:r>
          </w:p>
        </w:tc>
        <w:tc>
          <w:tcPr>
            <w:tcW w:w="2430" w:type="dxa"/>
            <w:gridSpan w:val="2"/>
          </w:tcPr>
          <w:p w14:paraId="736CC35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 (2)</w:t>
            </w:r>
          </w:p>
        </w:tc>
        <w:tc>
          <w:tcPr>
            <w:tcW w:w="1890" w:type="dxa"/>
          </w:tcPr>
          <w:p w14:paraId="2E8E5BA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 (2)</w:t>
            </w:r>
          </w:p>
        </w:tc>
        <w:tc>
          <w:tcPr>
            <w:tcW w:w="1512" w:type="dxa"/>
            <w:gridSpan w:val="2"/>
          </w:tcPr>
          <w:p w14:paraId="265F3CD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1.00</w:t>
            </w:r>
          </w:p>
        </w:tc>
      </w:tr>
      <w:tr w:rsidR="007A4837" w:rsidRPr="00D73320" w14:paraId="3FE2AB57" w14:textId="77777777" w:rsidTr="007A4837">
        <w:trPr>
          <w:gridAfter w:val="6"/>
          <w:wAfter w:w="1938" w:type="dxa"/>
          <w:trHeight w:val="357"/>
        </w:trPr>
        <w:tc>
          <w:tcPr>
            <w:tcW w:w="4860" w:type="dxa"/>
            <w:gridSpan w:val="2"/>
          </w:tcPr>
          <w:p w14:paraId="550A731C"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Melanoma</w:t>
            </w:r>
          </w:p>
        </w:tc>
        <w:tc>
          <w:tcPr>
            <w:tcW w:w="2430" w:type="dxa"/>
            <w:gridSpan w:val="2"/>
          </w:tcPr>
          <w:p w14:paraId="0CEECA6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41 (41)</w:t>
            </w:r>
          </w:p>
        </w:tc>
        <w:tc>
          <w:tcPr>
            <w:tcW w:w="1890" w:type="dxa"/>
          </w:tcPr>
          <w:p w14:paraId="3FD75AA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39 (42)</w:t>
            </w:r>
          </w:p>
        </w:tc>
        <w:tc>
          <w:tcPr>
            <w:tcW w:w="1512" w:type="dxa"/>
            <w:gridSpan w:val="2"/>
          </w:tcPr>
          <w:p w14:paraId="43BCDFCE"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0.80</w:t>
            </w:r>
          </w:p>
        </w:tc>
      </w:tr>
      <w:tr w:rsidR="007A4837" w:rsidRPr="00D73320" w14:paraId="47DE3074" w14:textId="77777777" w:rsidTr="007A4837">
        <w:trPr>
          <w:gridAfter w:val="6"/>
          <w:wAfter w:w="1938" w:type="dxa"/>
          <w:trHeight w:val="357"/>
        </w:trPr>
        <w:tc>
          <w:tcPr>
            <w:tcW w:w="4860" w:type="dxa"/>
            <w:gridSpan w:val="2"/>
          </w:tcPr>
          <w:p w14:paraId="75D409B6"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Lung cancer</w:t>
            </w:r>
          </w:p>
        </w:tc>
        <w:tc>
          <w:tcPr>
            <w:tcW w:w="2430" w:type="dxa"/>
            <w:gridSpan w:val="2"/>
          </w:tcPr>
          <w:p w14:paraId="6285748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16 (16)</w:t>
            </w:r>
          </w:p>
        </w:tc>
        <w:tc>
          <w:tcPr>
            <w:tcW w:w="1890" w:type="dxa"/>
          </w:tcPr>
          <w:p w14:paraId="34D4C1D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17 (19)</w:t>
            </w:r>
          </w:p>
        </w:tc>
        <w:tc>
          <w:tcPr>
            <w:tcW w:w="1512" w:type="dxa"/>
            <w:gridSpan w:val="2"/>
          </w:tcPr>
          <w:p w14:paraId="611D9B5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0.70</w:t>
            </w:r>
          </w:p>
        </w:tc>
      </w:tr>
      <w:tr w:rsidR="007A4837" w:rsidRPr="00D73320" w14:paraId="4BD55D61" w14:textId="77777777" w:rsidTr="007A4837">
        <w:trPr>
          <w:gridAfter w:val="6"/>
          <w:wAfter w:w="1938" w:type="dxa"/>
          <w:trHeight w:val="357"/>
        </w:trPr>
        <w:tc>
          <w:tcPr>
            <w:tcW w:w="4860" w:type="dxa"/>
            <w:gridSpan w:val="2"/>
          </w:tcPr>
          <w:p w14:paraId="31F59AAC"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Pancreatic</w:t>
            </w:r>
          </w:p>
        </w:tc>
        <w:tc>
          <w:tcPr>
            <w:tcW w:w="2430" w:type="dxa"/>
            <w:gridSpan w:val="2"/>
          </w:tcPr>
          <w:p w14:paraId="363B8BB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 (2)</w:t>
            </w:r>
          </w:p>
        </w:tc>
        <w:tc>
          <w:tcPr>
            <w:tcW w:w="1890" w:type="dxa"/>
          </w:tcPr>
          <w:p w14:paraId="256C573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w:t>
            </w:r>
          </w:p>
        </w:tc>
        <w:tc>
          <w:tcPr>
            <w:tcW w:w="1512" w:type="dxa"/>
            <w:gridSpan w:val="2"/>
          </w:tcPr>
          <w:p w14:paraId="485A50A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0.50</w:t>
            </w:r>
          </w:p>
        </w:tc>
      </w:tr>
      <w:tr w:rsidR="007A4837" w:rsidRPr="00D73320" w14:paraId="58E6B449" w14:textId="77777777" w:rsidTr="007A4837">
        <w:trPr>
          <w:gridAfter w:val="6"/>
          <w:wAfter w:w="1938" w:type="dxa"/>
          <w:trHeight w:val="357"/>
        </w:trPr>
        <w:tc>
          <w:tcPr>
            <w:tcW w:w="4860" w:type="dxa"/>
            <w:gridSpan w:val="2"/>
          </w:tcPr>
          <w:p w14:paraId="536C20FD"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Renal cell carcinoma</w:t>
            </w:r>
          </w:p>
        </w:tc>
        <w:tc>
          <w:tcPr>
            <w:tcW w:w="2430" w:type="dxa"/>
            <w:gridSpan w:val="2"/>
          </w:tcPr>
          <w:p w14:paraId="763A601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8 (8)</w:t>
            </w:r>
          </w:p>
        </w:tc>
        <w:tc>
          <w:tcPr>
            <w:tcW w:w="1890" w:type="dxa"/>
          </w:tcPr>
          <w:p w14:paraId="3884B4C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 (1)</w:t>
            </w:r>
          </w:p>
        </w:tc>
        <w:tc>
          <w:tcPr>
            <w:tcW w:w="1512" w:type="dxa"/>
            <w:gridSpan w:val="2"/>
          </w:tcPr>
          <w:p w14:paraId="56175A0E"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0.04</w:t>
            </w:r>
          </w:p>
        </w:tc>
      </w:tr>
      <w:tr w:rsidR="007A4837" w:rsidRPr="00D73320" w14:paraId="4BFA443C" w14:textId="77777777" w:rsidTr="007A4837">
        <w:trPr>
          <w:gridAfter w:val="6"/>
          <w:wAfter w:w="1938" w:type="dxa"/>
          <w:trHeight w:val="357"/>
        </w:trPr>
        <w:tc>
          <w:tcPr>
            <w:tcW w:w="4860" w:type="dxa"/>
            <w:gridSpan w:val="2"/>
          </w:tcPr>
          <w:p w14:paraId="259F2F42"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Glioblastoma</w:t>
            </w:r>
          </w:p>
        </w:tc>
        <w:tc>
          <w:tcPr>
            <w:tcW w:w="2430" w:type="dxa"/>
            <w:gridSpan w:val="2"/>
          </w:tcPr>
          <w:p w14:paraId="66E4CF8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 (1)</w:t>
            </w:r>
          </w:p>
        </w:tc>
        <w:tc>
          <w:tcPr>
            <w:tcW w:w="1890" w:type="dxa"/>
          </w:tcPr>
          <w:p w14:paraId="72FAD5C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w:t>
            </w:r>
          </w:p>
        </w:tc>
        <w:tc>
          <w:tcPr>
            <w:tcW w:w="1512" w:type="dxa"/>
            <w:gridSpan w:val="2"/>
          </w:tcPr>
          <w:p w14:paraId="1BE8C5D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1.00</w:t>
            </w:r>
          </w:p>
        </w:tc>
      </w:tr>
      <w:tr w:rsidR="007A4837" w:rsidRPr="00D73320" w14:paraId="7DA02D60" w14:textId="77777777" w:rsidTr="007A4837">
        <w:trPr>
          <w:gridAfter w:val="6"/>
          <w:wAfter w:w="1938" w:type="dxa"/>
          <w:trHeight w:val="357"/>
        </w:trPr>
        <w:tc>
          <w:tcPr>
            <w:tcW w:w="4860" w:type="dxa"/>
            <w:gridSpan w:val="2"/>
          </w:tcPr>
          <w:p w14:paraId="5B18930D"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Other</w:t>
            </w:r>
          </w:p>
        </w:tc>
        <w:tc>
          <w:tcPr>
            <w:tcW w:w="2430" w:type="dxa"/>
            <w:gridSpan w:val="2"/>
          </w:tcPr>
          <w:p w14:paraId="58CE511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18 (18)</w:t>
            </w:r>
          </w:p>
        </w:tc>
        <w:tc>
          <w:tcPr>
            <w:tcW w:w="1890" w:type="dxa"/>
          </w:tcPr>
          <w:p w14:paraId="7E097A0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13 (14)</w:t>
            </w:r>
          </w:p>
        </w:tc>
        <w:tc>
          <w:tcPr>
            <w:tcW w:w="1512" w:type="dxa"/>
            <w:gridSpan w:val="2"/>
          </w:tcPr>
          <w:p w14:paraId="4C9B51D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0.49</w:t>
            </w:r>
          </w:p>
        </w:tc>
      </w:tr>
      <w:tr w:rsidR="007A4837" w:rsidRPr="00D73320" w14:paraId="6E490162" w14:textId="77777777" w:rsidTr="007A4837">
        <w:trPr>
          <w:gridAfter w:val="6"/>
          <w:wAfter w:w="1938" w:type="dxa"/>
          <w:trHeight w:val="357"/>
        </w:trPr>
        <w:tc>
          <w:tcPr>
            <w:tcW w:w="4860" w:type="dxa"/>
            <w:gridSpan w:val="2"/>
          </w:tcPr>
          <w:p w14:paraId="04F9AE85" w14:textId="77777777" w:rsidR="007A4837" w:rsidRPr="00D73320" w:rsidRDefault="007A4837" w:rsidP="007A4837">
            <w:pPr>
              <w:spacing w:line="276" w:lineRule="auto"/>
              <w:rPr>
                <w:rFonts w:ascii="Times New Roman" w:hAnsi="Times New Roman" w:cs="Times New Roman"/>
                <w:i/>
              </w:rPr>
            </w:pPr>
            <w:r w:rsidRPr="00D73320">
              <w:rPr>
                <w:rFonts w:ascii="Times New Roman" w:hAnsi="Times New Roman" w:cs="Times New Roman"/>
                <w:i/>
              </w:rPr>
              <w:t>Prior chemotherapy or radiation</w:t>
            </w:r>
          </w:p>
        </w:tc>
        <w:tc>
          <w:tcPr>
            <w:tcW w:w="2430" w:type="dxa"/>
            <w:gridSpan w:val="2"/>
          </w:tcPr>
          <w:p w14:paraId="79A8D47E" w14:textId="77777777" w:rsidR="007A4837" w:rsidRPr="00D73320" w:rsidRDefault="007A4837" w:rsidP="007A4837">
            <w:pPr>
              <w:spacing w:line="276" w:lineRule="auto"/>
              <w:jc w:val="center"/>
              <w:rPr>
                <w:rFonts w:ascii="Times New Roman" w:hAnsi="Times New Roman" w:cs="Times New Roman"/>
              </w:rPr>
            </w:pPr>
          </w:p>
        </w:tc>
        <w:tc>
          <w:tcPr>
            <w:tcW w:w="1890" w:type="dxa"/>
          </w:tcPr>
          <w:p w14:paraId="5CECDE1B" w14:textId="77777777" w:rsidR="007A4837" w:rsidRPr="00D73320" w:rsidRDefault="007A4837" w:rsidP="007A4837">
            <w:pPr>
              <w:spacing w:line="276" w:lineRule="auto"/>
              <w:jc w:val="center"/>
              <w:rPr>
                <w:rFonts w:ascii="Times New Roman" w:hAnsi="Times New Roman" w:cs="Times New Roman"/>
              </w:rPr>
            </w:pPr>
          </w:p>
        </w:tc>
        <w:tc>
          <w:tcPr>
            <w:tcW w:w="1512" w:type="dxa"/>
            <w:gridSpan w:val="2"/>
          </w:tcPr>
          <w:p w14:paraId="0611A73A" w14:textId="77777777" w:rsidR="007A4837" w:rsidRPr="00D73320" w:rsidRDefault="007A4837" w:rsidP="007A4837">
            <w:pPr>
              <w:spacing w:line="276" w:lineRule="auto"/>
              <w:jc w:val="center"/>
              <w:rPr>
                <w:rFonts w:ascii="Times New Roman" w:hAnsi="Times New Roman" w:cs="Times New Roman"/>
              </w:rPr>
            </w:pPr>
          </w:p>
        </w:tc>
      </w:tr>
      <w:tr w:rsidR="007A4837" w:rsidRPr="00D73320" w14:paraId="4ED18CCC" w14:textId="77777777" w:rsidTr="007A4837">
        <w:trPr>
          <w:gridAfter w:val="6"/>
          <w:wAfter w:w="1938" w:type="dxa"/>
          <w:trHeight w:val="357"/>
        </w:trPr>
        <w:tc>
          <w:tcPr>
            <w:tcW w:w="4860" w:type="dxa"/>
            <w:gridSpan w:val="2"/>
          </w:tcPr>
          <w:p w14:paraId="01C6F7FA"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Radiation</w:t>
            </w:r>
          </w:p>
        </w:tc>
        <w:tc>
          <w:tcPr>
            <w:tcW w:w="2430" w:type="dxa"/>
            <w:gridSpan w:val="2"/>
          </w:tcPr>
          <w:p w14:paraId="4923F08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29 (29)</w:t>
            </w:r>
          </w:p>
        </w:tc>
        <w:tc>
          <w:tcPr>
            <w:tcW w:w="1890" w:type="dxa"/>
          </w:tcPr>
          <w:p w14:paraId="02CF92E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52 (57)</w:t>
            </w:r>
          </w:p>
        </w:tc>
        <w:tc>
          <w:tcPr>
            <w:tcW w:w="1512" w:type="dxa"/>
            <w:gridSpan w:val="2"/>
          </w:tcPr>
          <w:p w14:paraId="7042D425"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&lt;0.001</w:t>
            </w:r>
          </w:p>
        </w:tc>
      </w:tr>
      <w:tr w:rsidR="007A4837" w:rsidRPr="00D73320" w14:paraId="75B8548A" w14:textId="77777777" w:rsidTr="007A4837">
        <w:trPr>
          <w:gridAfter w:val="6"/>
          <w:wAfter w:w="1938" w:type="dxa"/>
          <w:trHeight w:val="357"/>
        </w:trPr>
        <w:tc>
          <w:tcPr>
            <w:tcW w:w="4860" w:type="dxa"/>
            <w:gridSpan w:val="2"/>
          </w:tcPr>
          <w:p w14:paraId="58135A88"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Anthracyclines</w:t>
            </w:r>
          </w:p>
        </w:tc>
        <w:tc>
          <w:tcPr>
            <w:tcW w:w="2430" w:type="dxa"/>
            <w:gridSpan w:val="2"/>
          </w:tcPr>
          <w:p w14:paraId="7984E6E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 (7)</w:t>
            </w:r>
          </w:p>
        </w:tc>
        <w:tc>
          <w:tcPr>
            <w:tcW w:w="1890" w:type="dxa"/>
          </w:tcPr>
          <w:p w14:paraId="7A9A068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 (1)</w:t>
            </w:r>
          </w:p>
        </w:tc>
        <w:tc>
          <w:tcPr>
            <w:tcW w:w="1512" w:type="dxa"/>
            <w:gridSpan w:val="2"/>
          </w:tcPr>
          <w:p w14:paraId="01FA2DB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0.07</w:t>
            </w:r>
          </w:p>
        </w:tc>
      </w:tr>
      <w:tr w:rsidR="007A4837" w:rsidRPr="00D73320" w14:paraId="432B55BE" w14:textId="77777777" w:rsidTr="007A4837">
        <w:trPr>
          <w:gridAfter w:val="6"/>
          <w:wAfter w:w="1938" w:type="dxa"/>
          <w:trHeight w:val="450"/>
        </w:trPr>
        <w:tc>
          <w:tcPr>
            <w:tcW w:w="4860" w:type="dxa"/>
            <w:gridSpan w:val="2"/>
          </w:tcPr>
          <w:p w14:paraId="3B901F88"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VEGF Inhibitors</w:t>
            </w:r>
          </w:p>
        </w:tc>
        <w:tc>
          <w:tcPr>
            <w:tcW w:w="2430" w:type="dxa"/>
            <w:gridSpan w:val="2"/>
          </w:tcPr>
          <w:p w14:paraId="2316767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 (1)</w:t>
            </w:r>
          </w:p>
        </w:tc>
        <w:tc>
          <w:tcPr>
            <w:tcW w:w="1890" w:type="dxa"/>
          </w:tcPr>
          <w:p w14:paraId="2FCB160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 (7)</w:t>
            </w:r>
          </w:p>
        </w:tc>
        <w:tc>
          <w:tcPr>
            <w:tcW w:w="1512" w:type="dxa"/>
            <w:gridSpan w:val="2"/>
          </w:tcPr>
          <w:p w14:paraId="1D182AB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0.06</w:t>
            </w:r>
          </w:p>
        </w:tc>
      </w:tr>
      <w:tr w:rsidR="007A4837" w:rsidRPr="00D73320" w14:paraId="29E57C7C" w14:textId="77777777" w:rsidTr="007A4837">
        <w:trPr>
          <w:gridAfter w:val="6"/>
          <w:wAfter w:w="1938" w:type="dxa"/>
          <w:trHeight w:val="1371"/>
        </w:trPr>
        <w:tc>
          <w:tcPr>
            <w:tcW w:w="10692" w:type="dxa"/>
            <w:gridSpan w:val="7"/>
            <w:tcBorders>
              <w:top w:val="single" w:sz="8" w:space="0" w:color="auto"/>
              <w:bottom w:val="single" w:sz="8" w:space="0" w:color="auto"/>
            </w:tcBorders>
          </w:tcPr>
          <w:p w14:paraId="70853AC1" w14:textId="77777777" w:rsidR="007A4837" w:rsidRPr="00D73320" w:rsidRDefault="007A4837" w:rsidP="007A4837">
            <w:pPr>
              <w:widowControl w:val="0"/>
              <w:autoSpaceDE w:val="0"/>
              <w:autoSpaceDN w:val="0"/>
              <w:adjustRightInd w:val="0"/>
              <w:spacing w:after="240" w:line="276" w:lineRule="auto"/>
              <w:rPr>
                <w:rFonts w:ascii="Times New Roman" w:hAnsi="Times New Roman" w:cs="Times New Roman"/>
                <w:sz w:val="20"/>
                <w:szCs w:val="20"/>
              </w:rPr>
            </w:pPr>
            <w:r w:rsidRPr="00D73320">
              <w:rPr>
                <w:rFonts w:ascii="Times New Roman" w:hAnsi="Times New Roman" w:cs="Times New Roman"/>
                <w:sz w:val="20"/>
                <w:szCs w:val="20"/>
              </w:rPr>
              <w:t>Values are mean ± SD or n (%), unless otherwise indicated. *Numbers given for values available. **Chronic kidney disease = glomerular filtration rate &lt;60 ml/min/1.73 m</w:t>
            </w:r>
            <w:r w:rsidRPr="00D73320">
              <w:rPr>
                <w:rFonts w:ascii="Times New Roman" w:hAnsi="Times New Roman" w:cs="Times New Roman"/>
                <w:position w:val="5"/>
                <w:sz w:val="20"/>
                <w:szCs w:val="20"/>
              </w:rPr>
              <w:t>2</w:t>
            </w:r>
            <w:r w:rsidRPr="00D73320">
              <w:rPr>
                <w:rFonts w:ascii="Times New Roman" w:hAnsi="Times New Roman" w:cs="Times New Roman"/>
                <w:sz w:val="20"/>
                <w:szCs w:val="20"/>
              </w:rPr>
              <w:t xml:space="preserve">. </w:t>
            </w:r>
          </w:p>
          <w:p w14:paraId="422BEB0F" w14:textId="77777777" w:rsidR="007A4837" w:rsidRPr="00D73320" w:rsidRDefault="007A4837" w:rsidP="007A4837">
            <w:pPr>
              <w:widowControl w:val="0"/>
              <w:autoSpaceDE w:val="0"/>
              <w:autoSpaceDN w:val="0"/>
              <w:adjustRightInd w:val="0"/>
              <w:spacing w:after="240" w:line="276" w:lineRule="auto"/>
              <w:rPr>
                <w:rFonts w:ascii="Times New Roman" w:hAnsi="Times New Roman" w:cs="Times New Roman"/>
              </w:rPr>
            </w:pPr>
            <w:r w:rsidRPr="00D73320">
              <w:rPr>
                <w:rFonts w:ascii="Times New Roman" w:hAnsi="Times New Roman" w:cs="Times New Roman"/>
                <w:sz w:val="20"/>
                <w:szCs w:val="20"/>
              </w:rPr>
              <w:t xml:space="preserve">ICI = immune checkpoint inhibitors; CV = cardiovascular; COPD = chronic obstructive pulmonary disease; VEGF = vascular endothelial growth factor. </w:t>
            </w:r>
          </w:p>
        </w:tc>
      </w:tr>
    </w:tbl>
    <w:p w14:paraId="63E5794F" w14:textId="77777777" w:rsidR="007A4837" w:rsidRPr="00D73320" w:rsidRDefault="007A4837" w:rsidP="007A4837">
      <w:pPr>
        <w:tabs>
          <w:tab w:val="left" w:pos="3360"/>
        </w:tabs>
        <w:spacing w:line="276" w:lineRule="auto"/>
        <w:rPr>
          <w:rFonts w:ascii="Times New Roman" w:hAnsi="Times New Roman" w:cs="Times New Roman"/>
        </w:rPr>
      </w:pPr>
    </w:p>
    <w:p w14:paraId="756BCAD9" w14:textId="77777777" w:rsidR="007A4837" w:rsidRPr="00D73320" w:rsidRDefault="007A4837" w:rsidP="007A4837">
      <w:pPr>
        <w:tabs>
          <w:tab w:val="left" w:pos="3360"/>
        </w:tabs>
        <w:spacing w:line="276" w:lineRule="auto"/>
        <w:rPr>
          <w:rFonts w:ascii="Times New Roman" w:hAnsi="Times New Roman" w:cs="Times New Roman"/>
        </w:rPr>
      </w:pPr>
    </w:p>
    <w:p w14:paraId="4351F067" w14:textId="77777777" w:rsidR="007A4837" w:rsidRPr="00D73320" w:rsidRDefault="007A4837" w:rsidP="007A4837">
      <w:pPr>
        <w:tabs>
          <w:tab w:val="left" w:pos="3360"/>
        </w:tabs>
        <w:spacing w:line="276" w:lineRule="auto"/>
        <w:rPr>
          <w:rFonts w:ascii="Times New Roman" w:hAnsi="Times New Roman" w:cs="Times New Roman"/>
        </w:rPr>
      </w:pPr>
    </w:p>
    <w:tbl>
      <w:tblPr>
        <w:tblStyle w:val="TableGrid1"/>
        <w:tblW w:w="10764"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3"/>
        <w:gridCol w:w="1556"/>
        <w:gridCol w:w="1690"/>
        <w:gridCol w:w="1015"/>
      </w:tblGrid>
      <w:tr w:rsidR="007A4837" w:rsidRPr="00D73320" w14:paraId="421B5789" w14:textId="77777777" w:rsidTr="007A4837">
        <w:trPr>
          <w:trHeight w:val="710"/>
        </w:trPr>
        <w:tc>
          <w:tcPr>
            <w:tcW w:w="6503" w:type="dxa"/>
            <w:tcBorders>
              <w:top w:val="single" w:sz="18" w:space="0" w:color="auto"/>
              <w:bottom w:val="single" w:sz="18" w:space="0" w:color="auto"/>
            </w:tcBorders>
          </w:tcPr>
          <w:p w14:paraId="398065C7" w14:textId="77777777" w:rsidR="007A4837" w:rsidRPr="00D73320" w:rsidRDefault="007A4837" w:rsidP="007A4837">
            <w:pPr>
              <w:spacing w:line="276" w:lineRule="auto"/>
              <w:rPr>
                <w:rFonts w:ascii="Times New Roman" w:hAnsi="Times New Roman" w:cs="Times New Roman"/>
                <w:b/>
              </w:rPr>
            </w:pPr>
            <w:r w:rsidRPr="00D73320">
              <w:rPr>
                <w:rFonts w:ascii="Times New Roman" w:hAnsi="Times New Roman" w:cs="Times New Roman"/>
                <w:b/>
              </w:rPr>
              <w:t>Table 1B: Baseline Cancer Demographics</w:t>
            </w:r>
          </w:p>
        </w:tc>
        <w:tc>
          <w:tcPr>
            <w:tcW w:w="1556" w:type="dxa"/>
            <w:tcBorders>
              <w:top w:val="single" w:sz="18" w:space="0" w:color="auto"/>
              <w:bottom w:val="single" w:sz="18" w:space="0" w:color="auto"/>
            </w:tcBorders>
          </w:tcPr>
          <w:p w14:paraId="0DCD4C47"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Cases</w:t>
            </w:r>
          </w:p>
          <w:p w14:paraId="17F3F020"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(n=101)</w:t>
            </w:r>
          </w:p>
        </w:tc>
        <w:tc>
          <w:tcPr>
            <w:tcW w:w="1690" w:type="dxa"/>
            <w:tcBorders>
              <w:top w:val="single" w:sz="18" w:space="0" w:color="auto"/>
              <w:bottom w:val="single" w:sz="18" w:space="0" w:color="auto"/>
            </w:tcBorders>
          </w:tcPr>
          <w:p w14:paraId="044FB52D"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Controls</w:t>
            </w:r>
          </w:p>
          <w:p w14:paraId="00E61FA5"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(n=92)</w:t>
            </w:r>
          </w:p>
        </w:tc>
        <w:tc>
          <w:tcPr>
            <w:tcW w:w="1015" w:type="dxa"/>
            <w:tcBorders>
              <w:top w:val="single" w:sz="18" w:space="0" w:color="auto"/>
              <w:bottom w:val="single" w:sz="18" w:space="0" w:color="auto"/>
            </w:tcBorders>
          </w:tcPr>
          <w:p w14:paraId="1758BB6F" w14:textId="77777777" w:rsidR="007A4837" w:rsidRPr="00D73320" w:rsidRDefault="007A4837" w:rsidP="007A4837">
            <w:pPr>
              <w:spacing w:line="276" w:lineRule="auto"/>
              <w:jc w:val="center"/>
              <w:rPr>
                <w:rFonts w:ascii="Times New Roman" w:hAnsi="Times New Roman" w:cs="Times New Roman"/>
                <w:b/>
                <w:i/>
              </w:rPr>
            </w:pPr>
            <w:r w:rsidRPr="00D73320">
              <w:rPr>
                <w:rFonts w:ascii="Times New Roman" w:hAnsi="Times New Roman" w:cs="Times New Roman"/>
                <w:b/>
                <w:i/>
              </w:rPr>
              <w:t xml:space="preserve">P </w:t>
            </w:r>
            <w:r>
              <w:rPr>
                <w:rFonts w:ascii="Times New Roman" w:hAnsi="Times New Roman" w:cs="Times New Roman"/>
                <w:b/>
                <w:i/>
              </w:rPr>
              <w:t>V</w:t>
            </w:r>
            <w:r w:rsidRPr="00D73320">
              <w:rPr>
                <w:rFonts w:ascii="Times New Roman" w:hAnsi="Times New Roman" w:cs="Times New Roman"/>
                <w:b/>
                <w:i/>
              </w:rPr>
              <w:t>alue</w:t>
            </w:r>
          </w:p>
        </w:tc>
      </w:tr>
      <w:tr w:rsidR="007A4837" w:rsidRPr="00D73320" w14:paraId="531F8470" w14:textId="77777777" w:rsidTr="007A4837">
        <w:trPr>
          <w:trHeight w:val="490"/>
        </w:trPr>
        <w:tc>
          <w:tcPr>
            <w:tcW w:w="6503" w:type="dxa"/>
            <w:tcBorders>
              <w:top w:val="single" w:sz="18" w:space="0" w:color="auto"/>
            </w:tcBorders>
          </w:tcPr>
          <w:p w14:paraId="2DF9E951"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Single agent vs. combined</w:t>
            </w:r>
          </w:p>
        </w:tc>
        <w:tc>
          <w:tcPr>
            <w:tcW w:w="1556" w:type="dxa"/>
            <w:tcBorders>
              <w:top w:val="single" w:sz="18" w:space="0" w:color="auto"/>
            </w:tcBorders>
          </w:tcPr>
          <w:p w14:paraId="67788F9B" w14:textId="77777777" w:rsidR="007A4837" w:rsidRPr="00D73320" w:rsidRDefault="007A4837" w:rsidP="007A4837">
            <w:pPr>
              <w:spacing w:line="276" w:lineRule="auto"/>
              <w:jc w:val="center"/>
              <w:rPr>
                <w:rFonts w:ascii="Times New Roman" w:hAnsi="Times New Roman" w:cs="Times New Roman"/>
              </w:rPr>
            </w:pPr>
          </w:p>
        </w:tc>
        <w:tc>
          <w:tcPr>
            <w:tcW w:w="1690" w:type="dxa"/>
            <w:tcBorders>
              <w:top w:val="single" w:sz="18" w:space="0" w:color="auto"/>
            </w:tcBorders>
          </w:tcPr>
          <w:p w14:paraId="172A1C94" w14:textId="77777777" w:rsidR="007A4837" w:rsidRPr="00D73320" w:rsidRDefault="007A4837" w:rsidP="007A4837">
            <w:pPr>
              <w:spacing w:line="276" w:lineRule="auto"/>
              <w:jc w:val="center"/>
              <w:rPr>
                <w:rFonts w:ascii="Times New Roman" w:hAnsi="Times New Roman" w:cs="Times New Roman"/>
              </w:rPr>
            </w:pPr>
          </w:p>
        </w:tc>
        <w:tc>
          <w:tcPr>
            <w:tcW w:w="1015" w:type="dxa"/>
            <w:tcBorders>
              <w:top w:val="single" w:sz="18" w:space="0" w:color="auto"/>
            </w:tcBorders>
          </w:tcPr>
          <w:p w14:paraId="4597297D" w14:textId="77777777" w:rsidR="007A4837" w:rsidRPr="00D73320" w:rsidRDefault="007A4837" w:rsidP="007A4837">
            <w:pPr>
              <w:spacing w:line="276" w:lineRule="auto"/>
              <w:jc w:val="center"/>
              <w:rPr>
                <w:rFonts w:ascii="Times New Roman" w:hAnsi="Times New Roman" w:cs="Times New Roman"/>
              </w:rPr>
            </w:pPr>
          </w:p>
        </w:tc>
      </w:tr>
      <w:tr w:rsidR="007A4837" w:rsidRPr="00D73320" w14:paraId="2B61176C" w14:textId="77777777" w:rsidTr="007A4837">
        <w:trPr>
          <w:trHeight w:val="205"/>
        </w:trPr>
        <w:tc>
          <w:tcPr>
            <w:tcW w:w="6503" w:type="dxa"/>
          </w:tcPr>
          <w:p w14:paraId="7B28A955"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Combination</w:t>
            </w:r>
          </w:p>
        </w:tc>
        <w:tc>
          <w:tcPr>
            <w:tcW w:w="1556" w:type="dxa"/>
          </w:tcPr>
          <w:p w14:paraId="61F50A4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27 (27)</w:t>
            </w:r>
          </w:p>
        </w:tc>
        <w:tc>
          <w:tcPr>
            <w:tcW w:w="1690" w:type="dxa"/>
          </w:tcPr>
          <w:p w14:paraId="10973A8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 (6)</w:t>
            </w:r>
          </w:p>
        </w:tc>
        <w:tc>
          <w:tcPr>
            <w:tcW w:w="1015" w:type="dxa"/>
          </w:tcPr>
          <w:p w14:paraId="14AC270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&lt;0.001</w:t>
            </w:r>
          </w:p>
        </w:tc>
      </w:tr>
      <w:tr w:rsidR="007A4837" w:rsidRPr="00D73320" w14:paraId="49EE24D8" w14:textId="77777777" w:rsidTr="007A4837">
        <w:trPr>
          <w:trHeight w:val="552"/>
        </w:trPr>
        <w:tc>
          <w:tcPr>
            <w:tcW w:w="6503" w:type="dxa"/>
          </w:tcPr>
          <w:p w14:paraId="46CC5DB4"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Monotherapy</w:t>
            </w:r>
          </w:p>
        </w:tc>
        <w:tc>
          <w:tcPr>
            <w:tcW w:w="1556" w:type="dxa"/>
          </w:tcPr>
          <w:p w14:paraId="2933A99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74 (73)</w:t>
            </w:r>
          </w:p>
        </w:tc>
        <w:tc>
          <w:tcPr>
            <w:tcW w:w="1690" w:type="dxa"/>
          </w:tcPr>
          <w:p w14:paraId="3DFCFE1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86 (93)</w:t>
            </w:r>
          </w:p>
        </w:tc>
        <w:tc>
          <w:tcPr>
            <w:tcW w:w="1015" w:type="dxa"/>
          </w:tcPr>
          <w:p w14:paraId="2DAC66B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&lt;0.001</w:t>
            </w:r>
          </w:p>
        </w:tc>
      </w:tr>
      <w:tr w:rsidR="007A4837" w:rsidRPr="00D73320" w14:paraId="496F756A" w14:textId="77777777" w:rsidTr="007A4837">
        <w:trPr>
          <w:trHeight w:val="378"/>
        </w:trPr>
        <w:tc>
          <w:tcPr>
            <w:tcW w:w="6503" w:type="dxa"/>
          </w:tcPr>
          <w:p w14:paraId="5008578C"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Overall types of ICI† </w:t>
            </w:r>
          </w:p>
        </w:tc>
        <w:tc>
          <w:tcPr>
            <w:tcW w:w="1556" w:type="dxa"/>
          </w:tcPr>
          <w:p w14:paraId="6B1370F8" w14:textId="77777777" w:rsidR="007A4837" w:rsidRPr="00D73320" w:rsidRDefault="007A4837" w:rsidP="007A4837">
            <w:pPr>
              <w:spacing w:line="276" w:lineRule="auto"/>
              <w:jc w:val="center"/>
              <w:rPr>
                <w:rFonts w:ascii="Times New Roman" w:hAnsi="Times New Roman" w:cs="Times New Roman"/>
              </w:rPr>
            </w:pPr>
          </w:p>
        </w:tc>
        <w:tc>
          <w:tcPr>
            <w:tcW w:w="1690" w:type="dxa"/>
          </w:tcPr>
          <w:p w14:paraId="63E1D580" w14:textId="77777777" w:rsidR="007A4837" w:rsidRPr="00D73320" w:rsidRDefault="007A4837" w:rsidP="007A4837">
            <w:pPr>
              <w:spacing w:line="276" w:lineRule="auto"/>
              <w:jc w:val="center"/>
              <w:rPr>
                <w:rFonts w:ascii="Times New Roman" w:hAnsi="Times New Roman" w:cs="Times New Roman"/>
              </w:rPr>
            </w:pPr>
          </w:p>
        </w:tc>
        <w:tc>
          <w:tcPr>
            <w:tcW w:w="1015" w:type="dxa"/>
          </w:tcPr>
          <w:p w14:paraId="69C86FA1" w14:textId="77777777" w:rsidR="007A4837" w:rsidRPr="00D73320" w:rsidRDefault="007A4837" w:rsidP="007A4837">
            <w:pPr>
              <w:spacing w:line="276" w:lineRule="auto"/>
              <w:jc w:val="center"/>
              <w:rPr>
                <w:rFonts w:ascii="Times New Roman" w:hAnsi="Times New Roman" w:cs="Times New Roman"/>
              </w:rPr>
            </w:pPr>
          </w:p>
        </w:tc>
      </w:tr>
      <w:tr w:rsidR="007A4837" w:rsidRPr="00D73320" w14:paraId="4700EE96" w14:textId="77777777" w:rsidTr="007A4837">
        <w:tc>
          <w:tcPr>
            <w:tcW w:w="6503" w:type="dxa"/>
          </w:tcPr>
          <w:p w14:paraId="53F83BFF"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Any anti-PD1</w:t>
            </w:r>
          </w:p>
        </w:tc>
        <w:tc>
          <w:tcPr>
            <w:tcW w:w="1556" w:type="dxa"/>
          </w:tcPr>
          <w:p w14:paraId="7522935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78 (77)</w:t>
            </w:r>
          </w:p>
        </w:tc>
        <w:tc>
          <w:tcPr>
            <w:tcW w:w="1690" w:type="dxa"/>
          </w:tcPr>
          <w:p w14:paraId="4A7AFAB8"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73 (79)</w:t>
            </w:r>
          </w:p>
        </w:tc>
        <w:tc>
          <w:tcPr>
            <w:tcW w:w="1015" w:type="dxa"/>
          </w:tcPr>
          <w:p w14:paraId="6AF152C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0.73</w:t>
            </w:r>
          </w:p>
        </w:tc>
      </w:tr>
      <w:tr w:rsidR="007A4837" w:rsidRPr="00D73320" w14:paraId="0C362F79" w14:textId="77777777" w:rsidTr="007A4837">
        <w:tc>
          <w:tcPr>
            <w:tcW w:w="6503" w:type="dxa"/>
          </w:tcPr>
          <w:p w14:paraId="09CDD221"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Any anti-CTLA4</w:t>
            </w:r>
          </w:p>
        </w:tc>
        <w:tc>
          <w:tcPr>
            <w:tcW w:w="1556" w:type="dxa"/>
          </w:tcPr>
          <w:p w14:paraId="3802E31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11 (11)</w:t>
            </w:r>
          </w:p>
        </w:tc>
        <w:tc>
          <w:tcPr>
            <w:tcW w:w="1690" w:type="dxa"/>
          </w:tcPr>
          <w:p w14:paraId="61CF2F3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16 (17)</w:t>
            </w:r>
          </w:p>
        </w:tc>
        <w:tc>
          <w:tcPr>
            <w:tcW w:w="1015" w:type="dxa"/>
          </w:tcPr>
          <w:p w14:paraId="64542C5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0.22</w:t>
            </w:r>
          </w:p>
        </w:tc>
      </w:tr>
      <w:tr w:rsidR="007A4837" w:rsidRPr="00D73320" w14:paraId="176EA9B3" w14:textId="77777777" w:rsidTr="007A4837">
        <w:trPr>
          <w:trHeight w:val="409"/>
        </w:trPr>
        <w:tc>
          <w:tcPr>
            <w:tcW w:w="6503" w:type="dxa"/>
          </w:tcPr>
          <w:p w14:paraId="15C7DFF8"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Any anti-PDL1</w:t>
            </w:r>
          </w:p>
        </w:tc>
        <w:tc>
          <w:tcPr>
            <w:tcW w:w="1556" w:type="dxa"/>
          </w:tcPr>
          <w:p w14:paraId="2FE7EA9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12 (12)</w:t>
            </w:r>
          </w:p>
        </w:tc>
        <w:tc>
          <w:tcPr>
            <w:tcW w:w="1690" w:type="dxa"/>
          </w:tcPr>
          <w:p w14:paraId="6F20416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 (4)</w:t>
            </w:r>
          </w:p>
        </w:tc>
        <w:tc>
          <w:tcPr>
            <w:tcW w:w="1015" w:type="dxa"/>
          </w:tcPr>
          <w:p w14:paraId="437916D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0.07</w:t>
            </w:r>
          </w:p>
        </w:tc>
      </w:tr>
      <w:tr w:rsidR="007A4837" w:rsidRPr="00D73320" w14:paraId="7E22BC0E" w14:textId="77777777" w:rsidTr="007A4837">
        <w:trPr>
          <w:trHeight w:val="405"/>
        </w:trPr>
        <w:tc>
          <w:tcPr>
            <w:tcW w:w="6503" w:type="dxa"/>
          </w:tcPr>
          <w:p w14:paraId="0B70FF36"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Days of follow-up [IQR]</w:t>
            </w:r>
          </w:p>
        </w:tc>
        <w:tc>
          <w:tcPr>
            <w:tcW w:w="1556" w:type="dxa"/>
          </w:tcPr>
          <w:p w14:paraId="08FB838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175 [95, 352]</w:t>
            </w:r>
          </w:p>
        </w:tc>
        <w:tc>
          <w:tcPr>
            <w:tcW w:w="1690" w:type="dxa"/>
          </w:tcPr>
          <w:p w14:paraId="33F17B68"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283 [101, 514]</w:t>
            </w:r>
          </w:p>
        </w:tc>
        <w:tc>
          <w:tcPr>
            <w:tcW w:w="1015" w:type="dxa"/>
          </w:tcPr>
          <w:p w14:paraId="5218027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0.02</w:t>
            </w:r>
          </w:p>
        </w:tc>
      </w:tr>
      <w:tr w:rsidR="007A4837" w:rsidRPr="00D73320" w14:paraId="227C4BE7" w14:textId="77777777" w:rsidTr="007A4837">
        <w:trPr>
          <w:trHeight w:val="446"/>
        </w:trPr>
        <w:tc>
          <w:tcPr>
            <w:tcW w:w="6503" w:type="dxa"/>
          </w:tcPr>
          <w:p w14:paraId="159573D4"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Other immune side effects during treatment</w:t>
            </w:r>
          </w:p>
        </w:tc>
        <w:tc>
          <w:tcPr>
            <w:tcW w:w="1556" w:type="dxa"/>
          </w:tcPr>
          <w:p w14:paraId="2189408B" w14:textId="77777777" w:rsidR="007A4837" w:rsidRPr="00D73320" w:rsidRDefault="007A4837" w:rsidP="007A4837">
            <w:pPr>
              <w:spacing w:line="276" w:lineRule="auto"/>
              <w:jc w:val="center"/>
              <w:rPr>
                <w:rFonts w:ascii="Times New Roman" w:hAnsi="Times New Roman" w:cs="Times New Roman"/>
              </w:rPr>
            </w:pPr>
          </w:p>
        </w:tc>
        <w:tc>
          <w:tcPr>
            <w:tcW w:w="1690" w:type="dxa"/>
          </w:tcPr>
          <w:p w14:paraId="297DD4A3" w14:textId="77777777" w:rsidR="007A4837" w:rsidRPr="00D73320" w:rsidRDefault="007A4837" w:rsidP="007A4837">
            <w:pPr>
              <w:spacing w:line="276" w:lineRule="auto"/>
              <w:jc w:val="center"/>
              <w:rPr>
                <w:rFonts w:ascii="Times New Roman" w:hAnsi="Times New Roman" w:cs="Times New Roman"/>
              </w:rPr>
            </w:pPr>
          </w:p>
        </w:tc>
        <w:tc>
          <w:tcPr>
            <w:tcW w:w="1015" w:type="dxa"/>
          </w:tcPr>
          <w:p w14:paraId="5B533745" w14:textId="77777777" w:rsidR="007A4837" w:rsidRPr="00D73320" w:rsidRDefault="007A4837" w:rsidP="007A4837">
            <w:pPr>
              <w:spacing w:line="276" w:lineRule="auto"/>
              <w:jc w:val="center"/>
              <w:rPr>
                <w:rFonts w:ascii="Times New Roman" w:hAnsi="Times New Roman" w:cs="Times New Roman"/>
              </w:rPr>
            </w:pPr>
          </w:p>
        </w:tc>
      </w:tr>
      <w:tr w:rsidR="007A4837" w:rsidRPr="00D73320" w14:paraId="7CD093D5" w14:textId="77777777" w:rsidTr="007A4837">
        <w:tc>
          <w:tcPr>
            <w:tcW w:w="6503" w:type="dxa"/>
          </w:tcPr>
          <w:p w14:paraId="15789DBC"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No other immune side effects</w:t>
            </w:r>
          </w:p>
        </w:tc>
        <w:tc>
          <w:tcPr>
            <w:tcW w:w="1556" w:type="dxa"/>
          </w:tcPr>
          <w:p w14:paraId="4F47ED58"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55 (54)</w:t>
            </w:r>
          </w:p>
        </w:tc>
        <w:tc>
          <w:tcPr>
            <w:tcW w:w="1690" w:type="dxa"/>
          </w:tcPr>
          <w:p w14:paraId="15691DB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35 (38)</w:t>
            </w:r>
          </w:p>
        </w:tc>
        <w:tc>
          <w:tcPr>
            <w:tcW w:w="1015" w:type="dxa"/>
          </w:tcPr>
          <w:p w14:paraId="7CA5B9A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0.02</w:t>
            </w:r>
          </w:p>
        </w:tc>
      </w:tr>
      <w:tr w:rsidR="007A4837" w:rsidRPr="00D73320" w14:paraId="35912230" w14:textId="77777777" w:rsidTr="007A4837">
        <w:tc>
          <w:tcPr>
            <w:tcW w:w="6503" w:type="dxa"/>
          </w:tcPr>
          <w:p w14:paraId="68C453EE"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Hypophysitis/pituitary/adrenal</w:t>
            </w:r>
          </w:p>
        </w:tc>
        <w:tc>
          <w:tcPr>
            <w:tcW w:w="1556" w:type="dxa"/>
          </w:tcPr>
          <w:p w14:paraId="4ED4AD8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 (5)</w:t>
            </w:r>
          </w:p>
        </w:tc>
        <w:tc>
          <w:tcPr>
            <w:tcW w:w="1690" w:type="dxa"/>
          </w:tcPr>
          <w:p w14:paraId="5012B6C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 (5)</w:t>
            </w:r>
          </w:p>
        </w:tc>
        <w:tc>
          <w:tcPr>
            <w:tcW w:w="1015" w:type="dxa"/>
          </w:tcPr>
          <w:p w14:paraId="78FA4E0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1.00</w:t>
            </w:r>
          </w:p>
        </w:tc>
      </w:tr>
      <w:tr w:rsidR="007A4837" w:rsidRPr="00D73320" w14:paraId="3B3FF465" w14:textId="77777777" w:rsidTr="007A4837">
        <w:tc>
          <w:tcPr>
            <w:tcW w:w="6503" w:type="dxa"/>
          </w:tcPr>
          <w:p w14:paraId="1BD960C9"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Pneumonitis</w:t>
            </w:r>
          </w:p>
        </w:tc>
        <w:tc>
          <w:tcPr>
            <w:tcW w:w="1556" w:type="dxa"/>
          </w:tcPr>
          <w:p w14:paraId="7D62AE3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29 (29)</w:t>
            </w:r>
          </w:p>
        </w:tc>
        <w:tc>
          <w:tcPr>
            <w:tcW w:w="1690" w:type="dxa"/>
          </w:tcPr>
          <w:p w14:paraId="4DC2AB2E"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14 (15)</w:t>
            </w:r>
          </w:p>
        </w:tc>
        <w:tc>
          <w:tcPr>
            <w:tcW w:w="1015" w:type="dxa"/>
          </w:tcPr>
          <w:p w14:paraId="402DE1E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0.02</w:t>
            </w:r>
          </w:p>
        </w:tc>
      </w:tr>
      <w:tr w:rsidR="007A4837" w:rsidRPr="00D73320" w14:paraId="0D44C3FA" w14:textId="77777777" w:rsidTr="007A4837">
        <w:tc>
          <w:tcPr>
            <w:tcW w:w="6503" w:type="dxa"/>
          </w:tcPr>
          <w:p w14:paraId="1F8F973E"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Hepatitis</w:t>
            </w:r>
          </w:p>
        </w:tc>
        <w:tc>
          <w:tcPr>
            <w:tcW w:w="1556" w:type="dxa"/>
          </w:tcPr>
          <w:p w14:paraId="62A9E31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 (7)</w:t>
            </w:r>
          </w:p>
        </w:tc>
        <w:tc>
          <w:tcPr>
            <w:tcW w:w="1690" w:type="dxa"/>
          </w:tcPr>
          <w:p w14:paraId="2A7AB53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 (5)</w:t>
            </w:r>
          </w:p>
        </w:tc>
        <w:tc>
          <w:tcPr>
            <w:tcW w:w="1015" w:type="dxa"/>
          </w:tcPr>
          <w:p w14:paraId="4086C51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0.67</w:t>
            </w:r>
          </w:p>
        </w:tc>
      </w:tr>
      <w:tr w:rsidR="007A4837" w:rsidRPr="00D73320" w14:paraId="13F16C36" w14:textId="77777777" w:rsidTr="007A4837">
        <w:tc>
          <w:tcPr>
            <w:tcW w:w="6503" w:type="dxa"/>
          </w:tcPr>
          <w:p w14:paraId="221F0A84"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Colitis</w:t>
            </w:r>
          </w:p>
        </w:tc>
        <w:tc>
          <w:tcPr>
            <w:tcW w:w="1556" w:type="dxa"/>
          </w:tcPr>
          <w:p w14:paraId="1BE3226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 (10)</w:t>
            </w:r>
          </w:p>
        </w:tc>
        <w:tc>
          <w:tcPr>
            <w:tcW w:w="1690" w:type="dxa"/>
          </w:tcPr>
          <w:p w14:paraId="73AA8E18"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11 (12)</w:t>
            </w:r>
          </w:p>
        </w:tc>
        <w:tc>
          <w:tcPr>
            <w:tcW w:w="1015" w:type="dxa"/>
          </w:tcPr>
          <w:p w14:paraId="711A2B0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0.65</w:t>
            </w:r>
          </w:p>
        </w:tc>
      </w:tr>
      <w:tr w:rsidR="007A4837" w:rsidRPr="00D73320" w14:paraId="3CF04F68" w14:textId="77777777" w:rsidTr="007A4837">
        <w:tc>
          <w:tcPr>
            <w:tcW w:w="6503" w:type="dxa"/>
          </w:tcPr>
          <w:p w14:paraId="2FD0FDCE"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Dermatitis</w:t>
            </w:r>
          </w:p>
        </w:tc>
        <w:tc>
          <w:tcPr>
            <w:tcW w:w="1556" w:type="dxa"/>
          </w:tcPr>
          <w:p w14:paraId="7FA5856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 (6)</w:t>
            </w:r>
          </w:p>
        </w:tc>
        <w:tc>
          <w:tcPr>
            <w:tcW w:w="1690" w:type="dxa"/>
          </w:tcPr>
          <w:p w14:paraId="0BFC8C4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 (1)</w:t>
            </w:r>
          </w:p>
        </w:tc>
        <w:tc>
          <w:tcPr>
            <w:tcW w:w="1015" w:type="dxa"/>
          </w:tcPr>
          <w:p w14:paraId="729E45FF"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0.12</w:t>
            </w:r>
          </w:p>
        </w:tc>
      </w:tr>
      <w:tr w:rsidR="007A4837" w:rsidRPr="00D73320" w14:paraId="380AC099" w14:textId="77777777" w:rsidTr="007A4837">
        <w:tc>
          <w:tcPr>
            <w:tcW w:w="6503" w:type="dxa"/>
          </w:tcPr>
          <w:p w14:paraId="6A2327B7"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Neurological</w:t>
            </w:r>
          </w:p>
        </w:tc>
        <w:tc>
          <w:tcPr>
            <w:tcW w:w="1556" w:type="dxa"/>
          </w:tcPr>
          <w:p w14:paraId="61B776A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 (10)</w:t>
            </w:r>
          </w:p>
        </w:tc>
        <w:tc>
          <w:tcPr>
            <w:tcW w:w="1690" w:type="dxa"/>
          </w:tcPr>
          <w:p w14:paraId="564F3F4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 (2)</w:t>
            </w:r>
          </w:p>
        </w:tc>
        <w:tc>
          <w:tcPr>
            <w:tcW w:w="1015" w:type="dxa"/>
          </w:tcPr>
          <w:p w14:paraId="393B6E7F"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0.03</w:t>
            </w:r>
          </w:p>
        </w:tc>
      </w:tr>
      <w:tr w:rsidR="007A4837" w:rsidRPr="00D73320" w14:paraId="5FF50F78" w14:textId="77777777" w:rsidTr="007A4837">
        <w:trPr>
          <w:trHeight w:val="239"/>
        </w:trPr>
        <w:tc>
          <w:tcPr>
            <w:tcW w:w="6503" w:type="dxa"/>
          </w:tcPr>
          <w:p w14:paraId="0F8B8BD8"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Gastritis</w:t>
            </w:r>
          </w:p>
          <w:p w14:paraId="7780A446" w14:textId="77777777" w:rsidR="007A4837" w:rsidRPr="00D73320" w:rsidRDefault="007A4837" w:rsidP="007A4837">
            <w:pPr>
              <w:spacing w:line="276" w:lineRule="auto"/>
              <w:rPr>
                <w:rFonts w:ascii="Times New Roman" w:hAnsi="Times New Roman" w:cs="Times New Roman"/>
              </w:rPr>
            </w:pPr>
          </w:p>
        </w:tc>
        <w:tc>
          <w:tcPr>
            <w:tcW w:w="1556" w:type="dxa"/>
          </w:tcPr>
          <w:p w14:paraId="1D2B043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3 (3)</w:t>
            </w:r>
          </w:p>
        </w:tc>
        <w:tc>
          <w:tcPr>
            <w:tcW w:w="1690" w:type="dxa"/>
          </w:tcPr>
          <w:p w14:paraId="164DBCA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 (4)</w:t>
            </w:r>
          </w:p>
        </w:tc>
        <w:tc>
          <w:tcPr>
            <w:tcW w:w="1015" w:type="dxa"/>
          </w:tcPr>
          <w:p w14:paraId="3F4BF4A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0.71</w:t>
            </w:r>
          </w:p>
        </w:tc>
      </w:tr>
      <w:tr w:rsidR="007A4837" w:rsidRPr="00D73320" w14:paraId="3503056B" w14:textId="77777777" w:rsidTr="007A4837">
        <w:trPr>
          <w:trHeight w:val="1670"/>
        </w:trPr>
        <w:tc>
          <w:tcPr>
            <w:tcW w:w="10764" w:type="dxa"/>
            <w:gridSpan w:val="4"/>
            <w:tcBorders>
              <w:top w:val="single" w:sz="4" w:space="0" w:color="auto"/>
              <w:bottom w:val="single" w:sz="8" w:space="0" w:color="auto"/>
            </w:tcBorders>
          </w:tcPr>
          <w:p w14:paraId="575F4AE8" w14:textId="77777777" w:rsidR="007A4837" w:rsidRPr="00D73320" w:rsidRDefault="007A4837" w:rsidP="007A4837">
            <w:pPr>
              <w:widowControl w:val="0"/>
              <w:autoSpaceDE w:val="0"/>
              <w:autoSpaceDN w:val="0"/>
              <w:adjustRightInd w:val="0"/>
              <w:spacing w:after="240" w:line="276" w:lineRule="auto"/>
              <w:rPr>
                <w:rFonts w:ascii="Times New Roman" w:hAnsi="Times New Roman" w:cs="Times New Roman"/>
                <w:sz w:val="20"/>
                <w:szCs w:val="20"/>
              </w:rPr>
            </w:pPr>
            <w:r w:rsidRPr="00D73320">
              <w:rPr>
                <w:rFonts w:ascii="Times New Roman" w:hAnsi="Times New Roman" w:cs="Times New Roman"/>
                <w:sz w:val="20"/>
                <w:szCs w:val="20"/>
              </w:rPr>
              <w:t xml:space="preserve">Values are n (%) or mean ± SD. All cases with ICI-associated myocarditis had ICI permanently discontinued. †Within monotherapy group. </w:t>
            </w:r>
          </w:p>
          <w:p w14:paraId="7DC977BA" w14:textId="77777777" w:rsidR="007A4837" w:rsidRPr="00D73320" w:rsidRDefault="007A4837" w:rsidP="007A4837">
            <w:pPr>
              <w:widowControl w:val="0"/>
              <w:autoSpaceDE w:val="0"/>
              <w:autoSpaceDN w:val="0"/>
              <w:adjustRightInd w:val="0"/>
              <w:spacing w:after="240" w:line="276" w:lineRule="auto"/>
              <w:rPr>
                <w:rFonts w:ascii="Times New Roman" w:hAnsi="Times New Roman" w:cs="Times New Roman"/>
                <w:sz w:val="20"/>
                <w:szCs w:val="20"/>
              </w:rPr>
            </w:pPr>
            <w:r w:rsidRPr="00D73320">
              <w:rPr>
                <w:rFonts w:ascii="Times New Roman" w:hAnsi="Times New Roman" w:cs="Times New Roman"/>
                <w:sz w:val="20"/>
                <w:szCs w:val="20"/>
              </w:rPr>
              <w:t>anti-CTLA4 = anti-cytotoxic T-lymphocyte-associated protein 4; anti-PD1 = anti-programmed cell death protein 1; anti-PDL1 = anti-programmed death-ligand 1; ICI = immune checkpoint inhibitors.</w:t>
            </w:r>
          </w:p>
        </w:tc>
      </w:tr>
    </w:tbl>
    <w:p w14:paraId="4D96411C" w14:textId="360DBDF0" w:rsidR="00151ECF" w:rsidRDefault="00151ECF" w:rsidP="007A4837">
      <w:pPr>
        <w:tabs>
          <w:tab w:val="left" w:pos="3360"/>
        </w:tabs>
        <w:spacing w:line="276" w:lineRule="auto"/>
        <w:rPr>
          <w:rFonts w:ascii="Times New Roman" w:hAnsi="Times New Roman" w:cs="Times New Roman"/>
        </w:rPr>
      </w:pPr>
    </w:p>
    <w:p w14:paraId="483C759B" w14:textId="77777777" w:rsidR="00151ECF" w:rsidRDefault="00151ECF">
      <w:pPr>
        <w:rPr>
          <w:rFonts w:ascii="Times New Roman" w:hAnsi="Times New Roman" w:cs="Times New Roman"/>
        </w:rPr>
      </w:pPr>
      <w:r>
        <w:rPr>
          <w:rFonts w:ascii="Times New Roman" w:hAnsi="Times New Roman" w:cs="Times New Roman"/>
        </w:rPr>
        <w:br w:type="page"/>
      </w:r>
    </w:p>
    <w:tbl>
      <w:tblPr>
        <w:tblStyle w:val="TableGrid"/>
        <w:tblW w:w="12630" w:type="dxa"/>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624"/>
        <w:gridCol w:w="810"/>
        <w:gridCol w:w="1087"/>
        <w:gridCol w:w="533"/>
        <w:gridCol w:w="180"/>
        <w:gridCol w:w="1710"/>
        <w:gridCol w:w="270"/>
        <w:gridCol w:w="1242"/>
        <w:gridCol w:w="1938"/>
      </w:tblGrid>
      <w:tr w:rsidR="007A4837" w:rsidRPr="00D73320" w14:paraId="29162461" w14:textId="77777777" w:rsidTr="007A4837">
        <w:trPr>
          <w:gridAfter w:val="1"/>
          <w:wAfter w:w="1938" w:type="dxa"/>
          <w:trHeight w:val="765"/>
        </w:trPr>
        <w:tc>
          <w:tcPr>
            <w:tcW w:w="4860" w:type="dxa"/>
            <w:gridSpan w:val="2"/>
            <w:tcBorders>
              <w:top w:val="single" w:sz="18" w:space="0" w:color="auto"/>
              <w:bottom w:val="single" w:sz="18" w:space="0" w:color="auto"/>
            </w:tcBorders>
          </w:tcPr>
          <w:p w14:paraId="184C9EC0" w14:textId="77777777" w:rsidR="007A4837" w:rsidRPr="00D73320" w:rsidRDefault="007A4837" w:rsidP="007A4837">
            <w:pPr>
              <w:spacing w:line="276" w:lineRule="auto"/>
              <w:rPr>
                <w:rFonts w:ascii="Times New Roman" w:hAnsi="Times New Roman" w:cs="Times New Roman"/>
                <w:b/>
              </w:rPr>
            </w:pPr>
            <w:r w:rsidRPr="00D73320">
              <w:rPr>
                <w:rFonts w:ascii="Times New Roman" w:hAnsi="Times New Roman" w:cs="Times New Roman"/>
                <w:b/>
              </w:rPr>
              <w:t>Table 2A: Description of cases and controls with pre-ICI TTEs</w:t>
            </w:r>
          </w:p>
        </w:tc>
        <w:tc>
          <w:tcPr>
            <w:tcW w:w="2430" w:type="dxa"/>
            <w:gridSpan w:val="3"/>
            <w:tcBorders>
              <w:top w:val="single" w:sz="18" w:space="0" w:color="auto"/>
              <w:bottom w:val="single" w:sz="18" w:space="0" w:color="auto"/>
            </w:tcBorders>
          </w:tcPr>
          <w:p w14:paraId="4E72DB7B"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 xml:space="preserve">                   Cases</w:t>
            </w:r>
          </w:p>
          <w:p w14:paraId="275ACC36"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 xml:space="preserve">                    (n=30)</w:t>
            </w:r>
          </w:p>
        </w:tc>
        <w:tc>
          <w:tcPr>
            <w:tcW w:w="1890" w:type="dxa"/>
            <w:gridSpan w:val="2"/>
            <w:tcBorders>
              <w:top w:val="single" w:sz="18" w:space="0" w:color="auto"/>
              <w:bottom w:val="single" w:sz="18" w:space="0" w:color="auto"/>
            </w:tcBorders>
          </w:tcPr>
          <w:p w14:paraId="6158F4E1"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 xml:space="preserve">    Controls</w:t>
            </w:r>
          </w:p>
          <w:p w14:paraId="2CB73D99"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 xml:space="preserve">    (n=42)</w:t>
            </w:r>
          </w:p>
        </w:tc>
        <w:tc>
          <w:tcPr>
            <w:tcW w:w="1512" w:type="dxa"/>
            <w:gridSpan w:val="2"/>
            <w:tcBorders>
              <w:top w:val="single" w:sz="18" w:space="0" w:color="auto"/>
              <w:bottom w:val="single" w:sz="18" w:space="0" w:color="auto"/>
            </w:tcBorders>
          </w:tcPr>
          <w:p w14:paraId="0CC2D29A" w14:textId="77777777" w:rsidR="007A4837" w:rsidRPr="00D73320" w:rsidRDefault="007A4837" w:rsidP="007A4837">
            <w:pPr>
              <w:spacing w:line="276" w:lineRule="auto"/>
              <w:jc w:val="center"/>
              <w:rPr>
                <w:rFonts w:ascii="Times New Roman" w:hAnsi="Times New Roman" w:cs="Times New Roman"/>
                <w:b/>
                <w:i/>
              </w:rPr>
            </w:pPr>
            <w:r w:rsidRPr="00D73320">
              <w:rPr>
                <w:rFonts w:ascii="Times New Roman" w:hAnsi="Times New Roman" w:cs="Times New Roman"/>
                <w:b/>
                <w:i/>
              </w:rPr>
              <w:t xml:space="preserve">P </w:t>
            </w:r>
            <w:r>
              <w:rPr>
                <w:rFonts w:ascii="Times New Roman" w:hAnsi="Times New Roman" w:cs="Times New Roman"/>
                <w:b/>
                <w:i/>
              </w:rPr>
              <w:t>V</w:t>
            </w:r>
            <w:r w:rsidRPr="00D73320">
              <w:rPr>
                <w:rFonts w:ascii="Times New Roman" w:hAnsi="Times New Roman" w:cs="Times New Roman"/>
                <w:b/>
                <w:i/>
              </w:rPr>
              <w:t>alue</w:t>
            </w:r>
          </w:p>
        </w:tc>
      </w:tr>
      <w:tr w:rsidR="007A4837" w:rsidRPr="00D73320" w14:paraId="6C106530" w14:textId="77777777" w:rsidTr="007A4837">
        <w:trPr>
          <w:trHeight w:val="99"/>
        </w:trPr>
        <w:tc>
          <w:tcPr>
            <w:tcW w:w="236" w:type="dxa"/>
            <w:tcBorders>
              <w:top w:val="single" w:sz="8" w:space="0" w:color="auto"/>
            </w:tcBorders>
          </w:tcPr>
          <w:p w14:paraId="517E6D30" w14:textId="77777777" w:rsidR="007A4837" w:rsidRPr="00D73320" w:rsidRDefault="007A4837" w:rsidP="007A4837">
            <w:pPr>
              <w:spacing w:line="276" w:lineRule="auto"/>
              <w:rPr>
                <w:rFonts w:ascii="Times New Roman" w:hAnsi="Times New Roman" w:cs="Times New Roman"/>
              </w:rPr>
            </w:pPr>
          </w:p>
        </w:tc>
        <w:tc>
          <w:tcPr>
            <w:tcW w:w="6521" w:type="dxa"/>
            <w:gridSpan w:val="3"/>
            <w:tcBorders>
              <w:top w:val="single" w:sz="8" w:space="0" w:color="auto"/>
            </w:tcBorders>
          </w:tcPr>
          <w:p w14:paraId="7A2F9D01" w14:textId="77777777" w:rsidR="007A4837" w:rsidRPr="00D73320" w:rsidRDefault="007A4837" w:rsidP="007A4837">
            <w:pPr>
              <w:spacing w:line="276" w:lineRule="auto"/>
              <w:rPr>
                <w:rFonts w:ascii="Times New Roman" w:hAnsi="Times New Roman" w:cs="Times New Roman"/>
              </w:rPr>
            </w:pPr>
          </w:p>
        </w:tc>
        <w:tc>
          <w:tcPr>
            <w:tcW w:w="2693" w:type="dxa"/>
            <w:gridSpan w:val="4"/>
            <w:tcBorders>
              <w:top w:val="single" w:sz="8" w:space="0" w:color="auto"/>
            </w:tcBorders>
          </w:tcPr>
          <w:p w14:paraId="0FA73603" w14:textId="77777777" w:rsidR="007A4837" w:rsidRPr="00D73320" w:rsidRDefault="007A4837" w:rsidP="007A4837">
            <w:pPr>
              <w:spacing w:line="276" w:lineRule="auto"/>
              <w:rPr>
                <w:rFonts w:ascii="Times New Roman" w:hAnsi="Times New Roman" w:cs="Times New Roman"/>
              </w:rPr>
            </w:pPr>
          </w:p>
        </w:tc>
        <w:tc>
          <w:tcPr>
            <w:tcW w:w="3180" w:type="dxa"/>
            <w:gridSpan w:val="2"/>
          </w:tcPr>
          <w:p w14:paraId="1CCFD44E" w14:textId="77777777" w:rsidR="007A4837" w:rsidRPr="00D73320" w:rsidRDefault="007A4837" w:rsidP="007A4837">
            <w:pPr>
              <w:spacing w:line="276" w:lineRule="auto"/>
              <w:rPr>
                <w:rFonts w:ascii="Times New Roman" w:hAnsi="Times New Roman" w:cs="Times New Roman"/>
              </w:rPr>
            </w:pPr>
          </w:p>
        </w:tc>
      </w:tr>
      <w:tr w:rsidR="007A4837" w:rsidRPr="00D73320" w14:paraId="7179FB0B" w14:textId="77777777" w:rsidTr="007A4837">
        <w:trPr>
          <w:gridAfter w:val="1"/>
          <w:wAfter w:w="1938" w:type="dxa"/>
          <w:trHeight w:val="334"/>
        </w:trPr>
        <w:tc>
          <w:tcPr>
            <w:tcW w:w="5670" w:type="dxa"/>
            <w:gridSpan w:val="3"/>
          </w:tcPr>
          <w:p w14:paraId="4C06CCC3"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Pre- ICI treatment echocardiogram</w:t>
            </w:r>
          </w:p>
        </w:tc>
        <w:tc>
          <w:tcPr>
            <w:tcW w:w="1800" w:type="dxa"/>
            <w:gridSpan w:val="3"/>
          </w:tcPr>
          <w:p w14:paraId="3BEA2517" w14:textId="77777777" w:rsidR="007A4837" w:rsidRPr="00D73320" w:rsidRDefault="007A4837" w:rsidP="007A4837">
            <w:pPr>
              <w:spacing w:line="276" w:lineRule="auto"/>
              <w:rPr>
                <w:rFonts w:ascii="Times New Roman" w:hAnsi="Times New Roman" w:cs="Times New Roman"/>
              </w:rPr>
            </w:pPr>
          </w:p>
        </w:tc>
        <w:tc>
          <w:tcPr>
            <w:tcW w:w="1710" w:type="dxa"/>
          </w:tcPr>
          <w:p w14:paraId="209DAB70" w14:textId="77777777" w:rsidR="007A4837" w:rsidRPr="00D73320" w:rsidRDefault="007A4837" w:rsidP="007A4837">
            <w:pPr>
              <w:spacing w:line="276" w:lineRule="auto"/>
              <w:rPr>
                <w:rFonts w:ascii="Times New Roman" w:hAnsi="Times New Roman" w:cs="Times New Roman"/>
              </w:rPr>
            </w:pPr>
          </w:p>
        </w:tc>
        <w:tc>
          <w:tcPr>
            <w:tcW w:w="1512" w:type="dxa"/>
            <w:gridSpan w:val="2"/>
          </w:tcPr>
          <w:p w14:paraId="5BC6B77C" w14:textId="77777777" w:rsidR="007A4837" w:rsidRPr="00D73320" w:rsidRDefault="007A4837" w:rsidP="007A4837">
            <w:pPr>
              <w:spacing w:line="276" w:lineRule="auto"/>
              <w:rPr>
                <w:rFonts w:ascii="Times New Roman" w:hAnsi="Times New Roman" w:cs="Times New Roman"/>
              </w:rPr>
            </w:pPr>
          </w:p>
        </w:tc>
      </w:tr>
      <w:tr w:rsidR="007A4837" w:rsidRPr="00D73320" w14:paraId="4352C3D3" w14:textId="77777777" w:rsidTr="007A4837">
        <w:trPr>
          <w:gridAfter w:val="1"/>
          <w:wAfter w:w="1938" w:type="dxa"/>
          <w:trHeight w:val="334"/>
        </w:trPr>
        <w:tc>
          <w:tcPr>
            <w:tcW w:w="5670" w:type="dxa"/>
            <w:gridSpan w:val="3"/>
          </w:tcPr>
          <w:p w14:paraId="6FA0BD85"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LVEF, % </w:t>
            </w:r>
          </w:p>
        </w:tc>
        <w:tc>
          <w:tcPr>
            <w:tcW w:w="1800" w:type="dxa"/>
            <w:gridSpan w:val="3"/>
          </w:tcPr>
          <w:p w14:paraId="0493802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61±7</w:t>
            </w:r>
          </w:p>
        </w:tc>
        <w:tc>
          <w:tcPr>
            <w:tcW w:w="1710" w:type="dxa"/>
          </w:tcPr>
          <w:p w14:paraId="29A7C36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65±9</w:t>
            </w:r>
          </w:p>
        </w:tc>
        <w:tc>
          <w:tcPr>
            <w:tcW w:w="1512" w:type="dxa"/>
            <w:gridSpan w:val="2"/>
          </w:tcPr>
          <w:p w14:paraId="2400874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0.03</w:t>
            </w:r>
          </w:p>
        </w:tc>
      </w:tr>
      <w:tr w:rsidR="007A4837" w:rsidRPr="00D73320" w14:paraId="38C9E312" w14:textId="77777777" w:rsidTr="007A4837">
        <w:trPr>
          <w:gridAfter w:val="1"/>
          <w:wAfter w:w="1938" w:type="dxa"/>
          <w:trHeight w:val="334"/>
        </w:trPr>
        <w:tc>
          <w:tcPr>
            <w:tcW w:w="5670" w:type="dxa"/>
            <w:gridSpan w:val="3"/>
          </w:tcPr>
          <w:p w14:paraId="592F5A5B"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LVIDD, mm </w:t>
            </w:r>
          </w:p>
        </w:tc>
        <w:tc>
          <w:tcPr>
            <w:tcW w:w="1800" w:type="dxa"/>
            <w:gridSpan w:val="3"/>
          </w:tcPr>
          <w:p w14:paraId="08AA33B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48±5</w:t>
            </w:r>
          </w:p>
        </w:tc>
        <w:tc>
          <w:tcPr>
            <w:tcW w:w="1710" w:type="dxa"/>
          </w:tcPr>
          <w:p w14:paraId="048DF6F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45±6</w:t>
            </w:r>
          </w:p>
        </w:tc>
        <w:tc>
          <w:tcPr>
            <w:tcW w:w="1512" w:type="dxa"/>
            <w:gridSpan w:val="2"/>
          </w:tcPr>
          <w:p w14:paraId="5547A67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0.08</w:t>
            </w:r>
          </w:p>
        </w:tc>
      </w:tr>
      <w:tr w:rsidR="007A4837" w:rsidRPr="00D73320" w14:paraId="37D3C622" w14:textId="77777777" w:rsidTr="007A4837">
        <w:trPr>
          <w:gridAfter w:val="1"/>
          <w:wAfter w:w="1938" w:type="dxa"/>
          <w:trHeight w:val="334"/>
        </w:trPr>
        <w:tc>
          <w:tcPr>
            <w:tcW w:w="5670" w:type="dxa"/>
            <w:gridSpan w:val="3"/>
          </w:tcPr>
          <w:p w14:paraId="3418FA17"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LVEDV, mls</w:t>
            </w:r>
          </w:p>
        </w:tc>
        <w:tc>
          <w:tcPr>
            <w:tcW w:w="1800" w:type="dxa"/>
            <w:gridSpan w:val="3"/>
          </w:tcPr>
          <w:p w14:paraId="3D3F01F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97±50</w:t>
            </w:r>
          </w:p>
        </w:tc>
        <w:tc>
          <w:tcPr>
            <w:tcW w:w="1710" w:type="dxa"/>
          </w:tcPr>
          <w:p w14:paraId="353A8698"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113±44</w:t>
            </w:r>
          </w:p>
        </w:tc>
        <w:tc>
          <w:tcPr>
            <w:tcW w:w="1512" w:type="dxa"/>
            <w:gridSpan w:val="2"/>
          </w:tcPr>
          <w:p w14:paraId="214A3B5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0.23</w:t>
            </w:r>
          </w:p>
        </w:tc>
      </w:tr>
      <w:tr w:rsidR="007A4837" w:rsidRPr="00D73320" w14:paraId="60CA8816" w14:textId="77777777" w:rsidTr="007A4837">
        <w:trPr>
          <w:gridAfter w:val="1"/>
          <w:wAfter w:w="1938" w:type="dxa"/>
          <w:trHeight w:val="334"/>
        </w:trPr>
        <w:tc>
          <w:tcPr>
            <w:tcW w:w="5670" w:type="dxa"/>
            <w:gridSpan w:val="3"/>
          </w:tcPr>
          <w:p w14:paraId="5264E968"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LVESV, mls</w:t>
            </w:r>
          </w:p>
        </w:tc>
        <w:tc>
          <w:tcPr>
            <w:tcW w:w="1800" w:type="dxa"/>
            <w:gridSpan w:val="3"/>
          </w:tcPr>
          <w:p w14:paraId="045B199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50±11</w:t>
            </w:r>
          </w:p>
        </w:tc>
        <w:tc>
          <w:tcPr>
            <w:tcW w:w="1710" w:type="dxa"/>
          </w:tcPr>
          <w:p w14:paraId="35F0A0E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56±26</w:t>
            </w:r>
          </w:p>
        </w:tc>
        <w:tc>
          <w:tcPr>
            <w:tcW w:w="1512" w:type="dxa"/>
            <w:gridSpan w:val="2"/>
          </w:tcPr>
          <w:p w14:paraId="6B596D7F"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0.34</w:t>
            </w:r>
          </w:p>
        </w:tc>
      </w:tr>
      <w:tr w:rsidR="007A4837" w:rsidRPr="00D73320" w14:paraId="4634D1D1" w14:textId="77777777" w:rsidTr="007A4837">
        <w:trPr>
          <w:gridAfter w:val="1"/>
          <w:wAfter w:w="1938" w:type="dxa"/>
          <w:trHeight w:val="334"/>
        </w:trPr>
        <w:tc>
          <w:tcPr>
            <w:tcW w:w="5670" w:type="dxa"/>
            <w:gridSpan w:val="3"/>
          </w:tcPr>
          <w:p w14:paraId="54D3A402"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SV, mls</w:t>
            </w:r>
          </w:p>
        </w:tc>
        <w:tc>
          <w:tcPr>
            <w:tcW w:w="1800" w:type="dxa"/>
            <w:gridSpan w:val="3"/>
          </w:tcPr>
          <w:p w14:paraId="5647CFC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47±24</w:t>
            </w:r>
          </w:p>
        </w:tc>
        <w:tc>
          <w:tcPr>
            <w:tcW w:w="1710" w:type="dxa"/>
          </w:tcPr>
          <w:p w14:paraId="1BFA99C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58±25</w:t>
            </w:r>
          </w:p>
        </w:tc>
        <w:tc>
          <w:tcPr>
            <w:tcW w:w="1512" w:type="dxa"/>
            <w:gridSpan w:val="2"/>
          </w:tcPr>
          <w:p w14:paraId="77E924C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0.33</w:t>
            </w:r>
          </w:p>
        </w:tc>
      </w:tr>
      <w:tr w:rsidR="007A4837" w:rsidRPr="00D73320" w14:paraId="73DA258C" w14:textId="77777777" w:rsidTr="007A4837">
        <w:trPr>
          <w:gridAfter w:val="1"/>
          <w:wAfter w:w="1938" w:type="dxa"/>
          <w:trHeight w:val="334"/>
        </w:trPr>
        <w:tc>
          <w:tcPr>
            <w:tcW w:w="5670" w:type="dxa"/>
            <w:gridSpan w:val="3"/>
          </w:tcPr>
          <w:p w14:paraId="73620B93" w14:textId="485BD8A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CO, </w:t>
            </w:r>
            <w:r w:rsidR="00D03BA1">
              <w:rPr>
                <w:rFonts w:ascii="Times New Roman" w:hAnsi="Times New Roman" w:cs="Times New Roman"/>
              </w:rPr>
              <w:t>L/min</w:t>
            </w:r>
          </w:p>
        </w:tc>
        <w:tc>
          <w:tcPr>
            <w:tcW w:w="1800" w:type="dxa"/>
            <w:gridSpan w:val="3"/>
          </w:tcPr>
          <w:p w14:paraId="1362FFA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4.0±2.5</w:t>
            </w:r>
          </w:p>
        </w:tc>
        <w:tc>
          <w:tcPr>
            <w:tcW w:w="1710" w:type="dxa"/>
          </w:tcPr>
          <w:p w14:paraId="57F5E628"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4.7±2.0</w:t>
            </w:r>
          </w:p>
        </w:tc>
        <w:tc>
          <w:tcPr>
            <w:tcW w:w="1512" w:type="dxa"/>
            <w:gridSpan w:val="2"/>
          </w:tcPr>
          <w:p w14:paraId="0F8B737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0.51</w:t>
            </w:r>
          </w:p>
        </w:tc>
      </w:tr>
      <w:tr w:rsidR="007A4837" w:rsidRPr="00D73320" w14:paraId="7A27928D" w14:textId="77777777" w:rsidTr="007A4837">
        <w:trPr>
          <w:gridAfter w:val="1"/>
          <w:wAfter w:w="1938" w:type="dxa"/>
          <w:trHeight w:val="334"/>
        </w:trPr>
        <w:tc>
          <w:tcPr>
            <w:tcW w:w="5670" w:type="dxa"/>
            <w:gridSpan w:val="3"/>
          </w:tcPr>
          <w:p w14:paraId="12DF7355"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Max LA volumes, mls*</w:t>
            </w:r>
          </w:p>
        </w:tc>
        <w:tc>
          <w:tcPr>
            <w:tcW w:w="1800" w:type="dxa"/>
            <w:gridSpan w:val="3"/>
          </w:tcPr>
          <w:p w14:paraId="215846F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64±34</w:t>
            </w:r>
          </w:p>
        </w:tc>
        <w:tc>
          <w:tcPr>
            <w:tcW w:w="1710" w:type="dxa"/>
          </w:tcPr>
          <w:p w14:paraId="52A654D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59±32</w:t>
            </w:r>
          </w:p>
        </w:tc>
        <w:tc>
          <w:tcPr>
            <w:tcW w:w="1512" w:type="dxa"/>
            <w:gridSpan w:val="2"/>
          </w:tcPr>
          <w:p w14:paraId="52113B9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0.65</w:t>
            </w:r>
          </w:p>
        </w:tc>
      </w:tr>
      <w:tr w:rsidR="007A4837" w:rsidRPr="00D73320" w14:paraId="67A462CE" w14:textId="77777777" w:rsidTr="007A4837">
        <w:trPr>
          <w:gridAfter w:val="1"/>
          <w:wAfter w:w="1938" w:type="dxa"/>
          <w:trHeight w:val="334"/>
        </w:trPr>
        <w:tc>
          <w:tcPr>
            <w:tcW w:w="5670" w:type="dxa"/>
            <w:gridSpan w:val="3"/>
          </w:tcPr>
          <w:p w14:paraId="5B2E19BE"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GLS, %</w:t>
            </w:r>
          </w:p>
        </w:tc>
        <w:tc>
          <w:tcPr>
            <w:tcW w:w="1800" w:type="dxa"/>
            <w:gridSpan w:val="3"/>
          </w:tcPr>
          <w:p w14:paraId="129E64DE"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20.3±2.6</w:t>
            </w:r>
          </w:p>
        </w:tc>
        <w:tc>
          <w:tcPr>
            <w:tcW w:w="1710" w:type="dxa"/>
          </w:tcPr>
          <w:p w14:paraId="61906021"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20.6±2.0</w:t>
            </w:r>
          </w:p>
        </w:tc>
        <w:tc>
          <w:tcPr>
            <w:tcW w:w="1512" w:type="dxa"/>
            <w:gridSpan w:val="2"/>
          </w:tcPr>
          <w:p w14:paraId="7AC4B6C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0.60</w:t>
            </w:r>
          </w:p>
        </w:tc>
      </w:tr>
      <w:tr w:rsidR="007A4837" w:rsidRPr="00D73320" w14:paraId="5B9DA680" w14:textId="77777777" w:rsidTr="007A4837">
        <w:trPr>
          <w:gridAfter w:val="1"/>
          <w:wAfter w:w="1938" w:type="dxa"/>
          <w:trHeight w:val="334"/>
        </w:trPr>
        <w:tc>
          <w:tcPr>
            <w:tcW w:w="5670" w:type="dxa"/>
            <w:gridSpan w:val="3"/>
          </w:tcPr>
          <w:p w14:paraId="286F5E5E"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Pre-ICI treatment ECG*</w:t>
            </w:r>
          </w:p>
        </w:tc>
        <w:tc>
          <w:tcPr>
            <w:tcW w:w="1800" w:type="dxa"/>
            <w:gridSpan w:val="3"/>
          </w:tcPr>
          <w:p w14:paraId="5383F458" w14:textId="77777777" w:rsidR="007A4837" w:rsidRPr="00D73320" w:rsidRDefault="007A4837" w:rsidP="007A4837">
            <w:pPr>
              <w:spacing w:line="276" w:lineRule="auto"/>
              <w:jc w:val="center"/>
              <w:rPr>
                <w:rFonts w:ascii="Times New Roman" w:hAnsi="Times New Roman" w:cs="Times New Roman"/>
              </w:rPr>
            </w:pPr>
          </w:p>
        </w:tc>
        <w:tc>
          <w:tcPr>
            <w:tcW w:w="1710" w:type="dxa"/>
          </w:tcPr>
          <w:p w14:paraId="0841B6A7" w14:textId="77777777" w:rsidR="007A4837" w:rsidRPr="00D73320" w:rsidRDefault="007A4837" w:rsidP="007A4837">
            <w:pPr>
              <w:spacing w:line="276" w:lineRule="auto"/>
              <w:jc w:val="center"/>
              <w:rPr>
                <w:rFonts w:ascii="Times New Roman" w:hAnsi="Times New Roman" w:cs="Times New Roman"/>
              </w:rPr>
            </w:pPr>
          </w:p>
        </w:tc>
        <w:tc>
          <w:tcPr>
            <w:tcW w:w="1512" w:type="dxa"/>
            <w:gridSpan w:val="2"/>
          </w:tcPr>
          <w:p w14:paraId="5C08E09C" w14:textId="77777777" w:rsidR="007A4837" w:rsidRPr="00D73320" w:rsidRDefault="007A4837" w:rsidP="007A4837">
            <w:pPr>
              <w:spacing w:line="276" w:lineRule="auto"/>
              <w:jc w:val="center"/>
              <w:rPr>
                <w:rFonts w:ascii="Times New Roman" w:hAnsi="Times New Roman" w:cs="Times New Roman"/>
              </w:rPr>
            </w:pPr>
          </w:p>
        </w:tc>
      </w:tr>
      <w:tr w:rsidR="007A4837" w:rsidRPr="00D73320" w14:paraId="73B0054F" w14:textId="77777777" w:rsidTr="007A4837">
        <w:trPr>
          <w:gridAfter w:val="1"/>
          <w:wAfter w:w="1938" w:type="dxa"/>
          <w:trHeight w:val="334"/>
        </w:trPr>
        <w:tc>
          <w:tcPr>
            <w:tcW w:w="5670" w:type="dxa"/>
            <w:gridSpan w:val="3"/>
          </w:tcPr>
          <w:p w14:paraId="4A095092"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Sinus rhythm</w:t>
            </w:r>
          </w:p>
        </w:tc>
        <w:tc>
          <w:tcPr>
            <w:tcW w:w="1800" w:type="dxa"/>
            <w:gridSpan w:val="3"/>
          </w:tcPr>
          <w:p w14:paraId="6264C33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19 (86)</w:t>
            </w:r>
          </w:p>
        </w:tc>
        <w:tc>
          <w:tcPr>
            <w:tcW w:w="1710" w:type="dxa"/>
          </w:tcPr>
          <w:p w14:paraId="4EA2B89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37 (88)</w:t>
            </w:r>
          </w:p>
        </w:tc>
        <w:tc>
          <w:tcPr>
            <w:tcW w:w="1512" w:type="dxa"/>
            <w:gridSpan w:val="2"/>
          </w:tcPr>
          <w:p w14:paraId="5390C3AF"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1.00</w:t>
            </w:r>
          </w:p>
        </w:tc>
      </w:tr>
      <w:tr w:rsidR="007A4837" w:rsidRPr="00D73320" w14:paraId="701DF4C0" w14:textId="77777777" w:rsidTr="007A4837">
        <w:trPr>
          <w:gridAfter w:val="1"/>
          <w:wAfter w:w="1938" w:type="dxa"/>
          <w:trHeight w:val="357"/>
        </w:trPr>
        <w:tc>
          <w:tcPr>
            <w:tcW w:w="5670" w:type="dxa"/>
            <w:gridSpan w:val="3"/>
          </w:tcPr>
          <w:p w14:paraId="42C8A7C0"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Heart rate, beats/min</w:t>
            </w:r>
          </w:p>
        </w:tc>
        <w:tc>
          <w:tcPr>
            <w:tcW w:w="1800" w:type="dxa"/>
            <w:gridSpan w:val="3"/>
          </w:tcPr>
          <w:p w14:paraId="26D85AE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79±15</w:t>
            </w:r>
          </w:p>
        </w:tc>
        <w:tc>
          <w:tcPr>
            <w:tcW w:w="1710" w:type="dxa"/>
          </w:tcPr>
          <w:p w14:paraId="5524F85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83±20</w:t>
            </w:r>
          </w:p>
        </w:tc>
        <w:tc>
          <w:tcPr>
            <w:tcW w:w="1512" w:type="dxa"/>
            <w:gridSpan w:val="2"/>
          </w:tcPr>
          <w:p w14:paraId="0657C49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0.39</w:t>
            </w:r>
          </w:p>
        </w:tc>
      </w:tr>
      <w:tr w:rsidR="007A4837" w:rsidRPr="00D73320" w14:paraId="54E81585" w14:textId="77777777" w:rsidTr="007A4837">
        <w:trPr>
          <w:gridAfter w:val="1"/>
          <w:wAfter w:w="1938" w:type="dxa"/>
          <w:trHeight w:val="357"/>
        </w:trPr>
        <w:tc>
          <w:tcPr>
            <w:tcW w:w="5670" w:type="dxa"/>
            <w:gridSpan w:val="3"/>
          </w:tcPr>
          <w:p w14:paraId="48435B6B"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Pre-ICI home CV medications*</w:t>
            </w:r>
          </w:p>
        </w:tc>
        <w:tc>
          <w:tcPr>
            <w:tcW w:w="1800" w:type="dxa"/>
            <w:gridSpan w:val="3"/>
          </w:tcPr>
          <w:p w14:paraId="5B16E07A" w14:textId="77777777" w:rsidR="007A4837" w:rsidRPr="00D73320" w:rsidRDefault="007A4837" w:rsidP="007A4837">
            <w:pPr>
              <w:spacing w:line="276" w:lineRule="auto"/>
              <w:jc w:val="center"/>
              <w:rPr>
                <w:rFonts w:ascii="Times New Roman" w:hAnsi="Times New Roman" w:cs="Times New Roman"/>
              </w:rPr>
            </w:pPr>
          </w:p>
        </w:tc>
        <w:tc>
          <w:tcPr>
            <w:tcW w:w="1710" w:type="dxa"/>
          </w:tcPr>
          <w:p w14:paraId="17AE8289" w14:textId="77777777" w:rsidR="007A4837" w:rsidRPr="00D73320" w:rsidRDefault="007A4837" w:rsidP="007A4837">
            <w:pPr>
              <w:spacing w:line="276" w:lineRule="auto"/>
              <w:jc w:val="center"/>
              <w:rPr>
                <w:rFonts w:ascii="Times New Roman" w:hAnsi="Times New Roman" w:cs="Times New Roman"/>
              </w:rPr>
            </w:pPr>
          </w:p>
        </w:tc>
        <w:tc>
          <w:tcPr>
            <w:tcW w:w="1512" w:type="dxa"/>
            <w:gridSpan w:val="2"/>
          </w:tcPr>
          <w:p w14:paraId="1CD28FEC" w14:textId="77777777" w:rsidR="007A4837" w:rsidRPr="00D73320" w:rsidRDefault="007A4837" w:rsidP="007A4837">
            <w:pPr>
              <w:spacing w:line="276" w:lineRule="auto"/>
              <w:jc w:val="center"/>
              <w:rPr>
                <w:rFonts w:ascii="Times New Roman" w:hAnsi="Times New Roman" w:cs="Times New Roman"/>
              </w:rPr>
            </w:pPr>
          </w:p>
        </w:tc>
      </w:tr>
      <w:tr w:rsidR="007A4837" w:rsidRPr="00D73320" w14:paraId="423CC241" w14:textId="77777777" w:rsidTr="007A4837">
        <w:trPr>
          <w:gridAfter w:val="1"/>
          <w:wAfter w:w="1938" w:type="dxa"/>
          <w:trHeight w:val="357"/>
        </w:trPr>
        <w:tc>
          <w:tcPr>
            <w:tcW w:w="5670" w:type="dxa"/>
            <w:gridSpan w:val="3"/>
          </w:tcPr>
          <w:p w14:paraId="668E5F6A" w14:textId="77777777" w:rsidR="007A4837" w:rsidRPr="00D73320" w:rsidRDefault="007A4837" w:rsidP="007A4837">
            <w:pPr>
              <w:spacing w:line="276" w:lineRule="auto"/>
              <w:rPr>
                <w:rFonts w:ascii="Times New Roman" w:hAnsi="Times New Roman" w:cs="Times New Roman"/>
              </w:rPr>
            </w:pPr>
            <w:bookmarkStart w:id="11" w:name="_Hlk13059356"/>
            <w:r w:rsidRPr="00D73320">
              <w:rPr>
                <w:rFonts w:ascii="Times New Roman" w:hAnsi="Times New Roman" w:cs="Times New Roman"/>
              </w:rPr>
              <w:t xml:space="preserve">       Statin</w:t>
            </w:r>
          </w:p>
        </w:tc>
        <w:tc>
          <w:tcPr>
            <w:tcW w:w="1800" w:type="dxa"/>
            <w:gridSpan w:val="3"/>
          </w:tcPr>
          <w:p w14:paraId="7EEF460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 (33)</w:t>
            </w:r>
          </w:p>
        </w:tc>
        <w:tc>
          <w:tcPr>
            <w:tcW w:w="1710" w:type="dxa"/>
          </w:tcPr>
          <w:p w14:paraId="3C5DDF7F"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11 (26)</w:t>
            </w:r>
          </w:p>
        </w:tc>
        <w:tc>
          <w:tcPr>
            <w:tcW w:w="1512" w:type="dxa"/>
            <w:gridSpan w:val="2"/>
          </w:tcPr>
          <w:p w14:paraId="7853CF18"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0.74</w:t>
            </w:r>
          </w:p>
        </w:tc>
      </w:tr>
      <w:bookmarkEnd w:id="11"/>
      <w:tr w:rsidR="007A4837" w:rsidRPr="00D73320" w14:paraId="6D88064B" w14:textId="77777777" w:rsidTr="007A4837">
        <w:trPr>
          <w:gridAfter w:val="1"/>
          <w:wAfter w:w="1938" w:type="dxa"/>
          <w:trHeight w:val="357"/>
        </w:trPr>
        <w:tc>
          <w:tcPr>
            <w:tcW w:w="5670" w:type="dxa"/>
            <w:gridSpan w:val="3"/>
          </w:tcPr>
          <w:p w14:paraId="2FF51F3E"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Aspirin</w:t>
            </w:r>
          </w:p>
        </w:tc>
        <w:tc>
          <w:tcPr>
            <w:tcW w:w="1800" w:type="dxa"/>
            <w:gridSpan w:val="3"/>
          </w:tcPr>
          <w:p w14:paraId="69BC490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 (33)</w:t>
            </w:r>
          </w:p>
        </w:tc>
        <w:tc>
          <w:tcPr>
            <w:tcW w:w="1710" w:type="dxa"/>
          </w:tcPr>
          <w:p w14:paraId="774A00D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11 (26)</w:t>
            </w:r>
          </w:p>
        </w:tc>
        <w:tc>
          <w:tcPr>
            <w:tcW w:w="1512" w:type="dxa"/>
            <w:gridSpan w:val="2"/>
          </w:tcPr>
          <w:p w14:paraId="6D0ED82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0.74</w:t>
            </w:r>
          </w:p>
        </w:tc>
      </w:tr>
      <w:tr w:rsidR="007A4837" w:rsidRPr="00D73320" w14:paraId="160E991C" w14:textId="77777777" w:rsidTr="007A4837">
        <w:trPr>
          <w:gridAfter w:val="1"/>
          <w:wAfter w:w="1938" w:type="dxa"/>
          <w:trHeight w:val="357"/>
        </w:trPr>
        <w:tc>
          <w:tcPr>
            <w:tcW w:w="5670" w:type="dxa"/>
            <w:gridSpan w:val="3"/>
          </w:tcPr>
          <w:p w14:paraId="16666442"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Beta-blockers</w:t>
            </w:r>
          </w:p>
        </w:tc>
        <w:tc>
          <w:tcPr>
            <w:tcW w:w="1800" w:type="dxa"/>
            <w:gridSpan w:val="3"/>
          </w:tcPr>
          <w:p w14:paraId="7120F8F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 (27)</w:t>
            </w:r>
          </w:p>
        </w:tc>
        <w:tc>
          <w:tcPr>
            <w:tcW w:w="1710" w:type="dxa"/>
          </w:tcPr>
          <w:p w14:paraId="18FAFB8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14 (33)</w:t>
            </w:r>
          </w:p>
        </w:tc>
        <w:tc>
          <w:tcPr>
            <w:tcW w:w="1512" w:type="dxa"/>
            <w:gridSpan w:val="2"/>
          </w:tcPr>
          <w:p w14:paraId="6F90836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0.75</w:t>
            </w:r>
          </w:p>
        </w:tc>
      </w:tr>
      <w:tr w:rsidR="007A4837" w:rsidRPr="00D73320" w14:paraId="66797B08" w14:textId="77777777" w:rsidTr="007A4837">
        <w:trPr>
          <w:gridAfter w:val="1"/>
          <w:wAfter w:w="1938" w:type="dxa"/>
          <w:trHeight w:val="357"/>
        </w:trPr>
        <w:tc>
          <w:tcPr>
            <w:tcW w:w="5670" w:type="dxa"/>
            <w:gridSpan w:val="3"/>
          </w:tcPr>
          <w:p w14:paraId="491476C0"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ACE inhibitors or ARB</w:t>
            </w:r>
          </w:p>
        </w:tc>
        <w:tc>
          <w:tcPr>
            <w:tcW w:w="1800" w:type="dxa"/>
            <w:gridSpan w:val="3"/>
          </w:tcPr>
          <w:p w14:paraId="311C8AB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 (27)</w:t>
            </w:r>
          </w:p>
        </w:tc>
        <w:tc>
          <w:tcPr>
            <w:tcW w:w="1710" w:type="dxa"/>
          </w:tcPr>
          <w:p w14:paraId="2F01E4E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 (24)</w:t>
            </w:r>
          </w:p>
        </w:tc>
        <w:tc>
          <w:tcPr>
            <w:tcW w:w="1512" w:type="dxa"/>
            <w:gridSpan w:val="2"/>
          </w:tcPr>
          <w:p w14:paraId="76B7064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1.00</w:t>
            </w:r>
          </w:p>
        </w:tc>
      </w:tr>
      <w:tr w:rsidR="007A4837" w:rsidRPr="00D73320" w14:paraId="7B90F63F" w14:textId="77777777" w:rsidTr="007A4837">
        <w:trPr>
          <w:gridAfter w:val="1"/>
          <w:wAfter w:w="1938" w:type="dxa"/>
          <w:trHeight w:val="567"/>
        </w:trPr>
        <w:tc>
          <w:tcPr>
            <w:tcW w:w="5670" w:type="dxa"/>
            <w:gridSpan w:val="3"/>
            <w:tcBorders>
              <w:bottom w:val="single" w:sz="4" w:space="0" w:color="auto"/>
            </w:tcBorders>
          </w:tcPr>
          <w:p w14:paraId="5D71D19F"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Calcium-channel blocker</w:t>
            </w:r>
          </w:p>
        </w:tc>
        <w:tc>
          <w:tcPr>
            <w:tcW w:w="1800" w:type="dxa"/>
            <w:gridSpan w:val="3"/>
            <w:tcBorders>
              <w:bottom w:val="single" w:sz="4" w:space="0" w:color="auto"/>
            </w:tcBorders>
          </w:tcPr>
          <w:p w14:paraId="7283BA4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 (13)</w:t>
            </w:r>
          </w:p>
        </w:tc>
        <w:tc>
          <w:tcPr>
            <w:tcW w:w="1710" w:type="dxa"/>
            <w:tcBorders>
              <w:bottom w:val="single" w:sz="4" w:space="0" w:color="auto"/>
            </w:tcBorders>
          </w:tcPr>
          <w:p w14:paraId="428EC0E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 (14)</w:t>
            </w:r>
          </w:p>
        </w:tc>
        <w:tc>
          <w:tcPr>
            <w:tcW w:w="1512" w:type="dxa"/>
            <w:gridSpan w:val="2"/>
            <w:tcBorders>
              <w:bottom w:val="single" w:sz="4" w:space="0" w:color="auto"/>
            </w:tcBorders>
          </w:tcPr>
          <w:p w14:paraId="798B999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1.00</w:t>
            </w:r>
          </w:p>
        </w:tc>
      </w:tr>
      <w:tr w:rsidR="007A4837" w:rsidRPr="00D73320" w14:paraId="59AC0B47" w14:textId="77777777" w:rsidTr="007A4837">
        <w:trPr>
          <w:gridAfter w:val="1"/>
          <w:wAfter w:w="1938" w:type="dxa"/>
          <w:trHeight w:val="1367"/>
        </w:trPr>
        <w:tc>
          <w:tcPr>
            <w:tcW w:w="10692" w:type="dxa"/>
            <w:gridSpan w:val="9"/>
            <w:tcBorders>
              <w:top w:val="single" w:sz="4" w:space="0" w:color="auto"/>
            </w:tcBorders>
          </w:tcPr>
          <w:p w14:paraId="0343C367" w14:textId="77777777" w:rsidR="007A4837" w:rsidRPr="00D73320" w:rsidRDefault="007A4837" w:rsidP="007A4837">
            <w:pPr>
              <w:widowControl w:val="0"/>
              <w:autoSpaceDE w:val="0"/>
              <w:autoSpaceDN w:val="0"/>
              <w:adjustRightInd w:val="0"/>
              <w:spacing w:after="240" w:line="276" w:lineRule="auto"/>
              <w:rPr>
                <w:rFonts w:ascii="Times New Roman" w:hAnsi="Times New Roman" w:cs="Times New Roman"/>
                <w:sz w:val="20"/>
                <w:szCs w:val="20"/>
              </w:rPr>
            </w:pPr>
            <w:r w:rsidRPr="00D73320">
              <w:rPr>
                <w:rFonts w:ascii="Times New Roman" w:hAnsi="Times New Roman" w:cs="Times New Roman"/>
                <w:sz w:val="20"/>
                <w:szCs w:val="20"/>
              </w:rPr>
              <w:t xml:space="preserve">Values are mean ± SD or n (%), unless otherwise indicated. *Values given for those available. LVEF = left ventricular ejection fraction; LVIDD = left ventricular internal dimension diameter; LVEDV= left ventricular end diastolic volume; LVESV= left ventricular end systolic volume; SV=stroke volume; CO= cardiac output; CV = cardiovascular; ECG = electrocardiogram; ICI = immune checkpoint inhibitors; ACE = Angiotensin Converting Enzyme; ARB = Angiotensin Receptor Blockers </w:t>
            </w:r>
          </w:p>
        </w:tc>
      </w:tr>
    </w:tbl>
    <w:p w14:paraId="776E86F5" w14:textId="23DF99C7" w:rsidR="00151ECF" w:rsidRDefault="00151ECF" w:rsidP="007A4837">
      <w:pPr>
        <w:tabs>
          <w:tab w:val="left" w:pos="3360"/>
        </w:tabs>
        <w:spacing w:line="276" w:lineRule="auto"/>
        <w:rPr>
          <w:rFonts w:ascii="Times New Roman" w:hAnsi="Times New Roman" w:cs="Times New Roman"/>
        </w:rPr>
      </w:pPr>
    </w:p>
    <w:p w14:paraId="541B1CB7" w14:textId="77777777" w:rsidR="00151ECF" w:rsidRDefault="00151ECF">
      <w:pPr>
        <w:rPr>
          <w:rFonts w:ascii="Times New Roman" w:hAnsi="Times New Roman" w:cs="Times New Roman"/>
        </w:rPr>
      </w:pPr>
      <w:r>
        <w:rPr>
          <w:rFonts w:ascii="Times New Roman" w:hAnsi="Times New Roman" w:cs="Times New Roman"/>
        </w:rPr>
        <w:br w:type="page"/>
      </w:r>
    </w:p>
    <w:tbl>
      <w:tblPr>
        <w:tblStyle w:val="TableGrid"/>
        <w:tblW w:w="12630" w:type="dxa"/>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354"/>
        <w:gridCol w:w="540"/>
        <w:gridCol w:w="1627"/>
        <w:gridCol w:w="533"/>
        <w:gridCol w:w="90"/>
        <w:gridCol w:w="1980"/>
        <w:gridCol w:w="90"/>
        <w:gridCol w:w="1242"/>
        <w:gridCol w:w="1938"/>
      </w:tblGrid>
      <w:tr w:rsidR="007A4837" w:rsidRPr="00D73320" w14:paraId="78DAC150" w14:textId="77777777" w:rsidTr="007A4837">
        <w:trPr>
          <w:gridAfter w:val="1"/>
          <w:wAfter w:w="1938" w:type="dxa"/>
          <w:trHeight w:val="765"/>
        </w:trPr>
        <w:tc>
          <w:tcPr>
            <w:tcW w:w="4590" w:type="dxa"/>
            <w:gridSpan w:val="2"/>
            <w:tcBorders>
              <w:top w:val="single" w:sz="18" w:space="0" w:color="auto"/>
              <w:bottom w:val="single" w:sz="18" w:space="0" w:color="auto"/>
            </w:tcBorders>
          </w:tcPr>
          <w:p w14:paraId="663C65BB" w14:textId="77777777" w:rsidR="007A4837" w:rsidRPr="00D73320" w:rsidRDefault="007A4837" w:rsidP="007A4837">
            <w:pPr>
              <w:spacing w:line="276" w:lineRule="auto"/>
              <w:rPr>
                <w:rFonts w:ascii="Times New Roman" w:hAnsi="Times New Roman" w:cs="Times New Roman"/>
                <w:b/>
              </w:rPr>
            </w:pPr>
            <w:bookmarkStart w:id="12" w:name="_Hlk525131489"/>
            <w:r w:rsidRPr="00D73320">
              <w:rPr>
                <w:rFonts w:ascii="Times New Roman" w:hAnsi="Times New Roman" w:cs="Times New Roman"/>
                <w:b/>
              </w:rPr>
              <w:t>Table 2B: TTE variables among cases during ICI-myocarditis and controls during ICI therapy</w:t>
            </w:r>
          </w:p>
        </w:tc>
        <w:tc>
          <w:tcPr>
            <w:tcW w:w="2700" w:type="dxa"/>
            <w:gridSpan w:val="3"/>
            <w:tcBorders>
              <w:top w:val="single" w:sz="18" w:space="0" w:color="auto"/>
              <w:bottom w:val="single" w:sz="18" w:space="0" w:color="auto"/>
            </w:tcBorders>
          </w:tcPr>
          <w:p w14:paraId="3617932C"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 xml:space="preserve">           Cases</w:t>
            </w:r>
          </w:p>
          <w:p w14:paraId="4175C977"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 xml:space="preserve">            (n=101)</w:t>
            </w:r>
          </w:p>
        </w:tc>
        <w:tc>
          <w:tcPr>
            <w:tcW w:w="2070" w:type="dxa"/>
            <w:gridSpan w:val="2"/>
            <w:tcBorders>
              <w:top w:val="single" w:sz="18" w:space="0" w:color="auto"/>
              <w:bottom w:val="single" w:sz="18" w:space="0" w:color="auto"/>
            </w:tcBorders>
          </w:tcPr>
          <w:p w14:paraId="5EBEA2D6"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 xml:space="preserve">  Controls</w:t>
            </w:r>
          </w:p>
          <w:p w14:paraId="5279C5F4" w14:textId="77777777" w:rsidR="007A4837" w:rsidRPr="00D73320" w:rsidRDefault="007A4837" w:rsidP="007A4837">
            <w:pPr>
              <w:spacing w:line="276" w:lineRule="auto"/>
              <w:jc w:val="center"/>
              <w:rPr>
                <w:rFonts w:ascii="Times New Roman" w:hAnsi="Times New Roman" w:cs="Times New Roman"/>
                <w:b/>
              </w:rPr>
            </w:pPr>
            <w:r w:rsidRPr="00D73320">
              <w:rPr>
                <w:rFonts w:ascii="Times New Roman" w:hAnsi="Times New Roman" w:cs="Times New Roman"/>
                <w:b/>
              </w:rPr>
              <w:t xml:space="preserve">  (n=50)</w:t>
            </w:r>
          </w:p>
        </w:tc>
        <w:tc>
          <w:tcPr>
            <w:tcW w:w="1332" w:type="dxa"/>
            <w:gridSpan w:val="2"/>
            <w:tcBorders>
              <w:top w:val="single" w:sz="18" w:space="0" w:color="auto"/>
              <w:bottom w:val="single" w:sz="18" w:space="0" w:color="auto"/>
            </w:tcBorders>
          </w:tcPr>
          <w:p w14:paraId="24AC1628" w14:textId="77777777" w:rsidR="007A4837" w:rsidRPr="00D73320" w:rsidRDefault="007A4837" w:rsidP="007A4837">
            <w:pPr>
              <w:spacing w:line="276" w:lineRule="auto"/>
              <w:jc w:val="center"/>
              <w:rPr>
                <w:rFonts w:ascii="Times New Roman" w:hAnsi="Times New Roman" w:cs="Times New Roman"/>
                <w:b/>
                <w:i/>
              </w:rPr>
            </w:pPr>
            <w:r w:rsidRPr="00D73320">
              <w:rPr>
                <w:rFonts w:ascii="Times New Roman" w:hAnsi="Times New Roman" w:cs="Times New Roman"/>
                <w:b/>
                <w:i/>
              </w:rPr>
              <w:t>P Value</w:t>
            </w:r>
          </w:p>
        </w:tc>
      </w:tr>
      <w:tr w:rsidR="007A4837" w:rsidRPr="00D73320" w14:paraId="42477856" w14:textId="77777777" w:rsidTr="007A4837">
        <w:trPr>
          <w:trHeight w:val="99"/>
        </w:trPr>
        <w:tc>
          <w:tcPr>
            <w:tcW w:w="236" w:type="dxa"/>
            <w:tcBorders>
              <w:top w:val="single" w:sz="8" w:space="0" w:color="auto"/>
            </w:tcBorders>
          </w:tcPr>
          <w:p w14:paraId="7B371085" w14:textId="77777777" w:rsidR="007A4837" w:rsidRPr="00D73320" w:rsidRDefault="007A4837" w:rsidP="007A4837">
            <w:pPr>
              <w:spacing w:line="276" w:lineRule="auto"/>
              <w:rPr>
                <w:rFonts w:ascii="Times New Roman" w:hAnsi="Times New Roman" w:cs="Times New Roman"/>
              </w:rPr>
            </w:pPr>
          </w:p>
        </w:tc>
        <w:tc>
          <w:tcPr>
            <w:tcW w:w="6521" w:type="dxa"/>
            <w:gridSpan w:val="3"/>
            <w:tcBorders>
              <w:top w:val="single" w:sz="8" w:space="0" w:color="auto"/>
            </w:tcBorders>
          </w:tcPr>
          <w:p w14:paraId="0A81C544" w14:textId="77777777" w:rsidR="007A4837" w:rsidRPr="00D73320" w:rsidRDefault="007A4837" w:rsidP="007A4837">
            <w:pPr>
              <w:spacing w:line="276" w:lineRule="auto"/>
              <w:rPr>
                <w:rFonts w:ascii="Times New Roman" w:hAnsi="Times New Roman" w:cs="Times New Roman"/>
              </w:rPr>
            </w:pPr>
          </w:p>
        </w:tc>
        <w:tc>
          <w:tcPr>
            <w:tcW w:w="2693" w:type="dxa"/>
            <w:gridSpan w:val="4"/>
            <w:tcBorders>
              <w:top w:val="single" w:sz="8" w:space="0" w:color="auto"/>
            </w:tcBorders>
          </w:tcPr>
          <w:p w14:paraId="2F797A6D" w14:textId="77777777" w:rsidR="007A4837" w:rsidRPr="00D73320" w:rsidRDefault="007A4837" w:rsidP="007A4837">
            <w:pPr>
              <w:spacing w:line="276" w:lineRule="auto"/>
              <w:rPr>
                <w:rFonts w:ascii="Times New Roman" w:hAnsi="Times New Roman" w:cs="Times New Roman"/>
              </w:rPr>
            </w:pPr>
          </w:p>
        </w:tc>
        <w:tc>
          <w:tcPr>
            <w:tcW w:w="3180" w:type="dxa"/>
            <w:gridSpan w:val="2"/>
          </w:tcPr>
          <w:p w14:paraId="625A6E54" w14:textId="77777777" w:rsidR="007A4837" w:rsidRPr="00D73320" w:rsidRDefault="007A4837" w:rsidP="007A4837">
            <w:pPr>
              <w:spacing w:line="276" w:lineRule="auto"/>
              <w:rPr>
                <w:rFonts w:ascii="Times New Roman" w:hAnsi="Times New Roman" w:cs="Times New Roman"/>
              </w:rPr>
            </w:pPr>
          </w:p>
        </w:tc>
      </w:tr>
      <w:tr w:rsidR="007A4837" w:rsidRPr="00D73320" w14:paraId="355944CC" w14:textId="77777777" w:rsidTr="007A4837">
        <w:trPr>
          <w:gridAfter w:val="1"/>
          <w:wAfter w:w="1938" w:type="dxa"/>
          <w:trHeight w:val="334"/>
        </w:trPr>
        <w:tc>
          <w:tcPr>
            <w:tcW w:w="5130" w:type="dxa"/>
            <w:gridSpan w:val="3"/>
          </w:tcPr>
          <w:p w14:paraId="4AE063B1"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LVEF, %</w:t>
            </w:r>
          </w:p>
        </w:tc>
        <w:tc>
          <w:tcPr>
            <w:tcW w:w="2250" w:type="dxa"/>
            <w:gridSpan w:val="3"/>
          </w:tcPr>
          <w:p w14:paraId="1D5D5F1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61±6</w:t>
            </w:r>
          </w:p>
        </w:tc>
        <w:tc>
          <w:tcPr>
            <w:tcW w:w="1980" w:type="dxa"/>
          </w:tcPr>
          <w:p w14:paraId="2215840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64±8</w:t>
            </w:r>
          </w:p>
        </w:tc>
        <w:tc>
          <w:tcPr>
            <w:tcW w:w="1332" w:type="dxa"/>
            <w:gridSpan w:val="2"/>
          </w:tcPr>
          <w:p w14:paraId="2E77648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0.02</w:t>
            </w:r>
          </w:p>
        </w:tc>
      </w:tr>
      <w:tr w:rsidR="007A4837" w:rsidRPr="00D73320" w14:paraId="6542F881" w14:textId="77777777" w:rsidTr="007A4837">
        <w:trPr>
          <w:gridAfter w:val="1"/>
          <w:wAfter w:w="1938" w:type="dxa"/>
          <w:trHeight w:val="334"/>
        </w:trPr>
        <w:tc>
          <w:tcPr>
            <w:tcW w:w="5130" w:type="dxa"/>
            <w:gridSpan w:val="3"/>
          </w:tcPr>
          <w:p w14:paraId="3CB11C34"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Preserved LVEF (≥50%)</w:t>
            </w:r>
          </w:p>
        </w:tc>
        <w:tc>
          <w:tcPr>
            <w:tcW w:w="2250" w:type="dxa"/>
            <w:gridSpan w:val="3"/>
          </w:tcPr>
          <w:p w14:paraId="7193C56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61 (60)</w:t>
            </w:r>
          </w:p>
        </w:tc>
        <w:tc>
          <w:tcPr>
            <w:tcW w:w="1980" w:type="dxa"/>
          </w:tcPr>
          <w:p w14:paraId="4D095B22"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48 (96)</w:t>
            </w:r>
          </w:p>
        </w:tc>
        <w:tc>
          <w:tcPr>
            <w:tcW w:w="1332" w:type="dxa"/>
            <w:gridSpan w:val="2"/>
          </w:tcPr>
          <w:p w14:paraId="7AFA0948"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&lt;0.001</w:t>
            </w:r>
          </w:p>
        </w:tc>
      </w:tr>
      <w:tr w:rsidR="007A4837" w:rsidRPr="00D73320" w14:paraId="73ACB572" w14:textId="77777777" w:rsidTr="007A4837">
        <w:trPr>
          <w:gridAfter w:val="1"/>
          <w:wAfter w:w="1938" w:type="dxa"/>
          <w:trHeight w:val="334"/>
        </w:trPr>
        <w:tc>
          <w:tcPr>
            <w:tcW w:w="5130" w:type="dxa"/>
            <w:gridSpan w:val="3"/>
          </w:tcPr>
          <w:p w14:paraId="554455B0"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LVIDd, mm</w:t>
            </w:r>
          </w:p>
        </w:tc>
        <w:tc>
          <w:tcPr>
            <w:tcW w:w="2250" w:type="dxa"/>
            <w:gridSpan w:val="3"/>
          </w:tcPr>
          <w:p w14:paraId="39981F3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48±6</w:t>
            </w:r>
          </w:p>
        </w:tc>
        <w:tc>
          <w:tcPr>
            <w:tcW w:w="1980" w:type="dxa"/>
          </w:tcPr>
          <w:p w14:paraId="1BF1AE56"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45±5</w:t>
            </w:r>
          </w:p>
        </w:tc>
        <w:tc>
          <w:tcPr>
            <w:tcW w:w="1332" w:type="dxa"/>
            <w:gridSpan w:val="2"/>
          </w:tcPr>
          <w:p w14:paraId="21B9E5A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0.002</w:t>
            </w:r>
          </w:p>
        </w:tc>
      </w:tr>
      <w:tr w:rsidR="007A4837" w:rsidRPr="00D73320" w14:paraId="097C1A0F" w14:textId="77777777" w:rsidTr="007A4837">
        <w:trPr>
          <w:gridAfter w:val="1"/>
          <w:wAfter w:w="1938" w:type="dxa"/>
          <w:trHeight w:val="334"/>
        </w:trPr>
        <w:tc>
          <w:tcPr>
            <w:tcW w:w="5130" w:type="dxa"/>
            <w:gridSpan w:val="3"/>
          </w:tcPr>
          <w:p w14:paraId="43B9DEEF"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LVIDs, mm</w:t>
            </w:r>
          </w:p>
        </w:tc>
        <w:tc>
          <w:tcPr>
            <w:tcW w:w="2250" w:type="dxa"/>
            <w:gridSpan w:val="3"/>
          </w:tcPr>
          <w:p w14:paraId="4CAA4EDD"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35±9</w:t>
            </w:r>
          </w:p>
        </w:tc>
        <w:tc>
          <w:tcPr>
            <w:tcW w:w="1980" w:type="dxa"/>
          </w:tcPr>
          <w:p w14:paraId="3CA05E8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30±5</w:t>
            </w:r>
          </w:p>
        </w:tc>
        <w:tc>
          <w:tcPr>
            <w:tcW w:w="1332" w:type="dxa"/>
            <w:gridSpan w:val="2"/>
          </w:tcPr>
          <w:p w14:paraId="6F5776F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0.002</w:t>
            </w:r>
          </w:p>
        </w:tc>
      </w:tr>
      <w:tr w:rsidR="007A4837" w:rsidRPr="00D73320" w14:paraId="0E2837FA" w14:textId="77777777" w:rsidTr="007A4837">
        <w:trPr>
          <w:gridAfter w:val="1"/>
          <w:wAfter w:w="1938" w:type="dxa"/>
          <w:trHeight w:val="334"/>
        </w:trPr>
        <w:tc>
          <w:tcPr>
            <w:tcW w:w="5130" w:type="dxa"/>
            <w:gridSpan w:val="3"/>
          </w:tcPr>
          <w:p w14:paraId="79005EA1"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LVEDV, mls</w:t>
            </w:r>
          </w:p>
        </w:tc>
        <w:tc>
          <w:tcPr>
            <w:tcW w:w="2250" w:type="dxa"/>
            <w:gridSpan w:val="3"/>
          </w:tcPr>
          <w:p w14:paraId="1E3B34A3"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112±43</w:t>
            </w:r>
          </w:p>
        </w:tc>
        <w:tc>
          <w:tcPr>
            <w:tcW w:w="1980" w:type="dxa"/>
          </w:tcPr>
          <w:p w14:paraId="605F054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115±34</w:t>
            </w:r>
          </w:p>
        </w:tc>
        <w:tc>
          <w:tcPr>
            <w:tcW w:w="1332" w:type="dxa"/>
            <w:gridSpan w:val="2"/>
          </w:tcPr>
          <w:p w14:paraId="385ACAF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0.67</w:t>
            </w:r>
          </w:p>
        </w:tc>
      </w:tr>
      <w:tr w:rsidR="007A4837" w:rsidRPr="00D73320" w14:paraId="1E2B9650" w14:textId="77777777" w:rsidTr="007A4837">
        <w:trPr>
          <w:gridAfter w:val="1"/>
          <w:wAfter w:w="1938" w:type="dxa"/>
          <w:trHeight w:val="334"/>
        </w:trPr>
        <w:tc>
          <w:tcPr>
            <w:tcW w:w="5130" w:type="dxa"/>
            <w:gridSpan w:val="3"/>
          </w:tcPr>
          <w:p w14:paraId="37F81CAE"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LVESV, mls</w:t>
            </w:r>
          </w:p>
        </w:tc>
        <w:tc>
          <w:tcPr>
            <w:tcW w:w="2250" w:type="dxa"/>
            <w:gridSpan w:val="3"/>
          </w:tcPr>
          <w:p w14:paraId="4471152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65±36</w:t>
            </w:r>
          </w:p>
        </w:tc>
        <w:tc>
          <w:tcPr>
            <w:tcW w:w="1980" w:type="dxa"/>
          </w:tcPr>
          <w:p w14:paraId="4145601F"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55±21</w:t>
            </w:r>
          </w:p>
        </w:tc>
        <w:tc>
          <w:tcPr>
            <w:tcW w:w="1332" w:type="dxa"/>
            <w:gridSpan w:val="2"/>
          </w:tcPr>
          <w:p w14:paraId="1D854EC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0.07</w:t>
            </w:r>
          </w:p>
        </w:tc>
      </w:tr>
      <w:tr w:rsidR="007A4837" w:rsidRPr="00D73320" w14:paraId="3BF4D01D" w14:textId="77777777" w:rsidTr="007A4837">
        <w:trPr>
          <w:gridAfter w:val="1"/>
          <w:wAfter w:w="1938" w:type="dxa"/>
          <w:trHeight w:val="334"/>
        </w:trPr>
        <w:tc>
          <w:tcPr>
            <w:tcW w:w="5130" w:type="dxa"/>
            <w:gridSpan w:val="3"/>
          </w:tcPr>
          <w:p w14:paraId="09323E21" w14:textId="514ED263"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SV, mls</w:t>
            </w:r>
          </w:p>
        </w:tc>
        <w:tc>
          <w:tcPr>
            <w:tcW w:w="2250" w:type="dxa"/>
            <w:gridSpan w:val="3"/>
          </w:tcPr>
          <w:p w14:paraId="67861AE7"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46±19</w:t>
            </w:r>
          </w:p>
        </w:tc>
        <w:tc>
          <w:tcPr>
            <w:tcW w:w="1980" w:type="dxa"/>
          </w:tcPr>
          <w:p w14:paraId="1EC3027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61±19</w:t>
            </w:r>
          </w:p>
        </w:tc>
        <w:tc>
          <w:tcPr>
            <w:tcW w:w="1332" w:type="dxa"/>
            <w:gridSpan w:val="2"/>
          </w:tcPr>
          <w:p w14:paraId="3A431E7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&lt;0.001</w:t>
            </w:r>
          </w:p>
        </w:tc>
      </w:tr>
      <w:tr w:rsidR="007A4837" w:rsidRPr="00D73320" w14:paraId="3B452105" w14:textId="77777777" w:rsidTr="007A4837">
        <w:trPr>
          <w:gridAfter w:val="1"/>
          <w:wAfter w:w="1938" w:type="dxa"/>
          <w:trHeight w:val="334"/>
        </w:trPr>
        <w:tc>
          <w:tcPr>
            <w:tcW w:w="5130" w:type="dxa"/>
            <w:gridSpan w:val="3"/>
          </w:tcPr>
          <w:p w14:paraId="39E0BF4E" w14:textId="5FFA7AE0"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CO, </w:t>
            </w:r>
            <w:r w:rsidR="00D03BA1">
              <w:rPr>
                <w:rFonts w:ascii="Times New Roman" w:hAnsi="Times New Roman" w:cs="Times New Roman"/>
              </w:rPr>
              <w:t>L/min</w:t>
            </w:r>
          </w:p>
        </w:tc>
        <w:tc>
          <w:tcPr>
            <w:tcW w:w="2250" w:type="dxa"/>
            <w:gridSpan w:val="3"/>
          </w:tcPr>
          <w:p w14:paraId="7E17D3D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3.9±1.8</w:t>
            </w:r>
          </w:p>
        </w:tc>
        <w:tc>
          <w:tcPr>
            <w:tcW w:w="1980" w:type="dxa"/>
          </w:tcPr>
          <w:p w14:paraId="732714BB"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5.2±2.7</w:t>
            </w:r>
          </w:p>
        </w:tc>
        <w:tc>
          <w:tcPr>
            <w:tcW w:w="1332" w:type="dxa"/>
            <w:gridSpan w:val="2"/>
          </w:tcPr>
          <w:p w14:paraId="3D532F2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0.01</w:t>
            </w:r>
          </w:p>
        </w:tc>
      </w:tr>
      <w:tr w:rsidR="007A4837" w:rsidRPr="00D73320" w14:paraId="7098C0F7" w14:textId="77777777" w:rsidTr="007A4837">
        <w:trPr>
          <w:gridAfter w:val="1"/>
          <w:wAfter w:w="1938" w:type="dxa"/>
          <w:trHeight w:val="357"/>
        </w:trPr>
        <w:tc>
          <w:tcPr>
            <w:tcW w:w="5130" w:type="dxa"/>
            <w:gridSpan w:val="3"/>
          </w:tcPr>
          <w:p w14:paraId="66109096"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GLS, %</w:t>
            </w:r>
          </w:p>
        </w:tc>
        <w:tc>
          <w:tcPr>
            <w:tcW w:w="2250" w:type="dxa"/>
            <w:gridSpan w:val="3"/>
          </w:tcPr>
          <w:p w14:paraId="2487A72E"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14.1±2.7</w:t>
            </w:r>
          </w:p>
        </w:tc>
        <w:tc>
          <w:tcPr>
            <w:tcW w:w="1980" w:type="dxa"/>
          </w:tcPr>
          <w:p w14:paraId="03255DA4"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20.5±1.9</w:t>
            </w:r>
          </w:p>
        </w:tc>
        <w:tc>
          <w:tcPr>
            <w:tcW w:w="1332" w:type="dxa"/>
            <w:gridSpan w:val="2"/>
          </w:tcPr>
          <w:p w14:paraId="4B860C7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&lt;0.001</w:t>
            </w:r>
          </w:p>
        </w:tc>
      </w:tr>
      <w:tr w:rsidR="007A4837" w:rsidRPr="00D73320" w14:paraId="573A387B" w14:textId="77777777" w:rsidTr="007A4837">
        <w:trPr>
          <w:gridAfter w:val="1"/>
          <w:wAfter w:w="1938" w:type="dxa"/>
          <w:trHeight w:val="357"/>
        </w:trPr>
        <w:tc>
          <w:tcPr>
            <w:tcW w:w="5130" w:type="dxa"/>
            <w:gridSpan w:val="3"/>
          </w:tcPr>
          <w:p w14:paraId="2F2FBA1E"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Change in GLS from pre-ICI, %</w:t>
            </w:r>
          </w:p>
        </w:tc>
        <w:tc>
          <w:tcPr>
            <w:tcW w:w="2250" w:type="dxa"/>
            <w:gridSpan w:val="3"/>
          </w:tcPr>
          <w:p w14:paraId="5503EA7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*7.2 [3.0, 8.9]</w:t>
            </w:r>
          </w:p>
        </w:tc>
        <w:tc>
          <w:tcPr>
            <w:tcW w:w="1980" w:type="dxa"/>
          </w:tcPr>
          <w:p w14:paraId="1245A6DA"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*0.1 [-2.5, 1.2]</w:t>
            </w:r>
          </w:p>
        </w:tc>
        <w:tc>
          <w:tcPr>
            <w:tcW w:w="1332" w:type="dxa"/>
            <w:gridSpan w:val="2"/>
          </w:tcPr>
          <w:p w14:paraId="151EBCB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&lt;0.001</w:t>
            </w:r>
          </w:p>
        </w:tc>
      </w:tr>
      <w:tr w:rsidR="007A4837" w:rsidRPr="00D73320" w14:paraId="2D5F19E1" w14:textId="77777777" w:rsidTr="007A4837">
        <w:trPr>
          <w:gridAfter w:val="1"/>
          <w:wAfter w:w="1938" w:type="dxa"/>
          <w:trHeight w:val="342"/>
        </w:trPr>
        <w:tc>
          <w:tcPr>
            <w:tcW w:w="5130" w:type="dxa"/>
            <w:gridSpan w:val="3"/>
          </w:tcPr>
          <w:p w14:paraId="6F95A085"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Percentage change in GLS from pre-ICI, %</w:t>
            </w:r>
          </w:p>
        </w:tc>
        <w:tc>
          <w:tcPr>
            <w:tcW w:w="2250" w:type="dxa"/>
            <w:gridSpan w:val="3"/>
          </w:tcPr>
          <w:p w14:paraId="5A3C065A"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*-34.3 [-42.5, -14.4]</w:t>
            </w:r>
          </w:p>
        </w:tc>
        <w:tc>
          <w:tcPr>
            <w:tcW w:w="1980" w:type="dxa"/>
          </w:tcPr>
          <w:p w14:paraId="4BCC843C"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*0.4 [4.4, 11.9]</w:t>
            </w:r>
          </w:p>
        </w:tc>
        <w:tc>
          <w:tcPr>
            <w:tcW w:w="1332" w:type="dxa"/>
            <w:gridSpan w:val="2"/>
          </w:tcPr>
          <w:p w14:paraId="7FF9CDF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&lt;0.001</w:t>
            </w:r>
          </w:p>
        </w:tc>
      </w:tr>
      <w:tr w:rsidR="007A4837" w:rsidRPr="00D73320" w14:paraId="3E7F7752" w14:textId="77777777" w:rsidTr="007A4837">
        <w:trPr>
          <w:gridAfter w:val="1"/>
          <w:wAfter w:w="1938" w:type="dxa"/>
          <w:trHeight w:val="540"/>
        </w:trPr>
        <w:tc>
          <w:tcPr>
            <w:tcW w:w="5130" w:type="dxa"/>
            <w:gridSpan w:val="3"/>
          </w:tcPr>
          <w:p w14:paraId="3470998A" w14:textId="77777777" w:rsidR="007A4837" w:rsidRPr="00D73320" w:rsidRDefault="007A4837" w:rsidP="007A4837">
            <w:pPr>
              <w:spacing w:line="276" w:lineRule="auto"/>
              <w:rPr>
                <w:rFonts w:ascii="Times New Roman" w:hAnsi="Times New Roman" w:cs="Times New Roman"/>
              </w:rPr>
            </w:pPr>
            <w:r w:rsidRPr="00D73320">
              <w:rPr>
                <w:rFonts w:ascii="Times New Roman" w:hAnsi="Times New Roman" w:cs="Times New Roman"/>
              </w:rPr>
              <w:t xml:space="preserve">      Change in GLS from pre-ICI &gt; 15%, n (%)</w:t>
            </w:r>
          </w:p>
        </w:tc>
        <w:tc>
          <w:tcPr>
            <w:tcW w:w="2250" w:type="dxa"/>
            <w:gridSpan w:val="3"/>
          </w:tcPr>
          <w:p w14:paraId="5EBF23F0"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*21 (71)</w:t>
            </w:r>
          </w:p>
        </w:tc>
        <w:tc>
          <w:tcPr>
            <w:tcW w:w="1980" w:type="dxa"/>
          </w:tcPr>
          <w:p w14:paraId="65D2A219"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*3 (21)</w:t>
            </w:r>
          </w:p>
        </w:tc>
        <w:tc>
          <w:tcPr>
            <w:tcW w:w="1332" w:type="dxa"/>
            <w:gridSpan w:val="2"/>
          </w:tcPr>
          <w:p w14:paraId="5CA19935" w14:textId="77777777" w:rsidR="007A4837" w:rsidRPr="00D73320" w:rsidRDefault="007A4837" w:rsidP="007A4837">
            <w:pPr>
              <w:spacing w:line="276" w:lineRule="auto"/>
              <w:jc w:val="center"/>
              <w:rPr>
                <w:rFonts w:ascii="Times New Roman" w:hAnsi="Times New Roman" w:cs="Times New Roman"/>
              </w:rPr>
            </w:pPr>
            <w:r w:rsidRPr="00D73320">
              <w:rPr>
                <w:rFonts w:ascii="Times New Roman" w:hAnsi="Times New Roman" w:cs="Times New Roman"/>
              </w:rPr>
              <w:t>0.004</w:t>
            </w:r>
          </w:p>
        </w:tc>
      </w:tr>
      <w:tr w:rsidR="007A4837" w:rsidRPr="00D73320" w14:paraId="24F4F1D3" w14:textId="77777777" w:rsidTr="007A4837">
        <w:trPr>
          <w:gridAfter w:val="1"/>
          <w:wAfter w:w="1938" w:type="dxa"/>
          <w:trHeight w:val="962"/>
        </w:trPr>
        <w:tc>
          <w:tcPr>
            <w:tcW w:w="10692" w:type="dxa"/>
            <w:gridSpan w:val="9"/>
            <w:tcBorders>
              <w:top w:val="single" w:sz="4" w:space="0" w:color="auto"/>
            </w:tcBorders>
          </w:tcPr>
          <w:p w14:paraId="3B11624D" w14:textId="652C8125" w:rsidR="007A4837" w:rsidRPr="00D73320" w:rsidRDefault="007A4837" w:rsidP="006C07D4">
            <w:pPr>
              <w:widowControl w:val="0"/>
              <w:autoSpaceDE w:val="0"/>
              <w:autoSpaceDN w:val="0"/>
              <w:adjustRightInd w:val="0"/>
              <w:spacing w:after="240" w:line="276" w:lineRule="auto"/>
              <w:rPr>
                <w:rFonts w:ascii="Times New Roman" w:hAnsi="Times New Roman" w:cs="Times New Roman"/>
              </w:rPr>
            </w:pPr>
            <w:r w:rsidRPr="00D73320">
              <w:rPr>
                <w:rFonts w:ascii="Times New Roman" w:hAnsi="Times New Roman" w:cs="Times New Roman"/>
                <w:sz w:val="20"/>
                <w:szCs w:val="20"/>
              </w:rPr>
              <w:t>Values are mean ± SD or n (%), unless otherwise indicated. Thirty of the 101 cases, and fourteen of the 50 controls with a TTE during ICI, had a TTE prior to commencing ICI therapy. *Values given for those available. LVEF = left ventricular ejection fraction; LVIDd = left ventricular internal diameter in diastole; LVIDs= left ventricular internal dimension in systole; LVEDV= left ventricular end diastolic volume; LVESV= left ventricular end systolic volume; SV=stroke volume; CO= cardiac output; GLS= global longitudinal strain.</w:t>
            </w:r>
          </w:p>
        </w:tc>
      </w:tr>
      <w:bookmarkEnd w:id="12"/>
    </w:tbl>
    <w:p w14:paraId="3F048F8E" w14:textId="40B7D24C" w:rsidR="00151ECF" w:rsidRDefault="00151ECF" w:rsidP="006743A3">
      <w:pPr>
        <w:rPr>
          <w:rFonts w:ascii="Times New Roman" w:hAnsi="Times New Roman" w:cs="Times New Roman"/>
          <w:b/>
        </w:rPr>
      </w:pPr>
    </w:p>
    <w:p w14:paraId="670B88A5" w14:textId="17C6BC18" w:rsidR="004A35D9" w:rsidRDefault="004A35D9" w:rsidP="006743A3">
      <w:pPr>
        <w:rPr>
          <w:rFonts w:ascii="Times New Roman" w:hAnsi="Times New Roman" w:cs="Times New Roman"/>
          <w:b/>
        </w:rPr>
      </w:pPr>
    </w:p>
    <w:p w14:paraId="3E2A9E7D" w14:textId="040EFCFA" w:rsidR="004A35D9" w:rsidRDefault="004A35D9">
      <w:pPr>
        <w:rPr>
          <w:rFonts w:ascii="Times New Roman" w:hAnsi="Times New Roman" w:cs="Times New Roman"/>
          <w:b/>
        </w:rPr>
      </w:pPr>
      <w:r>
        <w:rPr>
          <w:rFonts w:ascii="Times New Roman" w:hAnsi="Times New Roman" w:cs="Times New Roman"/>
          <w:b/>
        </w:rPr>
        <w:br w:type="page"/>
      </w:r>
    </w:p>
    <w:tbl>
      <w:tblPr>
        <w:tblStyle w:val="TableGrid"/>
        <w:tblpPr w:leftFromText="180" w:rightFromText="180" w:vertAnchor="page" w:horzAnchor="page" w:tblpXSpec="center" w:tblpY="10351"/>
        <w:tblW w:w="10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2009"/>
        <w:gridCol w:w="1854"/>
        <w:gridCol w:w="1855"/>
        <w:gridCol w:w="1358"/>
      </w:tblGrid>
      <w:tr w:rsidR="004A35D9" w:rsidRPr="00D73320" w14:paraId="548AE36A" w14:textId="77777777" w:rsidTr="004A35D9">
        <w:trPr>
          <w:trHeight w:val="495"/>
        </w:trPr>
        <w:tc>
          <w:tcPr>
            <w:tcW w:w="3595" w:type="dxa"/>
            <w:tcBorders>
              <w:top w:val="single" w:sz="18" w:space="0" w:color="auto"/>
              <w:bottom w:val="single" w:sz="18" w:space="0" w:color="auto"/>
            </w:tcBorders>
          </w:tcPr>
          <w:p w14:paraId="3229959C" w14:textId="77777777" w:rsidR="004A35D9" w:rsidRPr="00D73320" w:rsidRDefault="004A35D9" w:rsidP="009C0DEC">
            <w:pPr>
              <w:spacing w:line="276" w:lineRule="auto"/>
              <w:rPr>
                <w:rFonts w:ascii="Times New Roman" w:hAnsi="Times New Roman" w:cs="Times New Roman"/>
                <w:b/>
              </w:rPr>
            </w:pPr>
            <w:bookmarkStart w:id="13" w:name="_Hlk8744463"/>
            <w:r w:rsidRPr="00D73320">
              <w:rPr>
                <w:rFonts w:ascii="Times New Roman" w:hAnsi="Times New Roman" w:cs="Times New Roman"/>
                <w:b/>
              </w:rPr>
              <w:t>Table 3: Multivariable Model</w:t>
            </w:r>
          </w:p>
        </w:tc>
        <w:tc>
          <w:tcPr>
            <w:tcW w:w="2009" w:type="dxa"/>
            <w:tcBorders>
              <w:top w:val="single" w:sz="18" w:space="0" w:color="auto"/>
              <w:bottom w:val="single" w:sz="18" w:space="0" w:color="auto"/>
            </w:tcBorders>
          </w:tcPr>
          <w:p w14:paraId="005D5885" w14:textId="77777777" w:rsidR="004A35D9" w:rsidRPr="00D73320" w:rsidRDefault="004A35D9" w:rsidP="009C0DEC">
            <w:pPr>
              <w:spacing w:line="276" w:lineRule="auto"/>
              <w:jc w:val="center"/>
              <w:rPr>
                <w:rFonts w:ascii="Times New Roman" w:hAnsi="Times New Roman" w:cs="Times New Roman"/>
                <w:b/>
              </w:rPr>
            </w:pPr>
            <w:r w:rsidRPr="00D73320">
              <w:rPr>
                <w:rFonts w:ascii="Times New Roman" w:hAnsi="Times New Roman" w:cs="Times New Roman"/>
                <w:b/>
              </w:rPr>
              <w:t>Hazard Ratio</w:t>
            </w:r>
          </w:p>
        </w:tc>
        <w:tc>
          <w:tcPr>
            <w:tcW w:w="3709" w:type="dxa"/>
            <w:gridSpan w:val="2"/>
            <w:tcBorders>
              <w:top w:val="single" w:sz="18" w:space="0" w:color="auto"/>
              <w:bottom w:val="single" w:sz="18" w:space="0" w:color="auto"/>
            </w:tcBorders>
          </w:tcPr>
          <w:p w14:paraId="18198770" w14:textId="77777777" w:rsidR="004A35D9" w:rsidRPr="00D73320" w:rsidRDefault="004A35D9" w:rsidP="009C0DEC">
            <w:pPr>
              <w:spacing w:line="276" w:lineRule="auto"/>
              <w:jc w:val="center"/>
              <w:rPr>
                <w:rFonts w:ascii="Times New Roman" w:hAnsi="Times New Roman" w:cs="Times New Roman"/>
                <w:b/>
              </w:rPr>
            </w:pPr>
            <w:r w:rsidRPr="00D73320">
              <w:rPr>
                <w:rFonts w:ascii="Times New Roman" w:hAnsi="Times New Roman" w:cs="Times New Roman"/>
                <w:b/>
              </w:rPr>
              <w:t>95% CI</w:t>
            </w:r>
          </w:p>
        </w:tc>
        <w:tc>
          <w:tcPr>
            <w:tcW w:w="1358" w:type="dxa"/>
            <w:tcBorders>
              <w:top w:val="single" w:sz="18" w:space="0" w:color="auto"/>
              <w:bottom w:val="single" w:sz="18" w:space="0" w:color="auto"/>
            </w:tcBorders>
          </w:tcPr>
          <w:p w14:paraId="266D921B" w14:textId="77777777" w:rsidR="004A35D9" w:rsidRPr="00D73320" w:rsidRDefault="004A35D9" w:rsidP="009C0DEC">
            <w:pPr>
              <w:spacing w:line="276" w:lineRule="auto"/>
              <w:jc w:val="center"/>
              <w:rPr>
                <w:rFonts w:ascii="Times New Roman" w:hAnsi="Times New Roman" w:cs="Times New Roman"/>
                <w:b/>
                <w:i/>
              </w:rPr>
            </w:pPr>
            <w:r w:rsidRPr="00D73320">
              <w:rPr>
                <w:rFonts w:ascii="Times New Roman" w:hAnsi="Times New Roman" w:cs="Times New Roman"/>
                <w:b/>
                <w:i/>
              </w:rPr>
              <w:t>P Value</w:t>
            </w:r>
          </w:p>
        </w:tc>
      </w:tr>
      <w:tr w:rsidR="004A35D9" w:rsidRPr="00D73320" w14:paraId="75361F77" w14:textId="77777777" w:rsidTr="004A35D9">
        <w:trPr>
          <w:trHeight w:val="412"/>
        </w:trPr>
        <w:tc>
          <w:tcPr>
            <w:tcW w:w="3595" w:type="dxa"/>
            <w:tcBorders>
              <w:top w:val="single" w:sz="18" w:space="0" w:color="auto"/>
            </w:tcBorders>
          </w:tcPr>
          <w:p w14:paraId="6F43421B" w14:textId="77777777" w:rsidR="004A35D9" w:rsidRPr="00D73320" w:rsidRDefault="004A35D9" w:rsidP="009C0DEC">
            <w:pPr>
              <w:spacing w:line="276" w:lineRule="auto"/>
              <w:rPr>
                <w:rFonts w:ascii="Times New Roman" w:hAnsi="Times New Roman" w:cs="Times New Roman"/>
                <w:i/>
                <w:u w:val="single"/>
              </w:rPr>
            </w:pPr>
            <w:r w:rsidRPr="00D73320">
              <w:rPr>
                <w:rFonts w:ascii="Times New Roman" w:hAnsi="Times New Roman" w:cs="Times New Roman"/>
                <w:i/>
                <w:u w:val="single"/>
              </w:rPr>
              <w:t>Global Longitudinal Strain:</w:t>
            </w:r>
          </w:p>
        </w:tc>
        <w:tc>
          <w:tcPr>
            <w:tcW w:w="2009" w:type="dxa"/>
            <w:tcBorders>
              <w:top w:val="single" w:sz="18" w:space="0" w:color="auto"/>
            </w:tcBorders>
          </w:tcPr>
          <w:p w14:paraId="024BF588" w14:textId="77777777" w:rsidR="004A35D9" w:rsidRPr="00D73320" w:rsidRDefault="004A35D9" w:rsidP="009C0DEC">
            <w:pPr>
              <w:spacing w:line="276" w:lineRule="auto"/>
              <w:rPr>
                <w:rFonts w:ascii="Times New Roman" w:hAnsi="Times New Roman" w:cs="Times New Roman"/>
              </w:rPr>
            </w:pPr>
          </w:p>
        </w:tc>
        <w:tc>
          <w:tcPr>
            <w:tcW w:w="1854" w:type="dxa"/>
            <w:tcBorders>
              <w:top w:val="single" w:sz="18" w:space="0" w:color="auto"/>
            </w:tcBorders>
          </w:tcPr>
          <w:p w14:paraId="37170F4A" w14:textId="77777777" w:rsidR="004A35D9" w:rsidRPr="00D73320" w:rsidRDefault="004A35D9" w:rsidP="009C0DEC">
            <w:pPr>
              <w:spacing w:line="276" w:lineRule="auto"/>
              <w:rPr>
                <w:rFonts w:ascii="Times New Roman" w:hAnsi="Times New Roman" w:cs="Times New Roman"/>
              </w:rPr>
            </w:pPr>
          </w:p>
        </w:tc>
        <w:tc>
          <w:tcPr>
            <w:tcW w:w="1855" w:type="dxa"/>
            <w:tcBorders>
              <w:top w:val="single" w:sz="18" w:space="0" w:color="auto"/>
            </w:tcBorders>
          </w:tcPr>
          <w:p w14:paraId="0AB25C29" w14:textId="77777777" w:rsidR="004A35D9" w:rsidRPr="00D73320" w:rsidRDefault="004A35D9" w:rsidP="009C0DEC">
            <w:pPr>
              <w:spacing w:line="276" w:lineRule="auto"/>
              <w:rPr>
                <w:rFonts w:ascii="Times New Roman" w:hAnsi="Times New Roman" w:cs="Times New Roman"/>
              </w:rPr>
            </w:pPr>
          </w:p>
        </w:tc>
        <w:tc>
          <w:tcPr>
            <w:tcW w:w="1358" w:type="dxa"/>
            <w:tcBorders>
              <w:top w:val="single" w:sz="18" w:space="0" w:color="auto"/>
            </w:tcBorders>
          </w:tcPr>
          <w:p w14:paraId="778645F1" w14:textId="77777777" w:rsidR="004A35D9" w:rsidRPr="00D73320" w:rsidRDefault="004A35D9" w:rsidP="009C0DEC">
            <w:pPr>
              <w:spacing w:line="276" w:lineRule="auto"/>
              <w:rPr>
                <w:rFonts w:ascii="Times New Roman" w:hAnsi="Times New Roman" w:cs="Times New Roman"/>
              </w:rPr>
            </w:pPr>
          </w:p>
        </w:tc>
      </w:tr>
      <w:tr w:rsidR="004A35D9" w:rsidRPr="00D73320" w14:paraId="74DD63DB" w14:textId="77777777" w:rsidTr="004A35D9">
        <w:trPr>
          <w:trHeight w:val="391"/>
        </w:trPr>
        <w:tc>
          <w:tcPr>
            <w:tcW w:w="3595" w:type="dxa"/>
          </w:tcPr>
          <w:p w14:paraId="38620E3E" w14:textId="77777777" w:rsidR="004A35D9" w:rsidRPr="00D73320" w:rsidRDefault="004A35D9" w:rsidP="009C0DEC">
            <w:pPr>
              <w:spacing w:line="276" w:lineRule="auto"/>
              <w:rPr>
                <w:rFonts w:ascii="Times New Roman" w:hAnsi="Times New Roman" w:cs="Times New Roman"/>
              </w:rPr>
            </w:pPr>
            <w:r w:rsidRPr="00D73320">
              <w:rPr>
                <w:rFonts w:ascii="Times New Roman" w:hAnsi="Times New Roman" w:cs="Times New Roman"/>
              </w:rPr>
              <w:t>All Cases</w:t>
            </w:r>
          </w:p>
        </w:tc>
        <w:tc>
          <w:tcPr>
            <w:tcW w:w="2009" w:type="dxa"/>
          </w:tcPr>
          <w:p w14:paraId="24C93DA9"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1.93</w:t>
            </w:r>
          </w:p>
        </w:tc>
        <w:tc>
          <w:tcPr>
            <w:tcW w:w="1854" w:type="dxa"/>
          </w:tcPr>
          <w:p w14:paraId="574F4DC4"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1.56</w:t>
            </w:r>
          </w:p>
        </w:tc>
        <w:tc>
          <w:tcPr>
            <w:tcW w:w="1855" w:type="dxa"/>
          </w:tcPr>
          <w:p w14:paraId="18673C16"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2.39</w:t>
            </w:r>
          </w:p>
        </w:tc>
        <w:tc>
          <w:tcPr>
            <w:tcW w:w="1358" w:type="dxa"/>
          </w:tcPr>
          <w:p w14:paraId="4B78D057"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&lt;0.001</w:t>
            </w:r>
          </w:p>
        </w:tc>
      </w:tr>
      <w:tr w:rsidR="004A35D9" w:rsidRPr="00D73320" w14:paraId="65318D02" w14:textId="77777777" w:rsidTr="004A35D9">
        <w:trPr>
          <w:trHeight w:val="391"/>
        </w:trPr>
        <w:tc>
          <w:tcPr>
            <w:tcW w:w="3595" w:type="dxa"/>
          </w:tcPr>
          <w:p w14:paraId="6C4CC8FC" w14:textId="77777777" w:rsidR="004A35D9" w:rsidRPr="00D73320" w:rsidRDefault="004A35D9" w:rsidP="009C0DEC">
            <w:pPr>
              <w:spacing w:line="276" w:lineRule="auto"/>
              <w:rPr>
                <w:rFonts w:ascii="Times New Roman" w:hAnsi="Times New Roman" w:cs="Times New Roman"/>
              </w:rPr>
            </w:pPr>
            <w:r w:rsidRPr="00D73320">
              <w:rPr>
                <w:rFonts w:ascii="Times New Roman" w:hAnsi="Times New Roman" w:cs="Times New Roman"/>
              </w:rPr>
              <w:t>Cases with Reduced EF</w:t>
            </w:r>
          </w:p>
        </w:tc>
        <w:tc>
          <w:tcPr>
            <w:tcW w:w="2009" w:type="dxa"/>
          </w:tcPr>
          <w:p w14:paraId="58C75246"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1.49</w:t>
            </w:r>
          </w:p>
        </w:tc>
        <w:tc>
          <w:tcPr>
            <w:tcW w:w="1854" w:type="dxa"/>
          </w:tcPr>
          <w:p w14:paraId="71AC2277"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1.20</w:t>
            </w:r>
          </w:p>
        </w:tc>
        <w:tc>
          <w:tcPr>
            <w:tcW w:w="1855" w:type="dxa"/>
          </w:tcPr>
          <w:p w14:paraId="73B323AB"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1.84</w:t>
            </w:r>
          </w:p>
        </w:tc>
        <w:tc>
          <w:tcPr>
            <w:tcW w:w="1358" w:type="dxa"/>
          </w:tcPr>
          <w:p w14:paraId="3A6C3B73"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&lt;0.001</w:t>
            </w:r>
          </w:p>
        </w:tc>
      </w:tr>
      <w:tr w:rsidR="004A35D9" w:rsidRPr="00D73320" w14:paraId="70936CF9" w14:textId="77777777" w:rsidTr="004A35D9">
        <w:trPr>
          <w:trHeight w:val="567"/>
        </w:trPr>
        <w:tc>
          <w:tcPr>
            <w:tcW w:w="3595" w:type="dxa"/>
            <w:tcBorders>
              <w:bottom w:val="single" w:sz="4" w:space="0" w:color="auto"/>
            </w:tcBorders>
          </w:tcPr>
          <w:p w14:paraId="38FB6496" w14:textId="77777777" w:rsidR="004A35D9" w:rsidRPr="00D73320" w:rsidRDefault="004A35D9" w:rsidP="009C0DEC">
            <w:pPr>
              <w:spacing w:line="276" w:lineRule="auto"/>
              <w:rPr>
                <w:rFonts w:ascii="Times New Roman" w:hAnsi="Times New Roman" w:cs="Times New Roman"/>
              </w:rPr>
            </w:pPr>
            <w:r w:rsidRPr="00D73320">
              <w:rPr>
                <w:rFonts w:ascii="Times New Roman" w:hAnsi="Times New Roman" w:cs="Times New Roman"/>
              </w:rPr>
              <w:t>Cases with Preserved EF</w:t>
            </w:r>
          </w:p>
        </w:tc>
        <w:tc>
          <w:tcPr>
            <w:tcW w:w="2009" w:type="dxa"/>
            <w:tcBorders>
              <w:bottom w:val="single" w:sz="4" w:space="0" w:color="auto"/>
            </w:tcBorders>
          </w:tcPr>
          <w:p w14:paraId="1F4EA6AF"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4.36</w:t>
            </w:r>
          </w:p>
        </w:tc>
        <w:tc>
          <w:tcPr>
            <w:tcW w:w="1854" w:type="dxa"/>
            <w:tcBorders>
              <w:bottom w:val="single" w:sz="4" w:space="0" w:color="auto"/>
            </w:tcBorders>
          </w:tcPr>
          <w:p w14:paraId="275D5966"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2.44</w:t>
            </w:r>
          </w:p>
        </w:tc>
        <w:tc>
          <w:tcPr>
            <w:tcW w:w="1855" w:type="dxa"/>
            <w:tcBorders>
              <w:bottom w:val="single" w:sz="4" w:space="0" w:color="auto"/>
            </w:tcBorders>
          </w:tcPr>
          <w:p w14:paraId="433B5F05"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7.79</w:t>
            </w:r>
          </w:p>
        </w:tc>
        <w:tc>
          <w:tcPr>
            <w:tcW w:w="1358" w:type="dxa"/>
            <w:tcBorders>
              <w:bottom w:val="single" w:sz="4" w:space="0" w:color="auto"/>
            </w:tcBorders>
          </w:tcPr>
          <w:p w14:paraId="57B908CC" w14:textId="77777777" w:rsidR="004A35D9" w:rsidRPr="00D73320" w:rsidRDefault="004A35D9" w:rsidP="009C0DEC">
            <w:pPr>
              <w:spacing w:line="276" w:lineRule="auto"/>
              <w:jc w:val="center"/>
              <w:rPr>
                <w:rFonts w:ascii="Times New Roman" w:hAnsi="Times New Roman" w:cs="Times New Roman"/>
              </w:rPr>
            </w:pPr>
            <w:r w:rsidRPr="00D73320">
              <w:rPr>
                <w:rFonts w:ascii="Times New Roman" w:hAnsi="Times New Roman" w:cs="Times New Roman"/>
              </w:rPr>
              <w:t>&lt;0.001</w:t>
            </w:r>
          </w:p>
        </w:tc>
      </w:tr>
      <w:tr w:rsidR="004A35D9" w:rsidRPr="00D73320" w14:paraId="057D5B13" w14:textId="77777777" w:rsidTr="004A35D9">
        <w:trPr>
          <w:trHeight w:val="323"/>
        </w:trPr>
        <w:tc>
          <w:tcPr>
            <w:tcW w:w="10671" w:type="dxa"/>
            <w:gridSpan w:val="5"/>
            <w:tcBorders>
              <w:top w:val="single" w:sz="4" w:space="0" w:color="auto"/>
              <w:bottom w:val="single" w:sz="4" w:space="0" w:color="auto"/>
            </w:tcBorders>
          </w:tcPr>
          <w:p w14:paraId="62C877C1" w14:textId="77777777" w:rsidR="004A35D9" w:rsidRPr="00D73320" w:rsidRDefault="004A35D9" w:rsidP="009C0DEC">
            <w:pPr>
              <w:spacing w:line="276" w:lineRule="auto"/>
              <w:rPr>
                <w:rFonts w:ascii="Times New Roman" w:hAnsi="Times New Roman" w:cs="Times New Roman"/>
                <w:sz w:val="20"/>
                <w:szCs w:val="20"/>
              </w:rPr>
            </w:pPr>
            <w:r w:rsidRPr="00D73320">
              <w:rPr>
                <w:rFonts w:ascii="Times New Roman" w:hAnsi="Times New Roman" w:cs="Times New Roman"/>
                <w:sz w:val="20"/>
                <w:szCs w:val="20"/>
              </w:rPr>
              <w:t>Regression analysis, adjusting for LVEF. Complete multivariable model results are listed in supplementary table 1</w:t>
            </w:r>
            <w:r>
              <w:rPr>
                <w:rFonts w:ascii="Times New Roman" w:hAnsi="Times New Roman" w:cs="Times New Roman"/>
                <w:sz w:val="20"/>
                <w:szCs w:val="20"/>
              </w:rPr>
              <w:t>.</w:t>
            </w:r>
          </w:p>
          <w:p w14:paraId="3FA70526" w14:textId="77777777" w:rsidR="004A35D9" w:rsidRPr="00D73320" w:rsidRDefault="004A35D9" w:rsidP="009C0DEC">
            <w:pPr>
              <w:spacing w:line="276" w:lineRule="auto"/>
              <w:rPr>
                <w:rFonts w:ascii="Times New Roman" w:hAnsi="Times New Roman" w:cs="Times New Roman"/>
                <w:sz w:val="20"/>
                <w:szCs w:val="20"/>
              </w:rPr>
            </w:pPr>
          </w:p>
        </w:tc>
      </w:tr>
      <w:bookmarkEnd w:id="13"/>
    </w:tbl>
    <w:p w14:paraId="4E0BB4F2" w14:textId="77777777" w:rsidR="004A35D9" w:rsidRDefault="004A35D9" w:rsidP="006743A3">
      <w:pPr>
        <w:rPr>
          <w:rFonts w:ascii="Times New Roman" w:hAnsi="Times New Roman" w:cs="Times New Roman"/>
          <w:b/>
        </w:rPr>
      </w:pPr>
    </w:p>
    <w:sectPr w:rsidR="004A35D9" w:rsidSect="00266C1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9C91F" w14:textId="77777777" w:rsidR="009C0DEC" w:rsidRDefault="009C0DEC" w:rsidP="00DA4BC6">
      <w:r>
        <w:separator/>
      </w:r>
    </w:p>
  </w:endnote>
  <w:endnote w:type="continuationSeparator" w:id="0">
    <w:p w14:paraId="49E3F5C7" w14:textId="77777777" w:rsidR="009C0DEC" w:rsidRDefault="009C0DEC" w:rsidP="00DA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3F174" w14:textId="77777777" w:rsidR="009C0DEC" w:rsidRDefault="009C0DEC" w:rsidP="00F354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522C7" w14:textId="77777777" w:rsidR="009C0DEC" w:rsidRDefault="009C0DEC" w:rsidP="00820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B724E" w14:textId="5D94F3FE" w:rsidR="009C0DEC" w:rsidRDefault="009C0DEC" w:rsidP="00F354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561B">
      <w:rPr>
        <w:rStyle w:val="PageNumber"/>
        <w:noProof/>
      </w:rPr>
      <w:t>1</w:t>
    </w:r>
    <w:r>
      <w:rPr>
        <w:rStyle w:val="PageNumber"/>
      </w:rPr>
      <w:fldChar w:fldCharType="end"/>
    </w:r>
  </w:p>
  <w:p w14:paraId="36484DBF" w14:textId="77777777" w:rsidR="009C0DEC" w:rsidRDefault="009C0DEC" w:rsidP="008207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B3A63" w14:textId="77777777" w:rsidR="009C0DEC" w:rsidRDefault="009C0DEC" w:rsidP="00DA4BC6">
      <w:r>
        <w:separator/>
      </w:r>
    </w:p>
  </w:footnote>
  <w:footnote w:type="continuationSeparator" w:id="0">
    <w:p w14:paraId="123A6193" w14:textId="77777777" w:rsidR="009C0DEC" w:rsidRDefault="009C0DEC" w:rsidP="00DA4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52D7B"/>
    <w:multiLevelType w:val="hybridMultilevel"/>
    <w:tmpl w:val="F012A992"/>
    <w:lvl w:ilvl="0" w:tplc="BF444974">
      <w:start w:val="1"/>
      <w:numFmt w:val="bullet"/>
      <w:lvlText w:val="•"/>
      <w:lvlJc w:val="left"/>
      <w:pPr>
        <w:tabs>
          <w:tab w:val="num" w:pos="720"/>
        </w:tabs>
        <w:ind w:left="720" w:hanging="360"/>
      </w:pPr>
      <w:rPr>
        <w:rFonts w:ascii="Arial" w:hAnsi="Arial" w:hint="default"/>
      </w:rPr>
    </w:lvl>
    <w:lvl w:ilvl="1" w:tplc="69287F6C">
      <w:start w:val="1"/>
      <w:numFmt w:val="bullet"/>
      <w:lvlText w:val="•"/>
      <w:lvlJc w:val="left"/>
      <w:pPr>
        <w:tabs>
          <w:tab w:val="num" w:pos="1440"/>
        </w:tabs>
        <w:ind w:left="1440" w:hanging="360"/>
      </w:pPr>
      <w:rPr>
        <w:rFonts w:ascii="Arial" w:hAnsi="Arial" w:hint="default"/>
      </w:rPr>
    </w:lvl>
    <w:lvl w:ilvl="2" w:tplc="D64A8554" w:tentative="1">
      <w:start w:val="1"/>
      <w:numFmt w:val="bullet"/>
      <w:lvlText w:val="•"/>
      <w:lvlJc w:val="left"/>
      <w:pPr>
        <w:tabs>
          <w:tab w:val="num" w:pos="2160"/>
        </w:tabs>
        <w:ind w:left="2160" w:hanging="360"/>
      </w:pPr>
      <w:rPr>
        <w:rFonts w:ascii="Arial" w:hAnsi="Arial" w:hint="default"/>
      </w:rPr>
    </w:lvl>
    <w:lvl w:ilvl="3" w:tplc="876E1E9A" w:tentative="1">
      <w:start w:val="1"/>
      <w:numFmt w:val="bullet"/>
      <w:lvlText w:val="•"/>
      <w:lvlJc w:val="left"/>
      <w:pPr>
        <w:tabs>
          <w:tab w:val="num" w:pos="2880"/>
        </w:tabs>
        <w:ind w:left="2880" w:hanging="360"/>
      </w:pPr>
      <w:rPr>
        <w:rFonts w:ascii="Arial" w:hAnsi="Arial" w:hint="default"/>
      </w:rPr>
    </w:lvl>
    <w:lvl w:ilvl="4" w:tplc="59523562" w:tentative="1">
      <w:start w:val="1"/>
      <w:numFmt w:val="bullet"/>
      <w:lvlText w:val="•"/>
      <w:lvlJc w:val="left"/>
      <w:pPr>
        <w:tabs>
          <w:tab w:val="num" w:pos="3600"/>
        </w:tabs>
        <w:ind w:left="3600" w:hanging="360"/>
      </w:pPr>
      <w:rPr>
        <w:rFonts w:ascii="Arial" w:hAnsi="Arial" w:hint="default"/>
      </w:rPr>
    </w:lvl>
    <w:lvl w:ilvl="5" w:tplc="60ECB9A4" w:tentative="1">
      <w:start w:val="1"/>
      <w:numFmt w:val="bullet"/>
      <w:lvlText w:val="•"/>
      <w:lvlJc w:val="left"/>
      <w:pPr>
        <w:tabs>
          <w:tab w:val="num" w:pos="4320"/>
        </w:tabs>
        <w:ind w:left="4320" w:hanging="360"/>
      </w:pPr>
      <w:rPr>
        <w:rFonts w:ascii="Arial" w:hAnsi="Arial" w:hint="default"/>
      </w:rPr>
    </w:lvl>
    <w:lvl w:ilvl="6" w:tplc="6C08CC1C" w:tentative="1">
      <w:start w:val="1"/>
      <w:numFmt w:val="bullet"/>
      <w:lvlText w:val="•"/>
      <w:lvlJc w:val="left"/>
      <w:pPr>
        <w:tabs>
          <w:tab w:val="num" w:pos="5040"/>
        </w:tabs>
        <w:ind w:left="5040" w:hanging="360"/>
      </w:pPr>
      <w:rPr>
        <w:rFonts w:ascii="Arial" w:hAnsi="Arial" w:hint="default"/>
      </w:rPr>
    </w:lvl>
    <w:lvl w:ilvl="7" w:tplc="E2603A54" w:tentative="1">
      <w:start w:val="1"/>
      <w:numFmt w:val="bullet"/>
      <w:lvlText w:val="•"/>
      <w:lvlJc w:val="left"/>
      <w:pPr>
        <w:tabs>
          <w:tab w:val="num" w:pos="5760"/>
        </w:tabs>
        <w:ind w:left="5760" w:hanging="360"/>
      </w:pPr>
      <w:rPr>
        <w:rFonts w:ascii="Arial" w:hAnsi="Arial" w:hint="default"/>
      </w:rPr>
    </w:lvl>
    <w:lvl w:ilvl="8" w:tplc="27D6AA4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10"/>
    <w:rsid w:val="000016BF"/>
    <w:rsid w:val="00001A0D"/>
    <w:rsid w:val="00003ED1"/>
    <w:rsid w:val="000042AC"/>
    <w:rsid w:val="00004731"/>
    <w:rsid w:val="000060BE"/>
    <w:rsid w:val="00006EFC"/>
    <w:rsid w:val="00020DA3"/>
    <w:rsid w:val="0002652A"/>
    <w:rsid w:val="000362F8"/>
    <w:rsid w:val="00037830"/>
    <w:rsid w:val="000405F2"/>
    <w:rsid w:val="00040F56"/>
    <w:rsid w:val="000417BD"/>
    <w:rsid w:val="000436C0"/>
    <w:rsid w:val="00043702"/>
    <w:rsid w:val="00045220"/>
    <w:rsid w:val="000464B6"/>
    <w:rsid w:val="00046C1E"/>
    <w:rsid w:val="00047E4D"/>
    <w:rsid w:val="00050FA9"/>
    <w:rsid w:val="00052944"/>
    <w:rsid w:val="00052C5E"/>
    <w:rsid w:val="00054C7B"/>
    <w:rsid w:val="00054FE6"/>
    <w:rsid w:val="00055E76"/>
    <w:rsid w:val="00060138"/>
    <w:rsid w:val="00060D7F"/>
    <w:rsid w:val="00063EE1"/>
    <w:rsid w:val="00064898"/>
    <w:rsid w:val="000725E1"/>
    <w:rsid w:val="00073203"/>
    <w:rsid w:val="00074589"/>
    <w:rsid w:val="000821EF"/>
    <w:rsid w:val="00083AA0"/>
    <w:rsid w:val="00084EDD"/>
    <w:rsid w:val="0008794D"/>
    <w:rsid w:val="00092AF0"/>
    <w:rsid w:val="0009412A"/>
    <w:rsid w:val="000962BC"/>
    <w:rsid w:val="00096835"/>
    <w:rsid w:val="000A1AA2"/>
    <w:rsid w:val="000A3C69"/>
    <w:rsid w:val="000A539E"/>
    <w:rsid w:val="000A54A6"/>
    <w:rsid w:val="000A5FE8"/>
    <w:rsid w:val="000A605B"/>
    <w:rsid w:val="000B4CF6"/>
    <w:rsid w:val="000B7B37"/>
    <w:rsid w:val="000C2169"/>
    <w:rsid w:val="000C7BAF"/>
    <w:rsid w:val="000D42F5"/>
    <w:rsid w:val="000D69D3"/>
    <w:rsid w:val="000E0839"/>
    <w:rsid w:val="000E4E73"/>
    <w:rsid w:val="000E5A7A"/>
    <w:rsid w:val="000F2EFC"/>
    <w:rsid w:val="000F787A"/>
    <w:rsid w:val="001018BD"/>
    <w:rsid w:val="00101E20"/>
    <w:rsid w:val="001048CC"/>
    <w:rsid w:val="0010600B"/>
    <w:rsid w:val="00107F2D"/>
    <w:rsid w:val="00110784"/>
    <w:rsid w:val="00110845"/>
    <w:rsid w:val="001125D7"/>
    <w:rsid w:val="0012366C"/>
    <w:rsid w:val="00123703"/>
    <w:rsid w:val="00126A7C"/>
    <w:rsid w:val="0013430A"/>
    <w:rsid w:val="00134B16"/>
    <w:rsid w:val="00135C46"/>
    <w:rsid w:val="00145289"/>
    <w:rsid w:val="00146E77"/>
    <w:rsid w:val="00150316"/>
    <w:rsid w:val="00150FFE"/>
    <w:rsid w:val="00151ECF"/>
    <w:rsid w:val="0015573F"/>
    <w:rsid w:val="001563ED"/>
    <w:rsid w:val="00157EF4"/>
    <w:rsid w:val="00164155"/>
    <w:rsid w:val="00164217"/>
    <w:rsid w:val="001648B8"/>
    <w:rsid w:val="001724CE"/>
    <w:rsid w:val="00172982"/>
    <w:rsid w:val="001731D2"/>
    <w:rsid w:val="00173AA0"/>
    <w:rsid w:val="0017740F"/>
    <w:rsid w:val="0018070B"/>
    <w:rsid w:val="0018317B"/>
    <w:rsid w:val="001831BF"/>
    <w:rsid w:val="00185F65"/>
    <w:rsid w:val="00186C3A"/>
    <w:rsid w:val="00191B0F"/>
    <w:rsid w:val="00191F49"/>
    <w:rsid w:val="001A14B7"/>
    <w:rsid w:val="001B10A4"/>
    <w:rsid w:val="001B10B5"/>
    <w:rsid w:val="001B1464"/>
    <w:rsid w:val="001B1B41"/>
    <w:rsid w:val="001B4E9C"/>
    <w:rsid w:val="001C0B81"/>
    <w:rsid w:val="001C324D"/>
    <w:rsid w:val="001C46AE"/>
    <w:rsid w:val="001C6CD1"/>
    <w:rsid w:val="001D0E29"/>
    <w:rsid w:val="001D14B2"/>
    <w:rsid w:val="001D15E7"/>
    <w:rsid w:val="001D687A"/>
    <w:rsid w:val="001D7A20"/>
    <w:rsid w:val="001E1E95"/>
    <w:rsid w:val="001E6AB0"/>
    <w:rsid w:val="001E7078"/>
    <w:rsid w:val="001F2663"/>
    <w:rsid w:val="001F3270"/>
    <w:rsid w:val="001F531F"/>
    <w:rsid w:val="002004F8"/>
    <w:rsid w:val="002011CE"/>
    <w:rsid w:val="002046CA"/>
    <w:rsid w:val="00204993"/>
    <w:rsid w:val="00205605"/>
    <w:rsid w:val="002069A2"/>
    <w:rsid w:val="002110A7"/>
    <w:rsid w:val="00211A40"/>
    <w:rsid w:val="00217EF5"/>
    <w:rsid w:val="00224CA1"/>
    <w:rsid w:val="00225687"/>
    <w:rsid w:val="002257ED"/>
    <w:rsid w:val="00231C11"/>
    <w:rsid w:val="00233809"/>
    <w:rsid w:val="00234152"/>
    <w:rsid w:val="002405D1"/>
    <w:rsid w:val="00241195"/>
    <w:rsid w:val="00243F9F"/>
    <w:rsid w:val="00244500"/>
    <w:rsid w:val="00247295"/>
    <w:rsid w:val="002479F2"/>
    <w:rsid w:val="00247AFA"/>
    <w:rsid w:val="00260009"/>
    <w:rsid w:val="00260010"/>
    <w:rsid w:val="002607A4"/>
    <w:rsid w:val="002622FF"/>
    <w:rsid w:val="002656D9"/>
    <w:rsid w:val="00265C5F"/>
    <w:rsid w:val="00266C18"/>
    <w:rsid w:val="002722FB"/>
    <w:rsid w:val="00274544"/>
    <w:rsid w:val="00277555"/>
    <w:rsid w:val="0028252B"/>
    <w:rsid w:val="00290C05"/>
    <w:rsid w:val="002942F6"/>
    <w:rsid w:val="00296349"/>
    <w:rsid w:val="002A07AA"/>
    <w:rsid w:val="002A11D2"/>
    <w:rsid w:val="002A1EBA"/>
    <w:rsid w:val="002A255D"/>
    <w:rsid w:val="002A3135"/>
    <w:rsid w:val="002A3C81"/>
    <w:rsid w:val="002B0F55"/>
    <w:rsid w:val="002B2ED8"/>
    <w:rsid w:val="002B3638"/>
    <w:rsid w:val="002B536A"/>
    <w:rsid w:val="002C23ED"/>
    <w:rsid w:val="002C390B"/>
    <w:rsid w:val="002C43C4"/>
    <w:rsid w:val="002C6901"/>
    <w:rsid w:val="002C772F"/>
    <w:rsid w:val="002D1C0A"/>
    <w:rsid w:val="002D2494"/>
    <w:rsid w:val="002D2D5F"/>
    <w:rsid w:val="002D459F"/>
    <w:rsid w:val="002D5563"/>
    <w:rsid w:val="002E1AD8"/>
    <w:rsid w:val="002E1C1E"/>
    <w:rsid w:val="002E2592"/>
    <w:rsid w:val="002E30C5"/>
    <w:rsid w:val="002E33F4"/>
    <w:rsid w:val="002E5BCF"/>
    <w:rsid w:val="002E6EA2"/>
    <w:rsid w:val="002F2D87"/>
    <w:rsid w:val="002F34F6"/>
    <w:rsid w:val="002F51C8"/>
    <w:rsid w:val="002F74BC"/>
    <w:rsid w:val="00303629"/>
    <w:rsid w:val="00306D8C"/>
    <w:rsid w:val="0031586F"/>
    <w:rsid w:val="00321BFB"/>
    <w:rsid w:val="003241D9"/>
    <w:rsid w:val="00334840"/>
    <w:rsid w:val="00334865"/>
    <w:rsid w:val="003420E6"/>
    <w:rsid w:val="00346F0B"/>
    <w:rsid w:val="003503FD"/>
    <w:rsid w:val="00353DC6"/>
    <w:rsid w:val="00355053"/>
    <w:rsid w:val="00357AE0"/>
    <w:rsid w:val="00364B03"/>
    <w:rsid w:val="00365D1F"/>
    <w:rsid w:val="003704FF"/>
    <w:rsid w:val="003726B3"/>
    <w:rsid w:val="0037563D"/>
    <w:rsid w:val="0037594A"/>
    <w:rsid w:val="0037658D"/>
    <w:rsid w:val="00377AE0"/>
    <w:rsid w:val="00380D02"/>
    <w:rsid w:val="003811E5"/>
    <w:rsid w:val="00382B8D"/>
    <w:rsid w:val="00383020"/>
    <w:rsid w:val="003903DA"/>
    <w:rsid w:val="0039043A"/>
    <w:rsid w:val="00391DEB"/>
    <w:rsid w:val="003958BD"/>
    <w:rsid w:val="00395DA0"/>
    <w:rsid w:val="003A2A0B"/>
    <w:rsid w:val="003A4B5B"/>
    <w:rsid w:val="003A58E4"/>
    <w:rsid w:val="003B0D11"/>
    <w:rsid w:val="003B3A5B"/>
    <w:rsid w:val="003B5CAA"/>
    <w:rsid w:val="003C0C3A"/>
    <w:rsid w:val="003C0E2E"/>
    <w:rsid w:val="003C26A0"/>
    <w:rsid w:val="003C29F5"/>
    <w:rsid w:val="003D1FFA"/>
    <w:rsid w:val="003D32AC"/>
    <w:rsid w:val="003D61B4"/>
    <w:rsid w:val="003E624B"/>
    <w:rsid w:val="003F7671"/>
    <w:rsid w:val="00400197"/>
    <w:rsid w:val="004016CE"/>
    <w:rsid w:val="00401940"/>
    <w:rsid w:val="00401982"/>
    <w:rsid w:val="004031DB"/>
    <w:rsid w:val="00403CEC"/>
    <w:rsid w:val="00405F2A"/>
    <w:rsid w:val="00410911"/>
    <w:rsid w:val="00414C05"/>
    <w:rsid w:val="00416999"/>
    <w:rsid w:val="00416E16"/>
    <w:rsid w:val="00417D99"/>
    <w:rsid w:val="004256A8"/>
    <w:rsid w:val="004277BE"/>
    <w:rsid w:val="00427C49"/>
    <w:rsid w:val="00434C3B"/>
    <w:rsid w:val="004365F2"/>
    <w:rsid w:val="004416D2"/>
    <w:rsid w:val="00441767"/>
    <w:rsid w:val="00442648"/>
    <w:rsid w:val="00442D4B"/>
    <w:rsid w:val="00443287"/>
    <w:rsid w:val="00443AC5"/>
    <w:rsid w:val="00443F2E"/>
    <w:rsid w:val="004462D4"/>
    <w:rsid w:val="00451ADA"/>
    <w:rsid w:val="004540C0"/>
    <w:rsid w:val="004544DC"/>
    <w:rsid w:val="00454BD4"/>
    <w:rsid w:val="00455A96"/>
    <w:rsid w:val="00457011"/>
    <w:rsid w:val="00463A06"/>
    <w:rsid w:val="0046664B"/>
    <w:rsid w:val="00470F52"/>
    <w:rsid w:val="0048353C"/>
    <w:rsid w:val="004839EB"/>
    <w:rsid w:val="00484575"/>
    <w:rsid w:val="00485543"/>
    <w:rsid w:val="00492FE1"/>
    <w:rsid w:val="004A069F"/>
    <w:rsid w:val="004A35D9"/>
    <w:rsid w:val="004B2D24"/>
    <w:rsid w:val="004B2FD9"/>
    <w:rsid w:val="004B3499"/>
    <w:rsid w:val="004B7B26"/>
    <w:rsid w:val="004C2201"/>
    <w:rsid w:val="004C4807"/>
    <w:rsid w:val="004C4A29"/>
    <w:rsid w:val="004C6BC8"/>
    <w:rsid w:val="004D02D4"/>
    <w:rsid w:val="004D37DD"/>
    <w:rsid w:val="004D6B3C"/>
    <w:rsid w:val="004E29A6"/>
    <w:rsid w:val="004E412E"/>
    <w:rsid w:val="004E425E"/>
    <w:rsid w:val="004E450A"/>
    <w:rsid w:val="004E7083"/>
    <w:rsid w:val="004F17B4"/>
    <w:rsid w:val="004F452B"/>
    <w:rsid w:val="005016B4"/>
    <w:rsid w:val="005050FA"/>
    <w:rsid w:val="00510B2E"/>
    <w:rsid w:val="00514D56"/>
    <w:rsid w:val="005152D2"/>
    <w:rsid w:val="00515E24"/>
    <w:rsid w:val="00526F90"/>
    <w:rsid w:val="005337EA"/>
    <w:rsid w:val="00534471"/>
    <w:rsid w:val="005344AE"/>
    <w:rsid w:val="00535C48"/>
    <w:rsid w:val="00542805"/>
    <w:rsid w:val="00542B10"/>
    <w:rsid w:val="00546E62"/>
    <w:rsid w:val="00547006"/>
    <w:rsid w:val="005516EC"/>
    <w:rsid w:val="00551BB6"/>
    <w:rsid w:val="00552629"/>
    <w:rsid w:val="00566ECD"/>
    <w:rsid w:val="00572765"/>
    <w:rsid w:val="00573518"/>
    <w:rsid w:val="00577C99"/>
    <w:rsid w:val="00585551"/>
    <w:rsid w:val="00590C01"/>
    <w:rsid w:val="00593C9D"/>
    <w:rsid w:val="005942B3"/>
    <w:rsid w:val="00594E74"/>
    <w:rsid w:val="00595704"/>
    <w:rsid w:val="005A0298"/>
    <w:rsid w:val="005B2931"/>
    <w:rsid w:val="005B74B2"/>
    <w:rsid w:val="005C343C"/>
    <w:rsid w:val="005C513D"/>
    <w:rsid w:val="005C6EF1"/>
    <w:rsid w:val="005C76FA"/>
    <w:rsid w:val="005D3C24"/>
    <w:rsid w:val="005D5A26"/>
    <w:rsid w:val="005D79ED"/>
    <w:rsid w:val="005E02FE"/>
    <w:rsid w:val="005E1B90"/>
    <w:rsid w:val="005E1CD6"/>
    <w:rsid w:val="005E2563"/>
    <w:rsid w:val="005E2CE5"/>
    <w:rsid w:val="005E3EBF"/>
    <w:rsid w:val="005E48D6"/>
    <w:rsid w:val="005E530E"/>
    <w:rsid w:val="005F058E"/>
    <w:rsid w:val="005F18B6"/>
    <w:rsid w:val="005F227D"/>
    <w:rsid w:val="005F411F"/>
    <w:rsid w:val="005F7A6A"/>
    <w:rsid w:val="0060102A"/>
    <w:rsid w:val="00607BB4"/>
    <w:rsid w:val="00607FBF"/>
    <w:rsid w:val="006125F0"/>
    <w:rsid w:val="00620A3D"/>
    <w:rsid w:val="00624259"/>
    <w:rsid w:val="006256E7"/>
    <w:rsid w:val="006363B3"/>
    <w:rsid w:val="006365B0"/>
    <w:rsid w:val="00640597"/>
    <w:rsid w:val="006433DB"/>
    <w:rsid w:val="00643DB2"/>
    <w:rsid w:val="00644032"/>
    <w:rsid w:val="00646D15"/>
    <w:rsid w:val="00646E85"/>
    <w:rsid w:val="0065041C"/>
    <w:rsid w:val="006509DF"/>
    <w:rsid w:val="00653652"/>
    <w:rsid w:val="00653784"/>
    <w:rsid w:val="00654A43"/>
    <w:rsid w:val="00656443"/>
    <w:rsid w:val="00661101"/>
    <w:rsid w:val="006615D1"/>
    <w:rsid w:val="00662378"/>
    <w:rsid w:val="00672926"/>
    <w:rsid w:val="006743A3"/>
    <w:rsid w:val="006825FA"/>
    <w:rsid w:val="00684C7F"/>
    <w:rsid w:val="006933E3"/>
    <w:rsid w:val="00696853"/>
    <w:rsid w:val="006A04D9"/>
    <w:rsid w:val="006A1835"/>
    <w:rsid w:val="006A65E1"/>
    <w:rsid w:val="006B239B"/>
    <w:rsid w:val="006B2D74"/>
    <w:rsid w:val="006B784F"/>
    <w:rsid w:val="006C07D4"/>
    <w:rsid w:val="006D711D"/>
    <w:rsid w:val="006E2188"/>
    <w:rsid w:val="006E39D0"/>
    <w:rsid w:val="006E3A36"/>
    <w:rsid w:val="006E58A2"/>
    <w:rsid w:val="006E74D2"/>
    <w:rsid w:val="006E7DB7"/>
    <w:rsid w:val="006F37A6"/>
    <w:rsid w:val="006F48F9"/>
    <w:rsid w:val="006F4C9D"/>
    <w:rsid w:val="00700240"/>
    <w:rsid w:val="00701852"/>
    <w:rsid w:val="00701F4F"/>
    <w:rsid w:val="007063AE"/>
    <w:rsid w:val="0072325A"/>
    <w:rsid w:val="0073165F"/>
    <w:rsid w:val="00737AEF"/>
    <w:rsid w:val="00740BFD"/>
    <w:rsid w:val="007416EE"/>
    <w:rsid w:val="007427FF"/>
    <w:rsid w:val="00742E16"/>
    <w:rsid w:val="007432B4"/>
    <w:rsid w:val="0075066D"/>
    <w:rsid w:val="007528BF"/>
    <w:rsid w:val="007555D3"/>
    <w:rsid w:val="00756BCA"/>
    <w:rsid w:val="00760628"/>
    <w:rsid w:val="007608AF"/>
    <w:rsid w:val="0076615E"/>
    <w:rsid w:val="00770258"/>
    <w:rsid w:val="0077263C"/>
    <w:rsid w:val="0077702F"/>
    <w:rsid w:val="00777BDF"/>
    <w:rsid w:val="007807BA"/>
    <w:rsid w:val="00787F04"/>
    <w:rsid w:val="00791506"/>
    <w:rsid w:val="00794B6B"/>
    <w:rsid w:val="00797070"/>
    <w:rsid w:val="007A4837"/>
    <w:rsid w:val="007B0813"/>
    <w:rsid w:val="007B13BF"/>
    <w:rsid w:val="007B3612"/>
    <w:rsid w:val="007B3D0B"/>
    <w:rsid w:val="007B684B"/>
    <w:rsid w:val="007C53CD"/>
    <w:rsid w:val="007C66BC"/>
    <w:rsid w:val="007C6D11"/>
    <w:rsid w:val="007D16F2"/>
    <w:rsid w:val="007D27E8"/>
    <w:rsid w:val="007D61E1"/>
    <w:rsid w:val="007E2502"/>
    <w:rsid w:val="007E250B"/>
    <w:rsid w:val="007E6469"/>
    <w:rsid w:val="007E67DF"/>
    <w:rsid w:val="007E6875"/>
    <w:rsid w:val="007F0341"/>
    <w:rsid w:val="007F0346"/>
    <w:rsid w:val="007F1DFC"/>
    <w:rsid w:val="007F61CE"/>
    <w:rsid w:val="007F7629"/>
    <w:rsid w:val="007F79B1"/>
    <w:rsid w:val="0080003B"/>
    <w:rsid w:val="00800D82"/>
    <w:rsid w:val="00801D75"/>
    <w:rsid w:val="00803EB4"/>
    <w:rsid w:val="008044D3"/>
    <w:rsid w:val="00804F63"/>
    <w:rsid w:val="00805544"/>
    <w:rsid w:val="00811117"/>
    <w:rsid w:val="00816110"/>
    <w:rsid w:val="00820364"/>
    <w:rsid w:val="0082079E"/>
    <w:rsid w:val="00820979"/>
    <w:rsid w:val="00825408"/>
    <w:rsid w:val="008266C3"/>
    <w:rsid w:val="00834DC6"/>
    <w:rsid w:val="0083684B"/>
    <w:rsid w:val="00843533"/>
    <w:rsid w:val="00847C58"/>
    <w:rsid w:val="0085770D"/>
    <w:rsid w:val="00857805"/>
    <w:rsid w:val="00860BF7"/>
    <w:rsid w:val="00862259"/>
    <w:rsid w:val="00873107"/>
    <w:rsid w:val="00874515"/>
    <w:rsid w:val="0088183F"/>
    <w:rsid w:val="00882E0A"/>
    <w:rsid w:val="00885FBF"/>
    <w:rsid w:val="00886BB7"/>
    <w:rsid w:val="0089013C"/>
    <w:rsid w:val="0089116E"/>
    <w:rsid w:val="00895EA5"/>
    <w:rsid w:val="00896CA5"/>
    <w:rsid w:val="008974DC"/>
    <w:rsid w:val="008A0810"/>
    <w:rsid w:val="008A7FAF"/>
    <w:rsid w:val="008B44B7"/>
    <w:rsid w:val="008B4742"/>
    <w:rsid w:val="008C6B50"/>
    <w:rsid w:val="008D2CF3"/>
    <w:rsid w:val="008D42D8"/>
    <w:rsid w:val="008D5441"/>
    <w:rsid w:val="008D6156"/>
    <w:rsid w:val="008E5258"/>
    <w:rsid w:val="008E6F01"/>
    <w:rsid w:val="008F01DB"/>
    <w:rsid w:val="008F64FA"/>
    <w:rsid w:val="008F7BEF"/>
    <w:rsid w:val="009002BA"/>
    <w:rsid w:val="00902F3D"/>
    <w:rsid w:val="009041BA"/>
    <w:rsid w:val="00905518"/>
    <w:rsid w:val="0090682A"/>
    <w:rsid w:val="00912820"/>
    <w:rsid w:val="009137A0"/>
    <w:rsid w:val="0091789D"/>
    <w:rsid w:val="00924238"/>
    <w:rsid w:val="00931F92"/>
    <w:rsid w:val="009324F5"/>
    <w:rsid w:val="00933AD0"/>
    <w:rsid w:val="009400C1"/>
    <w:rsid w:val="009402B4"/>
    <w:rsid w:val="009404EF"/>
    <w:rsid w:val="00941BB8"/>
    <w:rsid w:val="00943777"/>
    <w:rsid w:val="00945D30"/>
    <w:rsid w:val="00946C8C"/>
    <w:rsid w:val="009525F9"/>
    <w:rsid w:val="00952E6B"/>
    <w:rsid w:val="00954B62"/>
    <w:rsid w:val="00956DAB"/>
    <w:rsid w:val="009638D7"/>
    <w:rsid w:val="009648DD"/>
    <w:rsid w:val="00970571"/>
    <w:rsid w:val="00971EAA"/>
    <w:rsid w:val="0097294E"/>
    <w:rsid w:val="009762D6"/>
    <w:rsid w:val="00976F14"/>
    <w:rsid w:val="00984932"/>
    <w:rsid w:val="0098593C"/>
    <w:rsid w:val="009905E1"/>
    <w:rsid w:val="009934C8"/>
    <w:rsid w:val="009A0367"/>
    <w:rsid w:val="009A249F"/>
    <w:rsid w:val="009A682F"/>
    <w:rsid w:val="009A7CD3"/>
    <w:rsid w:val="009B0555"/>
    <w:rsid w:val="009B3390"/>
    <w:rsid w:val="009B3A5C"/>
    <w:rsid w:val="009B3FE5"/>
    <w:rsid w:val="009C07E9"/>
    <w:rsid w:val="009C0A56"/>
    <w:rsid w:val="009C0DEC"/>
    <w:rsid w:val="009D00CC"/>
    <w:rsid w:val="009D0ACC"/>
    <w:rsid w:val="009D4BD8"/>
    <w:rsid w:val="009D644D"/>
    <w:rsid w:val="009D6DC1"/>
    <w:rsid w:val="009D732A"/>
    <w:rsid w:val="009E0C25"/>
    <w:rsid w:val="009E2D74"/>
    <w:rsid w:val="009F0406"/>
    <w:rsid w:val="009F1F98"/>
    <w:rsid w:val="009F66A5"/>
    <w:rsid w:val="00A01B94"/>
    <w:rsid w:val="00A01E47"/>
    <w:rsid w:val="00A06EAD"/>
    <w:rsid w:val="00A07A4E"/>
    <w:rsid w:val="00A118FA"/>
    <w:rsid w:val="00A13F1F"/>
    <w:rsid w:val="00A15ACB"/>
    <w:rsid w:val="00A16A76"/>
    <w:rsid w:val="00A21FC2"/>
    <w:rsid w:val="00A239C4"/>
    <w:rsid w:val="00A23E2A"/>
    <w:rsid w:val="00A2561B"/>
    <w:rsid w:val="00A25D48"/>
    <w:rsid w:val="00A26127"/>
    <w:rsid w:val="00A3085A"/>
    <w:rsid w:val="00A34B44"/>
    <w:rsid w:val="00A35A11"/>
    <w:rsid w:val="00A40B16"/>
    <w:rsid w:val="00A44A1F"/>
    <w:rsid w:val="00A50CE2"/>
    <w:rsid w:val="00A5130C"/>
    <w:rsid w:val="00A5437C"/>
    <w:rsid w:val="00A57F0B"/>
    <w:rsid w:val="00A60725"/>
    <w:rsid w:val="00A63742"/>
    <w:rsid w:val="00A739AA"/>
    <w:rsid w:val="00A77C22"/>
    <w:rsid w:val="00A820BF"/>
    <w:rsid w:val="00A87C91"/>
    <w:rsid w:val="00A931B2"/>
    <w:rsid w:val="00A94FF2"/>
    <w:rsid w:val="00A953E7"/>
    <w:rsid w:val="00A97DB8"/>
    <w:rsid w:val="00AA5D84"/>
    <w:rsid w:val="00AA6A10"/>
    <w:rsid w:val="00AA6ADA"/>
    <w:rsid w:val="00AA6D0A"/>
    <w:rsid w:val="00AB1AB6"/>
    <w:rsid w:val="00AC1BA1"/>
    <w:rsid w:val="00AD13F4"/>
    <w:rsid w:val="00AD31B3"/>
    <w:rsid w:val="00AD477F"/>
    <w:rsid w:val="00AD52C4"/>
    <w:rsid w:val="00AE28D8"/>
    <w:rsid w:val="00AE362D"/>
    <w:rsid w:val="00AE3919"/>
    <w:rsid w:val="00AE472C"/>
    <w:rsid w:val="00AE5214"/>
    <w:rsid w:val="00AF5D3B"/>
    <w:rsid w:val="00AF7B6D"/>
    <w:rsid w:val="00AF7CEE"/>
    <w:rsid w:val="00B04707"/>
    <w:rsid w:val="00B04F2C"/>
    <w:rsid w:val="00B11C99"/>
    <w:rsid w:val="00B13345"/>
    <w:rsid w:val="00B21434"/>
    <w:rsid w:val="00B221A4"/>
    <w:rsid w:val="00B2357F"/>
    <w:rsid w:val="00B2626F"/>
    <w:rsid w:val="00B320F5"/>
    <w:rsid w:val="00B3266C"/>
    <w:rsid w:val="00B35468"/>
    <w:rsid w:val="00B35752"/>
    <w:rsid w:val="00B404BF"/>
    <w:rsid w:val="00B42A35"/>
    <w:rsid w:val="00B50197"/>
    <w:rsid w:val="00B50CA5"/>
    <w:rsid w:val="00B5380C"/>
    <w:rsid w:val="00B5383F"/>
    <w:rsid w:val="00B60E97"/>
    <w:rsid w:val="00B6419A"/>
    <w:rsid w:val="00B66702"/>
    <w:rsid w:val="00B66BE3"/>
    <w:rsid w:val="00B8406A"/>
    <w:rsid w:val="00B85259"/>
    <w:rsid w:val="00B90EE1"/>
    <w:rsid w:val="00B91493"/>
    <w:rsid w:val="00B923B4"/>
    <w:rsid w:val="00B924BF"/>
    <w:rsid w:val="00B97138"/>
    <w:rsid w:val="00BA0349"/>
    <w:rsid w:val="00BA13B8"/>
    <w:rsid w:val="00BA4B0B"/>
    <w:rsid w:val="00BA52BF"/>
    <w:rsid w:val="00BB04FA"/>
    <w:rsid w:val="00BB0B21"/>
    <w:rsid w:val="00BB38C4"/>
    <w:rsid w:val="00BB52ED"/>
    <w:rsid w:val="00BC0EFC"/>
    <w:rsid w:val="00BC1F3C"/>
    <w:rsid w:val="00BC3515"/>
    <w:rsid w:val="00BC3F79"/>
    <w:rsid w:val="00BD031F"/>
    <w:rsid w:val="00BD1176"/>
    <w:rsid w:val="00BD37A5"/>
    <w:rsid w:val="00BD770F"/>
    <w:rsid w:val="00BE08B4"/>
    <w:rsid w:val="00BE1972"/>
    <w:rsid w:val="00BE3583"/>
    <w:rsid w:val="00BF23D8"/>
    <w:rsid w:val="00C0095F"/>
    <w:rsid w:val="00C03D02"/>
    <w:rsid w:val="00C058F3"/>
    <w:rsid w:val="00C05A61"/>
    <w:rsid w:val="00C05D6D"/>
    <w:rsid w:val="00C07DF4"/>
    <w:rsid w:val="00C13FAD"/>
    <w:rsid w:val="00C15937"/>
    <w:rsid w:val="00C16EB8"/>
    <w:rsid w:val="00C1741F"/>
    <w:rsid w:val="00C221AB"/>
    <w:rsid w:val="00C22F78"/>
    <w:rsid w:val="00C23668"/>
    <w:rsid w:val="00C23C0E"/>
    <w:rsid w:val="00C24005"/>
    <w:rsid w:val="00C26754"/>
    <w:rsid w:val="00C36C41"/>
    <w:rsid w:val="00C36DF9"/>
    <w:rsid w:val="00C379BE"/>
    <w:rsid w:val="00C37A9E"/>
    <w:rsid w:val="00C41EB6"/>
    <w:rsid w:val="00C45DFD"/>
    <w:rsid w:val="00C464E4"/>
    <w:rsid w:val="00C4665F"/>
    <w:rsid w:val="00C4671B"/>
    <w:rsid w:val="00C53364"/>
    <w:rsid w:val="00C613DA"/>
    <w:rsid w:val="00C619CB"/>
    <w:rsid w:val="00C62CDE"/>
    <w:rsid w:val="00C639F3"/>
    <w:rsid w:val="00C6452A"/>
    <w:rsid w:val="00C656CC"/>
    <w:rsid w:val="00C66679"/>
    <w:rsid w:val="00C7173A"/>
    <w:rsid w:val="00C7417A"/>
    <w:rsid w:val="00C74B8F"/>
    <w:rsid w:val="00C754C6"/>
    <w:rsid w:val="00C82E57"/>
    <w:rsid w:val="00C84160"/>
    <w:rsid w:val="00C860E9"/>
    <w:rsid w:val="00C947A4"/>
    <w:rsid w:val="00C961AC"/>
    <w:rsid w:val="00C96CD7"/>
    <w:rsid w:val="00C96F60"/>
    <w:rsid w:val="00C97534"/>
    <w:rsid w:val="00CA2438"/>
    <w:rsid w:val="00CA25C9"/>
    <w:rsid w:val="00CA56ED"/>
    <w:rsid w:val="00CB0400"/>
    <w:rsid w:val="00CB10B6"/>
    <w:rsid w:val="00CB1831"/>
    <w:rsid w:val="00CB3703"/>
    <w:rsid w:val="00CB6C3C"/>
    <w:rsid w:val="00CC727A"/>
    <w:rsid w:val="00CD08ED"/>
    <w:rsid w:val="00CD6EBD"/>
    <w:rsid w:val="00CF1075"/>
    <w:rsid w:val="00CF6717"/>
    <w:rsid w:val="00D006A5"/>
    <w:rsid w:val="00D03BA1"/>
    <w:rsid w:val="00D11C3F"/>
    <w:rsid w:val="00D12188"/>
    <w:rsid w:val="00D12407"/>
    <w:rsid w:val="00D15FB4"/>
    <w:rsid w:val="00D21AA9"/>
    <w:rsid w:val="00D26208"/>
    <w:rsid w:val="00D436A2"/>
    <w:rsid w:val="00D46A2D"/>
    <w:rsid w:val="00D50548"/>
    <w:rsid w:val="00D5304F"/>
    <w:rsid w:val="00D543B2"/>
    <w:rsid w:val="00D54924"/>
    <w:rsid w:val="00D60903"/>
    <w:rsid w:val="00D61DBC"/>
    <w:rsid w:val="00D65216"/>
    <w:rsid w:val="00D70DBE"/>
    <w:rsid w:val="00D747A8"/>
    <w:rsid w:val="00D75550"/>
    <w:rsid w:val="00D77AB1"/>
    <w:rsid w:val="00D82C32"/>
    <w:rsid w:val="00D929D0"/>
    <w:rsid w:val="00D96C8D"/>
    <w:rsid w:val="00DA2197"/>
    <w:rsid w:val="00DA4BC6"/>
    <w:rsid w:val="00DA77F8"/>
    <w:rsid w:val="00DB260B"/>
    <w:rsid w:val="00DB5BDB"/>
    <w:rsid w:val="00DB7184"/>
    <w:rsid w:val="00DC072B"/>
    <w:rsid w:val="00DC1C1E"/>
    <w:rsid w:val="00DC4DB6"/>
    <w:rsid w:val="00DC520B"/>
    <w:rsid w:val="00DD2A89"/>
    <w:rsid w:val="00DD2B4A"/>
    <w:rsid w:val="00DD38D6"/>
    <w:rsid w:val="00DD455D"/>
    <w:rsid w:val="00DD5FE6"/>
    <w:rsid w:val="00DD7B07"/>
    <w:rsid w:val="00DE03CF"/>
    <w:rsid w:val="00DF6B72"/>
    <w:rsid w:val="00E045E1"/>
    <w:rsid w:val="00E0545E"/>
    <w:rsid w:val="00E061DF"/>
    <w:rsid w:val="00E10FC3"/>
    <w:rsid w:val="00E159B7"/>
    <w:rsid w:val="00E234C7"/>
    <w:rsid w:val="00E23568"/>
    <w:rsid w:val="00E257FA"/>
    <w:rsid w:val="00E352AC"/>
    <w:rsid w:val="00E4383E"/>
    <w:rsid w:val="00E439AE"/>
    <w:rsid w:val="00E53A8A"/>
    <w:rsid w:val="00E56898"/>
    <w:rsid w:val="00E57A36"/>
    <w:rsid w:val="00E60F13"/>
    <w:rsid w:val="00E64EB8"/>
    <w:rsid w:val="00E65B73"/>
    <w:rsid w:val="00E75481"/>
    <w:rsid w:val="00E77B63"/>
    <w:rsid w:val="00E77C26"/>
    <w:rsid w:val="00E875DA"/>
    <w:rsid w:val="00E90C44"/>
    <w:rsid w:val="00E914F2"/>
    <w:rsid w:val="00E93654"/>
    <w:rsid w:val="00E93B91"/>
    <w:rsid w:val="00E95070"/>
    <w:rsid w:val="00E96CF6"/>
    <w:rsid w:val="00E974CE"/>
    <w:rsid w:val="00EA020D"/>
    <w:rsid w:val="00EA4918"/>
    <w:rsid w:val="00EA4CCF"/>
    <w:rsid w:val="00EB21D1"/>
    <w:rsid w:val="00EB251C"/>
    <w:rsid w:val="00EB57AF"/>
    <w:rsid w:val="00EB601B"/>
    <w:rsid w:val="00EC1E83"/>
    <w:rsid w:val="00EC3323"/>
    <w:rsid w:val="00EC6FDC"/>
    <w:rsid w:val="00EC789E"/>
    <w:rsid w:val="00ED08C9"/>
    <w:rsid w:val="00ED4749"/>
    <w:rsid w:val="00ED5D83"/>
    <w:rsid w:val="00ED60DA"/>
    <w:rsid w:val="00ED7F13"/>
    <w:rsid w:val="00EE2AF7"/>
    <w:rsid w:val="00EE41E0"/>
    <w:rsid w:val="00EE6325"/>
    <w:rsid w:val="00EF03DB"/>
    <w:rsid w:val="00EF1229"/>
    <w:rsid w:val="00F00739"/>
    <w:rsid w:val="00F05CDE"/>
    <w:rsid w:val="00F16C06"/>
    <w:rsid w:val="00F176E7"/>
    <w:rsid w:val="00F20712"/>
    <w:rsid w:val="00F26434"/>
    <w:rsid w:val="00F279B8"/>
    <w:rsid w:val="00F27E31"/>
    <w:rsid w:val="00F305C6"/>
    <w:rsid w:val="00F315C2"/>
    <w:rsid w:val="00F32746"/>
    <w:rsid w:val="00F35485"/>
    <w:rsid w:val="00F361F4"/>
    <w:rsid w:val="00F37DFD"/>
    <w:rsid w:val="00F40446"/>
    <w:rsid w:val="00F40995"/>
    <w:rsid w:val="00F412FE"/>
    <w:rsid w:val="00F41A75"/>
    <w:rsid w:val="00F47325"/>
    <w:rsid w:val="00F47A1E"/>
    <w:rsid w:val="00F506C9"/>
    <w:rsid w:val="00F509BB"/>
    <w:rsid w:val="00F55381"/>
    <w:rsid w:val="00F56107"/>
    <w:rsid w:val="00F60C9A"/>
    <w:rsid w:val="00F6378A"/>
    <w:rsid w:val="00F64090"/>
    <w:rsid w:val="00F65AC6"/>
    <w:rsid w:val="00F72C98"/>
    <w:rsid w:val="00F730B3"/>
    <w:rsid w:val="00F7389F"/>
    <w:rsid w:val="00F75D86"/>
    <w:rsid w:val="00F83AA7"/>
    <w:rsid w:val="00F86B86"/>
    <w:rsid w:val="00F87930"/>
    <w:rsid w:val="00F94179"/>
    <w:rsid w:val="00F96863"/>
    <w:rsid w:val="00FA0109"/>
    <w:rsid w:val="00FA2010"/>
    <w:rsid w:val="00FA3436"/>
    <w:rsid w:val="00FA40F1"/>
    <w:rsid w:val="00FA428E"/>
    <w:rsid w:val="00FB752E"/>
    <w:rsid w:val="00FB76A1"/>
    <w:rsid w:val="00FB7986"/>
    <w:rsid w:val="00FC1908"/>
    <w:rsid w:val="00FC20FE"/>
    <w:rsid w:val="00FC4E60"/>
    <w:rsid w:val="00FD7150"/>
    <w:rsid w:val="00FE29C3"/>
    <w:rsid w:val="00FE5E98"/>
    <w:rsid w:val="00FE7B4A"/>
    <w:rsid w:val="00FF0A88"/>
    <w:rsid w:val="00FF1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DBF62"/>
  <w14:defaultImageDpi w14:val="300"/>
  <w15:docId w15:val="{A5A518C3-DC30-483F-898E-A88A56D5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B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B63"/>
    <w:rPr>
      <w:color w:val="0000FF" w:themeColor="hyperlink"/>
      <w:u w:val="single"/>
    </w:rPr>
  </w:style>
  <w:style w:type="paragraph" w:styleId="BalloonText">
    <w:name w:val="Balloon Text"/>
    <w:basedOn w:val="Normal"/>
    <w:link w:val="BalloonTextChar"/>
    <w:uiPriority w:val="99"/>
    <w:semiHidden/>
    <w:unhideWhenUsed/>
    <w:rsid w:val="003A2A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2A0B"/>
    <w:rPr>
      <w:rFonts w:ascii="Lucida Grande" w:hAnsi="Lucida Grande" w:cs="Lucida Grande"/>
      <w:sz w:val="18"/>
      <w:szCs w:val="18"/>
    </w:rPr>
  </w:style>
  <w:style w:type="paragraph" w:styleId="NormalWeb">
    <w:name w:val="Normal (Web)"/>
    <w:basedOn w:val="Normal"/>
    <w:uiPriority w:val="99"/>
    <w:semiHidden/>
    <w:unhideWhenUsed/>
    <w:rsid w:val="00D543B2"/>
    <w:pPr>
      <w:spacing w:before="100" w:beforeAutospacing="1" w:after="100" w:afterAutospacing="1"/>
    </w:pPr>
    <w:rPr>
      <w:rFonts w:ascii="Times New Roman" w:hAnsi="Times New Roman" w:cs="Times New Roman"/>
    </w:rPr>
  </w:style>
  <w:style w:type="table" w:styleId="TableGrid">
    <w:name w:val="Table Grid"/>
    <w:basedOn w:val="TableNormal"/>
    <w:uiPriority w:val="59"/>
    <w:rsid w:val="00945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36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36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259"/>
    <w:rPr>
      <w:sz w:val="16"/>
      <w:szCs w:val="16"/>
    </w:rPr>
  </w:style>
  <w:style w:type="paragraph" w:styleId="CommentText">
    <w:name w:val="annotation text"/>
    <w:basedOn w:val="Normal"/>
    <w:link w:val="CommentTextChar"/>
    <w:uiPriority w:val="99"/>
    <w:semiHidden/>
    <w:unhideWhenUsed/>
    <w:rsid w:val="00862259"/>
    <w:rPr>
      <w:sz w:val="20"/>
      <w:szCs w:val="20"/>
    </w:rPr>
  </w:style>
  <w:style w:type="character" w:customStyle="1" w:styleId="CommentTextChar">
    <w:name w:val="Comment Text Char"/>
    <w:basedOn w:val="DefaultParagraphFont"/>
    <w:link w:val="CommentText"/>
    <w:uiPriority w:val="99"/>
    <w:semiHidden/>
    <w:rsid w:val="00862259"/>
    <w:rPr>
      <w:sz w:val="20"/>
      <w:szCs w:val="20"/>
    </w:rPr>
  </w:style>
  <w:style w:type="paragraph" w:styleId="CommentSubject">
    <w:name w:val="annotation subject"/>
    <w:basedOn w:val="CommentText"/>
    <w:next w:val="CommentText"/>
    <w:link w:val="CommentSubjectChar"/>
    <w:uiPriority w:val="99"/>
    <w:semiHidden/>
    <w:unhideWhenUsed/>
    <w:rsid w:val="00862259"/>
    <w:rPr>
      <w:b/>
      <w:bCs/>
    </w:rPr>
  </w:style>
  <w:style w:type="character" w:customStyle="1" w:styleId="CommentSubjectChar">
    <w:name w:val="Comment Subject Char"/>
    <w:basedOn w:val="CommentTextChar"/>
    <w:link w:val="CommentSubject"/>
    <w:uiPriority w:val="99"/>
    <w:semiHidden/>
    <w:rsid w:val="00862259"/>
    <w:rPr>
      <w:b/>
      <w:bCs/>
      <w:sz w:val="20"/>
      <w:szCs w:val="20"/>
    </w:rPr>
  </w:style>
  <w:style w:type="paragraph" w:styleId="Bibliography">
    <w:name w:val="Bibliography"/>
    <w:basedOn w:val="Normal"/>
    <w:next w:val="Normal"/>
    <w:uiPriority w:val="37"/>
    <w:unhideWhenUsed/>
    <w:rsid w:val="009A0367"/>
    <w:pPr>
      <w:tabs>
        <w:tab w:val="left" w:pos="500"/>
      </w:tabs>
      <w:spacing w:after="240"/>
      <w:ind w:left="504" w:hanging="504"/>
    </w:pPr>
  </w:style>
  <w:style w:type="paragraph" w:styleId="Revision">
    <w:name w:val="Revision"/>
    <w:hidden/>
    <w:uiPriority w:val="99"/>
    <w:semiHidden/>
    <w:rsid w:val="002A1EBA"/>
  </w:style>
  <w:style w:type="paragraph" w:styleId="ListParagraph">
    <w:name w:val="List Paragraph"/>
    <w:basedOn w:val="Normal"/>
    <w:uiPriority w:val="34"/>
    <w:qFormat/>
    <w:rsid w:val="00B35752"/>
    <w:pPr>
      <w:ind w:left="720"/>
      <w:contextualSpacing/>
    </w:pPr>
    <w:rPr>
      <w:rFonts w:ascii="Times New Roman" w:eastAsia="Times New Roman" w:hAnsi="Times New Roman" w:cs="Times New Roman"/>
    </w:rPr>
  </w:style>
  <w:style w:type="character" w:customStyle="1" w:styleId="label">
    <w:name w:val="label"/>
    <w:basedOn w:val="DefaultParagraphFont"/>
    <w:rsid w:val="000436C0"/>
  </w:style>
  <w:style w:type="paragraph" w:styleId="Header">
    <w:name w:val="header"/>
    <w:basedOn w:val="Normal"/>
    <w:link w:val="HeaderChar"/>
    <w:uiPriority w:val="99"/>
    <w:unhideWhenUsed/>
    <w:rsid w:val="00DA4BC6"/>
    <w:pPr>
      <w:tabs>
        <w:tab w:val="center" w:pos="4680"/>
        <w:tab w:val="right" w:pos="9360"/>
      </w:tabs>
    </w:pPr>
  </w:style>
  <w:style w:type="character" w:customStyle="1" w:styleId="HeaderChar">
    <w:name w:val="Header Char"/>
    <w:basedOn w:val="DefaultParagraphFont"/>
    <w:link w:val="Header"/>
    <w:uiPriority w:val="99"/>
    <w:rsid w:val="00DA4BC6"/>
  </w:style>
  <w:style w:type="paragraph" w:styleId="Footer">
    <w:name w:val="footer"/>
    <w:basedOn w:val="Normal"/>
    <w:link w:val="FooterChar"/>
    <w:uiPriority w:val="99"/>
    <w:unhideWhenUsed/>
    <w:rsid w:val="00DA4BC6"/>
    <w:pPr>
      <w:tabs>
        <w:tab w:val="center" w:pos="4680"/>
        <w:tab w:val="right" w:pos="9360"/>
      </w:tabs>
    </w:pPr>
  </w:style>
  <w:style w:type="character" w:customStyle="1" w:styleId="FooterChar">
    <w:name w:val="Footer Char"/>
    <w:basedOn w:val="DefaultParagraphFont"/>
    <w:link w:val="Footer"/>
    <w:uiPriority w:val="99"/>
    <w:rsid w:val="00DA4BC6"/>
  </w:style>
  <w:style w:type="character" w:styleId="PageNumber">
    <w:name w:val="page number"/>
    <w:basedOn w:val="DefaultParagraphFont"/>
    <w:uiPriority w:val="99"/>
    <w:semiHidden/>
    <w:unhideWhenUsed/>
    <w:rsid w:val="0082079E"/>
  </w:style>
  <w:style w:type="character" w:customStyle="1" w:styleId="apple-converted-space">
    <w:name w:val="apple-converted-space"/>
    <w:basedOn w:val="DefaultParagraphFont"/>
    <w:rsid w:val="00F35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99842">
      <w:bodyDiv w:val="1"/>
      <w:marLeft w:val="0"/>
      <w:marRight w:val="0"/>
      <w:marTop w:val="0"/>
      <w:marBottom w:val="0"/>
      <w:divBdr>
        <w:top w:val="none" w:sz="0" w:space="0" w:color="auto"/>
        <w:left w:val="none" w:sz="0" w:space="0" w:color="auto"/>
        <w:bottom w:val="none" w:sz="0" w:space="0" w:color="auto"/>
        <w:right w:val="none" w:sz="0" w:space="0" w:color="auto"/>
      </w:divBdr>
    </w:div>
    <w:div w:id="415712687">
      <w:bodyDiv w:val="1"/>
      <w:marLeft w:val="0"/>
      <w:marRight w:val="0"/>
      <w:marTop w:val="0"/>
      <w:marBottom w:val="0"/>
      <w:divBdr>
        <w:top w:val="none" w:sz="0" w:space="0" w:color="auto"/>
        <w:left w:val="none" w:sz="0" w:space="0" w:color="auto"/>
        <w:bottom w:val="none" w:sz="0" w:space="0" w:color="auto"/>
        <w:right w:val="none" w:sz="0" w:space="0" w:color="auto"/>
      </w:divBdr>
    </w:div>
    <w:div w:id="1026827363">
      <w:bodyDiv w:val="1"/>
      <w:marLeft w:val="0"/>
      <w:marRight w:val="0"/>
      <w:marTop w:val="0"/>
      <w:marBottom w:val="0"/>
      <w:divBdr>
        <w:top w:val="none" w:sz="0" w:space="0" w:color="auto"/>
        <w:left w:val="none" w:sz="0" w:space="0" w:color="auto"/>
        <w:bottom w:val="none" w:sz="0" w:space="0" w:color="auto"/>
        <w:right w:val="none" w:sz="0" w:space="0" w:color="auto"/>
      </w:divBdr>
    </w:div>
    <w:div w:id="1323773106">
      <w:bodyDiv w:val="1"/>
      <w:marLeft w:val="0"/>
      <w:marRight w:val="0"/>
      <w:marTop w:val="0"/>
      <w:marBottom w:val="0"/>
      <w:divBdr>
        <w:top w:val="none" w:sz="0" w:space="0" w:color="auto"/>
        <w:left w:val="none" w:sz="0" w:space="0" w:color="auto"/>
        <w:bottom w:val="none" w:sz="0" w:space="0" w:color="auto"/>
        <w:right w:val="none" w:sz="0" w:space="0" w:color="auto"/>
      </w:divBdr>
    </w:div>
    <w:div w:id="1627739215">
      <w:bodyDiv w:val="1"/>
      <w:marLeft w:val="0"/>
      <w:marRight w:val="0"/>
      <w:marTop w:val="0"/>
      <w:marBottom w:val="0"/>
      <w:divBdr>
        <w:top w:val="none" w:sz="0" w:space="0" w:color="auto"/>
        <w:left w:val="none" w:sz="0" w:space="0" w:color="auto"/>
        <w:bottom w:val="none" w:sz="0" w:space="0" w:color="auto"/>
        <w:right w:val="none" w:sz="0" w:space="0" w:color="auto"/>
      </w:divBdr>
    </w:div>
    <w:div w:id="1672096804">
      <w:bodyDiv w:val="1"/>
      <w:marLeft w:val="0"/>
      <w:marRight w:val="0"/>
      <w:marTop w:val="0"/>
      <w:marBottom w:val="0"/>
      <w:divBdr>
        <w:top w:val="none" w:sz="0" w:space="0" w:color="auto"/>
        <w:left w:val="none" w:sz="0" w:space="0" w:color="auto"/>
        <w:bottom w:val="none" w:sz="0" w:space="0" w:color="auto"/>
        <w:right w:val="none" w:sz="0" w:space="0" w:color="auto"/>
      </w:divBdr>
    </w:div>
    <w:div w:id="1784035534">
      <w:bodyDiv w:val="1"/>
      <w:marLeft w:val="0"/>
      <w:marRight w:val="0"/>
      <w:marTop w:val="0"/>
      <w:marBottom w:val="0"/>
      <w:divBdr>
        <w:top w:val="none" w:sz="0" w:space="0" w:color="auto"/>
        <w:left w:val="none" w:sz="0" w:space="0" w:color="auto"/>
        <w:bottom w:val="none" w:sz="0" w:space="0" w:color="auto"/>
        <w:right w:val="none" w:sz="0" w:space="0" w:color="auto"/>
      </w:divBdr>
      <w:divsChild>
        <w:div w:id="392197841">
          <w:marLeft w:val="2880"/>
          <w:marRight w:val="0"/>
          <w:marTop w:val="0"/>
          <w:marBottom w:val="0"/>
          <w:divBdr>
            <w:top w:val="none" w:sz="0" w:space="0" w:color="auto"/>
            <w:left w:val="none" w:sz="0" w:space="0" w:color="auto"/>
            <w:bottom w:val="none" w:sz="0" w:space="0" w:color="auto"/>
            <w:right w:val="none" w:sz="0" w:space="0" w:color="auto"/>
          </w:divBdr>
        </w:div>
        <w:div w:id="684358805">
          <w:marLeft w:val="2880"/>
          <w:marRight w:val="0"/>
          <w:marTop w:val="0"/>
          <w:marBottom w:val="0"/>
          <w:divBdr>
            <w:top w:val="none" w:sz="0" w:space="0" w:color="auto"/>
            <w:left w:val="none" w:sz="0" w:space="0" w:color="auto"/>
            <w:bottom w:val="none" w:sz="0" w:space="0" w:color="auto"/>
            <w:right w:val="none" w:sz="0" w:space="0" w:color="auto"/>
          </w:divBdr>
        </w:div>
        <w:div w:id="1353727157">
          <w:marLeft w:val="2880"/>
          <w:marRight w:val="0"/>
          <w:marTop w:val="0"/>
          <w:marBottom w:val="0"/>
          <w:divBdr>
            <w:top w:val="none" w:sz="0" w:space="0" w:color="auto"/>
            <w:left w:val="none" w:sz="0" w:space="0" w:color="auto"/>
            <w:bottom w:val="none" w:sz="0" w:space="0" w:color="auto"/>
            <w:right w:val="none" w:sz="0" w:space="0" w:color="auto"/>
          </w:divBdr>
        </w:div>
        <w:div w:id="90471400">
          <w:marLeft w:val="2880"/>
          <w:marRight w:val="0"/>
          <w:marTop w:val="0"/>
          <w:marBottom w:val="0"/>
          <w:divBdr>
            <w:top w:val="none" w:sz="0" w:space="0" w:color="auto"/>
            <w:left w:val="none" w:sz="0" w:space="0" w:color="auto"/>
            <w:bottom w:val="none" w:sz="0" w:space="0" w:color="auto"/>
            <w:right w:val="none" w:sz="0" w:space="0" w:color="auto"/>
          </w:divBdr>
        </w:div>
        <w:div w:id="1686134332">
          <w:marLeft w:val="2880"/>
          <w:marRight w:val="0"/>
          <w:marTop w:val="0"/>
          <w:marBottom w:val="0"/>
          <w:divBdr>
            <w:top w:val="none" w:sz="0" w:space="0" w:color="auto"/>
            <w:left w:val="none" w:sz="0" w:space="0" w:color="auto"/>
            <w:bottom w:val="none" w:sz="0" w:space="0" w:color="auto"/>
            <w:right w:val="none" w:sz="0" w:space="0" w:color="auto"/>
          </w:divBdr>
        </w:div>
        <w:div w:id="308092596">
          <w:marLeft w:val="288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eilan@mgh.harva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2DAA-91E4-4A78-A4A1-5BEF1C86B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31197</Words>
  <Characters>177827</Characters>
  <Application>Microsoft Office Word</Application>
  <DocSecurity>4</DocSecurity>
  <Lines>1481</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Lapage K.P.</cp:lastModifiedBy>
  <cp:revision>2</cp:revision>
  <dcterms:created xsi:type="dcterms:W3CDTF">2020-01-29T09:34:00Z</dcterms:created>
  <dcterms:modified xsi:type="dcterms:W3CDTF">2020-01-29T09:34:00Z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id="AkB5EzvC"/&gt;&lt;style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 name="dontAskDelayCitationUpdates" value="true"/&gt;&lt;/prefs&gt;&lt;/data&gt;</vt:lpwstr>
  </property>
</Properties>
</file>