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BAD" w:rsidRDefault="004F1877">
      <w:pPr>
        <w:spacing w:before="240" w:after="240"/>
      </w:pPr>
      <w:bookmarkStart w:id="0" w:name="_gjdgxs" w:colFirst="0" w:colLast="0"/>
      <w:bookmarkEnd w:id="0"/>
      <w:r>
        <w:rPr>
          <w:b/>
          <w:sz w:val="32"/>
          <w:szCs w:val="32"/>
        </w:rPr>
        <w:t>Reviving Bloom’s Taxonomy</w:t>
      </w:r>
    </w:p>
    <w:p w:rsidR="00092BAD" w:rsidRDefault="004F1877">
      <w:pPr>
        <w:spacing w:before="240" w:after="240"/>
        <w:rPr>
          <w:b/>
        </w:rPr>
      </w:pPr>
      <w:r>
        <w:rPr>
          <w:b/>
        </w:rPr>
        <w:t xml:space="preserve">Introduction </w:t>
      </w:r>
    </w:p>
    <w:p w:rsidR="00092BAD" w:rsidRDefault="004F1877">
      <w:pPr>
        <w:spacing w:before="240" w:after="240"/>
      </w:pPr>
      <w:bookmarkStart w:id="1" w:name="_30j0zll" w:colFirst="0" w:colLast="0"/>
      <w:bookmarkEnd w:id="1"/>
      <w:r>
        <w:t xml:space="preserve">The cognitive revolution and the increased focus on evidence-based practice that has swept through the teaching profession in recent years has undoubtedly brought with it many positive outcomes. Yet in the rush to embrace the modern it would be wise to remember that many of these new ideas have very old roots and rather than disregard the ancestral wisdom of our profession we would be wise to look for guidance at the successes and failures of our forebears. Doing otherwise will inevitably lead to the educational equivalent of reinventing the wheel and one need not look far for pertinent examples, after all, are Bruner’s thoughts on scaffolding so very different from cognitive load’s guidance fading? Similarly, it does not take a huge leap of the imagination to see </w:t>
      </w:r>
      <w:proofErr w:type="spellStart"/>
      <w:r>
        <w:t>Ausubel’s</w:t>
      </w:r>
      <w:proofErr w:type="spellEnd"/>
      <w:r>
        <w:t xml:space="preserve"> advance </w:t>
      </w:r>
      <w:proofErr w:type="spellStart"/>
      <w:r>
        <w:t>organisers</w:t>
      </w:r>
      <w:proofErr w:type="spellEnd"/>
      <w:r>
        <w:t xml:space="preserve"> and the more modern knowledge </w:t>
      </w:r>
      <w:proofErr w:type="spellStart"/>
      <w:r>
        <w:t>organisers</w:t>
      </w:r>
      <w:proofErr w:type="spellEnd"/>
      <w:r>
        <w:t xml:space="preserve"> as examples of the educational version of parallel evolution. However, this cyclical tendency is not inevitable and the current interest in mastery learning provides a wonderful opportunity to escape the reinvention trap by building on and learning from, one of the classics of educational literature, Bloom’s taxonomy. </w:t>
      </w:r>
    </w:p>
    <w:p w:rsidR="00092BAD" w:rsidRDefault="004F1877">
      <w:pPr>
        <w:spacing w:before="240" w:after="240"/>
        <w:rPr>
          <w:b/>
        </w:rPr>
      </w:pPr>
      <w:r>
        <w:rPr>
          <w:b/>
        </w:rPr>
        <w:t>Defining the taxonomy</w:t>
      </w:r>
    </w:p>
    <w:p w:rsidR="00092BAD" w:rsidRDefault="004F1877">
      <w:pPr>
        <w:spacing w:before="240" w:after="240"/>
      </w:pPr>
      <w:r>
        <w:t xml:space="preserve">An attempt to codify the thought processes at work in most learning tasks, Bloom’s original taxonomy of 1956 classified learning objectives into levels of relative complexity (Bloom, 1956). Despite often being presented as a pyramid with knowledge tarred with the “lower-order” brush at the bottom of the pyramid, this does not appear to have been Bloom’s intention at all, rather in seeing knowledge as foundational he was stressing its importance as the building block upon which the “higher-order” were built. Later revised by Anderson and Krathwohl (2001), the cognitive process dimension was changed from nouns (e.g. knowledge, comprehension) to verbs, with these six verbs signifying the level of cognitive processing involved. The emphasis on the foundational importance of knowledge in the original was extended further in the revised version by adding a separate knowledge dimension to the cognitive process dimension with four types of knowledge: factual, conceptual, procedural, and metacognitive knowledge. Both dimensions can be combined, as depicted in Table 1. </w:t>
      </w:r>
    </w:p>
    <w:p w:rsidR="00092BAD" w:rsidRDefault="004F1877">
      <w:pPr>
        <w:keepNext/>
        <w:pBdr>
          <w:top w:val="nil"/>
          <w:left w:val="nil"/>
          <w:bottom w:val="nil"/>
          <w:right w:val="nil"/>
          <w:between w:val="nil"/>
        </w:pBdr>
        <w:spacing w:after="200" w:line="240" w:lineRule="auto"/>
        <w:rPr>
          <w:color w:val="000000"/>
          <w:sz w:val="18"/>
          <w:szCs w:val="18"/>
        </w:rPr>
      </w:pPr>
      <w:r>
        <w:rPr>
          <w:color w:val="000000"/>
          <w:sz w:val="18"/>
          <w:szCs w:val="18"/>
        </w:rPr>
        <w:t>Table 1 Combining the knowledge and cognitive process dimension (Krathwohl, 2002)</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7"/>
        <w:gridCol w:w="1305"/>
        <w:gridCol w:w="1354"/>
        <w:gridCol w:w="767"/>
        <w:gridCol w:w="999"/>
        <w:gridCol w:w="1073"/>
        <w:gridCol w:w="877"/>
      </w:tblGrid>
      <w:tr w:rsidR="00092BAD">
        <w:tc>
          <w:tcPr>
            <w:tcW w:w="2687" w:type="dxa"/>
          </w:tcPr>
          <w:p w:rsidR="00092BAD" w:rsidRDefault="00092BAD">
            <w:pPr>
              <w:spacing w:before="240" w:after="240"/>
            </w:pPr>
          </w:p>
        </w:tc>
        <w:tc>
          <w:tcPr>
            <w:tcW w:w="6375" w:type="dxa"/>
            <w:gridSpan w:val="6"/>
          </w:tcPr>
          <w:p w:rsidR="00092BAD" w:rsidRDefault="004F1877">
            <w:pPr>
              <w:spacing w:before="240" w:after="240"/>
              <w:jc w:val="center"/>
            </w:pPr>
            <w:r>
              <w:t>Cognitive Process Dimension</w:t>
            </w:r>
          </w:p>
        </w:tc>
      </w:tr>
      <w:tr w:rsidR="00092BAD">
        <w:tc>
          <w:tcPr>
            <w:tcW w:w="2687" w:type="dxa"/>
          </w:tcPr>
          <w:p w:rsidR="00092BAD" w:rsidRDefault="004F1877">
            <w:pPr>
              <w:spacing w:before="240" w:after="240"/>
            </w:pPr>
            <w:r>
              <w:t>Knowledge Dimension</w:t>
            </w:r>
          </w:p>
        </w:tc>
        <w:tc>
          <w:tcPr>
            <w:tcW w:w="1305" w:type="dxa"/>
          </w:tcPr>
          <w:p w:rsidR="00092BAD" w:rsidRDefault="004F1877">
            <w:pPr>
              <w:spacing w:before="240" w:after="240"/>
            </w:pPr>
            <w:r>
              <w:t>Remember</w:t>
            </w:r>
          </w:p>
        </w:tc>
        <w:tc>
          <w:tcPr>
            <w:tcW w:w="1354" w:type="dxa"/>
          </w:tcPr>
          <w:p w:rsidR="00092BAD" w:rsidRDefault="004F1877">
            <w:pPr>
              <w:spacing w:before="240" w:after="240"/>
            </w:pPr>
            <w:r>
              <w:t>Understand</w:t>
            </w:r>
          </w:p>
        </w:tc>
        <w:tc>
          <w:tcPr>
            <w:tcW w:w="767" w:type="dxa"/>
          </w:tcPr>
          <w:p w:rsidR="00092BAD" w:rsidRDefault="004F1877">
            <w:pPr>
              <w:spacing w:before="240" w:after="240"/>
            </w:pPr>
            <w:r>
              <w:t>Apply</w:t>
            </w:r>
          </w:p>
        </w:tc>
        <w:tc>
          <w:tcPr>
            <w:tcW w:w="999" w:type="dxa"/>
          </w:tcPr>
          <w:p w:rsidR="00092BAD" w:rsidRDefault="004F1877">
            <w:pPr>
              <w:spacing w:before="240" w:after="240"/>
            </w:pPr>
            <w:proofErr w:type="spellStart"/>
            <w:r>
              <w:t>Analyse</w:t>
            </w:r>
            <w:proofErr w:type="spellEnd"/>
          </w:p>
        </w:tc>
        <w:tc>
          <w:tcPr>
            <w:tcW w:w="1073" w:type="dxa"/>
          </w:tcPr>
          <w:p w:rsidR="00092BAD" w:rsidRDefault="004F1877">
            <w:pPr>
              <w:spacing w:before="240" w:after="240"/>
            </w:pPr>
            <w:r>
              <w:t>Evaluate</w:t>
            </w:r>
          </w:p>
        </w:tc>
        <w:tc>
          <w:tcPr>
            <w:tcW w:w="877" w:type="dxa"/>
          </w:tcPr>
          <w:p w:rsidR="00092BAD" w:rsidRDefault="004F1877">
            <w:pPr>
              <w:spacing w:before="240" w:after="240"/>
            </w:pPr>
            <w:r>
              <w:t>Create</w:t>
            </w:r>
          </w:p>
        </w:tc>
      </w:tr>
      <w:tr w:rsidR="00092BAD">
        <w:tc>
          <w:tcPr>
            <w:tcW w:w="2687" w:type="dxa"/>
          </w:tcPr>
          <w:p w:rsidR="00092BAD" w:rsidRDefault="004F1877">
            <w:pPr>
              <w:spacing w:before="240" w:after="240"/>
            </w:pPr>
            <w:r>
              <w:t>Factual knowledge</w:t>
            </w:r>
          </w:p>
        </w:tc>
        <w:tc>
          <w:tcPr>
            <w:tcW w:w="1305" w:type="dxa"/>
          </w:tcPr>
          <w:p w:rsidR="00092BAD" w:rsidRDefault="00092BAD">
            <w:pPr>
              <w:spacing w:before="240" w:after="240"/>
            </w:pPr>
          </w:p>
        </w:tc>
        <w:tc>
          <w:tcPr>
            <w:tcW w:w="1354" w:type="dxa"/>
          </w:tcPr>
          <w:p w:rsidR="00092BAD" w:rsidRDefault="00092BAD">
            <w:pPr>
              <w:spacing w:before="240" w:after="240"/>
            </w:pPr>
          </w:p>
        </w:tc>
        <w:tc>
          <w:tcPr>
            <w:tcW w:w="767" w:type="dxa"/>
          </w:tcPr>
          <w:p w:rsidR="00092BAD" w:rsidRDefault="00092BAD">
            <w:pPr>
              <w:spacing w:before="240" w:after="240"/>
            </w:pPr>
          </w:p>
        </w:tc>
        <w:tc>
          <w:tcPr>
            <w:tcW w:w="999" w:type="dxa"/>
          </w:tcPr>
          <w:p w:rsidR="00092BAD" w:rsidRDefault="00092BAD">
            <w:pPr>
              <w:spacing w:before="240" w:after="240"/>
            </w:pPr>
          </w:p>
        </w:tc>
        <w:tc>
          <w:tcPr>
            <w:tcW w:w="1073" w:type="dxa"/>
          </w:tcPr>
          <w:p w:rsidR="00092BAD" w:rsidRDefault="00092BAD">
            <w:pPr>
              <w:spacing w:before="240" w:after="240"/>
            </w:pPr>
          </w:p>
        </w:tc>
        <w:tc>
          <w:tcPr>
            <w:tcW w:w="877" w:type="dxa"/>
          </w:tcPr>
          <w:p w:rsidR="00092BAD" w:rsidRDefault="00092BAD">
            <w:pPr>
              <w:spacing w:before="240" w:after="240"/>
            </w:pPr>
          </w:p>
        </w:tc>
      </w:tr>
      <w:tr w:rsidR="00092BAD">
        <w:tc>
          <w:tcPr>
            <w:tcW w:w="2687" w:type="dxa"/>
          </w:tcPr>
          <w:p w:rsidR="00092BAD" w:rsidRDefault="004F1877">
            <w:pPr>
              <w:spacing w:before="240" w:after="240"/>
            </w:pPr>
            <w:r>
              <w:lastRenderedPageBreak/>
              <w:t>Conceptual knowledge</w:t>
            </w:r>
          </w:p>
        </w:tc>
        <w:tc>
          <w:tcPr>
            <w:tcW w:w="1305" w:type="dxa"/>
          </w:tcPr>
          <w:p w:rsidR="00092BAD" w:rsidRDefault="00092BAD">
            <w:pPr>
              <w:spacing w:before="240" w:after="240"/>
            </w:pPr>
          </w:p>
        </w:tc>
        <w:tc>
          <w:tcPr>
            <w:tcW w:w="1354" w:type="dxa"/>
          </w:tcPr>
          <w:p w:rsidR="00092BAD" w:rsidRDefault="00092BAD">
            <w:pPr>
              <w:spacing w:before="240" w:after="240"/>
            </w:pPr>
          </w:p>
        </w:tc>
        <w:tc>
          <w:tcPr>
            <w:tcW w:w="767" w:type="dxa"/>
          </w:tcPr>
          <w:p w:rsidR="00092BAD" w:rsidRDefault="00092BAD">
            <w:pPr>
              <w:spacing w:before="240" w:after="240"/>
            </w:pPr>
          </w:p>
        </w:tc>
        <w:tc>
          <w:tcPr>
            <w:tcW w:w="999" w:type="dxa"/>
          </w:tcPr>
          <w:p w:rsidR="00092BAD" w:rsidRDefault="00092BAD">
            <w:pPr>
              <w:spacing w:before="240" w:after="240"/>
            </w:pPr>
          </w:p>
        </w:tc>
        <w:tc>
          <w:tcPr>
            <w:tcW w:w="1073" w:type="dxa"/>
          </w:tcPr>
          <w:p w:rsidR="00092BAD" w:rsidRDefault="00092BAD">
            <w:pPr>
              <w:spacing w:before="240" w:after="240"/>
            </w:pPr>
          </w:p>
        </w:tc>
        <w:tc>
          <w:tcPr>
            <w:tcW w:w="877" w:type="dxa"/>
          </w:tcPr>
          <w:p w:rsidR="00092BAD" w:rsidRDefault="00092BAD">
            <w:pPr>
              <w:spacing w:before="240" w:after="240"/>
            </w:pPr>
          </w:p>
        </w:tc>
      </w:tr>
      <w:tr w:rsidR="00092BAD">
        <w:tc>
          <w:tcPr>
            <w:tcW w:w="2687" w:type="dxa"/>
          </w:tcPr>
          <w:p w:rsidR="00092BAD" w:rsidRDefault="004F1877">
            <w:pPr>
              <w:spacing w:before="240" w:after="240"/>
            </w:pPr>
            <w:r>
              <w:t>Procedural knowledge</w:t>
            </w:r>
          </w:p>
        </w:tc>
        <w:tc>
          <w:tcPr>
            <w:tcW w:w="1305" w:type="dxa"/>
          </w:tcPr>
          <w:p w:rsidR="00092BAD" w:rsidRDefault="00092BAD">
            <w:pPr>
              <w:spacing w:before="240" w:after="240"/>
            </w:pPr>
          </w:p>
        </w:tc>
        <w:tc>
          <w:tcPr>
            <w:tcW w:w="1354" w:type="dxa"/>
          </w:tcPr>
          <w:p w:rsidR="00092BAD" w:rsidRDefault="00092BAD">
            <w:pPr>
              <w:spacing w:before="240" w:after="240"/>
            </w:pPr>
          </w:p>
        </w:tc>
        <w:tc>
          <w:tcPr>
            <w:tcW w:w="767" w:type="dxa"/>
          </w:tcPr>
          <w:p w:rsidR="00092BAD" w:rsidRDefault="00092BAD">
            <w:pPr>
              <w:spacing w:before="240" w:after="240"/>
            </w:pPr>
          </w:p>
        </w:tc>
        <w:tc>
          <w:tcPr>
            <w:tcW w:w="999" w:type="dxa"/>
          </w:tcPr>
          <w:p w:rsidR="00092BAD" w:rsidRDefault="00092BAD">
            <w:pPr>
              <w:spacing w:before="240" w:after="240"/>
            </w:pPr>
          </w:p>
        </w:tc>
        <w:tc>
          <w:tcPr>
            <w:tcW w:w="1073" w:type="dxa"/>
          </w:tcPr>
          <w:p w:rsidR="00092BAD" w:rsidRDefault="00092BAD">
            <w:pPr>
              <w:spacing w:before="240" w:after="240"/>
            </w:pPr>
          </w:p>
        </w:tc>
        <w:tc>
          <w:tcPr>
            <w:tcW w:w="877" w:type="dxa"/>
          </w:tcPr>
          <w:p w:rsidR="00092BAD" w:rsidRDefault="00092BAD">
            <w:pPr>
              <w:spacing w:before="240" w:after="240"/>
            </w:pPr>
          </w:p>
        </w:tc>
      </w:tr>
      <w:tr w:rsidR="00092BAD">
        <w:tc>
          <w:tcPr>
            <w:tcW w:w="2687" w:type="dxa"/>
          </w:tcPr>
          <w:p w:rsidR="00092BAD" w:rsidRDefault="004F1877">
            <w:pPr>
              <w:spacing w:before="240" w:after="240"/>
            </w:pPr>
            <w:r>
              <w:t xml:space="preserve">Metacognitive knowledge </w:t>
            </w:r>
          </w:p>
        </w:tc>
        <w:tc>
          <w:tcPr>
            <w:tcW w:w="1305" w:type="dxa"/>
          </w:tcPr>
          <w:p w:rsidR="00092BAD" w:rsidRDefault="00092BAD">
            <w:pPr>
              <w:spacing w:before="240" w:after="240"/>
            </w:pPr>
          </w:p>
        </w:tc>
        <w:tc>
          <w:tcPr>
            <w:tcW w:w="1354" w:type="dxa"/>
          </w:tcPr>
          <w:p w:rsidR="00092BAD" w:rsidRDefault="00092BAD">
            <w:pPr>
              <w:spacing w:before="240" w:after="240"/>
            </w:pPr>
          </w:p>
        </w:tc>
        <w:tc>
          <w:tcPr>
            <w:tcW w:w="767" w:type="dxa"/>
          </w:tcPr>
          <w:p w:rsidR="00092BAD" w:rsidRDefault="00092BAD">
            <w:pPr>
              <w:spacing w:before="240" w:after="240"/>
            </w:pPr>
          </w:p>
        </w:tc>
        <w:tc>
          <w:tcPr>
            <w:tcW w:w="999" w:type="dxa"/>
          </w:tcPr>
          <w:p w:rsidR="00092BAD" w:rsidRDefault="00092BAD">
            <w:pPr>
              <w:spacing w:before="240" w:after="240"/>
            </w:pPr>
          </w:p>
        </w:tc>
        <w:tc>
          <w:tcPr>
            <w:tcW w:w="1073" w:type="dxa"/>
          </w:tcPr>
          <w:p w:rsidR="00092BAD" w:rsidRDefault="00092BAD">
            <w:pPr>
              <w:spacing w:before="240" w:after="240"/>
            </w:pPr>
          </w:p>
        </w:tc>
        <w:tc>
          <w:tcPr>
            <w:tcW w:w="877" w:type="dxa"/>
          </w:tcPr>
          <w:p w:rsidR="00092BAD" w:rsidRDefault="00092BAD">
            <w:pPr>
              <w:spacing w:before="240" w:after="240"/>
            </w:pPr>
          </w:p>
        </w:tc>
      </w:tr>
    </w:tbl>
    <w:p w:rsidR="00092BAD" w:rsidRDefault="004F1877">
      <w:pPr>
        <w:spacing w:before="240" w:after="240"/>
      </w:pPr>
      <w:r>
        <w:t xml:space="preserve">The synergy between product (knowledge) and process (cognitive processes) has important implications for practitioners and align well with findings from cognitive science as well as being flexible enough to incorporate any future developments.  So how could these knowledge types be combined with cognitive processes? Let’s turn to each of the four knowledge types </w:t>
      </w:r>
    </w:p>
    <w:p w:rsidR="00092BAD" w:rsidRDefault="004F1877">
      <w:pPr>
        <w:spacing w:before="240" w:after="240"/>
        <w:rPr>
          <w:b/>
        </w:rPr>
      </w:pPr>
      <w:r>
        <w:rPr>
          <w:b/>
        </w:rPr>
        <w:t>Factual knowledge</w:t>
      </w:r>
    </w:p>
    <w:p w:rsidR="00092BAD" w:rsidRDefault="004F1877">
      <w:pPr>
        <w:spacing w:before="240" w:after="240"/>
      </w:pPr>
      <w:r>
        <w:t xml:space="preserve">Factual knowledge refers to the basic elements that learners must know to be acquainted with a discipline or solve problems </w:t>
      </w:r>
      <w:r w:rsidR="00375B48">
        <w:t>within it</w:t>
      </w:r>
      <w:r>
        <w:t xml:space="preserve">. Sometimes factual knowledge is labelled as ‘lower-order’, but following the revised ideas (Krathwohl, 2002), it would not be appropriate to call certain types of knowledge ‘higher’ or ‘lower’, nor ‘more important’ or ‘less important’. While it is the case that the ‘verbs’ in Revised Bloom are presented as an order: to remember, to understand, to apply, to </w:t>
      </w:r>
      <w:proofErr w:type="spellStart"/>
      <w:r>
        <w:t>analyse</w:t>
      </w:r>
      <w:proofErr w:type="spellEnd"/>
      <w:r>
        <w:t>, to evaluate and to create, the distinction between them has to do with the relative complexity of cognitive processing than importance. For example, ‘remember’ would likely require less cognitive processing complexity than ‘</w:t>
      </w:r>
      <w:proofErr w:type="spellStart"/>
      <w:r>
        <w:t>analyse</w:t>
      </w:r>
      <w:proofErr w:type="spellEnd"/>
      <w:r>
        <w:t xml:space="preserve">’. This is not to say that the level of cognitive processing involved is always easy to determine, as it interacts with task complexity. </w:t>
      </w:r>
      <w:r w:rsidR="00375B48">
        <w:t>Moreover,</w:t>
      </w:r>
      <w:r>
        <w:t xml:space="preserve"> the knowledge dimension can be combined with the dimension of cognitive processes, factual knowledge can play a role in all levels of cognitive processes. In other words, factual knowledge also is, for example, used in creating and </w:t>
      </w:r>
      <w:proofErr w:type="spellStart"/>
      <w:r>
        <w:t>analysing</w:t>
      </w:r>
      <w:proofErr w:type="spellEnd"/>
      <w:r>
        <w:t xml:space="preserve"> content knowledge. Fan and Bokhove (2014) apply this in their </w:t>
      </w:r>
      <w:proofErr w:type="spellStart"/>
      <w:r>
        <w:t>reconceptualisation</w:t>
      </w:r>
      <w:proofErr w:type="spellEnd"/>
      <w:r>
        <w:t xml:space="preserve"> of algorithms: algorithms can just be remembered (and that is perfectly fine!) but can also be understood more deeply. </w:t>
      </w:r>
    </w:p>
    <w:p w:rsidR="00092BAD" w:rsidRDefault="004F1877">
      <w:pPr>
        <w:spacing w:before="240" w:after="240"/>
        <w:rPr>
          <w:b/>
        </w:rPr>
      </w:pPr>
      <w:r>
        <w:rPr>
          <w:b/>
        </w:rPr>
        <w:t>Conceptual knowledge</w:t>
      </w:r>
    </w:p>
    <w:p w:rsidR="00092BAD" w:rsidRDefault="004F1877">
      <w:pPr>
        <w:spacing w:before="240" w:after="240"/>
      </w:pPr>
      <w:r>
        <w:t xml:space="preserve">The six action verbs can also be combined with ‘conceptual knowledge’. Concepts have been described by Murphy as “the glue that holds our mental world together” (2002, </w:t>
      </w:r>
      <w:proofErr w:type="spellStart"/>
      <w:r>
        <w:t>pg</w:t>
      </w:r>
      <w:proofErr w:type="spellEnd"/>
      <w:r>
        <w:t xml:space="preserve"> 1), The new taxonomy defines conceptual knowledge as “the interrelationships among the basic elements within a larger structure that enable them to function together.” (Krathwohl, 2002, p. 214) For our purposes, we will take a similar line to Murphy (2002, p. 3) in seeing the conceptual as ultimately a mental categorical tool that allows us to infer, albeit sometimes wrongly</w:t>
      </w:r>
      <w:r w:rsidR="00375B48">
        <w:t>,</w:t>
      </w:r>
      <w:r>
        <w:t xml:space="preserve"> when encountering new entities and in turn gives us the ability to communicate about them. It is this link to both inference and novel situations which is why conceptual understanding is often strongly linked to transfer of learning. Especially topical now, concept-based learning is proving increasingly popular internationally with the International Baccalaureate committing to a concept-based approach in large part through the work of Erickson (2012). Despite some </w:t>
      </w:r>
      <w:r>
        <w:lastRenderedPageBreak/>
        <w:t>arguments that a base of factual knowledge should come first before the conceptual, Agrawal (2019) has demonstrated in a study designed with the revised taxonomy that when it comes to the conceptual transfer appropriate processing, the idea that practice conditions should mirror the conditions for later retrieval, does apply and that for more inexperienced learners there should be a mix of higher-order and factual questions for practice from the beginning. Perhaps most tellingly, in using conceptual knowledge and the levels of cognitive processing dimensions of the revised taxonomy to classify and then explore the transfer of authentic classroom material</w:t>
      </w:r>
      <w:r w:rsidR="00375B48">
        <w:t>, that study</w:t>
      </w:r>
      <w:r>
        <w:t xml:space="preserve"> demonstrates just how much potential utility it still has for both the teacher and researcher. </w:t>
      </w:r>
    </w:p>
    <w:p w:rsidR="00092BAD" w:rsidRDefault="004F1877">
      <w:pPr>
        <w:spacing w:before="240" w:after="240"/>
        <w:rPr>
          <w:b/>
        </w:rPr>
      </w:pPr>
      <w:r>
        <w:rPr>
          <w:b/>
        </w:rPr>
        <w:t>Procedural knowledge</w:t>
      </w:r>
    </w:p>
    <w:p w:rsidR="00092BAD" w:rsidRDefault="004F1877">
      <w:pPr>
        <w:spacing w:before="240" w:after="240"/>
      </w:pPr>
      <w:r>
        <w:t xml:space="preserve">The third type of knowledge in the revised Bloom is procedural knowledge. Procedural refers to the ‘how to’ of expressing knowledge Ohlsson (2011) has described how cognitive scientists differentiate between “declarative” and “practical” knowledge and despite clear connections between the two, there are important differences. For example, declarative knowledge is knowledge about the way the world is, which would probably refer more to factual or conceptual knowledge, whereas practical knowledge is knowledge about what we do: knowledge of how to perform tasks, reach goals or produce desired consequences. A key illustrative difference between the two is that declarative statements can be more or less accurate, while practical knowledge is neither true nor false, but more or less effective. Ohlsson (2001) also sees practical knowledge as having what he calls ‘production rules’ – three-way associations between a goal, a situation and an action. Work by </w:t>
      </w:r>
      <w:proofErr w:type="spellStart"/>
      <w:r>
        <w:t>Rittle</w:t>
      </w:r>
      <w:proofErr w:type="spellEnd"/>
      <w:r>
        <w:t xml:space="preserve">-Johnson and colleagues (2015) in mathematics education has also demonstrated that procedural knowledge and conceptual are entwined. The procedural such as knowing which steps to take to solve an equation and conceptual knowledge such as knowing what the role of a variable is, goes ‘hand in hand’ and both are developed iteratively. Likewise, the metacognitive without the procedural, such as knowing what solution strategy to use, but not being able to swiftly solve an equation, may not be an outcome we would desire for our students either. </w:t>
      </w:r>
    </w:p>
    <w:p w:rsidR="00092BAD" w:rsidRDefault="004F1877">
      <w:pPr>
        <w:spacing w:before="240" w:after="240"/>
        <w:rPr>
          <w:b/>
        </w:rPr>
      </w:pPr>
      <w:r>
        <w:rPr>
          <w:b/>
        </w:rPr>
        <w:t>Metacognitive knowledge</w:t>
      </w:r>
    </w:p>
    <w:p w:rsidR="00092BAD" w:rsidRDefault="004F1877">
      <w:pPr>
        <w:spacing w:before="240" w:after="240"/>
        <w:rPr>
          <w:b/>
        </w:rPr>
      </w:pPr>
      <w:r>
        <w:t xml:space="preserve">Moving on from knowing how to do something to self-assessing how well we do things, is the fourth type of knowledge in the knowledge dimension. Like its close cousin self-regulation, metacognition is generally </w:t>
      </w:r>
      <w:proofErr w:type="spellStart"/>
      <w:r>
        <w:t>conceptualised</w:t>
      </w:r>
      <w:proofErr w:type="spellEnd"/>
      <w:r>
        <w:t xml:space="preserve"> as consisting of different components. While the revised taxonomy made the distinction between strategic knowledge, knowledge about cognitive tasks, and self-knowledge, more recent authors make a common distinction between two components </w:t>
      </w:r>
      <w:r>
        <w:rPr>
          <w:i/>
        </w:rPr>
        <w:t>metacognitive knowledge</w:t>
      </w:r>
      <w:r>
        <w:t xml:space="preserve"> and </w:t>
      </w:r>
      <w:r>
        <w:rPr>
          <w:i/>
        </w:rPr>
        <w:t>metacognitive skills</w:t>
      </w:r>
      <w:r>
        <w:t xml:space="preserve"> (</w:t>
      </w:r>
      <w:proofErr w:type="spellStart"/>
      <w:r>
        <w:t>Veenman</w:t>
      </w:r>
      <w:proofErr w:type="spellEnd"/>
      <w:r>
        <w:t xml:space="preserve"> et al, 2006). Metacognitive </w:t>
      </w:r>
      <w:r>
        <w:rPr>
          <w:i/>
        </w:rPr>
        <w:t>knowledge</w:t>
      </w:r>
      <w:r>
        <w:t xml:space="preserve"> is what a learner knows about the way they learn or how they can engage most efficiently with a particular task, while </w:t>
      </w:r>
      <w:r>
        <w:rPr>
          <w:i/>
        </w:rPr>
        <w:t>skills</w:t>
      </w:r>
      <w:r>
        <w:t xml:space="preserve"> refer to the ability to regulate these activities. Both are of key importance and interact with one another. Effective use of metacognitive skills entails the application of metacognitive knowledge which includes pupils’ ability to assess or evaluate their progress on cognitive tasks </w:t>
      </w:r>
      <w:r>
        <w:rPr>
          <w:i/>
        </w:rPr>
        <w:t>as well as</w:t>
      </w:r>
      <w:r>
        <w:t xml:space="preserve"> their ability to use strategies to regulate progress in a systematic manner (</w:t>
      </w:r>
      <w:proofErr w:type="spellStart"/>
      <w:r>
        <w:t>Karably</w:t>
      </w:r>
      <w:proofErr w:type="spellEnd"/>
      <w:r>
        <w:t xml:space="preserve"> &amp; </w:t>
      </w:r>
      <w:proofErr w:type="spellStart"/>
      <w:r>
        <w:t>Zabrucky</w:t>
      </w:r>
      <w:proofErr w:type="spellEnd"/>
      <w:r>
        <w:t xml:space="preserve">, 2009). Similarly, Schraw et al. (2006) call the two main components the </w:t>
      </w:r>
      <w:r>
        <w:rPr>
          <w:i/>
        </w:rPr>
        <w:t>knowledge</w:t>
      </w:r>
      <w:r>
        <w:t xml:space="preserve"> of cognition and </w:t>
      </w:r>
      <w:r>
        <w:rPr>
          <w:i/>
        </w:rPr>
        <w:t>regulation</w:t>
      </w:r>
      <w:r>
        <w:t xml:space="preserve"> of </w:t>
      </w:r>
      <w:r>
        <w:lastRenderedPageBreak/>
        <w:t xml:space="preserve">cognition, with knowledge of cognition including three further subcomponents: declarative, procedural and conditional knowledge; and regulation of cognition including planning, monitoring and evaluation. We again see that metacognitive knowledge is distinct but is closely related to the other types of knowledge. Perhaps more speculatively, the metacognitive has exceptional potential to interact with other dimensions and in particular the affective. With the role of emotion in learning attracting increasing attention in other disciplines, for example, the role of emotion in working memory capacity (Moran, 2016) suggests that there is a clear opportunity to update or modify those theories to include it. </w:t>
      </w:r>
    </w:p>
    <w:p w:rsidR="00092BAD" w:rsidRDefault="004F1877">
      <w:pPr>
        <w:spacing w:before="240" w:after="240"/>
        <w:rPr>
          <w:b/>
        </w:rPr>
      </w:pPr>
      <w:r>
        <w:rPr>
          <w:b/>
        </w:rPr>
        <w:t xml:space="preserve">Reviving Bloom </w:t>
      </w:r>
    </w:p>
    <w:p w:rsidR="00092BAD" w:rsidRDefault="004F1877">
      <w:pPr>
        <w:spacing w:before="240" w:after="240"/>
      </w:pPr>
      <w:r>
        <w:t xml:space="preserve">Through the example of the revised Bloom’s taxonomy (Krathwohl, 2002), we have seen that some of our professional ‘ancestral wisdom’ is very current indeed. Education has a marked tendency to reinvent the wheel and as with Blooms, potentially valuable ideas can drift out of fashion. Indeed, there is a cautionary tale here and the current focus on cognitive science could also in turn shift elsewhere. In this article, we are suggesting one way of avoiding this fate, by demonstrating that the revised taxonomy’s two-dimensional structure comprising the four knowledge types and the six cognitive processes is more than flexible enough to incorporate new findings </w:t>
      </w:r>
      <w:r w:rsidR="00375B48">
        <w:t>thus offering</w:t>
      </w:r>
      <w:r>
        <w:t xml:space="preserve"> the possibility of more clearly building on what has come before. We conclude by turning to some practitioner implications arising from the previous discussion.</w:t>
      </w:r>
    </w:p>
    <w:p w:rsidR="00092BAD" w:rsidRDefault="004F1877">
      <w:pPr>
        <w:spacing w:before="240" w:after="240"/>
      </w:pPr>
      <w:r>
        <w:rPr>
          <w:b/>
        </w:rPr>
        <w:t xml:space="preserve">Practitioner implications </w:t>
      </w:r>
    </w:p>
    <w:p w:rsidR="00092BAD" w:rsidRDefault="004F1877">
      <w:pPr>
        <w:numPr>
          <w:ilvl w:val="0"/>
          <w:numId w:val="1"/>
        </w:numPr>
      </w:pPr>
      <w:r>
        <w:rPr>
          <w:b/>
        </w:rPr>
        <w:t xml:space="preserve">Factual: </w:t>
      </w:r>
      <w:r>
        <w:t>Build in variety to your retrieval practice lesson starters by using the levels of processing verbs to build in follow up tasks. This could start by asking students to recall all the previous point from the last lesson, then put them into categories, then rank them and so on. (Derived from Fan and Bokhove, 2014).</w:t>
      </w:r>
    </w:p>
    <w:p w:rsidR="00092BAD" w:rsidRDefault="004F1877">
      <w:pPr>
        <w:numPr>
          <w:ilvl w:val="0"/>
          <w:numId w:val="1"/>
        </w:numPr>
      </w:pPr>
      <w:r>
        <w:rPr>
          <w:b/>
        </w:rPr>
        <w:t>Conceptual:</w:t>
      </w:r>
      <w:r>
        <w:t xml:space="preserve"> Use a mix of lower-order questions such as remember, understand and higher-order such as apply, analyze, evaluate when planning retrieval practice even with beginners (Derived from Agrawal, 2019).</w:t>
      </w:r>
    </w:p>
    <w:p w:rsidR="00092BAD" w:rsidRDefault="004F1877">
      <w:pPr>
        <w:numPr>
          <w:ilvl w:val="0"/>
          <w:numId w:val="1"/>
        </w:numPr>
        <w:rPr>
          <w:b/>
        </w:rPr>
      </w:pPr>
      <w:r>
        <w:rPr>
          <w:b/>
        </w:rPr>
        <w:t xml:space="preserve">Conceptual/Procedural: </w:t>
      </w:r>
      <w:r>
        <w:t xml:space="preserve">Teach for far transfer of related concepts by initially using explicit prompts and hints how to apply one to the other, don’t expect students to be able to transfer initially without them. (Derived from </w:t>
      </w:r>
      <w:proofErr w:type="spellStart"/>
      <w:r>
        <w:t>Gick</w:t>
      </w:r>
      <w:proofErr w:type="spellEnd"/>
      <w:r>
        <w:t xml:space="preserve"> and </w:t>
      </w:r>
      <w:proofErr w:type="spellStart"/>
      <w:r>
        <w:t>Holyoak</w:t>
      </w:r>
      <w:proofErr w:type="spellEnd"/>
      <w:r>
        <w:t>, 1980)</w:t>
      </w:r>
    </w:p>
    <w:p w:rsidR="00A70CAE" w:rsidRPr="003A6E2A" w:rsidRDefault="00A70CAE">
      <w:pPr>
        <w:numPr>
          <w:ilvl w:val="0"/>
          <w:numId w:val="1"/>
        </w:numPr>
      </w:pPr>
      <w:r>
        <w:rPr>
          <w:b/>
        </w:rPr>
        <w:t>Conceptual/Procedural</w:t>
      </w:r>
      <w:r w:rsidR="003A6E2A">
        <w:rPr>
          <w:b/>
        </w:rPr>
        <w:t xml:space="preserve">: </w:t>
      </w:r>
      <w:r w:rsidR="003A6E2A" w:rsidRPr="003A6E2A">
        <w:rPr>
          <w:bCs/>
        </w:rPr>
        <w:t>E</w:t>
      </w:r>
      <w:r w:rsidR="00291A6A" w:rsidRPr="003A6E2A">
        <w:rPr>
          <w:bCs/>
        </w:rPr>
        <w:t>n</w:t>
      </w:r>
      <w:r w:rsidR="00291A6A">
        <w:rPr>
          <w:bCs/>
        </w:rPr>
        <w:t xml:space="preserve">sure that there is enough procedural work to improve fluency after you have introduced a new concept to take advantage of the bidirectional nature of the Conceptual/Procedural interconnection. </w:t>
      </w:r>
      <w:r w:rsidR="008354CB">
        <w:rPr>
          <w:bCs/>
        </w:rPr>
        <w:t>However, if conceptual knowledge is not yet forthcoming, keep in mind that numerous tasks aimed at improving procedural knowledge, will also contribute to conceptual knowledge</w:t>
      </w:r>
      <w:r w:rsidR="00292C1C">
        <w:rPr>
          <w:bCs/>
        </w:rPr>
        <w:t xml:space="preserve">. This </w:t>
      </w:r>
      <w:r w:rsidR="007E3766">
        <w:rPr>
          <w:bCs/>
        </w:rPr>
        <w:t xml:space="preserve">bidirectional </w:t>
      </w:r>
      <w:r w:rsidR="00292C1C">
        <w:rPr>
          <w:bCs/>
        </w:rPr>
        <w:t xml:space="preserve">effect may </w:t>
      </w:r>
      <w:r w:rsidR="007E3766">
        <w:rPr>
          <w:bCs/>
        </w:rPr>
        <w:t xml:space="preserve">also </w:t>
      </w:r>
      <w:r w:rsidR="00292C1C">
        <w:rPr>
          <w:bCs/>
        </w:rPr>
        <w:t xml:space="preserve">be </w:t>
      </w:r>
      <w:r w:rsidR="007E3766">
        <w:rPr>
          <w:bCs/>
        </w:rPr>
        <w:t>achieved</w:t>
      </w:r>
      <w:r w:rsidR="00292C1C">
        <w:rPr>
          <w:bCs/>
        </w:rPr>
        <w:t xml:space="preserve"> by adding a reflection stage after a segment of </w:t>
      </w:r>
      <w:r w:rsidR="008C0B15">
        <w:rPr>
          <w:bCs/>
        </w:rPr>
        <w:t xml:space="preserve">well-sequenced </w:t>
      </w:r>
      <w:r w:rsidR="00292C1C">
        <w:rPr>
          <w:bCs/>
        </w:rPr>
        <w:t xml:space="preserve">procedural work. </w:t>
      </w:r>
      <w:r w:rsidR="008354CB">
        <w:rPr>
          <w:bCs/>
        </w:rPr>
        <w:br/>
      </w:r>
      <w:r w:rsidR="00291A6A">
        <w:rPr>
          <w:bCs/>
        </w:rPr>
        <w:t xml:space="preserve">(Derived from </w:t>
      </w:r>
      <w:proofErr w:type="spellStart"/>
      <w:r w:rsidR="00291A6A">
        <w:rPr>
          <w:bCs/>
        </w:rPr>
        <w:t>Rittle</w:t>
      </w:r>
      <w:proofErr w:type="spellEnd"/>
      <w:r w:rsidR="00291A6A">
        <w:rPr>
          <w:bCs/>
        </w:rPr>
        <w:t>-Johnson et al 2015)</w:t>
      </w:r>
    </w:p>
    <w:p w:rsidR="000742A5" w:rsidRDefault="003A6E2A">
      <w:pPr>
        <w:numPr>
          <w:ilvl w:val="0"/>
          <w:numId w:val="1"/>
        </w:numPr>
      </w:pPr>
      <w:r>
        <w:rPr>
          <w:b/>
        </w:rPr>
        <w:t>Metacognitive:</w:t>
      </w:r>
      <w:r>
        <w:t xml:space="preserve"> Use </w:t>
      </w:r>
      <w:proofErr w:type="gramStart"/>
      <w:r>
        <w:t>goal-setting</w:t>
      </w:r>
      <w:proofErr w:type="gramEnd"/>
      <w:r>
        <w:t xml:space="preserve"> </w:t>
      </w:r>
      <w:r w:rsidR="004F1877">
        <w:t>within</w:t>
      </w:r>
      <w:r>
        <w:t xml:space="preserve"> subjects so that students set goals and choose appropriate strategies to achieve those goals</w:t>
      </w:r>
      <w:r w:rsidR="000742A5">
        <w:t xml:space="preserve"> and then monitor their progress towards th</w:t>
      </w:r>
      <w:r w:rsidR="00FA35AF">
        <w:t xml:space="preserve">e goals. </w:t>
      </w:r>
      <w:bookmarkStart w:id="2" w:name="_GoBack"/>
      <w:bookmarkEnd w:id="2"/>
      <w:r w:rsidR="00FA35AF">
        <w:t>(</w:t>
      </w:r>
      <w:r>
        <w:t>Derived from Schraw, Crippen and Hartley, 2006)</w:t>
      </w:r>
    </w:p>
    <w:p w:rsidR="008354CB" w:rsidRDefault="008354CB" w:rsidP="000742A5">
      <w:pPr>
        <w:numPr>
          <w:ilvl w:val="0"/>
          <w:numId w:val="1"/>
        </w:numPr>
      </w:pPr>
      <w:r w:rsidRPr="000742A5">
        <w:rPr>
          <w:b/>
        </w:rPr>
        <w:lastRenderedPageBreak/>
        <w:t>Metacognitive:</w:t>
      </w:r>
      <w:r>
        <w:t xml:space="preserve"> Explicitly teach pupils metacognitive strategies, including how to plan, monitor and evaluate their learning within subject domains (Education Endowment Foundation, 2018)</w:t>
      </w:r>
    </w:p>
    <w:p w:rsidR="00092BAD" w:rsidRDefault="00092BAD" w:rsidP="000742A5"/>
    <w:p w:rsidR="00092BAD" w:rsidRDefault="004F1877">
      <w:pPr>
        <w:spacing w:before="240" w:after="240"/>
        <w:rPr>
          <w:b/>
        </w:rPr>
      </w:pPr>
      <w:r>
        <w:rPr>
          <w:b/>
        </w:rPr>
        <w:t xml:space="preserve">REFERENCES </w:t>
      </w:r>
    </w:p>
    <w:p w:rsidR="00092BAD" w:rsidRDefault="004F1877">
      <w:pPr>
        <w:spacing w:before="240" w:after="240"/>
        <w:rPr>
          <w:color w:val="1155CC"/>
          <w:u w:val="single"/>
        </w:rPr>
      </w:pPr>
      <w:r>
        <w:t xml:space="preserve">Agarwal, P. K. (2019). Retrieval practice &amp; Bloom’s taxonomy: Do students need fact knowledge before higher-order learning? </w:t>
      </w:r>
      <w:r>
        <w:rPr>
          <w:rFonts w:ascii="Calibri" w:eastAsia="Calibri" w:hAnsi="Calibri" w:cs="Calibri"/>
          <w:i/>
        </w:rPr>
        <w:t>Journal of Educational Psychology, 111</w:t>
      </w:r>
      <w:r>
        <w:t>(2), 189-209.</w:t>
      </w:r>
      <w:hyperlink r:id="rId5">
        <w:r>
          <w:rPr>
            <w:color w:val="0000FF"/>
            <w:u w:val="single"/>
          </w:rPr>
          <w:t>http://dx.doi.org/10.1037/edu0000282</w:t>
        </w:r>
      </w:hyperlink>
    </w:p>
    <w:p w:rsidR="00092BAD" w:rsidRDefault="004F1877">
      <w:pPr>
        <w:spacing w:before="240" w:after="240"/>
      </w:pPr>
      <w:r>
        <w:t>Bloom, B.S. and Krathwohl, D. R. (1956) Taxonomy of Educational Objectives: The Classification of Educational Goals, by a committee of college and university examiners. Handbook I: Cognitive Domain. NY, NY: Longmans, Green</w:t>
      </w:r>
    </w:p>
    <w:p w:rsidR="00092BAD" w:rsidRDefault="004F1877">
      <w:pPr>
        <w:spacing w:before="240" w:after="240"/>
      </w:pPr>
      <w:r>
        <w:t>Education Endowment Foundation. (2018). Metacognition and self-regulated learning – Guidance report. Retrieved from https://educationendowmentfoundation.org.uk/public/files/Publications/Metacognition/EEF_Metacognition_and_self-regulated_learning.pdf”</w:t>
      </w:r>
    </w:p>
    <w:p w:rsidR="00092BAD" w:rsidRDefault="004F1877">
      <w:pPr>
        <w:spacing w:before="240" w:after="240"/>
      </w:pPr>
      <w:r>
        <w:t xml:space="preserve">Erickson, H.L. (2012). Concept-based teaching and learning. International Baccalaureate position paper.   </w:t>
      </w:r>
      <w:hyperlink r:id="rId6">
        <w:r>
          <w:rPr>
            <w:color w:val="1155CC"/>
            <w:u w:val="single"/>
          </w:rPr>
          <w:t>http://www.ibmidatlantic.org/Concept_Based_Teaching_Learning.pdf</w:t>
        </w:r>
      </w:hyperlink>
    </w:p>
    <w:p w:rsidR="00092BAD" w:rsidRDefault="004F1877">
      <w:pPr>
        <w:spacing w:before="240" w:after="240"/>
        <w:rPr>
          <w:color w:val="1155CC"/>
          <w:u w:val="single"/>
        </w:rPr>
      </w:pPr>
      <w:r>
        <w:t xml:space="preserve">Fan, L., &amp; Bokhove, C. (2014). Rethinking the role of algorithms in school mathematics: A conceptual model with focus on cognitive development. </w:t>
      </w:r>
      <w:r>
        <w:rPr>
          <w:i/>
        </w:rPr>
        <w:t>ZDM-International Journal on Mathematics Education</w:t>
      </w:r>
      <w:r>
        <w:t xml:space="preserve">, </w:t>
      </w:r>
      <w:r>
        <w:rPr>
          <w:i/>
        </w:rPr>
        <w:t>46</w:t>
      </w:r>
      <w:r>
        <w:t>(3), 481 – 492.</w:t>
      </w:r>
      <w:hyperlink r:id="rId7">
        <w:r>
          <w:t xml:space="preserve"> </w:t>
        </w:r>
      </w:hyperlink>
      <w:hyperlink r:id="rId8">
        <w:r>
          <w:rPr>
            <w:color w:val="1155CC"/>
            <w:u w:val="single"/>
          </w:rPr>
          <w:t>https://doi.org/10.1007/s11858-014-0590-2</w:t>
        </w:r>
      </w:hyperlink>
    </w:p>
    <w:p w:rsidR="00092BAD" w:rsidRDefault="004F1877">
      <w:pPr>
        <w:spacing w:before="240" w:after="240"/>
      </w:pPr>
      <w:proofErr w:type="spellStart"/>
      <w:r>
        <w:t>Gick</w:t>
      </w:r>
      <w:proofErr w:type="spellEnd"/>
      <w:r>
        <w:t xml:space="preserve">, M. L., &amp; </w:t>
      </w:r>
      <w:proofErr w:type="spellStart"/>
      <w:r>
        <w:t>Holyoak</w:t>
      </w:r>
      <w:proofErr w:type="spellEnd"/>
      <w:r>
        <w:t xml:space="preserve">, K. J. (1980). Analogical problem-solving. </w:t>
      </w:r>
      <w:r>
        <w:rPr>
          <w:i/>
        </w:rPr>
        <w:t>Cognitive Psychology</w:t>
      </w:r>
      <w:r>
        <w:t xml:space="preserve">, 12, 306--355. </w:t>
      </w:r>
      <w:hyperlink r:id="rId9">
        <w:r>
          <w:rPr>
            <w:color w:val="1155CC"/>
            <w:u w:val="single"/>
          </w:rPr>
          <w:t>http://reasoninglab.psych.ucla.edu/KH%20pdfs/Gick-Holyoak%281980%29Analogical%20Problem%20Solving.pdf</w:t>
        </w:r>
      </w:hyperlink>
    </w:p>
    <w:p w:rsidR="00092BAD" w:rsidRPr="003A6E2A" w:rsidRDefault="004F1877" w:rsidP="003A6E2A">
      <w:pPr>
        <w:rPr>
          <w:rFonts w:ascii="Times New Roman" w:eastAsia="Times New Roman" w:hAnsi="Times New Roman" w:cs="Times New Roman"/>
          <w:sz w:val="24"/>
          <w:szCs w:val="24"/>
          <w:lang w:val="en-ID"/>
        </w:rPr>
      </w:pPr>
      <w:proofErr w:type="spellStart"/>
      <w:r>
        <w:t>Karably</w:t>
      </w:r>
      <w:proofErr w:type="spellEnd"/>
      <w:r>
        <w:t xml:space="preserve">, K., &amp; </w:t>
      </w:r>
      <w:proofErr w:type="spellStart"/>
      <w:r>
        <w:t>Zabrucky</w:t>
      </w:r>
      <w:proofErr w:type="spellEnd"/>
      <w:r>
        <w:t xml:space="preserve">, K. (2009). Children's metamemory: A review of the literature and implications for the classroom. </w:t>
      </w:r>
      <w:r>
        <w:rPr>
          <w:i/>
        </w:rPr>
        <w:t>International Electronic Journal of Elementary Education,</w:t>
      </w:r>
      <w:r>
        <w:t xml:space="preserve"> </w:t>
      </w:r>
      <w:r>
        <w:rPr>
          <w:i/>
        </w:rPr>
        <w:t>2</w:t>
      </w:r>
      <w:r>
        <w:t>(1),</w:t>
      </w:r>
      <w:hyperlink r:id="rId10">
        <w:r>
          <w:t xml:space="preserve"> </w:t>
        </w:r>
      </w:hyperlink>
      <w:r w:rsidR="003A6E2A" w:rsidRPr="003A6E2A">
        <w:t xml:space="preserve"> </w:t>
      </w:r>
      <w:hyperlink r:id="rId11" w:history="1">
        <w:r w:rsidR="003A6E2A" w:rsidRPr="003A6E2A">
          <w:rPr>
            <w:rFonts w:ascii="Times New Roman" w:eastAsia="Times New Roman" w:hAnsi="Times New Roman" w:cs="Times New Roman"/>
            <w:color w:val="0000FF"/>
            <w:sz w:val="24"/>
            <w:szCs w:val="24"/>
            <w:u w:val="single"/>
            <w:lang w:val="en-ID"/>
          </w:rPr>
          <w:t>https://www.pegem.net/dosyalar/dokuman/138486-2014010414591-3.pdf</w:t>
        </w:r>
      </w:hyperlink>
    </w:p>
    <w:p w:rsidR="00092BAD" w:rsidRDefault="004F1877">
      <w:pPr>
        <w:spacing w:before="240" w:after="240"/>
        <w:rPr>
          <w:color w:val="1155CC"/>
          <w:u w:val="single"/>
        </w:rPr>
      </w:pPr>
      <w:r>
        <w:t xml:space="preserve">Krathwohl, D. R. (2002). A revision of Bloom’s Taxonomy. </w:t>
      </w:r>
      <w:r>
        <w:rPr>
          <w:i/>
        </w:rPr>
        <w:t>Theory into Practice,</w:t>
      </w:r>
      <w:r>
        <w:t xml:space="preserve"> </w:t>
      </w:r>
      <w:r>
        <w:rPr>
          <w:i/>
        </w:rPr>
        <w:t>41</w:t>
      </w:r>
      <w:r>
        <w:t>(4).</w:t>
      </w:r>
      <w:hyperlink r:id="rId12">
        <w:r>
          <w:t xml:space="preserve"> </w:t>
        </w:r>
      </w:hyperlink>
      <w:hyperlink r:id="rId13">
        <w:r>
          <w:rPr>
            <w:color w:val="1155CC"/>
            <w:u w:val="single"/>
          </w:rPr>
          <w:t>https://www.depauw.edu/files/resources/krathwohl.pdf</w:t>
        </w:r>
      </w:hyperlink>
    </w:p>
    <w:p w:rsidR="00092BAD" w:rsidRDefault="004F1877">
      <w:pPr>
        <w:spacing w:before="240" w:after="240"/>
      </w:pPr>
      <w:r>
        <w:t xml:space="preserve">Moran, T. P. (2016). Anxiety and working memory capacity: A meta-analysis and narrative review. </w:t>
      </w:r>
      <w:r>
        <w:rPr>
          <w:i/>
        </w:rPr>
        <w:t>Psychological Bulletin</w:t>
      </w:r>
      <w:r>
        <w:t xml:space="preserve">, </w:t>
      </w:r>
      <w:r>
        <w:rPr>
          <w:i/>
        </w:rPr>
        <w:t>142</w:t>
      </w:r>
      <w:r>
        <w:t>(8), 831-864.</w:t>
      </w:r>
    </w:p>
    <w:p w:rsidR="00092BAD" w:rsidRDefault="004F1877">
      <w:pPr>
        <w:spacing w:before="240" w:after="240"/>
      </w:pPr>
      <w:r>
        <w:t xml:space="preserve">Murphy, G.L. (2002). </w:t>
      </w:r>
      <w:r>
        <w:rPr>
          <w:i/>
        </w:rPr>
        <w:t>The big book of concepts.</w:t>
      </w:r>
      <w:r>
        <w:t xml:space="preserve"> Cambridge, MA, US: MIT Press.</w:t>
      </w:r>
    </w:p>
    <w:p w:rsidR="00092BAD" w:rsidRDefault="004F1877">
      <w:pPr>
        <w:spacing w:before="240" w:after="240"/>
      </w:pPr>
      <w:r>
        <w:t xml:space="preserve">Ohlsson, S. (2011). </w:t>
      </w:r>
      <w:r>
        <w:rPr>
          <w:i/>
        </w:rPr>
        <w:t>Deep learning: How the mind overrides experience</w:t>
      </w:r>
      <w:r>
        <w:t>. New York: Cambridge University Press.</w:t>
      </w:r>
    </w:p>
    <w:p w:rsidR="00092BAD" w:rsidRDefault="004F1877">
      <w:pPr>
        <w:spacing w:before="240" w:after="240"/>
      </w:pPr>
      <w:proofErr w:type="spellStart"/>
      <w:r>
        <w:lastRenderedPageBreak/>
        <w:t>Rittle</w:t>
      </w:r>
      <w:proofErr w:type="spellEnd"/>
      <w:r>
        <w:t xml:space="preserve">-Johnson, B., Schneider, M., &amp; Star, J.R. (2015). Not a one-way street: Bidirectional relations between procedural and conceptual knowledge of mathematics. </w:t>
      </w:r>
      <w:r>
        <w:rPr>
          <w:i/>
        </w:rPr>
        <w:t>Educational Psychology Review</w:t>
      </w:r>
      <w:r>
        <w:t xml:space="preserve">, </w:t>
      </w:r>
      <w:r>
        <w:rPr>
          <w:i/>
        </w:rPr>
        <w:t>27</w:t>
      </w:r>
      <w:r>
        <w:t>(4), 587 – 597. https://doi.org/10.1007/s10648-015-9302-x</w:t>
      </w:r>
    </w:p>
    <w:p w:rsidR="00092BAD" w:rsidRDefault="004F1877">
      <w:pPr>
        <w:spacing w:before="240" w:after="200"/>
      </w:pPr>
      <w:r>
        <w:t xml:space="preserve">Schraw, G., Crippen, K.J., &amp; Hartley, K. (2006). Promoting self-regulation in science education: metacognition as part of a broader perspective on learning. </w:t>
      </w:r>
      <w:r>
        <w:rPr>
          <w:i/>
        </w:rPr>
        <w:t>Research in Science Education</w:t>
      </w:r>
      <w:r>
        <w:t xml:space="preserve">, </w:t>
      </w:r>
      <w:r>
        <w:rPr>
          <w:i/>
        </w:rPr>
        <w:t>36</w:t>
      </w:r>
      <w:r>
        <w:t>, 111–139.</w:t>
      </w:r>
    </w:p>
    <w:p w:rsidR="00092BAD" w:rsidRDefault="004F1877">
      <w:pPr>
        <w:spacing w:before="240" w:after="200"/>
      </w:pPr>
      <w:proofErr w:type="spellStart"/>
      <w:r>
        <w:t>Veenman</w:t>
      </w:r>
      <w:proofErr w:type="spellEnd"/>
      <w:r>
        <w:t xml:space="preserve">, M.V.J., Van </w:t>
      </w:r>
      <w:proofErr w:type="spellStart"/>
      <w:r>
        <w:t>Hout</w:t>
      </w:r>
      <w:proofErr w:type="spellEnd"/>
      <w:r>
        <w:t xml:space="preserve">-Wolters, H.A.M., &amp; </w:t>
      </w:r>
      <w:proofErr w:type="spellStart"/>
      <w:r>
        <w:t>Afflerbach</w:t>
      </w:r>
      <w:proofErr w:type="spellEnd"/>
      <w:r>
        <w:t xml:space="preserve">, P. (2006). Metacognition and learning: conceptual and methodological considerations. </w:t>
      </w:r>
      <w:r>
        <w:rPr>
          <w:i/>
        </w:rPr>
        <w:t>Metacognition and Learning, 1(1)</w:t>
      </w:r>
      <w:r>
        <w:t>, 3–14.</w:t>
      </w:r>
    </w:p>
    <w:sectPr w:rsidR="00092B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610DB8"/>
    <w:multiLevelType w:val="multilevel"/>
    <w:tmpl w:val="1772C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BAD"/>
    <w:rsid w:val="000742A5"/>
    <w:rsid w:val="00092BAD"/>
    <w:rsid w:val="00132EC5"/>
    <w:rsid w:val="00291A6A"/>
    <w:rsid w:val="00292C1C"/>
    <w:rsid w:val="00375B48"/>
    <w:rsid w:val="003A6E2A"/>
    <w:rsid w:val="004F1877"/>
    <w:rsid w:val="007E3766"/>
    <w:rsid w:val="008354CB"/>
    <w:rsid w:val="008C0B15"/>
    <w:rsid w:val="00A70CAE"/>
    <w:rsid w:val="00FA35A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54E2E"/>
  <w15:docId w15:val="{8A04D381-32F9-5F40-9084-98F00B61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character" w:styleId="Hyperlink">
    <w:name w:val="Hyperlink"/>
    <w:basedOn w:val="DefaultParagraphFont"/>
    <w:uiPriority w:val="99"/>
    <w:semiHidden/>
    <w:unhideWhenUsed/>
    <w:rsid w:val="003A6E2A"/>
    <w:rPr>
      <w:color w:val="0000FF"/>
      <w:u w:val="single"/>
    </w:rPr>
  </w:style>
  <w:style w:type="paragraph" w:styleId="BalloonText">
    <w:name w:val="Balloon Text"/>
    <w:basedOn w:val="Normal"/>
    <w:link w:val="BalloonTextChar"/>
    <w:uiPriority w:val="99"/>
    <w:semiHidden/>
    <w:unhideWhenUsed/>
    <w:rsid w:val="008354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4CB"/>
    <w:rPr>
      <w:rFonts w:ascii="Segoe UI" w:hAnsi="Segoe UI" w:cs="Segoe UI"/>
      <w:sz w:val="18"/>
      <w:szCs w:val="18"/>
    </w:rPr>
  </w:style>
  <w:style w:type="paragraph" w:styleId="ListParagraph">
    <w:name w:val="List Paragraph"/>
    <w:basedOn w:val="Normal"/>
    <w:uiPriority w:val="34"/>
    <w:qFormat/>
    <w:rsid w:val="00835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144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858-014-0590-2" TargetMode="External"/><Relationship Id="rId13" Type="http://schemas.openxmlformats.org/officeDocument/2006/relationships/hyperlink" Target="https://www.depauw.edu/files/resources/krathwohl.pdf" TargetMode="External"/><Relationship Id="rId3" Type="http://schemas.openxmlformats.org/officeDocument/2006/relationships/settings" Target="settings.xml"/><Relationship Id="rId7" Type="http://schemas.openxmlformats.org/officeDocument/2006/relationships/hyperlink" Target="https://doi.org/10.1007/s11858-014-0590-2" TargetMode="External"/><Relationship Id="rId12" Type="http://schemas.openxmlformats.org/officeDocument/2006/relationships/hyperlink" Target="https://www.depauw.edu/files/resources/krathwoh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bmidatlantic.org/Concept_Based_Teaching_Learning.pdf" TargetMode="External"/><Relationship Id="rId11" Type="http://schemas.openxmlformats.org/officeDocument/2006/relationships/hyperlink" Target="https://www.pegem.net/dosyalar/dokuman/138486-2014010414591-3.pdf" TargetMode="External"/><Relationship Id="rId5" Type="http://schemas.openxmlformats.org/officeDocument/2006/relationships/hyperlink" Target="http://dx.doi.org/10.1037/edu0000282" TargetMode="External"/><Relationship Id="rId15" Type="http://schemas.openxmlformats.org/officeDocument/2006/relationships/theme" Target="theme/theme1.xml"/><Relationship Id="rId10" Type="http://schemas.openxmlformats.org/officeDocument/2006/relationships/hyperlink" Target="http://www.iejee.com/index/makale/19/childrens-metamemory-a-review-of-the-literature-and-implications-for-the-classroom" TargetMode="External"/><Relationship Id="rId4" Type="http://schemas.openxmlformats.org/officeDocument/2006/relationships/webSettings" Target="webSettings.xml"/><Relationship Id="rId9" Type="http://schemas.openxmlformats.org/officeDocument/2006/relationships/hyperlink" Target="http://reasoninglab.psych.ucla.edu/KH%20pdfs/Gick-Holyoak%281980%29Analogical%20Problem%20Solving.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2337</Words>
  <Characters>13322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Bokhove C.</dc:creator>
  <cp:lastModifiedBy>Ryan CAMPBELL</cp:lastModifiedBy>
  <cp:revision>7</cp:revision>
  <dcterms:created xsi:type="dcterms:W3CDTF">2019-12-08T15:23:00Z</dcterms:created>
  <dcterms:modified xsi:type="dcterms:W3CDTF">2019-12-08T18:55:00Z</dcterms:modified>
</cp:coreProperties>
</file>