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03D20" w14:textId="729DE9F7" w:rsidR="00D363E9" w:rsidRPr="00EC1351" w:rsidRDefault="00D363E9" w:rsidP="00B817AD">
      <w:pPr>
        <w:outlineLvl w:val="0"/>
        <w:rPr>
          <w:b/>
          <w:lang w:val="en-CA"/>
        </w:rPr>
      </w:pPr>
      <w:bookmarkStart w:id="0" w:name="_GoBack"/>
      <w:bookmarkEnd w:id="0"/>
      <w:r w:rsidRPr="00EC1351">
        <w:rPr>
          <w:b/>
          <w:lang w:val="en-CA"/>
        </w:rPr>
        <w:t>Title page</w:t>
      </w:r>
    </w:p>
    <w:p w14:paraId="3FE5EC10" w14:textId="77777777" w:rsidR="00D363E9" w:rsidRPr="00EC1351" w:rsidRDefault="00D363E9" w:rsidP="00D363E9">
      <w:pPr>
        <w:rPr>
          <w:b/>
          <w:lang w:val="en-CA"/>
        </w:rPr>
      </w:pPr>
    </w:p>
    <w:p w14:paraId="58772220" w14:textId="77777777" w:rsidR="006D4280" w:rsidRPr="00EC1351" w:rsidRDefault="006D4280" w:rsidP="006D4280">
      <w:pPr>
        <w:rPr>
          <w:b/>
          <w:lang w:val="en-CA"/>
        </w:rPr>
      </w:pPr>
    </w:p>
    <w:p w14:paraId="1F30CC21" w14:textId="56527AB1" w:rsidR="00B34BCE" w:rsidRPr="00505078" w:rsidRDefault="00065450" w:rsidP="00505078">
      <w:pPr>
        <w:jc w:val="center"/>
        <w:rPr>
          <w:b/>
          <w:lang w:val="en-CA"/>
        </w:rPr>
      </w:pPr>
      <w:r w:rsidRPr="00505078">
        <w:rPr>
          <w:b/>
          <w:lang w:val="en-CA"/>
        </w:rPr>
        <w:t>Sexual orientation measurement, bisexuality</w:t>
      </w:r>
      <w:r w:rsidR="00806F0F">
        <w:rPr>
          <w:b/>
          <w:lang w:val="en-CA"/>
        </w:rPr>
        <w:t>,</w:t>
      </w:r>
      <w:r w:rsidRPr="00505078">
        <w:rPr>
          <w:b/>
          <w:lang w:val="en-CA"/>
        </w:rPr>
        <w:t xml:space="preserve"> and mental health in a sample of men who have sex with men in Vancouver, Canada</w:t>
      </w:r>
    </w:p>
    <w:p w14:paraId="11D28601" w14:textId="77777777" w:rsidR="00065450" w:rsidRPr="00EC1351" w:rsidRDefault="00065450" w:rsidP="00B34BCE">
      <w:pPr>
        <w:jc w:val="center"/>
        <w:rPr>
          <w:b/>
        </w:rPr>
      </w:pPr>
    </w:p>
    <w:p w14:paraId="1F39CC79" w14:textId="77777777" w:rsidR="000D5862" w:rsidRDefault="000D5862" w:rsidP="000D5862">
      <w:pPr>
        <w:jc w:val="center"/>
        <w:rPr>
          <w:vertAlign w:val="superscript"/>
          <w:lang w:val="en-CA"/>
        </w:rPr>
      </w:pPr>
      <w:r w:rsidRPr="00AF41BD">
        <w:rPr>
          <w:lang w:val="en-CA"/>
        </w:rPr>
        <w:t>*Ashleigh J</w:t>
      </w:r>
      <w:r>
        <w:rPr>
          <w:lang w:val="en-CA"/>
        </w:rPr>
        <w:t>.</w:t>
      </w:r>
      <w:r w:rsidRPr="00AF41BD">
        <w:rPr>
          <w:lang w:val="en-CA"/>
        </w:rPr>
        <w:t xml:space="preserve"> Rich, MPH</w:t>
      </w:r>
      <w:r w:rsidRPr="00AF41BD">
        <w:rPr>
          <w:vertAlign w:val="superscript"/>
          <w:lang w:val="en-CA"/>
        </w:rPr>
        <w:t>1,2</w:t>
      </w:r>
      <w:r w:rsidRPr="00AF41BD">
        <w:rPr>
          <w:lang w:val="en-CA"/>
        </w:rPr>
        <w:t xml:space="preserve">, Heather </w:t>
      </w:r>
      <w:r>
        <w:rPr>
          <w:lang w:val="en-CA"/>
        </w:rPr>
        <w:t xml:space="preserve">L. </w:t>
      </w:r>
      <w:r w:rsidRPr="00AF41BD">
        <w:rPr>
          <w:lang w:val="en-CA"/>
        </w:rPr>
        <w:t>Armstrong, PhD</w:t>
      </w:r>
      <w:r w:rsidRPr="00AF41BD">
        <w:rPr>
          <w:vertAlign w:val="superscript"/>
          <w:lang w:val="en-CA"/>
        </w:rPr>
        <w:t>1,2</w:t>
      </w:r>
      <w:r w:rsidRPr="00AF41BD">
        <w:rPr>
          <w:lang w:val="en-CA"/>
        </w:rPr>
        <w:t>, Zishan Cui, MSc</w:t>
      </w:r>
      <w:r w:rsidRPr="00AF41BD">
        <w:rPr>
          <w:vertAlign w:val="superscript"/>
          <w:lang w:val="en-CA"/>
        </w:rPr>
        <w:t>2</w:t>
      </w:r>
      <w:r w:rsidRPr="00AF41BD">
        <w:rPr>
          <w:lang w:val="en-CA"/>
        </w:rPr>
        <w:t xml:space="preserve">, Paul </w:t>
      </w:r>
      <w:proofErr w:type="spellStart"/>
      <w:r w:rsidRPr="00AF41BD">
        <w:rPr>
          <w:lang w:val="en-CA"/>
        </w:rPr>
        <w:t>Sereda</w:t>
      </w:r>
      <w:proofErr w:type="spellEnd"/>
      <w:r w:rsidRPr="00AF41BD">
        <w:rPr>
          <w:lang w:val="en-CA"/>
        </w:rPr>
        <w:t>, BA</w:t>
      </w:r>
      <w:r w:rsidRPr="00AF41BD">
        <w:rPr>
          <w:vertAlign w:val="superscript"/>
          <w:lang w:val="en-CA"/>
        </w:rPr>
        <w:t>2</w:t>
      </w:r>
      <w:r w:rsidRPr="00AF41BD">
        <w:rPr>
          <w:lang w:val="en-CA"/>
        </w:rPr>
        <w:t xml:space="preserve">, </w:t>
      </w:r>
      <w:r>
        <w:rPr>
          <w:lang w:val="en-CA"/>
        </w:rPr>
        <w:t xml:space="preserve">Nathan J. </w:t>
      </w:r>
      <w:proofErr w:type="spellStart"/>
      <w:r>
        <w:rPr>
          <w:lang w:val="en-CA"/>
        </w:rPr>
        <w:t>Lachowsky</w:t>
      </w:r>
      <w:proofErr w:type="spellEnd"/>
      <w:r>
        <w:rPr>
          <w:lang w:val="en-CA"/>
        </w:rPr>
        <w:t>, PhD</w:t>
      </w:r>
      <w:r>
        <w:rPr>
          <w:vertAlign w:val="superscript"/>
          <w:lang w:val="en-CA"/>
        </w:rPr>
        <w:t>3</w:t>
      </w:r>
      <w:r>
        <w:rPr>
          <w:lang w:val="en-CA"/>
        </w:rPr>
        <w:t xml:space="preserve">, </w:t>
      </w:r>
      <w:r w:rsidRPr="00AF41BD">
        <w:rPr>
          <w:lang w:val="en-CA"/>
        </w:rPr>
        <w:t>David M</w:t>
      </w:r>
      <w:r>
        <w:rPr>
          <w:lang w:val="en-CA"/>
        </w:rPr>
        <w:t>.</w:t>
      </w:r>
      <w:r w:rsidRPr="00AF41BD">
        <w:rPr>
          <w:lang w:val="en-CA"/>
        </w:rPr>
        <w:t xml:space="preserve"> Moore, MD MHSc</w:t>
      </w:r>
      <w:r w:rsidRPr="00AF41BD">
        <w:rPr>
          <w:vertAlign w:val="superscript"/>
          <w:lang w:val="en-CA"/>
        </w:rPr>
        <w:t>1,2</w:t>
      </w:r>
      <w:r w:rsidRPr="00AF41BD">
        <w:rPr>
          <w:lang w:val="en-CA"/>
        </w:rPr>
        <w:t>, Robert S</w:t>
      </w:r>
      <w:r>
        <w:rPr>
          <w:lang w:val="en-CA"/>
        </w:rPr>
        <w:t>.</w:t>
      </w:r>
      <w:r w:rsidRPr="00AF41BD">
        <w:rPr>
          <w:lang w:val="en-CA"/>
        </w:rPr>
        <w:t xml:space="preserve"> Hogg, PhD</w:t>
      </w:r>
      <w:r w:rsidRPr="00AF41BD">
        <w:rPr>
          <w:vertAlign w:val="superscript"/>
          <w:lang w:val="en-CA"/>
        </w:rPr>
        <w:t>2,</w:t>
      </w:r>
      <w:r>
        <w:rPr>
          <w:vertAlign w:val="superscript"/>
          <w:lang w:val="en-CA"/>
        </w:rPr>
        <w:t>4</w:t>
      </w:r>
      <w:r w:rsidRPr="00AF41BD">
        <w:rPr>
          <w:lang w:val="en-CA"/>
        </w:rPr>
        <w:t>, Eric A</w:t>
      </w:r>
      <w:r>
        <w:rPr>
          <w:lang w:val="en-CA"/>
        </w:rPr>
        <w:t>.</w:t>
      </w:r>
      <w:r w:rsidRPr="00AF41BD">
        <w:rPr>
          <w:lang w:val="en-CA"/>
        </w:rPr>
        <w:t xml:space="preserve"> Roth, PhD</w:t>
      </w:r>
      <w:r>
        <w:rPr>
          <w:vertAlign w:val="superscript"/>
          <w:lang w:val="en-CA"/>
        </w:rPr>
        <w:t>5</w:t>
      </w:r>
    </w:p>
    <w:p w14:paraId="0765FD20" w14:textId="77777777" w:rsidR="000D5862" w:rsidRPr="00AF41BD" w:rsidRDefault="000D5862" w:rsidP="000D5862">
      <w:pPr>
        <w:jc w:val="center"/>
        <w:rPr>
          <w:vertAlign w:val="superscript"/>
          <w:lang w:val="en-CA"/>
        </w:rPr>
      </w:pPr>
    </w:p>
    <w:p w14:paraId="6EAC6CD2" w14:textId="77777777" w:rsidR="000D5862" w:rsidRPr="00AF41BD" w:rsidRDefault="000D5862" w:rsidP="000D5862">
      <w:pPr>
        <w:pStyle w:val="ListParagraph"/>
        <w:numPr>
          <w:ilvl w:val="0"/>
          <w:numId w:val="12"/>
        </w:numPr>
        <w:ind w:left="360"/>
        <w:rPr>
          <w:lang w:val="en-CA"/>
        </w:rPr>
      </w:pPr>
      <w:r w:rsidRPr="00AF41BD">
        <w:rPr>
          <w:lang w:val="en-CA"/>
        </w:rPr>
        <w:t>Faculty of Medicine, University of British Columbia</w:t>
      </w:r>
      <w:r>
        <w:rPr>
          <w:lang w:val="en-CA"/>
        </w:rPr>
        <w:t>, Vancouver, Canada</w:t>
      </w:r>
    </w:p>
    <w:p w14:paraId="67D796F8" w14:textId="77777777" w:rsidR="000D5862" w:rsidRPr="00AF41BD" w:rsidRDefault="000D5862" w:rsidP="000D5862">
      <w:pPr>
        <w:pStyle w:val="ListParagraph"/>
        <w:numPr>
          <w:ilvl w:val="0"/>
          <w:numId w:val="12"/>
        </w:numPr>
        <w:ind w:left="360"/>
        <w:rPr>
          <w:lang w:val="en-CA"/>
        </w:rPr>
      </w:pPr>
      <w:r>
        <w:rPr>
          <w:lang w:val="en-CA"/>
        </w:rPr>
        <w:t xml:space="preserve">Epidemiology &amp; Population Health Program, </w:t>
      </w:r>
      <w:r w:rsidRPr="00AF41BD">
        <w:rPr>
          <w:lang w:val="en-CA"/>
        </w:rPr>
        <w:t>B</w:t>
      </w:r>
      <w:r>
        <w:rPr>
          <w:lang w:val="en-CA"/>
        </w:rPr>
        <w:t xml:space="preserve">ritish </w:t>
      </w:r>
      <w:r w:rsidRPr="00AF41BD">
        <w:rPr>
          <w:lang w:val="en-CA"/>
        </w:rPr>
        <w:t>C</w:t>
      </w:r>
      <w:r>
        <w:rPr>
          <w:lang w:val="en-CA"/>
        </w:rPr>
        <w:t>olumbia</w:t>
      </w:r>
      <w:r w:rsidRPr="00AF41BD">
        <w:rPr>
          <w:lang w:val="en-CA"/>
        </w:rPr>
        <w:t xml:space="preserve"> Centre for Excellence in HIV/AIDS</w:t>
      </w:r>
      <w:r>
        <w:rPr>
          <w:lang w:val="en-CA"/>
        </w:rPr>
        <w:t>, Vancouver, Canada</w:t>
      </w:r>
    </w:p>
    <w:p w14:paraId="54C78A79" w14:textId="77777777" w:rsidR="000D5862" w:rsidRDefault="000D5862" w:rsidP="000D5862">
      <w:pPr>
        <w:pStyle w:val="ListParagraph"/>
        <w:numPr>
          <w:ilvl w:val="0"/>
          <w:numId w:val="12"/>
        </w:numPr>
        <w:ind w:left="360"/>
        <w:rPr>
          <w:lang w:val="en-CA"/>
        </w:rPr>
      </w:pPr>
      <w:r>
        <w:rPr>
          <w:lang w:val="en-CA"/>
        </w:rPr>
        <w:t>School of Public Health and Social Policy, University of Victoria, Victoria, Canada</w:t>
      </w:r>
    </w:p>
    <w:p w14:paraId="061830C2" w14:textId="77777777" w:rsidR="000D5862" w:rsidRPr="00AF41BD" w:rsidRDefault="000D5862" w:rsidP="000D5862">
      <w:pPr>
        <w:pStyle w:val="ListParagraph"/>
        <w:numPr>
          <w:ilvl w:val="0"/>
          <w:numId w:val="12"/>
        </w:numPr>
        <w:ind w:left="360"/>
        <w:rPr>
          <w:lang w:val="en-CA"/>
        </w:rPr>
      </w:pPr>
      <w:r w:rsidRPr="00AF41BD">
        <w:rPr>
          <w:lang w:val="en-CA"/>
        </w:rPr>
        <w:t>Faculty of Health Sciences, Simon Fraser University</w:t>
      </w:r>
      <w:r>
        <w:rPr>
          <w:lang w:val="en-CA"/>
        </w:rPr>
        <w:t>, Burnaby, Canada</w:t>
      </w:r>
    </w:p>
    <w:p w14:paraId="69132C0F" w14:textId="77777777" w:rsidR="000D5862" w:rsidRDefault="000D5862" w:rsidP="000D5862">
      <w:pPr>
        <w:pStyle w:val="ListParagraph"/>
        <w:numPr>
          <w:ilvl w:val="0"/>
          <w:numId w:val="12"/>
        </w:numPr>
        <w:ind w:left="360"/>
        <w:rPr>
          <w:lang w:val="en-CA"/>
        </w:rPr>
      </w:pPr>
      <w:r w:rsidRPr="00AF41BD">
        <w:rPr>
          <w:lang w:val="en-CA"/>
        </w:rPr>
        <w:t>Department of Anthropology, University of Victoria</w:t>
      </w:r>
      <w:r>
        <w:rPr>
          <w:lang w:val="en-CA"/>
        </w:rPr>
        <w:t>, Victoria, Canada</w:t>
      </w:r>
    </w:p>
    <w:p w14:paraId="5BCD0936" w14:textId="77777777" w:rsidR="00B34BCE" w:rsidRPr="00EC1351" w:rsidRDefault="00B34BCE" w:rsidP="00B34BCE"/>
    <w:p w14:paraId="14611A43" w14:textId="77777777" w:rsidR="00AF47DA" w:rsidRDefault="00AF47DA" w:rsidP="00AF47DA">
      <w:pPr>
        <w:rPr>
          <w:lang w:val="en-CA"/>
        </w:rPr>
      </w:pPr>
      <w:r w:rsidRPr="00E33382">
        <w:rPr>
          <w:b/>
          <w:lang w:val="en-CA"/>
        </w:rPr>
        <w:t>Author information</w:t>
      </w:r>
      <w:r>
        <w:rPr>
          <w:lang w:val="en-CA"/>
        </w:rPr>
        <w:t xml:space="preserve">: </w:t>
      </w:r>
    </w:p>
    <w:p w14:paraId="4F8874D7" w14:textId="77777777" w:rsidR="00AF47DA" w:rsidRDefault="00AF47DA" w:rsidP="00AF47DA">
      <w:pPr>
        <w:rPr>
          <w:lang w:val="en-CA"/>
        </w:rPr>
        <w:sectPr w:rsidR="00AF47DA" w:rsidSect="00EE76F9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C392E64" w14:textId="03AE448D" w:rsidR="00AF47DA" w:rsidRDefault="00AF47DA" w:rsidP="00AF47DA">
      <w:pPr>
        <w:rPr>
          <w:lang w:val="en-CA"/>
        </w:rPr>
      </w:pPr>
      <w:r w:rsidRPr="00AF41BD">
        <w:rPr>
          <w:lang w:val="en-CA"/>
        </w:rPr>
        <w:t>*</w:t>
      </w:r>
      <w:r w:rsidRPr="003F4DF1">
        <w:rPr>
          <w:i/>
          <w:lang w:val="en-CA"/>
        </w:rPr>
        <w:t>Corresponding author</w:t>
      </w:r>
      <w:r w:rsidRPr="00AF41BD">
        <w:rPr>
          <w:lang w:val="en-CA"/>
        </w:rPr>
        <w:t xml:space="preserve">: </w:t>
      </w:r>
    </w:p>
    <w:p w14:paraId="68B5990D" w14:textId="77777777" w:rsidR="00AF47DA" w:rsidRDefault="00AF47DA" w:rsidP="00AF47DA">
      <w:pPr>
        <w:rPr>
          <w:lang w:val="en-CA"/>
        </w:rPr>
      </w:pPr>
      <w:r>
        <w:rPr>
          <w:lang w:val="en-CA"/>
        </w:rPr>
        <w:t>Ashleigh J. Rich</w:t>
      </w:r>
    </w:p>
    <w:p w14:paraId="19BD8920" w14:textId="77777777" w:rsidR="00AF47DA" w:rsidRDefault="00AF47DA" w:rsidP="00AF47DA">
      <w:pPr>
        <w:rPr>
          <w:lang w:val="en-CA"/>
        </w:rPr>
      </w:pPr>
      <w:r>
        <w:rPr>
          <w:lang w:val="en-CA"/>
        </w:rPr>
        <w:t>British Columbia Centre for Excellence in HIV/AIDS</w:t>
      </w:r>
    </w:p>
    <w:p w14:paraId="17425EB4" w14:textId="77777777" w:rsidR="00AF47DA" w:rsidRDefault="00AF47DA" w:rsidP="00AF47DA">
      <w:pPr>
        <w:rPr>
          <w:lang w:val="en-CA"/>
        </w:rPr>
      </w:pPr>
      <w:r>
        <w:rPr>
          <w:lang w:val="en-CA"/>
        </w:rPr>
        <w:t>608-1081 Burrard Street</w:t>
      </w:r>
    </w:p>
    <w:p w14:paraId="6837DD34" w14:textId="77777777" w:rsidR="00AF47DA" w:rsidRDefault="00AF47DA" w:rsidP="00AF47DA">
      <w:pPr>
        <w:rPr>
          <w:lang w:val="en-CA"/>
        </w:rPr>
      </w:pPr>
      <w:r>
        <w:rPr>
          <w:lang w:val="en-CA"/>
        </w:rPr>
        <w:t>Vancouver, British Columbia</w:t>
      </w:r>
    </w:p>
    <w:p w14:paraId="422E0E79" w14:textId="77777777" w:rsidR="00AF47DA" w:rsidRDefault="00AF47DA" w:rsidP="00AF47DA">
      <w:pPr>
        <w:rPr>
          <w:lang w:val="en-CA"/>
        </w:rPr>
      </w:pPr>
      <w:r>
        <w:rPr>
          <w:lang w:val="en-CA"/>
        </w:rPr>
        <w:t>Canada</w:t>
      </w:r>
    </w:p>
    <w:p w14:paraId="7BEE1816" w14:textId="77777777" w:rsidR="00AF47DA" w:rsidRDefault="00AF47DA" w:rsidP="00AF47DA">
      <w:pPr>
        <w:rPr>
          <w:lang w:val="en-CA"/>
        </w:rPr>
      </w:pPr>
      <w:r>
        <w:rPr>
          <w:lang w:val="en-CA"/>
        </w:rPr>
        <w:t>V6Z 1Y6</w:t>
      </w:r>
    </w:p>
    <w:p w14:paraId="781F05EA" w14:textId="77777777" w:rsidR="00AF47DA" w:rsidRDefault="00AF47DA" w:rsidP="00AF47DA">
      <w:pPr>
        <w:rPr>
          <w:lang w:val="en-CA"/>
        </w:rPr>
      </w:pPr>
      <w:r>
        <w:rPr>
          <w:lang w:val="en-CA"/>
        </w:rPr>
        <w:t>Tel: 604 806 8477</w:t>
      </w:r>
    </w:p>
    <w:p w14:paraId="5932E103" w14:textId="77777777" w:rsidR="00AF47DA" w:rsidRPr="005F7C57" w:rsidRDefault="00AF47DA" w:rsidP="00AF47DA">
      <w:pPr>
        <w:rPr>
          <w:rStyle w:val="Hyperlink"/>
          <w:lang w:val="en-CA"/>
        </w:rPr>
      </w:pPr>
      <w:r>
        <w:rPr>
          <w:lang w:val="en-CA"/>
        </w:rPr>
        <w:t xml:space="preserve">Email: </w:t>
      </w:r>
      <w:hyperlink r:id="rId13" w:history="1">
        <w:r w:rsidRPr="00AF41BD">
          <w:rPr>
            <w:rStyle w:val="Hyperlink"/>
            <w:lang w:val="en-CA"/>
          </w:rPr>
          <w:t>arich@cfenet.ubc.ca</w:t>
        </w:r>
      </w:hyperlink>
    </w:p>
    <w:p w14:paraId="0FEF0570" w14:textId="77777777" w:rsidR="00AF47DA" w:rsidRPr="00AF41BD" w:rsidRDefault="00AF47DA" w:rsidP="00AF47DA">
      <w:pPr>
        <w:rPr>
          <w:lang w:val="en-CA"/>
        </w:rPr>
      </w:pPr>
      <w:r>
        <w:rPr>
          <w:lang w:val="en-CA"/>
        </w:rPr>
        <w:t xml:space="preserve">ORCID: </w:t>
      </w:r>
      <w:r w:rsidRPr="00F662DB">
        <w:rPr>
          <w:lang w:val="en-CA"/>
        </w:rPr>
        <w:t>0000-0003-3742-7086</w:t>
      </w:r>
    </w:p>
    <w:p w14:paraId="5FB048E4" w14:textId="77777777" w:rsidR="00AF47DA" w:rsidRDefault="00AF47DA" w:rsidP="00AF47DA">
      <w:pPr>
        <w:rPr>
          <w:b/>
          <w:lang w:val="en-CA"/>
        </w:rPr>
      </w:pPr>
    </w:p>
    <w:p w14:paraId="08E93D4E" w14:textId="77777777" w:rsidR="00AF47DA" w:rsidRDefault="00AF47DA" w:rsidP="00AF47DA">
      <w:pPr>
        <w:rPr>
          <w:lang w:val="en-CA"/>
        </w:rPr>
      </w:pPr>
      <w:r>
        <w:rPr>
          <w:lang w:val="en-CA"/>
        </w:rPr>
        <w:t>Heather L. Armstrong,</w:t>
      </w:r>
    </w:p>
    <w:p w14:paraId="76E19114" w14:textId="77777777" w:rsidR="00AF47DA" w:rsidRDefault="00AF47DA" w:rsidP="00AF47DA">
      <w:pPr>
        <w:rPr>
          <w:lang w:val="en-CA"/>
        </w:rPr>
      </w:pPr>
      <w:r>
        <w:rPr>
          <w:lang w:val="en-CA"/>
        </w:rPr>
        <w:t>British Columbia Centre for Excellence in HIV/AIDS</w:t>
      </w:r>
    </w:p>
    <w:p w14:paraId="4687B1DD" w14:textId="77777777" w:rsidR="00AF47DA" w:rsidRDefault="00AF47DA" w:rsidP="00AF47DA">
      <w:pPr>
        <w:rPr>
          <w:lang w:val="en-CA"/>
        </w:rPr>
      </w:pPr>
      <w:r>
        <w:rPr>
          <w:lang w:val="en-CA"/>
        </w:rPr>
        <w:t>608-1081 Burrard Street</w:t>
      </w:r>
    </w:p>
    <w:p w14:paraId="5EBF4007" w14:textId="77777777" w:rsidR="00AF47DA" w:rsidRDefault="00AF47DA" w:rsidP="00AF47DA">
      <w:pPr>
        <w:rPr>
          <w:lang w:val="en-CA"/>
        </w:rPr>
      </w:pPr>
      <w:r>
        <w:rPr>
          <w:lang w:val="en-CA"/>
        </w:rPr>
        <w:t>Vancouver, British Columbia</w:t>
      </w:r>
    </w:p>
    <w:p w14:paraId="6A083717" w14:textId="77777777" w:rsidR="00AF47DA" w:rsidRDefault="00AF47DA" w:rsidP="00AF47DA">
      <w:pPr>
        <w:rPr>
          <w:lang w:val="en-CA"/>
        </w:rPr>
      </w:pPr>
      <w:r>
        <w:rPr>
          <w:lang w:val="en-CA"/>
        </w:rPr>
        <w:t>Canada</w:t>
      </w:r>
    </w:p>
    <w:p w14:paraId="5836526F" w14:textId="77777777" w:rsidR="00AF47DA" w:rsidRDefault="00AF47DA" w:rsidP="00AF47DA">
      <w:pPr>
        <w:rPr>
          <w:lang w:val="en-CA"/>
        </w:rPr>
      </w:pPr>
      <w:r>
        <w:rPr>
          <w:lang w:val="en-CA"/>
        </w:rPr>
        <w:t>V6Z 1Y6</w:t>
      </w:r>
    </w:p>
    <w:p w14:paraId="37054770" w14:textId="77777777" w:rsidR="00AF47DA" w:rsidRDefault="00AF47DA" w:rsidP="00AF47DA">
      <w:pPr>
        <w:rPr>
          <w:lang w:val="en-CA"/>
        </w:rPr>
      </w:pPr>
      <w:r>
        <w:rPr>
          <w:lang w:val="en-CA"/>
        </w:rPr>
        <w:t>Tel: 604 806 8477</w:t>
      </w:r>
    </w:p>
    <w:p w14:paraId="609268BB" w14:textId="77777777" w:rsidR="00AF47DA" w:rsidRDefault="00AF47DA" w:rsidP="00AF47DA">
      <w:pPr>
        <w:rPr>
          <w:lang w:val="en-CA"/>
        </w:rPr>
      </w:pPr>
      <w:r>
        <w:rPr>
          <w:lang w:val="en-CA"/>
        </w:rPr>
        <w:t xml:space="preserve">Email: </w:t>
      </w:r>
      <w:r w:rsidRPr="006B5A5B">
        <w:rPr>
          <w:lang w:val="en-CA"/>
        </w:rPr>
        <w:t>harmstrong@cfenet.ubc.ca</w:t>
      </w:r>
    </w:p>
    <w:p w14:paraId="6BC8ADFD" w14:textId="77777777" w:rsidR="00AF47DA" w:rsidRDefault="00AF47DA" w:rsidP="00AF47DA">
      <w:pPr>
        <w:rPr>
          <w:lang w:val="en-CA"/>
        </w:rPr>
      </w:pPr>
    </w:p>
    <w:p w14:paraId="0CC7BDDF" w14:textId="77777777" w:rsidR="00AF47DA" w:rsidRDefault="00AF47DA" w:rsidP="00AF47DA">
      <w:pPr>
        <w:rPr>
          <w:lang w:val="en-CA"/>
        </w:rPr>
      </w:pPr>
      <w:r>
        <w:rPr>
          <w:lang w:val="en-CA"/>
        </w:rPr>
        <w:t>Zishan Cui</w:t>
      </w:r>
    </w:p>
    <w:p w14:paraId="65CBCA55" w14:textId="77777777" w:rsidR="00AF47DA" w:rsidRDefault="00AF47DA" w:rsidP="00AF47DA">
      <w:pPr>
        <w:rPr>
          <w:lang w:val="en-CA"/>
        </w:rPr>
      </w:pPr>
      <w:r>
        <w:rPr>
          <w:lang w:val="en-CA"/>
        </w:rPr>
        <w:t>British Columbia Centre for Excellence in HIV/AIDS</w:t>
      </w:r>
    </w:p>
    <w:p w14:paraId="561E132B" w14:textId="77777777" w:rsidR="00AF47DA" w:rsidRDefault="00AF47DA" w:rsidP="00AF47DA">
      <w:pPr>
        <w:rPr>
          <w:lang w:val="en-CA"/>
        </w:rPr>
      </w:pPr>
      <w:r>
        <w:rPr>
          <w:lang w:val="en-CA"/>
        </w:rPr>
        <w:t>608-1081 Burrard Street</w:t>
      </w:r>
    </w:p>
    <w:p w14:paraId="5AD22EDD" w14:textId="77777777" w:rsidR="00AF47DA" w:rsidRDefault="00AF47DA" w:rsidP="00AF47DA">
      <w:pPr>
        <w:rPr>
          <w:lang w:val="en-CA"/>
        </w:rPr>
      </w:pPr>
      <w:r>
        <w:rPr>
          <w:lang w:val="en-CA"/>
        </w:rPr>
        <w:t>Vancouver, British Columbia</w:t>
      </w:r>
    </w:p>
    <w:p w14:paraId="4C5CB0BF" w14:textId="77777777" w:rsidR="00AF47DA" w:rsidRDefault="00AF47DA" w:rsidP="00AF47DA">
      <w:pPr>
        <w:rPr>
          <w:lang w:val="en-CA"/>
        </w:rPr>
      </w:pPr>
      <w:r>
        <w:rPr>
          <w:lang w:val="en-CA"/>
        </w:rPr>
        <w:t>Canada</w:t>
      </w:r>
    </w:p>
    <w:p w14:paraId="1AF56EC6" w14:textId="77777777" w:rsidR="00AF47DA" w:rsidRDefault="00AF47DA" w:rsidP="00AF47DA">
      <w:pPr>
        <w:rPr>
          <w:lang w:val="en-CA"/>
        </w:rPr>
      </w:pPr>
      <w:r>
        <w:rPr>
          <w:lang w:val="en-CA"/>
        </w:rPr>
        <w:t>V6Z 1Y6</w:t>
      </w:r>
    </w:p>
    <w:p w14:paraId="54A75E2C" w14:textId="77777777" w:rsidR="00AF47DA" w:rsidRDefault="00AF47DA" w:rsidP="00AF47DA">
      <w:pPr>
        <w:rPr>
          <w:lang w:val="en-CA"/>
        </w:rPr>
      </w:pPr>
      <w:r>
        <w:rPr>
          <w:lang w:val="en-CA"/>
        </w:rPr>
        <w:t>Tel: 604 806 8477</w:t>
      </w:r>
    </w:p>
    <w:p w14:paraId="33D49953" w14:textId="77777777" w:rsidR="00AF47DA" w:rsidRDefault="00AF47DA" w:rsidP="00AF47DA">
      <w:pPr>
        <w:rPr>
          <w:lang w:val="en-CA"/>
        </w:rPr>
      </w:pPr>
      <w:r>
        <w:rPr>
          <w:lang w:val="en-CA"/>
        </w:rPr>
        <w:t>Email: z</w:t>
      </w:r>
      <w:r w:rsidRPr="006B5A5B">
        <w:rPr>
          <w:lang w:val="en-CA"/>
        </w:rPr>
        <w:t>cui@cfenet.ubc.ca</w:t>
      </w:r>
    </w:p>
    <w:p w14:paraId="7E0AC8BC" w14:textId="77777777" w:rsidR="00AF47DA" w:rsidRDefault="00AF47DA" w:rsidP="00AF47DA">
      <w:pPr>
        <w:rPr>
          <w:lang w:val="en-CA"/>
        </w:rPr>
      </w:pPr>
    </w:p>
    <w:p w14:paraId="7EC3CE5A" w14:textId="77777777" w:rsidR="00AF47DA" w:rsidRDefault="00AF47DA" w:rsidP="00AF47DA">
      <w:pPr>
        <w:rPr>
          <w:lang w:val="en-CA"/>
        </w:rPr>
      </w:pPr>
      <w:r>
        <w:rPr>
          <w:lang w:val="en-CA"/>
        </w:rPr>
        <w:t xml:space="preserve">Paul </w:t>
      </w:r>
      <w:proofErr w:type="spellStart"/>
      <w:r>
        <w:rPr>
          <w:lang w:val="en-CA"/>
        </w:rPr>
        <w:t>Sereda</w:t>
      </w:r>
      <w:proofErr w:type="spellEnd"/>
    </w:p>
    <w:p w14:paraId="38D04EDA" w14:textId="77777777" w:rsidR="00AF47DA" w:rsidRDefault="00AF47DA" w:rsidP="00AF47DA">
      <w:pPr>
        <w:rPr>
          <w:lang w:val="en-CA"/>
        </w:rPr>
      </w:pPr>
      <w:r>
        <w:rPr>
          <w:lang w:val="en-CA"/>
        </w:rPr>
        <w:t>British Columbia Centre for Excellence in HIV/AIDS</w:t>
      </w:r>
    </w:p>
    <w:p w14:paraId="2A6DDA49" w14:textId="77777777" w:rsidR="00AF47DA" w:rsidRDefault="00AF47DA" w:rsidP="00AF47DA">
      <w:pPr>
        <w:rPr>
          <w:lang w:val="en-CA"/>
        </w:rPr>
      </w:pPr>
      <w:r>
        <w:rPr>
          <w:lang w:val="en-CA"/>
        </w:rPr>
        <w:t>608-1081 Burrard Street</w:t>
      </w:r>
    </w:p>
    <w:p w14:paraId="535BFB3C" w14:textId="77777777" w:rsidR="00AF47DA" w:rsidRDefault="00AF47DA" w:rsidP="00AF47DA">
      <w:pPr>
        <w:rPr>
          <w:lang w:val="en-CA"/>
        </w:rPr>
      </w:pPr>
      <w:r>
        <w:rPr>
          <w:lang w:val="en-CA"/>
        </w:rPr>
        <w:t>Vancouver, British Columbia</w:t>
      </w:r>
    </w:p>
    <w:p w14:paraId="0AC2090A" w14:textId="77777777" w:rsidR="00AF47DA" w:rsidRDefault="00AF47DA" w:rsidP="00AF47DA">
      <w:pPr>
        <w:rPr>
          <w:lang w:val="en-CA"/>
        </w:rPr>
      </w:pPr>
      <w:r>
        <w:rPr>
          <w:lang w:val="en-CA"/>
        </w:rPr>
        <w:t>Canada</w:t>
      </w:r>
    </w:p>
    <w:p w14:paraId="50E168BF" w14:textId="77777777" w:rsidR="00AF47DA" w:rsidRDefault="00AF47DA" w:rsidP="00AF47DA">
      <w:pPr>
        <w:rPr>
          <w:lang w:val="en-CA"/>
        </w:rPr>
      </w:pPr>
      <w:r>
        <w:rPr>
          <w:lang w:val="en-CA"/>
        </w:rPr>
        <w:t>V6Z 1Y6</w:t>
      </w:r>
    </w:p>
    <w:p w14:paraId="727C565A" w14:textId="77777777" w:rsidR="00AF47DA" w:rsidRDefault="00AF47DA" w:rsidP="00AF47DA">
      <w:pPr>
        <w:rPr>
          <w:lang w:val="en-CA"/>
        </w:rPr>
      </w:pPr>
      <w:r>
        <w:rPr>
          <w:lang w:val="en-CA"/>
        </w:rPr>
        <w:t>Tel: 604 806 8477</w:t>
      </w:r>
    </w:p>
    <w:p w14:paraId="2709BB46" w14:textId="77777777" w:rsidR="00AF47DA" w:rsidRDefault="00AF47DA" w:rsidP="00AF47DA">
      <w:pPr>
        <w:rPr>
          <w:lang w:val="en-CA"/>
        </w:rPr>
      </w:pPr>
      <w:r>
        <w:rPr>
          <w:lang w:val="en-CA"/>
        </w:rPr>
        <w:t xml:space="preserve">Email: </w:t>
      </w:r>
      <w:r w:rsidRPr="006B5A5B">
        <w:rPr>
          <w:lang w:val="en-CA"/>
        </w:rPr>
        <w:t>psereda@cfenet.ubc.ca</w:t>
      </w:r>
    </w:p>
    <w:p w14:paraId="3B623A95" w14:textId="77777777" w:rsidR="00AF47DA" w:rsidRDefault="00AF47DA" w:rsidP="00AF47DA">
      <w:pPr>
        <w:rPr>
          <w:lang w:val="en-CA"/>
        </w:rPr>
      </w:pPr>
    </w:p>
    <w:p w14:paraId="426E2AEA" w14:textId="77777777" w:rsidR="00AF47DA" w:rsidRDefault="00AF47DA" w:rsidP="00AF47DA">
      <w:pPr>
        <w:rPr>
          <w:lang w:val="en-CA"/>
        </w:rPr>
      </w:pPr>
      <w:r>
        <w:rPr>
          <w:lang w:val="en-CA"/>
        </w:rPr>
        <w:t xml:space="preserve">Nathan J. </w:t>
      </w:r>
      <w:proofErr w:type="spellStart"/>
      <w:r>
        <w:rPr>
          <w:lang w:val="en-CA"/>
        </w:rPr>
        <w:t>Lachowsky</w:t>
      </w:r>
      <w:proofErr w:type="spellEnd"/>
    </w:p>
    <w:p w14:paraId="1771231C" w14:textId="77777777" w:rsidR="00AF47DA" w:rsidRDefault="00AF47DA" w:rsidP="00AF47DA">
      <w:pPr>
        <w:rPr>
          <w:lang w:val="en-CA"/>
        </w:rPr>
      </w:pPr>
      <w:r>
        <w:rPr>
          <w:lang w:val="en-CA"/>
        </w:rPr>
        <w:t>School of Public Health and Social Policy</w:t>
      </w:r>
    </w:p>
    <w:p w14:paraId="6A5CA350" w14:textId="77777777" w:rsidR="00AF47DA" w:rsidRDefault="00AF47DA" w:rsidP="00AF47DA">
      <w:pPr>
        <w:rPr>
          <w:lang w:val="en-CA"/>
        </w:rPr>
      </w:pPr>
      <w:r>
        <w:rPr>
          <w:lang w:val="en-CA"/>
        </w:rPr>
        <w:t>HSD B202e</w:t>
      </w:r>
    </w:p>
    <w:p w14:paraId="7EF23277" w14:textId="77777777" w:rsidR="00AF47DA" w:rsidRDefault="00AF47DA" w:rsidP="00AF47DA">
      <w:pPr>
        <w:rPr>
          <w:lang w:val="en-CA"/>
        </w:rPr>
      </w:pPr>
      <w:r>
        <w:rPr>
          <w:lang w:val="en-CA"/>
        </w:rPr>
        <w:t>University of Victoria</w:t>
      </w:r>
    </w:p>
    <w:p w14:paraId="2C86E97B" w14:textId="77777777" w:rsidR="00AF47DA" w:rsidRDefault="00AF47DA" w:rsidP="00AF47DA">
      <w:pPr>
        <w:rPr>
          <w:lang w:val="en-CA"/>
        </w:rPr>
      </w:pPr>
      <w:r>
        <w:rPr>
          <w:lang w:val="en-CA"/>
        </w:rPr>
        <w:t>Victoria, BC</w:t>
      </w:r>
    </w:p>
    <w:p w14:paraId="4EB7DD0A" w14:textId="77777777" w:rsidR="00AF47DA" w:rsidRDefault="00AF47DA" w:rsidP="00AF47DA">
      <w:pPr>
        <w:rPr>
          <w:lang w:val="en-CA"/>
        </w:rPr>
      </w:pPr>
      <w:r>
        <w:rPr>
          <w:lang w:val="en-CA"/>
        </w:rPr>
        <w:t>Canada</w:t>
      </w:r>
    </w:p>
    <w:p w14:paraId="7EA79BCD" w14:textId="77777777" w:rsidR="00AF47DA" w:rsidRDefault="00AF47DA" w:rsidP="00AF47DA">
      <w:pPr>
        <w:rPr>
          <w:lang w:val="en-CA"/>
        </w:rPr>
      </w:pPr>
      <w:r>
        <w:rPr>
          <w:lang w:val="en-CA"/>
        </w:rPr>
        <w:t>Tel: 250 721 7047</w:t>
      </w:r>
    </w:p>
    <w:p w14:paraId="7F10F923" w14:textId="77777777" w:rsidR="00AF47DA" w:rsidRDefault="00AF47DA" w:rsidP="00AF47DA">
      <w:pPr>
        <w:rPr>
          <w:lang w:val="en-CA"/>
        </w:rPr>
      </w:pPr>
    </w:p>
    <w:p w14:paraId="4932A2AF" w14:textId="77777777" w:rsidR="00AF47DA" w:rsidRDefault="00AF47DA" w:rsidP="00AF47DA">
      <w:pPr>
        <w:rPr>
          <w:lang w:val="en-CA"/>
        </w:rPr>
      </w:pPr>
      <w:r>
        <w:rPr>
          <w:lang w:val="en-CA"/>
        </w:rPr>
        <w:t>David M. Moore</w:t>
      </w:r>
    </w:p>
    <w:p w14:paraId="3697EDDD" w14:textId="77777777" w:rsidR="00AF47DA" w:rsidRDefault="00AF47DA" w:rsidP="00AF47DA">
      <w:pPr>
        <w:rPr>
          <w:lang w:val="en-CA"/>
        </w:rPr>
      </w:pPr>
      <w:r>
        <w:rPr>
          <w:lang w:val="en-CA"/>
        </w:rPr>
        <w:t>British Columbia Centre for Excellence in HIV/AIDS</w:t>
      </w:r>
    </w:p>
    <w:p w14:paraId="7D8D0C66" w14:textId="77777777" w:rsidR="00AF47DA" w:rsidRDefault="00AF47DA" w:rsidP="00AF47DA">
      <w:pPr>
        <w:rPr>
          <w:lang w:val="en-CA"/>
        </w:rPr>
      </w:pPr>
      <w:r>
        <w:rPr>
          <w:lang w:val="en-CA"/>
        </w:rPr>
        <w:t>608-1081 Burrard Street</w:t>
      </w:r>
    </w:p>
    <w:p w14:paraId="2721B272" w14:textId="77777777" w:rsidR="00AF47DA" w:rsidRDefault="00AF47DA" w:rsidP="00AF47DA">
      <w:pPr>
        <w:rPr>
          <w:lang w:val="en-CA"/>
        </w:rPr>
      </w:pPr>
      <w:r>
        <w:rPr>
          <w:lang w:val="en-CA"/>
        </w:rPr>
        <w:t>Vancouver, British Columbia</w:t>
      </w:r>
    </w:p>
    <w:p w14:paraId="52C78FF6" w14:textId="77777777" w:rsidR="00AF47DA" w:rsidRDefault="00AF47DA" w:rsidP="00AF47DA">
      <w:pPr>
        <w:rPr>
          <w:lang w:val="en-CA"/>
        </w:rPr>
      </w:pPr>
      <w:r>
        <w:rPr>
          <w:lang w:val="en-CA"/>
        </w:rPr>
        <w:t>Canada</w:t>
      </w:r>
    </w:p>
    <w:p w14:paraId="4CEAB452" w14:textId="77777777" w:rsidR="00AF47DA" w:rsidRDefault="00AF47DA" w:rsidP="00AF47DA">
      <w:pPr>
        <w:rPr>
          <w:lang w:val="en-CA"/>
        </w:rPr>
      </w:pPr>
      <w:r>
        <w:rPr>
          <w:lang w:val="en-CA"/>
        </w:rPr>
        <w:lastRenderedPageBreak/>
        <w:t>V6Z 1Y6</w:t>
      </w:r>
    </w:p>
    <w:p w14:paraId="63149377" w14:textId="77777777" w:rsidR="00AF47DA" w:rsidRDefault="00AF47DA" w:rsidP="00AF47DA">
      <w:pPr>
        <w:rPr>
          <w:lang w:val="en-CA"/>
        </w:rPr>
      </w:pPr>
      <w:r>
        <w:rPr>
          <w:lang w:val="en-CA"/>
        </w:rPr>
        <w:t>Tel: 604 806 8477</w:t>
      </w:r>
    </w:p>
    <w:p w14:paraId="276A28BA" w14:textId="77777777" w:rsidR="00AF47DA" w:rsidRDefault="00AF47DA" w:rsidP="00AF47DA">
      <w:pPr>
        <w:rPr>
          <w:lang w:val="en-CA"/>
        </w:rPr>
      </w:pPr>
      <w:r>
        <w:rPr>
          <w:lang w:val="en-CA"/>
        </w:rPr>
        <w:t xml:space="preserve">Email: </w:t>
      </w:r>
      <w:r w:rsidRPr="006B5A5B">
        <w:rPr>
          <w:lang w:val="en-CA"/>
        </w:rPr>
        <w:t>dmoore@cfenet.ubc.ca</w:t>
      </w:r>
    </w:p>
    <w:p w14:paraId="2EA94203" w14:textId="77777777" w:rsidR="00AF47DA" w:rsidRDefault="00AF47DA" w:rsidP="00AF47DA">
      <w:pPr>
        <w:rPr>
          <w:lang w:val="en-CA"/>
        </w:rPr>
      </w:pPr>
    </w:p>
    <w:p w14:paraId="2E5629C8" w14:textId="77777777" w:rsidR="00AF47DA" w:rsidRDefault="00AF47DA" w:rsidP="00AF47DA">
      <w:pPr>
        <w:rPr>
          <w:lang w:val="en-CA"/>
        </w:rPr>
      </w:pPr>
      <w:r>
        <w:rPr>
          <w:lang w:val="en-CA"/>
        </w:rPr>
        <w:t>Robert S. Hogg</w:t>
      </w:r>
    </w:p>
    <w:p w14:paraId="3A8DBC71" w14:textId="77777777" w:rsidR="00AF47DA" w:rsidRDefault="00AF47DA" w:rsidP="00AF47DA">
      <w:pPr>
        <w:rPr>
          <w:lang w:val="en-CA"/>
        </w:rPr>
      </w:pPr>
      <w:r>
        <w:rPr>
          <w:lang w:val="en-CA"/>
        </w:rPr>
        <w:t>British Columbia Centre for Excellence in HIV/AIDS</w:t>
      </w:r>
    </w:p>
    <w:p w14:paraId="6A830C45" w14:textId="77777777" w:rsidR="00AF47DA" w:rsidRDefault="00AF47DA" w:rsidP="00AF47DA">
      <w:pPr>
        <w:rPr>
          <w:lang w:val="en-CA"/>
        </w:rPr>
      </w:pPr>
      <w:r>
        <w:rPr>
          <w:lang w:val="en-CA"/>
        </w:rPr>
        <w:t>608-1081 Burrard Street</w:t>
      </w:r>
    </w:p>
    <w:p w14:paraId="407AAF5F" w14:textId="77777777" w:rsidR="00AF47DA" w:rsidRDefault="00AF47DA" w:rsidP="00AF47DA">
      <w:pPr>
        <w:rPr>
          <w:lang w:val="en-CA"/>
        </w:rPr>
      </w:pPr>
      <w:r>
        <w:rPr>
          <w:lang w:val="en-CA"/>
        </w:rPr>
        <w:t>Vancouver, British Columbia</w:t>
      </w:r>
    </w:p>
    <w:p w14:paraId="3DA6B677" w14:textId="77777777" w:rsidR="00AF47DA" w:rsidRDefault="00AF47DA" w:rsidP="00AF47DA">
      <w:pPr>
        <w:rPr>
          <w:lang w:val="en-CA"/>
        </w:rPr>
      </w:pPr>
      <w:r>
        <w:rPr>
          <w:lang w:val="en-CA"/>
        </w:rPr>
        <w:t>Canada</w:t>
      </w:r>
    </w:p>
    <w:p w14:paraId="3FB2BCBC" w14:textId="77777777" w:rsidR="00AF47DA" w:rsidRDefault="00AF47DA" w:rsidP="00AF47DA">
      <w:pPr>
        <w:rPr>
          <w:lang w:val="en-CA"/>
        </w:rPr>
      </w:pPr>
      <w:r>
        <w:rPr>
          <w:lang w:val="en-CA"/>
        </w:rPr>
        <w:t>V6Z 1Y6</w:t>
      </w:r>
    </w:p>
    <w:p w14:paraId="46FF5967" w14:textId="77777777" w:rsidR="00AF47DA" w:rsidRDefault="00AF47DA" w:rsidP="00AF47DA">
      <w:pPr>
        <w:rPr>
          <w:lang w:val="en-CA"/>
        </w:rPr>
      </w:pPr>
      <w:r>
        <w:rPr>
          <w:lang w:val="en-CA"/>
        </w:rPr>
        <w:t>Tel: 604 806 8477</w:t>
      </w:r>
    </w:p>
    <w:p w14:paraId="4D15ADD7" w14:textId="77777777" w:rsidR="00AF47DA" w:rsidRDefault="00AF47DA" w:rsidP="00AF47DA">
      <w:pPr>
        <w:rPr>
          <w:lang w:val="en-CA"/>
        </w:rPr>
      </w:pPr>
      <w:r>
        <w:rPr>
          <w:lang w:val="en-CA"/>
        </w:rPr>
        <w:t xml:space="preserve">Email: </w:t>
      </w:r>
      <w:r w:rsidRPr="006B5A5B">
        <w:rPr>
          <w:lang w:val="en-CA"/>
        </w:rPr>
        <w:t>bhogg@cfenet.ubc.ca</w:t>
      </w:r>
    </w:p>
    <w:p w14:paraId="53BB00BF" w14:textId="77777777" w:rsidR="00AF47DA" w:rsidRDefault="00AF47DA" w:rsidP="00AF47DA">
      <w:pPr>
        <w:rPr>
          <w:lang w:val="en-CA"/>
        </w:rPr>
      </w:pPr>
    </w:p>
    <w:p w14:paraId="481891F4" w14:textId="77777777" w:rsidR="00AF47DA" w:rsidRDefault="00AF47DA" w:rsidP="00AF47DA">
      <w:pPr>
        <w:rPr>
          <w:lang w:val="en-CA"/>
        </w:rPr>
      </w:pPr>
      <w:r>
        <w:rPr>
          <w:lang w:val="en-CA"/>
        </w:rPr>
        <w:t>Eric A. Roth</w:t>
      </w:r>
    </w:p>
    <w:p w14:paraId="71A40D10" w14:textId="77777777" w:rsidR="00AF47DA" w:rsidRDefault="00AF47DA" w:rsidP="00AF47DA">
      <w:pPr>
        <w:rPr>
          <w:lang w:val="en-CA"/>
        </w:rPr>
      </w:pPr>
      <w:r>
        <w:rPr>
          <w:lang w:val="en-CA"/>
        </w:rPr>
        <w:t>Department of Anthropology</w:t>
      </w:r>
    </w:p>
    <w:p w14:paraId="3D960D55" w14:textId="77777777" w:rsidR="00AF47DA" w:rsidRDefault="00AF47DA" w:rsidP="00AF47DA">
      <w:pPr>
        <w:rPr>
          <w:lang w:val="en-CA"/>
        </w:rPr>
      </w:pPr>
      <w:r>
        <w:rPr>
          <w:lang w:val="en-CA"/>
        </w:rPr>
        <w:t>Cornett Building, B228</w:t>
      </w:r>
    </w:p>
    <w:p w14:paraId="408A4CB9" w14:textId="77777777" w:rsidR="00AF47DA" w:rsidRDefault="00AF47DA" w:rsidP="00AF47DA">
      <w:pPr>
        <w:rPr>
          <w:lang w:val="en-CA"/>
        </w:rPr>
      </w:pPr>
      <w:r>
        <w:rPr>
          <w:lang w:val="en-CA"/>
        </w:rPr>
        <w:t>University of Victoria</w:t>
      </w:r>
    </w:p>
    <w:p w14:paraId="14AE1CB1" w14:textId="77777777" w:rsidR="00AF47DA" w:rsidRDefault="00AF47DA" w:rsidP="00AF47DA">
      <w:pPr>
        <w:rPr>
          <w:lang w:val="en-CA"/>
        </w:rPr>
      </w:pPr>
      <w:r>
        <w:rPr>
          <w:lang w:val="en-CA"/>
        </w:rPr>
        <w:t>Victoria, BC</w:t>
      </w:r>
    </w:p>
    <w:p w14:paraId="768F70B7" w14:textId="77777777" w:rsidR="00AF47DA" w:rsidRDefault="00AF47DA" w:rsidP="00AF47DA">
      <w:pPr>
        <w:rPr>
          <w:lang w:val="en-CA"/>
        </w:rPr>
      </w:pPr>
      <w:r>
        <w:rPr>
          <w:lang w:val="en-CA"/>
        </w:rPr>
        <w:t>Canada</w:t>
      </w:r>
    </w:p>
    <w:p w14:paraId="77E40215" w14:textId="77777777" w:rsidR="00AF47DA" w:rsidRDefault="00AF47DA" w:rsidP="00AF47DA">
      <w:pPr>
        <w:rPr>
          <w:lang w:val="en-CA"/>
        </w:rPr>
      </w:pPr>
      <w:r>
        <w:rPr>
          <w:lang w:val="en-CA"/>
        </w:rPr>
        <w:t>Tel: 250 721 7047</w:t>
      </w:r>
    </w:p>
    <w:p w14:paraId="6A9D6B64" w14:textId="77777777" w:rsidR="00AF47DA" w:rsidRDefault="00AF47DA" w:rsidP="00AF47DA">
      <w:pPr>
        <w:spacing w:line="480" w:lineRule="auto"/>
        <w:rPr>
          <w:lang w:val="en-CA"/>
        </w:rPr>
        <w:sectPr w:rsidR="00AF47DA" w:rsidSect="00AF47DA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>
        <w:rPr>
          <w:lang w:val="en-CA"/>
        </w:rPr>
        <w:t xml:space="preserve">Email: </w:t>
      </w:r>
      <w:r w:rsidRPr="006B5A5B">
        <w:rPr>
          <w:lang w:val="en-CA"/>
        </w:rPr>
        <w:t>ericroth@uvic.ca</w:t>
      </w:r>
    </w:p>
    <w:p w14:paraId="252D7918" w14:textId="40F74EF9" w:rsidR="000126AC" w:rsidRPr="00EC1351" w:rsidRDefault="000126AC" w:rsidP="00AF47DA">
      <w:pPr>
        <w:spacing w:line="480" w:lineRule="auto"/>
      </w:pPr>
    </w:p>
    <w:p w14:paraId="133FB0EF" w14:textId="77777777" w:rsidR="003932C1" w:rsidRPr="00EC1351" w:rsidRDefault="003932C1" w:rsidP="003932C1">
      <w:pPr>
        <w:rPr>
          <w:lang w:val="en-CA"/>
        </w:rPr>
      </w:pPr>
    </w:p>
    <w:p w14:paraId="74353BBC" w14:textId="77777777" w:rsidR="00D363E9" w:rsidRPr="00EC1351" w:rsidRDefault="00D363E9">
      <w:pPr>
        <w:rPr>
          <w:lang w:val="en-CA"/>
        </w:rPr>
      </w:pPr>
      <w:r w:rsidRPr="00EC1351">
        <w:rPr>
          <w:lang w:val="en-CA"/>
        </w:rPr>
        <w:br w:type="page"/>
      </w:r>
    </w:p>
    <w:p w14:paraId="2E814B54" w14:textId="7B65B057" w:rsidR="00D363E9" w:rsidRPr="00EC1351" w:rsidRDefault="00D363E9" w:rsidP="00B817AD">
      <w:pPr>
        <w:spacing w:line="480" w:lineRule="auto"/>
        <w:outlineLvl w:val="0"/>
        <w:rPr>
          <w:b/>
          <w:lang w:val="en-CA"/>
        </w:rPr>
      </w:pPr>
      <w:r w:rsidRPr="00EC1351">
        <w:rPr>
          <w:b/>
          <w:lang w:val="en-CA"/>
        </w:rPr>
        <w:lastRenderedPageBreak/>
        <w:t>Abstract</w:t>
      </w:r>
    </w:p>
    <w:p w14:paraId="0A79EAC9" w14:textId="3233555B" w:rsidR="003932C1" w:rsidRPr="007262C1" w:rsidRDefault="003932C1" w:rsidP="007262C1">
      <w:pPr>
        <w:spacing w:line="480" w:lineRule="auto"/>
        <w:rPr>
          <w:lang w:val="en-CA"/>
        </w:rPr>
      </w:pPr>
      <w:r w:rsidRPr="00EC1351">
        <w:rPr>
          <w:lang w:val="en-CA"/>
        </w:rPr>
        <w:t>This cross-sectional study used a validated index (i.e.</w:t>
      </w:r>
      <w:r w:rsidR="00806F0F">
        <w:rPr>
          <w:lang w:val="en-CA"/>
        </w:rPr>
        <w:t>,</w:t>
      </w:r>
      <w:r w:rsidRPr="00EC1351">
        <w:rPr>
          <w:lang w:val="en-CA"/>
        </w:rPr>
        <w:t xml:space="preserve"> Hospital Anxiety and Depression </w:t>
      </w:r>
      <w:r w:rsidR="00806F0F">
        <w:rPr>
          <w:lang w:val="en-CA"/>
        </w:rPr>
        <w:t>Scale</w:t>
      </w:r>
      <w:r w:rsidR="00C11D72">
        <w:rPr>
          <w:lang w:val="en-CA"/>
        </w:rPr>
        <w:t xml:space="preserve">) </w:t>
      </w:r>
      <w:r w:rsidRPr="00EC1351">
        <w:rPr>
          <w:lang w:val="en-CA"/>
        </w:rPr>
        <w:t>to measure anxiety and depression</w:t>
      </w:r>
      <w:r w:rsidR="00C11D72">
        <w:rPr>
          <w:lang w:val="en-CA"/>
        </w:rPr>
        <w:t xml:space="preserve"> (caseness score</w:t>
      </w:r>
      <w:r w:rsidR="0067297B">
        <w:rPr>
          <w:lang w:val="en-CA"/>
        </w:rPr>
        <w:t>:</w:t>
      </w:r>
      <w:r w:rsidR="00C11D72">
        <w:rPr>
          <w:lang w:val="en-CA"/>
        </w:rPr>
        <w:t xml:space="preserve"> </w:t>
      </w:r>
      <w:r w:rsidR="003A690E">
        <w:rPr>
          <w:lang w:val="en-CA"/>
        </w:rPr>
        <w:sym w:font="Symbol" w:char="F0B3"/>
      </w:r>
      <w:r w:rsidR="00C11D72">
        <w:rPr>
          <w:lang w:val="en-CA"/>
        </w:rPr>
        <w:t>8)</w:t>
      </w:r>
      <w:r w:rsidRPr="00EC1351">
        <w:rPr>
          <w:lang w:val="en-CA"/>
        </w:rPr>
        <w:t xml:space="preserve"> among men who have sex with men recruited via respondent</w:t>
      </w:r>
      <w:r w:rsidR="005B471A">
        <w:rPr>
          <w:lang w:val="en-CA"/>
        </w:rPr>
        <w:t>-</w:t>
      </w:r>
      <w:r w:rsidRPr="00EC1351">
        <w:rPr>
          <w:lang w:val="en-CA"/>
        </w:rPr>
        <w:t>driven sampling in Vancouver, Canada (n=774), and investigated whether differences in mental health outcomes varied by sexual orientation measure (i.e.</w:t>
      </w:r>
      <w:r w:rsidR="00AE0418">
        <w:rPr>
          <w:lang w:val="en-CA"/>
        </w:rPr>
        <w:t>,</w:t>
      </w:r>
      <w:r w:rsidRPr="00EC1351">
        <w:rPr>
          <w:lang w:val="en-CA"/>
        </w:rPr>
        <w:t xml:space="preserve"> identity, attraction, behavior).</w:t>
      </w:r>
      <w:r w:rsidR="00625804">
        <w:rPr>
          <w:lang w:val="en-CA"/>
        </w:rPr>
        <w:t xml:space="preserve"> </w:t>
      </w:r>
      <w:r w:rsidRPr="00EC1351">
        <w:t xml:space="preserve">Of the </w:t>
      </w:r>
      <w:r w:rsidR="00E762ED">
        <w:t>sample</w:t>
      </w:r>
      <w:r w:rsidRPr="00EC1351">
        <w:t>, 15.5% identified as bisexual, 33.4% reported any bisexual attraction</w:t>
      </w:r>
      <w:r w:rsidR="00226863">
        <w:t>,</w:t>
      </w:r>
      <w:r w:rsidRPr="00EC1351">
        <w:t xml:space="preserve"> and 22.7% reported any bisexual sexual activity</w:t>
      </w:r>
      <w:r w:rsidR="00533F4B">
        <w:t>.</w:t>
      </w:r>
      <w:r w:rsidRPr="00EC1351">
        <w:t xml:space="preserve"> </w:t>
      </w:r>
      <w:r w:rsidR="007C1391">
        <w:t xml:space="preserve">More </w:t>
      </w:r>
      <w:r w:rsidR="000A691E">
        <w:t xml:space="preserve">bisexual than gay men met the case definition for anxiety and depression, across all sexual orientation measures. </w:t>
      </w:r>
      <w:r w:rsidRPr="00EC1351">
        <w:rPr>
          <w:lang w:val="en-CA"/>
        </w:rPr>
        <w:t xml:space="preserve"> </w:t>
      </w:r>
      <w:r w:rsidR="0001659C">
        <w:rPr>
          <w:lang w:val="en-CA"/>
        </w:rPr>
        <w:t>In</w:t>
      </w:r>
      <w:r w:rsidR="00226863">
        <w:rPr>
          <w:lang w:val="en-CA"/>
        </w:rPr>
        <w:t xml:space="preserve"> </w:t>
      </w:r>
      <w:r w:rsidR="008F4A03">
        <w:rPr>
          <w:lang w:val="en-CA"/>
        </w:rPr>
        <w:t xml:space="preserve">adjusted </w:t>
      </w:r>
      <w:r w:rsidR="00226863">
        <w:rPr>
          <w:lang w:val="en-CA"/>
        </w:rPr>
        <w:t>multivariable model</w:t>
      </w:r>
      <w:r w:rsidR="0001659C">
        <w:rPr>
          <w:lang w:val="en-CA"/>
        </w:rPr>
        <w:t>s</w:t>
      </w:r>
      <w:r w:rsidR="00226863">
        <w:rPr>
          <w:lang w:val="en-CA"/>
        </w:rPr>
        <w:t>, b</w:t>
      </w:r>
      <w:r w:rsidRPr="00EC1351">
        <w:rPr>
          <w:lang w:val="en-CA"/>
        </w:rPr>
        <w:t xml:space="preserve">isexual men had higher odds of anxiety </w:t>
      </w:r>
      <w:r w:rsidR="005324E8">
        <w:rPr>
          <w:lang w:val="en-CA"/>
        </w:rPr>
        <w:t xml:space="preserve">by attraction and identity </w:t>
      </w:r>
      <w:r w:rsidRPr="00EC1351">
        <w:rPr>
          <w:lang w:val="en-CA"/>
        </w:rPr>
        <w:t xml:space="preserve">and </w:t>
      </w:r>
      <w:r w:rsidR="005324E8">
        <w:rPr>
          <w:lang w:val="en-CA"/>
        </w:rPr>
        <w:t xml:space="preserve">higher odds of </w:t>
      </w:r>
      <w:r w:rsidRPr="00EC1351">
        <w:rPr>
          <w:lang w:val="en-CA"/>
        </w:rPr>
        <w:t>depression</w:t>
      </w:r>
      <w:r w:rsidR="005324E8">
        <w:rPr>
          <w:lang w:val="en-CA"/>
        </w:rPr>
        <w:t xml:space="preserve"> </w:t>
      </w:r>
      <w:r w:rsidR="005C3456">
        <w:rPr>
          <w:lang w:val="en-CA"/>
        </w:rPr>
        <w:t>by</w:t>
      </w:r>
      <w:r w:rsidR="005324E8">
        <w:rPr>
          <w:lang w:val="en-CA"/>
        </w:rPr>
        <w:t xml:space="preserve"> identity</w:t>
      </w:r>
      <w:r w:rsidR="00FC6916">
        <w:rPr>
          <w:lang w:val="en-CA"/>
        </w:rPr>
        <w:t>.</w:t>
      </w:r>
      <w:r w:rsidR="00625804">
        <w:rPr>
          <w:lang w:val="en-CA"/>
        </w:rPr>
        <w:t xml:space="preserve"> </w:t>
      </w:r>
      <w:r w:rsidR="008421F6" w:rsidRPr="00EC1351">
        <w:rPr>
          <w:lang w:val="en-CA"/>
        </w:rPr>
        <w:t xml:space="preserve">Findings </w:t>
      </w:r>
      <w:r w:rsidR="008900B8">
        <w:rPr>
          <w:lang w:val="en-CA"/>
        </w:rPr>
        <w:t>highlight</w:t>
      </w:r>
      <w:r w:rsidR="008421F6" w:rsidRPr="00EC1351">
        <w:rPr>
          <w:lang w:val="en-CA"/>
        </w:rPr>
        <w:t xml:space="preserve"> the value of </w:t>
      </w:r>
      <w:r w:rsidR="00867016">
        <w:rPr>
          <w:lang w:val="en-CA"/>
        </w:rPr>
        <w:t>measuring</w:t>
      </w:r>
      <w:r w:rsidR="008421F6" w:rsidRPr="00EC1351">
        <w:rPr>
          <w:lang w:val="en-CA"/>
        </w:rPr>
        <w:t xml:space="preserve"> multiple sexual orientation </w:t>
      </w:r>
      <w:r w:rsidR="001E13C7">
        <w:rPr>
          <w:lang w:val="en-CA"/>
        </w:rPr>
        <w:t>dimensions</w:t>
      </w:r>
      <w:r w:rsidR="001E13C7" w:rsidRPr="00EC1351">
        <w:rPr>
          <w:lang w:val="en-CA"/>
        </w:rPr>
        <w:t xml:space="preserve"> </w:t>
      </w:r>
      <w:r w:rsidR="008421F6" w:rsidRPr="00EC1351">
        <w:rPr>
          <w:lang w:val="en-CA"/>
        </w:rPr>
        <w:t xml:space="preserve">in </w:t>
      </w:r>
      <w:r w:rsidR="00FA6687">
        <w:rPr>
          <w:lang w:val="en-CA"/>
        </w:rPr>
        <w:t>surveys</w:t>
      </w:r>
      <w:r w:rsidR="00F41F66">
        <w:rPr>
          <w:lang w:val="en-CA"/>
        </w:rPr>
        <w:t xml:space="preserve"> and routine surveillance</w:t>
      </w:r>
      <w:r w:rsidR="00C11A83">
        <w:rPr>
          <w:lang w:val="en-CA"/>
        </w:rPr>
        <w:t>,</w:t>
      </w:r>
      <w:r w:rsidR="00F41F66">
        <w:rPr>
          <w:lang w:val="en-CA"/>
        </w:rPr>
        <w:t xml:space="preserve"> </w:t>
      </w:r>
      <w:r w:rsidR="008421F6">
        <w:rPr>
          <w:lang w:val="en-CA"/>
        </w:rPr>
        <w:t xml:space="preserve">and </w:t>
      </w:r>
      <w:r w:rsidR="008421F6" w:rsidRPr="00EC1351">
        <w:rPr>
          <w:lang w:val="en-CA"/>
        </w:rPr>
        <w:t xml:space="preserve">the need to ensure sexual minority groups and sexual orientation dimensions are not considered commensurate </w:t>
      </w:r>
      <w:r w:rsidR="00B825D0">
        <w:rPr>
          <w:lang w:val="en-CA"/>
        </w:rPr>
        <w:t>for</w:t>
      </w:r>
      <w:r w:rsidR="008421F6" w:rsidRPr="00EC1351">
        <w:rPr>
          <w:lang w:val="en-CA"/>
        </w:rPr>
        <w:t xml:space="preserve"> mental health prevention and treatment.  </w:t>
      </w:r>
    </w:p>
    <w:p w14:paraId="7C1A6563" w14:textId="77777777" w:rsidR="00AF47DA" w:rsidRDefault="00AF47DA" w:rsidP="00AF47DA">
      <w:pPr>
        <w:spacing w:line="480" w:lineRule="auto"/>
        <w:rPr>
          <w:b/>
        </w:rPr>
      </w:pPr>
    </w:p>
    <w:p w14:paraId="1559DBFC" w14:textId="335918D5" w:rsidR="00AF47DA" w:rsidRDefault="00AF47DA" w:rsidP="00AF47DA">
      <w:pPr>
        <w:spacing w:line="480" w:lineRule="auto"/>
      </w:pPr>
      <w:r w:rsidRPr="00EC1351">
        <w:rPr>
          <w:b/>
        </w:rPr>
        <w:t>Key Words</w:t>
      </w:r>
      <w:r>
        <w:t>: Bisexuality;</w:t>
      </w:r>
      <w:r w:rsidRPr="00EC1351">
        <w:t xml:space="preserve"> Measurement</w:t>
      </w:r>
      <w:r>
        <w:t>; Men Who Have Sex with Men; Anxiety;</w:t>
      </w:r>
      <w:r w:rsidRPr="00EC1351">
        <w:t xml:space="preserve"> </w:t>
      </w:r>
      <w:r>
        <w:t>Depression</w:t>
      </w:r>
    </w:p>
    <w:p w14:paraId="7866D9A0" w14:textId="606E7B59" w:rsidR="00F30766" w:rsidRDefault="00594A67" w:rsidP="00B817AD">
      <w:pPr>
        <w:outlineLvl w:val="0"/>
        <w:rPr>
          <w:b/>
          <w:lang w:val="en-CA"/>
        </w:rPr>
      </w:pPr>
      <w:r>
        <w:rPr>
          <w:b/>
          <w:lang w:val="en-CA"/>
        </w:rPr>
        <w:br w:type="page"/>
      </w:r>
      <w:r w:rsidR="00A637F0" w:rsidRPr="00EC1351">
        <w:rPr>
          <w:b/>
          <w:lang w:val="en-CA"/>
        </w:rPr>
        <w:lastRenderedPageBreak/>
        <w:t>Introduction</w:t>
      </w:r>
    </w:p>
    <w:p w14:paraId="097EF4E7" w14:textId="77777777" w:rsidR="001B6A80" w:rsidRPr="001B6A80" w:rsidRDefault="001B6A80" w:rsidP="001B6A80">
      <w:pPr>
        <w:rPr>
          <w:b/>
          <w:lang w:val="en-CA"/>
        </w:rPr>
      </w:pPr>
    </w:p>
    <w:p w14:paraId="2A12E360" w14:textId="2DED0D97" w:rsidR="00FB6D5C" w:rsidRPr="00F236AF" w:rsidRDefault="001D26C0" w:rsidP="000B6DD4">
      <w:pPr>
        <w:spacing w:line="480" w:lineRule="auto"/>
        <w:ind w:firstLine="360"/>
        <w:rPr>
          <w:lang w:val="en-CA"/>
        </w:rPr>
      </w:pPr>
      <w:r>
        <w:rPr>
          <w:lang w:val="en-CA"/>
        </w:rPr>
        <w:t>In Canada,</w:t>
      </w:r>
      <w:r w:rsidR="00BE0DBA" w:rsidRPr="00584D8F">
        <w:rPr>
          <w:lang w:val="en-CA"/>
        </w:rPr>
        <w:t xml:space="preserve"> </w:t>
      </w:r>
      <w:r w:rsidR="007E4810" w:rsidRPr="00584D8F">
        <w:rPr>
          <w:lang w:val="en-CA"/>
        </w:rPr>
        <w:t>10%-20% of the general population experience mental health disorders</w:t>
      </w:r>
      <w:r w:rsidR="00F53B53" w:rsidRPr="00584D8F">
        <w:rPr>
          <w:lang w:val="en-CA"/>
        </w:rPr>
        <w:t xml:space="preserve"> </w:t>
      </w:r>
      <w:r w:rsidR="00F53B53" w:rsidRPr="00584D8F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&lt;citation&gt;&lt;priority&gt;0&lt;/priority&gt;&lt;uuid&gt;C1B9BD76-F6E4-498D-AEDD-AF277BF52FB4&lt;/uuid&gt;&lt;publications&gt;&lt;publication&gt;&lt;subtype&gt;702&lt;/subtype&gt;&lt;place&gt;Toronto, Canada&lt;/place&gt;&lt;publisher&gt;RiskAnalytica, on behalf of the Mental Health Commission of Canada&lt;/publisher&gt;&lt;title&gt;The life and economic impact of major mental illnesses in Canada: 2011 to 2041&lt;/title&gt;&lt;publication_date&gt;99201100001200000000200000&lt;/publication_date&gt;&lt;uuid&gt;F9AAB966-A2FB-4AD7-BBA3-6C2D7A89FD31&lt;/uuid&gt;&lt;type&gt;700&lt;/type&gt;&lt;authors&gt;&lt;author&gt;&lt;lastName&gt;Smetanin&lt;/lastName&gt;&lt;firstName&gt;P&lt;/firstName&gt;&lt;/author&gt;&lt;author&gt;&lt;lastName&gt;Stiff&lt;/lastName&gt;&lt;firstName&gt;D&lt;/firstName&gt;&lt;/author&gt;&lt;author&gt;&lt;lastName&gt;Briante&lt;/lastName&gt;&lt;firstName&gt;C&lt;/firstName&gt;&lt;/author&gt;&lt;author&gt;&lt;lastName&gt;Adair&lt;/lastName&gt;&lt;firstName&gt;C&lt;/firstName&gt;&lt;middleNames&gt;E&lt;/middleNames&gt;&lt;/author&gt;&lt;author&gt;&lt;lastName&gt;Ahmad&lt;/lastName&gt;&lt;firstName&gt;S&lt;/firstName&gt;&lt;/author&gt;&lt;author&gt;&lt;lastName&gt;Khan&lt;/lastName&gt;&lt;firstName&gt;M&lt;/firstName&gt;&lt;/author&gt;&lt;/authors&gt;&lt;/publication&gt;&lt;publication&gt;&lt;subtype&gt;702&lt;/subtype&gt;&lt;publisher&gt;Health at a Glance&lt;/publisher&gt;&lt;title&gt;Mental health and substance use disorders in Canada&lt;/title&gt;&lt;publication_date&gt;99201300001200000000200000&lt;/publication_date&gt;&lt;uuid&gt;B2C600C0-6761-420B-93F6-3F5945A791B5&lt;/uuid&gt;&lt;version&gt;Statistics Canada Catalogue no. 82-624-X&lt;/version&gt;&lt;type&gt;700&lt;/type&gt;&lt;authors&gt;&lt;author&gt;&lt;lastName&gt;Pearson&lt;/lastName&gt;&lt;firstName&gt;C&lt;/firstName&gt;&lt;/author&gt;&lt;author&gt;&lt;lastName&gt;Janz&lt;/lastName&gt;&lt;firstName&gt;T&lt;/firstName&gt;&lt;/author&gt;&lt;author&gt;&lt;lastName&gt;Ali&lt;/lastName&gt;&lt;firstName&gt;J&lt;/firstName&gt;&lt;/author&gt;&lt;/authors&gt;&lt;/publication&gt;&lt;/publications&gt;&lt;cites&gt;&lt;/cites&gt;&lt;/citation&gt;</w:instrText>
      </w:r>
      <w:r w:rsidR="00F53B53" w:rsidRPr="00584D8F">
        <w:rPr>
          <w:lang w:val="en-CA"/>
        </w:rPr>
        <w:fldChar w:fldCharType="separate"/>
      </w:r>
      <w:r w:rsidR="00084D40">
        <w:t>(Pearson, Janz, &amp; Ali, 2013; Smetanin et al., 2011)</w:t>
      </w:r>
      <w:r w:rsidR="00F53B53" w:rsidRPr="00584D8F">
        <w:rPr>
          <w:lang w:val="en-CA"/>
        </w:rPr>
        <w:fldChar w:fldCharType="end"/>
      </w:r>
      <w:r w:rsidR="004511AB" w:rsidRPr="00584D8F">
        <w:rPr>
          <w:lang w:val="en-CA"/>
        </w:rPr>
        <w:t xml:space="preserve">. </w:t>
      </w:r>
      <w:r w:rsidR="00577508">
        <w:rPr>
          <w:lang w:val="en-CA"/>
        </w:rPr>
        <w:t>Consequently, m</w:t>
      </w:r>
      <w:r w:rsidR="00D01C02" w:rsidRPr="00584D8F">
        <w:rPr>
          <w:lang w:val="en-CA"/>
        </w:rPr>
        <w:t xml:space="preserve">ental health </w:t>
      </w:r>
      <w:r w:rsidR="00961AFA">
        <w:rPr>
          <w:lang w:val="en-CA"/>
        </w:rPr>
        <w:t>morbidity</w:t>
      </w:r>
      <w:r w:rsidR="003B797B">
        <w:rPr>
          <w:lang w:val="en-CA"/>
        </w:rPr>
        <w:t xml:space="preserve"> </w:t>
      </w:r>
      <w:r w:rsidR="00961AFA">
        <w:rPr>
          <w:lang w:val="en-CA"/>
        </w:rPr>
        <w:t>is</w:t>
      </w:r>
      <w:r w:rsidR="00D01C02" w:rsidRPr="00584D8F">
        <w:rPr>
          <w:lang w:val="en-CA"/>
        </w:rPr>
        <w:t xml:space="preserve"> an important population and public health concern</w:t>
      </w:r>
      <w:r w:rsidR="00C905A2">
        <w:rPr>
          <w:lang w:val="en-CA"/>
        </w:rPr>
        <w:t>.</w:t>
      </w:r>
      <w:r w:rsidR="00D01C02" w:rsidRPr="00584D8F">
        <w:rPr>
          <w:lang w:val="en-CA"/>
        </w:rPr>
        <w:t xml:space="preserve"> </w:t>
      </w:r>
      <w:r w:rsidR="00C905A2">
        <w:rPr>
          <w:lang w:val="en-CA"/>
        </w:rPr>
        <w:t>P</w:t>
      </w:r>
      <w:r w:rsidR="00D01C02" w:rsidRPr="00584D8F">
        <w:rPr>
          <w:lang w:val="en-CA"/>
        </w:rPr>
        <w:t>oor mental health is associated with a range of social problems</w:t>
      </w:r>
      <w:r w:rsidR="00761E41">
        <w:rPr>
          <w:lang w:val="en-CA"/>
        </w:rPr>
        <w:t xml:space="preserve"> </w:t>
      </w:r>
      <w:r w:rsidR="00761E41" w:rsidRPr="00584D8F">
        <w:rPr>
          <w:lang w:val="en-CA"/>
        </w:rPr>
        <w:t>(e.g. poverty, homelessness, etc.)</w:t>
      </w:r>
      <w:r w:rsidR="00761E41">
        <w:rPr>
          <w:lang w:val="en-CA"/>
        </w:rPr>
        <w:t xml:space="preserve"> </w:t>
      </w:r>
      <w:r w:rsidR="00761E41" w:rsidRPr="00584D8F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&lt;citation&gt;&lt;priority&gt;1&lt;/priority&gt;&lt;uuid&gt;A3A72C5F-43E1-460C-A795-1F0B4AEADEB6&lt;/uuid&gt;&lt;publications&gt;&lt;publication&gt;&lt;subtype&gt;702&lt;/subtype&gt;&lt;place&gt;Ottawa&lt;/place&gt;&lt;publisher&gt;Canadian Institute for Health Information&lt;/publisher&gt;&lt;title&gt;Improving the Health of Canadians: Mental Health and Homelessness&lt;/title&gt;&lt;url&gt;https://secure.cihi.ca/free_products/mental_health_report_aug22_2007_e.pdf&lt;/url&gt;&lt;publication_date&gt;99200708171200000000222000&lt;/publication_date&gt;&lt;uuid&gt;D10B48F6-AB3F-4A9E-86DD-D4CF073EF8AF&lt;/uuid&gt;&lt;type&gt;700&lt;/type&gt;&lt;startpage&gt;1&lt;/startpage&gt;&lt;endpage&gt;70&lt;/endpage&gt;&lt;authors&gt;&lt;author&gt;&lt;lastName&gt;CIHI&lt;/lastName&gt;&lt;/author&gt;&lt;/authors&gt;&lt;/publication&gt;&lt;publication&gt;&lt;subtype&gt;702&lt;/subtype&gt;&lt;place&gt;Ottawa&lt;/place&gt;&lt;publisher&gt;Statistics Canada&lt;/publisher&gt;&lt;title&gt;Validation of self-rated mental health&lt;/title&gt;&lt;publication_date&gt;99201000001200000000200000&lt;/publication_date&gt;&lt;uuid&gt;5683C3A2-3A4A-4FBC-81C2-7039E0C191B5&lt;/uuid&gt;&lt;version&gt;Catalogue no. 82-003-X&lt;/version&gt;&lt;type&gt;700&lt;/type&gt;&lt;authors&gt;&lt;author&gt;&lt;lastName&gt;Mawani&lt;/lastName&gt;&lt;firstName&gt;F&lt;/firstName&gt;&lt;middleNames&gt;N&lt;/middleNames&gt;&lt;/author&gt;&lt;author&gt;&lt;lastName&gt;Gilmour&lt;/lastName&gt;&lt;firstName&gt;H&lt;/firstName&gt;&lt;/author&gt;&lt;/authors&gt;&lt;/publication&gt;&lt;/publications&gt;&lt;cites&gt;&lt;/cites&gt;&lt;/citation&gt;</w:instrText>
      </w:r>
      <w:r w:rsidR="00761E41" w:rsidRPr="00584D8F">
        <w:rPr>
          <w:lang w:val="en-CA"/>
        </w:rPr>
        <w:fldChar w:fldCharType="separate"/>
      </w:r>
      <w:r w:rsidR="00761E41">
        <w:t>(CIHI, 2007; Mawani &amp; Gilmour, 2010)</w:t>
      </w:r>
      <w:r w:rsidR="00761E41" w:rsidRPr="00584D8F">
        <w:rPr>
          <w:lang w:val="en-CA"/>
        </w:rPr>
        <w:fldChar w:fldCharType="end"/>
      </w:r>
      <w:r w:rsidR="00761E41" w:rsidRPr="00584D8F">
        <w:rPr>
          <w:lang w:val="en-CA"/>
        </w:rPr>
        <w:t>, physical and mental health comorbidities</w:t>
      </w:r>
      <w:r w:rsidR="00761E41">
        <w:rPr>
          <w:lang w:val="en-CA"/>
        </w:rPr>
        <w:t xml:space="preserve"> </w:t>
      </w:r>
      <w:r w:rsidR="00761E41" w:rsidRPr="00584D8F">
        <w:rPr>
          <w:lang w:val="en-CA"/>
        </w:rPr>
        <w:t>(e.g. disability, problematic substance use, chronic illness, etc</w:t>
      </w:r>
      <w:r w:rsidR="00761E41">
        <w:rPr>
          <w:lang w:val="en-CA"/>
        </w:rPr>
        <w:t>.</w:t>
      </w:r>
      <w:r w:rsidR="00761E41" w:rsidRPr="00584D8F">
        <w:rPr>
          <w:lang w:val="en-CA"/>
        </w:rPr>
        <w:t>)</w:t>
      </w:r>
      <w:r w:rsidR="00761E41">
        <w:rPr>
          <w:lang w:val="en-CA"/>
        </w:rPr>
        <w:t xml:space="preserve"> </w:t>
      </w:r>
      <w:r w:rsidR="00B50B8C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&lt;citation&gt;&lt;priority&gt;0&lt;/priority&gt;&lt;uuid&gt;9580B28C-3E22-437B-BFDE-6760C703500C&lt;/uuid&gt;&lt;publications&gt;&lt;publication&gt;&lt;subtype&gt;400&lt;/subtype&gt;&lt;publisher&gt;SAGE PublicationsSage CA: Los Angeles, CA&lt;/publisher&gt;&lt;title&gt;Long-term medical conditions and major depression: strength of association for specific conditions in the general population.&lt;/title&gt;&lt;url&gt;http://journals.sagepub.com/doi/10.1177/070674370505000402&lt;/url&gt;&lt;volume&gt;50&lt;/volume&gt;&lt;publication_date&gt;99200503001200000000220000&lt;/publication_date&gt;&lt;uuid&gt;B41CD380-932A-4768-BC76-EE184F12C56A&lt;/uuid&gt;&lt;type&gt;400&lt;/type&gt;&lt;number&gt;4&lt;/number&gt;&lt;doi&gt;10.1177/070674370505000402&lt;/doi&gt;&lt;institution&gt;Department of Community Health Sciences, University of Calgary, Alberta. patten@ucalgary.ca&lt;/institution&gt;&lt;startpage&gt;195&lt;/startpage&gt;&lt;endpage&gt;202&lt;/endpage&gt;&lt;bundle&gt;&lt;publication&gt;&lt;title&gt;The Canadian Journal of Psychiatry&lt;/title&gt;&lt;uuid&gt;109FD736-FED8-4064-A1C1-8735AC2E8A03&lt;/uuid&gt;&lt;subtype&gt;-100&lt;/subtype&gt;&lt;publisher&gt;SAGE Publications&lt;/publisher&gt;&lt;type&gt;-100&lt;/type&gt;&lt;/publication&gt;&lt;/bundle&gt;&lt;authors&gt;&lt;author&gt;&lt;lastName&gt;Patten&lt;/lastName&gt;&lt;firstName&gt;Scott&lt;/firstName&gt;&lt;middleNames&gt;B&lt;/middleNames&gt;&lt;/author&gt;&lt;author&gt;&lt;lastName&gt;Beck&lt;/lastName&gt;&lt;firstName&gt;Cynthia&lt;/firstName&gt;&lt;middleNames&gt;A&lt;/middleNames&gt;&lt;/author&gt;&lt;author&gt;&lt;lastName&gt;Kassam&lt;/lastName&gt;&lt;firstName&gt;Aliya&lt;/firstName&gt;&lt;/author&gt;&lt;author&gt;&lt;lastName&gt;Williams&lt;/lastName&gt;&lt;firstName&gt;Jeanne&lt;/firstName&gt;&lt;middleNames&gt;V A&lt;/middleNames&gt;&lt;/author&gt;&lt;author&gt;&lt;lastName&gt;Barbui&lt;/lastName&gt;&lt;firstName&gt;Corrado&lt;/firstName&gt;&lt;/author&gt;&lt;author&gt;&lt;lastName&gt;Metz&lt;/lastName&gt;&lt;firstName&gt;Luanne&lt;/firstName&gt;&lt;middleNames&gt;M&lt;/middleNames&gt;&lt;/author&gt;&lt;/authors&gt;&lt;/publication&gt;&lt;publication&gt;&lt;subtype&gt;400&lt;/subtype&gt;&lt;title&gt;Prevalence of co-occurring substance use and other mental disorders in the Canadian population.&lt;/title&gt;&lt;url&gt;http://journals.sagepub.com/doi/10.1177/070674370805301206&lt;/url&gt;&lt;volume&gt;53&lt;/volume&gt;&lt;publication_date&gt;99200812001200000000220000&lt;/publication_date&gt;&lt;uuid&gt;1DD68FE7-402D-4D88-A4EC-940B671B8452&lt;/uuid&gt;&lt;version&gt;4&lt;/version&gt;&lt;type&gt;400&lt;/type&gt;&lt;number&gt;12&lt;/number&gt;&lt;doi&gt;10.1177/070674370805301206&lt;/doi&gt;&lt;institution&gt;Health Systems Research and Consulting Unit, Centre for Addiction and Mental Health, Toronto, Ontario. Brian_Rush@camh.net&lt;/institution&gt;&lt;startpage&gt;800&lt;/startpage&gt;&lt;endpage&gt;809&lt;/endpage&gt;&lt;bundle&gt;&lt;publication&gt;&lt;title&gt;The Canadian Journal of Psychiatry&lt;/title&gt;&lt;uuid&gt;109FD736-FED8-4064-A1C1-8735AC2E8A03&lt;/uuid&gt;&lt;subtype&gt;-100&lt;/subtype&gt;&lt;publisher&gt;SAGE Publications&lt;/publisher&gt;&lt;type&gt;-100&lt;/type&gt;&lt;/publication&gt;&lt;/bundle&gt;&lt;authors&gt;&lt;author&gt;&lt;lastName&gt;Rush&lt;/lastName&gt;&lt;firstName&gt;Brian&lt;/firstName&gt;&lt;/author&gt;&lt;author&gt;&lt;lastName&gt;Urbanoski&lt;/lastName&gt;&lt;firstName&gt;Karen&lt;/firstName&gt;&lt;/author&gt;&lt;author&gt;&lt;lastName&gt;Bassani&lt;/lastName&gt;&lt;firstName&gt;Diego&lt;/firstName&gt;&lt;/author&gt;&lt;author&gt;&lt;lastName&gt;Castel&lt;/lastName&gt;&lt;firstName&gt;Saulo&lt;/firstName&gt;&lt;/author&gt;&lt;author&gt;&lt;lastName&gt;Wild&lt;/lastName&gt;&lt;firstName&gt;T&lt;/firstName&gt;&lt;middleNames&gt;Cameron&lt;/middleNames&gt;&lt;/author&gt;&lt;author&gt;&lt;lastName&gt;Strike&lt;/lastName&gt;&lt;firstName&gt;Carol&lt;/firstName&gt;&lt;/author&gt;&lt;author&gt;&lt;lastName&gt;Kimberley&lt;/lastName&gt;&lt;firstName&gt;Dennis&lt;/firstName&gt;&lt;/author&gt;&lt;author&gt;&lt;lastName&gt;Somers&lt;/lastName&gt;&lt;firstName&gt;Julian&lt;/firstName&gt;&lt;/author&gt;&lt;/authors&gt;&lt;/publication&gt;&lt;publication&gt;&lt;subtype&gt;400&lt;/subtype&gt;&lt;title&gt;A new population-based measure of the economic burden of mental illness in Canada.&lt;/title&gt;&lt;url&gt;http://eutils.ncbi.nlm.nih.gov/entrez/eutils/elink.fcgi?dbfrom=pubmed&amp;amp;id=18341763&amp;amp;retmode=ref&amp;amp;cmd=prlinks&lt;/url&gt;&lt;volume&gt;28&lt;/volume&gt;&lt;publication_date&gt;99200800001200000000200000&lt;/publication_date&gt;&lt;uuid&gt;095E38A2-ED81-4AC2-91DF-599FF4D767E3&lt;/uuid&gt;&lt;type&gt;400&lt;/type&gt;&lt;number&gt;3&lt;/number&gt;&lt;citekey&gt;Lim:2008vz&lt;/citekey&gt;&lt;institution&gt;Department of Economics, National University of Singapore.&lt;/institution&gt;&lt;startpage&gt;92&lt;/startpage&gt;&lt;endpage&gt;98&lt;/endpage&gt;&lt;bundle&gt;&lt;publication&gt;&lt;title&gt;Chronic diseases in Canada&lt;/title&gt;&lt;uuid&gt;D4555F54-C6DB-4609-8226-459EE2FC755A&lt;/uuid&gt;&lt;subtype&gt;-100&lt;/subtype&gt;&lt;type&gt;-100&lt;/type&gt;&lt;/publication&gt;&lt;/bundle&gt;&lt;authors&gt;&lt;author&gt;&lt;lastName&gt;Lim&lt;/lastName&gt;&lt;firstName&gt;K-L&lt;/firstName&gt;&lt;/author&gt;&lt;author&gt;&lt;lastName&gt;Jacobs&lt;/lastName&gt;&lt;firstName&gt;P&lt;/firstName&gt;&lt;/author&gt;&lt;author&gt;&lt;lastName&gt;Ohinmaa&lt;/lastName&gt;&lt;firstName&gt;A&lt;/firstName&gt;&lt;/author&gt;&lt;author&gt;&lt;lastName&gt;Schopflocher&lt;/lastName&gt;&lt;firstName&gt;D&lt;/firstName&gt;&lt;/author&gt;&lt;author&gt;&lt;lastName&gt;Dewa&lt;/lastName&gt;&lt;firstName&gt;C&lt;/firstName&gt;&lt;middleNames&gt;S&lt;/middleNames&gt;&lt;/author&gt;&lt;/authors&gt;&lt;/publication&gt;&lt;/publications&gt;&lt;cites&gt;&lt;/cites&gt;&lt;/citation&gt;</w:instrText>
      </w:r>
      <w:r w:rsidR="00B50B8C">
        <w:rPr>
          <w:lang w:val="en-CA"/>
        </w:rPr>
        <w:fldChar w:fldCharType="separate"/>
      </w:r>
      <w:r w:rsidR="00B50B8C">
        <w:t>(Lim, Jacobs, Ohinmaa, Schopflocher, &amp; Dewa, 2008; Patten et al., 2005; Rush et al., 2008)</w:t>
      </w:r>
      <w:r w:rsidR="00B50B8C">
        <w:rPr>
          <w:lang w:val="en-CA"/>
        </w:rPr>
        <w:fldChar w:fldCharType="end"/>
      </w:r>
      <w:r w:rsidR="00761E41" w:rsidRPr="00584D8F">
        <w:rPr>
          <w:lang w:val="en-CA"/>
        </w:rPr>
        <w:t xml:space="preserve">, pre-mature death </w:t>
      </w:r>
      <w:r w:rsidR="00761E41" w:rsidRPr="00584D8F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&lt;citation&gt;&lt;priority&gt;0&lt;/priority&gt;&lt;uuid&gt;7AD3A1CB-67B8-468D-A8DE-2806C0A8A21E&lt;/uuid&gt;&lt;publications&gt;&lt;publication&gt;&lt;subtype&gt;400&lt;/subtype&gt;&lt;title&gt;Risks of all-cause and suicide mortality in mental disorders: a meta-review.&lt;/title&gt;&lt;url&gt;http://doi.wiley.com/10.1002/wps.20128&lt;/url&gt;&lt;volume&gt;13&lt;/volume&gt;&lt;publication_date&gt;99201406001200000000220000&lt;/publication_date&gt;&lt;uuid&gt;3472B61C-5751-452D-90AF-7B829F2E6EF2&lt;/uuid&gt;&lt;type&gt;400&lt;/type&gt;&lt;number&gt;2&lt;/number&gt;&lt;doi&gt;10.1002/wps.20128&lt;/doi&gt;&lt;institution&gt;Department of Psychiatry, University of Oxford, Warneford Hospital, Oxford, OX3 7JX, UK.&lt;/institution&gt;&lt;startpage&gt;153&lt;/startpage&gt;&lt;endpage&gt;160&lt;/endpage&gt;&lt;bundle&gt;&lt;publication&gt;&lt;title&gt;World psychiatry : official journal of the World Psychiatric Association (WPA)&lt;/title&gt;&lt;uuid&gt;A4CBBC8D-4499-4017-B145-101A806C5CB2&lt;/uuid&gt;&lt;subtype&gt;-100&lt;/subtype&gt;&lt;type&gt;-100&lt;/type&gt;&lt;/publication&gt;&lt;/bundle&gt;&lt;authors&gt;&lt;author&gt;&lt;lastName&gt;Chesney&lt;/lastName&gt;&lt;firstName&gt;Edward&lt;/firstName&gt;&lt;/author&gt;&lt;author&gt;&lt;lastName&gt;Goodwin&lt;/lastName&gt;&lt;firstName&gt;Guy&lt;/firstName&gt;&lt;middleNames&gt;M&lt;/middleNames&gt;&lt;/author&gt;&lt;author&gt;&lt;lastName&gt;Fazel&lt;/lastName&gt;&lt;firstName&gt;Seena&lt;/firstName&gt;&lt;/author&gt;&lt;/authors&gt;&lt;/publication&gt;&lt;/publications&gt;&lt;cites&gt;&lt;/cites&gt;&lt;/citation&gt;</w:instrText>
      </w:r>
      <w:r w:rsidR="00761E41" w:rsidRPr="00584D8F">
        <w:rPr>
          <w:lang w:val="en-CA"/>
        </w:rPr>
        <w:fldChar w:fldCharType="separate"/>
      </w:r>
      <w:r w:rsidR="00761E41">
        <w:t>(Chesney, Goodwin, &amp; Fazel, 2014)</w:t>
      </w:r>
      <w:r w:rsidR="00761E41" w:rsidRPr="00584D8F">
        <w:rPr>
          <w:lang w:val="en-CA"/>
        </w:rPr>
        <w:fldChar w:fldCharType="end"/>
      </w:r>
      <w:r w:rsidR="00761E41" w:rsidRPr="00584D8F">
        <w:rPr>
          <w:lang w:val="en-CA"/>
        </w:rPr>
        <w:t>, and economic burden</w:t>
      </w:r>
      <w:r w:rsidR="005A0BFF">
        <w:rPr>
          <w:lang w:val="en-CA"/>
        </w:rPr>
        <w:t xml:space="preserve"> </w:t>
      </w:r>
      <w:r w:rsidR="005A0BFF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&lt;citation&gt;&lt;priority&gt;0&lt;/priority&gt;&lt;uuid&gt;FA9B261E-54B0-4FBA-9683-8035631A6B64&lt;/uuid&gt;&lt;publications&gt;&lt;publication&gt;&lt;subtype&gt;702&lt;/subtype&gt;&lt;place&gt;Ottawa, Canada&lt;/place&gt;&lt;publisher&gt;Public Health Agency of Canada&lt;/publisher&gt;&lt;title&gt;Report from the Canadian Chronic Disease Surveillance System: Mental Illness in Canada, 2015&lt;/title&gt;&lt;publication_date&gt;99201500001200000000200000&lt;/publication_date&gt;&lt;uuid&gt;A65EE364-691A-4F45-98E7-D54EB6EE3F40&lt;/uuid&gt;&lt;type&gt;700&lt;/type&gt;&lt;authors&gt;&lt;author&gt;&lt;lastName&gt;Public Health Agency of Canada&lt;/lastName&gt;&lt;/author&gt;&lt;/authors&gt;&lt;/publication&gt;&lt;publication&gt;&lt;subtype&gt;702&lt;/subtype&gt;&lt;place&gt;Toronto, Canada&lt;/place&gt;&lt;publisher&gt;RiskAnalytica, on behalf of the Mental Health Commission of Canada&lt;/publisher&gt;&lt;title&gt;The life and economic impact of major mental illnesses in Canada: 2011 to 2041&lt;/title&gt;&lt;publication_date&gt;99201100001200000000200000&lt;/publication_date&gt;&lt;uuid&gt;F9AAB966-A2FB-4AD7-BBA3-6C2D7A89FD31&lt;/uuid&gt;&lt;type&gt;700&lt;/type&gt;&lt;authors&gt;&lt;author&gt;&lt;lastName&gt;Smetanin&lt;/lastName&gt;&lt;firstName&gt;P&lt;/firstName&gt;&lt;/author&gt;&lt;author&gt;&lt;lastName&gt;Stiff&lt;/lastName&gt;&lt;firstName&gt;D&lt;/firstName&gt;&lt;/author&gt;&lt;author&gt;&lt;lastName&gt;Briante&lt;/lastName&gt;&lt;firstName&gt;C&lt;/firstName&gt;&lt;/author&gt;&lt;author&gt;&lt;lastName&gt;Adair&lt;/lastName&gt;&lt;firstName&gt;C&lt;/firstName&gt;&lt;middleNames&gt;E&lt;/middleNames&gt;&lt;/author&gt;&lt;author&gt;&lt;lastName&gt;Ahmad&lt;/lastName&gt;&lt;firstName&gt;S&lt;/firstName&gt;&lt;/author&gt;&lt;author&gt;&lt;lastName&gt;Khan&lt;/lastName&gt;&lt;firstName&gt;M&lt;/firstName&gt;&lt;/author&gt;&lt;/authors&gt;&lt;/publication&gt;&lt;/publications&gt;&lt;cites&gt;&lt;/cites&gt;&lt;/citation&gt;</w:instrText>
      </w:r>
      <w:r w:rsidR="005A0BFF">
        <w:rPr>
          <w:lang w:val="en-CA"/>
        </w:rPr>
        <w:fldChar w:fldCharType="separate"/>
      </w:r>
      <w:r w:rsidR="005A0BFF">
        <w:t>(Public Health Agency of Canada, 2015; Smetanin et al., 2011)</w:t>
      </w:r>
      <w:r w:rsidR="005A0BFF">
        <w:rPr>
          <w:lang w:val="en-CA"/>
        </w:rPr>
        <w:fldChar w:fldCharType="end"/>
      </w:r>
      <w:r w:rsidR="00761E41" w:rsidRPr="00584D8F">
        <w:rPr>
          <w:lang w:val="en-CA"/>
        </w:rPr>
        <w:t>.</w:t>
      </w:r>
      <w:r w:rsidR="005A0BFF">
        <w:rPr>
          <w:lang w:val="en-CA"/>
        </w:rPr>
        <w:t xml:space="preserve"> </w:t>
      </w:r>
      <w:r w:rsidR="001D5031" w:rsidRPr="00584D8F">
        <w:rPr>
          <w:lang w:val="en-CA"/>
        </w:rPr>
        <w:t xml:space="preserve">Depression is the most common </w:t>
      </w:r>
      <w:r w:rsidR="004E21C7">
        <w:rPr>
          <w:lang w:val="en-CA"/>
        </w:rPr>
        <w:t xml:space="preserve">mental health </w:t>
      </w:r>
      <w:r w:rsidR="001D5031" w:rsidRPr="00584D8F">
        <w:rPr>
          <w:lang w:val="en-CA"/>
        </w:rPr>
        <w:t>disorder, affe</w:t>
      </w:r>
      <w:r w:rsidR="005A7A1D" w:rsidRPr="00584D8F">
        <w:rPr>
          <w:lang w:val="en-CA"/>
        </w:rPr>
        <w:t>cting 5.4% of Canadians in 2012</w:t>
      </w:r>
      <w:r w:rsidR="001D5031" w:rsidRPr="00584D8F">
        <w:rPr>
          <w:lang w:val="en-CA"/>
        </w:rPr>
        <w:t xml:space="preserve"> while 2.6% met the criteria for generalized anxiety disorder</w:t>
      </w:r>
      <w:r w:rsidR="007E74B6" w:rsidRPr="00584D8F">
        <w:rPr>
          <w:lang w:val="en-CA"/>
        </w:rPr>
        <w:t xml:space="preserve">, according to the Canadian Community Health Survey- Mental Health </w:t>
      </w:r>
      <w:r w:rsidR="00E006F0">
        <w:rPr>
          <w:lang w:val="en-CA"/>
        </w:rPr>
        <w:t xml:space="preserve">2012 </w:t>
      </w:r>
      <w:r w:rsidR="001D5031" w:rsidRPr="00584D8F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&lt;citation&gt;&lt;priority&gt;0&lt;/priority&gt;&lt;uuid&gt;C52AD73E-753F-4911-9C79-88C776C84C1F&lt;/uuid&gt;&lt;publications&gt;&lt;publication&gt;&lt;subtype&gt;702&lt;/subtype&gt;&lt;publisher&gt;Health at a Glance&lt;/publisher&gt;&lt;title&gt;Mental health and substance use disorders in Canada&lt;/title&gt;&lt;publication_date&gt;99201300001200000000200000&lt;/publication_date&gt;&lt;uuid&gt;B2C600C0-6761-420B-93F6-3F5945A791B5&lt;/uuid&gt;&lt;version&gt;Statistics Canada Catalogue no. 82-624-X&lt;/version&gt;&lt;type&gt;700&lt;/type&gt;&lt;authors&gt;&lt;author&gt;&lt;lastName&gt;Pearson&lt;/lastName&gt;&lt;firstName&gt;C&lt;/firstName&gt;&lt;/author&gt;&lt;author&gt;&lt;lastName&gt;Janz&lt;/lastName&gt;&lt;firstName&gt;T&lt;/firstName&gt;&lt;/author&gt;&lt;author&gt;&lt;lastName&gt;Ali&lt;/lastName&gt;&lt;firstName&gt;J&lt;/firstName&gt;&lt;/author&gt;&lt;/authors&gt;&lt;/publication&gt;&lt;/publications&gt;&lt;cites&gt;&lt;/cites&gt;&lt;/citation&gt;</w:instrText>
      </w:r>
      <w:r w:rsidR="001D5031" w:rsidRPr="00584D8F">
        <w:rPr>
          <w:lang w:val="en-CA"/>
        </w:rPr>
        <w:fldChar w:fldCharType="separate"/>
      </w:r>
      <w:r w:rsidR="001D5031">
        <w:t>(Pearson et al., 2013)</w:t>
      </w:r>
      <w:r w:rsidR="001D5031" w:rsidRPr="00584D8F">
        <w:rPr>
          <w:lang w:val="en-CA"/>
        </w:rPr>
        <w:fldChar w:fldCharType="end"/>
      </w:r>
      <w:r w:rsidR="001D5031" w:rsidRPr="00584D8F">
        <w:rPr>
          <w:lang w:val="en-CA"/>
        </w:rPr>
        <w:t xml:space="preserve">. </w:t>
      </w:r>
    </w:p>
    <w:p w14:paraId="2ACD73F0" w14:textId="09FD6BE9" w:rsidR="009A704D" w:rsidRDefault="004F1361" w:rsidP="00356651">
      <w:pPr>
        <w:spacing w:line="480" w:lineRule="auto"/>
        <w:ind w:firstLine="360"/>
        <w:rPr>
          <w:lang w:val="en-CA"/>
        </w:rPr>
      </w:pPr>
      <w:r>
        <w:rPr>
          <w:lang w:val="en-CA"/>
        </w:rPr>
        <w:t xml:space="preserve">In the past decade, </w:t>
      </w:r>
      <w:r w:rsidR="00E95BB6">
        <w:rPr>
          <w:lang w:val="en-CA"/>
        </w:rPr>
        <w:t xml:space="preserve">there has been a growing literature </w:t>
      </w:r>
      <w:r w:rsidR="00D1482D">
        <w:rPr>
          <w:lang w:val="en-CA"/>
        </w:rPr>
        <w:t xml:space="preserve">on mental health outcomes among bisexual people. </w:t>
      </w:r>
      <w:r w:rsidR="00045BA2">
        <w:rPr>
          <w:lang w:val="en-CA"/>
        </w:rPr>
        <w:t>There is evidence that</w:t>
      </w:r>
      <w:r w:rsidR="00D1482D">
        <w:rPr>
          <w:lang w:val="en-CA"/>
        </w:rPr>
        <w:t xml:space="preserve"> s</w:t>
      </w:r>
      <w:r w:rsidR="002A08AE">
        <w:rPr>
          <w:lang w:val="en-CA"/>
        </w:rPr>
        <w:t xml:space="preserve">exual minorities generally experience poorer </w:t>
      </w:r>
      <w:r w:rsidR="008647C0">
        <w:rPr>
          <w:lang w:val="en-CA"/>
        </w:rPr>
        <w:t xml:space="preserve">lifetime and past </w:t>
      </w:r>
      <w:r w:rsidR="005F7EBC">
        <w:rPr>
          <w:lang w:val="en-CA"/>
        </w:rPr>
        <w:t>year</w:t>
      </w:r>
      <w:r w:rsidR="008647C0">
        <w:rPr>
          <w:lang w:val="en-CA"/>
        </w:rPr>
        <w:t xml:space="preserve"> </w:t>
      </w:r>
      <w:r w:rsidR="002A08AE">
        <w:rPr>
          <w:lang w:val="en-CA"/>
        </w:rPr>
        <w:t xml:space="preserve">mental health outcomes compared </w:t>
      </w:r>
      <w:r w:rsidR="005B4D92">
        <w:rPr>
          <w:lang w:val="en-CA"/>
        </w:rPr>
        <w:t>with</w:t>
      </w:r>
      <w:r w:rsidR="002A08AE">
        <w:rPr>
          <w:lang w:val="en-CA"/>
        </w:rPr>
        <w:t xml:space="preserve"> heterosexuals</w:t>
      </w:r>
      <w:r w:rsidR="007F224F">
        <w:rPr>
          <w:lang w:val="en-CA"/>
        </w:rPr>
        <w:t xml:space="preserve"> </w:t>
      </w:r>
      <w:r w:rsidR="00E21792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&lt;citation&gt;&lt;priority&gt;0&lt;/priority&gt;&lt;uuid&gt;9F6D3EAB-51CC-4F91-9AC9-BCAC75215DA6&lt;/uuid&gt;&lt;publications&gt;&lt;publication&gt;&lt;subtype&gt;400&lt;/subtype&gt;&lt;publisher&gt;BMC Public Health&lt;/publisher&gt;&lt;title&gt;Sexual orientation and self-reported mood disorder diagnosis among Canadian adults&lt;/title&gt;&lt;url&gt;BMC Public Health&lt;/url&gt;&lt;volume&gt;13&lt;/volume&gt;&lt;publication_date&gt;99201303081200000000222000&lt;/publication_date&gt;&lt;uuid&gt;B6160DE0-051F-40DE-BF1C-2222F2D1DE7A&lt;/uuid&gt;&lt;type&gt;400&lt;/type&gt;&lt;number&gt;1&lt;/number&gt;&lt;doi&gt;10.1186/1471-2458-13-209&lt;/doi&gt;&lt;startpage&gt;1&lt;/startpage&gt;&lt;endpage&gt;1&lt;/endpage&gt;&lt;bundle&gt;&lt;publication&gt;&lt;title&gt;BMC public health&lt;/title&gt;&lt;uuid&gt;93EA6D76-BE24-4237-97D5-B592F5643AEC&lt;/uuid&gt;&lt;subtype&gt;-100&lt;/subtype&gt;&lt;publisher&gt;BioMed Central Ltd&lt;/publisher&gt;&lt;type&gt;-100&lt;/type&gt;&lt;/publication&gt;&lt;/bundle&gt;&lt;authors&gt;&lt;author&gt;&lt;lastName&gt;Pakula&lt;/lastName&gt;&lt;firstName&gt;Basia&lt;/firstName&gt;&lt;/author&gt;&lt;author&gt;&lt;lastName&gt;Shoveller&lt;/lastName&gt;&lt;firstName&gt;Jean&lt;/firstName&gt;&lt;middleNames&gt;A&lt;/middleNames&gt;&lt;/author&gt;&lt;/authors&gt;&lt;/publication&gt;&lt;publication&gt;&lt;subtype&gt;400&lt;/subtype&gt;&lt;title&gt;Gradients in Depressive Symptoms by Socioeconomic Position Among Men Who Have Sex With Men in the EXPLORE Study.&lt;/title&gt;&lt;url&gt;http://www.tandfonline.com/doi/full/10.1080/00918369.2016.1150056&lt;/url&gt;&lt;volume&gt;63&lt;/volume&gt;&lt;publication_date&gt;99201608001200000000220000&lt;/publication_date&gt;&lt;uuid&gt;25FDCB2C-126E-40DC-B824-4440E734B985&lt;/uuid&gt;&lt;type&gt;400&lt;/type&gt;&lt;number&gt;8&lt;/number&gt;&lt;doi&gt;10.1080/00918369.2016.1150056&lt;/doi&gt;&lt;institution&gt;a School of Population and Public Health , University of British Columbia , Vancouver , British Columbia , Canada.&lt;/institution&gt;&lt;startpage&gt;1146&lt;/startpage&gt;&lt;endpage&gt;1160&lt;/endpage&gt;&lt;bundle&gt;&lt;publication&gt;&lt;title&gt;Journal of homosexuality&lt;/title&gt;&lt;uuid&gt;5051E9F7-10EF-4903-B2CC-49328231A965&lt;/uuid&gt;&lt;subtype&gt;-100&lt;/subtype&gt;&lt;publisher&gt; Taylor &amp;amp; Francis Group&lt;/publisher&gt;&lt;type&gt;-100&lt;/type&gt;&lt;/publication&gt;&lt;/bundle&gt;&lt;authors&gt;&lt;author&gt;&lt;lastName&gt;Pakula&lt;/lastName&gt;&lt;firstName&gt;Basia&lt;/firstName&gt;&lt;/author&gt;&lt;author&gt;&lt;lastName&gt;Marshall&lt;/lastName&gt;&lt;firstName&gt;Brandon&lt;/firstName&gt;&lt;middleNames&gt;D L&lt;/middleNames&gt;&lt;/author&gt;&lt;author&gt;&lt;lastName&gt;Shoveller&lt;/lastName&gt;&lt;firstName&gt;Jean&lt;/firstName&gt;&lt;middleNames&gt;A&lt;/middleNames&gt;&lt;/author&gt;&lt;author&gt;&lt;lastName&gt;Chesney&lt;/lastName&gt;&lt;firstName&gt;Margaret&lt;/firstName&gt;&lt;middleNames&gt;A&lt;/middleNames&gt;&lt;/author&gt;&lt;author&gt;&lt;lastName&gt;Coates&lt;/lastName&gt;&lt;firstName&gt;Thomas&lt;/firstName&gt;&lt;middleNames&gt;J&lt;/middleNames&gt;&lt;/author&gt;&lt;author&gt;&lt;lastName&gt;Koblin&lt;/lastName&gt;&lt;firstName&gt;Beryl&lt;/firstName&gt;&lt;/author&gt;&lt;author&gt;&lt;lastName&gt;Mayer&lt;/lastName&gt;&lt;firstName&gt;Kenneth&lt;/firstName&gt;&lt;/author&gt;&lt;author&gt;&lt;lastName&gt;Mimiaga&lt;/lastName&gt;&lt;firstName&gt;Matthew&lt;/firstName&gt;&lt;/author&gt;&lt;author&gt;&lt;lastName&gt;Operario&lt;/lastName&gt;&lt;firstName&gt;Don&lt;/firstName&gt;&lt;/author&gt;&lt;/authors&gt;&lt;/publication&gt;&lt;publication&gt;&lt;subtype&gt;400&lt;/subtype&gt;&lt;title&gt;A systematic review of mental disorder, suicide, and deliberate self harm in lesbian, gay and bisexual people&lt;/title&gt;&lt;url&gt;http://bmcpsychiatry.biomedcentral.com/articles/10.1186/1471-244X-8-70&lt;/url&gt;&lt;volume&gt;8&lt;/volume&gt;&lt;publication_date&gt;99200808181200000000222000&lt;/publication_date&gt;&lt;uuid&gt;6E0CF6C8-3783-431F-9B42-6ECEBFB12B54&lt;/uuid&gt;&lt;type&gt;400&lt;/type&gt;&lt;number&gt;1&lt;/number&gt;&lt;doi&gt;10.1186/1471-244X-8-70&lt;/doi&gt;&lt;startpage&gt;552&lt;/startpage&gt;&lt;bundle&gt;&lt;publication&gt;&lt;title&gt;BMC Psychiatry&lt;/title&gt;&lt;uuid&gt;F55D36A6-663E-413E-B0A7-5B333FE28BCB&lt;/uuid&gt;&lt;subtype&gt;-100&lt;/subtype&gt;&lt;type&gt;-100&lt;/type&gt;&lt;/publication&gt;&lt;/bundle&gt;&lt;authors&gt;&lt;author&gt;&lt;lastName&gt;King&lt;/lastName&gt;&lt;firstName&gt;Michael&lt;/firstName&gt;&lt;/author&gt;&lt;author&gt;&lt;lastName&gt;Semlyen&lt;/lastName&gt;&lt;firstName&gt;Joanna&lt;/firstName&gt;&lt;/author&gt;&lt;author&gt;&lt;lastName&gt;Tai&lt;/lastName&gt;&lt;firstName&gt;Sharon&lt;/firstName&gt;&lt;middleNames&gt;See&lt;/middleNames&gt;&lt;/author&gt;&lt;author&gt;&lt;lastName&gt;Killaspy&lt;/lastName&gt;&lt;firstName&gt;Helen&lt;/firstName&gt;&lt;/author&gt;&lt;author&gt;&lt;lastName&gt;Osborn&lt;/lastName&gt;&lt;firstName&gt;David&lt;/firstName&gt;&lt;/author&gt;&lt;author&gt;&lt;lastName&gt;Popelyuk&lt;/lastName&gt;&lt;firstName&gt;Dmitri&lt;/firstName&gt;&lt;/author&gt;&lt;author&gt;&lt;lastName&gt;Nazareth&lt;/lastName&gt;&lt;firstName&gt;Irwin&lt;/firstName&gt;&lt;/author&gt;&lt;/authors&gt;&lt;/publication&gt;&lt;publication&gt;&lt;subtype&gt;400&lt;/subtype&gt;&lt;publisher&gt;Routledge&lt;/publisher&gt;&lt;title&gt;Suicide and HIV as leading causes of death among gay and bisexual men: a comparison of estimated mortality and published research&lt;/title&gt;&lt;url&gt;http://www.tandfonline.com/doi/full/10.1080/09581596.2014.946887&lt;/url&gt;&lt;publication_date&gt;99201408121200000000222000&lt;/publication_date&gt;&lt;uuid&gt;1F767253-E479-400A-B23E-33B3F6B173CB&lt;/uuid&gt;&lt;type&gt;400&lt;/type&gt;&lt;doi&gt;10.1080/09581596.2014.946887&lt;/doi&gt;&lt;startpage&gt;1&lt;/startpage&gt;&lt;endpage&gt;14&lt;/endpage&gt;&lt;bundle&gt;&lt;publication&gt;&lt;title&gt;dx.doi.org.ezproxy.library.ubc.ca&lt;/title&gt;&lt;uuid&gt;185963A7-7E17-4E0A-9483-48FD4F2DBEFD&lt;/uuid&gt;&lt;subtype&gt;-100&lt;/subtype&gt;&lt;publisher&gt;Routledge&lt;/publisher&gt;&lt;type&gt;-100&lt;/type&gt;&lt;url&gt;http://dx.doi.org.ezproxy.library.ubc.ca&lt;/url&gt;&lt;/publication&gt;&lt;/bundle&gt;&lt;authors&gt;&lt;author&gt;&lt;lastName&gt;Hottes&lt;/lastName&gt;&lt;firstName&gt;Travis&lt;/firstName&gt;&lt;middleNames&gt;Salway&lt;/middleNames&gt;&lt;/author&gt;&lt;author&gt;&lt;lastName&gt;Ferlatte&lt;/lastName&gt;&lt;firstName&gt;Olivier&lt;/firstName&gt;&lt;/author&gt;&lt;author&gt;&lt;lastName&gt;Gesink&lt;/lastName&gt;&lt;firstName&gt;Dionne&lt;/firstName&gt;&lt;/author&gt;&lt;/authors&gt;&lt;/publication&gt;&lt;publication&gt;&lt;subtype&gt;400&lt;/subtype&gt;&lt;title&gt;Dimensions of sexual orientation and the prevalence of mood and anxiety disorders in the United States.&lt;/title&gt;&lt;url&gt;http://ajph.aphapublications.org/doi/10.2105/AJPH.2008.152942&lt;/url&gt;&lt;volume&gt;100&lt;/volume&gt;&lt;publication_date&gt;99201003001200000000220000&lt;/publication_date&gt;&lt;uuid&gt;89ECEF37-2723-4E3F-A1F0-AFE745A31C6A&lt;/uuid&gt;&lt;type&gt;400&lt;/type&gt;&lt;number&gt;3&lt;/number&gt;&lt;citekey&gt;Bostwick:2010gn&lt;/citekey&gt;&lt;doi&gt;10.2105/AJPH.2008.152942&lt;/doi&gt;&lt;institution&gt;Adler School of Professional Psychology, Chicago, IL, USA. wbostwick@niu.edu&lt;/institution&gt;&lt;startpage&gt;468&lt;/startpage&gt;&lt;endpage&gt;475&lt;/endpage&gt;&lt;bundle&gt;&lt;publication&gt;&lt;title&gt;American Journal of Public Health&lt;/title&gt;&lt;uuid&gt;8B76720C-F03E-40BB-BD52-4603335ECB97&lt;/uuid&gt;&lt;subtype&gt;-100&lt;/subtype&gt;&lt;publisher&gt;American Public Health Association&lt;/publisher&gt;&lt;type&gt;-100&lt;/type&gt;&lt;/publication&gt;&lt;/bundle&gt;&lt;authors&gt;&lt;author&gt;&lt;lastName&gt;Bostwick&lt;/lastName&gt;&lt;firstName&gt;Wendy&lt;/firstName&gt;&lt;middleNames&gt;B&lt;/middleNames&gt;&lt;/author&gt;&lt;author&gt;&lt;lastName&gt;Boyd&lt;/lastName&gt;&lt;firstName&gt;Carol&lt;/firstName&gt;&lt;middleNames&gt;J&lt;/middleNames&gt;&lt;/author&gt;&lt;author&gt;&lt;lastName&gt;Hughes&lt;/lastName&gt;&lt;firstName&gt;Tonda&lt;/firstName&gt;&lt;middleNames&gt;L&lt;/middleNames&gt;&lt;/author&gt;&lt;author&gt;&lt;lastName&gt;McCabe&lt;/lastName&gt;&lt;firstName&gt;Sean&lt;/firstName&gt;&lt;middleNames&gt;Esteban&lt;/middleNames&gt;&lt;/author&gt;&lt;/authors&gt;&lt;/publication&gt;&lt;/publications&gt;&lt;cites&gt;&lt;/cites&gt;&lt;/citation&gt;</w:instrText>
      </w:r>
      <w:r w:rsidR="00E21792">
        <w:rPr>
          <w:lang w:val="en-CA"/>
        </w:rPr>
        <w:fldChar w:fldCharType="separate"/>
      </w:r>
      <w:r w:rsidR="00895F6A">
        <w:t>(Bostwick, Boyd, Hughes, &amp; McCabe, 2010; Hottes, Ferlatte, &amp; Gesink, 2014; King et al., 2008; Pakula &amp; Shoveller, 2013; Pakula et al., 2016)</w:t>
      </w:r>
      <w:r w:rsidR="00E21792">
        <w:rPr>
          <w:lang w:val="en-CA"/>
        </w:rPr>
        <w:fldChar w:fldCharType="end"/>
      </w:r>
      <w:r w:rsidR="005B4D92">
        <w:rPr>
          <w:lang w:val="en-CA"/>
        </w:rPr>
        <w:t>.</w:t>
      </w:r>
      <w:r w:rsidR="002A08AE">
        <w:rPr>
          <w:lang w:val="en-CA"/>
        </w:rPr>
        <w:t xml:space="preserve"> </w:t>
      </w:r>
      <w:r w:rsidR="005B4D92">
        <w:rPr>
          <w:lang w:val="en-CA"/>
        </w:rPr>
        <w:t>Within</w:t>
      </w:r>
      <w:r w:rsidR="002A08AE">
        <w:rPr>
          <w:lang w:val="en-CA"/>
        </w:rPr>
        <w:t xml:space="preserve"> sexual minority </w:t>
      </w:r>
      <w:r w:rsidR="00D9228E">
        <w:rPr>
          <w:lang w:val="en-CA"/>
        </w:rPr>
        <w:t>population</w:t>
      </w:r>
      <w:r w:rsidR="002A08AE">
        <w:rPr>
          <w:lang w:val="en-CA"/>
        </w:rPr>
        <w:t>s</w:t>
      </w:r>
      <w:r w:rsidR="00D9228E">
        <w:rPr>
          <w:lang w:val="en-CA"/>
        </w:rPr>
        <w:t>,</w:t>
      </w:r>
      <w:r w:rsidR="002A08AE">
        <w:rPr>
          <w:lang w:val="en-CA"/>
        </w:rPr>
        <w:t xml:space="preserve"> </w:t>
      </w:r>
      <w:r w:rsidR="00D1482D">
        <w:rPr>
          <w:lang w:val="en-CA"/>
        </w:rPr>
        <w:t xml:space="preserve">there is growing evidence </w:t>
      </w:r>
      <w:r w:rsidR="00274A6E">
        <w:rPr>
          <w:lang w:val="en-CA"/>
        </w:rPr>
        <w:t>bisexual people</w:t>
      </w:r>
      <w:r w:rsidR="002A08AE">
        <w:rPr>
          <w:lang w:val="en-CA"/>
        </w:rPr>
        <w:t xml:space="preserve"> experience heightened risk for mental health</w:t>
      </w:r>
      <w:r w:rsidR="00624C9C">
        <w:rPr>
          <w:lang w:val="en-CA"/>
        </w:rPr>
        <w:t xml:space="preserve"> morbidity</w:t>
      </w:r>
      <w:r w:rsidR="002A08AE">
        <w:rPr>
          <w:lang w:val="en-CA"/>
        </w:rPr>
        <w:t xml:space="preserve"> compared to other non-</w:t>
      </w:r>
      <w:r w:rsidR="00A714FB">
        <w:rPr>
          <w:lang w:val="en-CA"/>
        </w:rPr>
        <w:t>heterosexual</w:t>
      </w:r>
      <w:r w:rsidR="002A08AE">
        <w:rPr>
          <w:lang w:val="en-CA"/>
        </w:rPr>
        <w:t xml:space="preserve"> groups</w:t>
      </w:r>
      <w:r w:rsidR="007F224F">
        <w:rPr>
          <w:lang w:val="en-CA"/>
        </w:rPr>
        <w:t xml:space="preserve"> </w:t>
      </w:r>
      <w:r w:rsidR="007F224F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&lt;citation&gt;&lt;priority&gt;0&lt;/priority&gt;&lt;uuid&gt;DFD02031-58C6-4913-ACB1-9CDD95804861&lt;/uuid&gt;&lt;publications&gt;&lt;publication&gt;&lt;subtype&gt;400&lt;/subtype&gt;&lt;title&gt;A systematic review of mental disorder, suicide, and deliberate self harm in lesbian, gay and bisexual people&lt;/title&gt;&lt;url&gt;http://bmcpsychiatry.biomedcentral.com/articles/10.1186/1471-244X-8-70&lt;/url&gt;&lt;volume&gt;8&lt;/volume&gt;&lt;publication_date&gt;99200808181200000000222000&lt;/publication_date&gt;&lt;uuid&gt;6E0CF6C8-3783-431F-9B42-6ECEBFB12B54&lt;/uuid&gt;&lt;type&gt;400&lt;/type&gt;&lt;number&gt;1&lt;/number&gt;&lt;doi&gt;10.1186/1471-244X-8-70&lt;/doi&gt;&lt;startpage&gt;552&lt;/startpage&gt;&lt;bundle&gt;&lt;publication&gt;&lt;title&gt;BMC Psychiatry&lt;/title&gt;&lt;uuid&gt;F55D36A6-663E-413E-B0A7-5B333FE28BCB&lt;/uuid&gt;&lt;subtype&gt;-100&lt;/subtype&gt;&lt;type&gt;-100&lt;/type&gt;&lt;/publication&gt;&lt;/bundle&gt;&lt;authors&gt;&lt;author&gt;&lt;lastName&gt;King&lt;/lastName&gt;&lt;firstName&gt;Michael&lt;/firstName&gt;&lt;/author&gt;&lt;author&gt;&lt;lastName&gt;Semlyen&lt;/lastName&gt;&lt;firstName&gt;Joanna&lt;/firstName&gt;&lt;/author&gt;&lt;author&gt;&lt;lastName&gt;Tai&lt;/lastName&gt;&lt;firstName&gt;Sharon&lt;/firstName&gt;&lt;middleNames&gt;See&lt;/middleNames&gt;&lt;/author&gt;&lt;author&gt;&lt;lastName&gt;Killaspy&lt;/lastName&gt;&lt;firstName&gt;Helen&lt;/firstName&gt;&lt;/author&gt;&lt;author&gt;&lt;lastName&gt;Osborn&lt;/lastName&gt;&lt;firstName&gt;David&lt;/firstName&gt;&lt;/author&gt;&lt;author&gt;&lt;lastName&gt;Popelyuk&lt;/lastName&gt;&lt;firstName&gt;Dmitri&lt;/firstName&gt;&lt;/author&gt;&lt;author&gt;&lt;lastName&gt;Nazareth&lt;/lastName&gt;&lt;firstName&gt;Irwin&lt;/firstName&gt;&lt;/author&gt;&lt;/authors&gt;&lt;/publication&gt;&lt;publication&gt;&lt;subtype&gt;400&lt;/subtype&gt;&lt;title&gt;Gradients in Depressive Symptoms by Socioeconomic Position Among Men Who Have Sex With Men in the EXPLORE Study.&lt;/title&gt;&lt;url&gt;http://www.tandfonline.com/doi/full/10.1080/00918369.2016.1150056&lt;/url&gt;&lt;volume&gt;63&lt;/volume&gt;&lt;publication_date&gt;99201608001200000000220000&lt;/publication_date&gt;&lt;uuid&gt;25FDCB2C-126E-40DC-B824-4440E734B985&lt;/uuid&gt;&lt;type&gt;400&lt;/type&gt;&lt;number&gt;8&lt;/number&gt;&lt;doi&gt;10.1080/00918369.2016.1150056&lt;/doi&gt;&lt;institution&gt;a School of Population and Public Health , University of British Columbia , Vancouver , British Columbia , Canada.&lt;/institution&gt;&lt;startpage&gt;1146&lt;/startpage&gt;&lt;endpage&gt;1160&lt;/endpage&gt;&lt;bundle&gt;&lt;publication&gt;&lt;title&gt;Journal of homosexuality&lt;/title&gt;&lt;uuid&gt;5051E9F7-10EF-4903-B2CC-49328231A965&lt;/uuid&gt;&lt;subtype&gt;-100&lt;/subtype&gt;&lt;publisher&gt; Taylor &amp;amp; Francis Group&lt;/publisher&gt;&lt;type&gt;-100&lt;/type&gt;&lt;/publication&gt;&lt;/bundle&gt;&lt;authors&gt;&lt;author&gt;&lt;lastName&gt;Pakula&lt;/lastName&gt;&lt;firstName&gt;Basia&lt;/firstName&gt;&lt;/author&gt;&lt;author&gt;&lt;lastName&gt;Marshall&lt;/lastName&gt;&lt;firstName&gt;Brandon&lt;/firstName&gt;&lt;middleNames&gt;D L&lt;/middleNames&gt;&lt;/author&gt;&lt;author&gt;&lt;lastName&gt;Shoveller&lt;/lastName&gt;&lt;firstName&gt;Jean&lt;/firstName&gt;&lt;middleNames&gt;A&lt;/middleNames&gt;&lt;/author&gt;&lt;author&gt;&lt;lastName&gt;Chesney&lt;/lastName&gt;&lt;firstName&gt;Margaret&lt;/firstName&gt;&lt;middleNames&gt;A&lt;/middleNames&gt;&lt;/author&gt;&lt;author&gt;&lt;lastName&gt;Coates&lt;/lastName&gt;&lt;firstName&gt;Thomas&lt;/firstName&gt;&lt;middleNames&gt;J&lt;/middleNames&gt;&lt;/author&gt;&lt;author&gt;&lt;lastName&gt;Koblin&lt;/lastName&gt;&lt;firstName&gt;Beryl&lt;/firstName&gt;&lt;/author&gt;&lt;author&gt;&lt;lastName&gt;Mayer&lt;/lastName&gt;&lt;firstName&gt;Kenneth&lt;/firstName&gt;&lt;/author&gt;&lt;author&gt;&lt;lastName&gt;Mimiaga&lt;/lastName&gt;&lt;firstName&gt;Matthew&lt;/firstName&gt;&lt;/author&gt;&lt;author&gt;&lt;lastName&gt;Operario&lt;/lastName&gt;&lt;firstName&gt;Don&lt;/firstName&gt;&lt;/author&gt;&lt;/authors&gt;&lt;/publication&gt;&lt;/publications&gt;&lt;cites&gt;&lt;/cites&gt;&lt;/citation&gt;</w:instrText>
      </w:r>
      <w:r w:rsidR="007F224F">
        <w:rPr>
          <w:lang w:val="en-CA"/>
        </w:rPr>
        <w:fldChar w:fldCharType="separate"/>
      </w:r>
      <w:r w:rsidR="007F224F">
        <w:t>(King et al., 2008; Pakula et al., 2016)</w:t>
      </w:r>
      <w:r w:rsidR="007F224F">
        <w:rPr>
          <w:lang w:val="en-CA"/>
        </w:rPr>
        <w:fldChar w:fldCharType="end"/>
      </w:r>
      <w:r w:rsidR="00011E21">
        <w:rPr>
          <w:lang w:val="en-CA"/>
        </w:rPr>
        <w:t>.</w:t>
      </w:r>
      <w:r w:rsidR="002A08AE">
        <w:rPr>
          <w:lang w:val="en-CA"/>
        </w:rPr>
        <w:t xml:space="preserve"> </w:t>
      </w:r>
      <w:r w:rsidR="00D35E32">
        <w:rPr>
          <w:lang w:val="en-CA"/>
        </w:rPr>
        <w:t xml:space="preserve">Among men, </w:t>
      </w:r>
      <w:r w:rsidR="00274A6E">
        <w:rPr>
          <w:lang w:val="en-CA"/>
        </w:rPr>
        <w:t>there is evidence that bisexual men</w:t>
      </w:r>
      <w:r w:rsidR="00997FC6">
        <w:rPr>
          <w:lang w:val="en-CA"/>
        </w:rPr>
        <w:t xml:space="preserve"> </w:t>
      </w:r>
      <w:r w:rsidR="00D35E32">
        <w:rPr>
          <w:lang w:val="en-CA"/>
        </w:rPr>
        <w:t>experience poorer mental health outcomes compared</w:t>
      </w:r>
      <w:r w:rsidR="007B0C4E">
        <w:rPr>
          <w:lang w:val="en-CA"/>
        </w:rPr>
        <w:t xml:space="preserve"> with</w:t>
      </w:r>
      <w:r w:rsidR="00D35E32">
        <w:rPr>
          <w:lang w:val="en-CA"/>
        </w:rPr>
        <w:t xml:space="preserve"> heterosexual</w:t>
      </w:r>
      <w:r w:rsidR="00274A6E">
        <w:rPr>
          <w:lang w:val="en-CA"/>
        </w:rPr>
        <w:t xml:space="preserve"> men</w:t>
      </w:r>
      <w:r w:rsidR="00641BE5">
        <w:rPr>
          <w:lang w:val="en-CA"/>
        </w:rPr>
        <w:t xml:space="preserve"> including mood and anxiety disorders </w:t>
      </w:r>
      <w:r w:rsidR="00D76D6F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&lt;citation&gt;&lt;priority&gt;8&lt;/priority&gt;&lt;uuid&gt;CA5DC2AA-88D7-4C9F-BA19-E349C2C8C46F&lt;/uuid&gt;&lt;publications&gt;&lt;publication&gt;&lt;subtype&gt;400&lt;/subtype&gt;&lt;title&gt;Dimensions of sexual orientation and the prevalence of mood and anxiety disorders in the United States.&lt;/title&gt;&lt;url&gt;http://ajph.aphapublications.org/doi/10.2105/AJPH.2008.152942&lt;/url&gt;&lt;volume&gt;100&lt;/volume&gt;&lt;publication_date&gt;99201003001200000000220000&lt;/publication_date&gt;&lt;uuid&gt;89ECEF37-2723-4E3F-A1F0-AFE745A31C6A&lt;/uuid&gt;&lt;type&gt;400&lt;/type&gt;&lt;number&gt;3&lt;/number&gt;&lt;citekey&gt;Bostwick:2010gn&lt;/citekey&gt;&lt;doi&gt;10.2105/AJPH.2008.152942&lt;/doi&gt;&lt;institution&gt;Adler School of Professional Psychology, Chicago, IL, USA. wbostwick@niu.edu&lt;/institution&gt;&lt;startpage&gt;468&lt;/startpage&gt;&lt;endpage&gt;475&lt;/endpage&gt;&lt;bundle&gt;&lt;publication&gt;&lt;title&gt;American Journal of Public Health&lt;/title&gt;&lt;uuid&gt;8B76720C-F03E-40BB-BD52-4603335ECB97&lt;/uuid&gt;&lt;subtype&gt;-100&lt;/subtype&gt;&lt;publisher&gt;American Public Health Association&lt;/publisher&gt;&lt;type&gt;-100&lt;/type&gt;&lt;/publication&gt;&lt;/bundle&gt;&lt;authors&gt;&lt;author&gt;&lt;lastName&gt;Bostwick&lt;/lastName&gt;&lt;firstName&gt;Wendy&lt;/firstName&gt;&lt;middleNames&gt;B&lt;/middleNames&gt;&lt;/author&gt;&lt;author&gt;&lt;lastName&gt;Boyd&lt;/lastName&gt;&lt;firstName&gt;Carol&lt;/firstName&gt;&lt;middleNames&gt;J&lt;/middleNames&gt;&lt;/author&gt;&lt;author&gt;&lt;lastName&gt;Hughes&lt;/lastName&gt;&lt;firstName&gt;Tonda&lt;/firstName&gt;&lt;middleNames&gt;L&lt;/middleNames&gt;&lt;/author&gt;&lt;author&gt;&lt;lastName&gt;McCabe&lt;/lastName&gt;&lt;firstName&gt;Sean&lt;/firstName&gt;&lt;middleNames&gt;Esteban&lt;/middleNames&gt;&lt;/author&gt;&lt;/authors&gt;&lt;/publication&gt;&lt;publication&gt;&lt;subtype&gt;400&lt;/subtype&gt;&lt;title&gt;Suicidality and Depression Disparities Between Sexual Minority and Heterosexual Youth: A Meta-Analytic Review&lt;/title&gt;&lt;url&gt;http://linkinghub.elsevier.com/retrieve/pii/S1054139X11000541&lt;/url&gt;&lt;volume&gt;49&lt;/volume&gt;&lt;publication_date&gt;99201108001200000000220000&lt;/publication_date&gt;&lt;uuid&gt;4AF4542D-0008-42E5-BDE8-EA5EBF1E7579&lt;/uuid&gt;&lt;type&gt;400&lt;/type&gt;&lt;number&gt;2&lt;/number&gt;&lt;doi&gt;10.1016/j.jadohealth.2011.02.005&lt;/doi&gt;&lt;startpage&gt;115&lt;/startpage&gt;&lt;endpage&gt;123&lt;/endpage&gt;&lt;bundle&gt;&lt;publication&gt;&lt;title&gt;Journal of Adolescent Health&lt;/title&gt;&lt;uuid&gt;4FB4EE6B-CE4D-4EE5-8681-6DDB3A94358A&lt;/uuid&gt;&lt;subtype&gt;-100&lt;/subtype&gt;&lt;publisher&gt;Elsevier, New York NY&lt;/publisher&gt;&lt;type&gt;-100&lt;/type&gt;&lt;/publication&gt;&lt;/bundle&gt;&lt;authors&gt;&lt;author&gt;&lt;lastName&gt;Marshal&lt;/lastName&gt;&lt;firstName&gt;Michael&lt;/firstName&gt;&lt;middleNames&gt;P&lt;/middleNames&gt;&lt;/author&gt;&lt;author&gt;&lt;lastName&gt;Dietz&lt;/lastName&gt;&lt;firstName&gt;Laura&lt;/firstName&gt;&lt;middleNames&gt;J&lt;/middleNames&gt;&lt;/author&gt;&lt;author&gt;&lt;lastName&gt;Friedman&lt;/lastName&gt;&lt;firstName&gt;Mark&lt;/firstName&gt;&lt;middleNames&gt;S&lt;/middleNames&gt;&lt;/author&gt;&lt;author&gt;&lt;lastName&gt;Stall&lt;/lastName&gt;&lt;firstName&gt;Ron&lt;/firstName&gt;&lt;/author&gt;&lt;author&gt;&lt;lastName&gt;Smith&lt;/lastName&gt;&lt;firstName&gt;Helen&lt;/firstName&gt;&lt;middleNames&gt;A&lt;/middleNames&gt;&lt;/author&gt;&lt;author&gt;&lt;lastName&gt;McGinley&lt;/lastName&gt;&lt;firstName&gt;James&lt;/firstName&gt;&lt;/author&gt;&lt;author&gt;&lt;lastName&gt;Thoma&lt;/lastName&gt;&lt;firstName&gt;Brian&lt;/firstName&gt;&lt;middleNames&gt;C&lt;/middleNames&gt;&lt;/author&gt;&lt;author&gt;&lt;lastName&gt;Murray&lt;/lastName&gt;&lt;firstName&gt;Pamela&lt;/firstName&gt;&lt;middleNames&gt;J&lt;/middleNames&gt;&lt;/author&gt;&lt;author&gt;&lt;lastName&gt;D'Augelli&lt;/lastName&gt;&lt;firstName&gt;Anthony&lt;/firstName&gt;&lt;middleNames&gt;R&lt;/middleNames&gt;&lt;/author&gt;&lt;author&gt;&lt;lastName&gt;Brent&lt;/lastName&gt;&lt;firstName&gt;David&lt;/firstName&gt;&lt;middleNames&gt;A&lt;/middleNames&gt;&lt;/author&gt;&lt;/authors&gt;&lt;/publication&gt;&lt;/publications&gt;&lt;cites&gt;&lt;/cites&gt;&lt;/citation&gt;</w:instrText>
      </w:r>
      <w:r w:rsidR="00D76D6F">
        <w:rPr>
          <w:lang w:val="en-CA"/>
        </w:rPr>
        <w:fldChar w:fldCharType="separate"/>
      </w:r>
      <w:r w:rsidR="00895F6A">
        <w:t>(Bostwick et al., 2010; Marshal et al., 2011)</w:t>
      </w:r>
      <w:r w:rsidR="00D76D6F">
        <w:rPr>
          <w:lang w:val="en-CA"/>
        </w:rPr>
        <w:fldChar w:fldCharType="end"/>
      </w:r>
      <w:r w:rsidR="00641BE5">
        <w:rPr>
          <w:lang w:val="en-CA"/>
        </w:rPr>
        <w:t xml:space="preserve">, </w:t>
      </w:r>
      <w:r w:rsidR="00EA62DC">
        <w:rPr>
          <w:lang w:val="en-CA"/>
        </w:rPr>
        <w:t xml:space="preserve">other </w:t>
      </w:r>
      <w:r w:rsidR="00641BE5">
        <w:rPr>
          <w:lang w:val="en-CA"/>
        </w:rPr>
        <w:t xml:space="preserve">mental </w:t>
      </w:r>
      <w:r w:rsidR="00EA62DC">
        <w:rPr>
          <w:lang w:val="en-CA"/>
        </w:rPr>
        <w:t xml:space="preserve">health </w:t>
      </w:r>
      <w:r w:rsidR="00641BE5">
        <w:rPr>
          <w:lang w:val="en-CA"/>
        </w:rPr>
        <w:t>disorders, self-harm</w:t>
      </w:r>
      <w:r w:rsidR="00D76D6F">
        <w:rPr>
          <w:lang w:val="en-CA"/>
        </w:rPr>
        <w:t>, and suicide</w:t>
      </w:r>
      <w:r w:rsidR="00641BE5">
        <w:rPr>
          <w:lang w:val="en-CA"/>
        </w:rPr>
        <w:t xml:space="preserve"> </w:t>
      </w:r>
      <w:r w:rsidR="00D76D6F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&lt;citation&gt;&lt;priority&gt;9&lt;/priority&gt;&lt;uuid&gt;AAFF4B0B-3B29-4711-B3EB-2D04A4B718AD&lt;/uuid&gt;&lt;publications&gt;&lt;publication&gt;&lt;subtype&gt;400&lt;/subtype&gt;&lt;title&gt;A systematic review of mental disorder, suicide, and deliberate self harm in lesbian, gay and bisexual people&lt;/title&gt;&lt;url&gt;http://bmcpsychiatry.biomedcentral.com/articles/10.1186/1471-244X-8-70&lt;/url&gt;&lt;volume&gt;8&lt;/volume&gt;&lt;publication_date&gt;99200808181200000000222000&lt;/publication_date&gt;&lt;uuid&gt;6E0CF6C8-3783-431F-9B42-6ECEBFB12B54&lt;/uuid&gt;&lt;type&gt;400&lt;/type&gt;&lt;number&gt;1&lt;/number&gt;&lt;doi&gt;10.1186/1471-244X-8-70&lt;/doi&gt;&lt;startpage&gt;552&lt;/startpage&gt;&lt;bundle&gt;&lt;publication&gt;&lt;title&gt;BMC Psychiatry&lt;/title&gt;&lt;uuid&gt;F55D36A6-663E-413E-B0A7-5B333FE28BCB&lt;/uuid&gt;&lt;subtype&gt;-100&lt;/subtype&gt;&lt;type&gt;-100&lt;/type&gt;&lt;/publication&gt;&lt;/bundle&gt;&lt;authors&gt;&lt;author&gt;&lt;lastName&gt;King&lt;/lastName&gt;&lt;firstName&gt;Michael&lt;/firstName&gt;&lt;/author&gt;&lt;author&gt;&lt;lastName&gt;Semlyen&lt;/lastName&gt;&lt;firstName&gt;Joanna&lt;/firstName&gt;&lt;/author&gt;&lt;author&gt;&lt;lastName&gt;Tai&lt;/lastName&gt;&lt;firstName&gt;Sharon&lt;/firstName&gt;&lt;middleNames&gt;See&lt;/middleNames&gt;&lt;/author&gt;&lt;author&gt;&lt;lastName&gt;Killaspy&lt;/lastName&gt;&lt;firstName&gt;Helen&lt;/firstName&gt;&lt;/author&gt;&lt;author&gt;&lt;lastName&gt;Osborn&lt;/lastName&gt;&lt;firstName&gt;David&lt;/firstName&gt;&lt;/author&gt;&lt;author&gt;&lt;lastName&gt;Popelyuk&lt;/lastName&gt;&lt;firstName&gt;Dmitri&lt;/firstName&gt;&lt;/author&gt;&lt;author&gt;&lt;lastName&gt;Nazareth&lt;/lastName&gt;&lt;firstName&gt;Irwin&lt;/firstName&gt;&lt;/author&gt;&lt;/authors&gt;&lt;/publication&gt;&lt;publication&gt;&lt;subtype&gt;400&lt;/subtype&gt;&lt;title&gt;Suicidality and Depression Disparities Between Sexual Minority and Heterosexual Youth: A Meta-Analytic Review&lt;/title&gt;&lt;url&gt;http://linkinghub.elsevier.com/retrieve/pii/S1054139X11000541&lt;/url&gt;&lt;volume&gt;49&lt;/volume&gt;&lt;publication_date&gt;99201108001200000000220000&lt;/publication_date&gt;&lt;uuid&gt;4AF4542D-0008-42E5-BDE8-EA5EBF1E7579&lt;/uuid&gt;&lt;type&gt;400&lt;/type&gt;&lt;number&gt;2&lt;/number&gt;&lt;doi&gt;10.1016/j.jadohealth.2011.02.005&lt;/doi&gt;&lt;startpage&gt;115&lt;/startpage&gt;&lt;endpage&gt;123&lt;/endpage&gt;&lt;bundle&gt;&lt;publication&gt;&lt;title&gt;Journal of Adolescent Health&lt;/title&gt;&lt;uuid&gt;4FB4EE6B-CE4D-4EE5-8681-6DDB3A94358A&lt;/uuid&gt;&lt;subtype&gt;-100&lt;/subtype&gt;&lt;publisher&gt;Elsevier, New York NY&lt;/publisher&gt;&lt;type&gt;-100&lt;/type&gt;&lt;/publication&gt;&lt;/bundle&gt;&lt;authors&gt;&lt;author&gt;&lt;lastName&gt;Marshal&lt;/lastName&gt;&lt;firstName&gt;Michael&lt;/firstName&gt;&lt;middleNames&gt;P&lt;/middleNames&gt;&lt;/author&gt;&lt;author&gt;&lt;lastName&gt;Dietz&lt;/lastName&gt;&lt;firstName&gt;Laura&lt;/firstName&gt;&lt;middleNames&gt;J&lt;/middleNames&gt;&lt;/author&gt;&lt;author&gt;&lt;lastName&gt;Friedman&lt;/lastName&gt;&lt;firstName&gt;Mark&lt;/firstName&gt;&lt;middleNames&gt;S&lt;/middleNames&gt;&lt;/author&gt;&lt;author&gt;&lt;lastName&gt;Stall&lt;/lastName&gt;&lt;firstName&gt;Ron&lt;/firstName&gt;&lt;/author&gt;&lt;author&gt;&lt;lastName&gt;Smith&lt;/lastName&gt;&lt;firstName&gt;Helen&lt;/firstName&gt;&lt;middleNames&gt;A&lt;/middleNames&gt;&lt;/author&gt;&lt;author&gt;&lt;lastName&gt;McGinley&lt;/lastName&gt;&lt;firstName&gt;James&lt;/firstName&gt;&lt;/author&gt;&lt;author&gt;&lt;lastName&gt;Thoma&lt;/lastName&gt;&lt;firstName&gt;Brian&lt;/firstName&gt;&lt;middleNames&gt;C&lt;/middleNames&gt;&lt;/author&gt;&lt;author&gt;&lt;lastName&gt;Murray&lt;/lastName&gt;&lt;firstName&gt;Pamela&lt;/firstName&gt;&lt;middleNames&gt;J&lt;/middleNames&gt;&lt;/author&gt;&lt;author&gt;&lt;lastName&gt;D'Augelli&lt;/lastName&gt;&lt;firstName&gt;Anthony&lt;/firstName&gt;&lt;middleNames&gt;R&lt;/middleNames&gt;&lt;/author&gt;&lt;author&gt;&lt;lastName&gt;Brent&lt;/lastName&gt;&lt;firstName&gt;David&lt;/firstName&gt;&lt;middleNames&gt;A&lt;/middleNames&gt;&lt;/author&gt;&lt;/authors&gt;&lt;/publication&gt;&lt;publication&gt;&lt;subtype&gt;400&lt;/subtype&gt;&lt;title&gt;Prejudice, social stress, and mental health in lesbian, gay, and bisexual populations: conceptual issues and research evidence.&lt;/title&gt;&lt;url&gt;http://doi.apa.org/getdoi.cfm?doi=10.1037/0033-2909.129.5.674&lt;/url&gt;&lt;volume&gt;129&lt;/volume&gt;&lt;publication_date&gt;99200309001200000000220000&lt;/publication_date&gt;&lt;uuid&gt;409FD142-0C17-46F6-B4D8-3EA67184E1BE&lt;/uuid&gt;&lt;type&gt;400&lt;/type&gt;&lt;number&gt;5&lt;/number&gt;&lt;citekey&gt;Meyer:2003hb&lt;/citekey&gt;&lt;doi&gt;10.1037/0033-2909.129.5.674&lt;/doi&gt;&lt;institution&gt;Department of Sociomedical Sciences, Mailman School of Public Health, Columbia University, New York, New York 10032, USA. im15@columbia.edu&lt;/institution&gt;&lt;startpage&gt;674&lt;/startpage&gt;&lt;endpage&gt;697&lt;/endpage&gt;&lt;bundle&gt;&lt;publication&gt;&lt;title&gt;Psychological bulletin&lt;/title&gt;&lt;uuid&gt;AC66858C-06E4-4AD4-B773-481924AB4AD2&lt;/uuid&gt;&lt;subtype&gt;-100&lt;/subtype&gt;&lt;type&gt;-100&lt;/type&gt;&lt;/publication&gt;&lt;/bundle&gt;&lt;authors&gt;&lt;author&gt;&lt;lastName&gt;Meyer&lt;/lastName&gt;&lt;firstName&gt;Ilan&lt;/firstName&gt;&lt;middleNames&gt;H&lt;/middleNames&gt;&lt;/author&gt;&lt;/authors&gt;&lt;/publication&gt;&lt;/publications&gt;&lt;cites&gt;&lt;/cites&gt;&lt;/citation&gt;</w:instrText>
      </w:r>
      <w:r w:rsidR="00D76D6F">
        <w:rPr>
          <w:lang w:val="en-CA"/>
        </w:rPr>
        <w:fldChar w:fldCharType="separate"/>
      </w:r>
      <w:r w:rsidR="00D76D6F">
        <w:t>(King et al., 2008; Marshal et al., 2011; Meyer, 2003)</w:t>
      </w:r>
      <w:r w:rsidR="00D76D6F">
        <w:rPr>
          <w:lang w:val="en-CA"/>
        </w:rPr>
        <w:fldChar w:fldCharType="end"/>
      </w:r>
      <w:r w:rsidR="000F4A42">
        <w:rPr>
          <w:lang w:val="en-CA"/>
        </w:rPr>
        <w:t>, and</w:t>
      </w:r>
      <w:r w:rsidR="00214AFA">
        <w:rPr>
          <w:lang w:val="en-CA"/>
        </w:rPr>
        <w:t xml:space="preserve"> </w:t>
      </w:r>
      <w:r w:rsidR="00D35E32">
        <w:rPr>
          <w:lang w:val="en-CA"/>
        </w:rPr>
        <w:t xml:space="preserve">compared </w:t>
      </w:r>
      <w:r w:rsidR="0095304D">
        <w:rPr>
          <w:lang w:val="en-CA"/>
        </w:rPr>
        <w:t>with</w:t>
      </w:r>
      <w:r w:rsidR="009210B6">
        <w:rPr>
          <w:lang w:val="en-CA"/>
        </w:rPr>
        <w:t xml:space="preserve"> gay men</w:t>
      </w:r>
      <w:r w:rsidR="0095304D">
        <w:rPr>
          <w:lang w:val="en-CA"/>
        </w:rPr>
        <w:t xml:space="preserve"> including psychiatric morbidity</w:t>
      </w:r>
      <w:r w:rsidR="005B0EE9">
        <w:rPr>
          <w:lang w:val="en-CA"/>
        </w:rPr>
        <w:t xml:space="preserve"> </w:t>
      </w:r>
      <w:r w:rsidR="0095304D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&lt;citation&gt;&lt;priority&gt;0&lt;/priority&gt;&lt;uuid&gt;46C995F9-E7E8-47AB-B429-0795EB0B4467&lt;/uuid&gt;&lt;publications&gt;&lt;publication&gt;&lt;subtype&gt;400&lt;/subtype&gt;&lt;title&gt;Burden of psychiatric morbidity among lesbian, gay, and bisexual individuals in the California Quality of Life Survey.&lt;/title&gt;&lt;url&gt;http://doi.apa.org/getdoi.cfm?doi=10.1037/a0016501&lt;/url&gt;&lt;volume&gt;118&lt;/volume&gt;&lt;publication_date&gt;99200900001200000000200000&lt;/publication_date&gt;&lt;uuid&gt;AA57FA5E-6DF7-46B8-8EC7-1B683268F86C&lt;/uuid&gt;&lt;type&gt;400&lt;/type&gt;&lt;number&gt;3&lt;/number&gt;&lt;doi&gt;10.1037/a0016501&lt;/doi&gt;&lt;startpage&gt;647&lt;/startpage&gt;&lt;endpage&gt;658&lt;/endpage&gt;&lt;bundle&gt;&lt;publication&gt;&lt;title&gt;Journal of abnormal psychology&lt;/title&gt;&lt;uuid&gt;73C9996C-732C-4C62-97DB-42E544B9553B&lt;/uuid&gt;&lt;subtype&gt;-100&lt;/subtype&gt;&lt;type&gt;-100&lt;/type&gt;&lt;/publication&gt;&lt;/bundle&gt;&lt;authors&gt;&lt;author&gt;&lt;lastName&gt;Cochran&lt;/lastName&gt;&lt;firstName&gt;Susan&lt;/firstName&gt;&lt;middleNames&gt;D&lt;/middleNames&gt;&lt;/author&gt;&lt;author&gt;&lt;lastName&gt;Mays&lt;/lastName&gt;&lt;firstName&gt;Vickie&lt;/firstName&gt;&lt;middleNames&gt;M&lt;/middleNames&gt;&lt;/author&gt;&lt;/authors&gt;&lt;/publication&gt;&lt;/publications&gt;&lt;cites&gt;&lt;/cites&gt;&lt;/citation&gt;</w:instrText>
      </w:r>
      <w:r w:rsidR="0095304D">
        <w:rPr>
          <w:lang w:val="en-CA"/>
        </w:rPr>
        <w:fldChar w:fldCharType="separate"/>
      </w:r>
      <w:r w:rsidR="0095304D">
        <w:t>(Cochran &amp; Mays, 2009)</w:t>
      </w:r>
      <w:r w:rsidR="0095304D">
        <w:rPr>
          <w:lang w:val="en-CA"/>
        </w:rPr>
        <w:fldChar w:fldCharType="end"/>
      </w:r>
      <w:r w:rsidR="0095304D">
        <w:rPr>
          <w:lang w:val="en-CA"/>
        </w:rPr>
        <w:t xml:space="preserve">, overall </w:t>
      </w:r>
      <w:r w:rsidR="0095304D">
        <w:rPr>
          <w:lang w:val="en-CA"/>
        </w:rPr>
        <w:lastRenderedPageBreak/>
        <w:t>mental health</w:t>
      </w:r>
      <w:r w:rsidR="0002189F">
        <w:rPr>
          <w:lang w:val="en-CA"/>
        </w:rPr>
        <w:t xml:space="preserve"> problems</w:t>
      </w:r>
      <w:r w:rsidR="0095304D">
        <w:rPr>
          <w:lang w:val="en-CA"/>
        </w:rPr>
        <w:t xml:space="preserve"> and problematic substance use</w:t>
      </w:r>
      <w:r w:rsidR="00356DCB">
        <w:rPr>
          <w:lang w:val="en-CA"/>
        </w:rPr>
        <w:t xml:space="preserve"> </w:t>
      </w:r>
      <w:r w:rsidR="00356DCB">
        <w:rPr>
          <w:rFonts w:eastAsiaTheme="minorHAnsi"/>
        </w:rPr>
        <w:fldChar w:fldCharType="begin"/>
      </w:r>
      <w:r w:rsidR="0038517F">
        <w:rPr>
          <w:rFonts w:eastAsiaTheme="minorHAnsi"/>
        </w:rPr>
        <w:instrText xml:space="preserve"> ADDIN PAPERS2_CITATIONS &lt;citation&gt;&lt;priority&gt;11&lt;/priority&gt;&lt;uuid&gt;8AEA4778-A8A2-4F58-90D3-FD10EE00DE61&lt;/uuid&gt;&lt;publications&gt;&lt;publication&gt;&lt;subtype&gt;400&lt;/subtype&gt;&lt;title&gt;From bias to bisexual health disparities: Attitudes toward bisexual men and women in the United States&lt;/title&gt;&lt;url&gt;http://online.liebertpub.com/doi/abs/10.1089/lgbt.2014.0005&lt;/url&gt;&lt;publication_date&gt;99201400001200000000200000&lt;/publication_date&gt;&lt;uuid&gt;B4CD0CEB-53E1-48F3-AEB7-1A89FAB2B3FA&lt;/uuid&gt;&lt;type&gt;400&lt;/type&gt;&lt;citekey&gt;Reuel:2014ja&lt;/citekey&gt;&lt;doi&gt;10.1089/lgbt.2014.0005&lt;/doi&gt;&lt;bundle&gt;&lt;publication&gt;&lt;title&gt;LGBT …&lt;/title&gt;&lt;uuid&gt;6662D984-9F8D-430A-959B-F2A8CEC6D0C0&lt;/uuid&gt;&lt;subtype&gt;-100&lt;/subtype&gt;&lt;type&gt;-100&lt;/type&gt;&lt;/publication&gt;&lt;/bundle&gt;&lt;authors&gt;&lt;author&gt;&lt;lastName&gt;Friedman&lt;/lastName&gt;&lt;firstName&gt;M&lt;/firstName&gt;&lt;middleNames&gt;R&lt;/middleNames&gt;&lt;/author&gt;&lt;author&gt;&lt;lastName&gt;Dodge&lt;/lastName&gt;&lt;firstName&gt;B&lt;/firstName&gt;&lt;/author&gt;&lt;author&gt;&lt;lastName&gt;Schick&lt;/lastName&gt;&lt;firstName&gt;V&lt;/firstName&gt;&lt;/author&gt;&lt;author&gt;&lt;lastName&gt;Herbenick&lt;/lastName&gt;&lt;firstName&gt;D&lt;/firstName&gt;&lt;/author&gt;&lt;/authors&gt;&lt;/publication&gt;&lt;publication&gt;&lt;subtype&gt;400&lt;/subtype&gt;&lt;publisher&gt;SAGE PublicationsSage CA: Los Angeles, CA&lt;/publisher&gt;&lt;title&gt;Substance Use Patterns of Gay and Bisexual Men in the Momentum Health Study:&lt;/title&gt;&lt;url&gt;http://journals.sagepub.com/doi/abs/10.1177/1557988318786872&lt;/url&gt;&lt;publication_date&gt;99201807191200000000222000&lt;/publication_date&gt;&lt;uuid&gt;EE822615-89EB-4695-BAF8-597E5792D4A5&lt;/uuid&gt;&lt;type&gt;400&lt;/type&gt;&lt;doi&gt;10.1177/1557988318786872&lt;/doi&gt;&lt;bundle&gt;&lt;publication&gt;&lt;title&gt;American journal of men's health&lt;/title&gt;&lt;uuid&gt;67C20B5E-9E68-42C3-885A-A07E57DFE284&lt;/uuid&gt;&lt;subtype&gt;-100&lt;/subtype&gt;&lt;publisher&gt;SAGE PublicationsSage CA: Los Angeles, CA&lt;/publisher&gt;&lt;type&gt;-100&lt;/type&gt;&lt;/publication&gt;&lt;/bundle&gt;&lt;authors&gt;&lt;author&gt;&lt;lastName&gt;Roth&lt;/lastName&gt;&lt;firstName&gt;Eric&lt;/firstName&gt;&lt;middleNames&gt;Abella&lt;/middleNames&gt;&lt;/author&gt;&lt;author&gt;&lt;lastName&gt;Cui&lt;/lastName&gt;&lt;firstName&gt;Zishan&lt;/firstName&gt;&lt;/author&gt;&lt;author&gt;&lt;lastName&gt;Wang&lt;/lastName&gt;&lt;firstName&gt;Lu&lt;/firstName&gt;&lt;/author&gt;&lt;author&gt;&lt;lastName&gt;Armstrong&lt;/lastName&gt;&lt;firstName&gt;Heather&lt;/firstName&gt;&lt;middleNames&gt;L&lt;/middleNames&gt;&lt;/author&gt;&lt;author&gt;&lt;lastName&gt;Rich&lt;/lastName&gt;&lt;firstName&gt;Ashleigh&lt;/firstName&gt;&lt;middleNames&gt;J&lt;/middleNames&gt;&lt;/author&gt;&lt;author&gt;&lt;lastName&gt;Lachowsky&lt;/lastName&gt;&lt;firstName&gt;Nathan&lt;/firstName&gt;&lt;middleNames&gt;J&lt;/middleNames&gt;&lt;/author&gt;&lt;author&gt;&lt;lastName&gt;Sereda&lt;/lastName&gt;&lt;firstName&gt;Paul&lt;/firstName&gt;&lt;/author&gt;&lt;author&gt;&lt;lastName&gt;Card&lt;/lastName&gt;&lt;firstName&gt;Kiffer&lt;/firstName&gt;&lt;middleNames&gt;G&lt;/middleNames&gt;&lt;/author&gt;&lt;author&gt;&lt;lastName&gt;Jollimore&lt;/lastName&gt;&lt;firstName&gt;Jody&lt;/firstName&gt;&lt;/author&gt;&lt;author&gt;&lt;lastName&gt;Howard&lt;/lastName&gt;&lt;firstName&gt;Terry&lt;/firstName&gt;&lt;/author&gt;&lt;author&gt;&lt;lastName&gt;Olarewaju&lt;/lastName&gt;&lt;firstName&gt;Gbolahan&lt;/firstName&gt;&lt;/author&gt;&lt;author&gt;&lt;lastName&gt;Moore&lt;/lastName&gt;&lt;firstName&gt;David&lt;/firstName&gt;&lt;middleNames&gt;M&lt;/middleNames&gt;&lt;/author&gt;&lt;author&gt;&lt;lastName&gt;Hogg&lt;/lastName&gt;&lt;firstName&gt;Robert&lt;/firstName&gt;&lt;middleNames&gt;S&lt;/middleNames&gt;&lt;/author&gt;&lt;/authors&gt;&lt;/publication&gt;&lt;/publications&gt;&lt;cites&gt;&lt;/cites&gt;&lt;/citation&gt;</w:instrText>
      </w:r>
      <w:r w:rsidR="00356DCB">
        <w:rPr>
          <w:rFonts w:eastAsiaTheme="minorHAnsi"/>
        </w:rPr>
        <w:fldChar w:fldCharType="separate"/>
      </w:r>
      <w:r w:rsidR="00356DCB">
        <w:rPr>
          <w:rFonts w:eastAsiaTheme="minorHAnsi"/>
        </w:rPr>
        <w:t>(Friedman, Dodge, Schick, &amp; Herbenick, 2014; Roth et al., 2018)</w:t>
      </w:r>
      <w:r w:rsidR="00356DCB">
        <w:rPr>
          <w:rFonts w:eastAsiaTheme="minorHAnsi"/>
        </w:rPr>
        <w:fldChar w:fldCharType="end"/>
      </w:r>
      <w:r w:rsidR="0095304D">
        <w:rPr>
          <w:lang w:val="en-CA"/>
        </w:rPr>
        <w:t>.</w:t>
      </w:r>
    </w:p>
    <w:p w14:paraId="4E8E6A78" w14:textId="5D3430AE" w:rsidR="00AF0520" w:rsidRDefault="0096465C" w:rsidP="000058C6">
      <w:pPr>
        <w:spacing w:line="480" w:lineRule="auto"/>
        <w:ind w:firstLine="360"/>
        <w:rPr>
          <w:lang w:val="en-CA"/>
        </w:rPr>
      </w:pPr>
      <w:r>
        <w:rPr>
          <w:lang w:val="en-CA"/>
        </w:rPr>
        <w:t>Investigation</w:t>
      </w:r>
      <w:r w:rsidR="001D0122">
        <w:rPr>
          <w:lang w:val="en-CA"/>
        </w:rPr>
        <w:t xml:space="preserve"> of </w:t>
      </w:r>
      <w:r>
        <w:rPr>
          <w:lang w:val="en-CA"/>
        </w:rPr>
        <w:t xml:space="preserve">the </w:t>
      </w:r>
      <w:r w:rsidR="001D0122">
        <w:rPr>
          <w:lang w:val="en-CA"/>
        </w:rPr>
        <w:t>anxiety and depression</w:t>
      </w:r>
      <w:r w:rsidR="0072502C">
        <w:rPr>
          <w:lang w:val="en-CA"/>
        </w:rPr>
        <w:t xml:space="preserve"> burden</w:t>
      </w:r>
      <w:r w:rsidR="001D0122">
        <w:rPr>
          <w:lang w:val="en-CA"/>
        </w:rPr>
        <w:t xml:space="preserve"> among bisexual men is impeded by a number of methodological challenges. </w:t>
      </w:r>
      <w:r w:rsidR="004E7711">
        <w:rPr>
          <w:lang w:val="en-CA"/>
        </w:rPr>
        <w:t>No pre-existing sampling frame exists from which to draw representative samples for this population</w:t>
      </w:r>
      <w:r w:rsidR="00B51BF5">
        <w:rPr>
          <w:lang w:val="en-CA"/>
        </w:rPr>
        <w:t xml:space="preserve"> </w:t>
      </w:r>
      <w:r w:rsidR="00C248E1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&lt;citation&gt;&lt;priority&gt;0&lt;/priority&gt;&lt;uuid&gt;7CFBCB63-5A3C-427D-81E0-3F33361F39D2&lt;/uuid&gt;&lt;publications&gt;&lt;publication&gt;&lt;subtype&gt;400&lt;/subtype&gt;&lt;title&gt;Respondent-Driven Sampling: A New Approach to the Study of Hidden Populations&lt;/title&gt;&lt;url&gt;http://www.jstor.org/stable/info/10.2307/3096941&lt;/url&gt;&lt;volume&gt;44&lt;/volume&gt;&lt;publication_date&gt;99199705001200000000220000&lt;/publication_date&gt;&lt;uuid&gt;CD1593D3-71CB-4A60-A186-90A2ABC04136&lt;/uuid&gt;&lt;type&gt;400&lt;/type&gt;&lt;number&gt;2&lt;/number&gt;&lt;citekey&gt;Heckathorn:1997iq&lt;/citekey&gt;&lt;doi&gt;10.2307/3096941&lt;/doi&gt;&lt;startpage&gt;174&lt;/startpage&gt;&lt;endpage&gt;199&lt;/endpage&gt;&lt;bundle&gt;&lt;publication&gt;&lt;title&gt;Social Problems&lt;/title&gt;&lt;uuid&gt;5AE92671-CBF6-4C37-81BF-AB29A537AD03&lt;/uuid&gt;&lt;subtype&gt;-100&lt;/subtype&gt;&lt;publisher&gt;The Oxford University Press&lt;/publisher&gt;&lt;type&gt;-100&lt;/type&gt;&lt;/publication&gt;&lt;/bundle&gt;&lt;authors&gt;&lt;author&gt;&lt;lastName&gt;Heckathorn&lt;/lastName&gt;&lt;firstName&gt;Douglas&lt;/firstName&gt;&lt;middleNames&gt;D&lt;/middleNames&gt;&lt;/author&gt;&lt;/authors&gt;&lt;/publication&gt;&lt;/publications&gt;&lt;cites&gt;&lt;/cites&gt;&lt;/citation&gt;</w:instrText>
      </w:r>
      <w:r w:rsidR="00C248E1">
        <w:rPr>
          <w:lang w:val="en-CA"/>
        </w:rPr>
        <w:fldChar w:fldCharType="separate"/>
      </w:r>
      <w:r w:rsidR="00C248E1">
        <w:t>(Heckathorn, 1997)</w:t>
      </w:r>
      <w:r w:rsidR="00C248E1">
        <w:rPr>
          <w:lang w:val="en-CA"/>
        </w:rPr>
        <w:fldChar w:fldCharType="end"/>
      </w:r>
      <w:r w:rsidR="004E7711">
        <w:rPr>
          <w:lang w:val="en-CA"/>
        </w:rPr>
        <w:t xml:space="preserve"> as sexual orientation has historically not been </w:t>
      </w:r>
      <w:r w:rsidR="0045548F">
        <w:rPr>
          <w:lang w:val="en-CA"/>
        </w:rPr>
        <w:t>collected</w:t>
      </w:r>
      <w:r w:rsidR="004E7711">
        <w:rPr>
          <w:lang w:val="en-CA"/>
        </w:rPr>
        <w:t xml:space="preserve"> in routine health surveillance and census data in Canada and elsewhere</w:t>
      </w:r>
      <w:r w:rsidR="00A70B5E">
        <w:rPr>
          <w:lang w:val="en-CA"/>
        </w:rPr>
        <w:t xml:space="preserve">. </w:t>
      </w:r>
      <w:r w:rsidR="00F15ABA">
        <w:rPr>
          <w:lang w:val="en-CA"/>
        </w:rPr>
        <w:t>Difficulties</w:t>
      </w:r>
      <w:r w:rsidR="00A70B5E">
        <w:rPr>
          <w:lang w:val="en-CA"/>
        </w:rPr>
        <w:t xml:space="preserve"> when attempting to include sexual minorities in routine data collection</w:t>
      </w:r>
      <w:r w:rsidR="001B1DFB">
        <w:rPr>
          <w:lang w:val="en-CA"/>
        </w:rPr>
        <w:t xml:space="preserve"> </w:t>
      </w:r>
      <w:r w:rsidR="001B1DFB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&lt;citation&gt;&lt;priority&gt;0&lt;/priority&gt;&lt;uuid&gt;8A8C1894-A198-42AA-BB16-0223894280A9&lt;/uuid&gt;&lt;publications&gt;&lt;publication&gt;&lt;subtype&gt;400&lt;/subtype&gt;&lt;publisher&gt; Taylor &amp;amp; Francis Group&lt;/publisher&gt;&lt;title&gt;A probability sample of gay urban males: The use of two</w:instrText>
      </w:r>
      <w:r w:rsidR="0038517F">
        <w:rPr>
          <w:rFonts w:ascii="Cambria Math" w:hAnsi="Cambria Math" w:cs="Cambria Math"/>
          <w:lang w:val="en-CA"/>
        </w:rPr>
        <w:instrText>‐</w:instrText>
      </w:r>
      <w:r w:rsidR="0038517F">
        <w:rPr>
          <w:lang w:val="en-CA"/>
        </w:rPr>
        <w:instrText>phase adaptive sampling&lt;/title&gt;&lt;url&gt;http://www-tandfonline-com.ezproxy.library.ubc.ca/doi/abs/10.1080/00224499909551965&lt;/url&gt;&lt;volume&gt;36&lt;/volume&gt;&lt;publication_date&gt;99199901111200000000222000&lt;/publication_date&gt;&lt;uuid&gt;C3141708-9281-4257-A5A6-42041DFADD28&lt;/uuid&gt;&lt;type&gt;400&lt;/type&gt;&lt;number&gt;1&lt;/number&gt;&lt;doi&gt;10.1080/00224499909551965&lt;/doi&gt;&lt;startpage&gt;39&lt;/startpage&gt;&lt;endpage&gt;44&lt;/endpage&gt;&lt;bundle&gt;&lt;publication&gt;&lt;title&gt;Journal of sex research&lt;/title&gt;&lt;uuid&gt;7B75E25B-4936-4AB3-83D0-03F19AF50EA5&lt;/uuid&gt;&lt;subtype&gt;-100&lt;/subtype&gt;&lt;publisher&gt; Taylor &amp;amp; Francis Group&lt;/publisher&gt;&lt;type&gt;-100&lt;/type&gt;&lt;/publication&gt;&lt;/bundle&gt;&lt;authors&gt;&lt;author&gt;&lt;lastName&gt;Blair&lt;/lastName&gt;&lt;firstName&gt;Johnny&lt;/firstName&gt;&lt;/author&gt;&lt;/authors&gt;&lt;/publication&gt;&lt;/publications&gt;&lt;cites&gt;&lt;/cites&gt;&lt;/citation&gt;</w:instrText>
      </w:r>
      <w:r w:rsidR="001B1DFB">
        <w:rPr>
          <w:lang w:val="en-CA"/>
        </w:rPr>
        <w:fldChar w:fldCharType="separate"/>
      </w:r>
      <w:r w:rsidR="001B1DFB">
        <w:t>(Blair, 1999)</w:t>
      </w:r>
      <w:r w:rsidR="001B1DFB">
        <w:rPr>
          <w:lang w:val="en-CA"/>
        </w:rPr>
        <w:fldChar w:fldCharType="end"/>
      </w:r>
      <w:r w:rsidR="001B1DFB">
        <w:rPr>
          <w:lang w:val="en-CA"/>
        </w:rPr>
        <w:t>,</w:t>
      </w:r>
      <w:r>
        <w:rPr>
          <w:lang w:val="en-CA"/>
        </w:rPr>
        <w:t xml:space="preserve"> </w:t>
      </w:r>
      <w:r w:rsidR="001B1DFB">
        <w:rPr>
          <w:lang w:val="en-CA"/>
        </w:rPr>
        <w:t xml:space="preserve">small sample sizes, and the impact of stigma and discrimination on participation and disclosure also contribute to this challenge </w:t>
      </w:r>
      <w:r w:rsidR="001D0171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&lt;citation&gt;&lt;priority&gt;14&lt;/priority&gt;&lt;uuid&gt;14251311-B25A-424D-BA71-70A539C85272&lt;/uuid&gt;&lt;publications&gt;&lt;publication&gt;&lt;subtype&gt;400&lt;/subtype&gt;&lt;publisher&gt;American Psychological Association&lt;/publisher&gt;&lt;title&gt;Sampling lesbian, gay, and bisexual populations.&lt;/title&gt;&lt;url&gt;http://psycnet.apa.org.ezproxy.library.ubc.ca/journals/cou/56/1/23.html&lt;/url&gt;&lt;volume&gt;56&lt;/volume&gt;&lt;publication_date&gt;99200901011200000000222000&lt;/publication_date&gt;&lt;uuid&gt;B6CED65A-CF80-4640-BEAF-406F5349C87D&lt;/uuid&gt;&lt;type&gt;400&lt;/type&gt;&lt;number&gt;1&lt;/number&gt;&lt;doi&gt;10.1037/a0014587&lt;/doi&gt;&lt;startpage&gt;23&lt;/startpage&gt;&lt;bundle&gt;&lt;publication&gt;&lt;title&gt;Journal of Counseling Psychology&lt;/title&gt;&lt;uuid&gt;C23EB4AC-C67F-4EBF-814B-ECD0C1B05A1D&lt;/uuid&gt;&lt;subtype&gt;-100&lt;/subtype&gt;&lt;publisher&gt;American Psychological Association&lt;/publisher&gt;&lt;type&gt;-100&lt;/type&gt;&lt;/publication&gt;&lt;/bundle&gt;&lt;authors&gt;&lt;author&gt;&lt;lastName&gt;Meyer&lt;/lastName&gt;&lt;firstName&gt;Ilan&lt;/firstName&gt;&lt;middleNames&gt;H&lt;/middleNames&gt;&lt;/author&gt;&lt;author&gt;&lt;lastName&gt;Wilson&lt;/lastName&gt;&lt;firstName&gt;Patrick&lt;/firstName&gt;&lt;middleNames&gt;A&lt;/middleNames&gt;&lt;/author&gt;&lt;/authors&gt;&lt;/publication&gt;&lt;publication&gt;&lt;subtype&gt;400&lt;/subtype&gt;&lt;title&gt;Misclassification and Undersampling of Sexual Minorities in Population Surveys.&lt;/title&gt;&lt;url&gt;http://eutils.ncbi.nlm.nih.gov/entrez/eutils/elink.fcgi?dbfrom=pubmed&amp;amp;id=25393201&amp;amp;retmode=ref&amp;amp;cmd=prlinks&lt;/url&gt;&lt;volume&gt;105&lt;/volume&gt;&lt;publication_date&gt;99201501001200000000220000&lt;/publication_date&gt;&lt;uuid&gt;992E537B-A451-4D5E-A779-4EF89DFA9433&lt;/uuid&gt;&lt;type&gt;400&lt;/type&gt;&lt;number&gt;1&lt;/number&gt;&lt;doi&gt;10.2105/AJPH.2014.302408&lt;/doi&gt;&lt;institution&gt;Travis S. Hottes is with the Dalla Lana School of Public Health, University of Toronto, Toronto, ON, and the Community-Based Research Centre for Gay Men's Health, Vancouver, BC. Olivier Ferlatte is with the Faculty of Health Sciences, Simon Fraser University, Burnaby, BC, and the Community-Based Research Centre for Gay Men's Health. Mark Gilbert is with the Ontario HIV Treatment Network, Toronto, and the School of Population and Public Health, University of British Columbia, Vancouver.&lt;/institution&gt;&lt;startpage&gt;e5&lt;/startpage&gt;&lt;bundle&gt;&lt;publication&gt;&lt;title&gt;American Journal of Public Health&lt;/title&gt;&lt;uuid&gt;8B76720C-F03E-40BB-BD52-4603335ECB97&lt;/uuid&gt;&lt;subtype&gt;-100&lt;/subtype&gt;&lt;publisher&gt;American Public Health Association&lt;/publisher&gt;&lt;type&gt;-100&lt;/type&gt;&lt;/publication&gt;&lt;/bundle&gt;&lt;authors&gt;&lt;author&gt;&lt;lastName&gt;Hottes&lt;/lastName&gt;&lt;firstName&gt;Travis&lt;/firstName&gt;&lt;middleNames&gt;S&lt;/middleNames&gt;&lt;/author&gt;&lt;author&gt;&lt;lastName&gt;Ferlatte&lt;/lastName&gt;&lt;firstName&gt;Olivier&lt;/firstName&gt;&lt;/author&gt;&lt;author&gt;&lt;lastName&gt;Gilbert&lt;/lastName&gt;&lt;firstName&gt;Mark&lt;/firstName&gt;&lt;/author&gt;&lt;/authors&gt;&lt;/publication&gt;&lt;publication&gt;&lt;subtype&gt;400&lt;/subtype&gt;&lt;title&gt;Disclosure of sexual orientation by gay and bisexual men in government-administered probability surveys&lt;/title&gt;&lt;url&gt;http://online.liebertpub.com/doi/10.1089/lgbt.2016.0037&lt;/url&gt;&lt;volume&gt;4&lt;/volume&gt;&lt;publication_date&gt;99201702001200000000220000&lt;/publication_date&gt;&lt;uuid&gt;3DA33214-3E0C-49AB-B05F-8BEF5400DD9C&lt;/uuid&gt;&lt;type&gt;400&lt;/type&gt;&lt;number&gt;1&lt;/number&gt;&lt;citekey&gt;Ferlatte:2017de&lt;/citekey&gt;&lt;doi&gt;10.1089/lgbt.2016.0037&lt;/doi&gt;&lt;startpage&gt;68&lt;/startpage&gt;&lt;endpage&gt;71&lt;/endpage&gt;&lt;bundle&gt;&lt;publication&gt;&lt;title&gt;LGBT health&lt;/title&gt;&lt;uuid&gt;EB79C31E-FD37-4115-AE68-3311062A4BD6&lt;/uuid&gt;&lt;subtype&gt;-100&lt;/subtype&gt;&lt;publisher&gt; Mary Ann Liebert, Inc. 140 Huguenot Street, 3rd Floor New Rochelle, NY 10801 USA&lt;/publisher&gt;&lt;type&gt;-100&lt;/type&gt;&lt;/publication&gt;&lt;/bundle&gt;&lt;authors&gt;&lt;author&gt;&lt;lastName&gt;Ferlatte&lt;/lastName&gt;&lt;firstName&gt;Olivier&lt;/firstName&gt;&lt;/author&gt;&lt;author&gt;&lt;lastName&gt;Hottes&lt;/lastName&gt;&lt;firstName&gt;Travis&lt;/firstName&gt;&lt;middleNames&gt;Salway&lt;/middleNames&gt;&lt;/author&gt;&lt;author&gt;&lt;lastName&gt;Trussler&lt;/lastName&gt;&lt;firstName&gt;Terry&lt;/firstName&gt;&lt;/author&gt;&lt;author&gt;&lt;lastName&gt;Marchand&lt;/lastName&gt;&lt;firstName&gt;Rick&lt;/firstName&gt;&lt;/author&gt;&lt;/authors&gt;&lt;/publication&gt;&lt;/publications&gt;&lt;cites&gt;&lt;/cites&gt;&lt;/citation&gt;</w:instrText>
      </w:r>
      <w:r w:rsidR="001D0171">
        <w:rPr>
          <w:lang w:val="en-CA"/>
        </w:rPr>
        <w:fldChar w:fldCharType="separate"/>
      </w:r>
      <w:r w:rsidR="00665A17">
        <w:t>(Ferlatte, Hottes, Trussler, &amp; Marchand, 2017; Hottes, Ferlatte, &amp; Gilbert, 2015; Meyer &amp; Wilson, 2009)</w:t>
      </w:r>
      <w:r w:rsidR="001D0171">
        <w:rPr>
          <w:lang w:val="en-CA"/>
        </w:rPr>
        <w:fldChar w:fldCharType="end"/>
      </w:r>
      <w:r w:rsidR="004E7711">
        <w:rPr>
          <w:lang w:val="en-CA"/>
        </w:rPr>
        <w:t>.</w:t>
      </w:r>
      <w:r w:rsidR="006F76A8">
        <w:rPr>
          <w:lang w:val="en-CA"/>
        </w:rPr>
        <w:t xml:space="preserve"> </w:t>
      </w:r>
      <w:r w:rsidR="00E17B64">
        <w:rPr>
          <w:lang w:val="en-CA"/>
        </w:rPr>
        <w:t>There is a dearth of research into mental health outcomes for bisexual populations that have both disaggregated bise</w:t>
      </w:r>
      <w:r w:rsidR="00006B40">
        <w:rPr>
          <w:lang w:val="en-CA"/>
        </w:rPr>
        <w:t>xual from gay/lesbian</w:t>
      </w:r>
      <w:r w:rsidR="001C4A7B">
        <w:rPr>
          <w:lang w:val="en-CA"/>
        </w:rPr>
        <w:t xml:space="preserve"> groups</w:t>
      </w:r>
      <w:r w:rsidR="00721FA5">
        <w:rPr>
          <w:lang w:val="en-CA"/>
        </w:rPr>
        <w:t xml:space="preserve"> </w:t>
      </w:r>
      <w:r w:rsidR="00E17B64">
        <w:rPr>
          <w:lang w:val="en-CA"/>
        </w:rPr>
        <w:t>and looked at men and women separately.</w:t>
      </w:r>
      <w:r w:rsidR="00ED33AA" w:rsidRPr="00ED33AA">
        <w:rPr>
          <w:lang w:val="en-CA"/>
        </w:rPr>
        <w:t xml:space="preserve"> </w:t>
      </w:r>
      <w:r w:rsidR="00ED33AA">
        <w:rPr>
          <w:lang w:val="en-CA"/>
        </w:rPr>
        <w:t>A recent systematic review and meta-analysis of anxiety and depression prevalence among bisexual</w:t>
      </w:r>
      <w:r w:rsidR="00B82531">
        <w:rPr>
          <w:lang w:val="en-CA"/>
        </w:rPr>
        <w:t xml:space="preserve"> </w:t>
      </w:r>
      <w:r w:rsidR="0081552D">
        <w:rPr>
          <w:lang w:val="en-CA"/>
        </w:rPr>
        <w:t>people</w:t>
      </w:r>
      <w:r w:rsidR="00ED33AA">
        <w:rPr>
          <w:lang w:val="en-CA"/>
        </w:rPr>
        <w:t xml:space="preserve"> found only eight studies that had disaggregated bisexual men from women. In gender-specific meta-analysis, the same </w:t>
      </w:r>
      <w:r w:rsidR="007F2DF1">
        <w:rPr>
          <w:lang w:val="en-CA"/>
        </w:rPr>
        <w:t>review</w:t>
      </w:r>
      <w:r w:rsidR="00ED33AA">
        <w:rPr>
          <w:lang w:val="en-CA"/>
        </w:rPr>
        <w:t xml:space="preserve"> found elevated disparity for bi</w:t>
      </w:r>
      <w:r w:rsidR="002F50A5">
        <w:rPr>
          <w:lang w:val="en-CA"/>
        </w:rPr>
        <w:t>sexual</w:t>
      </w:r>
      <w:r w:rsidR="00ED33AA">
        <w:rPr>
          <w:lang w:val="en-CA"/>
        </w:rPr>
        <w:t xml:space="preserve"> compared </w:t>
      </w:r>
      <w:r w:rsidR="0008562C">
        <w:rPr>
          <w:lang w:val="en-CA"/>
        </w:rPr>
        <w:t>with</w:t>
      </w:r>
      <w:r w:rsidR="00ED33AA">
        <w:rPr>
          <w:lang w:val="en-CA"/>
        </w:rPr>
        <w:t xml:space="preserve"> both gay and heterosexual men, for both anxiety and depression </w:t>
      </w:r>
      <w:r w:rsidR="00ED33AA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&lt;citation&gt;&lt;priority&gt;0&lt;/priority&gt;&lt;uuid&gt;547756B5-1BE8-4316-99F4-9DCDB8C8C912&lt;/uuid&gt;&lt;publications&gt;&lt;publication&gt;&lt;subtype&gt;400&lt;/subtype&gt;&lt;title&gt;Prevalence of Depression and Anxiety Among Bisexual People Compared to Gay, Lesbian, and Heterosexual Individuals:A Systematic Review and Meta-Analysis.&lt;/title&gt;&lt;url&gt;https://www.tandfonline.com/doi/full/10.1080/00224499.2017.1387755&lt;/url&gt;&lt;volume&gt;5&lt;/volume&gt;&lt;publication_date&gt;99201711031200000000222000&lt;/publication_date&gt;&lt;uuid&gt;B246599F-AB52-435F-BD26-CB6681E27621&lt;/uuid&gt;&lt;version&gt;2&lt;/version&gt;&lt;type&gt;400&lt;/type&gt;&lt;number&gt;4&lt;/number&gt;&lt;doi&gt;10.1080/00224499.2017.1387755&lt;/doi&gt;&lt;institution&gt;a Dalla Lana School of Public Health , University of Toronto.&lt;/institution&gt;&lt;startpage&gt;1&lt;/startpage&gt;&lt;endpage&gt;22&lt;/endpage&gt;&lt;bundle&gt;&lt;publication&gt;&lt;title&gt;Journal of sex research&lt;/title&gt;&lt;uuid&gt;7B75E25B-4936-4AB3-83D0-03F19AF50EA5&lt;/uuid&gt;&lt;subtype&gt;-100&lt;/subtype&gt;&lt;publisher&gt; Taylor &amp;amp; Francis Group&lt;/publisher&gt;&lt;type&gt;-100&lt;/type&gt;&lt;/publication&gt;&lt;/bundle&gt;&lt;authors&gt;&lt;author&gt;&lt;lastName&gt;Ross&lt;/lastName&gt;&lt;firstName&gt;Lori&lt;/firstName&gt;&lt;middleNames&gt;E&lt;/middleNames&gt;&lt;/author&gt;&lt;author&gt;&lt;lastName&gt;Salway&lt;/lastName&gt;&lt;firstName&gt;Travis&lt;/firstName&gt;&lt;/author&gt;&lt;author&gt;&lt;lastName&gt;Tarasoff&lt;/lastName&gt;&lt;firstName&gt;Lesley&lt;/firstName&gt;&lt;middleNames&gt;A&lt;/middleNames&gt;&lt;/author&gt;&lt;author&gt;&lt;lastName&gt;MacKay&lt;/lastName&gt;&lt;firstName&gt;Jenna&lt;/firstName&gt;&lt;middleNames&gt;M&lt;/middleNames&gt;&lt;/author&gt;&lt;author&gt;&lt;lastName&gt;Hawkins&lt;/lastName&gt;&lt;firstName&gt;Blake&lt;/firstName&gt;&lt;middleNames&gt;W&lt;/middleNames&gt;&lt;/author&gt;&lt;author&gt;&lt;lastName&gt;Fehr&lt;/lastName&gt;&lt;firstName&gt;Charles&lt;/firstName&gt;&lt;middleNames&gt;P&lt;/middleNames&gt;&lt;/author&gt;&lt;/authors&gt;&lt;/publication&gt;&lt;/publications&gt;&lt;cites&gt;&lt;/cites&gt;&lt;/citation&gt;</w:instrText>
      </w:r>
      <w:r w:rsidR="00ED33AA">
        <w:rPr>
          <w:lang w:val="en-CA"/>
        </w:rPr>
        <w:fldChar w:fldCharType="separate"/>
      </w:r>
      <w:r w:rsidR="009362BA">
        <w:t>(Ross et al., 2017)</w:t>
      </w:r>
      <w:r w:rsidR="00ED33AA">
        <w:rPr>
          <w:lang w:val="en-CA"/>
        </w:rPr>
        <w:fldChar w:fldCharType="end"/>
      </w:r>
      <w:r w:rsidR="00ED33AA">
        <w:rPr>
          <w:lang w:val="en-CA"/>
        </w:rPr>
        <w:t xml:space="preserve">. </w:t>
      </w:r>
      <w:r w:rsidR="0083300C">
        <w:rPr>
          <w:lang w:val="en-CA"/>
        </w:rPr>
        <w:t>In addition to</w:t>
      </w:r>
      <w:r w:rsidR="0087309C">
        <w:rPr>
          <w:lang w:val="en-CA"/>
        </w:rPr>
        <w:t xml:space="preserve"> these difficulties is </w:t>
      </w:r>
      <w:r w:rsidR="0083300C">
        <w:rPr>
          <w:lang w:val="en-CA"/>
        </w:rPr>
        <w:t xml:space="preserve">the challenge of </w:t>
      </w:r>
      <w:r w:rsidR="0087309C">
        <w:rPr>
          <w:lang w:val="en-CA"/>
        </w:rPr>
        <w:t>inconsistent</w:t>
      </w:r>
      <w:r w:rsidR="00AF0520">
        <w:rPr>
          <w:lang w:val="en-CA"/>
        </w:rPr>
        <w:t xml:space="preserve"> sexual orientation measurement</w:t>
      </w:r>
      <w:r w:rsidR="004E300D">
        <w:rPr>
          <w:lang w:val="en-CA"/>
        </w:rPr>
        <w:t>,</w:t>
      </w:r>
      <w:r w:rsidR="006A2972">
        <w:rPr>
          <w:lang w:val="en-CA"/>
        </w:rPr>
        <w:t xml:space="preserve"> </w:t>
      </w:r>
      <w:r w:rsidR="00170599">
        <w:rPr>
          <w:lang w:val="en-CA"/>
        </w:rPr>
        <w:t xml:space="preserve">which </w:t>
      </w:r>
      <w:r w:rsidR="00E76BDE">
        <w:rPr>
          <w:lang w:val="en-CA"/>
        </w:rPr>
        <w:t>can alter</w:t>
      </w:r>
      <w:r w:rsidR="00301826">
        <w:rPr>
          <w:lang w:val="en-CA"/>
        </w:rPr>
        <w:t xml:space="preserve"> study sample</w:t>
      </w:r>
      <w:r w:rsidR="00E76BDE">
        <w:rPr>
          <w:lang w:val="en-CA"/>
        </w:rPr>
        <w:t>s</w:t>
      </w:r>
      <w:r w:rsidR="00301826">
        <w:rPr>
          <w:lang w:val="en-CA"/>
        </w:rPr>
        <w:t xml:space="preserve"> and makes comparisons between studies </w:t>
      </w:r>
      <w:r w:rsidR="006D2678">
        <w:rPr>
          <w:lang w:val="en-CA"/>
        </w:rPr>
        <w:t>challenging</w:t>
      </w:r>
      <w:r w:rsidR="00AF0520">
        <w:rPr>
          <w:lang w:val="en-CA"/>
        </w:rPr>
        <w:t xml:space="preserve">. </w:t>
      </w:r>
    </w:p>
    <w:p w14:paraId="7A1F06FD" w14:textId="4E89E924" w:rsidR="00356651" w:rsidRDefault="00BD43CE" w:rsidP="00AD22C6">
      <w:pPr>
        <w:spacing w:line="480" w:lineRule="auto"/>
        <w:ind w:firstLine="360"/>
        <w:rPr>
          <w:lang w:val="en-CA"/>
        </w:rPr>
      </w:pPr>
      <w:r>
        <w:rPr>
          <w:lang w:val="en-CA"/>
        </w:rPr>
        <w:t>Sexual orientation</w:t>
      </w:r>
      <w:r w:rsidR="00D75607">
        <w:rPr>
          <w:lang w:val="en-CA"/>
        </w:rPr>
        <w:t xml:space="preserve"> is conceptua</w:t>
      </w:r>
      <w:r w:rsidR="004042F9">
        <w:rPr>
          <w:lang w:val="en-CA"/>
        </w:rPr>
        <w:t>lized as a three part construct</w:t>
      </w:r>
      <w:r w:rsidR="00D75607">
        <w:rPr>
          <w:lang w:val="en-CA"/>
        </w:rPr>
        <w:t xml:space="preserve"> consisting of identity, behavior and attraction </w:t>
      </w:r>
      <w:r w:rsidR="00617620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&lt;citation&gt;&lt;priority&gt;0&lt;/priority&gt;&lt;uuid&gt;02C5064B-FE26-48F0-AF9C-290748537401&lt;/uuid&gt;&lt;publications&gt;&lt;publication&gt;&lt;subtype&gt;0&lt;/subtype&gt;&lt;place&gt;Chicago, IL&lt;/place&gt;&lt;publisher&gt;University of Chicago Press&lt;/publisher&gt;&lt;title&gt;The Social Organization of Sexuality&lt;/title&gt;&lt;url&gt;https://books.google.ca/books/about/The_Social_Organization_of_Sexuality.html?id=3RbyuQAYsdMC&lt;/url&gt;&lt;publication_date&gt;99199400001200000000200000&lt;/publication_date&gt;&lt;uuid&gt;BDF27A6A-62C2-4D56-8ABE-8B4EC3959ED6&lt;/uuid&gt;&lt;type&gt;0&lt;/type&gt;&lt;subtitle&gt;Sexual Practices in the United States&lt;/subtitle&gt;&lt;institution&gt;University of Chicago&lt;/institution&gt;&lt;authors&gt;&lt;author&gt;&lt;lastName&gt;Laumann&lt;/lastName&gt;&lt;firstName&gt;Edward&lt;/firstName&gt;&lt;middleNames&gt;O&lt;/middleNames&gt;&lt;/author&gt;&lt;author&gt;&lt;lastName&gt;Gagnon&lt;/lastName&gt;&lt;firstName&gt;John&lt;/firstName&gt;&lt;middleNames&gt;H&lt;/middleNames&gt;&lt;/author&gt;&lt;author&gt;&lt;lastName&gt;Michael&lt;/lastName&gt;&lt;firstName&gt;Robert&lt;/firstName&gt;&lt;middleNames&gt;T&lt;/middleNames&gt;&lt;/author&gt;&lt;author&gt;&lt;lastName&gt;Michaels&lt;/lastName&gt;&lt;firstName&gt;Stuart&lt;/firstName&gt;&lt;/author&gt;&lt;/authors&gt;&lt;/publication&gt;&lt;publication&gt;&lt;subtype&gt;400&lt;/subtype&gt;&lt;place&gt;Washington (DC)&lt;/place&gt;&lt;publisher&gt;National Academies Press (US)&lt;/publisher&gt;&lt;title&gt;The Health of Lesbian, Gay, Bisexual, and Transgender People: Building a Foundation for Better Understanding&lt;/title&gt;&lt;url&gt;https://www.nap.edu/catalog/13128/the-health-of-lesbian-gay-bisexual-and-transgender-people-building&lt;/url&gt;&lt;publication_date&gt;99201100001200000000200000&lt;/publication_date&gt;&lt;uuid&gt;C6899BBF-A16A-4BE1-A501-8ABB33108175&lt;/uuid&gt;&lt;type&gt;400&lt;/type&gt;&lt;citekey&gt;InstituteofMedicine:2011cf&lt;/citekey&gt;&lt;subtitle&gt;The National Academies Collection: Reports funded by National Institutes of Health&lt;/subtitle&gt;&lt;doi&gt;10.17226/13128&lt;/doi&gt;&lt;authors&gt;&lt;author&gt;&lt;lastName&gt;IOM (Institute of Medicine)&lt;/lastName&gt;&lt;/author&gt;&lt;/authors&gt;&lt;/publication&gt;&lt;/publications&gt;&lt;cites&gt;&lt;/cites&gt;&lt;/citation&gt;</w:instrText>
      </w:r>
      <w:r w:rsidR="00617620">
        <w:rPr>
          <w:lang w:val="en-CA"/>
        </w:rPr>
        <w:fldChar w:fldCharType="separate"/>
      </w:r>
      <w:r w:rsidR="00853A84">
        <w:rPr>
          <w:rFonts w:eastAsiaTheme="minorHAnsi"/>
        </w:rPr>
        <w:t>(IOM (Institute of Medicine), 2011; Laumann, Gagnon, Michael, &amp; Michaels, 1994)</w:t>
      </w:r>
      <w:r w:rsidR="00617620">
        <w:rPr>
          <w:lang w:val="en-CA"/>
        </w:rPr>
        <w:fldChar w:fldCharType="end"/>
      </w:r>
      <w:r w:rsidR="00D36F71">
        <w:rPr>
          <w:lang w:val="en-CA"/>
        </w:rPr>
        <w:t xml:space="preserve">. </w:t>
      </w:r>
      <w:r w:rsidR="00D127B7">
        <w:rPr>
          <w:lang w:val="en-CA"/>
        </w:rPr>
        <w:t>M</w:t>
      </w:r>
      <w:r w:rsidR="000F52DE" w:rsidRPr="00EC1351">
        <w:rPr>
          <w:lang w:val="en-CA"/>
        </w:rPr>
        <w:t xml:space="preserve">ost epidemiological surveillance and health research </w:t>
      </w:r>
      <w:r w:rsidR="00DA0FFB">
        <w:rPr>
          <w:lang w:val="en-CA"/>
        </w:rPr>
        <w:t>employs measurement of</w:t>
      </w:r>
      <w:r w:rsidR="000F52DE" w:rsidRPr="00EC1351">
        <w:rPr>
          <w:lang w:val="en-CA"/>
        </w:rPr>
        <w:t xml:space="preserve"> only one construct, often a </w:t>
      </w:r>
      <w:r w:rsidR="00B816DB">
        <w:rPr>
          <w:lang w:val="en-CA"/>
        </w:rPr>
        <w:t>behavior</w:t>
      </w:r>
      <w:r w:rsidR="000F52DE" w:rsidRPr="00EC1351">
        <w:rPr>
          <w:lang w:val="en-CA"/>
        </w:rPr>
        <w:t xml:space="preserve">al </w:t>
      </w:r>
      <w:r w:rsidR="00463BEC">
        <w:rPr>
          <w:lang w:val="en-CA"/>
        </w:rPr>
        <w:t>measure</w:t>
      </w:r>
      <w:r w:rsidR="000F52DE">
        <w:rPr>
          <w:lang w:val="en-CA"/>
        </w:rPr>
        <w:t xml:space="preserve"> in </w:t>
      </w:r>
      <w:r w:rsidR="006A4A5F">
        <w:rPr>
          <w:lang w:val="en-CA"/>
        </w:rPr>
        <w:t>men who have sex with men (</w:t>
      </w:r>
      <w:r w:rsidR="000F52DE">
        <w:rPr>
          <w:lang w:val="en-CA"/>
        </w:rPr>
        <w:t>MSM</w:t>
      </w:r>
      <w:r w:rsidR="006A4A5F">
        <w:rPr>
          <w:lang w:val="en-CA"/>
        </w:rPr>
        <w:t>)</w:t>
      </w:r>
      <w:r w:rsidR="000F52DE">
        <w:rPr>
          <w:lang w:val="en-CA"/>
        </w:rPr>
        <w:t xml:space="preserve"> and HIV research</w:t>
      </w:r>
      <w:r w:rsidR="00D36F71">
        <w:rPr>
          <w:lang w:val="en-CA"/>
        </w:rPr>
        <w:t>.</w:t>
      </w:r>
      <w:r w:rsidR="00D127B7">
        <w:rPr>
          <w:lang w:val="en-CA"/>
        </w:rPr>
        <w:t xml:space="preserve"> </w:t>
      </w:r>
      <w:r w:rsidR="00F60C43">
        <w:rPr>
          <w:lang w:val="en-CA"/>
        </w:rPr>
        <w:t xml:space="preserve">In the above </w:t>
      </w:r>
      <w:r w:rsidR="005D2B94">
        <w:rPr>
          <w:lang w:val="en-CA"/>
        </w:rPr>
        <w:t>referenced</w:t>
      </w:r>
      <w:r w:rsidR="00F60C43">
        <w:rPr>
          <w:lang w:val="en-CA"/>
        </w:rPr>
        <w:t xml:space="preserve"> </w:t>
      </w:r>
      <w:r w:rsidR="00666777">
        <w:rPr>
          <w:lang w:val="en-CA"/>
        </w:rPr>
        <w:t xml:space="preserve">systematic </w:t>
      </w:r>
      <w:r w:rsidR="00F60C43">
        <w:rPr>
          <w:lang w:val="en-CA"/>
        </w:rPr>
        <w:t xml:space="preserve">review, </w:t>
      </w:r>
      <w:r w:rsidR="00950CC3">
        <w:rPr>
          <w:lang w:val="en-CA"/>
        </w:rPr>
        <w:t>the study team</w:t>
      </w:r>
      <w:r w:rsidR="00F350B6">
        <w:rPr>
          <w:lang w:val="en-CA"/>
        </w:rPr>
        <w:t xml:space="preserve"> </w:t>
      </w:r>
      <w:r w:rsidR="00F60C43">
        <w:rPr>
          <w:lang w:val="en-CA"/>
        </w:rPr>
        <w:t xml:space="preserve">found that the majority of studies </w:t>
      </w:r>
      <w:r w:rsidR="00F60C43">
        <w:rPr>
          <w:lang w:val="en-CA"/>
        </w:rPr>
        <w:lastRenderedPageBreak/>
        <w:t>investigating anxiety and depression among bisexual populations used an identity measure (78.8%), 13.5% an attraction measure</w:t>
      </w:r>
      <w:r w:rsidR="00034F01">
        <w:rPr>
          <w:lang w:val="en-CA"/>
        </w:rPr>
        <w:t>,</w:t>
      </w:r>
      <w:r w:rsidR="00F60C43">
        <w:rPr>
          <w:lang w:val="en-CA"/>
        </w:rPr>
        <w:t xml:space="preserve"> and 7.7% </w:t>
      </w:r>
      <w:r w:rsidR="00935A52">
        <w:rPr>
          <w:lang w:val="en-CA"/>
        </w:rPr>
        <w:t xml:space="preserve">a </w:t>
      </w:r>
      <w:r w:rsidR="00F60C43">
        <w:rPr>
          <w:lang w:val="en-CA"/>
        </w:rPr>
        <w:t>behavior</w:t>
      </w:r>
      <w:r w:rsidR="00935A52">
        <w:rPr>
          <w:lang w:val="en-CA"/>
        </w:rPr>
        <w:t xml:space="preserve"> measure</w:t>
      </w:r>
      <w:r w:rsidR="00950CC3">
        <w:rPr>
          <w:lang w:val="en-CA"/>
        </w:rPr>
        <w:t xml:space="preserve"> </w:t>
      </w:r>
      <w:r w:rsidR="00950CC3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&lt;citation&gt;&lt;priority&gt;0&lt;/priority&gt;&lt;uuid&gt;79D27F98-F2A3-4FED-A77C-77F1B2832E91&lt;/uuid&gt;&lt;publications&gt;&lt;publication&gt;&lt;subtype&gt;400&lt;/subtype&gt;&lt;title&gt;Prevalence of Depression and Anxiety Among Bisexual People Compared to Gay, Lesbian, and Heterosexual Individuals:A Systematic Review and Meta-Analysis.&lt;/title&gt;&lt;url&gt;https://www.tandfonline.com/doi/full/10.1080/00224499.2017.1387755&lt;/url&gt;&lt;volume&gt;5&lt;/volume&gt;&lt;publication_date&gt;99201711031200000000222000&lt;/publication_date&gt;&lt;uuid&gt;B246599F-AB52-435F-BD26-CB6681E27621&lt;/uuid&gt;&lt;version&gt;2&lt;/version&gt;&lt;type&gt;400&lt;/type&gt;&lt;number&gt;4&lt;/number&gt;&lt;doi&gt;10.1080/00224499.2017.1387755&lt;/doi&gt;&lt;institution&gt;a Dalla Lana School of Public Health , University of Toronto.&lt;/institution&gt;&lt;startpage&gt;1&lt;/startpage&gt;&lt;endpage&gt;22&lt;/endpage&gt;&lt;bundle&gt;&lt;publication&gt;&lt;title&gt;Journal of sex research&lt;/title&gt;&lt;uuid&gt;7B75E25B-4936-4AB3-83D0-03F19AF50EA5&lt;/uuid&gt;&lt;subtype&gt;-100&lt;/subtype&gt;&lt;publisher&gt; Taylor &amp;amp; Francis Group&lt;/publisher&gt;&lt;type&gt;-100&lt;/type&gt;&lt;/publication&gt;&lt;/bundle&gt;&lt;authors&gt;&lt;author&gt;&lt;lastName&gt;Ross&lt;/lastName&gt;&lt;firstName&gt;Lori&lt;/firstName&gt;&lt;middleNames&gt;E&lt;/middleNames&gt;&lt;/author&gt;&lt;author&gt;&lt;lastName&gt;Salway&lt;/lastName&gt;&lt;firstName&gt;Travis&lt;/firstName&gt;&lt;/author&gt;&lt;author&gt;&lt;lastName&gt;Tarasoff&lt;/lastName&gt;&lt;firstName&gt;Lesley&lt;/firstName&gt;&lt;middleNames&gt;A&lt;/middleNames&gt;&lt;/author&gt;&lt;author&gt;&lt;lastName&gt;MacKay&lt;/lastName&gt;&lt;firstName&gt;Jenna&lt;/firstName&gt;&lt;middleNames&gt;M&lt;/middleNames&gt;&lt;/author&gt;&lt;author&gt;&lt;lastName&gt;Hawkins&lt;/lastName&gt;&lt;firstName&gt;Blake&lt;/firstName&gt;&lt;middleNames&gt;W&lt;/middleNames&gt;&lt;/author&gt;&lt;author&gt;&lt;lastName&gt;Fehr&lt;/lastName&gt;&lt;firstName&gt;Charles&lt;/firstName&gt;&lt;middleNames&gt;P&lt;/middleNames&gt;&lt;/author&gt;&lt;/authors&gt;&lt;/publication&gt;&lt;/publications&gt;&lt;cites&gt;&lt;/cites&gt;&lt;/citation&gt;</w:instrText>
      </w:r>
      <w:r w:rsidR="00950CC3">
        <w:rPr>
          <w:lang w:val="en-CA"/>
        </w:rPr>
        <w:fldChar w:fldCharType="separate"/>
      </w:r>
      <w:r w:rsidR="00950CC3">
        <w:t>(Ross et al., 2017)</w:t>
      </w:r>
      <w:r w:rsidR="00950CC3">
        <w:rPr>
          <w:lang w:val="en-CA"/>
        </w:rPr>
        <w:fldChar w:fldCharType="end"/>
      </w:r>
      <w:r w:rsidR="00F60C43">
        <w:rPr>
          <w:lang w:val="en-CA"/>
        </w:rPr>
        <w:t xml:space="preserve">. </w:t>
      </w:r>
      <w:r w:rsidR="00D127B7">
        <w:rPr>
          <w:lang w:val="en-CA"/>
        </w:rPr>
        <w:t>While there is a growing body of literature examining the impact of sexual orientation measure</w:t>
      </w:r>
      <w:r w:rsidR="00614C03">
        <w:rPr>
          <w:lang w:val="en-CA"/>
        </w:rPr>
        <w:t>ment</w:t>
      </w:r>
      <w:r w:rsidR="00D127B7">
        <w:rPr>
          <w:lang w:val="en-CA"/>
        </w:rPr>
        <w:t xml:space="preserve"> on health outcomes </w:t>
      </w:r>
      <w:r w:rsidR="000E4F91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&lt;citation&gt;&lt;priority&gt;0&lt;/priority&gt;&lt;uuid&gt;CE0D9FF2-37D0-4394-A21E-A11CE24E1A1D&lt;/uuid&gt;&lt;publications&gt;&lt;publication&gt;&lt;subtype&gt;400&lt;/subtype&gt;&lt;publisher&gt;Rutgers University Piscataway, NJ&lt;/publisher&gt;&lt;title&gt;Assessment of difference in dimensions of sexual orientation: implications for substance use research in a college-age population.&lt;/title&gt;&lt;url&gt;http://www.jsad.com/doi/abs/10.15288/jsa.2005.66.620&lt;/url&gt;&lt;publication_date&gt;99201501041200000000222000&lt;/publication_date&gt;&lt;uuid&gt;1A349E80-B3C8-40CF-997A-201649A09564&lt;/uuid&gt;&lt;type&gt;400&lt;/type&gt;&lt;doi&gt;10.15288/jsa.2005.66.620&lt;/doi&gt;&lt;bundle&gt;&lt;publication&gt;&lt;title&gt;Journal of studies on alcohol&lt;/title&gt;&lt;uuid&gt;E7D239D7-B955-4C77-BD99-F1F7B83482BF&lt;/uuid&gt;&lt;subtype&gt;-100&lt;/subtype&gt;&lt;publisher&gt;Rutgers University Piscataway, NJ&lt;/publisher&gt;&lt;type&gt;-100&lt;/type&gt;&lt;/publication&gt;&lt;/bundle&gt;&lt;authors&gt;&lt;author&gt;&lt;lastName&gt;McCabe&lt;/lastName&gt;&lt;firstName&gt;Sean&lt;/firstName&gt;&lt;middleNames&gt;Esteban&lt;/middleNames&gt;&lt;/author&gt;&lt;author&gt;&lt;lastName&gt;Hughes&lt;/lastName&gt;&lt;firstName&gt;Tonda&lt;/firstName&gt;&lt;middleNames&gt;L&lt;/middleNames&gt;&lt;/author&gt;&lt;author&gt;&lt;lastName&gt;Bostwick&lt;/lastName&gt;&lt;firstName&gt;Wendy&lt;/firstName&gt;&lt;/author&gt;&lt;author&gt;&lt;lastName&gt;Boyd&lt;/lastName&gt;&lt;firstName&gt;Carol&lt;/firstName&gt;&lt;middleNames&gt;J&lt;/middleNames&gt;&lt;/author&gt;&lt;/authors&gt;&lt;/publication&gt;&lt;publication&gt;&lt;subtype&gt;400&lt;/subtype&gt;&lt;title&gt;Sexual orientation and alcohol use: Identity versus behavior measures&lt;/title&gt;&lt;url&gt;http://www.tandfonline.com/doi/abs/10.1300/J463v03n01_04&lt;/url&gt;&lt;volume&gt;3&lt;/volume&gt;&lt;publication_date&gt;99200700001200000000200000&lt;/publication_date&gt;&lt;uuid&gt;0B23DA63-B368-444F-998F-0E1BA2BAA361&lt;/uuid&gt;&lt;type&gt;400&lt;/type&gt;&lt;number&gt;1&lt;/number&gt;&lt;doi&gt;10.1300/J463v03n01_04&lt;/doi&gt;&lt;startpage&gt;25&lt;/startpage&gt;&lt;endpage&gt;35&lt;/endpage&gt;&lt;bundle&gt;&lt;publication&gt;&lt;title&gt;Journal of LGBT Health Research&lt;/title&gt;&lt;uuid&gt;CBDABD6C-C790-4EDB-9B40-9C5DD1C0F9EC&lt;/uuid&gt;&lt;subtype&gt;-100&lt;/subtype&gt;&lt;type&gt;-100&lt;/type&gt;&lt;/publication&gt;&lt;/bundle&gt;&lt;authors&gt;&lt;author&gt;&lt;lastName&gt;Midanik&lt;/lastName&gt;&lt;firstName&gt;L&lt;/firstName&gt;&lt;middleNames&gt;T&lt;/middleNames&gt;&lt;/author&gt;&lt;author&gt;&lt;lastName&gt;Drabble&lt;/lastName&gt;&lt;firstName&gt;L&lt;/firstName&gt;&lt;/author&gt;&lt;author&gt;&lt;lastName&gt;Trocki&lt;/lastName&gt;&lt;firstName&gt;K&lt;/firstName&gt;&lt;/author&gt;&lt;/authors&gt;&lt;/publication&gt;&lt;publication&gt;&lt;subtype&gt;400&lt;/subtype&gt;&lt;publisher&gt; Taylor &amp;amp; Francis Group&lt;/publisher&gt;&lt;title&gt;Self-Reported Sexual Identity, Sexual Behaviors and Health Risks&lt;/title&gt;&lt;url&gt;http://www.tandfonline.com/doi/abs/10.1300/J155v07n01_05&lt;/url&gt;&lt;volume&gt;7&lt;/volume&gt;&lt;publication_date&gt;99200809221200000000222000&lt;/publication_date&gt;&lt;uuid&gt;FB765751-084E-48FC-9FBC-4A0E5EF2C0F2&lt;/uuid&gt;&lt;type&gt;400&lt;/type&gt;&lt;number&gt;1&lt;/number&gt;&lt;subtitle&gt;Examples from a Population-Based Survey of Young Women&lt;/subtitle&gt;&lt;doi&gt;10.1300/J155v07n01_05&lt;/doi&gt;&lt;startpage&gt;69&lt;/startpage&gt;&lt;endpage&gt;83&lt;/endpage&gt;&lt;bundle&gt;&lt;publication&gt;&lt;title&gt;Journal of Lesbian Studies&lt;/title&gt;&lt;uuid&gt;1B7F59AC-0902-4FFA-B629-5A9178680889&lt;/uuid&gt;&lt;subtype&gt;-100&lt;/subtype&gt;&lt;publisher&gt; Taylor &amp;amp; Francis Group&lt;/publisher&gt;&lt;type&gt;-100&lt;/type&gt;&lt;/publication&gt;&lt;/bundle&gt;&lt;authors&gt;&lt;author&gt;&lt;lastName&gt;Scheer&lt;/lastName&gt;&lt;firstName&gt;S&lt;/firstName&gt;&lt;/author&gt;&lt;author&gt;&lt;lastName&gt;Parks&lt;/lastName&gt;&lt;firstName&gt;CA&lt;/firstName&gt;&lt;/author&gt;&lt;author&gt;&lt;lastName&gt;McFarland&lt;/lastName&gt;&lt;firstName&gt;W&lt;/firstName&gt;&lt;/author&gt;&lt;author&gt;&lt;lastName&gt;Page-Shafer&lt;/lastName&gt;&lt;firstName&gt;K&lt;/firstName&gt;&lt;/author&gt;&lt;author&gt;&lt;lastName&gt;Delgado&lt;/lastName&gt;&lt;firstName&gt;V&lt;/firstName&gt;&lt;/author&gt;&lt;author&gt;&lt;lastName&gt;Ruiz&lt;/lastName&gt;&lt;firstName&gt;JD&lt;/firstName&gt;&lt;/author&gt;&lt;author&gt;&lt;lastName&gt;Molitor&lt;/lastName&gt;&lt;firstName&gt;F&lt;/firstName&gt;&lt;/author&gt;&lt;author&gt;&lt;lastName&gt;Klausner&lt;/lastName&gt;&lt;firstName&gt;JD&lt;/firstName&gt;&lt;/author&gt;&lt;/authors&gt;&lt;/publication&gt;&lt;publication&gt;&lt;subtype&gt;400&lt;/subtype&gt;&lt;title&gt;The problem with ‘behavioral bisexuality': Assessing sexual orientation in survey research&lt;/title&gt;&lt;url&gt;http://www-tandfonline-com.ezproxy.library.ubc.ca/doi/abs/10.1080/15299716.2013.782260&lt;/url&gt;&lt;volume&gt;13&lt;/volume&gt;&lt;publication_date&gt;99201304241200000000222000&lt;/publication_date&gt;&lt;uuid&gt;60999C3B-B38B-4F05-B2D2-9EDE5B4CF70D&lt;/uuid&gt;&lt;type&gt;400&lt;/type&gt;&lt;number&gt;2&lt;/number&gt;&lt;citekey&gt;Bauer:2013gb&lt;/citekey&gt;&lt;doi&gt;10.1080/15299716.2013.782260&lt;/doi&gt;&lt;startpage&gt;148&lt;/startpage&gt;&lt;endpage&gt;165&lt;/endpage&gt;&lt;bundle&gt;&lt;publication&gt;&lt;title&gt;Journal of Bisexuality&lt;/title&gt;&lt;uuid&gt;8E83A83A-2FE2-48CD-A32E-7776EA126EA3&lt;/uuid&gt;&lt;subtype&gt;-100&lt;/subtype&gt;&lt;publisher&gt; Taylor &amp;amp; Francis Group&lt;/publisher&gt;&lt;type&gt;-100&lt;/type&gt;&lt;/publication&gt;&lt;/bundle&gt;&lt;authors&gt;&lt;author&gt;&lt;lastName&gt;Bauer&lt;/lastName&gt;&lt;firstName&gt;Greta&lt;/firstName&gt;&lt;middleNames&gt;R&lt;/middleNames&gt;&lt;/author&gt;&lt;author&gt;&lt;lastName&gt;Brennan&lt;/lastName&gt;&lt;firstName&gt;David&lt;/firstName&gt;&lt;middleNames&gt;J&lt;/middleNames&gt;&lt;/author&gt;&lt;/authors&gt;&lt;/publication&gt;&lt;publication&gt;&lt;subtype&gt;400&lt;/subtype&gt;&lt;publisher&gt;Springer US&lt;/publisher&gt;&lt;title&gt;The Relation Between Sexual Orientation and Suicide Attempts in Austria&lt;/title&gt;&lt;url&gt;http://link.springer.com/10.1007/s10508-009-9597-0&lt;/url&gt;&lt;volume&gt;39&lt;/volume&gt;&lt;publication_date&gt;99201002041200000000222000&lt;/publication_date&gt;&lt;uuid&gt;E6F080EB-613F-4996-A203-6E0653DDCEC9&lt;/uuid&gt;&lt;type&gt;400&lt;/type&gt;&lt;number&gt;6&lt;/number&gt;&lt;citekey&gt;Ploderl:2010hl&lt;/citekey&gt;&lt;doi&gt;10.1007/s10508-009-9597-0&lt;/doi&gt;&lt;startpage&gt;1403&lt;/startpage&gt;&lt;endpage&gt;1414&lt;/endpage&gt;&lt;bundle&gt;&lt;publication&gt;&lt;title&gt;Archives of Sexual Behavior&lt;/title&gt;&lt;uuid&gt;8C8360D5-136A-4702-969F-2292A1F9A1B1&lt;/uuid&gt;&lt;subtype&gt;-100&lt;/subtype&gt;&lt;publisher&gt;Springer, Dordrecht The Netherlands&lt;/publisher&gt;&lt;type&gt;-100&lt;/type&gt;&lt;/publication&gt;&lt;/bundle&gt;&lt;authors&gt;&lt;author&gt;&lt;lastName&gt;Plöderl&lt;/lastName&gt;&lt;firstName&gt;Martin&lt;/firstName&gt;&lt;/author&gt;&lt;author&gt;&lt;lastName&gt;Kralovec&lt;/lastName&gt;&lt;firstName&gt;Karl&lt;/firstName&gt;&lt;/author&gt;&lt;author&gt;&lt;lastName&gt;Fartacek&lt;/lastName&gt;&lt;firstName&gt;Reinhold&lt;/firstName&gt;&lt;/author&gt;&lt;/authors&gt;&lt;/publication&gt;&lt;publication&gt;&lt;subtype&gt;400&lt;/subtype&gt;&lt;title&gt;Are lesbians really women who have sex with women (WSW)? Methodological concerns in measuring sexual orientation in health research&lt;/title&gt;&lt;url&gt;http://www.tandfonline.com/doi/abs/10.1080/03630240802575120&lt;/url&gt;&lt;volume&gt;48&lt;/volume&gt;&lt;publication_date&gt;99200800001200000000200000&lt;/publication_date&gt;&lt;uuid&gt;DD4858E4-981E-41EA-A0E5-F316A1D4280E&lt;/uuid&gt;&lt;type&gt;400&lt;/type&gt;&lt;number&gt;4&lt;/number&gt;&lt;citekey&gt;Bauer:2008eh&lt;/citekey&gt;&lt;doi&gt;10.1080/03630240802575120&lt;/doi&gt;&lt;institution&gt;Schulich School of Medicine &amp;amp; Dentistry, University of Western Ontario, London, Ontario, Canada. greta.bauer@schulich.uwo.ca&lt;/institution&gt;&lt;startpage&gt;383&lt;/startpage&gt;&lt;endpage&gt;408&lt;/endpage&gt;&lt;bundle&gt;&lt;publication&gt;&lt;title&gt;Women &amp;amp; health&lt;/title&gt;&lt;uuid&gt;9D80D698-4816-489A-A7F8-D68489F184A3&lt;/uuid&gt;&lt;subtype&gt;-100&lt;/subtype&gt;&lt;publisher&gt; Taylor &amp;amp; Francis Group&lt;/publisher&gt;&lt;type&gt;-100&lt;/type&gt;&lt;/publication&gt;&lt;/bundle&gt;&lt;authors&gt;&lt;author&gt;&lt;lastName&gt;Bauer&lt;/lastName&gt;&lt;firstName&gt;Greta&lt;/firstName&gt;&lt;middleNames&gt;R&lt;/middleNames&gt;&lt;/author&gt;&lt;author&gt;&lt;lastName&gt;Jairam&lt;/lastName&gt;&lt;firstName&gt;Jennifer&lt;/firstName&gt;&lt;middleNames&gt;A&lt;/middleNames&gt;&lt;/author&gt;&lt;/authors&gt;&lt;/publication&gt;&lt;publication&gt;&lt;subtype&gt;400&lt;/subtype&gt;&lt;title&gt;Dimensions of sexual orientation and the prevalence of mood and anxiety disorders in the United States.&lt;/title&gt;&lt;url&gt;http://ajph.aphapublications.org/doi/10.2105/AJPH.2008.152942&lt;/url&gt;&lt;volume&gt;100&lt;/volume&gt;&lt;publication_date&gt;99201003001200000000220000&lt;/publication_date&gt;&lt;uuid&gt;89ECEF37-2723-4E3F-A1F0-AFE745A31C6A&lt;/uuid&gt;&lt;type&gt;400&lt;/type&gt;&lt;number&gt;3&lt;/number&gt;&lt;citekey&gt;Bostwick:2010gn&lt;/citekey&gt;&lt;doi&gt;10.2105/AJPH.2008.152942&lt;/doi&gt;&lt;institution&gt;Adler School of Professional Psychology, Chicago, IL, USA. wbostwick@niu.edu&lt;/institution&gt;&lt;startpage&gt;468&lt;/startpage&gt;&lt;endpage&gt;475&lt;/endpage&gt;&lt;bundle&gt;&lt;publication&gt;&lt;title&gt;American Journal of Public Health&lt;/title&gt;&lt;uuid&gt;8B76720C-F03E-40BB-BD52-4603335ECB97&lt;/uuid&gt;&lt;subtype&gt;-100&lt;/subtype&gt;&lt;publisher&gt;American Public Health Association&lt;/publisher&gt;&lt;type&gt;-100&lt;/type&gt;&lt;/publication&gt;&lt;/bundle&gt;&lt;authors&gt;&lt;author&gt;&lt;lastName&gt;Bostwick&lt;/lastName&gt;&lt;firstName&gt;Wendy&lt;/firstName&gt;&lt;middleNames&gt;B&lt;/middleNames&gt;&lt;/author&gt;&lt;author&gt;&lt;lastName&gt;Boyd&lt;/lastName&gt;&lt;firstName&gt;Carol&lt;/firstName&gt;&lt;middleNames&gt;J&lt;/middleNames&gt;&lt;/author&gt;&lt;author&gt;&lt;lastName&gt;Hughes&lt;/lastName&gt;&lt;firstName&gt;Tonda&lt;/firstName&gt;&lt;middleNames&gt;L&lt;/middleNames&gt;&lt;/author&gt;&lt;author&gt;&lt;lastName&gt;McCabe&lt;/lastName&gt;&lt;firstName&gt;Sean&lt;/firstName&gt;&lt;middleNames&gt;Esteban&lt;/middleNames&gt;&lt;/author&gt;&lt;/authors&gt;&lt;/publication&gt;&lt;publication&gt;&lt;subtype&gt;400&lt;/subtype&gt;&lt;title&gt;Sexual orientation, substance use behaviors and substance dependence in the United States.&lt;/title&gt;&lt;url&gt;http://doi.wiley.com/10.1111/j.1360-0443.2009.02596.x&lt;/url&gt;&lt;volume&gt;104&lt;/volume&gt;&lt;publication_date&gt;99200908001200000000220000&lt;/publication_date&gt;&lt;uuid&gt;D52D5576-F267-4EB3-B7B4-4043DC1FEB3F&lt;/uuid&gt;&lt;type&gt;400&lt;/type&gt;&lt;number&gt;8&lt;/number&gt;&lt;doi&gt;10.1111/j.1360-0443.2009.02596.x&lt;/doi&gt;&lt;institution&gt;Substance Abuse Research Center, Institute for Research on Women and Gender, University of Michigan, Ann Arbor, MI 48105-2194, USA.&lt;/institution&gt;&lt;startpage&gt;1333&lt;/startpage&gt;&lt;endpage&gt;1345&lt;/endpage&gt;&lt;bundle&gt;&lt;publication&gt;&lt;title&gt;Addiction (Abingdon, England)&lt;/title&gt;&lt;uuid&gt;9E8FBB6B-FCE2-41A8-B247-DFB13D349D12&lt;/uuid&gt;&lt;subtype&gt;-100&lt;/subtype&gt;&lt;publisher&gt;Blackwell Publishing Ltd&lt;/publisher&gt;&lt;type&gt;-100&lt;/type&gt;&lt;/publication&gt;&lt;/bundle&gt;&lt;authors&gt;&lt;author&gt;&lt;lastName&gt;McCabe&lt;/lastName&gt;&lt;firstName&gt;Sean&lt;/firstName&gt;&lt;middleNames&gt;Esteban&lt;/middleNames&gt;&lt;/author&gt;&lt;author&gt;&lt;lastName&gt;Hughes&lt;/lastName&gt;&lt;firstName&gt;Tonda&lt;/firstName&gt;&lt;middleNames&gt;L&lt;/middleNames&gt;&lt;/author&gt;&lt;author&gt;&lt;lastName&gt;Bostwick&lt;/lastName&gt;&lt;firstName&gt;Wendy&lt;/firstName&gt;&lt;middleNames&gt;B&lt;/middleNames&gt;&lt;/author&gt;&lt;author&gt;&lt;lastName&gt;West&lt;/lastName&gt;&lt;firstName&gt;Brady&lt;/firstName&gt;&lt;middleNames&gt;T&lt;/middleNames&gt;&lt;/author&gt;&lt;author&gt;&lt;lastName&gt;Boyd&lt;/lastName&gt;&lt;firstName&gt;Carol&lt;/firstName&gt;&lt;middleNames&gt;J&lt;/middleNames&gt;&lt;/author&gt;&lt;/authors&gt;&lt;/publication&gt;&lt;/publications&gt;&lt;cites&gt;&lt;/cites&gt;&lt;/citation&gt;</w:instrText>
      </w:r>
      <w:r w:rsidR="000E4F91">
        <w:rPr>
          <w:lang w:val="en-CA"/>
        </w:rPr>
        <w:fldChar w:fldCharType="separate"/>
      </w:r>
      <w:r w:rsidR="00895F6A">
        <w:t>(Bauer &amp; Brennan, 2013; Bauer &amp; Jairam, 2008; Bostwick et al., 2010; McCabe, Hughes, Bostwick, West, &amp; Boyd, 2009; McCabe, Hughes, Bostwick, &amp; Boyd, 2015; Midanik, Drabble, &amp; Trocki, 2007; Plöderl, Kralovec, &amp; Fartacek, 2010; Scheer et al., 2008)</w:t>
      </w:r>
      <w:r w:rsidR="000E4F91">
        <w:rPr>
          <w:lang w:val="en-CA"/>
        </w:rPr>
        <w:fldChar w:fldCharType="end"/>
      </w:r>
      <w:r w:rsidR="00D127B7">
        <w:rPr>
          <w:lang w:val="en-CA"/>
        </w:rPr>
        <w:t xml:space="preserve">, </w:t>
      </w:r>
      <w:r w:rsidR="00870040">
        <w:rPr>
          <w:lang w:val="en-CA"/>
        </w:rPr>
        <w:t>the</w:t>
      </w:r>
      <w:r w:rsidR="00F50B6A">
        <w:rPr>
          <w:lang w:val="en-CA"/>
        </w:rPr>
        <w:t xml:space="preserve"> literature </w:t>
      </w:r>
      <w:r w:rsidR="00211C1A">
        <w:rPr>
          <w:lang w:val="en-CA"/>
        </w:rPr>
        <w:t xml:space="preserve">specifically </w:t>
      </w:r>
      <w:r w:rsidR="004F5E62">
        <w:rPr>
          <w:lang w:val="en-CA"/>
        </w:rPr>
        <w:t xml:space="preserve">investigating </w:t>
      </w:r>
      <w:r w:rsidR="00F50B6A">
        <w:rPr>
          <w:lang w:val="en-CA"/>
        </w:rPr>
        <w:t>the impact of sexual orientation dimension measurement on anxiety and depression among bisexual men</w:t>
      </w:r>
      <w:r w:rsidR="00381CD8">
        <w:rPr>
          <w:lang w:val="en-CA"/>
        </w:rPr>
        <w:t xml:space="preserve"> is limited</w:t>
      </w:r>
      <w:r w:rsidR="00F50B6A">
        <w:rPr>
          <w:lang w:val="en-CA"/>
        </w:rPr>
        <w:t xml:space="preserve">, particularly </w:t>
      </w:r>
      <w:r w:rsidR="0096513F">
        <w:rPr>
          <w:lang w:val="en-CA"/>
        </w:rPr>
        <w:t xml:space="preserve">that </w:t>
      </w:r>
      <w:r w:rsidR="00F50B6A">
        <w:rPr>
          <w:lang w:val="en-CA"/>
        </w:rPr>
        <w:t xml:space="preserve">using Canadian data. </w:t>
      </w:r>
      <w:r w:rsidR="00F902A1">
        <w:rPr>
          <w:lang w:val="en-CA"/>
        </w:rPr>
        <w:t xml:space="preserve"> </w:t>
      </w:r>
      <w:r w:rsidR="004961DD">
        <w:rPr>
          <w:lang w:val="en-CA"/>
        </w:rPr>
        <w:t>Canadian data is important as the environment of greater socio-legal support for sexual minorities in Canada</w:t>
      </w:r>
      <w:r w:rsidR="004811C2">
        <w:rPr>
          <w:lang w:val="en-CA"/>
        </w:rPr>
        <w:t xml:space="preserve"> </w:t>
      </w:r>
      <w:r w:rsidR="004811C2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&lt;citation&gt;&lt;priority&gt;0&lt;/priority&gt;&lt;uuid&gt;B60AB23A-F06B-47FB-8E05-3E95FB84E366&lt;/uuid&gt;&lt;publications&gt;&lt;publication&gt;&lt;subtype&gt;700&lt;/subtype&gt;&lt;title&gt;The Global Divide on Homosexuality&lt;/title&gt;&lt;url&gt;http://www.pewglobal.org/files/2013/06/Pew-Global-Attitudes-Homosexuality-Report-FINAL-JUNE-4-2013.pdf&lt;/url&gt;&lt;publication_date&gt;99201306041200000000222000&lt;/publication_date&gt;&lt;uuid&gt;CB82F53E-912B-4A7E-8F5F-64331A5CC032&lt;/uuid&gt;&lt;type&gt;700&lt;/type&gt;&lt;subtitle&gt;Greater Acceptance in More Secular and Affluent Countries&lt;/subtitle&gt;&lt;institution&gt;Pew Research Center&lt;/institution&gt;&lt;startpage&gt;1&lt;/startpage&gt;&lt;endpage&gt;26&lt;/endpage&gt;&lt;bundle&gt;&lt;publication&gt;&lt;title&gt;Pew Global Attitudes Project&lt;/title&gt;&lt;uuid&gt;6656AB70-6C63-47D1-8D8C-D1818E49808B&lt;/uuid&gt;&lt;subtype&gt;-100&lt;/subtype&gt;&lt;type&gt;-100&lt;/type&gt;&lt;/publication&gt;&lt;/bundle&gt;&lt;authors&gt;&lt;author&gt;&lt;lastName&gt;Pew Research Center&lt;/lastName&gt;&lt;/author&gt;&lt;/authors&gt;&lt;/publication&gt;&lt;publication&gt;&lt;subtype&gt;520&lt;/subtype&gt;&lt;place&gt;1st Session&lt;/place&gt;&lt;title&gt;Bill C-38: The Civil Marriage Act&lt;/title&gt;&lt;publication_date&gt;99200500001200000000200000&lt;/publication_date&gt;&lt;uuid&gt;3AB0F995-9D7C-4F31-9CD8-6751CEEEF607&lt;/uuid&gt;&lt;type&gt;500&lt;/type&gt;&lt;accepted_date&gt;99200500001200000000200000&lt;/accepted_date&gt;&lt;institution&gt;38th Parliament of Canada&lt;/institution&gt;&lt;authors&gt;&lt;author&gt;&lt;lastName&gt;38th Parliament of Canada&lt;/lastName&gt;&lt;/author&gt;&lt;/authors&gt;&lt;/publication&gt;&lt;/publications&gt;&lt;cites&gt;&lt;/cites&gt;&lt;/citation&gt;</w:instrText>
      </w:r>
      <w:r w:rsidR="004811C2">
        <w:rPr>
          <w:lang w:val="en-CA"/>
        </w:rPr>
        <w:fldChar w:fldCharType="separate"/>
      </w:r>
      <w:r w:rsidR="004811C2">
        <w:t>(38th Parliament of Canada, 2005; Pew Research Center, 2013)</w:t>
      </w:r>
      <w:r w:rsidR="004811C2">
        <w:rPr>
          <w:lang w:val="en-CA"/>
        </w:rPr>
        <w:fldChar w:fldCharType="end"/>
      </w:r>
      <w:r w:rsidR="004961DD">
        <w:rPr>
          <w:lang w:val="en-CA"/>
        </w:rPr>
        <w:t xml:space="preserve"> compared to the U</w:t>
      </w:r>
      <w:r w:rsidR="008E6010">
        <w:rPr>
          <w:lang w:val="en-CA"/>
        </w:rPr>
        <w:t>nited States</w:t>
      </w:r>
      <w:r w:rsidR="004961DD">
        <w:rPr>
          <w:lang w:val="en-CA"/>
        </w:rPr>
        <w:t xml:space="preserve"> may impact </w:t>
      </w:r>
      <w:r w:rsidR="004C2E6B">
        <w:rPr>
          <w:lang w:val="en-CA"/>
        </w:rPr>
        <w:t>cross-national</w:t>
      </w:r>
      <w:r w:rsidR="004961DD">
        <w:rPr>
          <w:lang w:val="en-CA"/>
        </w:rPr>
        <w:t xml:space="preserve"> differences in health outcomes such as mental health. </w:t>
      </w:r>
      <w:r w:rsidR="00340A67">
        <w:rPr>
          <w:lang w:val="en-CA"/>
        </w:rPr>
        <w:t>Further, there is a need to better understand how sexual orientation measurement may impact assessment of mental health burden among this vulnerable population.</w:t>
      </w:r>
      <w:r w:rsidR="0006647B">
        <w:rPr>
          <w:lang w:val="en-CA"/>
        </w:rPr>
        <w:t xml:space="preserve"> </w:t>
      </w:r>
    </w:p>
    <w:p w14:paraId="1F6F24D6" w14:textId="25BA3723" w:rsidR="004C3BAD" w:rsidRDefault="005D4D28" w:rsidP="00AD22C6">
      <w:pPr>
        <w:spacing w:line="480" w:lineRule="auto"/>
        <w:ind w:firstLine="360"/>
        <w:rPr>
          <w:lang w:val="en-CA"/>
        </w:rPr>
      </w:pPr>
      <w:r>
        <w:rPr>
          <w:lang w:val="en-CA"/>
        </w:rPr>
        <w:t xml:space="preserve">The </w:t>
      </w:r>
      <w:r w:rsidR="000A7DD6">
        <w:rPr>
          <w:lang w:val="en-CA"/>
        </w:rPr>
        <w:t xml:space="preserve">present </w:t>
      </w:r>
      <w:r w:rsidR="00A761B6">
        <w:rPr>
          <w:lang w:val="en-CA"/>
        </w:rPr>
        <w:t xml:space="preserve">study aimed to </w:t>
      </w:r>
      <w:r w:rsidR="00AE6D34">
        <w:rPr>
          <w:lang w:val="en-CA"/>
        </w:rPr>
        <w:t xml:space="preserve">extend current knowledge </w:t>
      </w:r>
      <w:r w:rsidR="001C3014">
        <w:rPr>
          <w:lang w:val="en-CA"/>
        </w:rPr>
        <w:t>on</w:t>
      </w:r>
      <w:r w:rsidR="00A761B6">
        <w:rPr>
          <w:lang w:val="en-CA"/>
        </w:rPr>
        <w:t xml:space="preserve"> mental health </w:t>
      </w:r>
      <w:r w:rsidR="001C3014">
        <w:rPr>
          <w:lang w:val="en-CA"/>
        </w:rPr>
        <w:t>for bisexual men</w:t>
      </w:r>
      <w:r w:rsidR="00A761B6">
        <w:rPr>
          <w:lang w:val="en-CA"/>
        </w:rPr>
        <w:t xml:space="preserve"> by addressing the </w:t>
      </w:r>
      <w:proofErr w:type="gramStart"/>
      <w:r w:rsidR="00A761B6">
        <w:rPr>
          <w:lang w:val="en-CA"/>
        </w:rPr>
        <w:t>above named</w:t>
      </w:r>
      <w:proofErr w:type="gramEnd"/>
      <w:r w:rsidR="00A761B6">
        <w:rPr>
          <w:lang w:val="en-CA"/>
        </w:rPr>
        <w:t xml:space="preserve"> challenges</w:t>
      </w:r>
      <w:r w:rsidR="00C25B79">
        <w:rPr>
          <w:lang w:val="en-CA"/>
        </w:rPr>
        <w:t xml:space="preserve"> in the existing literature</w:t>
      </w:r>
      <w:r w:rsidR="00A761B6">
        <w:rPr>
          <w:lang w:val="en-CA"/>
        </w:rPr>
        <w:t xml:space="preserve">, specifically: 1) inconsistent sexual orientation measurement, 2) </w:t>
      </w:r>
      <w:r w:rsidR="000D6CEB">
        <w:rPr>
          <w:lang w:val="en-CA"/>
        </w:rPr>
        <w:t>mixed gender samples</w:t>
      </w:r>
      <w:r w:rsidR="00F051EB">
        <w:rPr>
          <w:lang w:val="en-CA"/>
        </w:rPr>
        <w:t>, and</w:t>
      </w:r>
      <w:r w:rsidR="00A761B6">
        <w:rPr>
          <w:lang w:val="en-CA"/>
        </w:rPr>
        <w:t xml:space="preserve"> 3) </w:t>
      </w:r>
      <w:r w:rsidR="000D6CEB">
        <w:rPr>
          <w:lang w:val="en-CA"/>
        </w:rPr>
        <w:t xml:space="preserve">US-focused </w:t>
      </w:r>
      <w:r w:rsidR="00E21532">
        <w:rPr>
          <w:lang w:val="en-CA"/>
        </w:rPr>
        <w:t>studies</w:t>
      </w:r>
      <w:r w:rsidR="000D6CEB">
        <w:rPr>
          <w:lang w:val="en-CA"/>
        </w:rPr>
        <w:t>.</w:t>
      </w:r>
      <w:r w:rsidR="00A761B6">
        <w:rPr>
          <w:lang w:val="en-CA"/>
        </w:rPr>
        <w:t xml:space="preserve"> </w:t>
      </w:r>
      <w:r w:rsidR="00AD22C6">
        <w:rPr>
          <w:lang w:val="en-CA"/>
        </w:rPr>
        <w:t xml:space="preserve">Using cross-sectional data from a respondent-driven sampling recruited Canadian study of men who have sex with men that </w:t>
      </w:r>
      <w:r w:rsidR="0094044C">
        <w:rPr>
          <w:lang w:val="en-CA"/>
        </w:rPr>
        <w:t xml:space="preserve">included measures of </w:t>
      </w:r>
      <w:r w:rsidR="00AD22C6">
        <w:rPr>
          <w:lang w:val="en-CA"/>
        </w:rPr>
        <w:t xml:space="preserve">all three major sexual orientation dimensions, this study </w:t>
      </w:r>
      <w:r w:rsidR="00C52C56">
        <w:rPr>
          <w:lang w:val="en-CA"/>
        </w:rPr>
        <w:t>examined</w:t>
      </w:r>
      <w:r w:rsidR="00AD22C6" w:rsidRPr="00EC1351">
        <w:rPr>
          <w:lang w:val="en-CA"/>
        </w:rPr>
        <w:t xml:space="preserve"> anxiety and depression among </w:t>
      </w:r>
      <w:r w:rsidR="00AD22C6">
        <w:rPr>
          <w:lang w:val="en-CA"/>
        </w:rPr>
        <w:t>the sample</w:t>
      </w:r>
      <w:r w:rsidR="00AD22C6" w:rsidRPr="00EC1351">
        <w:rPr>
          <w:lang w:val="en-CA"/>
        </w:rPr>
        <w:t xml:space="preserve"> and investigated whether differences in mental health outcomes varied by sexual orientation measure.</w:t>
      </w:r>
      <w:r w:rsidR="00AD22C6">
        <w:rPr>
          <w:lang w:val="en-CA"/>
        </w:rPr>
        <w:t xml:space="preserve"> </w:t>
      </w:r>
    </w:p>
    <w:p w14:paraId="257B0242" w14:textId="77777777" w:rsidR="00AD22C6" w:rsidRPr="00AD22C6" w:rsidRDefault="00AD22C6" w:rsidP="00AD22C6">
      <w:pPr>
        <w:spacing w:line="480" w:lineRule="auto"/>
        <w:ind w:firstLine="360"/>
        <w:rPr>
          <w:lang w:val="en-CA"/>
        </w:rPr>
      </w:pPr>
    </w:p>
    <w:p w14:paraId="4362EA66" w14:textId="68BFAB6D" w:rsidR="00577CE7" w:rsidRDefault="00A637F0" w:rsidP="00B817AD">
      <w:pPr>
        <w:spacing w:line="480" w:lineRule="auto"/>
        <w:outlineLvl w:val="0"/>
        <w:rPr>
          <w:b/>
          <w:lang w:val="en-CA"/>
        </w:rPr>
      </w:pPr>
      <w:r w:rsidRPr="00EC1351">
        <w:rPr>
          <w:b/>
          <w:lang w:val="en-CA"/>
        </w:rPr>
        <w:t>Methods</w:t>
      </w:r>
    </w:p>
    <w:p w14:paraId="1C20569B" w14:textId="77777777" w:rsidR="0047039E" w:rsidRPr="0047039E" w:rsidRDefault="0047039E" w:rsidP="000058C6">
      <w:pPr>
        <w:spacing w:line="480" w:lineRule="auto"/>
        <w:rPr>
          <w:b/>
          <w:lang w:val="en-CA"/>
        </w:rPr>
      </w:pPr>
    </w:p>
    <w:p w14:paraId="6651350D" w14:textId="794900FA" w:rsidR="00050E7C" w:rsidRPr="00BA406E" w:rsidRDefault="00050E7C" w:rsidP="00B817AD">
      <w:pPr>
        <w:spacing w:line="480" w:lineRule="auto"/>
        <w:outlineLvl w:val="0"/>
        <w:rPr>
          <w:b/>
          <w:i/>
          <w:lang w:val="en-CA"/>
        </w:rPr>
      </w:pPr>
      <w:r w:rsidRPr="00BA406E">
        <w:rPr>
          <w:b/>
          <w:i/>
          <w:lang w:val="en-CA"/>
        </w:rPr>
        <w:lastRenderedPageBreak/>
        <w:t>Data source</w:t>
      </w:r>
    </w:p>
    <w:p w14:paraId="0A85A19D" w14:textId="7C12915D" w:rsidR="00050E7C" w:rsidRDefault="00660A34" w:rsidP="000058C6">
      <w:pPr>
        <w:spacing w:line="480" w:lineRule="auto"/>
        <w:rPr>
          <w:lang w:val="en-CA"/>
        </w:rPr>
      </w:pPr>
      <w:r>
        <w:rPr>
          <w:lang w:val="en-CA"/>
        </w:rPr>
        <w:t>Cross-sectional data for this study w</w:t>
      </w:r>
      <w:r w:rsidR="00001183">
        <w:rPr>
          <w:lang w:val="en-CA"/>
        </w:rPr>
        <w:t>ere</w:t>
      </w:r>
      <w:r w:rsidR="003A72BE">
        <w:rPr>
          <w:lang w:val="en-CA"/>
        </w:rPr>
        <w:t xml:space="preserve"> </w:t>
      </w:r>
      <w:r>
        <w:rPr>
          <w:lang w:val="en-CA"/>
        </w:rPr>
        <w:t>provided by the Momentum Health Study, a bio-</w:t>
      </w:r>
      <w:r w:rsidR="00B816DB">
        <w:rPr>
          <w:lang w:val="en-CA"/>
        </w:rPr>
        <w:t>behavior</w:t>
      </w:r>
      <w:r>
        <w:rPr>
          <w:lang w:val="en-CA"/>
        </w:rPr>
        <w:t xml:space="preserve">al </w:t>
      </w:r>
      <w:r w:rsidR="00D348F1">
        <w:rPr>
          <w:lang w:val="en-CA"/>
        </w:rPr>
        <w:t xml:space="preserve">HIV study </w:t>
      </w:r>
      <w:r>
        <w:rPr>
          <w:lang w:val="en-CA"/>
        </w:rPr>
        <w:t xml:space="preserve">of </w:t>
      </w:r>
      <w:r w:rsidR="008E7391">
        <w:rPr>
          <w:lang w:val="en-CA"/>
        </w:rPr>
        <w:t xml:space="preserve">cisgender and transgender </w:t>
      </w:r>
      <w:r>
        <w:rPr>
          <w:lang w:val="en-CA"/>
        </w:rPr>
        <w:t>men who have sex with men in Vancouver, Canada. Participants were recruited via respondent-driven sampling</w:t>
      </w:r>
      <w:r w:rsidR="00E7503D">
        <w:rPr>
          <w:lang w:val="en-CA"/>
        </w:rPr>
        <w:t xml:space="preserve"> (RDS)</w:t>
      </w:r>
      <w:r w:rsidR="00546198">
        <w:rPr>
          <w:lang w:val="en-CA"/>
        </w:rPr>
        <w:t>, a form of snowball sampling designed to produce more r</w:t>
      </w:r>
      <w:r w:rsidR="000A7DD6">
        <w:rPr>
          <w:lang w:val="en-CA"/>
        </w:rPr>
        <w:t>epresentative samples with hard-to-</w:t>
      </w:r>
      <w:r w:rsidR="00546198">
        <w:rPr>
          <w:lang w:val="en-CA"/>
        </w:rPr>
        <w:t>reach populations. Initially, key community members are selected as the first study participants or ‘seeds’ and subsequently recruit additional waves of study participants from within their social and sexual networks</w:t>
      </w:r>
      <w:r>
        <w:rPr>
          <w:lang w:val="en-CA"/>
        </w:rPr>
        <w:t xml:space="preserve"> </w:t>
      </w:r>
      <w:r w:rsidR="00B61C10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&lt;citation&gt;&lt;priority&gt;0&lt;/priority&gt;&lt;uuid&gt;69DD5E2C-220F-4500-9F8D-E9D34490B240&lt;/uuid&gt;&lt;publications&gt;&lt;publication&gt;&lt;subtype&gt;400&lt;/subtype&gt;&lt;title&gt;Respondent-Driven Sampling: A New Approach to the Study of Hidden Populations&lt;/title&gt;&lt;url&gt;http://www.jstor.org/stable/info/10.2307/3096941&lt;/url&gt;&lt;volume&gt;44&lt;/volume&gt;&lt;publication_date&gt;99199705001200000000220000&lt;/publication_date&gt;&lt;uuid&gt;CD1593D3-71CB-4A60-A186-90A2ABC04136&lt;/uuid&gt;&lt;type&gt;400&lt;/type&gt;&lt;number&gt;2&lt;/number&gt;&lt;citekey&gt;Heckathorn:1997iq&lt;/citekey&gt;&lt;doi&gt;10.2307/3096941&lt;/doi&gt;&lt;startpage&gt;174&lt;/startpage&gt;&lt;endpage&gt;199&lt;/endpage&gt;&lt;bundle&gt;&lt;publication&gt;&lt;title&gt;Social Problems&lt;/title&gt;&lt;uuid&gt;5AE92671-CBF6-4C37-81BF-AB29A537AD03&lt;/uuid&gt;&lt;subtype&gt;-100&lt;/subtype&gt;&lt;publisher&gt;The Oxford University Press&lt;/publisher&gt;&lt;type&gt;-100&lt;/type&gt;&lt;/publication&gt;&lt;/bundle&gt;&lt;authors&gt;&lt;author&gt;&lt;lastName&gt;Heckathorn&lt;/lastName&gt;&lt;firstName&gt;Douglas&lt;/firstName&gt;&lt;middleNames&gt;D&lt;/middleNames&gt;&lt;/author&gt;&lt;/authors&gt;&lt;/publication&gt;&lt;/publications&gt;&lt;cites&gt;&lt;/cites&gt;&lt;/citation&gt;</w:instrText>
      </w:r>
      <w:r w:rsidR="00B61C10">
        <w:rPr>
          <w:lang w:val="en-CA"/>
        </w:rPr>
        <w:fldChar w:fldCharType="separate"/>
      </w:r>
      <w:r w:rsidR="00C30053">
        <w:t>(Heckathorn, 1997)</w:t>
      </w:r>
      <w:r w:rsidR="00B61C10">
        <w:rPr>
          <w:lang w:val="en-CA"/>
        </w:rPr>
        <w:fldChar w:fldCharType="end"/>
      </w:r>
      <w:r w:rsidR="00183216">
        <w:rPr>
          <w:lang w:val="en-CA"/>
        </w:rPr>
        <w:t>.</w:t>
      </w:r>
      <w:r w:rsidR="00B61C10">
        <w:rPr>
          <w:lang w:val="en-CA"/>
        </w:rPr>
        <w:t xml:space="preserve"> </w:t>
      </w:r>
      <w:r w:rsidR="00546198">
        <w:rPr>
          <w:lang w:val="en-CA"/>
        </w:rPr>
        <w:t xml:space="preserve">Participants were enrolled </w:t>
      </w:r>
      <w:r w:rsidR="00B61C10">
        <w:rPr>
          <w:lang w:val="en-CA"/>
        </w:rPr>
        <w:t>between February 2012 and February 201</w:t>
      </w:r>
      <w:r w:rsidR="005B471A">
        <w:rPr>
          <w:lang w:val="en-CA"/>
        </w:rPr>
        <w:t>5</w:t>
      </w:r>
      <w:r w:rsidR="00FD3310">
        <w:rPr>
          <w:lang w:val="en-CA"/>
        </w:rPr>
        <w:t xml:space="preserve"> and provided study data via computer</w:t>
      </w:r>
      <w:r w:rsidR="00B94949">
        <w:rPr>
          <w:lang w:val="en-CA"/>
        </w:rPr>
        <w:t>-</w:t>
      </w:r>
      <w:r w:rsidR="00FD3310">
        <w:rPr>
          <w:lang w:val="en-CA"/>
        </w:rPr>
        <w:t>assisted self-interview (CASI)</w:t>
      </w:r>
      <w:r w:rsidR="00B61C10">
        <w:rPr>
          <w:lang w:val="en-CA"/>
        </w:rPr>
        <w:t xml:space="preserve">. </w:t>
      </w:r>
      <w:r w:rsidR="00E7503D">
        <w:rPr>
          <w:lang w:val="en-CA"/>
        </w:rPr>
        <w:t xml:space="preserve">Eligibility criteria included being aged 16 years or older, </w:t>
      </w:r>
      <w:r w:rsidR="00AE4151">
        <w:rPr>
          <w:lang w:val="en-CA"/>
        </w:rPr>
        <w:t>identif</w:t>
      </w:r>
      <w:r w:rsidR="004E51E7">
        <w:rPr>
          <w:lang w:val="en-CA"/>
        </w:rPr>
        <w:t>ying</w:t>
      </w:r>
      <w:r w:rsidR="00AE4151">
        <w:rPr>
          <w:lang w:val="en-CA"/>
        </w:rPr>
        <w:t xml:space="preserve"> as a man</w:t>
      </w:r>
      <w:r w:rsidR="00E7503D">
        <w:rPr>
          <w:lang w:val="en-CA"/>
        </w:rPr>
        <w:t>, reporting sex with other men</w:t>
      </w:r>
      <w:r w:rsidR="00716543">
        <w:rPr>
          <w:lang w:val="en-CA"/>
        </w:rPr>
        <w:t xml:space="preserve"> (regardless of sex with women)</w:t>
      </w:r>
      <w:r w:rsidR="00E7503D">
        <w:rPr>
          <w:lang w:val="en-CA"/>
        </w:rPr>
        <w:t xml:space="preserve"> in the 6 months prior to </w:t>
      </w:r>
      <w:r w:rsidR="004B5A5F">
        <w:rPr>
          <w:lang w:val="en-CA"/>
        </w:rPr>
        <w:t xml:space="preserve">the </w:t>
      </w:r>
      <w:r w:rsidR="00E7503D">
        <w:rPr>
          <w:lang w:val="en-CA"/>
        </w:rPr>
        <w:t>study visit, residing in Metro Vancouver, and</w:t>
      </w:r>
      <w:r w:rsidR="00056659">
        <w:rPr>
          <w:lang w:val="en-CA"/>
        </w:rPr>
        <w:t xml:space="preserve"> </w:t>
      </w:r>
      <w:r w:rsidR="00BF1BD6">
        <w:rPr>
          <w:lang w:val="en-CA"/>
        </w:rPr>
        <w:t xml:space="preserve">being </w:t>
      </w:r>
      <w:r w:rsidR="00E7503D">
        <w:rPr>
          <w:lang w:val="en-CA"/>
        </w:rPr>
        <w:t xml:space="preserve">able to complete a questionnaire in English. </w:t>
      </w:r>
      <w:r w:rsidR="00CC697F">
        <w:rPr>
          <w:lang w:val="en-CA"/>
        </w:rPr>
        <w:t>The s</w:t>
      </w:r>
      <w:r w:rsidR="00A64DD7">
        <w:rPr>
          <w:lang w:val="en-CA"/>
        </w:rPr>
        <w:t xml:space="preserve">urvey instrument major domains included demographics, </w:t>
      </w:r>
      <w:r w:rsidR="00893F79">
        <w:rPr>
          <w:lang w:val="en-CA"/>
        </w:rPr>
        <w:t>HIV testing, sexual behavior, attit</w:t>
      </w:r>
      <w:r w:rsidR="00FD1DF9">
        <w:rPr>
          <w:lang w:val="en-CA"/>
        </w:rPr>
        <w:t>udes and beliefs, substance use,</w:t>
      </w:r>
      <w:r w:rsidR="00893F79">
        <w:rPr>
          <w:lang w:val="en-CA"/>
        </w:rPr>
        <w:t xml:space="preserve"> and mental health. </w:t>
      </w:r>
      <w:r w:rsidR="00B61C10">
        <w:rPr>
          <w:lang w:val="en-CA"/>
        </w:rPr>
        <w:t>Study methods have been de</w:t>
      </w:r>
      <w:r w:rsidR="00E7503D">
        <w:rPr>
          <w:lang w:val="en-CA"/>
        </w:rPr>
        <w:t>scribed further elsewh</w:t>
      </w:r>
      <w:r w:rsidR="00C30053">
        <w:rPr>
          <w:lang w:val="en-CA"/>
        </w:rPr>
        <w:t>ere</w:t>
      </w:r>
      <w:r w:rsidR="00E7503D">
        <w:rPr>
          <w:lang w:val="en-CA"/>
        </w:rPr>
        <w:t xml:space="preserve"> </w:t>
      </w:r>
      <w:r w:rsidR="00E7503D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&lt;citation&gt;&lt;priority&gt;0&lt;/priority&gt;&lt;uuid&gt;BF02D4CA-2269-4BEC-997A-242D70A1D6E9&lt;/uuid&gt;&lt;publications&gt;&lt;publication&gt;&lt;subtype&gt;400&lt;/subtype&gt;&lt;title&gt;HIV Community Viral Load and Factors Associated With Elevated Viremia Among a Community-Based Sample of Men Who Have Sex With Men in Vancouver, Canada.&lt;/title&gt;&lt;url&gt;http://content.wkhealth.com/linkback/openurl?sid=WKPTLP:landingpage&amp;amp;an=00126334-201605010-00013&lt;/url&gt;&lt;volume&gt;72&lt;/volume&gt;&lt;publication_date&gt;99201605011200000000222000&lt;/publication_date&gt;&lt;uuid&gt;65F5E394-4CDA-45F1-9947-39AC3B143B94&lt;/uuid&gt;&lt;type&gt;400&lt;/type&gt;&lt;number&gt;1&lt;/number&gt;&lt;doi&gt;10.1097/QAI.0000000000000934&lt;/doi&gt;&lt;institution&gt;*Department of Medicine, University of British Columbia, Vancouver, Canada; †BC Centre for Excellence in HIV/AIDS, Vancouver, Canada; ‡University of California San Francisco, San Francisco, CA; §University of Victoria, Victoria, Canada; ‖Positive Living Society of BC, Vancouver, Canada; ¶Interior Health, Kelowna, Canada; and #Simon Fraser University, Burnaby, Canada.&lt;/institution&gt;&lt;startpage&gt;87&lt;/startpage&gt;&lt;endpage&gt;95&lt;/endpage&gt;&lt;bundle&gt;&lt;publication&gt;&lt;title&gt;Journal of acquired immune deficiency syndromes (1999)&lt;/title&gt;&lt;uuid&gt;2CB57186-B22F-4DE8-80F6-6A017ACC9EFF&lt;/uuid&gt;&lt;subtype&gt;-100&lt;/subtype&gt;&lt;type&gt;-100&lt;/type&gt;&lt;/publication&gt;&lt;/bundle&gt;&lt;authors&gt;&lt;author&gt;&lt;lastName&gt;Moore&lt;/lastName&gt;&lt;firstName&gt;David&lt;/firstName&gt;&lt;middleNames&gt;M&lt;/middleNames&gt;&lt;/author&gt;&lt;author&gt;&lt;lastName&gt;Cui&lt;/lastName&gt;&lt;firstName&gt;Zishan&lt;/firstName&gt;&lt;/author&gt;&lt;author&gt;&lt;lastName&gt;Lachowsky&lt;/lastName&gt;&lt;firstName&gt;Nathan&lt;/firstName&gt;&lt;/author&gt;&lt;author&gt;&lt;lastName&gt;Raymond&lt;/lastName&gt;&lt;firstName&gt;Henry&lt;/firstName&gt;&lt;middleNames&gt;F&lt;/middleNames&gt;&lt;/author&gt;&lt;author&gt;&lt;lastName&gt;Roth&lt;/lastName&gt;&lt;firstName&gt;Eric&lt;/firstName&gt;&lt;/author&gt;&lt;author&gt;&lt;lastName&gt;Rich&lt;/lastName&gt;&lt;firstName&gt;Ashleigh&lt;/firstName&gt;&lt;/author&gt;&lt;author&gt;&lt;lastName&gt;Sereda&lt;/lastName&gt;&lt;firstName&gt;Paul&lt;/firstName&gt;&lt;/author&gt;&lt;author&gt;&lt;lastName&gt;Howard&lt;/lastName&gt;&lt;firstName&gt;Terry&lt;/firstName&gt;&lt;/author&gt;&lt;author&gt;&lt;lastName&gt;McFarland&lt;/lastName&gt;&lt;firstName&gt;Willi&lt;/firstName&gt;&lt;/author&gt;&lt;author&gt;&lt;lastName&gt;Lal&lt;/lastName&gt;&lt;firstName&gt;Allan&lt;/firstName&gt;&lt;/author&gt;&lt;author&gt;&lt;lastName&gt;Montaner&lt;/lastName&gt;&lt;firstName&gt;Julio&lt;/firstName&gt;&lt;/author&gt;&lt;author&gt;&lt;lastName&gt;Corneil&lt;/lastName&gt;&lt;firstName&gt;Trevor&lt;/firstName&gt;&lt;/author&gt;&lt;author&gt;&lt;lastName&gt;Hogg&lt;/lastName&gt;&lt;firstName&gt;Robert&lt;/firstName&gt;&lt;middleNames&gt;S&lt;/middleNames&gt;&lt;/author&gt;&lt;author&gt;&lt;lastName&gt;Momentum Health Study team&lt;/lastName&gt;&lt;/author&gt;&lt;/authors&gt;&lt;/publication&gt;&lt;/publications&gt;&lt;cites&gt;&lt;/cites&gt;&lt;/citation&gt;</w:instrText>
      </w:r>
      <w:r w:rsidR="00E7503D">
        <w:rPr>
          <w:lang w:val="en-CA"/>
        </w:rPr>
        <w:fldChar w:fldCharType="separate"/>
      </w:r>
      <w:r w:rsidR="00C30053">
        <w:t>(Moore et al., 2016)</w:t>
      </w:r>
      <w:r w:rsidR="00E7503D">
        <w:rPr>
          <w:lang w:val="en-CA"/>
        </w:rPr>
        <w:fldChar w:fldCharType="end"/>
      </w:r>
      <w:r w:rsidR="00C30053">
        <w:rPr>
          <w:lang w:val="en-CA"/>
        </w:rPr>
        <w:t xml:space="preserve">. </w:t>
      </w:r>
    </w:p>
    <w:p w14:paraId="4D82648C" w14:textId="77777777" w:rsidR="0053281E" w:rsidRDefault="0053281E" w:rsidP="000058C6">
      <w:pPr>
        <w:spacing w:line="480" w:lineRule="auto"/>
        <w:rPr>
          <w:lang w:val="en-CA"/>
        </w:rPr>
      </w:pPr>
    </w:p>
    <w:p w14:paraId="64A4CC1E" w14:textId="75EE44B0" w:rsidR="00050E7C" w:rsidRPr="00BB339D" w:rsidRDefault="00050E7C" w:rsidP="00B817AD">
      <w:pPr>
        <w:spacing w:line="480" w:lineRule="auto"/>
        <w:outlineLvl w:val="0"/>
        <w:rPr>
          <w:b/>
          <w:i/>
          <w:lang w:val="en-CA"/>
        </w:rPr>
      </w:pPr>
      <w:r w:rsidRPr="00BB339D">
        <w:rPr>
          <w:b/>
          <w:i/>
          <w:lang w:val="en-CA"/>
        </w:rPr>
        <w:t>Measures</w:t>
      </w:r>
    </w:p>
    <w:p w14:paraId="13046CB0" w14:textId="4F7C458C" w:rsidR="00050E7C" w:rsidRDefault="00050E7C" w:rsidP="00B817AD">
      <w:pPr>
        <w:spacing w:line="480" w:lineRule="auto"/>
        <w:outlineLvl w:val="0"/>
        <w:rPr>
          <w:lang w:val="en-CA"/>
        </w:rPr>
      </w:pPr>
      <w:r>
        <w:rPr>
          <w:i/>
          <w:lang w:val="en-CA"/>
        </w:rPr>
        <w:t>Sexual orientation</w:t>
      </w:r>
    </w:p>
    <w:p w14:paraId="738B36CD" w14:textId="6B8456C4" w:rsidR="00467540" w:rsidRDefault="00C635A5" w:rsidP="00F77A76">
      <w:pPr>
        <w:spacing w:line="480" w:lineRule="auto"/>
        <w:rPr>
          <w:lang w:val="en-CA"/>
        </w:rPr>
      </w:pPr>
      <w:r>
        <w:rPr>
          <w:lang w:val="en-CA"/>
        </w:rPr>
        <w:t>Sexual orientation dimensions were measured using self-rep</w:t>
      </w:r>
      <w:r w:rsidR="00640EAA">
        <w:rPr>
          <w:lang w:val="en-CA"/>
        </w:rPr>
        <w:t>orted current identity and past two-year</w:t>
      </w:r>
      <w:r>
        <w:rPr>
          <w:lang w:val="en-CA"/>
        </w:rPr>
        <w:t xml:space="preserve"> recall attraction and </w:t>
      </w:r>
      <w:r w:rsidR="00B816DB">
        <w:rPr>
          <w:lang w:val="en-CA"/>
        </w:rPr>
        <w:t>behavior</w:t>
      </w:r>
      <w:r>
        <w:rPr>
          <w:lang w:val="en-CA"/>
        </w:rPr>
        <w:t xml:space="preserve"> measures. </w:t>
      </w:r>
      <w:r w:rsidR="00681F0D">
        <w:rPr>
          <w:lang w:val="en-CA"/>
        </w:rPr>
        <w:t xml:space="preserve">Current sexual identity was </w:t>
      </w:r>
      <w:r>
        <w:rPr>
          <w:lang w:val="en-CA"/>
        </w:rPr>
        <w:t>asked as “How would you describe your sexual orientation?” with response options “Gay</w:t>
      </w:r>
      <w:r w:rsidR="00B970AF">
        <w:rPr>
          <w:lang w:val="en-CA"/>
        </w:rPr>
        <w:t>,</w:t>
      </w:r>
      <w:r>
        <w:rPr>
          <w:lang w:val="en-CA"/>
        </w:rPr>
        <w:t>” “Bisexual</w:t>
      </w:r>
      <w:r w:rsidR="00B970AF">
        <w:rPr>
          <w:lang w:val="en-CA"/>
        </w:rPr>
        <w:t>,</w:t>
      </w:r>
      <w:r>
        <w:rPr>
          <w:lang w:val="en-CA"/>
        </w:rPr>
        <w:t>” “Straight</w:t>
      </w:r>
      <w:r w:rsidR="00B970AF">
        <w:rPr>
          <w:lang w:val="en-CA"/>
        </w:rPr>
        <w:t>,</w:t>
      </w:r>
      <w:r>
        <w:rPr>
          <w:lang w:val="en-CA"/>
        </w:rPr>
        <w:t>” “Questioning</w:t>
      </w:r>
      <w:r w:rsidR="00B970AF">
        <w:rPr>
          <w:lang w:val="en-CA"/>
        </w:rPr>
        <w:t>,</w:t>
      </w:r>
      <w:r>
        <w:rPr>
          <w:lang w:val="en-CA"/>
        </w:rPr>
        <w:t>” “Queer</w:t>
      </w:r>
      <w:r w:rsidR="00B970AF">
        <w:rPr>
          <w:lang w:val="en-CA"/>
        </w:rPr>
        <w:t>,</w:t>
      </w:r>
      <w:r>
        <w:rPr>
          <w:lang w:val="en-CA"/>
        </w:rPr>
        <w:t>” “Lesbian</w:t>
      </w:r>
      <w:r w:rsidR="00B970AF">
        <w:rPr>
          <w:lang w:val="en-CA"/>
        </w:rPr>
        <w:t>,</w:t>
      </w:r>
      <w:r>
        <w:rPr>
          <w:lang w:val="en-CA"/>
        </w:rPr>
        <w:t>” or “Other</w:t>
      </w:r>
      <w:r w:rsidR="00B970AF">
        <w:rPr>
          <w:lang w:val="en-CA"/>
        </w:rPr>
        <w:t>.</w:t>
      </w:r>
      <w:r>
        <w:rPr>
          <w:lang w:val="en-CA"/>
        </w:rPr>
        <w:t xml:space="preserve">” No respondents </w:t>
      </w:r>
      <w:r w:rsidR="005A27CC">
        <w:rPr>
          <w:lang w:val="en-CA"/>
        </w:rPr>
        <w:t>identified</w:t>
      </w:r>
      <w:r w:rsidR="007B227A">
        <w:rPr>
          <w:lang w:val="en-CA"/>
        </w:rPr>
        <w:t xml:space="preserve"> as </w:t>
      </w:r>
      <w:r>
        <w:rPr>
          <w:lang w:val="en-CA"/>
        </w:rPr>
        <w:t>straight</w:t>
      </w:r>
      <w:r w:rsidR="005A27CC">
        <w:rPr>
          <w:lang w:val="en-CA"/>
        </w:rPr>
        <w:t xml:space="preserve"> </w:t>
      </w:r>
      <w:r w:rsidR="007B227A">
        <w:rPr>
          <w:lang w:val="en-CA"/>
        </w:rPr>
        <w:t>while</w:t>
      </w:r>
      <w:r>
        <w:rPr>
          <w:lang w:val="en-CA"/>
        </w:rPr>
        <w:t xml:space="preserve"> </w:t>
      </w:r>
      <w:r w:rsidR="007B227A">
        <w:rPr>
          <w:lang w:val="en-CA"/>
        </w:rPr>
        <w:t xml:space="preserve">one reported </w:t>
      </w:r>
      <w:r>
        <w:rPr>
          <w:lang w:val="en-CA"/>
        </w:rPr>
        <w:t xml:space="preserve">lesbian sexual identity. Those that reported identifying as </w:t>
      </w:r>
      <w:r w:rsidR="00B1774A">
        <w:rPr>
          <w:lang w:val="en-CA"/>
        </w:rPr>
        <w:t>other than “gay” or “bisexual”</w:t>
      </w:r>
      <w:r>
        <w:rPr>
          <w:lang w:val="en-CA"/>
        </w:rPr>
        <w:t xml:space="preserve"> </w:t>
      </w:r>
      <w:r w:rsidR="00F8050C">
        <w:rPr>
          <w:lang w:val="en-CA"/>
        </w:rPr>
        <w:lastRenderedPageBreak/>
        <w:t>(</w:t>
      </w:r>
      <w:r w:rsidR="00F8050C" w:rsidRPr="000B6DD4">
        <w:rPr>
          <w:i/>
          <w:lang w:val="en-CA"/>
        </w:rPr>
        <w:t>n</w:t>
      </w:r>
      <w:r w:rsidR="00F8050C">
        <w:rPr>
          <w:lang w:val="en-CA"/>
        </w:rPr>
        <w:t xml:space="preserve">=46) </w:t>
      </w:r>
      <w:r>
        <w:rPr>
          <w:lang w:val="en-CA"/>
        </w:rPr>
        <w:t xml:space="preserve">were excluded from </w:t>
      </w:r>
      <w:r w:rsidR="00A27C78">
        <w:rPr>
          <w:lang w:val="en-CA"/>
        </w:rPr>
        <w:t xml:space="preserve">the sexual identity variable in </w:t>
      </w:r>
      <w:r>
        <w:rPr>
          <w:lang w:val="en-CA"/>
        </w:rPr>
        <w:t>this analysis</w:t>
      </w:r>
      <w:r w:rsidR="009A218D">
        <w:rPr>
          <w:lang w:val="en-CA"/>
        </w:rPr>
        <w:t xml:space="preserve">, to create a </w:t>
      </w:r>
      <w:r w:rsidR="00E4633A">
        <w:rPr>
          <w:lang w:val="en-CA"/>
        </w:rPr>
        <w:t>dichotomous</w:t>
      </w:r>
      <w:r w:rsidR="009A218D">
        <w:rPr>
          <w:lang w:val="en-CA"/>
        </w:rPr>
        <w:t xml:space="preserve"> gay/bisexual identity variable</w:t>
      </w:r>
      <w:r w:rsidR="00120B93">
        <w:rPr>
          <w:lang w:val="en-CA"/>
        </w:rPr>
        <w:t xml:space="preserve">. </w:t>
      </w:r>
      <w:r w:rsidR="00323A78">
        <w:rPr>
          <w:lang w:val="en-CA"/>
        </w:rPr>
        <w:t>Su</w:t>
      </w:r>
      <w:r w:rsidR="007C4657">
        <w:rPr>
          <w:lang w:val="en-CA"/>
        </w:rPr>
        <w:t xml:space="preserve">bsequently, the sexual </w:t>
      </w:r>
      <w:proofErr w:type="gramStart"/>
      <w:r w:rsidR="007C4657">
        <w:rPr>
          <w:lang w:val="en-CA"/>
        </w:rPr>
        <w:t xml:space="preserve">identity </w:t>
      </w:r>
      <w:r w:rsidR="00323A78">
        <w:rPr>
          <w:lang w:val="en-CA"/>
        </w:rPr>
        <w:t>based</w:t>
      </w:r>
      <w:proofErr w:type="gramEnd"/>
      <w:r w:rsidR="00323A78">
        <w:rPr>
          <w:lang w:val="en-CA"/>
        </w:rPr>
        <w:t xml:space="preserve"> models relied on this </w:t>
      </w:r>
      <w:r w:rsidR="003019EB">
        <w:rPr>
          <w:lang w:val="en-CA"/>
        </w:rPr>
        <w:t xml:space="preserve">dichotomous </w:t>
      </w:r>
      <w:r w:rsidR="00323A78">
        <w:rPr>
          <w:lang w:val="en-CA"/>
        </w:rPr>
        <w:t>variable of those who identified as either gay or bisexual</w:t>
      </w:r>
      <w:r w:rsidR="00750CB7">
        <w:rPr>
          <w:lang w:val="en-CA"/>
        </w:rPr>
        <w:t xml:space="preserve"> while </w:t>
      </w:r>
      <w:r w:rsidR="008E4A5F">
        <w:rPr>
          <w:lang w:val="en-CA"/>
        </w:rPr>
        <w:t xml:space="preserve">the behavior and attraction based models included </w:t>
      </w:r>
      <w:r w:rsidR="00750CB7">
        <w:rPr>
          <w:lang w:val="en-CA"/>
        </w:rPr>
        <w:t>those who identified as other than gay or bisexual</w:t>
      </w:r>
      <w:r w:rsidR="00323A78">
        <w:rPr>
          <w:lang w:val="en-CA"/>
        </w:rPr>
        <w:t xml:space="preserve">. </w:t>
      </w:r>
      <w:r w:rsidR="00640EAA">
        <w:rPr>
          <w:lang w:val="en-CA"/>
        </w:rPr>
        <w:t xml:space="preserve">Sexual attraction was ascertained via a past </w:t>
      </w:r>
      <w:r w:rsidR="00962D0B">
        <w:rPr>
          <w:lang w:val="en-CA"/>
        </w:rPr>
        <w:t>two-year</w:t>
      </w:r>
      <w:r w:rsidR="00640EAA">
        <w:rPr>
          <w:lang w:val="en-CA"/>
        </w:rPr>
        <w:t xml:space="preserve"> fantasy measure, asked in the survey as “In the past two years, who have y</w:t>
      </w:r>
      <w:r w:rsidR="008E7391">
        <w:rPr>
          <w:lang w:val="en-CA"/>
        </w:rPr>
        <w:t>ou had sexual fantasies about?”</w:t>
      </w:r>
      <w:r w:rsidR="00640EAA">
        <w:rPr>
          <w:lang w:val="en-CA"/>
        </w:rPr>
        <w:t xml:space="preserve"> Response options </w:t>
      </w:r>
      <w:r w:rsidR="00677F72">
        <w:rPr>
          <w:lang w:val="en-CA"/>
        </w:rPr>
        <w:t>included</w:t>
      </w:r>
      <w:r w:rsidR="00640EAA">
        <w:rPr>
          <w:lang w:val="en-CA"/>
        </w:rPr>
        <w:t xml:space="preserve"> </w:t>
      </w:r>
      <w:r w:rsidR="000D10C8">
        <w:rPr>
          <w:lang w:val="en-CA"/>
        </w:rPr>
        <w:t>“Fantasize only about sex with males</w:t>
      </w:r>
      <w:r w:rsidR="00C02E90">
        <w:rPr>
          <w:lang w:val="en-CA"/>
        </w:rPr>
        <w:t>,</w:t>
      </w:r>
      <w:r w:rsidR="000D10C8">
        <w:rPr>
          <w:lang w:val="en-CA"/>
        </w:rPr>
        <w:t>” “Fantasize mostly about sex with males</w:t>
      </w:r>
      <w:r w:rsidR="00C02E90">
        <w:rPr>
          <w:lang w:val="en-CA"/>
        </w:rPr>
        <w:t>,</w:t>
      </w:r>
      <w:r w:rsidR="000D10C8">
        <w:rPr>
          <w:lang w:val="en-CA"/>
        </w:rPr>
        <w:t>” “Fantasize more about sex with males than with females</w:t>
      </w:r>
      <w:r w:rsidR="00C02E90">
        <w:rPr>
          <w:lang w:val="en-CA"/>
        </w:rPr>
        <w:t>,</w:t>
      </w:r>
      <w:r w:rsidR="000D10C8">
        <w:rPr>
          <w:lang w:val="en-CA"/>
        </w:rPr>
        <w:t>” “Fantasize about equally sex with males and females</w:t>
      </w:r>
      <w:r w:rsidR="00C02E90">
        <w:rPr>
          <w:lang w:val="en-CA"/>
        </w:rPr>
        <w:t>,</w:t>
      </w:r>
      <w:r w:rsidR="000D10C8">
        <w:rPr>
          <w:lang w:val="en-CA"/>
        </w:rPr>
        <w:t>” “Fantasize more about sex with females than with males</w:t>
      </w:r>
      <w:r w:rsidR="00C02E90">
        <w:rPr>
          <w:lang w:val="en-CA"/>
        </w:rPr>
        <w:t>,</w:t>
      </w:r>
      <w:r w:rsidR="000D10C8">
        <w:rPr>
          <w:lang w:val="en-CA"/>
        </w:rPr>
        <w:t>” “Fantasize mostly about sex with females</w:t>
      </w:r>
      <w:r w:rsidR="00C02E90">
        <w:rPr>
          <w:lang w:val="en-CA"/>
        </w:rPr>
        <w:t>,</w:t>
      </w:r>
      <w:r w:rsidR="000D10C8">
        <w:rPr>
          <w:lang w:val="en-CA"/>
        </w:rPr>
        <w:t>” and “Fantasize only about sex with females</w:t>
      </w:r>
      <w:r w:rsidR="00C02E90">
        <w:rPr>
          <w:lang w:val="en-CA"/>
        </w:rPr>
        <w:t>.</w:t>
      </w:r>
      <w:r w:rsidR="000D10C8">
        <w:rPr>
          <w:lang w:val="en-CA"/>
        </w:rPr>
        <w:t>”</w:t>
      </w:r>
      <w:r w:rsidR="00640EAA">
        <w:rPr>
          <w:lang w:val="en-CA"/>
        </w:rPr>
        <w:t xml:space="preserve"> </w:t>
      </w:r>
      <w:r w:rsidR="00962D0B">
        <w:rPr>
          <w:lang w:val="en-CA"/>
        </w:rPr>
        <w:t>Of note, no respondents reported exclusively fantasizing about sex with women. Those who reported fantasizing</w:t>
      </w:r>
      <w:r w:rsidR="00F37A63">
        <w:rPr>
          <w:lang w:val="en-CA"/>
        </w:rPr>
        <w:t xml:space="preserve"> “only about sex with males”</w:t>
      </w:r>
      <w:r w:rsidR="00962D0B">
        <w:rPr>
          <w:lang w:val="en-CA"/>
        </w:rPr>
        <w:t xml:space="preserve"> were categorized as gay attracted and all others were categorized as bisexually attracted. </w:t>
      </w:r>
      <w:r w:rsidR="000743AB">
        <w:rPr>
          <w:lang w:val="en-CA"/>
        </w:rPr>
        <w:t>Past two-</w:t>
      </w:r>
      <w:r w:rsidR="009911B4">
        <w:rPr>
          <w:lang w:val="en-CA"/>
        </w:rPr>
        <w:t xml:space="preserve">year sexual </w:t>
      </w:r>
      <w:r w:rsidR="00B816DB">
        <w:rPr>
          <w:lang w:val="en-CA"/>
        </w:rPr>
        <w:t>behavior</w:t>
      </w:r>
      <w:r w:rsidR="009911B4">
        <w:rPr>
          <w:lang w:val="en-CA"/>
        </w:rPr>
        <w:t xml:space="preserve"> was measured via the survey question “</w:t>
      </w:r>
      <w:r w:rsidR="000743AB">
        <w:rPr>
          <w:lang w:val="en-CA"/>
        </w:rPr>
        <w:t>In the past two years, who have y</w:t>
      </w:r>
      <w:r w:rsidR="008B7A32">
        <w:rPr>
          <w:lang w:val="en-CA"/>
        </w:rPr>
        <w:t>ou had sexual activities with?”</w:t>
      </w:r>
      <w:r w:rsidR="000743AB">
        <w:rPr>
          <w:lang w:val="en-CA"/>
        </w:rPr>
        <w:t xml:space="preserve"> </w:t>
      </w:r>
      <w:r w:rsidR="00677F72">
        <w:rPr>
          <w:lang w:val="en-CA"/>
        </w:rPr>
        <w:t>R</w:t>
      </w:r>
      <w:r w:rsidR="000743AB">
        <w:rPr>
          <w:lang w:val="en-CA"/>
        </w:rPr>
        <w:t xml:space="preserve">esponse options </w:t>
      </w:r>
      <w:r w:rsidR="00677F72">
        <w:rPr>
          <w:lang w:val="en-CA"/>
        </w:rPr>
        <w:t>consisted of “Had sex only with male partners</w:t>
      </w:r>
      <w:r w:rsidR="007B32C4">
        <w:rPr>
          <w:lang w:val="en-CA"/>
        </w:rPr>
        <w:t>,</w:t>
      </w:r>
      <w:r w:rsidR="00677F72">
        <w:rPr>
          <w:lang w:val="en-CA"/>
        </w:rPr>
        <w:t>” “Had sex mostly with male partners</w:t>
      </w:r>
      <w:r w:rsidR="007B32C4">
        <w:rPr>
          <w:lang w:val="en-CA"/>
        </w:rPr>
        <w:t>,</w:t>
      </w:r>
      <w:r w:rsidR="00677F72">
        <w:rPr>
          <w:lang w:val="en-CA"/>
        </w:rPr>
        <w:t>” “Had sex more with male partners than with female partners</w:t>
      </w:r>
      <w:r w:rsidR="007B32C4">
        <w:rPr>
          <w:lang w:val="en-CA"/>
        </w:rPr>
        <w:t>,</w:t>
      </w:r>
      <w:r w:rsidR="00677F72">
        <w:rPr>
          <w:lang w:val="en-CA"/>
        </w:rPr>
        <w:t>” “Had sex about equally with both male and female partners</w:t>
      </w:r>
      <w:r w:rsidR="007B32C4">
        <w:rPr>
          <w:lang w:val="en-CA"/>
        </w:rPr>
        <w:t>,</w:t>
      </w:r>
      <w:r w:rsidR="00677F72">
        <w:rPr>
          <w:lang w:val="en-CA"/>
        </w:rPr>
        <w:t>” “Had sex more with female partners than with male partners</w:t>
      </w:r>
      <w:r w:rsidR="007B32C4">
        <w:rPr>
          <w:lang w:val="en-CA"/>
        </w:rPr>
        <w:t>,</w:t>
      </w:r>
      <w:r w:rsidR="00677F72">
        <w:rPr>
          <w:lang w:val="en-CA"/>
        </w:rPr>
        <w:t>” “Had sex mostly with female partners</w:t>
      </w:r>
      <w:r w:rsidR="007B32C4">
        <w:rPr>
          <w:lang w:val="en-CA"/>
        </w:rPr>
        <w:t>,</w:t>
      </w:r>
      <w:r w:rsidR="00677F72">
        <w:rPr>
          <w:lang w:val="en-CA"/>
        </w:rPr>
        <w:t>” and “Had sex only with female partners</w:t>
      </w:r>
      <w:r w:rsidR="007B32C4">
        <w:rPr>
          <w:lang w:val="en-CA"/>
        </w:rPr>
        <w:t>.</w:t>
      </w:r>
      <w:r w:rsidR="00677F72">
        <w:rPr>
          <w:lang w:val="en-CA"/>
        </w:rPr>
        <w:t>”</w:t>
      </w:r>
      <w:r w:rsidR="000743AB">
        <w:rPr>
          <w:lang w:val="en-CA"/>
        </w:rPr>
        <w:t xml:space="preserve"> </w:t>
      </w:r>
      <w:r w:rsidR="007630F3">
        <w:rPr>
          <w:lang w:val="en-CA"/>
        </w:rPr>
        <w:t xml:space="preserve">As with the attraction item, no respondents reported sexual </w:t>
      </w:r>
      <w:r w:rsidR="00B816DB">
        <w:rPr>
          <w:lang w:val="en-CA"/>
        </w:rPr>
        <w:t>behavior</w:t>
      </w:r>
      <w:r w:rsidR="007630F3">
        <w:rPr>
          <w:lang w:val="en-CA"/>
        </w:rPr>
        <w:t xml:space="preserve"> exclusively </w:t>
      </w:r>
      <w:r w:rsidR="001B09B7">
        <w:rPr>
          <w:lang w:val="en-CA"/>
        </w:rPr>
        <w:t xml:space="preserve">with </w:t>
      </w:r>
      <w:r w:rsidR="007630F3">
        <w:rPr>
          <w:lang w:val="en-CA"/>
        </w:rPr>
        <w:t xml:space="preserve">women in the past two years. Those </w:t>
      </w:r>
      <w:r w:rsidR="00F37A63">
        <w:rPr>
          <w:lang w:val="en-CA"/>
        </w:rPr>
        <w:t xml:space="preserve">reporting “sex only with male partners” </w:t>
      </w:r>
      <w:r w:rsidR="007630F3">
        <w:rPr>
          <w:lang w:val="en-CA"/>
        </w:rPr>
        <w:t xml:space="preserve">were categorized as </w:t>
      </w:r>
      <w:r w:rsidR="00B816DB">
        <w:rPr>
          <w:lang w:val="en-CA"/>
        </w:rPr>
        <w:t>behavior</w:t>
      </w:r>
      <w:r w:rsidR="007630F3">
        <w:rPr>
          <w:lang w:val="en-CA"/>
        </w:rPr>
        <w:t xml:space="preserve">ally gay and all others as </w:t>
      </w:r>
      <w:r w:rsidR="00B816DB">
        <w:rPr>
          <w:lang w:val="en-CA"/>
        </w:rPr>
        <w:t>behavior</w:t>
      </w:r>
      <w:r w:rsidR="007630F3">
        <w:rPr>
          <w:lang w:val="en-CA"/>
        </w:rPr>
        <w:t xml:space="preserve">ally bisexual. </w:t>
      </w:r>
    </w:p>
    <w:p w14:paraId="72BC2A7B" w14:textId="77777777" w:rsidR="00050E7C" w:rsidRDefault="00050E7C" w:rsidP="000058C6">
      <w:pPr>
        <w:spacing w:line="480" w:lineRule="auto"/>
        <w:rPr>
          <w:lang w:val="en-CA"/>
        </w:rPr>
      </w:pPr>
    </w:p>
    <w:p w14:paraId="6707BFCF" w14:textId="22EFCA7B" w:rsidR="00050E7C" w:rsidRDefault="00050E7C" w:rsidP="00B817AD">
      <w:pPr>
        <w:spacing w:line="480" w:lineRule="auto"/>
        <w:outlineLvl w:val="0"/>
        <w:rPr>
          <w:lang w:val="en-CA"/>
        </w:rPr>
      </w:pPr>
      <w:r>
        <w:rPr>
          <w:i/>
          <w:lang w:val="en-CA"/>
        </w:rPr>
        <w:t>Mental h</w:t>
      </w:r>
      <w:r w:rsidRPr="00050E7C">
        <w:rPr>
          <w:i/>
          <w:lang w:val="en-CA"/>
        </w:rPr>
        <w:t>ealth outcomes</w:t>
      </w:r>
    </w:p>
    <w:p w14:paraId="2F56482F" w14:textId="4056EA6B" w:rsidR="00050E7C" w:rsidRDefault="00384E12" w:rsidP="00F77A76">
      <w:pPr>
        <w:spacing w:line="480" w:lineRule="auto"/>
        <w:rPr>
          <w:lang w:val="en-CA"/>
        </w:rPr>
      </w:pPr>
      <w:r>
        <w:rPr>
          <w:lang w:val="en-CA"/>
        </w:rPr>
        <w:lastRenderedPageBreak/>
        <w:t xml:space="preserve">Anxiety and depression were measured via the </w:t>
      </w:r>
      <w:r w:rsidR="009557A4">
        <w:rPr>
          <w:lang w:val="en-CA"/>
        </w:rPr>
        <w:t xml:space="preserve">widely-used validated </w:t>
      </w:r>
      <w:r>
        <w:rPr>
          <w:lang w:val="en-CA"/>
        </w:rPr>
        <w:t>H</w:t>
      </w:r>
      <w:r w:rsidR="0022475A">
        <w:rPr>
          <w:lang w:val="en-CA"/>
        </w:rPr>
        <w:t>ospital Anxiety and Depression S</w:t>
      </w:r>
      <w:r>
        <w:rPr>
          <w:lang w:val="en-CA"/>
        </w:rPr>
        <w:t>cale</w:t>
      </w:r>
      <w:r w:rsidR="0022475A">
        <w:rPr>
          <w:lang w:val="en-CA"/>
        </w:rPr>
        <w:t xml:space="preserve"> (HADS)</w:t>
      </w:r>
      <w:r w:rsidR="009557A4">
        <w:rPr>
          <w:lang w:val="en-CA"/>
        </w:rPr>
        <w:t xml:space="preserve"> </w:t>
      </w:r>
      <w:r w:rsidR="009557A4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&lt;citation&gt;&lt;priority&gt;0&lt;/priority&gt;&lt;uuid&gt;21D43815-4D68-4EE2-A56D-840BCF353936&lt;/uuid&gt;&lt;publications&gt;&lt;publication&gt;&lt;subtype&gt;400&lt;/subtype&gt;&lt;title&gt;The hospital anxiety and depresssion scale&lt;/title&gt;&lt;url&gt;http://onlinelibrary.wiley.com/doi/10.1111/j.1600-0447.1983.tb09716.x/full&lt;/url&gt;&lt;volume&gt;67&lt;/volume&gt;&lt;publication_date&gt;99198300001200000000200000&lt;/publication_date&gt;&lt;uuid&gt;C1235A03-5ED0-4ECD-A6D0-67F39A2277D7&lt;/uuid&gt;&lt;type&gt;400&lt;/type&gt;&lt;number&gt;6&lt;/number&gt;&lt;startpage&gt;361&lt;/startpage&gt;&lt;endpage&gt;370&lt;/endpage&gt;&lt;bundle&gt;&lt;publication&gt;&lt;title&gt;Acta psychiatrica scandinavica&lt;/title&gt;&lt;uuid&gt;E2E378C2-49F2-44D2-99A7-94E7705B6576&lt;/uuid&gt;&lt;subtype&gt;-100&lt;/subtype&gt;&lt;type&gt;-100&lt;/type&gt;&lt;/publication&gt;&lt;/bundle&gt;&lt;authors&gt;&lt;author&gt;&lt;lastName&gt;Zigmond&lt;/lastName&gt;&lt;firstName&gt;A&lt;/firstName&gt;&lt;middleNames&gt;S&lt;/middleNames&gt;&lt;/author&gt;&lt;author&gt;&lt;lastName&gt;Snaith&lt;/lastName&gt;&lt;firstName&gt;R&lt;/firstName&gt;&lt;middleNames&gt;P&lt;/middleNames&gt;&lt;/author&gt;&lt;/authors&gt;&lt;/publication&gt;&lt;/publications&gt;&lt;cites&gt;&lt;/cites&gt;&lt;/citation&gt;</w:instrText>
      </w:r>
      <w:r w:rsidR="009557A4">
        <w:rPr>
          <w:lang w:val="en-CA"/>
        </w:rPr>
        <w:fldChar w:fldCharType="separate"/>
      </w:r>
      <w:r w:rsidR="003C5D49">
        <w:t>(Zigmond &amp; Snaith, 1983)</w:t>
      </w:r>
      <w:r w:rsidR="009557A4">
        <w:rPr>
          <w:lang w:val="en-CA"/>
        </w:rPr>
        <w:fldChar w:fldCharType="end"/>
      </w:r>
      <w:r w:rsidR="009557A4">
        <w:rPr>
          <w:lang w:val="en-CA"/>
        </w:rPr>
        <w:t xml:space="preserve">. </w:t>
      </w:r>
      <w:r w:rsidR="00DC1ACE">
        <w:rPr>
          <w:lang w:val="en-CA"/>
        </w:rPr>
        <w:t>The</w:t>
      </w:r>
      <w:r>
        <w:rPr>
          <w:lang w:val="en-CA"/>
        </w:rPr>
        <w:t xml:space="preserve"> </w:t>
      </w:r>
      <w:r w:rsidR="00F16EDE">
        <w:rPr>
          <w:lang w:val="en-CA"/>
        </w:rPr>
        <w:t xml:space="preserve">HADS consists of two </w:t>
      </w:r>
      <w:r w:rsidR="0022475A">
        <w:rPr>
          <w:lang w:val="en-CA"/>
        </w:rPr>
        <w:t xml:space="preserve">subscales </w:t>
      </w:r>
      <w:r w:rsidR="006550F0">
        <w:rPr>
          <w:lang w:val="en-CA"/>
        </w:rPr>
        <w:t>assessing</w:t>
      </w:r>
      <w:r w:rsidR="0022475A">
        <w:rPr>
          <w:lang w:val="en-CA"/>
        </w:rPr>
        <w:t xml:space="preserve"> anxiety</w:t>
      </w:r>
      <w:r w:rsidR="00253F9E">
        <w:rPr>
          <w:lang w:val="en-CA"/>
        </w:rPr>
        <w:t xml:space="preserve"> </w:t>
      </w:r>
      <w:r w:rsidR="00A47EBE">
        <w:t xml:space="preserve">(study </w:t>
      </w:r>
      <w:r w:rsidR="00A47EBE" w:rsidRPr="000B6DD4">
        <w:rPr>
          <w:rFonts w:cstheme="minorHAnsi"/>
          <w:bCs/>
          <w:i/>
          <w:iCs/>
          <w:color w:val="000000"/>
        </w:rPr>
        <w:t>α</w:t>
      </w:r>
      <w:r w:rsidR="00A47EBE" w:rsidRPr="006D3B61">
        <w:rPr>
          <w:rFonts w:cstheme="minorHAnsi"/>
          <w:bCs/>
          <w:iCs/>
          <w:color w:val="000000"/>
        </w:rPr>
        <w:t>=0.</w:t>
      </w:r>
      <w:r w:rsidR="00A47EBE">
        <w:rPr>
          <w:rFonts w:cstheme="minorHAnsi"/>
          <w:bCs/>
          <w:iCs/>
          <w:color w:val="000000"/>
        </w:rPr>
        <w:t>84</w:t>
      </w:r>
      <w:r w:rsidR="00A47EBE">
        <w:t xml:space="preserve">) </w:t>
      </w:r>
      <w:r w:rsidR="0022475A">
        <w:rPr>
          <w:lang w:val="en-CA"/>
        </w:rPr>
        <w:t xml:space="preserve">and depression </w:t>
      </w:r>
      <w:r w:rsidR="00A47EBE">
        <w:t xml:space="preserve">(study </w:t>
      </w:r>
      <w:r w:rsidR="00A47EBE" w:rsidRPr="000B6DD4">
        <w:rPr>
          <w:rFonts w:cstheme="minorHAnsi"/>
          <w:bCs/>
          <w:i/>
          <w:iCs/>
          <w:color w:val="000000"/>
        </w:rPr>
        <w:t>α</w:t>
      </w:r>
      <w:r w:rsidR="00A47EBE" w:rsidRPr="006D3B61">
        <w:rPr>
          <w:rFonts w:cstheme="minorHAnsi"/>
          <w:bCs/>
          <w:iCs/>
          <w:color w:val="000000"/>
        </w:rPr>
        <w:t>=0.7</w:t>
      </w:r>
      <w:r w:rsidR="00A47EBE">
        <w:rPr>
          <w:rFonts w:cstheme="minorHAnsi"/>
          <w:bCs/>
          <w:iCs/>
          <w:color w:val="000000"/>
        </w:rPr>
        <w:t>9</w:t>
      </w:r>
      <w:r w:rsidR="00A47EBE">
        <w:t xml:space="preserve">) </w:t>
      </w:r>
      <w:r w:rsidR="00F57FDF">
        <w:rPr>
          <w:lang w:val="en-CA"/>
        </w:rPr>
        <w:t>via self-reported symptom</w:t>
      </w:r>
      <w:r w:rsidR="008C293A">
        <w:rPr>
          <w:lang w:val="en-CA"/>
        </w:rPr>
        <w:t>at</w:t>
      </w:r>
      <w:r w:rsidR="00F57FDF">
        <w:rPr>
          <w:lang w:val="en-CA"/>
        </w:rPr>
        <w:t>ology</w:t>
      </w:r>
      <w:r w:rsidR="0091495F">
        <w:rPr>
          <w:lang w:val="en-CA"/>
        </w:rPr>
        <w:t xml:space="preserve"> in the past week</w:t>
      </w:r>
      <w:r w:rsidR="0022475A">
        <w:rPr>
          <w:lang w:val="en-CA"/>
        </w:rPr>
        <w:t xml:space="preserve">. </w:t>
      </w:r>
      <w:r w:rsidR="007646E3">
        <w:rPr>
          <w:lang w:val="en-CA"/>
        </w:rPr>
        <w:t xml:space="preserve">Anxiety </w:t>
      </w:r>
      <w:r w:rsidR="00400B44">
        <w:rPr>
          <w:lang w:val="en-CA"/>
        </w:rPr>
        <w:t>is</w:t>
      </w:r>
      <w:r w:rsidR="007646E3">
        <w:rPr>
          <w:lang w:val="en-CA"/>
        </w:rPr>
        <w:t xml:space="preserve"> measured via items assessing </w:t>
      </w:r>
      <w:r w:rsidR="00394016">
        <w:rPr>
          <w:lang w:val="en-CA"/>
        </w:rPr>
        <w:t>symptoms such as</w:t>
      </w:r>
      <w:r w:rsidR="0001632E">
        <w:rPr>
          <w:lang w:val="en-CA"/>
        </w:rPr>
        <w:t xml:space="preserve"> tension (e.g., “I feel tense or</w:t>
      </w:r>
      <w:r w:rsidR="00394016">
        <w:rPr>
          <w:lang w:val="en-CA"/>
        </w:rPr>
        <w:t xml:space="preserve"> ‘wound up’”) and worry (e.g., “Worrying thoughts go through my mind”). </w:t>
      </w:r>
      <w:r w:rsidR="007646E3">
        <w:rPr>
          <w:lang w:val="en-CA"/>
        </w:rPr>
        <w:t>Items assessing enjoyment</w:t>
      </w:r>
      <w:r w:rsidR="00134A2B">
        <w:rPr>
          <w:lang w:val="en-CA"/>
        </w:rPr>
        <w:t xml:space="preserve"> (e.g., “I still enjoy the things I used to”) and cheerfulness</w:t>
      </w:r>
      <w:r w:rsidR="00394016">
        <w:rPr>
          <w:lang w:val="en-CA"/>
        </w:rPr>
        <w:t xml:space="preserve"> (e.g., “I feel cheerful”) are in</w:t>
      </w:r>
      <w:r w:rsidR="00134A2B">
        <w:rPr>
          <w:lang w:val="en-CA"/>
        </w:rPr>
        <w:t xml:space="preserve">cluded (reverse-coded) in the </w:t>
      </w:r>
      <w:r w:rsidR="002F2E43">
        <w:rPr>
          <w:lang w:val="en-CA"/>
        </w:rPr>
        <w:t>depression sub-scale.</w:t>
      </w:r>
      <w:r w:rsidR="003F4417">
        <w:rPr>
          <w:lang w:val="en-CA"/>
        </w:rPr>
        <w:t xml:space="preserve"> Endorsement of each statement </w:t>
      </w:r>
      <w:r w:rsidR="00400B44">
        <w:rPr>
          <w:lang w:val="en-CA"/>
        </w:rPr>
        <w:t>is</w:t>
      </w:r>
      <w:r w:rsidR="003F4417">
        <w:rPr>
          <w:lang w:val="en-CA"/>
        </w:rPr>
        <w:t xml:space="preserve"> measured via four-point scales from most to least or least to most agreement, depending on the item wording.</w:t>
      </w:r>
      <w:r w:rsidR="007646E3">
        <w:rPr>
          <w:lang w:val="en-CA"/>
        </w:rPr>
        <w:t xml:space="preserve"> </w:t>
      </w:r>
      <w:r w:rsidR="0044345A">
        <w:rPr>
          <w:lang w:val="en-CA"/>
        </w:rPr>
        <w:t xml:space="preserve">Each subscale </w:t>
      </w:r>
      <w:r w:rsidR="004A1B12">
        <w:rPr>
          <w:lang w:val="en-CA"/>
        </w:rPr>
        <w:t>is comprised of 7 items and p</w:t>
      </w:r>
      <w:r w:rsidR="0022475A">
        <w:rPr>
          <w:lang w:val="en-CA"/>
        </w:rPr>
        <w:t xml:space="preserve">ossible scores range from 0 to </w:t>
      </w:r>
      <w:r w:rsidR="00535AE7">
        <w:rPr>
          <w:lang w:val="en-CA"/>
        </w:rPr>
        <w:t>21. Th</w:t>
      </w:r>
      <w:r w:rsidR="007D3E93">
        <w:rPr>
          <w:lang w:val="en-CA"/>
        </w:rPr>
        <w:t>e current study</w:t>
      </w:r>
      <w:r w:rsidR="00535AE7">
        <w:rPr>
          <w:lang w:val="en-CA"/>
        </w:rPr>
        <w:t xml:space="preserve"> used a</w:t>
      </w:r>
      <w:r w:rsidR="00BD736B">
        <w:rPr>
          <w:lang w:val="en-CA"/>
        </w:rPr>
        <w:t xml:space="preserve"> validated</w:t>
      </w:r>
      <w:r w:rsidR="00535AE7">
        <w:rPr>
          <w:lang w:val="en-CA"/>
        </w:rPr>
        <w:t xml:space="preserve"> anxiety and depression ‘caseness’ definition of </w:t>
      </w:r>
      <w:r w:rsidR="00D43FEA">
        <w:rPr>
          <w:lang w:val="en-CA"/>
        </w:rPr>
        <w:t>a score of</w:t>
      </w:r>
      <w:r w:rsidR="00BD736B">
        <w:rPr>
          <w:lang w:val="en-CA"/>
        </w:rPr>
        <w:t xml:space="preserve"> 8 or greater for each subscale</w:t>
      </w:r>
      <w:r w:rsidR="00BD5FA0">
        <w:rPr>
          <w:lang w:val="en-CA"/>
        </w:rPr>
        <w:t xml:space="preserve">, </w:t>
      </w:r>
      <w:r w:rsidR="006F0136">
        <w:rPr>
          <w:lang w:val="en-CA"/>
        </w:rPr>
        <w:t xml:space="preserve">a cut-off optimized for sensitivity and specificity balance </w:t>
      </w:r>
      <w:r w:rsidR="00C42F6F">
        <w:rPr>
          <w:lang w:val="en-CA"/>
        </w:rPr>
        <w:t xml:space="preserve">based on </w:t>
      </w:r>
      <w:r w:rsidR="00BD5FA0">
        <w:rPr>
          <w:lang w:val="en-CA"/>
        </w:rPr>
        <w:t>a</w:t>
      </w:r>
      <w:r w:rsidR="00C42F6F">
        <w:rPr>
          <w:lang w:val="en-CA"/>
        </w:rPr>
        <w:t xml:space="preserve"> </w:t>
      </w:r>
      <w:r w:rsidR="00CA514E">
        <w:rPr>
          <w:lang w:val="en-CA"/>
        </w:rPr>
        <w:t>literature review of 71</w:t>
      </w:r>
      <w:r w:rsidR="00C42F6F">
        <w:rPr>
          <w:lang w:val="en-CA"/>
        </w:rPr>
        <w:t xml:space="preserve"> studies</w:t>
      </w:r>
      <w:r w:rsidR="00B703B0">
        <w:rPr>
          <w:lang w:val="en-CA"/>
        </w:rPr>
        <w:t xml:space="preserve"> </w:t>
      </w:r>
      <w:r w:rsidR="00C42F6F">
        <w:rPr>
          <w:lang w:val="en-CA"/>
        </w:rPr>
        <w:t xml:space="preserve">using </w:t>
      </w:r>
      <w:r w:rsidR="000367E5">
        <w:rPr>
          <w:lang w:val="en-CA"/>
        </w:rPr>
        <w:t xml:space="preserve">the </w:t>
      </w:r>
      <w:r w:rsidR="00C42F6F">
        <w:rPr>
          <w:lang w:val="en-CA"/>
        </w:rPr>
        <w:t>HADS</w:t>
      </w:r>
      <w:r w:rsidR="00BD5FA0">
        <w:rPr>
          <w:lang w:val="en-CA"/>
        </w:rPr>
        <w:t xml:space="preserve"> </w:t>
      </w:r>
      <w:r w:rsidR="00BD736B">
        <w:rPr>
          <w:lang w:val="en-CA"/>
        </w:rPr>
        <w:t xml:space="preserve"> </w:t>
      </w:r>
      <w:r w:rsidR="00D43FEA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&lt;citation&gt;&lt;priority&gt;0&lt;/priority&gt;&lt;uuid&gt;5119B01B-E705-4353-A40E-BDB8E56A0227&lt;/uuid&gt;&lt;publications&gt;&lt;publication&gt;&lt;subtype&gt;400&lt;/subtype&gt;&lt;title&gt;The validity of the Hospital Anxiety and Depression Scale&lt;/title&gt;&lt;url&gt;http://linkinghub.elsevier.com/retrieve/pii/S0022399901002963&lt;/url&gt;&lt;volume&gt;52&lt;/volume&gt;&lt;publication_date&gt;99200202001200000000220000&lt;/publication_date&gt;&lt;uuid&gt;D95A0C56-AA9B-412C-8F0B-A97FB95669FD&lt;/uuid&gt;&lt;type&gt;400&lt;/type&gt;&lt;number&gt;2&lt;/number&gt;&lt;doi&gt;10.1016/S0022-3999(01)00296-3&lt;/doi&gt;&lt;startpage&gt;69&lt;/startpage&gt;&lt;endpage&gt;77&lt;/endpage&gt;&lt;bundle&gt;&lt;publication&gt;&lt;title&gt;Journal of Psychosomatic Research&lt;/title&gt;&lt;uuid&gt;0833769F-E1FB-47FB-B8CD-6F0988413009&lt;/uuid&gt;&lt;subtype&gt;-100&lt;/subtype&gt;&lt;type&gt;-100&lt;/type&gt;&lt;/publication&gt;&lt;/bundle&gt;&lt;authors&gt;&lt;author&gt;&lt;lastName&gt;Bjelland&lt;/lastName&gt;&lt;firstName&gt;Ingvar&lt;/firstName&gt;&lt;/author&gt;&lt;author&gt;&lt;lastName&gt;Dahl&lt;/lastName&gt;&lt;firstName&gt;Alv&lt;/firstName&gt;&lt;middleNames&gt;A&lt;/middleNames&gt;&lt;/author&gt;&lt;author&gt;&lt;lastName&gt;Haug&lt;/lastName&gt;&lt;firstName&gt;Tone&lt;/firstName&gt;&lt;middleNames&gt;Tangen&lt;/middleNames&gt;&lt;/author&gt;&lt;author&gt;&lt;lastName&gt;Neckelmann&lt;/lastName&gt;&lt;firstName&gt;Dag&lt;/firstName&gt;&lt;/author&gt;&lt;/authors&gt;&lt;/publication&gt;&lt;/publications&gt;&lt;cites&gt;&lt;/cites&gt;&lt;/citation&gt;</w:instrText>
      </w:r>
      <w:r w:rsidR="00D43FEA">
        <w:rPr>
          <w:lang w:val="en-CA"/>
        </w:rPr>
        <w:fldChar w:fldCharType="separate"/>
      </w:r>
      <w:r w:rsidR="002253AE">
        <w:t>(Bjelland, Dahl, Haug, &amp; Neckelmann, 2002)</w:t>
      </w:r>
      <w:r w:rsidR="00D43FEA">
        <w:rPr>
          <w:lang w:val="en-CA"/>
        </w:rPr>
        <w:fldChar w:fldCharType="end"/>
      </w:r>
      <w:r w:rsidR="00D43FEA">
        <w:rPr>
          <w:lang w:val="en-CA"/>
        </w:rPr>
        <w:t xml:space="preserve">. </w:t>
      </w:r>
    </w:p>
    <w:p w14:paraId="50173B45" w14:textId="77777777" w:rsidR="00050E7C" w:rsidRDefault="00050E7C" w:rsidP="000058C6">
      <w:pPr>
        <w:spacing w:line="480" w:lineRule="auto"/>
        <w:rPr>
          <w:lang w:val="en-CA"/>
        </w:rPr>
      </w:pPr>
    </w:p>
    <w:p w14:paraId="0B02B254" w14:textId="463C8C5C" w:rsidR="00050E7C" w:rsidRDefault="00700D25" w:rsidP="00B817AD">
      <w:pPr>
        <w:spacing w:line="480" w:lineRule="auto"/>
        <w:outlineLvl w:val="0"/>
        <w:rPr>
          <w:lang w:val="en-CA"/>
        </w:rPr>
      </w:pPr>
      <w:r>
        <w:rPr>
          <w:i/>
          <w:lang w:val="en-CA"/>
        </w:rPr>
        <w:t>Demographics and o</w:t>
      </w:r>
      <w:r w:rsidR="00050E7C">
        <w:rPr>
          <w:i/>
          <w:lang w:val="en-CA"/>
        </w:rPr>
        <w:t>ther covariates</w:t>
      </w:r>
    </w:p>
    <w:p w14:paraId="460FA2F5" w14:textId="0B009C1E" w:rsidR="00EB752C" w:rsidRDefault="00FB2619" w:rsidP="00F77A76">
      <w:pPr>
        <w:spacing w:line="480" w:lineRule="auto"/>
        <w:rPr>
          <w:lang w:val="en-CA"/>
        </w:rPr>
      </w:pPr>
      <w:r>
        <w:rPr>
          <w:lang w:val="en-CA"/>
        </w:rPr>
        <w:t>Demographic and other covariates included in th</w:t>
      </w:r>
      <w:r w:rsidR="009D79E3">
        <w:rPr>
          <w:lang w:val="en-CA"/>
        </w:rPr>
        <w:t>e current study</w:t>
      </w:r>
      <w:r>
        <w:rPr>
          <w:lang w:val="en-CA"/>
        </w:rPr>
        <w:t xml:space="preserve"> were age (continuous), annual income (&lt;$30,000</w:t>
      </w:r>
      <w:r w:rsidR="00EB752C">
        <w:rPr>
          <w:lang w:val="en-CA"/>
        </w:rPr>
        <w:t>/$30,000-$59,</w:t>
      </w:r>
      <w:r w:rsidR="006E3579">
        <w:rPr>
          <w:lang w:val="en-CA"/>
        </w:rPr>
        <w:t>999</w:t>
      </w:r>
      <w:r w:rsidR="00EB752C">
        <w:rPr>
          <w:lang w:val="en-CA"/>
        </w:rPr>
        <w:t>/</w:t>
      </w:r>
      <w:r w:rsidR="00EB752C">
        <w:rPr>
          <w:lang w:val="en-CA"/>
        </w:rPr>
        <w:sym w:font="Symbol" w:char="F0B3"/>
      </w:r>
      <w:r w:rsidR="00EB752C">
        <w:rPr>
          <w:lang w:val="en-CA"/>
        </w:rPr>
        <w:t xml:space="preserve">$60,000 CAD), ethnicity (White/Asian/Indigenous/Latino or Other), </w:t>
      </w:r>
      <w:r w:rsidR="00D92791">
        <w:rPr>
          <w:lang w:val="en-CA"/>
        </w:rPr>
        <w:t>education</w:t>
      </w:r>
      <w:r w:rsidR="00DA1015">
        <w:rPr>
          <w:lang w:val="en-CA"/>
        </w:rPr>
        <w:t>al attainment</w:t>
      </w:r>
      <w:r w:rsidR="00D92791">
        <w:rPr>
          <w:lang w:val="en-CA"/>
        </w:rPr>
        <w:t xml:space="preserve"> (</w:t>
      </w:r>
      <w:r w:rsidR="00D92791">
        <w:rPr>
          <w:lang w:val="en-CA"/>
        </w:rPr>
        <w:sym w:font="Symbol" w:char="F0A3"/>
      </w:r>
      <w:r w:rsidR="009A3055">
        <w:rPr>
          <w:lang w:val="en-CA"/>
        </w:rPr>
        <w:t>H</w:t>
      </w:r>
      <w:r w:rsidR="00E538B6">
        <w:rPr>
          <w:lang w:val="en-CA"/>
        </w:rPr>
        <w:t>igh school</w:t>
      </w:r>
      <w:r w:rsidR="00D92791">
        <w:rPr>
          <w:lang w:val="en-CA"/>
        </w:rPr>
        <w:t xml:space="preserve"> education/&gt;</w:t>
      </w:r>
      <w:r w:rsidR="009A3055">
        <w:rPr>
          <w:lang w:val="en-CA"/>
        </w:rPr>
        <w:t>H</w:t>
      </w:r>
      <w:r w:rsidR="00E538B6">
        <w:rPr>
          <w:lang w:val="en-CA"/>
        </w:rPr>
        <w:t>igh school</w:t>
      </w:r>
      <w:r w:rsidR="00D92791">
        <w:rPr>
          <w:lang w:val="en-CA"/>
        </w:rPr>
        <w:t xml:space="preserve"> education), regular partner status (No/Yes or Married)</w:t>
      </w:r>
      <w:r w:rsidR="00280E52">
        <w:rPr>
          <w:lang w:val="en-CA"/>
        </w:rPr>
        <w:t xml:space="preserve">, and self-reported current HIV serostatus (Negative/Unknown or Positive). </w:t>
      </w:r>
      <w:r w:rsidR="00D92791">
        <w:rPr>
          <w:lang w:val="en-CA"/>
        </w:rPr>
        <w:t>Number of sexual partners</w:t>
      </w:r>
      <w:r w:rsidR="00131B26">
        <w:rPr>
          <w:lang w:val="en-CA"/>
        </w:rPr>
        <w:t xml:space="preserve"> (men and women)</w:t>
      </w:r>
      <w:r w:rsidR="00D92791">
        <w:rPr>
          <w:lang w:val="en-CA"/>
        </w:rPr>
        <w:t xml:space="preserve"> in the </w:t>
      </w:r>
      <w:r w:rsidR="002F7A9C">
        <w:rPr>
          <w:lang w:val="en-CA"/>
        </w:rPr>
        <w:t>past</w:t>
      </w:r>
      <w:r w:rsidR="00D92791">
        <w:rPr>
          <w:lang w:val="en-CA"/>
        </w:rPr>
        <w:t xml:space="preserve"> 6 months was included</w:t>
      </w:r>
      <w:r w:rsidR="00B33DD4">
        <w:rPr>
          <w:lang w:val="en-CA"/>
        </w:rPr>
        <w:t xml:space="preserve"> as a continuous variable </w:t>
      </w:r>
      <w:r w:rsidR="00D92791">
        <w:rPr>
          <w:lang w:val="en-CA"/>
        </w:rPr>
        <w:t xml:space="preserve">in </w:t>
      </w:r>
      <w:r w:rsidR="00462005">
        <w:rPr>
          <w:lang w:val="en-CA"/>
        </w:rPr>
        <w:t>a</w:t>
      </w:r>
      <w:r w:rsidR="00D92791">
        <w:rPr>
          <w:lang w:val="en-CA"/>
        </w:rPr>
        <w:t xml:space="preserve"> sensitivity analyses</w:t>
      </w:r>
      <w:r w:rsidR="00D75094">
        <w:rPr>
          <w:lang w:val="en-CA"/>
        </w:rPr>
        <w:t xml:space="preserve"> described below</w:t>
      </w:r>
      <w:r w:rsidR="00D92791">
        <w:rPr>
          <w:lang w:val="en-CA"/>
        </w:rPr>
        <w:t>.</w:t>
      </w:r>
    </w:p>
    <w:p w14:paraId="7F99EF1D" w14:textId="77777777" w:rsidR="00050E7C" w:rsidRDefault="00050E7C" w:rsidP="000058C6">
      <w:pPr>
        <w:spacing w:line="480" w:lineRule="auto"/>
        <w:rPr>
          <w:lang w:val="en-CA"/>
        </w:rPr>
      </w:pPr>
    </w:p>
    <w:p w14:paraId="4F772A2A" w14:textId="06BA0B4C" w:rsidR="00050E7C" w:rsidRPr="00B4333A" w:rsidRDefault="00050E7C" w:rsidP="00B817AD">
      <w:pPr>
        <w:spacing w:line="480" w:lineRule="auto"/>
        <w:outlineLvl w:val="0"/>
        <w:rPr>
          <w:b/>
          <w:i/>
          <w:lang w:val="en-CA"/>
        </w:rPr>
      </w:pPr>
      <w:r w:rsidRPr="00B4333A">
        <w:rPr>
          <w:b/>
          <w:i/>
          <w:lang w:val="en-CA"/>
        </w:rPr>
        <w:t>D</w:t>
      </w:r>
      <w:r w:rsidR="00FB2619" w:rsidRPr="00B4333A">
        <w:rPr>
          <w:b/>
          <w:i/>
          <w:lang w:val="en-CA"/>
        </w:rPr>
        <w:t>ata analysi</w:t>
      </w:r>
      <w:r w:rsidRPr="00B4333A">
        <w:rPr>
          <w:b/>
          <w:i/>
          <w:lang w:val="en-CA"/>
        </w:rPr>
        <w:t>s</w:t>
      </w:r>
    </w:p>
    <w:p w14:paraId="560C4E73" w14:textId="76534C01" w:rsidR="002E3EB0" w:rsidRDefault="00B06874" w:rsidP="00B4333A">
      <w:pPr>
        <w:spacing w:line="480" w:lineRule="auto"/>
        <w:rPr>
          <w:lang w:val="en-CA"/>
        </w:rPr>
      </w:pPr>
      <w:r>
        <w:rPr>
          <w:lang w:val="en-CA"/>
        </w:rPr>
        <w:lastRenderedPageBreak/>
        <w:t>All analyse</w:t>
      </w:r>
      <w:r w:rsidR="00700371">
        <w:rPr>
          <w:lang w:val="en-CA"/>
        </w:rPr>
        <w:t xml:space="preserve">s were conducted in </w:t>
      </w:r>
      <w:r w:rsidR="0025545F">
        <w:rPr>
          <w:lang w:val="en-CA"/>
        </w:rPr>
        <w:t xml:space="preserve">SAS statistical software version </w:t>
      </w:r>
      <w:r w:rsidR="000A2EE1">
        <w:rPr>
          <w:lang w:val="en-CA"/>
        </w:rPr>
        <w:t xml:space="preserve">9.4. </w:t>
      </w:r>
      <w:r w:rsidR="00631598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&lt;citation&gt;&lt;priority&gt;0&lt;/priority&gt;&lt;uuid&gt;8A8991E0-4702-4D61-A95B-220C4F945D5E&lt;/uuid&gt;&lt;publications&gt;&lt;publication&gt;&lt;subtype&gt;713&lt;/subtype&gt;&lt;place&gt;Cary, NC&lt;/place&gt;&lt;publisher&gt;SAS Institute, Inc.&lt;/publisher&gt;&lt;title&gt;SAS software version 9.4&lt;/title&gt;&lt;publication_date&gt;99201400001200000000200000&lt;/publication_date&gt;&lt;uuid&gt;F9627D87-FC2F-480A-B53B-B7E2F57696B9&lt;/uuid&gt;&lt;type&gt;700&lt;/type&gt;&lt;/publication&gt;&lt;/publications&gt;&lt;cites&gt;&lt;/cites&gt;&lt;/citation&gt;</w:instrText>
      </w:r>
      <w:r w:rsidR="00631598">
        <w:rPr>
          <w:lang w:val="en-CA"/>
        </w:rPr>
        <w:fldChar w:fldCharType="separate"/>
      </w:r>
      <w:r w:rsidR="00631598">
        <w:t>(</w:t>
      </w:r>
      <w:r w:rsidR="00631598">
        <w:rPr>
          <w:i/>
          <w:iCs/>
        </w:rPr>
        <w:t>SAS software version 9.4</w:t>
      </w:r>
      <w:r w:rsidR="00631598">
        <w:t>, 2014)</w:t>
      </w:r>
      <w:r w:rsidR="00631598">
        <w:rPr>
          <w:lang w:val="en-CA"/>
        </w:rPr>
        <w:fldChar w:fldCharType="end"/>
      </w:r>
      <w:r>
        <w:rPr>
          <w:lang w:val="en-CA"/>
        </w:rPr>
        <w:t xml:space="preserve">. </w:t>
      </w:r>
      <w:r w:rsidR="006B7101">
        <w:rPr>
          <w:lang w:val="en-CA"/>
        </w:rPr>
        <w:t xml:space="preserve">Figures were developed with use of </w:t>
      </w:r>
      <w:proofErr w:type="spellStart"/>
      <w:r w:rsidR="006B7101">
        <w:rPr>
          <w:lang w:val="en-CA"/>
        </w:rPr>
        <w:t>eulerAPE</w:t>
      </w:r>
      <w:proofErr w:type="spellEnd"/>
      <w:r w:rsidR="006B7101">
        <w:rPr>
          <w:lang w:val="en-CA"/>
        </w:rPr>
        <w:t xml:space="preserve"> software </w:t>
      </w:r>
      <w:r w:rsidR="006B7101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&lt;citation&gt;&lt;priority&gt;0&lt;/priority&gt;&lt;uuid&gt;844AFBF3-CF73-49E5-92F5-4294011765DD&lt;/uuid&gt;&lt;publications&gt;&lt;publication&gt;&lt;subtype&gt;400&lt;/subtype&gt;&lt;publisher&gt;Public Library of Science&lt;/publisher&gt;&lt;title&gt;eulerAPE: drawing area-proportional 3-Venn diagrams using ellipses.&lt;/title&gt;&lt;url&gt;http://journals.plos.org/plosone/article?id=10.1371/journal.pone.0101717&lt;/url&gt;&lt;volume&gt;9&lt;/volume&gt;&lt;publication_date&gt;99201400001200000000200000&lt;/publication_date&gt;&lt;uuid&gt;2D6027C2-6FA5-4F74-9F07-E5C183A68465&lt;/uuid&gt;&lt;type&gt;400&lt;/type&gt;&lt;accepted_date&gt;99201406101200000000222000&lt;/accepted_date&gt;&lt;number&gt;7&lt;/number&gt;&lt;submission_date&gt;99201402021200000000222000&lt;/submission_date&gt;&lt;doi&gt;10.1371/journal.pone.0101717&lt;/doi&gt;&lt;institution&gt;School of Computing, University of Kent, Canterbury, Kent, United Kingdom.&lt;/institution&gt;&lt;startpage&gt;e101717&lt;/startpage&gt;&lt;bundle&gt;&lt;publication&gt;&lt;title&gt;PLOS ONE&lt;/title&gt;&lt;uuid&gt;E1BF3C3A-FCD5-435B-83F7-A4AA15F6C054&lt;/uuid&gt;&lt;subtype&gt;-100&lt;/subtype&gt;&lt;publisher&gt;Public Library of Science&lt;/publisher&gt;&lt;type&gt;-100&lt;/type&gt;&lt;/publication&gt;&lt;/bundle&gt;&lt;authors&gt;&lt;author&gt;&lt;lastName&gt;Micallef&lt;/lastName&gt;&lt;firstName&gt;Luana&lt;/firstName&gt;&lt;/author&gt;&lt;author&gt;&lt;lastName&gt;Rodgers&lt;/lastName&gt;&lt;firstName&gt;Peter&lt;/firstName&gt;&lt;/author&gt;&lt;/authors&gt;&lt;/publication&gt;&lt;/publications&gt;&lt;cites&gt;&lt;/cites&gt;&lt;/citation&gt;</w:instrText>
      </w:r>
      <w:r w:rsidR="006B7101">
        <w:rPr>
          <w:lang w:val="en-CA"/>
        </w:rPr>
        <w:fldChar w:fldCharType="separate"/>
      </w:r>
      <w:r w:rsidR="006B7101">
        <w:t>(Micallef &amp; Rodgers, 2014)</w:t>
      </w:r>
      <w:r w:rsidR="006B7101">
        <w:rPr>
          <w:lang w:val="en-CA"/>
        </w:rPr>
        <w:fldChar w:fldCharType="end"/>
      </w:r>
      <w:r w:rsidR="006B7101">
        <w:rPr>
          <w:lang w:val="en-CA"/>
        </w:rPr>
        <w:t xml:space="preserve">. </w:t>
      </w:r>
      <w:r w:rsidR="00FC32BA">
        <w:rPr>
          <w:lang w:val="en-CA"/>
        </w:rPr>
        <w:t xml:space="preserve">RDS-II weights </w:t>
      </w:r>
      <w:r w:rsidR="000465E7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&lt;citation&gt;&lt;priority&gt;0&lt;/priority&gt;&lt;uuid&gt;DE9AC479-7FD8-4552-9E4B-2EB1287381FF&lt;/uuid&gt;&lt;publications&gt;&lt;publication&gt;&lt;subtype&gt;400&lt;/subtype&gt;&lt;publisher&gt;The Oxford University Press&lt;/publisher&gt;&lt;title&gt;Respondent-Driven Sampling II: Deriving Valid Population Estimates from Chain-Referral Samples of Hidden Populations&lt;/title&gt;&lt;url&gt;http://socpro.oxfordjournals.org/cgi/doi/10.1525/sp.2002.49.1.11&lt;/url&gt;&lt;volume&gt;49&lt;/volume&gt;&lt;publication_date&gt;99200202011200000000222000&lt;/publication_date&gt;&lt;uuid&gt;A90D6DC8-0DD4-4969-B90A-159BEE865911&lt;/uuid&gt;&lt;type&gt;400&lt;/type&gt;&lt;number&gt;1&lt;/number&gt;&lt;doi&gt;10.1525/sp.2002.49.1.11&lt;/doi&gt;&lt;startpage&gt;11&lt;/startpage&gt;&lt;endpage&gt;34&lt;/endpage&gt;&lt;bundle&gt;&lt;publication&gt;&lt;title&gt;Social Problems&lt;/title&gt;&lt;uuid&gt;5AE92671-CBF6-4C37-81BF-AB29A537AD03&lt;/uuid&gt;&lt;subtype&gt;-100&lt;/subtype&gt;&lt;publisher&gt;The Oxford University Press&lt;/publisher&gt;&lt;type&gt;-100&lt;/type&gt;&lt;/publication&gt;&lt;/bundle&gt;&lt;authors&gt;&lt;author&gt;&lt;lastName&gt;Heckathorn&lt;/lastName&gt;&lt;firstName&gt;Douglas&lt;/firstName&gt;&lt;middleNames&gt;D&lt;/middleNames&gt;&lt;/author&gt;&lt;/authors&gt;&lt;/publication&gt;&lt;/publications&gt;&lt;cites&gt;&lt;/cites&gt;&lt;/citation&gt;</w:instrText>
      </w:r>
      <w:r w:rsidR="000465E7">
        <w:rPr>
          <w:lang w:val="en-CA"/>
        </w:rPr>
        <w:fldChar w:fldCharType="separate"/>
      </w:r>
      <w:r w:rsidR="00D17915">
        <w:t>(Heckathorn, 2002)</w:t>
      </w:r>
      <w:r w:rsidR="000465E7">
        <w:rPr>
          <w:lang w:val="en-CA"/>
        </w:rPr>
        <w:fldChar w:fldCharType="end"/>
      </w:r>
      <w:r w:rsidR="000465E7">
        <w:rPr>
          <w:lang w:val="en-CA"/>
        </w:rPr>
        <w:t xml:space="preserve"> were g</w:t>
      </w:r>
      <w:r w:rsidR="008B32EA">
        <w:rPr>
          <w:lang w:val="en-CA"/>
        </w:rPr>
        <w:t xml:space="preserve">enerated in RDSAT </w:t>
      </w:r>
      <w:r w:rsidR="0009775C">
        <w:rPr>
          <w:lang w:val="en-CA"/>
        </w:rPr>
        <w:t xml:space="preserve">software </w:t>
      </w:r>
      <w:r w:rsidR="008B32EA">
        <w:rPr>
          <w:lang w:val="en-CA"/>
        </w:rPr>
        <w:t>version 7.1</w:t>
      </w:r>
      <w:r w:rsidR="000465E7">
        <w:rPr>
          <w:lang w:val="en-CA"/>
        </w:rPr>
        <w:t xml:space="preserve"> </w:t>
      </w:r>
      <w:r w:rsidR="000465E7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&lt;citation&gt;&lt;priority&gt;0&lt;/priority&gt;&lt;uuid&gt;ECC0EA05-9090-49E0-8C5D-46BEC46ECDD0&lt;/uuid&gt;&lt;publications&gt;&lt;publication&gt;&lt;subtype&gt;0&lt;/subtype&gt;&lt;place&gt;Ithaca, NY&lt;/place&gt;&lt;publisher&gt;Cornell University&lt;/publisher&gt;&lt;title&gt;Respondent-Driven Sampling Analysis Tool (RDSAT) Version 7.1&lt;/title&gt;&lt;publication_date&gt;99201200001200000000200000&lt;/publication_date&gt;&lt;uuid&gt;918551BD-CE35-40DF-AA3F-80725B5F7B0D&lt;/uuid&gt;&lt;type&gt;0&lt;/type&gt;&lt;authors&gt;&lt;author&gt;&lt;firstName&gt;E&lt;/firstName&gt;&lt;lastName&gt;Volz&lt;/lastName&gt;&lt;/author&gt;&lt;author&gt;&lt;firstName&gt;C&lt;/firstName&gt;&lt;lastName&gt;Weinert&lt;/lastName&gt;&lt;/author&gt;&lt;author&gt;&lt;firstName&gt;C&lt;/firstName&gt;&lt;lastName&gt;Cameron&lt;/lastName&gt;&lt;/author&gt;&lt;author&gt;&lt;firstName&gt;M&lt;/firstName&gt;&lt;lastName&gt;Spiller&lt;/lastName&gt;&lt;/author&gt;&lt;author&gt;&lt;firstName&gt;V&lt;/firstName&gt;&lt;lastName&gt;Barash&lt;/lastName&gt;&lt;/author&gt;&lt;author&gt;&lt;firstName&gt;I&lt;/firstName&gt;&lt;lastName&gt;Degani&lt;/lastName&gt;&lt;/author&gt;&lt;author&gt;&lt;firstName&gt;D&lt;/firstName&gt;&lt;lastName&gt;Heckathorn&lt;/lastName&gt;&lt;/author&gt;&lt;/authors&gt;&lt;/publication&gt;&lt;/publications&gt;&lt;cites&gt;&lt;/cites&gt;&lt;/citation&gt;</w:instrText>
      </w:r>
      <w:r w:rsidR="000465E7">
        <w:rPr>
          <w:lang w:val="en-CA"/>
        </w:rPr>
        <w:fldChar w:fldCharType="separate"/>
      </w:r>
      <w:r w:rsidR="00D17915">
        <w:t>(</w:t>
      </w:r>
      <w:r w:rsidR="00D17915">
        <w:rPr>
          <w:i/>
          <w:iCs/>
        </w:rPr>
        <w:t>Respondent-Driven Sampling Analysis Tool (RDSAT) Version 7.1</w:t>
      </w:r>
      <w:r w:rsidR="00D17915">
        <w:t>, 2012)</w:t>
      </w:r>
      <w:r w:rsidR="000465E7">
        <w:rPr>
          <w:lang w:val="en-CA"/>
        </w:rPr>
        <w:fldChar w:fldCharType="end"/>
      </w:r>
      <w:r w:rsidR="008B32EA">
        <w:rPr>
          <w:lang w:val="en-CA"/>
        </w:rPr>
        <w:t xml:space="preserve"> </w:t>
      </w:r>
      <w:r w:rsidR="000465E7">
        <w:rPr>
          <w:lang w:val="en-CA"/>
        </w:rPr>
        <w:t>and applied to all analyses to</w:t>
      </w:r>
      <w:r w:rsidR="00AC4159">
        <w:rPr>
          <w:lang w:val="en-CA"/>
        </w:rPr>
        <w:t xml:space="preserve"> account for recruiter-recruit homophily and participant network size, to</w:t>
      </w:r>
      <w:r w:rsidR="000465E7">
        <w:rPr>
          <w:lang w:val="en-CA"/>
        </w:rPr>
        <w:t xml:space="preserve"> produce more representative population estimates. </w:t>
      </w:r>
      <w:r w:rsidR="00367748">
        <w:rPr>
          <w:lang w:val="en-CA"/>
        </w:rPr>
        <w:t>Both crude and RDS-adjusted estimates are included in the descriptive statistics</w:t>
      </w:r>
      <w:r w:rsidR="000467DF">
        <w:rPr>
          <w:lang w:val="en-CA"/>
        </w:rPr>
        <w:t>, while</w:t>
      </w:r>
      <w:r w:rsidR="00367748">
        <w:rPr>
          <w:lang w:val="en-CA"/>
        </w:rPr>
        <w:t xml:space="preserve"> RDS-adjusted data </w:t>
      </w:r>
      <w:r w:rsidR="00DF5092">
        <w:rPr>
          <w:lang w:val="en-CA"/>
        </w:rPr>
        <w:t xml:space="preserve">were </w:t>
      </w:r>
      <w:r w:rsidR="00367748">
        <w:rPr>
          <w:lang w:val="en-CA"/>
        </w:rPr>
        <w:t xml:space="preserve">used in all </w:t>
      </w:r>
      <w:r w:rsidR="002B3CEE">
        <w:rPr>
          <w:lang w:val="en-CA"/>
        </w:rPr>
        <w:t xml:space="preserve">bivariable and multivariable </w:t>
      </w:r>
      <w:r w:rsidR="00367748">
        <w:rPr>
          <w:lang w:val="en-CA"/>
        </w:rPr>
        <w:t xml:space="preserve">analyses. </w:t>
      </w:r>
    </w:p>
    <w:p w14:paraId="6E7D5252" w14:textId="792C2D08" w:rsidR="00406B44" w:rsidRPr="00406B44" w:rsidRDefault="00477BE9" w:rsidP="000058C6">
      <w:pPr>
        <w:spacing w:line="480" w:lineRule="auto"/>
        <w:ind w:firstLine="720"/>
        <w:rPr>
          <w:lang w:val="en-CA"/>
        </w:rPr>
      </w:pPr>
      <w:r>
        <w:rPr>
          <w:lang w:val="en-CA"/>
        </w:rPr>
        <w:t>D</w:t>
      </w:r>
      <w:r w:rsidR="00326E01">
        <w:rPr>
          <w:lang w:val="en-CA"/>
        </w:rPr>
        <w:t xml:space="preserve">escriptive statistics </w:t>
      </w:r>
      <w:r>
        <w:rPr>
          <w:lang w:val="en-CA"/>
        </w:rPr>
        <w:t>characterized the baseline study sample demographic and other covariates, and estimated the prevalence of anxiety</w:t>
      </w:r>
      <w:r w:rsidR="00447A27">
        <w:rPr>
          <w:lang w:val="en-CA"/>
        </w:rPr>
        <w:t xml:space="preserve">, depression, and </w:t>
      </w:r>
      <w:r>
        <w:rPr>
          <w:lang w:val="en-CA"/>
        </w:rPr>
        <w:t xml:space="preserve">sexual orientation dimension. </w:t>
      </w:r>
      <w:r w:rsidR="006802B4">
        <w:rPr>
          <w:lang w:val="en-CA"/>
        </w:rPr>
        <w:t>Chi-square</w:t>
      </w:r>
      <w:r w:rsidR="00427F92">
        <w:rPr>
          <w:lang w:val="en-CA"/>
        </w:rPr>
        <w:t>d</w:t>
      </w:r>
      <w:r w:rsidR="006802B4">
        <w:rPr>
          <w:lang w:val="en-CA"/>
        </w:rPr>
        <w:t xml:space="preserve"> t</w:t>
      </w:r>
      <w:r>
        <w:rPr>
          <w:lang w:val="en-CA"/>
        </w:rPr>
        <w:t xml:space="preserve">ests and non-parametric Spearman rank correlations assessed bivariable associations between sexual orientation dimensions. </w:t>
      </w:r>
      <w:r w:rsidR="008749AD">
        <w:rPr>
          <w:lang w:val="en-CA"/>
        </w:rPr>
        <w:t>Multivariable logistic regression</w:t>
      </w:r>
      <w:r w:rsidR="00A2531B">
        <w:rPr>
          <w:lang w:val="en-CA"/>
        </w:rPr>
        <w:t xml:space="preserve"> </w:t>
      </w:r>
      <w:r w:rsidR="00A2531B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&lt;citation&gt;&lt;priority&gt;0&lt;/priority&gt;&lt;uuid&gt;15F7DEF4-578B-401C-9372-6ACF87E51C92&lt;/uuid&gt;&lt;publications&gt;&lt;publication&gt;&lt;subtype&gt;0&lt;/subtype&gt;&lt;place&gt;Cary, North Carolina&lt;/place&gt;&lt;publisher&gt;SAS Press&lt;/publisher&gt;&lt;title&gt;Logistic regression using SAS&lt;/title&gt;&lt;publication_date&gt;99201200001200000000200000&lt;/publication_date&gt;&lt;uuid&gt;91EBB9E3-F211-44AF-B843-D956CFF9D252&lt;/uuid&gt;&lt;type&gt;0&lt;/type&gt;&lt;authors&gt;&lt;author&gt;&lt;lastName&gt;Allison&lt;/lastName&gt;&lt;firstName&gt;Paul&lt;/firstName&gt;&lt;middleNames&gt;D&lt;/middleNames&gt;&lt;/author&gt;&lt;/authors&gt;&lt;/publication&gt;&lt;/publications&gt;&lt;cites&gt;&lt;/cites&gt;&lt;/citation&gt;</w:instrText>
      </w:r>
      <w:r w:rsidR="00A2531B">
        <w:rPr>
          <w:lang w:val="en-CA"/>
        </w:rPr>
        <w:fldChar w:fldCharType="separate"/>
      </w:r>
      <w:r w:rsidR="00A2531B">
        <w:t>(Allison, 2012)</w:t>
      </w:r>
      <w:r w:rsidR="00A2531B">
        <w:rPr>
          <w:lang w:val="en-CA"/>
        </w:rPr>
        <w:fldChar w:fldCharType="end"/>
      </w:r>
      <w:r w:rsidR="008749AD">
        <w:rPr>
          <w:lang w:val="en-CA"/>
        </w:rPr>
        <w:t xml:space="preserve"> modeled the </w:t>
      </w:r>
      <w:r w:rsidR="007B3298">
        <w:rPr>
          <w:lang w:val="en-CA"/>
        </w:rPr>
        <w:t xml:space="preserve">independent </w:t>
      </w:r>
      <w:r w:rsidR="008749AD">
        <w:rPr>
          <w:lang w:val="en-CA"/>
        </w:rPr>
        <w:t>relationship between sexual orientation dimensions and anxiety and depression, in respective models</w:t>
      </w:r>
      <w:r w:rsidR="00F043B8">
        <w:rPr>
          <w:lang w:val="en-CA"/>
        </w:rPr>
        <w:t>, adjusted for important confounders</w:t>
      </w:r>
      <w:r w:rsidR="00DB5CB4">
        <w:rPr>
          <w:lang w:val="en-CA"/>
        </w:rPr>
        <w:t xml:space="preserve">. </w:t>
      </w:r>
      <w:r w:rsidR="00396AE6">
        <w:rPr>
          <w:lang w:val="en-CA"/>
        </w:rPr>
        <w:t>V</w:t>
      </w:r>
      <w:r w:rsidR="00F673CE">
        <w:rPr>
          <w:lang w:val="en-CA"/>
        </w:rPr>
        <w:t>ariables</w:t>
      </w:r>
      <w:r w:rsidR="00E66FC8">
        <w:rPr>
          <w:lang w:val="en-CA"/>
        </w:rPr>
        <w:t xml:space="preserve"> hypothesized to </w:t>
      </w:r>
      <w:r w:rsidR="00396AE6">
        <w:rPr>
          <w:lang w:val="en-CA"/>
        </w:rPr>
        <w:t xml:space="preserve">potentially </w:t>
      </w:r>
      <w:r w:rsidR="00E66FC8">
        <w:rPr>
          <w:lang w:val="en-CA"/>
        </w:rPr>
        <w:t xml:space="preserve">confound the relationship between sexual orientation and anxiety and depression </w:t>
      </w:r>
      <w:r w:rsidR="00D17915" w:rsidRPr="00016B43">
        <w:rPr>
          <w:lang w:val="en-CA"/>
        </w:rPr>
        <w:t xml:space="preserve">were </w:t>
      </w:r>
      <w:r w:rsidR="00E85F72" w:rsidRPr="00016B43">
        <w:rPr>
          <w:lang w:val="en-CA"/>
        </w:rPr>
        <w:t xml:space="preserve">initially </w:t>
      </w:r>
      <w:r w:rsidR="00D17915" w:rsidRPr="00016B43">
        <w:rPr>
          <w:lang w:val="en-CA"/>
        </w:rPr>
        <w:t xml:space="preserve">assessed </w:t>
      </w:r>
      <w:r w:rsidR="00AE0FBB">
        <w:rPr>
          <w:lang w:val="en-CA"/>
        </w:rPr>
        <w:t>via</w:t>
      </w:r>
      <w:r w:rsidR="00D17915" w:rsidRPr="00016B43">
        <w:rPr>
          <w:lang w:val="en-CA"/>
        </w:rPr>
        <w:t xml:space="preserve"> a backward </w:t>
      </w:r>
      <w:r w:rsidR="00AB42E1" w:rsidRPr="00016B43">
        <w:rPr>
          <w:lang w:val="en-CA"/>
        </w:rPr>
        <w:t>stepwise selection process</w:t>
      </w:r>
      <w:r w:rsidR="00016B43" w:rsidRPr="00016B43">
        <w:rPr>
          <w:lang w:val="en-CA"/>
        </w:rPr>
        <w:t xml:space="preserve"> using a more than 5% ‘change-in-estimate’ strategy </w:t>
      </w:r>
      <w:r w:rsidR="00016B43" w:rsidRPr="00016B43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&lt;citation&gt;&lt;priority&gt;0&lt;/priority&gt;&lt;uuid&gt;0FD6FD45-1E43-4DE6-BBA3-AFB9963C22CA&lt;/uuid&gt;&lt;publications&gt;&lt;publication&gt;&lt;subtype&gt;400&lt;/subtype&gt;&lt;title&gt;Simulation study of confounder-selection strategies.&lt;/title&gt;&lt;url&gt;http://eutils.ncbi.nlm.nih.gov/entrez/eutils/elink.fcgi?dbfrom=pubmed&amp;amp;id=8256780&amp;amp;retmode=ref&amp;amp;cmd=prlinks&lt;/url&gt;&lt;volume&gt;138&lt;/volume&gt;&lt;publication_date&gt;99199312011200000000222000&lt;/publication_date&gt;&lt;uuid&gt;A1783F0D-90E8-44D2-9922-46DA7EBC34E0&lt;/uuid&gt;&lt;type&gt;400&lt;/type&gt;&lt;number&gt;11&lt;/number&gt;&lt;institution&gt;Division of Environmental and Occupational Health, School of Public Health, University of Minnesota, Minneapolis 55455.&lt;/institution&gt;&lt;startpage&gt;923&lt;/startpage&gt;&lt;endpage&gt;936&lt;/endpage&gt;&lt;bundle&gt;&lt;publication&gt;&lt;title&gt;American journal of epidemiology&lt;/title&gt;&lt;uuid&gt;0B658DE4-43E4-4B13-80CC-512DEE3BC4D2&lt;/uuid&gt;&lt;subtype&gt;-100&lt;/subtype&gt;&lt;type&gt;-100&lt;/type&gt;&lt;/publication&gt;&lt;/bundle&gt;&lt;authors&gt;&lt;author&gt;&lt;lastName&gt;Maldonado&lt;/lastName&gt;&lt;firstName&gt;G&lt;/firstName&gt;&lt;/author&gt;&lt;author&gt;&lt;lastName&gt;Greenland&lt;/lastName&gt;&lt;firstName&gt;S&lt;/firstName&gt;&lt;/author&gt;&lt;/authors&gt;&lt;/publication&gt;&lt;/publications&gt;&lt;cites&gt;&lt;/cites&gt;&lt;/citation&gt;</w:instrText>
      </w:r>
      <w:r w:rsidR="00016B43" w:rsidRPr="00016B43">
        <w:rPr>
          <w:lang w:val="en-CA"/>
        </w:rPr>
        <w:fldChar w:fldCharType="separate"/>
      </w:r>
      <w:r w:rsidR="00016B43">
        <w:t>(Maldonado &amp; Greenland, 1993)</w:t>
      </w:r>
      <w:r w:rsidR="00016B43" w:rsidRPr="00016B43">
        <w:rPr>
          <w:lang w:val="en-CA"/>
        </w:rPr>
        <w:fldChar w:fldCharType="end"/>
      </w:r>
      <w:r w:rsidR="00E85F72" w:rsidRPr="00016B43">
        <w:rPr>
          <w:lang w:val="en-CA"/>
        </w:rPr>
        <w:t xml:space="preserve">. Though not all met the statistical criteria for </w:t>
      </w:r>
      <w:r w:rsidR="00E844CF">
        <w:rPr>
          <w:lang w:val="en-CA"/>
        </w:rPr>
        <w:t xml:space="preserve">confounding in each model, all </w:t>
      </w:r>
      <w:r w:rsidR="005C6CC3">
        <w:rPr>
          <w:lang w:val="en-CA"/>
        </w:rPr>
        <w:t>potential</w:t>
      </w:r>
      <w:r w:rsidR="00E844CF">
        <w:rPr>
          <w:lang w:val="en-CA"/>
        </w:rPr>
        <w:t xml:space="preserve"> confounders were retained for all models based on a</w:t>
      </w:r>
      <w:r w:rsidR="005C6CC3">
        <w:rPr>
          <w:lang w:val="en-CA"/>
        </w:rPr>
        <w:t xml:space="preserve">n </w:t>
      </w:r>
      <w:r w:rsidR="005C6CC3" w:rsidRPr="00E124C2">
        <w:rPr>
          <w:i/>
          <w:lang w:val="en-CA"/>
        </w:rPr>
        <w:t>a priori</w:t>
      </w:r>
      <w:r w:rsidR="005C6CC3">
        <w:rPr>
          <w:lang w:val="en-CA"/>
        </w:rPr>
        <w:t xml:space="preserve"> conceptual model</w:t>
      </w:r>
      <w:r w:rsidR="00E844CF">
        <w:rPr>
          <w:lang w:val="en-CA"/>
        </w:rPr>
        <w:t>.</w:t>
      </w:r>
      <w:r w:rsidR="00E0257C">
        <w:rPr>
          <w:lang w:val="en-CA"/>
        </w:rPr>
        <w:t xml:space="preserve"> Adjusted odds ratios (</w:t>
      </w:r>
      <w:proofErr w:type="spellStart"/>
      <w:r w:rsidR="00E0257C">
        <w:rPr>
          <w:lang w:val="en-CA"/>
        </w:rPr>
        <w:t>aOR</w:t>
      </w:r>
      <w:proofErr w:type="spellEnd"/>
      <w:r w:rsidR="00E0257C">
        <w:rPr>
          <w:lang w:val="en-CA"/>
        </w:rPr>
        <w:t>) and 95% confidence inte</w:t>
      </w:r>
      <w:r w:rsidR="00E727DD">
        <w:rPr>
          <w:lang w:val="en-CA"/>
        </w:rPr>
        <w:t>rvals (</w:t>
      </w:r>
      <w:r w:rsidR="00E727DD" w:rsidRPr="000B6DD4">
        <w:rPr>
          <w:i/>
          <w:lang w:val="en-CA"/>
        </w:rPr>
        <w:t>p</w:t>
      </w:r>
      <w:r w:rsidR="00E727DD">
        <w:rPr>
          <w:lang w:val="en-CA"/>
        </w:rPr>
        <w:t xml:space="preserve">&lt;0.05) were calculated. </w:t>
      </w:r>
      <w:r w:rsidR="009367E9" w:rsidRPr="00EC1351">
        <w:rPr>
          <w:lang w:val="en-CA"/>
        </w:rPr>
        <w:t>Based on best practices in the literature</w:t>
      </w:r>
      <w:r w:rsidR="009C13DF">
        <w:rPr>
          <w:lang w:val="en-CA"/>
        </w:rPr>
        <w:t xml:space="preserve"> regarding potential bias toward poorer health outcomes for bisexual groups with use of a behavior measure</w:t>
      </w:r>
      <w:r w:rsidR="009367E9">
        <w:rPr>
          <w:lang w:val="en-CA"/>
        </w:rPr>
        <w:t xml:space="preserve"> </w:t>
      </w:r>
      <w:r w:rsidR="009367E9" w:rsidRPr="00EC1351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&lt;citation&gt;&lt;priority&gt;0&lt;/priority&gt;&lt;uuid&gt;762438B5-D848-4EC7-8A51-5B27FE396513&lt;/uuid&gt;&lt;publications&gt;&lt;publication&gt;&lt;subtype&gt;400&lt;/subtype&gt;&lt;title&gt;The problem with ‘behavioral bisexuality': Assessing sexual orientation in survey research&lt;/title&gt;&lt;url&gt;http://www-tandfonline-com.ezproxy.library.ubc.ca/doi/abs/10.1080/15299716.2013.782260&lt;/url&gt;&lt;volume&gt;13&lt;/volume&gt;&lt;publication_date&gt;99201304241200000000222000&lt;/publication_date&gt;&lt;uuid&gt;60999C3B-B38B-4F05-B2D2-9EDE5B4CF70D&lt;/uuid&gt;&lt;type&gt;400&lt;/type&gt;&lt;number&gt;2&lt;/number&gt;&lt;citekey&gt;Bauer:2013gb&lt;/citekey&gt;&lt;doi&gt;10.1080/15299716.2013.782260&lt;/doi&gt;&lt;startpage&gt;148&lt;/startpage&gt;&lt;endpage&gt;165&lt;/endpage&gt;&lt;bundle&gt;&lt;publication&gt;&lt;title&gt;Journal of Bisexuality&lt;/title&gt;&lt;uuid&gt;8E83A83A-2FE2-48CD-A32E-7776EA126EA3&lt;/uuid&gt;&lt;subtype&gt;-100&lt;/subtype&gt;&lt;publisher&gt; Taylor &amp;amp; Francis Group&lt;/publisher&gt;&lt;type&gt;-100&lt;/type&gt;&lt;/publication&gt;&lt;/bundle&gt;&lt;authors&gt;&lt;author&gt;&lt;lastName&gt;Bauer&lt;/lastName&gt;&lt;firstName&gt;Greta&lt;/firstName&gt;&lt;middleNames&gt;R&lt;/middleNames&gt;&lt;/author&gt;&lt;author&gt;&lt;lastName&gt;Brennan&lt;/lastName&gt;&lt;firstName&gt;David&lt;/firstName&gt;&lt;middleNames&gt;J&lt;/middleNames&gt;&lt;/author&gt;&lt;/authors&gt;&lt;/publication&gt;&lt;/publications&gt;&lt;cites&gt;&lt;/cites&gt;&lt;/citation&gt;</w:instrText>
      </w:r>
      <w:r w:rsidR="009367E9" w:rsidRPr="00EC1351">
        <w:rPr>
          <w:lang w:val="en-CA"/>
        </w:rPr>
        <w:fldChar w:fldCharType="separate"/>
      </w:r>
      <w:r w:rsidR="009367E9" w:rsidRPr="00EC1351">
        <w:t>(Bauer &amp; Brennan, 2013)</w:t>
      </w:r>
      <w:r w:rsidR="009367E9" w:rsidRPr="00EC1351">
        <w:rPr>
          <w:lang w:val="en-CA"/>
        </w:rPr>
        <w:fldChar w:fldCharType="end"/>
      </w:r>
      <w:r w:rsidR="009367E9" w:rsidRPr="00EC1351">
        <w:rPr>
          <w:lang w:val="en-CA"/>
        </w:rPr>
        <w:t xml:space="preserve">, a sensitivity analysis </w:t>
      </w:r>
      <w:r w:rsidR="006300E4">
        <w:rPr>
          <w:lang w:val="en-CA"/>
        </w:rPr>
        <w:t xml:space="preserve">was conducted by re-analyzing the behavioural multivariable models for anxiety and depression with inclusion of </w:t>
      </w:r>
      <w:r w:rsidR="009367E9" w:rsidRPr="00EC1351">
        <w:rPr>
          <w:lang w:val="en-CA"/>
        </w:rPr>
        <w:t xml:space="preserve">number of sexual partners in </w:t>
      </w:r>
      <w:r w:rsidR="009367E9" w:rsidRPr="00EC1351">
        <w:rPr>
          <w:lang w:val="en-CA"/>
        </w:rPr>
        <w:lastRenderedPageBreak/>
        <w:t xml:space="preserve">the past six months </w:t>
      </w:r>
      <w:r w:rsidR="006300E4">
        <w:rPr>
          <w:lang w:val="en-CA"/>
        </w:rPr>
        <w:t>for additional adjustment</w:t>
      </w:r>
      <w:r w:rsidR="009367E9" w:rsidRPr="00EC1351">
        <w:rPr>
          <w:lang w:val="en-CA"/>
        </w:rPr>
        <w:t>.</w:t>
      </w:r>
      <w:r w:rsidR="00D85A72">
        <w:rPr>
          <w:lang w:val="en-CA"/>
        </w:rPr>
        <w:t xml:space="preserve"> </w:t>
      </w:r>
      <w:r w:rsidR="00D85A72" w:rsidRPr="00406B44">
        <w:rPr>
          <w:lang w:val="en-CA"/>
        </w:rPr>
        <w:t xml:space="preserve">This study received ethical approval from the research ethics boards of the University of British Columbia, </w:t>
      </w:r>
      <w:r w:rsidR="00D85A72">
        <w:rPr>
          <w:lang w:val="en-CA"/>
        </w:rPr>
        <w:t xml:space="preserve">the </w:t>
      </w:r>
      <w:r w:rsidR="00D85A72" w:rsidRPr="00406B44">
        <w:rPr>
          <w:lang w:val="en-CA"/>
        </w:rPr>
        <w:t>University of Victoria</w:t>
      </w:r>
      <w:r w:rsidR="005859BF">
        <w:rPr>
          <w:lang w:val="en-CA"/>
        </w:rPr>
        <w:t>,</w:t>
      </w:r>
      <w:r w:rsidR="00D85A72" w:rsidRPr="00406B44">
        <w:rPr>
          <w:lang w:val="en-CA"/>
        </w:rPr>
        <w:t xml:space="preserve"> and Simon Fraser University.</w:t>
      </w:r>
    </w:p>
    <w:p w14:paraId="20757B79" w14:textId="11E65444" w:rsidR="00C64755" w:rsidRPr="00B931F4" w:rsidRDefault="00C64755" w:rsidP="000058C6">
      <w:pPr>
        <w:spacing w:line="480" w:lineRule="auto"/>
        <w:rPr>
          <w:b/>
          <w:lang w:val="en-CA"/>
        </w:rPr>
      </w:pPr>
    </w:p>
    <w:p w14:paraId="73C2DB9C" w14:textId="77777777" w:rsidR="00B4333A" w:rsidRDefault="00A637F0" w:rsidP="00B817AD">
      <w:pPr>
        <w:spacing w:line="480" w:lineRule="auto"/>
        <w:outlineLvl w:val="0"/>
        <w:rPr>
          <w:b/>
          <w:lang w:val="en-CA"/>
        </w:rPr>
      </w:pPr>
      <w:r w:rsidRPr="00EC1351">
        <w:rPr>
          <w:b/>
          <w:lang w:val="en-CA"/>
        </w:rPr>
        <w:t>Results</w:t>
      </w:r>
    </w:p>
    <w:p w14:paraId="0D834468" w14:textId="1A6AF314" w:rsidR="00C443A9" w:rsidRPr="00B4333A" w:rsidRDefault="00C443A9" w:rsidP="00B4333A">
      <w:pPr>
        <w:spacing w:line="480" w:lineRule="auto"/>
        <w:rPr>
          <w:b/>
          <w:lang w:val="en-CA"/>
        </w:rPr>
      </w:pPr>
      <w:r w:rsidRPr="00DB1980">
        <w:rPr>
          <w:b/>
          <w:lang w:val="en-CA"/>
        </w:rPr>
        <w:t>Table 1</w:t>
      </w:r>
      <w:r>
        <w:rPr>
          <w:lang w:val="en-CA"/>
        </w:rPr>
        <w:t xml:space="preserve"> summarizes characteristics of the overall study sample</w:t>
      </w:r>
      <w:r w:rsidR="005B471A">
        <w:rPr>
          <w:lang w:val="en-CA"/>
        </w:rPr>
        <w:t xml:space="preserve"> (n=774)</w:t>
      </w:r>
      <w:r>
        <w:rPr>
          <w:lang w:val="en-CA"/>
        </w:rPr>
        <w:t>.</w:t>
      </w:r>
      <w:r w:rsidR="00D25658">
        <w:rPr>
          <w:lang w:val="en-CA"/>
        </w:rPr>
        <w:t xml:space="preserve"> The median HADS anxiety score was 8 (</w:t>
      </w:r>
      <w:r w:rsidR="006E3579">
        <w:rPr>
          <w:lang w:val="en-CA"/>
        </w:rPr>
        <w:t>Q</w:t>
      </w:r>
      <w:r w:rsidR="00E8360D">
        <w:rPr>
          <w:lang w:val="en-CA"/>
        </w:rPr>
        <w:t xml:space="preserve">uartile </w:t>
      </w:r>
      <w:r w:rsidR="006E3579">
        <w:rPr>
          <w:lang w:val="en-CA"/>
        </w:rPr>
        <w:t>1,</w:t>
      </w:r>
      <w:r w:rsidR="006F0524">
        <w:rPr>
          <w:lang w:val="en-CA"/>
        </w:rPr>
        <w:t xml:space="preserve"> </w:t>
      </w:r>
      <w:r w:rsidR="006E3579">
        <w:rPr>
          <w:lang w:val="en-CA"/>
        </w:rPr>
        <w:t>Q</w:t>
      </w:r>
      <w:r w:rsidR="00E8360D">
        <w:rPr>
          <w:lang w:val="en-CA"/>
        </w:rPr>
        <w:t xml:space="preserve">uartile </w:t>
      </w:r>
      <w:r w:rsidR="006E3579">
        <w:rPr>
          <w:lang w:val="en-CA"/>
        </w:rPr>
        <w:t>3</w:t>
      </w:r>
      <w:r w:rsidR="00D25658">
        <w:rPr>
          <w:lang w:val="en-CA"/>
        </w:rPr>
        <w:t>:</w:t>
      </w:r>
      <w:r w:rsidR="00B7487C">
        <w:rPr>
          <w:lang w:val="en-CA"/>
        </w:rPr>
        <w:t xml:space="preserve"> </w:t>
      </w:r>
      <w:r w:rsidR="00D25658">
        <w:rPr>
          <w:lang w:val="en-CA"/>
        </w:rPr>
        <w:t>5,</w:t>
      </w:r>
      <w:r w:rsidR="00B7487C">
        <w:rPr>
          <w:lang w:val="en-CA"/>
        </w:rPr>
        <w:t xml:space="preserve"> </w:t>
      </w:r>
      <w:r w:rsidR="00D25658">
        <w:rPr>
          <w:lang w:val="en-CA"/>
        </w:rPr>
        <w:t>11), meeting the criteria for anxiety caseness. Median HADS depression score was 3 (</w:t>
      </w:r>
      <w:r w:rsidR="003F7F33">
        <w:rPr>
          <w:lang w:val="en-CA"/>
        </w:rPr>
        <w:t>Q</w:t>
      </w:r>
      <w:r w:rsidR="00E8360D">
        <w:rPr>
          <w:lang w:val="en-CA"/>
        </w:rPr>
        <w:t xml:space="preserve">uartile </w:t>
      </w:r>
      <w:r w:rsidR="003F7F33">
        <w:rPr>
          <w:lang w:val="en-CA"/>
        </w:rPr>
        <w:t>1</w:t>
      </w:r>
      <w:r w:rsidR="006E3579">
        <w:rPr>
          <w:lang w:val="en-CA"/>
        </w:rPr>
        <w:t>,</w:t>
      </w:r>
      <w:r w:rsidR="006F0524">
        <w:rPr>
          <w:lang w:val="en-CA"/>
        </w:rPr>
        <w:t xml:space="preserve"> </w:t>
      </w:r>
      <w:r w:rsidR="006E3579">
        <w:rPr>
          <w:lang w:val="en-CA"/>
        </w:rPr>
        <w:t>Q</w:t>
      </w:r>
      <w:r w:rsidR="00E8360D">
        <w:rPr>
          <w:lang w:val="en-CA"/>
        </w:rPr>
        <w:t xml:space="preserve">uartile </w:t>
      </w:r>
      <w:r w:rsidR="006E3579">
        <w:rPr>
          <w:lang w:val="en-CA"/>
        </w:rPr>
        <w:t>3</w:t>
      </w:r>
      <w:r w:rsidR="00D25658">
        <w:rPr>
          <w:lang w:val="en-CA"/>
        </w:rPr>
        <w:t>:</w:t>
      </w:r>
      <w:r w:rsidR="00B7487C">
        <w:rPr>
          <w:lang w:val="en-CA"/>
        </w:rPr>
        <w:t xml:space="preserve"> </w:t>
      </w:r>
      <w:r w:rsidR="00D25658">
        <w:rPr>
          <w:lang w:val="en-CA"/>
        </w:rPr>
        <w:t>2,</w:t>
      </w:r>
      <w:r w:rsidR="00B7487C">
        <w:rPr>
          <w:lang w:val="en-CA"/>
        </w:rPr>
        <w:t xml:space="preserve"> </w:t>
      </w:r>
      <w:r w:rsidR="00D25658">
        <w:rPr>
          <w:lang w:val="en-CA"/>
        </w:rPr>
        <w:t>6), not meeting the criteria for depression caseness. Sample median age was 34 (</w:t>
      </w:r>
      <w:r w:rsidR="006E3579">
        <w:rPr>
          <w:lang w:val="en-CA"/>
        </w:rPr>
        <w:t>Q</w:t>
      </w:r>
      <w:r w:rsidR="00E8360D">
        <w:rPr>
          <w:lang w:val="en-CA"/>
        </w:rPr>
        <w:t xml:space="preserve">uartile </w:t>
      </w:r>
      <w:r w:rsidR="006E3579">
        <w:rPr>
          <w:lang w:val="en-CA"/>
        </w:rPr>
        <w:t>1,</w:t>
      </w:r>
      <w:r w:rsidR="006F0524">
        <w:rPr>
          <w:lang w:val="en-CA"/>
        </w:rPr>
        <w:t xml:space="preserve"> </w:t>
      </w:r>
      <w:r w:rsidR="006E3579">
        <w:rPr>
          <w:lang w:val="en-CA"/>
        </w:rPr>
        <w:t>Q</w:t>
      </w:r>
      <w:r w:rsidR="00E8360D">
        <w:rPr>
          <w:lang w:val="en-CA"/>
        </w:rPr>
        <w:t xml:space="preserve">uartile </w:t>
      </w:r>
      <w:r w:rsidR="006E3579">
        <w:rPr>
          <w:lang w:val="en-CA"/>
        </w:rPr>
        <w:t>3</w:t>
      </w:r>
      <w:r w:rsidR="00D25658">
        <w:rPr>
          <w:lang w:val="en-CA"/>
        </w:rPr>
        <w:t>:</w:t>
      </w:r>
      <w:r w:rsidR="00B7487C">
        <w:rPr>
          <w:lang w:val="en-CA"/>
        </w:rPr>
        <w:t xml:space="preserve"> </w:t>
      </w:r>
      <w:r w:rsidR="00D25658">
        <w:rPr>
          <w:lang w:val="en-CA"/>
        </w:rPr>
        <w:t>26,</w:t>
      </w:r>
      <w:r w:rsidR="00B7487C">
        <w:rPr>
          <w:lang w:val="en-CA"/>
        </w:rPr>
        <w:t xml:space="preserve"> </w:t>
      </w:r>
      <w:r w:rsidR="00D25658">
        <w:rPr>
          <w:lang w:val="en-CA"/>
        </w:rPr>
        <w:t>47), and participants reported a median of 6 sexual partners in the past 6 months (</w:t>
      </w:r>
      <w:r w:rsidR="006E3579">
        <w:rPr>
          <w:lang w:val="en-CA"/>
        </w:rPr>
        <w:t>Q</w:t>
      </w:r>
      <w:r w:rsidR="00E8360D">
        <w:rPr>
          <w:lang w:val="en-CA"/>
        </w:rPr>
        <w:t xml:space="preserve">uartile </w:t>
      </w:r>
      <w:r w:rsidR="006E3579">
        <w:rPr>
          <w:lang w:val="en-CA"/>
        </w:rPr>
        <w:t>1,</w:t>
      </w:r>
      <w:r w:rsidR="006F0524">
        <w:rPr>
          <w:lang w:val="en-CA"/>
        </w:rPr>
        <w:t xml:space="preserve"> </w:t>
      </w:r>
      <w:r w:rsidR="006E3579">
        <w:rPr>
          <w:lang w:val="en-CA"/>
        </w:rPr>
        <w:t>Q</w:t>
      </w:r>
      <w:r w:rsidR="00E8360D">
        <w:rPr>
          <w:lang w:val="en-CA"/>
        </w:rPr>
        <w:t xml:space="preserve">uartile </w:t>
      </w:r>
      <w:r w:rsidR="006E3579">
        <w:rPr>
          <w:lang w:val="en-CA"/>
        </w:rPr>
        <w:t>3</w:t>
      </w:r>
      <w:r w:rsidR="00D25658">
        <w:rPr>
          <w:lang w:val="en-CA"/>
        </w:rPr>
        <w:t>:</w:t>
      </w:r>
      <w:r w:rsidR="00B7487C">
        <w:rPr>
          <w:lang w:val="en-CA"/>
        </w:rPr>
        <w:t xml:space="preserve"> </w:t>
      </w:r>
      <w:r w:rsidR="00D25658">
        <w:rPr>
          <w:lang w:val="en-CA"/>
        </w:rPr>
        <w:t>3,</w:t>
      </w:r>
      <w:r w:rsidR="00B7487C">
        <w:rPr>
          <w:lang w:val="en-CA"/>
        </w:rPr>
        <w:t xml:space="preserve"> </w:t>
      </w:r>
      <w:r w:rsidR="00D25658">
        <w:rPr>
          <w:lang w:val="en-CA"/>
        </w:rPr>
        <w:t>14). After RDS adjustment, 84.5% of the sample identified as gay</w:t>
      </w:r>
      <w:r w:rsidR="008537BC">
        <w:rPr>
          <w:lang w:val="en-CA"/>
        </w:rPr>
        <w:t xml:space="preserve"> and </w:t>
      </w:r>
      <w:r w:rsidR="00D25658">
        <w:rPr>
          <w:lang w:val="en-CA"/>
        </w:rPr>
        <w:t xml:space="preserve">15.5% identified as bisexual. </w:t>
      </w:r>
      <w:r w:rsidR="005A0474">
        <w:rPr>
          <w:lang w:val="en-CA"/>
        </w:rPr>
        <w:t xml:space="preserve">In terms of attraction, </w:t>
      </w:r>
      <w:r w:rsidR="006751B2">
        <w:rPr>
          <w:lang w:val="en-CA"/>
        </w:rPr>
        <w:t>66.6% reported attraction to men excl</w:t>
      </w:r>
      <w:r w:rsidR="009D15E5">
        <w:rPr>
          <w:lang w:val="en-CA"/>
        </w:rPr>
        <w:t>usively</w:t>
      </w:r>
      <w:r w:rsidR="008537BC">
        <w:rPr>
          <w:lang w:val="en-CA"/>
        </w:rPr>
        <w:t xml:space="preserve"> and</w:t>
      </w:r>
      <w:r w:rsidR="009D15E5">
        <w:rPr>
          <w:lang w:val="en-CA"/>
        </w:rPr>
        <w:t xml:space="preserve"> 33.4% to men and women. </w:t>
      </w:r>
      <w:r w:rsidR="000C3D87">
        <w:rPr>
          <w:lang w:val="en-CA"/>
        </w:rPr>
        <w:t>Three-quarters of participants (77.3%) reported sexual activity with men only</w:t>
      </w:r>
      <w:r w:rsidR="00BA4FA4">
        <w:rPr>
          <w:lang w:val="en-CA"/>
        </w:rPr>
        <w:t xml:space="preserve"> </w:t>
      </w:r>
      <w:r w:rsidR="000C3D87">
        <w:rPr>
          <w:lang w:val="en-CA"/>
        </w:rPr>
        <w:t xml:space="preserve">and 22.7% reported any </w:t>
      </w:r>
      <w:r w:rsidR="001F7134">
        <w:rPr>
          <w:lang w:val="en-CA"/>
        </w:rPr>
        <w:t xml:space="preserve">sexual </w:t>
      </w:r>
      <w:r w:rsidR="000C3D87">
        <w:rPr>
          <w:lang w:val="en-CA"/>
        </w:rPr>
        <w:t>activity with men and women</w:t>
      </w:r>
      <w:r w:rsidR="001F7134">
        <w:rPr>
          <w:lang w:val="en-CA"/>
        </w:rPr>
        <w:t>, in the past two years</w:t>
      </w:r>
      <w:r w:rsidR="000C3D87">
        <w:rPr>
          <w:lang w:val="en-CA"/>
        </w:rPr>
        <w:t xml:space="preserve">. </w:t>
      </w:r>
      <w:r w:rsidR="00AE72CD">
        <w:rPr>
          <w:lang w:val="en-CA"/>
        </w:rPr>
        <w:t xml:space="preserve">The majority of the sample reported an annual income of less than $30,000 (72.9%), identified as White (68.5%) and had attained greater than </w:t>
      </w:r>
      <w:r w:rsidR="00FA28C8">
        <w:rPr>
          <w:lang w:val="en-CA"/>
        </w:rPr>
        <w:t xml:space="preserve">high school </w:t>
      </w:r>
      <w:r w:rsidR="00AE72CD">
        <w:rPr>
          <w:lang w:val="en-CA"/>
        </w:rPr>
        <w:t>education (67.</w:t>
      </w:r>
      <w:r w:rsidR="00FA28C8">
        <w:rPr>
          <w:lang w:val="en-CA"/>
        </w:rPr>
        <w:t>4</w:t>
      </w:r>
      <w:r w:rsidR="00AE72CD">
        <w:rPr>
          <w:lang w:val="en-CA"/>
        </w:rPr>
        <w:t>%). Approximately one-third of respondents (37.6%) had a regular partner or were married at the time of study visit</w:t>
      </w:r>
      <w:r w:rsidR="007A02F3">
        <w:rPr>
          <w:lang w:val="en-CA"/>
        </w:rPr>
        <w:t xml:space="preserve"> and 27.4% were HIV-positive by self-report</w:t>
      </w:r>
      <w:r w:rsidR="00AE72CD">
        <w:rPr>
          <w:lang w:val="en-CA"/>
        </w:rPr>
        <w:t xml:space="preserve">. </w:t>
      </w:r>
    </w:p>
    <w:p w14:paraId="4D82A6AA" w14:textId="04BA082D" w:rsidR="00A11C17" w:rsidRDefault="009C7CB4" w:rsidP="000058C6">
      <w:pPr>
        <w:spacing w:line="480" w:lineRule="auto"/>
        <w:ind w:firstLine="720"/>
        <w:rPr>
          <w:lang w:val="en-CA"/>
        </w:rPr>
      </w:pPr>
      <w:r w:rsidRPr="00DB1980">
        <w:rPr>
          <w:b/>
          <w:lang w:val="en-CA"/>
        </w:rPr>
        <w:t>Table 2a</w:t>
      </w:r>
      <w:r>
        <w:rPr>
          <w:lang w:val="en-CA"/>
        </w:rPr>
        <w:t xml:space="preserve"> presents anxiety scores by sexual orientation measure. Overall, over half the sample (56.0%) met the criteri</w:t>
      </w:r>
      <w:r w:rsidR="006342B1">
        <w:rPr>
          <w:lang w:val="en-CA"/>
        </w:rPr>
        <w:t>on</w:t>
      </w:r>
      <w:r>
        <w:rPr>
          <w:lang w:val="en-CA"/>
        </w:rPr>
        <w:t xml:space="preserve"> for anxiety</w:t>
      </w:r>
      <w:r w:rsidR="00D2740A">
        <w:rPr>
          <w:lang w:val="en-CA"/>
        </w:rPr>
        <w:t xml:space="preserve"> (HADS-A score ≥8)</w:t>
      </w:r>
      <w:r>
        <w:rPr>
          <w:lang w:val="en-CA"/>
        </w:rPr>
        <w:t xml:space="preserve">. </w:t>
      </w:r>
      <w:r w:rsidR="00D26D09">
        <w:rPr>
          <w:lang w:val="en-CA"/>
        </w:rPr>
        <w:t xml:space="preserve">By sexual orientation measure, 69.6% of bisexually identified men, 63.3% of bisexually attracted men, and 62.9% of bisexually behaving men met the anxiety </w:t>
      </w:r>
      <w:r w:rsidR="002551D3">
        <w:rPr>
          <w:lang w:val="en-CA"/>
        </w:rPr>
        <w:t>cut-off</w:t>
      </w:r>
      <w:r w:rsidR="00D26D09">
        <w:rPr>
          <w:lang w:val="en-CA"/>
        </w:rPr>
        <w:t xml:space="preserve">. </w:t>
      </w:r>
      <w:r w:rsidR="002551D3" w:rsidRPr="00DB1980">
        <w:rPr>
          <w:b/>
          <w:lang w:val="en-CA"/>
        </w:rPr>
        <w:t>Table 2b</w:t>
      </w:r>
      <w:r w:rsidR="002551D3">
        <w:rPr>
          <w:lang w:val="en-CA"/>
        </w:rPr>
        <w:t xml:space="preserve"> displays depression scores by sexual orientation measure. 17.4% of the overall sample, 32.4% of bisexually identified men, 21.5% of </w:t>
      </w:r>
      <w:r w:rsidR="002551D3">
        <w:rPr>
          <w:lang w:val="en-CA"/>
        </w:rPr>
        <w:lastRenderedPageBreak/>
        <w:t>bisexually attracted men, and 20.6% of bisexually behaving men met the criteri</w:t>
      </w:r>
      <w:r w:rsidR="006342B1">
        <w:rPr>
          <w:lang w:val="en-CA"/>
        </w:rPr>
        <w:t>on</w:t>
      </w:r>
      <w:r w:rsidR="002551D3">
        <w:rPr>
          <w:lang w:val="en-CA"/>
        </w:rPr>
        <w:t xml:space="preserve"> for depression</w:t>
      </w:r>
      <w:r w:rsidR="00402E37">
        <w:rPr>
          <w:lang w:val="en-CA"/>
        </w:rPr>
        <w:t xml:space="preserve"> (HADS-D score ≥8)</w:t>
      </w:r>
      <w:r w:rsidR="002551D3">
        <w:rPr>
          <w:lang w:val="en-CA"/>
        </w:rPr>
        <w:t xml:space="preserve">. </w:t>
      </w:r>
    </w:p>
    <w:p w14:paraId="22A8EDB5" w14:textId="77D77A59" w:rsidR="00AB3107" w:rsidRPr="000058C6" w:rsidRDefault="00C73DC5" w:rsidP="000058C6">
      <w:pPr>
        <w:spacing w:line="480" w:lineRule="auto"/>
        <w:ind w:firstLine="720"/>
        <w:rPr>
          <w:vertAlign w:val="superscript"/>
        </w:rPr>
      </w:pPr>
      <w:r>
        <w:rPr>
          <w:lang w:val="en-CA"/>
        </w:rPr>
        <w:t>Spearman rank c</w:t>
      </w:r>
      <w:r w:rsidR="005B039F">
        <w:rPr>
          <w:lang w:val="en-CA"/>
        </w:rPr>
        <w:t xml:space="preserve">orrelations between sexual orientation measures for bisexual men are included in </w:t>
      </w:r>
      <w:r w:rsidR="005B039F" w:rsidRPr="00DB1980">
        <w:rPr>
          <w:b/>
          <w:lang w:val="en-CA"/>
        </w:rPr>
        <w:t>Table 3</w:t>
      </w:r>
      <w:r w:rsidR="0099153F">
        <w:rPr>
          <w:lang w:val="en-CA"/>
        </w:rPr>
        <w:t xml:space="preserve">, all correlations were </w:t>
      </w:r>
      <w:r w:rsidR="00A60B3F">
        <w:rPr>
          <w:lang w:val="en-CA"/>
        </w:rPr>
        <w:t xml:space="preserve">statistically </w:t>
      </w:r>
      <w:r w:rsidR="0099153F">
        <w:rPr>
          <w:lang w:val="en-CA"/>
        </w:rPr>
        <w:t xml:space="preserve">significant at the </w:t>
      </w:r>
      <w:r w:rsidR="0099153F" w:rsidRPr="000B6DD4">
        <w:rPr>
          <w:i/>
          <w:lang w:val="en-CA"/>
        </w:rPr>
        <w:t>p</w:t>
      </w:r>
      <w:r w:rsidR="0099153F">
        <w:rPr>
          <w:lang w:val="en-CA"/>
        </w:rPr>
        <w:t>&lt;0.0001 level</w:t>
      </w:r>
      <w:r w:rsidR="005B039F">
        <w:rPr>
          <w:lang w:val="en-CA"/>
        </w:rPr>
        <w:t>.</w:t>
      </w:r>
      <w:r w:rsidR="00881C1D">
        <w:rPr>
          <w:lang w:val="en-CA"/>
        </w:rPr>
        <w:t xml:space="preserve"> </w:t>
      </w:r>
      <w:r w:rsidR="0099153F">
        <w:rPr>
          <w:lang w:val="en-CA"/>
        </w:rPr>
        <w:t xml:space="preserve">The correlation was largest for </w:t>
      </w:r>
      <w:r w:rsidR="00B816DB">
        <w:rPr>
          <w:lang w:val="en-CA"/>
        </w:rPr>
        <w:t>behavior</w:t>
      </w:r>
      <w:r w:rsidR="0099153F">
        <w:rPr>
          <w:lang w:val="en-CA"/>
        </w:rPr>
        <w:t xml:space="preserve"> and identity (0.58) and smallest for attraction and identity (0.46). </w:t>
      </w:r>
      <w:r w:rsidR="000867FA">
        <w:rPr>
          <w:lang w:val="en-CA"/>
        </w:rPr>
        <w:t>Chi-squared t</w:t>
      </w:r>
      <w:r w:rsidR="00AB7944">
        <w:rPr>
          <w:lang w:val="en-CA"/>
        </w:rPr>
        <w:t xml:space="preserve">ests also explored associations between sexual orientation measures, all with significant results at the </w:t>
      </w:r>
      <w:r w:rsidR="00AB7944" w:rsidRPr="000B6DD4">
        <w:rPr>
          <w:i/>
          <w:lang w:val="en-CA"/>
        </w:rPr>
        <w:t>p</w:t>
      </w:r>
      <w:r w:rsidR="00AB7944">
        <w:rPr>
          <w:lang w:val="en-CA"/>
        </w:rPr>
        <w:t xml:space="preserve">&lt;0.0001 level (results not shown). </w:t>
      </w:r>
      <w:r w:rsidR="006E09B2" w:rsidRPr="00DB1980">
        <w:rPr>
          <w:b/>
          <w:lang w:val="en-CA"/>
        </w:rPr>
        <w:t>Figure 1</w:t>
      </w:r>
      <w:r w:rsidR="00071187">
        <w:rPr>
          <w:lang w:val="en-CA"/>
        </w:rPr>
        <w:t xml:space="preserve"> illustrates the overlap between the sexual orientation measures for bisexuality</w:t>
      </w:r>
      <w:r w:rsidR="00C049A7">
        <w:rPr>
          <w:lang w:val="en-CA"/>
        </w:rPr>
        <w:t>,</w:t>
      </w:r>
      <w:r w:rsidR="00C049A7" w:rsidRPr="00C049A7">
        <w:rPr>
          <w:lang w:val="en-CA"/>
        </w:rPr>
        <w:t xml:space="preserve"> </w:t>
      </w:r>
      <w:r w:rsidR="00C049A7">
        <w:rPr>
          <w:lang w:val="en-CA"/>
        </w:rPr>
        <w:t>for those who endorsed at least one bisexuality measure</w:t>
      </w:r>
      <w:r w:rsidR="00BE0AE0">
        <w:rPr>
          <w:lang w:val="en-CA"/>
        </w:rPr>
        <w:t>. Sexual orientation dimension overlap is presented</w:t>
      </w:r>
      <w:r w:rsidR="00A20607">
        <w:rPr>
          <w:lang w:val="en-CA"/>
        </w:rPr>
        <w:t xml:space="preserve"> </w:t>
      </w:r>
      <w:r w:rsidR="00BE0AE0">
        <w:rPr>
          <w:lang w:val="en-CA"/>
        </w:rPr>
        <w:t xml:space="preserve">for bisexuality overall </w:t>
      </w:r>
      <w:r w:rsidR="00C049A7">
        <w:rPr>
          <w:lang w:val="en-CA"/>
        </w:rPr>
        <w:t>and by those who met the case definitions for anxiety and depression</w:t>
      </w:r>
      <w:r w:rsidR="008739A8">
        <w:rPr>
          <w:lang w:val="en-CA"/>
        </w:rPr>
        <w:t>. Of the 218 men who endorsed at least one measure of bisexuality</w:t>
      </w:r>
      <w:r w:rsidR="004272A3">
        <w:rPr>
          <w:lang w:val="en-CA"/>
        </w:rPr>
        <w:t>,</w:t>
      </w:r>
      <w:r w:rsidR="005E40C0">
        <w:rPr>
          <w:lang w:val="en-CA"/>
        </w:rPr>
        <w:t xml:space="preserve"> </w:t>
      </w:r>
      <w:r w:rsidR="00600416">
        <w:rPr>
          <w:lang w:val="en-CA"/>
        </w:rPr>
        <w:t>54 of 218</w:t>
      </w:r>
      <w:r w:rsidR="005444F3">
        <w:rPr>
          <w:lang w:val="en-CA"/>
        </w:rPr>
        <w:t xml:space="preserve"> m</w:t>
      </w:r>
      <w:r w:rsidR="004272A3">
        <w:rPr>
          <w:lang w:val="en-CA"/>
        </w:rPr>
        <w:t>en endors</w:t>
      </w:r>
      <w:r w:rsidR="00AE4DA3">
        <w:rPr>
          <w:lang w:val="en-CA"/>
        </w:rPr>
        <w:t>ed</w:t>
      </w:r>
      <w:r w:rsidR="004272A3">
        <w:rPr>
          <w:lang w:val="en-CA"/>
        </w:rPr>
        <w:t xml:space="preserve"> all three,</w:t>
      </w:r>
      <w:r w:rsidR="005444F3">
        <w:rPr>
          <w:lang w:val="en-CA"/>
        </w:rPr>
        <w:t xml:space="preserve"> </w:t>
      </w:r>
      <w:r w:rsidR="005A5289">
        <w:rPr>
          <w:lang w:val="en-CA"/>
        </w:rPr>
        <w:t>46</w:t>
      </w:r>
      <w:r w:rsidR="005444F3">
        <w:rPr>
          <w:lang w:val="en-CA"/>
        </w:rPr>
        <w:t xml:space="preserve"> endorsed </w:t>
      </w:r>
      <w:r w:rsidR="004272A3">
        <w:rPr>
          <w:lang w:val="en-CA"/>
        </w:rPr>
        <w:t xml:space="preserve">only </w:t>
      </w:r>
      <w:r w:rsidR="005444F3">
        <w:rPr>
          <w:lang w:val="en-CA"/>
        </w:rPr>
        <w:t>two</w:t>
      </w:r>
      <w:r w:rsidR="005E40C0">
        <w:rPr>
          <w:lang w:val="en-CA"/>
        </w:rPr>
        <w:t xml:space="preserve"> measures, and 118</w:t>
      </w:r>
      <w:r w:rsidR="005444F3">
        <w:rPr>
          <w:lang w:val="en-CA"/>
        </w:rPr>
        <w:t xml:space="preserve"> endorsed only one</w:t>
      </w:r>
      <w:r w:rsidR="00B10436">
        <w:rPr>
          <w:lang w:val="en-CA"/>
        </w:rPr>
        <w:t xml:space="preserve"> measure</w:t>
      </w:r>
      <w:r w:rsidR="005E40C0">
        <w:rPr>
          <w:lang w:val="en-CA"/>
        </w:rPr>
        <w:t xml:space="preserve"> (3 identity, 8 </w:t>
      </w:r>
      <w:r w:rsidR="00B816DB">
        <w:rPr>
          <w:lang w:val="en-CA"/>
        </w:rPr>
        <w:t>behavior</w:t>
      </w:r>
      <w:r w:rsidR="005E40C0">
        <w:rPr>
          <w:lang w:val="en-CA"/>
        </w:rPr>
        <w:t>, 107 attraction only)</w:t>
      </w:r>
      <w:r w:rsidR="005444F3">
        <w:rPr>
          <w:lang w:val="en-CA"/>
        </w:rPr>
        <w:t xml:space="preserve">. </w:t>
      </w:r>
    </w:p>
    <w:p w14:paraId="5BC991CD" w14:textId="47ECDA4D" w:rsidR="00840CDC" w:rsidRDefault="00FC6076" w:rsidP="000058C6">
      <w:pPr>
        <w:spacing w:line="480" w:lineRule="auto"/>
        <w:ind w:firstLine="720"/>
        <w:rPr>
          <w:lang w:val="en-CA"/>
        </w:rPr>
      </w:pPr>
      <w:r w:rsidRPr="00DB1980">
        <w:rPr>
          <w:b/>
          <w:lang w:val="en-CA"/>
        </w:rPr>
        <w:t>Table 4a</w:t>
      </w:r>
      <w:r>
        <w:rPr>
          <w:lang w:val="en-CA"/>
        </w:rPr>
        <w:t xml:space="preserve"> displays the multivariable model of the </w:t>
      </w:r>
      <w:r w:rsidR="009920F7">
        <w:rPr>
          <w:lang w:val="en-CA"/>
        </w:rPr>
        <w:t xml:space="preserve">relationship between </w:t>
      </w:r>
      <w:r>
        <w:rPr>
          <w:lang w:val="en-CA"/>
        </w:rPr>
        <w:t xml:space="preserve">sexual orientation </w:t>
      </w:r>
      <w:r w:rsidR="009920F7">
        <w:rPr>
          <w:lang w:val="en-CA"/>
        </w:rPr>
        <w:t>and</w:t>
      </w:r>
      <w:r>
        <w:rPr>
          <w:lang w:val="en-CA"/>
        </w:rPr>
        <w:t xml:space="preserve"> </w:t>
      </w:r>
      <w:r w:rsidR="00840CDC">
        <w:rPr>
          <w:lang w:val="en-CA"/>
        </w:rPr>
        <w:t>anxiety, adjusted for confounders</w:t>
      </w:r>
      <w:r w:rsidR="00F05E2F">
        <w:rPr>
          <w:lang w:val="en-CA"/>
        </w:rPr>
        <w:t xml:space="preserve"> (i.e. </w:t>
      </w:r>
      <w:r w:rsidR="00DC0676">
        <w:rPr>
          <w:lang w:val="en-CA"/>
        </w:rPr>
        <w:t xml:space="preserve">age, </w:t>
      </w:r>
      <w:r w:rsidR="00F05E2F">
        <w:rPr>
          <w:lang w:val="en-CA"/>
        </w:rPr>
        <w:t>income, ethnicity, education</w:t>
      </w:r>
      <w:r w:rsidR="00FF6601">
        <w:rPr>
          <w:lang w:val="en-CA"/>
        </w:rPr>
        <w:t>al attainment</w:t>
      </w:r>
      <w:r w:rsidR="00F05E2F">
        <w:rPr>
          <w:lang w:val="en-CA"/>
        </w:rPr>
        <w:t>, regular partner status</w:t>
      </w:r>
      <w:r w:rsidR="0079354D">
        <w:rPr>
          <w:lang w:val="en-CA"/>
        </w:rPr>
        <w:t>, and HIV status</w:t>
      </w:r>
      <w:r w:rsidR="00F05E2F">
        <w:rPr>
          <w:lang w:val="en-CA"/>
        </w:rPr>
        <w:t>)</w:t>
      </w:r>
      <w:r w:rsidR="00840CDC">
        <w:rPr>
          <w:lang w:val="en-CA"/>
        </w:rPr>
        <w:t xml:space="preserve">. </w:t>
      </w:r>
      <w:r w:rsidR="00B62E64">
        <w:rPr>
          <w:lang w:val="en-CA"/>
        </w:rPr>
        <w:t xml:space="preserve">In multivariable analyses, bisexual men had greater odds of anxiety compared </w:t>
      </w:r>
      <w:r w:rsidR="00A8025F">
        <w:rPr>
          <w:lang w:val="en-CA"/>
        </w:rPr>
        <w:t xml:space="preserve">with </w:t>
      </w:r>
      <w:r w:rsidR="00B62E64">
        <w:rPr>
          <w:lang w:val="en-CA"/>
        </w:rPr>
        <w:t xml:space="preserve">gay men </w:t>
      </w:r>
      <w:r w:rsidR="00EB401B">
        <w:rPr>
          <w:lang w:val="en-CA"/>
        </w:rPr>
        <w:t>in the identity (</w:t>
      </w:r>
      <w:proofErr w:type="spellStart"/>
      <w:r w:rsidR="00EB401B">
        <w:rPr>
          <w:lang w:val="en-CA"/>
        </w:rPr>
        <w:t>aOR</w:t>
      </w:r>
      <w:proofErr w:type="spellEnd"/>
      <w:r w:rsidR="00EB401B">
        <w:rPr>
          <w:lang w:val="en-CA"/>
        </w:rPr>
        <w:t>: 1.87, 95% CI: 1.14, 3.07) and attraction (</w:t>
      </w:r>
      <w:proofErr w:type="spellStart"/>
      <w:r w:rsidR="00EB401B">
        <w:rPr>
          <w:lang w:val="en-CA"/>
        </w:rPr>
        <w:t>aOR</w:t>
      </w:r>
      <w:proofErr w:type="spellEnd"/>
      <w:r w:rsidR="00EB401B">
        <w:rPr>
          <w:lang w:val="en-CA"/>
        </w:rPr>
        <w:t>: 1.47, 95% CI: 1.06, 2.04) models</w:t>
      </w:r>
      <w:r w:rsidR="00B62E64">
        <w:rPr>
          <w:lang w:val="en-CA"/>
        </w:rPr>
        <w:t xml:space="preserve">. </w:t>
      </w:r>
      <w:r w:rsidR="007A7D9B">
        <w:rPr>
          <w:lang w:val="en-CA"/>
        </w:rPr>
        <w:t xml:space="preserve">Results were statistically non-significant for </w:t>
      </w:r>
      <w:r w:rsidR="00907FFC">
        <w:rPr>
          <w:lang w:val="en-CA"/>
        </w:rPr>
        <w:t>anxiety in the</w:t>
      </w:r>
      <w:r w:rsidR="007A7D9B">
        <w:rPr>
          <w:lang w:val="en-CA"/>
        </w:rPr>
        <w:t xml:space="preserve"> behavior model. </w:t>
      </w:r>
      <w:r w:rsidR="008045CD">
        <w:rPr>
          <w:lang w:val="en-CA"/>
        </w:rPr>
        <w:t>The odds of anxiety for</w:t>
      </w:r>
      <w:r w:rsidR="003B071D">
        <w:rPr>
          <w:lang w:val="en-CA"/>
        </w:rPr>
        <w:t xml:space="preserve"> bisexual men in</w:t>
      </w:r>
      <w:r w:rsidR="008045CD">
        <w:rPr>
          <w:lang w:val="en-CA"/>
        </w:rPr>
        <w:t xml:space="preserve"> </w:t>
      </w:r>
      <w:r w:rsidR="00BC404A">
        <w:rPr>
          <w:lang w:val="en-CA"/>
        </w:rPr>
        <w:t xml:space="preserve">the </w:t>
      </w:r>
      <w:r w:rsidR="00B816DB">
        <w:rPr>
          <w:lang w:val="en-CA"/>
        </w:rPr>
        <w:t>behavior</w:t>
      </w:r>
      <w:r w:rsidR="008045CD">
        <w:rPr>
          <w:lang w:val="en-CA"/>
        </w:rPr>
        <w:t xml:space="preserve">al </w:t>
      </w:r>
      <w:r w:rsidR="00BC404A">
        <w:rPr>
          <w:lang w:val="en-CA"/>
        </w:rPr>
        <w:t xml:space="preserve">model </w:t>
      </w:r>
      <w:r w:rsidR="00450E68">
        <w:rPr>
          <w:lang w:val="en-CA"/>
        </w:rPr>
        <w:t>remained non-significant and</w:t>
      </w:r>
      <w:r w:rsidR="008045CD">
        <w:rPr>
          <w:lang w:val="en-CA"/>
        </w:rPr>
        <w:t xml:space="preserve"> essentially unchanged in the sensitivity analysis with the addition of number of sexual partners (</w:t>
      </w:r>
      <w:r w:rsidR="005451A1">
        <w:rPr>
          <w:lang w:val="en-CA"/>
        </w:rPr>
        <w:t>b</w:t>
      </w:r>
      <w:r w:rsidR="00EB401B">
        <w:rPr>
          <w:lang w:val="en-CA"/>
        </w:rPr>
        <w:t xml:space="preserve">ehavioral model </w:t>
      </w:r>
      <w:proofErr w:type="spellStart"/>
      <w:r w:rsidR="00EB401B">
        <w:rPr>
          <w:lang w:val="en-CA"/>
        </w:rPr>
        <w:t>aOR</w:t>
      </w:r>
      <w:proofErr w:type="spellEnd"/>
      <w:r w:rsidR="00EB401B">
        <w:rPr>
          <w:lang w:val="en-CA"/>
        </w:rPr>
        <w:t xml:space="preserve">: 1.34, 95% CI: 0.89, 2.01; </w:t>
      </w:r>
      <w:r w:rsidR="005451A1">
        <w:rPr>
          <w:lang w:val="en-CA"/>
        </w:rPr>
        <w:t>s</w:t>
      </w:r>
      <w:r w:rsidR="00EB401B">
        <w:rPr>
          <w:lang w:val="en-CA"/>
        </w:rPr>
        <w:t xml:space="preserve">ensitivity model </w:t>
      </w:r>
      <w:proofErr w:type="spellStart"/>
      <w:r w:rsidR="008045CD">
        <w:rPr>
          <w:lang w:val="en-CA"/>
        </w:rPr>
        <w:t>aOR</w:t>
      </w:r>
      <w:proofErr w:type="spellEnd"/>
      <w:r w:rsidR="008045CD">
        <w:rPr>
          <w:lang w:val="en-CA"/>
        </w:rPr>
        <w:t>:</w:t>
      </w:r>
      <w:r w:rsidR="002E513C">
        <w:rPr>
          <w:lang w:val="en-CA"/>
        </w:rPr>
        <w:t xml:space="preserve"> </w:t>
      </w:r>
      <w:r w:rsidR="008045CD">
        <w:rPr>
          <w:lang w:val="en-CA"/>
        </w:rPr>
        <w:t>1.33,</w:t>
      </w:r>
      <w:r w:rsidR="002E513C">
        <w:rPr>
          <w:lang w:val="en-CA"/>
        </w:rPr>
        <w:t xml:space="preserve"> </w:t>
      </w:r>
      <w:r w:rsidR="008045CD">
        <w:rPr>
          <w:lang w:val="en-CA"/>
        </w:rPr>
        <w:t>95%</w:t>
      </w:r>
      <w:r w:rsidR="002E513C">
        <w:rPr>
          <w:lang w:val="en-CA"/>
        </w:rPr>
        <w:t xml:space="preserve"> </w:t>
      </w:r>
      <w:r w:rsidR="008045CD">
        <w:rPr>
          <w:lang w:val="en-CA"/>
        </w:rPr>
        <w:t>CI:</w:t>
      </w:r>
      <w:r w:rsidR="002E513C">
        <w:rPr>
          <w:lang w:val="en-CA"/>
        </w:rPr>
        <w:t xml:space="preserve"> </w:t>
      </w:r>
      <w:r w:rsidR="008045CD">
        <w:rPr>
          <w:lang w:val="en-CA"/>
        </w:rPr>
        <w:t>0.89,</w:t>
      </w:r>
      <w:r w:rsidR="002E513C">
        <w:rPr>
          <w:lang w:val="en-CA"/>
        </w:rPr>
        <w:t xml:space="preserve"> </w:t>
      </w:r>
      <w:r w:rsidR="00EB401B">
        <w:rPr>
          <w:lang w:val="en-CA"/>
        </w:rPr>
        <w:t>2.00</w:t>
      </w:r>
      <w:r w:rsidR="008045CD">
        <w:rPr>
          <w:lang w:val="en-CA"/>
        </w:rPr>
        <w:t>).</w:t>
      </w:r>
    </w:p>
    <w:p w14:paraId="1171A3AF" w14:textId="103280C0" w:rsidR="005B039F" w:rsidRDefault="00840CDC" w:rsidP="000058C6">
      <w:pPr>
        <w:spacing w:line="480" w:lineRule="auto"/>
        <w:ind w:firstLine="720"/>
        <w:rPr>
          <w:lang w:val="en-CA"/>
        </w:rPr>
      </w:pPr>
      <w:r>
        <w:rPr>
          <w:lang w:val="en-CA"/>
        </w:rPr>
        <w:t xml:space="preserve">Multivariable logistic regression modeled the relationship between sexual orientation and depression </w:t>
      </w:r>
      <w:r w:rsidR="009920F7">
        <w:rPr>
          <w:lang w:val="en-CA"/>
        </w:rPr>
        <w:t>(</w:t>
      </w:r>
      <w:r w:rsidRPr="00DB1980">
        <w:rPr>
          <w:b/>
          <w:lang w:val="en-CA"/>
        </w:rPr>
        <w:t>Table 4b</w:t>
      </w:r>
      <w:r w:rsidR="009920F7">
        <w:rPr>
          <w:lang w:val="en-CA"/>
        </w:rPr>
        <w:t>)</w:t>
      </w:r>
      <w:r>
        <w:rPr>
          <w:lang w:val="en-CA"/>
        </w:rPr>
        <w:t xml:space="preserve">. </w:t>
      </w:r>
      <w:r w:rsidR="001E264A">
        <w:rPr>
          <w:lang w:val="en-CA"/>
        </w:rPr>
        <w:t>B</w:t>
      </w:r>
      <w:r>
        <w:rPr>
          <w:lang w:val="en-CA"/>
        </w:rPr>
        <w:t xml:space="preserve">isexual men had greater odds of depression than gay men </w:t>
      </w:r>
      <w:r w:rsidR="001E264A">
        <w:rPr>
          <w:lang w:val="en-CA"/>
        </w:rPr>
        <w:t>in</w:t>
      </w:r>
      <w:r>
        <w:rPr>
          <w:lang w:val="en-CA"/>
        </w:rPr>
        <w:t xml:space="preserve"> the identity </w:t>
      </w:r>
      <w:r>
        <w:rPr>
          <w:lang w:val="en-CA"/>
        </w:rPr>
        <w:lastRenderedPageBreak/>
        <w:t>model</w:t>
      </w:r>
      <w:r w:rsidR="001E264A">
        <w:rPr>
          <w:lang w:val="en-CA"/>
        </w:rPr>
        <w:t xml:space="preserve"> (</w:t>
      </w:r>
      <w:proofErr w:type="spellStart"/>
      <w:r w:rsidR="001E264A">
        <w:rPr>
          <w:lang w:val="en-CA"/>
        </w:rPr>
        <w:t>aOR</w:t>
      </w:r>
      <w:proofErr w:type="spellEnd"/>
      <w:r w:rsidR="001E264A">
        <w:rPr>
          <w:lang w:val="en-CA"/>
        </w:rPr>
        <w:t>: 2.14, 95% CI: 1.27, 3.61)</w:t>
      </w:r>
      <w:r>
        <w:rPr>
          <w:lang w:val="en-CA"/>
        </w:rPr>
        <w:t xml:space="preserve">. </w:t>
      </w:r>
      <w:r w:rsidR="007A7D9B">
        <w:rPr>
          <w:lang w:val="en-CA"/>
        </w:rPr>
        <w:t xml:space="preserve">Results were not statistically significant for the attraction </w:t>
      </w:r>
      <w:r w:rsidR="004F1B30">
        <w:rPr>
          <w:lang w:val="en-CA"/>
        </w:rPr>
        <w:t>and</w:t>
      </w:r>
      <w:r w:rsidR="007A7D9B">
        <w:rPr>
          <w:lang w:val="en-CA"/>
        </w:rPr>
        <w:t xml:space="preserve"> behavior models</w:t>
      </w:r>
      <w:r w:rsidR="00E567D9">
        <w:rPr>
          <w:lang w:val="en-CA"/>
        </w:rPr>
        <w:t xml:space="preserve"> for depression</w:t>
      </w:r>
      <w:r w:rsidR="007A7D9B">
        <w:rPr>
          <w:lang w:val="en-CA"/>
        </w:rPr>
        <w:t xml:space="preserve">. </w:t>
      </w:r>
      <w:r w:rsidR="00E82CF2">
        <w:rPr>
          <w:lang w:val="en-CA"/>
        </w:rPr>
        <w:t xml:space="preserve">The odds of depression for bisexual men was slightly attenuated with the addition of number of sex partners to the </w:t>
      </w:r>
      <w:r w:rsidR="00BD5057">
        <w:rPr>
          <w:lang w:val="en-CA"/>
        </w:rPr>
        <w:t xml:space="preserve">behavior </w:t>
      </w:r>
      <w:r w:rsidR="00E82CF2">
        <w:rPr>
          <w:lang w:val="en-CA"/>
        </w:rPr>
        <w:t xml:space="preserve">model in </w:t>
      </w:r>
      <w:r w:rsidR="003E093D">
        <w:rPr>
          <w:lang w:val="en-CA"/>
        </w:rPr>
        <w:t>a</w:t>
      </w:r>
      <w:r w:rsidR="00E82CF2">
        <w:rPr>
          <w:lang w:val="en-CA"/>
        </w:rPr>
        <w:t xml:space="preserve"> sensitivity analysis </w:t>
      </w:r>
      <w:r w:rsidR="00B30350">
        <w:rPr>
          <w:lang w:val="en-CA"/>
        </w:rPr>
        <w:t>(</w:t>
      </w:r>
      <w:r w:rsidR="004863B4">
        <w:rPr>
          <w:lang w:val="en-CA"/>
        </w:rPr>
        <w:t>b</w:t>
      </w:r>
      <w:r w:rsidR="009F5BF2">
        <w:rPr>
          <w:lang w:val="en-CA"/>
        </w:rPr>
        <w:t xml:space="preserve">ehavior model </w:t>
      </w:r>
      <w:proofErr w:type="spellStart"/>
      <w:r w:rsidR="009F5BF2">
        <w:rPr>
          <w:lang w:val="en-CA"/>
        </w:rPr>
        <w:t>aOR</w:t>
      </w:r>
      <w:proofErr w:type="spellEnd"/>
      <w:r w:rsidR="009F5BF2">
        <w:rPr>
          <w:lang w:val="en-CA"/>
        </w:rPr>
        <w:t xml:space="preserve">: 1.11, </w:t>
      </w:r>
      <w:r w:rsidR="004F1B30">
        <w:rPr>
          <w:lang w:val="en-CA"/>
        </w:rPr>
        <w:t xml:space="preserve">95% CI: 0.67, </w:t>
      </w:r>
      <w:r w:rsidR="009F5BF2">
        <w:rPr>
          <w:lang w:val="en-CA"/>
        </w:rPr>
        <w:t>1.83,</w:t>
      </w:r>
      <w:r w:rsidR="004F1B30">
        <w:rPr>
          <w:lang w:val="en-CA"/>
        </w:rPr>
        <w:t xml:space="preserve"> </w:t>
      </w:r>
      <w:r w:rsidR="004863B4">
        <w:rPr>
          <w:lang w:val="en-CA"/>
        </w:rPr>
        <w:t>s</w:t>
      </w:r>
      <w:r w:rsidR="009F5BF2">
        <w:rPr>
          <w:lang w:val="en-CA"/>
        </w:rPr>
        <w:t>ensitivity model</w:t>
      </w:r>
      <w:r w:rsidR="004F1B30">
        <w:rPr>
          <w:lang w:val="en-CA"/>
        </w:rPr>
        <w:t xml:space="preserve"> </w:t>
      </w:r>
      <w:proofErr w:type="spellStart"/>
      <w:r w:rsidR="00B30350">
        <w:rPr>
          <w:lang w:val="en-CA"/>
        </w:rPr>
        <w:t>aOR</w:t>
      </w:r>
      <w:proofErr w:type="spellEnd"/>
      <w:r w:rsidR="00B30350">
        <w:rPr>
          <w:lang w:val="en-CA"/>
        </w:rPr>
        <w:t>:</w:t>
      </w:r>
      <w:r w:rsidR="002E513C">
        <w:rPr>
          <w:lang w:val="en-CA"/>
        </w:rPr>
        <w:t xml:space="preserve"> </w:t>
      </w:r>
      <w:r w:rsidR="00E82CF2">
        <w:rPr>
          <w:lang w:val="en-CA"/>
        </w:rPr>
        <w:t>1.08</w:t>
      </w:r>
      <w:r w:rsidR="00B30350">
        <w:rPr>
          <w:lang w:val="en-CA"/>
        </w:rPr>
        <w:t>,</w:t>
      </w:r>
      <w:r w:rsidR="00E82CF2">
        <w:rPr>
          <w:lang w:val="en-CA"/>
        </w:rPr>
        <w:t xml:space="preserve"> 95%</w:t>
      </w:r>
      <w:r w:rsidR="002E513C">
        <w:rPr>
          <w:lang w:val="en-CA"/>
        </w:rPr>
        <w:t xml:space="preserve"> </w:t>
      </w:r>
      <w:r w:rsidR="00E82CF2">
        <w:rPr>
          <w:lang w:val="en-CA"/>
        </w:rPr>
        <w:t>CI:</w:t>
      </w:r>
      <w:r w:rsidR="002E513C">
        <w:rPr>
          <w:lang w:val="en-CA"/>
        </w:rPr>
        <w:t xml:space="preserve"> </w:t>
      </w:r>
      <w:r w:rsidR="00E82CF2">
        <w:rPr>
          <w:lang w:val="en-CA"/>
        </w:rPr>
        <w:t>0.65,</w:t>
      </w:r>
      <w:r w:rsidR="002E513C">
        <w:rPr>
          <w:lang w:val="en-CA"/>
        </w:rPr>
        <w:t xml:space="preserve"> </w:t>
      </w:r>
      <w:r w:rsidR="00E82CF2">
        <w:rPr>
          <w:lang w:val="en-CA"/>
        </w:rPr>
        <w:t>1.78)</w:t>
      </w:r>
      <w:r w:rsidR="00B30350">
        <w:rPr>
          <w:lang w:val="en-CA"/>
        </w:rPr>
        <w:t>,</w:t>
      </w:r>
      <w:r w:rsidR="00E82CF2">
        <w:rPr>
          <w:lang w:val="en-CA"/>
        </w:rPr>
        <w:t xml:space="preserve"> </w:t>
      </w:r>
      <w:r w:rsidR="00BA7F3B">
        <w:rPr>
          <w:lang w:val="en-CA"/>
        </w:rPr>
        <w:t xml:space="preserve">and </w:t>
      </w:r>
      <w:r w:rsidR="00E82CF2">
        <w:rPr>
          <w:lang w:val="en-CA"/>
        </w:rPr>
        <w:t xml:space="preserve">remained statistically non-significant. </w:t>
      </w:r>
    </w:p>
    <w:p w14:paraId="47071774" w14:textId="77777777" w:rsidR="000058C6" w:rsidRDefault="000058C6" w:rsidP="000058C6">
      <w:pPr>
        <w:spacing w:line="480" w:lineRule="auto"/>
        <w:rPr>
          <w:b/>
          <w:lang w:val="en-CA"/>
        </w:rPr>
      </w:pPr>
    </w:p>
    <w:p w14:paraId="77740C3F" w14:textId="28C5CAF0" w:rsidR="00C349B7" w:rsidRPr="00EC1351" w:rsidRDefault="00A637F0" w:rsidP="00B817AD">
      <w:pPr>
        <w:spacing w:line="480" w:lineRule="auto"/>
        <w:outlineLvl w:val="0"/>
        <w:rPr>
          <w:b/>
          <w:lang w:val="en-CA"/>
        </w:rPr>
      </w:pPr>
      <w:r w:rsidRPr="00EC1351">
        <w:rPr>
          <w:b/>
          <w:lang w:val="en-CA"/>
        </w:rPr>
        <w:t>Discussion</w:t>
      </w:r>
    </w:p>
    <w:p w14:paraId="6EF99ED5" w14:textId="4294EE2E" w:rsidR="00477D86" w:rsidRDefault="0026307E" w:rsidP="008751D1">
      <w:pPr>
        <w:spacing w:line="480" w:lineRule="auto"/>
        <w:ind w:firstLine="360"/>
        <w:rPr>
          <w:lang w:val="en-CA"/>
        </w:rPr>
      </w:pPr>
      <w:r>
        <w:rPr>
          <w:lang w:val="en-CA"/>
        </w:rPr>
        <w:t xml:space="preserve">This study </w:t>
      </w:r>
      <w:r w:rsidR="00D10F83">
        <w:rPr>
          <w:lang w:val="en-CA"/>
        </w:rPr>
        <w:t>adds to the</w:t>
      </w:r>
      <w:r w:rsidR="00A210B0">
        <w:rPr>
          <w:lang w:val="en-CA"/>
        </w:rPr>
        <w:t xml:space="preserve"> </w:t>
      </w:r>
      <w:r>
        <w:rPr>
          <w:lang w:val="en-CA"/>
        </w:rPr>
        <w:t xml:space="preserve">evidence of </w:t>
      </w:r>
      <w:r w:rsidR="00EB0307">
        <w:rPr>
          <w:lang w:val="en-CA"/>
        </w:rPr>
        <w:t xml:space="preserve">elevated anxiety and depression </w:t>
      </w:r>
      <w:r w:rsidR="00DD3A13" w:rsidRPr="000A17EB">
        <w:rPr>
          <w:lang w:val="en-CA"/>
        </w:rPr>
        <w:t xml:space="preserve">for bisexual men compared </w:t>
      </w:r>
      <w:r w:rsidR="00B30350">
        <w:rPr>
          <w:lang w:val="en-CA"/>
        </w:rPr>
        <w:t>with</w:t>
      </w:r>
      <w:r w:rsidR="00DD3A13" w:rsidRPr="000A17EB">
        <w:rPr>
          <w:lang w:val="en-CA"/>
        </w:rPr>
        <w:t xml:space="preserve"> gay men, </w:t>
      </w:r>
      <w:r w:rsidR="00FC6E43">
        <w:rPr>
          <w:lang w:val="en-CA"/>
        </w:rPr>
        <w:t>overall</w:t>
      </w:r>
      <w:r w:rsidR="00DD3A13" w:rsidRPr="000A17EB">
        <w:rPr>
          <w:lang w:val="en-CA"/>
        </w:rPr>
        <w:t xml:space="preserve"> and </w:t>
      </w:r>
      <w:r w:rsidR="003E0729">
        <w:rPr>
          <w:lang w:val="en-CA"/>
        </w:rPr>
        <w:t xml:space="preserve">varying </w:t>
      </w:r>
      <w:r w:rsidR="00BC0637">
        <w:rPr>
          <w:lang w:val="en-CA"/>
        </w:rPr>
        <w:t>by</w:t>
      </w:r>
      <w:r w:rsidR="003E0729" w:rsidRPr="000A17EB">
        <w:rPr>
          <w:lang w:val="en-CA"/>
        </w:rPr>
        <w:t xml:space="preserve"> </w:t>
      </w:r>
      <w:r w:rsidR="00DD3A13" w:rsidRPr="000A17EB">
        <w:rPr>
          <w:lang w:val="en-CA"/>
        </w:rPr>
        <w:t xml:space="preserve">sexual orientation dimensions. </w:t>
      </w:r>
      <w:r w:rsidR="00FC6E43">
        <w:rPr>
          <w:lang w:val="en-CA"/>
        </w:rPr>
        <w:t>Descriptively more bisexual than gay men met the case definition for both anxiety and depression across all sexual orientation measures</w:t>
      </w:r>
      <w:r w:rsidR="00DD3A13" w:rsidRPr="000A17EB">
        <w:rPr>
          <w:lang w:val="en-CA"/>
        </w:rPr>
        <w:t xml:space="preserve">, highest for the identity measure and lowest by the </w:t>
      </w:r>
      <w:r w:rsidR="00B816DB">
        <w:rPr>
          <w:lang w:val="en-CA"/>
        </w:rPr>
        <w:t>behavior</w:t>
      </w:r>
      <w:r w:rsidR="00DD3A13" w:rsidRPr="000A17EB">
        <w:rPr>
          <w:lang w:val="en-CA"/>
        </w:rPr>
        <w:t xml:space="preserve"> measure. </w:t>
      </w:r>
      <w:r w:rsidR="007D2F56">
        <w:rPr>
          <w:lang w:val="en-CA"/>
        </w:rPr>
        <w:t>In multivariable analysis, b</w:t>
      </w:r>
      <w:r w:rsidR="00DD3A13" w:rsidRPr="000A17EB">
        <w:rPr>
          <w:lang w:val="en-CA"/>
        </w:rPr>
        <w:t xml:space="preserve">isexual </w:t>
      </w:r>
      <w:r w:rsidR="00E50205">
        <w:rPr>
          <w:lang w:val="en-CA"/>
        </w:rPr>
        <w:t xml:space="preserve">compared with gay </w:t>
      </w:r>
      <w:r w:rsidR="00DD3A13" w:rsidRPr="000A17EB">
        <w:rPr>
          <w:lang w:val="en-CA"/>
        </w:rPr>
        <w:t>men</w:t>
      </w:r>
      <w:r w:rsidR="00395032">
        <w:rPr>
          <w:lang w:val="en-CA"/>
        </w:rPr>
        <w:t xml:space="preserve"> </w:t>
      </w:r>
      <w:r w:rsidR="00DD3A13" w:rsidRPr="000A17EB">
        <w:rPr>
          <w:lang w:val="en-CA"/>
        </w:rPr>
        <w:t>had greater odds of anxiety</w:t>
      </w:r>
      <w:r w:rsidR="00E50205">
        <w:rPr>
          <w:lang w:val="en-CA"/>
        </w:rPr>
        <w:t xml:space="preserve"> by identity and attraction</w:t>
      </w:r>
      <w:r w:rsidR="00DD3A13" w:rsidRPr="000A17EB">
        <w:rPr>
          <w:lang w:val="en-CA"/>
        </w:rPr>
        <w:t xml:space="preserve"> and </w:t>
      </w:r>
      <w:r w:rsidR="00E50205">
        <w:rPr>
          <w:lang w:val="en-CA"/>
        </w:rPr>
        <w:t xml:space="preserve">greater odds of </w:t>
      </w:r>
      <w:r w:rsidR="00DD3A13" w:rsidRPr="000A17EB">
        <w:rPr>
          <w:lang w:val="en-CA"/>
        </w:rPr>
        <w:t>depression</w:t>
      </w:r>
      <w:r w:rsidR="00E50205">
        <w:rPr>
          <w:lang w:val="en-CA"/>
        </w:rPr>
        <w:t xml:space="preserve"> by identity. While not all multivariable models were statistically significant</w:t>
      </w:r>
      <w:r w:rsidR="00395032">
        <w:rPr>
          <w:lang w:val="en-CA"/>
        </w:rPr>
        <w:t xml:space="preserve">, </w:t>
      </w:r>
      <w:r w:rsidR="00DD3A13" w:rsidRPr="000A17EB">
        <w:rPr>
          <w:lang w:val="en-CA"/>
        </w:rPr>
        <w:t>the odds</w:t>
      </w:r>
      <w:r w:rsidR="00E50205">
        <w:rPr>
          <w:lang w:val="en-CA"/>
        </w:rPr>
        <w:t xml:space="preserve"> of both anxiety and depression across all multivariable models</w:t>
      </w:r>
      <w:r w:rsidR="00DD3A13" w:rsidRPr="000A17EB">
        <w:rPr>
          <w:lang w:val="en-CA"/>
        </w:rPr>
        <w:t xml:space="preserve"> were highest by the identity measure </w:t>
      </w:r>
      <w:r w:rsidR="00F60EC7" w:rsidRPr="000A17EB">
        <w:rPr>
          <w:lang w:val="en-CA"/>
        </w:rPr>
        <w:t xml:space="preserve">and lowest </w:t>
      </w:r>
      <w:r w:rsidR="00395032">
        <w:rPr>
          <w:lang w:val="en-CA"/>
        </w:rPr>
        <w:t>when bisexuality was measure</w:t>
      </w:r>
      <w:r w:rsidR="00CB3EEA">
        <w:rPr>
          <w:lang w:val="en-CA"/>
        </w:rPr>
        <w:t>d</w:t>
      </w:r>
      <w:r w:rsidR="00395032">
        <w:rPr>
          <w:lang w:val="en-CA"/>
        </w:rPr>
        <w:t xml:space="preserve"> by</w:t>
      </w:r>
      <w:r w:rsidR="00F60EC7" w:rsidRPr="000A17EB">
        <w:rPr>
          <w:lang w:val="en-CA"/>
        </w:rPr>
        <w:t xml:space="preserve"> behavior.</w:t>
      </w:r>
      <w:r w:rsidR="00FB3F8D">
        <w:rPr>
          <w:lang w:val="en-CA"/>
        </w:rPr>
        <w:t xml:space="preserve">  </w:t>
      </w:r>
    </w:p>
    <w:p w14:paraId="39E41DA8" w14:textId="44E102FE" w:rsidR="00DD3A13" w:rsidRPr="000058C6" w:rsidRDefault="00DE0188" w:rsidP="008751D1">
      <w:pPr>
        <w:spacing w:line="480" w:lineRule="auto"/>
        <w:ind w:firstLine="360"/>
        <w:rPr>
          <w:lang w:val="en-CA"/>
        </w:rPr>
      </w:pPr>
      <w:r w:rsidRPr="000A17EB">
        <w:rPr>
          <w:lang w:val="en-CA"/>
        </w:rPr>
        <w:t>T</w:t>
      </w:r>
      <w:r w:rsidR="00DD3A13" w:rsidRPr="000A17EB">
        <w:rPr>
          <w:lang w:val="en-CA"/>
        </w:rPr>
        <w:t xml:space="preserve">his study also provides evidence of </w:t>
      </w:r>
      <w:r w:rsidR="0071061A" w:rsidRPr="000A17EB">
        <w:rPr>
          <w:lang w:val="en-CA"/>
        </w:rPr>
        <w:t>correlation</w:t>
      </w:r>
      <w:r w:rsidR="00DD3A13" w:rsidRPr="000A17EB">
        <w:rPr>
          <w:lang w:val="en-CA"/>
        </w:rPr>
        <w:t xml:space="preserve"> </w:t>
      </w:r>
      <w:r w:rsidRPr="000A17EB">
        <w:rPr>
          <w:lang w:val="en-CA"/>
        </w:rPr>
        <w:t>across all three major</w:t>
      </w:r>
      <w:r w:rsidR="00DD3A13" w:rsidRPr="000A17EB">
        <w:rPr>
          <w:lang w:val="en-CA"/>
        </w:rPr>
        <w:t xml:space="preserve"> sexual orientation</w:t>
      </w:r>
      <w:r w:rsidRPr="000A17EB">
        <w:rPr>
          <w:lang w:val="en-CA"/>
        </w:rPr>
        <w:t xml:space="preserve"> dimensions</w:t>
      </w:r>
      <w:r w:rsidR="00DD3A13" w:rsidRPr="000A17EB">
        <w:rPr>
          <w:lang w:val="en-CA"/>
        </w:rPr>
        <w:t xml:space="preserve"> for bisexual men.</w:t>
      </w:r>
      <w:r w:rsidRPr="000A17EB">
        <w:rPr>
          <w:lang w:val="en-CA"/>
        </w:rPr>
        <w:t xml:space="preserve"> </w:t>
      </w:r>
      <w:r w:rsidR="006C6718">
        <w:rPr>
          <w:lang w:val="en-CA"/>
        </w:rPr>
        <w:t>While there is limited sexual orientation concordance literature that has statistically compared sexual orientation dimensions, results of concordance in the current study are consistent with significant concordance found in a</w:t>
      </w:r>
      <w:r w:rsidR="00EB54DB">
        <w:rPr>
          <w:lang w:val="en-CA"/>
        </w:rPr>
        <w:t>n Austrian</w:t>
      </w:r>
      <w:r w:rsidR="00CD71EB">
        <w:rPr>
          <w:lang w:val="en-CA"/>
        </w:rPr>
        <w:t xml:space="preserve"> </w:t>
      </w:r>
      <w:r w:rsidR="006C6718">
        <w:rPr>
          <w:lang w:val="en-CA"/>
        </w:rPr>
        <w:t xml:space="preserve">mixed sexual orientation study of men and women </w:t>
      </w:r>
      <w:r w:rsidR="006C6718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&lt;citation&gt;&lt;priority&gt;0&lt;/priority&gt;&lt;uuid&gt;43D6E608-726C-4D7D-B940-39FF74C8E8D1&lt;/uuid&gt;&lt;publications&gt;&lt;publication&gt;&lt;subtype&gt;400&lt;/subtype&gt;&lt;publisher&gt;Springer US&lt;/publisher&gt;&lt;title&gt;The Relation Between Sexual Orientation and Suicide Attempts in Austria&lt;/title&gt;&lt;url&gt;http://link.springer.com/10.1007/s10508-009-9597-0&lt;/url&gt;&lt;volume&gt;39&lt;/volume&gt;&lt;publication_date&gt;99201002041200000000222000&lt;/publication_date&gt;&lt;uuid&gt;E6F080EB-613F-4996-A203-6E0653DDCEC9&lt;/uuid&gt;&lt;type&gt;400&lt;/type&gt;&lt;number&gt;6&lt;/number&gt;&lt;citekey&gt;Ploderl:2010hl&lt;/citekey&gt;&lt;doi&gt;10.1007/s10508-009-9597-0&lt;/doi&gt;&lt;startpage&gt;1403&lt;/startpage&gt;&lt;endpage&gt;1414&lt;/endpage&gt;&lt;bundle&gt;&lt;publication&gt;&lt;title&gt;Archives of Sexual Behavior&lt;/title&gt;&lt;uuid&gt;8C8360D5-136A-4702-969F-2292A1F9A1B1&lt;/uuid&gt;&lt;subtype&gt;-100&lt;/subtype&gt;&lt;publisher&gt;Springer, Dordrecht The Netherlands&lt;/publisher&gt;&lt;type&gt;-100&lt;/type&gt;&lt;/publication&gt;&lt;/bundle&gt;&lt;authors&gt;&lt;author&gt;&lt;lastName&gt;Plöderl&lt;/lastName&gt;&lt;firstName&gt;Martin&lt;/firstName&gt;&lt;/author&gt;&lt;author&gt;&lt;lastName&gt;Kralovec&lt;/lastName&gt;&lt;firstName&gt;Karl&lt;/firstName&gt;&lt;/author&gt;&lt;author&gt;&lt;lastName&gt;Fartacek&lt;/lastName&gt;&lt;firstName&gt;Reinhold&lt;/firstName&gt;&lt;/author&gt;&lt;/authors&gt;&lt;/publication&gt;&lt;/publications&gt;&lt;cites&gt;&lt;/cites&gt;&lt;/citation&gt;</w:instrText>
      </w:r>
      <w:r w:rsidR="006C6718">
        <w:rPr>
          <w:lang w:val="en-CA"/>
        </w:rPr>
        <w:fldChar w:fldCharType="separate"/>
      </w:r>
      <w:r w:rsidR="006C6718">
        <w:t>(Plöderl et al., 2010)</w:t>
      </w:r>
      <w:r w:rsidR="006C6718">
        <w:rPr>
          <w:lang w:val="en-CA"/>
        </w:rPr>
        <w:fldChar w:fldCharType="end"/>
      </w:r>
      <w:r w:rsidR="006C6718">
        <w:rPr>
          <w:lang w:val="en-CA"/>
        </w:rPr>
        <w:t xml:space="preserve">. </w:t>
      </w:r>
      <w:r w:rsidR="00EB54DB">
        <w:rPr>
          <w:lang w:val="en-CA"/>
        </w:rPr>
        <w:t>In the Austrian study, concordance effects for men were greatest for the ident</w:t>
      </w:r>
      <w:r w:rsidR="00B80B47">
        <w:rPr>
          <w:lang w:val="en-CA"/>
        </w:rPr>
        <w:t>ity and attraction relationship</w:t>
      </w:r>
      <w:r w:rsidR="00EB54DB">
        <w:rPr>
          <w:lang w:val="en-CA"/>
        </w:rPr>
        <w:t xml:space="preserve"> and smallest for </w:t>
      </w:r>
      <w:r w:rsidR="00157394">
        <w:rPr>
          <w:lang w:val="en-CA"/>
        </w:rPr>
        <w:t xml:space="preserve">the </w:t>
      </w:r>
      <w:r w:rsidR="008172D8">
        <w:rPr>
          <w:lang w:val="en-CA"/>
        </w:rPr>
        <w:t>past 12-</w:t>
      </w:r>
      <w:r w:rsidR="00EB54DB">
        <w:rPr>
          <w:lang w:val="en-CA"/>
        </w:rPr>
        <w:t xml:space="preserve">month behavior and attraction relationship. </w:t>
      </w:r>
      <w:r w:rsidR="00B80B47">
        <w:rPr>
          <w:lang w:val="en-CA"/>
        </w:rPr>
        <w:t xml:space="preserve">This differs from the current study in which </w:t>
      </w:r>
      <w:r w:rsidR="00B80B47">
        <w:rPr>
          <w:lang w:val="en-CA"/>
        </w:rPr>
        <w:lastRenderedPageBreak/>
        <w:t xml:space="preserve">concordance effects were largest for the </w:t>
      </w:r>
      <w:r w:rsidR="00B364F4">
        <w:rPr>
          <w:lang w:val="en-CA"/>
        </w:rPr>
        <w:t>correlation</w:t>
      </w:r>
      <w:r w:rsidR="00B36248">
        <w:rPr>
          <w:lang w:val="en-CA"/>
        </w:rPr>
        <w:t xml:space="preserve"> between</w:t>
      </w:r>
      <w:r w:rsidR="00B80B47">
        <w:rPr>
          <w:lang w:val="en-CA"/>
        </w:rPr>
        <w:t xml:space="preserve"> behavior and identity and smallest for the </w:t>
      </w:r>
      <w:r w:rsidR="00B364F4">
        <w:rPr>
          <w:lang w:val="en-CA"/>
        </w:rPr>
        <w:t>correlation</w:t>
      </w:r>
      <w:r w:rsidR="00B80B47">
        <w:rPr>
          <w:lang w:val="en-CA"/>
        </w:rPr>
        <w:t xml:space="preserve"> between </w:t>
      </w:r>
      <w:r w:rsidR="00B36248">
        <w:rPr>
          <w:lang w:val="en-CA"/>
        </w:rPr>
        <w:t>attraction</w:t>
      </w:r>
      <w:r w:rsidR="00B80B47">
        <w:rPr>
          <w:lang w:val="en-CA"/>
        </w:rPr>
        <w:t xml:space="preserve"> and </w:t>
      </w:r>
      <w:r w:rsidR="00B36248">
        <w:rPr>
          <w:lang w:val="en-CA"/>
        </w:rPr>
        <w:t>identity</w:t>
      </w:r>
      <w:r w:rsidR="00B80B47">
        <w:rPr>
          <w:lang w:val="en-CA"/>
        </w:rPr>
        <w:t>.</w:t>
      </w:r>
      <w:r w:rsidR="00EB54DB">
        <w:rPr>
          <w:lang w:val="en-CA"/>
        </w:rPr>
        <w:t xml:space="preserve"> </w:t>
      </w:r>
      <w:r w:rsidR="006305BA" w:rsidRPr="000A17EB">
        <w:rPr>
          <w:lang w:val="en-CA"/>
        </w:rPr>
        <w:t>Importantly</w:t>
      </w:r>
      <w:r w:rsidRPr="000A17EB">
        <w:rPr>
          <w:lang w:val="en-CA"/>
        </w:rPr>
        <w:t xml:space="preserve">, </w:t>
      </w:r>
      <w:r w:rsidR="00185C3A" w:rsidRPr="000A17EB">
        <w:rPr>
          <w:lang w:val="en-CA"/>
        </w:rPr>
        <w:t>while there was overall con</w:t>
      </w:r>
      <w:r w:rsidR="000C0BE9">
        <w:rPr>
          <w:lang w:val="en-CA"/>
        </w:rPr>
        <w:t>cordance</w:t>
      </w:r>
      <w:r w:rsidR="00746253" w:rsidRPr="000A17EB">
        <w:rPr>
          <w:lang w:val="en-CA"/>
        </w:rPr>
        <w:t xml:space="preserve"> between sexual orientation measures, there was not complete overlap</w:t>
      </w:r>
      <w:r w:rsidR="00B230A3">
        <w:rPr>
          <w:lang w:val="en-CA"/>
        </w:rPr>
        <w:t>.</w:t>
      </w:r>
      <w:r w:rsidR="00C424A1">
        <w:rPr>
          <w:lang w:val="en-CA"/>
        </w:rPr>
        <w:t xml:space="preserve"> </w:t>
      </w:r>
      <w:r w:rsidR="00B230A3">
        <w:rPr>
          <w:lang w:val="en-CA"/>
        </w:rPr>
        <w:t>Furthermore,</w:t>
      </w:r>
      <w:r w:rsidR="00C424A1">
        <w:rPr>
          <w:lang w:val="en-CA"/>
        </w:rPr>
        <w:t xml:space="preserve"> the overlap was inconsistent for the overall bisexual sample and </w:t>
      </w:r>
      <w:r w:rsidR="00AF0A6A">
        <w:rPr>
          <w:lang w:val="en-CA"/>
        </w:rPr>
        <w:t xml:space="preserve">for </w:t>
      </w:r>
      <w:r w:rsidR="00C424A1">
        <w:rPr>
          <w:lang w:val="en-CA"/>
        </w:rPr>
        <w:t>those who met the case definition for anxiety or depression</w:t>
      </w:r>
      <w:r w:rsidR="00746253" w:rsidRPr="000A17EB">
        <w:rPr>
          <w:lang w:val="en-CA"/>
        </w:rPr>
        <w:t xml:space="preserve">. Considering the preponderance of identity or </w:t>
      </w:r>
      <w:r w:rsidR="00B816DB">
        <w:rPr>
          <w:lang w:val="en-CA"/>
        </w:rPr>
        <w:t>behavior</w:t>
      </w:r>
      <w:r w:rsidR="00746253" w:rsidRPr="000A17EB">
        <w:rPr>
          <w:lang w:val="en-CA"/>
        </w:rPr>
        <w:t>al single</w:t>
      </w:r>
      <w:r w:rsidR="000241C2">
        <w:rPr>
          <w:lang w:val="en-CA"/>
        </w:rPr>
        <w:t xml:space="preserve"> item</w:t>
      </w:r>
      <w:r w:rsidR="00746253" w:rsidRPr="000A17EB">
        <w:rPr>
          <w:lang w:val="en-CA"/>
        </w:rPr>
        <w:t xml:space="preserve"> sexual orientation measures in </w:t>
      </w:r>
      <w:r w:rsidR="000A19FF">
        <w:rPr>
          <w:lang w:val="en-CA"/>
        </w:rPr>
        <w:t>epidemiological research among sexual minority men</w:t>
      </w:r>
      <w:r w:rsidR="00746253" w:rsidRPr="000A17EB">
        <w:rPr>
          <w:lang w:val="en-CA"/>
        </w:rPr>
        <w:t>, it is worth noting that</w:t>
      </w:r>
      <w:r w:rsidR="00185C3A" w:rsidRPr="000A17EB">
        <w:rPr>
          <w:lang w:val="en-CA"/>
        </w:rPr>
        <w:t xml:space="preserve"> in this </w:t>
      </w:r>
      <w:r w:rsidR="00F227AC">
        <w:rPr>
          <w:lang w:val="en-CA"/>
        </w:rPr>
        <w:t xml:space="preserve">study </w:t>
      </w:r>
      <w:r w:rsidR="00417793">
        <w:rPr>
          <w:lang w:val="en-CA"/>
        </w:rPr>
        <w:t xml:space="preserve">the least </w:t>
      </w:r>
      <w:r w:rsidR="00C424A1">
        <w:rPr>
          <w:lang w:val="en-CA"/>
        </w:rPr>
        <w:t xml:space="preserve">overlap was </w:t>
      </w:r>
      <w:r w:rsidR="00417793">
        <w:rPr>
          <w:lang w:val="en-CA"/>
        </w:rPr>
        <w:t>found for the overall sample</w:t>
      </w:r>
      <w:r w:rsidR="00C424A1">
        <w:rPr>
          <w:lang w:val="en-CA"/>
        </w:rPr>
        <w:t>, wher</w:t>
      </w:r>
      <w:r w:rsidR="009801CC">
        <w:rPr>
          <w:lang w:val="en-CA"/>
        </w:rPr>
        <w:t>e</w:t>
      </w:r>
      <w:r w:rsidR="00C424A1">
        <w:rPr>
          <w:lang w:val="en-CA"/>
        </w:rPr>
        <w:t>in</w:t>
      </w:r>
      <w:r w:rsidR="003C7C09">
        <w:rPr>
          <w:lang w:val="en-CA"/>
        </w:rPr>
        <w:t xml:space="preserve"> </w:t>
      </w:r>
      <w:r w:rsidR="006305BA" w:rsidRPr="000A17EB">
        <w:rPr>
          <w:lang w:val="en-CA"/>
        </w:rPr>
        <w:t>2</w:t>
      </w:r>
      <w:r w:rsidR="00417793">
        <w:rPr>
          <w:lang w:val="en-CA"/>
        </w:rPr>
        <w:t>5</w:t>
      </w:r>
      <w:r w:rsidR="006305BA" w:rsidRPr="000A17EB">
        <w:rPr>
          <w:lang w:val="en-CA"/>
        </w:rPr>
        <w:t xml:space="preserve">% of bisexual-identified men would have been missed if only a </w:t>
      </w:r>
      <w:r w:rsidR="00B816DB">
        <w:rPr>
          <w:lang w:val="en-CA"/>
        </w:rPr>
        <w:t>behavior</w:t>
      </w:r>
      <w:r w:rsidR="006305BA" w:rsidRPr="000A17EB">
        <w:rPr>
          <w:lang w:val="en-CA"/>
        </w:rPr>
        <w:t xml:space="preserve">al measure had been used, and </w:t>
      </w:r>
      <w:r w:rsidR="00BA2DA4" w:rsidRPr="000A17EB">
        <w:rPr>
          <w:lang w:val="en-CA"/>
        </w:rPr>
        <w:t>4</w:t>
      </w:r>
      <w:r w:rsidR="00417793">
        <w:rPr>
          <w:lang w:val="en-CA"/>
        </w:rPr>
        <w:t>1</w:t>
      </w:r>
      <w:r w:rsidR="00BA2DA4" w:rsidRPr="000A17EB">
        <w:rPr>
          <w:lang w:val="en-CA"/>
        </w:rPr>
        <w:t xml:space="preserve">% of </w:t>
      </w:r>
      <w:r w:rsidR="0018743F" w:rsidRPr="000A17EB">
        <w:rPr>
          <w:lang w:val="en-CA"/>
        </w:rPr>
        <w:t xml:space="preserve">bisexually-behaving men would have been </w:t>
      </w:r>
      <w:r w:rsidR="00417793">
        <w:rPr>
          <w:lang w:val="en-CA"/>
        </w:rPr>
        <w:t>excluded</w:t>
      </w:r>
      <w:r w:rsidR="00417793" w:rsidRPr="000A17EB">
        <w:rPr>
          <w:lang w:val="en-CA"/>
        </w:rPr>
        <w:t xml:space="preserve"> </w:t>
      </w:r>
      <w:r w:rsidR="0018743F" w:rsidRPr="000A17EB">
        <w:rPr>
          <w:lang w:val="en-CA"/>
        </w:rPr>
        <w:t xml:space="preserve">if a single identity measure had been used. </w:t>
      </w:r>
      <w:r w:rsidR="004D7517">
        <w:rPr>
          <w:lang w:val="en-CA"/>
        </w:rPr>
        <w:t>These patterns may have a number of explanations including that some bisexually-identifying men may be monogamous or sexually active with only one gender for a period, and thus misclassified with use of a single behavior measure. Some bisexually-behaving men may identify more strongly with gay or heterosexual self-labels, as a result of social stigma, ‘double discrimination’, primary pa</w:t>
      </w:r>
      <w:r w:rsidR="00302980">
        <w:rPr>
          <w:lang w:val="en-CA"/>
        </w:rPr>
        <w:t>rtner gender, or other reasons.</w:t>
      </w:r>
      <w:r w:rsidR="00E2069D">
        <w:rPr>
          <w:lang w:val="en-CA"/>
        </w:rPr>
        <w:t xml:space="preserve"> </w:t>
      </w:r>
      <w:r w:rsidR="00FA3715">
        <w:rPr>
          <w:lang w:val="en-CA"/>
        </w:rPr>
        <w:t>Consequently, t</w:t>
      </w:r>
      <w:r w:rsidR="0001085D">
        <w:rPr>
          <w:lang w:val="en-CA"/>
        </w:rPr>
        <w:t xml:space="preserve">his strongly recommends the inclusion of multiple sexual orientation measures in population health and survey research, as others have called for </w:t>
      </w:r>
      <w:r w:rsidR="000058C6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&lt;citation&gt;&lt;priority&gt;0&lt;/priority&gt;&lt;uuid&gt;C92142F9-6F73-45FD-BBFE-D45A3109CD68&lt;/uuid&gt;&lt;publications&gt;&lt;publication&gt;&lt;subtype&gt;403&lt;/subtype&gt;&lt;place&gt;Toronto, Canada&lt;/place&gt;&lt;title&gt;LGBT research with secondary data&lt;/title&gt;&lt;url&gt;http://www.rainbowhealthontario.ca/admin/contentEngine/contentDocuments/LGBT_Research_with_Secondary_Data.pdf&lt;/url&gt;&lt;publication_date&gt;99201200001200000000200000&lt;/publication_date&gt;&lt;uuid&gt;F94F675F-7CEA-4B99-9113-D60078BB6B52&lt;/uuid&gt;&lt;type&gt;400&lt;/type&gt;&lt;accepted_date&gt;99201602051200000000222000&lt;/accepted_date&gt;&lt;subtitle&gt;Fact Sheet&lt;/subtitle&gt;&lt;institution&gt;Rainbow Health Ontario&lt;/institution&gt;&lt;startpage&gt;1&lt;/startpage&gt;&lt;endpage&gt;5&lt;/endpage&gt;&lt;bundle&gt;&lt;publication&gt;&lt;title&gt;Rainbow Health Ontario&lt;/title&gt;&lt;uuid&gt;0E175C4C-AB9E-4DCE-981F-EF8262B615EB&lt;/uuid&gt;&lt;subtype&gt;-300&lt;/subtype&gt;&lt;type&gt;-300&lt;/type&gt;&lt;url&gt;http://www.rainbowhealthontario.ca&lt;/url&gt;&lt;/publication&gt;&lt;/bundle&gt;&lt;authors&gt;&lt;author&gt;&lt;lastName&gt;Rainbow Health Ontario&lt;/lastName&gt;&lt;/author&gt;&lt;/authors&gt;&lt;/publication&gt;&lt;publication&gt;&lt;subtype&gt;400&lt;/subtype&gt;&lt;title&gt;The problem with ‘behavioral bisexuality': Assessing sexual orientation in survey research&lt;/title&gt;&lt;url&gt;http://www-tandfonline-com.ezproxy.library.ubc.ca/doi/abs/10.1080/15299716.2013.782260&lt;/url&gt;&lt;volume&gt;13&lt;/volume&gt;&lt;publication_date&gt;99201304241200000000222000&lt;/publication_date&gt;&lt;uuid&gt;60999C3B-B38B-4F05-B2D2-9EDE5B4CF70D&lt;/uuid&gt;&lt;type&gt;400&lt;/type&gt;&lt;number&gt;2&lt;/number&gt;&lt;citekey&gt;Bauer:2013gb&lt;/citekey&gt;&lt;doi&gt;10.1080/15299716.2013.782260&lt;/doi&gt;&lt;startpage&gt;148&lt;/startpage&gt;&lt;endpage&gt;165&lt;/endpage&gt;&lt;bundle&gt;&lt;publication&gt;&lt;title&gt;Journal of Bisexuality&lt;/title&gt;&lt;uuid&gt;8E83A83A-2FE2-48CD-A32E-7776EA126EA3&lt;/uuid&gt;&lt;subtype&gt;-100&lt;/subtype&gt;&lt;publisher&gt; Taylor &amp;amp; Francis Group&lt;/publisher&gt;&lt;type&gt;-100&lt;/type&gt;&lt;/publication&gt;&lt;/bundle&gt;&lt;authors&gt;&lt;author&gt;&lt;lastName&gt;Bauer&lt;/lastName&gt;&lt;firstName&gt;Greta&lt;/firstName&gt;&lt;middleNames&gt;R&lt;/middleNames&gt;&lt;/author&gt;&lt;author&gt;&lt;lastName&gt;Brennan&lt;/lastName&gt;&lt;firstName&gt;David&lt;/firstName&gt;&lt;middleNames&gt;J&lt;/middleNames&gt;&lt;/author&gt;&lt;/authors&gt;&lt;/publication&gt;&lt;/publications&gt;&lt;cites&gt;&lt;/cites&gt;&lt;/citation&gt;</w:instrText>
      </w:r>
      <w:r w:rsidR="000058C6">
        <w:rPr>
          <w:lang w:val="en-CA"/>
        </w:rPr>
        <w:fldChar w:fldCharType="separate"/>
      </w:r>
      <w:r w:rsidR="000058C6">
        <w:t>(Bauer &amp; Brennan, 2013; Rainbow Health Ontario, 2012)</w:t>
      </w:r>
      <w:r w:rsidR="000058C6">
        <w:rPr>
          <w:lang w:val="en-CA"/>
        </w:rPr>
        <w:fldChar w:fldCharType="end"/>
      </w:r>
      <w:r w:rsidR="0001085D">
        <w:rPr>
          <w:lang w:val="en-CA"/>
        </w:rPr>
        <w:t xml:space="preserve">. </w:t>
      </w:r>
    </w:p>
    <w:p w14:paraId="0D4BE3D3" w14:textId="35BE04C4" w:rsidR="0038517F" w:rsidRDefault="005C650C" w:rsidP="001204F3">
      <w:pPr>
        <w:spacing w:line="480" w:lineRule="auto"/>
        <w:ind w:firstLine="360"/>
        <w:rPr>
          <w:rFonts w:eastAsiaTheme="minorHAnsi"/>
        </w:rPr>
      </w:pPr>
      <w:r>
        <w:rPr>
          <w:lang w:val="en-CA"/>
        </w:rPr>
        <w:t>C</w:t>
      </w:r>
      <w:r w:rsidRPr="000A17EB">
        <w:rPr>
          <w:lang w:val="en-CA"/>
        </w:rPr>
        <w:t xml:space="preserve">ompared to </w:t>
      </w:r>
      <w:r w:rsidR="00403768">
        <w:rPr>
          <w:lang w:val="en-CA"/>
        </w:rPr>
        <w:t xml:space="preserve">previous </w:t>
      </w:r>
      <w:r w:rsidRPr="000A17EB">
        <w:rPr>
          <w:lang w:val="en-CA"/>
        </w:rPr>
        <w:t>research on mental health outcomes among bisexual men</w:t>
      </w:r>
      <w:r>
        <w:rPr>
          <w:lang w:val="en-CA"/>
        </w:rPr>
        <w:t>, t</w:t>
      </w:r>
      <w:r w:rsidR="006F0318" w:rsidRPr="000A17EB">
        <w:rPr>
          <w:lang w:val="en-CA"/>
        </w:rPr>
        <w:t>he anxiety and depression prevalence</w:t>
      </w:r>
      <w:r w:rsidR="00807964">
        <w:rPr>
          <w:lang w:val="en-CA"/>
        </w:rPr>
        <w:t>s</w:t>
      </w:r>
      <w:r>
        <w:rPr>
          <w:lang w:val="en-CA"/>
        </w:rPr>
        <w:t xml:space="preserve"> in this sample are </w:t>
      </w:r>
      <w:r w:rsidR="004328EC">
        <w:rPr>
          <w:lang w:val="en-CA"/>
        </w:rPr>
        <w:t>for the most part</w:t>
      </w:r>
      <w:r>
        <w:rPr>
          <w:lang w:val="en-CA"/>
        </w:rPr>
        <w:t xml:space="preserve"> high</w:t>
      </w:r>
      <w:r w:rsidR="006F0318" w:rsidRPr="000A17EB">
        <w:rPr>
          <w:lang w:val="en-CA"/>
        </w:rPr>
        <w:t>. A 2010 Canadian study using</w:t>
      </w:r>
      <w:r w:rsidR="00FE0165" w:rsidRPr="000A17EB">
        <w:rPr>
          <w:lang w:val="en-CA"/>
        </w:rPr>
        <w:t xml:space="preserve"> national health survey data, self-reported mental health measures and </w:t>
      </w:r>
      <w:r w:rsidR="003726F4">
        <w:rPr>
          <w:lang w:val="en-CA"/>
        </w:rPr>
        <w:t>an</w:t>
      </w:r>
      <w:r w:rsidR="00FE0165" w:rsidRPr="000A17EB">
        <w:rPr>
          <w:lang w:val="en-CA"/>
        </w:rPr>
        <w:t xml:space="preserve"> identity based sexual orientation measure found a 13.8% prevalence of mood or anxiety disorder</w:t>
      </w:r>
      <w:r w:rsidR="000C45D9">
        <w:rPr>
          <w:lang w:val="en-CA"/>
        </w:rPr>
        <w:t xml:space="preserve"> among bisexual men</w:t>
      </w:r>
      <w:r w:rsidR="006F0318" w:rsidRPr="000A17EB">
        <w:rPr>
          <w:lang w:val="en-CA"/>
        </w:rPr>
        <w:t xml:space="preserve"> </w:t>
      </w:r>
      <w:r w:rsidR="006F0318" w:rsidRPr="000A17EB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&lt;citation&gt;&lt;priority&gt;0&lt;/priority&gt;&lt;uuid&gt;D4AB8FE4-A40F-4045-B396-C0EEB58B379E&lt;/uuid&gt;&lt;publications&gt;&lt;publication&gt;&lt;subtype&gt;400&lt;/subtype&gt;&lt;title&gt;Men's sexual orientation and health in Canada.&lt;/title&gt;&lt;url&gt;http://eutils.ncbi.nlm.nih.gov/entrez/eutils/elink.fcgi?dbfrom=pubmed&amp;amp;id=20737821&amp;amp;retmode=ref&amp;amp;cmd=prlinks&lt;/url&gt;&lt;volume&gt;101&lt;/volume&gt;&lt;publication_date&gt;99201005001200000000220000&lt;/publication_date&gt;&lt;uuid&gt;89ABBEE8-D310-4A84-A37B-8D34C8229E5C&lt;/uuid&gt;&lt;type&gt;400&lt;/type&gt;&lt;number&gt;3&lt;/number&gt;&lt;institution&gt;Factor-Inwentash Faculty of Social Work, University of Toronto, 246 Bloor Street West, Toronto, ON M55 1A1. david.brennan@utoronto.ca&lt;/institution&gt;&lt;startpage&gt;255&lt;/startpage&gt;&lt;endpage&gt;258&lt;/endpage&gt;&lt;bundle&gt;&lt;publication&gt;&lt;title&gt;Canadian journal of public health = Revue canadienne de santé publique&lt;/title&gt;&lt;uuid&gt;BA8A0699-2DA3-464E-B2D5-0F6FD8627243&lt;/uuid&gt;&lt;subtype&gt;-100&lt;/subtype&gt;&lt;type&gt;-100&lt;/type&gt;&lt;/publication&gt;&lt;/bundle&gt;&lt;authors&gt;&lt;author&gt;&lt;lastName&gt;Brennan&lt;/lastName&gt;&lt;firstName&gt;David&lt;/firstName&gt;&lt;middleNames&gt;J&lt;/middleNames&gt;&lt;/author&gt;&lt;author&gt;&lt;lastName&gt;Ross&lt;/lastName&gt;&lt;firstName&gt;Lori&lt;/firstName&gt;&lt;middleNames&gt;E&lt;/middleNames&gt;&lt;/author&gt;&lt;author&gt;&lt;lastName&gt;Dobinson&lt;/lastName&gt;&lt;firstName&gt;Cheryl&lt;/firstName&gt;&lt;/author&gt;&lt;author&gt;&lt;lastName&gt;Veldhuizen&lt;/lastName&gt;&lt;firstName&gt;Scott&lt;/firstName&gt;&lt;/author&gt;&lt;author&gt;&lt;lastName&gt;Steele&lt;/lastName&gt;&lt;firstName&gt;Leah&lt;/firstName&gt;&lt;middleNames&gt;S&lt;/middleNames&gt;&lt;/author&gt;&lt;/authors&gt;&lt;/publication&gt;&lt;/publications&gt;&lt;cites&gt;&lt;/cites&gt;&lt;/citation&gt;</w:instrText>
      </w:r>
      <w:r w:rsidR="006F0318" w:rsidRPr="000A17EB">
        <w:rPr>
          <w:lang w:val="en-CA"/>
        </w:rPr>
        <w:fldChar w:fldCharType="separate"/>
      </w:r>
      <w:r w:rsidR="00443C0E">
        <w:t>(Brennan, Ross, Dobinson, Veldhuizen, &amp; Steele, 2010)</w:t>
      </w:r>
      <w:r w:rsidR="006F0318" w:rsidRPr="000A17EB">
        <w:rPr>
          <w:lang w:val="en-CA"/>
        </w:rPr>
        <w:fldChar w:fldCharType="end"/>
      </w:r>
      <w:r w:rsidR="00FE0165" w:rsidRPr="000A17EB">
        <w:rPr>
          <w:lang w:val="en-CA"/>
        </w:rPr>
        <w:t xml:space="preserve">. </w:t>
      </w:r>
      <w:r w:rsidR="004F6559" w:rsidRPr="000A17EB">
        <w:rPr>
          <w:lang w:val="en-CA"/>
        </w:rPr>
        <w:t xml:space="preserve">Using </w:t>
      </w:r>
      <w:r w:rsidR="00EB6FDA" w:rsidRPr="000A17EB">
        <w:rPr>
          <w:lang w:val="en-CA"/>
        </w:rPr>
        <w:t xml:space="preserve">2004-5 data from a </w:t>
      </w:r>
      <w:r w:rsidR="004F6559" w:rsidRPr="000A17EB">
        <w:rPr>
          <w:lang w:val="en-CA"/>
        </w:rPr>
        <w:t xml:space="preserve">U.S. </w:t>
      </w:r>
      <w:r w:rsidR="00EB6FDA" w:rsidRPr="000A17EB">
        <w:rPr>
          <w:lang w:val="en-CA"/>
        </w:rPr>
        <w:t>national substance use and mental health survey</w:t>
      </w:r>
      <w:r w:rsidR="002D3138" w:rsidRPr="000A17EB">
        <w:rPr>
          <w:lang w:val="en-CA"/>
        </w:rPr>
        <w:t xml:space="preserve">, mental health outcomes based on validated </w:t>
      </w:r>
      <w:r w:rsidR="002D3138" w:rsidRPr="000A17EB">
        <w:rPr>
          <w:lang w:val="en-CA"/>
        </w:rPr>
        <w:lastRenderedPageBreak/>
        <w:t>scales</w:t>
      </w:r>
      <w:r w:rsidR="00EB6FDA" w:rsidRPr="000A17EB">
        <w:rPr>
          <w:lang w:val="en-CA"/>
        </w:rPr>
        <w:t>,</w:t>
      </w:r>
      <w:r w:rsidR="002D3138" w:rsidRPr="000A17EB">
        <w:rPr>
          <w:lang w:val="en-CA"/>
        </w:rPr>
        <w:t xml:space="preserve"> and all three major sexual orientation dimensions,</w:t>
      </w:r>
      <w:r w:rsidR="00EB6FDA" w:rsidRPr="000A17EB">
        <w:rPr>
          <w:lang w:val="en-CA"/>
        </w:rPr>
        <w:t xml:space="preserve"> Bostwick et al. </w:t>
      </w:r>
      <w:r w:rsidR="003726F4">
        <w:rPr>
          <w:lang w:val="en-CA"/>
        </w:rPr>
        <w:t xml:space="preserve">(2010) </w:t>
      </w:r>
      <w:r w:rsidR="00EB6FDA" w:rsidRPr="000A17EB">
        <w:rPr>
          <w:lang w:val="en-CA"/>
        </w:rPr>
        <w:t xml:space="preserve">found </w:t>
      </w:r>
      <w:r w:rsidR="0086775B">
        <w:rPr>
          <w:lang w:val="en-CA"/>
        </w:rPr>
        <w:t>a 35.8</w:t>
      </w:r>
      <w:r w:rsidR="002D3138" w:rsidRPr="000A17EB">
        <w:rPr>
          <w:lang w:val="en-CA"/>
        </w:rPr>
        <w:t xml:space="preserve">% </w:t>
      </w:r>
      <w:r w:rsidR="0086775B">
        <w:rPr>
          <w:lang w:val="en-CA"/>
        </w:rPr>
        <w:t xml:space="preserve">lifetime </w:t>
      </w:r>
      <w:r w:rsidR="002D3138" w:rsidRPr="000A17EB">
        <w:rPr>
          <w:lang w:val="en-CA"/>
        </w:rPr>
        <w:t xml:space="preserve">prevalence of major depression </w:t>
      </w:r>
      <w:r w:rsidR="0086775B">
        <w:rPr>
          <w:lang w:val="en-CA"/>
        </w:rPr>
        <w:t>among bisexual</w:t>
      </w:r>
      <w:r w:rsidR="008B6159">
        <w:rPr>
          <w:lang w:val="en-CA"/>
        </w:rPr>
        <w:t>ly-identified</w:t>
      </w:r>
      <w:r w:rsidR="0086775B">
        <w:rPr>
          <w:lang w:val="en-CA"/>
        </w:rPr>
        <w:t xml:space="preserve"> men, between 21.8</w:t>
      </w:r>
      <w:r w:rsidR="002D3138" w:rsidRPr="000A17EB">
        <w:rPr>
          <w:lang w:val="en-CA"/>
        </w:rPr>
        <w:t xml:space="preserve">-33.0% among categories of </w:t>
      </w:r>
      <w:r w:rsidR="0086775B">
        <w:rPr>
          <w:lang w:val="en-CA"/>
        </w:rPr>
        <w:t>bisexually</w:t>
      </w:r>
      <w:r w:rsidR="00AA1C7A">
        <w:rPr>
          <w:lang w:val="en-CA"/>
        </w:rPr>
        <w:t>-</w:t>
      </w:r>
      <w:r w:rsidR="002D3138" w:rsidRPr="000A17EB">
        <w:rPr>
          <w:lang w:val="en-CA"/>
        </w:rPr>
        <w:t>attracted men</w:t>
      </w:r>
      <w:r w:rsidR="0086775B">
        <w:rPr>
          <w:lang w:val="en-CA"/>
        </w:rPr>
        <w:t xml:space="preserve">, and </w:t>
      </w:r>
      <w:r w:rsidR="002D3138" w:rsidRPr="000A17EB">
        <w:rPr>
          <w:lang w:val="en-CA"/>
        </w:rPr>
        <w:t>36.9% among bisexual</w:t>
      </w:r>
      <w:r w:rsidR="008B6159">
        <w:rPr>
          <w:lang w:val="en-CA"/>
        </w:rPr>
        <w:t>ly</w:t>
      </w:r>
      <w:r w:rsidR="002D3138" w:rsidRPr="000A17EB">
        <w:rPr>
          <w:lang w:val="en-CA"/>
        </w:rPr>
        <w:t xml:space="preserve">-behaving men </w:t>
      </w:r>
      <w:r w:rsidR="002D3138" w:rsidRPr="000A17EB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&lt;citation&gt;&lt;priority&gt;0&lt;/priority&gt;&lt;uuid&gt;7FF9B67D-1708-42EF-8FFC-0E7964B0B938&lt;/uuid&gt;&lt;publications&gt;&lt;publication&gt;&lt;subtype&gt;400&lt;/subtype&gt;&lt;title&gt;Dimensions of sexual orientation and the prevalence of mood and anxiety disorders in the United States.&lt;/title&gt;&lt;url&gt;http://ajph.aphapublications.org/doi/10.2105/AJPH.2008.152942&lt;/url&gt;&lt;volume&gt;100&lt;/volume&gt;&lt;publication_date&gt;99201003001200000000220000&lt;/publication_date&gt;&lt;uuid&gt;89ECEF37-2723-4E3F-A1F0-AFE745A31C6A&lt;/uuid&gt;&lt;type&gt;400&lt;/type&gt;&lt;number&gt;3&lt;/number&gt;&lt;citekey&gt;Bostwick:2010gn&lt;/citekey&gt;&lt;doi&gt;10.2105/AJPH.2008.152942&lt;/doi&gt;&lt;institution&gt;Adler School of Professional Psychology, Chicago, IL, USA. wbostwick@niu.edu&lt;/institution&gt;&lt;startpage&gt;468&lt;/startpage&gt;&lt;endpage&gt;475&lt;/endpage&gt;&lt;bundle&gt;&lt;publication&gt;&lt;title&gt;American Journal of Public Health&lt;/title&gt;&lt;uuid&gt;8B76720C-F03E-40BB-BD52-4603335ECB97&lt;/uuid&gt;&lt;subtype&gt;-100&lt;/subtype&gt;&lt;publisher&gt;American Public Health Association&lt;/publisher&gt;&lt;type&gt;-100&lt;/type&gt;&lt;/publication&gt;&lt;/bundle&gt;&lt;authors&gt;&lt;author&gt;&lt;lastName&gt;Bostwick&lt;/lastName&gt;&lt;firstName&gt;Wendy&lt;/firstName&gt;&lt;middleNames&gt;B&lt;/middleNames&gt;&lt;/author&gt;&lt;author&gt;&lt;lastName&gt;Boyd&lt;/lastName&gt;&lt;firstName&gt;Carol&lt;/firstName&gt;&lt;middleNames&gt;J&lt;/middleNames&gt;&lt;/author&gt;&lt;author&gt;&lt;lastName&gt;Hughes&lt;/lastName&gt;&lt;firstName&gt;Tonda&lt;/firstName&gt;&lt;middleNames&gt;L&lt;/middleNames&gt;&lt;/author&gt;&lt;author&gt;&lt;lastName&gt;McCabe&lt;/lastName&gt;&lt;firstName&gt;Sean&lt;/firstName&gt;&lt;middleNames&gt;Esteban&lt;/middleNames&gt;&lt;/author&gt;&lt;/authors&gt;&lt;/publication&gt;&lt;/publications&gt;&lt;cites&gt;&lt;/cites&gt;&lt;/citation&gt;</w:instrText>
      </w:r>
      <w:r w:rsidR="002D3138" w:rsidRPr="000A17EB">
        <w:rPr>
          <w:lang w:val="en-CA"/>
        </w:rPr>
        <w:fldChar w:fldCharType="separate"/>
      </w:r>
      <w:r w:rsidR="00895F6A">
        <w:t>(Bostwick et al., 2010)</w:t>
      </w:r>
      <w:r w:rsidR="002D3138" w:rsidRPr="000A17EB">
        <w:rPr>
          <w:lang w:val="en-CA"/>
        </w:rPr>
        <w:fldChar w:fldCharType="end"/>
      </w:r>
      <w:r w:rsidR="002D3138" w:rsidRPr="000A17EB">
        <w:rPr>
          <w:lang w:val="en-CA"/>
        </w:rPr>
        <w:t xml:space="preserve">. </w:t>
      </w:r>
      <w:r w:rsidR="00496236">
        <w:rPr>
          <w:lang w:val="en-CA"/>
        </w:rPr>
        <w:t xml:space="preserve">The same study found a lifetime </w:t>
      </w:r>
      <w:r w:rsidR="008B6159">
        <w:rPr>
          <w:lang w:val="en-CA"/>
        </w:rPr>
        <w:t xml:space="preserve">prevalence of any anxiety disorder of 38.7% among bisexually-identified men, </w:t>
      </w:r>
      <w:r w:rsidR="0086775B">
        <w:rPr>
          <w:lang w:val="en-CA"/>
        </w:rPr>
        <w:t xml:space="preserve">24.2-43.0% </w:t>
      </w:r>
      <w:r w:rsidR="008B6159">
        <w:rPr>
          <w:lang w:val="en-CA"/>
        </w:rPr>
        <w:t>among categories of bisexually-attracted men</w:t>
      </w:r>
      <w:r w:rsidR="0086775B">
        <w:rPr>
          <w:lang w:val="en-CA"/>
        </w:rPr>
        <w:t xml:space="preserve">, </w:t>
      </w:r>
      <w:r w:rsidR="008B6159">
        <w:rPr>
          <w:lang w:val="en-CA"/>
        </w:rPr>
        <w:t xml:space="preserve">and </w:t>
      </w:r>
      <w:r w:rsidR="0086775B">
        <w:rPr>
          <w:lang w:val="en-CA"/>
        </w:rPr>
        <w:t xml:space="preserve">38.9% </w:t>
      </w:r>
      <w:r w:rsidR="008B6159">
        <w:rPr>
          <w:lang w:val="en-CA"/>
        </w:rPr>
        <w:t xml:space="preserve">among bisexually-behaving men. </w:t>
      </w:r>
      <w:r w:rsidR="00D4622E" w:rsidRPr="000A17EB">
        <w:rPr>
          <w:lang w:val="en-CA"/>
        </w:rPr>
        <w:t xml:space="preserve">These differences could be </w:t>
      </w:r>
      <w:r w:rsidR="009C5835" w:rsidRPr="000A17EB">
        <w:rPr>
          <w:lang w:val="en-CA"/>
        </w:rPr>
        <w:t>due to a number of factors including use of different sexual orientation</w:t>
      </w:r>
      <w:r w:rsidR="007D633D" w:rsidRPr="000A17EB">
        <w:rPr>
          <w:lang w:val="en-CA"/>
        </w:rPr>
        <w:t xml:space="preserve"> (e.g.</w:t>
      </w:r>
      <w:r w:rsidR="0071662A">
        <w:rPr>
          <w:lang w:val="en-CA"/>
        </w:rPr>
        <w:t>,</w:t>
      </w:r>
      <w:r w:rsidR="007D633D" w:rsidRPr="000A17EB">
        <w:rPr>
          <w:lang w:val="en-CA"/>
        </w:rPr>
        <w:t xml:space="preserve"> lifetime vs. past two-</w:t>
      </w:r>
      <w:r w:rsidR="007E5E51" w:rsidRPr="000A17EB">
        <w:rPr>
          <w:lang w:val="en-CA"/>
        </w:rPr>
        <w:t xml:space="preserve">year </w:t>
      </w:r>
      <w:r w:rsidR="00B816DB">
        <w:rPr>
          <w:lang w:val="en-CA"/>
        </w:rPr>
        <w:t>behavior</w:t>
      </w:r>
      <w:r w:rsidR="007E5E51" w:rsidRPr="000A17EB">
        <w:rPr>
          <w:lang w:val="en-CA"/>
        </w:rPr>
        <w:t xml:space="preserve">, etc.) </w:t>
      </w:r>
      <w:r w:rsidR="009C5835" w:rsidRPr="000A17EB">
        <w:rPr>
          <w:lang w:val="en-CA"/>
        </w:rPr>
        <w:t xml:space="preserve">and mental health </w:t>
      </w:r>
      <w:r w:rsidR="00B809FE">
        <w:rPr>
          <w:lang w:val="en-CA"/>
        </w:rPr>
        <w:t>(e.g. self-report, validated scales, etc.)</w:t>
      </w:r>
      <w:r w:rsidR="00A65E3F">
        <w:rPr>
          <w:lang w:val="en-CA"/>
        </w:rPr>
        <w:t xml:space="preserve"> </w:t>
      </w:r>
      <w:r w:rsidR="00A65E3F" w:rsidRPr="000A17EB">
        <w:rPr>
          <w:lang w:val="en-CA"/>
        </w:rPr>
        <w:t>measures</w:t>
      </w:r>
      <w:r w:rsidR="009C5835" w:rsidRPr="000A17EB">
        <w:rPr>
          <w:lang w:val="en-CA"/>
        </w:rPr>
        <w:t xml:space="preserve"> </w:t>
      </w:r>
      <w:r w:rsidR="00084B5B">
        <w:rPr>
          <w:lang w:val="en-CA"/>
        </w:rPr>
        <w:t>and</w:t>
      </w:r>
      <w:r w:rsidR="009C5835" w:rsidRPr="000A17EB">
        <w:rPr>
          <w:lang w:val="en-CA"/>
        </w:rPr>
        <w:t xml:space="preserve"> differences in study population (i.e.</w:t>
      </w:r>
      <w:r w:rsidR="0071662A">
        <w:rPr>
          <w:lang w:val="en-CA"/>
        </w:rPr>
        <w:t>,</w:t>
      </w:r>
      <w:r w:rsidR="009C5835" w:rsidRPr="000A17EB">
        <w:rPr>
          <w:lang w:val="en-CA"/>
        </w:rPr>
        <w:t xml:space="preserve"> general population</w:t>
      </w:r>
      <w:r w:rsidR="00096C3D">
        <w:rPr>
          <w:lang w:val="en-CA"/>
        </w:rPr>
        <w:t xml:space="preserve">, </w:t>
      </w:r>
      <w:r w:rsidR="00897D6C">
        <w:rPr>
          <w:lang w:val="en-CA"/>
        </w:rPr>
        <w:t xml:space="preserve">recently sexually active </w:t>
      </w:r>
      <w:r w:rsidR="009C5835" w:rsidRPr="000A17EB">
        <w:rPr>
          <w:lang w:val="en-CA"/>
        </w:rPr>
        <w:t>sexual minority sample</w:t>
      </w:r>
      <w:r w:rsidR="00096C3D">
        <w:rPr>
          <w:lang w:val="en-CA"/>
        </w:rPr>
        <w:t>, etc.</w:t>
      </w:r>
      <w:r w:rsidR="009C5835" w:rsidRPr="000A17EB">
        <w:rPr>
          <w:lang w:val="en-CA"/>
        </w:rPr>
        <w:t>)</w:t>
      </w:r>
      <w:r w:rsidR="00AE7860">
        <w:rPr>
          <w:lang w:val="en-CA"/>
        </w:rPr>
        <w:t xml:space="preserve"> </w:t>
      </w:r>
      <w:r w:rsidR="00356DCB">
        <w:rPr>
          <w:lang w:val="en-CA"/>
        </w:rPr>
        <w:t xml:space="preserve"> </w:t>
      </w:r>
      <w:r w:rsidR="0038517F">
        <w:rPr>
          <w:rFonts w:eastAsiaTheme="minorHAnsi"/>
        </w:rPr>
        <w:fldChar w:fldCharType="begin"/>
      </w:r>
      <w:r w:rsidR="0038517F">
        <w:rPr>
          <w:rFonts w:eastAsiaTheme="minorHAnsi"/>
        </w:rPr>
        <w:instrText xml:space="preserve"> ADDIN PAPERS2_CITATIONS &lt;citation&gt;&lt;priority&gt;35&lt;/priority&gt;&lt;uuid&gt;F7305548-3F78-4171-A73C-FA3CEAA2D946&lt;/uuid&gt;&lt;publications&gt;&lt;publication&gt;&lt;subtype&gt;-1000&lt;/subtype&gt;&lt;place&gt;Cham&lt;/place&gt;&lt;publisher&gt;Springer</w:instrText>
      </w:r>
    </w:p>
    <w:p w14:paraId="3F749182" w14:textId="1CB2DC1D" w:rsidR="00220F04" w:rsidRPr="000058C6" w:rsidRDefault="0038517F" w:rsidP="001204F3">
      <w:pPr>
        <w:spacing w:line="480" w:lineRule="auto"/>
        <w:ind w:firstLine="360"/>
        <w:rPr>
          <w:lang w:val="en-CA"/>
        </w:rPr>
      </w:pPr>
      <w:r>
        <w:rPr>
          <w:rFonts w:eastAsiaTheme="minorHAnsi"/>
        </w:rPr>
        <w:instrText>&lt;/publisher&gt;&lt;title&gt;Plurisexual Identity Labels and the Marking of Bisexual Desire&lt;/title&gt;&lt;url&gt;https://link.springer.com/chapter/10.1007/978-3-319-71535-3_4&lt;/url&gt;&lt;uuid&gt;976F177A-DBCC-42F8-AE4E-0FE8719CB8D5&lt;/uuid&gt;&lt;type&gt;-1000&lt;/type&gt;&lt;number&gt;4&lt;/number&gt;&lt;doi&gt;10.1007/978-3-319-71535-3_4&lt;/doi&gt;&lt;startpage&gt;61&lt;/startpage&gt;&lt;endpage&gt;75&lt;/endpage&gt;&lt;bundle&gt;&lt;publication&gt;&lt;subtype&gt;0&lt;/subtype&gt;&lt;title&gt;Bisexuality&lt;/title&gt;&lt;uuid&gt;1A39F099-D255-4914-AA0F-069073BBCC8F&lt;/uuid&gt;&lt;type&gt;0&lt;/type&gt;&lt;/publication&gt;&lt;/bundle&gt;&lt;authors&gt;&lt;author&gt;&lt;lastName&gt;Galupo&lt;/lastName&gt;&lt;firstName&gt;MP&lt;/firstName&gt;&lt;/author&gt;&lt;/authors&gt;&lt;editors&gt;&lt;author&gt;&lt;lastName&gt;Swan&lt;/lastName&gt;&lt;firstName&gt;D&lt;/firstName&gt;&lt;/author&gt;&lt;author&gt;&lt;lastName&gt;Habibi&lt;/lastName&gt;&lt;firstName&gt;S&lt;/firstName&gt;&lt;/author&gt;&lt;/editors&gt;&lt;/publication&gt;&lt;publication&gt;&lt;subtype&gt;400&lt;/subtype&gt;&lt;title&gt;Prevalence of Depression and Anxiety Among Bisexual People Compared to Gay, Lesbian, and Heterosexual Individuals:A Systematic Review and Meta-Analysis.&lt;/title&gt;&lt;url&gt;https://www.tandfonline.com/doi/full/10.1080/00224499.2017.1387755&lt;/url&gt;&lt;volume&gt;5&lt;/volume&gt;&lt;publication_date&gt;99201711031200000000222000&lt;/publication_date&gt;&lt;uuid&gt;B246599F-AB52-435F-BD26-CB6681E27621&lt;/uuid&gt;&lt;version&gt;2&lt;/version&gt;&lt;type&gt;400&lt;/type&gt;&lt;number&gt;4&lt;/number&gt;&lt;doi&gt;10.1080/00224499.2017.1387755&lt;/doi&gt;&lt;institution&gt;a Dalla Lana School of Public Health , University of Toronto.&lt;/institution&gt;&lt;startpage&gt;1&lt;/startpage&gt;&lt;endpage&gt;22&lt;/endpage&gt;&lt;bundle&gt;&lt;publication&gt;&lt;title&gt;Journal of sex research&lt;/title&gt;&lt;uuid&gt;7B75E25B-4936-4AB3-83D0-03F19AF50EA5&lt;/uuid&gt;&lt;subtype&gt;-100&lt;/subtype&gt;&lt;publisher&gt; Taylor &amp;amp; Francis Group&lt;/publisher&gt;&lt;type&gt;-100&lt;/type&gt;&lt;/publication&gt;&lt;/bundle&gt;&lt;authors&gt;&lt;author&gt;&lt;lastName&gt;Ross&lt;/lastName&gt;&lt;firstName&gt;Lori&lt;/firstName&gt;&lt;middleNames&gt;E&lt;/middleNames&gt;&lt;/author&gt;&lt;author&gt;&lt;lastName&gt;Salway&lt;/lastName&gt;&lt;firstName&gt;Travis&lt;/firstName&gt;&lt;/author&gt;&lt;author&gt;&lt;lastName&gt;Tarasoff&lt;/lastName&gt;&lt;firstName&gt;Lesley&lt;/firstName&gt;&lt;middleNames&gt;A&lt;/middleNames&gt;&lt;/author&gt;&lt;author&gt;&lt;lastName&gt;MacKay&lt;/lastName&gt;&lt;firstName&gt;Jenna&lt;/firstName&gt;&lt;middleNames&gt;M&lt;/middleNames&gt;&lt;/author&gt;&lt;author&gt;&lt;lastName&gt;Hawkins&lt;/lastName&gt;&lt;firstName&gt;Blake&lt;/firstName&gt;&lt;middleNames&gt;W&lt;/middleNames&gt;&lt;/author&gt;&lt;author&gt;&lt;lastName&gt;Fehr&lt;/lastName&gt;&lt;firstName&gt;Charles&lt;/firstName&gt;&lt;middleNames&gt;P&lt;/middleNames&gt;&lt;/author&gt;&lt;/authors&gt;&lt;/publication&gt;&lt;/publications&gt;&lt;cites&gt;&lt;/cites&gt;&lt;/citation&gt;</w:instrText>
      </w:r>
      <w:r>
        <w:rPr>
          <w:rFonts w:eastAsiaTheme="minorHAnsi"/>
        </w:rPr>
        <w:fldChar w:fldCharType="separate"/>
      </w:r>
      <w:r>
        <w:rPr>
          <w:rFonts w:eastAsiaTheme="minorHAnsi"/>
        </w:rPr>
        <w:t>(Galupo, n.d.; Ross et al., 2017)</w:t>
      </w:r>
      <w:r>
        <w:rPr>
          <w:rFonts w:eastAsiaTheme="minorHAnsi"/>
        </w:rPr>
        <w:fldChar w:fldCharType="end"/>
      </w:r>
      <w:r w:rsidR="009C5835" w:rsidRPr="000A17EB">
        <w:rPr>
          <w:lang w:val="en-CA"/>
        </w:rPr>
        <w:t xml:space="preserve">. </w:t>
      </w:r>
    </w:p>
    <w:p w14:paraId="1DBB8963" w14:textId="75EAA5C4" w:rsidR="00192D68" w:rsidRPr="005F17EB" w:rsidRDefault="00082E89" w:rsidP="000058C6">
      <w:pPr>
        <w:spacing w:line="480" w:lineRule="auto"/>
        <w:ind w:firstLine="360"/>
        <w:rPr>
          <w:lang w:val="en-CA"/>
        </w:rPr>
      </w:pPr>
      <w:r>
        <w:rPr>
          <w:lang w:val="en-CA"/>
        </w:rPr>
        <w:t>Demonstrated a</w:t>
      </w:r>
      <w:r w:rsidR="00FE4D68">
        <w:rPr>
          <w:lang w:val="en-CA"/>
        </w:rPr>
        <w:t>nxiety and depression</w:t>
      </w:r>
      <w:r w:rsidR="001C2BD8" w:rsidRPr="000A17EB">
        <w:rPr>
          <w:lang w:val="en-CA"/>
        </w:rPr>
        <w:t xml:space="preserve"> disparity for bisexual men may be explained by a number of underlying mechanisms. </w:t>
      </w:r>
      <w:r w:rsidR="006C5C99">
        <w:rPr>
          <w:lang w:val="en-CA"/>
        </w:rPr>
        <w:t>Previous research</w:t>
      </w:r>
      <w:r w:rsidR="002A5594" w:rsidRPr="000A17EB">
        <w:rPr>
          <w:lang w:val="en-CA"/>
        </w:rPr>
        <w:t xml:space="preserve"> </w:t>
      </w:r>
      <w:r w:rsidR="006C5C99">
        <w:rPr>
          <w:lang w:val="en-CA"/>
        </w:rPr>
        <w:t>has</w:t>
      </w:r>
      <w:r w:rsidR="002A5594" w:rsidRPr="000A17EB">
        <w:rPr>
          <w:lang w:val="en-CA"/>
        </w:rPr>
        <w:t xml:space="preserve"> </w:t>
      </w:r>
      <w:r w:rsidR="006C5C99">
        <w:rPr>
          <w:lang w:val="en-CA"/>
        </w:rPr>
        <w:t>found</w:t>
      </w:r>
      <w:r w:rsidR="002A5594" w:rsidRPr="000A17EB">
        <w:rPr>
          <w:lang w:val="en-CA"/>
        </w:rPr>
        <w:t xml:space="preserve"> biphobia among both heterosexual and sexual minority groups, contributing to ‘double discrimination’, or negative attitudes toward bisexuality that bisexual people </w:t>
      </w:r>
      <w:r w:rsidR="00AC573C">
        <w:rPr>
          <w:lang w:val="en-CA"/>
        </w:rPr>
        <w:t>experience</w:t>
      </w:r>
      <w:r w:rsidR="002A5594" w:rsidRPr="000A17EB">
        <w:rPr>
          <w:lang w:val="en-CA"/>
        </w:rPr>
        <w:t xml:space="preserve"> from both heterosexual and sexual minority communities </w:t>
      </w:r>
      <w:r w:rsidR="002A5594" w:rsidRPr="000A17EB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&lt;citation&gt;&lt;priority&gt;0&lt;/priority&gt;&lt;uuid&gt;C0457036-166A-44FD-8763-CB12B8258FB8&lt;/uuid&gt;&lt;publications&gt;&lt;publication&gt;&lt;subtype&gt;400&lt;/subtype&gt;&lt;title&gt;The significance of privacy and trust in providing health-related services to behaviorally bisexual men in the United States.&lt;/title&gt;&lt;url&gt;http://guilfordjournals.com/doi/abs/10.1521/aeap.2012.24.3.242&lt;/url&gt;&lt;volume&gt;24&lt;/volume&gt;&lt;publication_date&gt;99201206001200000000220000&lt;/publication_date&gt;&lt;uuid&gt;B47187A9-FA17-4657-9260-A2E98B219ACA&lt;/uuid&gt;&lt;type&gt;400&lt;/type&gt;&lt;number&gt;3&lt;/number&gt;&lt;doi&gt;10.1521/aeap.2012.24.3.242&lt;/doi&gt;&lt;institution&gt;Indiana University, Center for Sexual Health Promotion, HPER 116, Bloomington, IN 47405, USA. bmdodge@indiana.edu&lt;/institution&gt;&lt;startpage&gt;242&lt;/startpage&gt;&lt;endpage&gt;256&lt;/endpage&gt;&lt;bundle&gt;&lt;publication&gt;&lt;title&gt;AIDS education and prevention : official publication of the International Society for AIDS Education&lt;/title&gt;&lt;uuid&gt;1D8399FF-05C7-474F-A3AC-D61158705412&lt;/uuid&gt;&lt;subtype&gt;-100&lt;/subtype&gt;&lt;type&gt;-100&lt;/type&gt;&lt;/publication&gt;&lt;/bundle&gt;&lt;authors&gt;&lt;author&gt;&lt;lastName&gt;Dodge&lt;/lastName&gt;&lt;firstName&gt;Brian&lt;/firstName&gt;&lt;/author&gt;&lt;author&gt;&lt;lastName&gt;Schnarrs&lt;/lastName&gt;&lt;firstName&gt;Phillip&lt;/firstName&gt;&lt;middleNames&gt;W&lt;/middleNames&gt;&lt;/author&gt;&lt;author&gt;&lt;lastName&gt;Goncalves&lt;/lastName&gt;&lt;firstName&gt;Gabriel&lt;/firstName&gt;&lt;/author&gt;&lt;author&gt;&lt;lastName&gt;Malebranche&lt;/lastName&gt;&lt;firstName&gt;David&lt;/firstName&gt;&lt;/author&gt;&lt;author&gt;&lt;lastName&gt;Martinez&lt;/lastName&gt;&lt;firstName&gt;Omar&lt;/firstName&gt;&lt;/author&gt;&lt;author&gt;&lt;lastName&gt;Reece&lt;/lastName&gt;&lt;firstName&gt;Michael&lt;/firstName&gt;&lt;/author&gt;&lt;author&gt;&lt;lastName&gt;Rhodes&lt;/lastName&gt;&lt;firstName&gt;Scott&lt;/firstName&gt;&lt;middleNames&gt;D&lt;/middleNames&gt;&lt;/author&gt;&lt;author&gt;&lt;lastName&gt;Pol&lt;/lastName&gt;&lt;nonDroppingParticle&gt;Van Der&lt;/nonDroppingParticle&gt;&lt;firstName&gt;Barbara&lt;/firstName&gt;&lt;/author&gt;&lt;author&gt;&lt;lastName&gt;Nix&lt;/lastName&gt;&lt;firstName&gt;Ryan&lt;/firstName&gt;&lt;/author&gt;&lt;author&gt;&lt;lastName&gt;Fortenberry&lt;/lastName&gt;&lt;firstName&gt;J&lt;/firstName&gt;&lt;middleNames&gt;Dennis&lt;/middleNames&gt;&lt;/author&gt;&lt;/authors&gt;&lt;/publication&gt;&lt;publication&gt;&lt;subtype&gt;400&lt;/subtype&gt;&lt;title&gt;From bias to bisexual health disparities: Attitudes toward bisexual men and women in the United States&lt;/title&gt;&lt;url&gt;http://online.liebertpub.com/doi/abs/10.1089/lgbt.2014.0005&lt;/url&gt;&lt;publication_date&gt;99201400001200000000200000&lt;/publication_date&gt;&lt;uuid&gt;B4CD0CEB-53E1-48F3-AEB7-1A89FAB2B3FA&lt;/uuid&gt;&lt;type&gt;400&lt;/type&gt;&lt;citekey&gt;Reuel:2014ja&lt;/citekey&gt;&lt;doi&gt;10.1089/lgbt.2014.0005&lt;/doi&gt;&lt;bundle&gt;&lt;publication&gt;&lt;title&gt;LGBT …&lt;/title&gt;&lt;uuid&gt;6662D984-9F8D-430A-959B-F2A8CEC6D0C0&lt;/uuid&gt;&lt;subtype&gt;-100&lt;/subtype&gt;&lt;type&gt;-100&lt;/type&gt;&lt;/publication&gt;&lt;/bundle&gt;&lt;authors&gt;&lt;author&gt;&lt;lastName&gt;Friedman&lt;/lastName&gt;&lt;firstName&gt;M&lt;/firstName&gt;&lt;middleNames&gt;R&lt;/middleNames&gt;&lt;/author&gt;&lt;author&gt;&lt;lastName&gt;Dodge&lt;/lastName&gt;&lt;firstName&gt;B&lt;/firstName&gt;&lt;/author&gt;&lt;author&gt;&lt;lastName&gt;Schick&lt;/lastName&gt;&lt;firstName&gt;V&lt;/firstName&gt;&lt;/author&gt;&lt;author&gt;&lt;lastName&gt;Herbenick&lt;/lastName&gt;&lt;firstName&gt;D&lt;/firstName&gt;&lt;/author&gt;&lt;/authors&gt;&lt;/publication&gt;&lt;/publications&gt;&lt;cites&gt;&lt;/cites&gt;&lt;/citation&gt;</w:instrText>
      </w:r>
      <w:r w:rsidR="002A5594" w:rsidRPr="000A17EB">
        <w:rPr>
          <w:lang w:val="en-CA"/>
        </w:rPr>
        <w:fldChar w:fldCharType="separate"/>
      </w:r>
      <w:r w:rsidR="00356DCB">
        <w:rPr>
          <w:rFonts w:eastAsiaTheme="minorHAnsi"/>
        </w:rPr>
        <w:t>(Dodge, Schnarrs, Goncalves, et al., 2012a; Friedman et al., 2014)</w:t>
      </w:r>
      <w:r w:rsidR="002A5594" w:rsidRPr="000A17EB">
        <w:rPr>
          <w:lang w:val="en-CA"/>
        </w:rPr>
        <w:fldChar w:fldCharType="end"/>
      </w:r>
      <w:r w:rsidR="002A5594" w:rsidRPr="000A17EB">
        <w:rPr>
          <w:lang w:val="en-CA"/>
        </w:rPr>
        <w:t>.</w:t>
      </w:r>
      <w:r w:rsidR="003422D2" w:rsidRPr="000A17EB">
        <w:rPr>
          <w:lang w:val="en-CA"/>
        </w:rPr>
        <w:t xml:space="preserve"> </w:t>
      </w:r>
      <w:r w:rsidR="007B5518" w:rsidRPr="000A17EB">
        <w:rPr>
          <w:lang w:val="en-CA"/>
        </w:rPr>
        <w:t xml:space="preserve">Such sexual orientation based </w:t>
      </w:r>
      <w:r w:rsidR="00DE7EE6">
        <w:rPr>
          <w:lang w:val="en-CA"/>
        </w:rPr>
        <w:t xml:space="preserve">stigma and </w:t>
      </w:r>
      <w:r w:rsidR="007B5518" w:rsidRPr="000A17EB">
        <w:rPr>
          <w:lang w:val="en-CA"/>
        </w:rPr>
        <w:t>discrimination has been linked to poor mental</w:t>
      </w:r>
      <w:r w:rsidR="00F24485">
        <w:rPr>
          <w:lang w:val="en-CA"/>
        </w:rPr>
        <w:t xml:space="preserve"> health outcomes among bisexual people</w:t>
      </w:r>
      <w:r w:rsidR="007B5518" w:rsidRPr="000A17EB">
        <w:rPr>
          <w:lang w:val="en-CA"/>
        </w:rPr>
        <w:t xml:space="preserve"> </w:t>
      </w:r>
      <w:r w:rsidR="007B5518" w:rsidRPr="000A17EB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&lt;citation&gt;&lt;priority&gt;0&lt;/priority&gt;&lt;uuid&gt;791F8EC1-9A1F-4203-A9D8-74C1DE150221&lt;/uuid&gt;&lt;publications&gt;&lt;publication&gt;&lt;subtype&gt;400&lt;/subtype&gt;&lt;title&gt;Discrimination and mental health among lesbian, gay, and bisexual adults in the United States.&lt;/title&gt;&lt;url&gt;http://eutils.ncbi.nlm.nih.gov/entrez/eutils/elink.fcgi?dbfrom=pubmed&amp;amp;id=24826824&amp;amp;retmode=ref&amp;amp;cmd=prlinks&lt;/url&gt;&lt;volume&gt;84&lt;/volume&gt;&lt;publication_date&gt;99201400001200000000200000&lt;/publication_date&gt;&lt;uuid&gt;9D49FF82-E207-4E45-A883-FE7BF49B66B1&lt;/uuid&gt;&lt;type&gt;400&lt;/type&gt;&lt;number&gt;1&lt;/number&gt;&lt;doi&gt;10.1037/h0098851&lt;/doi&gt;&lt;institution&gt;Public Health and Health Education Programs, Northern Illinois University.&lt;/institution&gt;&lt;startpage&gt;35&lt;/startpage&gt;&lt;endpage&gt;45&lt;/endpage&gt;&lt;bundle&gt;&lt;publication&gt;&lt;title&gt;The American journal of orthopsychiatry&lt;/title&gt;&lt;uuid&gt;ECB4B079-0732-4F6B-9043-AB417539AFDF&lt;/uuid&gt;&lt;subtype&gt;-100&lt;/subtype&gt;&lt;type&gt;-100&lt;/type&gt;&lt;/publication&gt;&lt;/bundle&gt;&lt;authors&gt;&lt;author&gt;&lt;lastName&gt;Bostwick&lt;/lastName&gt;&lt;firstName&gt;Wendy&lt;/firstName&gt;&lt;middleNames&gt;B&lt;/middleNames&gt;&lt;/author&gt;&lt;author&gt;&lt;lastName&gt;Boyd&lt;/lastName&gt;&lt;firstName&gt;Carol&lt;/firstName&gt;&lt;middleNames&gt;J&lt;/middleNames&gt;&lt;/author&gt;&lt;author&gt;&lt;lastName&gt;Hughes&lt;/lastName&gt;&lt;firstName&gt;Tonda&lt;/firstName&gt;&lt;middleNames&gt;L&lt;/middleNames&gt;&lt;/author&gt;&lt;author&gt;&lt;lastName&gt;West&lt;/lastName&gt;&lt;firstName&gt;Brady&lt;/firstName&gt;&lt;middleNames&gt;T&lt;/middleNames&gt;&lt;/author&gt;&lt;author&gt;&lt;lastName&gt;McCabe&lt;/lastName&gt;&lt;firstName&gt;Sean&lt;/firstName&gt;&lt;middleNames&gt;Esteban&lt;/middleNames&gt;&lt;/author&gt;&lt;/authors&gt;&lt;/publication&gt;&lt;/publications&gt;&lt;cites&gt;&lt;/cites&gt;&lt;/citation&gt;</w:instrText>
      </w:r>
      <w:r w:rsidR="007B5518" w:rsidRPr="000A17EB">
        <w:rPr>
          <w:lang w:val="en-CA"/>
        </w:rPr>
        <w:fldChar w:fldCharType="separate"/>
      </w:r>
      <w:r w:rsidR="007B5518">
        <w:t>(Bostwick, Boyd, Hughes, West, &amp; McCabe, 2014)</w:t>
      </w:r>
      <w:r w:rsidR="007B5518" w:rsidRPr="000A17EB">
        <w:rPr>
          <w:lang w:val="en-CA"/>
        </w:rPr>
        <w:fldChar w:fldCharType="end"/>
      </w:r>
      <w:r w:rsidR="007B5518" w:rsidRPr="000A17EB">
        <w:rPr>
          <w:lang w:val="en-CA"/>
        </w:rPr>
        <w:t>.</w:t>
      </w:r>
      <w:r w:rsidR="000A17EB">
        <w:rPr>
          <w:lang w:val="en-CA"/>
        </w:rPr>
        <w:t xml:space="preserve"> </w:t>
      </w:r>
      <w:r w:rsidR="00125E95" w:rsidRPr="000A17EB">
        <w:rPr>
          <w:lang w:val="en-CA"/>
        </w:rPr>
        <w:t>Bisexual men experience a lack of visibility and</w:t>
      </w:r>
      <w:r w:rsidR="001047A7">
        <w:rPr>
          <w:lang w:val="en-CA"/>
        </w:rPr>
        <w:t xml:space="preserve"> </w:t>
      </w:r>
      <w:r w:rsidR="00125E95" w:rsidRPr="000A17EB">
        <w:rPr>
          <w:lang w:val="en-CA"/>
        </w:rPr>
        <w:t xml:space="preserve">absent sense of belonging to both heterosexual and gay communities </w:t>
      </w:r>
      <w:r w:rsidR="00125E95" w:rsidRPr="000A17EB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&lt;citation&gt;&lt;priority&gt;0&lt;/priority&gt;&lt;uuid&gt;543A9906-5F7E-4A2D-91E9-FB0C311AB04F&lt;/uuid&gt;&lt;publications&gt;&lt;publication&gt;&lt;subtype&gt;400&lt;/subtype&gt;&lt;publisher&gt;Taylor &amp;amp; Francis Group&lt;/publisher&gt;&lt;title&gt;Community involvement among behaviourally bisexual men in the Midwestern USA: experiences and perceptions across communities&lt;/title&gt;&lt;url&gt;http://www.tandfonline.com/doi/abs/10.1080/13691058.2012.721136&lt;/url&gt;&lt;volume&gt;14&lt;/volume&gt;&lt;publication_date&gt;99201210021200000000222000&lt;/publication_date&gt;&lt;uuid&gt;A55764B0-FD63-4639-82C7-12B8F06B2A16&lt;/uuid&gt;&lt;type&gt;400&lt;/type&gt;&lt;number&gt;9&lt;/number&gt;&lt;doi&gt;10.1080/13691058.2012.721136&lt;/doi&gt;&lt;startpage&gt;1095&lt;/startpage&gt;&lt;endpage&gt;1110&lt;/endpage&gt;&lt;bundle&gt;&lt;publication&gt;&lt;title&gt;Culture, health &amp;amp; sexuality&lt;/title&gt;&lt;uuid&gt;4E782836-0B07-4DAE-8093-DC56A901F031&lt;/uuid&gt;&lt;subtype&gt;-100&lt;/subtype&gt;&lt;publisher&gt;Taylor &amp;amp; Francis Health Sciences, Abingdon UK&lt;/publisher&gt;&lt;type&gt;-100&lt;/type&gt;&lt;/publication&gt;&lt;/bundle&gt;&lt;authors&gt;&lt;author&gt;&lt;lastName&gt;Dodge&lt;/lastName&gt;&lt;firstName&gt;Brian&lt;/firstName&gt;&lt;/author&gt;&lt;author&gt;&lt;lastName&gt;Schnarrs&lt;/lastName&gt;&lt;firstName&gt;Phillip&lt;/firstName&gt;&lt;middleNames&gt;W&lt;/middleNames&gt;&lt;/author&gt;&lt;author&gt;&lt;lastName&gt;Reece&lt;/lastName&gt;&lt;firstName&gt;Michael&lt;/firstName&gt;&lt;/author&gt;&lt;author&gt;&lt;lastName&gt;Goncalves&lt;/lastName&gt;&lt;firstName&gt;Gabriel&lt;/firstName&gt;&lt;/author&gt;&lt;author&gt;&lt;lastName&gt;Martinez&lt;/lastName&gt;&lt;firstName&gt;Omar&lt;/firstName&gt;&lt;/author&gt;&lt;author&gt;&lt;lastName&gt;Nix&lt;/lastName&gt;&lt;firstName&gt;Ryan&lt;/firstName&gt;&lt;/author&gt;&lt;author&gt;&lt;lastName&gt;Malebranche&lt;/lastName&gt;&lt;firstName&gt;David&lt;/firstName&gt;&lt;/author&gt;&lt;author&gt;&lt;lastName&gt;Pol&lt;/lastName&gt;&lt;nonDroppingParticle&gt;Van Der&lt;/nonDroppingParticle&gt;&lt;firstName&gt;Barbara&lt;/firstName&gt;&lt;/author&gt;&lt;author&gt;&lt;lastName&gt;Murray&lt;/lastName&gt;&lt;firstName&gt;Maresa&lt;/firstName&gt;&lt;/author&gt;&lt;author&gt;&lt;lastName&gt;Fortenberry&lt;/lastName&gt;&lt;firstName&gt;J&lt;/firstName&gt;&lt;middleNames&gt;Dennis&lt;/middleNames&gt;&lt;/author&gt;&lt;/authors&gt;&lt;/publication&gt;&lt;/publications&gt;&lt;cites&gt;&lt;/cites&gt;&lt;/citation&gt;</w:instrText>
      </w:r>
      <w:r w:rsidR="00125E95" w:rsidRPr="000A17EB">
        <w:rPr>
          <w:lang w:val="en-CA"/>
        </w:rPr>
        <w:fldChar w:fldCharType="separate"/>
      </w:r>
      <w:r w:rsidR="00125E95">
        <w:t>(Dodge, Schnarrs, Reece, et al., 2012b)</w:t>
      </w:r>
      <w:r w:rsidR="00125E95" w:rsidRPr="000A17EB">
        <w:rPr>
          <w:lang w:val="en-CA"/>
        </w:rPr>
        <w:fldChar w:fldCharType="end"/>
      </w:r>
      <w:r w:rsidR="004448EA" w:rsidRPr="000A17EB">
        <w:rPr>
          <w:lang w:val="en-CA"/>
        </w:rPr>
        <w:t>, which may impact their mental health and general well-being</w:t>
      </w:r>
      <w:r w:rsidR="00125E95" w:rsidRPr="000A17EB">
        <w:rPr>
          <w:lang w:val="en-CA"/>
        </w:rPr>
        <w:t>.</w:t>
      </w:r>
      <w:r w:rsidR="005F17EB">
        <w:rPr>
          <w:lang w:val="en-CA"/>
        </w:rPr>
        <w:t xml:space="preserve"> </w:t>
      </w:r>
      <w:r w:rsidR="00192D68" w:rsidRPr="005F17EB">
        <w:rPr>
          <w:lang w:val="en-CA"/>
        </w:rPr>
        <w:t xml:space="preserve">Bisexual men have </w:t>
      </w:r>
      <w:r w:rsidR="00ED1A2F">
        <w:rPr>
          <w:lang w:val="en-CA"/>
        </w:rPr>
        <w:t xml:space="preserve">also </w:t>
      </w:r>
      <w:r w:rsidR="00192D68" w:rsidRPr="005F17EB">
        <w:rPr>
          <w:lang w:val="en-CA"/>
        </w:rPr>
        <w:t xml:space="preserve">been shown to be more likely to conceal their identity or </w:t>
      </w:r>
      <w:r w:rsidR="00B816DB">
        <w:rPr>
          <w:lang w:val="en-CA"/>
        </w:rPr>
        <w:t>behavior</w:t>
      </w:r>
      <w:r w:rsidR="00192D68" w:rsidRPr="005F17EB">
        <w:rPr>
          <w:lang w:val="en-CA"/>
        </w:rPr>
        <w:t xml:space="preserve"> than gay men</w:t>
      </w:r>
      <w:r w:rsidR="00B00BC0" w:rsidRPr="005F17EB">
        <w:rPr>
          <w:lang w:val="en-CA"/>
        </w:rPr>
        <w:t>, and concealment has</w:t>
      </w:r>
      <w:r w:rsidR="00ED1A2F">
        <w:rPr>
          <w:lang w:val="en-CA"/>
        </w:rPr>
        <w:t xml:space="preserve"> </w:t>
      </w:r>
      <w:r w:rsidR="00B00BC0" w:rsidRPr="005F17EB">
        <w:rPr>
          <w:lang w:val="en-CA"/>
        </w:rPr>
        <w:t xml:space="preserve">been linked to </w:t>
      </w:r>
      <w:r w:rsidR="00CA0BDB">
        <w:rPr>
          <w:lang w:val="en-CA"/>
        </w:rPr>
        <w:t>poorer</w:t>
      </w:r>
      <w:r w:rsidR="00CA0BDB" w:rsidRPr="005F17EB">
        <w:rPr>
          <w:lang w:val="en-CA"/>
        </w:rPr>
        <w:t xml:space="preserve"> </w:t>
      </w:r>
      <w:r w:rsidR="00B00BC0" w:rsidRPr="005F17EB">
        <w:rPr>
          <w:lang w:val="en-CA"/>
        </w:rPr>
        <w:t xml:space="preserve">mental health </w:t>
      </w:r>
      <w:r w:rsidR="00B00BC0" w:rsidRPr="005F17EB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&lt;citation&gt;&lt;priority&gt;0&lt;/priority&gt;&lt;uuid&gt;CAF6149F-245C-4D1E-8E11-29485A2BB54C&lt;/uuid&gt;&lt;publications&gt;&lt;publication&gt;&lt;subtype&gt;400&lt;/subtype&gt;&lt;title&gt;Disclosure and concealment of sexual orientation and the mental health of non-gay-identified, behaviorally bisexual men.&lt;/title&gt;&lt;url&gt;http://doi.apa.org/getdoi.cfm?doi=10.1037/a0031272&lt;/url&gt;&lt;volume&gt;81&lt;/volume&gt;&lt;publication_date&gt;99201300001200000000200000&lt;/publication_date&gt;&lt;uuid&gt;3FBB2484-DB66-426F-A9E2-61608F29DB33&lt;/uuid&gt;&lt;type&gt;400&lt;/type&gt;&lt;number&gt;1&lt;/number&gt;&lt;doi&gt;10.1037/a0031272&lt;/doi&gt;&lt;startpage&gt;141&lt;/startpage&gt;&lt;endpage&gt;153&lt;/endpage&gt;&lt;bundle&gt;&lt;publication&gt;&lt;title&gt;Journal of consulting and clinical psychology&lt;/title&gt;&lt;uuid&gt;94F15601-A0EE-422E-B78A-B0571F6E0CA8&lt;/uuid&gt;&lt;subtype&gt;-100&lt;/subtype&gt;&lt;type&gt;-100&lt;/type&gt;&lt;/publication&gt;&lt;/bundle&gt;&lt;authors&gt;&lt;author&gt;&lt;lastName&gt;Schrimshaw&lt;/lastName&gt;&lt;firstName&gt;Eric&lt;/firstName&gt;&lt;middleNames&gt;W&lt;/middleNames&gt;&lt;/author&gt;&lt;author&gt;&lt;lastName&gt;Siegel&lt;/lastName&gt;&lt;firstName&gt;Karolynn&lt;/firstName&gt;&lt;/author&gt;&lt;author&gt;&lt;lastName&gt;Downing&lt;/lastName&gt;&lt;firstName&gt;Martin&lt;/firstName&gt;&lt;middleNames&gt;J&lt;/middleNames&gt;&lt;/author&gt;&lt;author&gt;&lt;lastName&gt;Parsons&lt;/lastName&gt;&lt;firstName&gt;Jeffrey&lt;/firstName&gt;&lt;middleNames&gt;T&lt;/middleNames&gt;&lt;/author&gt;&lt;/authors&gt;&lt;/publication&gt;&lt;/publications&gt;&lt;cites&gt;&lt;/cites&gt;&lt;/citation&gt;</w:instrText>
      </w:r>
      <w:r w:rsidR="00B00BC0" w:rsidRPr="005F17EB">
        <w:rPr>
          <w:lang w:val="en-CA"/>
        </w:rPr>
        <w:fldChar w:fldCharType="separate"/>
      </w:r>
      <w:r w:rsidR="00B00BC0">
        <w:t>(Schrimshaw, Siegel, Downing, &amp; Parsons, 2013)</w:t>
      </w:r>
      <w:r w:rsidR="00B00BC0" w:rsidRPr="005F17EB">
        <w:rPr>
          <w:lang w:val="en-CA"/>
        </w:rPr>
        <w:fldChar w:fldCharType="end"/>
      </w:r>
      <w:r w:rsidR="00B00BC0" w:rsidRPr="005F17EB">
        <w:rPr>
          <w:lang w:val="en-CA"/>
        </w:rPr>
        <w:t>.</w:t>
      </w:r>
      <w:r w:rsidR="00EB606B">
        <w:rPr>
          <w:lang w:val="en-CA"/>
        </w:rPr>
        <w:t xml:space="preserve"> </w:t>
      </w:r>
      <w:r w:rsidR="00D35811">
        <w:rPr>
          <w:lang w:val="en-CA"/>
        </w:rPr>
        <w:t xml:space="preserve">These mechanisms, and in particular ‘double discrimination’ may be more pronounced for bisexually-identified men rather than those that are </w:t>
      </w:r>
      <w:r w:rsidR="00D35811">
        <w:rPr>
          <w:lang w:val="en-CA"/>
        </w:rPr>
        <w:lastRenderedPageBreak/>
        <w:t>bi</w:t>
      </w:r>
      <w:r w:rsidR="00735E40">
        <w:rPr>
          <w:lang w:val="en-CA"/>
        </w:rPr>
        <w:t>sexually-attracted or -behaving. B</w:t>
      </w:r>
      <w:r w:rsidR="00D35811">
        <w:rPr>
          <w:lang w:val="en-CA"/>
        </w:rPr>
        <w:t xml:space="preserve">isexually-identified people, especially those who are </w:t>
      </w:r>
      <w:r w:rsidR="003E35D8">
        <w:rPr>
          <w:lang w:val="en-CA"/>
        </w:rPr>
        <w:t>publicly</w:t>
      </w:r>
      <w:r w:rsidR="00D35811">
        <w:rPr>
          <w:lang w:val="en-CA"/>
        </w:rPr>
        <w:t xml:space="preserve"> ‘out’ about their sexual identity, may be more exposed to social discrimination</w:t>
      </w:r>
      <w:r w:rsidR="009269BB">
        <w:rPr>
          <w:lang w:val="en-CA"/>
        </w:rPr>
        <w:t xml:space="preserve">. </w:t>
      </w:r>
      <w:r w:rsidR="003E35D8">
        <w:rPr>
          <w:lang w:val="en-CA"/>
        </w:rPr>
        <w:t xml:space="preserve">This may explain why only the </w:t>
      </w:r>
      <w:proofErr w:type="gramStart"/>
      <w:r w:rsidR="003E35D8">
        <w:rPr>
          <w:lang w:val="en-CA"/>
        </w:rPr>
        <w:t>identity based</w:t>
      </w:r>
      <w:proofErr w:type="gramEnd"/>
      <w:r w:rsidR="003E35D8">
        <w:rPr>
          <w:lang w:val="en-CA"/>
        </w:rPr>
        <w:t xml:space="preserve"> models </w:t>
      </w:r>
      <w:r w:rsidR="00597956">
        <w:rPr>
          <w:lang w:val="en-CA"/>
        </w:rPr>
        <w:t xml:space="preserve">in this study </w:t>
      </w:r>
      <w:r w:rsidR="003E35D8">
        <w:rPr>
          <w:lang w:val="en-CA"/>
        </w:rPr>
        <w:t xml:space="preserve">consistently showed statistically significant poorer mental health outcomes for bisexual compared with gay men, </w:t>
      </w:r>
      <w:r w:rsidR="000E310E">
        <w:rPr>
          <w:lang w:val="en-CA"/>
        </w:rPr>
        <w:t>as well as</w:t>
      </w:r>
      <w:r w:rsidR="00597956">
        <w:rPr>
          <w:lang w:val="en-CA"/>
        </w:rPr>
        <w:t xml:space="preserve"> greatest effect size</w:t>
      </w:r>
      <w:r w:rsidR="003E35D8">
        <w:rPr>
          <w:lang w:val="en-CA"/>
        </w:rPr>
        <w:t>.</w:t>
      </w:r>
    </w:p>
    <w:p w14:paraId="65BC9B7E" w14:textId="77777777" w:rsidR="00DE1406" w:rsidRDefault="00DE1406" w:rsidP="000058C6">
      <w:pPr>
        <w:pStyle w:val="ListParagraph"/>
        <w:spacing w:line="480" w:lineRule="auto"/>
        <w:rPr>
          <w:lang w:val="en-CA"/>
        </w:rPr>
      </w:pPr>
    </w:p>
    <w:p w14:paraId="16C85470" w14:textId="50C4EBB3" w:rsidR="00050591" w:rsidRPr="001C2AE0" w:rsidRDefault="00E76041" w:rsidP="00B817AD">
      <w:pPr>
        <w:spacing w:line="480" w:lineRule="auto"/>
        <w:outlineLvl w:val="0"/>
        <w:rPr>
          <w:b/>
          <w:i/>
          <w:lang w:val="en-CA"/>
        </w:rPr>
      </w:pPr>
      <w:r>
        <w:rPr>
          <w:b/>
          <w:i/>
          <w:lang w:val="en-CA"/>
        </w:rPr>
        <w:t>Strengths and l</w:t>
      </w:r>
      <w:r w:rsidR="00050591" w:rsidRPr="001C2AE0">
        <w:rPr>
          <w:b/>
          <w:i/>
          <w:lang w:val="en-CA"/>
        </w:rPr>
        <w:t>imitations</w:t>
      </w:r>
    </w:p>
    <w:p w14:paraId="2BF51AF7" w14:textId="7A3FDC6B" w:rsidR="003E2B4D" w:rsidRPr="000058C6" w:rsidRDefault="00EC6A3A" w:rsidP="001C2AE0">
      <w:pPr>
        <w:spacing w:line="480" w:lineRule="auto"/>
        <w:rPr>
          <w:lang w:val="en-CA"/>
        </w:rPr>
      </w:pPr>
      <w:r>
        <w:rPr>
          <w:lang w:val="en-CA"/>
        </w:rPr>
        <w:t xml:space="preserve">This study has a number of important limitations. First, the study is limited by selection bias in that study eligibility criteria </w:t>
      </w:r>
      <w:r w:rsidR="00D636AC">
        <w:rPr>
          <w:lang w:val="en-CA"/>
        </w:rPr>
        <w:t>required</w:t>
      </w:r>
      <w:r>
        <w:rPr>
          <w:lang w:val="en-CA"/>
        </w:rPr>
        <w:t xml:space="preserve"> participants </w:t>
      </w:r>
      <w:r w:rsidR="005825E1">
        <w:rPr>
          <w:lang w:val="en-CA"/>
        </w:rPr>
        <w:t>to have been</w:t>
      </w:r>
      <w:r>
        <w:rPr>
          <w:lang w:val="en-CA"/>
        </w:rPr>
        <w:t xml:space="preserve"> sexually active </w:t>
      </w:r>
      <w:r w:rsidR="00942DC5">
        <w:rPr>
          <w:lang w:val="en-CA"/>
        </w:rPr>
        <w:t xml:space="preserve">with another man </w:t>
      </w:r>
      <w:r>
        <w:rPr>
          <w:lang w:val="en-CA"/>
        </w:rPr>
        <w:t xml:space="preserve">in the 6 months prior to study enrollment. This may have biased the sample toward poorer health outcomes, particularly for </w:t>
      </w:r>
      <w:r w:rsidR="00B816DB">
        <w:rPr>
          <w:lang w:val="en-CA"/>
        </w:rPr>
        <w:t>behavior</w:t>
      </w:r>
      <w:r>
        <w:rPr>
          <w:lang w:val="en-CA"/>
        </w:rPr>
        <w:t xml:space="preserve">ally bisexual men </w:t>
      </w:r>
      <w:r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&lt;citation&gt;&lt;priority&gt;0&lt;/priority&gt;&lt;uuid&gt;3F3269C9-0B2F-44B7-947B-6C0B145E3B39&lt;/uuid&gt;&lt;publications&gt;&lt;publication&gt;&lt;subtype&gt;400&lt;/subtype&gt;&lt;title&gt;The problem with ‘behavioral bisexuality': Assessing sexual orientation in survey research&lt;/title&gt;&lt;url&gt;http://www-tandfonline-com.ezproxy.library.ubc.ca/doi/abs/10.1080/15299716.2013.782260&lt;/url&gt;&lt;volume&gt;13&lt;/volume&gt;&lt;publication_date&gt;99201304241200000000222000&lt;/publication_date&gt;&lt;uuid&gt;60999C3B-B38B-4F05-B2D2-9EDE5B4CF70D&lt;/uuid&gt;&lt;type&gt;400&lt;/type&gt;&lt;number&gt;2&lt;/number&gt;&lt;citekey&gt;Bauer:2013gb&lt;/citekey&gt;&lt;doi&gt;10.1080/15299716.2013.782260&lt;/doi&gt;&lt;startpage&gt;148&lt;/startpage&gt;&lt;endpage&gt;165&lt;/endpage&gt;&lt;bundle&gt;&lt;publication&gt;&lt;title&gt;Journal of Bisexuality&lt;/title&gt;&lt;uuid&gt;8E83A83A-2FE2-48CD-A32E-7776EA126EA3&lt;/uuid&gt;&lt;subtype&gt;-100&lt;/subtype&gt;&lt;publisher&gt; Taylor &amp;amp; Francis Group&lt;/publisher&gt;&lt;type&gt;-100&lt;/type&gt;&lt;/publication&gt;&lt;/bundle&gt;&lt;authors&gt;&lt;author&gt;&lt;lastName&gt;Bauer&lt;/lastName&gt;&lt;firstName&gt;Greta&lt;/firstName&gt;&lt;middleNames&gt;R&lt;/middleNames&gt;&lt;/author&gt;&lt;author&gt;&lt;lastName&gt;Brennan&lt;/lastName&gt;&lt;firstName&gt;David&lt;/firstName&gt;&lt;middleNames&gt;J&lt;/middleNames&gt;&lt;/author&gt;&lt;/authors&gt;&lt;/publication&gt;&lt;/publications&gt;&lt;cites&gt;&lt;/cites&gt;&lt;/citation&gt;</w:instrText>
      </w:r>
      <w:r>
        <w:rPr>
          <w:lang w:val="en-CA"/>
        </w:rPr>
        <w:fldChar w:fldCharType="separate"/>
      </w:r>
      <w:r>
        <w:t>(Bauer &amp; Brennan, 2013)</w:t>
      </w:r>
      <w:r>
        <w:rPr>
          <w:lang w:val="en-CA"/>
        </w:rPr>
        <w:fldChar w:fldCharType="end"/>
      </w:r>
      <w:r>
        <w:rPr>
          <w:lang w:val="en-CA"/>
        </w:rPr>
        <w:t>. As such, results may not be generalizable to sexual minority men who are not recently sexually active</w:t>
      </w:r>
      <w:r w:rsidR="0087450A">
        <w:rPr>
          <w:lang w:val="en-CA"/>
        </w:rPr>
        <w:t xml:space="preserve"> with men</w:t>
      </w:r>
      <w:r>
        <w:rPr>
          <w:lang w:val="en-CA"/>
        </w:rPr>
        <w:t xml:space="preserve">. </w:t>
      </w:r>
      <w:r w:rsidR="00C71A2F">
        <w:rPr>
          <w:lang w:val="en-CA"/>
        </w:rPr>
        <w:t>Results may also have been biased toward poorer health outcomes as data for this study came from a larger HIV study that oversampled for HIV-positive</w:t>
      </w:r>
      <w:r w:rsidR="007F05FD">
        <w:rPr>
          <w:lang w:val="en-CA"/>
        </w:rPr>
        <w:t xml:space="preserve"> MSM.</w:t>
      </w:r>
      <w:r w:rsidR="006D6EAD">
        <w:rPr>
          <w:lang w:val="en-CA"/>
        </w:rPr>
        <w:t xml:space="preserve"> A</w:t>
      </w:r>
      <w:r w:rsidR="00C71A2F">
        <w:rPr>
          <w:lang w:val="en-CA"/>
        </w:rPr>
        <w:t>s such</w:t>
      </w:r>
      <w:r w:rsidR="007F05FD">
        <w:rPr>
          <w:lang w:val="en-CA"/>
        </w:rPr>
        <w:t>,</w:t>
      </w:r>
      <w:r w:rsidR="00C71A2F">
        <w:rPr>
          <w:lang w:val="en-CA"/>
        </w:rPr>
        <w:t xml:space="preserve"> findings may not be </w:t>
      </w:r>
      <w:r w:rsidR="009F625E">
        <w:rPr>
          <w:lang w:val="en-CA"/>
        </w:rPr>
        <w:t>comparable</w:t>
      </w:r>
      <w:r w:rsidR="00C71A2F">
        <w:rPr>
          <w:lang w:val="en-CA"/>
        </w:rPr>
        <w:t xml:space="preserve"> to single HIV serostatus </w:t>
      </w:r>
      <w:r w:rsidR="009F625E">
        <w:rPr>
          <w:lang w:val="en-CA"/>
        </w:rPr>
        <w:t>samples</w:t>
      </w:r>
      <w:r w:rsidR="00C71A2F">
        <w:rPr>
          <w:lang w:val="en-CA"/>
        </w:rPr>
        <w:t xml:space="preserve"> or</w:t>
      </w:r>
      <w:r w:rsidR="00BF2F96">
        <w:rPr>
          <w:lang w:val="en-CA"/>
        </w:rPr>
        <w:t>,</w:t>
      </w:r>
      <w:r w:rsidR="00C71A2F">
        <w:rPr>
          <w:lang w:val="en-CA"/>
        </w:rPr>
        <w:t xml:space="preserve"> </w:t>
      </w:r>
      <w:r w:rsidR="009F625E">
        <w:rPr>
          <w:lang w:val="en-CA"/>
        </w:rPr>
        <w:t>in particular</w:t>
      </w:r>
      <w:r w:rsidR="00BF2F96">
        <w:rPr>
          <w:lang w:val="en-CA"/>
        </w:rPr>
        <w:t>,</w:t>
      </w:r>
      <w:r w:rsidR="009F625E">
        <w:rPr>
          <w:lang w:val="en-CA"/>
        </w:rPr>
        <w:t xml:space="preserve"> generalizable to</w:t>
      </w:r>
      <w:r w:rsidR="00C71A2F">
        <w:rPr>
          <w:lang w:val="en-CA"/>
        </w:rPr>
        <w:t xml:space="preserve"> HIV-negative </w:t>
      </w:r>
      <w:r w:rsidR="00FD4485">
        <w:rPr>
          <w:lang w:val="en-CA"/>
        </w:rPr>
        <w:t xml:space="preserve">only </w:t>
      </w:r>
      <w:r w:rsidR="00BF5E89">
        <w:rPr>
          <w:lang w:val="en-CA"/>
        </w:rPr>
        <w:t>groups</w:t>
      </w:r>
      <w:r w:rsidR="00C71A2F">
        <w:rPr>
          <w:lang w:val="en-CA"/>
        </w:rPr>
        <w:t xml:space="preserve">. </w:t>
      </w:r>
      <w:r>
        <w:rPr>
          <w:lang w:val="en-CA"/>
        </w:rPr>
        <w:t xml:space="preserve">Additionally, HADS </w:t>
      </w:r>
      <w:r w:rsidR="00044616">
        <w:rPr>
          <w:lang w:val="en-CA"/>
        </w:rPr>
        <w:t>relies</w:t>
      </w:r>
      <w:r>
        <w:rPr>
          <w:lang w:val="en-CA"/>
        </w:rPr>
        <w:t xml:space="preserve"> on self-report for anxiety and depression ascertainment</w:t>
      </w:r>
      <w:r w:rsidR="00196240">
        <w:rPr>
          <w:lang w:val="en-CA"/>
        </w:rPr>
        <w:t xml:space="preserve">, which may not be as reliable as objective clinical measures, or a combination of both objective and subjective </w:t>
      </w:r>
      <w:r w:rsidR="00E470C7">
        <w:rPr>
          <w:lang w:val="en-CA"/>
        </w:rPr>
        <w:t xml:space="preserve">mental health </w:t>
      </w:r>
      <w:r w:rsidR="00196240">
        <w:rPr>
          <w:lang w:val="en-CA"/>
        </w:rPr>
        <w:t xml:space="preserve">measures </w:t>
      </w:r>
      <w:r w:rsidR="00196240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&lt;citation&gt;&lt;priority&gt;0&lt;/priority&gt;&lt;uuid&gt;A85FB7D1-662C-4203-BE18-F219BC101651&lt;/uuid&gt;&lt;publications&gt;&lt;publication&gt;&lt;subtype&gt;400&lt;/subtype&gt;&lt;publisher&gt;Taylor &amp;amp; Francis&lt;/publisher&gt;&lt;title&gt;Issues in the assessment of outcome in mental health&lt;/title&gt;&lt;url&gt;http://journals.sagepub.com/doi/10.3109/00048679809065525&lt;/url&gt;&lt;volume&gt;32&lt;/volume&gt;&lt;publication_date&gt;99201005111200000000222000&lt;/publication_date&gt;&lt;uuid&gt;E881EAED-C017-4FEB-99AA-3052D48CB046&lt;/uuid&gt;&lt;version&gt;4&lt;/version&gt;&lt;type&gt;400&lt;/type&gt;&lt;number&gt;3&lt;/number&gt;&lt;doi&gt;10.3109/00048679809065525&lt;/doi&gt;&lt;startpage&gt;337&lt;/startpage&gt;&lt;endpage&gt;343&lt;/endpage&gt;&lt;bundle&gt;&lt;publication&gt;&lt;title&gt;Australian and New Zealand Journal of Psychiatry&lt;/title&gt;&lt;uuid&gt;93ECFE61-561F-43E1-AC70-C3E4A573ECFB&lt;/uuid&gt;&lt;subtype&gt;-100&lt;/subtype&gt;&lt;publisher&gt;Taylor &amp;amp; Francis&lt;/publisher&gt;&lt;type&gt;-100&lt;/type&gt;&lt;/publication&gt;&lt;/bundle&gt;&lt;authors&gt;&lt;author&gt;&lt;lastName&gt;Trauer&lt;/lastName&gt;&lt;firstName&gt;Tom&lt;/firstName&gt;&lt;/author&gt;&lt;/authors&gt;&lt;/publication&gt;&lt;/publications&gt;&lt;cites&gt;&lt;/cites&gt;&lt;/citation&gt;</w:instrText>
      </w:r>
      <w:r w:rsidR="00196240">
        <w:rPr>
          <w:lang w:val="en-CA"/>
        </w:rPr>
        <w:fldChar w:fldCharType="separate"/>
      </w:r>
      <w:r w:rsidR="00196240">
        <w:t>(Trauer, 2010)</w:t>
      </w:r>
      <w:r w:rsidR="00196240">
        <w:rPr>
          <w:lang w:val="en-CA"/>
        </w:rPr>
        <w:fldChar w:fldCharType="end"/>
      </w:r>
      <w:r w:rsidR="00196240">
        <w:rPr>
          <w:lang w:val="en-CA"/>
        </w:rPr>
        <w:t xml:space="preserve">. </w:t>
      </w:r>
      <w:r w:rsidR="00FC6475">
        <w:rPr>
          <w:lang w:val="en-CA"/>
        </w:rPr>
        <w:t xml:space="preserve">As RDS allows for </w:t>
      </w:r>
      <w:r w:rsidR="00775D3B">
        <w:rPr>
          <w:lang w:val="en-CA"/>
        </w:rPr>
        <w:t xml:space="preserve">measurement of and </w:t>
      </w:r>
      <w:r w:rsidR="00FC6475">
        <w:rPr>
          <w:lang w:val="en-CA"/>
        </w:rPr>
        <w:t xml:space="preserve">adjustment for recruitment-related biases, this sampling method was chosen in order to maximize external </w:t>
      </w:r>
      <w:r w:rsidR="00E36E74">
        <w:rPr>
          <w:lang w:val="en-CA"/>
        </w:rPr>
        <w:t>validity</w:t>
      </w:r>
      <w:r w:rsidR="00FC6475">
        <w:rPr>
          <w:lang w:val="en-CA"/>
        </w:rPr>
        <w:t xml:space="preserve">. However, </w:t>
      </w:r>
      <w:r w:rsidR="00B51246">
        <w:rPr>
          <w:lang w:val="en-CA"/>
        </w:rPr>
        <w:t>there were challenges to</w:t>
      </w:r>
      <w:r w:rsidR="00FC6475">
        <w:rPr>
          <w:lang w:val="en-CA"/>
        </w:rPr>
        <w:t xml:space="preserve"> pr</w:t>
      </w:r>
      <w:r w:rsidR="00B51246">
        <w:rPr>
          <w:lang w:val="en-CA"/>
        </w:rPr>
        <w:t>oducing long recruitment chains in this study,</w:t>
      </w:r>
      <w:r w:rsidR="00FC6475">
        <w:rPr>
          <w:lang w:val="en-CA"/>
        </w:rPr>
        <w:t xml:space="preserve"> necessary to </w:t>
      </w:r>
      <w:r w:rsidR="00597522">
        <w:rPr>
          <w:lang w:val="en-CA"/>
        </w:rPr>
        <w:t>reach</w:t>
      </w:r>
      <w:r w:rsidR="00FC6475">
        <w:rPr>
          <w:lang w:val="en-CA"/>
        </w:rPr>
        <w:t xml:space="preserve"> diverse participant networks and gain independence from the purposively selected initial study recruits or ‘seeds’ </w:t>
      </w:r>
      <w:r w:rsidR="00FC6475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&lt;citation&gt;&lt;priority&gt;0&lt;/priority&gt;&lt;uuid&gt;1481FB98-F252-4E36-A6EB-13AFD01E204C&lt;/uuid&gt;&lt;publications&gt;&lt;publication&gt;&lt;subtype&gt;400&lt;/subtype&gt;&lt;publisher&gt;The Oxford University Press&lt;/publisher&gt;&lt;title&gt;Respondent-Driven Sampling II: Deriving Valid Population Estimates from Chain-Referral Samples of Hidden Populations&lt;/title&gt;&lt;url&gt;http://socpro.oxfordjournals.org/cgi/doi/10.1525/sp.2002.49.1.11&lt;/url&gt;&lt;volume&gt;49&lt;/volume&gt;&lt;publication_date&gt;99200202011200000000222000&lt;/publication_date&gt;&lt;uuid&gt;A90D6DC8-0DD4-4969-B90A-159BEE865911&lt;/uuid&gt;&lt;type&gt;400&lt;/type&gt;&lt;number&gt;1&lt;/number&gt;&lt;doi&gt;10.1525/sp.2002.49.1.11&lt;/doi&gt;&lt;startpage&gt;11&lt;/startpage&gt;&lt;endpage&gt;34&lt;/endpage&gt;&lt;bundle&gt;&lt;publication&gt;&lt;title&gt;Social Problems&lt;/title&gt;&lt;uuid&gt;5AE92671-CBF6-4C37-81BF-AB29A537AD03&lt;/uuid&gt;&lt;subtype&gt;-100&lt;/subtype&gt;&lt;publisher&gt;The Oxford University Press&lt;/publisher&gt;&lt;type&gt;-100&lt;/type&gt;&lt;/publication&gt;&lt;/bundle&gt;&lt;authors&gt;&lt;author&gt;&lt;lastName&gt;Heckathorn&lt;/lastName&gt;&lt;firstName&gt;Douglas&lt;/firstName&gt;&lt;middleNames&gt;D&lt;/middleNames&gt;&lt;/author&gt;&lt;/authors&gt;&lt;/publication&gt;&lt;/publications&gt;&lt;cites&gt;&lt;/cites&gt;&lt;/citation&gt;</w:instrText>
      </w:r>
      <w:r w:rsidR="00FC6475">
        <w:rPr>
          <w:lang w:val="en-CA"/>
        </w:rPr>
        <w:fldChar w:fldCharType="separate"/>
      </w:r>
      <w:r w:rsidR="00FC6475">
        <w:t>(Heckathorn, 2002)</w:t>
      </w:r>
      <w:r w:rsidR="00FC6475">
        <w:rPr>
          <w:lang w:val="en-CA"/>
        </w:rPr>
        <w:fldChar w:fldCharType="end"/>
      </w:r>
      <w:r w:rsidR="00FC6475">
        <w:rPr>
          <w:lang w:val="en-CA"/>
        </w:rPr>
        <w:t xml:space="preserve">. </w:t>
      </w:r>
      <w:r w:rsidR="008D4444">
        <w:rPr>
          <w:lang w:val="en-CA"/>
        </w:rPr>
        <w:t xml:space="preserve">This </w:t>
      </w:r>
      <w:r w:rsidR="00C3351B">
        <w:rPr>
          <w:lang w:val="en-CA"/>
        </w:rPr>
        <w:t>may</w:t>
      </w:r>
      <w:r w:rsidR="008D4444">
        <w:rPr>
          <w:lang w:val="en-CA"/>
        </w:rPr>
        <w:t xml:space="preserve"> limit the representativeness and generalizability of findings from this study. </w:t>
      </w:r>
      <w:r w:rsidR="00CF4E6F">
        <w:rPr>
          <w:lang w:val="en-CA"/>
        </w:rPr>
        <w:t xml:space="preserve">As this study focused on </w:t>
      </w:r>
      <w:r w:rsidR="00CF4E6F">
        <w:rPr>
          <w:lang w:val="en-CA"/>
        </w:rPr>
        <w:lastRenderedPageBreak/>
        <w:t xml:space="preserve">comparing gay with bisexual men, we were not able to specifically </w:t>
      </w:r>
      <w:r w:rsidR="0002292B">
        <w:rPr>
          <w:lang w:val="en-CA"/>
        </w:rPr>
        <w:t xml:space="preserve">examine </w:t>
      </w:r>
      <w:r w:rsidR="00CF4E6F">
        <w:rPr>
          <w:lang w:val="en-CA"/>
        </w:rPr>
        <w:t xml:space="preserve">the impact of identification as other than bisexual or gay on mental health </w:t>
      </w:r>
      <w:r w:rsidR="001A7B48">
        <w:rPr>
          <w:lang w:val="en-CA"/>
        </w:rPr>
        <w:t>outcomes or</w:t>
      </w:r>
      <w:r w:rsidR="00CF4E6F">
        <w:rPr>
          <w:lang w:val="en-CA"/>
        </w:rPr>
        <w:t xml:space="preserve"> disentangle the effect of </w:t>
      </w:r>
      <w:proofErr w:type="spellStart"/>
      <w:r w:rsidR="00CF4E6F">
        <w:rPr>
          <w:lang w:val="en-CA"/>
        </w:rPr>
        <w:t>plurisexual</w:t>
      </w:r>
      <w:proofErr w:type="spellEnd"/>
      <w:r w:rsidR="00CF4E6F">
        <w:rPr>
          <w:lang w:val="en-CA"/>
        </w:rPr>
        <w:t xml:space="preserve"> from bisexual attraction</w:t>
      </w:r>
      <w:r w:rsidR="00CA7E42">
        <w:rPr>
          <w:lang w:val="en-CA"/>
        </w:rPr>
        <w:t>.</w:t>
      </w:r>
      <w:r w:rsidR="00CF4E6F">
        <w:rPr>
          <w:lang w:val="en-CA"/>
        </w:rPr>
        <w:t xml:space="preserve"> </w:t>
      </w:r>
      <w:r w:rsidR="00CA7E42">
        <w:rPr>
          <w:lang w:val="en-CA"/>
        </w:rPr>
        <w:t xml:space="preserve">This is </w:t>
      </w:r>
      <w:r w:rsidR="00CF4E6F">
        <w:rPr>
          <w:lang w:val="en-CA"/>
        </w:rPr>
        <w:t xml:space="preserve">important as </w:t>
      </w:r>
      <w:proofErr w:type="spellStart"/>
      <w:r w:rsidR="00CF4E6F">
        <w:rPr>
          <w:lang w:val="en-CA"/>
        </w:rPr>
        <w:t>plurisexual</w:t>
      </w:r>
      <w:proofErr w:type="spellEnd"/>
      <w:r w:rsidR="00CF4E6F">
        <w:rPr>
          <w:lang w:val="en-CA"/>
        </w:rPr>
        <w:t xml:space="preserve"> people may experience poorer community connection and mental health outcomes than bisexual people</w:t>
      </w:r>
      <w:r w:rsidR="00291255">
        <w:rPr>
          <w:lang w:val="en-CA"/>
        </w:rPr>
        <w:t xml:space="preserve"> </w:t>
      </w:r>
      <w:r w:rsidR="009B5337">
        <w:rPr>
          <w:rFonts w:eastAsiaTheme="minorHAnsi"/>
        </w:rPr>
        <w:fldChar w:fldCharType="begin"/>
      </w:r>
      <w:r w:rsidR="0038517F">
        <w:rPr>
          <w:rFonts w:eastAsiaTheme="minorHAnsi"/>
        </w:rPr>
        <w:instrText xml:space="preserve"> ADDIN PAPERS2_CITATIONS &lt;citation&gt;&lt;priority&gt;41&lt;/priority&gt;&lt;uuid&gt;34366A03-942A-4A87-BD16-675F30AD0517&lt;/uuid&gt;&lt;publications&gt;&lt;publication&gt;&lt;subtype&gt;400&lt;/subtype&gt;&lt;publisher&gt;Routledge&lt;/publisher&gt;&lt;title&gt;Comparing perceived experiences of prejudice among self-identified plurisexual individuals&lt;/title&gt;&lt;url&gt;http://www.tandfonline.com/doi/full/10.1080/19419899.2014.940372&lt;/url&gt;&lt;volume&gt;6&lt;/volume&gt;&lt;publication_date&gt;99201407171200000000222000&lt;/publication_date&gt;&lt;uuid&gt;6A748A09-BDE3-4736-BD46-D1A6E864D541&lt;/uuid&gt;&lt;type&gt;400&lt;/type&gt;&lt;number&gt;3&lt;/number&gt;&lt;doi&gt;10.1080/19419899.2014.940372&lt;/doi&gt;&lt;startpage&gt;245&lt;/startpage&gt;&lt;endpage&gt;257&lt;/endpage&gt;&lt;bundle&gt;&lt;publication&gt;&lt;title&gt;Psychology &amp;amp; Sexuality&lt;/title&gt;&lt;uuid&gt;13BF5BB1-F79E-4D16-9B1A-B0E849F1FA4D&lt;/uuid&gt;&lt;subtype&gt;-100&lt;/subtype&gt;&lt;publisher&gt;Routledge&lt;/publisher&gt;&lt;type&gt;-100&lt;/type&gt;&lt;/publication&gt;&lt;/bundle&gt;&lt;authors&gt;&lt;author&gt;&lt;lastName&gt;Mitchell&lt;/lastName&gt;&lt;firstName&gt;Renae&lt;/firstName&gt;&lt;middleNames&gt;C&lt;/middleNames&gt;&lt;/author&gt;&lt;author&gt;&lt;lastName&gt;Davis&lt;/lastName&gt;&lt;firstName&gt;Kyle&lt;/firstName&gt;&lt;middleNames&gt;S&lt;/middleNames&gt;&lt;/author&gt;&lt;author&gt;&lt;lastName&gt;Galupo&lt;/lastName&gt;&lt;firstName&gt;M&lt;/firstName&gt;&lt;middleNames&gt;Paz&lt;/middleNames&gt;&lt;/author&gt;&lt;/authors&gt;&lt;/publication&gt;&lt;/publications&gt;&lt;cites&gt;&lt;/cites&gt;&lt;/citation&gt;</w:instrText>
      </w:r>
      <w:r w:rsidR="009B5337">
        <w:rPr>
          <w:rFonts w:eastAsiaTheme="minorHAnsi"/>
        </w:rPr>
        <w:fldChar w:fldCharType="separate"/>
      </w:r>
      <w:r w:rsidR="009B5337">
        <w:rPr>
          <w:rFonts w:eastAsiaTheme="minorHAnsi"/>
        </w:rPr>
        <w:t>(Mitchell, Davis, &amp; Galupo, 2014)</w:t>
      </w:r>
      <w:r w:rsidR="009B5337">
        <w:rPr>
          <w:rFonts w:eastAsiaTheme="minorHAnsi"/>
        </w:rPr>
        <w:fldChar w:fldCharType="end"/>
      </w:r>
      <w:r w:rsidR="00CF4E6F">
        <w:rPr>
          <w:lang w:val="en-CA"/>
        </w:rPr>
        <w:t xml:space="preserve">. </w:t>
      </w:r>
      <w:r w:rsidR="0072450C">
        <w:rPr>
          <w:lang w:val="en-CA"/>
        </w:rPr>
        <w:t xml:space="preserve">Finally, </w:t>
      </w:r>
      <w:r w:rsidR="005E4EA6">
        <w:rPr>
          <w:lang w:val="en-CA"/>
        </w:rPr>
        <w:t>absence</w:t>
      </w:r>
      <w:r w:rsidR="0072450C">
        <w:rPr>
          <w:lang w:val="en-CA"/>
        </w:rPr>
        <w:t xml:space="preserve"> of a gold-standard for measuring sexual orientation dimensions limits the comparability to the available </w:t>
      </w:r>
      <w:r w:rsidR="00FA3537">
        <w:rPr>
          <w:lang w:val="en-CA"/>
        </w:rPr>
        <w:t>research in this area</w:t>
      </w:r>
      <w:r w:rsidR="0072450C">
        <w:rPr>
          <w:lang w:val="en-CA"/>
        </w:rPr>
        <w:t>, as a variety of measures</w:t>
      </w:r>
      <w:r w:rsidR="00513CAE">
        <w:rPr>
          <w:lang w:val="en-CA"/>
        </w:rPr>
        <w:t xml:space="preserve"> of different constructs (e.g. identity, behavior, partner gender, </w:t>
      </w:r>
      <w:r w:rsidR="006B1C4F">
        <w:rPr>
          <w:lang w:val="en-CA"/>
        </w:rPr>
        <w:t>affect</w:t>
      </w:r>
      <w:r w:rsidR="00513CAE">
        <w:rPr>
          <w:lang w:val="en-CA"/>
        </w:rPr>
        <w:t>, etc.)</w:t>
      </w:r>
      <w:r w:rsidR="0072450C">
        <w:rPr>
          <w:lang w:val="en-CA"/>
        </w:rPr>
        <w:t xml:space="preserve"> with diverse timeframes (e.g.</w:t>
      </w:r>
      <w:r w:rsidR="00991371">
        <w:rPr>
          <w:lang w:val="en-CA"/>
        </w:rPr>
        <w:t>,</w:t>
      </w:r>
      <w:r w:rsidR="0072450C">
        <w:rPr>
          <w:lang w:val="en-CA"/>
        </w:rPr>
        <w:t xml:space="preserve"> lifetime, past year, current, etc.) and language are used</w:t>
      </w:r>
      <w:r w:rsidR="00C91080">
        <w:rPr>
          <w:lang w:val="en-CA"/>
        </w:rPr>
        <w:t xml:space="preserve"> across the literature</w:t>
      </w:r>
      <w:r w:rsidR="0072450C">
        <w:rPr>
          <w:lang w:val="en-CA"/>
        </w:rPr>
        <w:t xml:space="preserve">. </w:t>
      </w:r>
    </w:p>
    <w:p w14:paraId="14DE14E1" w14:textId="1D94DDDB" w:rsidR="000B10EE" w:rsidRDefault="00E251B3" w:rsidP="000058C6">
      <w:pPr>
        <w:spacing w:line="480" w:lineRule="auto"/>
        <w:ind w:firstLine="720"/>
        <w:rPr>
          <w:lang w:val="en-CA"/>
        </w:rPr>
      </w:pPr>
      <w:r>
        <w:rPr>
          <w:lang w:val="en-CA"/>
        </w:rPr>
        <w:t>Despite these limitations, t</w:t>
      </w:r>
      <w:r w:rsidR="00812C12" w:rsidRPr="004C4795">
        <w:rPr>
          <w:lang w:val="en-CA"/>
        </w:rPr>
        <w:t xml:space="preserve">his study </w:t>
      </w:r>
      <w:r w:rsidR="00841AF8">
        <w:rPr>
          <w:lang w:val="en-CA"/>
        </w:rPr>
        <w:t>makes a</w:t>
      </w:r>
      <w:r w:rsidR="00812C12" w:rsidRPr="004C4795">
        <w:rPr>
          <w:lang w:val="en-CA"/>
        </w:rPr>
        <w:t xml:space="preserve"> unique</w:t>
      </w:r>
      <w:r w:rsidR="00814DDE" w:rsidRPr="004C4795">
        <w:rPr>
          <w:lang w:val="en-CA"/>
        </w:rPr>
        <w:t xml:space="preserve"> </w:t>
      </w:r>
      <w:r w:rsidR="00841AF8">
        <w:rPr>
          <w:lang w:val="en-CA"/>
        </w:rPr>
        <w:t xml:space="preserve">contribution </w:t>
      </w:r>
      <w:r w:rsidR="00814DDE" w:rsidRPr="004C4795">
        <w:rPr>
          <w:lang w:val="en-CA"/>
        </w:rPr>
        <w:t xml:space="preserve">in a number of important ways. </w:t>
      </w:r>
      <w:r w:rsidR="00142BCB" w:rsidRPr="004C4795">
        <w:rPr>
          <w:lang w:val="en-CA"/>
        </w:rPr>
        <w:t xml:space="preserve">While there have been a growing number of studies looking at </w:t>
      </w:r>
      <w:r w:rsidR="00ED26AE" w:rsidRPr="004C4795">
        <w:rPr>
          <w:lang w:val="en-CA"/>
        </w:rPr>
        <w:t xml:space="preserve">mental </w:t>
      </w:r>
      <w:r w:rsidR="00142BCB" w:rsidRPr="004C4795">
        <w:rPr>
          <w:lang w:val="en-CA"/>
        </w:rPr>
        <w:t>health outcomes using multiple sexual orientation dimensions</w:t>
      </w:r>
      <w:r w:rsidR="00AA4338" w:rsidRPr="004C4795">
        <w:rPr>
          <w:lang w:val="en-CA"/>
        </w:rPr>
        <w:t xml:space="preserve">, this is one of the </w:t>
      </w:r>
      <w:r w:rsidR="00A574AF">
        <w:rPr>
          <w:lang w:val="en-CA"/>
        </w:rPr>
        <w:t>first</w:t>
      </w:r>
      <w:r w:rsidR="00A574AF" w:rsidRPr="004C4795">
        <w:rPr>
          <w:lang w:val="en-CA"/>
        </w:rPr>
        <w:t xml:space="preserve"> </w:t>
      </w:r>
      <w:r w:rsidR="00AA4338" w:rsidRPr="004C4795">
        <w:rPr>
          <w:lang w:val="en-CA"/>
        </w:rPr>
        <w:t xml:space="preserve">studies </w:t>
      </w:r>
      <w:r w:rsidR="003A5B1D">
        <w:rPr>
          <w:lang w:val="en-CA"/>
        </w:rPr>
        <w:t>with</w:t>
      </w:r>
      <w:r w:rsidR="00AA4338" w:rsidRPr="004C4795">
        <w:rPr>
          <w:lang w:val="en-CA"/>
        </w:rPr>
        <w:t xml:space="preserve"> a Canadian sample. </w:t>
      </w:r>
      <w:r w:rsidR="00BF2F96">
        <w:rPr>
          <w:lang w:val="en-CA"/>
        </w:rPr>
        <w:t>Additionally, s</w:t>
      </w:r>
      <w:r w:rsidR="0021640F">
        <w:rPr>
          <w:lang w:val="en-CA"/>
        </w:rPr>
        <w:t>tudy d</w:t>
      </w:r>
      <w:r w:rsidR="00803395">
        <w:rPr>
          <w:lang w:val="en-CA"/>
        </w:rPr>
        <w:t>ata were obtained via</w:t>
      </w:r>
      <w:r w:rsidR="004C4795" w:rsidRPr="004C4795">
        <w:rPr>
          <w:lang w:val="en-CA"/>
        </w:rPr>
        <w:t xml:space="preserve"> respondent</w:t>
      </w:r>
      <w:r w:rsidR="009272B8">
        <w:rPr>
          <w:lang w:val="en-CA"/>
        </w:rPr>
        <w:t>-</w:t>
      </w:r>
      <w:r w:rsidR="004C4795" w:rsidRPr="004C4795">
        <w:rPr>
          <w:lang w:val="en-CA"/>
        </w:rPr>
        <w:t xml:space="preserve">driven sampling, a probability based sampling strategy designed to produce more representative samples than other methods such as venue or bar based sampling </w:t>
      </w:r>
      <w:r w:rsidR="004C4795" w:rsidRPr="004C4795">
        <w:rPr>
          <w:lang w:val="en-CA"/>
        </w:rPr>
        <w:fldChar w:fldCharType="begin"/>
      </w:r>
      <w:r w:rsidR="0038517F">
        <w:rPr>
          <w:lang w:val="en-CA"/>
        </w:rPr>
        <w:instrText xml:space="preserve"> ADDIN PAPERS2_CITATIONS &lt;citation&gt;&lt;priority&gt;0&lt;/priority&gt;&lt;uuid&gt;84531A36-9BDC-4964-AB16-D4040FA2B425&lt;/uuid&gt;&lt;publications&gt;&lt;publication&gt;&lt;subtype&gt;400&lt;/subtype&gt;&lt;publisher&gt;Springer US&lt;/publisher&gt;&lt;title&gt;An empirical comparison of respondent-driven sampling, time location sampling, and snowball sampling for behavioral surveillance in men who have sex with men, Fortaleza, Brazil.&lt;/title&gt;&lt;url&gt;http://link.springer.com.ezproxy.library.ubc.ca/article/10.1007/s10461-008-9390-4&lt;/url&gt;&lt;volume&gt;12&lt;/volume&gt;&lt;publication_date&gt;99200807001200000000220000&lt;/publication_date&gt;&lt;uuid&gt;23AEAEE6-A3F2-4D22-8D73-F86025C84CC3&lt;/uuid&gt;&lt;type&gt;400&lt;/type&gt;&lt;accepted_date&gt;99200803201200000000222000&lt;/accepted_date&gt;&lt;number&gt;4 Suppl&lt;/number&gt;&lt;submission_date&gt;99200711241200000000222000&lt;/submission_date&gt;&lt;doi&gt;10.1007/s10461-008-9390-4&lt;/doi&gt;&lt;institution&gt;Department of International Health and Development, Center for Global Health Equity, Tulane University School of Public Health and Tropical Medicine, 1440 Canal St, New Orleans, LA, 70112, USA. carl.kendall@gmail.com&lt;/institution&gt;&lt;startpage&gt;S97&lt;/startpage&gt;&lt;endpage&gt;104&lt;/endpage&gt;&lt;bundle&gt;&lt;publication&gt;&lt;title&gt;AIDS and Behavior&lt;/title&gt;&lt;uuid&gt;4B203C1E-0A34-4C80-9AC5-143D1BC2844F&lt;/uuid&gt;&lt;subtype&gt;-100&lt;/subtype&gt;&lt;publisher&gt;Springer US&lt;/publisher&gt;&lt;type&gt;-100&lt;/type&gt;&lt;/publication&gt;&lt;/bundle&gt;&lt;authors&gt;&lt;author&gt;&lt;lastName&gt;Kendall&lt;/lastName&gt;&lt;firstName&gt;Carl&lt;/firstName&gt;&lt;/author&gt;&lt;author&gt;&lt;lastName&gt;Kerr&lt;/lastName&gt;&lt;firstName&gt;Ligia&lt;/firstName&gt;&lt;middleNames&gt;R F S&lt;/middleNames&gt;&lt;/author&gt;&lt;author&gt;&lt;lastName&gt;Gondim&lt;/lastName&gt;&lt;firstName&gt;Rogerio&lt;/firstName&gt;&lt;middleNames&gt;C&lt;/middleNames&gt;&lt;/author&gt;&lt;author&gt;&lt;lastName&gt;Werneck&lt;/lastName&gt;&lt;firstName&gt;Guilherme&lt;/firstName&gt;&lt;middleNames&gt;L&lt;/middleNames&gt;&lt;/author&gt;&lt;author&gt;&lt;lastName&gt;Macena&lt;/lastName&gt;&lt;firstName&gt;Raimunda&lt;/firstName&gt;&lt;middleNames&gt;Hermelinda Maia&lt;/middleNames&gt;&lt;/author&gt;&lt;author&gt;&lt;lastName&gt;Pontes&lt;/lastName&gt;&lt;firstName&gt;Marta&lt;/firstName&gt;&lt;middleNames&gt;Kerr&lt;/middleNames&gt;&lt;/author&gt;&lt;author&gt;&lt;lastName&gt;Johnston&lt;/lastName&gt;&lt;firstName&gt;Lisa&lt;/firstName&gt;&lt;middleNames&gt;G&lt;/middleNames&gt;&lt;/author&gt;&lt;author&gt;&lt;lastName&gt;Sabin&lt;/lastName&gt;&lt;firstName&gt;Keith&lt;/firstName&gt;&lt;/author&gt;&lt;author&gt;&lt;lastName&gt;McFarland&lt;/lastName&gt;&lt;firstName&gt;Willi&lt;/firstName&gt;&lt;/author&gt;&lt;/authors&gt;&lt;/publication&gt;&lt;publication&gt;&lt;subtype&gt;400&lt;/subtype&gt;&lt;title&gt;Developing an HIV behavioral surveillance system for injecting drug users: the National HIV Behavioral Surveillance System.&lt;/title&gt;&lt;url&gt;http://eutils.ncbi.nlm.nih.gov/entrez/eutils/elink.fcgi?dbfrom=pubmed&amp;amp;id=17354527&amp;amp;retmode=ref&amp;amp;cmd=prlinks&lt;/url&gt;&lt;volume&gt;122 Suppl 1&lt;/volume&gt;&lt;publication_date&gt;99200700001200000000200000&lt;/publication_date&gt;&lt;uuid&gt;5DEF3BA3-52AF-48D6-94E8-E6ABC8AE3F30&lt;/uuid&gt;&lt;type&gt;400&lt;/type&gt;&lt;institution&gt;Division of HIV/AIDS Prevention, National Center for HIV, STD, and TB Prevention, Centers for Disease Control and Prevention, Atlanta, GA 30333, USA. alansky@cdc.gov&lt;/institution&gt;&lt;startpage&gt;48&lt;/startpage&gt;&lt;endpage&gt;55&lt;/endpage&gt;&lt;bundle&gt;&lt;publication&gt;&lt;title&gt;Public health reports (Washington, D.C. : 1974)&lt;/title&gt;&lt;uuid&gt;498E3027-FF5A-43A3-884B-836DC268C626&lt;/uuid&gt;&lt;subtype&gt;-100&lt;/subtype&gt;&lt;type&gt;-100&lt;/type&gt;&lt;/publication&gt;&lt;/bundle&gt;&lt;authors&gt;&lt;author&gt;&lt;lastName&gt;Lansky&lt;/lastName&gt;&lt;firstName&gt;Amy&lt;/firstName&gt;&lt;/author&gt;&lt;author&gt;&lt;lastName&gt;Abdul-Quader&lt;/lastName&gt;&lt;firstName&gt;Abu&lt;/firstName&gt;&lt;middleNames&gt;S&lt;/middleNames&gt;&lt;/author&gt;&lt;author&gt;&lt;lastName&gt;Cribbin&lt;/lastName&gt;&lt;firstName&gt;Melissa&lt;/firstName&gt;&lt;/author&gt;&lt;author&gt;&lt;lastName&gt;Hall&lt;/lastName&gt;&lt;firstName&gt;Tricia&lt;/firstName&gt;&lt;/author&gt;&lt;author&gt;&lt;lastName&gt;Finlayson&lt;/lastName&gt;&lt;firstName&gt;Teresa&lt;/firstName&gt;&lt;middleNames&gt;J&lt;/middleNames&gt;&lt;/author&gt;&lt;author&gt;&lt;lastName&gt;Garfein&lt;/lastName&gt;&lt;firstName&gt;Richard&lt;/firstName&gt;&lt;middleNames&gt;S&lt;/middleNames&gt;&lt;/author&gt;&lt;author&gt;&lt;lastName&gt;Lin&lt;/lastName&gt;&lt;firstName&gt;Lillian&lt;/firstName&gt;&lt;middleNames&gt;S&lt;/middleNames&gt;&lt;/author&gt;&lt;author&gt;&lt;lastName&gt;Sullivan&lt;/lastName&gt;&lt;firstName&gt;Patrick&lt;/firstName&gt;&lt;middleNames&gt;S&lt;/middleNames&gt;&lt;/author&gt;&lt;/authors&gt;&lt;/publication&gt;&lt;/publications&gt;&lt;cites&gt;&lt;/cites&gt;&lt;/citation&gt;</w:instrText>
      </w:r>
      <w:r w:rsidR="004C4795" w:rsidRPr="004C4795">
        <w:rPr>
          <w:lang w:val="en-CA"/>
        </w:rPr>
        <w:fldChar w:fldCharType="separate"/>
      </w:r>
      <w:r w:rsidR="004C4795">
        <w:t>(Kendall et al., 2008; Lansky et al., 2007)</w:t>
      </w:r>
      <w:r w:rsidR="004C4795" w:rsidRPr="004C4795">
        <w:rPr>
          <w:lang w:val="en-CA"/>
        </w:rPr>
        <w:fldChar w:fldCharType="end"/>
      </w:r>
      <w:r w:rsidR="004C4795" w:rsidRPr="004C4795">
        <w:rPr>
          <w:lang w:val="en-CA"/>
        </w:rPr>
        <w:t>.</w:t>
      </w:r>
      <w:r w:rsidR="00803395">
        <w:rPr>
          <w:lang w:val="en-CA"/>
        </w:rPr>
        <w:t xml:space="preserve"> While most previous research </w:t>
      </w:r>
      <w:r w:rsidR="00964836">
        <w:rPr>
          <w:lang w:val="en-CA"/>
        </w:rPr>
        <w:t xml:space="preserve">on mental health morbidity and sexual orientation dynamics for bisexual men </w:t>
      </w:r>
      <w:r w:rsidR="00803395">
        <w:rPr>
          <w:lang w:val="en-CA"/>
        </w:rPr>
        <w:t>has been conducted among</w:t>
      </w:r>
      <w:r w:rsidR="001B4FB3">
        <w:rPr>
          <w:lang w:val="en-CA"/>
        </w:rPr>
        <w:t xml:space="preserve"> bisexual-only or</w:t>
      </w:r>
      <w:r w:rsidR="00803395">
        <w:rPr>
          <w:lang w:val="en-CA"/>
        </w:rPr>
        <w:t xml:space="preserve"> general population samples, this study provides evidence</w:t>
      </w:r>
      <w:r w:rsidR="00C8457F">
        <w:rPr>
          <w:lang w:val="en-CA"/>
        </w:rPr>
        <w:t xml:space="preserve"> specific to anxiety and depression</w:t>
      </w:r>
      <w:r w:rsidR="00803395">
        <w:rPr>
          <w:lang w:val="en-CA"/>
        </w:rPr>
        <w:t xml:space="preserve"> </w:t>
      </w:r>
      <w:r w:rsidR="00F836CC">
        <w:rPr>
          <w:lang w:val="en-CA"/>
        </w:rPr>
        <w:t xml:space="preserve">from </w:t>
      </w:r>
      <w:r w:rsidR="00803395">
        <w:rPr>
          <w:lang w:val="en-CA"/>
        </w:rPr>
        <w:t>within a sample of sexual minority men.</w:t>
      </w:r>
      <w:r w:rsidR="000E78FB">
        <w:rPr>
          <w:lang w:val="en-CA"/>
        </w:rPr>
        <w:t xml:space="preserve"> This allowed for the disaggregation of gay and bi</w:t>
      </w:r>
      <w:r w:rsidR="00FC57DE">
        <w:rPr>
          <w:lang w:val="en-CA"/>
        </w:rPr>
        <w:t>sexual men for comparison, and</w:t>
      </w:r>
      <w:r w:rsidR="000E78FB">
        <w:rPr>
          <w:lang w:val="en-CA"/>
        </w:rPr>
        <w:t xml:space="preserve"> </w:t>
      </w:r>
      <w:r w:rsidR="00C74BBC">
        <w:rPr>
          <w:lang w:val="en-CA"/>
        </w:rPr>
        <w:t xml:space="preserve">for </w:t>
      </w:r>
      <w:r w:rsidR="00B16A4C">
        <w:rPr>
          <w:lang w:val="en-CA"/>
        </w:rPr>
        <w:t xml:space="preserve">a </w:t>
      </w:r>
      <w:r w:rsidR="000E78FB">
        <w:rPr>
          <w:lang w:val="en-CA"/>
        </w:rPr>
        <w:t>single gender sample.</w:t>
      </w:r>
      <w:r w:rsidR="00803395">
        <w:rPr>
          <w:lang w:val="en-CA"/>
        </w:rPr>
        <w:t xml:space="preserve"> </w:t>
      </w:r>
      <w:r w:rsidR="000B10EE">
        <w:rPr>
          <w:lang w:val="en-CA"/>
        </w:rPr>
        <w:t xml:space="preserve">Study participants </w:t>
      </w:r>
      <w:r w:rsidR="00964836">
        <w:rPr>
          <w:lang w:val="en-CA"/>
        </w:rPr>
        <w:t>were ethnically diverse and included cisgender and transgender men (</w:t>
      </w:r>
      <w:r w:rsidR="00964836" w:rsidRPr="000B6DD4">
        <w:rPr>
          <w:i/>
          <w:lang w:val="en-CA"/>
        </w:rPr>
        <w:t>n</w:t>
      </w:r>
      <w:r w:rsidR="00964836">
        <w:rPr>
          <w:lang w:val="en-CA"/>
        </w:rPr>
        <w:t xml:space="preserve">=14). </w:t>
      </w:r>
      <w:r w:rsidR="00BB1609">
        <w:rPr>
          <w:lang w:val="en-CA"/>
        </w:rPr>
        <w:t>Inclusion of all three major sexual orientation dimensions as well as u</w:t>
      </w:r>
      <w:r w:rsidR="00480D14">
        <w:rPr>
          <w:lang w:val="en-CA"/>
        </w:rPr>
        <w:t xml:space="preserve">se of widely-used validated scale for </w:t>
      </w:r>
      <w:r w:rsidR="00135800">
        <w:rPr>
          <w:lang w:val="en-CA"/>
        </w:rPr>
        <w:t>anxiety and depression</w:t>
      </w:r>
      <w:r w:rsidR="00480D14">
        <w:rPr>
          <w:lang w:val="en-CA"/>
        </w:rPr>
        <w:t xml:space="preserve"> outcome ascertainment </w:t>
      </w:r>
      <w:r w:rsidR="00D10F83">
        <w:rPr>
          <w:lang w:val="en-CA"/>
        </w:rPr>
        <w:t xml:space="preserve">also </w:t>
      </w:r>
      <w:r w:rsidR="00BB1609">
        <w:rPr>
          <w:lang w:val="en-CA"/>
        </w:rPr>
        <w:t>strengthened this analysis.</w:t>
      </w:r>
    </w:p>
    <w:p w14:paraId="3689C14D" w14:textId="238CCF06" w:rsidR="00340661" w:rsidRPr="00B64F1D" w:rsidRDefault="007D62E4" w:rsidP="000058C6">
      <w:pPr>
        <w:spacing w:line="480" w:lineRule="auto"/>
        <w:ind w:firstLine="720"/>
        <w:rPr>
          <w:lang w:val="en-CA"/>
        </w:rPr>
      </w:pPr>
      <w:r>
        <w:rPr>
          <w:lang w:val="en-CA"/>
        </w:rPr>
        <w:t>Results</w:t>
      </w:r>
      <w:r w:rsidR="0088708B">
        <w:rPr>
          <w:lang w:val="en-CA"/>
        </w:rPr>
        <w:t xml:space="preserve"> confirm</w:t>
      </w:r>
      <w:r w:rsidR="00132FA3" w:rsidRPr="00132FA3">
        <w:rPr>
          <w:lang w:val="en-CA"/>
        </w:rPr>
        <w:t xml:space="preserve"> findings from previous research that bisexual men experience greater anxiety and depression compared </w:t>
      </w:r>
      <w:r w:rsidR="0001779E">
        <w:rPr>
          <w:lang w:val="en-CA"/>
        </w:rPr>
        <w:t>with</w:t>
      </w:r>
      <w:r w:rsidR="00132FA3" w:rsidRPr="00132FA3">
        <w:rPr>
          <w:lang w:val="en-CA"/>
        </w:rPr>
        <w:t xml:space="preserve"> gay men, and that this </w:t>
      </w:r>
      <w:r w:rsidR="0025368A">
        <w:rPr>
          <w:lang w:val="en-CA"/>
        </w:rPr>
        <w:t>trend</w:t>
      </w:r>
      <w:r w:rsidR="0025368A" w:rsidRPr="00132FA3">
        <w:rPr>
          <w:lang w:val="en-CA"/>
        </w:rPr>
        <w:t xml:space="preserve"> </w:t>
      </w:r>
      <w:r w:rsidR="00132FA3" w:rsidRPr="00132FA3">
        <w:rPr>
          <w:lang w:val="en-CA"/>
        </w:rPr>
        <w:t xml:space="preserve">holds across </w:t>
      </w:r>
      <w:r w:rsidR="00A43D1E">
        <w:rPr>
          <w:lang w:val="en-CA"/>
        </w:rPr>
        <w:t>all</w:t>
      </w:r>
      <w:r w:rsidR="00402FDD" w:rsidRPr="00132FA3">
        <w:rPr>
          <w:lang w:val="en-CA"/>
        </w:rPr>
        <w:t xml:space="preserve"> </w:t>
      </w:r>
      <w:r w:rsidR="004C1EE5">
        <w:rPr>
          <w:lang w:val="en-CA"/>
        </w:rPr>
        <w:t xml:space="preserve">major </w:t>
      </w:r>
      <w:r w:rsidR="00132FA3" w:rsidRPr="00132FA3">
        <w:rPr>
          <w:lang w:val="en-CA"/>
        </w:rPr>
        <w:t xml:space="preserve">sexual </w:t>
      </w:r>
      <w:r w:rsidR="00132FA3" w:rsidRPr="00132FA3">
        <w:rPr>
          <w:lang w:val="en-CA"/>
        </w:rPr>
        <w:lastRenderedPageBreak/>
        <w:t>orientation dimensions</w:t>
      </w:r>
      <w:r w:rsidR="0025368A">
        <w:rPr>
          <w:lang w:val="en-CA"/>
        </w:rPr>
        <w:t xml:space="preserve"> </w:t>
      </w:r>
      <w:r w:rsidR="001D5365">
        <w:rPr>
          <w:lang w:val="en-CA"/>
        </w:rPr>
        <w:t>in</w:t>
      </w:r>
      <w:r w:rsidR="00380884">
        <w:rPr>
          <w:lang w:val="en-CA"/>
        </w:rPr>
        <w:t xml:space="preserve"> </w:t>
      </w:r>
      <w:r w:rsidR="001D5365">
        <w:rPr>
          <w:lang w:val="en-CA"/>
        </w:rPr>
        <w:t>descriptive statistics</w:t>
      </w:r>
      <w:r w:rsidR="0025368A">
        <w:rPr>
          <w:lang w:val="en-CA"/>
        </w:rPr>
        <w:t xml:space="preserve">, and consistently for </w:t>
      </w:r>
      <w:r w:rsidR="003704B6">
        <w:rPr>
          <w:lang w:val="en-CA"/>
        </w:rPr>
        <w:t xml:space="preserve">the </w:t>
      </w:r>
      <w:r w:rsidR="0025368A">
        <w:rPr>
          <w:lang w:val="en-CA"/>
        </w:rPr>
        <w:t xml:space="preserve">identity </w:t>
      </w:r>
      <w:r w:rsidR="003704B6">
        <w:rPr>
          <w:lang w:val="en-CA"/>
        </w:rPr>
        <w:t xml:space="preserve">measure in </w:t>
      </w:r>
      <w:r w:rsidR="001D5365">
        <w:rPr>
          <w:lang w:val="en-CA"/>
        </w:rPr>
        <w:t xml:space="preserve">adjusted </w:t>
      </w:r>
      <w:r w:rsidR="003704B6">
        <w:rPr>
          <w:lang w:val="en-CA"/>
        </w:rPr>
        <w:t xml:space="preserve">multivariable analysis </w:t>
      </w:r>
      <w:r w:rsidR="0025368A">
        <w:rPr>
          <w:lang w:val="en-CA"/>
        </w:rPr>
        <w:t>of anxiety and depression</w:t>
      </w:r>
      <w:r w:rsidR="00132FA3" w:rsidRPr="00132FA3">
        <w:rPr>
          <w:lang w:val="en-CA"/>
        </w:rPr>
        <w:t>. Building on previous literature, findings provide novel evidence from a probability-based, ethnically-diverse</w:t>
      </w:r>
      <w:r w:rsidR="0001779E">
        <w:rPr>
          <w:lang w:val="en-CA"/>
        </w:rPr>
        <w:t>,</w:t>
      </w:r>
      <w:r w:rsidR="00132FA3" w:rsidRPr="00132FA3">
        <w:rPr>
          <w:lang w:val="en-CA"/>
        </w:rPr>
        <w:t xml:space="preserve"> and transgender-inclusive sexual minority sample, using a robust anxiety and depression measure and highly-comparable sexual orientation dimension measures. </w:t>
      </w:r>
      <w:r>
        <w:rPr>
          <w:lang w:val="en-CA"/>
        </w:rPr>
        <w:t>This study</w:t>
      </w:r>
      <w:r w:rsidR="00812C12" w:rsidRPr="00EC1351">
        <w:rPr>
          <w:lang w:val="en-CA"/>
        </w:rPr>
        <w:t xml:space="preserve"> also provides confirmatory evidence of sexual orientation dimension </w:t>
      </w:r>
      <w:r w:rsidR="009241FD">
        <w:rPr>
          <w:lang w:val="en-CA"/>
        </w:rPr>
        <w:t>concordance</w:t>
      </w:r>
      <w:r w:rsidR="00812C12" w:rsidRPr="00EC1351">
        <w:rPr>
          <w:lang w:val="en-CA"/>
        </w:rPr>
        <w:t xml:space="preserve"> for bisexual and gay men from among a sexual minority sample. Findings point to the value of inclusion of multiple sexual orientation </w:t>
      </w:r>
      <w:r w:rsidR="007757E9">
        <w:rPr>
          <w:lang w:val="en-CA"/>
        </w:rPr>
        <w:t>measures</w:t>
      </w:r>
      <w:r w:rsidR="00812C12" w:rsidRPr="00EC1351">
        <w:rPr>
          <w:lang w:val="en-CA"/>
        </w:rPr>
        <w:t xml:space="preserve"> in surveys and routinely collected data; if using only one, it is important to ensure the selected dimension corresponds to the intended data collection purpose (e.g.</w:t>
      </w:r>
      <w:r w:rsidR="00BD0A74">
        <w:rPr>
          <w:lang w:val="en-CA"/>
        </w:rPr>
        <w:t>,</w:t>
      </w:r>
      <w:r w:rsidR="00812C12" w:rsidRPr="00EC1351">
        <w:rPr>
          <w:lang w:val="en-CA"/>
        </w:rPr>
        <w:t xml:space="preserve"> </w:t>
      </w:r>
      <w:r w:rsidR="00B816DB">
        <w:rPr>
          <w:lang w:val="en-CA"/>
        </w:rPr>
        <w:t>behavior</w:t>
      </w:r>
      <w:r w:rsidR="00793141">
        <w:rPr>
          <w:lang w:val="en-CA"/>
        </w:rPr>
        <w:t xml:space="preserve"> measures </w:t>
      </w:r>
      <w:r w:rsidR="006B537A">
        <w:rPr>
          <w:lang w:val="en-CA"/>
        </w:rPr>
        <w:t xml:space="preserve">may be </w:t>
      </w:r>
      <w:r w:rsidR="00793141">
        <w:rPr>
          <w:lang w:val="en-CA"/>
        </w:rPr>
        <w:t>most appropriate for studies of HIV transmission</w:t>
      </w:r>
      <w:r w:rsidR="00812C12" w:rsidRPr="00EC1351">
        <w:rPr>
          <w:lang w:val="en-CA"/>
        </w:rPr>
        <w:t xml:space="preserve">). </w:t>
      </w:r>
      <w:r w:rsidR="00A73984">
        <w:rPr>
          <w:lang w:val="en-CA"/>
        </w:rPr>
        <w:t>Findings</w:t>
      </w:r>
      <w:r w:rsidR="00812C12" w:rsidRPr="00EC1351">
        <w:rPr>
          <w:lang w:val="en-CA"/>
        </w:rPr>
        <w:t xml:space="preserve"> highlight the need to consider the unique </w:t>
      </w:r>
      <w:r w:rsidR="00CB57CE">
        <w:rPr>
          <w:lang w:val="en-CA"/>
        </w:rPr>
        <w:t>realities</w:t>
      </w:r>
      <w:r w:rsidR="002B7EF9">
        <w:rPr>
          <w:lang w:val="en-CA"/>
        </w:rPr>
        <w:t xml:space="preserve"> and vulnerabilities</w:t>
      </w:r>
      <w:r w:rsidR="00CB57CE">
        <w:rPr>
          <w:lang w:val="en-CA"/>
        </w:rPr>
        <w:t xml:space="preserve"> </w:t>
      </w:r>
      <w:r w:rsidR="00693287">
        <w:rPr>
          <w:lang w:val="en-CA"/>
        </w:rPr>
        <w:t>of</w:t>
      </w:r>
      <w:r w:rsidR="00812C12" w:rsidRPr="00EC1351">
        <w:rPr>
          <w:lang w:val="en-CA"/>
        </w:rPr>
        <w:t xml:space="preserve"> bisexual </w:t>
      </w:r>
      <w:r w:rsidR="00A519D3" w:rsidRPr="00EC1351">
        <w:rPr>
          <w:lang w:val="en-CA"/>
        </w:rPr>
        <w:t>men and</w:t>
      </w:r>
      <w:r w:rsidR="00812C12" w:rsidRPr="00EC1351">
        <w:rPr>
          <w:lang w:val="en-CA"/>
        </w:rPr>
        <w:t xml:space="preserve"> ensure sexual minority groups and sexual orientation dimensions are not considered commensurate in clinical and public health settings for mental he</w:t>
      </w:r>
      <w:r w:rsidR="00EF0135">
        <w:rPr>
          <w:lang w:val="en-CA"/>
        </w:rPr>
        <w:t xml:space="preserve">alth prevention and treatment. </w:t>
      </w:r>
      <w:r w:rsidR="000F5FCC" w:rsidRPr="00EC1351">
        <w:rPr>
          <w:lang w:val="en-CA"/>
        </w:rPr>
        <w:t>Future research is needed to better understand the mechanisms underlying heightened levels of anxiety and depression among bisexual men</w:t>
      </w:r>
      <w:r w:rsidR="00D92B89">
        <w:rPr>
          <w:lang w:val="en-CA"/>
        </w:rPr>
        <w:t>, and distinctions by sexual orientation dimension</w:t>
      </w:r>
      <w:r w:rsidR="000F5FCC" w:rsidRPr="00EC1351">
        <w:rPr>
          <w:lang w:val="en-CA"/>
        </w:rPr>
        <w:t xml:space="preserve">.  </w:t>
      </w:r>
    </w:p>
    <w:p w14:paraId="42171DA7" w14:textId="77777777" w:rsidR="00EC7D24" w:rsidRPr="00EC1351" w:rsidRDefault="00EC7D24" w:rsidP="000058C6">
      <w:pPr>
        <w:spacing w:line="480" w:lineRule="auto"/>
        <w:rPr>
          <w:lang w:val="en-CA"/>
        </w:rPr>
      </w:pPr>
    </w:p>
    <w:p w14:paraId="32B07E72" w14:textId="293BD556" w:rsidR="00C349B7" w:rsidRPr="00C349B7" w:rsidRDefault="007A69E8" w:rsidP="00B817AD">
      <w:pPr>
        <w:widowControl w:val="0"/>
        <w:autoSpaceDE w:val="0"/>
        <w:autoSpaceDN w:val="0"/>
        <w:adjustRightInd w:val="0"/>
        <w:spacing w:after="240" w:line="480" w:lineRule="auto"/>
        <w:outlineLvl w:val="0"/>
        <w:rPr>
          <w:b/>
          <w:lang w:val="en-CA"/>
        </w:rPr>
      </w:pPr>
      <w:r w:rsidRPr="00C349B7">
        <w:rPr>
          <w:b/>
          <w:lang w:val="en-CA"/>
        </w:rPr>
        <w:t>Acknowledgements</w:t>
      </w:r>
    </w:p>
    <w:p w14:paraId="6CD7871A" w14:textId="48898A30" w:rsidR="009C1506" w:rsidRPr="006D17F9" w:rsidRDefault="006D17F9" w:rsidP="006D17F9">
      <w:pPr>
        <w:widowControl w:val="0"/>
        <w:autoSpaceDE w:val="0"/>
        <w:autoSpaceDN w:val="0"/>
        <w:adjustRightInd w:val="0"/>
        <w:spacing w:after="240" w:line="480" w:lineRule="auto"/>
        <w:outlineLvl w:val="0"/>
        <w:rPr>
          <w:b/>
          <w:lang w:val="en-CA"/>
        </w:rPr>
      </w:pPr>
      <w:r w:rsidRPr="006D43E2">
        <w:rPr>
          <w:lang w:val="en-CA"/>
        </w:rPr>
        <w:t xml:space="preserve">This work was supported by the Canadian Institutes for Health Research [MOP-107544, FDN-143342, PJT-153139] and the National Institute for Drug Abuse at the National Institutes for Health [R01DA031055-01A1]. We thank the research participants for sharing their important data with the Momentum Health Study. We also thank our community-based partners on the Momentum Health Study Community Advisory Board for their input in this work, including representatives from the Health Initiative for Men, YouthCO HIV &amp; Hep C Society of BC, and </w:t>
      </w:r>
      <w:r w:rsidRPr="006D43E2">
        <w:rPr>
          <w:lang w:val="en-CA"/>
        </w:rPr>
        <w:lastRenderedPageBreak/>
        <w:t>Positive Living Society of BC. AJR is supported by a Frederick Banting and Charles Best Doctoral Research Award from the Canadian Institutes of Health Research (#152382). HLA is supported by a Postdoctoral Fellowship Award from the Canadian Institutes of Health Research (#MFE-152443). DMM and NJL are supported by Scholar Awards (#5209, #16863) from the Michael Smith Foundation for Health Research. NJL was also supported by a CANFAR/CTN Postdoctoral Fellowship Award.</w:t>
      </w:r>
      <w:r w:rsidR="009C1506" w:rsidRPr="004E7D64">
        <w:rPr>
          <w:i/>
          <w:lang w:val="en-CA"/>
        </w:rPr>
        <w:br w:type="page"/>
      </w:r>
    </w:p>
    <w:p w14:paraId="3F80F8CB" w14:textId="440E617A" w:rsidR="009D7DD5" w:rsidRPr="00EC1351" w:rsidRDefault="00016BA2" w:rsidP="00B817AD">
      <w:pPr>
        <w:outlineLvl w:val="0"/>
        <w:rPr>
          <w:lang w:val="en-CA"/>
        </w:rPr>
      </w:pPr>
      <w:r>
        <w:rPr>
          <w:b/>
          <w:lang w:val="en-CA"/>
        </w:rPr>
        <w:lastRenderedPageBreak/>
        <w:t>Figures</w:t>
      </w:r>
    </w:p>
    <w:p w14:paraId="6CF4307D" w14:textId="03E0EC60" w:rsidR="009C1506" w:rsidRPr="00EC1351" w:rsidRDefault="009C1506" w:rsidP="009C1506">
      <w:pPr>
        <w:rPr>
          <w:lang w:val="en-CA"/>
        </w:rPr>
      </w:pPr>
    </w:p>
    <w:p w14:paraId="0819738D" w14:textId="334737A4" w:rsidR="008B244A" w:rsidRPr="0069563F" w:rsidRDefault="00397921">
      <w:pPr>
        <w:rPr>
          <w:b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B3C37" wp14:editId="4528B132">
                <wp:simplePos x="0" y="0"/>
                <wp:positionH relativeFrom="column">
                  <wp:posOffset>1156970</wp:posOffset>
                </wp:positionH>
                <wp:positionV relativeFrom="paragraph">
                  <wp:posOffset>339725</wp:posOffset>
                </wp:positionV>
                <wp:extent cx="685800" cy="34036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F09F4" w14:textId="5D19CCF1" w:rsidR="00356DCB" w:rsidRPr="001D6BBB" w:rsidRDefault="00356DCB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Overall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B3C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1pt;margin-top:26.75pt;width:54pt;height:2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" filled="f" stroked="f">
                <v:textbox>
                  <w:txbxContent>
                    <w:p w14:paraId="777F09F4" w14:textId="5D19CCF1" w:rsidR="00356DCB" w:rsidRPr="001D6BBB" w:rsidRDefault="00356DCB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Overall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28FC" w:rsidRPr="0069563F">
        <w:rPr>
          <w:b/>
          <w:lang w:val="en-CA"/>
        </w:rPr>
        <w:t xml:space="preserve">Figure 1. </w:t>
      </w:r>
      <w:r w:rsidR="00A9559A" w:rsidRPr="0069563F">
        <w:rPr>
          <w:b/>
          <w:lang w:val="en-CA"/>
        </w:rPr>
        <w:t>Bisexuality by s</w:t>
      </w:r>
      <w:r w:rsidR="00E928FC" w:rsidRPr="0069563F">
        <w:rPr>
          <w:b/>
          <w:lang w:val="en-CA"/>
        </w:rPr>
        <w:t>exual orie</w:t>
      </w:r>
      <w:r w:rsidR="00A9559A" w:rsidRPr="0069563F">
        <w:rPr>
          <w:b/>
          <w:lang w:val="en-CA"/>
        </w:rPr>
        <w:t>ntation dimension</w:t>
      </w:r>
      <w:r w:rsidR="00083ECF">
        <w:rPr>
          <w:b/>
          <w:lang w:val="en-CA"/>
        </w:rPr>
        <w:t>:</w:t>
      </w:r>
      <w:r w:rsidR="00731251">
        <w:rPr>
          <w:b/>
          <w:lang w:val="en-CA"/>
        </w:rPr>
        <w:t xml:space="preserve"> </w:t>
      </w:r>
      <w:r w:rsidR="00083ECF">
        <w:rPr>
          <w:b/>
          <w:lang w:val="en-CA"/>
        </w:rPr>
        <w:t>overall, by anxiety, and by depression</w:t>
      </w:r>
    </w:p>
    <w:p w14:paraId="5FA71027" w14:textId="7B57A113" w:rsidR="009C5551" w:rsidRDefault="009C5551">
      <w:pPr>
        <w:rPr>
          <w:lang w:val="en-CA"/>
        </w:rPr>
      </w:pPr>
    </w:p>
    <w:p w14:paraId="78E0C057" w14:textId="63CD3924" w:rsidR="001D6BBB" w:rsidRPr="008B244A" w:rsidRDefault="00D97284">
      <w:pPr>
        <w:rPr>
          <w:lang w:val="en-CA"/>
        </w:rPr>
      </w:pPr>
      <w:r>
        <w:rPr>
          <w:b/>
          <w:noProof/>
        </w:rPr>
        <w:drawing>
          <wp:inline distT="0" distB="0" distL="0" distR="0" wp14:anchorId="5315F9C3" wp14:editId="5A5C4D2E">
            <wp:extent cx="3394242" cy="2052501"/>
            <wp:effectExtent l="0" t="0" r="9525" b="5080"/>
            <wp:docPr id="1" name="Picture 1" descr="../../SSS%202017%20Presentation/Venn%20Diagrams/Overall%20Final%20SSSS%20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SSS%202017%20Presentation/Venn%20Diagrams/Overall%20Final%20SSSS%20201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87" cy="208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79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59FAC" wp14:editId="517DA06C">
                <wp:simplePos x="0" y="0"/>
                <wp:positionH relativeFrom="column">
                  <wp:posOffset>3589020</wp:posOffset>
                </wp:positionH>
                <wp:positionV relativeFrom="paragraph">
                  <wp:posOffset>2448560</wp:posOffset>
                </wp:positionV>
                <wp:extent cx="686435" cy="3327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C9B00" w14:textId="37412D91" w:rsidR="00356DCB" w:rsidRPr="001D6BBB" w:rsidRDefault="00356DCB" w:rsidP="001D6BBB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Anxiety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9FAC" id="Text Box 3" o:spid="_x0000_s1027" type="#_x0000_t202" style="position:absolute;margin-left:282.6pt;margin-top:192.8pt;width:54.0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" filled="f" stroked="f">
                <v:textbox>
                  <w:txbxContent>
                    <w:p w14:paraId="4E0C9B00" w14:textId="37412D91" w:rsidR="00356DCB" w:rsidRPr="001D6BBB" w:rsidRDefault="00356DCB" w:rsidP="001D6BBB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Anxiety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190">
        <w:rPr>
          <w:b/>
          <w:noProof/>
        </w:rPr>
        <w:drawing>
          <wp:inline distT="0" distB="0" distL="0" distR="0" wp14:anchorId="01FB030B" wp14:editId="6FADF836">
            <wp:extent cx="3442335" cy="2088937"/>
            <wp:effectExtent l="0" t="0" r="0" b="0"/>
            <wp:docPr id="6" name="Picture 6" descr="../../SSS%202017%20Presentation/Venn%20Diagrams/Anxiety%20Final%20SSSS%20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SSS%202017%20Presentation/Venn%20Diagrams/Anxiety%20Final%20SSSS%20201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35" cy="209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AEBEB" w14:textId="4BA04E61" w:rsidR="002711C9" w:rsidRPr="00EC1351" w:rsidRDefault="00397921" w:rsidP="00E10392">
      <w:pPr>
        <w:rPr>
          <w:b/>
          <w:lang w:val="en-CA"/>
        </w:rPr>
        <w:sectPr w:rsidR="002711C9" w:rsidRPr="00EC1351" w:rsidSect="00AF47DA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5640C" wp14:editId="2407679A">
                <wp:simplePos x="0" y="0"/>
                <wp:positionH relativeFrom="column">
                  <wp:posOffset>777875</wp:posOffset>
                </wp:positionH>
                <wp:positionV relativeFrom="paragraph">
                  <wp:posOffset>332105</wp:posOffset>
                </wp:positionV>
                <wp:extent cx="915035" cy="33274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DAE12" w14:textId="11A1C240" w:rsidR="00356DCB" w:rsidRPr="001D6BBB" w:rsidRDefault="00356DCB" w:rsidP="001D6BBB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5640C" id="Text Box 4" o:spid="_x0000_s1028" type="#_x0000_t202" style="position:absolute;margin-left:61.25pt;margin-top:26.15pt;width:72.05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" filled="f" stroked="f">
                <v:textbox>
                  <w:txbxContent>
                    <w:p w14:paraId="109DAE12" w14:textId="11A1C240" w:rsidR="00356DCB" w:rsidRPr="001D6BBB" w:rsidRDefault="00356DCB" w:rsidP="001D6BBB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Depression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1251">
        <w:rPr>
          <w:b/>
          <w:noProof/>
        </w:rPr>
        <w:drawing>
          <wp:inline distT="0" distB="0" distL="0" distR="0" wp14:anchorId="4E3A2EB1" wp14:editId="6A9CB2EE">
            <wp:extent cx="3442335" cy="2137639"/>
            <wp:effectExtent l="0" t="0" r="12065" b="0"/>
            <wp:docPr id="5" name="Picture 5" descr="../../SSS%202017%20Presentation/Venn%20Diagrams/Depression%20Final%20SSSS%20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SSS%202017%20Presentation/Venn%20Diagrams/Depression%20Final%20SSSS%20201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576" cy="21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5D100" w14:textId="03F36C3B" w:rsidR="009C1506" w:rsidRDefault="00016BA2" w:rsidP="00B817AD">
      <w:pPr>
        <w:outlineLvl w:val="0"/>
        <w:rPr>
          <w:lang w:val="en-CA"/>
        </w:rPr>
      </w:pPr>
      <w:r>
        <w:rPr>
          <w:b/>
          <w:lang w:val="en-CA"/>
        </w:rPr>
        <w:lastRenderedPageBreak/>
        <w:t>Tables</w:t>
      </w:r>
    </w:p>
    <w:p w14:paraId="039A2DC6" w14:textId="77777777" w:rsidR="006C51A8" w:rsidRPr="006C51A8" w:rsidRDefault="006C51A8" w:rsidP="009C1506">
      <w:pPr>
        <w:rPr>
          <w:lang w:val="en-CA"/>
        </w:rPr>
      </w:pPr>
    </w:p>
    <w:p w14:paraId="4E4E1970" w14:textId="5585FA6B" w:rsidR="00527C35" w:rsidRPr="00D22504" w:rsidRDefault="00153734" w:rsidP="00B817AD">
      <w:pPr>
        <w:outlineLvl w:val="0"/>
        <w:rPr>
          <w:b/>
          <w:lang w:val="en-CA"/>
        </w:rPr>
      </w:pPr>
      <w:r w:rsidRPr="00D22504">
        <w:rPr>
          <w:b/>
          <w:lang w:val="en-CA"/>
        </w:rPr>
        <w:t>Table 1.</w:t>
      </w:r>
      <w:r w:rsidR="006873C8" w:rsidRPr="00D22504">
        <w:rPr>
          <w:b/>
          <w:lang w:val="en-CA"/>
        </w:rPr>
        <w:t xml:space="preserve"> </w:t>
      </w:r>
      <w:r w:rsidR="00EF782D" w:rsidRPr="001C4C1E">
        <w:rPr>
          <w:i/>
          <w:lang w:val="en-CA"/>
        </w:rPr>
        <w:t>Overall s</w:t>
      </w:r>
      <w:r w:rsidRPr="001C4C1E">
        <w:rPr>
          <w:i/>
          <w:lang w:val="en-CA"/>
        </w:rPr>
        <w:t>tudy sample characteristics (n=774)</w:t>
      </w:r>
      <w:r w:rsidRPr="00D22504">
        <w:rPr>
          <w:b/>
          <w:lang w:val="en-CA"/>
        </w:rPr>
        <w:t xml:space="preserve"> </w:t>
      </w:r>
    </w:p>
    <w:tbl>
      <w:tblPr>
        <w:tblW w:w="108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1456"/>
        <w:gridCol w:w="1456"/>
        <w:gridCol w:w="1456"/>
        <w:gridCol w:w="1456"/>
        <w:gridCol w:w="1456"/>
      </w:tblGrid>
      <w:tr w:rsidR="00E631BA" w:rsidRPr="00EC1351" w14:paraId="79EF9116" w14:textId="77777777" w:rsidTr="00E631BA">
        <w:trPr>
          <w:trHeight w:val="588"/>
        </w:trPr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66D43" w14:textId="77777777" w:rsidR="0075606F" w:rsidRPr="00EC1351" w:rsidRDefault="0075606F" w:rsidP="00674BD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EC1351">
              <w:rPr>
                <w:b/>
                <w:bCs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A75D7" w14:textId="4E2E6AD0" w:rsidR="0075606F" w:rsidRPr="00852993" w:rsidRDefault="002C1A7A" w:rsidP="00674BDF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862FFD">
              <w:rPr>
                <w:bCs/>
                <w:i/>
                <w:color w:val="000000"/>
              </w:rPr>
              <w:t>N</w:t>
            </w:r>
            <w:r w:rsidR="00130597">
              <w:rPr>
                <w:bCs/>
                <w:color w:val="000000"/>
              </w:rPr>
              <w:t xml:space="preserve"> or </w:t>
            </w:r>
            <w:r w:rsidR="0075606F" w:rsidRPr="00852993">
              <w:rPr>
                <w:bCs/>
                <w:color w:val="000000"/>
              </w:rPr>
              <w:t>median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76C0E" w14:textId="65C49E67" w:rsidR="0075606F" w:rsidRPr="00852993" w:rsidRDefault="0075606F" w:rsidP="00674BDF">
            <w:pPr>
              <w:spacing w:line="480" w:lineRule="auto"/>
              <w:jc w:val="center"/>
              <w:rPr>
                <w:bCs/>
              </w:rPr>
            </w:pPr>
            <w:r w:rsidRPr="00852993">
              <w:rPr>
                <w:bCs/>
              </w:rPr>
              <w:t>%</w:t>
            </w:r>
            <w:r w:rsidR="00130597">
              <w:rPr>
                <w:bCs/>
              </w:rPr>
              <w:t xml:space="preserve"> or </w:t>
            </w:r>
            <w:r w:rsidR="006E3579">
              <w:rPr>
                <w:bCs/>
              </w:rPr>
              <w:t>Q</w:t>
            </w:r>
            <w:proofErr w:type="gramStart"/>
            <w:r w:rsidR="006E3579">
              <w:rPr>
                <w:bCs/>
              </w:rPr>
              <w:t>1,Q</w:t>
            </w:r>
            <w:proofErr w:type="gramEnd"/>
            <w:r w:rsidR="006E3579">
              <w:rPr>
                <w:bCs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942B4" w14:textId="77777777" w:rsidR="0075606F" w:rsidRPr="00852993" w:rsidRDefault="0075606F" w:rsidP="00674BDF">
            <w:pPr>
              <w:spacing w:line="480" w:lineRule="auto"/>
              <w:jc w:val="center"/>
              <w:rPr>
                <w:bCs/>
              </w:rPr>
            </w:pPr>
            <w:r w:rsidRPr="00852993">
              <w:rPr>
                <w:bCs/>
              </w:rPr>
              <w:t>RDS%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0E9A1" w14:textId="77777777" w:rsidR="0075606F" w:rsidRPr="00852993" w:rsidRDefault="0075606F" w:rsidP="00674BDF">
            <w:pPr>
              <w:spacing w:line="480" w:lineRule="auto"/>
              <w:jc w:val="center"/>
              <w:rPr>
                <w:bCs/>
              </w:rPr>
            </w:pPr>
            <w:r w:rsidRPr="00852993">
              <w:rPr>
                <w:bCs/>
              </w:rPr>
              <w:t>95% CI</w:t>
            </w:r>
          </w:p>
        </w:tc>
      </w:tr>
      <w:tr w:rsidR="00E631BA" w:rsidRPr="00EC1351" w14:paraId="3BC1AB47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E03C2" w14:textId="2E6E3B72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  <w:r w:rsidRPr="00EC1351">
              <w:rPr>
                <w:bCs/>
                <w:color w:val="000000"/>
              </w:rPr>
              <w:t>HAD</w:t>
            </w:r>
            <w:r w:rsidR="00D547C2">
              <w:rPr>
                <w:bCs/>
                <w:color w:val="000000"/>
              </w:rPr>
              <w:t>S</w:t>
            </w:r>
            <w:r w:rsidRPr="00EC1351">
              <w:rPr>
                <w:bCs/>
                <w:color w:val="000000"/>
              </w:rPr>
              <w:t xml:space="preserve"> Anxiety </w:t>
            </w:r>
            <w:r w:rsidRPr="00EC1351">
              <w:rPr>
                <w:bCs/>
                <w:i/>
                <w:iCs/>
                <w:color w:val="000000"/>
              </w:rPr>
              <w:t>(α=0.</w:t>
            </w:r>
            <w:proofErr w:type="gramStart"/>
            <w:r w:rsidRPr="00EC1351">
              <w:rPr>
                <w:bCs/>
                <w:i/>
                <w:iCs/>
                <w:color w:val="000000"/>
              </w:rPr>
              <w:t>84)*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129A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71CA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5, 11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33360A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ACE771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378A4E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 </w:t>
            </w:r>
          </w:p>
        </w:tc>
      </w:tr>
      <w:tr w:rsidR="00E631BA" w:rsidRPr="00EC1351" w14:paraId="4BB91518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48D93" w14:textId="55EB5B41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  <w:r w:rsidRPr="00EC1351">
              <w:rPr>
                <w:bCs/>
                <w:color w:val="000000"/>
              </w:rPr>
              <w:t>HAD</w:t>
            </w:r>
            <w:r w:rsidR="00D547C2">
              <w:rPr>
                <w:bCs/>
                <w:color w:val="000000"/>
              </w:rPr>
              <w:t>S</w:t>
            </w:r>
            <w:r w:rsidRPr="00EC1351">
              <w:rPr>
                <w:bCs/>
                <w:color w:val="000000"/>
              </w:rPr>
              <w:t xml:space="preserve"> Depression </w:t>
            </w:r>
            <w:r w:rsidRPr="00EC1351">
              <w:rPr>
                <w:bCs/>
                <w:i/>
                <w:iCs/>
                <w:color w:val="000000"/>
              </w:rPr>
              <w:t>(α=0.</w:t>
            </w:r>
            <w:proofErr w:type="gramStart"/>
            <w:r w:rsidRPr="00EC1351">
              <w:rPr>
                <w:bCs/>
                <w:i/>
                <w:iCs/>
                <w:color w:val="000000"/>
              </w:rPr>
              <w:t>79)*</w:t>
            </w:r>
            <w:proofErr w:type="gram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FE84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FE0C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2, 6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4DE202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E443C9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0966C9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 </w:t>
            </w:r>
          </w:p>
        </w:tc>
      </w:tr>
      <w:tr w:rsidR="00E631BA" w:rsidRPr="00EC1351" w14:paraId="08DDF8D9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B1F06" w14:textId="77777777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  <w:r w:rsidRPr="00EC1351">
              <w:rPr>
                <w:bCs/>
                <w:color w:val="000000"/>
              </w:rPr>
              <w:t>Age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F2D6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C46C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26, 47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05446B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1E86E7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2A1114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 </w:t>
            </w:r>
          </w:p>
        </w:tc>
      </w:tr>
      <w:tr w:rsidR="00E631BA" w:rsidRPr="00EC1351" w14:paraId="6F4226E1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0425F" w14:textId="77777777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  <w:r w:rsidRPr="00EC1351">
              <w:rPr>
                <w:bCs/>
                <w:color w:val="000000"/>
              </w:rPr>
              <w:t xml:space="preserve">Past </w:t>
            </w:r>
            <w:proofErr w:type="gramStart"/>
            <w:r w:rsidRPr="00EC1351">
              <w:rPr>
                <w:bCs/>
                <w:color w:val="000000"/>
              </w:rPr>
              <w:t>6 month</w:t>
            </w:r>
            <w:proofErr w:type="gramEnd"/>
            <w:r w:rsidRPr="00EC1351">
              <w:rPr>
                <w:bCs/>
                <w:color w:val="000000"/>
              </w:rPr>
              <w:t xml:space="preserve"> partner number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F106E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5FE3C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3, 14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5B73F6D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2092DB7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52B755D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 </w:t>
            </w:r>
          </w:p>
        </w:tc>
      </w:tr>
      <w:tr w:rsidR="00E631BA" w:rsidRPr="00EC1351" w14:paraId="4B98BB1E" w14:textId="77777777" w:rsidTr="00E631BA">
        <w:trPr>
          <w:trHeight w:val="588"/>
        </w:trPr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A8B7C" w14:textId="060449D8" w:rsidR="0075606F" w:rsidRPr="00EC1351" w:rsidRDefault="00D43F8E" w:rsidP="00674BDF">
            <w:pPr>
              <w:spacing w:line="48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Sexual</w:t>
            </w:r>
            <w:r w:rsidR="0075606F" w:rsidRPr="00EC1351">
              <w:rPr>
                <w:bCs/>
                <w:color w:val="000000"/>
              </w:rPr>
              <w:t xml:space="preserve"> Identity</w:t>
            </w:r>
            <w:r w:rsidR="00B56B4F" w:rsidRPr="00EC1351">
              <w:rPr>
                <w:color w:val="000000"/>
              </w:rPr>
              <w:sym w:font="Symbol" w:char="F0B1"/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F6B9" w14:textId="77777777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1FE1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BA34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30F7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1F90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</w:tr>
      <w:tr w:rsidR="00E631BA" w:rsidRPr="00EC1351" w14:paraId="17A904CD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5CA5" w14:textId="77777777" w:rsidR="0075606F" w:rsidRPr="00EC1351" w:rsidRDefault="0075606F" w:rsidP="008751D1">
            <w:pPr>
              <w:spacing w:line="480" w:lineRule="auto"/>
              <w:ind w:firstLine="333"/>
              <w:rPr>
                <w:color w:val="000000"/>
              </w:rPr>
            </w:pPr>
            <w:r w:rsidRPr="00EC1351">
              <w:rPr>
                <w:color w:val="000000"/>
              </w:rPr>
              <w:t>Gay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EB40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655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D0C3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90.0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B2DE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84.5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A2F2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79.7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15DF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89.1</w:t>
            </w:r>
          </w:p>
        </w:tc>
      </w:tr>
      <w:tr w:rsidR="00E631BA" w:rsidRPr="00EC1351" w14:paraId="59034787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9D875" w14:textId="77777777" w:rsidR="0075606F" w:rsidRPr="00EC1351" w:rsidRDefault="0075606F" w:rsidP="008751D1">
            <w:pPr>
              <w:spacing w:line="480" w:lineRule="auto"/>
              <w:ind w:firstLine="333"/>
              <w:rPr>
                <w:color w:val="000000"/>
              </w:rPr>
            </w:pPr>
            <w:r w:rsidRPr="00EC1351">
              <w:rPr>
                <w:color w:val="000000"/>
              </w:rPr>
              <w:t>Bisexual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1CBE2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73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76C9A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10.0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E1F12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15.5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AC830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10.9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E9A53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20.3</w:t>
            </w:r>
          </w:p>
        </w:tc>
      </w:tr>
      <w:tr w:rsidR="00E631BA" w:rsidRPr="00EC1351" w14:paraId="5E532C8C" w14:textId="77777777" w:rsidTr="00E631BA">
        <w:trPr>
          <w:trHeight w:val="588"/>
        </w:trPr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BFD07" w14:textId="77777777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  <w:r w:rsidRPr="00EC1351">
              <w:rPr>
                <w:bCs/>
                <w:color w:val="000000"/>
              </w:rPr>
              <w:t>Attraction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E078" w14:textId="77777777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16DC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E9C2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B0C9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EBC8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</w:tr>
      <w:tr w:rsidR="00E631BA" w:rsidRPr="00EC1351" w14:paraId="7F7ED8E6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EF58" w14:textId="77777777" w:rsidR="0075606F" w:rsidRPr="00EC1351" w:rsidRDefault="0075606F" w:rsidP="008751D1">
            <w:pPr>
              <w:spacing w:line="480" w:lineRule="auto"/>
              <w:ind w:firstLine="333"/>
              <w:rPr>
                <w:color w:val="000000"/>
              </w:rPr>
            </w:pPr>
            <w:r w:rsidRPr="00EC1351">
              <w:rPr>
                <w:color w:val="000000"/>
              </w:rPr>
              <w:t>Men only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DFCE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541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BDB3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69.9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4A07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66.6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CBC2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60.8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8375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72.1</w:t>
            </w:r>
          </w:p>
        </w:tc>
      </w:tr>
      <w:tr w:rsidR="00E631BA" w:rsidRPr="00EC1351" w14:paraId="6D445DD1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3E5A4" w14:textId="42FDC463" w:rsidR="0075606F" w:rsidRPr="00EC1351" w:rsidRDefault="003E22BC" w:rsidP="008751D1">
            <w:pPr>
              <w:spacing w:line="480" w:lineRule="auto"/>
              <w:ind w:firstLine="333"/>
              <w:rPr>
                <w:color w:val="000000"/>
              </w:rPr>
            </w:pPr>
            <w:r>
              <w:rPr>
                <w:color w:val="000000"/>
              </w:rPr>
              <w:t>Men and women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DA89B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233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A2EF4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30.1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82F2B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33.4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64701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27.9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EEF04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39.2</w:t>
            </w:r>
          </w:p>
        </w:tc>
      </w:tr>
      <w:tr w:rsidR="00E631BA" w:rsidRPr="00EC1351" w14:paraId="66110AD7" w14:textId="77777777" w:rsidTr="00E631BA">
        <w:trPr>
          <w:trHeight w:val="588"/>
        </w:trPr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01462" w14:textId="41678067" w:rsidR="0075606F" w:rsidRPr="00EC1351" w:rsidRDefault="00B816DB" w:rsidP="00674BDF">
            <w:pPr>
              <w:spacing w:line="48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Behavior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DE60" w14:textId="77777777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DC92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A2C2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BE86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F08C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</w:tr>
      <w:tr w:rsidR="00E631BA" w:rsidRPr="00EC1351" w14:paraId="77949AAC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CE18" w14:textId="77777777" w:rsidR="0075606F" w:rsidRPr="00EC1351" w:rsidRDefault="0075606F" w:rsidP="008751D1">
            <w:pPr>
              <w:spacing w:line="480" w:lineRule="auto"/>
              <w:ind w:firstLine="333"/>
              <w:rPr>
                <w:color w:val="000000"/>
              </w:rPr>
            </w:pPr>
            <w:r w:rsidRPr="00EC1351">
              <w:rPr>
                <w:color w:val="000000"/>
              </w:rPr>
              <w:t>Men only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4F73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660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DBB8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85.3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2618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77.3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3120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71.9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5A42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82.9</w:t>
            </w:r>
          </w:p>
        </w:tc>
      </w:tr>
      <w:tr w:rsidR="00E631BA" w:rsidRPr="00EC1351" w14:paraId="53A03BB3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EACB3" w14:textId="1C63E42E" w:rsidR="0075606F" w:rsidRPr="00EC1351" w:rsidRDefault="003E22BC" w:rsidP="008751D1">
            <w:pPr>
              <w:spacing w:line="480" w:lineRule="auto"/>
              <w:ind w:firstLine="333"/>
              <w:rPr>
                <w:color w:val="000000"/>
              </w:rPr>
            </w:pPr>
            <w:r>
              <w:rPr>
                <w:color w:val="000000"/>
              </w:rPr>
              <w:t>Men and women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41E61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114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E306D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14.7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4A07D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22.7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D9B8C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17.1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53647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28.1</w:t>
            </w:r>
          </w:p>
        </w:tc>
      </w:tr>
      <w:tr w:rsidR="00E631BA" w:rsidRPr="00EC1351" w14:paraId="4E14F4AC" w14:textId="77777777" w:rsidTr="00E631BA">
        <w:trPr>
          <w:trHeight w:val="588"/>
        </w:trPr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302C" w14:textId="77777777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  <w:r w:rsidRPr="00EC1351">
              <w:rPr>
                <w:bCs/>
                <w:color w:val="000000"/>
              </w:rPr>
              <w:lastRenderedPageBreak/>
              <w:t>Annual income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E246" w14:textId="77777777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6C8C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1DE2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5E03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7D0C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</w:tr>
      <w:tr w:rsidR="00E631BA" w:rsidRPr="00EC1351" w14:paraId="3A2E0AD0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56FC" w14:textId="2F6D5707" w:rsidR="0075606F" w:rsidRPr="00EC1351" w:rsidRDefault="00D55D23" w:rsidP="008751D1">
            <w:pPr>
              <w:spacing w:line="480" w:lineRule="auto"/>
              <w:ind w:firstLine="333"/>
              <w:rPr>
                <w:color w:val="000000"/>
              </w:rPr>
            </w:pPr>
            <w:r w:rsidRPr="00EC1351">
              <w:rPr>
                <w:color w:val="000000"/>
              </w:rPr>
              <w:t>&lt;</w:t>
            </w:r>
            <w:r w:rsidR="0075606F" w:rsidRPr="00EC1351">
              <w:rPr>
                <w:color w:val="000000"/>
              </w:rPr>
              <w:t>$30,000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B5A0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485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77D2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62.7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6BB5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72.9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F657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67.4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3D8C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78.5</w:t>
            </w:r>
          </w:p>
        </w:tc>
      </w:tr>
      <w:tr w:rsidR="00E631BA" w:rsidRPr="00EC1351" w14:paraId="25377B19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19712" w14:textId="77777777" w:rsidR="0075606F" w:rsidRPr="00EC1351" w:rsidRDefault="0075606F" w:rsidP="008751D1">
            <w:pPr>
              <w:spacing w:line="480" w:lineRule="auto"/>
              <w:ind w:firstLine="333"/>
              <w:rPr>
                <w:color w:val="000000"/>
              </w:rPr>
            </w:pPr>
            <w:r w:rsidRPr="00EC1351">
              <w:rPr>
                <w:color w:val="000000"/>
              </w:rPr>
              <w:t>$30,000 - $59,999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4849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DB95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25.8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AC6A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18.6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0458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14.4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99C2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22.4</w:t>
            </w:r>
          </w:p>
        </w:tc>
      </w:tr>
      <w:tr w:rsidR="00E631BA" w:rsidRPr="00EC1351" w14:paraId="53D0B76F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A3CD5" w14:textId="3CA63090" w:rsidR="0075606F" w:rsidRPr="00EC1351" w:rsidRDefault="00D55D23" w:rsidP="008751D1">
            <w:pPr>
              <w:spacing w:line="480" w:lineRule="auto"/>
              <w:ind w:firstLine="333"/>
              <w:rPr>
                <w:color w:val="000000"/>
              </w:rPr>
            </w:pPr>
            <w:r w:rsidRPr="00EC1351">
              <w:rPr>
                <w:color w:val="000000"/>
              </w:rPr>
              <w:sym w:font="Symbol" w:char="F0B3"/>
            </w:r>
            <w:r w:rsidR="0075606F" w:rsidRPr="00EC1351">
              <w:rPr>
                <w:color w:val="000000"/>
              </w:rPr>
              <w:t>$60,000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8D8C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095A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11.5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A534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8.6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77C3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5.4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2C56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12.0</w:t>
            </w:r>
          </w:p>
        </w:tc>
      </w:tr>
      <w:tr w:rsidR="00E631BA" w:rsidRPr="00EC1351" w14:paraId="1753FAD3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9EF26" w14:textId="540A0B4D" w:rsidR="0075606F" w:rsidRPr="00EC1351" w:rsidRDefault="00D55D23" w:rsidP="00674BDF">
            <w:pPr>
              <w:spacing w:line="480" w:lineRule="auto"/>
              <w:rPr>
                <w:bCs/>
                <w:color w:val="000000"/>
              </w:rPr>
            </w:pPr>
            <w:r w:rsidRPr="00EC1351">
              <w:rPr>
                <w:bCs/>
                <w:color w:val="000000"/>
              </w:rPr>
              <w:t>Ethnicity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45C5" w14:textId="77777777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5C8D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59BA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F982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A7E6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</w:tr>
      <w:tr w:rsidR="00E631BA" w:rsidRPr="00EC1351" w14:paraId="65EDDD4E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A2315" w14:textId="77777777" w:rsidR="0075606F" w:rsidRPr="00EC1351" w:rsidRDefault="0075606F" w:rsidP="008751D1">
            <w:pPr>
              <w:spacing w:line="480" w:lineRule="auto"/>
              <w:ind w:firstLine="333"/>
              <w:rPr>
                <w:color w:val="000000"/>
              </w:rPr>
            </w:pPr>
            <w:r w:rsidRPr="00EC1351">
              <w:rPr>
                <w:color w:val="000000"/>
              </w:rPr>
              <w:t>White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9978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585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7D50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75.6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5568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68.5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4D79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61.5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FADE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74.4</w:t>
            </w:r>
          </w:p>
        </w:tc>
      </w:tr>
      <w:tr w:rsidR="00E631BA" w:rsidRPr="00EC1351" w14:paraId="5E224595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FDE30" w14:textId="77777777" w:rsidR="0075606F" w:rsidRPr="00EC1351" w:rsidRDefault="0075606F" w:rsidP="008751D1">
            <w:pPr>
              <w:spacing w:line="480" w:lineRule="auto"/>
              <w:ind w:firstLine="333"/>
              <w:rPr>
                <w:color w:val="000000"/>
              </w:rPr>
            </w:pPr>
            <w:r w:rsidRPr="00EC1351">
              <w:rPr>
                <w:color w:val="000000"/>
              </w:rPr>
              <w:t>Asian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C403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6234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9.6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7127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9.2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E692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5.7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3D30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13.7</w:t>
            </w:r>
          </w:p>
        </w:tc>
      </w:tr>
      <w:tr w:rsidR="00E631BA" w:rsidRPr="00EC1351" w14:paraId="54AEE9C6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5BBD" w14:textId="07E464EF" w:rsidR="0075606F" w:rsidRPr="00EC1351" w:rsidRDefault="00EB752C" w:rsidP="008751D1">
            <w:pPr>
              <w:spacing w:line="480" w:lineRule="auto"/>
              <w:ind w:firstLine="333"/>
              <w:rPr>
                <w:color w:val="000000"/>
              </w:rPr>
            </w:pPr>
            <w:r>
              <w:rPr>
                <w:color w:val="000000"/>
              </w:rPr>
              <w:t>Indigenous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501A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50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EB9C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6.5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844F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9.7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8CDD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5.2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BCAD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14.9</w:t>
            </w:r>
          </w:p>
        </w:tc>
      </w:tr>
      <w:tr w:rsidR="00E631BA" w:rsidRPr="00EC1351" w14:paraId="43A235D4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B4238" w14:textId="77777777" w:rsidR="0075606F" w:rsidRPr="00EC1351" w:rsidRDefault="0075606F" w:rsidP="008751D1">
            <w:pPr>
              <w:spacing w:line="480" w:lineRule="auto"/>
              <w:ind w:firstLine="333"/>
              <w:rPr>
                <w:color w:val="000000"/>
              </w:rPr>
            </w:pPr>
            <w:r w:rsidRPr="00EC1351">
              <w:rPr>
                <w:color w:val="000000"/>
              </w:rPr>
              <w:t>Latino/Other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50C2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65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0A53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8.4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08EA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12.7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CF06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8.1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071A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18.1</w:t>
            </w:r>
          </w:p>
        </w:tc>
      </w:tr>
      <w:tr w:rsidR="00E631BA" w:rsidRPr="00EC1351" w14:paraId="642F528A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E77F" w14:textId="1B062902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  <w:r w:rsidRPr="00EC1351">
              <w:rPr>
                <w:bCs/>
                <w:color w:val="000000"/>
              </w:rPr>
              <w:t>Education</w:t>
            </w:r>
            <w:r w:rsidR="003E22BC">
              <w:rPr>
                <w:bCs/>
                <w:color w:val="000000"/>
              </w:rPr>
              <w:t>al attainment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D90B" w14:textId="77777777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2FAC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A78F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08A0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EB65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</w:tr>
      <w:tr w:rsidR="00E631BA" w:rsidRPr="00EC1351" w14:paraId="0BB898CB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E519A" w14:textId="03839113" w:rsidR="0075606F" w:rsidRPr="00EC1351" w:rsidRDefault="00D55D23" w:rsidP="008751D1">
            <w:pPr>
              <w:spacing w:line="480" w:lineRule="auto"/>
              <w:ind w:firstLine="333"/>
              <w:rPr>
                <w:color w:val="000000"/>
              </w:rPr>
            </w:pPr>
            <w:r w:rsidRPr="00EC1351">
              <w:rPr>
                <w:color w:val="000000"/>
              </w:rPr>
              <w:sym w:font="Symbol" w:char="F0A3"/>
            </w:r>
            <w:r w:rsidR="00E538B6">
              <w:rPr>
                <w:color w:val="000000"/>
              </w:rPr>
              <w:t>High school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2FC7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179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ACED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23.1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CC73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32.6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3524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26.9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65FE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39.8</w:t>
            </w:r>
          </w:p>
        </w:tc>
      </w:tr>
      <w:tr w:rsidR="00E631BA" w:rsidRPr="00EC1351" w14:paraId="648CE92B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A5D37" w14:textId="69612FA3" w:rsidR="0075606F" w:rsidRPr="00EC1351" w:rsidRDefault="00D55D23" w:rsidP="008751D1">
            <w:pPr>
              <w:spacing w:line="480" w:lineRule="auto"/>
              <w:ind w:firstLine="333"/>
              <w:rPr>
                <w:color w:val="000000"/>
              </w:rPr>
            </w:pPr>
            <w:r w:rsidRPr="00EC1351">
              <w:rPr>
                <w:color w:val="000000"/>
              </w:rPr>
              <w:t>&gt;</w:t>
            </w:r>
            <w:r w:rsidR="00E538B6">
              <w:rPr>
                <w:color w:val="000000"/>
              </w:rPr>
              <w:t>High school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ED08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595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34E2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76.9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87EF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67.4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C0C1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60.2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794B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73.1</w:t>
            </w:r>
          </w:p>
        </w:tc>
      </w:tr>
      <w:tr w:rsidR="00E631BA" w:rsidRPr="00EC1351" w14:paraId="7CFA98EE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F5EF" w14:textId="77777777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  <w:r w:rsidRPr="00EC1351">
              <w:rPr>
                <w:bCs/>
                <w:color w:val="000000"/>
              </w:rPr>
              <w:t>Regular partner status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871A" w14:textId="77777777" w:rsidR="0075606F" w:rsidRPr="00EC1351" w:rsidRDefault="0075606F" w:rsidP="00674BDF">
            <w:pPr>
              <w:spacing w:line="480" w:lineRule="auto"/>
              <w:rPr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A98A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FCB6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830D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2E49" w14:textId="77777777" w:rsidR="0075606F" w:rsidRPr="00EC1351" w:rsidRDefault="0075606F" w:rsidP="00674BDF">
            <w:pPr>
              <w:spacing w:line="480" w:lineRule="auto"/>
              <w:jc w:val="right"/>
            </w:pPr>
          </w:p>
        </w:tc>
      </w:tr>
      <w:tr w:rsidR="00E631BA" w:rsidRPr="00EC1351" w14:paraId="0E57D6C4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EC26" w14:textId="77777777" w:rsidR="0075606F" w:rsidRPr="00EC1351" w:rsidRDefault="0075606F" w:rsidP="008751D1">
            <w:pPr>
              <w:spacing w:line="480" w:lineRule="auto"/>
              <w:ind w:firstLine="333"/>
              <w:rPr>
                <w:color w:val="000000"/>
              </w:rPr>
            </w:pPr>
            <w:r w:rsidRPr="00EC1351">
              <w:rPr>
                <w:color w:val="000000"/>
              </w:rPr>
              <w:t>Yes/Married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6145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297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6A62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38.4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1508" w14:textId="77777777" w:rsidR="0075606F" w:rsidRPr="00EC1351" w:rsidRDefault="0075606F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37.6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AF2B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31.4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E79B" w14:textId="77777777" w:rsidR="0075606F" w:rsidRPr="00EC1351" w:rsidRDefault="0075606F" w:rsidP="00674BDF">
            <w:pPr>
              <w:spacing w:line="480" w:lineRule="auto"/>
              <w:jc w:val="right"/>
            </w:pPr>
            <w:r w:rsidRPr="00EC1351">
              <w:t>43.6</w:t>
            </w:r>
          </w:p>
        </w:tc>
      </w:tr>
      <w:tr w:rsidR="00E631BA" w:rsidRPr="00EC1351" w14:paraId="564ECF14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D025E" w14:textId="00F414EF" w:rsidR="00D03FB5" w:rsidRPr="00EC1351" w:rsidRDefault="006A30BE" w:rsidP="00674BDF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HIV status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0A14D" w14:textId="2647BB68" w:rsidR="00D03FB5" w:rsidRPr="00EC1351" w:rsidRDefault="00D03FB5" w:rsidP="00674BDF">
            <w:pPr>
              <w:spacing w:line="480" w:lineRule="auto"/>
              <w:jc w:val="right"/>
              <w:rPr>
                <w:bCs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8AF96" w14:textId="16FA958B" w:rsidR="00D03FB5" w:rsidRPr="00EC1351" w:rsidRDefault="00D03FB5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4D233" w14:textId="1A0A44B5" w:rsidR="00D03FB5" w:rsidRPr="00EC1351" w:rsidRDefault="00D03FB5" w:rsidP="00674BDF">
            <w:pPr>
              <w:spacing w:line="480" w:lineRule="auto"/>
              <w:jc w:val="right"/>
              <w:rPr>
                <w:bCs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0DE06" w14:textId="162B668F" w:rsidR="00D03FB5" w:rsidRPr="00EC1351" w:rsidRDefault="00D03FB5" w:rsidP="00674BDF">
            <w:pPr>
              <w:spacing w:line="480" w:lineRule="auto"/>
              <w:jc w:val="right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24A71" w14:textId="30F08502" w:rsidR="00D03FB5" w:rsidRPr="00EC1351" w:rsidRDefault="00D03FB5" w:rsidP="00674BDF">
            <w:pPr>
              <w:spacing w:line="480" w:lineRule="auto"/>
              <w:jc w:val="right"/>
            </w:pPr>
          </w:p>
        </w:tc>
      </w:tr>
      <w:tr w:rsidR="00E631BA" w:rsidRPr="00EC1351" w14:paraId="7195ED03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40B6D" w14:textId="2ED3C48E" w:rsidR="006A30BE" w:rsidRPr="00EC1351" w:rsidRDefault="006A30BE" w:rsidP="00674BDF">
            <w:pPr>
              <w:spacing w:line="480" w:lineRule="auto"/>
              <w:ind w:firstLine="333"/>
              <w:rPr>
                <w:color w:val="000000"/>
              </w:rPr>
            </w:pPr>
            <w:r>
              <w:rPr>
                <w:color w:val="000000"/>
              </w:rPr>
              <w:lastRenderedPageBreak/>
              <w:t>Negative/Unknown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72CA4" w14:textId="139B7B7B" w:rsidR="006A30BE" w:rsidRPr="00EC1351" w:rsidRDefault="006A30BE" w:rsidP="00674BDF">
            <w:pPr>
              <w:spacing w:line="480" w:lineRule="auto"/>
              <w:jc w:val="right"/>
              <w:rPr>
                <w:bCs/>
              </w:rPr>
            </w:pPr>
            <w:r>
              <w:rPr>
                <w:bCs/>
              </w:rPr>
              <w:t>554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85376" w14:textId="4EDCCE63" w:rsidR="006A30BE" w:rsidRPr="00EC1351" w:rsidRDefault="006A30BE" w:rsidP="00674BDF">
            <w:pPr>
              <w:spacing w:line="480" w:lineRule="auto"/>
              <w:jc w:val="right"/>
            </w:pPr>
            <w:r>
              <w:t>71.6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6C56F" w14:textId="07E6885B" w:rsidR="006A30BE" w:rsidRPr="00EC1351" w:rsidRDefault="006A30BE" w:rsidP="00674BDF">
            <w:pPr>
              <w:spacing w:line="480" w:lineRule="auto"/>
              <w:jc w:val="right"/>
              <w:rPr>
                <w:bCs/>
              </w:rPr>
            </w:pPr>
            <w:r>
              <w:rPr>
                <w:bCs/>
              </w:rPr>
              <w:t>72.6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11EEB" w14:textId="3209BD1D" w:rsidR="006A30BE" w:rsidRPr="00EC1351" w:rsidRDefault="006A30BE" w:rsidP="00674BDF">
            <w:pPr>
              <w:spacing w:line="480" w:lineRule="auto"/>
              <w:jc w:val="right"/>
            </w:pPr>
            <w:r>
              <w:t>68.1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C1747" w14:textId="3AA8C1E6" w:rsidR="006A30BE" w:rsidRPr="00EC1351" w:rsidRDefault="006A30BE" w:rsidP="00674BDF">
            <w:pPr>
              <w:spacing w:line="480" w:lineRule="auto"/>
              <w:jc w:val="right"/>
            </w:pPr>
            <w:r>
              <w:t>77.2</w:t>
            </w:r>
          </w:p>
        </w:tc>
      </w:tr>
      <w:tr w:rsidR="00E631BA" w:rsidRPr="00EC1351" w14:paraId="232FEF17" w14:textId="77777777" w:rsidTr="00E631BA">
        <w:trPr>
          <w:trHeight w:val="588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893197" w14:textId="0D284A1E" w:rsidR="006A30BE" w:rsidRPr="00EC1351" w:rsidRDefault="006A30BE" w:rsidP="00674BDF">
            <w:pPr>
              <w:spacing w:line="480" w:lineRule="auto"/>
              <w:ind w:firstLine="333"/>
              <w:rPr>
                <w:color w:val="000000"/>
              </w:rPr>
            </w:pPr>
            <w:r>
              <w:rPr>
                <w:color w:val="000000"/>
              </w:rPr>
              <w:t>Positive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405BC7" w14:textId="77236F84" w:rsidR="006A30BE" w:rsidRPr="00EC1351" w:rsidRDefault="006A30BE" w:rsidP="00674BDF">
            <w:pPr>
              <w:spacing w:line="480" w:lineRule="auto"/>
              <w:jc w:val="right"/>
              <w:rPr>
                <w:bCs/>
              </w:rPr>
            </w:pPr>
            <w:r>
              <w:rPr>
                <w:bCs/>
              </w:rPr>
              <w:t>220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0DA6C1" w14:textId="257A086D" w:rsidR="006A30BE" w:rsidRPr="00EC1351" w:rsidRDefault="006A30BE" w:rsidP="00674BDF">
            <w:pPr>
              <w:spacing w:line="480" w:lineRule="auto"/>
              <w:jc w:val="right"/>
            </w:pPr>
            <w:r>
              <w:t>28.4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C2FC33" w14:textId="55A1FF9C" w:rsidR="006A30BE" w:rsidRPr="00EC1351" w:rsidRDefault="006A30BE" w:rsidP="00674BDF">
            <w:pPr>
              <w:spacing w:line="480" w:lineRule="auto"/>
              <w:jc w:val="right"/>
              <w:rPr>
                <w:bCs/>
              </w:rPr>
            </w:pPr>
            <w:r>
              <w:rPr>
                <w:bCs/>
              </w:rPr>
              <w:t>27.4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52124F" w14:textId="42D7DE7C" w:rsidR="006A30BE" w:rsidRPr="00EC1351" w:rsidRDefault="006A30BE" w:rsidP="00674BDF">
            <w:pPr>
              <w:spacing w:line="480" w:lineRule="auto"/>
              <w:jc w:val="right"/>
            </w:pPr>
            <w:r>
              <w:t>22.8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953C1D" w14:textId="6E7F1A94" w:rsidR="006A30BE" w:rsidRPr="00EC1351" w:rsidRDefault="006A30BE" w:rsidP="00674BDF">
            <w:pPr>
              <w:spacing w:line="480" w:lineRule="auto"/>
              <w:jc w:val="right"/>
            </w:pPr>
            <w:r>
              <w:t>31.9</w:t>
            </w:r>
          </w:p>
        </w:tc>
      </w:tr>
    </w:tbl>
    <w:p w14:paraId="4C2170CF" w14:textId="7CF13E40" w:rsidR="00E8360D" w:rsidRDefault="00E8360D" w:rsidP="006873C8">
      <w:pPr>
        <w:rPr>
          <w:lang w:val="en-CA"/>
        </w:rPr>
      </w:pPr>
      <w:r>
        <w:rPr>
          <w:lang w:val="en-CA"/>
        </w:rPr>
        <w:t>Q1, Q3: Quartile 1</w:t>
      </w:r>
      <w:r w:rsidR="00FC45DE">
        <w:rPr>
          <w:lang w:val="en-CA"/>
        </w:rPr>
        <w:t xml:space="preserve"> and Quartile 3</w:t>
      </w:r>
      <w:r>
        <w:rPr>
          <w:lang w:val="en-CA"/>
        </w:rPr>
        <w:t xml:space="preserve"> (25</w:t>
      </w:r>
      <w:r w:rsidRPr="008751D1">
        <w:rPr>
          <w:vertAlign w:val="superscript"/>
          <w:lang w:val="en-CA"/>
        </w:rPr>
        <w:t>th</w:t>
      </w:r>
      <w:r>
        <w:rPr>
          <w:lang w:val="en-CA"/>
        </w:rPr>
        <w:t xml:space="preserve"> </w:t>
      </w:r>
      <w:r w:rsidR="00FC45DE">
        <w:rPr>
          <w:lang w:val="en-CA"/>
        </w:rPr>
        <w:t>and 75</w:t>
      </w:r>
      <w:r w:rsidR="00FC45DE" w:rsidRPr="008751D1">
        <w:rPr>
          <w:vertAlign w:val="superscript"/>
          <w:lang w:val="en-CA"/>
        </w:rPr>
        <w:t>th</w:t>
      </w:r>
      <w:r w:rsidR="00FC45DE">
        <w:rPr>
          <w:lang w:val="en-CA"/>
        </w:rPr>
        <w:t xml:space="preserve"> percentiles)</w:t>
      </w:r>
    </w:p>
    <w:p w14:paraId="05D6C196" w14:textId="15FFC923" w:rsidR="001F498A" w:rsidRDefault="001F498A" w:rsidP="006873C8">
      <w:pPr>
        <w:rPr>
          <w:lang w:val="en-CA"/>
        </w:rPr>
      </w:pPr>
      <w:r>
        <w:rPr>
          <w:lang w:val="en-CA"/>
        </w:rPr>
        <w:t>RDS: Respondent driven sampling</w:t>
      </w:r>
    </w:p>
    <w:p w14:paraId="6F7927FB" w14:textId="75940973" w:rsidR="001F498A" w:rsidRDefault="001F498A" w:rsidP="006873C8">
      <w:pPr>
        <w:rPr>
          <w:lang w:val="en-CA"/>
        </w:rPr>
      </w:pPr>
      <w:r>
        <w:rPr>
          <w:lang w:val="en-CA"/>
        </w:rPr>
        <w:t>CI: Confidence interval</w:t>
      </w:r>
    </w:p>
    <w:p w14:paraId="0A7AF862" w14:textId="619A65CE" w:rsidR="00527C35" w:rsidRPr="00EC1351" w:rsidRDefault="00B56B4F" w:rsidP="006873C8">
      <w:pPr>
        <w:rPr>
          <w:lang w:val="en-CA"/>
        </w:rPr>
      </w:pPr>
      <w:r w:rsidRPr="00EC1351">
        <w:rPr>
          <w:lang w:val="en-CA"/>
        </w:rPr>
        <w:t>*9 missing</w:t>
      </w:r>
    </w:p>
    <w:p w14:paraId="7A6A786A" w14:textId="2166B361" w:rsidR="00B56B4F" w:rsidRPr="00EC1351" w:rsidRDefault="00B56B4F" w:rsidP="006873C8">
      <w:pPr>
        <w:rPr>
          <w:lang w:val="en-CA"/>
        </w:rPr>
      </w:pPr>
      <w:r w:rsidRPr="00EC1351">
        <w:rPr>
          <w:color w:val="000000"/>
        </w:rPr>
        <w:sym w:font="Symbol" w:char="F0B1"/>
      </w:r>
      <w:r w:rsidRPr="00EC1351">
        <w:rPr>
          <w:color w:val="000000"/>
        </w:rPr>
        <w:t xml:space="preserve">27 Queer and </w:t>
      </w:r>
      <w:r w:rsidR="009F24B6">
        <w:rPr>
          <w:color w:val="000000"/>
        </w:rPr>
        <w:t xml:space="preserve">19 </w:t>
      </w:r>
      <w:r w:rsidRPr="00EC1351">
        <w:rPr>
          <w:color w:val="000000"/>
        </w:rPr>
        <w:t>Other excluded</w:t>
      </w:r>
    </w:p>
    <w:p w14:paraId="2BB99E02" w14:textId="77777777" w:rsidR="00D55D23" w:rsidRPr="00EC1351" w:rsidRDefault="00D55D23" w:rsidP="006873C8">
      <w:pPr>
        <w:rPr>
          <w:lang w:val="en-CA"/>
        </w:rPr>
      </w:pPr>
    </w:p>
    <w:p w14:paraId="32744726" w14:textId="4901E9D9" w:rsidR="00EF782D" w:rsidRPr="00D22504" w:rsidRDefault="00D30E76" w:rsidP="00B817AD">
      <w:pPr>
        <w:outlineLvl w:val="0"/>
        <w:rPr>
          <w:b/>
          <w:lang w:val="en-CA"/>
        </w:rPr>
      </w:pPr>
      <w:r w:rsidRPr="00D22504">
        <w:rPr>
          <w:b/>
          <w:lang w:val="en-CA"/>
        </w:rPr>
        <w:t xml:space="preserve">Table 2a. </w:t>
      </w:r>
      <w:r w:rsidRPr="001C4C1E">
        <w:rPr>
          <w:i/>
          <w:lang w:val="en-CA"/>
        </w:rPr>
        <w:t>Sexual orientation by HADS anxiety scores</w:t>
      </w:r>
      <w:r w:rsidR="00FD1261" w:rsidRPr="001C4C1E">
        <w:rPr>
          <w:i/>
          <w:lang w:val="en-CA"/>
        </w:rPr>
        <w:t xml:space="preserve"> (n=765)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15"/>
        <w:gridCol w:w="576"/>
        <w:gridCol w:w="636"/>
        <w:gridCol w:w="883"/>
        <w:gridCol w:w="636"/>
        <w:gridCol w:w="636"/>
        <w:gridCol w:w="576"/>
        <w:gridCol w:w="636"/>
        <w:gridCol w:w="883"/>
        <w:gridCol w:w="636"/>
        <w:gridCol w:w="636"/>
      </w:tblGrid>
      <w:tr w:rsidR="00366F5A" w:rsidRPr="00EC1351" w14:paraId="34E809FD" w14:textId="77777777" w:rsidTr="00366F5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752B0" w14:textId="77777777" w:rsidR="00366F5A" w:rsidRPr="00EC1351" w:rsidRDefault="00366F5A" w:rsidP="00674BD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EC135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BFB02" w14:textId="6DA476F9" w:rsidR="00366F5A" w:rsidRPr="00852993" w:rsidRDefault="005B5C3E" w:rsidP="009D38C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No</w:t>
            </w:r>
            <w:r w:rsidR="009D38C7">
              <w:rPr>
                <w:bCs/>
              </w:rPr>
              <w:t>n-cases</w:t>
            </w:r>
            <w:r>
              <w:rPr>
                <w:bCs/>
              </w:rPr>
              <w:t xml:space="preserve"> (</w:t>
            </w:r>
            <w:r w:rsidR="00366F5A" w:rsidRPr="00852993">
              <w:rPr>
                <w:bCs/>
              </w:rPr>
              <w:t>&lt; 8</w:t>
            </w:r>
            <w:r>
              <w:rPr>
                <w:bCs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96A1A" w14:textId="59752152" w:rsidR="00366F5A" w:rsidRPr="00852993" w:rsidRDefault="005B5C3E" w:rsidP="00674BDF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Anxiety</w:t>
            </w:r>
            <w:r w:rsidR="009D38C7">
              <w:rPr>
                <w:bCs/>
              </w:rPr>
              <w:t xml:space="preserve"> cases</w:t>
            </w:r>
            <w:r>
              <w:rPr>
                <w:bCs/>
              </w:rPr>
              <w:t xml:space="preserve"> (</w:t>
            </w:r>
            <w:r w:rsidR="00366F5A" w:rsidRPr="00852993">
              <w:rPr>
                <w:bCs/>
              </w:rPr>
              <w:t>≥ 8</w:t>
            </w:r>
            <w:r>
              <w:rPr>
                <w:bCs/>
              </w:rPr>
              <w:t>)</w:t>
            </w:r>
          </w:p>
        </w:tc>
      </w:tr>
      <w:tr w:rsidR="00366F5A" w:rsidRPr="00EC1351" w14:paraId="762FC63E" w14:textId="77777777" w:rsidTr="00366F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3FEA2" w14:textId="77777777" w:rsidR="00366F5A" w:rsidRPr="00EC1351" w:rsidRDefault="00366F5A" w:rsidP="00674BD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C70E2" w14:textId="77777777" w:rsidR="00366F5A" w:rsidRPr="00862FFD" w:rsidRDefault="00366F5A" w:rsidP="00674BDF">
            <w:pPr>
              <w:spacing w:line="480" w:lineRule="auto"/>
              <w:jc w:val="center"/>
              <w:rPr>
                <w:bCs/>
                <w:i/>
                <w:color w:val="000000"/>
              </w:rPr>
            </w:pPr>
            <w:r w:rsidRPr="00862FFD">
              <w:rPr>
                <w:bCs/>
                <w:i/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35463" w14:textId="77777777" w:rsidR="00366F5A" w:rsidRPr="00852993" w:rsidRDefault="00366F5A" w:rsidP="00674BDF">
            <w:pPr>
              <w:spacing w:line="480" w:lineRule="auto"/>
              <w:jc w:val="center"/>
              <w:rPr>
                <w:bCs/>
              </w:rPr>
            </w:pPr>
            <w:r w:rsidRPr="00852993">
              <w:rPr>
                <w:bCs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91BFA" w14:textId="77777777" w:rsidR="00366F5A" w:rsidRPr="00852993" w:rsidRDefault="00366F5A" w:rsidP="00674BDF">
            <w:pPr>
              <w:spacing w:line="480" w:lineRule="auto"/>
              <w:jc w:val="center"/>
              <w:rPr>
                <w:bCs/>
              </w:rPr>
            </w:pPr>
            <w:r w:rsidRPr="00852993">
              <w:rPr>
                <w:bCs/>
              </w:rPr>
              <w:t>RDS%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320A3" w14:textId="77777777" w:rsidR="00366F5A" w:rsidRPr="00852993" w:rsidRDefault="00366F5A" w:rsidP="00674BDF">
            <w:pPr>
              <w:spacing w:line="480" w:lineRule="auto"/>
              <w:jc w:val="center"/>
              <w:rPr>
                <w:bCs/>
              </w:rPr>
            </w:pPr>
            <w:r w:rsidRPr="00852993">
              <w:rPr>
                <w:bCs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7C662" w14:textId="77777777" w:rsidR="00366F5A" w:rsidRPr="00862FFD" w:rsidRDefault="00366F5A" w:rsidP="00674BDF">
            <w:pPr>
              <w:spacing w:line="480" w:lineRule="auto"/>
              <w:jc w:val="center"/>
              <w:rPr>
                <w:bCs/>
                <w:i/>
                <w:color w:val="000000"/>
              </w:rPr>
            </w:pPr>
            <w:r w:rsidRPr="00862FFD">
              <w:rPr>
                <w:bCs/>
                <w:i/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28E25" w14:textId="77777777" w:rsidR="00366F5A" w:rsidRPr="00852993" w:rsidRDefault="00366F5A" w:rsidP="00674BDF">
            <w:pPr>
              <w:spacing w:line="480" w:lineRule="auto"/>
              <w:jc w:val="center"/>
              <w:rPr>
                <w:bCs/>
              </w:rPr>
            </w:pPr>
            <w:r w:rsidRPr="00852993">
              <w:rPr>
                <w:bCs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3F489" w14:textId="77777777" w:rsidR="00366F5A" w:rsidRPr="00852993" w:rsidRDefault="00366F5A" w:rsidP="00674BDF">
            <w:pPr>
              <w:spacing w:line="480" w:lineRule="auto"/>
              <w:jc w:val="center"/>
              <w:rPr>
                <w:bCs/>
              </w:rPr>
            </w:pPr>
            <w:r w:rsidRPr="00852993">
              <w:rPr>
                <w:bCs/>
              </w:rPr>
              <w:t>RDS%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91678" w14:textId="77777777" w:rsidR="00366F5A" w:rsidRPr="00852993" w:rsidRDefault="00366F5A" w:rsidP="00674BDF">
            <w:pPr>
              <w:spacing w:line="480" w:lineRule="auto"/>
              <w:jc w:val="center"/>
              <w:rPr>
                <w:bCs/>
              </w:rPr>
            </w:pPr>
            <w:r w:rsidRPr="00852993">
              <w:rPr>
                <w:bCs/>
              </w:rPr>
              <w:t>95% CI</w:t>
            </w:r>
          </w:p>
        </w:tc>
      </w:tr>
      <w:tr w:rsidR="00366F5A" w:rsidRPr="00EC1351" w14:paraId="02331BBE" w14:textId="77777777" w:rsidTr="00366F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531C2" w14:textId="05845A39" w:rsidR="00366F5A" w:rsidRPr="003F363B" w:rsidRDefault="00C43C7E" w:rsidP="00674BDF">
            <w:pPr>
              <w:spacing w:line="480" w:lineRule="auto"/>
              <w:rPr>
                <w:bCs/>
                <w:color w:val="000000"/>
              </w:rPr>
            </w:pPr>
            <w:r w:rsidRPr="003F363B">
              <w:rPr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B56C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0D3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5828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44.0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D7A4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38.6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71A3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69DC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E920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400D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56.0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FAE1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6081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61.4</w:t>
            </w:r>
          </w:p>
        </w:tc>
      </w:tr>
      <w:tr w:rsidR="00366F5A" w:rsidRPr="00EC1351" w14:paraId="2925FB93" w14:textId="77777777" w:rsidTr="00366F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C0A8E" w14:textId="6CA39FF9" w:rsidR="00366F5A" w:rsidRPr="008751D1" w:rsidRDefault="00366F5A" w:rsidP="00674BDF">
            <w:pPr>
              <w:spacing w:line="480" w:lineRule="auto"/>
              <w:rPr>
                <w:b/>
                <w:bCs/>
                <w:color w:val="000000"/>
              </w:rPr>
            </w:pPr>
            <w:r w:rsidRPr="003F363B">
              <w:rPr>
                <w:bCs/>
                <w:color w:val="000000"/>
              </w:rPr>
              <w:t>Identity</w:t>
            </w:r>
            <w:r w:rsidR="00B32922" w:rsidRPr="003F363B">
              <w:rPr>
                <w:color w:val="000000"/>
              </w:rPr>
              <w:sym w:font="Symbol" w:char="F0B1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F52E" w14:textId="77777777" w:rsidR="00366F5A" w:rsidRPr="00EC1351" w:rsidRDefault="00366F5A" w:rsidP="00674BDF">
            <w:pPr>
              <w:spacing w:line="480" w:lineRule="auto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BF67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9628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37CE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80F4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BD12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50BA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CCB5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0D20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6881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</w:tr>
      <w:tr w:rsidR="00366F5A" w:rsidRPr="00EC1351" w14:paraId="39D8D452" w14:textId="77777777" w:rsidTr="00366F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100A8" w14:textId="77777777" w:rsidR="00366F5A" w:rsidRPr="00EC1351" w:rsidRDefault="00366F5A" w:rsidP="008751D1">
            <w:pPr>
              <w:spacing w:line="480" w:lineRule="auto"/>
              <w:ind w:firstLine="252"/>
              <w:rPr>
                <w:color w:val="000000"/>
              </w:rPr>
            </w:pPr>
            <w:r w:rsidRPr="00EC1351">
              <w:rPr>
                <w:color w:val="000000"/>
              </w:rPr>
              <w:t>Gay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0718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0A4B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D2A3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45.3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8691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39.8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29DD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DE2D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247D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9578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F010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7CFD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60.2</w:t>
            </w:r>
          </w:p>
        </w:tc>
      </w:tr>
      <w:tr w:rsidR="00366F5A" w:rsidRPr="00EC1351" w14:paraId="3021F332" w14:textId="77777777" w:rsidTr="00366F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2288" w14:textId="77777777" w:rsidR="00366F5A" w:rsidRPr="00EC1351" w:rsidRDefault="00366F5A" w:rsidP="008751D1">
            <w:pPr>
              <w:spacing w:line="480" w:lineRule="auto"/>
              <w:ind w:firstLine="252"/>
              <w:rPr>
                <w:color w:val="000000"/>
              </w:rPr>
            </w:pPr>
            <w:r w:rsidRPr="00EC1351">
              <w:rPr>
                <w:color w:val="000000"/>
              </w:rPr>
              <w:t>Bisexual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A5F4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66B8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35.2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7BF6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3B0C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1B6C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C379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A624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64.8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7ADB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2436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00CF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83.2</w:t>
            </w:r>
          </w:p>
        </w:tc>
      </w:tr>
      <w:tr w:rsidR="00366F5A" w:rsidRPr="00EC1351" w14:paraId="7466C24C" w14:textId="77777777" w:rsidTr="00366F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B9185" w14:textId="77777777" w:rsidR="00366F5A" w:rsidRPr="008751D1" w:rsidRDefault="00366F5A" w:rsidP="00674BDF">
            <w:pPr>
              <w:spacing w:line="480" w:lineRule="auto"/>
              <w:rPr>
                <w:b/>
                <w:bCs/>
                <w:color w:val="000000"/>
              </w:rPr>
            </w:pPr>
            <w:r w:rsidRPr="003F363B">
              <w:rPr>
                <w:bCs/>
                <w:color w:val="000000"/>
              </w:rPr>
              <w:t>Attraction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5251" w14:textId="77777777" w:rsidR="00366F5A" w:rsidRPr="00EC1351" w:rsidRDefault="00366F5A" w:rsidP="00674BDF">
            <w:pPr>
              <w:spacing w:line="480" w:lineRule="auto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AD58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BA1F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171A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E53D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0FC2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519B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6FC5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E7B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0B14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</w:tr>
      <w:tr w:rsidR="00366F5A" w:rsidRPr="00EC1351" w14:paraId="3D318B2B" w14:textId="77777777" w:rsidTr="00366F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DB1E" w14:textId="77777777" w:rsidR="00366F5A" w:rsidRPr="00EC1351" w:rsidRDefault="00366F5A" w:rsidP="008751D1">
            <w:pPr>
              <w:spacing w:line="480" w:lineRule="auto"/>
              <w:ind w:firstLine="286"/>
              <w:rPr>
                <w:color w:val="000000"/>
              </w:rPr>
            </w:pPr>
            <w:r w:rsidRPr="00EC1351">
              <w:rPr>
                <w:color w:val="000000"/>
              </w:rPr>
              <w:t>Men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CAF8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40FF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3342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47.0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1C6F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7D4F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EEE7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FE65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2C0C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53.0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D3E0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1A9B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59.2</w:t>
            </w:r>
          </w:p>
        </w:tc>
      </w:tr>
      <w:tr w:rsidR="00366F5A" w:rsidRPr="00EC1351" w14:paraId="0D1C5546" w14:textId="77777777" w:rsidTr="00366F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C8D0" w14:textId="506D60B9" w:rsidR="00366F5A" w:rsidRPr="00EC1351" w:rsidRDefault="00A33A36" w:rsidP="008751D1">
            <w:pPr>
              <w:spacing w:line="480" w:lineRule="auto"/>
              <w:ind w:firstLine="286"/>
              <w:rPr>
                <w:color w:val="000000"/>
              </w:rPr>
            </w:pPr>
            <w:r>
              <w:rPr>
                <w:color w:val="000000"/>
              </w:rPr>
              <w:t>Men and 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A563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87ED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7B72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9111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28.3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0C0D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FE27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F72F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97D2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33A6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3169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71.7</w:t>
            </w:r>
          </w:p>
        </w:tc>
      </w:tr>
      <w:tr w:rsidR="00366F5A" w:rsidRPr="00EC1351" w14:paraId="79780F66" w14:textId="77777777" w:rsidTr="00366F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026E3" w14:textId="3FDEE2B1" w:rsidR="00366F5A" w:rsidRPr="008751D1" w:rsidRDefault="003A61D4" w:rsidP="00674BDF">
            <w:pPr>
              <w:spacing w:line="480" w:lineRule="auto"/>
              <w:rPr>
                <w:b/>
                <w:bCs/>
                <w:color w:val="000000"/>
              </w:rPr>
            </w:pPr>
            <w:r w:rsidRPr="003F363B">
              <w:rPr>
                <w:bCs/>
                <w:color w:val="000000"/>
              </w:rPr>
              <w:t>Behavior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9EBF" w14:textId="77777777" w:rsidR="00366F5A" w:rsidRPr="00EC1351" w:rsidRDefault="00366F5A" w:rsidP="00674BDF">
            <w:pPr>
              <w:spacing w:line="480" w:lineRule="auto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B56A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8DE9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D46C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1697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7E9D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2C1F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67FE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6719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EC2C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</w:tr>
      <w:tr w:rsidR="00366F5A" w:rsidRPr="00EC1351" w14:paraId="7E01D4D3" w14:textId="77777777" w:rsidTr="00366F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BDD5" w14:textId="77777777" w:rsidR="00366F5A" w:rsidRPr="00EC1351" w:rsidRDefault="00366F5A" w:rsidP="008751D1">
            <w:pPr>
              <w:spacing w:line="480" w:lineRule="auto"/>
              <w:ind w:firstLine="260"/>
              <w:rPr>
                <w:color w:val="000000"/>
              </w:rPr>
            </w:pPr>
            <w:r w:rsidRPr="00EC1351">
              <w:rPr>
                <w:color w:val="000000"/>
              </w:rPr>
              <w:t>Men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5EEE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C667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0D27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45.3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3954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39.8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3324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CE03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0C27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FD73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F0FC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9C9C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60.2</w:t>
            </w:r>
          </w:p>
        </w:tc>
      </w:tr>
      <w:tr w:rsidR="00366F5A" w:rsidRPr="00EC1351" w14:paraId="06F15A03" w14:textId="77777777" w:rsidTr="00366F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E9FC9" w14:textId="0F247140" w:rsidR="00366F5A" w:rsidRPr="00EC1351" w:rsidRDefault="00A33A36" w:rsidP="008751D1">
            <w:pPr>
              <w:spacing w:line="480" w:lineRule="auto"/>
              <w:ind w:firstLine="260"/>
              <w:rPr>
                <w:color w:val="000000"/>
              </w:rPr>
            </w:pPr>
            <w:r>
              <w:rPr>
                <w:color w:val="000000"/>
              </w:rPr>
              <w:lastRenderedPageBreak/>
              <w:t>Men and 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4A2B0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1E40C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67D58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382C5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24.7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8553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39F1C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BECD5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9844A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4EDB6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04F5C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75.3</w:t>
            </w:r>
          </w:p>
        </w:tc>
      </w:tr>
    </w:tbl>
    <w:p w14:paraId="11536783" w14:textId="7BFC5565" w:rsidR="00D30E76" w:rsidRDefault="00B32922" w:rsidP="006873C8">
      <w:pPr>
        <w:rPr>
          <w:color w:val="000000"/>
        </w:rPr>
      </w:pPr>
      <w:r w:rsidRPr="00EC1351">
        <w:rPr>
          <w:color w:val="000000"/>
        </w:rPr>
        <w:sym w:font="Symbol" w:char="F0B1"/>
      </w:r>
      <w:r w:rsidRPr="00EC1351">
        <w:rPr>
          <w:color w:val="000000"/>
        </w:rPr>
        <w:t xml:space="preserve">27 Queer and </w:t>
      </w:r>
      <w:r w:rsidR="009F24B6">
        <w:rPr>
          <w:color w:val="000000"/>
        </w:rPr>
        <w:t xml:space="preserve">19 </w:t>
      </w:r>
      <w:r w:rsidRPr="00EC1351">
        <w:rPr>
          <w:color w:val="000000"/>
        </w:rPr>
        <w:t>Other excluded</w:t>
      </w:r>
    </w:p>
    <w:p w14:paraId="3A238BDD" w14:textId="77777777" w:rsidR="00005B63" w:rsidRDefault="00005B63" w:rsidP="00005B63">
      <w:pPr>
        <w:rPr>
          <w:lang w:val="en-CA"/>
        </w:rPr>
      </w:pPr>
      <w:r>
        <w:rPr>
          <w:lang w:val="en-CA"/>
        </w:rPr>
        <w:t>RDS: Respondent driven sampling</w:t>
      </w:r>
    </w:p>
    <w:p w14:paraId="5DB3146D" w14:textId="00B97734" w:rsidR="00005B63" w:rsidRPr="00EC1351" w:rsidRDefault="00005B63" w:rsidP="00005B63">
      <w:pPr>
        <w:rPr>
          <w:color w:val="000000"/>
        </w:rPr>
      </w:pPr>
      <w:r>
        <w:rPr>
          <w:lang w:val="en-CA"/>
        </w:rPr>
        <w:t>CI: Confidence interval</w:t>
      </w:r>
    </w:p>
    <w:p w14:paraId="2E6838C8" w14:textId="77777777" w:rsidR="00B32922" w:rsidRPr="00EC1351" w:rsidRDefault="00B32922" w:rsidP="006873C8">
      <w:pPr>
        <w:rPr>
          <w:lang w:val="en-CA"/>
        </w:rPr>
      </w:pPr>
    </w:p>
    <w:p w14:paraId="47553078" w14:textId="6974F44F" w:rsidR="00D30E76" w:rsidRPr="00D22504" w:rsidRDefault="00D30E76" w:rsidP="00B817AD">
      <w:pPr>
        <w:outlineLvl w:val="0"/>
        <w:rPr>
          <w:b/>
          <w:lang w:val="en-CA"/>
        </w:rPr>
      </w:pPr>
      <w:r w:rsidRPr="00D22504">
        <w:rPr>
          <w:b/>
          <w:lang w:val="en-CA"/>
        </w:rPr>
        <w:t xml:space="preserve">Table 2b. </w:t>
      </w:r>
      <w:r w:rsidRPr="001C4C1E">
        <w:rPr>
          <w:i/>
          <w:lang w:val="en-CA"/>
        </w:rPr>
        <w:t>Sexual orientation by HADS depression scores</w:t>
      </w:r>
      <w:r w:rsidR="00FD1261" w:rsidRPr="001C4C1E">
        <w:rPr>
          <w:i/>
          <w:lang w:val="en-CA"/>
        </w:rPr>
        <w:t xml:space="preserve"> (n=765)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9"/>
        <w:gridCol w:w="576"/>
        <w:gridCol w:w="636"/>
        <w:gridCol w:w="883"/>
        <w:gridCol w:w="636"/>
        <w:gridCol w:w="636"/>
        <w:gridCol w:w="576"/>
        <w:gridCol w:w="636"/>
        <w:gridCol w:w="883"/>
        <w:gridCol w:w="636"/>
        <w:gridCol w:w="636"/>
      </w:tblGrid>
      <w:tr w:rsidR="00366F5A" w:rsidRPr="00EC1351" w14:paraId="0B7EB855" w14:textId="77777777" w:rsidTr="00652ED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F90E3" w14:textId="77777777" w:rsidR="00366F5A" w:rsidRPr="00EC1351" w:rsidRDefault="00366F5A" w:rsidP="00674BDF">
            <w:pPr>
              <w:spacing w:line="480" w:lineRule="auto"/>
              <w:rPr>
                <w:b/>
                <w:bCs/>
                <w:color w:val="000000"/>
              </w:rPr>
            </w:pPr>
            <w:r w:rsidRPr="00EC135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6248F" w14:textId="56DEC554" w:rsidR="00366F5A" w:rsidRPr="00CC4A5F" w:rsidRDefault="006D2533" w:rsidP="00D0797C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No</w:t>
            </w:r>
            <w:r w:rsidR="00D0797C">
              <w:rPr>
                <w:bCs/>
              </w:rPr>
              <w:t>n-cases</w:t>
            </w:r>
            <w:r>
              <w:rPr>
                <w:bCs/>
              </w:rPr>
              <w:t xml:space="preserve"> (</w:t>
            </w:r>
            <w:r w:rsidR="00366F5A" w:rsidRPr="00CC4A5F">
              <w:rPr>
                <w:bCs/>
              </w:rPr>
              <w:t>&lt; 8</w:t>
            </w:r>
            <w:r>
              <w:rPr>
                <w:bCs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588D3" w14:textId="3B450746" w:rsidR="00366F5A" w:rsidRPr="00CC4A5F" w:rsidRDefault="006D2533" w:rsidP="00674BDF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Depression</w:t>
            </w:r>
            <w:r w:rsidR="00D0797C">
              <w:rPr>
                <w:bCs/>
              </w:rPr>
              <w:t xml:space="preserve"> cases</w:t>
            </w:r>
            <w:r>
              <w:rPr>
                <w:bCs/>
              </w:rPr>
              <w:t xml:space="preserve"> (</w:t>
            </w:r>
            <w:r w:rsidR="00366F5A" w:rsidRPr="00CC4A5F">
              <w:rPr>
                <w:bCs/>
              </w:rPr>
              <w:t>≥ 8</w:t>
            </w:r>
            <w:r>
              <w:rPr>
                <w:bCs/>
              </w:rPr>
              <w:t>)</w:t>
            </w:r>
          </w:p>
        </w:tc>
      </w:tr>
      <w:tr w:rsidR="00652ED9" w:rsidRPr="00EC1351" w14:paraId="4C129D3A" w14:textId="77777777" w:rsidTr="00652E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258C4" w14:textId="77777777" w:rsidR="00366F5A" w:rsidRPr="00EC1351" w:rsidRDefault="00366F5A" w:rsidP="00674BD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42069" w14:textId="77777777" w:rsidR="00366F5A" w:rsidRPr="00862FFD" w:rsidRDefault="00366F5A" w:rsidP="00674BDF">
            <w:pPr>
              <w:spacing w:line="480" w:lineRule="auto"/>
              <w:jc w:val="right"/>
              <w:rPr>
                <w:bCs/>
                <w:i/>
                <w:color w:val="000000"/>
              </w:rPr>
            </w:pPr>
            <w:r w:rsidRPr="00862FFD">
              <w:rPr>
                <w:bCs/>
                <w:i/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C2161" w14:textId="77777777" w:rsidR="00366F5A" w:rsidRPr="00CC4A5F" w:rsidRDefault="00366F5A" w:rsidP="00674BDF">
            <w:pPr>
              <w:spacing w:line="480" w:lineRule="auto"/>
              <w:jc w:val="center"/>
              <w:rPr>
                <w:bCs/>
              </w:rPr>
            </w:pPr>
            <w:r w:rsidRPr="00CC4A5F">
              <w:rPr>
                <w:bCs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959C8" w14:textId="77777777" w:rsidR="00366F5A" w:rsidRPr="00CC4A5F" w:rsidRDefault="00366F5A" w:rsidP="00674BDF">
            <w:pPr>
              <w:spacing w:line="480" w:lineRule="auto"/>
              <w:jc w:val="center"/>
              <w:rPr>
                <w:bCs/>
              </w:rPr>
            </w:pPr>
            <w:r w:rsidRPr="00CC4A5F">
              <w:rPr>
                <w:bCs/>
              </w:rPr>
              <w:t>RDS%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63BCD" w14:textId="77777777" w:rsidR="00366F5A" w:rsidRPr="00CC4A5F" w:rsidRDefault="00366F5A" w:rsidP="00674BDF">
            <w:pPr>
              <w:spacing w:line="480" w:lineRule="auto"/>
              <w:jc w:val="center"/>
              <w:rPr>
                <w:bCs/>
              </w:rPr>
            </w:pPr>
            <w:r w:rsidRPr="00CC4A5F">
              <w:rPr>
                <w:bCs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101C3" w14:textId="77777777" w:rsidR="00366F5A" w:rsidRPr="00862FFD" w:rsidRDefault="00366F5A" w:rsidP="00674BDF">
            <w:pPr>
              <w:spacing w:line="480" w:lineRule="auto"/>
              <w:jc w:val="right"/>
              <w:rPr>
                <w:bCs/>
                <w:i/>
                <w:color w:val="000000"/>
              </w:rPr>
            </w:pPr>
            <w:r w:rsidRPr="00862FFD">
              <w:rPr>
                <w:bCs/>
                <w:i/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D6AF6" w14:textId="77777777" w:rsidR="00366F5A" w:rsidRPr="00CC4A5F" w:rsidRDefault="00366F5A" w:rsidP="00674BDF">
            <w:pPr>
              <w:spacing w:line="480" w:lineRule="auto"/>
              <w:jc w:val="center"/>
              <w:rPr>
                <w:bCs/>
              </w:rPr>
            </w:pPr>
            <w:r w:rsidRPr="00CC4A5F">
              <w:rPr>
                <w:bCs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D2009" w14:textId="77777777" w:rsidR="00366F5A" w:rsidRPr="00CC4A5F" w:rsidRDefault="00366F5A" w:rsidP="00674BDF">
            <w:pPr>
              <w:spacing w:line="480" w:lineRule="auto"/>
              <w:jc w:val="center"/>
              <w:rPr>
                <w:bCs/>
              </w:rPr>
            </w:pPr>
            <w:r w:rsidRPr="00CC4A5F">
              <w:rPr>
                <w:bCs/>
              </w:rPr>
              <w:t>RDS%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2A362" w14:textId="77777777" w:rsidR="00366F5A" w:rsidRPr="00CC4A5F" w:rsidRDefault="00366F5A" w:rsidP="00674BDF">
            <w:pPr>
              <w:spacing w:line="480" w:lineRule="auto"/>
              <w:jc w:val="center"/>
              <w:rPr>
                <w:bCs/>
              </w:rPr>
            </w:pPr>
            <w:r w:rsidRPr="00CC4A5F">
              <w:rPr>
                <w:bCs/>
              </w:rPr>
              <w:t>95% CI</w:t>
            </w:r>
          </w:p>
        </w:tc>
      </w:tr>
      <w:tr w:rsidR="00652ED9" w:rsidRPr="00EC1351" w14:paraId="093A3F37" w14:textId="77777777" w:rsidTr="00652E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68903" w14:textId="4C7E342C" w:rsidR="00366F5A" w:rsidRPr="003F363B" w:rsidRDefault="00C43C7E" w:rsidP="00674BDF">
            <w:pPr>
              <w:spacing w:line="480" w:lineRule="auto"/>
              <w:rPr>
                <w:bCs/>
                <w:color w:val="000000"/>
              </w:rPr>
            </w:pPr>
            <w:r w:rsidRPr="003F363B">
              <w:rPr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E619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14C9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682A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82.6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0AEB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B65C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AADB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7FAE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143E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8D28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E9F5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22.5</w:t>
            </w:r>
          </w:p>
        </w:tc>
      </w:tr>
      <w:tr w:rsidR="00652ED9" w:rsidRPr="00EC1351" w14:paraId="25A82A51" w14:textId="77777777" w:rsidTr="00652E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7CC71" w14:textId="2EC34529" w:rsidR="00366F5A" w:rsidRPr="00EC1351" w:rsidRDefault="00366F5A" w:rsidP="00674BDF">
            <w:pPr>
              <w:spacing w:line="480" w:lineRule="auto"/>
              <w:rPr>
                <w:bCs/>
                <w:color w:val="000000"/>
              </w:rPr>
            </w:pPr>
            <w:r w:rsidRPr="003F363B">
              <w:rPr>
                <w:bCs/>
                <w:color w:val="000000"/>
              </w:rPr>
              <w:t>Identity</w:t>
            </w:r>
            <w:r w:rsidR="00B32922" w:rsidRPr="00EC1351">
              <w:rPr>
                <w:color w:val="000000"/>
              </w:rPr>
              <w:sym w:font="Symbol" w:char="F0B1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CC03" w14:textId="77777777" w:rsidR="00366F5A" w:rsidRPr="00EC1351" w:rsidRDefault="00366F5A" w:rsidP="00674BDF">
            <w:pPr>
              <w:spacing w:line="480" w:lineRule="auto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7B71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4431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D0BC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9A55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8725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6F3A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0DA4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12EF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4A2B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</w:tr>
      <w:tr w:rsidR="00652ED9" w:rsidRPr="00EC1351" w14:paraId="71428983" w14:textId="77777777" w:rsidTr="00652E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C1EF9" w14:textId="77777777" w:rsidR="00366F5A" w:rsidRPr="00EC1351" w:rsidRDefault="00366F5A" w:rsidP="008751D1">
            <w:pPr>
              <w:spacing w:line="480" w:lineRule="auto"/>
              <w:ind w:left="169" w:firstLine="91"/>
              <w:rPr>
                <w:color w:val="000000"/>
              </w:rPr>
            </w:pPr>
            <w:r w:rsidRPr="00EC1351">
              <w:rPr>
                <w:color w:val="000000"/>
              </w:rPr>
              <w:t>Gay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FD1E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2663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9089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84.2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B941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B23A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3D14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F239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32E5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7241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F325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19.9</w:t>
            </w:r>
          </w:p>
        </w:tc>
      </w:tr>
      <w:tr w:rsidR="00652ED9" w:rsidRPr="00EC1351" w14:paraId="00BC2470" w14:textId="77777777" w:rsidTr="00652E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253D6" w14:textId="77777777" w:rsidR="00366F5A" w:rsidRPr="00EC1351" w:rsidRDefault="00366F5A" w:rsidP="008751D1">
            <w:pPr>
              <w:spacing w:line="480" w:lineRule="auto"/>
              <w:ind w:left="169" w:firstLine="91"/>
              <w:rPr>
                <w:color w:val="000000"/>
              </w:rPr>
            </w:pPr>
            <w:r w:rsidRPr="00EC1351">
              <w:rPr>
                <w:color w:val="000000"/>
              </w:rPr>
              <w:t>Bisexual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0C4A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3AAB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71.8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660C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AF7A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C259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A0CE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DBD2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28.2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F116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C51E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C780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49.9</w:t>
            </w:r>
          </w:p>
        </w:tc>
      </w:tr>
      <w:tr w:rsidR="00652ED9" w:rsidRPr="00EC1351" w14:paraId="0CDC2A9C" w14:textId="77777777" w:rsidTr="00652E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E9EBD" w14:textId="77777777" w:rsidR="00366F5A" w:rsidRPr="008751D1" w:rsidRDefault="00366F5A" w:rsidP="00674BDF">
            <w:pPr>
              <w:spacing w:line="480" w:lineRule="auto"/>
              <w:rPr>
                <w:b/>
                <w:bCs/>
                <w:color w:val="000000"/>
              </w:rPr>
            </w:pPr>
            <w:r w:rsidRPr="003F363B">
              <w:rPr>
                <w:bCs/>
                <w:color w:val="000000"/>
              </w:rPr>
              <w:t>Attraction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83C7" w14:textId="77777777" w:rsidR="00366F5A" w:rsidRPr="00EC1351" w:rsidRDefault="00366F5A" w:rsidP="00674BDF">
            <w:pPr>
              <w:spacing w:line="480" w:lineRule="auto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3F16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0802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067A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3051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5D87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F688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AE3B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B359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33B9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</w:tr>
      <w:tr w:rsidR="00652ED9" w:rsidRPr="00EC1351" w14:paraId="60D0FBF5" w14:textId="77777777" w:rsidTr="00652E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373" w14:textId="77777777" w:rsidR="00366F5A" w:rsidRPr="00EC1351" w:rsidRDefault="00366F5A" w:rsidP="008751D1">
            <w:pPr>
              <w:spacing w:line="480" w:lineRule="auto"/>
              <w:ind w:left="252" w:firstLine="8"/>
              <w:rPr>
                <w:color w:val="000000"/>
              </w:rPr>
            </w:pPr>
            <w:r w:rsidRPr="00EC1351">
              <w:rPr>
                <w:color w:val="000000"/>
              </w:rPr>
              <w:t>Men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4622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5ACB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12C9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84.4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785F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95B4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CEE9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CD82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E0A5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13C7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7A42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20.0</w:t>
            </w:r>
          </w:p>
        </w:tc>
      </w:tr>
      <w:tr w:rsidR="00652ED9" w:rsidRPr="00EC1351" w14:paraId="261C4056" w14:textId="77777777" w:rsidTr="00652E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D8DE" w14:textId="04196824" w:rsidR="00366F5A" w:rsidRPr="00EC1351" w:rsidRDefault="00A33A36" w:rsidP="008751D1">
            <w:pPr>
              <w:spacing w:line="480" w:lineRule="auto"/>
              <w:ind w:left="252" w:firstLine="8"/>
              <w:rPr>
                <w:color w:val="000000"/>
              </w:rPr>
            </w:pPr>
            <w:r>
              <w:rPr>
                <w:color w:val="000000"/>
              </w:rPr>
              <w:t>Men and 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A7F1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CCF2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5E9E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B33B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C47C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B205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5603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9604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0AFD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8F8F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30.4</w:t>
            </w:r>
          </w:p>
        </w:tc>
      </w:tr>
      <w:tr w:rsidR="00652ED9" w:rsidRPr="00EC1351" w14:paraId="17A394BA" w14:textId="77777777" w:rsidTr="00652E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CDF7D" w14:textId="21BE85A6" w:rsidR="00366F5A" w:rsidRPr="008751D1" w:rsidRDefault="003A61D4" w:rsidP="00674BDF">
            <w:pPr>
              <w:spacing w:line="480" w:lineRule="auto"/>
              <w:rPr>
                <w:b/>
                <w:bCs/>
                <w:color w:val="000000"/>
              </w:rPr>
            </w:pPr>
            <w:r w:rsidRPr="003F363B">
              <w:rPr>
                <w:bCs/>
                <w:color w:val="000000"/>
              </w:rPr>
              <w:t>Behavior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7362" w14:textId="77777777" w:rsidR="00366F5A" w:rsidRPr="00EC1351" w:rsidRDefault="00366F5A" w:rsidP="00674BDF">
            <w:pPr>
              <w:spacing w:line="480" w:lineRule="auto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608E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D4EB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1118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8867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CA96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9702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229B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9050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3E94" w14:textId="77777777" w:rsidR="00366F5A" w:rsidRPr="00EC1351" w:rsidRDefault="00366F5A" w:rsidP="00674BDF">
            <w:pPr>
              <w:spacing w:line="480" w:lineRule="auto"/>
              <w:jc w:val="right"/>
            </w:pPr>
          </w:p>
        </w:tc>
      </w:tr>
      <w:tr w:rsidR="00652ED9" w:rsidRPr="00EC1351" w14:paraId="02500912" w14:textId="77777777" w:rsidTr="00652E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58B1" w14:textId="77777777" w:rsidR="00366F5A" w:rsidRPr="00EC1351" w:rsidRDefault="00366F5A" w:rsidP="008751D1">
            <w:pPr>
              <w:spacing w:line="480" w:lineRule="auto"/>
              <w:ind w:firstLine="260"/>
              <w:rPr>
                <w:color w:val="000000"/>
              </w:rPr>
            </w:pPr>
            <w:r w:rsidRPr="00EC1351">
              <w:rPr>
                <w:color w:val="000000"/>
              </w:rPr>
              <w:t>Men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7630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DAE4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334C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83.3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B59D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1B0F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CBD1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E1B3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6285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87FF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08E6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21.0</w:t>
            </w:r>
          </w:p>
        </w:tc>
      </w:tr>
      <w:tr w:rsidR="00652ED9" w:rsidRPr="00EC1351" w14:paraId="12F65DD6" w14:textId="77777777" w:rsidTr="00652E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89CC8" w14:textId="5DBCCFEB" w:rsidR="00366F5A" w:rsidRPr="00EC1351" w:rsidRDefault="00A33A36" w:rsidP="008751D1">
            <w:pPr>
              <w:spacing w:line="480" w:lineRule="auto"/>
              <w:ind w:firstLine="260"/>
              <w:rPr>
                <w:color w:val="000000"/>
              </w:rPr>
            </w:pPr>
            <w:r>
              <w:rPr>
                <w:color w:val="000000"/>
              </w:rPr>
              <w:t>Men and 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379B2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07A14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79.3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837FF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8E63D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67.3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7944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91.4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A0E00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81035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20.7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2A4FB" w14:textId="77777777" w:rsidR="00366F5A" w:rsidRPr="00EC1351" w:rsidRDefault="00366F5A" w:rsidP="00674BDF">
            <w:pPr>
              <w:spacing w:line="480" w:lineRule="auto"/>
              <w:jc w:val="right"/>
              <w:rPr>
                <w:bCs/>
              </w:rPr>
            </w:pPr>
            <w:r w:rsidRPr="00EC1351">
              <w:rPr>
                <w:bCs/>
              </w:rPr>
              <w:t>20.6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02852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7A448" w14:textId="77777777" w:rsidR="00366F5A" w:rsidRPr="00EC1351" w:rsidRDefault="00366F5A" w:rsidP="00674BDF">
            <w:pPr>
              <w:spacing w:line="480" w:lineRule="auto"/>
              <w:jc w:val="right"/>
            </w:pPr>
            <w:r w:rsidRPr="00EC1351">
              <w:t>32.7</w:t>
            </w:r>
          </w:p>
        </w:tc>
      </w:tr>
    </w:tbl>
    <w:p w14:paraId="48926DB9" w14:textId="1A64F6A2" w:rsidR="002B213E" w:rsidRDefault="00B32922" w:rsidP="006873C8">
      <w:pPr>
        <w:rPr>
          <w:color w:val="000000"/>
        </w:rPr>
      </w:pPr>
      <w:r w:rsidRPr="00EC1351">
        <w:rPr>
          <w:color w:val="000000"/>
        </w:rPr>
        <w:sym w:font="Symbol" w:char="F0B1"/>
      </w:r>
      <w:r w:rsidRPr="00EC1351">
        <w:rPr>
          <w:color w:val="000000"/>
        </w:rPr>
        <w:t xml:space="preserve">27 Queer and </w:t>
      </w:r>
      <w:r w:rsidR="009F24B6">
        <w:rPr>
          <w:color w:val="000000"/>
        </w:rPr>
        <w:t xml:space="preserve">19 </w:t>
      </w:r>
      <w:r w:rsidRPr="00EC1351">
        <w:rPr>
          <w:color w:val="000000"/>
        </w:rPr>
        <w:t>Other excluded</w:t>
      </w:r>
    </w:p>
    <w:p w14:paraId="714D1D44" w14:textId="77777777" w:rsidR="00C9745C" w:rsidRDefault="00C9745C" w:rsidP="00C9745C">
      <w:pPr>
        <w:rPr>
          <w:lang w:val="en-CA"/>
        </w:rPr>
      </w:pPr>
      <w:r>
        <w:rPr>
          <w:lang w:val="en-CA"/>
        </w:rPr>
        <w:t>RDS: Respondent driven sampling</w:t>
      </w:r>
    </w:p>
    <w:p w14:paraId="3B5970E7" w14:textId="3668A141" w:rsidR="00C9745C" w:rsidRPr="00EC1351" w:rsidRDefault="00C9745C" w:rsidP="00C9745C">
      <w:pPr>
        <w:rPr>
          <w:lang w:val="en-CA"/>
        </w:rPr>
      </w:pPr>
      <w:r>
        <w:rPr>
          <w:lang w:val="en-CA"/>
        </w:rPr>
        <w:lastRenderedPageBreak/>
        <w:t>CI: Confidence interval</w:t>
      </w:r>
    </w:p>
    <w:p w14:paraId="34883377" w14:textId="77777777" w:rsidR="002B213E" w:rsidRPr="00EC1351" w:rsidRDefault="002B213E" w:rsidP="006873C8">
      <w:pPr>
        <w:rPr>
          <w:lang w:val="en-CA"/>
        </w:rPr>
      </w:pPr>
    </w:p>
    <w:p w14:paraId="1A4E8711" w14:textId="3B15AD12" w:rsidR="00A93EB6" w:rsidRPr="00D22504" w:rsidRDefault="002B213E" w:rsidP="00B817AD">
      <w:pPr>
        <w:outlineLvl w:val="0"/>
        <w:rPr>
          <w:b/>
          <w:lang w:val="en-CA"/>
        </w:rPr>
      </w:pPr>
      <w:r w:rsidRPr="00D22504">
        <w:rPr>
          <w:b/>
          <w:lang w:val="en-CA"/>
        </w:rPr>
        <w:t>Table 3</w:t>
      </w:r>
      <w:r w:rsidR="00A93EB6" w:rsidRPr="00D22504">
        <w:rPr>
          <w:b/>
          <w:lang w:val="en-CA"/>
        </w:rPr>
        <w:t xml:space="preserve">. </w:t>
      </w:r>
      <w:r w:rsidR="00067422" w:rsidRPr="001C4C1E">
        <w:rPr>
          <w:i/>
          <w:lang w:val="en-CA"/>
        </w:rPr>
        <w:t>Correlations of s</w:t>
      </w:r>
      <w:r w:rsidR="00A93EB6" w:rsidRPr="001C4C1E">
        <w:rPr>
          <w:i/>
          <w:lang w:val="en-CA"/>
        </w:rPr>
        <w:t>exual orientation</w:t>
      </w:r>
      <w:r w:rsidR="00067422" w:rsidRPr="001C4C1E">
        <w:rPr>
          <w:i/>
          <w:lang w:val="en-CA"/>
        </w:rPr>
        <w:t xml:space="preserve"> measures, </w:t>
      </w:r>
      <w:r w:rsidR="00A93EB6" w:rsidRPr="001C4C1E">
        <w:rPr>
          <w:i/>
          <w:lang w:val="en-CA"/>
        </w:rPr>
        <w:t>for bisexuality</w:t>
      </w:r>
    </w:p>
    <w:tbl>
      <w:tblPr>
        <w:tblW w:w="7090" w:type="dxa"/>
        <w:tblLook w:val="04A0" w:firstRow="1" w:lastRow="0" w:firstColumn="1" w:lastColumn="0" w:noHBand="0" w:noVBand="1"/>
      </w:tblPr>
      <w:tblGrid>
        <w:gridCol w:w="3600"/>
        <w:gridCol w:w="1745"/>
        <w:gridCol w:w="1745"/>
      </w:tblGrid>
      <w:tr w:rsidR="006D285D" w:rsidRPr="00EC1351" w14:paraId="3FCF9ECC" w14:textId="77777777" w:rsidTr="006D285D">
        <w:trPr>
          <w:trHeight w:val="291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303A" w14:textId="77777777" w:rsidR="006D285D" w:rsidRPr="00EC1351" w:rsidRDefault="006D285D" w:rsidP="00674BDF">
            <w:pPr>
              <w:spacing w:line="480" w:lineRule="auto"/>
              <w:jc w:val="center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E1BBB" w14:textId="77777777" w:rsidR="006D285D" w:rsidRPr="00EC1351" w:rsidRDefault="006D285D" w:rsidP="00674BDF">
            <w:pPr>
              <w:spacing w:line="480" w:lineRule="auto"/>
              <w:jc w:val="center"/>
              <w:rPr>
                <w:color w:val="000000"/>
              </w:rPr>
            </w:pPr>
            <w:r w:rsidRPr="00EC1351">
              <w:rPr>
                <w:color w:val="000000"/>
              </w:rPr>
              <w:t>Identity</w:t>
            </w:r>
            <w:r w:rsidR="00EC50C4" w:rsidRPr="00EC1351">
              <w:rPr>
                <w:color w:val="000000"/>
              </w:rPr>
              <w:sym w:font="Symbol" w:char="F0B1"/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A95BE" w14:textId="77777777" w:rsidR="006D285D" w:rsidRPr="00EC1351" w:rsidRDefault="006D285D" w:rsidP="00674BDF">
            <w:pPr>
              <w:spacing w:line="480" w:lineRule="auto"/>
              <w:jc w:val="center"/>
              <w:rPr>
                <w:color w:val="000000"/>
              </w:rPr>
            </w:pPr>
            <w:r w:rsidRPr="00EC1351">
              <w:rPr>
                <w:color w:val="000000"/>
              </w:rPr>
              <w:t>Attraction</w:t>
            </w:r>
          </w:p>
        </w:tc>
      </w:tr>
      <w:tr w:rsidR="0032406D" w:rsidRPr="00EC1351" w14:paraId="2871DF8F" w14:textId="77777777" w:rsidTr="00E34DF8">
        <w:trPr>
          <w:trHeight w:val="30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BCCDB" w14:textId="5C7A8387" w:rsidR="0032406D" w:rsidRPr="00EC1351" w:rsidRDefault="0032406D" w:rsidP="00674BDF">
            <w:pPr>
              <w:spacing w:line="480" w:lineRule="auto"/>
              <w:rPr>
                <w:color w:val="000000"/>
              </w:rPr>
            </w:pPr>
            <w:r w:rsidRPr="00EC1351">
              <w:rPr>
                <w:color w:val="000000"/>
              </w:rPr>
              <w:t>Attraction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B1BF" w14:textId="2D62F422" w:rsidR="0032406D" w:rsidRPr="00EC1351" w:rsidRDefault="0032406D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0.46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B5AB1A" w14:textId="568BB0C8" w:rsidR="0032406D" w:rsidRPr="00EC1351" w:rsidRDefault="0032406D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</w:tr>
      <w:tr w:rsidR="0032406D" w:rsidRPr="00EC1351" w14:paraId="2C087492" w14:textId="77777777" w:rsidTr="00E34DF8">
        <w:trPr>
          <w:trHeight w:val="291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9A45FE" w14:textId="3D9EE3F5" w:rsidR="0032406D" w:rsidRPr="00EC1351" w:rsidRDefault="0032406D" w:rsidP="00674BDF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Behavior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C0155" w14:textId="654A2B1A" w:rsidR="0032406D" w:rsidRPr="00EC1351" w:rsidRDefault="0032406D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0.58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BEE78" w14:textId="4E58FBF6" w:rsidR="0032406D" w:rsidRPr="00EC1351" w:rsidRDefault="0032406D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0.54</w:t>
            </w:r>
          </w:p>
        </w:tc>
      </w:tr>
    </w:tbl>
    <w:p w14:paraId="3771A24C" w14:textId="2E5670E8" w:rsidR="00662392" w:rsidRPr="00EC1351" w:rsidRDefault="00662392" w:rsidP="00662392">
      <w:pPr>
        <w:rPr>
          <w:color w:val="000000"/>
        </w:rPr>
      </w:pPr>
      <w:r w:rsidRPr="00EC1351">
        <w:rPr>
          <w:color w:val="000000"/>
        </w:rPr>
        <w:sym w:font="Symbol" w:char="F0B1"/>
      </w:r>
      <w:r w:rsidRPr="00EC1351">
        <w:rPr>
          <w:color w:val="000000"/>
        </w:rPr>
        <w:t xml:space="preserve">27 Queer and </w:t>
      </w:r>
      <w:r w:rsidR="009F24B6">
        <w:rPr>
          <w:color w:val="000000"/>
        </w:rPr>
        <w:t xml:space="preserve">19 </w:t>
      </w:r>
      <w:r w:rsidRPr="00EC1351">
        <w:rPr>
          <w:color w:val="000000"/>
        </w:rPr>
        <w:t>Other excluded</w:t>
      </w:r>
    </w:p>
    <w:p w14:paraId="7031AA45" w14:textId="13B6249A" w:rsidR="006D285D" w:rsidRPr="00EC1351" w:rsidRDefault="0042766F" w:rsidP="00662392">
      <w:pPr>
        <w:rPr>
          <w:lang w:val="en-CA"/>
        </w:rPr>
      </w:pPr>
      <w:r w:rsidRPr="00EC1351">
        <w:rPr>
          <w:i/>
          <w:color w:val="000000"/>
        </w:rPr>
        <w:t xml:space="preserve">Note: </w:t>
      </w:r>
      <w:r w:rsidR="006D285D" w:rsidRPr="00EC1351">
        <w:rPr>
          <w:color w:val="000000"/>
        </w:rPr>
        <w:t>All correlations significant at the p&lt;0.0001 level</w:t>
      </w:r>
    </w:p>
    <w:p w14:paraId="11A17541" w14:textId="77777777" w:rsidR="006873C8" w:rsidRPr="00EC1351" w:rsidRDefault="006873C8" w:rsidP="006873C8">
      <w:pPr>
        <w:rPr>
          <w:lang w:val="en-CA"/>
        </w:rPr>
      </w:pPr>
    </w:p>
    <w:p w14:paraId="7A1BEE7D" w14:textId="53FD1051" w:rsidR="006873C8" w:rsidRPr="00D22504" w:rsidRDefault="002B213E" w:rsidP="00B817AD">
      <w:pPr>
        <w:outlineLvl w:val="0"/>
        <w:rPr>
          <w:b/>
          <w:lang w:val="en-CA"/>
        </w:rPr>
      </w:pPr>
      <w:r w:rsidRPr="00D22504">
        <w:rPr>
          <w:b/>
          <w:lang w:val="en-CA"/>
        </w:rPr>
        <w:t>Table 4</w:t>
      </w:r>
      <w:r w:rsidR="00A93EB6" w:rsidRPr="00D22504">
        <w:rPr>
          <w:b/>
          <w:lang w:val="en-CA"/>
        </w:rPr>
        <w:t xml:space="preserve">a. </w:t>
      </w:r>
      <w:r w:rsidR="00A93EB6" w:rsidRPr="001C4C1E">
        <w:rPr>
          <w:i/>
          <w:lang w:val="en-CA"/>
        </w:rPr>
        <w:t>Multivariable model</w:t>
      </w:r>
      <w:r w:rsidR="000E6FC9" w:rsidRPr="001C4C1E">
        <w:rPr>
          <w:i/>
          <w:lang w:val="en-CA"/>
        </w:rPr>
        <w:t xml:space="preserve">s </w:t>
      </w:r>
      <w:r w:rsidR="00B55841" w:rsidRPr="001C4C1E">
        <w:rPr>
          <w:i/>
          <w:lang w:val="en-CA"/>
        </w:rPr>
        <w:t xml:space="preserve">of </w:t>
      </w:r>
      <w:r w:rsidR="00BD0A74" w:rsidRPr="001C4C1E">
        <w:rPr>
          <w:i/>
          <w:lang w:val="en-CA"/>
        </w:rPr>
        <w:t>the relationship between</w:t>
      </w:r>
      <w:r w:rsidR="00B55841" w:rsidRPr="001C4C1E">
        <w:rPr>
          <w:i/>
          <w:lang w:val="en-CA"/>
        </w:rPr>
        <w:t xml:space="preserve"> sexual orientation measures </w:t>
      </w:r>
      <w:r w:rsidR="00BD0A74" w:rsidRPr="001C4C1E">
        <w:rPr>
          <w:i/>
          <w:lang w:val="en-CA"/>
        </w:rPr>
        <w:t>and</w:t>
      </w:r>
      <w:r w:rsidR="00B55841" w:rsidRPr="001C4C1E">
        <w:rPr>
          <w:i/>
          <w:lang w:val="en-CA"/>
        </w:rPr>
        <w:t xml:space="preserve"> anxiety</w:t>
      </w:r>
      <w:r w:rsidR="004B6859" w:rsidRPr="001C4C1E">
        <w:rPr>
          <w:i/>
          <w:lang w:val="en-CA"/>
        </w:rPr>
        <w:t xml:space="preserve"> (HADS-A</w:t>
      </w:r>
      <w:r w:rsidR="007E0465" w:rsidRPr="001C4C1E">
        <w:rPr>
          <w:i/>
          <w:lang w:val="en-CA"/>
        </w:rPr>
        <w:t xml:space="preserve"> </w:t>
      </w:r>
      <w:r w:rsidR="004B6859" w:rsidRPr="008751D1">
        <w:rPr>
          <w:i/>
          <w:color w:val="000000"/>
        </w:rPr>
        <w:t>≥ 8</w:t>
      </w:r>
      <w:r w:rsidR="004B6859" w:rsidRPr="001C4C1E">
        <w:rPr>
          <w:i/>
          <w:color w:val="00000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9"/>
        <w:gridCol w:w="656"/>
        <w:gridCol w:w="636"/>
        <w:gridCol w:w="636"/>
        <w:gridCol w:w="656"/>
        <w:gridCol w:w="636"/>
        <w:gridCol w:w="636"/>
        <w:gridCol w:w="656"/>
        <w:gridCol w:w="636"/>
        <w:gridCol w:w="636"/>
        <w:gridCol w:w="748"/>
        <w:gridCol w:w="724"/>
        <w:gridCol w:w="724"/>
      </w:tblGrid>
      <w:tr w:rsidR="002711C9" w:rsidRPr="00AE160F" w14:paraId="63E45139" w14:textId="77777777" w:rsidTr="00067357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5896C" w14:textId="77777777" w:rsidR="002711C9" w:rsidRPr="00B6400B" w:rsidRDefault="002711C9" w:rsidP="00674BDF">
            <w:pPr>
              <w:spacing w:line="480" w:lineRule="auto"/>
              <w:rPr>
                <w:bCs/>
                <w:color w:val="000000"/>
              </w:rPr>
            </w:pPr>
            <w:r w:rsidRPr="00B6400B">
              <w:rPr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5ED79" w14:textId="5F6AFFBA" w:rsidR="002711C9" w:rsidRPr="00B6400B" w:rsidRDefault="002711C9" w:rsidP="00674BDF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B6400B">
              <w:rPr>
                <w:bCs/>
                <w:color w:val="000000"/>
              </w:rPr>
              <w:t>Identity</w:t>
            </w:r>
            <w:r w:rsidR="00D815B4">
              <w:rPr>
                <w:bCs/>
                <w:color w:val="000000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3EA8A" w14:textId="26E171B1" w:rsidR="002711C9" w:rsidRPr="00B6400B" w:rsidRDefault="002711C9" w:rsidP="00674BDF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B6400B">
              <w:rPr>
                <w:bCs/>
                <w:color w:val="000000"/>
              </w:rPr>
              <w:t>Attraction</w:t>
            </w:r>
            <w:r w:rsidR="00D815B4">
              <w:rPr>
                <w:bCs/>
                <w:color w:val="000000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970B8" w14:textId="31D35517" w:rsidR="002711C9" w:rsidRPr="00B6400B" w:rsidRDefault="003A61D4" w:rsidP="00674BDF">
            <w:pPr>
              <w:spacing w:line="48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Behavior</w:t>
            </w:r>
            <w:r w:rsidR="00D815B4">
              <w:rPr>
                <w:bCs/>
                <w:color w:val="000000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632B5" w14:textId="22161B27" w:rsidR="002711C9" w:rsidRPr="00AE160F" w:rsidRDefault="002711C9" w:rsidP="00AE160F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B6400B">
              <w:rPr>
                <w:bCs/>
                <w:color w:val="000000"/>
              </w:rPr>
              <w:t>Sensitivity analysis</w:t>
            </w:r>
            <w:r w:rsidR="00E35D4C" w:rsidRPr="00AE160F">
              <w:rPr>
                <w:bCs/>
                <w:color w:val="000000"/>
              </w:rPr>
              <w:t>†</w:t>
            </w:r>
          </w:p>
        </w:tc>
      </w:tr>
      <w:tr w:rsidR="00D832B9" w:rsidRPr="00EC1351" w14:paraId="6E65E8FE" w14:textId="77777777" w:rsidTr="002711C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CE122" w14:textId="77777777" w:rsidR="002711C9" w:rsidRPr="00B6400B" w:rsidRDefault="002711C9" w:rsidP="00674BDF">
            <w:pPr>
              <w:spacing w:line="48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59EA3" w14:textId="77777777" w:rsidR="002711C9" w:rsidRPr="00B6400B" w:rsidRDefault="002711C9" w:rsidP="00674BDF">
            <w:pPr>
              <w:spacing w:line="480" w:lineRule="auto"/>
              <w:jc w:val="center"/>
              <w:rPr>
                <w:bCs/>
              </w:rPr>
            </w:pPr>
            <w:proofErr w:type="spellStart"/>
            <w:r w:rsidRPr="00B6400B">
              <w:rPr>
                <w:bCs/>
              </w:rPr>
              <w:t>aOR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3790D" w14:textId="77777777" w:rsidR="002711C9" w:rsidRPr="00B6400B" w:rsidRDefault="002711C9" w:rsidP="00674BDF">
            <w:pPr>
              <w:spacing w:line="480" w:lineRule="auto"/>
              <w:jc w:val="center"/>
              <w:rPr>
                <w:bCs/>
              </w:rPr>
            </w:pPr>
            <w:r w:rsidRPr="00B6400B">
              <w:rPr>
                <w:bCs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7DD83" w14:textId="77777777" w:rsidR="002711C9" w:rsidRPr="00B6400B" w:rsidRDefault="002711C9" w:rsidP="00674BDF">
            <w:pPr>
              <w:spacing w:line="480" w:lineRule="auto"/>
              <w:jc w:val="center"/>
              <w:rPr>
                <w:bCs/>
              </w:rPr>
            </w:pPr>
            <w:proofErr w:type="spellStart"/>
            <w:r w:rsidRPr="00B6400B">
              <w:rPr>
                <w:bCs/>
              </w:rPr>
              <w:t>aOR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9B2BE" w14:textId="77777777" w:rsidR="002711C9" w:rsidRPr="00B6400B" w:rsidRDefault="002711C9" w:rsidP="00674BDF">
            <w:pPr>
              <w:spacing w:line="480" w:lineRule="auto"/>
              <w:jc w:val="center"/>
              <w:rPr>
                <w:bCs/>
              </w:rPr>
            </w:pPr>
            <w:r w:rsidRPr="00B6400B">
              <w:rPr>
                <w:bCs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B2028" w14:textId="77777777" w:rsidR="002711C9" w:rsidRPr="00B6400B" w:rsidRDefault="002711C9" w:rsidP="00674BDF">
            <w:pPr>
              <w:spacing w:line="480" w:lineRule="auto"/>
              <w:jc w:val="center"/>
              <w:rPr>
                <w:bCs/>
              </w:rPr>
            </w:pPr>
            <w:proofErr w:type="spellStart"/>
            <w:r w:rsidRPr="00B6400B">
              <w:rPr>
                <w:bCs/>
              </w:rPr>
              <w:t>aOR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D5F0C" w14:textId="77777777" w:rsidR="002711C9" w:rsidRPr="00B6400B" w:rsidRDefault="002711C9" w:rsidP="00674BDF">
            <w:pPr>
              <w:spacing w:line="480" w:lineRule="auto"/>
              <w:jc w:val="center"/>
              <w:rPr>
                <w:bCs/>
              </w:rPr>
            </w:pPr>
            <w:r w:rsidRPr="00B6400B">
              <w:rPr>
                <w:bCs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411E4" w14:textId="77777777" w:rsidR="002711C9" w:rsidRPr="00B6400B" w:rsidRDefault="002711C9" w:rsidP="00674BDF">
            <w:pPr>
              <w:spacing w:line="480" w:lineRule="auto"/>
              <w:jc w:val="center"/>
              <w:rPr>
                <w:bCs/>
              </w:rPr>
            </w:pPr>
            <w:proofErr w:type="spellStart"/>
            <w:r w:rsidRPr="00B6400B">
              <w:rPr>
                <w:bCs/>
              </w:rPr>
              <w:t>aOR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F636B" w14:textId="77777777" w:rsidR="002711C9" w:rsidRPr="00B6400B" w:rsidRDefault="002711C9" w:rsidP="00674BDF">
            <w:pPr>
              <w:spacing w:line="480" w:lineRule="auto"/>
              <w:jc w:val="center"/>
              <w:rPr>
                <w:bCs/>
              </w:rPr>
            </w:pPr>
            <w:r w:rsidRPr="00B6400B">
              <w:rPr>
                <w:bCs/>
              </w:rPr>
              <w:t>95% CI</w:t>
            </w:r>
          </w:p>
        </w:tc>
      </w:tr>
      <w:tr w:rsidR="00D832B9" w:rsidRPr="00EC1351" w14:paraId="5859D17E" w14:textId="77777777" w:rsidTr="002711C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85268" w14:textId="77777777" w:rsidR="002711C9" w:rsidRPr="00EC1351" w:rsidRDefault="002711C9" w:rsidP="00674BDF">
            <w:pPr>
              <w:spacing w:line="480" w:lineRule="auto"/>
              <w:rPr>
                <w:color w:val="000000"/>
              </w:rPr>
            </w:pPr>
            <w:r w:rsidRPr="00EC1351">
              <w:rPr>
                <w:color w:val="000000"/>
              </w:rPr>
              <w:t>Identity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3C9F" w14:textId="77777777" w:rsidR="002711C9" w:rsidRPr="00EC1351" w:rsidRDefault="002711C9" w:rsidP="00674BDF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5543" w14:textId="77777777" w:rsidR="002711C9" w:rsidRPr="00EC1351" w:rsidRDefault="002711C9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B958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521BD1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01F944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C49C77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B35752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29D9AE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90A97A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C268D0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3BD5F1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8B76D0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</w:tr>
      <w:tr w:rsidR="00D832B9" w:rsidRPr="00EC1351" w14:paraId="7D0EED9B" w14:textId="77777777" w:rsidTr="002711C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6B701" w14:textId="77777777" w:rsidR="002711C9" w:rsidRPr="00EC1351" w:rsidRDefault="002711C9" w:rsidP="00674BDF">
            <w:pPr>
              <w:spacing w:line="480" w:lineRule="auto"/>
              <w:ind w:firstLine="350"/>
              <w:rPr>
                <w:color w:val="000000"/>
              </w:rPr>
            </w:pPr>
            <w:r w:rsidRPr="00EC1351">
              <w:rPr>
                <w:color w:val="000000"/>
              </w:rPr>
              <w:t>Gay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47E0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4426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559A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1CA8B8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818864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5A2D3B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862686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80A058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943C9D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E63B8F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87C5C7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BB1B31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</w:tr>
      <w:tr w:rsidR="00D832B9" w:rsidRPr="00EC1351" w14:paraId="25FEAA44" w14:textId="77777777" w:rsidTr="002711C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E4619" w14:textId="77777777" w:rsidR="002711C9" w:rsidRPr="00EC1351" w:rsidRDefault="002711C9" w:rsidP="00674BDF">
            <w:pPr>
              <w:spacing w:line="480" w:lineRule="auto"/>
              <w:ind w:firstLine="350"/>
              <w:rPr>
                <w:color w:val="000000"/>
              </w:rPr>
            </w:pPr>
            <w:r w:rsidRPr="00EC1351">
              <w:rPr>
                <w:color w:val="000000"/>
              </w:rPr>
              <w:t>Bisexual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1169" w14:textId="3EBCED24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1.8</w:t>
            </w:r>
            <w:r w:rsidR="00D34F6B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CB4C" w14:textId="70E251FF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1.1</w:t>
            </w:r>
            <w:r w:rsidR="00D34F6B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20DC" w14:textId="35708E43" w:rsidR="002711C9" w:rsidRPr="00EC1351" w:rsidRDefault="00D34F6B" w:rsidP="00674BDF">
            <w:pPr>
              <w:spacing w:line="48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B99AAB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6F90F9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198E27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6F4503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B74B93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DB04D1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54AB88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453F92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A4A299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</w:tr>
      <w:tr w:rsidR="00D832B9" w:rsidRPr="00EC1351" w14:paraId="4415DBF0" w14:textId="77777777" w:rsidTr="002711C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6AEB9" w14:textId="77777777" w:rsidR="002711C9" w:rsidRPr="00EC1351" w:rsidRDefault="002711C9" w:rsidP="00674BDF">
            <w:pPr>
              <w:spacing w:line="480" w:lineRule="auto"/>
              <w:rPr>
                <w:color w:val="000000"/>
              </w:rPr>
            </w:pPr>
            <w:r w:rsidRPr="00EC1351">
              <w:rPr>
                <w:color w:val="000000"/>
              </w:rPr>
              <w:t>Attraction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F9B5A5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BA2488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18219E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6452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60ED" w14:textId="77777777" w:rsidR="002711C9" w:rsidRPr="00EC1351" w:rsidRDefault="002711C9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3459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CF0269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9C6C4F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F3D755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98C068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1A182C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1E00EA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</w:tr>
      <w:tr w:rsidR="00D832B9" w:rsidRPr="00EC1351" w14:paraId="7F7E5D01" w14:textId="77777777" w:rsidTr="002711C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523E" w14:textId="77777777" w:rsidR="002711C9" w:rsidRPr="00EC1351" w:rsidRDefault="002711C9" w:rsidP="00674BDF">
            <w:pPr>
              <w:spacing w:line="480" w:lineRule="auto"/>
              <w:ind w:firstLine="350"/>
              <w:rPr>
                <w:color w:val="000000"/>
              </w:rPr>
            </w:pPr>
            <w:r w:rsidRPr="00EC1351">
              <w:rPr>
                <w:color w:val="000000"/>
              </w:rPr>
              <w:t>Men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96D603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9D017C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4EEE6F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B984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E8B3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0AE6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5CD44D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495108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B68F8D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ADE06D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878506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06FF56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</w:tr>
      <w:tr w:rsidR="00D832B9" w:rsidRPr="00EC1351" w14:paraId="31761B77" w14:textId="77777777" w:rsidTr="002711C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FC9B" w14:textId="3A0E6619" w:rsidR="002711C9" w:rsidRPr="00EC1351" w:rsidRDefault="008E061B" w:rsidP="00674BDF">
            <w:pPr>
              <w:spacing w:line="480" w:lineRule="auto"/>
              <w:ind w:firstLine="350"/>
              <w:rPr>
                <w:color w:val="000000"/>
              </w:rPr>
            </w:pPr>
            <w:r>
              <w:rPr>
                <w:color w:val="000000"/>
              </w:rPr>
              <w:t>Men and 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6188EC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CE8B92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CD1E9A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ED7C" w14:textId="556FAB0B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1.4</w:t>
            </w:r>
            <w:r w:rsidR="00D34F6B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8B7C" w14:textId="3801964B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1.0</w:t>
            </w:r>
            <w:r w:rsidR="00D34F6B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DAED" w14:textId="2FEF9829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2.0</w:t>
            </w:r>
            <w:r w:rsidR="00D34F6B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A4AFDC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FB44D7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8CD59C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EB6B8E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8A1507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55A3B5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</w:tr>
      <w:tr w:rsidR="00D832B9" w:rsidRPr="00EC1351" w14:paraId="7AEFF4F6" w14:textId="77777777" w:rsidTr="002711C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86D5D" w14:textId="5470EE8E" w:rsidR="002711C9" w:rsidRPr="00EC1351" w:rsidRDefault="003A61D4" w:rsidP="00674BDF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Behavior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58470D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AA9564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31E4BC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20DE1B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F59B88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5C958F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7108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10D4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7573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8DDA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AC33" w14:textId="77777777" w:rsidR="002711C9" w:rsidRPr="00EC1351" w:rsidRDefault="002711C9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0FB8" w14:textId="77777777" w:rsidR="002711C9" w:rsidRPr="00EC1351" w:rsidRDefault="002711C9" w:rsidP="00674BDF">
            <w:pPr>
              <w:spacing w:line="480" w:lineRule="auto"/>
              <w:jc w:val="right"/>
            </w:pPr>
          </w:p>
        </w:tc>
      </w:tr>
      <w:tr w:rsidR="00D832B9" w:rsidRPr="00EC1351" w14:paraId="68DC8550" w14:textId="77777777" w:rsidTr="00B5611F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6997" w14:textId="77777777" w:rsidR="002711C9" w:rsidRPr="00EC1351" w:rsidRDefault="002711C9" w:rsidP="00674BDF">
            <w:pPr>
              <w:spacing w:line="480" w:lineRule="auto"/>
              <w:ind w:firstLine="350"/>
              <w:rPr>
                <w:color w:val="000000"/>
              </w:rPr>
            </w:pPr>
            <w:r w:rsidRPr="00EC1351">
              <w:rPr>
                <w:color w:val="000000"/>
              </w:rPr>
              <w:t>Men only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00B92C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CC955D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8AFC76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03EF05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F5567B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0377FC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ED70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DB4B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C4E2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D684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3336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6D5F" w14:textId="77777777" w:rsidR="002711C9" w:rsidRPr="00EC1351" w:rsidRDefault="002711C9" w:rsidP="00674BDF">
            <w:pPr>
              <w:spacing w:line="480" w:lineRule="auto"/>
              <w:jc w:val="right"/>
            </w:pPr>
          </w:p>
        </w:tc>
      </w:tr>
      <w:tr w:rsidR="00D832B9" w:rsidRPr="00EC1351" w14:paraId="13FAB9D6" w14:textId="77777777" w:rsidTr="00B5611F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349EB" w14:textId="15AD195D" w:rsidR="002711C9" w:rsidRPr="00EC1351" w:rsidRDefault="008E061B" w:rsidP="00674BDF">
            <w:pPr>
              <w:spacing w:line="480" w:lineRule="auto"/>
              <w:ind w:firstLine="350"/>
              <w:rPr>
                <w:color w:val="000000"/>
              </w:rPr>
            </w:pPr>
            <w:r>
              <w:rPr>
                <w:color w:val="000000"/>
              </w:rPr>
              <w:lastRenderedPageBreak/>
              <w:t>Men and 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6679FE1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06D369B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D4B72C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383C4CF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1223162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CD63EE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F6773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04CEA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984E" w14:textId="2CB2CEAA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2.0</w:t>
            </w:r>
            <w:r w:rsidR="0088600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6C660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502C7" w14:textId="77777777" w:rsidR="002711C9" w:rsidRPr="00EC1351" w:rsidRDefault="002711C9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86515" w14:textId="32F9D989" w:rsidR="002711C9" w:rsidRPr="00EC1351" w:rsidRDefault="00A30D7D" w:rsidP="00674BDF">
            <w:pPr>
              <w:spacing w:line="48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11C9" w:rsidRPr="00EC1351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</w:tc>
      </w:tr>
    </w:tbl>
    <w:p w14:paraId="17BB5441" w14:textId="4932E79F" w:rsidR="00106944" w:rsidRDefault="00410AB2" w:rsidP="006873C8">
      <w:pPr>
        <w:rPr>
          <w:lang w:val="en-CA"/>
        </w:rPr>
      </w:pPr>
      <w:r>
        <w:rPr>
          <w:lang w:val="en-CA"/>
        </w:rPr>
        <w:t>CI: Confidence interval</w:t>
      </w:r>
    </w:p>
    <w:p w14:paraId="16B3DDC1" w14:textId="286E6CD2" w:rsidR="005A0839" w:rsidRDefault="005A0839" w:rsidP="006873C8">
      <w:pPr>
        <w:rPr>
          <w:lang w:val="en-CA"/>
        </w:rPr>
      </w:pPr>
      <w:proofErr w:type="spellStart"/>
      <w:r>
        <w:rPr>
          <w:lang w:val="en-CA"/>
        </w:rPr>
        <w:t>aOR</w:t>
      </w:r>
      <w:proofErr w:type="spellEnd"/>
      <w:r>
        <w:rPr>
          <w:lang w:val="en-CA"/>
        </w:rPr>
        <w:t>: Adjusted odds ratio</w:t>
      </w:r>
    </w:p>
    <w:p w14:paraId="0D4EF089" w14:textId="325BFF3B" w:rsidR="005A0839" w:rsidRDefault="005A0839" w:rsidP="006873C8">
      <w:pPr>
        <w:rPr>
          <w:lang w:val="en-CA"/>
        </w:rPr>
      </w:pPr>
      <w:r>
        <w:rPr>
          <w:lang w:val="en-CA"/>
        </w:rPr>
        <w:t>Ref: Reference group</w:t>
      </w:r>
    </w:p>
    <w:p w14:paraId="0E5B4B96" w14:textId="6FFB8D80" w:rsidR="00B20734" w:rsidRDefault="00B20734" w:rsidP="006873C8">
      <w:pPr>
        <w:rPr>
          <w:lang w:val="en-CA"/>
        </w:rPr>
      </w:pPr>
      <w:r>
        <w:rPr>
          <w:lang w:val="en-CA"/>
        </w:rPr>
        <w:t xml:space="preserve">*Adjusted for age, annual income, race/ethnicity, educational attainment, </w:t>
      </w:r>
      <w:r w:rsidR="004E3543">
        <w:rPr>
          <w:lang w:val="en-CA"/>
        </w:rPr>
        <w:t>current partner status, and HIV serostatus</w:t>
      </w:r>
    </w:p>
    <w:p w14:paraId="207068C1" w14:textId="7304EAC8" w:rsidR="00E35D4C" w:rsidRPr="00EC1351" w:rsidRDefault="006E6B30" w:rsidP="006873C8">
      <w:pPr>
        <w:rPr>
          <w:lang w:val="en-CA"/>
        </w:rPr>
      </w:pPr>
      <w:r w:rsidRPr="00AE160F">
        <w:rPr>
          <w:bCs/>
          <w:color w:val="000000"/>
        </w:rPr>
        <w:t>†</w:t>
      </w:r>
      <w:r w:rsidR="00E35D4C" w:rsidRPr="00D8427F">
        <w:rPr>
          <w:lang w:val="en-CA"/>
        </w:rPr>
        <w:t xml:space="preserve">Adjusted for past </w:t>
      </w:r>
      <w:proofErr w:type="gramStart"/>
      <w:r w:rsidR="00E35D4C" w:rsidRPr="00D8427F">
        <w:rPr>
          <w:lang w:val="en-CA"/>
        </w:rPr>
        <w:t>6 month</w:t>
      </w:r>
      <w:proofErr w:type="gramEnd"/>
      <w:r w:rsidR="00E35D4C" w:rsidRPr="00D8427F">
        <w:rPr>
          <w:lang w:val="en-CA"/>
        </w:rPr>
        <w:t xml:space="preserve"> sexual partner number, in addition to age, annual income, race/ethnicity, educational attainment, current partner status, and HIV serostatus</w:t>
      </w:r>
    </w:p>
    <w:p w14:paraId="1A8CC4F6" w14:textId="77777777" w:rsidR="00A93EB6" w:rsidRPr="00EC1351" w:rsidRDefault="00A93EB6" w:rsidP="006873C8">
      <w:pPr>
        <w:rPr>
          <w:lang w:val="en-CA"/>
        </w:rPr>
      </w:pPr>
    </w:p>
    <w:p w14:paraId="256CD64E" w14:textId="40DF5A98" w:rsidR="00A93EB6" w:rsidRPr="00D22504" w:rsidRDefault="00A93EB6" w:rsidP="00B817AD">
      <w:pPr>
        <w:outlineLvl w:val="0"/>
        <w:rPr>
          <w:b/>
          <w:lang w:val="en-CA"/>
        </w:rPr>
      </w:pPr>
      <w:r w:rsidRPr="00D22504">
        <w:rPr>
          <w:b/>
          <w:lang w:val="en-CA"/>
        </w:rPr>
        <w:t xml:space="preserve">Table 4b. </w:t>
      </w:r>
      <w:r w:rsidR="00B55841" w:rsidRPr="001C4C1E">
        <w:rPr>
          <w:i/>
          <w:lang w:val="en-CA"/>
        </w:rPr>
        <w:t xml:space="preserve">Multivariable models of </w:t>
      </w:r>
      <w:r w:rsidR="00BD0A74" w:rsidRPr="001C4C1E">
        <w:rPr>
          <w:i/>
          <w:lang w:val="en-CA"/>
        </w:rPr>
        <w:t>the relationship between</w:t>
      </w:r>
      <w:r w:rsidR="00B55841" w:rsidRPr="001C4C1E">
        <w:rPr>
          <w:i/>
          <w:lang w:val="en-CA"/>
        </w:rPr>
        <w:t xml:space="preserve"> sexual orientation measures </w:t>
      </w:r>
      <w:r w:rsidR="00BD0A74" w:rsidRPr="001C4C1E">
        <w:rPr>
          <w:i/>
          <w:lang w:val="en-CA"/>
        </w:rPr>
        <w:t>and</w:t>
      </w:r>
      <w:r w:rsidR="00B55841" w:rsidRPr="001C4C1E">
        <w:rPr>
          <w:i/>
          <w:lang w:val="en-CA"/>
        </w:rPr>
        <w:t xml:space="preserve"> depression</w:t>
      </w:r>
      <w:r w:rsidR="009932C2" w:rsidRPr="001C4C1E">
        <w:rPr>
          <w:i/>
          <w:lang w:val="en-CA"/>
        </w:rPr>
        <w:t xml:space="preserve"> (HADS-D</w:t>
      </w:r>
      <w:r w:rsidR="007E0465" w:rsidRPr="001C4C1E">
        <w:rPr>
          <w:i/>
          <w:lang w:val="en-CA"/>
        </w:rPr>
        <w:t xml:space="preserve"> </w:t>
      </w:r>
      <w:r w:rsidR="009932C2" w:rsidRPr="001C4C1E">
        <w:rPr>
          <w:i/>
          <w:color w:val="000000"/>
        </w:rPr>
        <w:t>≥ 8)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9"/>
        <w:gridCol w:w="656"/>
        <w:gridCol w:w="636"/>
        <w:gridCol w:w="636"/>
        <w:gridCol w:w="656"/>
        <w:gridCol w:w="636"/>
        <w:gridCol w:w="636"/>
        <w:gridCol w:w="656"/>
        <w:gridCol w:w="636"/>
        <w:gridCol w:w="636"/>
        <w:gridCol w:w="748"/>
        <w:gridCol w:w="724"/>
        <w:gridCol w:w="724"/>
      </w:tblGrid>
      <w:tr w:rsidR="00715140" w:rsidRPr="00EC1351" w14:paraId="3C42BF27" w14:textId="77777777" w:rsidTr="00715140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FCC1F" w14:textId="77777777" w:rsidR="00EC1351" w:rsidRPr="00B6400B" w:rsidRDefault="00EC1351" w:rsidP="00674BDF">
            <w:pPr>
              <w:spacing w:line="480" w:lineRule="auto"/>
              <w:rPr>
                <w:bCs/>
                <w:color w:val="000000"/>
              </w:rPr>
            </w:pPr>
            <w:r w:rsidRPr="00B6400B">
              <w:rPr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6AAFC" w14:textId="669E8096" w:rsidR="00EC1351" w:rsidRPr="00B6400B" w:rsidRDefault="00EC1351" w:rsidP="00674BDF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B6400B">
              <w:rPr>
                <w:bCs/>
                <w:color w:val="000000"/>
              </w:rPr>
              <w:t>Identity</w:t>
            </w:r>
            <w:r w:rsidR="006E6B30">
              <w:rPr>
                <w:bCs/>
                <w:color w:val="000000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A6AB3" w14:textId="69B7E8EF" w:rsidR="00EC1351" w:rsidRPr="00B6400B" w:rsidRDefault="00EC1351" w:rsidP="00674BDF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B6400B">
              <w:rPr>
                <w:bCs/>
                <w:color w:val="000000"/>
              </w:rPr>
              <w:t>Attraction</w:t>
            </w:r>
            <w:r w:rsidR="006E6B30">
              <w:rPr>
                <w:bCs/>
                <w:color w:val="000000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C371B" w14:textId="44B345D1" w:rsidR="00EC1351" w:rsidRPr="00B6400B" w:rsidRDefault="003A61D4" w:rsidP="00674BDF">
            <w:pPr>
              <w:spacing w:line="48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Behavior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AFE18" w14:textId="392EA743" w:rsidR="00EC1351" w:rsidRPr="00B6400B" w:rsidRDefault="00EC1351" w:rsidP="00674BDF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B6400B">
              <w:rPr>
                <w:bCs/>
                <w:color w:val="000000"/>
              </w:rPr>
              <w:t>Sensitivity analysis</w:t>
            </w:r>
            <w:r w:rsidR="006E6B30" w:rsidRPr="00AE160F">
              <w:rPr>
                <w:bCs/>
                <w:color w:val="000000"/>
              </w:rPr>
              <w:t>†</w:t>
            </w:r>
          </w:p>
        </w:tc>
      </w:tr>
      <w:tr w:rsidR="00715140" w:rsidRPr="00EC1351" w14:paraId="30BF532E" w14:textId="77777777" w:rsidTr="00715140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C0C3D" w14:textId="77777777" w:rsidR="00EC1351" w:rsidRPr="00B6400B" w:rsidRDefault="00EC1351" w:rsidP="00674BDF">
            <w:pPr>
              <w:spacing w:line="48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E6E87" w14:textId="77777777" w:rsidR="00EC1351" w:rsidRPr="00B6400B" w:rsidRDefault="00EC1351" w:rsidP="00674BDF">
            <w:pPr>
              <w:spacing w:line="480" w:lineRule="auto"/>
              <w:jc w:val="center"/>
              <w:rPr>
                <w:bCs/>
              </w:rPr>
            </w:pPr>
            <w:proofErr w:type="spellStart"/>
            <w:r w:rsidRPr="00B6400B">
              <w:rPr>
                <w:bCs/>
              </w:rPr>
              <w:t>aOR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3203D" w14:textId="77777777" w:rsidR="00EC1351" w:rsidRPr="00B6400B" w:rsidRDefault="00EC1351" w:rsidP="00674BDF">
            <w:pPr>
              <w:spacing w:line="480" w:lineRule="auto"/>
              <w:jc w:val="center"/>
              <w:rPr>
                <w:bCs/>
              </w:rPr>
            </w:pPr>
            <w:r w:rsidRPr="00B6400B">
              <w:rPr>
                <w:bCs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88CEB" w14:textId="77777777" w:rsidR="00EC1351" w:rsidRPr="00B6400B" w:rsidRDefault="00EC1351" w:rsidP="00674BDF">
            <w:pPr>
              <w:spacing w:line="480" w:lineRule="auto"/>
              <w:jc w:val="center"/>
              <w:rPr>
                <w:bCs/>
              </w:rPr>
            </w:pPr>
            <w:proofErr w:type="spellStart"/>
            <w:r w:rsidRPr="00B6400B">
              <w:rPr>
                <w:bCs/>
              </w:rPr>
              <w:t>aOR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2D528" w14:textId="77777777" w:rsidR="00EC1351" w:rsidRPr="00B6400B" w:rsidRDefault="00EC1351" w:rsidP="00674BDF">
            <w:pPr>
              <w:spacing w:line="480" w:lineRule="auto"/>
              <w:jc w:val="center"/>
              <w:rPr>
                <w:bCs/>
              </w:rPr>
            </w:pPr>
            <w:r w:rsidRPr="00B6400B">
              <w:rPr>
                <w:bCs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84BCD" w14:textId="77777777" w:rsidR="00EC1351" w:rsidRPr="00B6400B" w:rsidRDefault="00EC1351" w:rsidP="00674BDF">
            <w:pPr>
              <w:spacing w:line="480" w:lineRule="auto"/>
              <w:jc w:val="center"/>
              <w:rPr>
                <w:bCs/>
              </w:rPr>
            </w:pPr>
            <w:proofErr w:type="spellStart"/>
            <w:r w:rsidRPr="00B6400B">
              <w:rPr>
                <w:bCs/>
              </w:rPr>
              <w:t>aOR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0E35E" w14:textId="77777777" w:rsidR="00EC1351" w:rsidRPr="00B6400B" w:rsidRDefault="00EC1351" w:rsidP="00674BDF">
            <w:pPr>
              <w:spacing w:line="480" w:lineRule="auto"/>
              <w:jc w:val="center"/>
              <w:rPr>
                <w:bCs/>
              </w:rPr>
            </w:pPr>
            <w:r w:rsidRPr="00B6400B">
              <w:rPr>
                <w:bCs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F7C90" w14:textId="77777777" w:rsidR="00EC1351" w:rsidRPr="00B6400B" w:rsidRDefault="00EC1351" w:rsidP="00674BDF">
            <w:pPr>
              <w:spacing w:line="480" w:lineRule="auto"/>
              <w:jc w:val="center"/>
              <w:rPr>
                <w:bCs/>
              </w:rPr>
            </w:pPr>
            <w:proofErr w:type="spellStart"/>
            <w:r w:rsidRPr="00B6400B">
              <w:rPr>
                <w:bCs/>
              </w:rPr>
              <w:t>aOR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AA456" w14:textId="77777777" w:rsidR="00EC1351" w:rsidRPr="00B6400B" w:rsidRDefault="00EC1351" w:rsidP="00674BDF">
            <w:pPr>
              <w:spacing w:line="480" w:lineRule="auto"/>
              <w:jc w:val="center"/>
              <w:rPr>
                <w:bCs/>
              </w:rPr>
            </w:pPr>
            <w:r w:rsidRPr="00B6400B">
              <w:rPr>
                <w:bCs/>
              </w:rPr>
              <w:t>95% CI</w:t>
            </w:r>
          </w:p>
        </w:tc>
      </w:tr>
      <w:tr w:rsidR="00715140" w:rsidRPr="00EC1351" w14:paraId="1BB9ACB4" w14:textId="77777777" w:rsidTr="00715140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6E0AE" w14:textId="77777777" w:rsidR="00EC1351" w:rsidRPr="00EC1351" w:rsidRDefault="00EC1351" w:rsidP="00674BDF">
            <w:pPr>
              <w:spacing w:line="480" w:lineRule="auto"/>
              <w:rPr>
                <w:color w:val="000000"/>
              </w:rPr>
            </w:pPr>
            <w:r w:rsidRPr="00EC1351">
              <w:rPr>
                <w:color w:val="000000"/>
              </w:rPr>
              <w:t>Identity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4C4D" w14:textId="77777777" w:rsidR="00EC1351" w:rsidRPr="00EC1351" w:rsidRDefault="00EC1351" w:rsidP="00674BDF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FEAF" w14:textId="77777777" w:rsidR="00EC1351" w:rsidRPr="00EC1351" w:rsidRDefault="00EC1351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822D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7AC2E6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93E77E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24A2DD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88ED2C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FF989B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8E7A9B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024F5F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ABB8CB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DD0FF2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</w:tr>
      <w:tr w:rsidR="00715140" w:rsidRPr="00EC1351" w14:paraId="10E60E31" w14:textId="77777777" w:rsidTr="00715140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33D8C" w14:textId="77777777" w:rsidR="00EC1351" w:rsidRPr="00EC1351" w:rsidRDefault="00EC1351" w:rsidP="00674BDF">
            <w:pPr>
              <w:spacing w:line="480" w:lineRule="auto"/>
              <w:ind w:firstLine="350"/>
              <w:rPr>
                <w:color w:val="000000"/>
              </w:rPr>
            </w:pPr>
            <w:r w:rsidRPr="00EC1351">
              <w:rPr>
                <w:color w:val="000000"/>
              </w:rPr>
              <w:t>Gay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FAA1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B301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EFE7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A22FC9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100BB5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9E08DB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C674D3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7CB67D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71D291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A7F9DD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29706C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CAB09C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</w:tr>
      <w:tr w:rsidR="00715140" w:rsidRPr="00EC1351" w14:paraId="0BA217C0" w14:textId="77777777" w:rsidTr="00715140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B2625" w14:textId="77777777" w:rsidR="00EC1351" w:rsidRPr="00EC1351" w:rsidRDefault="00EC1351" w:rsidP="00674BDF">
            <w:pPr>
              <w:spacing w:line="480" w:lineRule="auto"/>
              <w:ind w:firstLine="350"/>
              <w:rPr>
                <w:color w:val="000000"/>
              </w:rPr>
            </w:pPr>
            <w:r w:rsidRPr="00EC1351">
              <w:rPr>
                <w:color w:val="000000"/>
              </w:rPr>
              <w:t>Bisexual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4A0E" w14:textId="297F0B89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2.</w:t>
            </w:r>
            <w:r w:rsidR="00173A51">
              <w:rPr>
                <w:color w:val="000000"/>
              </w:rPr>
              <w:t>1</w:t>
            </w:r>
            <w:r w:rsidRPr="00EC1351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FB83" w14:textId="09EA5FCA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1.2</w:t>
            </w:r>
            <w:r w:rsidR="00173A51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B752" w14:textId="7F6973C3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3.</w:t>
            </w:r>
            <w:r w:rsidR="00173A51">
              <w:rPr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BA7963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CFB86F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E362A0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4B67F7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E078C0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8527B4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5108F1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D0FC9C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77DE90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</w:tr>
      <w:tr w:rsidR="00715140" w:rsidRPr="00EC1351" w14:paraId="63F59367" w14:textId="77777777" w:rsidTr="00715140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5E7A1" w14:textId="77777777" w:rsidR="00EC1351" w:rsidRPr="00EC1351" w:rsidRDefault="00EC1351" w:rsidP="00674BDF">
            <w:pPr>
              <w:spacing w:line="480" w:lineRule="auto"/>
              <w:rPr>
                <w:color w:val="000000"/>
              </w:rPr>
            </w:pPr>
            <w:r w:rsidRPr="00EC1351">
              <w:rPr>
                <w:color w:val="000000"/>
              </w:rPr>
              <w:t>Attraction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440540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8A2218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4AD540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CC9E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B778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49EA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F46F3F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5CAA89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074421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CD714B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8012C8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5D2F89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</w:tr>
      <w:tr w:rsidR="00715140" w:rsidRPr="00EC1351" w14:paraId="7C692F21" w14:textId="77777777" w:rsidTr="00715140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C157" w14:textId="77777777" w:rsidR="00EC1351" w:rsidRPr="00EC1351" w:rsidRDefault="00EC1351" w:rsidP="00674BDF">
            <w:pPr>
              <w:spacing w:line="480" w:lineRule="auto"/>
              <w:ind w:firstLine="350"/>
              <w:rPr>
                <w:color w:val="000000"/>
              </w:rPr>
            </w:pPr>
            <w:r w:rsidRPr="00EC1351">
              <w:rPr>
                <w:color w:val="000000"/>
              </w:rPr>
              <w:t>Men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1A082A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B7F9C4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F5AB1F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92B6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30C6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01E9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4D035E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86D7B5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0E1B30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35D182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B35699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0DF47D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</w:tr>
      <w:tr w:rsidR="00715140" w:rsidRPr="00EC1351" w14:paraId="68CDD293" w14:textId="77777777" w:rsidTr="00715140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0F61" w14:textId="0B8B0690" w:rsidR="00EC1351" w:rsidRPr="00EC1351" w:rsidRDefault="008E061B" w:rsidP="00674BDF">
            <w:pPr>
              <w:spacing w:line="480" w:lineRule="auto"/>
              <w:ind w:firstLine="350"/>
              <w:rPr>
                <w:color w:val="000000"/>
              </w:rPr>
            </w:pPr>
            <w:r>
              <w:rPr>
                <w:color w:val="000000"/>
              </w:rPr>
              <w:t>Men and 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54E8F7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79EE58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B9A307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1417" w14:textId="6F878C90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1.3</w:t>
            </w:r>
            <w:r w:rsidR="00641B78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9A50" w14:textId="3E2870BD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0.9</w:t>
            </w:r>
            <w:r w:rsidR="00641B7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AE60" w14:textId="3079E963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2.0</w:t>
            </w:r>
            <w:r w:rsidR="00641B78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61855F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4667F3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0EB855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C273AA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DC11FB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AAA020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</w:tr>
      <w:tr w:rsidR="00715140" w:rsidRPr="00EC1351" w14:paraId="4604E4EF" w14:textId="77777777" w:rsidTr="00715140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4416C" w14:textId="4F46F17E" w:rsidR="00EC1351" w:rsidRPr="00EC1351" w:rsidRDefault="003A61D4" w:rsidP="00674BDF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Behavior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1E94EB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43B631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B13FD5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EA9389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2AE1B6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21CF2C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8C79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CE5C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6615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F21F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5578" w14:textId="77777777" w:rsidR="00EC1351" w:rsidRPr="00EC1351" w:rsidRDefault="00EC1351" w:rsidP="00674BDF">
            <w:pPr>
              <w:spacing w:line="480" w:lineRule="auto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BE01" w14:textId="77777777" w:rsidR="00EC1351" w:rsidRPr="00EC1351" w:rsidRDefault="00EC1351" w:rsidP="00674BDF">
            <w:pPr>
              <w:spacing w:line="480" w:lineRule="auto"/>
              <w:jc w:val="right"/>
            </w:pPr>
          </w:p>
        </w:tc>
      </w:tr>
      <w:tr w:rsidR="00715140" w:rsidRPr="00EC1351" w14:paraId="457D96D2" w14:textId="77777777" w:rsidTr="00EA68E4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83FC" w14:textId="77777777" w:rsidR="00EC1351" w:rsidRPr="00EC1351" w:rsidRDefault="00EC1351" w:rsidP="00674BDF">
            <w:pPr>
              <w:spacing w:line="480" w:lineRule="auto"/>
              <w:ind w:firstLine="350"/>
              <w:rPr>
                <w:color w:val="000000"/>
              </w:rPr>
            </w:pPr>
            <w:r w:rsidRPr="00EC1351">
              <w:rPr>
                <w:color w:val="000000"/>
              </w:rPr>
              <w:t>Men only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073F40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1258E2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E8BFC0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110716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49A4C5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42E1E0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0CB8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A71E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ED2E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0243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8442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8921" w14:textId="77777777" w:rsidR="00EC1351" w:rsidRPr="00EC1351" w:rsidRDefault="00EC1351" w:rsidP="00674BDF">
            <w:pPr>
              <w:spacing w:line="480" w:lineRule="auto"/>
              <w:jc w:val="right"/>
            </w:pPr>
          </w:p>
        </w:tc>
      </w:tr>
      <w:tr w:rsidR="00715140" w:rsidRPr="00EC1351" w14:paraId="2014372C" w14:textId="77777777" w:rsidTr="00EA68E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FDC57" w14:textId="4FFB55ED" w:rsidR="00EC1351" w:rsidRPr="00EC1351" w:rsidRDefault="008E061B" w:rsidP="00674BDF">
            <w:pPr>
              <w:spacing w:line="480" w:lineRule="auto"/>
              <w:ind w:firstLine="350"/>
              <w:rPr>
                <w:color w:val="000000"/>
              </w:rPr>
            </w:pPr>
            <w:r>
              <w:rPr>
                <w:color w:val="000000"/>
              </w:rPr>
              <w:t>Men and 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184DE95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15BC00A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E3052A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B4A0BAD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2AEC983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755C04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7CC7B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C9260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6B48" w14:textId="781C5291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1.8</w:t>
            </w:r>
            <w:r w:rsidR="00A92E8C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86D0A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C0833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37820" w14:textId="77777777" w:rsidR="00EC1351" w:rsidRPr="00EC1351" w:rsidRDefault="00EC1351" w:rsidP="00674BDF">
            <w:pPr>
              <w:spacing w:line="480" w:lineRule="auto"/>
              <w:jc w:val="right"/>
              <w:rPr>
                <w:color w:val="000000"/>
              </w:rPr>
            </w:pPr>
            <w:r w:rsidRPr="00EC1351">
              <w:rPr>
                <w:color w:val="000000"/>
              </w:rPr>
              <w:t>1.78</w:t>
            </w:r>
          </w:p>
        </w:tc>
      </w:tr>
    </w:tbl>
    <w:p w14:paraId="478FE08A" w14:textId="40EC9B26" w:rsidR="009C1506" w:rsidRDefault="00410AB2" w:rsidP="009C1506">
      <w:pPr>
        <w:rPr>
          <w:lang w:val="en-CA"/>
        </w:rPr>
      </w:pPr>
      <w:r>
        <w:rPr>
          <w:lang w:val="en-CA"/>
        </w:rPr>
        <w:t>CI: Confidence interval</w:t>
      </w:r>
    </w:p>
    <w:p w14:paraId="647BF40A" w14:textId="0A31E0E2" w:rsidR="005A0839" w:rsidRDefault="005A0839" w:rsidP="009C1506">
      <w:pPr>
        <w:rPr>
          <w:lang w:val="en-CA"/>
        </w:rPr>
      </w:pPr>
      <w:proofErr w:type="spellStart"/>
      <w:r>
        <w:rPr>
          <w:lang w:val="en-CA"/>
        </w:rPr>
        <w:lastRenderedPageBreak/>
        <w:t>aOR</w:t>
      </w:r>
      <w:proofErr w:type="spellEnd"/>
      <w:r>
        <w:rPr>
          <w:lang w:val="en-CA"/>
        </w:rPr>
        <w:t>: Adjusted odds ratio</w:t>
      </w:r>
    </w:p>
    <w:p w14:paraId="024E2018" w14:textId="368CFF5E" w:rsidR="005A0839" w:rsidRPr="00EC1351" w:rsidRDefault="005A0839" w:rsidP="009C1506">
      <w:pPr>
        <w:rPr>
          <w:b/>
          <w:lang w:val="en-CA"/>
        </w:rPr>
      </w:pPr>
      <w:r>
        <w:rPr>
          <w:lang w:val="en-CA"/>
        </w:rPr>
        <w:t>Ref: Reference group</w:t>
      </w:r>
    </w:p>
    <w:p w14:paraId="30DFBCBF" w14:textId="77777777" w:rsidR="006E6B30" w:rsidRDefault="006E6B30" w:rsidP="006E6B30">
      <w:pPr>
        <w:rPr>
          <w:lang w:val="en-CA"/>
        </w:rPr>
      </w:pPr>
      <w:r>
        <w:rPr>
          <w:lang w:val="en-CA"/>
        </w:rPr>
        <w:t>*Adjusted for age, annual income, race/ethnicity, educational attainment, current partner status, and HIV serostatus</w:t>
      </w:r>
    </w:p>
    <w:p w14:paraId="75A5EB91" w14:textId="1258B0C6" w:rsidR="009C1506" w:rsidRPr="00EC1351" w:rsidRDefault="006E6B30" w:rsidP="006E6B30">
      <w:pPr>
        <w:rPr>
          <w:b/>
          <w:lang w:val="en-CA"/>
        </w:rPr>
      </w:pPr>
      <w:r w:rsidRPr="00AE160F">
        <w:rPr>
          <w:bCs/>
          <w:color w:val="000000"/>
        </w:rPr>
        <w:t>†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8427F">
        <w:rPr>
          <w:lang w:val="en-CA"/>
        </w:rPr>
        <w:t xml:space="preserve">Adjusted for past </w:t>
      </w:r>
      <w:proofErr w:type="gramStart"/>
      <w:r w:rsidRPr="00D8427F">
        <w:rPr>
          <w:lang w:val="en-CA"/>
        </w:rPr>
        <w:t>6 month</w:t>
      </w:r>
      <w:proofErr w:type="gramEnd"/>
      <w:r w:rsidRPr="00D8427F">
        <w:rPr>
          <w:lang w:val="en-CA"/>
        </w:rPr>
        <w:t xml:space="preserve"> sexual partner number, in addition to age, annual income, race/ethnicity, educational attainment, current partner status, and HIV serostatus</w:t>
      </w:r>
    </w:p>
    <w:p w14:paraId="23CB8E14" w14:textId="77777777" w:rsidR="00437E21" w:rsidRDefault="00437E21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02B6FB4B" w14:textId="77777777" w:rsidR="007649E8" w:rsidRDefault="007649E8">
      <w:pPr>
        <w:rPr>
          <w:b/>
          <w:lang w:val="en-CA"/>
        </w:rPr>
        <w:sectPr w:rsidR="007649E8" w:rsidSect="002711C9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3708BBA" w14:textId="1D7FC92E" w:rsidR="00A25B67" w:rsidRPr="00437E21" w:rsidRDefault="007D0197" w:rsidP="00B817AD">
      <w:pPr>
        <w:outlineLvl w:val="0"/>
        <w:rPr>
          <w:b/>
          <w:lang w:val="en-CA"/>
        </w:rPr>
      </w:pPr>
      <w:r>
        <w:rPr>
          <w:b/>
          <w:lang w:val="en-CA"/>
        </w:rPr>
        <w:lastRenderedPageBreak/>
        <w:t>References</w:t>
      </w:r>
    </w:p>
    <w:p w14:paraId="3A8D383F" w14:textId="77777777" w:rsidR="003F150D" w:rsidRPr="00EC1351" w:rsidRDefault="003F150D">
      <w:pPr>
        <w:rPr>
          <w:lang w:val="en-CA"/>
        </w:rPr>
      </w:pPr>
    </w:p>
    <w:p w14:paraId="2B6D3934" w14:textId="56E3BA1C" w:rsidR="0038517F" w:rsidRDefault="00A25B67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 w:rsidRPr="00EC1351">
        <w:rPr>
          <w:lang w:val="en-CA"/>
        </w:rPr>
        <w:fldChar w:fldCharType="begin"/>
      </w:r>
      <w:r w:rsidRPr="00EC1351">
        <w:rPr>
          <w:lang w:val="en-CA"/>
        </w:rPr>
        <w:instrText xml:space="preserve"> ADDIN PAPERS2_CITATIONS &lt;papers2_bibliography/&gt;</w:instrText>
      </w:r>
      <w:r w:rsidRPr="00EC1351">
        <w:rPr>
          <w:lang w:val="en-CA"/>
        </w:rPr>
        <w:fldChar w:fldCharType="separate"/>
      </w:r>
      <w:r w:rsidR="0038517F">
        <w:rPr>
          <w:rFonts w:eastAsiaTheme="minorHAnsi"/>
        </w:rPr>
        <w:t>38th Parliament of Canada</w:t>
      </w:r>
      <w:r w:rsidR="00A533D6">
        <w:rPr>
          <w:rFonts w:eastAsiaTheme="minorHAnsi"/>
        </w:rPr>
        <w:t>, 1</w:t>
      </w:r>
      <w:r w:rsidR="00A533D6" w:rsidRPr="00A533D6">
        <w:rPr>
          <w:rFonts w:eastAsiaTheme="minorHAnsi"/>
          <w:vertAlign w:val="superscript"/>
        </w:rPr>
        <w:t>st</w:t>
      </w:r>
      <w:r w:rsidR="00A533D6">
        <w:rPr>
          <w:rFonts w:eastAsiaTheme="minorHAnsi"/>
        </w:rPr>
        <w:t xml:space="preserve"> Session</w:t>
      </w:r>
      <w:r w:rsidR="0038517F">
        <w:rPr>
          <w:rFonts w:eastAsiaTheme="minorHAnsi"/>
        </w:rPr>
        <w:t>. Bill C-38</w:t>
      </w:r>
      <w:r w:rsidR="00A533D6">
        <w:rPr>
          <w:rFonts w:eastAsiaTheme="minorHAnsi"/>
        </w:rPr>
        <w:t>: The Civil Marriage Act (2005)</w:t>
      </w:r>
      <w:r w:rsidR="0038517F">
        <w:rPr>
          <w:rFonts w:eastAsiaTheme="minorHAnsi"/>
        </w:rPr>
        <w:t>.</w:t>
      </w:r>
      <w:r w:rsidR="00A533D6">
        <w:rPr>
          <w:rFonts w:eastAsiaTheme="minorHAnsi"/>
        </w:rPr>
        <w:t xml:space="preserve"> </w:t>
      </w:r>
      <w:r w:rsidR="00A533D6">
        <w:t xml:space="preserve">Retrieved from the Parliament of Canada website: </w:t>
      </w:r>
      <w:r w:rsidR="00A533D6" w:rsidRPr="00571F4D">
        <w:t>http://www.parl.ca/DocumentViewer/en/38-1/bill/C-38/royal-assent</w:t>
      </w:r>
    </w:p>
    <w:p w14:paraId="18383791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Allison, P. D. (2012). Logistic regression using SAS. Cary, North Carolina: SAS Press.</w:t>
      </w:r>
    </w:p>
    <w:p w14:paraId="3FB86794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Bauer, G. R., &amp; Brennan, D. J. (2013). The problem with ‘behavioral bisexuality': Assessing sexual orientation in survey research. </w:t>
      </w:r>
      <w:r>
        <w:rPr>
          <w:rFonts w:eastAsiaTheme="minorHAnsi"/>
          <w:i/>
          <w:iCs/>
        </w:rPr>
        <w:t>Journal of Bisexuality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13</w:t>
      </w:r>
      <w:r>
        <w:rPr>
          <w:rFonts w:eastAsiaTheme="minorHAnsi"/>
        </w:rPr>
        <w:t>(2), 148–165. http://doi.org/10.1080/15299716.2013.782260</w:t>
      </w:r>
    </w:p>
    <w:p w14:paraId="206A718F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Bauer, G. R., &amp; Jairam, J. A. (2008). Are lesbians really women who have sex with women (WSW)? Methodological concerns in measuring sexual orientation in health research. </w:t>
      </w:r>
      <w:r>
        <w:rPr>
          <w:rFonts w:eastAsiaTheme="minorHAnsi"/>
          <w:i/>
          <w:iCs/>
        </w:rPr>
        <w:t>Women &amp; Health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48</w:t>
      </w:r>
      <w:r>
        <w:rPr>
          <w:rFonts w:eastAsiaTheme="minorHAnsi"/>
        </w:rPr>
        <w:t>(4), 383–408. http://doi.org/10.1080/03630240802575120</w:t>
      </w:r>
    </w:p>
    <w:p w14:paraId="2E9337CB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Bjelland, I., Dahl, A. A., Haug, T. T., &amp; Neckelmann, D. (2002). The validity of the Hospital Anxiety and Depression Scale. </w:t>
      </w:r>
      <w:r>
        <w:rPr>
          <w:rFonts w:eastAsiaTheme="minorHAnsi"/>
          <w:i/>
          <w:iCs/>
        </w:rPr>
        <w:t>Journal of Psychosomatic Research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52</w:t>
      </w:r>
      <w:r>
        <w:rPr>
          <w:rFonts w:eastAsiaTheme="minorHAnsi"/>
        </w:rPr>
        <w:t>(2), 69–77. http://doi.org/10.1016/S0022-3999(01)00296-3</w:t>
      </w:r>
    </w:p>
    <w:p w14:paraId="60D02D1A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Blair, J. (1999). A probability sample of gay urban males: The use of two</w:t>
      </w:r>
      <w:r>
        <w:rPr>
          <w:rFonts w:ascii="Cambria Math" w:eastAsiaTheme="minorHAnsi" w:hAnsi="Cambria Math" w:cs="Cambria Math"/>
        </w:rPr>
        <w:t>‐</w:t>
      </w:r>
      <w:r>
        <w:rPr>
          <w:rFonts w:eastAsiaTheme="minorHAnsi"/>
        </w:rPr>
        <w:t xml:space="preserve">phase adaptive sampling. </w:t>
      </w:r>
      <w:r>
        <w:rPr>
          <w:rFonts w:eastAsiaTheme="minorHAnsi"/>
          <w:i/>
          <w:iCs/>
        </w:rPr>
        <w:t>Journal of Sex Research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36</w:t>
      </w:r>
      <w:r>
        <w:rPr>
          <w:rFonts w:eastAsiaTheme="minorHAnsi"/>
        </w:rPr>
        <w:t>(1), 39–44. http://doi.org/10.1080/00224499909551965</w:t>
      </w:r>
    </w:p>
    <w:p w14:paraId="2D5F2DCA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Bostwick, W. B., Boyd, C. J., Hughes, T. L., &amp; McCabe, S. E. (2010). Dimensions of sexual orientation and the prevalence of mood and anxiety disorders in the United States. </w:t>
      </w:r>
      <w:r>
        <w:rPr>
          <w:rFonts w:eastAsiaTheme="minorHAnsi"/>
          <w:i/>
          <w:iCs/>
        </w:rPr>
        <w:t>American Journal of Public Health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100</w:t>
      </w:r>
      <w:r>
        <w:rPr>
          <w:rFonts w:eastAsiaTheme="minorHAnsi"/>
        </w:rPr>
        <w:t>(3), 468–475. http://doi.org/10.2105/AJPH.2008.152942</w:t>
      </w:r>
    </w:p>
    <w:p w14:paraId="376C7513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Bostwick, W. B., Boyd, C. J., Hughes, T. L., West, B. T., &amp; McCabe, S. E. (2014). Discrimination and mental health among lesbian, gay, and bisexual adults in the United </w:t>
      </w:r>
      <w:r>
        <w:rPr>
          <w:rFonts w:eastAsiaTheme="minorHAnsi"/>
        </w:rPr>
        <w:lastRenderedPageBreak/>
        <w:t xml:space="preserve">States. </w:t>
      </w:r>
      <w:r>
        <w:rPr>
          <w:rFonts w:eastAsiaTheme="minorHAnsi"/>
          <w:i/>
          <w:iCs/>
        </w:rPr>
        <w:t>The American Journal of Orthopsychiatry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84</w:t>
      </w:r>
      <w:r>
        <w:rPr>
          <w:rFonts w:eastAsiaTheme="minorHAnsi"/>
        </w:rPr>
        <w:t>(1), 35–45. http://doi.org/10.1037/h0098851</w:t>
      </w:r>
    </w:p>
    <w:p w14:paraId="56D439CF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Brennan, D. J., Ross, L. E., Dobinson, C., Veldhuizen, S., &amp; Steele, L. S. (2010). Men's sexual orientation and health in Canada. </w:t>
      </w:r>
      <w:r>
        <w:rPr>
          <w:rFonts w:eastAsiaTheme="minorHAnsi"/>
          <w:i/>
          <w:iCs/>
        </w:rPr>
        <w:t>Canadian Journal of Public Health = Revue Canadienne De Santé Publique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101</w:t>
      </w:r>
      <w:r>
        <w:rPr>
          <w:rFonts w:eastAsiaTheme="minorHAnsi"/>
        </w:rPr>
        <w:t>(3), 255–258.</w:t>
      </w:r>
    </w:p>
    <w:p w14:paraId="26BAA739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Chesney, E., Goodwin, G. M., &amp; Fazel, S. (2014). Risks of all-cause and suicide mortality in mental disorders: a meta-review. </w:t>
      </w:r>
      <w:r>
        <w:rPr>
          <w:rFonts w:eastAsiaTheme="minorHAnsi"/>
          <w:i/>
          <w:iCs/>
        </w:rPr>
        <w:t>World Psychiatry : Official Journal of the World Psychiatric Association (WPA)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13</w:t>
      </w:r>
      <w:r>
        <w:rPr>
          <w:rFonts w:eastAsiaTheme="minorHAnsi"/>
        </w:rPr>
        <w:t>(2), 153–160. http://doi.org/10.1002/wps.20128</w:t>
      </w:r>
    </w:p>
    <w:p w14:paraId="61ADF432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CIHI. (2007). </w:t>
      </w:r>
      <w:r>
        <w:rPr>
          <w:rFonts w:eastAsiaTheme="minorHAnsi"/>
          <w:i/>
          <w:iCs/>
        </w:rPr>
        <w:t>Improving the Health of Canadians: Mental Health and Homelessness</w:t>
      </w:r>
      <w:r>
        <w:rPr>
          <w:rFonts w:eastAsiaTheme="minorHAnsi"/>
        </w:rPr>
        <w:t xml:space="preserve"> (pp. 1–70). Ottawa: Canadian Institute for Health Information.</w:t>
      </w:r>
    </w:p>
    <w:p w14:paraId="697E0EBC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Cochran, S. D., &amp; Mays, V. M. (2009). Burden of psychiatric morbidity among lesbian, gay, and bisexual individuals in the California Quality of Life Survey. </w:t>
      </w:r>
      <w:r>
        <w:rPr>
          <w:rFonts w:eastAsiaTheme="minorHAnsi"/>
          <w:i/>
          <w:iCs/>
        </w:rPr>
        <w:t>Journal of Abnormal Psychology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118</w:t>
      </w:r>
      <w:r>
        <w:rPr>
          <w:rFonts w:eastAsiaTheme="minorHAnsi"/>
        </w:rPr>
        <w:t>(3), 647–658. http://doi.org/10.1037/a0016501</w:t>
      </w:r>
    </w:p>
    <w:p w14:paraId="240823B5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Dodge, B., Schnarrs, P. W., Goncalves, G., Malebranche, D., Martinez, O., Reece, M., et al. (2012a). The significance of privacy and trust in providing health-related services to behaviorally bisexual men in the United States. </w:t>
      </w:r>
      <w:r>
        <w:rPr>
          <w:rFonts w:eastAsiaTheme="minorHAnsi"/>
          <w:i/>
          <w:iCs/>
        </w:rPr>
        <w:t>AIDS Education and Prevention : Official Publication of the International Society for AIDS Education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24</w:t>
      </w:r>
      <w:r>
        <w:rPr>
          <w:rFonts w:eastAsiaTheme="minorHAnsi"/>
        </w:rPr>
        <w:t>(3), 242–256. http://doi.org/10.1521/aeap.2012.24.3.242</w:t>
      </w:r>
    </w:p>
    <w:p w14:paraId="674E8F53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Dodge, B., Schnarrs, P. W., Reece, M., Goncalves, G., Martinez, O., Nix, R., et al. (2012b). Community involvement among behaviourally bisexual men in the Midwestern USA: experiences and perceptions across communities. </w:t>
      </w:r>
      <w:r>
        <w:rPr>
          <w:rFonts w:eastAsiaTheme="minorHAnsi"/>
          <w:i/>
          <w:iCs/>
        </w:rPr>
        <w:t>Culture, Health &amp; Sexuality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14</w:t>
      </w:r>
      <w:r>
        <w:rPr>
          <w:rFonts w:eastAsiaTheme="minorHAnsi"/>
        </w:rPr>
        <w:t>(9), 1095–1110. http://doi.org/10.1080/13691058.2012.721136</w:t>
      </w:r>
    </w:p>
    <w:p w14:paraId="4BDD4250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lastRenderedPageBreak/>
        <w:t xml:space="preserve">Ferlatte, O., Hottes, T. S., Trussler, T., &amp; Marchand, R. (2017). Disclosure of sexual orientation by gay and bisexual men in government-administered probability surveys. </w:t>
      </w:r>
      <w:r>
        <w:rPr>
          <w:rFonts w:eastAsiaTheme="minorHAnsi"/>
          <w:i/>
          <w:iCs/>
        </w:rPr>
        <w:t>LGBT Health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4</w:t>
      </w:r>
      <w:r>
        <w:rPr>
          <w:rFonts w:eastAsiaTheme="minorHAnsi"/>
        </w:rPr>
        <w:t>(1), 68–71. http://doi.org/10.1089/lgbt.2016.0037</w:t>
      </w:r>
    </w:p>
    <w:p w14:paraId="0245C4C4" w14:textId="22170CCE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Friedman, M. R., Dodge, B., Schick, V., &amp; Herbenick, D. (2014). From bias to bisexual health disparities: Attitudes toward bisexual men and women in the United States. </w:t>
      </w:r>
      <w:r w:rsidR="000F2C83">
        <w:rPr>
          <w:rFonts w:eastAsiaTheme="minorHAnsi"/>
          <w:i/>
          <w:iCs/>
        </w:rPr>
        <w:t>LGBT Health, 1</w:t>
      </w:r>
      <w:r w:rsidR="000F2C83">
        <w:rPr>
          <w:rFonts w:eastAsiaTheme="minorHAnsi"/>
          <w:iCs/>
        </w:rPr>
        <w:t>(4), 309-318.</w:t>
      </w:r>
      <w:r>
        <w:rPr>
          <w:rFonts w:eastAsiaTheme="minorHAnsi"/>
        </w:rPr>
        <w:t xml:space="preserve"> http://doi.org/10.1089/lgbt.2014.0005</w:t>
      </w:r>
    </w:p>
    <w:p w14:paraId="499A548A" w14:textId="0D21AE0E" w:rsidR="0038517F" w:rsidRDefault="00685844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Galupo, M</w:t>
      </w:r>
      <w:r w:rsidR="006C7F2E">
        <w:rPr>
          <w:rFonts w:eastAsiaTheme="minorHAnsi"/>
        </w:rPr>
        <w:t>. Plurisexual identity labels and the marking of bisexual d</w:t>
      </w:r>
      <w:r w:rsidR="0038517F">
        <w:rPr>
          <w:rFonts w:eastAsiaTheme="minorHAnsi"/>
        </w:rPr>
        <w:t xml:space="preserve">esire. In D. Swan &amp; S. Habibi (Eds.), </w:t>
      </w:r>
      <w:r w:rsidR="0038517F">
        <w:rPr>
          <w:rFonts w:eastAsiaTheme="minorHAnsi"/>
          <w:i/>
          <w:iCs/>
        </w:rPr>
        <w:t>Bisexuality</w:t>
      </w:r>
      <w:r w:rsidR="0038517F">
        <w:rPr>
          <w:rFonts w:eastAsiaTheme="minorHAnsi"/>
        </w:rPr>
        <w:t xml:space="preserve"> (pp. 61–75). Cham: Springer</w:t>
      </w:r>
      <w:r>
        <w:rPr>
          <w:rFonts w:eastAsiaTheme="minorHAnsi"/>
        </w:rPr>
        <w:t>.</w:t>
      </w:r>
    </w:p>
    <w:p w14:paraId="40AA1AF6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. http://doi.org/10.1007/978-3-319-71535-3_4</w:t>
      </w:r>
    </w:p>
    <w:p w14:paraId="58D91E44" w14:textId="0647B28C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Heckat</w:t>
      </w:r>
      <w:r w:rsidR="00971C9E">
        <w:rPr>
          <w:rFonts w:eastAsiaTheme="minorHAnsi"/>
        </w:rPr>
        <w:t>horn, D. D. (1997). Respondent-driven s</w:t>
      </w:r>
      <w:r>
        <w:rPr>
          <w:rFonts w:eastAsiaTheme="minorHAnsi"/>
        </w:rPr>
        <w:t>a</w:t>
      </w:r>
      <w:r w:rsidR="00971C9E">
        <w:rPr>
          <w:rFonts w:eastAsiaTheme="minorHAnsi"/>
        </w:rPr>
        <w:t>mpling: A new approach to the study of hidden p</w:t>
      </w:r>
      <w:r>
        <w:rPr>
          <w:rFonts w:eastAsiaTheme="minorHAnsi"/>
        </w:rPr>
        <w:t xml:space="preserve">opulations. </w:t>
      </w:r>
      <w:r>
        <w:rPr>
          <w:rFonts w:eastAsiaTheme="minorHAnsi"/>
          <w:i/>
          <w:iCs/>
        </w:rPr>
        <w:t>Social Problems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44</w:t>
      </w:r>
      <w:r>
        <w:rPr>
          <w:rFonts w:eastAsiaTheme="minorHAnsi"/>
        </w:rPr>
        <w:t>(2), 174–199. http://doi.org/10.2307/3096941</w:t>
      </w:r>
    </w:p>
    <w:p w14:paraId="1C6AFACF" w14:textId="081D42E4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Heckat</w:t>
      </w:r>
      <w:r w:rsidR="00213310">
        <w:rPr>
          <w:rFonts w:eastAsiaTheme="minorHAnsi"/>
        </w:rPr>
        <w:t>horn, D. D. (2002). Respondent-driven sampling II: Deriving valid population estimates from chain-referral samples of hidden p</w:t>
      </w:r>
      <w:r>
        <w:rPr>
          <w:rFonts w:eastAsiaTheme="minorHAnsi"/>
        </w:rPr>
        <w:t xml:space="preserve">opulations. </w:t>
      </w:r>
      <w:r>
        <w:rPr>
          <w:rFonts w:eastAsiaTheme="minorHAnsi"/>
          <w:i/>
          <w:iCs/>
        </w:rPr>
        <w:t>Social Problems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49</w:t>
      </w:r>
      <w:r>
        <w:rPr>
          <w:rFonts w:eastAsiaTheme="minorHAnsi"/>
        </w:rPr>
        <w:t>(1), 11–34. http://doi.org/10.1525/sp.2002.49.1.11</w:t>
      </w:r>
    </w:p>
    <w:p w14:paraId="4F24A473" w14:textId="5E9E0021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Hottes, T. S., Ferlatte, O., &amp; Gesink, D. (2014). Suicide and HIV as leading causes of death among gay and bisexual men: a comparison of estimated mortality and published research. </w:t>
      </w:r>
      <w:r w:rsidR="00770F72">
        <w:rPr>
          <w:rFonts w:eastAsiaTheme="minorHAnsi"/>
          <w:i/>
          <w:iCs/>
        </w:rPr>
        <w:t>Critical Public Health</w:t>
      </w:r>
      <w:r w:rsidR="00770F72">
        <w:rPr>
          <w:rFonts w:eastAsiaTheme="minorHAnsi"/>
          <w:i/>
        </w:rPr>
        <w:t>, 25</w:t>
      </w:r>
      <w:r w:rsidR="00770F72">
        <w:rPr>
          <w:rFonts w:eastAsiaTheme="minorHAnsi"/>
        </w:rPr>
        <w:t>(5)</w:t>
      </w:r>
      <w:r>
        <w:rPr>
          <w:rFonts w:eastAsiaTheme="minorHAnsi"/>
        </w:rPr>
        <w:t>, 1–14. http://doi.org/10.1080/09581596.2014.946887</w:t>
      </w:r>
    </w:p>
    <w:p w14:paraId="4BC5B408" w14:textId="00BF60E5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Hottes, T. S., Ferlatte, O., &amp; Gilbert, M.</w:t>
      </w:r>
      <w:r w:rsidR="00D37B9A">
        <w:rPr>
          <w:rFonts w:eastAsiaTheme="minorHAnsi"/>
        </w:rPr>
        <w:t xml:space="preserve"> (2015). Misclassification and undersampling of sexual minorities in population s</w:t>
      </w:r>
      <w:r>
        <w:rPr>
          <w:rFonts w:eastAsiaTheme="minorHAnsi"/>
        </w:rPr>
        <w:t xml:space="preserve">urveys. </w:t>
      </w:r>
      <w:r>
        <w:rPr>
          <w:rFonts w:eastAsiaTheme="minorHAnsi"/>
          <w:i/>
          <w:iCs/>
        </w:rPr>
        <w:t>American Journal of Public Health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105</w:t>
      </w:r>
      <w:r>
        <w:rPr>
          <w:rFonts w:eastAsiaTheme="minorHAnsi"/>
        </w:rPr>
        <w:t>(1), e5. http://doi.org/10.2105/AJPH.2014.302408</w:t>
      </w:r>
    </w:p>
    <w:p w14:paraId="7A987217" w14:textId="0E5B78E1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IOM (Insti</w:t>
      </w:r>
      <w:r w:rsidR="00786A03">
        <w:rPr>
          <w:rFonts w:eastAsiaTheme="minorHAnsi"/>
        </w:rPr>
        <w:t>tute of Medicine). (2011). The h</w:t>
      </w:r>
      <w:r>
        <w:rPr>
          <w:rFonts w:eastAsiaTheme="minorHAnsi"/>
        </w:rPr>
        <w:t>ealth of Lesbian, Gay, Bisex</w:t>
      </w:r>
      <w:r w:rsidR="00786A03">
        <w:rPr>
          <w:rFonts w:eastAsiaTheme="minorHAnsi"/>
        </w:rPr>
        <w:t>ual, and Transgender people: Building a foundation for better u</w:t>
      </w:r>
      <w:r>
        <w:rPr>
          <w:rFonts w:eastAsiaTheme="minorHAnsi"/>
        </w:rPr>
        <w:t>nderstanding. http://doi.org/10.17226/13128</w:t>
      </w:r>
    </w:p>
    <w:p w14:paraId="455DDEBB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lastRenderedPageBreak/>
        <w:t xml:space="preserve">Kendall, C., Kerr, L. R. F. S., Gondim, R. C., Werneck, G. L., Macena, R. H. M., Pontes, M. K., et al. (2008). An empirical comparison of respondent-driven sampling, time location sampling, and snowball sampling for behavioral surveillance in men who have sex with men, Fortaleza, Brazil. </w:t>
      </w:r>
      <w:r>
        <w:rPr>
          <w:rFonts w:eastAsiaTheme="minorHAnsi"/>
          <w:i/>
          <w:iCs/>
        </w:rPr>
        <w:t>AIDS and Behavior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12</w:t>
      </w:r>
      <w:r>
        <w:rPr>
          <w:rFonts w:eastAsiaTheme="minorHAnsi"/>
        </w:rPr>
        <w:t>(4 Suppl), S97–104. http://doi.org/10.1007/s10461-008-9390-4</w:t>
      </w:r>
    </w:p>
    <w:p w14:paraId="3D3687DF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King, M., Semlyen, J., Tai, S. S., Killaspy, H., Osborn, D., Popelyuk, D., &amp; Nazareth, I. (2008). A systematic review of mental disorder, suicide, and deliberate self harm in lesbian, gay and bisexual people. </w:t>
      </w:r>
      <w:r>
        <w:rPr>
          <w:rFonts w:eastAsiaTheme="minorHAnsi"/>
          <w:i/>
          <w:iCs/>
        </w:rPr>
        <w:t>BMC Psychiatry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8</w:t>
      </w:r>
      <w:r>
        <w:rPr>
          <w:rFonts w:eastAsiaTheme="minorHAnsi"/>
        </w:rPr>
        <w:t>(1), 552. http://doi.org/10.1186/1471-244X-8-70</w:t>
      </w:r>
    </w:p>
    <w:p w14:paraId="70074AFA" w14:textId="08C5DF86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Lansky, A., Abdul-Quader, A. S., Cribbin, M., Hall, T., Finlayson, T. J., Garfein, R. S., et al. (2007). Developing an HIV behavioral surveillance system for injecting drug users: the National HIV Behavioral Surveillance System. </w:t>
      </w:r>
      <w:r>
        <w:rPr>
          <w:rFonts w:eastAsiaTheme="minorHAnsi"/>
          <w:i/>
          <w:iCs/>
        </w:rPr>
        <w:t>Public Health Reports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122 Suppl 1</w:t>
      </w:r>
      <w:r>
        <w:rPr>
          <w:rFonts w:eastAsiaTheme="minorHAnsi"/>
        </w:rPr>
        <w:t>, 48–55.</w:t>
      </w:r>
    </w:p>
    <w:p w14:paraId="62D45846" w14:textId="1F46616F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Laumann, E. O., Gagnon, J. H., Michael, R. </w:t>
      </w:r>
      <w:r w:rsidR="0012344A">
        <w:rPr>
          <w:rFonts w:eastAsiaTheme="minorHAnsi"/>
        </w:rPr>
        <w:t>T., &amp; Michaels, S. (1994). The social organization of s</w:t>
      </w:r>
      <w:r w:rsidR="005C21EF">
        <w:rPr>
          <w:rFonts w:eastAsiaTheme="minorHAnsi"/>
        </w:rPr>
        <w:t>exuality. Chicago</w:t>
      </w:r>
      <w:r>
        <w:rPr>
          <w:rFonts w:eastAsiaTheme="minorHAnsi"/>
        </w:rPr>
        <w:t>: University of Chicago Press.</w:t>
      </w:r>
    </w:p>
    <w:p w14:paraId="074B4E39" w14:textId="7BF46744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Lim, K.-L., Jacobs, P., Ohinmaa, A., Schopflocher, D., &amp; Dewa, C. S. (2008). A new population-based measure of the economic burden of mental illness in Canada. </w:t>
      </w:r>
      <w:r>
        <w:rPr>
          <w:rFonts w:eastAsiaTheme="minorHAnsi"/>
          <w:i/>
          <w:iCs/>
        </w:rPr>
        <w:t>Chronic Diseases in Canada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28</w:t>
      </w:r>
      <w:r>
        <w:rPr>
          <w:rFonts w:eastAsiaTheme="minorHAnsi"/>
        </w:rPr>
        <w:t xml:space="preserve">(3), 92–98. </w:t>
      </w:r>
    </w:p>
    <w:p w14:paraId="6F049D8C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Maldonado, G., &amp; Greenland, S. (1993). Simulation study of confounder-selection strategies. </w:t>
      </w:r>
      <w:r>
        <w:rPr>
          <w:rFonts w:eastAsiaTheme="minorHAnsi"/>
          <w:i/>
          <w:iCs/>
        </w:rPr>
        <w:t>American Journal of Epidemiology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138</w:t>
      </w:r>
      <w:r>
        <w:rPr>
          <w:rFonts w:eastAsiaTheme="minorHAnsi"/>
        </w:rPr>
        <w:t>(11), 923–936.</w:t>
      </w:r>
    </w:p>
    <w:p w14:paraId="1F1CF095" w14:textId="6E620A6B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Marshal, M. P., Dietz, L. J., Friedman, M. S., Stall, R., Smith, H. A., McGinley, J., et al</w:t>
      </w:r>
      <w:r w:rsidR="000474E0">
        <w:rPr>
          <w:rFonts w:eastAsiaTheme="minorHAnsi"/>
        </w:rPr>
        <w:t>. (2011). Suicidality and depression disparities between sexual minority and heterosexual youth: A meta-analytic r</w:t>
      </w:r>
      <w:r>
        <w:rPr>
          <w:rFonts w:eastAsiaTheme="minorHAnsi"/>
        </w:rPr>
        <w:t xml:space="preserve">eview. </w:t>
      </w:r>
      <w:r>
        <w:rPr>
          <w:rFonts w:eastAsiaTheme="minorHAnsi"/>
          <w:i/>
          <w:iCs/>
        </w:rPr>
        <w:t>Journal of Adolescent Health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49</w:t>
      </w:r>
      <w:r>
        <w:rPr>
          <w:rFonts w:eastAsiaTheme="minorHAnsi"/>
        </w:rPr>
        <w:t>(2), 115–123. http://doi.org/10.1016/j.jadohealth.2011.02.005</w:t>
      </w:r>
    </w:p>
    <w:p w14:paraId="34464D2F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lastRenderedPageBreak/>
        <w:t xml:space="preserve">Mawani, F. N., &amp; Gilmour, H. (2010). </w:t>
      </w:r>
      <w:r>
        <w:rPr>
          <w:rFonts w:eastAsiaTheme="minorHAnsi"/>
          <w:i/>
          <w:iCs/>
        </w:rPr>
        <w:t>Validation of self-rated mental health</w:t>
      </w:r>
      <w:r>
        <w:rPr>
          <w:rFonts w:eastAsiaTheme="minorHAnsi"/>
        </w:rPr>
        <w:t xml:space="preserve"> (82nd ed.). Ottawa: Statistics Canada.</w:t>
      </w:r>
    </w:p>
    <w:p w14:paraId="080BE1BD" w14:textId="585B6DFE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McCabe, S. E., Hughes, T. L., Bostwick, W. B., West, B. T., &amp; Boyd, C. J. (2009). Sexual orientation, substance use behaviors and substance dependence in the United States. </w:t>
      </w:r>
      <w:r>
        <w:rPr>
          <w:rFonts w:eastAsiaTheme="minorHAnsi"/>
          <w:i/>
          <w:iCs/>
        </w:rPr>
        <w:t>Addiction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104</w:t>
      </w:r>
      <w:r>
        <w:rPr>
          <w:rFonts w:eastAsiaTheme="minorHAnsi"/>
        </w:rPr>
        <w:t>(8), 1333–1345. http://doi.org/10.1111/j.1360-0443.2009.02596.x</w:t>
      </w:r>
    </w:p>
    <w:p w14:paraId="4ADFC515" w14:textId="0D2C7798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McCabe, S. E., Hughes, T. L., Bostwick, W., &amp; Boyd, C. J. (2015). Assessment of difference in dimensions of sexual orientation: implications for substance use research in a college-age population. </w:t>
      </w:r>
      <w:r>
        <w:rPr>
          <w:rFonts w:eastAsiaTheme="minorHAnsi"/>
          <w:i/>
          <w:iCs/>
        </w:rPr>
        <w:t>Journal of Studies on Alcohol</w:t>
      </w:r>
      <w:r w:rsidR="00F93539">
        <w:rPr>
          <w:rFonts w:eastAsiaTheme="minorHAnsi"/>
          <w:i/>
          <w:iCs/>
        </w:rPr>
        <w:t>, 66</w:t>
      </w:r>
      <w:r w:rsidR="00F93539">
        <w:rPr>
          <w:rFonts w:eastAsiaTheme="minorHAnsi"/>
          <w:iCs/>
        </w:rPr>
        <w:t>(5), 620-629</w:t>
      </w:r>
      <w:r>
        <w:rPr>
          <w:rFonts w:eastAsiaTheme="minorHAnsi"/>
        </w:rPr>
        <w:t>. http://doi.org/10.15288/jsa.2005.66.620</w:t>
      </w:r>
    </w:p>
    <w:p w14:paraId="0598A407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Meyer, I. H. (2003). Prejudice, social stress, and mental health in lesbian, gay, and bisexual populations: conceptual issues and research evidence. </w:t>
      </w:r>
      <w:r>
        <w:rPr>
          <w:rFonts w:eastAsiaTheme="minorHAnsi"/>
          <w:i/>
          <w:iCs/>
        </w:rPr>
        <w:t>Psychological Bulletin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129</w:t>
      </w:r>
      <w:r>
        <w:rPr>
          <w:rFonts w:eastAsiaTheme="minorHAnsi"/>
        </w:rPr>
        <w:t>(5), 674–697. http://doi.org/10.1037/0033-2909.129.5.674</w:t>
      </w:r>
    </w:p>
    <w:p w14:paraId="4BD95B83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Meyer, I. H., &amp; Wilson, P. A. (2009). Sampling lesbian, gay, and bisexual populations. </w:t>
      </w:r>
      <w:r>
        <w:rPr>
          <w:rFonts w:eastAsiaTheme="minorHAnsi"/>
          <w:i/>
          <w:iCs/>
        </w:rPr>
        <w:t>Journal of Counseling Psychology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56</w:t>
      </w:r>
      <w:r>
        <w:rPr>
          <w:rFonts w:eastAsiaTheme="minorHAnsi"/>
        </w:rPr>
        <w:t>(1), 23. http://doi.org/10.1037/a0014587</w:t>
      </w:r>
    </w:p>
    <w:p w14:paraId="6C98888E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Micallef, L., &amp; Rodgers, P. (2014). eulerAPE: drawing area-proportional 3-Venn diagrams using ellipses. </w:t>
      </w:r>
      <w:r>
        <w:rPr>
          <w:rFonts w:eastAsiaTheme="minorHAnsi"/>
          <w:i/>
          <w:iCs/>
        </w:rPr>
        <w:t>Plos One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9</w:t>
      </w:r>
      <w:r>
        <w:rPr>
          <w:rFonts w:eastAsiaTheme="minorHAnsi"/>
        </w:rPr>
        <w:t>(7), e101717. http://doi.org/10.1371/journal.pone.0101717</w:t>
      </w:r>
    </w:p>
    <w:p w14:paraId="32BB92DE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Midanik, L. T., Drabble, L., &amp; Trocki, K. (2007). Sexual orientation and alcohol use: Identity versus behavior measures. </w:t>
      </w:r>
      <w:r>
        <w:rPr>
          <w:rFonts w:eastAsiaTheme="minorHAnsi"/>
          <w:i/>
          <w:iCs/>
        </w:rPr>
        <w:t>Journal of LGBT Health Research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3</w:t>
      </w:r>
      <w:r>
        <w:rPr>
          <w:rFonts w:eastAsiaTheme="minorHAnsi"/>
        </w:rPr>
        <w:t>(1), 25–35. http://doi.org/10.1300/J463v03n01_04</w:t>
      </w:r>
    </w:p>
    <w:p w14:paraId="60FE1C0C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Mitchell, R. C., Davis, K. S., &amp; Galupo, M. P. (2014). Comparing perceived experiences of prejudice among self-identified plurisexual individuals. </w:t>
      </w:r>
      <w:r>
        <w:rPr>
          <w:rFonts w:eastAsiaTheme="minorHAnsi"/>
          <w:i/>
          <w:iCs/>
        </w:rPr>
        <w:t>Psychology &amp; Sexuality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6</w:t>
      </w:r>
      <w:r>
        <w:rPr>
          <w:rFonts w:eastAsiaTheme="minorHAnsi"/>
        </w:rPr>
        <w:t>(3), 245–257. http://doi.org/10.1080/19419899.2014.940372</w:t>
      </w:r>
    </w:p>
    <w:p w14:paraId="0F86EA8E" w14:textId="4BFD2EC0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lastRenderedPageBreak/>
        <w:t>Moore, D. M., Cui, Z., Lachowsky, N., Raymond, H. F., Roth, E.</w:t>
      </w:r>
      <w:r w:rsidR="00C72BE6">
        <w:rPr>
          <w:rFonts w:eastAsiaTheme="minorHAnsi"/>
        </w:rPr>
        <w:t>, Rich, A., et al. (2016). HIV community viral load and factors associated with elevated viremia among a c</w:t>
      </w:r>
      <w:r>
        <w:rPr>
          <w:rFonts w:eastAsiaTheme="minorHAnsi"/>
        </w:rPr>
        <w:t>ommunit</w:t>
      </w:r>
      <w:r w:rsidR="00C72BE6">
        <w:rPr>
          <w:rFonts w:eastAsiaTheme="minorHAnsi"/>
        </w:rPr>
        <w:t>y-based sample of men who have sex with m</w:t>
      </w:r>
      <w:r>
        <w:rPr>
          <w:rFonts w:eastAsiaTheme="minorHAnsi"/>
        </w:rPr>
        <w:t xml:space="preserve">en in Vancouver, Canada. </w:t>
      </w:r>
      <w:r>
        <w:rPr>
          <w:rFonts w:eastAsiaTheme="minorHAnsi"/>
          <w:i/>
          <w:iCs/>
        </w:rPr>
        <w:t>Journal of Acquired Immune Deficiency Syndromes (1999)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72</w:t>
      </w:r>
      <w:r>
        <w:rPr>
          <w:rFonts w:eastAsiaTheme="minorHAnsi"/>
        </w:rPr>
        <w:t>(1), 87–95. http://doi.org/10.1097/QAI.0000000000000934</w:t>
      </w:r>
    </w:p>
    <w:p w14:paraId="45E0F62B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Pakula, B., &amp; Shoveller, J. A. (2013). Sexual orientation and self-reported mood disorder diagnosis among Canadian adults. </w:t>
      </w:r>
      <w:r>
        <w:rPr>
          <w:rFonts w:eastAsiaTheme="minorHAnsi"/>
          <w:i/>
          <w:iCs/>
        </w:rPr>
        <w:t>BMC Public Health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13</w:t>
      </w:r>
      <w:r>
        <w:rPr>
          <w:rFonts w:eastAsiaTheme="minorHAnsi"/>
        </w:rPr>
        <w:t>(1), 1–1. http://doi.org/10.1186/1471-2458-13-209</w:t>
      </w:r>
    </w:p>
    <w:p w14:paraId="6250AC61" w14:textId="4610B484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Pakula, B., Marshall, B. D. L., Shoveller, J. A., Chesney, M. A., Coates, T. J., Koblin, B</w:t>
      </w:r>
      <w:r w:rsidR="00441283">
        <w:rPr>
          <w:rFonts w:eastAsiaTheme="minorHAnsi"/>
        </w:rPr>
        <w:t>., et al. (2016). Gradients in depressive s</w:t>
      </w:r>
      <w:r>
        <w:rPr>
          <w:rFonts w:eastAsiaTheme="minorHAnsi"/>
        </w:rPr>
        <w:t>ympto</w:t>
      </w:r>
      <w:r w:rsidR="00441283">
        <w:rPr>
          <w:rFonts w:eastAsiaTheme="minorHAnsi"/>
        </w:rPr>
        <w:t>ms by socioeconomic position among men who have sex with m</w:t>
      </w:r>
      <w:r>
        <w:rPr>
          <w:rFonts w:eastAsiaTheme="minorHAnsi"/>
        </w:rPr>
        <w:t xml:space="preserve">en in the EXPLORE Study. </w:t>
      </w:r>
      <w:r>
        <w:rPr>
          <w:rFonts w:eastAsiaTheme="minorHAnsi"/>
          <w:i/>
          <w:iCs/>
        </w:rPr>
        <w:t>Journal of Homosexuality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63</w:t>
      </w:r>
      <w:r>
        <w:rPr>
          <w:rFonts w:eastAsiaTheme="minorHAnsi"/>
        </w:rPr>
        <w:t>(8), 1146–1160. http://doi.org/10.1080/00918369.2016.1150056</w:t>
      </w:r>
    </w:p>
    <w:p w14:paraId="4BF2007F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Patten, S. B., Beck, C. A., Kassam, A., Williams, J. V. A., Barbui, C., &amp; Metz, L. M. (2005). Long-term medical conditions and major depression: strength of association for specific conditions in the general population. </w:t>
      </w:r>
      <w:r>
        <w:rPr>
          <w:rFonts w:eastAsiaTheme="minorHAnsi"/>
          <w:i/>
          <w:iCs/>
        </w:rPr>
        <w:t>The Canadian Journal of Psychiatry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50</w:t>
      </w:r>
      <w:r>
        <w:rPr>
          <w:rFonts w:eastAsiaTheme="minorHAnsi"/>
        </w:rPr>
        <w:t>(4), 195–202. http://doi.org/10.1177/070674370505000402</w:t>
      </w:r>
    </w:p>
    <w:p w14:paraId="1E09DA43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Pearson, C., Janz, T., &amp; Ali, J. (2013). </w:t>
      </w:r>
      <w:r>
        <w:rPr>
          <w:rFonts w:eastAsiaTheme="minorHAnsi"/>
          <w:i/>
          <w:iCs/>
        </w:rPr>
        <w:t>Mental health and substance use disorders in Canada</w:t>
      </w:r>
      <w:r>
        <w:rPr>
          <w:rFonts w:eastAsiaTheme="minorHAnsi"/>
        </w:rPr>
        <w:t xml:space="preserve"> (82nd ed.). Health at a Glance.</w:t>
      </w:r>
    </w:p>
    <w:p w14:paraId="7B06F2CF" w14:textId="57332EE8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Pew Research Center. (2013). </w:t>
      </w:r>
      <w:r w:rsidR="00A035C4">
        <w:rPr>
          <w:rFonts w:eastAsiaTheme="minorHAnsi"/>
          <w:i/>
          <w:iCs/>
        </w:rPr>
        <w:t>The global divide on h</w:t>
      </w:r>
      <w:r>
        <w:rPr>
          <w:rFonts w:eastAsiaTheme="minorHAnsi"/>
          <w:i/>
          <w:iCs/>
        </w:rPr>
        <w:t>omosexuality</w:t>
      </w:r>
      <w:r>
        <w:rPr>
          <w:rFonts w:eastAsiaTheme="minorHAnsi"/>
        </w:rPr>
        <w:t xml:space="preserve">. </w:t>
      </w:r>
      <w:r w:rsidRPr="00B27E0D">
        <w:rPr>
          <w:rFonts w:eastAsiaTheme="minorHAnsi"/>
          <w:iCs/>
        </w:rPr>
        <w:t>Pew Global Attitudes Project</w:t>
      </w:r>
      <w:r>
        <w:rPr>
          <w:rFonts w:eastAsiaTheme="minorHAnsi"/>
        </w:rPr>
        <w:t xml:space="preserve"> (pp. 1–26).</w:t>
      </w:r>
    </w:p>
    <w:p w14:paraId="549DF16C" w14:textId="5A5705EF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Plöderl, M., Kralovec, </w:t>
      </w:r>
      <w:r w:rsidR="00A22029">
        <w:rPr>
          <w:rFonts w:eastAsiaTheme="minorHAnsi"/>
        </w:rPr>
        <w:t>K., &amp; Fartacek, R. (2010). The relation between sexual orientation and suicide a</w:t>
      </w:r>
      <w:r>
        <w:rPr>
          <w:rFonts w:eastAsiaTheme="minorHAnsi"/>
        </w:rPr>
        <w:t xml:space="preserve">ttempts in Austria. </w:t>
      </w:r>
      <w:r>
        <w:rPr>
          <w:rFonts w:eastAsiaTheme="minorHAnsi"/>
          <w:i/>
          <w:iCs/>
        </w:rPr>
        <w:t>Archives of Sexual Behavior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39</w:t>
      </w:r>
      <w:r>
        <w:rPr>
          <w:rFonts w:eastAsiaTheme="minorHAnsi"/>
        </w:rPr>
        <w:t>(6), 1403–1414. http://doi.org/10.1007/s10508-009-9597-0</w:t>
      </w:r>
    </w:p>
    <w:p w14:paraId="4A43B0BF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lastRenderedPageBreak/>
        <w:t xml:space="preserve">Public Health Agency of Canada. (2015). </w:t>
      </w:r>
      <w:r>
        <w:rPr>
          <w:rFonts w:eastAsiaTheme="minorHAnsi"/>
          <w:i/>
          <w:iCs/>
        </w:rPr>
        <w:t>Report from the Canadian Chronic Disease Surveillance System: Mental Illness in Canada, 2015</w:t>
      </w:r>
      <w:r>
        <w:rPr>
          <w:rFonts w:eastAsiaTheme="minorHAnsi"/>
        </w:rPr>
        <w:t>. Ottawa, Canada: Public Health Agency of Canada.</w:t>
      </w:r>
    </w:p>
    <w:p w14:paraId="21E07A89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Rainbow Health Ontario. (2012). LGBT research with secondary data. Retrieved February 5, 2016, from http://www.rainbowhealthontario.ca/admin/contentEngine/contentDocuments/LGBT_Research_with_Secondary_Data.pdf</w:t>
      </w:r>
    </w:p>
    <w:p w14:paraId="3BC9A9DE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Respondent-Driven Sampling Analysis Tool (RDSAT) Version 7.1. (2012). Respondent-Driven Sampling Analysis Tool (RDSAT) Version 7.1. Ithaca, NY: Cornell University.</w:t>
      </w:r>
    </w:p>
    <w:p w14:paraId="42868A28" w14:textId="3C4484C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Ross, L. E., Salway, T., Tarasoff, L. A., MacKay, J. M., Hawkins, B. W., &amp; Feh</w:t>
      </w:r>
      <w:r w:rsidR="00391C59">
        <w:rPr>
          <w:rFonts w:eastAsiaTheme="minorHAnsi"/>
        </w:rPr>
        <w:t>r, C. P. (2017). Prevalence of depression and anxiety among bisexual people compared to gay, lesbian, and heterosexual i</w:t>
      </w:r>
      <w:r>
        <w:rPr>
          <w:rFonts w:eastAsiaTheme="minorHAnsi"/>
        </w:rPr>
        <w:t>ndividuals:</w:t>
      </w:r>
      <w:r w:rsidR="00391C59">
        <w:rPr>
          <w:rFonts w:eastAsiaTheme="minorHAnsi"/>
        </w:rPr>
        <w:t xml:space="preserve"> A systematic review and meta-a</w:t>
      </w:r>
      <w:r>
        <w:rPr>
          <w:rFonts w:eastAsiaTheme="minorHAnsi"/>
        </w:rPr>
        <w:t xml:space="preserve">nalysis. </w:t>
      </w:r>
      <w:r>
        <w:rPr>
          <w:rFonts w:eastAsiaTheme="minorHAnsi"/>
          <w:i/>
          <w:iCs/>
        </w:rPr>
        <w:t>Journal of Sex Research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5</w:t>
      </w:r>
      <w:r>
        <w:rPr>
          <w:rFonts w:eastAsiaTheme="minorHAnsi"/>
        </w:rPr>
        <w:t>(4), 1–22. http://doi.org/10.1080/00224499.2017.1387755</w:t>
      </w:r>
    </w:p>
    <w:p w14:paraId="3E6EF893" w14:textId="6E5FE55D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Roth, E. A., Cui, Z., Wang, L., Armstrong, H. L., Rich, A. J., Lachowsky, N</w:t>
      </w:r>
      <w:r w:rsidR="0050371C">
        <w:rPr>
          <w:rFonts w:eastAsiaTheme="minorHAnsi"/>
        </w:rPr>
        <w:t>. J., et al. (2018). Substance use patterns of gay and bisexual m</w:t>
      </w:r>
      <w:r>
        <w:rPr>
          <w:rFonts w:eastAsiaTheme="minorHAnsi"/>
        </w:rPr>
        <w:t>e</w:t>
      </w:r>
      <w:r w:rsidR="0050371C">
        <w:rPr>
          <w:rFonts w:eastAsiaTheme="minorHAnsi"/>
        </w:rPr>
        <w:t>n in the Momentum Health Study.</w:t>
      </w:r>
      <w:r>
        <w:rPr>
          <w:rFonts w:eastAsiaTheme="minorHAnsi"/>
        </w:rPr>
        <w:t xml:space="preserve"> </w:t>
      </w:r>
      <w:r>
        <w:rPr>
          <w:rFonts w:eastAsiaTheme="minorHAnsi"/>
          <w:i/>
          <w:iCs/>
        </w:rPr>
        <w:t>American Journal of Men's Health</w:t>
      </w:r>
      <w:r w:rsidR="0050371C">
        <w:rPr>
          <w:rFonts w:eastAsiaTheme="minorHAnsi"/>
          <w:i/>
          <w:iCs/>
        </w:rPr>
        <w:t>, 12</w:t>
      </w:r>
      <w:r w:rsidR="0050371C">
        <w:rPr>
          <w:rFonts w:eastAsiaTheme="minorHAnsi"/>
          <w:iCs/>
        </w:rPr>
        <w:t>(5), 1759-1773</w:t>
      </w:r>
      <w:r>
        <w:rPr>
          <w:rFonts w:eastAsiaTheme="minorHAnsi"/>
        </w:rPr>
        <w:t>. http://doi.org/10.1177/1557988318786872</w:t>
      </w:r>
    </w:p>
    <w:p w14:paraId="4242E34A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Rush, B., Urbanoski, K., Bassani, D., Castel, S., Wild, T. C., Strike, C., et al. (2008). Prevalence of co-occurring substance use and other mental disorders in the Canadian population. </w:t>
      </w:r>
      <w:r>
        <w:rPr>
          <w:rFonts w:eastAsiaTheme="minorHAnsi"/>
          <w:i/>
          <w:iCs/>
        </w:rPr>
        <w:t>The Canadian Journal of Psychiatry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53</w:t>
      </w:r>
      <w:r>
        <w:rPr>
          <w:rFonts w:eastAsiaTheme="minorHAnsi"/>
        </w:rPr>
        <w:t>(12), 800–809. http://doi.org/10.1177/070674370805301206</w:t>
      </w:r>
    </w:p>
    <w:p w14:paraId="1B165717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>SAS software version 9.4. (2014). SAS software version 9.4. Cary, NC: SAS Institute, Inc.</w:t>
      </w:r>
    </w:p>
    <w:p w14:paraId="4317D297" w14:textId="6C6AD00F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lastRenderedPageBreak/>
        <w:t>Scheer, S., Parks, C., McFarland, W., Page-Shafer, K., Delgado, V., Ruiz, J., e</w:t>
      </w:r>
      <w:r w:rsidR="00791C76">
        <w:rPr>
          <w:rFonts w:eastAsiaTheme="minorHAnsi"/>
        </w:rPr>
        <w:t>t al. (2008). Self-reported sexual identity, sexual behaviors and health r</w:t>
      </w:r>
      <w:r>
        <w:rPr>
          <w:rFonts w:eastAsiaTheme="minorHAnsi"/>
        </w:rPr>
        <w:t xml:space="preserve">isks. </w:t>
      </w:r>
      <w:r>
        <w:rPr>
          <w:rFonts w:eastAsiaTheme="minorHAnsi"/>
          <w:i/>
          <w:iCs/>
        </w:rPr>
        <w:t>Journal of Lesbian Studies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7</w:t>
      </w:r>
      <w:r>
        <w:rPr>
          <w:rFonts w:eastAsiaTheme="minorHAnsi"/>
        </w:rPr>
        <w:t>(1), 69–83. http://doi.org/10.1300/J155v07n01_05</w:t>
      </w:r>
    </w:p>
    <w:p w14:paraId="03F6BE68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Schrimshaw, E. W., Siegel, K., Downing, M. J., &amp; Parsons, J. T. (2013). Disclosure and concealment of sexual orientation and the mental health of non-gay-identified, behaviorally bisexual men. </w:t>
      </w:r>
      <w:r>
        <w:rPr>
          <w:rFonts w:eastAsiaTheme="minorHAnsi"/>
          <w:i/>
          <w:iCs/>
        </w:rPr>
        <w:t>Journal of Consulting and Clinical Psychology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81</w:t>
      </w:r>
      <w:r>
        <w:rPr>
          <w:rFonts w:eastAsiaTheme="minorHAnsi"/>
        </w:rPr>
        <w:t>(1), 141–153. http://doi.org/10.1037/a0031272</w:t>
      </w:r>
    </w:p>
    <w:p w14:paraId="2BF33D33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Smetanin, P., Stiff, D., Briante, C., Adair, C. E., Ahmad, S., &amp; Khan, M. (2011). </w:t>
      </w:r>
      <w:r>
        <w:rPr>
          <w:rFonts w:eastAsiaTheme="minorHAnsi"/>
          <w:i/>
          <w:iCs/>
        </w:rPr>
        <w:t>The life and economic impact of major mental illnesses in Canada: 2011 to 2041</w:t>
      </w:r>
      <w:r>
        <w:rPr>
          <w:rFonts w:eastAsiaTheme="minorHAnsi"/>
        </w:rPr>
        <w:t>. Toronto, Canada: RiskAnalytica, on behalf of the Mental Health Commission of Canada.</w:t>
      </w:r>
    </w:p>
    <w:p w14:paraId="2D7FA7D1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Trauer, T. (2010). Issues in the assessment of outcome in mental health. </w:t>
      </w:r>
      <w:r>
        <w:rPr>
          <w:rFonts w:eastAsiaTheme="minorHAnsi"/>
          <w:i/>
          <w:iCs/>
        </w:rPr>
        <w:t>Australian and New Zealand Journal of Psychiatry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32</w:t>
      </w:r>
      <w:r>
        <w:rPr>
          <w:rFonts w:eastAsiaTheme="minorHAnsi"/>
        </w:rPr>
        <w:t>(3), 337–343. http://doi.org/10.3109/00048679809065525</w:t>
      </w:r>
    </w:p>
    <w:p w14:paraId="1555D20C" w14:textId="77777777" w:rsidR="0038517F" w:rsidRDefault="0038517F" w:rsidP="00A533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Theme="minorHAnsi"/>
        </w:rPr>
      </w:pPr>
      <w:r>
        <w:rPr>
          <w:rFonts w:eastAsiaTheme="minorHAnsi"/>
        </w:rPr>
        <w:t xml:space="preserve">Zigmond, A. S., &amp; Snaith, R. P. (1983). The hospital anxiety and depresssion scale. </w:t>
      </w:r>
      <w:r>
        <w:rPr>
          <w:rFonts w:eastAsiaTheme="minorHAnsi"/>
          <w:i/>
          <w:iCs/>
        </w:rPr>
        <w:t>Acta Psychiatrica Scandinavica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67</w:t>
      </w:r>
      <w:r>
        <w:rPr>
          <w:rFonts w:eastAsiaTheme="minorHAnsi"/>
        </w:rPr>
        <w:t>(6), 361–370.</w:t>
      </w:r>
    </w:p>
    <w:p w14:paraId="6A61BFF5" w14:textId="66717237" w:rsidR="002B1E0F" w:rsidRPr="00EC1351" w:rsidRDefault="00A25B67" w:rsidP="003851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0" w:hanging="400"/>
        <w:rPr>
          <w:lang w:val="en-CA"/>
        </w:rPr>
      </w:pPr>
      <w:r w:rsidRPr="00EC1351">
        <w:rPr>
          <w:lang w:val="en-CA"/>
        </w:rPr>
        <w:fldChar w:fldCharType="end"/>
      </w:r>
    </w:p>
    <w:sectPr w:rsidR="002B1E0F" w:rsidRPr="00EC1351" w:rsidSect="007649E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4418C" w14:textId="77777777" w:rsidR="005343B7" w:rsidRDefault="005343B7" w:rsidP="00E170B2">
      <w:r>
        <w:separator/>
      </w:r>
    </w:p>
  </w:endnote>
  <w:endnote w:type="continuationSeparator" w:id="0">
    <w:p w14:paraId="5BEBD0BC" w14:textId="77777777" w:rsidR="005343B7" w:rsidRDefault="005343B7" w:rsidP="00E170B2">
      <w:r>
        <w:continuationSeparator/>
      </w:r>
    </w:p>
  </w:endnote>
  <w:endnote w:type="continuationNotice" w:id="1">
    <w:p w14:paraId="09001B70" w14:textId="77777777" w:rsidR="005343B7" w:rsidRDefault="00534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C7EA" w14:textId="77777777" w:rsidR="00356DCB" w:rsidRDefault="00356DCB" w:rsidP="00157E9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E8B497" w14:textId="77777777" w:rsidR="00356DCB" w:rsidRDefault="00356DCB" w:rsidP="00E170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111E0" w14:textId="77777777" w:rsidR="00356DCB" w:rsidRDefault="00356DCB" w:rsidP="00E170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F9912" w14:textId="77777777" w:rsidR="005343B7" w:rsidRDefault="005343B7" w:rsidP="00E170B2">
      <w:r>
        <w:separator/>
      </w:r>
    </w:p>
  </w:footnote>
  <w:footnote w:type="continuationSeparator" w:id="0">
    <w:p w14:paraId="09D34951" w14:textId="77777777" w:rsidR="005343B7" w:rsidRDefault="005343B7" w:rsidP="00E170B2">
      <w:r>
        <w:continuationSeparator/>
      </w:r>
    </w:p>
  </w:footnote>
  <w:footnote w:type="continuationNotice" w:id="1">
    <w:p w14:paraId="4DE4FD0A" w14:textId="77777777" w:rsidR="005343B7" w:rsidRDefault="00534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9B2EF" w14:textId="77777777" w:rsidR="00356DCB" w:rsidRDefault="00356DCB" w:rsidP="00157E9F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2201BD" w14:textId="77777777" w:rsidR="00356DCB" w:rsidRDefault="00356DCB" w:rsidP="00D363E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22B3B" w14:textId="77777777" w:rsidR="00356DCB" w:rsidRDefault="00356DCB" w:rsidP="00157E9F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30</w:t>
    </w:r>
    <w:r>
      <w:rPr>
        <w:rStyle w:val="PageNumber"/>
      </w:rPr>
      <w:fldChar w:fldCharType="end"/>
    </w:r>
  </w:p>
  <w:p w14:paraId="7E0FBFE8" w14:textId="77777777" w:rsidR="00356DCB" w:rsidRDefault="00356DCB" w:rsidP="00D363E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64C0"/>
    <w:multiLevelType w:val="hybridMultilevel"/>
    <w:tmpl w:val="B094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253F"/>
    <w:multiLevelType w:val="hybridMultilevel"/>
    <w:tmpl w:val="3B4E7ED8"/>
    <w:lvl w:ilvl="0" w:tplc="94BEC9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D7E63"/>
    <w:multiLevelType w:val="hybridMultilevel"/>
    <w:tmpl w:val="D14613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97B75"/>
    <w:multiLevelType w:val="hybridMultilevel"/>
    <w:tmpl w:val="2C56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C7C"/>
    <w:multiLevelType w:val="hybridMultilevel"/>
    <w:tmpl w:val="8FAA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81951"/>
    <w:multiLevelType w:val="hybridMultilevel"/>
    <w:tmpl w:val="DD9C63F2"/>
    <w:lvl w:ilvl="0" w:tplc="156898B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D33C8"/>
    <w:multiLevelType w:val="hybridMultilevel"/>
    <w:tmpl w:val="5E8ED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95CB5"/>
    <w:multiLevelType w:val="hybridMultilevel"/>
    <w:tmpl w:val="07384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B13F8C"/>
    <w:multiLevelType w:val="hybridMultilevel"/>
    <w:tmpl w:val="63924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7334A7"/>
    <w:multiLevelType w:val="hybridMultilevel"/>
    <w:tmpl w:val="A88E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90D87"/>
    <w:multiLevelType w:val="hybridMultilevel"/>
    <w:tmpl w:val="407A0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86486"/>
    <w:multiLevelType w:val="hybridMultilevel"/>
    <w:tmpl w:val="450E8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EA"/>
    <w:rsid w:val="00001183"/>
    <w:rsid w:val="000016B3"/>
    <w:rsid w:val="0000495F"/>
    <w:rsid w:val="000058C6"/>
    <w:rsid w:val="00005B63"/>
    <w:rsid w:val="00006B40"/>
    <w:rsid w:val="00006CBF"/>
    <w:rsid w:val="00007AAB"/>
    <w:rsid w:val="00007DA4"/>
    <w:rsid w:val="0001024C"/>
    <w:rsid w:val="000102C6"/>
    <w:rsid w:val="0001085D"/>
    <w:rsid w:val="00011460"/>
    <w:rsid w:val="000116D2"/>
    <w:rsid w:val="00011E21"/>
    <w:rsid w:val="000126AC"/>
    <w:rsid w:val="0001270F"/>
    <w:rsid w:val="000148EF"/>
    <w:rsid w:val="000157D5"/>
    <w:rsid w:val="000158B9"/>
    <w:rsid w:val="00016084"/>
    <w:rsid w:val="0001632E"/>
    <w:rsid w:val="0001638E"/>
    <w:rsid w:val="0001659C"/>
    <w:rsid w:val="00016B43"/>
    <w:rsid w:val="00016BA2"/>
    <w:rsid w:val="00016D0F"/>
    <w:rsid w:val="00017233"/>
    <w:rsid w:val="0001779E"/>
    <w:rsid w:val="0002189F"/>
    <w:rsid w:val="0002292B"/>
    <w:rsid w:val="000241C2"/>
    <w:rsid w:val="000242BB"/>
    <w:rsid w:val="00025A0F"/>
    <w:rsid w:val="000267A4"/>
    <w:rsid w:val="0003065A"/>
    <w:rsid w:val="000313BB"/>
    <w:rsid w:val="000319CE"/>
    <w:rsid w:val="00032B77"/>
    <w:rsid w:val="000332A4"/>
    <w:rsid w:val="00034F01"/>
    <w:rsid w:val="000351DD"/>
    <w:rsid w:val="00035260"/>
    <w:rsid w:val="00035CE1"/>
    <w:rsid w:val="000367E5"/>
    <w:rsid w:val="00036B23"/>
    <w:rsid w:val="00037388"/>
    <w:rsid w:val="0004033E"/>
    <w:rsid w:val="0004167A"/>
    <w:rsid w:val="0004217D"/>
    <w:rsid w:val="00044616"/>
    <w:rsid w:val="000448DC"/>
    <w:rsid w:val="00045BA2"/>
    <w:rsid w:val="000465E7"/>
    <w:rsid w:val="000467DF"/>
    <w:rsid w:val="000474E0"/>
    <w:rsid w:val="00047BC5"/>
    <w:rsid w:val="00050591"/>
    <w:rsid w:val="00050E7C"/>
    <w:rsid w:val="000557AE"/>
    <w:rsid w:val="00056659"/>
    <w:rsid w:val="00061491"/>
    <w:rsid w:val="00061C87"/>
    <w:rsid w:val="000645BF"/>
    <w:rsid w:val="00065450"/>
    <w:rsid w:val="0006552E"/>
    <w:rsid w:val="0006647B"/>
    <w:rsid w:val="00067357"/>
    <w:rsid w:val="00067422"/>
    <w:rsid w:val="000677FF"/>
    <w:rsid w:val="00071187"/>
    <w:rsid w:val="00072F87"/>
    <w:rsid w:val="000733CB"/>
    <w:rsid w:val="0007416C"/>
    <w:rsid w:val="000743AB"/>
    <w:rsid w:val="00074803"/>
    <w:rsid w:val="00075B42"/>
    <w:rsid w:val="00082E89"/>
    <w:rsid w:val="000832D1"/>
    <w:rsid w:val="00083E5B"/>
    <w:rsid w:val="00083ECF"/>
    <w:rsid w:val="000841C6"/>
    <w:rsid w:val="0008485C"/>
    <w:rsid w:val="00084B5B"/>
    <w:rsid w:val="00084D40"/>
    <w:rsid w:val="0008562C"/>
    <w:rsid w:val="000867FA"/>
    <w:rsid w:val="00090693"/>
    <w:rsid w:val="00091190"/>
    <w:rsid w:val="0009311C"/>
    <w:rsid w:val="00094F23"/>
    <w:rsid w:val="00094FFA"/>
    <w:rsid w:val="00096C3D"/>
    <w:rsid w:val="0009775C"/>
    <w:rsid w:val="000A0223"/>
    <w:rsid w:val="000A17EB"/>
    <w:rsid w:val="000A19FF"/>
    <w:rsid w:val="000A1DEA"/>
    <w:rsid w:val="000A2EE1"/>
    <w:rsid w:val="000A3B6D"/>
    <w:rsid w:val="000A691E"/>
    <w:rsid w:val="000A6E63"/>
    <w:rsid w:val="000A7237"/>
    <w:rsid w:val="000A7DD6"/>
    <w:rsid w:val="000B10EE"/>
    <w:rsid w:val="000B2280"/>
    <w:rsid w:val="000B3A63"/>
    <w:rsid w:val="000B5F1B"/>
    <w:rsid w:val="000B6D68"/>
    <w:rsid w:val="000B6DD4"/>
    <w:rsid w:val="000C0292"/>
    <w:rsid w:val="000C0A37"/>
    <w:rsid w:val="000C0BE9"/>
    <w:rsid w:val="000C138B"/>
    <w:rsid w:val="000C2EA1"/>
    <w:rsid w:val="000C2FD4"/>
    <w:rsid w:val="000C3D87"/>
    <w:rsid w:val="000C45D9"/>
    <w:rsid w:val="000C4F79"/>
    <w:rsid w:val="000C6FA4"/>
    <w:rsid w:val="000C7648"/>
    <w:rsid w:val="000D10C8"/>
    <w:rsid w:val="000D119D"/>
    <w:rsid w:val="000D1789"/>
    <w:rsid w:val="000D2252"/>
    <w:rsid w:val="000D261A"/>
    <w:rsid w:val="000D2E75"/>
    <w:rsid w:val="000D5862"/>
    <w:rsid w:val="000D58DF"/>
    <w:rsid w:val="000D6CEB"/>
    <w:rsid w:val="000E283B"/>
    <w:rsid w:val="000E310E"/>
    <w:rsid w:val="000E36D2"/>
    <w:rsid w:val="000E39DA"/>
    <w:rsid w:val="000E3E79"/>
    <w:rsid w:val="000E4F91"/>
    <w:rsid w:val="000E56F7"/>
    <w:rsid w:val="000E62D9"/>
    <w:rsid w:val="000E6FC9"/>
    <w:rsid w:val="000E78FB"/>
    <w:rsid w:val="000E7F7D"/>
    <w:rsid w:val="000F022E"/>
    <w:rsid w:val="000F0C62"/>
    <w:rsid w:val="000F113D"/>
    <w:rsid w:val="000F2C83"/>
    <w:rsid w:val="000F4A42"/>
    <w:rsid w:val="000F5021"/>
    <w:rsid w:val="000F52DE"/>
    <w:rsid w:val="000F5FCC"/>
    <w:rsid w:val="000F6562"/>
    <w:rsid w:val="000F6C4C"/>
    <w:rsid w:val="000F6F00"/>
    <w:rsid w:val="0010002E"/>
    <w:rsid w:val="00100EF4"/>
    <w:rsid w:val="00101841"/>
    <w:rsid w:val="0010187B"/>
    <w:rsid w:val="001019E8"/>
    <w:rsid w:val="00101A35"/>
    <w:rsid w:val="00102052"/>
    <w:rsid w:val="001047A7"/>
    <w:rsid w:val="00106944"/>
    <w:rsid w:val="0010786E"/>
    <w:rsid w:val="001104A7"/>
    <w:rsid w:val="001136F1"/>
    <w:rsid w:val="001150CE"/>
    <w:rsid w:val="00115B39"/>
    <w:rsid w:val="001176FA"/>
    <w:rsid w:val="0012012F"/>
    <w:rsid w:val="001204F3"/>
    <w:rsid w:val="00120B93"/>
    <w:rsid w:val="0012212B"/>
    <w:rsid w:val="00122754"/>
    <w:rsid w:val="001227AA"/>
    <w:rsid w:val="0012344A"/>
    <w:rsid w:val="00123AE6"/>
    <w:rsid w:val="0012572B"/>
    <w:rsid w:val="00125E95"/>
    <w:rsid w:val="00126946"/>
    <w:rsid w:val="00126A83"/>
    <w:rsid w:val="00127615"/>
    <w:rsid w:val="00127BE2"/>
    <w:rsid w:val="00130597"/>
    <w:rsid w:val="00131B26"/>
    <w:rsid w:val="00132FA3"/>
    <w:rsid w:val="00133176"/>
    <w:rsid w:val="00133E15"/>
    <w:rsid w:val="00133F76"/>
    <w:rsid w:val="00134A2B"/>
    <w:rsid w:val="00135800"/>
    <w:rsid w:val="00140BA8"/>
    <w:rsid w:val="00142238"/>
    <w:rsid w:val="00142BCB"/>
    <w:rsid w:val="0014517E"/>
    <w:rsid w:val="00145ED2"/>
    <w:rsid w:val="001473E2"/>
    <w:rsid w:val="0015234C"/>
    <w:rsid w:val="00153734"/>
    <w:rsid w:val="00154029"/>
    <w:rsid w:val="00154E43"/>
    <w:rsid w:val="00155B89"/>
    <w:rsid w:val="00157394"/>
    <w:rsid w:val="00157E9F"/>
    <w:rsid w:val="00161501"/>
    <w:rsid w:val="00162134"/>
    <w:rsid w:val="001632EF"/>
    <w:rsid w:val="001636E5"/>
    <w:rsid w:val="00167FA5"/>
    <w:rsid w:val="00170599"/>
    <w:rsid w:val="001734C5"/>
    <w:rsid w:val="00173A51"/>
    <w:rsid w:val="00173B8A"/>
    <w:rsid w:val="0017450C"/>
    <w:rsid w:val="00177760"/>
    <w:rsid w:val="00177E7F"/>
    <w:rsid w:val="00180888"/>
    <w:rsid w:val="00181A1C"/>
    <w:rsid w:val="0018245E"/>
    <w:rsid w:val="00182D97"/>
    <w:rsid w:val="00183216"/>
    <w:rsid w:val="00185C3A"/>
    <w:rsid w:val="00186D70"/>
    <w:rsid w:val="0018743F"/>
    <w:rsid w:val="001917CB"/>
    <w:rsid w:val="00191BBF"/>
    <w:rsid w:val="00192D68"/>
    <w:rsid w:val="00196240"/>
    <w:rsid w:val="00196720"/>
    <w:rsid w:val="001A1FFA"/>
    <w:rsid w:val="001A36AD"/>
    <w:rsid w:val="001A6A83"/>
    <w:rsid w:val="001A73D8"/>
    <w:rsid w:val="001A7B48"/>
    <w:rsid w:val="001B09B7"/>
    <w:rsid w:val="001B1DFB"/>
    <w:rsid w:val="001B4017"/>
    <w:rsid w:val="001B4FB3"/>
    <w:rsid w:val="001B6A80"/>
    <w:rsid w:val="001B7D44"/>
    <w:rsid w:val="001C01FF"/>
    <w:rsid w:val="001C2AE0"/>
    <w:rsid w:val="001C2BD8"/>
    <w:rsid w:val="001C3014"/>
    <w:rsid w:val="001C3031"/>
    <w:rsid w:val="001C383E"/>
    <w:rsid w:val="001C44C0"/>
    <w:rsid w:val="001C4A7B"/>
    <w:rsid w:val="001C4C1E"/>
    <w:rsid w:val="001C6573"/>
    <w:rsid w:val="001C7701"/>
    <w:rsid w:val="001D004E"/>
    <w:rsid w:val="001D0122"/>
    <w:rsid w:val="001D0171"/>
    <w:rsid w:val="001D09BE"/>
    <w:rsid w:val="001D0D27"/>
    <w:rsid w:val="001D230A"/>
    <w:rsid w:val="001D26C0"/>
    <w:rsid w:val="001D2E27"/>
    <w:rsid w:val="001D3EFC"/>
    <w:rsid w:val="001D483E"/>
    <w:rsid w:val="001D5031"/>
    <w:rsid w:val="001D5365"/>
    <w:rsid w:val="001D5CEF"/>
    <w:rsid w:val="001D6248"/>
    <w:rsid w:val="001D66F8"/>
    <w:rsid w:val="001D6BBB"/>
    <w:rsid w:val="001E0CF3"/>
    <w:rsid w:val="001E13C7"/>
    <w:rsid w:val="001E264A"/>
    <w:rsid w:val="001E2D4D"/>
    <w:rsid w:val="001E4184"/>
    <w:rsid w:val="001E4372"/>
    <w:rsid w:val="001E4414"/>
    <w:rsid w:val="001E534F"/>
    <w:rsid w:val="001E6899"/>
    <w:rsid w:val="001E6E35"/>
    <w:rsid w:val="001E71E8"/>
    <w:rsid w:val="001F0144"/>
    <w:rsid w:val="001F15A3"/>
    <w:rsid w:val="001F48C1"/>
    <w:rsid w:val="001F498A"/>
    <w:rsid w:val="001F5216"/>
    <w:rsid w:val="001F7134"/>
    <w:rsid w:val="001F7D28"/>
    <w:rsid w:val="00202AA1"/>
    <w:rsid w:val="0020425D"/>
    <w:rsid w:val="002101D5"/>
    <w:rsid w:val="00210E4C"/>
    <w:rsid w:val="00211C1A"/>
    <w:rsid w:val="00213310"/>
    <w:rsid w:val="00214AFA"/>
    <w:rsid w:val="0021640F"/>
    <w:rsid w:val="002179CB"/>
    <w:rsid w:val="00220F04"/>
    <w:rsid w:val="00221D02"/>
    <w:rsid w:val="002228DC"/>
    <w:rsid w:val="00224224"/>
    <w:rsid w:val="00224698"/>
    <w:rsid w:val="0022475A"/>
    <w:rsid w:val="00224CF9"/>
    <w:rsid w:val="002253AE"/>
    <w:rsid w:val="00226863"/>
    <w:rsid w:val="00227A1C"/>
    <w:rsid w:val="0023103C"/>
    <w:rsid w:val="002315C9"/>
    <w:rsid w:val="0023454F"/>
    <w:rsid w:val="00234A39"/>
    <w:rsid w:val="00243C4F"/>
    <w:rsid w:val="00245091"/>
    <w:rsid w:val="0024771B"/>
    <w:rsid w:val="00247A5D"/>
    <w:rsid w:val="00250706"/>
    <w:rsid w:val="00250727"/>
    <w:rsid w:val="00251CA7"/>
    <w:rsid w:val="00252C1C"/>
    <w:rsid w:val="0025368A"/>
    <w:rsid w:val="00253F9E"/>
    <w:rsid w:val="002551D3"/>
    <w:rsid w:val="0025545F"/>
    <w:rsid w:val="00260286"/>
    <w:rsid w:val="00260AC9"/>
    <w:rsid w:val="002618FD"/>
    <w:rsid w:val="0026307E"/>
    <w:rsid w:val="00263F17"/>
    <w:rsid w:val="0026484B"/>
    <w:rsid w:val="0026627F"/>
    <w:rsid w:val="0026728A"/>
    <w:rsid w:val="0027039C"/>
    <w:rsid w:val="002710C4"/>
    <w:rsid w:val="002711C9"/>
    <w:rsid w:val="00271213"/>
    <w:rsid w:val="00272D15"/>
    <w:rsid w:val="00274A6E"/>
    <w:rsid w:val="00277CDE"/>
    <w:rsid w:val="002803FC"/>
    <w:rsid w:val="00280CB1"/>
    <w:rsid w:val="00280E52"/>
    <w:rsid w:val="002820D3"/>
    <w:rsid w:val="0028266E"/>
    <w:rsid w:val="00283682"/>
    <w:rsid w:val="00287504"/>
    <w:rsid w:val="0029035B"/>
    <w:rsid w:val="00291255"/>
    <w:rsid w:val="00291896"/>
    <w:rsid w:val="00291970"/>
    <w:rsid w:val="00293493"/>
    <w:rsid w:val="002935FA"/>
    <w:rsid w:val="00293C3A"/>
    <w:rsid w:val="00294ACD"/>
    <w:rsid w:val="002A08AE"/>
    <w:rsid w:val="002A17A5"/>
    <w:rsid w:val="002A1D0C"/>
    <w:rsid w:val="002A2FD8"/>
    <w:rsid w:val="002A3501"/>
    <w:rsid w:val="002A4B22"/>
    <w:rsid w:val="002A4D97"/>
    <w:rsid w:val="002A4F5D"/>
    <w:rsid w:val="002A5594"/>
    <w:rsid w:val="002A751A"/>
    <w:rsid w:val="002B1919"/>
    <w:rsid w:val="002B1E0F"/>
    <w:rsid w:val="002B213E"/>
    <w:rsid w:val="002B3CEE"/>
    <w:rsid w:val="002B498E"/>
    <w:rsid w:val="002B55B5"/>
    <w:rsid w:val="002B5889"/>
    <w:rsid w:val="002B58BF"/>
    <w:rsid w:val="002B5A6D"/>
    <w:rsid w:val="002B5BC7"/>
    <w:rsid w:val="002B5F53"/>
    <w:rsid w:val="002B6241"/>
    <w:rsid w:val="002B69D9"/>
    <w:rsid w:val="002B7EF9"/>
    <w:rsid w:val="002C18A8"/>
    <w:rsid w:val="002C1A7A"/>
    <w:rsid w:val="002C1B51"/>
    <w:rsid w:val="002C1F65"/>
    <w:rsid w:val="002C2D9B"/>
    <w:rsid w:val="002C3443"/>
    <w:rsid w:val="002C6D64"/>
    <w:rsid w:val="002D052E"/>
    <w:rsid w:val="002D1A3C"/>
    <w:rsid w:val="002D22C7"/>
    <w:rsid w:val="002D3138"/>
    <w:rsid w:val="002D3D54"/>
    <w:rsid w:val="002D560F"/>
    <w:rsid w:val="002E0AC0"/>
    <w:rsid w:val="002E20A9"/>
    <w:rsid w:val="002E30C0"/>
    <w:rsid w:val="002E30D3"/>
    <w:rsid w:val="002E3EB0"/>
    <w:rsid w:val="002E3F8C"/>
    <w:rsid w:val="002E513C"/>
    <w:rsid w:val="002E5A3A"/>
    <w:rsid w:val="002F0027"/>
    <w:rsid w:val="002F061E"/>
    <w:rsid w:val="002F0817"/>
    <w:rsid w:val="002F0B9E"/>
    <w:rsid w:val="002F2E43"/>
    <w:rsid w:val="002F50A5"/>
    <w:rsid w:val="002F6BF5"/>
    <w:rsid w:val="002F75E1"/>
    <w:rsid w:val="002F7A9C"/>
    <w:rsid w:val="0030042E"/>
    <w:rsid w:val="00301826"/>
    <w:rsid w:val="003019EB"/>
    <w:rsid w:val="00302980"/>
    <w:rsid w:val="00303171"/>
    <w:rsid w:val="003038FA"/>
    <w:rsid w:val="0030687F"/>
    <w:rsid w:val="00306E83"/>
    <w:rsid w:val="00307925"/>
    <w:rsid w:val="003079E9"/>
    <w:rsid w:val="00312B54"/>
    <w:rsid w:val="00320B8D"/>
    <w:rsid w:val="00323002"/>
    <w:rsid w:val="003230F3"/>
    <w:rsid w:val="00323A78"/>
    <w:rsid w:val="0032406D"/>
    <w:rsid w:val="00326E01"/>
    <w:rsid w:val="00327C04"/>
    <w:rsid w:val="00332147"/>
    <w:rsid w:val="003322B3"/>
    <w:rsid w:val="00332DBB"/>
    <w:rsid w:val="00333442"/>
    <w:rsid w:val="00334084"/>
    <w:rsid w:val="00335FC5"/>
    <w:rsid w:val="00340661"/>
    <w:rsid w:val="00340A67"/>
    <w:rsid w:val="003418E8"/>
    <w:rsid w:val="003422D2"/>
    <w:rsid w:val="0034710E"/>
    <w:rsid w:val="00352716"/>
    <w:rsid w:val="00352D8F"/>
    <w:rsid w:val="00353467"/>
    <w:rsid w:val="003534EB"/>
    <w:rsid w:val="00355F39"/>
    <w:rsid w:val="00356651"/>
    <w:rsid w:val="00356DCB"/>
    <w:rsid w:val="00362350"/>
    <w:rsid w:val="0036417A"/>
    <w:rsid w:val="00365BBE"/>
    <w:rsid w:val="00366F5A"/>
    <w:rsid w:val="00367748"/>
    <w:rsid w:val="003704B6"/>
    <w:rsid w:val="00372390"/>
    <w:rsid w:val="003726F4"/>
    <w:rsid w:val="003729FA"/>
    <w:rsid w:val="0037301A"/>
    <w:rsid w:val="00377B9F"/>
    <w:rsid w:val="00380884"/>
    <w:rsid w:val="00381CD8"/>
    <w:rsid w:val="00382384"/>
    <w:rsid w:val="0038265E"/>
    <w:rsid w:val="00384E12"/>
    <w:rsid w:val="0038517F"/>
    <w:rsid w:val="003860E4"/>
    <w:rsid w:val="00387136"/>
    <w:rsid w:val="0039058E"/>
    <w:rsid w:val="00390D42"/>
    <w:rsid w:val="00390DF3"/>
    <w:rsid w:val="00391C59"/>
    <w:rsid w:val="003932C1"/>
    <w:rsid w:val="0039374C"/>
    <w:rsid w:val="00394016"/>
    <w:rsid w:val="00394511"/>
    <w:rsid w:val="00394686"/>
    <w:rsid w:val="0039477B"/>
    <w:rsid w:val="00395032"/>
    <w:rsid w:val="00396AE6"/>
    <w:rsid w:val="003971E7"/>
    <w:rsid w:val="00397921"/>
    <w:rsid w:val="003A0B69"/>
    <w:rsid w:val="003A2425"/>
    <w:rsid w:val="003A5697"/>
    <w:rsid w:val="003A5B1D"/>
    <w:rsid w:val="003A61D4"/>
    <w:rsid w:val="003A690E"/>
    <w:rsid w:val="003A72BE"/>
    <w:rsid w:val="003B071D"/>
    <w:rsid w:val="003B2001"/>
    <w:rsid w:val="003B5DC5"/>
    <w:rsid w:val="003B797B"/>
    <w:rsid w:val="003C12FC"/>
    <w:rsid w:val="003C27F8"/>
    <w:rsid w:val="003C35F6"/>
    <w:rsid w:val="003C41C2"/>
    <w:rsid w:val="003C5D49"/>
    <w:rsid w:val="003C6F63"/>
    <w:rsid w:val="003C7C09"/>
    <w:rsid w:val="003C7DB5"/>
    <w:rsid w:val="003D1D04"/>
    <w:rsid w:val="003D630A"/>
    <w:rsid w:val="003D70AE"/>
    <w:rsid w:val="003E0729"/>
    <w:rsid w:val="003E093D"/>
    <w:rsid w:val="003E1AFD"/>
    <w:rsid w:val="003E22BC"/>
    <w:rsid w:val="003E2B4D"/>
    <w:rsid w:val="003E3468"/>
    <w:rsid w:val="003E35D8"/>
    <w:rsid w:val="003E4206"/>
    <w:rsid w:val="003E5704"/>
    <w:rsid w:val="003E57C6"/>
    <w:rsid w:val="003F029B"/>
    <w:rsid w:val="003F150D"/>
    <w:rsid w:val="003F363B"/>
    <w:rsid w:val="003F4417"/>
    <w:rsid w:val="003F48BB"/>
    <w:rsid w:val="003F56E6"/>
    <w:rsid w:val="003F7A78"/>
    <w:rsid w:val="003F7F33"/>
    <w:rsid w:val="0040075D"/>
    <w:rsid w:val="00400B44"/>
    <w:rsid w:val="00400DF7"/>
    <w:rsid w:val="0040108D"/>
    <w:rsid w:val="00402E37"/>
    <w:rsid w:val="00402FDD"/>
    <w:rsid w:val="004031C4"/>
    <w:rsid w:val="00403768"/>
    <w:rsid w:val="004042F9"/>
    <w:rsid w:val="004064AD"/>
    <w:rsid w:val="004064E6"/>
    <w:rsid w:val="00406B44"/>
    <w:rsid w:val="00407282"/>
    <w:rsid w:val="00410AB2"/>
    <w:rsid w:val="00411AAC"/>
    <w:rsid w:val="00413844"/>
    <w:rsid w:val="004147A4"/>
    <w:rsid w:val="004163EB"/>
    <w:rsid w:val="00417793"/>
    <w:rsid w:val="00420973"/>
    <w:rsid w:val="00421290"/>
    <w:rsid w:val="004220C5"/>
    <w:rsid w:val="00427200"/>
    <w:rsid w:val="004272A3"/>
    <w:rsid w:val="0042766F"/>
    <w:rsid w:val="00427F92"/>
    <w:rsid w:val="0043231F"/>
    <w:rsid w:val="004328EC"/>
    <w:rsid w:val="004333C9"/>
    <w:rsid w:val="00433854"/>
    <w:rsid w:val="00433997"/>
    <w:rsid w:val="00433B33"/>
    <w:rsid w:val="00437E21"/>
    <w:rsid w:val="00441283"/>
    <w:rsid w:val="00441C31"/>
    <w:rsid w:val="00442137"/>
    <w:rsid w:val="0044345A"/>
    <w:rsid w:val="00443C0E"/>
    <w:rsid w:val="004448EA"/>
    <w:rsid w:val="00447A27"/>
    <w:rsid w:val="004501C2"/>
    <w:rsid w:val="004504C8"/>
    <w:rsid w:val="00450E68"/>
    <w:rsid w:val="004511AB"/>
    <w:rsid w:val="0045548F"/>
    <w:rsid w:val="00456C6B"/>
    <w:rsid w:val="00460F7A"/>
    <w:rsid w:val="00461ACA"/>
    <w:rsid w:val="00462005"/>
    <w:rsid w:val="00463764"/>
    <w:rsid w:val="00463BEC"/>
    <w:rsid w:val="00465C48"/>
    <w:rsid w:val="00467540"/>
    <w:rsid w:val="00467DCF"/>
    <w:rsid w:val="0047039E"/>
    <w:rsid w:val="0047380F"/>
    <w:rsid w:val="00473E7A"/>
    <w:rsid w:val="0047420B"/>
    <w:rsid w:val="004757F2"/>
    <w:rsid w:val="004760D6"/>
    <w:rsid w:val="00476C18"/>
    <w:rsid w:val="004774D4"/>
    <w:rsid w:val="00477BE9"/>
    <w:rsid w:val="00477D86"/>
    <w:rsid w:val="00480D14"/>
    <w:rsid w:val="004811C2"/>
    <w:rsid w:val="0048128F"/>
    <w:rsid w:val="00483D89"/>
    <w:rsid w:val="00484CB4"/>
    <w:rsid w:val="00485FBF"/>
    <w:rsid w:val="004863B4"/>
    <w:rsid w:val="00486E56"/>
    <w:rsid w:val="0048766C"/>
    <w:rsid w:val="00492EAD"/>
    <w:rsid w:val="00494A29"/>
    <w:rsid w:val="00495D39"/>
    <w:rsid w:val="004961DD"/>
    <w:rsid w:val="00496236"/>
    <w:rsid w:val="004A1B12"/>
    <w:rsid w:val="004A414E"/>
    <w:rsid w:val="004A512E"/>
    <w:rsid w:val="004A58B8"/>
    <w:rsid w:val="004A6992"/>
    <w:rsid w:val="004A6D0D"/>
    <w:rsid w:val="004B013B"/>
    <w:rsid w:val="004B163F"/>
    <w:rsid w:val="004B1E21"/>
    <w:rsid w:val="004B5A5F"/>
    <w:rsid w:val="004B63F5"/>
    <w:rsid w:val="004B6859"/>
    <w:rsid w:val="004B7020"/>
    <w:rsid w:val="004B7BAA"/>
    <w:rsid w:val="004B7E28"/>
    <w:rsid w:val="004C07ED"/>
    <w:rsid w:val="004C125E"/>
    <w:rsid w:val="004C1EE5"/>
    <w:rsid w:val="004C2E6B"/>
    <w:rsid w:val="004C3486"/>
    <w:rsid w:val="004C3769"/>
    <w:rsid w:val="004C3BAD"/>
    <w:rsid w:val="004C45A8"/>
    <w:rsid w:val="004C4795"/>
    <w:rsid w:val="004C63D3"/>
    <w:rsid w:val="004C75A2"/>
    <w:rsid w:val="004C7A80"/>
    <w:rsid w:val="004D0924"/>
    <w:rsid w:val="004D25BA"/>
    <w:rsid w:val="004D3ADF"/>
    <w:rsid w:val="004D7517"/>
    <w:rsid w:val="004D7C01"/>
    <w:rsid w:val="004E0DBA"/>
    <w:rsid w:val="004E21C7"/>
    <w:rsid w:val="004E300D"/>
    <w:rsid w:val="004E3543"/>
    <w:rsid w:val="004E51E7"/>
    <w:rsid w:val="004E6524"/>
    <w:rsid w:val="004E7711"/>
    <w:rsid w:val="004E7D64"/>
    <w:rsid w:val="004F1361"/>
    <w:rsid w:val="004F1ABC"/>
    <w:rsid w:val="004F1B30"/>
    <w:rsid w:val="004F23A9"/>
    <w:rsid w:val="004F2438"/>
    <w:rsid w:val="004F2A56"/>
    <w:rsid w:val="004F38A6"/>
    <w:rsid w:val="004F5875"/>
    <w:rsid w:val="004F5C61"/>
    <w:rsid w:val="004F5E62"/>
    <w:rsid w:val="004F6559"/>
    <w:rsid w:val="00500B2A"/>
    <w:rsid w:val="0050371C"/>
    <w:rsid w:val="00504001"/>
    <w:rsid w:val="00504531"/>
    <w:rsid w:val="00505078"/>
    <w:rsid w:val="0050597C"/>
    <w:rsid w:val="005063A1"/>
    <w:rsid w:val="005065AE"/>
    <w:rsid w:val="005068CD"/>
    <w:rsid w:val="0050736A"/>
    <w:rsid w:val="00507F09"/>
    <w:rsid w:val="005109E6"/>
    <w:rsid w:val="00511806"/>
    <w:rsid w:val="00511AB9"/>
    <w:rsid w:val="00512765"/>
    <w:rsid w:val="00513CAE"/>
    <w:rsid w:val="00515728"/>
    <w:rsid w:val="00515B24"/>
    <w:rsid w:val="00520CBD"/>
    <w:rsid w:val="005225E5"/>
    <w:rsid w:val="00524397"/>
    <w:rsid w:val="00525DC8"/>
    <w:rsid w:val="00526E63"/>
    <w:rsid w:val="00527C35"/>
    <w:rsid w:val="00531294"/>
    <w:rsid w:val="00531B37"/>
    <w:rsid w:val="005324E8"/>
    <w:rsid w:val="0053281E"/>
    <w:rsid w:val="00533F4B"/>
    <w:rsid w:val="005343B7"/>
    <w:rsid w:val="00535AE7"/>
    <w:rsid w:val="00535C66"/>
    <w:rsid w:val="0053630F"/>
    <w:rsid w:val="00542897"/>
    <w:rsid w:val="00543B10"/>
    <w:rsid w:val="005444F3"/>
    <w:rsid w:val="00544B74"/>
    <w:rsid w:val="005451A1"/>
    <w:rsid w:val="00545391"/>
    <w:rsid w:val="00545AD9"/>
    <w:rsid w:val="00546198"/>
    <w:rsid w:val="005467B2"/>
    <w:rsid w:val="005471D2"/>
    <w:rsid w:val="00547B32"/>
    <w:rsid w:val="005500C5"/>
    <w:rsid w:val="005510FC"/>
    <w:rsid w:val="00551E76"/>
    <w:rsid w:val="0055574C"/>
    <w:rsid w:val="0056076F"/>
    <w:rsid w:val="00561BB9"/>
    <w:rsid w:val="005626A2"/>
    <w:rsid w:val="005642BB"/>
    <w:rsid w:val="00567B6E"/>
    <w:rsid w:val="00567E10"/>
    <w:rsid w:val="00570B57"/>
    <w:rsid w:val="00571032"/>
    <w:rsid w:val="00571CC3"/>
    <w:rsid w:val="00571F4D"/>
    <w:rsid w:val="00572490"/>
    <w:rsid w:val="0057465C"/>
    <w:rsid w:val="005752EC"/>
    <w:rsid w:val="00575722"/>
    <w:rsid w:val="005760DB"/>
    <w:rsid w:val="00576163"/>
    <w:rsid w:val="00576575"/>
    <w:rsid w:val="00576F5F"/>
    <w:rsid w:val="00577508"/>
    <w:rsid w:val="005776E2"/>
    <w:rsid w:val="00577CE7"/>
    <w:rsid w:val="00580FF6"/>
    <w:rsid w:val="005825E1"/>
    <w:rsid w:val="00582F71"/>
    <w:rsid w:val="00584CBE"/>
    <w:rsid w:val="00584D7D"/>
    <w:rsid w:val="00584D8F"/>
    <w:rsid w:val="005859BF"/>
    <w:rsid w:val="005860BA"/>
    <w:rsid w:val="00586467"/>
    <w:rsid w:val="0058715F"/>
    <w:rsid w:val="005901F9"/>
    <w:rsid w:val="005902C4"/>
    <w:rsid w:val="00592270"/>
    <w:rsid w:val="00594219"/>
    <w:rsid w:val="00594A67"/>
    <w:rsid w:val="00596AD2"/>
    <w:rsid w:val="00597522"/>
    <w:rsid w:val="00597956"/>
    <w:rsid w:val="005A0474"/>
    <w:rsid w:val="005A0839"/>
    <w:rsid w:val="005A0BFF"/>
    <w:rsid w:val="005A27CC"/>
    <w:rsid w:val="005A363B"/>
    <w:rsid w:val="005A3EEC"/>
    <w:rsid w:val="005A48BD"/>
    <w:rsid w:val="005A4FE1"/>
    <w:rsid w:val="005A5289"/>
    <w:rsid w:val="005A6357"/>
    <w:rsid w:val="005A7826"/>
    <w:rsid w:val="005A7A1D"/>
    <w:rsid w:val="005A7EDD"/>
    <w:rsid w:val="005B039F"/>
    <w:rsid w:val="005B0EE9"/>
    <w:rsid w:val="005B471A"/>
    <w:rsid w:val="005B4D92"/>
    <w:rsid w:val="005B5C3E"/>
    <w:rsid w:val="005B5ED4"/>
    <w:rsid w:val="005B6C73"/>
    <w:rsid w:val="005C1FF8"/>
    <w:rsid w:val="005C21EF"/>
    <w:rsid w:val="005C3456"/>
    <w:rsid w:val="005C4742"/>
    <w:rsid w:val="005C650C"/>
    <w:rsid w:val="005C6CC3"/>
    <w:rsid w:val="005C7797"/>
    <w:rsid w:val="005D0BDB"/>
    <w:rsid w:val="005D10E7"/>
    <w:rsid w:val="005D14A4"/>
    <w:rsid w:val="005D2B94"/>
    <w:rsid w:val="005D3AAF"/>
    <w:rsid w:val="005D4D28"/>
    <w:rsid w:val="005D5CED"/>
    <w:rsid w:val="005E1B3B"/>
    <w:rsid w:val="005E3F88"/>
    <w:rsid w:val="005E40C0"/>
    <w:rsid w:val="005E4816"/>
    <w:rsid w:val="005E4EA6"/>
    <w:rsid w:val="005F01EA"/>
    <w:rsid w:val="005F17EB"/>
    <w:rsid w:val="005F3B2D"/>
    <w:rsid w:val="005F4FB9"/>
    <w:rsid w:val="005F5C92"/>
    <w:rsid w:val="005F7EBC"/>
    <w:rsid w:val="00600416"/>
    <w:rsid w:val="00601393"/>
    <w:rsid w:val="00603954"/>
    <w:rsid w:val="00604AAA"/>
    <w:rsid w:val="00610529"/>
    <w:rsid w:val="00611038"/>
    <w:rsid w:val="006110A2"/>
    <w:rsid w:val="00614AD1"/>
    <w:rsid w:val="00614C03"/>
    <w:rsid w:val="006166D0"/>
    <w:rsid w:val="00617620"/>
    <w:rsid w:val="00623A16"/>
    <w:rsid w:val="00624407"/>
    <w:rsid w:val="00624C9C"/>
    <w:rsid w:val="00625804"/>
    <w:rsid w:val="00625A21"/>
    <w:rsid w:val="00626091"/>
    <w:rsid w:val="00626ACB"/>
    <w:rsid w:val="006300E4"/>
    <w:rsid w:val="0063057F"/>
    <w:rsid w:val="006305BA"/>
    <w:rsid w:val="006310A6"/>
    <w:rsid w:val="00631598"/>
    <w:rsid w:val="0063233E"/>
    <w:rsid w:val="00632CF6"/>
    <w:rsid w:val="006335C1"/>
    <w:rsid w:val="006342B1"/>
    <w:rsid w:val="0063439B"/>
    <w:rsid w:val="00640192"/>
    <w:rsid w:val="00640EAA"/>
    <w:rsid w:val="00641A14"/>
    <w:rsid w:val="00641A49"/>
    <w:rsid w:val="00641B78"/>
    <w:rsid w:val="00641BE5"/>
    <w:rsid w:val="00641BF6"/>
    <w:rsid w:val="006440DA"/>
    <w:rsid w:val="006456F6"/>
    <w:rsid w:val="00645BCF"/>
    <w:rsid w:val="00646D8B"/>
    <w:rsid w:val="00650E95"/>
    <w:rsid w:val="00652ED9"/>
    <w:rsid w:val="006531FC"/>
    <w:rsid w:val="006550F0"/>
    <w:rsid w:val="00656504"/>
    <w:rsid w:val="006565F2"/>
    <w:rsid w:val="0065685F"/>
    <w:rsid w:val="00657ADA"/>
    <w:rsid w:val="00657B27"/>
    <w:rsid w:val="00660697"/>
    <w:rsid w:val="00660A34"/>
    <w:rsid w:val="00662057"/>
    <w:rsid w:val="00662392"/>
    <w:rsid w:val="00662529"/>
    <w:rsid w:val="00665350"/>
    <w:rsid w:val="00665A17"/>
    <w:rsid w:val="00665BC8"/>
    <w:rsid w:val="00665FB8"/>
    <w:rsid w:val="00666777"/>
    <w:rsid w:val="00666D75"/>
    <w:rsid w:val="00670B34"/>
    <w:rsid w:val="00671BA4"/>
    <w:rsid w:val="0067260B"/>
    <w:rsid w:val="0067297B"/>
    <w:rsid w:val="00674BDF"/>
    <w:rsid w:val="006751B2"/>
    <w:rsid w:val="00677F72"/>
    <w:rsid w:val="006802B4"/>
    <w:rsid w:val="00681F0D"/>
    <w:rsid w:val="006850A2"/>
    <w:rsid w:val="00685119"/>
    <w:rsid w:val="00685844"/>
    <w:rsid w:val="00685DF9"/>
    <w:rsid w:val="006873C8"/>
    <w:rsid w:val="00687AA5"/>
    <w:rsid w:val="006910EA"/>
    <w:rsid w:val="00692843"/>
    <w:rsid w:val="00692C3E"/>
    <w:rsid w:val="00692FCE"/>
    <w:rsid w:val="00693287"/>
    <w:rsid w:val="00693478"/>
    <w:rsid w:val="00694377"/>
    <w:rsid w:val="0069563F"/>
    <w:rsid w:val="0069649A"/>
    <w:rsid w:val="00696C86"/>
    <w:rsid w:val="00697886"/>
    <w:rsid w:val="006A0682"/>
    <w:rsid w:val="006A1067"/>
    <w:rsid w:val="006A2972"/>
    <w:rsid w:val="006A30BE"/>
    <w:rsid w:val="006A3B78"/>
    <w:rsid w:val="006A3F66"/>
    <w:rsid w:val="006A3FE0"/>
    <w:rsid w:val="006A4A5F"/>
    <w:rsid w:val="006A6E42"/>
    <w:rsid w:val="006A7FA2"/>
    <w:rsid w:val="006B08D9"/>
    <w:rsid w:val="006B09D8"/>
    <w:rsid w:val="006B1C4F"/>
    <w:rsid w:val="006B2893"/>
    <w:rsid w:val="006B2E91"/>
    <w:rsid w:val="006B389B"/>
    <w:rsid w:val="006B537A"/>
    <w:rsid w:val="006B691C"/>
    <w:rsid w:val="006B7101"/>
    <w:rsid w:val="006C239F"/>
    <w:rsid w:val="006C32A9"/>
    <w:rsid w:val="006C51A8"/>
    <w:rsid w:val="006C5C99"/>
    <w:rsid w:val="006C6718"/>
    <w:rsid w:val="006C7F2E"/>
    <w:rsid w:val="006D143C"/>
    <w:rsid w:val="006D17F9"/>
    <w:rsid w:val="006D2533"/>
    <w:rsid w:val="006D2678"/>
    <w:rsid w:val="006D285D"/>
    <w:rsid w:val="006D4280"/>
    <w:rsid w:val="006D6179"/>
    <w:rsid w:val="006D6EAD"/>
    <w:rsid w:val="006D772B"/>
    <w:rsid w:val="006E09B2"/>
    <w:rsid w:val="006E1AF0"/>
    <w:rsid w:val="006E1FAE"/>
    <w:rsid w:val="006E3579"/>
    <w:rsid w:val="006E6B30"/>
    <w:rsid w:val="006F0136"/>
    <w:rsid w:val="006F0318"/>
    <w:rsid w:val="006F0339"/>
    <w:rsid w:val="006F0423"/>
    <w:rsid w:val="006F0524"/>
    <w:rsid w:val="006F213F"/>
    <w:rsid w:val="006F6826"/>
    <w:rsid w:val="006F76A8"/>
    <w:rsid w:val="00700371"/>
    <w:rsid w:val="00700D25"/>
    <w:rsid w:val="0070172C"/>
    <w:rsid w:val="0070319F"/>
    <w:rsid w:val="00703F06"/>
    <w:rsid w:val="00703F6F"/>
    <w:rsid w:val="00704418"/>
    <w:rsid w:val="0070448A"/>
    <w:rsid w:val="00704E19"/>
    <w:rsid w:val="00705D36"/>
    <w:rsid w:val="0070758E"/>
    <w:rsid w:val="0071061A"/>
    <w:rsid w:val="00710F1E"/>
    <w:rsid w:val="007134C0"/>
    <w:rsid w:val="00713A70"/>
    <w:rsid w:val="00714A3F"/>
    <w:rsid w:val="00715140"/>
    <w:rsid w:val="00716543"/>
    <w:rsid w:val="0071662A"/>
    <w:rsid w:val="007169BA"/>
    <w:rsid w:val="00716F44"/>
    <w:rsid w:val="0072123D"/>
    <w:rsid w:val="00721B5F"/>
    <w:rsid w:val="00721FA5"/>
    <w:rsid w:val="0072257F"/>
    <w:rsid w:val="0072450C"/>
    <w:rsid w:val="00724E0F"/>
    <w:rsid w:val="0072502C"/>
    <w:rsid w:val="00725B61"/>
    <w:rsid w:val="007262C1"/>
    <w:rsid w:val="00731251"/>
    <w:rsid w:val="00731C31"/>
    <w:rsid w:val="00733CC9"/>
    <w:rsid w:val="00735E40"/>
    <w:rsid w:val="00737595"/>
    <w:rsid w:val="00737E04"/>
    <w:rsid w:val="007402F3"/>
    <w:rsid w:val="007406A4"/>
    <w:rsid w:val="007406C4"/>
    <w:rsid w:val="00740B5D"/>
    <w:rsid w:val="0074167B"/>
    <w:rsid w:val="007429AD"/>
    <w:rsid w:val="00742FC3"/>
    <w:rsid w:val="00743300"/>
    <w:rsid w:val="00744635"/>
    <w:rsid w:val="00745399"/>
    <w:rsid w:val="00746253"/>
    <w:rsid w:val="007473BE"/>
    <w:rsid w:val="0074767D"/>
    <w:rsid w:val="00747B2E"/>
    <w:rsid w:val="00750CB7"/>
    <w:rsid w:val="00750F4B"/>
    <w:rsid w:val="00751AB8"/>
    <w:rsid w:val="007528FA"/>
    <w:rsid w:val="0075606F"/>
    <w:rsid w:val="0076157A"/>
    <w:rsid w:val="00761E41"/>
    <w:rsid w:val="007629D8"/>
    <w:rsid w:val="007630F3"/>
    <w:rsid w:val="00763FB1"/>
    <w:rsid w:val="007646E3"/>
    <w:rsid w:val="007649E8"/>
    <w:rsid w:val="00766CC4"/>
    <w:rsid w:val="007679FB"/>
    <w:rsid w:val="00770F72"/>
    <w:rsid w:val="0077125A"/>
    <w:rsid w:val="007715CE"/>
    <w:rsid w:val="007757E9"/>
    <w:rsid w:val="00775839"/>
    <w:rsid w:val="00775D3B"/>
    <w:rsid w:val="0078103F"/>
    <w:rsid w:val="007810DD"/>
    <w:rsid w:val="00781AD3"/>
    <w:rsid w:val="00782D7A"/>
    <w:rsid w:val="00786466"/>
    <w:rsid w:val="007869EE"/>
    <w:rsid w:val="00786A03"/>
    <w:rsid w:val="007901B5"/>
    <w:rsid w:val="007908E4"/>
    <w:rsid w:val="00791C76"/>
    <w:rsid w:val="00793141"/>
    <w:rsid w:val="0079354D"/>
    <w:rsid w:val="007945CD"/>
    <w:rsid w:val="00794CF7"/>
    <w:rsid w:val="00796F10"/>
    <w:rsid w:val="007A02F3"/>
    <w:rsid w:val="007A0675"/>
    <w:rsid w:val="007A1334"/>
    <w:rsid w:val="007A193E"/>
    <w:rsid w:val="007A3CC0"/>
    <w:rsid w:val="007A4288"/>
    <w:rsid w:val="007A55AC"/>
    <w:rsid w:val="007A69E8"/>
    <w:rsid w:val="007A7B09"/>
    <w:rsid w:val="007A7D9B"/>
    <w:rsid w:val="007B0C4E"/>
    <w:rsid w:val="007B227A"/>
    <w:rsid w:val="007B3298"/>
    <w:rsid w:val="007B32C4"/>
    <w:rsid w:val="007B411D"/>
    <w:rsid w:val="007B4529"/>
    <w:rsid w:val="007B5518"/>
    <w:rsid w:val="007B7690"/>
    <w:rsid w:val="007C109B"/>
    <w:rsid w:val="007C1391"/>
    <w:rsid w:val="007C4657"/>
    <w:rsid w:val="007C53A8"/>
    <w:rsid w:val="007C6252"/>
    <w:rsid w:val="007D0197"/>
    <w:rsid w:val="007D0F74"/>
    <w:rsid w:val="007D23F5"/>
    <w:rsid w:val="007D2F56"/>
    <w:rsid w:val="007D3E93"/>
    <w:rsid w:val="007D44AD"/>
    <w:rsid w:val="007D59F8"/>
    <w:rsid w:val="007D62E4"/>
    <w:rsid w:val="007D633D"/>
    <w:rsid w:val="007D6AAF"/>
    <w:rsid w:val="007E0465"/>
    <w:rsid w:val="007E167E"/>
    <w:rsid w:val="007E4810"/>
    <w:rsid w:val="007E5E51"/>
    <w:rsid w:val="007E74B6"/>
    <w:rsid w:val="007E7EAA"/>
    <w:rsid w:val="007F05FD"/>
    <w:rsid w:val="007F0CEF"/>
    <w:rsid w:val="007F224F"/>
    <w:rsid w:val="007F22C1"/>
    <w:rsid w:val="007F2DF1"/>
    <w:rsid w:val="007F4427"/>
    <w:rsid w:val="007F4672"/>
    <w:rsid w:val="007F48ED"/>
    <w:rsid w:val="0080016E"/>
    <w:rsid w:val="0080033F"/>
    <w:rsid w:val="0080245A"/>
    <w:rsid w:val="00802A24"/>
    <w:rsid w:val="00802A52"/>
    <w:rsid w:val="00803395"/>
    <w:rsid w:val="00803D7F"/>
    <w:rsid w:val="008045CD"/>
    <w:rsid w:val="00804E85"/>
    <w:rsid w:val="00805351"/>
    <w:rsid w:val="00806F0F"/>
    <w:rsid w:val="00807964"/>
    <w:rsid w:val="00810048"/>
    <w:rsid w:val="008101CD"/>
    <w:rsid w:val="00812244"/>
    <w:rsid w:val="00812C12"/>
    <w:rsid w:val="00814503"/>
    <w:rsid w:val="00814DDE"/>
    <w:rsid w:val="0081552D"/>
    <w:rsid w:val="008172D8"/>
    <w:rsid w:val="00817A31"/>
    <w:rsid w:val="008214C2"/>
    <w:rsid w:val="00821EA1"/>
    <w:rsid w:val="00822448"/>
    <w:rsid w:val="00822679"/>
    <w:rsid w:val="008265EE"/>
    <w:rsid w:val="00830FDF"/>
    <w:rsid w:val="0083300C"/>
    <w:rsid w:val="00833913"/>
    <w:rsid w:val="00836154"/>
    <w:rsid w:val="00836D3F"/>
    <w:rsid w:val="00837CD4"/>
    <w:rsid w:val="00840881"/>
    <w:rsid w:val="008409CF"/>
    <w:rsid w:val="00840CDC"/>
    <w:rsid w:val="00841AF8"/>
    <w:rsid w:val="008421F6"/>
    <w:rsid w:val="00843385"/>
    <w:rsid w:val="00843975"/>
    <w:rsid w:val="00850430"/>
    <w:rsid w:val="00850DFE"/>
    <w:rsid w:val="0085172D"/>
    <w:rsid w:val="00852993"/>
    <w:rsid w:val="00852BD6"/>
    <w:rsid w:val="008537BC"/>
    <w:rsid w:val="00853A84"/>
    <w:rsid w:val="00854627"/>
    <w:rsid w:val="0085488A"/>
    <w:rsid w:val="00854D0D"/>
    <w:rsid w:val="00857011"/>
    <w:rsid w:val="0085702D"/>
    <w:rsid w:val="008602E3"/>
    <w:rsid w:val="00860824"/>
    <w:rsid w:val="00860BAE"/>
    <w:rsid w:val="0086180E"/>
    <w:rsid w:val="00862FFD"/>
    <w:rsid w:val="008633FA"/>
    <w:rsid w:val="00863568"/>
    <w:rsid w:val="00863C06"/>
    <w:rsid w:val="008644B4"/>
    <w:rsid w:val="008647C0"/>
    <w:rsid w:val="00864B18"/>
    <w:rsid w:val="00866F3A"/>
    <w:rsid w:val="00867016"/>
    <w:rsid w:val="0086775B"/>
    <w:rsid w:val="00867ABC"/>
    <w:rsid w:val="00870040"/>
    <w:rsid w:val="00870631"/>
    <w:rsid w:val="0087099A"/>
    <w:rsid w:val="00870EF2"/>
    <w:rsid w:val="00871AB6"/>
    <w:rsid w:val="00871E03"/>
    <w:rsid w:val="0087309C"/>
    <w:rsid w:val="008739A8"/>
    <w:rsid w:val="0087450A"/>
    <w:rsid w:val="008749AD"/>
    <w:rsid w:val="008751D1"/>
    <w:rsid w:val="00876D58"/>
    <w:rsid w:val="00881C1D"/>
    <w:rsid w:val="00881FAE"/>
    <w:rsid w:val="008823E2"/>
    <w:rsid w:val="00883DE9"/>
    <w:rsid w:val="00885829"/>
    <w:rsid w:val="00886000"/>
    <w:rsid w:val="008868A5"/>
    <w:rsid w:val="0088708B"/>
    <w:rsid w:val="00887622"/>
    <w:rsid w:val="008900B8"/>
    <w:rsid w:val="008900D8"/>
    <w:rsid w:val="00890113"/>
    <w:rsid w:val="00893B6B"/>
    <w:rsid w:val="00893F79"/>
    <w:rsid w:val="00895F6A"/>
    <w:rsid w:val="00896000"/>
    <w:rsid w:val="00896860"/>
    <w:rsid w:val="00897D6C"/>
    <w:rsid w:val="008A0A1F"/>
    <w:rsid w:val="008A0A41"/>
    <w:rsid w:val="008A5FBA"/>
    <w:rsid w:val="008B1758"/>
    <w:rsid w:val="008B2140"/>
    <w:rsid w:val="008B244A"/>
    <w:rsid w:val="008B32EA"/>
    <w:rsid w:val="008B584D"/>
    <w:rsid w:val="008B5C8A"/>
    <w:rsid w:val="008B5CE0"/>
    <w:rsid w:val="008B6159"/>
    <w:rsid w:val="008B6237"/>
    <w:rsid w:val="008B688C"/>
    <w:rsid w:val="008B7A32"/>
    <w:rsid w:val="008C0831"/>
    <w:rsid w:val="008C19F3"/>
    <w:rsid w:val="008C2477"/>
    <w:rsid w:val="008C2673"/>
    <w:rsid w:val="008C293A"/>
    <w:rsid w:val="008C42FA"/>
    <w:rsid w:val="008C4643"/>
    <w:rsid w:val="008C48E3"/>
    <w:rsid w:val="008D1403"/>
    <w:rsid w:val="008D23EC"/>
    <w:rsid w:val="008D3EBC"/>
    <w:rsid w:val="008D4444"/>
    <w:rsid w:val="008D4946"/>
    <w:rsid w:val="008D7452"/>
    <w:rsid w:val="008D7C43"/>
    <w:rsid w:val="008E061B"/>
    <w:rsid w:val="008E23A0"/>
    <w:rsid w:val="008E48BE"/>
    <w:rsid w:val="008E4A5F"/>
    <w:rsid w:val="008E5A33"/>
    <w:rsid w:val="008E6010"/>
    <w:rsid w:val="008E6592"/>
    <w:rsid w:val="008E69FE"/>
    <w:rsid w:val="008E7014"/>
    <w:rsid w:val="008E7391"/>
    <w:rsid w:val="008F0458"/>
    <w:rsid w:val="008F1B26"/>
    <w:rsid w:val="008F1DB0"/>
    <w:rsid w:val="008F42D4"/>
    <w:rsid w:val="008F4A03"/>
    <w:rsid w:val="008F6782"/>
    <w:rsid w:val="00905131"/>
    <w:rsid w:val="00907BB9"/>
    <w:rsid w:val="00907FFC"/>
    <w:rsid w:val="0091024D"/>
    <w:rsid w:val="0091244C"/>
    <w:rsid w:val="009147E2"/>
    <w:rsid w:val="0091495F"/>
    <w:rsid w:val="00916581"/>
    <w:rsid w:val="00916CBD"/>
    <w:rsid w:val="00920EE6"/>
    <w:rsid w:val="009210B6"/>
    <w:rsid w:val="009216E1"/>
    <w:rsid w:val="00922899"/>
    <w:rsid w:val="009241FD"/>
    <w:rsid w:val="009246FE"/>
    <w:rsid w:val="009257D2"/>
    <w:rsid w:val="009269BB"/>
    <w:rsid w:val="009272B8"/>
    <w:rsid w:val="00932CD5"/>
    <w:rsid w:val="00932DE6"/>
    <w:rsid w:val="00935A52"/>
    <w:rsid w:val="009362BA"/>
    <w:rsid w:val="009367E9"/>
    <w:rsid w:val="0094044C"/>
    <w:rsid w:val="00941D6E"/>
    <w:rsid w:val="00942DC5"/>
    <w:rsid w:val="00943EF2"/>
    <w:rsid w:val="00945BF4"/>
    <w:rsid w:val="0094679C"/>
    <w:rsid w:val="00946823"/>
    <w:rsid w:val="00947A0A"/>
    <w:rsid w:val="00950CC3"/>
    <w:rsid w:val="00952AFE"/>
    <w:rsid w:val="0095304D"/>
    <w:rsid w:val="00953E50"/>
    <w:rsid w:val="009549D3"/>
    <w:rsid w:val="009557A4"/>
    <w:rsid w:val="00955AE7"/>
    <w:rsid w:val="00960907"/>
    <w:rsid w:val="00961AFA"/>
    <w:rsid w:val="00962359"/>
    <w:rsid w:val="00962D0B"/>
    <w:rsid w:val="0096465C"/>
    <w:rsid w:val="00964836"/>
    <w:rsid w:val="0096513F"/>
    <w:rsid w:val="00965566"/>
    <w:rsid w:val="00967033"/>
    <w:rsid w:val="00967624"/>
    <w:rsid w:val="009701BD"/>
    <w:rsid w:val="00970D6B"/>
    <w:rsid w:val="00971C9E"/>
    <w:rsid w:val="00971F5D"/>
    <w:rsid w:val="00973F3E"/>
    <w:rsid w:val="009748BC"/>
    <w:rsid w:val="009748C3"/>
    <w:rsid w:val="0097673C"/>
    <w:rsid w:val="009801CC"/>
    <w:rsid w:val="00982947"/>
    <w:rsid w:val="009861BB"/>
    <w:rsid w:val="00986E01"/>
    <w:rsid w:val="00986FD6"/>
    <w:rsid w:val="00991128"/>
    <w:rsid w:val="009911B4"/>
    <w:rsid w:val="00991371"/>
    <w:rsid w:val="0099153F"/>
    <w:rsid w:val="009920F7"/>
    <w:rsid w:val="009932C2"/>
    <w:rsid w:val="00994A65"/>
    <w:rsid w:val="00997FC6"/>
    <w:rsid w:val="009A0FB2"/>
    <w:rsid w:val="009A1FC0"/>
    <w:rsid w:val="009A218D"/>
    <w:rsid w:val="009A3055"/>
    <w:rsid w:val="009A463E"/>
    <w:rsid w:val="009A4F1F"/>
    <w:rsid w:val="009A5B15"/>
    <w:rsid w:val="009A6E5D"/>
    <w:rsid w:val="009A704D"/>
    <w:rsid w:val="009A7651"/>
    <w:rsid w:val="009A7A36"/>
    <w:rsid w:val="009B000B"/>
    <w:rsid w:val="009B0AB4"/>
    <w:rsid w:val="009B0FBD"/>
    <w:rsid w:val="009B136A"/>
    <w:rsid w:val="009B1CF4"/>
    <w:rsid w:val="009B5337"/>
    <w:rsid w:val="009B6C0D"/>
    <w:rsid w:val="009C13DF"/>
    <w:rsid w:val="009C1506"/>
    <w:rsid w:val="009C17BF"/>
    <w:rsid w:val="009C237F"/>
    <w:rsid w:val="009C2771"/>
    <w:rsid w:val="009C31CF"/>
    <w:rsid w:val="009C4D41"/>
    <w:rsid w:val="009C5551"/>
    <w:rsid w:val="009C5835"/>
    <w:rsid w:val="009C598C"/>
    <w:rsid w:val="009C69D0"/>
    <w:rsid w:val="009C7CB4"/>
    <w:rsid w:val="009D15E5"/>
    <w:rsid w:val="009D232A"/>
    <w:rsid w:val="009D3163"/>
    <w:rsid w:val="009D34A0"/>
    <w:rsid w:val="009D38C7"/>
    <w:rsid w:val="009D60A4"/>
    <w:rsid w:val="009D79E3"/>
    <w:rsid w:val="009D7DD5"/>
    <w:rsid w:val="009E0985"/>
    <w:rsid w:val="009E4539"/>
    <w:rsid w:val="009E4891"/>
    <w:rsid w:val="009E64A4"/>
    <w:rsid w:val="009F1F24"/>
    <w:rsid w:val="009F24B6"/>
    <w:rsid w:val="009F26FC"/>
    <w:rsid w:val="009F273C"/>
    <w:rsid w:val="009F30F9"/>
    <w:rsid w:val="009F5BF2"/>
    <w:rsid w:val="009F625E"/>
    <w:rsid w:val="009F6B4E"/>
    <w:rsid w:val="009F6EEC"/>
    <w:rsid w:val="00A03132"/>
    <w:rsid w:val="00A035C4"/>
    <w:rsid w:val="00A0610C"/>
    <w:rsid w:val="00A07625"/>
    <w:rsid w:val="00A11C17"/>
    <w:rsid w:val="00A11F81"/>
    <w:rsid w:val="00A1206C"/>
    <w:rsid w:val="00A14F2D"/>
    <w:rsid w:val="00A15CEA"/>
    <w:rsid w:val="00A16B91"/>
    <w:rsid w:val="00A172F6"/>
    <w:rsid w:val="00A20607"/>
    <w:rsid w:val="00A210B0"/>
    <w:rsid w:val="00A21C06"/>
    <w:rsid w:val="00A22029"/>
    <w:rsid w:val="00A2419C"/>
    <w:rsid w:val="00A2531B"/>
    <w:rsid w:val="00A256DD"/>
    <w:rsid w:val="00A259B3"/>
    <w:rsid w:val="00A25B67"/>
    <w:rsid w:val="00A27851"/>
    <w:rsid w:val="00A27C78"/>
    <w:rsid w:val="00A30B12"/>
    <w:rsid w:val="00A30D7D"/>
    <w:rsid w:val="00A32C4D"/>
    <w:rsid w:val="00A33A36"/>
    <w:rsid w:val="00A34F38"/>
    <w:rsid w:val="00A36D00"/>
    <w:rsid w:val="00A379B3"/>
    <w:rsid w:val="00A420F1"/>
    <w:rsid w:val="00A427F7"/>
    <w:rsid w:val="00A43D1E"/>
    <w:rsid w:val="00A4550B"/>
    <w:rsid w:val="00A45923"/>
    <w:rsid w:val="00A46CCA"/>
    <w:rsid w:val="00A47512"/>
    <w:rsid w:val="00A476D1"/>
    <w:rsid w:val="00A47EBE"/>
    <w:rsid w:val="00A508C6"/>
    <w:rsid w:val="00A519D3"/>
    <w:rsid w:val="00A533D6"/>
    <w:rsid w:val="00A53D74"/>
    <w:rsid w:val="00A56EB8"/>
    <w:rsid w:val="00A574AF"/>
    <w:rsid w:val="00A60B3F"/>
    <w:rsid w:val="00A61123"/>
    <w:rsid w:val="00A637F0"/>
    <w:rsid w:val="00A64560"/>
    <w:rsid w:val="00A64DD7"/>
    <w:rsid w:val="00A65E3F"/>
    <w:rsid w:val="00A70B5E"/>
    <w:rsid w:val="00A7116D"/>
    <w:rsid w:val="00A714FB"/>
    <w:rsid w:val="00A73984"/>
    <w:rsid w:val="00A75FE5"/>
    <w:rsid w:val="00A761B6"/>
    <w:rsid w:val="00A8025F"/>
    <w:rsid w:val="00A809A1"/>
    <w:rsid w:val="00A80D55"/>
    <w:rsid w:val="00A81563"/>
    <w:rsid w:val="00A835CB"/>
    <w:rsid w:val="00A83C95"/>
    <w:rsid w:val="00A85007"/>
    <w:rsid w:val="00A85E60"/>
    <w:rsid w:val="00A871CA"/>
    <w:rsid w:val="00A917AD"/>
    <w:rsid w:val="00A9292A"/>
    <w:rsid w:val="00A92E8C"/>
    <w:rsid w:val="00A93EB6"/>
    <w:rsid w:val="00A9559A"/>
    <w:rsid w:val="00A95F13"/>
    <w:rsid w:val="00A962F8"/>
    <w:rsid w:val="00A972D3"/>
    <w:rsid w:val="00AA1C7A"/>
    <w:rsid w:val="00AA2076"/>
    <w:rsid w:val="00AA4338"/>
    <w:rsid w:val="00AA6B0C"/>
    <w:rsid w:val="00AA6C11"/>
    <w:rsid w:val="00AB17DD"/>
    <w:rsid w:val="00AB20F6"/>
    <w:rsid w:val="00AB3107"/>
    <w:rsid w:val="00AB404E"/>
    <w:rsid w:val="00AB4195"/>
    <w:rsid w:val="00AB42E1"/>
    <w:rsid w:val="00AB5A09"/>
    <w:rsid w:val="00AB6EF7"/>
    <w:rsid w:val="00AB7944"/>
    <w:rsid w:val="00AC03C6"/>
    <w:rsid w:val="00AC113D"/>
    <w:rsid w:val="00AC2836"/>
    <w:rsid w:val="00AC2F3E"/>
    <w:rsid w:val="00AC4159"/>
    <w:rsid w:val="00AC47B4"/>
    <w:rsid w:val="00AC573C"/>
    <w:rsid w:val="00AC61BB"/>
    <w:rsid w:val="00AC64D6"/>
    <w:rsid w:val="00AC73B2"/>
    <w:rsid w:val="00AD0874"/>
    <w:rsid w:val="00AD1E7E"/>
    <w:rsid w:val="00AD22C6"/>
    <w:rsid w:val="00AD28CC"/>
    <w:rsid w:val="00AD2AB8"/>
    <w:rsid w:val="00AD54EA"/>
    <w:rsid w:val="00AD61C5"/>
    <w:rsid w:val="00AD7E45"/>
    <w:rsid w:val="00AE0418"/>
    <w:rsid w:val="00AE0FBB"/>
    <w:rsid w:val="00AE14F5"/>
    <w:rsid w:val="00AE160F"/>
    <w:rsid w:val="00AE218F"/>
    <w:rsid w:val="00AE4151"/>
    <w:rsid w:val="00AE4DA3"/>
    <w:rsid w:val="00AE6D34"/>
    <w:rsid w:val="00AE72CD"/>
    <w:rsid w:val="00AE73F2"/>
    <w:rsid w:val="00AE7860"/>
    <w:rsid w:val="00AE7E02"/>
    <w:rsid w:val="00AF0520"/>
    <w:rsid w:val="00AF0A6A"/>
    <w:rsid w:val="00AF2048"/>
    <w:rsid w:val="00AF47DA"/>
    <w:rsid w:val="00AF5059"/>
    <w:rsid w:val="00AF55D6"/>
    <w:rsid w:val="00AF5705"/>
    <w:rsid w:val="00B00BC0"/>
    <w:rsid w:val="00B030CE"/>
    <w:rsid w:val="00B03838"/>
    <w:rsid w:val="00B03959"/>
    <w:rsid w:val="00B04A1B"/>
    <w:rsid w:val="00B05A5B"/>
    <w:rsid w:val="00B066EA"/>
    <w:rsid w:val="00B06874"/>
    <w:rsid w:val="00B10436"/>
    <w:rsid w:val="00B10ADA"/>
    <w:rsid w:val="00B12B03"/>
    <w:rsid w:val="00B1338B"/>
    <w:rsid w:val="00B145AD"/>
    <w:rsid w:val="00B14721"/>
    <w:rsid w:val="00B16A4C"/>
    <w:rsid w:val="00B16FAA"/>
    <w:rsid w:val="00B1774A"/>
    <w:rsid w:val="00B20734"/>
    <w:rsid w:val="00B20992"/>
    <w:rsid w:val="00B21DD2"/>
    <w:rsid w:val="00B230A3"/>
    <w:rsid w:val="00B27E0D"/>
    <w:rsid w:val="00B30350"/>
    <w:rsid w:val="00B317C8"/>
    <w:rsid w:val="00B32922"/>
    <w:rsid w:val="00B33C45"/>
    <w:rsid w:val="00B33DD4"/>
    <w:rsid w:val="00B34BCE"/>
    <w:rsid w:val="00B35F27"/>
    <w:rsid w:val="00B36248"/>
    <w:rsid w:val="00B364F4"/>
    <w:rsid w:val="00B37F58"/>
    <w:rsid w:val="00B42DD6"/>
    <w:rsid w:val="00B4333A"/>
    <w:rsid w:val="00B43FB3"/>
    <w:rsid w:val="00B4456F"/>
    <w:rsid w:val="00B45570"/>
    <w:rsid w:val="00B457ED"/>
    <w:rsid w:val="00B46097"/>
    <w:rsid w:val="00B476A9"/>
    <w:rsid w:val="00B47775"/>
    <w:rsid w:val="00B50B8C"/>
    <w:rsid w:val="00B510A8"/>
    <w:rsid w:val="00B51246"/>
    <w:rsid w:val="00B51BF5"/>
    <w:rsid w:val="00B527B7"/>
    <w:rsid w:val="00B55841"/>
    <w:rsid w:val="00B55D8E"/>
    <w:rsid w:val="00B5611F"/>
    <w:rsid w:val="00B56AA4"/>
    <w:rsid w:val="00B56B4F"/>
    <w:rsid w:val="00B57026"/>
    <w:rsid w:val="00B61C10"/>
    <w:rsid w:val="00B62E64"/>
    <w:rsid w:val="00B6400B"/>
    <w:rsid w:val="00B64320"/>
    <w:rsid w:val="00B64F1D"/>
    <w:rsid w:val="00B66C99"/>
    <w:rsid w:val="00B703B0"/>
    <w:rsid w:val="00B71A8E"/>
    <w:rsid w:val="00B72B03"/>
    <w:rsid w:val="00B7487C"/>
    <w:rsid w:val="00B809FE"/>
    <w:rsid w:val="00B80B47"/>
    <w:rsid w:val="00B816DB"/>
    <w:rsid w:val="00B817AD"/>
    <w:rsid w:val="00B81E5B"/>
    <w:rsid w:val="00B82531"/>
    <w:rsid w:val="00B825D0"/>
    <w:rsid w:val="00B831A2"/>
    <w:rsid w:val="00B85CF4"/>
    <w:rsid w:val="00B871D7"/>
    <w:rsid w:val="00B87E20"/>
    <w:rsid w:val="00B931F4"/>
    <w:rsid w:val="00B94901"/>
    <w:rsid w:val="00B94949"/>
    <w:rsid w:val="00B94EE5"/>
    <w:rsid w:val="00B9543D"/>
    <w:rsid w:val="00B9676A"/>
    <w:rsid w:val="00B970AF"/>
    <w:rsid w:val="00BA23E7"/>
    <w:rsid w:val="00BA2645"/>
    <w:rsid w:val="00BA2DA4"/>
    <w:rsid w:val="00BA406E"/>
    <w:rsid w:val="00BA4FA4"/>
    <w:rsid w:val="00BA7F3B"/>
    <w:rsid w:val="00BB012A"/>
    <w:rsid w:val="00BB1609"/>
    <w:rsid w:val="00BB1DB7"/>
    <w:rsid w:val="00BB2D37"/>
    <w:rsid w:val="00BB339D"/>
    <w:rsid w:val="00BB3EE5"/>
    <w:rsid w:val="00BB606D"/>
    <w:rsid w:val="00BB6A2B"/>
    <w:rsid w:val="00BB7665"/>
    <w:rsid w:val="00BB76A2"/>
    <w:rsid w:val="00BC0637"/>
    <w:rsid w:val="00BC118A"/>
    <w:rsid w:val="00BC1E1C"/>
    <w:rsid w:val="00BC20D7"/>
    <w:rsid w:val="00BC2794"/>
    <w:rsid w:val="00BC2CEF"/>
    <w:rsid w:val="00BC3A5F"/>
    <w:rsid w:val="00BC404A"/>
    <w:rsid w:val="00BC68D8"/>
    <w:rsid w:val="00BC6B4C"/>
    <w:rsid w:val="00BC718B"/>
    <w:rsid w:val="00BD0A74"/>
    <w:rsid w:val="00BD0D21"/>
    <w:rsid w:val="00BD1803"/>
    <w:rsid w:val="00BD43CE"/>
    <w:rsid w:val="00BD4E71"/>
    <w:rsid w:val="00BD4FB2"/>
    <w:rsid w:val="00BD5057"/>
    <w:rsid w:val="00BD59BC"/>
    <w:rsid w:val="00BD5FA0"/>
    <w:rsid w:val="00BD6C0B"/>
    <w:rsid w:val="00BD736B"/>
    <w:rsid w:val="00BE046B"/>
    <w:rsid w:val="00BE0AE0"/>
    <w:rsid w:val="00BE0DBA"/>
    <w:rsid w:val="00BE1341"/>
    <w:rsid w:val="00BE172C"/>
    <w:rsid w:val="00BE2DC5"/>
    <w:rsid w:val="00BE37F7"/>
    <w:rsid w:val="00BE3BEE"/>
    <w:rsid w:val="00BE41AB"/>
    <w:rsid w:val="00BE5869"/>
    <w:rsid w:val="00BE6927"/>
    <w:rsid w:val="00BE6E23"/>
    <w:rsid w:val="00BF03A7"/>
    <w:rsid w:val="00BF1BD6"/>
    <w:rsid w:val="00BF1F13"/>
    <w:rsid w:val="00BF2F96"/>
    <w:rsid w:val="00BF5E89"/>
    <w:rsid w:val="00BF74BE"/>
    <w:rsid w:val="00BF7AC6"/>
    <w:rsid w:val="00C00021"/>
    <w:rsid w:val="00C01985"/>
    <w:rsid w:val="00C02854"/>
    <w:rsid w:val="00C02CFF"/>
    <w:rsid w:val="00C02E90"/>
    <w:rsid w:val="00C043E6"/>
    <w:rsid w:val="00C049A7"/>
    <w:rsid w:val="00C05627"/>
    <w:rsid w:val="00C07A99"/>
    <w:rsid w:val="00C112CA"/>
    <w:rsid w:val="00C11A83"/>
    <w:rsid w:val="00C11D72"/>
    <w:rsid w:val="00C15A95"/>
    <w:rsid w:val="00C15CEE"/>
    <w:rsid w:val="00C16F39"/>
    <w:rsid w:val="00C178EB"/>
    <w:rsid w:val="00C22403"/>
    <w:rsid w:val="00C230E9"/>
    <w:rsid w:val="00C247EF"/>
    <w:rsid w:val="00C248E1"/>
    <w:rsid w:val="00C252FE"/>
    <w:rsid w:val="00C25B79"/>
    <w:rsid w:val="00C30053"/>
    <w:rsid w:val="00C30525"/>
    <w:rsid w:val="00C322ED"/>
    <w:rsid w:val="00C3351B"/>
    <w:rsid w:val="00C33F1F"/>
    <w:rsid w:val="00C349B7"/>
    <w:rsid w:val="00C360E8"/>
    <w:rsid w:val="00C374EE"/>
    <w:rsid w:val="00C4129E"/>
    <w:rsid w:val="00C424A1"/>
    <w:rsid w:val="00C42F6F"/>
    <w:rsid w:val="00C43C7E"/>
    <w:rsid w:val="00C443A9"/>
    <w:rsid w:val="00C452B8"/>
    <w:rsid w:val="00C50F87"/>
    <w:rsid w:val="00C52C56"/>
    <w:rsid w:val="00C53922"/>
    <w:rsid w:val="00C54EFC"/>
    <w:rsid w:val="00C550D6"/>
    <w:rsid w:val="00C55E17"/>
    <w:rsid w:val="00C57BC0"/>
    <w:rsid w:val="00C63333"/>
    <w:rsid w:val="00C6352E"/>
    <w:rsid w:val="00C635A5"/>
    <w:rsid w:val="00C64755"/>
    <w:rsid w:val="00C64913"/>
    <w:rsid w:val="00C66825"/>
    <w:rsid w:val="00C709B7"/>
    <w:rsid w:val="00C71A2F"/>
    <w:rsid w:val="00C72BE6"/>
    <w:rsid w:val="00C73DC5"/>
    <w:rsid w:val="00C74BBC"/>
    <w:rsid w:val="00C75EE8"/>
    <w:rsid w:val="00C76BB8"/>
    <w:rsid w:val="00C76DA3"/>
    <w:rsid w:val="00C82509"/>
    <w:rsid w:val="00C82B39"/>
    <w:rsid w:val="00C8345A"/>
    <w:rsid w:val="00C83502"/>
    <w:rsid w:val="00C8457F"/>
    <w:rsid w:val="00C855A5"/>
    <w:rsid w:val="00C868B8"/>
    <w:rsid w:val="00C905A2"/>
    <w:rsid w:val="00C91080"/>
    <w:rsid w:val="00C922AE"/>
    <w:rsid w:val="00C94989"/>
    <w:rsid w:val="00C96C2C"/>
    <w:rsid w:val="00C9745C"/>
    <w:rsid w:val="00C9792F"/>
    <w:rsid w:val="00C9798B"/>
    <w:rsid w:val="00CA0BDB"/>
    <w:rsid w:val="00CA0CAA"/>
    <w:rsid w:val="00CA1499"/>
    <w:rsid w:val="00CA1F38"/>
    <w:rsid w:val="00CA2215"/>
    <w:rsid w:val="00CA4823"/>
    <w:rsid w:val="00CA514E"/>
    <w:rsid w:val="00CA7E42"/>
    <w:rsid w:val="00CB076A"/>
    <w:rsid w:val="00CB3EEA"/>
    <w:rsid w:val="00CB57CE"/>
    <w:rsid w:val="00CB727D"/>
    <w:rsid w:val="00CC0311"/>
    <w:rsid w:val="00CC03BF"/>
    <w:rsid w:val="00CC23D5"/>
    <w:rsid w:val="00CC3643"/>
    <w:rsid w:val="00CC46B7"/>
    <w:rsid w:val="00CC4A5F"/>
    <w:rsid w:val="00CC53DD"/>
    <w:rsid w:val="00CC56BB"/>
    <w:rsid w:val="00CC697F"/>
    <w:rsid w:val="00CC76C7"/>
    <w:rsid w:val="00CD0EA4"/>
    <w:rsid w:val="00CD5CE4"/>
    <w:rsid w:val="00CD605A"/>
    <w:rsid w:val="00CD71EB"/>
    <w:rsid w:val="00CD797A"/>
    <w:rsid w:val="00CD79B6"/>
    <w:rsid w:val="00CE08D9"/>
    <w:rsid w:val="00CE11A9"/>
    <w:rsid w:val="00CE1BC2"/>
    <w:rsid w:val="00CE28D8"/>
    <w:rsid w:val="00CE357E"/>
    <w:rsid w:val="00CE6B33"/>
    <w:rsid w:val="00CF160E"/>
    <w:rsid w:val="00CF28F1"/>
    <w:rsid w:val="00CF3079"/>
    <w:rsid w:val="00CF4876"/>
    <w:rsid w:val="00CF4E6F"/>
    <w:rsid w:val="00CF7D6B"/>
    <w:rsid w:val="00D01C02"/>
    <w:rsid w:val="00D03765"/>
    <w:rsid w:val="00D03FB5"/>
    <w:rsid w:val="00D045BE"/>
    <w:rsid w:val="00D04F38"/>
    <w:rsid w:val="00D05037"/>
    <w:rsid w:val="00D0508F"/>
    <w:rsid w:val="00D053C9"/>
    <w:rsid w:val="00D05476"/>
    <w:rsid w:val="00D06052"/>
    <w:rsid w:val="00D0797C"/>
    <w:rsid w:val="00D07E62"/>
    <w:rsid w:val="00D1095F"/>
    <w:rsid w:val="00D10F83"/>
    <w:rsid w:val="00D1250E"/>
    <w:rsid w:val="00D127B7"/>
    <w:rsid w:val="00D13D32"/>
    <w:rsid w:val="00D1482D"/>
    <w:rsid w:val="00D17915"/>
    <w:rsid w:val="00D21AEB"/>
    <w:rsid w:val="00D22504"/>
    <w:rsid w:val="00D22B96"/>
    <w:rsid w:val="00D25658"/>
    <w:rsid w:val="00D25B34"/>
    <w:rsid w:val="00D26D09"/>
    <w:rsid w:val="00D2740A"/>
    <w:rsid w:val="00D30E76"/>
    <w:rsid w:val="00D33F40"/>
    <w:rsid w:val="00D3449A"/>
    <w:rsid w:val="00D348F1"/>
    <w:rsid w:val="00D34F6B"/>
    <w:rsid w:val="00D35811"/>
    <w:rsid w:val="00D35E32"/>
    <w:rsid w:val="00D363E9"/>
    <w:rsid w:val="00D36F71"/>
    <w:rsid w:val="00D3774D"/>
    <w:rsid w:val="00D37B9A"/>
    <w:rsid w:val="00D402D7"/>
    <w:rsid w:val="00D408DF"/>
    <w:rsid w:val="00D40977"/>
    <w:rsid w:val="00D4168C"/>
    <w:rsid w:val="00D42840"/>
    <w:rsid w:val="00D431B5"/>
    <w:rsid w:val="00D43F8E"/>
    <w:rsid w:val="00D43FEA"/>
    <w:rsid w:val="00D4466F"/>
    <w:rsid w:val="00D44CF8"/>
    <w:rsid w:val="00D45D51"/>
    <w:rsid w:val="00D4622E"/>
    <w:rsid w:val="00D50930"/>
    <w:rsid w:val="00D51A79"/>
    <w:rsid w:val="00D547C2"/>
    <w:rsid w:val="00D54DC5"/>
    <w:rsid w:val="00D55D23"/>
    <w:rsid w:val="00D5733A"/>
    <w:rsid w:val="00D61CE5"/>
    <w:rsid w:val="00D636AC"/>
    <w:rsid w:val="00D64D7A"/>
    <w:rsid w:val="00D64ECD"/>
    <w:rsid w:val="00D66C0C"/>
    <w:rsid w:val="00D66C4B"/>
    <w:rsid w:val="00D66D19"/>
    <w:rsid w:val="00D74BE7"/>
    <w:rsid w:val="00D75094"/>
    <w:rsid w:val="00D75607"/>
    <w:rsid w:val="00D765F4"/>
    <w:rsid w:val="00D76D6F"/>
    <w:rsid w:val="00D76F61"/>
    <w:rsid w:val="00D815B4"/>
    <w:rsid w:val="00D822AB"/>
    <w:rsid w:val="00D82648"/>
    <w:rsid w:val="00D832B9"/>
    <w:rsid w:val="00D839ED"/>
    <w:rsid w:val="00D8427F"/>
    <w:rsid w:val="00D85A72"/>
    <w:rsid w:val="00D86F1E"/>
    <w:rsid w:val="00D871FF"/>
    <w:rsid w:val="00D8780D"/>
    <w:rsid w:val="00D9211A"/>
    <w:rsid w:val="00D9228E"/>
    <w:rsid w:val="00D92791"/>
    <w:rsid w:val="00D92B89"/>
    <w:rsid w:val="00D933BA"/>
    <w:rsid w:val="00D940A3"/>
    <w:rsid w:val="00D94F09"/>
    <w:rsid w:val="00D9576C"/>
    <w:rsid w:val="00D97284"/>
    <w:rsid w:val="00D97AFD"/>
    <w:rsid w:val="00DA08F7"/>
    <w:rsid w:val="00DA0FFB"/>
    <w:rsid w:val="00DA1015"/>
    <w:rsid w:val="00DA5D5D"/>
    <w:rsid w:val="00DA6866"/>
    <w:rsid w:val="00DA745C"/>
    <w:rsid w:val="00DB1980"/>
    <w:rsid w:val="00DB21A2"/>
    <w:rsid w:val="00DB4B14"/>
    <w:rsid w:val="00DB4B4F"/>
    <w:rsid w:val="00DB5CB4"/>
    <w:rsid w:val="00DB7EDF"/>
    <w:rsid w:val="00DC0676"/>
    <w:rsid w:val="00DC0AE3"/>
    <w:rsid w:val="00DC0C7B"/>
    <w:rsid w:val="00DC0EFA"/>
    <w:rsid w:val="00DC1677"/>
    <w:rsid w:val="00DC1ACE"/>
    <w:rsid w:val="00DC1D8B"/>
    <w:rsid w:val="00DC2247"/>
    <w:rsid w:val="00DC36D8"/>
    <w:rsid w:val="00DC4007"/>
    <w:rsid w:val="00DC4A6C"/>
    <w:rsid w:val="00DC609B"/>
    <w:rsid w:val="00DC6635"/>
    <w:rsid w:val="00DC78A4"/>
    <w:rsid w:val="00DD0351"/>
    <w:rsid w:val="00DD1990"/>
    <w:rsid w:val="00DD32DC"/>
    <w:rsid w:val="00DD3A13"/>
    <w:rsid w:val="00DD3CA4"/>
    <w:rsid w:val="00DD480F"/>
    <w:rsid w:val="00DD4B6A"/>
    <w:rsid w:val="00DD7D9D"/>
    <w:rsid w:val="00DE0188"/>
    <w:rsid w:val="00DE1406"/>
    <w:rsid w:val="00DE371C"/>
    <w:rsid w:val="00DE3ACF"/>
    <w:rsid w:val="00DE49BC"/>
    <w:rsid w:val="00DE516A"/>
    <w:rsid w:val="00DE7A25"/>
    <w:rsid w:val="00DE7EE6"/>
    <w:rsid w:val="00DF1068"/>
    <w:rsid w:val="00DF2142"/>
    <w:rsid w:val="00DF32A5"/>
    <w:rsid w:val="00DF36DD"/>
    <w:rsid w:val="00DF5014"/>
    <w:rsid w:val="00DF5092"/>
    <w:rsid w:val="00E006F0"/>
    <w:rsid w:val="00E012A5"/>
    <w:rsid w:val="00E0138D"/>
    <w:rsid w:val="00E0257C"/>
    <w:rsid w:val="00E03602"/>
    <w:rsid w:val="00E05AD1"/>
    <w:rsid w:val="00E067AB"/>
    <w:rsid w:val="00E06E7D"/>
    <w:rsid w:val="00E0750A"/>
    <w:rsid w:val="00E078B6"/>
    <w:rsid w:val="00E10392"/>
    <w:rsid w:val="00E11BB7"/>
    <w:rsid w:val="00E11D27"/>
    <w:rsid w:val="00E124C2"/>
    <w:rsid w:val="00E12625"/>
    <w:rsid w:val="00E13A5E"/>
    <w:rsid w:val="00E141D5"/>
    <w:rsid w:val="00E159E5"/>
    <w:rsid w:val="00E16D74"/>
    <w:rsid w:val="00E170B2"/>
    <w:rsid w:val="00E17B64"/>
    <w:rsid w:val="00E20210"/>
    <w:rsid w:val="00E2069D"/>
    <w:rsid w:val="00E21446"/>
    <w:rsid w:val="00E21532"/>
    <w:rsid w:val="00E21792"/>
    <w:rsid w:val="00E251B3"/>
    <w:rsid w:val="00E25872"/>
    <w:rsid w:val="00E2599C"/>
    <w:rsid w:val="00E2690C"/>
    <w:rsid w:val="00E32713"/>
    <w:rsid w:val="00E32E84"/>
    <w:rsid w:val="00E34DF8"/>
    <w:rsid w:val="00E35D4C"/>
    <w:rsid w:val="00E36A8F"/>
    <w:rsid w:val="00E36E74"/>
    <w:rsid w:val="00E4071A"/>
    <w:rsid w:val="00E440C0"/>
    <w:rsid w:val="00E45FC9"/>
    <w:rsid w:val="00E4633A"/>
    <w:rsid w:val="00E46D2B"/>
    <w:rsid w:val="00E470C7"/>
    <w:rsid w:val="00E50205"/>
    <w:rsid w:val="00E52F61"/>
    <w:rsid w:val="00E538B6"/>
    <w:rsid w:val="00E538FC"/>
    <w:rsid w:val="00E5537C"/>
    <w:rsid w:val="00E567D9"/>
    <w:rsid w:val="00E56FFC"/>
    <w:rsid w:val="00E57C5B"/>
    <w:rsid w:val="00E6016B"/>
    <w:rsid w:val="00E6147C"/>
    <w:rsid w:val="00E629E3"/>
    <w:rsid w:val="00E6316F"/>
    <w:rsid w:val="00E631BA"/>
    <w:rsid w:val="00E635EC"/>
    <w:rsid w:val="00E66010"/>
    <w:rsid w:val="00E66FC8"/>
    <w:rsid w:val="00E70B39"/>
    <w:rsid w:val="00E711E3"/>
    <w:rsid w:val="00E727DD"/>
    <w:rsid w:val="00E7503D"/>
    <w:rsid w:val="00E76041"/>
    <w:rsid w:val="00E762ED"/>
    <w:rsid w:val="00E7688F"/>
    <w:rsid w:val="00E76BDE"/>
    <w:rsid w:val="00E813E8"/>
    <w:rsid w:val="00E81D93"/>
    <w:rsid w:val="00E82CF2"/>
    <w:rsid w:val="00E8360D"/>
    <w:rsid w:val="00E841EA"/>
    <w:rsid w:val="00E844CF"/>
    <w:rsid w:val="00E859DE"/>
    <w:rsid w:val="00E85F72"/>
    <w:rsid w:val="00E8613F"/>
    <w:rsid w:val="00E8637F"/>
    <w:rsid w:val="00E918D8"/>
    <w:rsid w:val="00E928FC"/>
    <w:rsid w:val="00E93357"/>
    <w:rsid w:val="00E94D29"/>
    <w:rsid w:val="00E95BB6"/>
    <w:rsid w:val="00EA62DC"/>
    <w:rsid w:val="00EA68E4"/>
    <w:rsid w:val="00EA6DCB"/>
    <w:rsid w:val="00EA7B31"/>
    <w:rsid w:val="00EA7F52"/>
    <w:rsid w:val="00EB0307"/>
    <w:rsid w:val="00EB391C"/>
    <w:rsid w:val="00EB401B"/>
    <w:rsid w:val="00EB5310"/>
    <w:rsid w:val="00EB54DB"/>
    <w:rsid w:val="00EB606B"/>
    <w:rsid w:val="00EB6FDA"/>
    <w:rsid w:val="00EB704C"/>
    <w:rsid w:val="00EB752C"/>
    <w:rsid w:val="00EC1351"/>
    <w:rsid w:val="00EC259F"/>
    <w:rsid w:val="00EC50C4"/>
    <w:rsid w:val="00EC675F"/>
    <w:rsid w:val="00EC6A3A"/>
    <w:rsid w:val="00EC7D24"/>
    <w:rsid w:val="00ED1A2F"/>
    <w:rsid w:val="00ED2114"/>
    <w:rsid w:val="00ED26AE"/>
    <w:rsid w:val="00ED33AA"/>
    <w:rsid w:val="00ED39F5"/>
    <w:rsid w:val="00ED5623"/>
    <w:rsid w:val="00ED5F5C"/>
    <w:rsid w:val="00ED7D4F"/>
    <w:rsid w:val="00EE16E0"/>
    <w:rsid w:val="00EE35E2"/>
    <w:rsid w:val="00EE41C3"/>
    <w:rsid w:val="00EE47A7"/>
    <w:rsid w:val="00EE521A"/>
    <w:rsid w:val="00EE5612"/>
    <w:rsid w:val="00EE68EA"/>
    <w:rsid w:val="00EE76F9"/>
    <w:rsid w:val="00EF0135"/>
    <w:rsid w:val="00EF21F7"/>
    <w:rsid w:val="00EF29AE"/>
    <w:rsid w:val="00EF2E06"/>
    <w:rsid w:val="00EF30F3"/>
    <w:rsid w:val="00EF3EB5"/>
    <w:rsid w:val="00EF48C2"/>
    <w:rsid w:val="00EF5268"/>
    <w:rsid w:val="00EF7183"/>
    <w:rsid w:val="00EF7592"/>
    <w:rsid w:val="00EF75CB"/>
    <w:rsid w:val="00EF782D"/>
    <w:rsid w:val="00F000CF"/>
    <w:rsid w:val="00F01AD1"/>
    <w:rsid w:val="00F01B33"/>
    <w:rsid w:val="00F01DA2"/>
    <w:rsid w:val="00F02C14"/>
    <w:rsid w:val="00F039B2"/>
    <w:rsid w:val="00F043B8"/>
    <w:rsid w:val="00F049E4"/>
    <w:rsid w:val="00F051EB"/>
    <w:rsid w:val="00F05E2F"/>
    <w:rsid w:val="00F07211"/>
    <w:rsid w:val="00F07D8B"/>
    <w:rsid w:val="00F117CD"/>
    <w:rsid w:val="00F13007"/>
    <w:rsid w:val="00F1372A"/>
    <w:rsid w:val="00F146C5"/>
    <w:rsid w:val="00F15ABA"/>
    <w:rsid w:val="00F16EDE"/>
    <w:rsid w:val="00F21D76"/>
    <w:rsid w:val="00F22490"/>
    <w:rsid w:val="00F227AC"/>
    <w:rsid w:val="00F22DD0"/>
    <w:rsid w:val="00F234AF"/>
    <w:rsid w:val="00F236AF"/>
    <w:rsid w:val="00F23A40"/>
    <w:rsid w:val="00F24485"/>
    <w:rsid w:val="00F255F0"/>
    <w:rsid w:val="00F27099"/>
    <w:rsid w:val="00F274E8"/>
    <w:rsid w:val="00F302C6"/>
    <w:rsid w:val="00F30766"/>
    <w:rsid w:val="00F3507B"/>
    <w:rsid w:val="00F350B6"/>
    <w:rsid w:val="00F3616A"/>
    <w:rsid w:val="00F37A63"/>
    <w:rsid w:val="00F41F66"/>
    <w:rsid w:val="00F4240F"/>
    <w:rsid w:val="00F4311A"/>
    <w:rsid w:val="00F43A0C"/>
    <w:rsid w:val="00F44592"/>
    <w:rsid w:val="00F44642"/>
    <w:rsid w:val="00F46665"/>
    <w:rsid w:val="00F46803"/>
    <w:rsid w:val="00F47795"/>
    <w:rsid w:val="00F47ECF"/>
    <w:rsid w:val="00F50B00"/>
    <w:rsid w:val="00F50B6A"/>
    <w:rsid w:val="00F51879"/>
    <w:rsid w:val="00F51C41"/>
    <w:rsid w:val="00F521EC"/>
    <w:rsid w:val="00F5339A"/>
    <w:rsid w:val="00F53B53"/>
    <w:rsid w:val="00F53FC3"/>
    <w:rsid w:val="00F548E9"/>
    <w:rsid w:val="00F57FDF"/>
    <w:rsid w:val="00F60569"/>
    <w:rsid w:val="00F60C43"/>
    <w:rsid w:val="00F60EC7"/>
    <w:rsid w:val="00F62629"/>
    <w:rsid w:val="00F66D62"/>
    <w:rsid w:val="00F66E57"/>
    <w:rsid w:val="00F673CE"/>
    <w:rsid w:val="00F677E6"/>
    <w:rsid w:val="00F679CB"/>
    <w:rsid w:val="00F71EE0"/>
    <w:rsid w:val="00F73260"/>
    <w:rsid w:val="00F73323"/>
    <w:rsid w:val="00F736D7"/>
    <w:rsid w:val="00F739C6"/>
    <w:rsid w:val="00F75A8D"/>
    <w:rsid w:val="00F75A98"/>
    <w:rsid w:val="00F76345"/>
    <w:rsid w:val="00F7787B"/>
    <w:rsid w:val="00F7796A"/>
    <w:rsid w:val="00F77A76"/>
    <w:rsid w:val="00F8050C"/>
    <w:rsid w:val="00F80682"/>
    <w:rsid w:val="00F816B2"/>
    <w:rsid w:val="00F81CF1"/>
    <w:rsid w:val="00F827D9"/>
    <w:rsid w:val="00F83274"/>
    <w:rsid w:val="00F836CC"/>
    <w:rsid w:val="00F8411F"/>
    <w:rsid w:val="00F84592"/>
    <w:rsid w:val="00F84E66"/>
    <w:rsid w:val="00F85994"/>
    <w:rsid w:val="00F86145"/>
    <w:rsid w:val="00F863EC"/>
    <w:rsid w:val="00F87A24"/>
    <w:rsid w:val="00F902A1"/>
    <w:rsid w:val="00F92508"/>
    <w:rsid w:val="00F92E6D"/>
    <w:rsid w:val="00F93539"/>
    <w:rsid w:val="00F93B76"/>
    <w:rsid w:val="00F94316"/>
    <w:rsid w:val="00F9581E"/>
    <w:rsid w:val="00F973C2"/>
    <w:rsid w:val="00FA0DCD"/>
    <w:rsid w:val="00FA13F7"/>
    <w:rsid w:val="00FA266C"/>
    <w:rsid w:val="00FA28C8"/>
    <w:rsid w:val="00FA3537"/>
    <w:rsid w:val="00FA3715"/>
    <w:rsid w:val="00FA6687"/>
    <w:rsid w:val="00FA6D59"/>
    <w:rsid w:val="00FB1566"/>
    <w:rsid w:val="00FB2619"/>
    <w:rsid w:val="00FB325C"/>
    <w:rsid w:val="00FB3F8D"/>
    <w:rsid w:val="00FB6D5C"/>
    <w:rsid w:val="00FC0A64"/>
    <w:rsid w:val="00FC119E"/>
    <w:rsid w:val="00FC1F8B"/>
    <w:rsid w:val="00FC25D7"/>
    <w:rsid w:val="00FC27B6"/>
    <w:rsid w:val="00FC32BA"/>
    <w:rsid w:val="00FC33E7"/>
    <w:rsid w:val="00FC350C"/>
    <w:rsid w:val="00FC3D5C"/>
    <w:rsid w:val="00FC4134"/>
    <w:rsid w:val="00FC45DE"/>
    <w:rsid w:val="00FC57DE"/>
    <w:rsid w:val="00FC6076"/>
    <w:rsid w:val="00FC6475"/>
    <w:rsid w:val="00FC6916"/>
    <w:rsid w:val="00FC6C1E"/>
    <w:rsid w:val="00FC6E43"/>
    <w:rsid w:val="00FD1261"/>
    <w:rsid w:val="00FD1DF9"/>
    <w:rsid w:val="00FD3310"/>
    <w:rsid w:val="00FD3A56"/>
    <w:rsid w:val="00FD4485"/>
    <w:rsid w:val="00FD4B8F"/>
    <w:rsid w:val="00FD727D"/>
    <w:rsid w:val="00FE0165"/>
    <w:rsid w:val="00FE0225"/>
    <w:rsid w:val="00FE4D68"/>
    <w:rsid w:val="00FE6788"/>
    <w:rsid w:val="00FF0304"/>
    <w:rsid w:val="00FF10AE"/>
    <w:rsid w:val="00FF3BD0"/>
    <w:rsid w:val="00FF4F4F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4E58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5D4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FD4"/>
    <w:pPr>
      <w:ind w:left="720"/>
      <w:contextualSpacing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2A17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7A5"/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7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7A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7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7A5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7A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79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EA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70B2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E170B2"/>
  </w:style>
  <w:style w:type="character" w:styleId="PageNumber">
    <w:name w:val="page number"/>
    <w:basedOn w:val="DefaultParagraphFont"/>
    <w:uiPriority w:val="99"/>
    <w:semiHidden/>
    <w:unhideWhenUsed/>
    <w:rsid w:val="00E170B2"/>
  </w:style>
  <w:style w:type="paragraph" w:styleId="Header">
    <w:name w:val="header"/>
    <w:basedOn w:val="Normal"/>
    <w:link w:val="HeaderChar"/>
    <w:uiPriority w:val="99"/>
    <w:unhideWhenUsed/>
    <w:rsid w:val="00D363E9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363E9"/>
  </w:style>
  <w:style w:type="paragraph" w:styleId="Revision">
    <w:name w:val="Revision"/>
    <w:hidden/>
    <w:uiPriority w:val="99"/>
    <w:semiHidden/>
    <w:rsid w:val="0070758E"/>
    <w:rPr>
      <w:rFonts w:ascii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94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ich@cfenet.ubc.ca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E0D0FC-25DA-7F41-A48F-31A86787E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60CB6-3D40-4A26-8C9B-ADA1DB9E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7145</Words>
  <Characters>131556</Characters>
  <Application>Microsoft Office Word</Application>
  <DocSecurity>4</DocSecurity>
  <Lines>1096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Rich</dc:creator>
  <cp:keywords/>
  <dc:description/>
  <cp:lastModifiedBy>Whalley T.</cp:lastModifiedBy>
  <cp:revision>2</cp:revision>
  <dcterms:created xsi:type="dcterms:W3CDTF">2020-02-05T12:24:00Z</dcterms:created>
  <dcterms:modified xsi:type="dcterms:W3CDTF">2020-02-05T12:24:00Z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id="http://www.zotero.org/styles/apa"/&gt;&lt;hasBiblio/&gt;&lt;format class="21"/&gt;&lt;count citations="45" publications="56"/&gt;&lt;/info&gt;PAPERS2_INFO_END</vt:lpwstr>
  </property>
</Properties>
</file>