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C5933" w14:textId="77777777" w:rsidR="007D0E81" w:rsidRPr="00776DF0" w:rsidRDefault="00776DF0" w:rsidP="002E0D04">
      <w:pPr>
        <w:spacing w:line="240" w:lineRule="auto"/>
        <w:jc w:val="both"/>
        <w:rPr>
          <w:rFonts w:cs="Times New Roman"/>
          <w:b/>
        </w:rPr>
      </w:pPr>
      <w:r>
        <w:rPr>
          <w:b/>
        </w:rPr>
        <w:t xml:space="preserve">Narrative Redemption: A Commentary on McGregor’s </w:t>
      </w:r>
      <w:r>
        <w:rPr>
          <w:b/>
          <w:i/>
        </w:rPr>
        <w:t>Narrative Justice</w:t>
      </w:r>
    </w:p>
    <w:p w14:paraId="1366F038" w14:textId="77777777" w:rsidR="007D0E81" w:rsidRDefault="007D0E81" w:rsidP="002E0D04">
      <w:pPr>
        <w:jc w:val="both"/>
      </w:pPr>
      <w:r>
        <w:t>Vladimir Rizov</w:t>
      </w:r>
    </w:p>
    <w:p w14:paraId="6F1A3D07" w14:textId="77777777" w:rsidR="00175DC1" w:rsidRDefault="00175DC1" w:rsidP="002E0D04">
      <w:pPr>
        <w:spacing w:line="240" w:lineRule="auto"/>
        <w:ind w:firstLine="720"/>
        <w:jc w:val="both"/>
      </w:pPr>
      <w:r>
        <w:t xml:space="preserve">McGregor’s </w:t>
      </w:r>
      <w:r w:rsidR="000F2FAF">
        <w:rPr>
          <w:i/>
        </w:rPr>
        <w:t>Narrative Justice</w:t>
      </w:r>
      <w:r>
        <w:t xml:space="preserve"> provides a powerful argument for the merit of an education by and through aesthetics as a way of challenging criminal inhumanity. As a work at the intersection of critical criminology and philosophy, it is a challenging and thoughtful articulation of the criminological imagination.</w:t>
      </w:r>
      <w:r>
        <w:rPr>
          <w:rStyle w:val="EndnoteReference"/>
        </w:rPr>
        <w:endnoteReference w:id="1"/>
      </w:r>
      <w:r>
        <w:t xml:space="preserve"> Ultimately, McGregor’s argument is one of highlighting the possibility of a political education through aesthetic engagement. The exemplary narratives that McGregor uses in his book in order to argue his thesis are varied and richly evocative. </w:t>
      </w:r>
      <w:r w:rsidR="006801D5">
        <w:t>My</w:t>
      </w:r>
      <w:r>
        <w:t xml:space="preserve"> comment</w:t>
      </w:r>
      <w:r w:rsidR="006801D5">
        <w:t>ary</w:t>
      </w:r>
      <w:r>
        <w:t xml:space="preserve"> on the book </w:t>
      </w:r>
      <w:r w:rsidR="006801D5">
        <w:t xml:space="preserve">is </w:t>
      </w:r>
      <w:r>
        <w:t xml:space="preserve">in keeping with this spirit and suggest an exemplary narrative of my own as a way of both complementing McGregor’s book and </w:t>
      </w:r>
      <w:r w:rsidR="00AA662F">
        <w:t>outlining its merits</w:t>
      </w:r>
      <w:r w:rsidR="00003905">
        <w:t>, as well as proposing a future line of study</w:t>
      </w:r>
      <w:r w:rsidR="00AA662F">
        <w:t>.</w:t>
      </w:r>
    </w:p>
    <w:p w14:paraId="5CA42795" w14:textId="77777777" w:rsidR="00AF3CB8" w:rsidRDefault="008F5CF2" w:rsidP="002E0D04">
      <w:pPr>
        <w:spacing w:line="240" w:lineRule="auto"/>
        <w:ind w:firstLine="720"/>
        <w:jc w:val="both"/>
      </w:pPr>
      <w:r>
        <w:t xml:space="preserve">Before this, however, I would like to first comment on the book in more depth and situate it in relation to </w:t>
      </w:r>
      <w:r w:rsidR="00AF3CB8">
        <w:t xml:space="preserve">the uses of </w:t>
      </w:r>
      <w:r>
        <w:t xml:space="preserve">narrative </w:t>
      </w:r>
      <w:r w:rsidR="00AF3CB8">
        <w:t>in criminology more widely. McGregor’s Narrative Justice has at its centre the idea that the experience of narratives leads to a sensibility towards narratives, their content, and the interaction between a given narrative’s form and content</w:t>
      </w:r>
      <w:r w:rsidR="00003905">
        <w:rPr>
          <w:rStyle w:val="EndnoteReference"/>
        </w:rPr>
        <w:endnoteReference w:id="2"/>
      </w:r>
      <w:r w:rsidR="00AF3CB8">
        <w:t>. This, according to McGregor, is cognitively, ethically and politically valuable and it produces individuals who are more capable of making those subsequent evaluations. By focusing primarily on the notion of criminal inhumanity, a type of crime committed in the name of political ideology, he also provides particular examples of how a narrative could produce a perpetrator of such crimes, as well as illuminating examples of how to understand this process.</w:t>
      </w:r>
      <w:r w:rsidR="00AF3CB8">
        <w:rPr>
          <w:rStyle w:val="EndnoteReference"/>
        </w:rPr>
        <w:endnoteReference w:id="3"/>
      </w:r>
      <w:r w:rsidR="00AF3CB8">
        <w:t xml:space="preserve"> In particular, his analysis of the narratives of ‘white genocide’ and the ‘crusader’, ultimately demonstrating the equivalence between narratives of white supremacy and jihadism</w:t>
      </w:r>
      <w:r w:rsidR="00FE1919">
        <w:t>, is particularly elucidating</w:t>
      </w:r>
      <w:r w:rsidR="00AF3CB8">
        <w:t>.</w:t>
      </w:r>
    </w:p>
    <w:p w14:paraId="208F6AA7" w14:textId="77777777" w:rsidR="00FE1919" w:rsidRPr="009D3B7F" w:rsidRDefault="00FE1919" w:rsidP="002E0D04">
      <w:pPr>
        <w:spacing w:line="240" w:lineRule="auto"/>
        <w:ind w:firstLine="720"/>
        <w:jc w:val="both"/>
      </w:pPr>
      <w:r>
        <w:t>With regards to the treatment of narrative in criminology. McGregor’s book stands out as a strong contribution to the field of narrative criminology – the theoretical paradigm which highlights how ‘stories inf</w:t>
      </w:r>
      <w:r w:rsidR="00C81874">
        <w:t>l</w:t>
      </w:r>
      <w:r>
        <w:t>uence human actions and arrangements, including those that harm’.</w:t>
      </w:r>
      <w:r>
        <w:rPr>
          <w:rStyle w:val="EndnoteReference"/>
        </w:rPr>
        <w:endnoteReference w:id="4"/>
      </w:r>
      <w:r w:rsidR="00F440F0">
        <w:t xml:space="preserve"> Moreover, </w:t>
      </w:r>
      <w:r w:rsidR="00F440F0">
        <w:rPr>
          <w:i/>
        </w:rPr>
        <w:t>Narrative Justice</w:t>
      </w:r>
      <w:r w:rsidR="00F440F0">
        <w:t xml:space="preserve"> also contributes to the field of critical criminology –</w:t>
      </w:r>
      <w:r w:rsidR="00003905">
        <w:t xml:space="preserve"> </w:t>
      </w:r>
      <w:r w:rsidR="00F440F0">
        <w:t>through its focus on the concept of criminal inhumanity</w:t>
      </w:r>
      <w:r w:rsidR="00003905">
        <w:t xml:space="preserve">, </w:t>
      </w:r>
      <w:r w:rsidR="00F440F0">
        <w:t xml:space="preserve">which incorporates a critique of both state and non-state actors, and is exemplified in McGregor’s book by engagements with particular manifestations of white supremacy or antisemitism and </w:t>
      </w:r>
      <w:r w:rsidR="00003905">
        <w:t>a more general</w:t>
      </w:r>
      <w:r w:rsidR="00F440F0">
        <w:t xml:space="preserve"> engagement with violence and terrorism. As such, at the core of McGregor’s book remains an interest in power relations, and one that is especially welcomed considering philosophy’s frequent detachment from political considerations. Moreover, McGregor actively endeavours to ground his argument for </w:t>
      </w:r>
      <w:r w:rsidR="009D3B7F">
        <w:t>an aesthetic education through narrative – an education that is both ethical and political – in real experiences of reading, as well as conceptual tools to make sense of reading. His discussion of ‘the mapping of narrative patterns onto criminal behaviour’</w:t>
      </w:r>
      <w:r w:rsidR="009D3B7F">
        <w:rPr>
          <w:rStyle w:val="EndnoteReference"/>
        </w:rPr>
        <w:endnoteReference w:id="5"/>
      </w:r>
      <w:r w:rsidR="009D3B7F">
        <w:t xml:space="preserve"> is also one of a clear commitment to the roots of aesthetics with regards to education, premised on key thinkers such as Kant and Schiller. With the admirable aim of ‘the reduction of criminal inhumanity’ and outlining how that can be achieved through narrative</w:t>
      </w:r>
      <w:r w:rsidR="00AA260A">
        <w:rPr>
          <w:rStyle w:val="EndnoteReference"/>
        </w:rPr>
        <w:endnoteReference w:id="6"/>
      </w:r>
      <w:r w:rsidR="009D3B7F">
        <w:t xml:space="preserve">, </w:t>
      </w:r>
      <w:r w:rsidR="009D3B7F">
        <w:rPr>
          <w:i/>
        </w:rPr>
        <w:t xml:space="preserve">Narrative Justice </w:t>
      </w:r>
      <w:r w:rsidR="009D3B7F">
        <w:t>provides ample ground for future engagement with narratives and stands as an important expansion of narrative and critical criminology.</w:t>
      </w:r>
    </w:p>
    <w:p w14:paraId="38FB553F" w14:textId="77777777" w:rsidR="007D0E81" w:rsidRDefault="007D0E81" w:rsidP="002E0D04">
      <w:pPr>
        <w:spacing w:line="240" w:lineRule="auto"/>
        <w:ind w:firstLine="720"/>
        <w:jc w:val="both"/>
      </w:pPr>
      <w:r>
        <w:t xml:space="preserve">In this commentary, I would like to defend McGregor’s thesis by way of exploring some of its key concepts through a focus on </w:t>
      </w:r>
      <w:r w:rsidR="00175DC1">
        <w:t xml:space="preserve">an </w:t>
      </w:r>
      <w:r>
        <w:t xml:space="preserve">interactive narrative – in this case, the video game </w:t>
      </w:r>
      <w:r w:rsidRPr="001E06B1">
        <w:rPr>
          <w:i/>
        </w:rPr>
        <w:t>Red Dead Redemption 2</w:t>
      </w:r>
      <w:r w:rsidR="00776DF0">
        <w:t xml:space="preserve"> (</w:t>
      </w:r>
      <w:r w:rsidR="001E06B1">
        <w:t xml:space="preserve">henceforth, </w:t>
      </w:r>
      <w:r w:rsidR="00776DF0">
        <w:t>RDR2)</w:t>
      </w:r>
      <w:r>
        <w:rPr>
          <w:rStyle w:val="EndnoteReference"/>
        </w:rPr>
        <w:endnoteReference w:id="7"/>
      </w:r>
      <w:r>
        <w:t>.</w:t>
      </w:r>
      <w:r w:rsidR="00776DF0">
        <w:t xml:space="preserve"> </w:t>
      </w:r>
      <w:proofErr w:type="gramStart"/>
      <w:r w:rsidR="00776DF0">
        <w:t>In particular, I</w:t>
      </w:r>
      <w:proofErr w:type="gramEnd"/>
      <w:r w:rsidR="00776DF0">
        <w:t xml:space="preserve"> will highlight the concept of lucid phenomenological knowledge (LPK) and explore it in relation to the interactive narrative of RDR2. McGregor briefly touches on video games with regards to their </w:t>
      </w:r>
      <w:r w:rsidR="00CD4DF3">
        <w:t xml:space="preserve">relation to </w:t>
      </w:r>
      <w:r w:rsidR="00776DF0">
        <w:t>violence</w:t>
      </w:r>
      <w:r w:rsidR="00AA260A">
        <w:rPr>
          <w:rStyle w:val="EndnoteReference"/>
        </w:rPr>
        <w:endnoteReference w:id="8"/>
      </w:r>
      <w:r w:rsidR="00776DF0">
        <w:t xml:space="preserve">. </w:t>
      </w:r>
      <w:r w:rsidR="000174E1">
        <w:t>Importantly</w:t>
      </w:r>
      <w:r w:rsidR="00CD0773">
        <w:t>, McGregor does not explicitly set out to distinguish video games as a distinct form of narratives from</w:t>
      </w:r>
      <w:r w:rsidR="00F3399B">
        <w:t xml:space="preserve">, for example, movies or books. Similarly, my </w:t>
      </w:r>
      <w:r w:rsidR="006801D5">
        <w:t xml:space="preserve">intention </w:t>
      </w:r>
      <w:r w:rsidR="00F3399B">
        <w:t xml:space="preserve">here is to treat RDR2 as an exemplary narrative, without going into a discussion of the narrativity of </w:t>
      </w:r>
      <w:r w:rsidR="00F3399B">
        <w:lastRenderedPageBreak/>
        <w:t>video games as such</w:t>
      </w:r>
      <w:r w:rsidR="00F3399B">
        <w:rPr>
          <w:rStyle w:val="EndnoteReference"/>
        </w:rPr>
        <w:endnoteReference w:id="9"/>
      </w:r>
      <w:r w:rsidR="00F3399B">
        <w:t>. I will do so in keeping with McGregor’s definition of an exemplary narrative:</w:t>
      </w:r>
    </w:p>
    <w:p w14:paraId="1D021DCB" w14:textId="77777777" w:rsidR="00F3399B" w:rsidRDefault="00F3399B" w:rsidP="002E0D04">
      <w:pPr>
        <w:spacing w:before="120" w:after="120" w:line="240" w:lineRule="auto"/>
        <w:ind w:left="720" w:right="720"/>
        <w:contextualSpacing w:val="0"/>
        <w:jc w:val="both"/>
      </w:pPr>
      <w:r>
        <w:t>[…] the product of an agent that is high in narrativity in virtue of representing (</w:t>
      </w:r>
      <w:proofErr w:type="spellStart"/>
      <w:r>
        <w:t>i</w:t>
      </w:r>
      <w:proofErr w:type="spellEnd"/>
      <w:r>
        <w:t>) one or more agents and (ii) two or more events which are (iii) causally connected, (iv) thematically unified, and (v) conclude.</w:t>
      </w:r>
      <w:r>
        <w:rPr>
          <w:rStyle w:val="EndnoteReference"/>
        </w:rPr>
        <w:endnoteReference w:id="10"/>
      </w:r>
    </w:p>
    <w:p w14:paraId="753DA84B" w14:textId="77777777" w:rsidR="00175DC1" w:rsidRDefault="00F3399B" w:rsidP="002E0D04">
      <w:pPr>
        <w:spacing w:line="240" w:lineRule="auto"/>
        <w:ind w:firstLine="720"/>
        <w:jc w:val="both"/>
      </w:pPr>
      <w:r>
        <w:t xml:space="preserve">My concern with the exemplary narrative I </w:t>
      </w:r>
      <w:proofErr w:type="gramStart"/>
      <w:r>
        <w:t>have</w:t>
      </w:r>
      <w:proofErr w:type="gramEnd"/>
      <w:r>
        <w:t xml:space="preserve"> chosen for this commentary is one of defending McGregor’s argument for the value of phenomenological knowledge (PK), and more particularly – lucid phenomenological knowledge (LPK). If PK is understood to be a ‘realisation of what a particular lived experience is like’</w:t>
      </w:r>
      <w:r w:rsidR="00175DC1">
        <w:rPr>
          <w:rStyle w:val="EndnoteReference"/>
        </w:rPr>
        <w:endnoteReference w:id="11"/>
      </w:r>
      <w:r>
        <w:t>, then LPK is</w:t>
      </w:r>
      <w:r w:rsidR="00175DC1">
        <w:t xml:space="preserve"> a subcategory of the former that is acquired through exemplary narratives:</w:t>
      </w:r>
    </w:p>
    <w:p w14:paraId="596E4440" w14:textId="77777777" w:rsidR="00175DC1" w:rsidRDefault="00175DC1" w:rsidP="002E0D04">
      <w:pPr>
        <w:spacing w:before="120" w:after="120" w:line="240" w:lineRule="auto"/>
        <w:ind w:left="720" w:right="720"/>
        <w:contextualSpacing w:val="0"/>
        <w:jc w:val="both"/>
      </w:pPr>
      <w:r>
        <w:t xml:space="preserve">The realisation of what a </w:t>
      </w:r>
      <w:proofErr w:type="gramStart"/>
      <w:r>
        <w:t>particular lived</w:t>
      </w:r>
      <w:proofErr w:type="gramEnd"/>
      <w:r>
        <w:t xml:space="preserve"> experience is like by means of the reproduction of a particular experience of a particular character for the audience who adopt the </w:t>
      </w:r>
      <w:r w:rsidRPr="00DF0783">
        <w:t>standard mode of engagement</w:t>
      </w:r>
      <w:r w:rsidRPr="00175DC1">
        <w:rPr>
          <w:color w:val="FF0000"/>
        </w:rPr>
        <w:t xml:space="preserve"> </w:t>
      </w:r>
      <w:r>
        <w:t>to the narrative representation.</w:t>
      </w:r>
      <w:r w:rsidRPr="00175DC1">
        <w:rPr>
          <w:vertAlign w:val="superscript"/>
        </w:rPr>
        <w:endnoteReference w:id="12"/>
      </w:r>
    </w:p>
    <w:p w14:paraId="763D2097" w14:textId="77777777" w:rsidR="00022406" w:rsidRDefault="00022406" w:rsidP="002E0D04">
      <w:pPr>
        <w:spacing w:line="240" w:lineRule="auto"/>
        <w:ind w:firstLine="720"/>
        <w:jc w:val="both"/>
      </w:pPr>
      <w:r>
        <w:t xml:space="preserve">For McGregor, the value of LPK lies in a dynamic engagement with otherness. This is deeply interwoven with the notion of lived experience, and as such, has significant value for political education through aesthetic means. Put simply, the ability of (some) narratives to elicit realisations of what a </w:t>
      </w:r>
      <w:proofErr w:type="gramStart"/>
      <w:r>
        <w:t>particular lived</w:t>
      </w:r>
      <w:proofErr w:type="gramEnd"/>
      <w:r>
        <w:t xml:space="preserve"> experience is like is central to political organisation, expressions of solidarity, and engagement in collective struggle. In the exemplary narrative that I will explore in the section below, the LPK of the unlawful era of the Wild West is incongruously and </w:t>
      </w:r>
      <w:proofErr w:type="spellStart"/>
      <w:r>
        <w:t>ahistorically</w:t>
      </w:r>
      <w:proofErr w:type="spellEnd"/>
      <w:r>
        <w:t xml:space="preserve"> represented in the video game Red Dead Redemption 2.</w:t>
      </w:r>
    </w:p>
    <w:p w14:paraId="22183CCA" w14:textId="77777777" w:rsidR="00776DF0" w:rsidRDefault="00143BB9" w:rsidP="002E0D04">
      <w:pPr>
        <w:pStyle w:val="Heading1"/>
        <w:jc w:val="both"/>
        <w:rPr>
          <w:rFonts w:ascii="Times New Roman" w:eastAsiaTheme="minorHAnsi" w:hAnsi="Times New Roman" w:cstheme="minorBidi"/>
          <w:b/>
          <w:color w:val="auto"/>
          <w:sz w:val="24"/>
          <w:szCs w:val="22"/>
        </w:rPr>
      </w:pPr>
      <w:r>
        <w:rPr>
          <w:rFonts w:ascii="Times New Roman" w:eastAsiaTheme="minorHAnsi" w:hAnsi="Times New Roman" w:cstheme="minorBidi"/>
          <w:b/>
          <w:color w:val="auto"/>
          <w:sz w:val="24"/>
          <w:szCs w:val="22"/>
        </w:rPr>
        <w:t>Red Dead Redemption 2</w:t>
      </w:r>
    </w:p>
    <w:p w14:paraId="16E0D5A5" w14:textId="77777777" w:rsidR="00A72F1B" w:rsidRDefault="00AA662F" w:rsidP="002E0D04">
      <w:pPr>
        <w:spacing w:line="240" w:lineRule="auto"/>
        <w:ind w:firstLine="720"/>
        <w:jc w:val="both"/>
      </w:pPr>
      <w:r>
        <w:t xml:space="preserve">The question whether video games are narratives has a long history and has been instrumental in the delineation of the distinct field of game studies. </w:t>
      </w:r>
      <w:proofErr w:type="spellStart"/>
      <w:r>
        <w:t>Aarseth</w:t>
      </w:r>
      <w:proofErr w:type="spellEnd"/>
      <w:r>
        <w:t xml:space="preserve"> has commented that the difference between games and narratives is not immediately apparent or easy to highlight</w:t>
      </w:r>
      <w:r>
        <w:rPr>
          <w:rStyle w:val="EndnoteReference"/>
        </w:rPr>
        <w:endnoteReference w:id="13"/>
      </w:r>
      <w:r>
        <w:t>. Moreover, games and narratives appear to share ‘</w:t>
      </w:r>
      <w:proofErr w:type="gramStart"/>
      <w:r>
        <w:t>a number of</w:t>
      </w:r>
      <w:proofErr w:type="gramEnd"/>
      <w:r>
        <w:t xml:space="preserve"> elements, namely a world, its agents, objects and events’.</w:t>
      </w:r>
      <w:r>
        <w:rPr>
          <w:rStyle w:val="EndnoteReference"/>
        </w:rPr>
        <w:endnoteReference w:id="14"/>
      </w:r>
      <w:r>
        <w:t xml:space="preserve"> With this in mind, I do not intend to engage in a discussion of the narrativity of video games. Rather, I posit that some video games consist of narratives, both in the sense outlined by </w:t>
      </w:r>
      <w:proofErr w:type="spellStart"/>
      <w:r>
        <w:t>Aarseth</w:t>
      </w:r>
      <w:proofErr w:type="spellEnd"/>
      <w:r>
        <w:t xml:space="preserve"> and McGregor. Particularly, the example of RDR2 fits perfectly into McGregor’s definition of an exemplary narrative</w:t>
      </w:r>
      <w:r w:rsidR="00697446">
        <w:t xml:space="preserve"> quoted above</w:t>
      </w:r>
      <w:r>
        <w:t>.</w:t>
      </w:r>
      <w:r w:rsidR="00A72F1B">
        <w:t xml:space="preserve"> It should also be acknowledged, however, that games are </w:t>
      </w:r>
      <w:r w:rsidR="00A72F1B" w:rsidRPr="008F2190">
        <w:rPr>
          <w:rFonts w:eastAsia="Times New Roman" w:cs="Times New Roman"/>
          <w:color w:val="222222"/>
          <w:szCs w:val="19"/>
          <w:lang w:eastAsia="en-GB"/>
        </w:rPr>
        <w:t xml:space="preserve">‘both object and process […] they can’t </w:t>
      </w:r>
      <w:r w:rsidR="00A72F1B">
        <w:rPr>
          <w:rFonts w:eastAsia="Times New Roman" w:cs="Times New Roman"/>
          <w:color w:val="222222"/>
          <w:szCs w:val="19"/>
          <w:lang w:eastAsia="en-GB"/>
        </w:rPr>
        <w:t xml:space="preserve">[solely] </w:t>
      </w:r>
      <w:r w:rsidR="00A72F1B" w:rsidRPr="008F2190">
        <w:rPr>
          <w:rFonts w:eastAsia="Times New Roman" w:cs="Times New Roman"/>
          <w:color w:val="222222"/>
          <w:szCs w:val="19"/>
          <w:lang w:eastAsia="en-GB"/>
        </w:rPr>
        <w:t xml:space="preserve">be read as texts or listened to as music, they </w:t>
      </w:r>
      <w:r w:rsidR="00A72F1B" w:rsidRPr="008F2190">
        <w:rPr>
          <w:rFonts w:eastAsia="Times New Roman" w:cs="Times New Roman"/>
          <w:i/>
          <w:color w:val="222222"/>
          <w:szCs w:val="19"/>
          <w:lang w:eastAsia="en-GB"/>
        </w:rPr>
        <w:t>must be played’</w:t>
      </w:r>
      <w:r w:rsidR="00A72F1B" w:rsidRPr="008F2190">
        <w:rPr>
          <w:rFonts w:eastAsia="Times New Roman" w:cs="Times New Roman"/>
          <w:color w:val="222222"/>
          <w:szCs w:val="19"/>
          <w:lang w:eastAsia="en-GB"/>
        </w:rPr>
        <w:t>.</w:t>
      </w:r>
      <w:r w:rsidR="00A72F1B">
        <w:rPr>
          <w:rStyle w:val="EndnoteReference"/>
          <w:rFonts w:eastAsia="Times New Roman" w:cs="Times New Roman"/>
          <w:color w:val="222222"/>
          <w:szCs w:val="19"/>
          <w:lang w:eastAsia="en-GB"/>
        </w:rPr>
        <w:endnoteReference w:id="15"/>
      </w:r>
    </w:p>
    <w:p w14:paraId="4A70E0A0" w14:textId="77777777" w:rsidR="00BE727A" w:rsidRDefault="00AA662F" w:rsidP="002E0D04">
      <w:pPr>
        <w:spacing w:line="240" w:lineRule="auto"/>
        <w:ind w:firstLine="720"/>
        <w:jc w:val="both"/>
      </w:pPr>
      <w:r>
        <w:t xml:space="preserve">RDR2 is the second game in a series that focuses on a fictionalised Wild West. The game takes place in 1899 and covers several south-eastern states (e.g. New Hannover, New Austin, Lemoyne, West Elizabeth), all of which have clear </w:t>
      </w:r>
      <w:r w:rsidR="009C10F8">
        <w:t>real-world</w:t>
      </w:r>
      <w:r>
        <w:t xml:space="preserve"> parallels. The game relies on a mixed logic of fiction</w:t>
      </w:r>
      <w:r w:rsidR="00697446">
        <w:t>al geography</w:t>
      </w:r>
      <w:r>
        <w:t xml:space="preserve"> and non-fictional references. For example, the metropolis of Saint Denis is clearly inspired by New Orleans, both in terms of some of its key and most recognisable signifiers of </w:t>
      </w:r>
      <w:r w:rsidR="00697446">
        <w:t xml:space="preserve">the surrounding </w:t>
      </w:r>
      <w:r>
        <w:t xml:space="preserve">swampland </w:t>
      </w:r>
      <w:r w:rsidR="00697446">
        <w:t xml:space="preserve">area </w:t>
      </w:r>
      <w:r>
        <w:t>and the legacy of French colon</w:t>
      </w:r>
      <w:r w:rsidR="00697446">
        <w:t>isation</w:t>
      </w:r>
      <w:r>
        <w:t xml:space="preserve">. In contrast, the game also features references to both New York and the </w:t>
      </w:r>
      <w:r w:rsidRPr="00A72F1B">
        <w:t xml:space="preserve">University of Princeton in </w:t>
      </w:r>
      <w:r w:rsidR="00A72F1B">
        <w:t>New Jersey</w:t>
      </w:r>
      <w:r>
        <w:t xml:space="preserve">. As such, the game aspires for a real world referentiality, while simultaneously signalling its fictionality. The </w:t>
      </w:r>
      <w:r w:rsidR="00BE727A">
        <w:t xml:space="preserve">main narrative of the game follows </w:t>
      </w:r>
      <w:r>
        <w:t>Arthur Morgan, a member</w:t>
      </w:r>
      <w:r w:rsidR="00BE727A">
        <w:t xml:space="preserve"> of a band of outlaws. Among other things, the game’s narrative focuses on Arthur’s personal journey </w:t>
      </w:r>
      <w:r w:rsidR="00A72F1B">
        <w:t>of</w:t>
      </w:r>
      <w:r w:rsidR="00BE727A">
        <w:t xml:space="preserve"> redemption, his experience of terminal illness, and the difficulties he encounters in managing the social relations of the micro-society of outlaws</w:t>
      </w:r>
      <w:r w:rsidR="00697446">
        <w:t xml:space="preserve"> in which</w:t>
      </w:r>
      <w:r w:rsidR="00BE727A">
        <w:t xml:space="preserve"> he finds himself. All of this occurs against a backdrop of exceeding industrialisation, increase in crime control, and the end of the Wild West era of </w:t>
      </w:r>
      <w:r w:rsidR="00A72F1B">
        <w:t>lawlessness</w:t>
      </w:r>
      <w:r w:rsidR="00BE727A">
        <w:t xml:space="preserve">. </w:t>
      </w:r>
    </w:p>
    <w:p w14:paraId="6766311D" w14:textId="77777777" w:rsidR="003030FF" w:rsidRDefault="00BE727A" w:rsidP="002E0D04">
      <w:pPr>
        <w:spacing w:line="240" w:lineRule="auto"/>
        <w:ind w:firstLine="720"/>
        <w:jc w:val="both"/>
      </w:pPr>
      <w:r>
        <w:lastRenderedPageBreak/>
        <w:t xml:space="preserve">The game wears its narrativity on its sleeve and is </w:t>
      </w:r>
      <w:r w:rsidR="009C64C1">
        <w:t>explicitly</w:t>
      </w:r>
      <w:r>
        <w:t xml:space="preserve"> delineated into separate chapters. As an open world game, it encourages a </w:t>
      </w:r>
      <w:r>
        <w:rPr>
          <w:i/>
        </w:rPr>
        <w:t>standard mode of engagement</w:t>
      </w:r>
      <w:r>
        <w:t xml:space="preserve"> that involves exploration, interaction with the multitude of non-playable characters (NPCs), and immersion in the time period.</w:t>
      </w:r>
      <w:r w:rsidR="009C64C1">
        <w:t xml:space="preserve"> Here, I will </w:t>
      </w:r>
      <w:r w:rsidR="00EE25B8">
        <w:t>posit</w:t>
      </w:r>
      <w:r w:rsidR="009C64C1">
        <w:t xml:space="preserve"> that</w:t>
      </w:r>
      <w:r w:rsidR="00EE25B8">
        <w:t>, following McGregor,</w:t>
      </w:r>
      <w:r w:rsidR="009C64C1">
        <w:t xml:space="preserve"> the standard mode of engagement with RDR2 provides the player with the knowledge that both redemption and justice are possible</w:t>
      </w:r>
      <w:r w:rsidR="00EE25B8">
        <w:t xml:space="preserve">. However, I will focus on an exemplary narrative that provides an ethical evaluation, that is also political in nature, </w:t>
      </w:r>
      <w:r w:rsidR="008C7968">
        <w:t xml:space="preserve">in </w:t>
      </w:r>
      <w:proofErr w:type="gramStart"/>
      <w:r w:rsidR="008C7968">
        <w:t>a</w:t>
      </w:r>
      <w:proofErr w:type="gramEnd"/>
      <w:r w:rsidR="008C7968">
        <w:t xml:space="preserve"> ahistorical manner and as a result it fails to seriously engage with the moral issue it highlights</w:t>
      </w:r>
      <w:r w:rsidR="009C64C1">
        <w:t>.</w:t>
      </w:r>
      <w:r>
        <w:t xml:space="preserve"> A key </w:t>
      </w:r>
      <w:r w:rsidR="009C64C1">
        <w:t xml:space="preserve">game </w:t>
      </w:r>
      <w:r>
        <w:t xml:space="preserve">mechanic that is of significance for this is </w:t>
      </w:r>
      <w:r w:rsidR="009C64C1">
        <w:t xml:space="preserve">the </w:t>
      </w:r>
      <w:r>
        <w:t>honour</w:t>
      </w:r>
      <w:r w:rsidR="009C64C1">
        <w:t xml:space="preserve"> system</w:t>
      </w:r>
      <w:r>
        <w:t xml:space="preserve">. Depending on the player’s choices, the character’s honour either increases or decreases. For example, the act of riding </w:t>
      </w:r>
      <w:r w:rsidR="00A31350">
        <w:t xml:space="preserve">on a horse </w:t>
      </w:r>
      <w:r>
        <w:t xml:space="preserve">through a crowd of innocent </w:t>
      </w:r>
      <w:r w:rsidR="009C64C1">
        <w:t>passers-by</w:t>
      </w:r>
      <w:r>
        <w:t xml:space="preserve"> will decrease the player’s honour, while the act of </w:t>
      </w:r>
      <w:proofErr w:type="gramStart"/>
      <w:r>
        <w:t>helping out</w:t>
      </w:r>
      <w:proofErr w:type="gramEnd"/>
      <w:r>
        <w:t xml:space="preserve"> a stranger randomly encountered in the world will increase it. As such, the game presents an interesting example both in terms of McGregor’s </w:t>
      </w:r>
      <w:r w:rsidR="009C64C1">
        <w:t>discussion of the implications of</w:t>
      </w:r>
      <w:r w:rsidR="00A31350">
        <w:t xml:space="preserve"> a work of art’s</w:t>
      </w:r>
      <w:r w:rsidR="009C64C1">
        <w:t xml:space="preserve"> </w:t>
      </w:r>
      <w:r>
        <w:t xml:space="preserve">standard mode of engagement and </w:t>
      </w:r>
      <w:r w:rsidR="003030FF">
        <w:t xml:space="preserve">his conceptualisation of exemplary narratives as: </w:t>
      </w:r>
    </w:p>
    <w:p w14:paraId="56772151" w14:textId="77777777" w:rsidR="00AA662F" w:rsidRDefault="003030FF" w:rsidP="002E0D04">
      <w:pPr>
        <w:spacing w:before="120" w:after="120" w:line="240" w:lineRule="auto"/>
        <w:ind w:left="720" w:right="720"/>
        <w:contextualSpacing w:val="0"/>
        <w:jc w:val="both"/>
      </w:pPr>
      <w:r>
        <w:t xml:space="preserve">[…] essentially ethical in virtue of both the combination of agency and events represented and the agency of the author in inviting the adoption of a </w:t>
      </w:r>
      <w:proofErr w:type="gramStart"/>
      <w:r>
        <w:t>particular framework</w:t>
      </w:r>
      <w:proofErr w:type="gramEnd"/>
      <w:r>
        <w:t>.</w:t>
      </w:r>
      <w:r>
        <w:rPr>
          <w:rStyle w:val="EndnoteReference"/>
        </w:rPr>
        <w:endnoteReference w:id="16"/>
      </w:r>
    </w:p>
    <w:p w14:paraId="3345FCF7" w14:textId="77777777" w:rsidR="003030FF" w:rsidRPr="00BE727A" w:rsidRDefault="003030FF" w:rsidP="002E0D04">
      <w:pPr>
        <w:spacing w:line="240" w:lineRule="auto"/>
        <w:jc w:val="both"/>
      </w:pPr>
      <w:r>
        <w:t>With regards to the former, the game defines its own medium-specific mode of engagement, where the player must make choices. With regards to the latter, the outcomes of this standard mode of engagement results in a readymade ethical evaluation.</w:t>
      </w:r>
      <w:r w:rsidR="009C64C1">
        <w:t xml:space="preserve"> </w:t>
      </w:r>
      <w:r w:rsidR="008C7968">
        <w:t>For example</w:t>
      </w:r>
      <w:r w:rsidR="009C64C1">
        <w:t xml:space="preserve">, the player, just like Arthur, does not know what happened immediately before the game’s storyline started – very much </w:t>
      </w:r>
      <w:r w:rsidR="00A31350">
        <w:t>in keeping with</w:t>
      </w:r>
      <w:r w:rsidR="009C64C1">
        <w:t xml:space="preserve"> McGregor’s engagement with Zamir’s discussion of </w:t>
      </w:r>
      <w:r w:rsidR="009C64C1" w:rsidRPr="00A31350">
        <w:rPr>
          <w:i/>
        </w:rPr>
        <w:t>Romeo and Juliet</w:t>
      </w:r>
      <w:r w:rsidR="009C64C1">
        <w:t>.</w:t>
      </w:r>
      <w:r w:rsidR="009C64C1">
        <w:rPr>
          <w:rStyle w:val="EndnoteReference"/>
        </w:rPr>
        <w:endnoteReference w:id="17"/>
      </w:r>
      <w:r w:rsidR="008C7968">
        <w:t xml:space="preserve"> Moreover, the LPK associated with the honour system in the game is one of a constant ethical evaluation of one’s actions.</w:t>
      </w:r>
    </w:p>
    <w:p w14:paraId="1F064FB9" w14:textId="77777777" w:rsidR="00BE727A" w:rsidRDefault="00BE727A" w:rsidP="002E0D04">
      <w:pPr>
        <w:spacing w:line="240" w:lineRule="auto"/>
        <w:ind w:firstLine="720"/>
        <w:jc w:val="both"/>
      </w:pPr>
      <w:r>
        <w:t xml:space="preserve">The </w:t>
      </w:r>
      <w:proofErr w:type="gramStart"/>
      <w:r>
        <w:t>particular exemplary</w:t>
      </w:r>
      <w:proofErr w:type="gramEnd"/>
      <w:r>
        <w:t xml:space="preserve"> narrative in which I am interested here is </w:t>
      </w:r>
      <w:r w:rsidR="003030FF">
        <w:t xml:space="preserve">a side quest encounter with a stranger that becomes available to the player in Chapter 3 of the game. Following the band’s relocation to the town of Rhodes, Arthur encounters a homeless drunk in front of the train station by the name of Jeremiah </w:t>
      </w:r>
      <w:proofErr w:type="spellStart"/>
      <w:r w:rsidR="003030FF">
        <w:t>Compson</w:t>
      </w:r>
      <w:proofErr w:type="spellEnd"/>
      <w:r w:rsidR="003030FF">
        <w:t>. If the player chooses to engage, this results in a questline</w:t>
      </w:r>
      <w:r w:rsidR="008C7968">
        <w:rPr>
          <w:rStyle w:val="EndnoteReference"/>
        </w:rPr>
        <w:endnoteReference w:id="18"/>
      </w:r>
      <w:r w:rsidR="003030FF">
        <w:t xml:space="preserve"> called </w:t>
      </w:r>
      <w:r w:rsidR="003030FF">
        <w:rPr>
          <w:i/>
        </w:rPr>
        <w:t>The Iniquities of History</w:t>
      </w:r>
      <w:r w:rsidR="003030FF">
        <w:t xml:space="preserve">, in which </w:t>
      </w:r>
      <w:proofErr w:type="spellStart"/>
      <w:r w:rsidR="00816888">
        <w:t>Compson</w:t>
      </w:r>
      <w:proofErr w:type="spellEnd"/>
      <w:r w:rsidR="003030FF">
        <w:t xml:space="preserve"> mourns his sorry state and vaguely refers to a personal history of privilege. Then, </w:t>
      </w:r>
      <w:proofErr w:type="spellStart"/>
      <w:r w:rsidR="00816888">
        <w:t>Compson</w:t>
      </w:r>
      <w:proofErr w:type="spellEnd"/>
      <w:r w:rsidR="003030FF">
        <w:t xml:space="preserve"> asks Arthur to procure his prized possessions, a </w:t>
      </w:r>
      <w:r w:rsidR="00186D10">
        <w:t>revolver</w:t>
      </w:r>
      <w:r w:rsidR="003030FF">
        <w:t xml:space="preserve">, a ledger and </w:t>
      </w:r>
      <w:r w:rsidR="008C7968">
        <w:t xml:space="preserve">a </w:t>
      </w:r>
      <w:r w:rsidR="00816888">
        <w:t>pocket watch</w:t>
      </w:r>
      <w:r w:rsidR="003030FF">
        <w:t xml:space="preserve">, the only remnants of his glorious past which are now inaccessible to him and lie abandoned in his repossessed house. In the case that the player chooses to pursue this quest, Arthur </w:t>
      </w:r>
      <w:r w:rsidR="00816888">
        <w:t xml:space="preserve">finds </w:t>
      </w:r>
      <w:proofErr w:type="spellStart"/>
      <w:r w:rsidR="00816888">
        <w:t>Compson’s</w:t>
      </w:r>
      <w:proofErr w:type="spellEnd"/>
      <w:r w:rsidR="00816888">
        <w:t xml:space="preserve"> abandoned </w:t>
      </w:r>
      <w:r w:rsidR="008C7968">
        <w:t>house</w:t>
      </w:r>
      <w:r w:rsidR="00816888">
        <w:t xml:space="preserve">, experiences a confrontation with two robbers and easily procures the gun and the pocket watch. Following the encounter with the robbers, </w:t>
      </w:r>
      <w:r w:rsidR="00BB22A5">
        <w:t xml:space="preserve">however, </w:t>
      </w:r>
      <w:r w:rsidR="00816888">
        <w:t xml:space="preserve">he notices a </w:t>
      </w:r>
      <w:r w:rsidR="00BB22A5">
        <w:t>trap</w:t>
      </w:r>
      <w:r w:rsidR="00816888">
        <w:t xml:space="preserve">door leading to a basement, in which he discovers a dungeon that appears to have been used for imprisoning people. Upon </w:t>
      </w:r>
      <w:r w:rsidR="00BB22A5">
        <w:t xml:space="preserve">discovering the ledger in the basement and </w:t>
      </w:r>
      <w:r w:rsidR="00816888">
        <w:t xml:space="preserve">examining </w:t>
      </w:r>
      <w:r w:rsidR="00BB22A5">
        <w:t xml:space="preserve">it, Arthur realises it is filled with </w:t>
      </w:r>
      <w:r w:rsidR="008C7968">
        <w:t xml:space="preserve">the </w:t>
      </w:r>
      <w:r w:rsidR="00BB22A5">
        <w:t xml:space="preserve">names of people that have been enslaved or caught while attempting to escape slavery, and </w:t>
      </w:r>
      <w:r w:rsidR="00816888">
        <w:t xml:space="preserve">it becomes clear that </w:t>
      </w:r>
      <w:proofErr w:type="spellStart"/>
      <w:r w:rsidR="00816888">
        <w:t>Compson</w:t>
      </w:r>
      <w:proofErr w:type="spellEnd"/>
      <w:r w:rsidR="00816888">
        <w:t xml:space="preserve"> was a slavecatcher. The player is then prompted to return to </w:t>
      </w:r>
      <w:proofErr w:type="spellStart"/>
      <w:r w:rsidR="00816888">
        <w:t>Compson</w:t>
      </w:r>
      <w:proofErr w:type="spellEnd"/>
      <w:r w:rsidR="00816888">
        <w:t xml:space="preserve">. In the event of doing so, the player experiences a cutscene (a cinematic </w:t>
      </w:r>
      <w:r w:rsidR="00BB22A5">
        <w:t xml:space="preserve">where </w:t>
      </w:r>
      <w:r w:rsidR="00816888">
        <w:t xml:space="preserve">one can only observe the game but not interact with it), in which Arthur confronts </w:t>
      </w:r>
      <w:proofErr w:type="spellStart"/>
      <w:r w:rsidR="00816888">
        <w:t>Compson</w:t>
      </w:r>
      <w:proofErr w:type="spellEnd"/>
      <w:r w:rsidR="00816888">
        <w:t xml:space="preserve"> at his </w:t>
      </w:r>
      <w:r w:rsidR="00F370AC">
        <w:t>camp outside town</w:t>
      </w:r>
      <w:r w:rsidR="00816888">
        <w:t xml:space="preserve">. In response to Arthur, </w:t>
      </w:r>
      <w:proofErr w:type="spellStart"/>
      <w:r w:rsidR="00816888">
        <w:t>Compson</w:t>
      </w:r>
      <w:proofErr w:type="spellEnd"/>
      <w:r w:rsidR="00816888">
        <w:t xml:space="preserve"> immediately demands respect and alludes to the status fitting to his</w:t>
      </w:r>
      <w:r w:rsidR="00F84855">
        <w:t xml:space="preserve"> former</w:t>
      </w:r>
      <w:r w:rsidR="00816888">
        <w:t xml:space="preserve"> profession. Without </w:t>
      </w:r>
      <w:r w:rsidR="00F84855">
        <w:t>giving the player</w:t>
      </w:r>
      <w:r w:rsidR="00816888">
        <w:t xml:space="preserve"> a choice, Arthur then throws </w:t>
      </w:r>
      <w:proofErr w:type="spellStart"/>
      <w:r w:rsidR="00816888">
        <w:t>Compson’s</w:t>
      </w:r>
      <w:proofErr w:type="spellEnd"/>
      <w:r w:rsidR="00816888">
        <w:t xml:space="preserve"> possessions into</w:t>
      </w:r>
      <w:r w:rsidR="00F370AC">
        <w:t xml:space="preserve"> the fire. </w:t>
      </w:r>
      <w:proofErr w:type="spellStart"/>
      <w:r w:rsidR="00F370AC">
        <w:t>Compson</w:t>
      </w:r>
      <w:proofErr w:type="spellEnd"/>
      <w:r w:rsidR="00F370AC">
        <w:t xml:space="preserve"> vaguely refers to a ‘they’ who ‘changed everything’ and mourns his possession</w:t>
      </w:r>
      <w:r w:rsidR="00F84855">
        <w:t>s</w:t>
      </w:r>
      <w:r w:rsidR="00F370AC">
        <w:t xml:space="preserve"> as ‘his history’, to which Arthur responds that ‘some jobs </w:t>
      </w:r>
      <w:proofErr w:type="spellStart"/>
      <w:r w:rsidR="00F370AC">
        <w:t>ain</w:t>
      </w:r>
      <w:r w:rsidR="008C7968">
        <w:t>’</w:t>
      </w:r>
      <w:r w:rsidR="00F370AC">
        <w:t>t</w:t>
      </w:r>
      <w:proofErr w:type="spellEnd"/>
      <w:r w:rsidR="00F370AC">
        <w:t xml:space="preserve"> for saving’</w:t>
      </w:r>
      <w:r w:rsidR="008C7968">
        <w:rPr>
          <w:rStyle w:val="EndnoteReference"/>
        </w:rPr>
        <w:endnoteReference w:id="19"/>
      </w:r>
      <w:r w:rsidR="00F370AC">
        <w:t xml:space="preserve">. At this point, the cutscene ends after </w:t>
      </w:r>
      <w:proofErr w:type="spellStart"/>
      <w:r w:rsidR="00F370AC">
        <w:t>Compson</w:t>
      </w:r>
      <w:proofErr w:type="spellEnd"/>
      <w:r w:rsidR="00F370AC">
        <w:t xml:space="preserve"> declares ‘I still exist’. Considering the ubiquity of violence in the game’s world and the nature of roleplaying in video games, the player is confronted with a choice – abandon </w:t>
      </w:r>
      <w:proofErr w:type="spellStart"/>
      <w:r w:rsidR="00F370AC">
        <w:t>Compson</w:t>
      </w:r>
      <w:proofErr w:type="spellEnd"/>
      <w:r w:rsidR="00F370AC">
        <w:t xml:space="preserve"> or </w:t>
      </w:r>
      <w:r w:rsidR="00F370AC">
        <w:lastRenderedPageBreak/>
        <w:t xml:space="preserve">kill him. </w:t>
      </w:r>
      <w:r w:rsidR="008C7968">
        <w:t xml:space="preserve">Regardless </w:t>
      </w:r>
      <w:r w:rsidR="00F370AC">
        <w:t>of the choice, the character’s honour will increase as a result of this sequence.</w:t>
      </w:r>
    </w:p>
    <w:p w14:paraId="502D2454" w14:textId="77777777" w:rsidR="00F370AC" w:rsidRDefault="00F370AC" w:rsidP="002E0D04">
      <w:pPr>
        <w:spacing w:line="240" w:lineRule="auto"/>
        <w:ind w:firstLine="720"/>
        <w:jc w:val="both"/>
      </w:pPr>
      <w:r>
        <w:t>My interest in this exemplary narrative is in its negotiation of interaction, its suspension of what can be called the game’s standard mode of engagement, and the inevitable ethical evaluation at its end. I specify here as ethical, in McGregor’s sense, the ‘positive, negative, or ambiguous evaluation of agency or character’.</w:t>
      </w:r>
      <w:r>
        <w:rPr>
          <w:rStyle w:val="EndnoteReference"/>
        </w:rPr>
        <w:endnoteReference w:id="20"/>
      </w:r>
      <w:r>
        <w:t xml:space="preserve"> Put simply, the player is not afforded a choice to fulfil a favour to a person who is remorselessly nostalgic for slavery.</w:t>
      </w:r>
      <w:r w:rsidR="00991B53">
        <w:t xml:space="preserve"> In one sense</w:t>
      </w:r>
      <w:r w:rsidR="001D69DC">
        <w:t>,</w:t>
      </w:r>
      <w:r w:rsidR="00991B53">
        <w:t xml:space="preserve"> this expands McGregor’s example of Paul de Man’s silence on his history of antisemitism and collaboration with the Nazi occupation of Belgium</w:t>
      </w:r>
      <w:r w:rsidR="00991B53">
        <w:rPr>
          <w:rStyle w:val="EndnoteReference"/>
        </w:rPr>
        <w:endnoteReference w:id="21"/>
      </w:r>
      <w:r w:rsidR="00991B53">
        <w:t xml:space="preserve">. Unlike de Man, </w:t>
      </w:r>
      <w:proofErr w:type="spellStart"/>
      <w:r w:rsidR="00991B53">
        <w:t>Compson</w:t>
      </w:r>
      <w:proofErr w:type="spellEnd"/>
      <w:r w:rsidR="00991B53">
        <w:t xml:space="preserve"> is not silent, but vocally nostalgic about his former social position at the expense of an entire oppressed race. Moreover, following McGregor’s use of </w:t>
      </w:r>
      <w:proofErr w:type="spellStart"/>
      <w:r w:rsidR="00991B53">
        <w:t>R.M.Hare’s</w:t>
      </w:r>
      <w:proofErr w:type="spellEnd"/>
      <w:r w:rsidR="00991B53">
        <w:t xml:space="preserve"> identification of remorse as a ‘desire for reversibility,’ </w:t>
      </w:r>
      <w:proofErr w:type="spellStart"/>
      <w:r w:rsidR="00991B53">
        <w:t>Compson</w:t>
      </w:r>
      <w:proofErr w:type="spellEnd"/>
      <w:r w:rsidR="00991B53">
        <w:t xml:space="preserve"> not only would like to reverse the past, but also actively mourns its passing and his loss of the privileges it attributed to him.</w:t>
      </w:r>
      <w:r w:rsidR="00991B53">
        <w:rPr>
          <w:rStyle w:val="EndnoteReference"/>
        </w:rPr>
        <w:endnoteReference w:id="22"/>
      </w:r>
      <w:r w:rsidR="00991B53">
        <w:t xml:space="preserve"> As such, the exemplary narrative of </w:t>
      </w:r>
      <w:r w:rsidR="00991B53">
        <w:rPr>
          <w:i/>
        </w:rPr>
        <w:t>The Iniquities of History</w:t>
      </w:r>
      <w:r w:rsidR="00991B53">
        <w:t xml:space="preserve"> is an elucidating example that speaks to many aspects of McGregor’s argument. In the next section, I will expand on its implications as a way of discussing </w:t>
      </w:r>
      <w:r w:rsidR="00991B53">
        <w:rPr>
          <w:i/>
        </w:rPr>
        <w:t>Narrative Justice</w:t>
      </w:r>
      <w:r w:rsidR="00991B53">
        <w:t xml:space="preserve"> in more depth.</w:t>
      </w:r>
    </w:p>
    <w:p w14:paraId="6ED7863A" w14:textId="77777777" w:rsidR="00A30372" w:rsidRPr="00A30372" w:rsidRDefault="00A30372" w:rsidP="002E0D04">
      <w:pPr>
        <w:pStyle w:val="Heading1"/>
        <w:jc w:val="both"/>
        <w:rPr>
          <w:rFonts w:ascii="Times New Roman" w:eastAsiaTheme="minorHAnsi" w:hAnsi="Times New Roman" w:cstheme="minorBidi"/>
          <w:b/>
          <w:color w:val="auto"/>
          <w:sz w:val="24"/>
          <w:szCs w:val="22"/>
        </w:rPr>
      </w:pPr>
      <w:r w:rsidRPr="00A30372">
        <w:rPr>
          <w:rFonts w:ascii="Times New Roman" w:eastAsiaTheme="minorHAnsi" w:hAnsi="Times New Roman" w:cstheme="minorBidi"/>
          <w:b/>
          <w:color w:val="auto"/>
          <w:sz w:val="24"/>
          <w:szCs w:val="22"/>
        </w:rPr>
        <w:t>Narrative Redemption</w:t>
      </w:r>
    </w:p>
    <w:p w14:paraId="5D45457F" w14:textId="77777777" w:rsidR="003F724E" w:rsidRDefault="00A30372" w:rsidP="002E0D04">
      <w:pPr>
        <w:spacing w:line="240" w:lineRule="auto"/>
        <w:ind w:firstLine="720"/>
        <w:jc w:val="both"/>
      </w:pPr>
      <w:r>
        <w:t>The question that immediately</w:t>
      </w:r>
      <w:r w:rsidR="003F724E">
        <w:t xml:space="preserve"> stands out when applying McGregor’s narrative justice thesis to the exemplary narrative outlined above is whether the narrative, and the narrative sensibility it seeks to cultivate, can work to reduce criminal inhumanity. On one level, the answer is simple and in the affirmative. Since the exemplary narrative is ‘ethically valuable in virtue of its narrativity’ and ‘narrative sensibility enables the realisation of ethical value in exemplary narratives’, then the cultivation of said sensibility increases the realisation of ethical value in narratives.</w:t>
      </w:r>
      <w:r w:rsidR="003F724E">
        <w:rPr>
          <w:rStyle w:val="EndnoteReference"/>
        </w:rPr>
        <w:endnoteReference w:id="23"/>
      </w:r>
      <w:r w:rsidR="003F724E">
        <w:t xml:space="preserve"> </w:t>
      </w:r>
      <w:r w:rsidR="00143BB9">
        <w:t xml:space="preserve">As shown in the exemplary narrative of </w:t>
      </w:r>
      <w:proofErr w:type="spellStart"/>
      <w:r w:rsidR="00143BB9">
        <w:t>Compson</w:t>
      </w:r>
      <w:proofErr w:type="spellEnd"/>
      <w:r w:rsidR="00143BB9">
        <w:t xml:space="preserve">, </w:t>
      </w:r>
      <w:r w:rsidR="00547C25">
        <w:t xml:space="preserve">and in keeping with McGregor’s definition, </w:t>
      </w:r>
      <w:r w:rsidR="003F724E">
        <w:t xml:space="preserve">the narrative can help develop narrative sensibility, </w:t>
      </w:r>
      <w:r w:rsidR="00143BB9">
        <w:t xml:space="preserve">and as such </w:t>
      </w:r>
      <w:r w:rsidR="003F724E">
        <w:t xml:space="preserve">can foster </w:t>
      </w:r>
      <w:r w:rsidR="003F724E">
        <w:rPr>
          <w:i/>
        </w:rPr>
        <w:t>ethical understanding</w:t>
      </w:r>
      <w:r w:rsidR="003F724E">
        <w:t xml:space="preserve">. To make this particular – </w:t>
      </w:r>
      <w:r w:rsidR="00DF0783">
        <w:t>the</w:t>
      </w:r>
      <w:r w:rsidR="003F724E">
        <w:t xml:space="preserve"> player is most likely to agree with the moral condemnation of slavery and subsequently that of </w:t>
      </w:r>
      <w:proofErr w:type="spellStart"/>
      <w:r w:rsidR="003F724E">
        <w:t>Compson</w:t>
      </w:r>
      <w:proofErr w:type="spellEnd"/>
      <w:r w:rsidR="003F724E">
        <w:t xml:space="preserve">. </w:t>
      </w:r>
      <w:r w:rsidR="00272946" w:rsidRPr="00272946">
        <w:t xml:space="preserve"> </w:t>
      </w:r>
      <w:r w:rsidR="00272946">
        <w:t>However, I focus on this example, because I claim that this is not in virtue of the narrative, but in virtue of the contemporary context of its reading.</w:t>
      </w:r>
    </w:p>
    <w:p w14:paraId="4587FEAA" w14:textId="77777777" w:rsidR="00143BB9" w:rsidRDefault="00143BB9" w:rsidP="002E0D04">
      <w:pPr>
        <w:spacing w:line="240" w:lineRule="auto"/>
        <w:ind w:firstLine="720"/>
        <w:jc w:val="both"/>
        <w:rPr>
          <w:i/>
        </w:rPr>
      </w:pPr>
      <w:proofErr w:type="spellStart"/>
      <w:r>
        <w:t>Compson’s</w:t>
      </w:r>
      <w:proofErr w:type="spellEnd"/>
      <w:r>
        <w:t xml:space="preserve"> crimes are that of </w:t>
      </w:r>
      <w:r w:rsidR="00B90DC5">
        <w:t xml:space="preserve">participating in </w:t>
      </w:r>
      <w:r>
        <w:t xml:space="preserve">slavery </w:t>
      </w:r>
      <w:r w:rsidR="00B90DC5">
        <w:t xml:space="preserve">as well as its </w:t>
      </w:r>
      <w:r>
        <w:t xml:space="preserve">apologia – as such, they fit into the category of </w:t>
      </w:r>
      <w:r>
        <w:rPr>
          <w:i/>
        </w:rPr>
        <w:t>criminal inhumanity</w:t>
      </w:r>
      <w:r>
        <w:t xml:space="preserve">. </w:t>
      </w:r>
      <w:r w:rsidR="003F724E">
        <w:t>McGregor highlights criminal inhumanity as a type of crime that is linked to ideology. I agree with McGregor’s subsequent qualification that political ideology is ‘supervenient on ethical principles’ in the sense that ‘there cannot be a change in the former without a change in the latter’</w:t>
      </w:r>
      <w:r w:rsidR="003F724E">
        <w:rPr>
          <w:rStyle w:val="EndnoteReference"/>
        </w:rPr>
        <w:endnoteReference w:id="24"/>
      </w:r>
      <w:r w:rsidR="003F724E">
        <w:t xml:space="preserve">. </w:t>
      </w:r>
      <w:r w:rsidR="001D3063">
        <w:t xml:space="preserve">This is then taken to mean that the relationship between ideology and ethical principles is one of legitimacy in the sense </w:t>
      </w:r>
      <w:r w:rsidR="0074783D">
        <w:t>that</w:t>
      </w:r>
      <w:r w:rsidR="001D3063">
        <w:t xml:space="preserve"> ‘political ideology is justified by the ethical principles.’</w:t>
      </w:r>
      <w:r w:rsidR="001D3063">
        <w:rPr>
          <w:rStyle w:val="EndnoteReference"/>
        </w:rPr>
        <w:endnoteReference w:id="25"/>
      </w:r>
      <w:r w:rsidR="001D3063">
        <w:t xml:space="preserve"> </w:t>
      </w:r>
      <w:r>
        <w:t xml:space="preserve">The narrative of </w:t>
      </w:r>
      <w:proofErr w:type="spellStart"/>
      <w:r>
        <w:t>Compson</w:t>
      </w:r>
      <w:proofErr w:type="spellEnd"/>
      <w:r>
        <w:t xml:space="preserve"> also conforms to McGregor’s discussion of the moral </w:t>
      </w:r>
      <w:proofErr w:type="spellStart"/>
      <w:r>
        <w:t>closural</w:t>
      </w:r>
      <w:proofErr w:type="spellEnd"/>
      <w:r>
        <w:t xml:space="preserve"> order. The ending of </w:t>
      </w:r>
      <w:r w:rsidRPr="00143BB9">
        <w:rPr>
          <w:i/>
        </w:rPr>
        <w:t>The Iniquities of History</w:t>
      </w:r>
      <w:r>
        <w:t xml:space="preserve"> narrative is moral </w:t>
      </w:r>
      <w:r w:rsidR="00DF0783">
        <w:t xml:space="preserve">in the sense outlined by McGregor of </w:t>
      </w:r>
      <w:r w:rsidR="00B90DC5">
        <w:t xml:space="preserve">representing </w:t>
      </w:r>
      <w:r w:rsidR="00DF0783">
        <w:t xml:space="preserve">a narrative transition from </w:t>
      </w:r>
      <w:r w:rsidR="0074783D" w:rsidRPr="0074783D">
        <w:rPr>
          <w:i/>
        </w:rPr>
        <w:t>is-but-ought-not-to-be</w:t>
      </w:r>
      <w:r w:rsidR="0074783D">
        <w:t xml:space="preserve"> </w:t>
      </w:r>
      <w:r w:rsidR="00DF0783">
        <w:t xml:space="preserve">to </w:t>
      </w:r>
      <w:r w:rsidR="0074783D" w:rsidRPr="0074783D">
        <w:rPr>
          <w:i/>
        </w:rPr>
        <w:t>is-and-ought-to-be</w:t>
      </w:r>
      <w:r w:rsidR="0074783D">
        <w:rPr>
          <w:i/>
        </w:rPr>
        <w:t>.</w:t>
      </w:r>
      <w:r w:rsidR="0074783D">
        <w:rPr>
          <w:rStyle w:val="EndnoteReference"/>
          <w:i/>
        </w:rPr>
        <w:endnoteReference w:id="26"/>
      </w:r>
      <w:r>
        <w:rPr>
          <w:i/>
        </w:rPr>
        <w:t xml:space="preserve"> </w:t>
      </w:r>
      <w:r>
        <w:t xml:space="preserve">In the narrative, this transition is only revealed at its closing, thus paralleling our own engagement with the quest with that of Arthur – we both assume that we are helping a random stranger, not a villain. Upon finding that out, however, Arthur condemns </w:t>
      </w:r>
      <w:proofErr w:type="spellStart"/>
      <w:r>
        <w:t>Compson</w:t>
      </w:r>
      <w:proofErr w:type="spellEnd"/>
      <w:r>
        <w:t xml:space="preserve"> as a way of reaffirming the </w:t>
      </w:r>
      <w:r>
        <w:rPr>
          <w:i/>
        </w:rPr>
        <w:t>is-and-ought-to-be</w:t>
      </w:r>
      <w:r>
        <w:t>.</w:t>
      </w:r>
      <w:r w:rsidR="0074783D">
        <w:rPr>
          <w:i/>
        </w:rPr>
        <w:t xml:space="preserve"> </w:t>
      </w:r>
    </w:p>
    <w:p w14:paraId="0D419E52" w14:textId="77777777" w:rsidR="0074783D" w:rsidRDefault="0074783D" w:rsidP="002E0D04">
      <w:pPr>
        <w:spacing w:line="240" w:lineRule="auto"/>
        <w:ind w:firstLine="720"/>
        <w:jc w:val="both"/>
      </w:pPr>
      <w:r>
        <w:t xml:space="preserve">RDR2, particularly </w:t>
      </w:r>
      <w:r>
        <w:rPr>
          <w:i/>
        </w:rPr>
        <w:t>T</w:t>
      </w:r>
      <w:r w:rsidRPr="0074783D">
        <w:rPr>
          <w:i/>
        </w:rPr>
        <w:t>he Iniquities of History</w:t>
      </w:r>
      <w:r>
        <w:rPr>
          <w:i/>
        </w:rPr>
        <w:t xml:space="preserve"> </w:t>
      </w:r>
      <w:r>
        <w:t>narrative, does this by altering its standard mode of engagement – the player’s control over Arthur and his decisions is suspended for the purposes of narration.</w:t>
      </w:r>
      <w:r w:rsidR="00143BB9">
        <w:t xml:space="preserve"> </w:t>
      </w:r>
      <w:r>
        <w:t xml:space="preserve">From a critical perspective, the ethical choice is taken away from the player and replaced by a </w:t>
      </w:r>
      <w:r w:rsidR="00B90DC5">
        <w:t xml:space="preserve">non-interactive </w:t>
      </w:r>
      <w:r>
        <w:t>narrati</w:t>
      </w:r>
      <w:r w:rsidR="00B90DC5">
        <w:t>ve</w:t>
      </w:r>
      <w:r>
        <w:t xml:space="preserve">. On one hand, it can be speculated that the video game developers sought a way out of providing players with the opportunity to be supportive of slavery. However, this appears as a rather simplistic explanation since the </w:t>
      </w:r>
      <w:r>
        <w:lastRenderedPageBreak/>
        <w:t xml:space="preserve">simplest way of avoiding the moral pitfall of making the moment interactive would be to not include it at all. On the other hand, the exemplary narrative, by barring the player from exercising their choice </w:t>
      </w:r>
      <w:r w:rsidR="00B90DC5">
        <w:t>(</w:t>
      </w:r>
      <w:r>
        <w:t xml:space="preserve">the question of what that would look </w:t>
      </w:r>
      <w:r w:rsidR="00143BB9">
        <w:t xml:space="preserve">like </w:t>
      </w:r>
      <w:r>
        <w:t>is put to the side here</w:t>
      </w:r>
      <w:r w:rsidR="00B90DC5">
        <w:t>)</w:t>
      </w:r>
      <w:r>
        <w:t xml:space="preserve"> sinks into didacticism and, in McGregor’s terms, invites</w:t>
      </w:r>
      <w:r w:rsidR="00280626">
        <w:t xml:space="preserve"> an ethical evaluation from an external, rather than an internal, perspective.</w:t>
      </w:r>
      <w:r w:rsidR="00143BB9">
        <w:t xml:space="preserve"> In a manner of speaking, it makes explicit</w:t>
      </w:r>
      <w:r w:rsidR="00280626">
        <w:t xml:space="preserve"> </w:t>
      </w:r>
      <w:r w:rsidR="00143BB9">
        <w:t>the ‘vision or perspective embodied by the [game]’.</w:t>
      </w:r>
      <w:r w:rsidR="00143BB9">
        <w:rPr>
          <w:rStyle w:val="EndnoteReference"/>
        </w:rPr>
        <w:endnoteReference w:id="27"/>
      </w:r>
      <w:r w:rsidR="00DF0C3B">
        <w:t xml:space="preserve"> </w:t>
      </w:r>
      <w:r w:rsidR="00280626">
        <w:t>This, in turn, reframes the entire sequence of the exemplary narrative, since by suspending the standard mode of engagement of the game, it also interrupts what Currie has referred to as the prompt to ‘imitate salient aspects of [the narrative] – notably evaluative attitudes and emotional responses.’</w:t>
      </w:r>
      <w:r w:rsidR="00280626">
        <w:rPr>
          <w:rStyle w:val="EndnoteReference"/>
        </w:rPr>
        <w:endnoteReference w:id="28"/>
      </w:r>
      <w:r w:rsidR="00280626">
        <w:t xml:space="preserve"> By inviting the player to adopt an ethical evaluation of the exemplary narrative, and of </w:t>
      </w:r>
      <w:proofErr w:type="spellStart"/>
      <w:r w:rsidR="00280626">
        <w:t>Compson’s</w:t>
      </w:r>
      <w:proofErr w:type="spellEnd"/>
      <w:r w:rsidR="00280626">
        <w:t xml:space="preserve"> remorselessness, from an external perspective, purely because someone else is making the choice instead of the player, the latter’s narrative evaluation is likely to</w:t>
      </w:r>
      <w:r w:rsidR="00DF0C3B">
        <w:t xml:space="preserve"> be</w:t>
      </w:r>
      <w:r w:rsidR="00280626">
        <w:t xml:space="preserve"> incomplete. McGregor himself claims so:</w:t>
      </w:r>
    </w:p>
    <w:p w14:paraId="29636C1C" w14:textId="77777777" w:rsidR="00280626" w:rsidRPr="0074783D" w:rsidRDefault="00280626" w:rsidP="002E0D04">
      <w:pPr>
        <w:spacing w:before="120" w:after="120" w:line="240" w:lineRule="auto"/>
        <w:ind w:left="720" w:right="720"/>
        <w:contextualSpacing w:val="0"/>
        <w:jc w:val="both"/>
      </w:pPr>
      <w:r>
        <w:t xml:space="preserve">The engagement with an exemplary narrative qua narrative </w:t>
      </w:r>
      <w:r w:rsidRPr="00280626">
        <w:rPr>
          <w:i/>
        </w:rPr>
        <w:t>is incomplete without a dual ethical evaluati</w:t>
      </w:r>
      <w:r w:rsidRPr="00DF0C3B">
        <w:rPr>
          <w:i/>
        </w:rPr>
        <w:t>on</w:t>
      </w:r>
      <w:r>
        <w:t>, from both the internal and external perspectives. (emphasis added)</w:t>
      </w:r>
      <w:r>
        <w:rPr>
          <w:rStyle w:val="EndnoteReference"/>
        </w:rPr>
        <w:endnoteReference w:id="29"/>
      </w:r>
    </w:p>
    <w:p w14:paraId="66372A1D" w14:textId="77777777" w:rsidR="003F724E" w:rsidRPr="003F724E" w:rsidRDefault="00280626" w:rsidP="002E0D04">
      <w:pPr>
        <w:spacing w:line="240" w:lineRule="auto"/>
        <w:ind w:firstLine="720"/>
        <w:jc w:val="both"/>
      </w:pPr>
      <w:r>
        <w:t xml:space="preserve">Regardless, this ultimately results in a moral </w:t>
      </w:r>
      <w:proofErr w:type="spellStart"/>
      <w:r>
        <w:t>closural</w:t>
      </w:r>
      <w:proofErr w:type="spellEnd"/>
      <w:r>
        <w:t xml:space="preserve"> order of </w:t>
      </w:r>
      <w:r w:rsidRPr="00280626">
        <w:rPr>
          <w:i/>
        </w:rPr>
        <w:t>is-and-ought-to-be</w:t>
      </w:r>
      <w:r>
        <w:t xml:space="preserve">. However, the </w:t>
      </w:r>
      <w:r w:rsidR="00C41A78">
        <w:t>matter of moral value here is an issue that requires further discussion.</w:t>
      </w:r>
      <w:r w:rsidR="00586CCE">
        <w:t xml:space="preserve"> McGregor, in his discussion of </w:t>
      </w:r>
      <w:proofErr w:type="spellStart"/>
      <w:r w:rsidR="00586CCE">
        <w:t>A.</w:t>
      </w:r>
      <w:proofErr w:type="gramStart"/>
      <w:r w:rsidR="00586CCE">
        <w:t>W.Eaton’s</w:t>
      </w:r>
      <w:proofErr w:type="spellEnd"/>
      <w:proofErr w:type="gramEnd"/>
      <w:r w:rsidR="00586CCE">
        <w:t xml:space="preserve"> five ways in which a work can be morally defective, focuses on ‘the vision or perspective embodied by the work’</w:t>
      </w:r>
      <w:r w:rsidR="00DF0C3B">
        <w:t>.</w:t>
      </w:r>
      <w:r w:rsidR="00586CCE">
        <w:rPr>
          <w:rStyle w:val="EndnoteReference"/>
        </w:rPr>
        <w:endnoteReference w:id="30"/>
      </w:r>
      <w:r w:rsidR="009C10F8">
        <w:t xml:space="preserve"> Namely, the moral </w:t>
      </w:r>
      <w:proofErr w:type="spellStart"/>
      <w:r>
        <w:t>closural</w:t>
      </w:r>
      <w:proofErr w:type="spellEnd"/>
      <w:r>
        <w:t xml:space="preserve"> order </w:t>
      </w:r>
      <w:r w:rsidR="00EE25B8">
        <w:t xml:space="preserve">here </w:t>
      </w:r>
      <w:r>
        <w:t>remains detached to the player and</w:t>
      </w:r>
      <w:r w:rsidR="00EE25B8">
        <w:t xml:space="preserve"> appears </w:t>
      </w:r>
      <w:r w:rsidR="00C41A78">
        <w:t>external</w:t>
      </w:r>
      <w:r w:rsidR="00EE25B8">
        <w:t xml:space="preserve"> to the player</w:t>
      </w:r>
      <w:r w:rsidR="00C41A78">
        <w:t xml:space="preserve">. Moreover, </w:t>
      </w:r>
      <w:r w:rsidR="009C10F8">
        <w:t>it must be noted</w:t>
      </w:r>
      <w:r w:rsidR="00C41A78">
        <w:t xml:space="preserve"> that Arthur’s moral condemnation of </w:t>
      </w:r>
      <w:proofErr w:type="spellStart"/>
      <w:r w:rsidR="00C41A78">
        <w:t>Compson</w:t>
      </w:r>
      <w:proofErr w:type="spellEnd"/>
      <w:r w:rsidR="00C41A78">
        <w:t>, historically speaking, is unlikely. As such, it is one that, once viewed from a critical lens, is not merely didactic, but also ahistorical and thus</w:t>
      </w:r>
      <w:r>
        <w:t xml:space="preserve"> </w:t>
      </w:r>
      <w:r w:rsidR="00C41A78">
        <w:t xml:space="preserve">failing to engage with the significance of slavery as part of the </w:t>
      </w:r>
      <w:r w:rsidR="00EE25B8">
        <w:t>history of the USA</w:t>
      </w:r>
      <w:r w:rsidR="00C41A78">
        <w:t>. Understood this way, the exemplary narrative fails to deliver narrative justice, as it does not engage with the political reality of the issue at hand, but merely resorts to an ethical evaluation that is external to the narrative and clearly traceable to its creators.</w:t>
      </w:r>
    </w:p>
    <w:p w14:paraId="6D57805C" w14:textId="77777777" w:rsidR="00776DF0" w:rsidRDefault="00776DF0" w:rsidP="002E0D04">
      <w:pPr>
        <w:pStyle w:val="Heading1"/>
        <w:jc w:val="both"/>
        <w:rPr>
          <w:rFonts w:ascii="Times New Roman" w:eastAsiaTheme="minorHAnsi" w:hAnsi="Times New Roman" w:cstheme="minorBidi"/>
          <w:b/>
          <w:color w:val="auto"/>
          <w:sz w:val="24"/>
          <w:szCs w:val="22"/>
        </w:rPr>
      </w:pPr>
      <w:r w:rsidRPr="00776DF0">
        <w:rPr>
          <w:rFonts w:ascii="Times New Roman" w:eastAsiaTheme="minorHAnsi" w:hAnsi="Times New Roman" w:cstheme="minorBidi"/>
          <w:b/>
          <w:color w:val="auto"/>
          <w:sz w:val="24"/>
          <w:szCs w:val="22"/>
        </w:rPr>
        <w:t>The Context of Narrative Production</w:t>
      </w:r>
    </w:p>
    <w:p w14:paraId="50E443DB" w14:textId="77777777" w:rsidR="002924F5" w:rsidRDefault="009C10F8" w:rsidP="002E0D04">
      <w:pPr>
        <w:spacing w:line="240" w:lineRule="auto"/>
        <w:ind w:firstLine="720"/>
        <w:jc w:val="both"/>
      </w:pPr>
      <w:r>
        <w:t xml:space="preserve">Thus, the matter of context – both in terms of what is </w:t>
      </w:r>
      <w:r w:rsidR="009455C9">
        <w:t xml:space="preserve">represented in the narrative, </w:t>
      </w:r>
      <w:r>
        <w:t>when and by whom – should be acknowledged.</w:t>
      </w:r>
      <w:r w:rsidR="00344C2D">
        <w:t xml:space="preserve"> Only a year before the setting of the exemplary narrative, in 1898, W.E.B. </w:t>
      </w:r>
      <w:r w:rsidR="002924F5">
        <w:t xml:space="preserve">Du </w:t>
      </w:r>
      <w:proofErr w:type="spellStart"/>
      <w:r w:rsidR="002924F5">
        <w:t>Bois</w:t>
      </w:r>
      <w:proofErr w:type="spellEnd"/>
      <w:r w:rsidR="002924F5">
        <w:t xml:space="preserve"> wrote on</w:t>
      </w:r>
      <w:r w:rsidR="000041E9">
        <w:t xml:space="preserve"> African Americans and</w:t>
      </w:r>
      <w:r w:rsidR="002924F5">
        <w:t xml:space="preserve">: </w:t>
      </w:r>
    </w:p>
    <w:p w14:paraId="600BFAE7" w14:textId="77777777" w:rsidR="009455C9" w:rsidRDefault="002924F5" w:rsidP="002E0D04">
      <w:pPr>
        <w:spacing w:before="120" w:after="120" w:line="240" w:lineRule="auto"/>
        <w:ind w:left="720" w:right="720"/>
        <w:contextualSpacing w:val="0"/>
        <w:jc w:val="both"/>
      </w:pPr>
      <w:r>
        <w:t xml:space="preserve">the fact that a definitely segregated mass of eight </w:t>
      </w:r>
      <w:proofErr w:type="gramStart"/>
      <w:r>
        <w:t>millions</w:t>
      </w:r>
      <w:proofErr w:type="gramEnd"/>
      <w:r>
        <w:t xml:space="preserve"> of Americans do not wholly share the national life of the people; are not an integral part of the social body.</w:t>
      </w:r>
      <w:r w:rsidRPr="002924F5">
        <w:rPr>
          <w:vertAlign w:val="superscript"/>
        </w:rPr>
        <w:endnoteReference w:id="31"/>
      </w:r>
    </w:p>
    <w:p w14:paraId="46A561A9" w14:textId="77777777" w:rsidR="00E77CE4" w:rsidRDefault="002924F5" w:rsidP="002E0D04">
      <w:pPr>
        <w:spacing w:line="240" w:lineRule="auto"/>
        <w:ind w:firstLine="720"/>
        <w:jc w:val="both"/>
      </w:pPr>
      <w:r>
        <w:t xml:space="preserve">This </w:t>
      </w:r>
      <w:proofErr w:type="gramStart"/>
      <w:r>
        <w:t>is of significant importance</w:t>
      </w:r>
      <w:proofErr w:type="gramEnd"/>
      <w:r>
        <w:t xml:space="preserve"> in order to situate the incongruous and </w:t>
      </w:r>
      <w:proofErr w:type="spellStart"/>
      <w:r>
        <w:t>ahistoric</w:t>
      </w:r>
      <w:proofErr w:type="spellEnd"/>
      <w:r>
        <w:t xml:space="preserve"> representation of Arthur’s moral condemnation of slavery, a white immigrant with English-born parents. While slavery in the USA had been formally abolished for a little over 30 years by means of the 13</w:t>
      </w:r>
      <w:r w:rsidRPr="002924F5">
        <w:rPr>
          <w:vertAlign w:val="superscript"/>
        </w:rPr>
        <w:t>th</w:t>
      </w:r>
      <w:r>
        <w:t xml:space="preserve"> amendment of the constitution, </w:t>
      </w:r>
      <w:r w:rsidR="000041E9">
        <w:t xml:space="preserve">in 1899 </w:t>
      </w:r>
      <w:r>
        <w:t>the problem of racial inequality persisted, as did the systematic processes</w:t>
      </w:r>
      <w:r w:rsidR="000041E9">
        <w:t xml:space="preserve"> of</w:t>
      </w:r>
      <w:r>
        <w:t xml:space="preserve"> </w:t>
      </w:r>
      <w:proofErr w:type="gramStart"/>
      <w:r w:rsidR="000041E9">
        <w:t>it</w:t>
      </w:r>
      <w:proofErr w:type="gramEnd"/>
      <w:r w:rsidR="000041E9">
        <w:t xml:space="preserve"> </w:t>
      </w:r>
      <w:r>
        <w:t xml:space="preserve">reproduction into individual prejudice. For example, </w:t>
      </w:r>
      <w:r w:rsidR="007D607F">
        <w:t xml:space="preserve">more contemporary </w:t>
      </w:r>
      <w:r w:rsidR="000041E9">
        <w:t xml:space="preserve">writers than Du </w:t>
      </w:r>
      <w:proofErr w:type="spellStart"/>
      <w:r w:rsidR="000041E9">
        <w:t>Bois</w:t>
      </w:r>
      <w:proofErr w:type="spellEnd"/>
      <w:r w:rsidR="007D607F">
        <w:t>, such as Davis</w:t>
      </w:r>
      <w:r w:rsidR="00282E80">
        <w:rPr>
          <w:rStyle w:val="EndnoteReference"/>
        </w:rPr>
        <w:endnoteReference w:id="32"/>
      </w:r>
      <w:r w:rsidR="007D607F">
        <w:t>, Robinson</w:t>
      </w:r>
      <w:r w:rsidR="00282E80">
        <w:rPr>
          <w:rStyle w:val="EndnoteReference"/>
        </w:rPr>
        <w:endnoteReference w:id="33"/>
      </w:r>
      <w:r w:rsidR="007D607F">
        <w:t xml:space="preserve"> and Wang</w:t>
      </w:r>
      <w:r w:rsidR="00282E80">
        <w:rPr>
          <w:rStyle w:val="EndnoteReference"/>
        </w:rPr>
        <w:endnoteReference w:id="34"/>
      </w:r>
      <w:r w:rsidR="007D607F">
        <w:t>, have problematised the clear-cut demarcation of the end of slavery in the 13</w:t>
      </w:r>
      <w:r w:rsidR="007D607F" w:rsidRPr="007D607F">
        <w:rPr>
          <w:vertAlign w:val="superscript"/>
        </w:rPr>
        <w:t>th</w:t>
      </w:r>
      <w:r w:rsidR="007D607F">
        <w:t xml:space="preserve"> amendment</w:t>
      </w:r>
      <w:r w:rsidR="000041E9">
        <w:t xml:space="preserve"> of the US constitution</w:t>
      </w:r>
      <w:r w:rsidR="007D607F">
        <w:t xml:space="preserve"> and put forth concepts such as racial </w:t>
      </w:r>
      <w:r w:rsidR="000041E9">
        <w:t>and</w:t>
      </w:r>
      <w:r w:rsidR="007D607F">
        <w:t xml:space="preserve"> carceral capitalism. Such perspectives have pointed out that capitalism (one of the main themes of RDR2) has always been inextricably linked to racism, and this often has expressed itself in severe forms of incarceration. Interestingly, in the spirit of the Wild West’s ambiguity with regards to law and order, Arthur is often afforded the opportunity to become a bounty hunter. As such, </w:t>
      </w:r>
      <w:r w:rsidR="00E77CE4">
        <w:t xml:space="preserve">Arthur’s opposition to slavery appears to be a sentimental one, rather than an understanding of racial </w:t>
      </w:r>
      <w:r w:rsidR="00E77CE4">
        <w:lastRenderedPageBreak/>
        <w:t>inequality</w:t>
      </w:r>
      <w:r w:rsidR="0085692F">
        <w:t xml:space="preserve">, since his bounty hunting will have the same effects of reproducing racial inequality as </w:t>
      </w:r>
      <w:proofErr w:type="spellStart"/>
      <w:r w:rsidR="0085692F">
        <w:t>Compson’s</w:t>
      </w:r>
      <w:proofErr w:type="spellEnd"/>
      <w:r w:rsidR="0085692F">
        <w:t xml:space="preserve"> ‘profession’</w:t>
      </w:r>
      <w:r w:rsidR="00E77CE4">
        <w:t xml:space="preserve">. As such, </w:t>
      </w:r>
      <w:r w:rsidR="007D607F">
        <w:t xml:space="preserve">the supposed </w:t>
      </w:r>
      <w:r w:rsidR="00FD7B4B">
        <w:t xml:space="preserve">moral of the exemplary narrative discussed above stands in firm contradiction to </w:t>
      </w:r>
      <w:r w:rsidR="00E77CE4">
        <w:t xml:space="preserve">the game narrative’s treatment of other </w:t>
      </w:r>
      <w:r w:rsidR="00FD7B4B">
        <w:t>expression</w:t>
      </w:r>
      <w:r w:rsidR="0085692F">
        <w:t>s</w:t>
      </w:r>
      <w:r w:rsidR="00FD7B4B">
        <w:t xml:space="preserve"> of racial and carceral capitalism.</w:t>
      </w:r>
      <w:r w:rsidR="00E77CE4">
        <w:t xml:space="preserve"> The dynamic engagement with otherness that LPK is supposed to provide, once contextualised, appears contrived and lacking historical awareness. </w:t>
      </w:r>
    </w:p>
    <w:p w14:paraId="51A05FE5" w14:textId="77777777" w:rsidR="00FD7B4B" w:rsidRDefault="00FD7B4B" w:rsidP="002E0D04">
      <w:pPr>
        <w:spacing w:line="240" w:lineRule="auto"/>
        <w:ind w:firstLine="720"/>
        <w:jc w:val="both"/>
      </w:pPr>
      <w:r>
        <w:t xml:space="preserve">To claim that Arthur is not likely to have such a strong view against slavery and to represent him in that manner is ahistorical does not mean to </w:t>
      </w:r>
      <w:r w:rsidR="002924F5">
        <w:t>defend an argument that Arthur could not have realistically been an abolitionist, nor is it an argument that aims to erase the work of abolitionists</w:t>
      </w:r>
      <w:r w:rsidR="0085692F">
        <w:t xml:space="preserve"> and anti-racists in that time period</w:t>
      </w:r>
      <w:r w:rsidR="002924F5">
        <w:t xml:space="preserve">. Rather, the point here is that the exemplary narrative and moral </w:t>
      </w:r>
      <w:proofErr w:type="spellStart"/>
      <w:r w:rsidR="002924F5">
        <w:t>closural</w:t>
      </w:r>
      <w:proofErr w:type="spellEnd"/>
      <w:r w:rsidR="002924F5">
        <w:t xml:space="preserve"> order of the condemnation of slavery is communicated through sentimental and strictly moral means. </w:t>
      </w:r>
      <w:r w:rsidR="00475B38">
        <w:t>As such, it centres Arthur’s</w:t>
      </w:r>
      <w:r w:rsidR="0085692F">
        <w:t xml:space="preserve"> individual</w:t>
      </w:r>
      <w:r w:rsidR="00475B38">
        <w:t xml:space="preserve"> ethical evaluation, rather than the </w:t>
      </w:r>
      <w:r w:rsidR="0085692F">
        <w:t xml:space="preserve">structural </w:t>
      </w:r>
      <w:r w:rsidR="00475B38">
        <w:t xml:space="preserve">reality of the problem. </w:t>
      </w:r>
      <w:r w:rsidR="002924F5">
        <w:t>This, on its own, is not a critique of slavery and can</w:t>
      </w:r>
      <w:r w:rsidR="00C53BD9">
        <w:t xml:space="preserve"> hardly</w:t>
      </w:r>
      <w:r w:rsidR="002924F5">
        <w:t xml:space="preserve"> serve as a </w:t>
      </w:r>
      <w:r w:rsidR="00C53BD9">
        <w:t xml:space="preserve">good </w:t>
      </w:r>
      <w:r w:rsidR="002924F5">
        <w:t>basis for one.</w:t>
      </w:r>
      <w:r w:rsidR="007D607F">
        <w:t xml:space="preserve"> </w:t>
      </w:r>
    </w:p>
    <w:p w14:paraId="108BA352" w14:textId="77777777" w:rsidR="00A30372" w:rsidRPr="00A30372" w:rsidRDefault="00FD7B4B" w:rsidP="002E0D04">
      <w:pPr>
        <w:spacing w:line="240" w:lineRule="auto"/>
        <w:ind w:firstLine="720"/>
        <w:jc w:val="both"/>
      </w:pPr>
      <w:r>
        <w:t xml:space="preserve">While McGregor’s political commitments against criminal inhumanity and his position of critique and engagement with power relations </w:t>
      </w:r>
      <w:r w:rsidR="006801D5">
        <w:t>are</w:t>
      </w:r>
      <w:r>
        <w:t xml:space="preserve"> clear, the framework put forth in </w:t>
      </w:r>
      <w:r>
        <w:rPr>
          <w:i/>
        </w:rPr>
        <w:t>Narrative Justice</w:t>
      </w:r>
      <w:r>
        <w:t xml:space="preserve"> nevertheless leaves a gap with regards to contextualisation in the sense of what, when, and how has a given narrative been produced. As much as McGregor’s engagement with form and content proves elucidating, it has been my intention to propose a trajectory for an even more political project of critique. </w:t>
      </w:r>
      <w:r w:rsidR="007D607F">
        <w:t xml:space="preserve">That is why </w:t>
      </w:r>
      <w:r w:rsidR="006801D5">
        <w:t>I suggest</w:t>
      </w:r>
      <w:r w:rsidR="007D607F">
        <w:t xml:space="preserve"> a potential future direction for research in McGregor’s framework of narrative justice. Namely, the incorporation of historical inquiry and contextualisation, </w:t>
      </w:r>
      <w:r>
        <w:t xml:space="preserve">as well as </w:t>
      </w:r>
      <w:r w:rsidR="006801D5">
        <w:t>incorporating</w:t>
      </w:r>
      <w:r>
        <w:t xml:space="preserve"> an</w:t>
      </w:r>
      <w:r w:rsidR="007D607F">
        <w:t xml:space="preserve"> engagement with social structure, as a way of expanding the discussion of narratives beyond form and content. I see this as a complement </w:t>
      </w:r>
      <w:r w:rsidR="006801D5">
        <w:t xml:space="preserve">to </w:t>
      </w:r>
      <w:r w:rsidR="007D607F">
        <w:t>and an expansion of the already critical framework. More importantly, it is a development that would be welcome in both critical and cultural criminological inquiries.</w:t>
      </w:r>
    </w:p>
    <w:sectPr w:rsidR="00A30372" w:rsidRPr="00A30372">
      <w:footerReference w:type="default" r:id="rId7"/>
      <w:footnotePr>
        <w:numFmt w:val="lowerRoman"/>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2D6DE" w14:textId="77777777" w:rsidR="00AD6B79" w:rsidRDefault="00AD6B79" w:rsidP="007D0E81">
      <w:pPr>
        <w:spacing w:line="240" w:lineRule="auto"/>
      </w:pPr>
      <w:r>
        <w:separator/>
      </w:r>
    </w:p>
  </w:endnote>
  <w:endnote w:type="continuationSeparator" w:id="0">
    <w:p w14:paraId="2B8E2E89" w14:textId="77777777" w:rsidR="00AD6B79" w:rsidRDefault="00AD6B79" w:rsidP="007D0E81">
      <w:pPr>
        <w:spacing w:line="240" w:lineRule="auto"/>
      </w:pPr>
      <w:r>
        <w:continuationSeparator/>
      </w:r>
    </w:p>
  </w:endnote>
  <w:endnote w:id="1">
    <w:p w14:paraId="6EEF125C" w14:textId="77777777" w:rsidR="00C41A78" w:rsidRPr="00A76FD0" w:rsidRDefault="00C41A78" w:rsidP="002E0D04">
      <w:pPr>
        <w:pStyle w:val="EndnoteText"/>
        <w:jc w:val="both"/>
      </w:pPr>
      <w:r>
        <w:rPr>
          <w:rStyle w:val="EndnoteReference"/>
        </w:rPr>
        <w:endnoteRef/>
      </w:r>
      <w:r>
        <w:t xml:space="preserve"> Jock Young, </w:t>
      </w:r>
      <w:r w:rsidRPr="00175DC1">
        <w:rPr>
          <w:i/>
        </w:rPr>
        <w:t>The Criminological Imagination</w:t>
      </w:r>
      <w:r w:rsidR="00003905">
        <w:t xml:space="preserve"> (Polity Press, 2011). A</w:t>
      </w:r>
      <w:r w:rsidR="00600E75">
        <w:t xml:space="preserve">lso, see </w:t>
      </w:r>
      <w:proofErr w:type="spellStart"/>
      <w:r w:rsidR="00600E75">
        <w:t>Rafe</w:t>
      </w:r>
      <w:proofErr w:type="spellEnd"/>
      <w:r w:rsidR="00600E75">
        <w:t xml:space="preserve"> McGregor, “</w:t>
      </w:r>
      <w:r w:rsidR="00A76FD0" w:rsidRPr="00A76FD0">
        <w:t xml:space="preserve">James </w:t>
      </w:r>
      <w:proofErr w:type="spellStart"/>
      <w:r w:rsidR="00A76FD0" w:rsidRPr="00A76FD0">
        <w:t>Ellroy’s</w:t>
      </w:r>
      <w:proofErr w:type="spellEnd"/>
      <w:r w:rsidR="00A76FD0" w:rsidRPr="00A76FD0">
        <w:t xml:space="preserve"> Critical Criminology: Crimes of the Powerful in the </w:t>
      </w:r>
      <w:r w:rsidR="00A76FD0" w:rsidRPr="00A76FD0">
        <w:rPr>
          <w:i/>
        </w:rPr>
        <w:t>Underworld USA Trilogy</w:t>
      </w:r>
      <w:r w:rsidR="00A76FD0">
        <w:t xml:space="preserve">,” </w:t>
      </w:r>
      <w:r w:rsidR="00A76FD0">
        <w:rPr>
          <w:i/>
        </w:rPr>
        <w:t>Critical Criminology</w:t>
      </w:r>
      <w:r w:rsidR="00A76FD0">
        <w:t xml:space="preserve"> (2019), 14.</w:t>
      </w:r>
    </w:p>
  </w:endnote>
  <w:endnote w:id="2">
    <w:p w14:paraId="64A03A85" w14:textId="77777777" w:rsidR="00003905" w:rsidRPr="00003905" w:rsidRDefault="00003905">
      <w:pPr>
        <w:pStyle w:val="EndnoteText"/>
        <w:rPr>
          <w:i/>
        </w:rPr>
      </w:pPr>
      <w:r>
        <w:rPr>
          <w:rStyle w:val="EndnoteReference"/>
        </w:rPr>
        <w:endnoteRef/>
      </w:r>
      <w:r>
        <w:t xml:space="preserve"> </w:t>
      </w:r>
      <w:bookmarkStart w:id="0" w:name="_GoBack"/>
      <w:bookmarkEnd w:id="0"/>
      <w:proofErr w:type="spellStart"/>
      <w:r w:rsidRPr="00F05F66">
        <w:t>Rafe</w:t>
      </w:r>
      <w:proofErr w:type="spellEnd"/>
      <w:r w:rsidRPr="00F05F66">
        <w:t xml:space="preserve"> McGregor, “Introduction to the </w:t>
      </w:r>
      <w:r w:rsidRPr="00F05F66">
        <w:rPr>
          <w:i/>
        </w:rPr>
        <w:t>Narrative Justice</w:t>
      </w:r>
      <w:r w:rsidRPr="00F05F66">
        <w:t xml:space="preserve"> Symposium,” </w:t>
      </w:r>
      <w:r w:rsidRPr="00F05F66">
        <w:rPr>
          <w:i/>
        </w:rPr>
        <w:t xml:space="preserve">Journal of Aesthetic Education </w:t>
      </w:r>
      <w:r w:rsidRPr="00F05F66">
        <w:t>(</w:t>
      </w:r>
      <w:r w:rsidRPr="00F05F66">
        <w:rPr>
          <w:b/>
          <w:u w:val="single"/>
        </w:rPr>
        <w:t>this issue</w:t>
      </w:r>
      <w:r w:rsidRPr="00F05F66">
        <w:t>).</w:t>
      </w:r>
    </w:p>
  </w:endnote>
  <w:endnote w:id="3">
    <w:p w14:paraId="71F1FE1E" w14:textId="77777777" w:rsidR="00AF3CB8" w:rsidRDefault="00AF3CB8" w:rsidP="002E0D04">
      <w:pPr>
        <w:pStyle w:val="EndnoteText"/>
        <w:jc w:val="both"/>
      </w:pPr>
      <w:r>
        <w:rPr>
          <w:rStyle w:val="EndnoteReference"/>
        </w:rPr>
        <w:endnoteRef/>
      </w:r>
      <w:r>
        <w:t xml:space="preserve"> </w:t>
      </w:r>
      <w:proofErr w:type="spellStart"/>
      <w:r w:rsidR="002E0D04">
        <w:t>Rafe</w:t>
      </w:r>
      <w:proofErr w:type="spellEnd"/>
      <w:r w:rsidR="002E0D04">
        <w:t xml:space="preserve"> </w:t>
      </w:r>
      <w:r>
        <w:t xml:space="preserve">McGregor, </w:t>
      </w:r>
      <w:r w:rsidRPr="00F3399B">
        <w:rPr>
          <w:i/>
        </w:rPr>
        <w:t>Narrative Justice</w:t>
      </w:r>
      <w:r>
        <w:t xml:space="preserve"> </w:t>
      </w:r>
      <w:r w:rsidR="002E0D04">
        <w:t xml:space="preserve">(Rowman and Littlefield International, 2018), </w:t>
      </w:r>
      <w:r>
        <w:t>174-182.</w:t>
      </w:r>
    </w:p>
  </w:endnote>
  <w:endnote w:id="4">
    <w:p w14:paraId="6BAEC420" w14:textId="77777777" w:rsidR="00FE1919" w:rsidRPr="00FE1919" w:rsidRDefault="00FE1919" w:rsidP="002E0D04">
      <w:pPr>
        <w:pStyle w:val="EndnoteText"/>
        <w:jc w:val="both"/>
      </w:pPr>
      <w:r>
        <w:rPr>
          <w:rStyle w:val="EndnoteReference"/>
        </w:rPr>
        <w:endnoteRef/>
      </w:r>
      <w:r>
        <w:t xml:space="preserve"> Lois Presser and </w:t>
      </w:r>
      <w:proofErr w:type="spellStart"/>
      <w:r>
        <w:t>Sveinung</w:t>
      </w:r>
      <w:proofErr w:type="spellEnd"/>
      <w:r>
        <w:t xml:space="preserve"> Sandberg, “Narrative Criminology as Critical Criminology,” </w:t>
      </w:r>
      <w:r>
        <w:rPr>
          <w:i/>
        </w:rPr>
        <w:t>Critical Criminology</w:t>
      </w:r>
      <w:r>
        <w:t xml:space="preserve"> 27 (2019): 131-43.</w:t>
      </w:r>
    </w:p>
  </w:endnote>
  <w:endnote w:id="5">
    <w:p w14:paraId="2AA6E9F3" w14:textId="77777777" w:rsidR="009D3B7F" w:rsidRDefault="009D3B7F" w:rsidP="002E0D04">
      <w:pPr>
        <w:pStyle w:val="EndnoteText"/>
        <w:jc w:val="both"/>
      </w:pPr>
      <w:r>
        <w:rPr>
          <w:rStyle w:val="EndnoteReference"/>
        </w:rPr>
        <w:endnoteRef/>
      </w:r>
      <w:r>
        <w:t xml:space="preserve"> McGregor, </w:t>
      </w:r>
      <w:r w:rsidRPr="00F3399B">
        <w:rPr>
          <w:i/>
        </w:rPr>
        <w:t>Narrative Justice</w:t>
      </w:r>
      <w:r>
        <w:t>, 21.</w:t>
      </w:r>
    </w:p>
  </w:endnote>
  <w:endnote w:id="6">
    <w:p w14:paraId="6069DF86" w14:textId="77777777" w:rsidR="00AA260A" w:rsidRDefault="00AA260A" w:rsidP="002E0D04">
      <w:pPr>
        <w:pStyle w:val="EndnoteText"/>
        <w:jc w:val="both"/>
      </w:pPr>
      <w:r>
        <w:rPr>
          <w:rStyle w:val="EndnoteReference"/>
        </w:rPr>
        <w:endnoteRef/>
      </w:r>
      <w:r>
        <w:t xml:space="preserve"> McGregor, </w:t>
      </w:r>
      <w:r w:rsidRPr="00F3399B">
        <w:rPr>
          <w:i/>
        </w:rPr>
        <w:t>Narrative Justice</w:t>
      </w:r>
      <w:r>
        <w:t>, 109.</w:t>
      </w:r>
    </w:p>
  </w:endnote>
  <w:endnote w:id="7">
    <w:p w14:paraId="58B1061F" w14:textId="77777777" w:rsidR="00C41A78" w:rsidRDefault="00C41A78" w:rsidP="002E0D04">
      <w:pPr>
        <w:pStyle w:val="EndnoteText"/>
        <w:jc w:val="both"/>
      </w:pPr>
      <w:r>
        <w:rPr>
          <w:rStyle w:val="EndnoteReference"/>
        </w:rPr>
        <w:endnoteRef/>
      </w:r>
      <w:r>
        <w:t xml:space="preserve"> Red Dead Redemption 2 (Rockstar Games, 2018).</w:t>
      </w:r>
    </w:p>
  </w:endnote>
  <w:endnote w:id="8">
    <w:p w14:paraId="1A44C96D" w14:textId="77777777" w:rsidR="00AA260A" w:rsidRDefault="00AA260A" w:rsidP="002E0D04">
      <w:pPr>
        <w:pStyle w:val="EndnoteText"/>
        <w:jc w:val="both"/>
      </w:pPr>
      <w:r>
        <w:rPr>
          <w:rStyle w:val="EndnoteReference"/>
        </w:rPr>
        <w:endnoteRef/>
      </w:r>
      <w:r>
        <w:t xml:space="preserve"> McGregor, </w:t>
      </w:r>
      <w:r w:rsidRPr="00F3399B">
        <w:rPr>
          <w:i/>
        </w:rPr>
        <w:t>Narrative Justice</w:t>
      </w:r>
      <w:r>
        <w:t>, 120-3.</w:t>
      </w:r>
    </w:p>
  </w:endnote>
  <w:endnote w:id="9">
    <w:p w14:paraId="5BF01F3B" w14:textId="77777777" w:rsidR="00C41A78" w:rsidRPr="00F3399B" w:rsidRDefault="00C41A78" w:rsidP="002E0D04">
      <w:pPr>
        <w:pStyle w:val="EndnoteText"/>
        <w:jc w:val="both"/>
        <w:rPr>
          <w:i/>
        </w:rPr>
      </w:pPr>
      <w:r>
        <w:rPr>
          <w:rStyle w:val="EndnoteReference"/>
        </w:rPr>
        <w:endnoteRef/>
      </w:r>
      <w:r>
        <w:t xml:space="preserve"> For such a discussion, see </w:t>
      </w:r>
      <w:proofErr w:type="spellStart"/>
      <w:r w:rsidRPr="00A72F1B">
        <w:t>Espen</w:t>
      </w:r>
      <w:proofErr w:type="spellEnd"/>
      <w:r w:rsidRPr="00A72F1B">
        <w:t xml:space="preserve"> </w:t>
      </w:r>
      <w:proofErr w:type="spellStart"/>
      <w:r w:rsidRPr="00A72F1B">
        <w:t>Aarseth</w:t>
      </w:r>
      <w:proofErr w:type="spellEnd"/>
      <w:r w:rsidRPr="00A72F1B">
        <w:t xml:space="preserve">, “A Narrative Theory of Games”. </w:t>
      </w:r>
      <w:r w:rsidRPr="00A72F1B">
        <w:rPr>
          <w:i/>
        </w:rPr>
        <w:t>Proceedings of the International Conference on the Foundations of Digital Games</w:t>
      </w:r>
      <w:r w:rsidR="00A72F1B" w:rsidRPr="00A72F1B">
        <w:rPr>
          <w:i/>
        </w:rPr>
        <w:t xml:space="preserve"> </w:t>
      </w:r>
      <w:r w:rsidR="00A72F1B" w:rsidRPr="00A72F1B">
        <w:t>(2012)</w:t>
      </w:r>
      <w:r w:rsidRPr="00A72F1B">
        <w:t>.</w:t>
      </w:r>
      <w:r w:rsidRPr="00F3399B">
        <w:t xml:space="preserve"> </w:t>
      </w:r>
    </w:p>
  </w:endnote>
  <w:endnote w:id="10">
    <w:p w14:paraId="25EB02F6" w14:textId="77777777" w:rsidR="00C41A78" w:rsidRPr="00F3399B" w:rsidRDefault="00C41A78" w:rsidP="002E0D04">
      <w:pPr>
        <w:pStyle w:val="EndnoteText"/>
        <w:jc w:val="both"/>
        <w:rPr>
          <w:i/>
        </w:rPr>
      </w:pPr>
      <w:r>
        <w:rPr>
          <w:rStyle w:val="EndnoteReference"/>
        </w:rPr>
        <w:endnoteRef/>
      </w:r>
      <w:r>
        <w:t xml:space="preserve"> McGregor, </w:t>
      </w:r>
      <w:r w:rsidRPr="00F3399B">
        <w:rPr>
          <w:i/>
        </w:rPr>
        <w:t>Narrative Justice</w:t>
      </w:r>
      <w:r>
        <w:t>, 5.</w:t>
      </w:r>
    </w:p>
  </w:endnote>
  <w:endnote w:id="11">
    <w:p w14:paraId="43DD59C1" w14:textId="77777777" w:rsidR="00C41A78" w:rsidRDefault="00C41A78" w:rsidP="002E0D04">
      <w:pPr>
        <w:pStyle w:val="EndnoteText"/>
        <w:jc w:val="both"/>
      </w:pPr>
      <w:r>
        <w:rPr>
          <w:rStyle w:val="EndnoteReference"/>
        </w:rPr>
        <w:endnoteRef/>
      </w:r>
      <w:r>
        <w:t xml:space="preserve"> McGregor, </w:t>
      </w:r>
      <w:r w:rsidRPr="00F3399B">
        <w:rPr>
          <w:i/>
        </w:rPr>
        <w:t>Narrative Justice</w:t>
      </w:r>
      <w:r>
        <w:t>, 75.</w:t>
      </w:r>
    </w:p>
  </w:endnote>
  <w:endnote w:id="12">
    <w:p w14:paraId="1DC91868" w14:textId="77777777" w:rsidR="00C41A78" w:rsidRDefault="00C41A78" w:rsidP="002E0D04">
      <w:pPr>
        <w:pStyle w:val="EndnoteText"/>
        <w:jc w:val="both"/>
      </w:pPr>
      <w:r>
        <w:rPr>
          <w:rStyle w:val="EndnoteReference"/>
        </w:rPr>
        <w:endnoteRef/>
      </w:r>
      <w:r>
        <w:t xml:space="preserve"> McGregor, </w:t>
      </w:r>
      <w:r w:rsidRPr="00F3399B">
        <w:rPr>
          <w:i/>
        </w:rPr>
        <w:t>Narrative Justice</w:t>
      </w:r>
      <w:r>
        <w:t>, 76.</w:t>
      </w:r>
    </w:p>
  </w:endnote>
  <w:endnote w:id="13">
    <w:p w14:paraId="46BA18B6" w14:textId="77777777" w:rsidR="00C41A78" w:rsidRDefault="00C41A78" w:rsidP="002E0D04">
      <w:pPr>
        <w:pStyle w:val="EndnoteText"/>
        <w:jc w:val="both"/>
      </w:pPr>
      <w:r>
        <w:rPr>
          <w:rStyle w:val="EndnoteReference"/>
        </w:rPr>
        <w:endnoteRef/>
      </w:r>
      <w:r>
        <w:t xml:space="preserve"> </w:t>
      </w:r>
      <w:proofErr w:type="spellStart"/>
      <w:r w:rsidR="00022C58" w:rsidRPr="00022C58">
        <w:t>Espen</w:t>
      </w:r>
      <w:proofErr w:type="spellEnd"/>
      <w:r w:rsidR="00022C58" w:rsidRPr="00022C58">
        <w:t xml:space="preserve"> </w:t>
      </w:r>
      <w:proofErr w:type="spellStart"/>
      <w:r w:rsidR="00022C58" w:rsidRPr="00022C58">
        <w:t>Aarseth</w:t>
      </w:r>
      <w:proofErr w:type="spellEnd"/>
      <w:r w:rsidR="00022C58">
        <w:t>.</w:t>
      </w:r>
      <w:r w:rsidR="00022C58" w:rsidRPr="00022C58">
        <w:t xml:space="preserve"> </w:t>
      </w:r>
      <w:proofErr w:type="spellStart"/>
      <w:r w:rsidR="00022C58" w:rsidRPr="00022C58">
        <w:rPr>
          <w:i/>
        </w:rPr>
        <w:t>Cybertext</w:t>
      </w:r>
      <w:proofErr w:type="spellEnd"/>
      <w:r w:rsidR="00022C58" w:rsidRPr="00022C58">
        <w:rPr>
          <w:i/>
        </w:rPr>
        <w:t>: Perspectives on Ergodic Literature</w:t>
      </w:r>
      <w:r w:rsidR="00022C58" w:rsidRPr="00022C58">
        <w:t xml:space="preserve"> </w:t>
      </w:r>
      <w:r w:rsidR="00022C58">
        <w:t>(</w:t>
      </w:r>
      <w:r w:rsidR="00022C58" w:rsidRPr="00022C58">
        <w:t xml:space="preserve">Baltimore and </w:t>
      </w:r>
      <w:proofErr w:type="spellStart"/>
      <w:proofErr w:type="gramStart"/>
      <w:r w:rsidR="00022C58" w:rsidRPr="00022C58">
        <w:t>London:Johns</w:t>
      </w:r>
      <w:proofErr w:type="spellEnd"/>
      <w:proofErr w:type="gramEnd"/>
      <w:r w:rsidR="00022C58" w:rsidRPr="00022C58">
        <w:t xml:space="preserve"> Hopkins UP</w:t>
      </w:r>
      <w:r w:rsidR="00022C58">
        <w:t xml:space="preserve">, </w:t>
      </w:r>
      <w:r w:rsidR="00022C58" w:rsidRPr="00022C58">
        <w:t>1997)</w:t>
      </w:r>
      <w:r w:rsidR="00022C58">
        <w:t>, 5.</w:t>
      </w:r>
    </w:p>
  </w:endnote>
  <w:endnote w:id="14">
    <w:p w14:paraId="6C52CA2B" w14:textId="77777777" w:rsidR="00C41A78" w:rsidRDefault="00C41A78" w:rsidP="002E0D04">
      <w:pPr>
        <w:pStyle w:val="EndnoteText"/>
        <w:jc w:val="both"/>
      </w:pPr>
      <w:r>
        <w:rPr>
          <w:rStyle w:val="EndnoteReference"/>
        </w:rPr>
        <w:endnoteRef/>
      </w:r>
      <w:r>
        <w:t xml:space="preserve"> </w:t>
      </w:r>
      <w:proofErr w:type="spellStart"/>
      <w:r>
        <w:t>Aarseth</w:t>
      </w:r>
      <w:proofErr w:type="spellEnd"/>
      <w:r>
        <w:t>, “A Narrative Theory</w:t>
      </w:r>
      <w:r w:rsidR="00EB7166">
        <w:t xml:space="preserve"> of Games</w:t>
      </w:r>
      <w:r>
        <w:t>,” 130.</w:t>
      </w:r>
    </w:p>
  </w:endnote>
  <w:endnote w:id="15">
    <w:p w14:paraId="3F22BB79" w14:textId="77777777" w:rsidR="00A72F1B" w:rsidRPr="00A72F1B" w:rsidRDefault="00A72F1B" w:rsidP="002E0D04">
      <w:pPr>
        <w:pStyle w:val="EndnoteText"/>
        <w:jc w:val="both"/>
        <w:rPr>
          <w:rStyle w:val="EndnoteReference"/>
        </w:rPr>
      </w:pPr>
      <w:r>
        <w:rPr>
          <w:rStyle w:val="EndnoteReference"/>
        </w:rPr>
        <w:endnoteRef/>
      </w:r>
      <w:r w:rsidRPr="00A72F1B">
        <w:rPr>
          <w:rStyle w:val="EndnoteReference"/>
        </w:rPr>
        <w:t xml:space="preserve"> </w:t>
      </w:r>
      <w:proofErr w:type="spellStart"/>
      <w:r w:rsidRPr="00A72F1B">
        <w:rPr>
          <w:rStyle w:val="EndnoteReference"/>
          <w:vertAlign w:val="baseline"/>
        </w:rPr>
        <w:t>Espen</w:t>
      </w:r>
      <w:proofErr w:type="spellEnd"/>
      <w:r w:rsidRPr="00A72F1B">
        <w:rPr>
          <w:rStyle w:val="EndnoteReference"/>
          <w:vertAlign w:val="baseline"/>
        </w:rPr>
        <w:t xml:space="preserve"> </w:t>
      </w:r>
      <w:proofErr w:type="spellStart"/>
      <w:r w:rsidRPr="00A72F1B">
        <w:rPr>
          <w:rStyle w:val="EndnoteReference"/>
          <w:vertAlign w:val="baseline"/>
        </w:rPr>
        <w:t>Aarseth</w:t>
      </w:r>
      <w:proofErr w:type="spellEnd"/>
      <w:r>
        <w:rPr>
          <w:rStyle w:val="EndnoteReference"/>
          <w:vertAlign w:val="baseline"/>
        </w:rPr>
        <w:t>,</w:t>
      </w:r>
      <w:r w:rsidRPr="00A72F1B">
        <w:rPr>
          <w:rStyle w:val="EndnoteReference"/>
          <w:vertAlign w:val="baseline"/>
        </w:rPr>
        <w:t xml:space="preserve">“Computer Game Studies, Year One,” </w:t>
      </w:r>
      <w:r w:rsidRPr="00A72F1B">
        <w:rPr>
          <w:rStyle w:val="EndnoteReference"/>
          <w:i/>
          <w:vertAlign w:val="baseline"/>
        </w:rPr>
        <w:t>Game Studies</w:t>
      </w:r>
      <w:r w:rsidRPr="00A72F1B">
        <w:rPr>
          <w:rStyle w:val="EndnoteReference"/>
          <w:vertAlign w:val="baseline"/>
        </w:rPr>
        <w:t xml:space="preserve"> 1</w:t>
      </w:r>
      <w:r>
        <w:rPr>
          <w:rStyle w:val="EndnoteReference"/>
          <w:vertAlign w:val="baseline"/>
        </w:rPr>
        <w:t xml:space="preserve"> (2001)</w:t>
      </w:r>
      <w:r w:rsidRPr="00A72F1B">
        <w:rPr>
          <w:rStyle w:val="EndnoteReference"/>
          <w:vertAlign w:val="baseline"/>
        </w:rPr>
        <w:t>, no. 1.</w:t>
      </w:r>
    </w:p>
  </w:endnote>
  <w:endnote w:id="16">
    <w:p w14:paraId="327EE182" w14:textId="77777777" w:rsidR="00C41A78" w:rsidRDefault="00C41A78" w:rsidP="002E0D04">
      <w:pPr>
        <w:pStyle w:val="EndnoteText"/>
        <w:jc w:val="both"/>
      </w:pPr>
      <w:r>
        <w:rPr>
          <w:rStyle w:val="EndnoteReference"/>
        </w:rPr>
        <w:endnoteRef/>
      </w:r>
      <w:r>
        <w:t xml:space="preserve"> McGregor, </w:t>
      </w:r>
      <w:r w:rsidRPr="00F3399B">
        <w:rPr>
          <w:i/>
        </w:rPr>
        <w:t>Narrative Justice</w:t>
      </w:r>
      <w:r>
        <w:t>, 57.</w:t>
      </w:r>
    </w:p>
  </w:endnote>
  <w:endnote w:id="17">
    <w:p w14:paraId="489DF5D1" w14:textId="77777777" w:rsidR="009C64C1" w:rsidRPr="009C64C1" w:rsidRDefault="009C64C1" w:rsidP="002E0D04">
      <w:pPr>
        <w:pStyle w:val="EndnoteText"/>
        <w:jc w:val="both"/>
      </w:pPr>
      <w:r>
        <w:rPr>
          <w:rStyle w:val="EndnoteReference"/>
        </w:rPr>
        <w:endnoteRef/>
      </w:r>
      <w:r w:rsidRPr="009C64C1">
        <w:t xml:space="preserve"> McGregor, </w:t>
      </w:r>
      <w:r w:rsidRPr="009C64C1">
        <w:rPr>
          <w:i/>
        </w:rPr>
        <w:t>Narrative Justic</w:t>
      </w:r>
      <w:r>
        <w:rPr>
          <w:i/>
        </w:rPr>
        <w:t>e</w:t>
      </w:r>
      <w:r>
        <w:t xml:space="preserve">, 76. Also, see </w:t>
      </w:r>
      <w:proofErr w:type="spellStart"/>
      <w:r w:rsidRPr="009C64C1">
        <w:t>Tzachi</w:t>
      </w:r>
      <w:proofErr w:type="spellEnd"/>
      <w:r w:rsidRPr="009C64C1">
        <w:t xml:space="preserve"> Zamir</w:t>
      </w:r>
      <w:r w:rsidRPr="009C64C1">
        <w:rPr>
          <w:i/>
        </w:rPr>
        <w:t xml:space="preserve">, Double Vision: Moral </w:t>
      </w:r>
      <w:proofErr w:type="spellStart"/>
      <w:r w:rsidRPr="009C64C1">
        <w:rPr>
          <w:i/>
        </w:rPr>
        <w:t>Philosohpy</w:t>
      </w:r>
      <w:proofErr w:type="spellEnd"/>
      <w:r w:rsidRPr="009C64C1">
        <w:rPr>
          <w:i/>
        </w:rPr>
        <w:t xml:space="preserve"> and Shakespearean Drama</w:t>
      </w:r>
      <w:r>
        <w:t xml:space="preserve"> (Princeton, NJ: Princeton University Press, 2007), 113-25.</w:t>
      </w:r>
    </w:p>
  </w:endnote>
  <w:endnote w:id="18">
    <w:p w14:paraId="6EEC389A" w14:textId="77777777" w:rsidR="008C7968" w:rsidRDefault="008C7968">
      <w:pPr>
        <w:pStyle w:val="EndnoteText"/>
      </w:pPr>
      <w:r>
        <w:rPr>
          <w:rStyle w:val="EndnoteReference"/>
        </w:rPr>
        <w:endnoteRef/>
      </w:r>
      <w:r>
        <w:t xml:space="preserve"> In video games, a quest is a self-contained micro-narrative that often has little to do with the main storyline of the </w:t>
      </w:r>
      <w:proofErr w:type="gramStart"/>
      <w:r>
        <w:t>game, but</w:t>
      </w:r>
      <w:proofErr w:type="gramEnd"/>
      <w:r>
        <w:t xml:space="preserve"> allows for further immersion into the game’s world.</w:t>
      </w:r>
    </w:p>
  </w:endnote>
  <w:endnote w:id="19">
    <w:p w14:paraId="77445870" w14:textId="77777777" w:rsidR="006801D5" w:rsidRDefault="008C7968">
      <w:pPr>
        <w:pStyle w:val="EndnoteText"/>
      </w:pPr>
      <w:r>
        <w:rPr>
          <w:rStyle w:val="EndnoteReference"/>
        </w:rPr>
        <w:endnoteRef/>
      </w:r>
      <w:r>
        <w:t xml:space="preserve"> </w:t>
      </w:r>
      <w:r w:rsidR="006801D5">
        <w:t>GTA Series Videos</w:t>
      </w:r>
      <w:r w:rsidR="006801D5" w:rsidRPr="006801D5">
        <w:t xml:space="preserve">. “Red Dead Redemption 2 Stranger Mission - The Iniquities of History.” YouTube video, </w:t>
      </w:r>
      <w:r w:rsidR="006801D5">
        <w:t xml:space="preserve">Jan </w:t>
      </w:r>
      <w:r w:rsidR="006801D5" w:rsidRPr="006801D5">
        <w:t>2</w:t>
      </w:r>
      <w:r w:rsidR="006801D5">
        <w:t>4</w:t>
      </w:r>
      <w:r w:rsidR="006801D5" w:rsidRPr="006801D5">
        <w:t>, 201</w:t>
      </w:r>
      <w:r w:rsidR="006801D5">
        <w:t>9</w:t>
      </w:r>
      <w:r w:rsidR="006801D5" w:rsidRPr="006801D5">
        <w:t xml:space="preserve">. </w:t>
      </w:r>
      <w:hyperlink r:id="rId1" w:history="1">
        <w:r w:rsidR="006801D5" w:rsidRPr="006801D5">
          <w:rPr>
            <w:rStyle w:val="Hyperlink"/>
          </w:rPr>
          <w:t>https://youtu.be/nv9Bl4LDEgI</w:t>
        </w:r>
      </w:hyperlink>
      <w:r w:rsidR="006801D5">
        <w:t>.</w:t>
      </w:r>
    </w:p>
  </w:endnote>
  <w:endnote w:id="20">
    <w:p w14:paraId="1401C17E" w14:textId="77777777" w:rsidR="00C41A78" w:rsidRPr="009C64C1" w:rsidRDefault="00C41A78" w:rsidP="002E0D04">
      <w:pPr>
        <w:pStyle w:val="EndnoteText"/>
        <w:jc w:val="both"/>
      </w:pPr>
      <w:r>
        <w:rPr>
          <w:rStyle w:val="EndnoteReference"/>
        </w:rPr>
        <w:endnoteRef/>
      </w:r>
      <w:r w:rsidRPr="009C64C1">
        <w:t xml:space="preserve"> McGregor, </w:t>
      </w:r>
      <w:r w:rsidRPr="009C64C1">
        <w:rPr>
          <w:i/>
        </w:rPr>
        <w:t>Narrative Justice</w:t>
      </w:r>
      <w:r w:rsidRPr="009C64C1">
        <w:t>, 57.</w:t>
      </w:r>
    </w:p>
  </w:endnote>
  <w:endnote w:id="21">
    <w:p w14:paraId="2268BB8B" w14:textId="77777777" w:rsidR="00C41A78" w:rsidRDefault="00C41A78" w:rsidP="002E0D04">
      <w:pPr>
        <w:pStyle w:val="EndnoteText"/>
        <w:jc w:val="both"/>
      </w:pPr>
      <w:r>
        <w:rPr>
          <w:rStyle w:val="EndnoteReference"/>
        </w:rPr>
        <w:endnoteRef/>
      </w:r>
      <w:r>
        <w:t xml:space="preserve"> McGregor, </w:t>
      </w:r>
      <w:r w:rsidRPr="00F3399B">
        <w:rPr>
          <w:i/>
        </w:rPr>
        <w:t>Narrative Justice</w:t>
      </w:r>
      <w:r>
        <w:t>, 144.</w:t>
      </w:r>
    </w:p>
  </w:endnote>
  <w:endnote w:id="22">
    <w:p w14:paraId="26EF82E3" w14:textId="77777777" w:rsidR="00C41A78" w:rsidRDefault="00C41A78" w:rsidP="002E0D04">
      <w:pPr>
        <w:pStyle w:val="EndnoteText"/>
        <w:jc w:val="both"/>
      </w:pPr>
      <w:r>
        <w:rPr>
          <w:rStyle w:val="EndnoteReference"/>
        </w:rPr>
        <w:endnoteRef/>
      </w:r>
      <w:r>
        <w:t xml:space="preserve"> McGregor, </w:t>
      </w:r>
      <w:r w:rsidRPr="00F3399B">
        <w:rPr>
          <w:i/>
        </w:rPr>
        <w:t>Narrative Justice</w:t>
      </w:r>
      <w:r>
        <w:t>, 144.</w:t>
      </w:r>
    </w:p>
  </w:endnote>
  <w:endnote w:id="23">
    <w:p w14:paraId="4D7D0B91" w14:textId="77777777" w:rsidR="00C41A78" w:rsidRDefault="00C41A78" w:rsidP="002E0D04">
      <w:pPr>
        <w:pStyle w:val="EndnoteText"/>
        <w:jc w:val="both"/>
      </w:pPr>
      <w:r>
        <w:rPr>
          <w:rStyle w:val="EndnoteReference"/>
        </w:rPr>
        <w:endnoteRef/>
      </w:r>
      <w:r>
        <w:t xml:space="preserve"> McGregor, </w:t>
      </w:r>
      <w:r w:rsidRPr="00F3399B">
        <w:rPr>
          <w:i/>
        </w:rPr>
        <w:t>Narrative Justice</w:t>
      </w:r>
      <w:r>
        <w:t>, 103.</w:t>
      </w:r>
    </w:p>
  </w:endnote>
  <w:endnote w:id="24">
    <w:p w14:paraId="51318FFE" w14:textId="77777777" w:rsidR="00C41A78" w:rsidRDefault="00C41A78" w:rsidP="002E0D04">
      <w:pPr>
        <w:pStyle w:val="EndnoteText"/>
        <w:jc w:val="both"/>
      </w:pPr>
      <w:r>
        <w:rPr>
          <w:rStyle w:val="EndnoteReference"/>
        </w:rPr>
        <w:endnoteRef/>
      </w:r>
      <w:r>
        <w:t xml:space="preserve"> McGregor, </w:t>
      </w:r>
      <w:r w:rsidRPr="00F3399B">
        <w:rPr>
          <w:i/>
        </w:rPr>
        <w:t>Narrative Justice</w:t>
      </w:r>
      <w:r>
        <w:t>, 104.</w:t>
      </w:r>
    </w:p>
  </w:endnote>
  <w:endnote w:id="25">
    <w:p w14:paraId="756DE6B3" w14:textId="77777777" w:rsidR="00C41A78" w:rsidRDefault="00C41A78" w:rsidP="002E0D04">
      <w:pPr>
        <w:pStyle w:val="EndnoteText"/>
        <w:jc w:val="both"/>
      </w:pPr>
      <w:r>
        <w:rPr>
          <w:rStyle w:val="EndnoteReference"/>
        </w:rPr>
        <w:endnoteRef/>
      </w:r>
      <w:r>
        <w:t xml:space="preserve"> McGregor, </w:t>
      </w:r>
      <w:r w:rsidRPr="00F3399B">
        <w:rPr>
          <w:i/>
        </w:rPr>
        <w:t>Narrative Justice</w:t>
      </w:r>
      <w:r>
        <w:t>, 104.</w:t>
      </w:r>
    </w:p>
  </w:endnote>
  <w:endnote w:id="26">
    <w:p w14:paraId="143862A8" w14:textId="77777777" w:rsidR="00C41A78" w:rsidRDefault="00C41A78" w:rsidP="002E0D04">
      <w:pPr>
        <w:pStyle w:val="EndnoteText"/>
        <w:jc w:val="both"/>
      </w:pPr>
      <w:r>
        <w:rPr>
          <w:rStyle w:val="EndnoteReference"/>
        </w:rPr>
        <w:endnoteRef/>
      </w:r>
      <w:r>
        <w:t xml:space="preserve"> McGregor, </w:t>
      </w:r>
      <w:r w:rsidRPr="00F3399B">
        <w:rPr>
          <w:i/>
        </w:rPr>
        <w:t>Narrative Justice</w:t>
      </w:r>
      <w:r>
        <w:t>, 68.</w:t>
      </w:r>
    </w:p>
  </w:endnote>
  <w:endnote w:id="27">
    <w:p w14:paraId="522D83CC" w14:textId="77777777" w:rsidR="00143BB9" w:rsidRPr="00C102DC" w:rsidRDefault="00143BB9" w:rsidP="002E0D04">
      <w:pPr>
        <w:pStyle w:val="EndnoteText"/>
        <w:jc w:val="both"/>
      </w:pPr>
      <w:r>
        <w:rPr>
          <w:rStyle w:val="EndnoteReference"/>
        </w:rPr>
        <w:endnoteRef/>
      </w:r>
      <w:r>
        <w:t xml:space="preserve"> </w:t>
      </w:r>
      <w:proofErr w:type="spellStart"/>
      <w:r w:rsidR="00C102DC">
        <w:t>A.</w:t>
      </w:r>
      <w:proofErr w:type="gramStart"/>
      <w:r w:rsidR="00C102DC">
        <w:t>W.Eaton</w:t>
      </w:r>
      <w:proofErr w:type="spellEnd"/>
      <w:proofErr w:type="gramEnd"/>
      <w:r w:rsidR="00C102DC">
        <w:t xml:space="preserve">, “Where Ethics and Aesthetics Meet: Titian’s </w:t>
      </w:r>
      <w:r w:rsidR="00C102DC">
        <w:rPr>
          <w:i/>
        </w:rPr>
        <w:t>Rape of Europa</w:t>
      </w:r>
      <w:r w:rsidR="00C102DC">
        <w:t xml:space="preserve">,” </w:t>
      </w:r>
      <w:r w:rsidR="00C102DC">
        <w:rPr>
          <w:i/>
        </w:rPr>
        <w:t xml:space="preserve">Hypatia </w:t>
      </w:r>
      <w:r w:rsidR="00C102DC">
        <w:t>18 (2003):164-66.</w:t>
      </w:r>
      <w:r w:rsidR="00C102DC">
        <w:rPr>
          <w:i/>
        </w:rPr>
        <w:t xml:space="preserve"> </w:t>
      </w:r>
      <w:r w:rsidR="00C102DC">
        <w:t xml:space="preserve">Also, see McGregor, </w:t>
      </w:r>
      <w:r w:rsidR="00C102DC" w:rsidRPr="00F3399B">
        <w:rPr>
          <w:i/>
        </w:rPr>
        <w:t>Narrative Justice</w:t>
      </w:r>
      <w:r w:rsidR="00C102DC">
        <w:t>, 8.</w:t>
      </w:r>
    </w:p>
  </w:endnote>
  <w:endnote w:id="28">
    <w:p w14:paraId="37260EDD" w14:textId="77777777" w:rsidR="00C41A78" w:rsidRDefault="00C41A78" w:rsidP="002E0D04">
      <w:pPr>
        <w:pStyle w:val="EndnoteText"/>
        <w:jc w:val="both"/>
      </w:pPr>
      <w:r>
        <w:rPr>
          <w:rStyle w:val="EndnoteReference"/>
        </w:rPr>
        <w:endnoteRef/>
      </w:r>
      <w:r>
        <w:t xml:space="preserve"> Currie, Narratives &amp; Narrators, 106. Also, see McGregor, </w:t>
      </w:r>
      <w:r w:rsidRPr="00F3399B">
        <w:rPr>
          <w:i/>
        </w:rPr>
        <w:t>Narrative Justice</w:t>
      </w:r>
      <w:r>
        <w:t>, 55.</w:t>
      </w:r>
    </w:p>
  </w:endnote>
  <w:endnote w:id="29">
    <w:p w14:paraId="4A150163" w14:textId="77777777" w:rsidR="00C41A78" w:rsidRDefault="00C41A78" w:rsidP="002E0D04">
      <w:pPr>
        <w:pStyle w:val="EndnoteText"/>
        <w:jc w:val="both"/>
      </w:pPr>
      <w:r>
        <w:rPr>
          <w:rStyle w:val="EndnoteReference"/>
        </w:rPr>
        <w:endnoteRef/>
      </w:r>
      <w:r>
        <w:t xml:space="preserve"> McGregor, </w:t>
      </w:r>
      <w:r w:rsidRPr="00F3399B">
        <w:rPr>
          <w:i/>
        </w:rPr>
        <w:t>Narrative Justice</w:t>
      </w:r>
      <w:r>
        <w:t>, 56.</w:t>
      </w:r>
    </w:p>
  </w:endnote>
  <w:endnote w:id="30">
    <w:p w14:paraId="22E30949" w14:textId="77777777" w:rsidR="00586CCE" w:rsidRPr="00586CCE" w:rsidRDefault="00586CCE" w:rsidP="002E0D04">
      <w:pPr>
        <w:pStyle w:val="EndnoteText"/>
        <w:jc w:val="both"/>
        <w:rPr>
          <w:i/>
        </w:rPr>
      </w:pPr>
      <w:r>
        <w:rPr>
          <w:rStyle w:val="EndnoteReference"/>
        </w:rPr>
        <w:endnoteRef/>
      </w:r>
      <w:r>
        <w:t xml:space="preserve"> McGregor, </w:t>
      </w:r>
      <w:r w:rsidRPr="00F3399B">
        <w:rPr>
          <w:i/>
        </w:rPr>
        <w:t>Narrative Justice</w:t>
      </w:r>
      <w:r>
        <w:t xml:space="preserve">, 8. Also, see </w:t>
      </w:r>
      <w:r w:rsidR="00C102DC">
        <w:t>Eaton, “Where Ethics and Aesthetics Meet,” 164-66.</w:t>
      </w:r>
    </w:p>
  </w:endnote>
  <w:endnote w:id="31">
    <w:p w14:paraId="7AE7F295" w14:textId="77777777" w:rsidR="002924F5" w:rsidRPr="002924F5" w:rsidRDefault="002924F5" w:rsidP="002E0D04">
      <w:pPr>
        <w:pStyle w:val="EndnoteText"/>
        <w:jc w:val="both"/>
      </w:pPr>
      <w:r>
        <w:rPr>
          <w:rStyle w:val="EndnoteReference"/>
        </w:rPr>
        <w:endnoteRef/>
      </w:r>
      <w:r>
        <w:t xml:space="preserve"> W.E. Burghardt Du </w:t>
      </w:r>
      <w:proofErr w:type="spellStart"/>
      <w:r>
        <w:t>Bois</w:t>
      </w:r>
      <w:proofErr w:type="spellEnd"/>
      <w:r>
        <w:t xml:space="preserve">, “The Study of the Negro Problems,” </w:t>
      </w:r>
      <w:r>
        <w:rPr>
          <w:i/>
        </w:rPr>
        <w:t>The Annals of the American Academy of Political and Social Science</w:t>
      </w:r>
      <w:r>
        <w:t xml:space="preserve"> 11 (1898), 7.</w:t>
      </w:r>
    </w:p>
  </w:endnote>
  <w:endnote w:id="32">
    <w:p w14:paraId="2F523FC2" w14:textId="77777777" w:rsidR="00282E80" w:rsidRPr="000041E9" w:rsidRDefault="00282E80" w:rsidP="002E0D04">
      <w:pPr>
        <w:pStyle w:val="EndnoteText"/>
        <w:jc w:val="both"/>
      </w:pPr>
      <w:r>
        <w:rPr>
          <w:rStyle w:val="EndnoteReference"/>
        </w:rPr>
        <w:endnoteRef/>
      </w:r>
      <w:r>
        <w:t xml:space="preserve"> Angela Davis</w:t>
      </w:r>
      <w:r w:rsidR="000041E9">
        <w:t xml:space="preserve">, </w:t>
      </w:r>
      <w:r w:rsidR="000041E9" w:rsidRPr="000041E9">
        <w:rPr>
          <w:i/>
        </w:rPr>
        <w:t>Women, Race &amp; Class</w:t>
      </w:r>
      <w:r w:rsidR="000041E9">
        <w:t xml:space="preserve"> (Penguin Books: London, 2019).</w:t>
      </w:r>
    </w:p>
  </w:endnote>
  <w:endnote w:id="33">
    <w:p w14:paraId="0164B23F" w14:textId="77777777" w:rsidR="00282E80" w:rsidRPr="000041E9" w:rsidRDefault="00282E80" w:rsidP="002E0D04">
      <w:pPr>
        <w:pStyle w:val="EndnoteText"/>
        <w:jc w:val="both"/>
      </w:pPr>
      <w:r>
        <w:rPr>
          <w:rStyle w:val="EndnoteReference"/>
        </w:rPr>
        <w:endnoteRef/>
      </w:r>
      <w:r>
        <w:t xml:space="preserve"> Cedric </w:t>
      </w:r>
      <w:r w:rsidR="000041E9">
        <w:t xml:space="preserve">J. </w:t>
      </w:r>
      <w:r>
        <w:t>Robinson</w:t>
      </w:r>
      <w:r w:rsidR="000041E9">
        <w:t xml:space="preserve">, </w:t>
      </w:r>
      <w:r w:rsidR="000041E9" w:rsidRPr="000041E9">
        <w:rPr>
          <w:i/>
        </w:rPr>
        <w:t>On Racial Capitalism, Black Internationalism, and Cultures of Resistance</w:t>
      </w:r>
      <w:r w:rsidR="000041E9">
        <w:rPr>
          <w:i/>
        </w:rPr>
        <w:t xml:space="preserve"> </w:t>
      </w:r>
      <w:r w:rsidR="000041E9">
        <w:t>(Pluto Press: London, 2019).</w:t>
      </w:r>
    </w:p>
  </w:endnote>
  <w:endnote w:id="34">
    <w:p w14:paraId="0F16DA48" w14:textId="77777777" w:rsidR="00282E80" w:rsidRDefault="00282E80" w:rsidP="002E0D04">
      <w:pPr>
        <w:pStyle w:val="EndnoteText"/>
        <w:jc w:val="both"/>
      </w:pPr>
      <w:r>
        <w:rPr>
          <w:rStyle w:val="EndnoteReference"/>
        </w:rPr>
        <w:endnoteRef/>
      </w:r>
      <w:r>
        <w:t xml:space="preserve"> Jackie Wang</w:t>
      </w:r>
      <w:r w:rsidR="000041E9">
        <w:t>, Carceral Capitalism (MIT Press: New York,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44C0" w14:textId="77777777" w:rsidR="00C14FC5" w:rsidRPr="00C81874" w:rsidRDefault="00C14FC5" w:rsidP="00C81874">
    <w:pPr>
      <w:pStyle w:val="Footer"/>
      <w:jc w:val="center"/>
      <w:rPr>
        <w:caps/>
        <w:noProof/>
        <w:sz w:val="20"/>
      </w:rPr>
    </w:pPr>
    <w:r w:rsidRPr="00C81874">
      <w:rPr>
        <w:caps/>
        <w:sz w:val="20"/>
      </w:rPr>
      <w:fldChar w:fldCharType="begin"/>
    </w:r>
    <w:r w:rsidRPr="00C81874">
      <w:rPr>
        <w:caps/>
        <w:sz w:val="20"/>
      </w:rPr>
      <w:instrText xml:space="preserve"> PAGE   \* MERGEFORMAT </w:instrText>
    </w:r>
    <w:r w:rsidRPr="00C81874">
      <w:rPr>
        <w:caps/>
        <w:sz w:val="20"/>
      </w:rPr>
      <w:fldChar w:fldCharType="separate"/>
    </w:r>
    <w:r w:rsidRPr="00C81874">
      <w:rPr>
        <w:caps/>
        <w:noProof/>
        <w:sz w:val="20"/>
      </w:rPr>
      <w:t>2</w:t>
    </w:r>
    <w:r w:rsidRPr="00C81874">
      <w:rPr>
        <w:cap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4DEDC" w14:textId="77777777" w:rsidR="00AD6B79" w:rsidRDefault="00AD6B79" w:rsidP="007D0E81">
      <w:pPr>
        <w:spacing w:line="240" w:lineRule="auto"/>
      </w:pPr>
      <w:r>
        <w:separator/>
      </w:r>
    </w:p>
  </w:footnote>
  <w:footnote w:type="continuationSeparator" w:id="0">
    <w:p w14:paraId="7A40A3A8" w14:textId="77777777" w:rsidR="00AD6B79" w:rsidRDefault="00AD6B79" w:rsidP="007D0E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81"/>
    <w:rsid w:val="00003905"/>
    <w:rsid w:val="000041E9"/>
    <w:rsid w:val="000174E1"/>
    <w:rsid w:val="00022406"/>
    <w:rsid w:val="00022C58"/>
    <w:rsid w:val="000E597A"/>
    <w:rsid w:val="000F2FAF"/>
    <w:rsid w:val="001252E4"/>
    <w:rsid w:val="00143BB9"/>
    <w:rsid w:val="00175DC1"/>
    <w:rsid w:val="00186D10"/>
    <w:rsid w:val="001B49E5"/>
    <w:rsid w:val="001D3063"/>
    <w:rsid w:val="001D51E1"/>
    <w:rsid w:val="001D69DC"/>
    <w:rsid w:val="001E06B1"/>
    <w:rsid w:val="00272946"/>
    <w:rsid w:val="00280626"/>
    <w:rsid w:val="00282E80"/>
    <w:rsid w:val="002924F5"/>
    <w:rsid w:val="002E0D04"/>
    <w:rsid w:val="003030FF"/>
    <w:rsid w:val="003160A8"/>
    <w:rsid w:val="00344C2D"/>
    <w:rsid w:val="00383FC8"/>
    <w:rsid w:val="003F724E"/>
    <w:rsid w:val="00464B6E"/>
    <w:rsid w:val="00475B38"/>
    <w:rsid w:val="005021DD"/>
    <w:rsid w:val="00547C25"/>
    <w:rsid w:val="00586CCE"/>
    <w:rsid w:val="00600E75"/>
    <w:rsid w:val="006801D5"/>
    <w:rsid w:val="00697446"/>
    <w:rsid w:val="0074783D"/>
    <w:rsid w:val="00776DF0"/>
    <w:rsid w:val="007D0E81"/>
    <w:rsid w:val="007D607F"/>
    <w:rsid w:val="00816888"/>
    <w:rsid w:val="0085692F"/>
    <w:rsid w:val="008C7968"/>
    <w:rsid w:val="008F5CF2"/>
    <w:rsid w:val="009455C9"/>
    <w:rsid w:val="00991B53"/>
    <w:rsid w:val="009C10F8"/>
    <w:rsid w:val="009C64C1"/>
    <w:rsid w:val="009D3B7F"/>
    <w:rsid w:val="00A30372"/>
    <w:rsid w:val="00A31350"/>
    <w:rsid w:val="00A72F1B"/>
    <w:rsid w:val="00A76FD0"/>
    <w:rsid w:val="00AA260A"/>
    <w:rsid w:val="00AA662F"/>
    <w:rsid w:val="00AD6B79"/>
    <w:rsid w:val="00AF3CB8"/>
    <w:rsid w:val="00B90DC5"/>
    <w:rsid w:val="00BB22A5"/>
    <w:rsid w:val="00BE727A"/>
    <w:rsid w:val="00C102DC"/>
    <w:rsid w:val="00C14FC5"/>
    <w:rsid w:val="00C41A78"/>
    <w:rsid w:val="00C53BD9"/>
    <w:rsid w:val="00C81874"/>
    <w:rsid w:val="00CD0773"/>
    <w:rsid w:val="00CD4DF3"/>
    <w:rsid w:val="00DF0783"/>
    <w:rsid w:val="00DF0C3B"/>
    <w:rsid w:val="00DF40BA"/>
    <w:rsid w:val="00E77CE4"/>
    <w:rsid w:val="00EA3A61"/>
    <w:rsid w:val="00EB7166"/>
    <w:rsid w:val="00EE25B8"/>
    <w:rsid w:val="00EF58FD"/>
    <w:rsid w:val="00F05F66"/>
    <w:rsid w:val="00F3399B"/>
    <w:rsid w:val="00F370AC"/>
    <w:rsid w:val="00F440F0"/>
    <w:rsid w:val="00F84855"/>
    <w:rsid w:val="00FD7B4B"/>
    <w:rsid w:val="00FE1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1C31"/>
  <w15:chartTrackingRefBased/>
  <w15:docId w15:val="{8BCF9EA7-7487-4F3F-AFAC-95DDE071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E81"/>
    <w:pPr>
      <w:spacing w:after="0" w:line="480" w:lineRule="auto"/>
      <w:contextualSpacing/>
    </w:pPr>
    <w:rPr>
      <w:rFonts w:ascii="Times New Roman" w:hAnsi="Times New Roman"/>
      <w:sz w:val="24"/>
    </w:rPr>
  </w:style>
  <w:style w:type="paragraph" w:styleId="Heading1">
    <w:name w:val="heading 1"/>
    <w:basedOn w:val="Normal"/>
    <w:next w:val="Normal"/>
    <w:link w:val="Heading1Char"/>
    <w:uiPriority w:val="9"/>
    <w:qFormat/>
    <w:rsid w:val="00776DF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D0E81"/>
    <w:pPr>
      <w:spacing w:line="240" w:lineRule="auto"/>
    </w:pPr>
    <w:rPr>
      <w:rFonts w:cs="Times New Roman"/>
      <w:sz w:val="20"/>
      <w:szCs w:val="20"/>
    </w:rPr>
  </w:style>
  <w:style w:type="character" w:customStyle="1" w:styleId="EndnoteTextChar">
    <w:name w:val="Endnote Text Char"/>
    <w:basedOn w:val="DefaultParagraphFont"/>
    <w:link w:val="EndnoteText"/>
    <w:uiPriority w:val="99"/>
    <w:semiHidden/>
    <w:rsid w:val="007D0E81"/>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7D0E81"/>
    <w:rPr>
      <w:vertAlign w:val="superscript"/>
    </w:rPr>
  </w:style>
  <w:style w:type="character" w:customStyle="1" w:styleId="Heading1Char">
    <w:name w:val="Heading 1 Char"/>
    <w:basedOn w:val="DefaultParagraphFont"/>
    <w:link w:val="Heading1"/>
    <w:uiPriority w:val="9"/>
    <w:rsid w:val="00776DF0"/>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3030FF"/>
    <w:pPr>
      <w:spacing w:line="240" w:lineRule="auto"/>
    </w:pPr>
    <w:rPr>
      <w:sz w:val="20"/>
      <w:szCs w:val="20"/>
    </w:rPr>
  </w:style>
  <w:style w:type="character" w:customStyle="1" w:styleId="FootnoteTextChar">
    <w:name w:val="Footnote Text Char"/>
    <w:basedOn w:val="DefaultParagraphFont"/>
    <w:link w:val="FootnoteText"/>
    <w:uiPriority w:val="99"/>
    <w:semiHidden/>
    <w:rsid w:val="003030FF"/>
    <w:rPr>
      <w:rFonts w:ascii="Times New Roman" w:hAnsi="Times New Roman"/>
      <w:sz w:val="20"/>
      <w:szCs w:val="20"/>
    </w:rPr>
  </w:style>
  <w:style w:type="character" w:styleId="FootnoteReference">
    <w:name w:val="footnote reference"/>
    <w:basedOn w:val="DefaultParagraphFont"/>
    <w:uiPriority w:val="99"/>
    <w:semiHidden/>
    <w:unhideWhenUsed/>
    <w:rsid w:val="003030FF"/>
    <w:rPr>
      <w:vertAlign w:val="superscript"/>
    </w:rPr>
  </w:style>
  <w:style w:type="paragraph" w:styleId="BalloonText">
    <w:name w:val="Balloon Text"/>
    <w:basedOn w:val="Normal"/>
    <w:link w:val="BalloonTextChar"/>
    <w:uiPriority w:val="99"/>
    <w:semiHidden/>
    <w:unhideWhenUsed/>
    <w:rsid w:val="00143B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BB9"/>
    <w:rPr>
      <w:rFonts w:ascii="Segoe UI" w:hAnsi="Segoe UI" w:cs="Segoe UI"/>
      <w:sz w:val="18"/>
      <w:szCs w:val="18"/>
    </w:rPr>
  </w:style>
  <w:style w:type="paragraph" w:styleId="Header">
    <w:name w:val="header"/>
    <w:basedOn w:val="Normal"/>
    <w:link w:val="HeaderChar"/>
    <w:uiPriority w:val="99"/>
    <w:unhideWhenUsed/>
    <w:rsid w:val="00C14FC5"/>
    <w:pPr>
      <w:tabs>
        <w:tab w:val="center" w:pos="4513"/>
        <w:tab w:val="right" w:pos="9026"/>
      </w:tabs>
      <w:spacing w:line="240" w:lineRule="auto"/>
    </w:pPr>
  </w:style>
  <w:style w:type="character" w:customStyle="1" w:styleId="HeaderChar">
    <w:name w:val="Header Char"/>
    <w:basedOn w:val="DefaultParagraphFont"/>
    <w:link w:val="Header"/>
    <w:uiPriority w:val="99"/>
    <w:rsid w:val="00C14FC5"/>
    <w:rPr>
      <w:rFonts w:ascii="Times New Roman" w:hAnsi="Times New Roman"/>
      <w:sz w:val="24"/>
    </w:rPr>
  </w:style>
  <w:style w:type="paragraph" w:styleId="Footer">
    <w:name w:val="footer"/>
    <w:basedOn w:val="Normal"/>
    <w:link w:val="FooterChar"/>
    <w:uiPriority w:val="99"/>
    <w:unhideWhenUsed/>
    <w:rsid w:val="00C14FC5"/>
    <w:pPr>
      <w:tabs>
        <w:tab w:val="center" w:pos="4513"/>
        <w:tab w:val="right" w:pos="9026"/>
      </w:tabs>
      <w:spacing w:line="240" w:lineRule="auto"/>
    </w:pPr>
  </w:style>
  <w:style w:type="character" w:customStyle="1" w:styleId="FooterChar">
    <w:name w:val="Footer Char"/>
    <w:basedOn w:val="DefaultParagraphFont"/>
    <w:link w:val="Footer"/>
    <w:uiPriority w:val="99"/>
    <w:rsid w:val="00C14FC5"/>
    <w:rPr>
      <w:rFonts w:ascii="Times New Roman" w:hAnsi="Times New Roman"/>
      <w:sz w:val="24"/>
    </w:rPr>
  </w:style>
  <w:style w:type="character" w:styleId="CommentReference">
    <w:name w:val="annotation reference"/>
    <w:basedOn w:val="DefaultParagraphFont"/>
    <w:uiPriority w:val="99"/>
    <w:semiHidden/>
    <w:unhideWhenUsed/>
    <w:rsid w:val="00272946"/>
    <w:rPr>
      <w:sz w:val="16"/>
      <w:szCs w:val="16"/>
    </w:rPr>
  </w:style>
  <w:style w:type="paragraph" w:styleId="CommentText">
    <w:name w:val="annotation text"/>
    <w:basedOn w:val="Normal"/>
    <w:link w:val="CommentTextChar"/>
    <w:uiPriority w:val="99"/>
    <w:semiHidden/>
    <w:unhideWhenUsed/>
    <w:rsid w:val="00272946"/>
    <w:pPr>
      <w:spacing w:line="240" w:lineRule="auto"/>
    </w:pPr>
    <w:rPr>
      <w:sz w:val="20"/>
      <w:szCs w:val="20"/>
    </w:rPr>
  </w:style>
  <w:style w:type="character" w:customStyle="1" w:styleId="CommentTextChar">
    <w:name w:val="Comment Text Char"/>
    <w:basedOn w:val="DefaultParagraphFont"/>
    <w:link w:val="CommentText"/>
    <w:uiPriority w:val="99"/>
    <w:semiHidden/>
    <w:rsid w:val="002729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72946"/>
    <w:rPr>
      <w:b/>
      <w:bCs/>
    </w:rPr>
  </w:style>
  <w:style w:type="character" w:customStyle="1" w:styleId="CommentSubjectChar">
    <w:name w:val="Comment Subject Char"/>
    <w:basedOn w:val="CommentTextChar"/>
    <w:link w:val="CommentSubject"/>
    <w:uiPriority w:val="99"/>
    <w:semiHidden/>
    <w:rsid w:val="00272946"/>
    <w:rPr>
      <w:rFonts w:ascii="Times New Roman" w:hAnsi="Times New Roman"/>
      <w:b/>
      <w:bCs/>
      <w:sz w:val="20"/>
      <w:szCs w:val="20"/>
    </w:rPr>
  </w:style>
  <w:style w:type="character" w:styleId="Hyperlink">
    <w:name w:val="Hyperlink"/>
    <w:basedOn w:val="DefaultParagraphFont"/>
    <w:uiPriority w:val="99"/>
    <w:unhideWhenUsed/>
    <w:rsid w:val="006801D5"/>
    <w:rPr>
      <w:color w:val="0563C1" w:themeColor="hyperlink"/>
      <w:u w:val="single"/>
    </w:rPr>
  </w:style>
  <w:style w:type="character" w:styleId="UnresolvedMention">
    <w:name w:val="Unresolved Mention"/>
    <w:basedOn w:val="DefaultParagraphFont"/>
    <w:uiPriority w:val="99"/>
    <w:semiHidden/>
    <w:unhideWhenUsed/>
    <w:rsid w:val="00680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006480">
      <w:bodyDiv w:val="1"/>
      <w:marLeft w:val="0"/>
      <w:marRight w:val="0"/>
      <w:marTop w:val="0"/>
      <w:marBottom w:val="0"/>
      <w:divBdr>
        <w:top w:val="none" w:sz="0" w:space="0" w:color="auto"/>
        <w:left w:val="none" w:sz="0" w:space="0" w:color="auto"/>
        <w:bottom w:val="none" w:sz="0" w:space="0" w:color="auto"/>
        <w:right w:val="none" w:sz="0" w:space="0" w:color="auto"/>
      </w:divBdr>
    </w:div>
    <w:div w:id="21429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youtu.be/nv9Bl4LD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C2E35-0C9B-4651-8D5F-FA775399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Rizov V.</dc:creator>
  <cp:keywords/>
  <dc:description/>
  <cp:lastModifiedBy>Rizov V.</cp:lastModifiedBy>
  <cp:revision>2</cp:revision>
  <cp:lastPrinted>2019-11-22T10:17:00Z</cp:lastPrinted>
  <dcterms:created xsi:type="dcterms:W3CDTF">2020-01-24T12:18:00Z</dcterms:created>
  <dcterms:modified xsi:type="dcterms:W3CDTF">2020-01-24T12:18:00Z</dcterms:modified>
</cp:coreProperties>
</file>