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C42490" w14:textId="68BA2CBE" w:rsidR="00C87224" w:rsidRPr="00D408AE" w:rsidRDefault="00012D00" w:rsidP="00AD2E0A">
      <w:pPr>
        <w:spacing w:before="240" w:line="360" w:lineRule="auto"/>
        <w:rPr>
          <w:rFonts w:cstheme="minorHAnsi"/>
          <w:b/>
          <w:bCs/>
          <w:sz w:val="32"/>
        </w:rPr>
      </w:pPr>
      <w:bookmarkStart w:id="0" w:name="_GoBack"/>
      <w:bookmarkEnd w:id="0"/>
      <w:r w:rsidRPr="00D408AE">
        <w:rPr>
          <w:rFonts w:cstheme="minorHAnsi"/>
          <w:b/>
          <w:bCs/>
          <w:sz w:val="32"/>
        </w:rPr>
        <w:t>Some y</w:t>
      </w:r>
      <w:r w:rsidR="004500AB" w:rsidRPr="00D408AE">
        <w:rPr>
          <w:rFonts w:cstheme="minorHAnsi"/>
          <w:b/>
          <w:bCs/>
          <w:sz w:val="32"/>
        </w:rPr>
        <w:t>oung</w:t>
      </w:r>
      <w:r w:rsidR="00C87224" w:rsidRPr="00D408AE">
        <w:rPr>
          <w:rFonts w:cstheme="minorHAnsi"/>
          <w:b/>
          <w:bCs/>
          <w:sz w:val="32"/>
        </w:rPr>
        <w:t xml:space="preserve"> </w:t>
      </w:r>
      <w:r w:rsidR="004500AB" w:rsidRPr="00D408AE">
        <w:rPr>
          <w:rFonts w:cstheme="minorHAnsi"/>
          <w:b/>
          <w:bCs/>
          <w:sz w:val="32"/>
        </w:rPr>
        <w:t>adults</w:t>
      </w:r>
      <w:r w:rsidR="00C87224" w:rsidRPr="00D408AE">
        <w:rPr>
          <w:rFonts w:cstheme="minorHAnsi"/>
          <w:b/>
          <w:bCs/>
          <w:sz w:val="32"/>
        </w:rPr>
        <w:t xml:space="preserve"> with cystic fibrosis-related diabetes </w:t>
      </w:r>
      <w:r w:rsidR="004500AB" w:rsidRPr="00D408AE">
        <w:rPr>
          <w:rFonts w:cstheme="minorHAnsi"/>
          <w:b/>
          <w:bCs/>
          <w:sz w:val="32"/>
        </w:rPr>
        <w:t>may safely stop insulin without an</w:t>
      </w:r>
      <w:r w:rsidR="00EC58AC" w:rsidRPr="00D408AE">
        <w:rPr>
          <w:rFonts w:cstheme="minorHAnsi"/>
          <w:b/>
          <w:bCs/>
          <w:sz w:val="32"/>
        </w:rPr>
        <w:t>y adverse</w:t>
      </w:r>
      <w:r w:rsidR="004500AB" w:rsidRPr="00D408AE">
        <w:rPr>
          <w:rFonts w:cstheme="minorHAnsi"/>
          <w:b/>
          <w:bCs/>
          <w:sz w:val="32"/>
        </w:rPr>
        <w:t xml:space="preserve"> clinical </w:t>
      </w:r>
      <w:r w:rsidR="00EC58AC" w:rsidRPr="00D408AE">
        <w:rPr>
          <w:rFonts w:cstheme="minorHAnsi"/>
          <w:b/>
          <w:bCs/>
          <w:sz w:val="32"/>
        </w:rPr>
        <w:t>sequelae</w:t>
      </w:r>
    </w:p>
    <w:p w14:paraId="2FBB8E84" w14:textId="77777777" w:rsidR="00C87224" w:rsidRPr="00D408AE" w:rsidRDefault="00C87224" w:rsidP="00AD2E0A">
      <w:pPr>
        <w:spacing w:before="240" w:line="360" w:lineRule="auto"/>
        <w:rPr>
          <w:rFonts w:cstheme="minorHAnsi"/>
          <w:bCs/>
        </w:rPr>
      </w:pPr>
      <w:r w:rsidRPr="00D408AE">
        <w:rPr>
          <w:rFonts w:cstheme="minorHAnsi"/>
          <w:bCs/>
        </w:rPr>
        <w:t>Article type: Letter</w:t>
      </w:r>
    </w:p>
    <w:p w14:paraId="49572E80" w14:textId="77777777" w:rsidR="00C87224" w:rsidRPr="00D408AE" w:rsidRDefault="00C87224" w:rsidP="00AD2E0A">
      <w:pPr>
        <w:spacing w:before="240" w:line="360" w:lineRule="auto"/>
        <w:rPr>
          <w:rFonts w:cstheme="minorHAnsi"/>
          <w:bCs/>
        </w:rPr>
      </w:pPr>
    </w:p>
    <w:p w14:paraId="0E9B49AF" w14:textId="11C4319D" w:rsidR="00C87224" w:rsidRPr="00D408AE" w:rsidRDefault="00C87224" w:rsidP="00AD2E0A">
      <w:pPr>
        <w:spacing w:before="240" w:line="360" w:lineRule="auto"/>
        <w:rPr>
          <w:rFonts w:cstheme="minorHAnsi"/>
          <w:bCs/>
        </w:rPr>
      </w:pPr>
      <w:r w:rsidRPr="00D408AE">
        <w:rPr>
          <w:rFonts w:cstheme="minorHAnsi"/>
          <w:bCs/>
        </w:rPr>
        <w:t>Key words: cystic fibrosis, cystic fibrosis-relate</w:t>
      </w:r>
      <w:r w:rsidR="00FD5012" w:rsidRPr="00D408AE">
        <w:rPr>
          <w:rFonts w:cstheme="minorHAnsi"/>
          <w:bCs/>
        </w:rPr>
        <w:t>d diabetes, diabetes mellitus, insulin</w:t>
      </w:r>
    </w:p>
    <w:p w14:paraId="766667B5" w14:textId="77777777" w:rsidR="00C87224" w:rsidRPr="00D408AE" w:rsidRDefault="00C87224" w:rsidP="00AD2E0A">
      <w:pPr>
        <w:spacing w:before="240" w:line="360" w:lineRule="auto"/>
        <w:rPr>
          <w:rFonts w:cstheme="minorHAnsi"/>
        </w:rPr>
      </w:pPr>
    </w:p>
    <w:p w14:paraId="5BF157CC" w14:textId="5873D3FD" w:rsidR="00EB2889" w:rsidRPr="002020BA" w:rsidRDefault="00D432C4" w:rsidP="00AD2E0A">
      <w:pPr>
        <w:spacing w:before="240" w:line="360" w:lineRule="auto"/>
        <w:jc w:val="both"/>
        <w:rPr>
          <w:rFonts w:cstheme="minorHAnsi"/>
        </w:rPr>
      </w:pPr>
      <w:r w:rsidRPr="002020BA">
        <w:rPr>
          <w:rFonts w:cstheme="minorHAnsi"/>
        </w:rPr>
        <w:t xml:space="preserve">Cystic Fibrosis (CF) is a genetic condition that presents with reduced lung function and pancreatic </w:t>
      </w:r>
      <w:r w:rsidR="003811F7" w:rsidRPr="002020BA">
        <w:rPr>
          <w:rFonts w:cstheme="minorHAnsi"/>
        </w:rPr>
        <w:t>exocrine and endocrine insufficiency</w:t>
      </w:r>
      <w:r w:rsidRPr="002020BA">
        <w:rPr>
          <w:rFonts w:cstheme="minorHAnsi"/>
        </w:rPr>
        <w:t>.</w:t>
      </w:r>
      <w:r w:rsidR="007833B6" w:rsidRPr="002020BA">
        <w:rPr>
          <w:rFonts w:cstheme="minorHAnsi"/>
        </w:rPr>
        <w:t xml:space="preserve"> Although insulin sensitivity is generally normal or only </w:t>
      </w:r>
      <w:r w:rsidR="003811F7" w:rsidRPr="002020BA">
        <w:rPr>
          <w:rFonts w:cstheme="minorHAnsi"/>
        </w:rPr>
        <w:t xml:space="preserve">mildly </w:t>
      </w:r>
      <w:r w:rsidR="007833B6" w:rsidRPr="002020BA">
        <w:rPr>
          <w:rFonts w:cstheme="minorHAnsi"/>
        </w:rPr>
        <w:t xml:space="preserve">impaired in people with CF [1], </w:t>
      </w:r>
      <w:r w:rsidR="003811F7" w:rsidRPr="002020BA">
        <w:rPr>
          <w:rFonts w:cstheme="minorHAnsi"/>
        </w:rPr>
        <w:t xml:space="preserve">reduced </w:t>
      </w:r>
      <w:r w:rsidRPr="002020BA">
        <w:rPr>
          <w:rFonts w:cstheme="minorHAnsi"/>
        </w:rPr>
        <w:t xml:space="preserve">insulin secretion occurs frequently and cystic fibrosis related diabetes (CFRD) is </w:t>
      </w:r>
      <w:r w:rsidR="007833B6" w:rsidRPr="002020BA">
        <w:rPr>
          <w:rFonts w:cstheme="minorHAnsi"/>
        </w:rPr>
        <w:t xml:space="preserve">one of the </w:t>
      </w:r>
      <w:r w:rsidR="001C686D" w:rsidRPr="002020BA">
        <w:rPr>
          <w:rFonts w:cstheme="minorHAnsi"/>
        </w:rPr>
        <w:t>commonest</w:t>
      </w:r>
      <w:r w:rsidR="00012D00" w:rsidRPr="002020BA">
        <w:rPr>
          <w:rFonts w:cstheme="minorHAnsi"/>
        </w:rPr>
        <w:t xml:space="preserve"> </w:t>
      </w:r>
      <w:r w:rsidR="007833B6" w:rsidRPr="002020BA">
        <w:rPr>
          <w:rFonts w:cstheme="minorHAnsi"/>
        </w:rPr>
        <w:t>comorbidities, with an estimated prevalence of 12.4% in Europe [2]</w:t>
      </w:r>
      <w:r w:rsidRPr="002020BA">
        <w:rPr>
          <w:rFonts w:cstheme="minorHAnsi"/>
        </w:rPr>
        <w:t xml:space="preserve">. </w:t>
      </w:r>
      <w:r w:rsidR="007833B6" w:rsidRPr="002020BA">
        <w:rPr>
          <w:rFonts w:cstheme="minorHAnsi"/>
        </w:rPr>
        <w:t xml:space="preserve">It is most </w:t>
      </w:r>
      <w:r w:rsidR="001C686D" w:rsidRPr="002020BA">
        <w:rPr>
          <w:rFonts w:cstheme="minorHAnsi"/>
        </w:rPr>
        <w:t>often</w:t>
      </w:r>
      <w:r w:rsidR="007833B6" w:rsidRPr="002020BA">
        <w:rPr>
          <w:rFonts w:cstheme="minorHAnsi"/>
        </w:rPr>
        <w:t xml:space="preserve"> diagnosed betw</w:t>
      </w:r>
      <w:r w:rsidR="00EB2889" w:rsidRPr="002020BA">
        <w:rPr>
          <w:rFonts w:cstheme="minorHAnsi"/>
        </w:rPr>
        <w:t>een the ages of 18 and 25 years.</w:t>
      </w:r>
    </w:p>
    <w:p w14:paraId="039AFF42" w14:textId="0630D17E" w:rsidR="00A07BFB" w:rsidRPr="002020BA" w:rsidRDefault="00694F9E" w:rsidP="00AD2E0A">
      <w:pPr>
        <w:spacing w:before="240" w:line="360" w:lineRule="auto"/>
        <w:jc w:val="both"/>
        <w:rPr>
          <w:rFonts w:cstheme="minorHAnsi"/>
        </w:rPr>
      </w:pPr>
      <w:r w:rsidRPr="002020BA">
        <w:rPr>
          <w:rFonts w:cstheme="minorHAnsi"/>
        </w:rPr>
        <w:t>D</w:t>
      </w:r>
      <w:r w:rsidR="001A7287" w:rsidRPr="002020BA">
        <w:rPr>
          <w:rFonts w:cstheme="minorHAnsi"/>
        </w:rPr>
        <w:t xml:space="preserve">uring puberty </w:t>
      </w:r>
      <w:r w:rsidR="007833B6" w:rsidRPr="002020BA">
        <w:rPr>
          <w:rFonts w:cstheme="minorHAnsi"/>
        </w:rPr>
        <w:t xml:space="preserve">there is </w:t>
      </w:r>
      <w:r w:rsidR="003811F7" w:rsidRPr="002020BA">
        <w:rPr>
          <w:rFonts w:cstheme="minorHAnsi"/>
        </w:rPr>
        <w:t xml:space="preserve">a </w:t>
      </w:r>
      <w:r w:rsidR="001A7287" w:rsidRPr="002020BA">
        <w:rPr>
          <w:rFonts w:cstheme="minorHAnsi"/>
        </w:rPr>
        <w:t xml:space="preserve">25-30% </w:t>
      </w:r>
      <w:r w:rsidR="007833B6" w:rsidRPr="002020BA">
        <w:rPr>
          <w:rFonts w:cstheme="minorHAnsi"/>
        </w:rPr>
        <w:t xml:space="preserve">physiological </w:t>
      </w:r>
      <w:r w:rsidR="001A7287" w:rsidRPr="002020BA">
        <w:rPr>
          <w:rFonts w:cstheme="minorHAnsi"/>
        </w:rPr>
        <w:t xml:space="preserve">decline in </w:t>
      </w:r>
      <w:r w:rsidR="007833B6" w:rsidRPr="002020BA">
        <w:rPr>
          <w:rFonts w:cstheme="minorHAnsi"/>
        </w:rPr>
        <w:t>insulin sensitivity that recovers post puberty</w:t>
      </w:r>
      <w:r w:rsidRPr="002020BA">
        <w:rPr>
          <w:rFonts w:cstheme="minorHAnsi"/>
        </w:rPr>
        <w:t xml:space="preserve"> and is on </w:t>
      </w:r>
      <w:r w:rsidRPr="002020BA">
        <w:rPr>
          <w:rFonts w:cstheme="minorHAnsi"/>
          <w:lang w:val="en"/>
        </w:rPr>
        <w:t xml:space="preserve">par with that seen during pregnancy </w:t>
      </w:r>
      <w:r w:rsidR="007833B6" w:rsidRPr="002020BA">
        <w:rPr>
          <w:rFonts w:cstheme="minorHAnsi"/>
        </w:rPr>
        <w:t>[</w:t>
      </w:r>
      <w:r w:rsidR="00FE4AC4" w:rsidRPr="002020BA">
        <w:rPr>
          <w:rFonts w:cstheme="minorHAnsi"/>
        </w:rPr>
        <w:t>3</w:t>
      </w:r>
      <w:r w:rsidR="007833B6" w:rsidRPr="002020BA">
        <w:rPr>
          <w:rFonts w:cstheme="minorHAnsi"/>
        </w:rPr>
        <w:t>].</w:t>
      </w:r>
      <w:r w:rsidR="00185F3E" w:rsidRPr="002020BA">
        <w:rPr>
          <w:rFonts w:cstheme="minorHAnsi"/>
        </w:rPr>
        <w:t xml:space="preserve"> </w:t>
      </w:r>
      <w:r w:rsidR="00F53A68" w:rsidRPr="002020BA">
        <w:rPr>
          <w:rFonts w:cstheme="minorHAnsi"/>
        </w:rPr>
        <w:t xml:space="preserve">Many </w:t>
      </w:r>
      <w:r w:rsidR="00D408AE" w:rsidRPr="002020BA">
        <w:rPr>
          <w:rFonts w:cstheme="minorHAnsi"/>
        </w:rPr>
        <w:t>people</w:t>
      </w:r>
      <w:r w:rsidR="00F53A68" w:rsidRPr="002020BA">
        <w:rPr>
          <w:rFonts w:cstheme="minorHAnsi"/>
        </w:rPr>
        <w:t xml:space="preserve"> with CFRD start insulin therapy during puberty</w:t>
      </w:r>
      <w:r w:rsidR="001C686D" w:rsidRPr="002020BA">
        <w:rPr>
          <w:rFonts w:cstheme="minorHAnsi"/>
        </w:rPr>
        <w:t xml:space="preserve"> or early adulthood</w:t>
      </w:r>
      <w:r w:rsidR="00F53A68" w:rsidRPr="002020BA">
        <w:rPr>
          <w:rFonts w:cstheme="minorHAnsi"/>
        </w:rPr>
        <w:t xml:space="preserve"> to maintain normoglycaemia</w:t>
      </w:r>
      <w:r w:rsidR="00FB6BC8" w:rsidRPr="002020BA">
        <w:rPr>
          <w:rFonts w:cstheme="minorHAnsi"/>
        </w:rPr>
        <w:t xml:space="preserve">, </w:t>
      </w:r>
      <w:r w:rsidR="00F53A68" w:rsidRPr="002020BA">
        <w:rPr>
          <w:rFonts w:cstheme="minorHAnsi"/>
        </w:rPr>
        <w:t>prevent decline in lung function and support growth and weight gain.</w:t>
      </w:r>
      <w:r w:rsidR="00E646DF" w:rsidRPr="002020BA">
        <w:rPr>
          <w:rFonts w:cstheme="minorHAnsi"/>
        </w:rPr>
        <w:t xml:space="preserve"> </w:t>
      </w:r>
      <w:r w:rsidR="00F53A68" w:rsidRPr="002020BA">
        <w:rPr>
          <w:rFonts w:cstheme="minorHAnsi"/>
        </w:rPr>
        <w:t>Once started</w:t>
      </w:r>
      <w:r w:rsidR="00FB6BC8" w:rsidRPr="002020BA">
        <w:rPr>
          <w:rFonts w:cstheme="minorHAnsi"/>
        </w:rPr>
        <w:t>,</w:t>
      </w:r>
      <w:r w:rsidR="00F53A68" w:rsidRPr="002020BA">
        <w:rPr>
          <w:rFonts w:cstheme="minorHAnsi"/>
        </w:rPr>
        <w:t xml:space="preserve"> insulin is </w:t>
      </w:r>
      <w:r w:rsidR="009E061E" w:rsidRPr="002020BA">
        <w:rPr>
          <w:rFonts w:cstheme="minorHAnsi"/>
        </w:rPr>
        <w:t>seldomly</w:t>
      </w:r>
      <w:r w:rsidR="00F53A68" w:rsidRPr="002020BA">
        <w:rPr>
          <w:rFonts w:cstheme="minorHAnsi"/>
        </w:rPr>
        <w:t xml:space="preserve"> stopped</w:t>
      </w:r>
      <w:r w:rsidR="003811F7" w:rsidRPr="002020BA">
        <w:rPr>
          <w:rFonts w:cstheme="minorHAnsi"/>
        </w:rPr>
        <w:t>.</w:t>
      </w:r>
      <w:r w:rsidR="00A07BFB" w:rsidRPr="002020BA">
        <w:rPr>
          <w:rFonts w:cstheme="minorHAnsi"/>
        </w:rPr>
        <w:t xml:space="preserve"> </w:t>
      </w:r>
      <w:bookmarkStart w:id="1" w:name="_Hlk23503158"/>
      <w:r w:rsidR="00204F0F" w:rsidRPr="002020BA">
        <w:rPr>
          <w:rFonts w:cstheme="minorHAnsi"/>
        </w:rPr>
        <w:t xml:space="preserve">Although pubertal insulin resistance is </w:t>
      </w:r>
      <w:r w:rsidRPr="002020BA">
        <w:rPr>
          <w:rFonts w:cstheme="minorHAnsi"/>
        </w:rPr>
        <w:t>rarely</w:t>
      </w:r>
      <w:r w:rsidR="00204F0F" w:rsidRPr="002020BA">
        <w:rPr>
          <w:rFonts w:cstheme="minorHAnsi"/>
        </w:rPr>
        <w:t xml:space="preserve"> the reason for insulin</w:t>
      </w:r>
      <w:r w:rsidRPr="002020BA">
        <w:rPr>
          <w:rFonts w:cstheme="minorHAnsi"/>
        </w:rPr>
        <w:t xml:space="preserve"> initiation</w:t>
      </w:r>
      <w:r w:rsidR="00204F0F" w:rsidRPr="002020BA">
        <w:rPr>
          <w:rFonts w:cstheme="minorHAnsi"/>
        </w:rPr>
        <w:t xml:space="preserve">, once insulin sensitivity improves post-puberty, the need for insulin may diminish. </w:t>
      </w:r>
      <w:r w:rsidR="003811F7" w:rsidRPr="002020BA">
        <w:rPr>
          <w:rFonts w:cstheme="minorHAnsi"/>
        </w:rPr>
        <w:t>In this study, we examined whether</w:t>
      </w:r>
      <w:r w:rsidR="00F53A68" w:rsidRPr="002020BA">
        <w:rPr>
          <w:rFonts w:cstheme="minorHAnsi"/>
        </w:rPr>
        <w:t xml:space="preserve"> </w:t>
      </w:r>
      <w:r w:rsidR="00204F0F" w:rsidRPr="002020BA">
        <w:rPr>
          <w:rFonts w:cstheme="minorHAnsi"/>
        </w:rPr>
        <w:t xml:space="preserve">young adults with CFRD who had started insulin during puberty </w:t>
      </w:r>
      <w:r w:rsidR="007A4262" w:rsidRPr="002020BA">
        <w:rPr>
          <w:rFonts w:cstheme="minorHAnsi"/>
        </w:rPr>
        <w:t xml:space="preserve">or early adulthood </w:t>
      </w:r>
      <w:r w:rsidR="00204F0F" w:rsidRPr="002020BA">
        <w:rPr>
          <w:rFonts w:cstheme="minorHAnsi"/>
        </w:rPr>
        <w:t xml:space="preserve">could stop their treatment </w:t>
      </w:r>
      <w:r w:rsidR="00F53A68" w:rsidRPr="002020BA">
        <w:rPr>
          <w:rFonts w:cstheme="minorHAnsi"/>
        </w:rPr>
        <w:t xml:space="preserve">without any </w:t>
      </w:r>
      <w:r w:rsidRPr="002020BA">
        <w:rPr>
          <w:rFonts w:cstheme="minorHAnsi"/>
        </w:rPr>
        <w:t xml:space="preserve">clinical </w:t>
      </w:r>
      <w:r w:rsidR="00F53A68" w:rsidRPr="002020BA">
        <w:rPr>
          <w:rFonts w:cstheme="minorHAnsi"/>
        </w:rPr>
        <w:t>deter</w:t>
      </w:r>
      <w:r w:rsidR="00EB2889" w:rsidRPr="002020BA">
        <w:rPr>
          <w:rFonts w:cstheme="minorHAnsi"/>
        </w:rPr>
        <w:t>ioration.</w:t>
      </w:r>
      <w:r w:rsidR="00A07BFB" w:rsidRPr="002020BA">
        <w:rPr>
          <w:rFonts w:cstheme="minorHAnsi"/>
        </w:rPr>
        <w:t xml:space="preserve"> </w:t>
      </w:r>
      <w:bookmarkEnd w:id="1"/>
      <w:r w:rsidR="00A07BFB" w:rsidRPr="002020BA">
        <w:rPr>
          <w:rFonts w:cstheme="minorHAnsi"/>
        </w:rPr>
        <w:t xml:space="preserve">The study protocol was approved by the University of Southampton </w:t>
      </w:r>
      <w:r w:rsidR="00A07BFB" w:rsidRPr="002020BA">
        <w:rPr>
          <w:rStyle w:val="st1"/>
          <w:rFonts w:cstheme="minorHAnsi"/>
        </w:rPr>
        <w:t>Ethics and Research Governance Online committee (ID</w:t>
      </w:r>
      <w:r w:rsidR="00A07BFB" w:rsidRPr="002020BA">
        <w:rPr>
          <w:rFonts w:cstheme="minorHAnsi"/>
          <w:lang w:val="en"/>
        </w:rPr>
        <w:t xml:space="preserve"> 41862).</w:t>
      </w:r>
    </w:p>
    <w:p w14:paraId="4E578F70" w14:textId="62DAE4F6" w:rsidR="00EB2889" w:rsidRPr="002020BA" w:rsidRDefault="00F53A68" w:rsidP="00AD2E0A">
      <w:pPr>
        <w:spacing w:before="240" w:line="360" w:lineRule="auto"/>
        <w:jc w:val="both"/>
        <w:rPr>
          <w:rFonts w:cstheme="minorHAnsi"/>
        </w:rPr>
      </w:pPr>
      <w:r w:rsidRPr="002020BA">
        <w:rPr>
          <w:rFonts w:cstheme="minorHAnsi"/>
        </w:rPr>
        <w:lastRenderedPageBreak/>
        <w:t xml:space="preserve">University Hospital Southampton NHS Foundation Trust hosts the Wessex regional </w:t>
      </w:r>
      <w:r w:rsidR="003811F7" w:rsidRPr="002020BA">
        <w:rPr>
          <w:rFonts w:cstheme="minorHAnsi"/>
        </w:rPr>
        <w:t xml:space="preserve">CFRD </w:t>
      </w:r>
      <w:r w:rsidRPr="002020BA">
        <w:rPr>
          <w:rFonts w:cstheme="minorHAnsi"/>
        </w:rPr>
        <w:t>service</w:t>
      </w:r>
      <w:r w:rsidR="00E92FE6" w:rsidRPr="002020BA">
        <w:rPr>
          <w:rFonts w:cstheme="minorHAnsi"/>
        </w:rPr>
        <w:t xml:space="preserve">. </w:t>
      </w:r>
      <w:r w:rsidR="003A467B" w:rsidRPr="002020BA">
        <w:rPr>
          <w:rFonts w:cstheme="minorHAnsi"/>
        </w:rPr>
        <w:t xml:space="preserve">In 2018, </w:t>
      </w:r>
      <w:r w:rsidR="00E92FE6" w:rsidRPr="002020BA">
        <w:rPr>
          <w:rFonts w:cstheme="minorHAnsi"/>
        </w:rPr>
        <w:t xml:space="preserve">there </w:t>
      </w:r>
      <w:r w:rsidR="003A467B" w:rsidRPr="002020BA">
        <w:rPr>
          <w:rFonts w:cstheme="minorHAnsi"/>
        </w:rPr>
        <w:t xml:space="preserve">were </w:t>
      </w:r>
      <w:r w:rsidR="00E147CE" w:rsidRPr="002020BA">
        <w:rPr>
          <w:rFonts w:cstheme="minorHAnsi"/>
        </w:rPr>
        <w:t xml:space="preserve">45 men and </w:t>
      </w:r>
      <w:r w:rsidR="00E92FE6" w:rsidRPr="002020BA">
        <w:rPr>
          <w:rFonts w:cstheme="minorHAnsi"/>
        </w:rPr>
        <w:t>31 women aged 18-25 years old</w:t>
      </w:r>
      <w:r w:rsidR="00E147CE" w:rsidRPr="002020BA">
        <w:rPr>
          <w:rFonts w:cstheme="minorHAnsi"/>
        </w:rPr>
        <w:t xml:space="preserve"> attending the </w:t>
      </w:r>
      <w:r w:rsidR="003811F7" w:rsidRPr="002020BA">
        <w:rPr>
          <w:rFonts w:cstheme="minorHAnsi"/>
        </w:rPr>
        <w:t>service</w:t>
      </w:r>
      <w:r w:rsidR="00E92FE6" w:rsidRPr="002020BA">
        <w:rPr>
          <w:rFonts w:cstheme="minorHAnsi"/>
        </w:rPr>
        <w:t>. 34 ha</w:t>
      </w:r>
      <w:r w:rsidR="003A467B" w:rsidRPr="002020BA">
        <w:rPr>
          <w:rFonts w:cstheme="minorHAnsi"/>
        </w:rPr>
        <w:t>d</w:t>
      </w:r>
      <w:r w:rsidR="00E92FE6" w:rsidRPr="002020BA">
        <w:rPr>
          <w:rFonts w:cstheme="minorHAnsi"/>
        </w:rPr>
        <w:t xml:space="preserve"> CRFD, 12 ha</w:t>
      </w:r>
      <w:r w:rsidR="003A467B" w:rsidRPr="002020BA">
        <w:rPr>
          <w:rFonts w:cstheme="minorHAnsi"/>
        </w:rPr>
        <w:t>d</w:t>
      </w:r>
      <w:r w:rsidR="00E92FE6" w:rsidRPr="002020BA">
        <w:rPr>
          <w:rFonts w:cstheme="minorHAnsi"/>
        </w:rPr>
        <w:t xml:space="preserve"> impaired glucose tolerance and 30 ha</w:t>
      </w:r>
      <w:r w:rsidR="003A467B" w:rsidRPr="002020BA">
        <w:rPr>
          <w:rFonts w:cstheme="minorHAnsi"/>
        </w:rPr>
        <w:t>d</w:t>
      </w:r>
      <w:r w:rsidR="00E92FE6" w:rsidRPr="002020BA">
        <w:rPr>
          <w:rFonts w:cstheme="minorHAnsi"/>
        </w:rPr>
        <w:t xml:space="preserve"> norm</w:t>
      </w:r>
      <w:r w:rsidR="003A467B" w:rsidRPr="002020BA">
        <w:rPr>
          <w:rFonts w:cstheme="minorHAnsi"/>
        </w:rPr>
        <w:t>al glucose tolerance</w:t>
      </w:r>
      <w:r w:rsidR="00E92FE6" w:rsidRPr="002020BA">
        <w:rPr>
          <w:rFonts w:cstheme="minorHAnsi"/>
        </w:rPr>
        <w:t>. 2</w:t>
      </w:r>
      <w:r w:rsidR="00740CB6" w:rsidRPr="002020BA">
        <w:rPr>
          <w:rFonts w:cstheme="minorHAnsi"/>
        </w:rPr>
        <w:t>9</w:t>
      </w:r>
      <w:r w:rsidR="00E92FE6" w:rsidRPr="002020BA">
        <w:rPr>
          <w:rFonts w:cstheme="minorHAnsi"/>
        </w:rPr>
        <w:t xml:space="preserve"> of the 34 with CFRD were treated with insulin at transition from the paediatri</w:t>
      </w:r>
      <w:r w:rsidR="00EB2889" w:rsidRPr="002020BA">
        <w:rPr>
          <w:rFonts w:cstheme="minorHAnsi"/>
        </w:rPr>
        <w:t xml:space="preserve">c to adult </w:t>
      </w:r>
      <w:r w:rsidR="00012D00" w:rsidRPr="002020BA">
        <w:rPr>
          <w:rFonts w:cstheme="minorHAnsi"/>
        </w:rPr>
        <w:t>services</w:t>
      </w:r>
      <w:r w:rsidR="00EB2889" w:rsidRPr="002020BA">
        <w:rPr>
          <w:rFonts w:cstheme="minorHAnsi"/>
        </w:rPr>
        <w:t>.</w:t>
      </w:r>
      <w:r w:rsidR="00DE2AE2" w:rsidRPr="002020BA">
        <w:rPr>
          <w:rFonts w:cstheme="minorHAnsi"/>
        </w:rPr>
        <w:t xml:space="preserve"> </w:t>
      </w:r>
      <w:bookmarkStart w:id="2" w:name="_Hlk23503829"/>
      <w:bookmarkStart w:id="3" w:name="_Hlk23503542"/>
      <w:r w:rsidR="005F3F17" w:rsidRPr="002020BA">
        <w:rPr>
          <w:rFonts w:cstheme="minorHAnsi"/>
        </w:rPr>
        <w:t>The organisation of care across our region means that children are seen by paediatric teams at different hospitals prior to transition to adult services in Southampton. We were therefore unable to determine why insulin was initiated as we did not have access to the paediatric records</w:t>
      </w:r>
      <w:r w:rsidR="00DE2AE2" w:rsidRPr="002020BA">
        <w:rPr>
          <w:rFonts w:eastAsia="Times New Roman" w:cstheme="minorHAnsi"/>
          <w:sz w:val="22"/>
          <w:szCs w:val="22"/>
          <w:shd w:val="clear" w:color="auto" w:fill="FFFFFF"/>
          <w:lang w:eastAsia="en-GB"/>
        </w:rPr>
        <w:t xml:space="preserve">. </w:t>
      </w:r>
      <w:bookmarkEnd w:id="2"/>
      <w:r w:rsidR="00DE2AE2" w:rsidRPr="002020BA">
        <w:rPr>
          <w:rFonts w:cstheme="minorHAnsi"/>
        </w:rPr>
        <w:t xml:space="preserve">The remaining </w:t>
      </w:r>
      <w:r w:rsidR="00740CB6" w:rsidRPr="002020BA">
        <w:rPr>
          <w:rFonts w:cstheme="minorHAnsi"/>
        </w:rPr>
        <w:t>5</w:t>
      </w:r>
      <w:r w:rsidR="00DE2AE2" w:rsidRPr="002020BA">
        <w:rPr>
          <w:rFonts w:cstheme="minorHAnsi"/>
        </w:rPr>
        <w:t xml:space="preserve"> people with CFRD were managing their diabetes with lifestyle modification alone. </w:t>
      </w:r>
      <w:bookmarkEnd w:id="3"/>
    </w:p>
    <w:p w14:paraId="0FBF13A8" w14:textId="541DDC4F" w:rsidR="00281714" w:rsidRPr="002020BA" w:rsidRDefault="003811F7" w:rsidP="00AD2E0A">
      <w:pPr>
        <w:spacing w:before="240" w:line="360" w:lineRule="auto"/>
        <w:jc w:val="both"/>
        <w:rPr>
          <w:rFonts w:cstheme="minorHAnsi"/>
        </w:rPr>
      </w:pPr>
      <w:r w:rsidRPr="002020BA">
        <w:rPr>
          <w:rFonts w:cstheme="minorHAnsi"/>
        </w:rPr>
        <w:t xml:space="preserve">With their verbal consent, </w:t>
      </w:r>
      <w:r w:rsidR="00E92FE6" w:rsidRPr="002020BA">
        <w:rPr>
          <w:rFonts w:cstheme="minorHAnsi"/>
        </w:rPr>
        <w:t>individual</w:t>
      </w:r>
      <w:r w:rsidRPr="002020BA">
        <w:rPr>
          <w:rFonts w:cstheme="minorHAnsi"/>
        </w:rPr>
        <w:t>s</w:t>
      </w:r>
      <w:r w:rsidR="00E92FE6" w:rsidRPr="002020BA">
        <w:rPr>
          <w:rFonts w:cstheme="minorHAnsi"/>
        </w:rPr>
        <w:t xml:space="preserve"> with CF</w:t>
      </w:r>
      <w:r w:rsidR="00886BC0" w:rsidRPr="002020BA">
        <w:rPr>
          <w:rFonts w:cstheme="minorHAnsi"/>
        </w:rPr>
        <w:t xml:space="preserve"> </w:t>
      </w:r>
      <w:r w:rsidR="00E92FE6" w:rsidRPr="002020BA">
        <w:rPr>
          <w:rFonts w:cstheme="minorHAnsi"/>
        </w:rPr>
        <w:t>stop</w:t>
      </w:r>
      <w:r w:rsidRPr="002020BA">
        <w:rPr>
          <w:rFonts w:cstheme="minorHAnsi"/>
        </w:rPr>
        <w:t>ped their</w:t>
      </w:r>
      <w:r w:rsidR="00E92FE6" w:rsidRPr="002020BA">
        <w:rPr>
          <w:rFonts w:cstheme="minorHAnsi"/>
        </w:rPr>
        <w:t xml:space="preserve"> insulin if the</w:t>
      </w:r>
      <w:r w:rsidRPr="002020BA">
        <w:rPr>
          <w:rFonts w:cstheme="minorHAnsi"/>
        </w:rPr>
        <w:t>y were</w:t>
      </w:r>
      <w:r w:rsidR="00E92FE6" w:rsidRPr="002020BA">
        <w:rPr>
          <w:rFonts w:cstheme="minorHAnsi"/>
        </w:rPr>
        <w:t xml:space="preserve"> taking less than </w:t>
      </w:r>
      <w:r w:rsidR="00886BC0" w:rsidRPr="002020BA">
        <w:rPr>
          <w:rFonts w:cstheme="minorHAnsi"/>
        </w:rPr>
        <w:t xml:space="preserve">15 units of insulin per day, </w:t>
      </w:r>
      <w:r w:rsidRPr="002020BA">
        <w:rPr>
          <w:rFonts w:cstheme="minorHAnsi"/>
        </w:rPr>
        <w:t xml:space="preserve">had an </w:t>
      </w:r>
      <w:r w:rsidR="00E92FE6" w:rsidRPr="002020BA">
        <w:rPr>
          <w:rFonts w:cstheme="minorHAnsi"/>
        </w:rPr>
        <w:t>HbA</w:t>
      </w:r>
      <w:r w:rsidR="00E92FE6" w:rsidRPr="002020BA">
        <w:rPr>
          <w:rFonts w:cstheme="minorHAnsi"/>
          <w:vertAlign w:val="subscript"/>
        </w:rPr>
        <w:t>1c</w:t>
      </w:r>
      <w:r w:rsidR="00E92FE6" w:rsidRPr="002020BA">
        <w:rPr>
          <w:rFonts w:cstheme="minorHAnsi"/>
        </w:rPr>
        <w:t xml:space="preserve"> </w:t>
      </w:r>
      <w:r w:rsidRPr="002020BA">
        <w:rPr>
          <w:rFonts w:cstheme="minorHAnsi"/>
        </w:rPr>
        <w:t>below</w:t>
      </w:r>
      <w:r w:rsidR="00E92FE6" w:rsidRPr="002020BA">
        <w:rPr>
          <w:rFonts w:cstheme="minorHAnsi"/>
        </w:rPr>
        <w:t xml:space="preserve"> 48 mmol/mol</w:t>
      </w:r>
      <w:r w:rsidR="00886BC0" w:rsidRPr="002020BA">
        <w:rPr>
          <w:rFonts w:cstheme="minorHAnsi"/>
        </w:rPr>
        <w:t xml:space="preserve"> (6.5%)</w:t>
      </w:r>
      <w:r w:rsidR="00E92FE6" w:rsidRPr="002020BA">
        <w:rPr>
          <w:rFonts w:cstheme="minorHAnsi"/>
        </w:rPr>
        <w:t>, and the</w:t>
      </w:r>
      <w:r w:rsidRPr="002020BA">
        <w:rPr>
          <w:rFonts w:cstheme="minorHAnsi"/>
        </w:rPr>
        <w:t>ir</w:t>
      </w:r>
      <w:r w:rsidR="00E92FE6" w:rsidRPr="002020BA">
        <w:rPr>
          <w:rFonts w:cstheme="minorHAnsi"/>
        </w:rPr>
        <w:t xml:space="preserve"> body weight and lung function had remained stable for </w:t>
      </w:r>
      <w:r w:rsidR="00886BC0" w:rsidRPr="002020BA">
        <w:rPr>
          <w:rFonts w:cstheme="minorHAnsi"/>
        </w:rPr>
        <w:t xml:space="preserve">at least </w:t>
      </w:r>
      <w:r w:rsidR="00E92FE6" w:rsidRPr="002020BA">
        <w:rPr>
          <w:rFonts w:cstheme="minorHAnsi"/>
        </w:rPr>
        <w:t>two successive visits at least 3 months apart</w:t>
      </w:r>
      <w:r w:rsidR="00886BC0" w:rsidRPr="002020BA">
        <w:rPr>
          <w:rFonts w:cstheme="minorHAnsi"/>
        </w:rPr>
        <w:t xml:space="preserve">. We continued to monitor the </w:t>
      </w:r>
      <w:r w:rsidR="00E92FE6" w:rsidRPr="002020BA">
        <w:rPr>
          <w:rFonts w:cstheme="minorHAnsi"/>
        </w:rPr>
        <w:t>clinical status</w:t>
      </w:r>
      <w:r w:rsidR="00A02685" w:rsidRPr="002020BA">
        <w:rPr>
          <w:rFonts w:cstheme="minorHAnsi"/>
        </w:rPr>
        <w:t xml:space="preserve"> for up to 3 years</w:t>
      </w:r>
      <w:r w:rsidR="00E92FE6" w:rsidRPr="002020BA">
        <w:rPr>
          <w:rFonts w:cstheme="minorHAnsi"/>
        </w:rPr>
        <w:t xml:space="preserve"> to assess whether there was any deterioration following the decision to stop insulin</w:t>
      </w:r>
      <w:r w:rsidR="00886BC0" w:rsidRPr="002020BA">
        <w:rPr>
          <w:rFonts w:cstheme="minorHAnsi"/>
        </w:rPr>
        <w:t xml:space="preserve">. </w:t>
      </w:r>
    </w:p>
    <w:p w14:paraId="7C38134D" w14:textId="6C3518D5" w:rsidR="00EB2889" w:rsidRPr="002020BA" w:rsidRDefault="00DD7048" w:rsidP="00AD2E0A">
      <w:pPr>
        <w:spacing w:before="240" w:line="360" w:lineRule="auto"/>
        <w:jc w:val="both"/>
        <w:rPr>
          <w:rFonts w:cstheme="minorHAnsi"/>
        </w:rPr>
      </w:pPr>
      <w:r w:rsidRPr="002020BA">
        <w:rPr>
          <w:rFonts w:cstheme="minorHAnsi"/>
        </w:rPr>
        <w:t>T</w:t>
      </w:r>
      <w:r w:rsidR="00281714" w:rsidRPr="002020BA">
        <w:rPr>
          <w:rFonts w:cstheme="minorHAnsi"/>
        </w:rPr>
        <w:t xml:space="preserve">he baseline characteristics between those who stopped or continued insulin treatment </w:t>
      </w:r>
      <w:r w:rsidRPr="002020BA">
        <w:rPr>
          <w:rFonts w:cstheme="minorHAnsi"/>
        </w:rPr>
        <w:t xml:space="preserve">were compared </w:t>
      </w:r>
      <w:r w:rsidR="00281714" w:rsidRPr="002020BA">
        <w:rPr>
          <w:rFonts w:cstheme="minorHAnsi"/>
        </w:rPr>
        <w:t xml:space="preserve">by unpaired t-test or Chi Squared analysis. We assessed the effects of stopping insulin by ANOVA. The annual change in lung function was calculated for each individual and pre- and post-insulin cessation was compared using ANOVA. </w:t>
      </w:r>
      <w:r w:rsidR="00886BC0" w:rsidRPr="002020BA">
        <w:rPr>
          <w:rFonts w:cstheme="minorHAnsi"/>
        </w:rPr>
        <w:t>Results are reported as mean or SD.</w:t>
      </w:r>
      <w:r w:rsidR="0006467E" w:rsidRPr="002020BA">
        <w:rPr>
          <w:rFonts w:cstheme="minorHAnsi"/>
        </w:rPr>
        <w:t xml:space="preserve"> </w:t>
      </w:r>
      <w:r w:rsidR="001C3ED5" w:rsidRPr="002020BA">
        <w:rPr>
          <w:rFonts w:cstheme="minorHAnsi"/>
        </w:rPr>
        <w:t xml:space="preserve"> </w:t>
      </w:r>
    </w:p>
    <w:p w14:paraId="4735B0C9" w14:textId="538248F1" w:rsidR="009D7036" w:rsidRPr="002020BA" w:rsidRDefault="00886BC0" w:rsidP="00AD2E0A">
      <w:pPr>
        <w:spacing w:before="240" w:line="360" w:lineRule="auto"/>
        <w:jc w:val="both"/>
        <w:rPr>
          <w:rFonts w:cstheme="minorHAnsi"/>
        </w:rPr>
      </w:pPr>
      <w:r w:rsidRPr="002020BA">
        <w:rPr>
          <w:rFonts w:cstheme="minorHAnsi"/>
        </w:rPr>
        <w:t>1</w:t>
      </w:r>
      <w:r w:rsidR="00B2417A" w:rsidRPr="002020BA">
        <w:rPr>
          <w:rFonts w:cstheme="minorHAnsi"/>
        </w:rPr>
        <w:t>4</w:t>
      </w:r>
      <w:r w:rsidRPr="002020BA">
        <w:rPr>
          <w:rFonts w:cstheme="minorHAnsi"/>
        </w:rPr>
        <w:t xml:space="preserve"> (</w:t>
      </w:r>
      <w:r w:rsidR="00B2417A" w:rsidRPr="002020BA">
        <w:rPr>
          <w:rFonts w:cstheme="minorHAnsi"/>
        </w:rPr>
        <w:t>53</w:t>
      </w:r>
      <w:r w:rsidRPr="002020BA">
        <w:rPr>
          <w:rFonts w:cstheme="minorHAnsi"/>
        </w:rPr>
        <w:t>%) of the 26 people</w:t>
      </w:r>
      <w:r w:rsidR="0006467E" w:rsidRPr="002020BA">
        <w:rPr>
          <w:rFonts w:cstheme="minorHAnsi"/>
        </w:rPr>
        <w:t xml:space="preserve"> </w:t>
      </w:r>
      <w:r w:rsidR="003811F7" w:rsidRPr="002020BA">
        <w:rPr>
          <w:rFonts w:cstheme="minorHAnsi"/>
        </w:rPr>
        <w:t xml:space="preserve">treated with </w:t>
      </w:r>
      <w:r w:rsidRPr="002020BA">
        <w:rPr>
          <w:rFonts w:cstheme="minorHAnsi"/>
        </w:rPr>
        <w:t>insulin at the point of transition stopped taking insulin at a</w:t>
      </w:r>
      <w:r w:rsidR="003A467B" w:rsidRPr="002020BA">
        <w:rPr>
          <w:rFonts w:cstheme="minorHAnsi"/>
        </w:rPr>
        <w:t xml:space="preserve"> mean</w:t>
      </w:r>
      <w:r w:rsidRPr="002020BA">
        <w:rPr>
          <w:rFonts w:cstheme="minorHAnsi"/>
        </w:rPr>
        <w:t xml:space="preserve"> age of </w:t>
      </w:r>
      <w:r w:rsidRPr="002020BA">
        <w:rPr>
          <w:rFonts w:eastAsia="Times New Roman" w:cstheme="minorHAnsi"/>
          <w:color w:val="212121"/>
          <w:bdr w:val="none" w:sz="0" w:space="0" w:color="auto" w:frame="1"/>
        </w:rPr>
        <w:t>20.6 ± 2</w:t>
      </w:r>
      <w:r w:rsidR="0021001D" w:rsidRPr="002020BA">
        <w:rPr>
          <w:rFonts w:eastAsia="Times New Roman" w:cstheme="minorHAnsi"/>
          <w:color w:val="212121"/>
          <w:bdr w:val="none" w:sz="0" w:space="0" w:color="auto" w:frame="1"/>
        </w:rPr>
        <w:t xml:space="preserve">.4 </w:t>
      </w:r>
      <w:r w:rsidRPr="002020BA">
        <w:rPr>
          <w:rFonts w:eastAsia="Times New Roman" w:cstheme="minorHAnsi"/>
          <w:color w:val="212121"/>
          <w:bdr w:val="none" w:sz="0" w:space="0" w:color="auto" w:frame="1"/>
        </w:rPr>
        <w:t>years</w:t>
      </w:r>
      <w:r w:rsidR="00A73DC4" w:rsidRPr="002020BA">
        <w:rPr>
          <w:rFonts w:eastAsia="Times New Roman" w:cstheme="minorHAnsi"/>
          <w:color w:val="212121"/>
          <w:bdr w:val="none" w:sz="0" w:space="0" w:color="auto" w:frame="1"/>
        </w:rPr>
        <w:t xml:space="preserve"> (SD)</w:t>
      </w:r>
      <w:r w:rsidRPr="002020BA">
        <w:rPr>
          <w:rFonts w:eastAsia="Times New Roman" w:cstheme="minorHAnsi"/>
          <w:color w:val="212121"/>
          <w:bdr w:val="none" w:sz="0" w:space="0" w:color="auto" w:frame="1"/>
        </w:rPr>
        <w:t xml:space="preserve">.  The mean dose of insulin </w:t>
      </w:r>
      <w:r w:rsidR="00E147CE" w:rsidRPr="002020BA">
        <w:rPr>
          <w:rFonts w:eastAsia="Times New Roman" w:cstheme="minorHAnsi"/>
          <w:color w:val="212121"/>
          <w:bdr w:val="none" w:sz="0" w:space="0" w:color="auto" w:frame="1"/>
        </w:rPr>
        <w:t xml:space="preserve">and </w:t>
      </w:r>
      <w:r w:rsidR="00E147CE" w:rsidRPr="002020BA">
        <w:rPr>
          <w:rFonts w:cstheme="minorHAnsi"/>
        </w:rPr>
        <w:t>HbA</w:t>
      </w:r>
      <w:r w:rsidR="00E147CE" w:rsidRPr="002020BA">
        <w:rPr>
          <w:rFonts w:cstheme="minorHAnsi"/>
          <w:vertAlign w:val="subscript"/>
        </w:rPr>
        <w:t>1c</w:t>
      </w:r>
      <w:r w:rsidR="00E147CE" w:rsidRPr="002020BA">
        <w:rPr>
          <w:rFonts w:cstheme="minorHAnsi"/>
        </w:rPr>
        <w:t xml:space="preserve"> </w:t>
      </w:r>
      <w:r w:rsidRPr="002020BA">
        <w:rPr>
          <w:rFonts w:eastAsia="Times New Roman" w:cstheme="minorHAnsi"/>
          <w:color w:val="212121"/>
          <w:bdr w:val="none" w:sz="0" w:space="0" w:color="auto" w:frame="1"/>
        </w:rPr>
        <w:t xml:space="preserve">at </w:t>
      </w:r>
      <w:r w:rsidR="00E147CE" w:rsidRPr="002020BA">
        <w:rPr>
          <w:rFonts w:eastAsia="Times New Roman" w:cstheme="minorHAnsi"/>
          <w:color w:val="212121"/>
          <w:bdr w:val="none" w:sz="0" w:space="0" w:color="auto" w:frame="1"/>
        </w:rPr>
        <w:t xml:space="preserve">insulin </w:t>
      </w:r>
      <w:r w:rsidRPr="002020BA">
        <w:rPr>
          <w:rFonts w:eastAsia="Times New Roman" w:cstheme="minorHAnsi"/>
          <w:color w:val="212121"/>
          <w:bdr w:val="none" w:sz="0" w:space="0" w:color="auto" w:frame="1"/>
        </w:rPr>
        <w:t>cessation</w:t>
      </w:r>
      <w:r w:rsidRPr="002020BA">
        <w:rPr>
          <w:rFonts w:cstheme="minorHAnsi"/>
        </w:rPr>
        <w:t xml:space="preserve"> </w:t>
      </w:r>
      <w:r w:rsidR="00E147CE" w:rsidRPr="002020BA">
        <w:rPr>
          <w:rFonts w:cstheme="minorHAnsi"/>
        </w:rPr>
        <w:t>were</w:t>
      </w:r>
      <w:r w:rsidRPr="002020BA">
        <w:rPr>
          <w:rFonts w:cstheme="minorHAnsi"/>
        </w:rPr>
        <w:t xml:space="preserve"> 5.8 </w:t>
      </w:r>
      <w:r w:rsidRPr="002020BA">
        <w:rPr>
          <w:rFonts w:cstheme="minorHAnsi"/>
        </w:rPr>
        <w:sym w:font="Symbol" w:char="F0B1"/>
      </w:r>
      <w:r w:rsidRPr="002020BA">
        <w:rPr>
          <w:rFonts w:cstheme="minorHAnsi"/>
        </w:rPr>
        <w:t xml:space="preserve"> 1.3 units/day</w:t>
      </w:r>
      <w:r w:rsidR="00E147CE" w:rsidRPr="002020BA">
        <w:rPr>
          <w:rFonts w:cstheme="minorHAnsi"/>
        </w:rPr>
        <w:t xml:space="preserve"> and</w:t>
      </w:r>
      <w:r w:rsidR="000849F1" w:rsidRPr="002020BA">
        <w:rPr>
          <w:rFonts w:cstheme="minorHAnsi"/>
        </w:rPr>
        <w:t xml:space="preserve"> 3</w:t>
      </w:r>
      <w:r w:rsidR="003811F7" w:rsidRPr="002020BA">
        <w:rPr>
          <w:rFonts w:cstheme="minorHAnsi"/>
        </w:rPr>
        <w:t>8</w:t>
      </w:r>
      <w:r w:rsidRPr="002020BA">
        <w:rPr>
          <w:rFonts w:cstheme="minorHAnsi"/>
        </w:rPr>
        <w:t xml:space="preserve"> </w:t>
      </w:r>
      <w:r w:rsidRPr="002020BA">
        <w:rPr>
          <w:rFonts w:eastAsia="Times New Roman" w:cstheme="minorHAnsi"/>
          <w:color w:val="212121"/>
          <w:bdr w:val="none" w:sz="0" w:space="0" w:color="auto" w:frame="1"/>
        </w:rPr>
        <w:t xml:space="preserve">± </w:t>
      </w:r>
      <w:r w:rsidR="00CC1871" w:rsidRPr="002020BA">
        <w:rPr>
          <w:rFonts w:eastAsia="Times New Roman" w:cstheme="minorHAnsi"/>
          <w:color w:val="212121"/>
          <w:bdr w:val="none" w:sz="0" w:space="0" w:color="auto" w:frame="1"/>
        </w:rPr>
        <w:t>6</w:t>
      </w:r>
      <w:r w:rsidRPr="002020BA">
        <w:rPr>
          <w:rFonts w:cstheme="minorHAnsi"/>
        </w:rPr>
        <w:t xml:space="preserve"> mmol/mol </w:t>
      </w:r>
      <w:r w:rsidR="0006467E" w:rsidRPr="002020BA">
        <w:rPr>
          <w:rFonts w:cstheme="minorHAnsi"/>
        </w:rPr>
        <w:t>(</w:t>
      </w:r>
      <w:r w:rsidR="003811F7" w:rsidRPr="002020BA">
        <w:rPr>
          <w:rFonts w:cstheme="minorHAnsi"/>
        </w:rPr>
        <w:t xml:space="preserve">5.7 </w:t>
      </w:r>
      <w:r w:rsidR="003811F7" w:rsidRPr="002020BA">
        <w:rPr>
          <w:rFonts w:cstheme="minorHAnsi"/>
        </w:rPr>
        <w:sym w:font="Symbol" w:char="F0B1"/>
      </w:r>
      <w:r w:rsidR="003811F7" w:rsidRPr="002020BA">
        <w:rPr>
          <w:rFonts w:cstheme="minorHAnsi"/>
        </w:rPr>
        <w:t xml:space="preserve"> 0.7%)</w:t>
      </w:r>
      <w:r w:rsidR="00CC1871" w:rsidRPr="002020BA">
        <w:rPr>
          <w:rFonts w:cstheme="minorHAnsi"/>
        </w:rPr>
        <w:t xml:space="preserve"> </w:t>
      </w:r>
      <w:r w:rsidR="00E147CE" w:rsidRPr="002020BA">
        <w:rPr>
          <w:rFonts w:cstheme="minorHAnsi"/>
        </w:rPr>
        <w:t xml:space="preserve">respectively. </w:t>
      </w:r>
      <w:r w:rsidR="003C0240" w:rsidRPr="002020BA">
        <w:rPr>
          <w:rFonts w:cstheme="minorHAnsi"/>
        </w:rPr>
        <w:t>1-year post-insulin cessation assessments were available for all 14 people; 1</w:t>
      </w:r>
      <w:r w:rsidR="00351369" w:rsidRPr="002020BA">
        <w:rPr>
          <w:rFonts w:cstheme="minorHAnsi"/>
        </w:rPr>
        <w:t>2</w:t>
      </w:r>
      <w:r w:rsidR="003C0240" w:rsidRPr="002020BA">
        <w:rPr>
          <w:rFonts w:cstheme="minorHAnsi"/>
        </w:rPr>
        <w:t xml:space="preserve"> were followed for 2 years and </w:t>
      </w:r>
      <w:r w:rsidR="00351369" w:rsidRPr="002020BA">
        <w:rPr>
          <w:rFonts w:cstheme="minorHAnsi"/>
        </w:rPr>
        <w:t xml:space="preserve">8 </w:t>
      </w:r>
      <w:r w:rsidR="003C0240" w:rsidRPr="002020BA">
        <w:rPr>
          <w:rFonts w:cstheme="minorHAnsi"/>
        </w:rPr>
        <w:t xml:space="preserve">had 3-year post-insulin cessation data. </w:t>
      </w:r>
      <w:r w:rsidR="003469D3" w:rsidRPr="002020BA">
        <w:rPr>
          <w:rFonts w:cstheme="minorHAnsi"/>
        </w:rPr>
        <w:t>There was no difference</w:t>
      </w:r>
      <w:r w:rsidR="003C0240" w:rsidRPr="002020BA">
        <w:rPr>
          <w:rFonts w:cstheme="minorHAnsi"/>
        </w:rPr>
        <w:t>s</w:t>
      </w:r>
      <w:r w:rsidR="003469D3" w:rsidRPr="002020BA">
        <w:rPr>
          <w:rFonts w:cstheme="minorHAnsi"/>
        </w:rPr>
        <w:t xml:space="preserve"> in </w:t>
      </w:r>
      <w:r w:rsidR="00B86849" w:rsidRPr="002020BA">
        <w:rPr>
          <w:rFonts w:cstheme="minorHAnsi"/>
        </w:rPr>
        <w:t>sex, gene</w:t>
      </w:r>
      <w:r w:rsidR="003469D3" w:rsidRPr="002020BA">
        <w:rPr>
          <w:rFonts w:cstheme="minorHAnsi"/>
        </w:rPr>
        <w:t xml:space="preserve"> mutation, baseline body mass index or lung function </w:t>
      </w:r>
      <w:r w:rsidR="003469D3" w:rsidRPr="002020BA">
        <w:rPr>
          <w:rFonts w:cstheme="minorHAnsi"/>
        </w:rPr>
        <w:lastRenderedPageBreak/>
        <w:t>between those who stopped insulin compared with those who continued</w:t>
      </w:r>
      <w:r w:rsidR="008632B0" w:rsidRPr="002020BA">
        <w:rPr>
          <w:rFonts w:cstheme="minorHAnsi"/>
        </w:rPr>
        <w:t xml:space="preserve"> but those who stopped insulin were older when CFRD was </w:t>
      </w:r>
      <w:r w:rsidR="00B86849" w:rsidRPr="002020BA">
        <w:rPr>
          <w:rFonts w:cstheme="minorHAnsi"/>
        </w:rPr>
        <w:t>diagnosed (</w:t>
      </w:r>
      <w:r w:rsidR="00694F9E" w:rsidRPr="002020BA">
        <w:rPr>
          <w:rFonts w:cstheme="minorHAnsi"/>
        </w:rPr>
        <w:t>table 1)</w:t>
      </w:r>
      <w:r w:rsidR="003469D3" w:rsidRPr="002020BA">
        <w:rPr>
          <w:rFonts w:cstheme="minorHAnsi"/>
        </w:rPr>
        <w:t xml:space="preserve">. </w:t>
      </w:r>
      <w:r w:rsidR="00E147CE" w:rsidRPr="002020BA">
        <w:rPr>
          <w:rFonts w:cstheme="minorHAnsi"/>
        </w:rPr>
        <w:t>After the insulin was stopped, there was no deterioration in HbA</w:t>
      </w:r>
      <w:r w:rsidR="00E147CE" w:rsidRPr="002020BA">
        <w:rPr>
          <w:rFonts w:cstheme="minorHAnsi"/>
          <w:vertAlign w:val="subscript"/>
        </w:rPr>
        <w:t>1c</w:t>
      </w:r>
      <w:r w:rsidR="00E147CE" w:rsidRPr="002020BA">
        <w:rPr>
          <w:rFonts w:cstheme="minorHAnsi"/>
        </w:rPr>
        <w:t xml:space="preserve"> </w:t>
      </w:r>
      <w:r w:rsidR="006E06EE" w:rsidRPr="002020BA">
        <w:rPr>
          <w:rFonts w:cstheme="minorHAnsi"/>
        </w:rPr>
        <w:t>(p=0.</w:t>
      </w:r>
      <w:r w:rsidR="001C686D" w:rsidRPr="002020BA">
        <w:rPr>
          <w:rFonts w:cstheme="minorHAnsi"/>
        </w:rPr>
        <w:t>923</w:t>
      </w:r>
      <w:r w:rsidR="006E06EE" w:rsidRPr="002020BA">
        <w:rPr>
          <w:rFonts w:cstheme="minorHAnsi"/>
        </w:rPr>
        <w:t xml:space="preserve">) </w:t>
      </w:r>
      <w:r w:rsidR="00E147CE" w:rsidRPr="002020BA">
        <w:rPr>
          <w:rFonts w:cstheme="minorHAnsi"/>
        </w:rPr>
        <w:t>or decrease in body weight</w:t>
      </w:r>
      <w:r w:rsidR="006E06EE" w:rsidRPr="002020BA">
        <w:rPr>
          <w:rFonts w:cstheme="minorHAnsi"/>
        </w:rPr>
        <w:t xml:space="preserve"> (</w:t>
      </w:r>
      <w:r w:rsidR="00251654" w:rsidRPr="002020BA">
        <w:rPr>
          <w:rFonts w:cstheme="minorHAnsi"/>
        </w:rPr>
        <w:t>p=</w:t>
      </w:r>
      <w:r w:rsidR="006E06EE" w:rsidRPr="002020BA">
        <w:rPr>
          <w:rFonts w:cstheme="minorHAnsi"/>
        </w:rPr>
        <w:t>0.588)</w:t>
      </w:r>
      <w:r w:rsidR="00764F4D" w:rsidRPr="002020BA">
        <w:rPr>
          <w:rFonts w:cstheme="minorHAnsi"/>
        </w:rPr>
        <w:t xml:space="preserve"> </w:t>
      </w:r>
      <w:r w:rsidR="003811F7" w:rsidRPr="002020BA">
        <w:rPr>
          <w:rFonts w:cstheme="minorHAnsi"/>
        </w:rPr>
        <w:t>(figure</w:t>
      </w:r>
      <w:r w:rsidR="00A07BFB" w:rsidRPr="002020BA">
        <w:rPr>
          <w:rFonts w:cstheme="minorHAnsi"/>
        </w:rPr>
        <w:t>s</w:t>
      </w:r>
      <w:r w:rsidR="003811F7" w:rsidRPr="002020BA">
        <w:rPr>
          <w:rFonts w:cstheme="minorHAnsi"/>
        </w:rPr>
        <w:t xml:space="preserve"> 1</w:t>
      </w:r>
      <w:r w:rsidR="00A436A9" w:rsidRPr="002020BA">
        <w:rPr>
          <w:rFonts w:cstheme="minorHAnsi"/>
        </w:rPr>
        <w:t>a</w:t>
      </w:r>
      <w:r w:rsidR="003811F7" w:rsidRPr="002020BA">
        <w:rPr>
          <w:rFonts w:cstheme="minorHAnsi"/>
        </w:rPr>
        <w:t xml:space="preserve"> and </w:t>
      </w:r>
      <w:r w:rsidR="00A436A9" w:rsidRPr="002020BA">
        <w:rPr>
          <w:rFonts w:cstheme="minorHAnsi"/>
        </w:rPr>
        <w:t>b</w:t>
      </w:r>
      <w:r w:rsidR="003811F7" w:rsidRPr="002020BA">
        <w:rPr>
          <w:rFonts w:cstheme="minorHAnsi"/>
        </w:rPr>
        <w:t>)</w:t>
      </w:r>
      <w:r w:rsidR="00E147CE" w:rsidRPr="002020BA">
        <w:rPr>
          <w:rFonts w:cstheme="minorHAnsi"/>
        </w:rPr>
        <w:t>. No-one needed to re-start insulin</w:t>
      </w:r>
      <w:r w:rsidR="0075058F" w:rsidRPr="002020BA">
        <w:rPr>
          <w:rFonts w:cstheme="minorHAnsi"/>
        </w:rPr>
        <w:t>.</w:t>
      </w:r>
      <w:r w:rsidR="0043539A" w:rsidRPr="002020BA">
        <w:rPr>
          <w:rFonts w:cstheme="minorHAnsi"/>
        </w:rPr>
        <w:t xml:space="preserve"> Figure 1c shows a small expected decline in lung </w:t>
      </w:r>
      <w:r w:rsidR="00694F9E" w:rsidRPr="002020BA">
        <w:rPr>
          <w:rFonts w:cstheme="minorHAnsi"/>
        </w:rPr>
        <w:t xml:space="preserve">function </w:t>
      </w:r>
      <w:r w:rsidR="0043539A" w:rsidRPr="002020BA">
        <w:rPr>
          <w:rFonts w:cstheme="minorHAnsi"/>
        </w:rPr>
        <w:t>with time but the rate of decline was unaffected by the decision to stop insulin</w:t>
      </w:r>
      <w:r w:rsidR="006E06EE" w:rsidRPr="002020BA">
        <w:rPr>
          <w:rFonts w:cstheme="minorHAnsi"/>
        </w:rPr>
        <w:t xml:space="preserve"> </w:t>
      </w:r>
      <w:r w:rsidR="00D408AE" w:rsidRPr="002020BA">
        <w:rPr>
          <w:rFonts w:cstheme="minorHAnsi"/>
        </w:rPr>
        <w:t>(p</w:t>
      </w:r>
      <w:r w:rsidR="006E06EE" w:rsidRPr="002020BA">
        <w:rPr>
          <w:rFonts w:cstheme="minorHAnsi"/>
        </w:rPr>
        <w:t xml:space="preserve">=0.135). </w:t>
      </w:r>
    </w:p>
    <w:p w14:paraId="34E6BADA" w14:textId="786A5FD6" w:rsidR="003F44D4" w:rsidRPr="002020BA" w:rsidRDefault="003F44D4" w:rsidP="00B2417A">
      <w:pPr>
        <w:spacing w:before="240" w:line="360" w:lineRule="auto"/>
        <w:jc w:val="both"/>
        <w:rPr>
          <w:rFonts w:cstheme="minorHAnsi"/>
        </w:rPr>
      </w:pPr>
      <w:bookmarkStart w:id="4" w:name="_Hlk23506679"/>
      <w:bookmarkStart w:id="5" w:name="_Hlk23508949"/>
      <w:r w:rsidRPr="002020BA">
        <w:rPr>
          <w:rFonts w:cstheme="minorHAnsi"/>
        </w:rPr>
        <w:t xml:space="preserve">We did not formally assess treatment burden and quality of life but feedback from our </w:t>
      </w:r>
      <w:r w:rsidR="003C0240" w:rsidRPr="002020BA">
        <w:rPr>
          <w:rFonts w:cstheme="minorHAnsi"/>
        </w:rPr>
        <w:t>patients</w:t>
      </w:r>
      <w:r w:rsidRPr="002020BA">
        <w:rPr>
          <w:rFonts w:cstheme="minorHAnsi"/>
        </w:rPr>
        <w:t xml:space="preserve"> was that any time off insulin was well received, with some reporting that it allowed them to improve self-management of other aspects of their care. </w:t>
      </w:r>
      <w:bookmarkEnd w:id="4"/>
    </w:p>
    <w:bookmarkEnd w:id="5"/>
    <w:p w14:paraId="75E40015" w14:textId="09E9C8BC" w:rsidR="00EA21E8" w:rsidRPr="002020BA" w:rsidRDefault="003E7146" w:rsidP="00AD2E0A">
      <w:pPr>
        <w:spacing w:before="240" w:line="360" w:lineRule="auto"/>
        <w:jc w:val="both"/>
        <w:rPr>
          <w:rFonts w:cstheme="minorHAnsi"/>
          <w:noProof/>
          <w:lang w:eastAsia="en-GB"/>
        </w:rPr>
      </w:pPr>
      <w:r w:rsidRPr="002020BA">
        <w:rPr>
          <w:rFonts w:cstheme="minorHAnsi"/>
          <w:noProof/>
          <w:lang w:eastAsia="en-GB"/>
        </w:rPr>
        <w:t xml:space="preserve">The self-management of CF is demanding </w:t>
      </w:r>
      <w:r w:rsidR="00AD2E0A" w:rsidRPr="002020BA">
        <w:rPr>
          <w:rFonts w:cstheme="minorHAnsi"/>
          <w:noProof/>
          <w:lang w:eastAsia="en-GB"/>
        </w:rPr>
        <w:t>as</w:t>
      </w:r>
      <w:r w:rsidRPr="002020BA">
        <w:rPr>
          <w:rFonts w:cstheme="minorHAnsi"/>
          <w:noProof/>
          <w:lang w:eastAsia="en-GB"/>
        </w:rPr>
        <w:t xml:space="preserve"> individual</w:t>
      </w:r>
      <w:r w:rsidR="00AD2E0A" w:rsidRPr="002020BA">
        <w:rPr>
          <w:rFonts w:cstheme="minorHAnsi"/>
          <w:noProof/>
          <w:lang w:eastAsia="en-GB"/>
        </w:rPr>
        <w:t>s</w:t>
      </w:r>
      <w:r w:rsidRPr="002020BA">
        <w:rPr>
          <w:rFonts w:cstheme="minorHAnsi"/>
          <w:noProof/>
          <w:lang w:eastAsia="en-GB"/>
        </w:rPr>
        <w:t xml:space="preserve"> with CF need to take complex medication regimens as well as perform </w:t>
      </w:r>
      <w:r w:rsidR="004F5FE2" w:rsidRPr="002020BA">
        <w:rPr>
          <w:rFonts w:cstheme="minorHAnsi"/>
          <w:noProof/>
          <w:lang w:eastAsia="en-GB"/>
        </w:rPr>
        <w:t xml:space="preserve">regular </w:t>
      </w:r>
      <w:r w:rsidRPr="002020BA">
        <w:rPr>
          <w:rFonts w:cstheme="minorHAnsi"/>
          <w:noProof/>
          <w:lang w:eastAsia="en-GB"/>
        </w:rPr>
        <w:t xml:space="preserve">respiratory physiotherapy to reduce the risk of infection. Life is often interrupted by frequent admissions for intravenous antibiotics. It is therefore </w:t>
      </w:r>
      <w:r w:rsidR="00AD2E0A" w:rsidRPr="002020BA">
        <w:rPr>
          <w:rFonts w:cstheme="minorHAnsi"/>
          <w:noProof/>
          <w:lang w:eastAsia="en-GB"/>
        </w:rPr>
        <w:t>un</w:t>
      </w:r>
      <w:r w:rsidR="00EB5275" w:rsidRPr="002020BA">
        <w:rPr>
          <w:rFonts w:cstheme="minorHAnsi"/>
          <w:noProof/>
          <w:lang w:eastAsia="en-GB"/>
        </w:rPr>
        <w:t>surpris</w:t>
      </w:r>
      <w:r w:rsidR="00AD2E0A" w:rsidRPr="002020BA">
        <w:rPr>
          <w:rFonts w:cstheme="minorHAnsi"/>
          <w:noProof/>
          <w:lang w:eastAsia="en-GB"/>
        </w:rPr>
        <w:t>ing</w:t>
      </w:r>
      <w:r w:rsidR="00EB5275" w:rsidRPr="002020BA">
        <w:rPr>
          <w:rFonts w:cstheme="minorHAnsi"/>
          <w:noProof/>
          <w:lang w:eastAsia="en-GB"/>
        </w:rPr>
        <w:t xml:space="preserve"> that</w:t>
      </w:r>
      <w:r w:rsidRPr="002020BA">
        <w:rPr>
          <w:rFonts w:cstheme="minorHAnsi"/>
          <w:noProof/>
          <w:lang w:eastAsia="en-GB"/>
        </w:rPr>
        <w:t xml:space="preserve"> the diagnosis of CFRD can be “the straw that breaks the camel’s back” in terms of </w:t>
      </w:r>
      <w:r w:rsidR="003C0240" w:rsidRPr="002020BA">
        <w:rPr>
          <w:rFonts w:cstheme="minorHAnsi"/>
          <w:noProof/>
          <w:lang w:eastAsia="en-GB"/>
        </w:rPr>
        <w:t xml:space="preserve">treatment </w:t>
      </w:r>
      <w:r w:rsidR="00EB5275" w:rsidRPr="002020BA">
        <w:rPr>
          <w:rFonts w:cstheme="minorHAnsi"/>
          <w:noProof/>
          <w:lang w:eastAsia="en-GB"/>
        </w:rPr>
        <w:t xml:space="preserve">burden and </w:t>
      </w:r>
      <w:r w:rsidRPr="002020BA">
        <w:rPr>
          <w:rFonts w:cstheme="minorHAnsi"/>
          <w:noProof/>
          <w:lang w:eastAsia="en-GB"/>
        </w:rPr>
        <w:t xml:space="preserve">psychological well-being. </w:t>
      </w:r>
      <w:r w:rsidR="00EB5275" w:rsidRPr="002020BA">
        <w:rPr>
          <w:rFonts w:cstheme="minorHAnsi"/>
          <w:noProof/>
          <w:lang w:eastAsia="en-GB"/>
        </w:rPr>
        <w:t>Indeed</w:t>
      </w:r>
      <w:r w:rsidR="0015779C" w:rsidRPr="002020BA">
        <w:rPr>
          <w:rFonts w:cstheme="minorHAnsi"/>
          <w:noProof/>
          <w:lang w:eastAsia="en-GB"/>
        </w:rPr>
        <w:t>, t</w:t>
      </w:r>
      <w:r w:rsidR="00EB5275" w:rsidRPr="002020BA">
        <w:rPr>
          <w:rFonts w:cstheme="minorHAnsi"/>
          <w:noProof/>
          <w:lang w:eastAsia="en-GB"/>
        </w:rPr>
        <w:t>he James Lind Alliance has iden</w:t>
      </w:r>
      <w:r w:rsidR="0015779C" w:rsidRPr="002020BA">
        <w:rPr>
          <w:rFonts w:cstheme="minorHAnsi"/>
          <w:noProof/>
          <w:lang w:eastAsia="en-GB"/>
        </w:rPr>
        <w:t>t</w:t>
      </w:r>
      <w:r w:rsidR="00EB5275" w:rsidRPr="002020BA">
        <w:rPr>
          <w:rFonts w:cstheme="minorHAnsi"/>
          <w:noProof/>
          <w:lang w:eastAsia="en-GB"/>
        </w:rPr>
        <w:t xml:space="preserve">ified that the single most important research priority for </w:t>
      </w:r>
      <w:r w:rsidR="0015779C" w:rsidRPr="002020BA">
        <w:rPr>
          <w:rFonts w:cstheme="minorHAnsi"/>
          <w:noProof/>
          <w:lang w:eastAsia="en-GB"/>
        </w:rPr>
        <w:t>people with cystic fibrosis</w:t>
      </w:r>
      <w:r w:rsidR="00EB5275" w:rsidRPr="002020BA">
        <w:rPr>
          <w:rFonts w:cstheme="minorHAnsi"/>
          <w:noProof/>
          <w:lang w:eastAsia="en-GB"/>
        </w:rPr>
        <w:t xml:space="preserve"> is “What are the effective ways of simplifying the treatment burden</w:t>
      </w:r>
      <w:r w:rsidR="0015779C" w:rsidRPr="002020BA">
        <w:rPr>
          <w:rFonts w:cstheme="minorHAnsi"/>
          <w:noProof/>
          <w:lang w:eastAsia="en-GB"/>
        </w:rPr>
        <w:t xml:space="preserve"> [</w:t>
      </w:r>
      <w:r w:rsidR="00995792" w:rsidRPr="002020BA">
        <w:rPr>
          <w:rFonts w:cstheme="minorHAnsi"/>
          <w:noProof/>
          <w:lang w:eastAsia="en-GB"/>
        </w:rPr>
        <w:t>3</w:t>
      </w:r>
      <w:r w:rsidR="0015779C" w:rsidRPr="002020BA">
        <w:rPr>
          <w:rFonts w:cstheme="minorHAnsi"/>
          <w:noProof/>
          <w:lang w:eastAsia="en-GB"/>
        </w:rPr>
        <w:t>]?”</w:t>
      </w:r>
      <w:r w:rsidR="00E33C59" w:rsidRPr="002020BA">
        <w:rPr>
          <w:rFonts w:cstheme="minorHAnsi"/>
          <w:noProof/>
          <w:lang w:eastAsia="en-GB"/>
        </w:rPr>
        <w:t xml:space="preserve"> </w:t>
      </w:r>
    </w:p>
    <w:p w14:paraId="41012BD1" w14:textId="567D4DDF" w:rsidR="003E7146" w:rsidRPr="002020BA" w:rsidRDefault="003E7146" w:rsidP="00AD2E0A">
      <w:pPr>
        <w:spacing w:before="240" w:line="360" w:lineRule="auto"/>
        <w:jc w:val="both"/>
        <w:rPr>
          <w:rFonts w:cstheme="minorHAnsi"/>
        </w:rPr>
      </w:pPr>
      <w:bookmarkStart w:id="6" w:name="_Hlk23504604"/>
      <w:r w:rsidRPr="002020BA">
        <w:rPr>
          <w:rFonts w:cstheme="minorHAnsi"/>
          <w:noProof/>
          <w:lang w:eastAsia="en-GB"/>
        </w:rPr>
        <w:t>Insulin therapy is the treatment of choice for someone with CFRD whose glucose concentrations remain above target despite lifest</w:t>
      </w:r>
      <w:r w:rsidR="004F5FE2" w:rsidRPr="002020BA">
        <w:rPr>
          <w:rFonts w:cstheme="minorHAnsi"/>
          <w:noProof/>
          <w:lang w:eastAsia="en-GB"/>
        </w:rPr>
        <w:t>y</w:t>
      </w:r>
      <w:r w:rsidRPr="002020BA">
        <w:rPr>
          <w:rFonts w:cstheme="minorHAnsi"/>
          <w:noProof/>
          <w:lang w:eastAsia="en-GB"/>
        </w:rPr>
        <w:t>le modification</w:t>
      </w:r>
      <w:r w:rsidR="00281714" w:rsidRPr="002020BA">
        <w:rPr>
          <w:rFonts w:cstheme="minorHAnsi"/>
          <w:noProof/>
          <w:lang w:eastAsia="en-GB"/>
        </w:rPr>
        <w:t xml:space="preserve"> to </w:t>
      </w:r>
      <w:r w:rsidR="00DD7048" w:rsidRPr="002020BA">
        <w:rPr>
          <w:rFonts w:cstheme="minorHAnsi"/>
          <w:noProof/>
          <w:lang w:eastAsia="en-GB"/>
        </w:rPr>
        <w:t xml:space="preserve">increase physical activity and </w:t>
      </w:r>
      <w:r w:rsidR="00281714" w:rsidRPr="002020BA">
        <w:rPr>
          <w:rFonts w:cstheme="minorHAnsi"/>
          <w:noProof/>
          <w:lang w:eastAsia="en-GB"/>
        </w:rPr>
        <w:t>reduce refined sugar intake while maintain</w:t>
      </w:r>
      <w:r w:rsidR="00DD7048" w:rsidRPr="002020BA">
        <w:rPr>
          <w:rFonts w:cstheme="minorHAnsi"/>
          <w:noProof/>
          <w:lang w:eastAsia="en-GB"/>
        </w:rPr>
        <w:t>in</w:t>
      </w:r>
      <w:r w:rsidR="00281714" w:rsidRPr="002020BA">
        <w:rPr>
          <w:rFonts w:cstheme="minorHAnsi"/>
          <w:noProof/>
          <w:lang w:eastAsia="en-GB"/>
        </w:rPr>
        <w:t>g total calorie</w:t>
      </w:r>
      <w:r w:rsidR="00DD7048" w:rsidRPr="002020BA">
        <w:rPr>
          <w:rFonts w:cstheme="minorHAnsi"/>
          <w:noProof/>
          <w:lang w:eastAsia="en-GB"/>
        </w:rPr>
        <w:t xml:space="preserve"> intake.  </w:t>
      </w:r>
      <w:bookmarkEnd w:id="6"/>
      <w:r w:rsidRPr="002020BA">
        <w:rPr>
          <w:rFonts w:cstheme="minorHAnsi"/>
          <w:noProof/>
          <w:lang w:eastAsia="en-GB"/>
        </w:rPr>
        <w:t>Although there is some debate about the effectiveness of insulin therapy, the improvements</w:t>
      </w:r>
      <w:r w:rsidRPr="002020BA">
        <w:rPr>
          <w:rFonts w:cstheme="minorHAnsi"/>
        </w:rPr>
        <w:t xml:space="preserve"> in glycaemic control that follow insulin therapy are associated with </w:t>
      </w:r>
      <w:r w:rsidR="004F5FE2" w:rsidRPr="002020BA">
        <w:rPr>
          <w:rFonts w:cstheme="minorHAnsi"/>
        </w:rPr>
        <w:t xml:space="preserve">average </w:t>
      </w:r>
      <w:r w:rsidRPr="002020BA">
        <w:rPr>
          <w:rFonts w:cstheme="minorHAnsi"/>
        </w:rPr>
        <w:t xml:space="preserve">gains in body weight </w:t>
      </w:r>
      <w:r w:rsidR="004F5FE2" w:rsidRPr="002020BA">
        <w:rPr>
          <w:rFonts w:cstheme="minorHAnsi"/>
        </w:rPr>
        <w:t xml:space="preserve">of </w:t>
      </w:r>
      <w:r w:rsidRPr="002020BA">
        <w:rPr>
          <w:rFonts w:cstheme="minorHAnsi"/>
        </w:rPr>
        <w:t>1-3 Kg/m</w:t>
      </w:r>
      <w:r w:rsidRPr="002020BA">
        <w:rPr>
          <w:rFonts w:cstheme="minorHAnsi"/>
          <w:vertAlign w:val="superscript"/>
        </w:rPr>
        <w:t>2</w:t>
      </w:r>
      <w:r w:rsidRPr="002020BA">
        <w:rPr>
          <w:rFonts w:cstheme="minorHAnsi"/>
        </w:rPr>
        <w:t xml:space="preserve"> BMI </w:t>
      </w:r>
      <w:r w:rsidRPr="002020BA">
        <w:rPr>
          <w:rFonts w:cstheme="minorHAnsi"/>
        </w:rPr>
        <w:fldChar w:fldCharType="begin"/>
      </w:r>
      <w:r w:rsidRPr="002020BA">
        <w:rPr>
          <w:rFonts w:cstheme="minorHAnsi"/>
        </w:rPr>
        <w:instrText xml:space="preserve"> ADDIN EN.CITE &lt;EndNote&gt;&lt;Cite&gt;&lt;Author&gt;Moran&lt;/Author&gt;&lt;Year&gt;2009&lt;/Year&gt;&lt;RecNum&gt;1073&lt;/RecNum&gt;&lt;DisplayText&gt;[36]&lt;/DisplayText&gt;&lt;record&gt;&lt;rec-number&gt;1073&lt;/rec-number&gt;&lt;foreign-keys&gt;&lt;key app="EN" db-id="e0zvsas0eaada0evzfh5erx9r0fa0fef5wze" timestamp="1507303095"&gt;1073&lt;/key&gt;&lt;/foreign-keys&gt;&lt;ref-type name="Journal Article"&gt;17&lt;/ref-type&gt;&lt;contributors&gt;&lt;authors&gt;&lt;author&gt;Moran, A.&lt;/author&gt;&lt;author&gt;Pekow, P.&lt;/author&gt;&lt;author&gt;Grover, P.&lt;/author&gt;&lt;author&gt;Zorn, M.&lt;/author&gt;&lt;author&gt;Slovis, B.&lt;/author&gt;&lt;author&gt;Pilewski, J.&lt;/author&gt;&lt;author&gt;Tullis, E.&lt;/author&gt;&lt;author&gt;Liou, T. G.&lt;/author&gt;&lt;author&gt;Allen, H.&lt;/author&gt;&lt;author&gt;Cystic Fibrosis Related Diabetes Therapy Study, Group&lt;/author&gt;&lt;/authors&gt;&lt;/contributors&gt;&lt;auth-address&gt;University of Minnesota, Minneapolis, Minnesota, USA. moran001@umn.edu&lt;/auth-address&gt;&lt;titles&gt;&lt;title&gt;Insulin therapy to improve BMI in cystic fibrosis-related diabetes without fasting hyperglycemia: results of the cystic fibrosis related diabetes therapy trial&lt;/title&gt;&lt;secondary-title&gt;Diabetes Care&lt;/secondary-title&gt;&lt;/titles&gt;&lt;periodical&gt;&lt;full-title&gt;Diabetes Care&lt;/full-title&gt;&lt;/periodical&gt;&lt;pages&gt;1783-8&lt;/pages&gt;&lt;volume&gt;32&lt;/volume&gt;&lt;number&gt;10&lt;/number&gt;&lt;keywords&gt;&lt;keyword&gt;Adult&lt;/keyword&gt;&lt;keyword&gt;*Body Mass Index&lt;/keyword&gt;&lt;keyword&gt;Cystic Fibrosis/*complications&lt;/keyword&gt;&lt;keyword&gt;Diabetes Mellitus/*drug therapy/*etiology&lt;/keyword&gt;&lt;keyword&gt;Female&lt;/keyword&gt;&lt;keyword&gt;Humans&lt;/keyword&gt;&lt;keyword&gt;Hyperglycemia/*complications&lt;/keyword&gt;&lt;keyword&gt;Hypoglycemic Agents/adverse effects/*therapeutic use&lt;/keyword&gt;&lt;keyword&gt;Insulin/adverse effects/*therapeutic use&lt;/keyword&gt;&lt;keyword&gt;Male&lt;/keyword&gt;&lt;/keywords&gt;&lt;dates&gt;&lt;year&gt;2009&lt;/year&gt;&lt;pub-dates&gt;&lt;date&gt;Oct&lt;/date&gt;&lt;/pub-dates&gt;&lt;/dates&gt;&lt;isbn&gt;1935-5548 (Electronic)&amp;#xD;0149-5992 (Linking)&lt;/isbn&gt;&lt;accession-num&gt;19592632&lt;/accession-num&gt;&lt;urls&gt;&lt;related-urls&gt;&lt;url&gt;https://www.ncbi.nlm.nih.gov/pubmed/19592632&lt;/url&gt;&lt;/related-urls&gt;&lt;/urls&gt;&lt;custom2&gt;PMC2752940&lt;/custom2&gt;&lt;electronic-resource-num&gt;10.2337/dc09-0585&lt;/electronic-resource-num&gt;&lt;/record&gt;&lt;/Cite&gt;&lt;/EndNote&gt;</w:instrText>
      </w:r>
      <w:r w:rsidRPr="002020BA">
        <w:rPr>
          <w:rFonts w:cstheme="minorHAnsi"/>
        </w:rPr>
        <w:fldChar w:fldCharType="separate"/>
      </w:r>
      <w:r w:rsidRPr="002020BA">
        <w:rPr>
          <w:rFonts w:cstheme="minorHAnsi"/>
          <w:noProof/>
        </w:rPr>
        <w:t>[</w:t>
      </w:r>
      <w:r w:rsidR="00995792" w:rsidRPr="002020BA">
        <w:rPr>
          <w:rFonts w:cstheme="minorHAnsi"/>
          <w:noProof/>
        </w:rPr>
        <w:t>3</w:t>
      </w:r>
      <w:r w:rsidRPr="002020BA">
        <w:rPr>
          <w:rFonts w:cstheme="minorHAnsi"/>
          <w:noProof/>
        </w:rPr>
        <w:t>]</w:t>
      </w:r>
      <w:r w:rsidRPr="002020BA">
        <w:rPr>
          <w:rFonts w:cstheme="minorHAnsi"/>
        </w:rPr>
        <w:fldChar w:fldCharType="end"/>
      </w:r>
      <w:r w:rsidRPr="002020BA">
        <w:rPr>
          <w:rFonts w:cstheme="minorHAnsi"/>
        </w:rPr>
        <w:t xml:space="preserve">. Insulin therapy may also reduce the frequency of chest infection </w:t>
      </w:r>
      <w:r w:rsidR="00995792" w:rsidRPr="002020BA">
        <w:rPr>
          <w:rFonts w:cstheme="minorHAnsi"/>
        </w:rPr>
        <w:t>[</w:t>
      </w:r>
      <w:r w:rsidRPr="002020BA">
        <w:rPr>
          <w:rFonts w:cstheme="minorHAnsi"/>
        </w:rPr>
        <w:fldChar w:fldCharType="begin"/>
      </w:r>
      <w:r w:rsidRPr="002020BA">
        <w:rPr>
          <w:rFonts w:cstheme="minorHAnsi"/>
        </w:rPr>
        <w:instrText xml:space="preserve"> ADDIN EN.CITE &lt;EndNote&gt;&lt;Cite&gt;&lt;Author&gt;Franzese&lt;/Author&gt;&lt;Year&gt;2005&lt;/Year&gt;&lt;RecNum&gt;1074&lt;/RecNum&gt;&lt;DisplayText&gt;[37]&lt;/DisplayText&gt;&lt;record&gt;&lt;rec-number&gt;1074&lt;/rec-number&gt;&lt;foreign-keys&gt;&lt;key app="EN" db-id="e0zvsas0eaada0evzfh5erx9r0fa0fef5wze" timestamp="1507303182"&gt;1074&lt;/key&gt;&lt;/foreign-keys&gt;&lt;ref-type name="Journal Article"&gt;17&lt;/ref-type&gt;&lt;contributors&gt;&lt;authors&gt;&lt;author&gt;Franzese, A.&lt;/author&gt;&lt;author&gt;Spagnuolo, M. I.&lt;/author&gt;&lt;author&gt;Sepe, A.&lt;/author&gt;&lt;author&gt;Valerio, G.&lt;/author&gt;&lt;author&gt;Mozzillo, E.&lt;/author&gt;&lt;author&gt;Raia, V.&lt;/author&gt;&lt;/authors&gt;&lt;/contributors&gt;&lt;titles&gt;&lt;title&gt;Can glargine reduce the number of lung infections in patients with cystic fibrosis-related diabetes?&lt;/title&gt;&lt;secondary-title&gt;Diabetes Care&lt;/secondary-title&gt;&lt;/titles&gt;&lt;periodical&gt;&lt;full-title&gt;Diabetes Care&lt;/full-title&gt;&lt;/periodical&gt;&lt;pages&gt;2333&lt;/pages&gt;&lt;volume&gt;28&lt;/volume&gt;&lt;number&gt;9&lt;/number&gt;&lt;keywords&gt;&lt;keyword&gt;Adolescent&lt;/keyword&gt;&lt;keyword&gt;Adult&lt;/keyword&gt;&lt;keyword&gt;Child&lt;/keyword&gt;&lt;keyword&gt;Cystic Fibrosis/*complications/genetics&lt;/keyword&gt;&lt;keyword&gt;Cystic Fibrosis Transmembrane Conductance Regulator/genetics&lt;/keyword&gt;&lt;keyword&gt;Diabetes Mellitus, Type 2/*drug therapy/*etiology&lt;/keyword&gt;&lt;keyword&gt;Forced Expiratory Volume&lt;/keyword&gt;&lt;keyword&gt;Humans&lt;/keyword&gt;&lt;keyword&gt;Hypoglycemic Agents/*therapeutic use&lt;/keyword&gt;&lt;keyword&gt;Insulin/*analogs &amp;amp; derivatives/therapeutic use&lt;/keyword&gt;&lt;keyword&gt;Insulin Glargine&lt;/keyword&gt;&lt;keyword&gt;Insulin, Long-Acting&lt;/keyword&gt;&lt;keyword&gt;Lung/drug effects/*physiopathology&lt;/keyword&gt;&lt;keyword&gt;Sequence Deletion&lt;/keyword&gt;&lt;/keywords&gt;&lt;dates&gt;&lt;year&gt;2005&lt;/year&gt;&lt;pub-dates&gt;&lt;date&gt;Sep&lt;/date&gt;&lt;/pub-dates&gt;&lt;/dates&gt;&lt;isbn&gt;0149-5992 (Print)&amp;#xD;0149-5992 (Linking)&lt;/isbn&gt;&lt;accession-num&gt;16123520&lt;/accession-num&gt;&lt;urls&gt;&lt;related-urls&gt;&lt;url&gt;https://www.ncbi.nlm.nih.gov/pubmed/16123520&lt;/url&gt;&lt;/related-urls&gt;&lt;/urls&gt;&lt;/record&gt;&lt;/Cite&gt;&lt;/EndNote&gt;</w:instrText>
      </w:r>
      <w:r w:rsidRPr="002020BA">
        <w:rPr>
          <w:rFonts w:cstheme="minorHAnsi"/>
        </w:rPr>
        <w:fldChar w:fldCharType="separate"/>
      </w:r>
      <w:r w:rsidR="00995792" w:rsidRPr="002020BA">
        <w:rPr>
          <w:rFonts w:cstheme="minorHAnsi"/>
          <w:noProof/>
        </w:rPr>
        <w:t>4</w:t>
      </w:r>
      <w:r w:rsidRPr="002020BA">
        <w:rPr>
          <w:rFonts w:cstheme="minorHAnsi"/>
          <w:noProof/>
        </w:rPr>
        <w:t>]</w:t>
      </w:r>
      <w:r w:rsidRPr="002020BA">
        <w:rPr>
          <w:rFonts w:cstheme="minorHAnsi"/>
        </w:rPr>
        <w:fldChar w:fldCharType="end"/>
      </w:r>
      <w:r w:rsidRPr="002020BA">
        <w:rPr>
          <w:rFonts w:cstheme="minorHAnsi"/>
        </w:rPr>
        <w:t>, although not all studies have shown this.</w:t>
      </w:r>
    </w:p>
    <w:p w14:paraId="78993306" w14:textId="15151219" w:rsidR="0043539A" w:rsidRPr="002020BA" w:rsidRDefault="00A712C6" w:rsidP="00AD2E0A">
      <w:pPr>
        <w:spacing w:before="240" w:line="360" w:lineRule="auto"/>
        <w:jc w:val="both"/>
        <w:rPr>
          <w:rFonts w:cstheme="minorHAnsi"/>
        </w:rPr>
      </w:pPr>
      <w:r w:rsidRPr="002020BA">
        <w:rPr>
          <w:rFonts w:cstheme="minorHAnsi"/>
        </w:rPr>
        <w:t>Nevertheless,</w:t>
      </w:r>
      <w:r w:rsidR="003E7146" w:rsidRPr="002020BA">
        <w:rPr>
          <w:rFonts w:cstheme="minorHAnsi"/>
        </w:rPr>
        <w:t xml:space="preserve"> insulin therapy adds </w:t>
      </w:r>
      <w:r w:rsidR="00AD2E0A" w:rsidRPr="002020BA">
        <w:rPr>
          <w:rFonts w:cstheme="minorHAnsi"/>
        </w:rPr>
        <w:t>to the</w:t>
      </w:r>
      <w:r w:rsidR="003E7146" w:rsidRPr="002020BA">
        <w:rPr>
          <w:rFonts w:cstheme="minorHAnsi"/>
        </w:rPr>
        <w:t xml:space="preserve"> treatment burden </w:t>
      </w:r>
      <w:r w:rsidR="00995792" w:rsidRPr="002020BA">
        <w:rPr>
          <w:rFonts w:cstheme="minorHAnsi"/>
        </w:rPr>
        <w:t xml:space="preserve">[5] </w:t>
      </w:r>
      <w:r w:rsidR="003E7146" w:rsidRPr="002020BA">
        <w:rPr>
          <w:rFonts w:cstheme="minorHAnsi"/>
        </w:rPr>
        <w:t xml:space="preserve">and risk of hypoglycaemia for the individual with CFRD and so it is important that any benefits of insulin outweigh these </w:t>
      </w:r>
      <w:r w:rsidR="00EC58AC" w:rsidRPr="002020BA">
        <w:rPr>
          <w:rFonts w:cstheme="minorHAnsi"/>
        </w:rPr>
        <w:t>adverse effects</w:t>
      </w:r>
      <w:r w:rsidR="00EB2889" w:rsidRPr="002020BA">
        <w:rPr>
          <w:rFonts w:cstheme="minorHAnsi"/>
        </w:rPr>
        <w:t xml:space="preserve">. </w:t>
      </w:r>
      <w:r w:rsidR="0043539A" w:rsidRPr="002020BA">
        <w:rPr>
          <w:rFonts w:cstheme="minorHAnsi"/>
        </w:rPr>
        <w:t xml:space="preserve">Our study suggests </w:t>
      </w:r>
      <w:r w:rsidR="00EB2889" w:rsidRPr="002020BA">
        <w:rPr>
          <w:rFonts w:cstheme="minorHAnsi"/>
        </w:rPr>
        <w:t xml:space="preserve">that for some </w:t>
      </w:r>
      <w:r w:rsidR="0043539A" w:rsidRPr="002020BA">
        <w:rPr>
          <w:rFonts w:cstheme="minorHAnsi"/>
        </w:rPr>
        <w:t xml:space="preserve">young adults with </w:t>
      </w:r>
      <w:r w:rsidR="0043539A" w:rsidRPr="002020BA">
        <w:rPr>
          <w:rFonts w:cstheme="minorHAnsi"/>
        </w:rPr>
        <w:lastRenderedPageBreak/>
        <w:t>CFRD</w:t>
      </w:r>
      <w:r w:rsidR="00EB2889" w:rsidRPr="002020BA">
        <w:rPr>
          <w:rFonts w:cstheme="minorHAnsi"/>
        </w:rPr>
        <w:t xml:space="preserve">, at least, it </w:t>
      </w:r>
      <w:r w:rsidR="0043539A" w:rsidRPr="002020BA">
        <w:rPr>
          <w:rFonts w:cstheme="minorHAnsi"/>
        </w:rPr>
        <w:t xml:space="preserve">may be </w:t>
      </w:r>
      <w:r w:rsidR="00EB2889" w:rsidRPr="002020BA">
        <w:rPr>
          <w:rFonts w:cstheme="minorHAnsi"/>
        </w:rPr>
        <w:t>po</w:t>
      </w:r>
      <w:r w:rsidR="00D408AE" w:rsidRPr="002020BA">
        <w:rPr>
          <w:rFonts w:cstheme="minorHAnsi"/>
        </w:rPr>
        <w:t>ssible to stop insulin therapy in early adulthood</w:t>
      </w:r>
      <w:r w:rsidR="00EB2889" w:rsidRPr="002020BA">
        <w:rPr>
          <w:rFonts w:cstheme="minorHAnsi"/>
        </w:rPr>
        <w:t xml:space="preserve"> </w:t>
      </w:r>
      <w:r w:rsidR="00D432C4" w:rsidRPr="002020BA">
        <w:rPr>
          <w:rFonts w:cstheme="minorHAnsi"/>
        </w:rPr>
        <w:t xml:space="preserve">without any adverse clinical sequelae. </w:t>
      </w:r>
      <w:bookmarkStart w:id="7" w:name="_Hlk23506852"/>
      <w:r w:rsidR="0043539A" w:rsidRPr="002020BA">
        <w:rPr>
          <w:rFonts w:cstheme="minorHAnsi"/>
        </w:rPr>
        <w:t xml:space="preserve">Definitive conclusions cannot be drawn </w:t>
      </w:r>
      <w:r w:rsidR="00E677AA" w:rsidRPr="002020BA">
        <w:rPr>
          <w:rFonts w:cstheme="minorHAnsi"/>
        </w:rPr>
        <w:t xml:space="preserve">from this service evaluation </w:t>
      </w:r>
      <w:r w:rsidR="0043539A" w:rsidRPr="002020BA">
        <w:rPr>
          <w:rFonts w:cstheme="minorHAnsi"/>
        </w:rPr>
        <w:t xml:space="preserve">because </w:t>
      </w:r>
      <w:r w:rsidR="00E677AA" w:rsidRPr="002020BA">
        <w:rPr>
          <w:rFonts w:cstheme="minorHAnsi"/>
        </w:rPr>
        <w:t xml:space="preserve">of </w:t>
      </w:r>
      <w:r w:rsidR="000836E9" w:rsidRPr="002020BA">
        <w:rPr>
          <w:rFonts w:cstheme="minorHAnsi"/>
        </w:rPr>
        <w:t>several</w:t>
      </w:r>
      <w:r w:rsidR="0043539A" w:rsidRPr="002020BA">
        <w:rPr>
          <w:rFonts w:cstheme="minorHAnsi"/>
        </w:rPr>
        <w:t xml:space="preserve"> limitation</w:t>
      </w:r>
      <w:r w:rsidR="000836E9" w:rsidRPr="002020BA">
        <w:rPr>
          <w:rFonts w:cstheme="minorHAnsi"/>
        </w:rPr>
        <w:t xml:space="preserve">s. First, the sample size is </w:t>
      </w:r>
      <w:r w:rsidR="009A43C7" w:rsidRPr="002020BA">
        <w:rPr>
          <w:rFonts w:cstheme="minorHAnsi"/>
        </w:rPr>
        <w:t>small,</w:t>
      </w:r>
      <w:r w:rsidR="000836E9" w:rsidRPr="002020BA">
        <w:rPr>
          <w:rFonts w:cstheme="minorHAnsi"/>
        </w:rPr>
        <w:t xml:space="preserve"> and the study did not have the power to detect small changes in the trajectory of HbA</w:t>
      </w:r>
      <w:r w:rsidR="000836E9" w:rsidRPr="002020BA">
        <w:rPr>
          <w:rFonts w:cstheme="minorHAnsi"/>
          <w:vertAlign w:val="subscript"/>
        </w:rPr>
        <w:t>1c</w:t>
      </w:r>
      <w:r w:rsidR="000836E9" w:rsidRPr="002020BA">
        <w:rPr>
          <w:rFonts w:cstheme="minorHAnsi"/>
        </w:rPr>
        <w:t xml:space="preserve">, weight and lung function that could be clinically relevant in the long-term. </w:t>
      </w:r>
      <w:bookmarkStart w:id="8" w:name="_Hlk23506712"/>
      <w:bookmarkEnd w:id="7"/>
      <w:r w:rsidR="000836E9" w:rsidRPr="002020BA">
        <w:rPr>
          <w:rFonts w:cstheme="minorHAnsi"/>
        </w:rPr>
        <w:t>HbA</w:t>
      </w:r>
      <w:r w:rsidR="000836E9" w:rsidRPr="002020BA">
        <w:rPr>
          <w:rFonts w:cstheme="minorHAnsi"/>
          <w:vertAlign w:val="subscript"/>
        </w:rPr>
        <w:t>1c</w:t>
      </w:r>
      <w:r w:rsidR="000836E9" w:rsidRPr="002020BA">
        <w:rPr>
          <w:rFonts w:cstheme="minorHAnsi"/>
        </w:rPr>
        <w:t xml:space="preserve"> is a relatively crude assessment of glycaemic status in CFRD and often does not capture modest post-prandial hyperglycaemia</w:t>
      </w:r>
      <w:r w:rsidR="00E677AA" w:rsidRPr="002020BA">
        <w:rPr>
          <w:rFonts w:cstheme="minorHAnsi"/>
        </w:rPr>
        <w:t xml:space="preserve"> whereas m</w:t>
      </w:r>
      <w:r w:rsidR="000836E9" w:rsidRPr="002020BA">
        <w:rPr>
          <w:rFonts w:cstheme="minorHAnsi"/>
        </w:rPr>
        <w:t xml:space="preserve">easurement of glycaemic excursions with continuous glucose monitoring would have provided useful additional information. </w:t>
      </w:r>
      <w:bookmarkStart w:id="9" w:name="_Hlk23506494"/>
      <w:bookmarkEnd w:id="8"/>
      <w:r w:rsidR="000836E9" w:rsidRPr="002020BA">
        <w:rPr>
          <w:rFonts w:cstheme="minorHAnsi"/>
        </w:rPr>
        <w:t>The lack of a well-matched control group meant that it is not possible to determine whether the clinical measurements would have been different if insulin had been continued</w:t>
      </w:r>
      <w:bookmarkEnd w:id="9"/>
      <w:r w:rsidR="000836E9" w:rsidRPr="002020BA">
        <w:rPr>
          <w:rFonts w:cstheme="minorHAnsi"/>
        </w:rPr>
        <w:t>.</w:t>
      </w:r>
      <w:r w:rsidR="003F44D4" w:rsidRPr="002020BA">
        <w:rPr>
          <w:rFonts w:cstheme="minorHAnsi"/>
        </w:rPr>
        <w:t xml:space="preserve"> </w:t>
      </w:r>
      <w:bookmarkStart w:id="10" w:name="_Hlk23507145"/>
      <w:r w:rsidR="003F44D4" w:rsidRPr="002020BA">
        <w:rPr>
          <w:rFonts w:cstheme="minorHAnsi"/>
        </w:rPr>
        <w:t xml:space="preserve">Finally, </w:t>
      </w:r>
      <w:bookmarkStart w:id="11" w:name="_Hlk23509005"/>
      <w:r w:rsidR="003F44D4" w:rsidRPr="002020BA">
        <w:rPr>
          <w:rFonts w:cstheme="minorHAnsi"/>
        </w:rPr>
        <w:t>it is important to recognise that all the participants were post-pubertal and these findings cannot be extrapolated to younger individuals for whom insulin cessation may be unwise</w:t>
      </w:r>
      <w:bookmarkEnd w:id="10"/>
      <w:bookmarkEnd w:id="11"/>
      <w:r w:rsidR="003F44D4" w:rsidRPr="002020BA">
        <w:rPr>
          <w:rFonts w:cstheme="minorHAnsi"/>
        </w:rPr>
        <w:t>.</w:t>
      </w:r>
    </w:p>
    <w:p w14:paraId="2449F440" w14:textId="6ED93DB5" w:rsidR="00A02685" w:rsidRPr="002020BA" w:rsidRDefault="003F44D4" w:rsidP="00AD2E0A">
      <w:pPr>
        <w:spacing w:before="240" w:line="360" w:lineRule="auto"/>
        <w:jc w:val="both"/>
        <w:rPr>
          <w:rFonts w:cstheme="minorHAnsi"/>
        </w:rPr>
      </w:pPr>
      <w:r w:rsidRPr="002020BA">
        <w:rPr>
          <w:rFonts w:cstheme="minorHAnsi"/>
        </w:rPr>
        <w:t>Larger randomised controlled studies that include better measurements of glycaemic status and quality of life are needed to confirm these results before firm recommendations can be made to change clinical practice</w:t>
      </w:r>
      <w:r w:rsidR="00A02685" w:rsidRPr="002020BA">
        <w:rPr>
          <w:rFonts w:cstheme="minorHAnsi"/>
        </w:rPr>
        <w:t>.</w:t>
      </w:r>
      <w:r w:rsidR="00D408AE" w:rsidRPr="002020BA">
        <w:rPr>
          <w:rFonts w:cstheme="minorHAnsi"/>
        </w:rPr>
        <w:t xml:space="preserve"> </w:t>
      </w:r>
      <w:bookmarkStart w:id="12" w:name="_Hlk23507325"/>
      <w:bookmarkStart w:id="13" w:name="_Hlk23509068"/>
      <w:r w:rsidR="00A02685" w:rsidRPr="002020BA">
        <w:rPr>
          <w:rFonts w:cstheme="minorHAnsi"/>
        </w:rPr>
        <w:t>In some people with CFRD, there is a clear need for insulin and so if the findings of this study are confirm</w:t>
      </w:r>
      <w:r w:rsidR="00AD2E0A" w:rsidRPr="002020BA">
        <w:rPr>
          <w:rFonts w:cstheme="minorHAnsi"/>
        </w:rPr>
        <w:t>ed</w:t>
      </w:r>
      <w:r w:rsidR="00A02685" w:rsidRPr="002020BA">
        <w:rPr>
          <w:rFonts w:cstheme="minorHAnsi"/>
        </w:rPr>
        <w:t>, CF centres will need to develop clear stopping rules to ensure that those who need insulin continue to take it.</w:t>
      </w:r>
      <w:bookmarkEnd w:id="12"/>
    </w:p>
    <w:bookmarkEnd w:id="13"/>
    <w:p w14:paraId="6B84DFAA" w14:textId="4FC20C71" w:rsidR="00D432C4" w:rsidRPr="002020BA" w:rsidRDefault="00A02685" w:rsidP="00AD2E0A">
      <w:pPr>
        <w:spacing w:before="240" w:line="360" w:lineRule="auto"/>
        <w:jc w:val="both"/>
        <w:rPr>
          <w:rFonts w:cstheme="minorHAnsi"/>
        </w:rPr>
      </w:pPr>
      <w:r w:rsidRPr="002020BA">
        <w:rPr>
          <w:rFonts w:cstheme="minorHAnsi"/>
        </w:rPr>
        <w:t>In conclusion, a</w:t>
      </w:r>
      <w:r w:rsidR="00F7208B" w:rsidRPr="002020BA">
        <w:rPr>
          <w:rFonts w:cstheme="minorHAnsi"/>
        </w:rPr>
        <w:t>lthough f</w:t>
      </w:r>
      <w:r w:rsidR="00D432C4" w:rsidRPr="002020BA">
        <w:rPr>
          <w:rFonts w:cstheme="minorHAnsi"/>
        </w:rPr>
        <w:t xml:space="preserve">urther work is needed to ascertain who can stop insulin safely </w:t>
      </w:r>
      <w:r w:rsidRPr="002020BA">
        <w:rPr>
          <w:rFonts w:cstheme="minorHAnsi"/>
        </w:rPr>
        <w:t>in early adulthood</w:t>
      </w:r>
      <w:r w:rsidR="00F7208B" w:rsidRPr="002020BA">
        <w:rPr>
          <w:rFonts w:cstheme="minorHAnsi"/>
        </w:rPr>
        <w:t>, our results suggest that stopping insulin in selected people with CFRD may be one way to simplify their treatment burden</w:t>
      </w:r>
      <w:r w:rsidR="00D432C4" w:rsidRPr="002020BA">
        <w:rPr>
          <w:rFonts w:cstheme="minorHAnsi"/>
        </w:rPr>
        <w:t xml:space="preserve">. </w:t>
      </w:r>
    </w:p>
    <w:p w14:paraId="399151DA" w14:textId="77777777" w:rsidR="003A6889" w:rsidRPr="002020BA" w:rsidRDefault="003A6889" w:rsidP="003A6889">
      <w:pPr>
        <w:tabs>
          <w:tab w:val="left" w:pos="1164"/>
        </w:tabs>
        <w:spacing w:before="240" w:line="360" w:lineRule="auto"/>
        <w:rPr>
          <w:rFonts w:cstheme="minorHAnsi"/>
        </w:rPr>
      </w:pPr>
      <w:proofErr w:type="spellStart"/>
      <w:r w:rsidRPr="002020BA">
        <w:rPr>
          <w:rFonts w:cstheme="minorHAnsi"/>
        </w:rPr>
        <w:t>Chigoziem</w:t>
      </w:r>
      <w:proofErr w:type="spellEnd"/>
      <w:r w:rsidRPr="002020BA">
        <w:rPr>
          <w:rFonts w:cstheme="minorHAnsi"/>
        </w:rPr>
        <w:t xml:space="preserve"> Ogbolu</w:t>
      </w:r>
      <w:r w:rsidRPr="002020BA">
        <w:rPr>
          <w:rFonts w:cstheme="minorHAnsi"/>
          <w:vertAlign w:val="superscript"/>
        </w:rPr>
        <w:t>1</w:t>
      </w:r>
      <w:r w:rsidRPr="002020BA">
        <w:rPr>
          <w:rFonts w:cstheme="minorHAnsi"/>
        </w:rPr>
        <w:t xml:space="preserve">, </w:t>
      </w:r>
      <w:proofErr w:type="spellStart"/>
      <w:r w:rsidRPr="002020BA">
        <w:rPr>
          <w:rFonts w:cstheme="minorHAnsi"/>
        </w:rPr>
        <w:t>Irantzu</w:t>
      </w:r>
      <w:proofErr w:type="spellEnd"/>
      <w:r w:rsidRPr="002020BA">
        <w:rPr>
          <w:rFonts w:cstheme="minorHAnsi"/>
        </w:rPr>
        <w:t xml:space="preserve"> Arregui-Fresneda</w:t>
      </w:r>
      <w:r w:rsidRPr="002020BA">
        <w:rPr>
          <w:rFonts w:cstheme="minorHAnsi"/>
          <w:vertAlign w:val="superscript"/>
        </w:rPr>
        <w:t>2</w:t>
      </w:r>
      <w:r w:rsidRPr="002020BA">
        <w:rPr>
          <w:rFonts w:cstheme="minorHAnsi"/>
        </w:rPr>
        <w:t>, Thomas Daniels</w:t>
      </w:r>
      <w:r w:rsidRPr="002020BA">
        <w:rPr>
          <w:rFonts w:cstheme="minorHAnsi"/>
          <w:vertAlign w:val="superscript"/>
        </w:rPr>
        <w:t>2</w:t>
      </w:r>
      <w:r w:rsidRPr="002020BA">
        <w:rPr>
          <w:rFonts w:cstheme="minorHAnsi"/>
        </w:rPr>
        <w:t>, Richard I G Holt</w:t>
      </w:r>
      <w:r w:rsidRPr="002020BA">
        <w:rPr>
          <w:rFonts w:cstheme="minorHAnsi"/>
          <w:vertAlign w:val="superscript"/>
        </w:rPr>
        <w:t>1</w:t>
      </w:r>
    </w:p>
    <w:p w14:paraId="16FDDFFB" w14:textId="77777777" w:rsidR="003A6889" w:rsidRPr="002020BA" w:rsidRDefault="003A6889" w:rsidP="003A6889">
      <w:pPr>
        <w:pStyle w:val="ListParagraph"/>
        <w:numPr>
          <w:ilvl w:val="0"/>
          <w:numId w:val="3"/>
        </w:numPr>
        <w:spacing w:before="240" w:line="360" w:lineRule="auto"/>
        <w:rPr>
          <w:rFonts w:cstheme="minorHAnsi"/>
        </w:rPr>
      </w:pPr>
      <w:r w:rsidRPr="002020BA">
        <w:rPr>
          <w:rFonts w:cstheme="minorHAnsi"/>
        </w:rPr>
        <w:t>Human Development and Health Academic Unit, Faculty of Medicine, University of Southampton, Southampton, UK</w:t>
      </w:r>
    </w:p>
    <w:p w14:paraId="2486541C" w14:textId="77777777" w:rsidR="003A6889" w:rsidRPr="002020BA" w:rsidRDefault="003A6889" w:rsidP="003A6889">
      <w:pPr>
        <w:pStyle w:val="ListParagraph"/>
        <w:numPr>
          <w:ilvl w:val="0"/>
          <w:numId w:val="3"/>
        </w:numPr>
        <w:spacing w:before="240" w:line="360" w:lineRule="auto"/>
        <w:rPr>
          <w:rFonts w:cstheme="minorHAnsi"/>
        </w:rPr>
      </w:pPr>
      <w:r w:rsidRPr="002020BA">
        <w:rPr>
          <w:rFonts w:cstheme="minorHAnsi"/>
        </w:rPr>
        <w:t>Southampton NHS Foundation Trust, Wessex Adult Cystic Fibrosis Service, Southampton, UK</w:t>
      </w:r>
    </w:p>
    <w:p w14:paraId="50558B4A" w14:textId="77777777" w:rsidR="003A6889" w:rsidRPr="002020BA" w:rsidRDefault="003A6889" w:rsidP="003A6889">
      <w:pPr>
        <w:spacing w:before="240" w:line="360" w:lineRule="auto"/>
        <w:rPr>
          <w:rFonts w:cstheme="minorHAnsi"/>
          <w:bCs/>
        </w:rPr>
      </w:pPr>
    </w:p>
    <w:p w14:paraId="7CCD7CE8" w14:textId="77777777" w:rsidR="003A6889" w:rsidRPr="002020BA" w:rsidRDefault="003A6889" w:rsidP="003A6889">
      <w:pPr>
        <w:spacing w:before="240" w:line="360" w:lineRule="auto"/>
        <w:rPr>
          <w:rFonts w:cstheme="minorHAnsi"/>
          <w:bCs/>
        </w:rPr>
      </w:pPr>
      <w:r w:rsidRPr="002020BA">
        <w:rPr>
          <w:rFonts w:cstheme="minorHAnsi"/>
          <w:bCs/>
        </w:rPr>
        <w:t xml:space="preserve">Correspondence to: Richard Holt, Professor in Diabetes and Endocrinology, University Of Southampton, IDS Building (MP887), Southampton General Hospital, </w:t>
      </w:r>
      <w:proofErr w:type="spellStart"/>
      <w:r w:rsidRPr="002020BA">
        <w:rPr>
          <w:rFonts w:cstheme="minorHAnsi"/>
          <w:bCs/>
        </w:rPr>
        <w:t>Tremona</w:t>
      </w:r>
      <w:proofErr w:type="spellEnd"/>
      <w:r w:rsidRPr="002020BA">
        <w:rPr>
          <w:rFonts w:cstheme="minorHAnsi"/>
          <w:bCs/>
        </w:rPr>
        <w:t xml:space="preserve"> Road, Southampton SO16 6YD</w:t>
      </w:r>
    </w:p>
    <w:p w14:paraId="723DC71D" w14:textId="77777777" w:rsidR="003A6889" w:rsidRPr="002020BA" w:rsidRDefault="003A6889" w:rsidP="003A6889">
      <w:pPr>
        <w:spacing w:before="240" w:line="360" w:lineRule="auto"/>
        <w:rPr>
          <w:rFonts w:cstheme="minorHAnsi"/>
          <w:bCs/>
        </w:rPr>
      </w:pPr>
      <w:r w:rsidRPr="002020BA">
        <w:rPr>
          <w:rFonts w:cstheme="minorHAnsi"/>
          <w:bCs/>
        </w:rPr>
        <w:t>Tel: 023 8120 4665</w:t>
      </w:r>
    </w:p>
    <w:p w14:paraId="6C985B6F" w14:textId="1D486FA1" w:rsidR="003A6889" w:rsidRPr="002020BA" w:rsidRDefault="003A6889" w:rsidP="003A6889">
      <w:pPr>
        <w:spacing w:before="240" w:line="360" w:lineRule="auto"/>
        <w:rPr>
          <w:rFonts w:cstheme="minorHAnsi"/>
          <w:bCs/>
        </w:rPr>
      </w:pPr>
      <w:r w:rsidRPr="002020BA">
        <w:rPr>
          <w:rFonts w:cstheme="minorHAnsi"/>
          <w:bCs/>
        </w:rPr>
        <w:t>Email: righ@soton.ac.uk</w:t>
      </w:r>
    </w:p>
    <w:p w14:paraId="2BF8AE3B" w14:textId="77777777" w:rsidR="003A6889" w:rsidRPr="002020BA" w:rsidRDefault="003A6889" w:rsidP="003A6889">
      <w:pPr>
        <w:spacing w:before="240" w:line="360" w:lineRule="auto"/>
        <w:rPr>
          <w:rFonts w:cstheme="minorHAnsi"/>
          <w:bCs/>
        </w:rPr>
      </w:pPr>
      <w:r w:rsidRPr="002020BA">
        <w:rPr>
          <w:rFonts w:cstheme="minorHAnsi"/>
          <w:bCs/>
        </w:rPr>
        <w:t>No conflicts of interest to declare.</w:t>
      </w:r>
    </w:p>
    <w:p w14:paraId="7E40DF7A" w14:textId="77777777" w:rsidR="003A6889" w:rsidRPr="002020BA" w:rsidRDefault="003A6889" w:rsidP="003A6889">
      <w:pPr>
        <w:tabs>
          <w:tab w:val="left" w:pos="1164"/>
        </w:tabs>
        <w:spacing w:before="240" w:line="360" w:lineRule="auto"/>
        <w:rPr>
          <w:rFonts w:cstheme="minorHAnsi"/>
        </w:rPr>
      </w:pPr>
    </w:p>
    <w:p w14:paraId="626436A5" w14:textId="77777777" w:rsidR="003A6889" w:rsidRPr="002020BA" w:rsidRDefault="003A6889" w:rsidP="00AD2E0A">
      <w:pPr>
        <w:spacing w:before="240" w:line="360" w:lineRule="auto"/>
        <w:jc w:val="both"/>
        <w:rPr>
          <w:rFonts w:cstheme="minorHAnsi"/>
        </w:rPr>
      </w:pPr>
    </w:p>
    <w:p w14:paraId="3B069D40" w14:textId="77777777" w:rsidR="003A6889" w:rsidRPr="002020BA" w:rsidRDefault="003A6889">
      <w:pPr>
        <w:rPr>
          <w:rFonts w:cstheme="minorHAnsi"/>
          <w:b/>
        </w:rPr>
      </w:pPr>
      <w:r w:rsidRPr="002020BA">
        <w:rPr>
          <w:rFonts w:cstheme="minorHAnsi"/>
          <w:b/>
        </w:rPr>
        <w:br w:type="page"/>
      </w:r>
    </w:p>
    <w:p w14:paraId="7E4CA65D" w14:textId="7EEF3D10" w:rsidR="00FE4AC4" w:rsidRPr="002020BA" w:rsidRDefault="00F7208B" w:rsidP="00AD2E0A">
      <w:pPr>
        <w:spacing w:before="240" w:line="360" w:lineRule="auto"/>
        <w:jc w:val="both"/>
        <w:rPr>
          <w:rFonts w:cstheme="minorHAnsi"/>
          <w:b/>
        </w:rPr>
      </w:pPr>
      <w:r w:rsidRPr="002020BA">
        <w:rPr>
          <w:rFonts w:cstheme="minorHAnsi"/>
          <w:b/>
        </w:rPr>
        <w:lastRenderedPageBreak/>
        <w:t>REFERENCES</w:t>
      </w:r>
    </w:p>
    <w:p w14:paraId="7F3A2EFD" w14:textId="02A6D33D" w:rsidR="00795DF4" w:rsidRPr="002020BA" w:rsidRDefault="00795DF4" w:rsidP="00AD2E0A">
      <w:pPr>
        <w:pStyle w:val="NormalWeb"/>
        <w:numPr>
          <w:ilvl w:val="0"/>
          <w:numId w:val="1"/>
        </w:numPr>
        <w:spacing w:before="240" w:beforeAutospacing="0" w:after="0" w:afterAutospacing="0" w:line="360" w:lineRule="auto"/>
        <w:ind w:left="357" w:hanging="357"/>
        <w:jc w:val="both"/>
        <w:rPr>
          <w:rFonts w:asciiTheme="minorHAnsi" w:hAnsiTheme="minorHAnsi" w:cstheme="minorHAnsi"/>
          <w:color w:val="000000"/>
        </w:rPr>
      </w:pPr>
      <w:r w:rsidRPr="002020BA">
        <w:rPr>
          <w:rFonts w:asciiTheme="minorHAnsi" w:hAnsiTheme="minorHAnsi" w:cstheme="minorHAnsi"/>
          <w:color w:val="000000"/>
        </w:rPr>
        <w:t>Raquel Barrio</w:t>
      </w:r>
      <w:r w:rsidR="00F7208B" w:rsidRPr="002020BA">
        <w:rPr>
          <w:rFonts w:asciiTheme="minorHAnsi" w:hAnsiTheme="minorHAnsi" w:cstheme="minorHAnsi"/>
          <w:color w:val="000000"/>
        </w:rPr>
        <w:t xml:space="preserve"> R</w:t>
      </w:r>
      <w:r w:rsidRPr="002020BA">
        <w:rPr>
          <w:rFonts w:asciiTheme="minorHAnsi" w:hAnsiTheme="minorHAnsi" w:cstheme="minorHAnsi"/>
          <w:color w:val="000000"/>
        </w:rPr>
        <w:t xml:space="preserve">. Cystic fibrosis-related diabetes: novel pathogenic insights opening new therapeutic avenues. European Journal of Endocrinology 2015; 172(4): 131-141. </w:t>
      </w:r>
    </w:p>
    <w:p w14:paraId="4CBC34B2" w14:textId="69DEF0A5" w:rsidR="00E0558E" w:rsidRPr="002020BA" w:rsidRDefault="00E0558E" w:rsidP="00AD2E0A">
      <w:pPr>
        <w:pStyle w:val="NormalWeb"/>
        <w:numPr>
          <w:ilvl w:val="0"/>
          <w:numId w:val="1"/>
        </w:numPr>
        <w:spacing w:before="240" w:beforeAutospacing="0" w:after="0" w:afterAutospacing="0" w:line="360" w:lineRule="auto"/>
        <w:ind w:left="357" w:hanging="357"/>
        <w:jc w:val="both"/>
        <w:rPr>
          <w:rFonts w:asciiTheme="minorHAnsi" w:hAnsiTheme="minorHAnsi" w:cstheme="minorHAnsi"/>
          <w:color w:val="000000"/>
        </w:rPr>
      </w:pPr>
      <w:r w:rsidRPr="002020BA">
        <w:rPr>
          <w:rFonts w:asciiTheme="minorHAnsi" w:hAnsiTheme="minorHAnsi" w:cstheme="minorHAnsi"/>
          <w:color w:val="000000"/>
        </w:rPr>
        <w:t>Bridges</w:t>
      </w:r>
      <w:r w:rsidR="00B30963" w:rsidRPr="002020BA">
        <w:rPr>
          <w:rFonts w:asciiTheme="minorHAnsi" w:hAnsiTheme="minorHAnsi" w:cstheme="minorHAnsi"/>
          <w:color w:val="000000"/>
        </w:rPr>
        <w:t xml:space="preserve"> N</w:t>
      </w:r>
      <w:r w:rsidRPr="002020BA">
        <w:rPr>
          <w:rFonts w:asciiTheme="minorHAnsi" w:hAnsiTheme="minorHAnsi" w:cstheme="minorHAnsi"/>
          <w:color w:val="000000"/>
        </w:rPr>
        <w:t>, Rowe</w:t>
      </w:r>
      <w:r w:rsidR="00B30963" w:rsidRPr="002020BA">
        <w:rPr>
          <w:rFonts w:asciiTheme="minorHAnsi" w:hAnsiTheme="minorHAnsi" w:cstheme="minorHAnsi"/>
          <w:color w:val="000000"/>
        </w:rPr>
        <w:t xml:space="preserve"> R</w:t>
      </w:r>
      <w:r w:rsidRPr="002020BA">
        <w:rPr>
          <w:rFonts w:asciiTheme="minorHAnsi" w:hAnsiTheme="minorHAnsi" w:cstheme="minorHAnsi"/>
          <w:color w:val="000000"/>
        </w:rPr>
        <w:t>, Holt</w:t>
      </w:r>
      <w:r w:rsidR="00B30963" w:rsidRPr="002020BA">
        <w:rPr>
          <w:rFonts w:asciiTheme="minorHAnsi" w:hAnsiTheme="minorHAnsi" w:cstheme="minorHAnsi"/>
          <w:color w:val="000000"/>
        </w:rPr>
        <w:t xml:space="preserve"> RIG</w:t>
      </w:r>
      <w:r w:rsidRPr="002020BA">
        <w:rPr>
          <w:rFonts w:asciiTheme="minorHAnsi" w:hAnsiTheme="minorHAnsi" w:cstheme="minorHAnsi"/>
          <w:color w:val="000000"/>
        </w:rPr>
        <w:t xml:space="preserve">.  Unique challenges of cystic fibrosis-related diabetes. Diabetic Medicine 2018; 35: 1181-1188. </w:t>
      </w:r>
    </w:p>
    <w:p w14:paraId="130B332A" w14:textId="288B771F" w:rsidR="00321E8E" w:rsidRPr="002020BA" w:rsidRDefault="00795DF4" w:rsidP="00AD2E0A">
      <w:pPr>
        <w:pStyle w:val="NormalWeb"/>
        <w:numPr>
          <w:ilvl w:val="0"/>
          <w:numId w:val="1"/>
        </w:numPr>
        <w:spacing w:before="240" w:beforeAutospacing="0" w:after="0" w:afterAutospacing="0" w:line="360" w:lineRule="auto"/>
        <w:ind w:left="357" w:hanging="357"/>
        <w:jc w:val="both"/>
        <w:rPr>
          <w:rFonts w:asciiTheme="minorHAnsi" w:hAnsiTheme="minorHAnsi" w:cstheme="minorHAnsi"/>
          <w:color w:val="000000"/>
        </w:rPr>
      </w:pPr>
      <w:r w:rsidRPr="002020BA">
        <w:rPr>
          <w:rFonts w:asciiTheme="minorHAnsi" w:hAnsiTheme="minorHAnsi" w:cstheme="minorHAnsi"/>
          <w:color w:val="000000"/>
        </w:rPr>
        <w:t>Kelsey</w:t>
      </w:r>
      <w:r w:rsidR="00F7208B" w:rsidRPr="002020BA">
        <w:rPr>
          <w:rFonts w:asciiTheme="minorHAnsi" w:hAnsiTheme="minorHAnsi" w:cstheme="minorHAnsi"/>
          <w:color w:val="000000"/>
        </w:rPr>
        <w:t xml:space="preserve"> MM</w:t>
      </w:r>
      <w:r w:rsidRPr="002020BA">
        <w:rPr>
          <w:rFonts w:asciiTheme="minorHAnsi" w:hAnsiTheme="minorHAnsi" w:cstheme="minorHAnsi"/>
          <w:color w:val="000000"/>
        </w:rPr>
        <w:t>, Zeitler</w:t>
      </w:r>
      <w:r w:rsidR="00F7208B" w:rsidRPr="002020BA">
        <w:rPr>
          <w:rFonts w:asciiTheme="minorHAnsi" w:hAnsiTheme="minorHAnsi" w:cstheme="minorHAnsi"/>
          <w:color w:val="000000"/>
        </w:rPr>
        <w:t xml:space="preserve"> PS</w:t>
      </w:r>
      <w:r w:rsidRPr="002020BA">
        <w:rPr>
          <w:rFonts w:asciiTheme="minorHAnsi" w:hAnsiTheme="minorHAnsi" w:cstheme="minorHAnsi"/>
          <w:color w:val="000000"/>
        </w:rPr>
        <w:t>. Insulin Resistance of Puberty. Current Diabetes Reports 2016; 16(7): 64.</w:t>
      </w:r>
    </w:p>
    <w:p w14:paraId="6D79F343" w14:textId="2FFF0267" w:rsidR="0095018E" w:rsidRPr="002020BA" w:rsidRDefault="0095018E" w:rsidP="00AD2E0A">
      <w:pPr>
        <w:pStyle w:val="contributor"/>
        <w:numPr>
          <w:ilvl w:val="0"/>
          <w:numId w:val="1"/>
        </w:numPr>
        <w:spacing w:before="240" w:beforeAutospacing="0" w:after="0" w:afterAutospacing="0" w:line="360" w:lineRule="auto"/>
        <w:ind w:left="357" w:hanging="357"/>
        <w:jc w:val="both"/>
        <w:rPr>
          <w:rFonts w:asciiTheme="minorHAnsi" w:hAnsiTheme="minorHAnsi" w:cstheme="minorHAnsi"/>
          <w:color w:val="333333"/>
        </w:rPr>
      </w:pPr>
      <w:r w:rsidRPr="002020BA">
        <w:rPr>
          <w:rStyle w:val="name"/>
          <w:rFonts w:asciiTheme="minorHAnsi" w:hAnsiTheme="minorHAnsi" w:cstheme="minorHAnsi"/>
          <w:color w:val="000000" w:themeColor="text1"/>
        </w:rPr>
        <w:t>Taylor-Robinson</w:t>
      </w:r>
      <w:r w:rsidR="00B30963" w:rsidRPr="002020BA">
        <w:rPr>
          <w:rStyle w:val="name"/>
          <w:rFonts w:asciiTheme="minorHAnsi" w:hAnsiTheme="minorHAnsi" w:cstheme="minorHAnsi"/>
          <w:color w:val="000000" w:themeColor="text1"/>
        </w:rPr>
        <w:t xml:space="preserve"> D</w:t>
      </w:r>
      <w:r w:rsidRPr="002020BA">
        <w:rPr>
          <w:rFonts w:asciiTheme="minorHAnsi" w:hAnsiTheme="minorHAnsi" w:cstheme="minorHAnsi"/>
          <w:color w:val="000000" w:themeColor="text1"/>
        </w:rPr>
        <w:t xml:space="preserve">, </w:t>
      </w:r>
      <w:r w:rsidRPr="002020BA">
        <w:rPr>
          <w:rStyle w:val="name"/>
          <w:rFonts w:asciiTheme="minorHAnsi" w:hAnsiTheme="minorHAnsi" w:cstheme="minorHAnsi"/>
          <w:color w:val="000000" w:themeColor="text1"/>
        </w:rPr>
        <w:t>Whitehead</w:t>
      </w:r>
      <w:r w:rsidR="00B30963" w:rsidRPr="002020BA">
        <w:rPr>
          <w:rStyle w:val="name"/>
          <w:rFonts w:asciiTheme="minorHAnsi" w:hAnsiTheme="minorHAnsi" w:cstheme="minorHAnsi"/>
          <w:color w:val="000000" w:themeColor="text1"/>
        </w:rPr>
        <w:t xml:space="preserve"> M</w:t>
      </w:r>
      <w:r w:rsidRPr="002020BA">
        <w:rPr>
          <w:rFonts w:asciiTheme="minorHAnsi" w:hAnsiTheme="minorHAnsi" w:cstheme="minorHAnsi"/>
          <w:color w:val="000000" w:themeColor="text1"/>
        </w:rPr>
        <w:t xml:space="preserve">, </w:t>
      </w:r>
      <w:proofErr w:type="spellStart"/>
      <w:r w:rsidRPr="002020BA">
        <w:rPr>
          <w:rStyle w:val="name"/>
          <w:rFonts w:asciiTheme="minorHAnsi" w:hAnsiTheme="minorHAnsi" w:cstheme="minorHAnsi"/>
          <w:color w:val="000000" w:themeColor="text1"/>
        </w:rPr>
        <w:t>Diderichsen</w:t>
      </w:r>
      <w:proofErr w:type="spellEnd"/>
      <w:r w:rsidR="00B30963" w:rsidRPr="002020BA">
        <w:rPr>
          <w:rStyle w:val="name"/>
          <w:rFonts w:asciiTheme="minorHAnsi" w:hAnsiTheme="minorHAnsi" w:cstheme="minorHAnsi"/>
          <w:color w:val="000000" w:themeColor="text1"/>
        </w:rPr>
        <w:t xml:space="preserve"> F</w:t>
      </w:r>
      <w:r w:rsidRPr="002020BA">
        <w:rPr>
          <w:rFonts w:asciiTheme="minorHAnsi" w:hAnsiTheme="minorHAnsi" w:cstheme="minorHAnsi"/>
          <w:color w:val="000000" w:themeColor="text1"/>
        </w:rPr>
        <w:t xml:space="preserve">, </w:t>
      </w:r>
      <w:proofErr w:type="spellStart"/>
      <w:r w:rsidRPr="002020BA">
        <w:rPr>
          <w:rStyle w:val="name"/>
          <w:rFonts w:asciiTheme="minorHAnsi" w:hAnsiTheme="minorHAnsi" w:cstheme="minorHAnsi"/>
          <w:color w:val="000000" w:themeColor="text1"/>
        </w:rPr>
        <w:t>Vebert</w:t>
      </w:r>
      <w:proofErr w:type="spellEnd"/>
      <w:r w:rsidRPr="002020BA">
        <w:rPr>
          <w:rStyle w:val="name"/>
          <w:rFonts w:asciiTheme="minorHAnsi" w:hAnsiTheme="minorHAnsi" w:cstheme="minorHAnsi"/>
          <w:color w:val="000000" w:themeColor="text1"/>
        </w:rPr>
        <w:t xml:space="preserve"> </w:t>
      </w:r>
      <w:proofErr w:type="spellStart"/>
      <w:r w:rsidRPr="002020BA">
        <w:rPr>
          <w:rStyle w:val="name"/>
          <w:rFonts w:asciiTheme="minorHAnsi" w:hAnsiTheme="minorHAnsi" w:cstheme="minorHAnsi"/>
          <w:color w:val="000000" w:themeColor="text1"/>
        </w:rPr>
        <w:t>Olesen</w:t>
      </w:r>
      <w:proofErr w:type="spellEnd"/>
      <w:r w:rsidR="00B30963" w:rsidRPr="002020BA">
        <w:rPr>
          <w:rStyle w:val="name"/>
          <w:rFonts w:asciiTheme="minorHAnsi" w:hAnsiTheme="minorHAnsi" w:cstheme="minorHAnsi"/>
          <w:color w:val="000000" w:themeColor="text1"/>
        </w:rPr>
        <w:t xml:space="preserve"> H</w:t>
      </w:r>
      <w:r w:rsidRPr="002020BA">
        <w:rPr>
          <w:rFonts w:asciiTheme="minorHAnsi" w:hAnsiTheme="minorHAnsi" w:cstheme="minorHAnsi"/>
          <w:color w:val="000000" w:themeColor="text1"/>
        </w:rPr>
        <w:t>,</w:t>
      </w:r>
      <w:r w:rsidRPr="002020BA">
        <w:rPr>
          <w:rStyle w:val="name"/>
          <w:rFonts w:asciiTheme="minorHAnsi" w:hAnsiTheme="minorHAnsi" w:cstheme="minorHAnsi"/>
          <w:color w:val="000000" w:themeColor="text1"/>
        </w:rPr>
        <w:t xml:space="preserve"> Pressler</w:t>
      </w:r>
      <w:r w:rsidR="00B30963" w:rsidRPr="002020BA">
        <w:rPr>
          <w:rStyle w:val="name"/>
          <w:rFonts w:asciiTheme="minorHAnsi" w:hAnsiTheme="minorHAnsi" w:cstheme="minorHAnsi"/>
          <w:color w:val="000000" w:themeColor="text1"/>
        </w:rPr>
        <w:t xml:space="preserve"> T</w:t>
      </w:r>
      <w:r w:rsidRPr="002020BA">
        <w:rPr>
          <w:rFonts w:asciiTheme="minorHAnsi" w:hAnsiTheme="minorHAnsi" w:cstheme="minorHAnsi"/>
          <w:color w:val="000000" w:themeColor="text1"/>
        </w:rPr>
        <w:t xml:space="preserve">, </w:t>
      </w:r>
      <w:r w:rsidRPr="002020BA">
        <w:rPr>
          <w:rStyle w:val="name"/>
          <w:rFonts w:asciiTheme="minorHAnsi" w:hAnsiTheme="minorHAnsi" w:cstheme="minorHAnsi"/>
          <w:color w:val="000000" w:themeColor="text1"/>
        </w:rPr>
        <w:t>Smyth</w:t>
      </w:r>
      <w:r w:rsidR="00B30963" w:rsidRPr="002020BA">
        <w:rPr>
          <w:rStyle w:val="name"/>
          <w:rFonts w:asciiTheme="minorHAnsi" w:hAnsiTheme="minorHAnsi" w:cstheme="minorHAnsi"/>
          <w:color w:val="000000" w:themeColor="text1"/>
        </w:rPr>
        <w:t xml:space="preserve"> RL et al</w:t>
      </w:r>
      <w:r w:rsidRPr="002020BA">
        <w:rPr>
          <w:rFonts w:asciiTheme="minorHAnsi" w:hAnsiTheme="minorHAnsi" w:cstheme="minorHAnsi"/>
          <w:color w:val="000000" w:themeColor="text1"/>
        </w:rPr>
        <w:t xml:space="preserve">. </w:t>
      </w:r>
      <w:r w:rsidRPr="002020BA">
        <w:rPr>
          <w:rFonts w:asciiTheme="minorHAnsi" w:hAnsiTheme="minorHAnsi" w:cstheme="minorHAnsi"/>
          <w:color w:val="000000" w:themeColor="text1"/>
          <w:shd w:val="clear" w:color="auto" w:fill="FFFFFF"/>
        </w:rPr>
        <w:t>Understanding the natural progression in %FEV</w:t>
      </w:r>
      <w:r w:rsidRPr="002020BA">
        <w:rPr>
          <w:rFonts w:asciiTheme="minorHAnsi" w:hAnsiTheme="minorHAnsi" w:cstheme="minorHAnsi"/>
          <w:color w:val="000000" w:themeColor="text1"/>
          <w:vertAlign w:val="subscript"/>
        </w:rPr>
        <w:t>1</w:t>
      </w:r>
      <w:r w:rsidRPr="002020BA">
        <w:rPr>
          <w:rFonts w:asciiTheme="minorHAnsi" w:hAnsiTheme="minorHAnsi" w:cstheme="minorHAnsi"/>
          <w:color w:val="000000" w:themeColor="text1"/>
          <w:shd w:val="clear" w:color="auto" w:fill="FFFFFF"/>
        </w:rPr>
        <w:t xml:space="preserve"> decline in patients with cystic fibrosis: a longitudinal study. Thorax 2012; 67: 860-866. </w:t>
      </w:r>
      <w:r w:rsidR="00E0558E" w:rsidRPr="002020BA">
        <w:rPr>
          <w:rFonts w:asciiTheme="minorHAnsi" w:hAnsiTheme="minorHAnsi" w:cstheme="minorHAnsi"/>
          <w:color w:val="000000" w:themeColor="text1"/>
          <w:shd w:val="clear" w:color="auto" w:fill="FFFFFF"/>
        </w:rPr>
        <w:t xml:space="preserve"> </w:t>
      </w:r>
    </w:p>
    <w:p w14:paraId="2799107C" w14:textId="650BEBCD" w:rsidR="00E33C59" w:rsidRPr="002020BA" w:rsidRDefault="00995792" w:rsidP="00AD2E0A">
      <w:pPr>
        <w:pStyle w:val="contributor"/>
        <w:numPr>
          <w:ilvl w:val="0"/>
          <w:numId w:val="1"/>
        </w:numPr>
        <w:spacing w:before="240" w:beforeAutospacing="0" w:after="0" w:afterAutospacing="0" w:line="360" w:lineRule="auto"/>
        <w:ind w:left="357" w:hanging="357"/>
        <w:jc w:val="both"/>
        <w:rPr>
          <w:rFonts w:asciiTheme="minorHAnsi" w:hAnsiTheme="minorHAnsi" w:cstheme="minorHAnsi"/>
          <w:color w:val="333333"/>
        </w:rPr>
      </w:pPr>
      <w:proofErr w:type="spellStart"/>
      <w:r w:rsidRPr="002020BA">
        <w:rPr>
          <w:rStyle w:val="name"/>
          <w:rFonts w:asciiTheme="minorHAnsi" w:hAnsiTheme="minorHAnsi" w:cstheme="minorHAnsi"/>
          <w:color w:val="000000" w:themeColor="text1"/>
        </w:rPr>
        <w:t>Rowbotham</w:t>
      </w:r>
      <w:proofErr w:type="spellEnd"/>
      <w:r w:rsidRPr="002020BA">
        <w:rPr>
          <w:rStyle w:val="name"/>
          <w:rFonts w:asciiTheme="minorHAnsi" w:hAnsiTheme="minorHAnsi" w:cstheme="minorHAnsi"/>
          <w:color w:val="000000" w:themeColor="text1"/>
        </w:rPr>
        <w:t xml:space="preserve"> NJ</w:t>
      </w:r>
      <w:r w:rsidR="009D7036" w:rsidRPr="002020BA">
        <w:rPr>
          <w:rStyle w:val="name"/>
          <w:rFonts w:asciiTheme="minorHAnsi" w:hAnsiTheme="minorHAnsi" w:cstheme="minorHAnsi"/>
          <w:color w:val="000000" w:themeColor="text1"/>
        </w:rPr>
        <w:t xml:space="preserve">, Smith S, Leighton PA, Rayner OC, Gathercole K, Elliot ZC, </w:t>
      </w:r>
      <w:r w:rsidR="00B30963" w:rsidRPr="002020BA">
        <w:rPr>
          <w:rStyle w:val="name"/>
          <w:rFonts w:asciiTheme="minorHAnsi" w:hAnsiTheme="minorHAnsi" w:cstheme="minorHAnsi"/>
          <w:color w:val="000000" w:themeColor="text1"/>
        </w:rPr>
        <w:t>et al</w:t>
      </w:r>
      <w:r w:rsidRPr="002020BA">
        <w:rPr>
          <w:rStyle w:val="name"/>
          <w:rFonts w:asciiTheme="minorHAnsi" w:hAnsiTheme="minorHAnsi" w:cstheme="minorHAnsi"/>
          <w:color w:val="000000" w:themeColor="text1"/>
        </w:rPr>
        <w:t xml:space="preserve">. The top 10 research priorities in cystic fibrosis developed by a partnership between people with CF and healthcare providers. Thorax 2018 Apr; 73(4): 388-390. </w:t>
      </w:r>
      <w:r w:rsidR="000C5429" w:rsidRPr="002020BA">
        <w:rPr>
          <w:rFonts w:asciiTheme="minorHAnsi" w:hAnsiTheme="minorHAnsi" w:cstheme="minorHAnsi"/>
          <w:color w:val="000000" w:themeColor="text1"/>
        </w:rPr>
        <w:t xml:space="preserve"> </w:t>
      </w:r>
    </w:p>
    <w:p w14:paraId="6385801B" w14:textId="174F658E" w:rsidR="00D432C4" w:rsidRPr="002020BA" w:rsidRDefault="00D432C4" w:rsidP="00AD2E0A">
      <w:pPr>
        <w:spacing w:before="240" w:line="360" w:lineRule="auto"/>
        <w:rPr>
          <w:rFonts w:cstheme="minorHAnsi"/>
        </w:rPr>
      </w:pPr>
    </w:p>
    <w:p w14:paraId="5BF7B3C7" w14:textId="48B8C62A" w:rsidR="003A467B" w:rsidRPr="002020BA" w:rsidRDefault="003A467B" w:rsidP="00AD2E0A">
      <w:pPr>
        <w:spacing w:before="240" w:line="360" w:lineRule="auto"/>
        <w:rPr>
          <w:rFonts w:cstheme="minorHAnsi"/>
        </w:rPr>
      </w:pPr>
      <w:r w:rsidRPr="002020BA">
        <w:rPr>
          <w:rFonts w:cstheme="minorHAnsi"/>
        </w:rPr>
        <w:br w:type="page"/>
      </w:r>
    </w:p>
    <w:p w14:paraId="7ACFB295" w14:textId="2E6204CB" w:rsidR="002C372B" w:rsidRPr="002020BA" w:rsidRDefault="00A02685" w:rsidP="00B86849">
      <w:pPr>
        <w:spacing w:before="240" w:line="360" w:lineRule="auto"/>
        <w:jc w:val="both"/>
        <w:rPr>
          <w:rFonts w:cstheme="minorHAnsi"/>
        </w:rPr>
      </w:pPr>
      <w:r w:rsidRPr="002020BA">
        <w:rPr>
          <w:rFonts w:cstheme="minorHAnsi"/>
        </w:rPr>
        <w:lastRenderedPageBreak/>
        <w:t xml:space="preserve">Table 1: Comparison of those </w:t>
      </w:r>
      <w:r w:rsidR="00875A84" w:rsidRPr="002020BA">
        <w:rPr>
          <w:rFonts w:cstheme="minorHAnsi"/>
        </w:rPr>
        <w:t xml:space="preserve">with CFRD </w:t>
      </w:r>
      <w:r w:rsidRPr="002020BA">
        <w:rPr>
          <w:rFonts w:cstheme="minorHAnsi"/>
        </w:rPr>
        <w:t xml:space="preserve">who stopped or continued insulin therapy at the </w:t>
      </w:r>
      <w:r w:rsidR="001A640B" w:rsidRPr="002020BA">
        <w:rPr>
          <w:rFonts w:cstheme="minorHAnsi"/>
        </w:rPr>
        <w:t>point</w:t>
      </w:r>
      <w:r w:rsidRPr="002020BA">
        <w:rPr>
          <w:rFonts w:cstheme="minorHAnsi"/>
        </w:rPr>
        <w:t xml:space="preserve"> of transition to the young adult clinic</w:t>
      </w:r>
      <w:r w:rsidR="001A640B" w:rsidRPr="002020BA">
        <w:rPr>
          <w:rFonts w:cstheme="minorHAnsi"/>
        </w:rPr>
        <w:t xml:space="preserve"> and at the time of the study</w:t>
      </w:r>
      <w:r w:rsidR="003A6889" w:rsidRPr="002020BA">
        <w:rPr>
          <w:rFonts w:cstheme="minorHAnsi"/>
        </w:rPr>
        <w:t xml:space="preserve">. </w:t>
      </w:r>
      <w:r w:rsidR="00636493" w:rsidRPr="002020BA">
        <w:rPr>
          <w:rFonts w:cstheme="minorHAnsi"/>
        </w:rPr>
        <w:t>HbA</w:t>
      </w:r>
      <w:r w:rsidR="00636493" w:rsidRPr="002020BA">
        <w:rPr>
          <w:rFonts w:cstheme="minorHAnsi"/>
          <w:vertAlign w:val="subscript"/>
        </w:rPr>
        <w:t>1c</w:t>
      </w:r>
      <w:r w:rsidR="00636493" w:rsidRPr="002020BA">
        <w:rPr>
          <w:rFonts w:cstheme="minorHAnsi"/>
        </w:rPr>
        <w:t xml:space="preserve"> d</w:t>
      </w:r>
      <w:r w:rsidR="003A6889" w:rsidRPr="002020BA">
        <w:rPr>
          <w:rFonts w:cstheme="minorHAnsi"/>
        </w:rPr>
        <w:t xml:space="preserve">ata are mean </w:t>
      </w:r>
      <w:r w:rsidR="003A6889" w:rsidRPr="002020BA">
        <w:rPr>
          <w:rFonts w:eastAsia="Times New Roman" w:cstheme="minorHAnsi"/>
          <w:color w:val="212121"/>
          <w:bdr w:val="none" w:sz="0" w:space="0" w:color="auto" w:frame="1"/>
        </w:rPr>
        <w:t xml:space="preserve">± </w:t>
      </w:r>
      <w:r w:rsidR="00B86849" w:rsidRPr="002020BA">
        <w:rPr>
          <w:rFonts w:eastAsia="Times New Roman" w:cstheme="minorHAnsi"/>
          <w:color w:val="212121"/>
          <w:bdr w:val="none" w:sz="0" w:space="0" w:color="auto" w:frame="1"/>
        </w:rPr>
        <w:t>SD, number</w:t>
      </w:r>
      <w:r w:rsidR="003A6889" w:rsidRPr="002020BA">
        <w:rPr>
          <w:rFonts w:eastAsia="Times New Roman" w:cstheme="minorHAnsi"/>
          <w:color w:val="212121"/>
          <w:bdr w:val="none" w:sz="0" w:space="0" w:color="auto" w:frame="1"/>
        </w:rPr>
        <w:t xml:space="preserve"> (%)</w:t>
      </w:r>
      <w:r w:rsidR="00066389" w:rsidRPr="002020BA">
        <w:rPr>
          <w:rFonts w:eastAsia="Times New Roman" w:cstheme="minorHAnsi"/>
          <w:color w:val="212121"/>
          <w:bdr w:val="none" w:sz="0" w:space="0" w:color="auto" w:frame="1"/>
        </w:rPr>
        <w:t xml:space="preserve"> </w:t>
      </w:r>
      <w:r w:rsidR="00636493" w:rsidRPr="002020BA">
        <w:rPr>
          <w:rFonts w:eastAsia="Times New Roman" w:cstheme="minorHAnsi"/>
          <w:color w:val="212121"/>
          <w:bdr w:val="none" w:sz="0" w:space="0" w:color="auto" w:frame="1"/>
        </w:rPr>
        <w:t>and age and BMI data are presented as</w:t>
      </w:r>
      <w:r w:rsidR="00066389" w:rsidRPr="002020BA">
        <w:rPr>
          <w:rFonts w:eastAsia="Times New Roman" w:cstheme="minorHAnsi"/>
          <w:color w:val="212121"/>
          <w:bdr w:val="none" w:sz="0" w:space="0" w:color="auto" w:frame="1"/>
        </w:rPr>
        <w:t xml:space="preserve"> median and range.</w:t>
      </w:r>
    </w:p>
    <w:p w14:paraId="573A28CA" w14:textId="77777777" w:rsidR="00541E61" w:rsidRPr="002020BA" w:rsidRDefault="00541E61" w:rsidP="00AD2E0A">
      <w:pPr>
        <w:spacing w:before="240" w:line="360" w:lineRule="auto"/>
        <w:rPr>
          <w:rFonts w:cstheme="minorHAnsi"/>
        </w:rPr>
      </w:pPr>
    </w:p>
    <w:tbl>
      <w:tblPr>
        <w:tblStyle w:val="TableGrid"/>
        <w:tblW w:w="0" w:type="auto"/>
        <w:tblLook w:val="04A0" w:firstRow="1" w:lastRow="0" w:firstColumn="1" w:lastColumn="0" w:noHBand="0" w:noVBand="1"/>
      </w:tblPr>
      <w:tblGrid>
        <w:gridCol w:w="2843"/>
        <w:gridCol w:w="2148"/>
        <w:gridCol w:w="2237"/>
        <w:gridCol w:w="1787"/>
      </w:tblGrid>
      <w:tr w:rsidR="00BD1C1D" w:rsidRPr="002020BA" w14:paraId="54BCBC4A" w14:textId="08D59A76" w:rsidTr="00066389">
        <w:trPr>
          <w:trHeight w:val="20"/>
        </w:trPr>
        <w:tc>
          <w:tcPr>
            <w:tcW w:w="2843" w:type="dxa"/>
            <w:tcBorders>
              <w:top w:val="nil"/>
              <w:left w:val="nil"/>
            </w:tcBorders>
          </w:tcPr>
          <w:p w14:paraId="2536908C" w14:textId="0D030634" w:rsidR="00BD1C1D" w:rsidRPr="002020BA" w:rsidRDefault="00BD1C1D" w:rsidP="002C372B">
            <w:pPr>
              <w:spacing w:before="240"/>
              <w:rPr>
                <w:rFonts w:cstheme="minorHAnsi"/>
                <w:sz w:val="22"/>
                <w:szCs w:val="22"/>
              </w:rPr>
            </w:pPr>
          </w:p>
        </w:tc>
        <w:tc>
          <w:tcPr>
            <w:tcW w:w="2148" w:type="dxa"/>
          </w:tcPr>
          <w:p w14:paraId="39541F4E" w14:textId="5549E8EE" w:rsidR="00BD1C1D" w:rsidRPr="002020BA" w:rsidRDefault="00BD1C1D" w:rsidP="007762EA">
            <w:pPr>
              <w:spacing w:before="240"/>
              <w:jc w:val="center"/>
              <w:rPr>
                <w:rFonts w:cstheme="minorHAnsi"/>
                <w:b/>
                <w:bCs/>
                <w:sz w:val="22"/>
                <w:szCs w:val="22"/>
              </w:rPr>
            </w:pPr>
            <w:r w:rsidRPr="002020BA">
              <w:rPr>
                <w:rFonts w:cstheme="minorHAnsi"/>
                <w:b/>
                <w:bCs/>
                <w:sz w:val="22"/>
                <w:szCs w:val="22"/>
              </w:rPr>
              <w:t>Stopped Insulin</w:t>
            </w:r>
          </w:p>
        </w:tc>
        <w:tc>
          <w:tcPr>
            <w:tcW w:w="2237" w:type="dxa"/>
          </w:tcPr>
          <w:p w14:paraId="6B41C202" w14:textId="5DAC0BCC" w:rsidR="00BD1C1D" w:rsidRPr="002020BA" w:rsidRDefault="00BD1C1D" w:rsidP="007762EA">
            <w:pPr>
              <w:spacing w:before="240"/>
              <w:jc w:val="center"/>
              <w:rPr>
                <w:rFonts w:cstheme="minorHAnsi"/>
                <w:b/>
                <w:bCs/>
                <w:sz w:val="22"/>
                <w:szCs w:val="22"/>
              </w:rPr>
            </w:pPr>
            <w:r w:rsidRPr="002020BA">
              <w:rPr>
                <w:rFonts w:cstheme="minorHAnsi"/>
                <w:b/>
                <w:bCs/>
                <w:sz w:val="22"/>
                <w:szCs w:val="22"/>
              </w:rPr>
              <w:t>Continued Insulin</w:t>
            </w:r>
          </w:p>
        </w:tc>
        <w:tc>
          <w:tcPr>
            <w:tcW w:w="1787" w:type="dxa"/>
          </w:tcPr>
          <w:p w14:paraId="05934549" w14:textId="5680A5D4" w:rsidR="00BD1C1D" w:rsidRPr="002020BA" w:rsidRDefault="00BD1C1D" w:rsidP="007762EA">
            <w:pPr>
              <w:spacing w:before="240"/>
              <w:jc w:val="center"/>
              <w:rPr>
                <w:rFonts w:cstheme="minorHAnsi"/>
                <w:b/>
                <w:bCs/>
                <w:sz w:val="22"/>
                <w:szCs w:val="22"/>
              </w:rPr>
            </w:pPr>
            <w:r w:rsidRPr="002020BA">
              <w:rPr>
                <w:rFonts w:cstheme="minorHAnsi"/>
                <w:b/>
                <w:bCs/>
                <w:sz w:val="22"/>
                <w:szCs w:val="22"/>
              </w:rPr>
              <w:t>P-value</w:t>
            </w:r>
          </w:p>
        </w:tc>
      </w:tr>
      <w:tr w:rsidR="00BD1C1D" w:rsidRPr="002020BA" w14:paraId="3D5152CF" w14:textId="7DD5BFA2" w:rsidTr="00066389">
        <w:trPr>
          <w:trHeight w:val="20"/>
        </w:trPr>
        <w:tc>
          <w:tcPr>
            <w:tcW w:w="2843" w:type="dxa"/>
            <w:vAlign w:val="center"/>
          </w:tcPr>
          <w:p w14:paraId="67903C92" w14:textId="7532CE47" w:rsidR="00BD1C1D" w:rsidRPr="002020BA" w:rsidRDefault="00BD1C1D" w:rsidP="00E677AA">
            <w:pPr>
              <w:spacing w:before="240"/>
              <w:rPr>
                <w:rFonts w:cstheme="minorHAnsi"/>
                <w:b/>
                <w:bCs/>
                <w:sz w:val="22"/>
                <w:szCs w:val="22"/>
              </w:rPr>
            </w:pPr>
            <w:r w:rsidRPr="002020BA">
              <w:rPr>
                <w:rFonts w:cstheme="minorHAnsi"/>
                <w:b/>
                <w:bCs/>
                <w:sz w:val="22"/>
                <w:szCs w:val="22"/>
              </w:rPr>
              <w:t>Number</w:t>
            </w:r>
          </w:p>
        </w:tc>
        <w:tc>
          <w:tcPr>
            <w:tcW w:w="2148" w:type="dxa"/>
            <w:vAlign w:val="center"/>
          </w:tcPr>
          <w:p w14:paraId="23709724" w14:textId="4CE4CDC7" w:rsidR="00BD1C1D" w:rsidRPr="002020BA" w:rsidRDefault="00BD1C1D" w:rsidP="00E677AA">
            <w:pPr>
              <w:spacing w:before="240"/>
              <w:jc w:val="center"/>
              <w:rPr>
                <w:rFonts w:cstheme="minorHAnsi"/>
                <w:sz w:val="22"/>
                <w:szCs w:val="22"/>
              </w:rPr>
            </w:pPr>
            <w:r w:rsidRPr="002020BA">
              <w:rPr>
                <w:rFonts w:cstheme="minorHAnsi"/>
                <w:sz w:val="22"/>
                <w:szCs w:val="22"/>
              </w:rPr>
              <w:t>14</w:t>
            </w:r>
          </w:p>
        </w:tc>
        <w:tc>
          <w:tcPr>
            <w:tcW w:w="2237" w:type="dxa"/>
            <w:vAlign w:val="center"/>
          </w:tcPr>
          <w:p w14:paraId="3162FB59" w14:textId="5015ED08" w:rsidR="00BD1C1D" w:rsidRPr="002020BA" w:rsidRDefault="001C544B" w:rsidP="00E677AA">
            <w:pPr>
              <w:spacing w:before="240"/>
              <w:jc w:val="center"/>
              <w:rPr>
                <w:rFonts w:cstheme="minorHAnsi"/>
                <w:sz w:val="22"/>
                <w:szCs w:val="22"/>
              </w:rPr>
            </w:pPr>
            <w:r w:rsidRPr="002020BA">
              <w:rPr>
                <w:rFonts w:cstheme="minorHAnsi"/>
                <w:sz w:val="22"/>
                <w:szCs w:val="22"/>
              </w:rPr>
              <w:t>15</w:t>
            </w:r>
          </w:p>
        </w:tc>
        <w:tc>
          <w:tcPr>
            <w:tcW w:w="1787" w:type="dxa"/>
          </w:tcPr>
          <w:p w14:paraId="0C2599F3" w14:textId="77777777" w:rsidR="00BD1C1D" w:rsidRPr="002020BA" w:rsidRDefault="00BD1C1D" w:rsidP="00E677AA">
            <w:pPr>
              <w:spacing w:before="240"/>
              <w:jc w:val="center"/>
              <w:rPr>
                <w:rFonts w:cstheme="minorHAnsi"/>
                <w:sz w:val="22"/>
                <w:szCs w:val="22"/>
              </w:rPr>
            </w:pPr>
          </w:p>
        </w:tc>
      </w:tr>
      <w:tr w:rsidR="00BD1C1D" w:rsidRPr="002020BA" w14:paraId="42E2E5BC" w14:textId="198FA891" w:rsidTr="00066389">
        <w:trPr>
          <w:trHeight w:val="20"/>
        </w:trPr>
        <w:tc>
          <w:tcPr>
            <w:tcW w:w="2843" w:type="dxa"/>
            <w:vAlign w:val="center"/>
          </w:tcPr>
          <w:p w14:paraId="73E2A1FE" w14:textId="0DB81928" w:rsidR="00BD1C1D" w:rsidRPr="002020BA" w:rsidRDefault="001C7B7C" w:rsidP="00E677AA">
            <w:pPr>
              <w:spacing w:before="240"/>
              <w:rPr>
                <w:rFonts w:cstheme="minorHAnsi"/>
                <w:b/>
                <w:bCs/>
                <w:sz w:val="22"/>
                <w:szCs w:val="22"/>
              </w:rPr>
            </w:pPr>
            <w:r w:rsidRPr="002020BA">
              <w:rPr>
                <w:rFonts w:cstheme="minorHAnsi"/>
                <w:b/>
                <w:bCs/>
                <w:sz w:val="22"/>
                <w:szCs w:val="22"/>
              </w:rPr>
              <w:t>A</w:t>
            </w:r>
            <w:r w:rsidR="00BD1C1D" w:rsidRPr="002020BA">
              <w:rPr>
                <w:rFonts w:cstheme="minorHAnsi"/>
                <w:b/>
                <w:bCs/>
                <w:sz w:val="22"/>
                <w:szCs w:val="22"/>
              </w:rPr>
              <w:t>ge (years) at the time of assessment</w:t>
            </w:r>
          </w:p>
        </w:tc>
        <w:tc>
          <w:tcPr>
            <w:tcW w:w="2148" w:type="dxa"/>
            <w:vAlign w:val="center"/>
          </w:tcPr>
          <w:p w14:paraId="586D8276" w14:textId="130C252B" w:rsidR="00BD1C1D" w:rsidRPr="002020BA" w:rsidRDefault="00BD1C1D" w:rsidP="003A6889">
            <w:pPr>
              <w:spacing w:before="240"/>
              <w:jc w:val="center"/>
              <w:rPr>
                <w:rFonts w:cstheme="minorHAnsi"/>
                <w:sz w:val="22"/>
                <w:szCs w:val="22"/>
              </w:rPr>
            </w:pPr>
            <w:r w:rsidRPr="002020BA">
              <w:rPr>
                <w:rFonts w:cstheme="minorHAnsi"/>
                <w:sz w:val="22"/>
                <w:szCs w:val="22"/>
              </w:rPr>
              <w:t xml:space="preserve">22.3 </w:t>
            </w:r>
            <w:r w:rsidRPr="002020BA">
              <w:rPr>
                <w:rFonts w:eastAsia="Times New Roman" w:cstheme="minorHAnsi"/>
                <w:color w:val="212121"/>
                <w:sz w:val="22"/>
                <w:szCs w:val="22"/>
                <w:bdr w:val="none" w:sz="0" w:space="0" w:color="auto" w:frame="1"/>
              </w:rPr>
              <w:t>± 2.2 </w:t>
            </w:r>
          </w:p>
        </w:tc>
        <w:tc>
          <w:tcPr>
            <w:tcW w:w="2237" w:type="dxa"/>
            <w:vAlign w:val="center"/>
          </w:tcPr>
          <w:p w14:paraId="7C32C600" w14:textId="6A4FE11B" w:rsidR="00BD1C1D" w:rsidRPr="002020BA" w:rsidRDefault="00BD1C1D" w:rsidP="003A6889">
            <w:pPr>
              <w:spacing w:before="240"/>
              <w:jc w:val="center"/>
              <w:rPr>
                <w:rFonts w:cstheme="minorHAnsi"/>
                <w:sz w:val="22"/>
                <w:szCs w:val="22"/>
              </w:rPr>
            </w:pPr>
            <w:r w:rsidRPr="002020BA">
              <w:rPr>
                <w:rFonts w:cstheme="minorHAnsi"/>
                <w:sz w:val="22"/>
                <w:szCs w:val="22"/>
              </w:rPr>
              <w:t>2</w:t>
            </w:r>
            <w:r w:rsidR="001C544B" w:rsidRPr="002020BA">
              <w:rPr>
                <w:rFonts w:cstheme="minorHAnsi"/>
                <w:sz w:val="22"/>
                <w:szCs w:val="22"/>
              </w:rPr>
              <w:t>1.7</w:t>
            </w:r>
            <w:r w:rsidRPr="002020BA">
              <w:rPr>
                <w:rFonts w:cstheme="minorHAnsi"/>
                <w:sz w:val="22"/>
                <w:szCs w:val="22"/>
              </w:rPr>
              <w:t xml:space="preserve"> </w:t>
            </w:r>
            <w:r w:rsidRPr="002020BA">
              <w:rPr>
                <w:rFonts w:eastAsia="Times New Roman" w:cstheme="minorHAnsi"/>
                <w:color w:val="212121"/>
                <w:sz w:val="22"/>
                <w:szCs w:val="22"/>
                <w:bdr w:val="none" w:sz="0" w:space="0" w:color="auto" w:frame="1"/>
              </w:rPr>
              <w:t>± 2.</w:t>
            </w:r>
            <w:r w:rsidR="001C544B" w:rsidRPr="002020BA">
              <w:rPr>
                <w:rFonts w:eastAsia="Times New Roman" w:cstheme="minorHAnsi"/>
                <w:color w:val="212121"/>
                <w:sz w:val="22"/>
                <w:szCs w:val="22"/>
                <w:bdr w:val="none" w:sz="0" w:space="0" w:color="auto" w:frame="1"/>
              </w:rPr>
              <w:t>2</w:t>
            </w:r>
          </w:p>
        </w:tc>
        <w:tc>
          <w:tcPr>
            <w:tcW w:w="1787" w:type="dxa"/>
          </w:tcPr>
          <w:p w14:paraId="37427960" w14:textId="77777777" w:rsidR="00BD1C1D" w:rsidRPr="002020BA" w:rsidRDefault="00BD1C1D" w:rsidP="003A6889">
            <w:pPr>
              <w:spacing w:before="240"/>
              <w:jc w:val="center"/>
              <w:rPr>
                <w:rFonts w:cstheme="minorHAnsi"/>
                <w:sz w:val="22"/>
                <w:szCs w:val="22"/>
              </w:rPr>
            </w:pPr>
          </w:p>
        </w:tc>
      </w:tr>
      <w:tr w:rsidR="00BD1C1D" w:rsidRPr="002020BA" w14:paraId="638942EF" w14:textId="0C372248" w:rsidTr="00066389">
        <w:trPr>
          <w:trHeight w:val="20"/>
        </w:trPr>
        <w:tc>
          <w:tcPr>
            <w:tcW w:w="2843" w:type="dxa"/>
            <w:vAlign w:val="center"/>
          </w:tcPr>
          <w:p w14:paraId="42268E74" w14:textId="77777777" w:rsidR="00BD1C1D" w:rsidRPr="002020BA" w:rsidRDefault="00BD1C1D" w:rsidP="00E677AA">
            <w:pPr>
              <w:rPr>
                <w:rFonts w:cstheme="minorHAnsi"/>
                <w:b/>
                <w:bCs/>
                <w:sz w:val="22"/>
                <w:szCs w:val="22"/>
              </w:rPr>
            </w:pPr>
            <w:r w:rsidRPr="002020BA">
              <w:rPr>
                <w:rFonts w:cstheme="minorHAnsi"/>
                <w:b/>
                <w:bCs/>
                <w:sz w:val="22"/>
                <w:szCs w:val="22"/>
              </w:rPr>
              <w:t>Sex</w:t>
            </w:r>
          </w:p>
          <w:p w14:paraId="1FEED141" w14:textId="1D38F713" w:rsidR="00BD1C1D" w:rsidRPr="002020BA" w:rsidRDefault="00BD1C1D" w:rsidP="00E677AA">
            <w:pPr>
              <w:rPr>
                <w:rFonts w:cstheme="minorHAnsi"/>
                <w:sz w:val="22"/>
                <w:szCs w:val="22"/>
              </w:rPr>
            </w:pPr>
            <w:r w:rsidRPr="002020BA">
              <w:rPr>
                <w:rFonts w:cstheme="minorHAnsi"/>
                <w:sz w:val="22"/>
                <w:szCs w:val="22"/>
              </w:rPr>
              <w:t>Male</w:t>
            </w:r>
          </w:p>
          <w:p w14:paraId="15944154" w14:textId="1915A14C" w:rsidR="00BD1C1D" w:rsidRPr="002020BA" w:rsidRDefault="00BD1C1D" w:rsidP="00E677AA">
            <w:pPr>
              <w:rPr>
                <w:rFonts w:cstheme="minorHAnsi"/>
                <w:sz w:val="22"/>
                <w:szCs w:val="22"/>
              </w:rPr>
            </w:pPr>
            <w:r w:rsidRPr="002020BA">
              <w:rPr>
                <w:rFonts w:cstheme="minorHAnsi"/>
                <w:sz w:val="22"/>
                <w:szCs w:val="22"/>
              </w:rPr>
              <w:t>Female</w:t>
            </w:r>
          </w:p>
        </w:tc>
        <w:tc>
          <w:tcPr>
            <w:tcW w:w="2148" w:type="dxa"/>
            <w:vAlign w:val="center"/>
          </w:tcPr>
          <w:p w14:paraId="6E1295BF" w14:textId="77777777" w:rsidR="00BD1C1D" w:rsidRPr="002020BA" w:rsidRDefault="00BD1C1D" w:rsidP="00E677AA">
            <w:pPr>
              <w:jc w:val="center"/>
              <w:rPr>
                <w:rFonts w:cstheme="minorHAnsi"/>
                <w:sz w:val="22"/>
                <w:szCs w:val="22"/>
              </w:rPr>
            </w:pPr>
          </w:p>
          <w:p w14:paraId="0DA69F0B" w14:textId="325401C5" w:rsidR="00BD1C1D" w:rsidRPr="002020BA" w:rsidRDefault="00BD1C1D" w:rsidP="00E677AA">
            <w:pPr>
              <w:jc w:val="center"/>
              <w:rPr>
                <w:rFonts w:cstheme="minorHAnsi"/>
                <w:sz w:val="22"/>
                <w:szCs w:val="22"/>
              </w:rPr>
            </w:pPr>
            <w:r w:rsidRPr="002020BA">
              <w:rPr>
                <w:rFonts w:cstheme="minorHAnsi"/>
                <w:sz w:val="22"/>
                <w:szCs w:val="22"/>
              </w:rPr>
              <w:t>10 (71%)</w:t>
            </w:r>
          </w:p>
          <w:p w14:paraId="739AF9CC" w14:textId="11930B9B" w:rsidR="00BD1C1D" w:rsidRPr="002020BA" w:rsidRDefault="00BD1C1D" w:rsidP="00E677AA">
            <w:pPr>
              <w:jc w:val="center"/>
              <w:rPr>
                <w:rFonts w:cstheme="minorHAnsi"/>
                <w:sz w:val="22"/>
                <w:szCs w:val="22"/>
              </w:rPr>
            </w:pPr>
            <w:r w:rsidRPr="002020BA">
              <w:rPr>
                <w:rFonts w:cstheme="minorHAnsi"/>
                <w:sz w:val="22"/>
                <w:szCs w:val="22"/>
              </w:rPr>
              <w:t>4 (2</w:t>
            </w:r>
            <w:r w:rsidR="001C686D" w:rsidRPr="002020BA">
              <w:rPr>
                <w:rFonts w:cstheme="minorHAnsi"/>
                <w:sz w:val="22"/>
                <w:szCs w:val="22"/>
              </w:rPr>
              <w:t>9</w:t>
            </w:r>
            <w:r w:rsidRPr="002020BA">
              <w:rPr>
                <w:rFonts w:cstheme="minorHAnsi"/>
                <w:sz w:val="22"/>
                <w:szCs w:val="22"/>
              </w:rPr>
              <w:t>%)</w:t>
            </w:r>
          </w:p>
        </w:tc>
        <w:tc>
          <w:tcPr>
            <w:tcW w:w="2237" w:type="dxa"/>
            <w:vAlign w:val="center"/>
          </w:tcPr>
          <w:p w14:paraId="1C3CEEDF" w14:textId="77777777" w:rsidR="00BD1C1D" w:rsidRPr="002020BA" w:rsidRDefault="00BD1C1D" w:rsidP="00E677AA">
            <w:pPr>
              <w:jc w:val="center"/>
              <w:rPr>
                <w:rFonts w:cstheme="minorHAnsi"/>
                <w:sz w:val="22"/>
                <w:szCs w:val="22"/>
              </w:rPr>
            </w:pPr>
          </w:p>
          <w:p w14:paraId="665A7C53" w14:textId="5FAD6D86" w:rsidR="00BD1C1D" w:rsidRPr="002020BA" w:rsidRDefault="001C544B" w:rsidP="00E677AA">
            <w:pPr>
              <w:jc w:val="center"/>
              <w:rPr>
                <w:rFonts w:cstheme="minorHAnsi"/>
                <w:sz w:val="22"/>
                <w:szCs w:val="22"/>
              </w:rPr>
            </w:pPr>
            <w:r w:rsidRPr="002020BA">
              <w:rPr>
                <w:rFonts w:cstheme="minorHAnsi"/>
                <w:sz w:val="22"/>
                <w:szCs w:val="22"/>
              </w:rPr>
              <w:t>8</w:t>
            </w:r>
            <w:r w:rsidR="00BD1C1D" w:rsidRPr="002020BA">
              <w:rPr>
                <w:rFonts w:cstheme="minorHAnsi"/>
                <w:sz w:val="22"/>
                <w:szCs w:val="22"/>
              </w:rPr>
              <w:t xml:space="preserve"> (</w:t>
            </w:r>
            <w:r w:rsidRPr="002020BA">
              <w:rPr>
                <w:rFonts w:cstheme="minorHAnsi"/>
                <w:sz w:val="22"/>
                <w:szCs w:val="22"/>
              </w:rPr>
              <w:t>53</w:t>
            </w:r>
            <w:r w:rsidR="00BD1C1D" w:rsidRPr="002020BA">
              <w:rPr>
                <w:rFonts w:cstheme="minorHAnsi"/>
                <w:sz w:val="22"/>
                <w:szCs w:val="22"/>
              </w:rPr>
              <w:t>%)</w:t>
            </w:r>
          </w:p>
          <w:p w14:paraId="1B6DEF7D" w14:textId="176DC38B" w:rsidR="00BD1C1D" w:rsidRPr="002020BA" w:rsidRDefault="001C544B" w:rsidP="00E677AA">
            <w:pPr>
              <w:jc w:val="center"/>
              <w:rPr>
                <w:rFonts w:cstheme="minorHAnsi"/>
                <w:sz w:val="22"/>
                <w:szCs w:val="22"/>
              </w:rPr>
            </w:pPr>
            <w:r w:rsidRPr="002020BA">
              <w:rPr>
                <w:rFonts w:cstheme="minorHAnsi"/>
                <w:sz w:val="22"/>
                <w:szCs w:val="22"/>
              </w:rPr>
              <w:t xml:space="preserve">7 </w:t>
            </w:r>
            <w:r w:rsidR="00BD1C1D" w:rsidRPr="002020BA">
              <w:rPr>
                <w:rFonts w:cstheme="minorHAnsi"/>
                <w:sz w:val="22"/>
                <w:szCs w:val="22"/>
              </w:rPr>
              <w:t>(4</w:t>
            </w:r>
            <w:r w:rsidR="001C686D" w:rsidRPr="002020BA">
              <w:rPr>
                <w:rFonts w:cstheme="minorHAnsi"/>
                <w:sz w:val="22"/>
                <w:szCs w:val="22"/>
              </w:rPr>
              <w:t>7</w:t>
            </w:r>
            <w:r w:rsidR="00BD1C1D" w:rsidRPr="002020BA">
              <w:rPr>
                <w:rFonts w:cstheme="minorHAnsi"/>
                <w:sz w:val="22"/>
                <w:szCs w:val="22"/>
              </w:rPr>
              <w:t>%)</w:t>
            </w:r>
          </w:p>
        </w:tc>
        <w:tc>
          <w:tcPr>
            <w:tcW w:w="1787" w:type="dxa"/>
          </w:tcPr>
          <w:p w14:paraId="6B3186AC" w14:textId="77777777" w:rsidR="00BD1C1D" w:rsidRPr="002020BA" w:rsidRDefault="00BD1C1D" w:rsidP="00E677AA">
            <w:pPr>
              <w:jc w:val="center"/>
              <w:rPr>
                <w:rFonts w:cstheme="minorHAnsi"/>
                <w:sz w:val="22"/>
                <w:szCs w:val="22"/>
              </w:rPr>
            </w:pPr>
          </w:p>
          <w:p w14:paraId="3A2AE5CB" w14:textId="1EF62A3C" w:rsidR="006E06EE" w:rsidRPr="002020BA" w:rsidRDefault="006E06EE" w:rsidP="00E677AA">
            <w:pPr>
              <w:jc w:val="center"/>
              <w:rPr>
                <w:rFonts w:cstheme="minorHAnsi"/>
                <w:sz w:val="22"/>
                <w:szCs w:val="22"/>
              </w:rPr>
            </w:pPr>
            <w:r w:rsidRPr="002020BA">
              <w:rPr>
                <w:rFonts w:cstheme="minorHAnsi"/>
                <w:sz w:val="22"/>
                <w:szCs w:val="22"/>
              </w:rPr>
              <w:t>0.</w:t>
            </w:r>
            <w:r w:rsidR="0004768F" w:rsidRPr="002020BA">
              <w:rPr>
                <w:rFonts w:cstheme="minorHAnsi"/>
                <w:sz w:val="22"/>
                <w:szCs w:val="22"/>
              </w:rPr>
              <w:t>316</w:t>
            </w:r>
          </w:p>
        </w:tc>
      </w:tr>
      <w:tr w:rsidR="00BD1C1D" w:rsidRPr="002020BA" w14:paraId="6F913556" w14:textId="1ABE7B15" w:rsidTr="00066389">
        <w:trPr>
          <w:trHeight w:val="20"/>
        </w:trPr>
        <w:tc>
          <w:tcPr>
            <w:tcW w:w="2843" w:type="dxa"/>
            <w:vAlign w:val="center"/>
          </w:tcPr>
          <w:p w14:paraId="0DFB90E6" w14:textId="77777777" w:rsidR="00BD1C1D" w:rsidRPr="002020BA" w:rsidRDefault="00BD1C1D" w:rsidP="00E677AA">
            <w:pPr>
              <w:rPr>
                <w:rFonts w:cstheme="minorHAnsi"/>
                <w:b/>
                <w:color w:val="000000" w:themeColor="text1"/>
                <w:sz w:val="22"/>
                <w:szCs w:val="22"/>
              </w:rPr>
            </w:pPr>
            <w:r w:rsidRPr="002020BA">
              <w:rPr>
                <w:rFonts w:cstheme="minorHAnsi"/>
                <w:b/>
                <w:color w:val="000000" w:themeColor="text1"/>
                <w:sz w:val="22"/>
                <w:szCs w:val="22"/>
              </w:rPr>
              <w:t>Mutations</w:t>
            </w:r>
          </w:p>
          <w:p w14:paraId="1CD45C11" w14:textId="372B3664" w:rsidR="00BD1C1D" w:rsidRPr="002020BA" w:rsidRDefault="00BD1C1D" w:rsidP="003A6889">
            <w:pPr>
              <w:rPr>
                <w:rFonts w:cstheme="minorHAnsi"/>
                <w:color w:val="000000" w:themeColor="text1"/>
                <w:sz w:val="22"/>
                <w:szCs w:val="22"/>
              </w:rPr>
            </w:pPr>
            <w:r w:rsidRPr="002020BA">
              <w:rPr>
                <w:rFonts w:cstheme="minorHAnsi"/>
                <w:color w:val="000000" w:themeColor="text1"/>
                <w:sz w:val="22"/>
                <w:szCs w:val="22"/>
              </w:rPr>
              <w:t>2 mutations in class I-III</w:t>
            </w:r>
          </w:p>
          <w:p w14:paraId="70D9F78C" w14:textId="15D3DD69" w:rsidR="00BD1C1D" w:rsidRPr="002020BA" w:rsidRDefault="00BD1C1D" w:rsidP="003A6889">
            <w:pPr>
              <w:rPr>
                <w:rFonts w:cstheme="minorHAnsi"/>
                <w:color w:val="000000" w:themeColor="text1"/>
                <w:sz w:val="22"/>
                <w:szCs w:val="22"/>
              </w:rPr>
            </w:pPr>
            <w:r w:rsidRPr="002020BA">
              <w:rPr>
                <w:rFonts w:cstheme="minorHAnsi"/>
                <w:color w:val="000000" w:themeColor="text1"/>
                <w:sz w:val="22"/>
                <w:szCs w:val="22"/>
              </w:rPr>
              <w:t>1 mutation in class I-III and one in class IV-VI or unidentified/unclassified</w:t>
            </w:r>
          </w:p>
          <w:p w14:paraId="23D9B154" w14:textId="7C5DFB86" w:rsidR="00BD1C1D" w:rsidRPr="002020BA" w:rsidRDefault="00BD1C1D" w:rsidP="00E677AA">
            <w:pPr>
              <w:rPr>
                <w:rFonts w:cstheme="minorHAnsi"/>
                <w:color w:val="000000" w:themeColor="text1"/>
                <w:sz w:val="22"/>
                <w:szCs w:val="22"/>
              </w:rPr>
            </w:pPr>
            <w:r w:rsidRPr="002020BA">
              <w:rPr>
                <w:rFonts w:cstheme="minorHAnsi"/>
                <w:color w:val="000000" w:themeColor="text1"/>
                <w:sz w:val="22"/>
                <w:szCs w:val="22"/>
              </w:rPr>
              <w:t>2 mutations in class IV-VI or unidentified/unclassified</w:t>
            </w:r>
          </w:p>
        </w:tc>
        <w:tc>
          <w:tcPr>
            <w:tcW w:w="2148" w:type="dxa"/>
            <w:vAlign w:val="center"/>
          </w:tcPr>
          <w:p w14:paraId="213A3E8B" w14:textId="74AB34DC" w:rsidR="00BD1C1D" w:rsidRPr="002020BA" w:rsidRDefault="001C544B" w:rsidP="003A6889">
            <w:pPr>
              <w:jc w:val="center"/>
              <w:rPr>
                <w:rFonts w:cstheme="minorHAnsi"/>
                <w:color w:val="000000" w:themeColor="text1"/>
                <w:sz w:val="22"/>
                <w:szCs w:val="22"/>
              </w:rPr>
            </w:pPr>
            <w:r w:rsidRPr="002020BA">
              <w:rPr>
                <w:rFonts w:cstheme="minorHAnsi"/>
                <w:color w:val="000000" w:themeColor="text1"/>
                <w:sz w:val="22"/>
                <w:szCs w:val="22"/>
              </w:rPr>
              <w:t>10</w:t>
            </w:r>
            <w:r w:rsidR="00BD1C1D" w:rsidRPr="002020BA">
              <w:rPr>
                <w:rFonts w:cstheme="minorHAnsi"/>
                <w:color w:val="000000" w:themeColor="text1"/>
                <w:sz w:val="22"/>
                <w:szCs w:val="22"/>
              </w:rPr>
              <w:t xml:space="preserve"> (</w:t>
            </w:r>
            <w:r w:rsidRPr="002020BA">
              <w:rPr>
                <w:rFonts w:cstheme="minorHAnsi"/>
                <w:color w:val="000000" w:themeColor="text1"/>
                <w:sz w:val="22"/>
                <w:szCs w:val="22"/>
              </w:rPr>
              <w:t>71</w:t>
            </w:r>
            <w:r w:rsidR="00BD1C1D" w:rsidRPr="002020BA">
              <w:rPr>
                <w:rFonts w:cstheme="minorHAnsi"/>
                <w:color w:val="000000" w:themeColor="text1"/>
                <w:sz w:val="22"/>
                <w:szCs w:val="22"/>
              </w:rPr>
              <w:t>%)</w:t>
            </w:r>
          </w:p>
          <w:p w14:paraId="10B3225B" w14:textId="5A174482" w:rsidR="00BD1C1D" w:rsidRPr="002020BA" w:rsidRDefault="001C544B" w:rsidP="00E677AA">
            <w:pPr>
              <w:jc w:val="center"/>
              <w:rPr>
                <w:rFonts w:cstheme="minorHAnsi"/>
                <w:color w:val="000000" w:themeColor="text1"/>
                <w:sz w:val="22"/>
                <w:szCs w:val="22"/>
              </w:rPr>
            </w:pPr>
            <w:r w:rsidRPr="002020BA">
              <w:rPr>
                <w:rFonts w:cstheme="minorHAnsi"/>
                <w:color w:val="000000" w:themeColor="text1"/>
                <w:sz w:val="22"/>
                <w:szCs w:val="22"/>
              </w:rPr>
              <w:t xml:space="preserve">2 </w:t>
            </w:r>
            <w:r w:rsidR="00BD1C1D" w:rsidRPr="002020BA">
              <w:rPr>
                <w:rFonts w:cstheme="minorHAnsi"/>
                <w:color w:val="000000" w:themeColor="text1"/>
                <w:sz w:val="22"/>
                <w:szCs w:val="22"/>
              </w:rPr>
              <w:t>(</w:t>
            </w:r>
            <w:r w:rsidRPr="002020BA">
              <w:rPr>
                <w:rFonts w:cstheme="minorHAnsi"/>
                <w:color w:val="000000" w:themeColor="text1"/>
                <w:sz w:val="22"/>
                <w:szCs w:val="22"/>
              </w:rPr>
              <w:t>14</w:t>
            </w:r>
            <w:r w:rsidR="00BD1C1D" w:rsidRPr="002020BA">
              <w:rPr>
                <w:rFonts w:cstheme="minorHAnsi"/>
                <w:color w:val="000000" w:themeColor="text1"/>
                <w:sz w:val="22"/>
                <w:szCs w:val="22"/>
              </w:rPr>
              <w:t>%)</w:t>
            </w:r>
          </w:p>
          <w:p w14:paraId="6288435B" w14:textId="208CED73" w:rsidR="00BD1C1D" w:rsidRPr="002020BA" w:rsidRDefault="00BD1C1D" w:rsidP="00E677AA">
            <w:pPr>
              <w:jc w:val="center"/>
              <w:rPr>
                <w:rFonts w:cstheme="minorHAnsi"/>
                <w:color w:val="000000" w:themeColor="text1"/>
                <w:sz w:val="22"/>
                <w:szCs w:val="22"/>
              </w:rPr>
            </w:pPr>
          </w:p>
          <w:p w14:paraId="597E2420" w14:textId="77777777" w:rsidR="00BD1C1D" w:rsidRPr="002020BA" w:rsidRDefault="00BD1C1D" w:rsidP="00E677AA">
            <w:pPr>
              <w:jc w:val="center"/>
              <w:rPr>
                <w:rFonts w:cstheme="minorHAnsi"/>
                <w:color w:val="000000" w:themeColor="text1"/>
                <w:sz w:val="22"/>
                <w:szCs w:val="22"/>
              </w:rPr>
            </w:pPr>
          </w:p>
          <w:p w14:paraId="7174A992" w14:textId="6C489047" w:rsidR="00BD1C1D" w:rsidRPr="002020BA" w:rsidRDefault="00BD1C1D" w:rsidP="00E677AA">
            <w:pPr>
              <w:jc w:val="center"/>
              <w:rPr>
                <w:rFonts w:cstheme="minorHAnsi"/>
                <w:color w:val="000000" w:themeColor="text1"/>
                <w:sz w:val="22"/>
                <w:szCs w:val="22"/>
              </w:rPr>
            </w:pPr>
            <w:r w:rsidRPr="002020BA">
              <w:rPr>
                <w:rFonts w:cstheme="minorHAnsi"/>
                <w:color w:val="000000" w:themeColor="text1"/>
                <w:sz w:val="22"/>
                <w:szCs w:val="22"/>
              </w:rPr>
              <w:t>2 (14%)</w:t>
            </w:r>
          </w:p>
        </w:tc>
        <w:tc>
          <w:tcPr>
            <w:tcW w:w="2237" w:type="dxa"/>
            <w:vAlign w:val="center"/>
          </w:tcPr>
          <w:p w14:paraId="68FBD140" w14:textId="7A6FE8CF" w:rsidR="00BD1C1D" w:rsidRPr="002020BA" w:rsidRDefault="001C544B" w:rsidP="001C544B">
            <w:pPr>
              <w:jc w:val="center"/>
              <w:rPr>
                <w:rFonts w:cstheme="minorHAnsi"/>
                <w:color w:val="000000" w:themeColor="text1"/>
                <w:sz w:val="22"/>
                <w:szCs w:val="22"/>
              </w:rPr>
            </w:pPr>
            <w:r w:rsidRPr="002020BA">
              <w:rPr>
                <w:rFonts w:cstheme="minorHAnsi"/>
                <w:color w:val="000000" w:themeColor="text1"/>
                <w:sz w:val="22"/>
                <w:szCs w:val="22"/>
              </w:rPr>
              <w:t>10</w:t>
            </w:r>
            <w:r w:rsidR="00BD1C1D" w:rsidRPr="002020BA">
              <w:rPr>
                <w:rFonts w:cstheme="minorHAnsi"/>
                <w:color w:val="000000" w:themeColor="text1"/>
                <w:sz w:val="22"/>
                <w:szCs w:val="22"/>
              </w:rPr>
              <w:t xml:space="preserve"> (6</w:t>
            </w:r>
            <w:r w:rsidR="00ED25E7" w:rsidRPr="002020BA">
              <w:rPr>
                <w:rFonts w:cstheme="minorHAnsi"/>
                <w:color w:val="000000" w:themeColor="text1"/>
                <w:sz w:val="22"/>
                <w:szCs w:val="22"/>
              </w:rPr>
              <w:t>6</w:t>
            </w:r>
            <w:r w:rsidR="00BD1C1D" w:rsidRPr="002020BA">
              <w:rPr>
                <w:rFonts w:cstheme="minorHAnsi"/>
                <w:color w:val="000000" w:themeColor="text1"/>
                <w:sz w:val="22"/>
                <w:szCs w:val="22"/>
              </w:rPr>
              <w:t>%)</w:t>
            </w:r>
          </w:p>
          <w:p w14:paraId="0F79CD94" w14:textId="11BA2614" w:rsidR="00BD1C1D" w:rsidRPr="002020BA" w:rsidRDefault="001C544B" w:rsidP="003A6889">
            <w:pPr>
              <w:jc w:val="center"/>
              <w:rPr>
                <w:rFonts w:cstheme="minorHAnsi"/>
                <w:color w:val="000000" w:themeColor="text1"/>
                <w:sz w:val="22"/>
                <w:szCs w:val="22"/>
              </w:rPr>
            </w:pPr>
            <w:r w:rsidRPr="002020BA">
              <w:rPr>
                <w:rFonts w:cstheme="minorHAnsi"/>
                <w:color w:val="000000" w:themeColor="text1"/>
                <w:sz w:val="22"/>
                <w:szCs w:val="22"/>
              </w:rPr>
              <w:t xml:space="preserve">5 </w:t>
            </w:r>
            <w:r w:rsidR="00BD1C1D" w:rsidRPr="002020BA">
              <w:rPr>
                <w:rFonts w:cstheme="minorHAnsi"/>
                <w:color w:val="000000" w:themeColor="text1"/>
                <w:sz w:val="22"/>
                <w:szCs w:val="22"/>
              </w:rPr>
              <w:t>(</w:t>
            </w:r>
            <w:r w:rsidR="00ED25E7" w:rsidRPr="002020BA">
              <w:rPr>
                <w:rFonts w:cstheme="minorHAnsi"/>
                <w:color w:val="000000" w:themeColor="text1"/>
                <w:sz w:val="22"/>
                <w:szCs w:val="22"/>
              </w:rPr>
              <w:t>33</w:t>
            </w:r>
            <w:r w:rsidR="00BD1C1D" w:rsidRPr="002020BA">
              <w:rPr>
                <w:rFonts w:cstheme="minorHAnsi"/>
                <w:color w:val="000000" w:themeColor="text1"/>
                <w:sz w:val="22"/>
                <w:szCs w:val="22"/>
              </w:rPr>
              <w:t>%)</w:t>
            </w:r>
          </w:p>
          <w:p w14:paraId="31DBBA19" w14:textId="557F1544" w:rsidR="00BD1C1D" w:rsidRPr="002020BA" w:rsidRDefault="00BD1C1D" w:rsidP="003A6889">
            <w:pPr>
              <w:jc w:val="center"/>
              <w:rPr>
                <w:rFonts w:cstheme="minorHAnsi"/>
                <w:color w:val="000000" w:themeColor="text1"/>
                <w:sz w:val="22"/>
                <w:szCs w:val="22"/>
              </w:rPr>
            </w:pPr>
          </w:p>
          <w:p w14:paraId="075FB6C9" w14:textId="77777777" w:rsidR="00BD1C1D" w:rsidRPr="002020BA" w:rsidRDefault="00BD1C1D" w:rsidP="003A6889">
            <w:pPr>
              <w:jc w:val="center"/>
              <w:rPr>
                <w:rFonts w:cstheme="minorHAnsi"/>
                <w:color w:val="000000" w:themeColor="text1"/>
                <w:sz w:val="22"/>
                <w:szCs w:val="22"/>
              </w:rPr>
            </w:pPr>
          </w:p>
          <w:p w14:paraId="239A3FE0" w14:textId="4972225C" w:rsidR="00BD1C1D" w:rsidRPr="002020BA" w:rsidRDefault="00BD1C1D" w:rsidP="001C686D">
            <w:pPr>
              <w:rPr>
                <w:rFonts w:cstheme="minorHAnsi"/>
                <w:color w:val="000000" w:themeColor="text1"/>
                <w:sz w:val="22"/>
                <w:szCs w:val="22"/>
              </w:rPr>
            </w:pPr>
          </w:p>
        </w:tc>
        <w:tc>
          <w:tcPr>
            <w:tcW w:w="1787" w:type="dxa"/>
          </w:tcPr>
          <w:p w14:paraId="278FDD5C" w14:textId="77777777" w:rsidR="00BD1C1D" w:rsidRPr="002020BA" w:rsidRDefault="00BD1C1D" w:rsidP="003A6889">
            <w:pPr>
              <w:jc w:val="center"/>
              <w:rPr>
                <w:rFonts w:cstheme="minorHAnsi"/>
                <w:color w:val="000000" w:themeColor="text1"/>
                <w:sz w:val="22"/>
                <w:szCs w:val="22"/>
              </w:rPr>
            </w:pPr>
          </w:p>
          <w:p w14:paraId="1884A268" w14:textId="1F5ACAE6" w:rsidR="00B86849" w:rsidRPr="002020BA" w:rsidRDefault="00B86849" w:rsidP="003A6889">
            <w:pPr>
              <w:jc w:val="center"/>
              <w:rPr>
                <w:rFonts w:cstheme="minorHAnsi"/>
                <w:color w:val="000000" w:themeColor="text1"/>
                <w:sz w:val="22"/>
                <w:szCs w:val="22"/>
              </w:rPr>
            </w:pPr>
            <w:r w:rsidRPr="002020BA">
              <w:rPr>
                <w:rFonts w:cstheme="minorHAnsi"/>
                <w:color w:val="000000" w:themeColor="text1"/>
                <w:sz w:val="22"/>
                <w:szCs w:val="22"/>
              </w:rPr>
              <w:t>0.196</w:t>
            </w:r>
          </w:p>
        </w:tc>
      </w:tr>
      <w:tr w:rsidR="00066389" w:rsidRPr="002020BA" w14:paraId="684F82A2" w14:textId="77777777" w:rsidTr="00066389">
        <w:trPr>
          <w:trHeight w:val="20"/>
        </w:trPr>
        <w:tc>
          <w:tcPr>
            <w:tcW w:w="2843" w:type="dxa"/>
            <w:vAlign w:val="center"/>
          </w:tcPr>
          <w:p w14:paraId="4E205B62" w14:textId="49CAF72F" w:rsidR="00066389" w:rsidRPr="002020BA" w:rsidRDefault="00066389" w:rsidP="00066389">
            <w:pPr>
              <w:spacing w:before="120"/>
              <w:rPr>
                <w:rFonts w:cstheme="minorHAnsi"/>
                <w:b/>
                <w:bCs/>
                <w:sz w:val="22"/>
                <w:szCs w:val="22"/>
              </w:rPr>
            </w:pPr>
            <w:r w:rsidRPr="002020BA">
              <w:rPr>
                <w:rFonts w:cstheme="minorHAnsi"/>
                <w:b/>
                <w:bCs/>
                <w:sz w:val="22"/>
                <w:szCs w:val="22"/>
              </w:rPr>
              <w:t>Age at diagnosis of diabetes (</w:t>
            </w:r>
            <w:proofErr w:type="spellStart"/>
            <w:r w:rsidRPr="002020BA">
              <w:rPr>
                <w:rFonts w:cstheme="minorHAnsi"/>
                <w:b/>
                <w:bCs/>
                <w:sz w:val="22"/>
                <w:szCs w:val="22"/>
              </w:rPr>
              <w:t>yrs</w:t>
            </w:r>
            <w:proofErr w:type="spellEnd"/>
            <w:r w:rsidRPr="002020BA">
              <w:rPr>
                <w:rFonts w:cstheme="minorHAnsi"/>
                <w:b/>
                <w:bCs/>
                <w:sz w:val="22"/>
                <w:szCs w:val="22"/>
              </w:rPr>
              <w:t>)</w:t>
            </w:r>
          </w:p>
        </w:tc>
        <w:tc>
          <w:tcPr>
            <w:tcW w:w="2148" w:type="dxa"/>
            <w:vAlign w:val="center"/>
          </w:tcPr>
          <w:p w14:paraId="4A5E8E66" w14:textId="664A77E2" w:rsidR="00066389" w:rsidRPr="002020BA" w:rsidRDefault="00066389" w:rsidP="00066389">
            <w:pPr>
              <w:tabs>
                <w:tab w:val="left" w:pos="913"/>
              </w:tabs>
              <w:spacing w:before="120"/>
              <w:jc w:val="center"/>
              <w:rPr>
                <w:rFonts w:cstheme="minorHAnsi"/>
                <w:sz w:val="22"/>
                <w:szCs w:val="22"/>
              </w:rPr>
            </w:pPr>
            <w:r w:rsidRPr="002020BA">
              <w:rPr>
                <w:rFonts w:cstheme="minorHAnsi"/>
                <w:sz w:val="22"/>
                <w:szCs w:val="22"/>
              </w:rPr>
              <w:t>18 [12 – 20]</w:t>
            </w:r>
          </w:p>
        </w:tc>
        <w:tc>
          <w:tcPr>
            <w:tcW w:w="2237" w:type="dxa"/>
            <w:vAlign w:val="center"/>
          </w:tcPr>
          <w:p w14:paraId="2889CA0E" w14:textId="022F24FB" w:rsidR="00066389" w:rsidRPr="002020BA" w:rsidRDefault="00066389" w:rsidP="00066389">
            <w:pPr>
              <w:spacing w:before="120"/>
              <w:jc w:val="center"/>
              <w:rPr>
                <w:rFonts w:cstheme="minorHAnsi"/>
                <w:sz w:val="22"/>
                <w:szCs w:val="22"/>
              </w:rPr>
            </w:pPr>
            <w:r w:rsidRPr="002020BA">
              <w:rPr>
                <w:rFonts w:cstheme="minorHAnsi"/>
                <w:color w:val="000000" w:themeColor="text1"/>
                <w:sz w:val="22"/>
                <w:szCs w:val="22"/>
              </w:rPr>
              <w:t>1</w:t>
            </w:r>
            <w:r w:rsidRPr="002020BA">
              <w:rPr>
                <w:rFonts w:eastAsia="Times New Roman" w:cstheme="minorHAnsi"/>
                <w:color w:val="212121"/>
                <w:sz w:val="22"/>
                <w:szCs w:val="22"/>
                <w:bdr w:val="none" w:sz="0" w:space="0" w:color="auto" w:frame="1"/>
              </w:rPr>
              <w:t>4 [0 – 19)</w:t>
            </w:r>
          </w:p>
        </w:tc>
        <w:tc>
          <w:tcPr>
            <w:tcW w:w="1787" w:type="dxa"/>
            <w:vAlign w:val="center"/>
          </w:tcPr>
          <w:p w14:paraId="49193D3F" w14:textId="2A6434E3" w:rsidR="00066389" w:rsidRPr="002020BA" w:rsidRDefault="00066389" w:rsidP="00066389">
            <w:pPr>
              <w:spacing w:before="120"/>
              <w:jc w:val="center"/>
              <w:rPr>
                <w:rFonts w:cstheme="minorHAnsi"/>
                <w:sz w:val="22"/>
                <w:szCs w:val="22"/>
              </w:rPr>
            </w:pPr>
            <w:r w:rsidRPr="002020BA">
              <w:rPr>
                <w:rFonts w:cstheme="minorHAnsi"/>
                <w:sz w:val="22"/>
                <w:szCs w:val="22"/>
              </w:rPr>
              <w:t>0.049</w:t>
            </w:r>
          </w:p>
        </w:tc>
      </w:tr>
      <w:tr w:rsidR="00066389" w:rsidRPr="002020BA" w14:paraId="3691AF96" w14:textId="77777777" w:rsidTr="00066389">
        <w:trPr>
          <w:trHeight w:val="20"/>
        </w:trPr>
        <w:tc>
          <w:tcPr>
            <w:tcW w:w="2843" w:type="dxa"/>
            <w:vAlign w:val="center"/>
          </w:tcPr>
          <w:p w14:paraId="3F10CC9E" w14:textId="77777777" w:rsidR="00066389" w:rsidRPr="002020BA" w:rsidRDefault="00066389" w:rsidP="00066389">
            <w:pPr>
              <w:spacing w:before="120"/>
              <w:rPr>
                <w:rFonts w:cstheme="minorHAnsi"/>
                <w:b/>
                <w:bCs/>
                <w:sz w:val="6"/>
                <w:szCs w:val="22"/>
              </w:rPr>
            </w:pPr>
          </w:p>
        </w:tc>
        <w:tc>
          <w:tcPr>
            <w:tcW w:w="2148" w:type="dxa"/>
            <w:vAlign w:val="center"/>
          </w:tcPr>
          <w:p w14:paraId="02868D5D" w14:textId="77777777" w:rsidR="00066389" w:rsidRPr="002020BA" w:rsidRDefault="00066389" w:rsidP="00066389">
            <w:pPr>
              <w:tabs>
                <w:tab w:val="left" w:pos="913"/>
              </w:tabs>
              <w:spacing w:before="120"/>
              <w:jc w:val="center"/>
              <w:rPr>
                <w:rFonts w:cstheme="minorHAnsi"/>
                <w:sz w:val="6"/>
                <w:szCs w:val="22"/>
              </w:rPr>
            </w:pPr>
          </w:p>
        </w:tc>
        <w:tc>
          <w:tcPr>
            <w:tcW w:w="2237" w:type="dxa"/>
            <w:vAlign w:val="center"/>
          </w:tcPr>
          <w:p w14:paraId="7EE9D297" w14:textId="77777777" w:rsidR="00066389" w:rsidRPr="002020BA" w:rsidRDefault="00066389" w:rsidP="00066389">
            <w:pPr>
              <w:spacing w:before="120"/>
              <w:jc w:val="center"/>
              <w:rPr>
                <w:rFonts w:cstheme="minorHAnsi"/>
                <w:color w:val="000000" w:themeColor="text1"/>
                <w:sz w:val="6"/>
                <w:szCs w:val="22"/>
              </w:rPr>
            </w:pPr>
          </w:p>
        </w:tc>
        <w:tc>
          <w:tcPr>
            <w:tcW w:w="1787" w:type="dxa"/>
            <w:vAlign w:val="center"/>
          </w:tcPr>
          <w:p w14:paraId="6B40F8B2" w14:textId="77777777" w:rsidR="00066389" w:rsidRPr="002020BA" w:rsidRDefault="00066389" w:rsidP="00066389">
            <w:pPr>
              <w:spacing w:before="120"/>
              <w:jc w:val="center"/>
              <w:rPr>
                <w:rFonts w:cstheme="minorHAnsi"/>
                <w:sz w:val="6"/>
                <w:szCs w:val="22"/>
              </w:rPr>
            </w:pPr>
          </w:p>
        </w:tc>
      </w:tr>
      <w:tr w:rsidR="006E06EE" w:rsidRPr="002020BA" w14:paraId="64BBC970" w14:textId="77777777" w:rsidTr="00066389">
        <w:trPr>
          <w:trHeight w:val="20"/>
        </w:trPr>
        <w:tc>
          <w:tcPr>
            <w:tcW w:w="2843" w:type="dxa"/>
            <w:vAlign w:val="center"/>
          </w:tcPr>
          <w:p w14:paraId="05B003C8" w14:textId="3242B876" w:rsidR="006E06EE" w:rsidRPr="002020BA" w:rsidRDefault="006E06EE" w:rsidP="003A6889">
            <w:pPr>
              <w:spacing w:before="120"/>
              <w:rPr>
                <w:rFonts w:cstheme="minorHAnsi"/>
                <w:b/>
                <w:bCs/>
                <w:sz w:val="22"/>
                <w:szCs w:val="22"/>
              </w:rPr>
            </w:pPr>
            <w:r w:rsidRPr="002020BA">
              <w:rPr>
                <w:rFonts w:cstheme="minorHAnsi"/>
                <w:b/>
                <w:bCs/>
                <w:sz w:val="22"/>
                <w:szCs w:val="22"/>
              </w:rPr>
              <w:t>Clinical characteristics at transition to the adult CFRD service</w:t>
            </w:r>
          </w:p>
        </w:tc>
        <w:tc>
          <w:tcPr>
            <w:tcW w:w="2148" w:type="dxa"/>
            <w:vAlign w:val="center"/>
          </w:tcPr>
          <w:p w14:paraId="4C8DC275" w14:textId="77777777" w:rsidR="006E06EE" w:rsidRPr="002020BA" w:rsidRDefault="006E06EE" w:rsidP="003A6889">
            <w:pPr>
              <w:tabs>
                <w:tab w:val="left" w:pos="913"/>
              </w:tabs>
              <w:spacing w:before="120"/>
              <w:jc w:val="center"/>
              <w:rPr>
                <w:rFonts w:cstheme="minorHAnsi"/>
                <w:sz w:val="22"/>
                <w:szCs w:val="22"/>
              </w:rPr>
            </w:pPr>
          </w:p>
        </w:tc>
        <w:tc>
          <w:tcPr>
            <w:tcW w:w="2237" w:type="dxa"/>
            <w:vAlign w:val="center"/>
          </w:tcPr>
          <w:p w14:paraId="7569E22F" w14:textId="77777777" w:rsidR="006E06EE" w:rsidRPr="002020BA" w:rsidRDefault="006E06EE" w:rsidP="003A6889">
            <w:pPr>
              <w:spacing w:before="120"/>
              <w:jc w:val="center"/>
              <w:rPr>
                <w:rFonts w:cstheme="minorHAnsi"/>
                <w:sz w:val="22"/>
                <w:szCs w:val="22"/>
              </w:rPr>
            </w:pPr>
          </w:p>
        </w:tc>
        <w:tc>
          <w:tcPr>
            <w:tcW w:w="1787" w:type="dxa"/>
          </w:tcPr>
          <w:p w14:paraId="7A17238D" w14:textId="77777777" w:rsidR="006E06EE" w:rsidRPr="002020BA" w:rsidRDefault="006E06EE" w:rsidP="003A6889">
            <w:pPr>
              <w:spacing w:before="120"/>
              <w:jc w:val="center"/>
              <w:rPr>
                <w:rFonts w:cstheme="minorHAnsi"/>
                <w:sz w:val="22"/>
                <w:szCs w:val="22"/>
              </w:rPr>
            </w:pPr>
          </w:p>
        </w:tc>
      </w:tr>
      <w:tr w:rsidR="006E06EE" w:rsidRPr="002020BA" w14:paraId="6462A066" w14:textId="77777777" w:rsidTr="00066389">
        <w:trPr>
          <w:trHeight w:val="20"/>
        </w:trPr>
        <w:tc>
          <w:tcPr>
            <w:tcW w:w="2843" w:type="dxa"/>
            <w:vAlign w:val="center"/>
          </w:tcPr>
          <w:p w14:paraId="2C7D07F3" w14:textId="7ED93F5E" w:rsidR="006E06EE" w:rsidRPr="002020BA" w:rsidRDefault="006E06EE" w:rsidP="003A6889">
            <w:pPr>
              <w:spacing w:before="120"/>
              <w:rPr>
                <w:rFonts w:cstheme="minorHAnsi"/>
                <w:b/>
                <w:bCs/>
                <w:sz w:val="22"/>
                <w:szCs w:val="22"/>
              </w:rPr>
            </w:pPr>
            <w:r w:rsidRPr="002020BA">
              <w:rPr>
                <w:rFonts w:cstheme="minorHAnsi"/>
                <w:b/>
                <w:bCs/>
                <w:sz w:val="22"/>
                <w:szCs w:val="22"/>
              </w:rPr>
              <w:t>HbA</w:t>
            </w:r>
            <w:r w:rsidRPr="002020BA">
              <w:rPr>
                <w:rFonts w:cstheme="minorHAnsi"/>
                <w:b/>
                <w:bCs/>
                <w:sz w:val="22"/>
                <w:szCs w:val="22"/>
                <w:vertAlign w:val="subscript"/>
              </w:rPr>
              <w:t>1c</w:t>
            </w:r>
            <w:r w:rsidRPr="002020BA">
              <w:rPr>
                <w:rFonts w:cstheme="minorHAnsi"/>
                <w:b/>
                <w:bCs/>
                <w:sz w:val="22"/>
                <w:szCs w:val="22"/>
              </w:rPr>
              <w:t xml:space="preserve"> (mmol/mol)</w:t>
            </w:r>
          </w:p>
        </w:tc>
        <w:tc>
          <w:tcPr>
            <w:tcW w:w="2148" w:type="dxa"/>
            <w:vAlign w:val="center"/>
          </w:tcPr>
          <w:p w14:paraId="53A6AF0C" w14:textId="4719DC0B" w:rsidR="006E06EE" w:rsidRPr="002020BA" w:rsidRDefault="006E06EE" w:rsidP="003A6889">
            <w:pPr>
              <w:tabs>
                <w:tab w:val="left" w:pos="913"/>
              </w:tabs>
              <w:spacing w:before="120"/>
              <w:jc w:val="center"/>
              <w:rPr>
                <w:rFonts w:cstheme="minorHAnsi"/>
                <w:sz w:val="22"/>
                <w:szCs w:val="22"/>
              </w:rPr>
            </w:pPr>
            <w:r w:rsidRPr="002020BA">
              <w:rPr>
                <w:rFonts w:cstheme="minorHAnsi"/>
                <w:sz w:val="22"/>
                <w:szCs w:val="22"/>
              </w:rPr>
              <w:t>3</w:t>
            </w:r>
            <w:r w:rsidR="00066389" w:rsidRPr="002020BA">
              <w:rPr>
                <w:rFonts w:cstheme="minorHAnsi"/>
                <w:sz w:val="22"/>
                <w:szCs w:val="22"/>
              </w:rPr>
              <w:t>9</w:t>
            </w:r>
            <w:r w:rsidRPr="002020BA">
              <w:rPr>
                <w:rFonts w:cstheme="minorHAnsi"/>
                <w:sz w:val="22"/>
                <w:szCs w:val="22"/>
              </w:rPr>
              <w:t xml:space="preserve"> </w:t>
            </w:r>
            <w:r w:rsidRPr="002020BA">
              <w:rPr>
                <w:rFonts w:eastAsia="Times New Roman" w:cstheme="minorHAnsi"/>
                <w:color w:val="212121"/>
                <w:sz w:val="22"/>
                <w:szCs w:val="22"/>
                <w:bdr w:val="none" w:sz="0" w:space="0" w:color="auto" w:frame="1"/>
              </w:rPr>
              <w:t>± </w:t>
            </w:r>
            <w:r w:rsidR="001C544B" w:rsidRPr="002020BA">
              <w:rPr>
                <w:rFonts w:eastAsia="Times New Roman" w:cstheme="minorHAnsi"/>
                <w:color w:val="212121"/>
                <w:sz w:val="22"/>
                <w:szCs w:val="22"/>
                <w:bdr w:val="none" w:sz="0" w:space="0" w:color="auto" w:frame="1"/>
              </w:rPr>
              <w:t>6</w:t>
            </w:r>
          </w:p>
        </w:tc>
        <w:tc>
          <w:tcPr>
            <w:tcW w:w="2237" w:type="dxa"/>
            <w:vAlign w:val="center"/>
          </w:tcPr>
          <w:p w14:paraId="3C963AEC" w14:textId="676C7B09" w:rsidR="006E06EE" w:rsidRPr="002020BA" w:rsidRDefault="001C544B" w:rsidP="00066389">
            <w:pPr>
              <w:spacing w:before="120"/>
              <w:jc w:val="center"/>
              <w:rPr>
                <w:rFonts w:cstheme="minorHAnsi"/>
                <w:sz w:val="22"/>
                <w:szCs w:val="22"/>
              </w:rPr>
            </w:pPr>
            <w:r w:rsidRPr="002020BA">
              <w:rPr>
                <w:rFonts w:cstheme="minorHAnsi"/>
                <w:sz w:val="22"/>
                <w:szCs w:val="22"/>
              </w:rPr>
              <w:t>6</w:t>
            </w:r>
            <w:r w:rsidR="00066389" w:rsidRPr="002020BA">
              <w:rPr>
                <w:rFonts w:cstheme="minorHAnsi"/>
                <w:sz w:val="22"/>
                <w:szCs w:val="22"/>
              </w:rPr>
              <w:t>3</w:t>
            </w:r>
            <w:r w:rsidR="006E06EE" w:rsidRPr="002020BA">
              <w:rPr>
                <w:rFonts w:cstheme="minorHAnsi"/>
                <w:sz w:val="22"/>
                <w:szCs w:val="22"/>
              </w:rPr>
              <w:t xml:space="preserve"> </w:t>
            </w:r>
            <w:r w:rsidR="006E06EE" w:rsidRPr="002020BA">
              <w:rPr>
                <w:rFonts w:eastAsia="Times New Roman" w:cstheme="minorHAnsi"/>
                <w:color w:val="212121"/>
                <w:sz w:val="22"/>
                <w:szCs w:val="22"/>
                <w:bdr w:val="none" w:sz="0" w:space="0" w:color="auto" w:frame="1"/>
              </w:rPr>
              <w:t>± </w:t>
            </w:r>
            <w:r w:rsidRPr="002020BA">
              <w:rPr>
                <w:rFonts w:eastAsia="Times New Roman" w:cstheme="minorHAnsi"/>
                <w:color w:val="212121"/>
                <w:sz w:val="22"/>
                <w:szCs w:val="22"/>
                <w:bdr w:val="none" w:sz="0" w:space="0" w:color="auto" w:frame="1"/>
              </w:rPr>
              <w:t>2</w:t>
            </w:r>
            <w:r w:rsidR="00066389" w:rsidRPr="002020BA">
              <w:rPr>
                <w:rFonts w:eastAsia="Times New Roman" w:cstheme="minorHAnsi"/>
                <w:color w:val="212121"/>
                <w:sz w:val="22"/>
                <w:szCs w:val="22"/>
                <w:bdr w:val="none" w:sz="0" w:space="0" w:color="auto" w:frame="1"/>
              </w:rPr>
              <w:t>3</w:t>
            </w:r>
          </w:p>
        </w:tc>
        <w:tc>
          <w:tcPr>
            <w:tcW w:w="1787" w:type="dxa"/>
          </w:tcPr>
          <w:p w14:paraId="6A5F4839" w14:textId="45205864" w:rsidR="006E06EE" w:rsidRPr="002020BA" w:rsidRDefault="00066389" w:rsidP="006E06EE">
            <w:pPr>
              <w:spacing w:before="120"/>
              <w:jc w:val="center"/>
              <w:rPr>
                <w:rFonts w:cstheme="minorHAnsi"/>
                <w:sz w:val="22"/>
                <w:szCs w:val="22"/>
              </w:rPr>
            </w:pPr>
            <w:r w:rsidRPr="002020BA">
              <w:rPr>
                <w:rFonts w:cstheme="minorHAnsi"/>
                <w:sz w:val="22"/>
                <w:szCs w:val="22"/>
              </w:rPr>
              <w:t xml:space="preserve">P value not calculated* </w:t>
            </w:r>
          </w:p>
        </w:tc>
      </w:tr>
      <w:tr w:rsidR="006E06EE" w:rsidRPr="002020BA" w14:paraId="5FC403BD" w14:textId="77777777" w:rsidTr="00066389">
        <w:trPr>
          <w:trHeight w:val="20"/>
        </w:trPr>
        <w:tc>
          <w:tcPr>
            <w:tcW w:w="2843" w:type="dxa"/>
            <w:vAlign w:val="center"/>
          </w:tcPr>
          <w:p w14:paraId="1721F825" w14:textId="6F60F0F5" w:rsidR="006E06EE" w:rsidRPr="002020BA" w:rsidRDefault="006E06EE" w:rsidP="001C7B7C">
            <w:pPr>
              <w:spacing w:before="120"/>
              <w:rPr>
                <w:rFonts w:cstheme="minorHAnsi"/>
                <w:b/>
                <w:bCs/>
                <w:sz w:val="22"/>
                <w:szCs w:val="22"/>
              </w:rPr>
            </w:pPr>
            <w:r w:rsidRPr="002020BA">
              <w:rPr>
                <w:rFonts w:cstheme="minorHAnsi"/>
                <w:b/>
                <w:bCs/>
                <w:sz w:val="22"/>
                <w:szCs w:val="22"/>
              </w:rPr>
              <w:t>HbA</w:t>
            </w:r>
            <w:r w:rsidRPr="002020BA">
              <w:rPr>
                <w:rFonts w:cstheme="minorHAnsi"/>
                <w:b/>
                <w:bCs/>
                <w:sz w:val="22"/>
                <w:szCs w:val="22"/>
                <w:vertAlign w:val="subscript"/>
              </w:rPr>
              <w:t>1c</w:t>
            </w:r>
            <w:r w:rsidRPr="002020BA">
              <w:rPr>
                <w:rFonts w:cstheme="minorHAnsi"/>
                <w:b/>
                <w:bCs/>
                <w:sz w:val="22"/>
                <w:szCs w:val="22"/>
              </w:rPr>
              <w:t xml:space="preserve"> (%)</w:t>
            </w:r>
          </w:p>
        </w:tc>
        <w:tc>
          <w:tcPr>
            <w:tcW w:w="2148" w:type="dxa"/>
            <w:vAlign w:val="center"/>
          </w:tcPr>
          <w:p w14:paraId="0D39501A" w14:textId="03EDB2E7" w:rsidR="006E06EE" w:rsidRPr="002020BA" w:rsidRDefault="006E06EE" w:rsidP="001C7B7C">
            <w:pPr>
              <w:tabs>
                <w:tab w:val="left" w:pos="913"/>
              </w:tabs>
              <w:spacing w:before="120"/>
              <w:jc w:val="center"/>
              <w:rPr>
                <w:rFonts w:cstheme="minorHAnsi"/>
                <w:sz w:val="22"/>
                <w:szCs w:val="22"/>
              </w:rPr>
            </w:pPr>
            <w:r w:rsidRPr="002020BA">
              <w:rPr>
                <w:rFonts w:eastAsia="Times New Roman" w:cstheme="minorHAnsi"/>
                <w:color w:val="212121"/>
                <w:sz w:val="22"/>
                <w:szCs w:val="22"/>
                <w:bdr w:val="none" w:sz="0" w:space="0" w:color="auto" w:frame="1"/>
              </w:rPr>
              <w:t>5.7 ± 2.0%</w:t>
            </w:r>
          </w:p>
        </w:tc>
        <w:tc>
          <w:tcPr>
            <w:tcW w:w="2237" w:type="dxa"/>
            <w:vAlign w:val="center"/>
          </w:tcPr>
          <w:p w14:paraId="6AC2B2CF" w14:textId="227A461C" w:rsidR="006E06EE" w:rsidRPr="002020BA" w:rsidRDefault="006E06EE" w:rsidP="001C7B7C">
            <w:pPr>
              <w:spacing w:before="120"/>
              <w:jc w:val="center"/>
              <w:rPr>
                <w:rFonts w:cstheme="minorHAnsi"/>
                <w:sz w:val="22"/>
                <w:szCs w:val="22"/>
              </w:rPr>
            </w:pPr>
            <w:r w:rsidRPr="002020BA">
              <w:rPr>
                <w:rFonts w:eastAsia="Times New Roman" w:cstheme="minorHAnsi"/>
                <w:color w:val="212121"/>
                <w:sz w:val="22"/>
                <w:szCs w:val="22"/>
                <w:bdr w:val="none" w:sz="0" w:space="0" w:color="auto" w:frame="1"/>
              </w:rPr>
              <w:t>7.</w:t>
            </w:r>
            <w:r w:rsidR="001C544B" w:rsidRPr="002020BA">
              <w:rPr>
                <w:rFonts w:eastAsia="Times New Roman" w:cstheme="minorHAnsi"/>
                <w:color w:val="212121"/>
                <w:sz w:val="22"/>
                <w:szCs w:val="22"/>
                <w:bdr w:val="none" w:sz="0" w:space="0" w:color="auto" w:frame="1"/>
              </w:rPr>
              <w:t>9</w:t>
            </w:r>
            <w:r w:rsidRPr="002020BA">
              <w:rPr>
                <w:rFonts w:eastAsia="Times New Roman" w:cstheme="minorHAnsi"/>
                <w:color w:val="212121"/>
                <w:sz w:val="22"/>
                <w:szCs w:val="22"/>
                <w:bdr w:val="none" w:sz="0" w:space="0" w:color="auto" w:frame="1"/>
              </w:rPr>
              <w:t xml:space="preserve"> ± 0.7%</w:t>
            </w:r>
          </w:p>
        </w:tc>
        <w:tc>
          <w:tcPr>
            <w:tcW w:w="1787" w:type="dxa"/>
          </w:tcPr>
          <w:p w14:paraId="4A52A656" w14:textId="04EBC195" w:rsidR="006E06EE" w:rsidRPr="002020BA" w:rsidRDefault="006E06EE" w:rsidP="001C7B7C">
            <w:pPr>
              <w:spacing w:before="120"/>
              <w:jc w:val="center"/>
              <w:rPr>
                <w:rFonts w:cstheme="minorHAnsi"/>
                <w:sz w:val="22"/>
                <w:szCs w:val="22"/>
              </w:rPr>
            </w:pPr>
            <w:r w:rsidRPr="002020BA">
              <w:rPr>
                <w:rFonts w:cstheme="minorHAnsi"/>
                <w:sz w:val="22"/>
                <w:szCs w:val="22"/>
              </w:rPr>
              <w:t>P value not calculated</w:t>
            </w:r>
            <w:r w:rsidR="00066389" w:rsidRPr="002020BA">
              <w:rPr>
                <w:rFonts w:cstheme="minorHAnsi"/>
                <w:sz w:val="22"/>
                <w:szCs w:val="22"/>
              </w:rPr>
              <w:t>*</w:t>
            </w:r>
          </w:p>
        </w:tc>
      </w:tr>
      <w:tr w:rsidR="006E06EE" w:rsidRPr="002020BA" w14:paraId="0F03AF7F" w14:textId="77777777" w:rsidTr="00066389">
        <w:trPr>
          <w:trHeight w:val="20"/>
        </w:trPr>
        <w:tc>
          <w:tcPr>
            <w:tcW w:w="2843" w:type="dxa"/>
            <w:vAlign w:val="center"/>
          </w:tcPr>
          <w:p w14:paraId="29B75222" w14:textId="77777777" w:rsidR="006E06EE" w:rsidRPr="002020BA" w:rsidRDefault="006E06EE" w:rsidP="001C7B7C">
            <w:pPr>
              <w:rPr>
                <w:rFonts w:cstheme="minorHAnsi"/>
                <w:b/>
                <w:bCs/>
                <w:sz w:val="22"/>
                <w:szCs w:val="22"/>
              </w:rPr>
            </w:pPr>
            <w:r w:rsidRPr="002020BA">
              <w:rPr>
                <w:rFonts w:cstheme="minorHAnsi"/>
                <w:b/>
                <w:bCs/>
                <w:sz w:val="22"/>
                <w:szCs w:val="22"/>
              </w:rPr>
              <w:t xml:space="preserve">Insulin Regimen </w:t>
            </w:r>
          </w:p>
          <w:p w14:paraId="78D6B84B" w14:textId="251311EE" w:rsidR="006E06EE" w:rsidRPr="002020BA" w:rsidRDefault="00D408AE" w:rsidP="001C7B7C">
            <w:pPr>
              <w:rPr>
                <w:rFonts w:cstheme="minorHAnsi"/>
                <w:sz w:val="22"/>
                <w:szCs w:val="22"/>
              </w:rPr>
            </w:pPr>
            <w:r w:rsidRPr="002020BA">
              <w:rPr>
                <w:rFonts w:cstheme="minorHAnsi"/>
                <w:sz w:val="22"/>
                <w:szCs w:val="22"/>
              </w:rPr>
              <w:t>Daily dose (</w:t>
            </w:r>
            <w:r w:rsidR="006E06EE" w:rsidRPr="002020BA">
              <w:rPr>
                <w:rFonts w:cstheme="minorHAnsi"/>
                <w:sz w:val="22"/>
                <w:szCs w:val="22"/>
              </w:rPr>
              <w:t>units</w:t>
            </w:r>
            <w:r w:rsidRPr="002020BA">
              <w:rPr>
                <w:rFonts w:cstheme="minorHAnsi"/>
                <w:sz w:val="22"/>
                <w:szCs w:val="22"/>
              </w:rPr>
              <w:t>)</w:t>
            </w:r>
          </w:p>
          <w:p w14:paraId="6068FC32" w14:textId="77777777" w:rsidR="006E06EE" w:rsidRPr="002020BA" w:rsidRDefault="006E06EE" w:rsidP="001C7B7C">
            <w:pPr>
              <w:rPr>
                <w:rFonts w:cstheme="minorHAnsi"/>
                <w:sz w:val="22"/>
                <w:szCs w:val="22"/>
              </w:rPr>
            </w:pPr>
          </w:p>
          <w:p w14:paraId="369FFA2F" w14:textId="77777777" w:rsidR="006E06EE" w:rsidRPr="002020BA" w:rsidRDefault="006E06EE" w:rsidP="001C7B7C">
            <w:pPr>
              <w:rPr>
                <w:rFonts w:cstheme="minorHAnsi"/>
                <w:sz w:val="22"/>
                <w:szCs w:val="22"/>
              </w:rPr>
            </w:pPr>
            <w:r w:rsidRPr="002020BA">
              <w:rPr>
                <w:rFonts w:cstheme="minorHAnsi"/>
                <w:sz w:val="22"/>
                <w:szCs w:val="22"/>
              </w:rPr>
              <w:t>Once daily insulin</w:t>
            </w:r>
          </w:p>
          <w:p w14:paraId="324DA5C1" w14:textId="77777777" w:rsidR="006E06EE" w:rsidRPr="002020BA" w:rsidRDefault="006E06EE" w:rsidP="001C7B7C">
            <w:pPr>
              <w:rPr>
                <w:rFonts w:cstheme="minorHAnsi"/>
                <w:sz w:val="22"/>
                <w:szCs w:val="22"/>
              </w:rPr>
            </w:pPr>
            <w:r w:rsidRPr="002020BA">
              <w:rPr>
                <w:rFonts w:cstheme="minorHAnsi"/>
                <w:sz w:val="22"/>
                <w:szCs w:val="22"/>
              </w:rPr>
              <w:t>Twice daily insulin</w:t>
            </w:r>
          </w:p>
          <w:p w14:paraId="12647082" w14:textId="67DCBE4B" w:rsidR="006E06EE" w:rsidRPr="002020BA" w:rsidRDefault="006E06EE" w:rsidP="001C7B7C">
            <w:pPr>
              <w:spacing w:before="120"/>
              <w:rPr>
                <w:rFonts w:cstheme="minorHAnsi"/>
                <w:b/>
                <w:bCs/>
                <w:sz w:val="22"/>
                <w:szCs w:val="22"/>
              </w:rPr>
            </w:pPr>
            <w:r w:rsidRPr="002020BA">
              <w:rPr>
                <w:rFonts w:cstheme="minorHAnsi"/>
                <w:sz w:val="22"/>
                <w:szCs w:val="22"/>
              </w:rPr>
              <w:t>Other</w:t>
            </w:r>
          </w:p>
        </w:tc>
        <w:tc>
          <w:tcPr>
            <w:tcW w:w="2148" w:type="dxa"/>
            <w:vAlign w:val="center"/>
          </w:tcPr>
          <w:p w14:paraId="5032DFBC" w14:textId="77777777" w:rsidR="006E06EE" w:rsidRPr="002020BA" w:rsidRDefault="006E06EE" w:rsidP="001C7B7C">
            <w:pPr>
              <w:contextualSpacing/>
              <w:jc w:val="center"/>
              <w:rPr>
                <w:rFonts w:cstheme="minorHAnsi"/>
                <w:sz w:val="22"/>
                <w:szCs w:val="22"/>
              </w:rPr>
            </w:pPr>
          </w:p>
          <w:p w14:paraId="4ABE223D" w14:textId="0760DD4C" w:rsidR="006E06EE" w:rsidRPr="002020BA" w:rsidRDefault="006E06EE" w:rsidP="001C7B7C">
            <w:pPr>
              <w:contextualSpacing/>
              <w:jc w:val="center"/>
              <w:rPr>
                <w:rFonts w:cstheme="minorHAnsi"/>
                <w:sz w:val="22"/>
                <w:szCs w:val="22"/>
              </w:rPr>
            </w:pPr>
            <w:r w:rsidRPr="002020BA">
              <w:rPr>
                <w:rFonts w:cstheme="minorHAnsi"/>
                <w:sz w:val="22"/>
                <w:szCs w:val="22"/>
              </w:rPr>
              <w:t xml:space="preserve">5.5 </w:t>
            </w:r>
          </w:p>
          <w:p w14:paraId="7B344A0F" w14:textId="77777777" w:rsidR="006E06EE" w:rsidRPr="002020BA" w:rsidRDefault="006E06EE" w:rsidP="001C7B7C">
            <w:pPr>
              <w:contextualSpacing/>
              <w:jc w:val="center"/>
              <w:rPr>
                <w:rFonts w:cstheme="minorHAnsi"/>
                <w:sz w:val="22"/>
                <w:szCs w:val="22"/>
              </w:rPr>
            </w:pPr>
          </w:p>
          <w:p w14:paraId="200A21BB" w14:textId="77777777" w:rsidR="006E06EE" w:rsidRPr="002020BA" w:rsidRDefault="006E06EE" w:rsidP="001C7B7C">
            <w:pPr>
              <w:contextualSpacing/>
              <w:jc w:val="center"/>
              <w:rPr>
                <w:rFonts w:cstheme="minorHAnsi"/>
                <w:sz w:val="22"/>
                <w:szCs w:val="22"/>
              </w:rPr>
            </w:pPr>
            <w:r w:rsidRPr="002020BA">
              <w:rPr>
                <w:rFonts w:cstheme="minorHAnsi"/>
                <w:sz w:val="22"/>
                <w:szCs w:val="22"/>
              </w:rPr>
              <w:t>8</w:t>
            </w:r>
          </w:p>
          <w:p w14:paraId="3FBCB536" w14:textId="77777777" w:rsidR="006E06EE" w:rsidRPr="002020BA" w:rsidRDefault="006E06EE" w:rsidP="001C7B7C">
            <w:pPr>
              <w:contextualSpacing/>
              <w:jc w:val="center"/>
              <w:rPr>
                <w:rFonts w:cstheme="minorHAnsi"/>
                <w:sz w:val="22"/>
                <w:szCs w:val="22"/>
              </w:rPr>
            </w:pPr>
            <w:r w:rsidRPr="002020BA">
              <w:rPr>
                <w:rFonts w:cstheme="minorHAnsi"/>
                <w:sz w:val="22"/>
                <w:szCs w:val="22"/>
              </w:rPr>
              <w:t>1</w:t>
            </w:r>
          </w:p>
          <w:p w14:paraId="323CEE5D" w14:textId="4580ADE3" w:rsidR="006E06EE" w:rsidRPr="002020BA" w:rsidRDefault="006E06EE" w:rsidP="001C7B7C">
            <w:pPr>
              <w:tabs>
                <w:tab w:val="left" w:pos="913"/>
              </w:tabs>
              <w:spacing w:before="120"/>
              <w:jc w:val="center"/>
              <w:rPr>
                <w:rFonts w:cstheme="minorHAnsi"/>
                <w:sz w:val="22"/>
                <w:szCs w:val="22"/>
              </w:rPr>
            </w:pPr>
            <w:r w:rsidRPr="002020BA">
              <w:rPr>
                <w:rFonts w:cstheme="minorHAnsi"/>
                <w:sz w:val="22"/>
                <w:szCs w:val="22"/>
              </w:rPr>
              <w:t>5</w:t>
            </w:r>
          </w:p>
        </w:tc>
        <w:tc>
          <w:tcPr>
            <w:tcW w:w="2237" w:type="dxa"/>
            <w:vAlign w:val="center"/>
          </w:tcPr>
          <w:p w14:paraId="065C0385" w14:textId="77777777" w:rsidR="006E06EE" w:rsidRPr="002020BA" w:rsidRDefault="006E06EE" w:rsidP="001C7B7C">
            <w:pPr>
              <w:contextualSpacing/>
              <w:jc w:val="center"/>
              <w:rPr>
                <w:rFonts w:cstheme="minorHAnsi"/>
                <w:sz w:val="22"/>
                <w:szCs w:val="22"/>
              </w:rPr>
            </w:pPr>
          </w:p>
          <w:p w14:paraId="12FFC1B6" w14:textId="078FDFF5" w:rsidR="006E06EE" w:rsidRPr="002020BA" w:rsidRDefault="006E06EE" w:rsidP="001C7B7C">
            <w:pPr>
              <w:contextualSpacing/>
              <w:jc w:val="center"/>
              <w:rPr>
                <w:rFonts w:cstheme="minorHAnsi"/>
                <w:sz w:val="22"/>
                <w:szCs w:val="22"/>
              </w:rPr>
            </w:pPr>
            <w:r w:rsidRPr="002020BA">
              <w:rPr>
                <w:rFonts w:cstheme="minorHAnsi"/>
                <w:sz w:val="22"/>
                <w:szCs w:val="22"/>
              </w:rPr>
              <w:t>16.0</w:t>
            </w:r>
          </w:p>
          <w:p w14:paraId="78B72606" w14:textId="77777777" w:rsidR="006E06EE" w:rsidRPr="002020BA" w:rsidRDefault="006E06EE" w:rsidP="001C7B7C">
            <w:pPr>
              <w:contextualSpacing/>
              <w:jc w:val="center"/>
              <w:rPr>
                <w:rFonts w:cstheme="minorHAnsi"/>
                <w:color w:val="000000" w:themeColor="text1"/>
                <w:sz w:val="22"/>
                <w:szCs w:val="22"/>
              </w:rPr>
            </w:pPr>
          </w:p>
          <w:p w14:paraId="253ABC40" w14:textId="77777777" w:rsidR="006E06EE" w:rsidRPr="002020BA" w:rsidRDefault="006E06EE" w:rsidP="001C7B7C">
            <w:pPr>
              <w:contextualSpacing/>
              <w:jc w:val="center"/>
              <w:rPr>
                <w:rFonts w:cstheme="minorHAnsi"/>
                <w:sz w:val="22"/>
                <w:szCs w:val="22"/>
              </w:rPr>
            </w:pPr>
            <w:r w:rsidRPr="002020BA">
              <w:rPr>
                <w:rFonts w:cstheme="minorHAnsi"/>
                <w:sz w:val="22"/>
                <w:szCs w:val="22"/>
              </w:rPr>
              <w:t>10</w:t>
            </w:r>
          </w:p>
          <w:p w14:paraId="5954B7B1" w14:textId="77777777" w:rsidR="006E06EE" w:rsidRPr="002020BA" w:rsidRDefault="006E06EE" w:rsidP="001C7B7C">
            <w:pPr>
              <w:contextualSpacing/>
              <w:jc w:val="center"/>
              <w:rPr>
                <w:rFonts w:cstheme="minorHAnsi"/>
                <w:sz w:val="22"/>
                <w:szCs w:val="22"/>
              </w:rPr>
            </w:pPr>
            <w:r w:rsidRPr="002020BA">
              <w:rPr>
                <w:rFonts w:cstheme="minorHAnsi"/>
                <w:sz w:val="22"/>
                <w:szCs w:val="22"/>
              </w:rPr>
              <w:t>9</w:t>
            </w:r>
          </w:p>
          <w:p w14:paraId="66913608" w14:textId="2217F657" w:rsidR="006E06EE" w:rsidRPr="002020BA" w:rsidRDefault="006E06EE" w:rsidP="001C7B7C">
            <w:pPr>
              <w:spacing w:before="120"/>
              <w:jc w:val="center"/>
              <w:rPr>
                <w:rFonts w:cstheme="minorHAnsi"/>
                <w:sz w:val="22"/>
                <w:szCs w:val="22"/>
              </w:rPr>
            </w:pPr>
            <w:r w:rsidRPr="002020BA">
              <w:rPr>
                <w:rFonts w:cstheme="minorHAnsi"/>
                <w:sz w:val="22"/>
                <w:szCs w:val="22"/>
              </w:rPr>
              <w:t>1</w:t>
            </w:r>
          </w:p>
        </w:tc>
        <w:tc>
          <w:tcPr>
            <w:tcW w:w="1787" w:type="dxa"/>
          </w:tcPr>
          <w:p w14:paraId="54D067CA" w14:textId="77777777" w:rsidR="00066389" w:rsidRPr="002020BA" w:rsidRDefault="00066389" w:rsidP="001C7B7C">
            <w:pPr>
              <w:spacing w:before="120"/>
              <w:jc w:val="center"/>
              <w:rPr>
                <w:rFonts w:cstheme="minorHAnsi"/>
                <w:sz w:val="22"/>
                <w:szCs w:val="22"/>
              </w:rPr>
            </w:pPr>
          </w:p>
          <w:p w14:paraId="6BD2BF59" w14:textId="636E2F05" w:rsidR="006E06EE" w:rsidRPr="002020BA" w:rsidRDefault="006E06EE" w:rsidP="001C7B7C">
            <w:pPr>
              <w:spacing w:before="120"/>
              <w:jc w:val="center"/>
              <w:rPr>
                <w:rFonts w:cstheme="minorHAnsi"/>
                <w:sz w:val="22"/>
                <w:szCs w:val="22"/>
              </w:rPr>
            </w:pPr>
            <w:r w:rsidRPr="002020BA">
              <w:rPr>
                <w:rFonts w:cstheme="minorHAnsi"/>
                <w:sz w:val="22"/>
                <w:szCs w:val="22"/>
              </w:rPr>
              <w:t>P value not calculated</w:t>
            </w:r>
            <w:r w:rsidR="00066389" w:rsidRPr="002020BA">
              <w:rPr>
                <w:rFonts w:cstheme="minorHAnsi"/>
                <w:sz w:val="22"/>
                <w:szCs w:val="22"/>
              </w:rPr>
              <w:t>*</w:t>
            </w:r>
          </w:p>
        </w:tc>
      </w:tr>
      <w:tr w:rsidR="006E06EE" w:rsidRPr="002020BA" w14:paraId="2D0C22AA" w14:textId="77777777" w:rsidTr="00066389">
        <w:trPr>
          <w:trHeight w:val="20"/>
        </w:trPr>
        <w:tc>
          <w:tcPr>
            <w:tcW w:w="2843" w:type="dxa"/>
            <w:vAlign w:val="center"/>
          </w:tcPr>
          <w:p w14:paraId="054726BF" w14:textId="7508D1EC" w:rsidR="006E06EE" w:rsidRPr="002020BA" w:rsidRDefault="006E06EE" w:rsidP="001C7B7C">
            <w:pPr>
              <w:spacing w:before="120"/>
              <w:rPr>
                <w:rFonts w:cstheme="minorHAnsi"/>
                <w:b/>
                <w:bCs/>
                <w:sz w:val="22"/>
                <w:szCs w:val="22"/>
              </w:rPr>
            </w:pPr>
            <w:r w:rsidRPr="002020BA">
              <w:rPr>
                <w:rFonts w:cstheme="minorHAnsi"/>
                <w:b/>
                <w:bCs/>
                <w:sz w:val="22"/>
                <w:szCs w:val="22"/>
              </w:rPr>
              <w:t>BMI (kg/m</w:t>
            </w:r>
            <w:r w:rsidRPr="002020BA">
              <w:rPr>
                <w:rFonts w:cstheme="minorHAnsi"/>
                <w:b/>
                <w:bCs/>
                <w:sz w:val="22"/>
                <w:szCs w:val="22"/>
                <w:vertAlign w:val="superscript"/>
              </w:rPr>
              <w:t>2</w:t>
            </w:r>
            <w:r w:rsidRPr="002020BA">
              <w:rPr>
                <w:rFonts w:cstheme="minorHAnsi"/>
                <w:b/>
                <w:bCs/>
                <w:sz w:val="22"/>
                <w:szCs w:val="22"/>
              </w:rPr>
              <w:t>)</w:t>
            </w:r>
          </w:p>
        </w:tc>
        <w:tc>
          <w:tcPr>
            <w:tcW w:w="2148" w:type="dxa"/>
            <w:vAlign w:val="center"/>
          </w:tcPr>
          <w:p w14:paraId="15A624D6" w14:textId="2E8E812C" w:rsidR="006E06EE" w:rsidRPr="002020BA" w:rsidRDefault="001C544B" w:rsidP="001C7B7C">
            <w:pPr>
              <w:tabs>
                <w:tab w:val="left" w:pos="913"/>
              </w:tabs>
              <w:spacing w:before="120"/>
              <w:jc w:val="center"/>
              <w:rPr>
                <w:rFonts w:cstheme="minorHAnsi"/>
                <w:sz w:val="22"/>
                <w:szCs w:val="22"/>
              </w:rPr>
            </w:pPr>
            <w:r w:rsidRPr="002020BA">
              <w:rPr>
                <w:rFonts w:cstheme="minorHAnsi"/>
                <w:sz w:val="22"/>
                <w:szCs w:val="22"/>
              </w:rPr>
              <w:t>19.3 [ 15.0 – 25.2]</w:t>
            </w:r>
          </w:p>
        </w:tc>
        <w:tc>
          <w:tcPr>
            <w:tcW w:w="2237" w:type="dxa"/>
            <w:vAlign w:val="center"/>
          </w:tcPr>
          <w:p w14:paraId="21DFE91B" w14:textId="69C52742" w:rsidR="006E06EE" w:rsidRPr="002020BA" w:rsidRDefault="001C544B" w:rsidP="001C7B7C">
            <w:pPr>
              <w:spacing w:before="120"/>
              <w:jc w:val="center"/>
              <w:rPr>
                <w:rFonts w:cstheme="minorHAnsi"/>
                <w:sz w:val="22"/>
                <w:szCs w:val="22"/>
              </w:rPr>
            </w:pPr>
            <w:r w:rsidRPr="002020BA">
              <w:rPr>
                <w:rFonts w:cstheme="minorHAnsi"/>
                <w:sz w:val="22"/>
                <w:szCs w:val="22"/>
              </w:rPr>
              <w:t>20.0</w:t>
            </w:r>
            <w:r w:rsidRPr="002020BA">
              <w:rPr>
                <w:rFonts w:eastAsia="Times New Roman" w:cstheme="minorHAnsi"/>
                <w:color w:val="212121"/>
                <w:sz w:val="22"/>
                <w:szCs w:val="22"/>
                <w:bdr w:val="none" w:sz="0" w:space="0" w:color="auto" w:frame="1"/>
              </w:rPr>
              <w:t xml:space="preserve"> [16.2 – 28]</w:t>
            </w:r>
          </w:p>
        </w:tc>
        <w:tc>
          <w:tcPr>
            <w:tcW w:w="1787" w:type="dxa"/>
          </w:tcPr>
          <w:p w14:paraId="25FE6F9A" w14:textId="4B7FF6D4" w:rsidR="006E06EE" w:rsidRPr="002020BA" w:rsidRDefault="006E06EE" w:rsidP="001C7B7C">
            <w:pPr>
              <w:spacing w:before="120"/>
              <w:jc w:val="center"/>
              <w:rPr>
                <w:rFonts w:cstheme="minorHAnsi"/>
                <w:sz w:val="22"/>
                <w:szCs w:val="22"/>
              </w:rPr>
            </w:pPr>
            <w:r w:rsidRPr="002020BA">
              <w:rPr>
                <w:rFonts w:cstheme="minorHAnsi"/>
                <w:sz w:val="22"/>
                <w:szCs w:val="22"/>
              </w:rPr>
              <w:t>0</w:t>
            </w:r>
            <w:r w:rsidR="0004768F" w:rsidRPr="002020BA">
              <w:rPr>
                <w:rFonts w:cstheme="minorHAnsi"/>
                <w:sz w:val="22"/>
                <w:szCs w:val="22"/>
              </w:rPr>
              <w:t>.571</w:t>
            </w:r>
          </w:p>
        </w:tc>
      </w:tr>
      <w:tr w:rsidR="006E06EE" w:rsidRPr="002020BA" w14:paraId="7AC2CFDF" w14:textId="33573817" w:rsidTr="00066389">
        <w:trPr>
          <w:trHeight w:val="20"/>
        </w:trPr>
        <w:tc>
          <w:tcPr>
            <w:tcW w:w="2843" w:type="dxa"/>
            <w:vAlign w:val="center"/>
          </w:tcPr>
          <w:p w14:paraId="30B81097" w14:textId="3CBC12C4" w:rsidR="006E06EE" w:rsidRPr="002020BA" w:rsidRDefault="006E06EE" w:rsidP="003A6889">
            <w:pPr>
              <w:spacing w:before="120"/>
              <w:rPr>
                <w:rFonts w:cstheme="minorHAnsi"/>
                <w:b/>
                <w:bCs/>
                <w:sz w:val="6"/>
                <w:szCs w:val="22"/>
              </w:rPr>
            </w:pPr>
          </w:p>
        </w:tc>
        <w:tc>
          <w:tcPr>
            <w:tcW w:w="2148" w:type="dxa"/>
            <w:vAlign w:val="center"/>
          </w:tcPr>
          <w:p w14:paraId="20613D82" w14:textId="0A5A13F3" w:rsidR="006E06EE" w:rsidRPr="002020BA" w:rsidRDefault="006E06EE" w:rsidP="003A6889">
            <w:pPr>
              <w:tabs>
                <w:tab w:val="left" w:pos="913"/>
              </w:tabs>
              <w:spacing w:before="120"/>
              <w:jc w:val="center"/>
              <w:rPr>
                <w:rFonts w:cstheme="minorHAnsi"/>
                <w:sz w:val="6"/>
                <w:szCs w:val="22"/>
              </w:rPr>
            </w:pPr>
          </w:p>
        </w:tc>
        <w:tc>
          <w:tcPr>
            <w:tcW w:w="2237" w:type="dxa"/>
            <w:vAlign w:val="center"/>
          </w:tcPr>
          <w:p w14:paraId="4D817719" w14:textId="2B4B7F29" w:rsidR="006E06EE" w:rsidRPr="002020BA" w:rsidRDefault="006E06EE" w:rsidP="003A6889">
            <w:pPr>
              <w:spacing w:before="120"/>
              <w:jc w:val="center"/>
              <w:rPr>
                <w:rFonts w:cstheme="minorHAnsi"/>
                <w:sz w:val="6"/>
                <w:szCs w:val="22"/>
              </w:rPr>
            </w:pPr>
          </w:p>
        </w:tc>
        <w:tc>
          <w:tcPr>
            <w:tcW w:w="1787" w:type="dxa"/>
          </w:tcPr>
          <w:p w14:paraId="340F88B2" w14:textId="36746B77" w:rsidR="006E06EE" w:rsidRPr="002020BA" w:rsidRDefault="006E06EE" w:rsidP="003A6889">
            <w:pPr>
              <w:spacing w:before="120"/>
              <w:jc w:val="center"/>
              <w:rPr>
                <w:rFonts w:cstheme="minorHAnsi"/>
                <w:sz w:val="6"/>
                <w:szCs w:val="22"/>
              </w:rPr>
            </w:pPr>
          </w:p>
        </w:tc>
      </w:tr>
      <w:tr w:rsidR="006E06EE" w:rsidRPr="002020BA" w14:paraId="7E0C1FCF" w14:textId="77777777" w:rsidTr="00066389">
        <w:trPr>
          <w:trHeight w:val="20"/>
        </w:trPr>
        <w:tc>
          <w:tcPr>
            <w:tcW w:w="2843" w:type="dxa"/>
            <w:vAlign w:val="center"/>
          </w:tcPr>
          <w:p w14:paraId="2E559A61" w14:textId="575530CC" w:rsidR="006E06EE" w:rsidRPr="002020BA" w:rsidRDefault="006E06EE" w:rsidP="00066389">
            <w:pPr>
              <w:spacing w:before="240"/>
              <w:rPr>
                <w:rFonts w:cstheme="minorHAnsi"/>
                <w:b/>
                <w:bCs/>
                <w:sz w:val="22"/>
                <w:szCs w:val="22"/>
              </w:rPr>
            </w:pPr>
            <w:r w:rsidRPr="002020BA">
              <w:rPr>
                <w:rFonts w:cstheme="minorHAnsi"/>
                <w:b/>
                <w:bCs/>
                <w:sz w:val="22"/>
                <w:szCs w:val="22"/>
              </w:rPr>
              <w:t>Clinical characteristics at time of study</w:t>
            </w:r>
          </w:p>
        </w:tc>
        <w:tc>
          <w:tcPr>
            <w:tcW w:w="2148" w:type="dxa"/>
            <w:vAlign w:val="center"/>
          </w:tcPr>
          <w:p w14:paraId="25104160" w14:textId="3D76560A" w:rsidR="006E06EE" w:rsidRPr="002020BA" w:rsidRDefault="006E06EE" w:rsidP="00066389">
            <w:pPr>
              <w:spacing w:before="240"/>
              <w:rPr>
                <w:rFonts w:cstheme="minorHAnsi"/>
                <w:sz w:val="22"/>
                <w:szCs w:val="22"/>
              </w:rPr>
            </w:pPr>
          </w:p>
        </w:tc>
        <w:tc>
          <w:tcPr>
            <w:tcW w:w="2237" w:type="dxa"/>
            <w:vAlign w:val="center"/>
          </w:tcPr>
          <w:p w14:paraId="7BA8B3F2" w14:textId="7A3DE0BE" w:rsidR="006E06EE" w:rsidRPr="002020BA" w:rsidRDefault="006E06EE" w:rsidP="00066389">
            <w:pPr>
              <w:spacing w:before="240"/>
              <w:rPr>
                <w:rFonts w:cstheme="minorHAnsi"/>
                <w:color w:val="000000" w:themeColor="text1"/>
                <w:sz w:val="22"/>
                <w:szCs w:val="22"/>
              </w:rPr>
            </w:pPr>
          </w:p>
        </w:tc>
        <w:tc>
          <w:tcPr>
            <w:tcW w:w="1787" w:type="dxa"/>
            <w:vAlign w:val="center"/>
          </w:tcPr>
          <w:p w14:paraId="120C5456" w14:textId="77777777" w:rsidR="006E06EE" w:rsidRPr="002020BA" w:rsidRDefault="006E06EE" w:rsidP="00066389">
            <w:pPr>
              <w:spacing w:before="240"/>
              <w:rPr>
                <w:rFonts w:cstheme="minorHAnsi"/>
                <w:sz w:val="22"/>
                <w:szCs w:val="22"/>
              </w:rPr>
            </w:pPr>
          </w:p>
        </w:tc>
      </w:tr>
      <w:tr w:rsidR="006E06EE" w:rsidRPr="002020BA" w14:paraId="1D8E2B0E" w14:textId="52FBF34C" w:rsidTr="00066389">
        <w:trPr>
          <w:trHeight w:val="20"/>
        </w:trPr>
        <w:tc>
          <w:tcPr>
            <w:tcW w:w="2843" w:type="dxa"/>
            <w:vAlign w:val="center"/>
          </w:tcPr>
          <w:p w14:paraId="34FB5897" w14:textId="35E6B2EC" w:rsidR="006E06EE" w:rsidRPr="002020BA" w:rsidRDefault="006E06EE" w:rsidP="00E677AA">
            <w:pPr>
              <w:spacing w:before="240"/>
              <w:rPr>
                <w:rFonts w:cstheme="minorHAnsi"/>
                <w:b/>
                <w:bCs/>
                <w:sz w:val="22"/>
                <w:szCs w:val="22"/>
              </w:rPr>
            </w:pPr>
            <w:r w:rsidRPr="002020BA">
              <w:rPr>
                <w:rFonts w:cstheme="minorHAnsi"/>
                <w:b/>
                <w:bCs/>
                <w:sz w:val="22"/>
                <w:szCs w:val="22"/>
              </w:rPr>
              <w:t xml:space="preserve">Duration of diabetes at </w:t>
            </w:r>
            <w:r w:rsidR="006B5BAD" w:rsidRPr="002020BA">
              <w:rPr>
                <w:rFonts w:cstheme="minorHAnsi"/>
                <w:b/>
                <w:bCs/>
                <w:sz w:val="22"/>
                <w:szCs w:val="22"/>
              </w:rPr>
              <w:t xml:space="preserve">insulin </w:t>
            </w:r>
            <w:r w:rsidRPr="002020BA">
              <w:rPr>
                <w:rFonts w:cstheme="minorHAnsi"/>
                <w:b/>
                <w:bCs/>
                <w:sz w:val="22"/>
                <w:szCs w:val="22"/>
              </w:rPr>
              <w:t>cessation (years)</w:t>
            </w:r>
          </w:p>
        </w:tc>
        <w:tc>
          <w:tcPr>
            <w:tcW w:w="2148" w:type="dxa"/>
            <w:vAlign w:val="center"/>
          </w:tcPr>
          <w:p w14:paraId="29826CED" w14:textId="1BA78BAE" w:rsidR="006E06EE" w:rsidRPr="002020BA" w:rsidRDefault="006E06EE" w:rsidP="00E677AA">
            <w:pPr>
              <w:spacing w:before="240"/>
              <w:jc w:val="center"/>
              <w:rPr>
                <w:rFonts w:cstheme="minorHAnsi"/>
                <w:sz w:val="22"/>
                <w:szCs w:val="22"/>
              </w:rPr>
            </w:pPr>
            <w:r w:rsidRPr="002020BA">
              <w:rPr>
                <w:rFonts w:cstheme="minorHAnsi"/>
                <w:sz w:val="22"/>
                <w:szCs w:val="22"/>
              </w:rPr>
              <w:t>2.</w:t>
            </w:r>
            <w:r w:rsidR="001C544B" w:rsidRPr="002020BA">
              <w:rPr>
                <w:rFonts w:cstheme="minorHAnsi"/>
                <w:sz w:val="22"/>
                <w:szCs w:val="22"/>
              </w:rPr>
              <w:t>5</w:t>
            </w:r>
            <w:r w:rsidRPr="002020BA">
              <w:rPr>
                <w:rFonts w:cstheme="minorHAnsi"/>
                <w:sz w:val="22"/>
                <w:szCs w:val="22"/>
              </w:rPr>
              <w:t xml:space="preserve"> </w:t>
            </w:r>
            <w:r w:rsidR="001C544B" w:rsidRPr="002020BA">
              <w:rPr>
                <w:rFonts w:cstheme="minorHAnsi"/>
                <w:sz w:val="22"/>
                <w:szCs w:val="22"/>
              </w:rPr>
              <w:t>[0 – 7]</w:t>
            </w:r>
          </w:p>
        </w:tc>
        <w:tc>
          <w:tcPr>
            <w:tcW w:w="2237" w:type="dxa"/>
            <w:vAlign w:val="center"/>
          </w:tcPr>
          <w:p w14:paraId="0B99924C" w14:textId="6F2AA728" w:rsidR="006E06EE" w:rsidRPr="002020BA" w:rsidRDefault="006E06EE" w:rsidP="00E677AA">
            <w:pPr>
              <w:spacing w:before="240"/>
              <w:jc w:val="center"/>
              <w:rPr>
                <w:rFonts w:cstheme="minorHAnsi"/>
                <w:sz w:val="22"/>
                <w:szCs w:val="22"/>
              </w:rPr>
            </w:pPr>
          </w:p>
        </w:tc>
        <w:tc>
          <w:tcPr>
            <w:tcW w:w="1787" w:type="dxa"/>
          </w:tcPr>
          <w:p w14:paraId="26B19443" w14:textId="77777777" w:rsidR="006E06EE" w:rsidRPr="002020BA" w:rsidRDefault="006E06EE" w:rsidP="00E677AA">
            <w:pPr>
              <w:spacing w:before="240"/>
              <w:jc w:val="center"/>
              <w:rPr>
                <w:rFonts w:cstheme="minorHAnsi"/>
                <w:sz w:val="22"/>
                <w:szCs w:val="22"/>
              </w:rPr>
            </w:pPr>
          </w:p>
        </w:tc>
      </w:tr>
      <w:tr w:rsidR="006E06EE" w:rsidRPr="002020BA" w14:paraId="6A39D871" w14:textId="0591862A" w:rsidTr="006E06EE">
        <w:tc>
          <w:tcPr>
            <w:tcW w:w="2843" w:type="dxa"/>
            <w:vAlign w:val="center"/>
          </w:tcPr>
          <w:p w14:paraId="1EAD9D64" w14:textId="487A6363" w:rsidR="006E06EE" w:rsidRPr="002020BA" w:rsidRDefault="006E06EE" w:rsidP="00C46778">
            <w:pPr>
              <w:spacing w:before="240"/>
              <w:rPr>
                <w:rFonts w:cstheme="minorHAnsi"/>
                <w:b/>
                <w:bCs/>
                <w:sz w:val="22"/>
                <w:szCs w:val="22"/>
              </w:rPr>
            </w:pPr>
            <w:r w:rsidRPr="002020BA">
              <w:rPr>
                <w:rFonts w:cstheme="minorHAnsi"/>
                <w:b/>
                <w:bCs/>
                <w:sz w:val="22"/>
                <w:szCs w:val="22"/>
              </w:rPr>
              <w:t>Current HbA</w:t>
            </w:r>
            <w:r w:rsidRPr="002020BA">
              <w:rPr>
                <w:rFonts w:cstheme="minorHAnsi"/>
                <w:b/>
                <w:bCs/>
                <w:sz w:val="22"/>
                <w:szCs w:val="22"/>
                <w:vertAlign w:val="subscript"/>
              </w:rPr>
              <w:t xml:space="preserve">1c </w:t>
            </w:r>
            <w:r w:rsidRPr="002020BA">
              <w:rPr>
                <w:rFonts w:cstheme="minorHAnsi"/>
                <w:b/>
                <w:bCs/>
                <w:color w:val="000000" w:themeColor="text1"/>
                <w:sz w:val="22"/>
                <w:szCs w:val="22"/>
              </w:rPr>
              <w:t xml:space="preserve">(mmol/mol) </w:t>
            </w:r>
          </w:p>
        </w:tc>
        <w:tc>
          <w:tcPr>
            <w:tcW w:w="2148" w:type="dxa"/>
            <w:vAlign w:val="center"/>
          </w:tcPr>
          <w:p w14:paraId="057BD714" w14:textId="588648AC" w:rsidR="006E06EE" w:rsidRPr="002020BA" w:rsidRDefault="00066389" w:rsidP="00E677AA">
            <w:pPr>
              <w:spacing w:before="240"/>
              <w:jc w:val="center"/>
              <w:rPr>
                <w:rFonts w:cstheme="minorHAnsi"/>
                <w:sz w:val="22"/>
                <w:szCs w:val="22"/>
              </w:rPr>
            </w:pPr>
            <w:r w:rsidRPr="002020BA">
              <w:rPr>
                <w:rFonts w:cstheme="minorHAnsi"/>
                <w:sz w:val="22"/>
                <w:szCs w:val="22"/>
              </w:rPr>
              <w:t>40</w:t>
            </w:r>
            <w:r w:rsidR="006E06EE" w:rsidRPr="002020BA">
              <w:rPr>
                <w:rFonts w:cstheme="minorHAnsi"/>
                <w:sz w:val="22"/>
                <w:szCs w:val="22"/>
              </w:rPr>
              <w:t xml:space="preserve"> </w:t>
            </w:r>
            <w:r w:rsidR="006E06EE" w:rsidRPr="002020BA">
              <w:rPr>
                <w:rFonts w:eastAsia="Times New Roman" w:cstheme="minorHAnsi"/>
                <w:color w:val="212121"/>
                <w:sz w:val="22"/>
                <w:szCs w:val="22"/>
                <w:bdr w:val="none" w:sz="0" w:space="0" w:color="auto" w:frame="1"/>
              </w:rPr>
              <w:t>± </w:t>
            </w:r>
            <w:r w:rsidR="001C544B" w:rsidRPr="002020BA">
              <w:rPr>
                <w:rFonts w:eastAsia="Times New Roman" w:cstheme="minorHAnsi"/>
                <w:color w:val="212121"/>
                <w:sz w:val="22"/>
                <w:szCs w:val="22"/>
                <w:bdr w:val="none" w:sz="0" w:space="0" w:color="auto" w:frame="1"/>
              </w:rPr>
              <w:t>4</w:t>
            </w:r>
          </w:p>
        </w:tc>
        <w:tc>
          <w:tcPr>
            <w:tcW w:w="2237" w:type="dxa"/>
            <w:vAlign w:val="center"/>
          </w:tcPr>
          <w:p w14:paraId="7AF6D442" w14:textId="16D6BA60" w:rsidR="006E06EE" w:rsidRPr="002020BA" w:rsidRDefault="00066389" w:rsidP="00E677AA">
            <w:pPr>
              <w:spacing w:before="240"/>
              <w:jc w:val="center"/>
              <w:rPr>
                <w:rFonts w:cstheme="minorHAnsi"/>
                <w:sz w:val="22"/>
                <w:szCs w:val="22"/>
              </w:rPr>
            </w:pPr>
            <w:r w:rsidRPr="002020BA">
              <w:rPr>
                <w:rFonts w:cstheme="minorHAnsi"/>
                <w:sz w:val="22"/>
                <w:szCs w:val="22"/>
              </w:rPr>
              <w:t>58</w:t>
            </w:r>
            <w:r w:rsidR="006E06EE" w:rsidRPr="002020BA">
              <w:rPr>
                <w:rFonts w:cstheme="minorHAnsi"/>
                <w:sz w:val="22"/>
                <w:szCs w:val="22"/>
              </w:rPr>
              <w:t xml:space="preserve"> </w:t>
            </w:r>
            <w:r w:rsidR="006E06EE" w:rsidRPr="002020BA">
              <w:rPr>
                <w:rFonts w:eastAsia="Times New Roman" w:cstheme="minorHAnsi"/>
                <w:color w:val="212121"/>
                <w:sz w:val="22"/>
                <w:szCs w:val="22"/>
                <w:bdr w:val="none" w:sz="0" w:space="0" w:color="auto" w:frame="1"/>
              </w:rPr>
              <w:t>± </w:t>
            </w:r>
            <w:r w:rsidR="001C544B" w:rsidRPr="002020BA">
              <w:rPr>
                <w:rFonts w:eastAsia="Times New Roman" w:cstheme="minorHAnsi"/>
                <w:color w:val="212121"/>
                <w:sz w:val="22"/>
                <w:szCs w:val="22"/>
                <w:bdr w:val="none" w:sz="0" w:space="0" w:color="auto" w:frame="1"/>
              </w:rPr>
              <w:t>2</w:t>
            </w:r>
            <w:r w:rsidRPr="002020BA">
              <w:rPr>
                <w:rFonts w:eastAsia="Times New Roman" w:cstheme="minorHAnsi"/>
                <w:color w:val="212121"/>
                <w:sz w:val="22"/>
                <w:szCs w:val="22"/>
                <w:bdr w:val="none" w:sz="0" w:space="0" w:color="auto" w:frame="1"/>
              </w:rPr>
              <w:t>1</w:t>
            </w:r>
          </w:p>
        </w:tc>
        <w:tc>
          <w:tcPr>
            <w:tcW w:w="1787" w:type="dxa"/>
          </w:tcPr>
          <w:p w14:paraId="3AD4B919" w14:textId="150EAE02" w:rsidR="006E06EE" w:rsidRPr="002020BA" w:rsidRDefault="006E06EE" w:rsidP="00E677AA">
            <w:pPr>
              <w:spacing w:before="240"/>
              <w:jc w:val="center"/>
              <w:rPr>
                <w:rFonts w:cstheme="minorHAnsi"/>
                <w:sz w:val="22"/>
                <w:szCs w:val="22"/>
              </w:rPr>
            </w:pPr>
            <w:r w:rsidRPr="002020BA">
              <w:rPr>
                <w:rFonts w:cstheme="minorHAnsi"/>
                <w:sz w:val="22"/>
                <w:szCs w:val="22"/>
              </w:rPr>
              <w:t>P value not calculated</w:t>
            </w:r>
            <w:r w:rsidR="00066389" w:rsidRPr="002020BA">
              <w:rPr>
                <w:rFonts w:cstheme="minorHAnsi"/>
                <w:sz w:val="22"/>
                <w:szCs w:val="22"/>
              </w:rPr>
              <w:t>*</w:t>
            </w:r>
          </w:p>
        </w:tc>
      </w:tr>
      <w:tr w:rsidR="006E06EE" w:rsidRPr="002020BA" w14:paraId="0B319AE7" w14:textId="0DCDC4A2" w:rsidTr="006E06EE">
        <w:trPr>
          <w:trHeight w:val="658"/>
        </w:trPr>
        <w:tc>
          <w:tcPr>
            <w:tcW w:w="2843" w:type="dxa"/>
            <w:vAlign w:val="center"/>
          </w:tcPr>
          <w:p w14:paraId="0F44721C" w14:textId="241163BB" w:rsidR="006E06EE" w:rsidRPr="002020BA" w:rsidRDefault="006E06EE" w:rsidP="00E677AA">
            <w:pPr>
              <w:spacing w:before="240"/>
              <w:rPr>
                <w:rFonts w:cstheme="minorHAnsi"/>
                <w:b/>
                <w:bCs/>
                <w:sz w:val="22"/>
                <w:szCs w:val="22"/>
              </w:rPr>
            </w:pPr>
            <w:r w:rsidRPr="002020BA">
              <w:rPr>
                <w:rFonts w:cstheme="minorHAnsi"/>
                <w:b/>
                <w:bCs/>
                <w:sz w:val="22"/>
                <w:szCs w:val="22"/>
              </w:rPr>
              <w:t>Current HbA</w:t>
            </w:r>
            <w:r w:rsidRPr="002020BA">
              <w:rPr>
                <w:rFonts w:cstheme="minorHAnsi"/>
                <w:b/>
                <w:bCs/>
                <w:sz w:val="22"/>
                <w:szCs w:val="22"/>
                <w:vertAlign w:val="subscript"/>
              </w:rPr>
              <w:t xml:space="preserve">1c </w:t>
            </w:r>
            <w:r w:rsidRPr="002020BA">
              <w:rPr>
                <w:rFonts w:cstheme="minorHAnsi"/>
                <w:b/>
                <w:bCs/>
                <w:color w:val="000000" w:themeColor="text1"/>
                <w:sz w:val="22"/>
                <w:szCs w:val="22"/>
              </w:rPr>
              <w:t>(%)</w:t>
            </w:r>
          </w:p>
        </w:tc>
        <w:tc>
          <w:tcPr>
            <w:tcW w:w="2148" w:type="dxa"/>
            <w:vAlign w:val="center"/>
          </w:tcPr>
          <w:p w14:paraId="4FDA508C" w14:textId="106999F2" w:rsidR="006E06EE" w:rsidRPr="002020BA" w:rsidRDefault="006E06EE" w:rsidP="003A6889">
            <w:pPr>
              <w:spacing w:before="240"/>
              <w:jc w:val="center"/>
              <w:rPr>
                <w:rFonts w:eastAsia="Times New Roman" w:cstheme="minorHAnsi"/>
                <w:color w:val="212121"/>
                <w:sz w:val="22"/>
                <w:szCs w:val="22"/>
                <w:bdr w:val="none" w:sz="0" w:space="0" w:color="auto" w:frame="1"/>
              </w:rPr>
            </w:pPr>
            <w:r w:rsidRPr="002020BA">
              <w:rPr>
                <w:rFonts w:eastAsia="Times New Roman" w:cstheme="minorHAnsi"/>
                <w:color w:val="212121"/>
                <w:sz w:val="22"/>
                <w:szCs w:val="22"/>
                <w:bdr w:val="none" w:sz="0" w:space="0" w:color="auto" w:frame="1"/>
              </w:rPr>
              <w:t>5.8 ± </w:t>
            </w:r>
            <w:r w:rsidR="001C544B" w:rsidRPr="002020BA">
              <w:rPr>
                <w:rFonts w:eastAsia="Times New Roman" w:cstheme="minorHAnsi"/>
                <w:color w:val="212121"/>
                <w:sz w:val="22"/>
                <w:szCs w:val="22"/>
                <w:bdr w:val="none" w:sz="0" w:space="0" w:color="auto" w:frame="1"/>
              </w:rPr>
              <w:t>0.4</w:t>
            </w:r>
            <w:r w:rsidRPr="002020BA">
              <w:rPr>
                <w:rFonts w:eastAsia="Times New Roman" w:cstheme="minorHAnsi"/>
                <w:color w:val="212121"/>
                <w:sz w:val="22"/>
                <w:szCs w:val="22"/>
                <w:bdr w:val="none" w:sz="0" w:space="0" w:color="auto" w:frame="1"/>
              </w:rPr>
              <w:t>%</w:t>
            </w:r>
          </w:p>
        </w:tc>
        <w:tc>
          <w:tcPr>
            <w:tcW w:w="2237" w:type="dxa"/>
            <w:vAlign w:val="center"/>
          </w:tcPr>
          <w:p w14:paraId="0550E36E" w14:textId="416A9E9F" w:rsidR="006E06EE" w:rsidRPr="002020BA" w:rsidRDefault="006E06EE" w:rsidP="003A6889">
            <w:pPr>
              <w:spacing w:before="240"/>
              <w:jc w:val="center"/>
              <w:rPr>
                <w:rFonts w:eastAsia="Times New Roman" w:cstheme="minorHAnsi"/>
                <w:color w:val="212121"/>
                <w:sz w:val="22"/>
                <w:szCs w:val="22"/>
                <w:bdr w:val="none" w:sz="0" w:space="0" w:color="auto" w:frame="1"/>
              </w:rPr>
            </w:pPr>
            <w:r w:rsidRPr="002020BA">
              <w:rPr>
                <w:rFonts w:eastAsia="Times New Roman" w:cstheme="minorHAnsi"/>
                <w:color w:val="212121"/>
                <w:sz w:val="22"/>
                <w:szCs w:val="22"/>
                <w:bdr w:val="none" w:sz="0" w:space="0" w:color="auto" w:frame="1"/>
              </w:rPr>
              <w:t>7.</w:t>
            </w:r>
            <w:r w:rsidR="001C544B" w:rsidRPr="002020BA">
              <w:rPr>
                <w:rFonts w:eastAsia="Times New Roman" w:cstheme="minorHAnsi"/>
                <w:color w:val="212121"/>
                <w:sz w:val="22"/>
                <w:szCs w:val="22"/>
                <w:bdr w:val="none" w:sz="0" w:space="0" w:color="auto" w:frame="1"/>
              </w:rPr>
              <w:t>6</w:t>
            </w:r>
            <w:r w:rsidRPr="002020BA">
              <w:rPr>
                <w:rFonts w:eastAsia="Times New Roman" w:cstheme="minorHAnsi"/>
                <w:color w:val="212121"/>
                <w:sz w:val="22"/>
                <w:szCs w:val="22"/>
                <w:bdr w:val="none" w:sz="0" w:space="0" w:color="auto" w:frame="1"/>
              </w:rPr>
              <w:t xml:space="preserve"> ± </w:t>
            </w:r>
            <w:r w:rsidR="001C544B" w:rsidRPr="002020BA">
              <w:rPr>
                <w:rFonts w:eastAsia="Times New Roman" w:cstheme="minorHAnsi"/>
                <w:color w:val="212121"/>
                <w:sz w:val="22"/>
                <w:szCs w:val="22"/>
                <w:bdr w:val="none" w:sz="0" w:space="0" w:color="auto" w:frame="1"/>
              </w:rPr>
              <w:t>1.9</w:t>
            </w:r>
            <w:r w:rsidRPr="002020BA">
              <w:rPr>
                <w:rFonts w:eastAsia="Times New Roman" w:cstheme="minorHAnsi"/>
                <w:color w:val="212121"/>
                <w:sz w:val="22"/>
                <w:szCs w:val="22"/>
                <w:bdr w:val="none" w:sz="0" w:space="0" w:color="auto" w:frame="1"/>
              </w:rPr>
              <w:t>%</w:t>
            </w:r>
          </w:p>
        </w:tc>
        <w:tc>
          <w:tcPr>
            <w:tcW w:w="1787" w:type="dxa"/>
          </w:tcPr>
          <w:p w14:paraId="29FD3872" w14:textId="6F36385F" w:rsidR="006E06EE" w:rsidRPr="002020BA" w:rsidRDefault="006E06EE" w:rsidP="003A6889">
            <w:pPr>
              <w:spacing w:before="240"/>
              <w:jc w:val="center"/>
              <w:rPr>
                <w:rFonts w:cstheme="minorHAnsi"/>
                <w:sz w:val="22"/>
                <w:szCs w:val="22"/>
              </w:rPr>
            </w:pPr>
            <w:r w:rsidRPr="002020BA">
              <w:rPr>
                <w:rFonts w:cstheme="minorHAnsi"/>
                <w:sz w:val="22"/>
                <w:szCs w:val="22"/>
              </w:rPr>
              <w:t>P value not calculated</w:t>
            </w:r>
            <w:r w:rsidR="00066389" w:rsidRPr="002020BA">
              <w:rPr>
                <w:rFonts w:cstheme="minorHAnsi"/>
                <w:sz w:val="22"/>
                <w:szCs w:val="22"/>
              </w:rPr>
              <w:t>*</w:t>
            </w:r>
          </w:p>
        </w:tc>
      </w:tr>
    </w:tbl>
    <w:p w14:paraId="6183D9E0" w14:textId="213C0926" w:rsidR="00A02685" w:rsidRPr="002020BA" w:rsidRDefault="006E06EE" w:rsidP="00AD2E0A">
      <w:pPr>
        <w:spacing w:before="240" w:line="360" w:lineRule="auto"/>
        <w:rPr>
          <w:rFonts w:cstheme="minorHAnsi"/>
        </w:rPr>
      </w:pPr>
      <w:r w:rsidRPr="002020BA">
        <w:rPr>
          <w:rFonts w:cstheme="minorHAnsi"/>
        </w:rPr>
        <w:t>*</w:t>
      </w:r>
      <w:r w:rsidR="001A640B" w:rsidRPr="002020BA">
        <w:rPr>
          <w:rFonts w:cstheme="minorHAnsi"/>
        </w:rPr>
        <w:t>P value not calculated for HbA</w:t>
      </w:r>
      <w:r w:rsidR="001A640B" w:rsidRPr="002020BA">
        <w:rPr>
          <w:rFonts w:cstheme="minorHAnsi"/>
          <w:vertAlign w:val="subscript"/>
        </w:rPr>
        <w:t>1c</w:t>
      </w:r>
      <w:r w:rsidR="001A640B" w:rsidRPr="002020BA">
        <w:rPr>
          <w:rFonts w:cstheme="minorHAnsi"/>
        </w:rPr>
        <w:t xml:space="preserve"> and insulin as these were different by design</w:t>
      </w:r>
    </w:p>
    <w:p w14:paraId="3DF6B88D" w14:textId="77777777" w:rsidR="003667B2" w:rsidRPr="002020BA" w:rsidRDefault="003667B2" w:rsidP="00AD2E0A">
      <w:pPr>
        <w:spacing w:before="240" w:line="360" w:lineRule="auto"/>
        <w:rPr>
          <w:rFonts w:cstheme="minorHAnsi"/>
        </w:rPr>
      </w:pPr>
    </w:p>
    <w:p w14:paraId="5728BD59" w14:textId="77777777" w:rsidR="00066389" w:rsidRPr="002020BA" w:rsidRDefault="00066389">
      <w:pPr>
        <w:rPr>
          <w:rFonts w:cstheme="minorHAnsi"/>
        </w:rPr>
      </w:pPr>
      <w:r w:rsidRPr="002020BA">
        <w:rPr>
          <w:rFonts w:cstheme="minorHAnsi"/>
        </w:rPr>
        <w:lastRenderedPageBreak/>
        <w:br w:type="page"/>
      </w:r>
    </w:p>
    <w:p w14:paraId="7397102C" w14:textId="396AF43E" w:rsidR="003A467B" w:rsidRPr="002020BA" w:rsidRDefault="003A467B" w:rsidP="00541E61">
      <w:pPr>
        <w:spacing w:before="240" w:line="360" w:lineRule="auto"/>
        <w:rPr>
          <w:rFonts w:cstheme="minorHAnsi"/>
        </w:rPr>
      </w:pPr>
      <w:r w:rsidRPr="002020BA">
        <w:rPr>
          <w:rFonts w:cstheme="minorHAnsi"/>
        </w:rPr>
        <w:lastRenderedPageBreak/>
        <w:t>Figure legend:</w:t>
      </w:r>
    </w:p>
    <w:p w14:paraId="7BE49DDB" w14:textId="23D31083" w:rsidR="003A467B" w:rsidRPr="002020BA" w:rsidRDefault="003A467B" w:rsidP="00AD2E0A">
      <w:pPr>
        <w:spacing w:before="240" w:line="360" w:lineRule="auto"/>
        <w:jc w:val="both"/>
        <w:rPr>
          <w:rFonts w:cstheme="minorHAnsi"/>
        </w:rPr>
      </w:pPr>
      <w:r w:rsidRPr="002020BA">
        <w:rPr>
          <w:rFonts w:cstheme="minorHAnsi"/>
        </w:rPr>
        <w:t>Figure 1</w:t>
      </w:r>
      <w:r w:rsidR="00A436A9" w:rsidRPr="002020BA">
        <w:rPr>
          <w:rFonts w:cstheme="minorHAnsi"/>
        </w:rPr>
        <w:t>a</w:t>
      </w:r>
      <w:r w:rsidRPr="002020BA">
        <w:rPr>
          <w:rFonts w:cstheme="minorHAnsi"/>
        </w:rPr>
        <w:t xml:space="preserve">: Change in </w:t>
      </w:r>
      <w:bookmarkStart w:id="14" w:name="OLE_LINK1"/>
      <w:r w:rsidRPr="002020BA">
        <w:rPr>
          <w:rFonts w:cstheme="minorHAnsi"/>
        </w:rPr>
        <w:t>HbA</w:t>
      </w:r>
      <w:r w:rsidRPr="002020BA">
        <w:rPr>
          <w:rFonts w:cstheme="minorHAnsi"/>
          <w:vertAlign w:val="subscript"/>
        </w:rPr>
        <w:t>1c</w:t>
      </w:r>
      <w:r w:rsidRPr="002020BA">
        <w:rPr>
          <w:rFonts w:cstheme="minorHAnsi"/>
        </w:rPr>
        <w:t xml:space="preserve"> (mmol/</w:t>
      </w:r>
      <w:r w:rsidR="009D7036" w:rsidRPr="002020BA">
        <w:rPr>
          <w:rFonts w:cstheme="minorHAnsi"/>
        </w:rPr>
        <w:t>mol</w:t>
      </w:r>
      <w:r w:rsidR="001A640B" w:rsidRPr="002020BA">
        <w:rPr>
          <w:rFonts w:cstheme="minorHAnsi"/>
        </w:rPr>
        <w:t xml:space="preserve"> and %</w:t>
      </w:r>
      <w:r w:rsidRPr="002020BA">
        <w:rPr>
          <w:rFonts w:cstheme="minorHAnsi"/>
        </w:rPr>
        <w:t>)</w:t>
      </w:r>
      <w:bookmarkEnd w:id="14"/>
      <w:r w:rsidR="00A40FAA" w:rsidRPr="002020BA">
        <w:rPr>
          <w:rFonts w:cstheme="minorHAnsi"/>
        </w:rPr>
        <w:t>,</w:t>
      </w:r>
      <w:r w:rsidRPr="002020BA">
        <w:rPr>
          <w:rFonts w:cstheme="minorHAnsi"/>
        </w:rPr>
        <w:t xml:space="preserve"> 3 years prior to insulin cessation and 3 years after insulin cessation.</w:t>
      </w:r>
      <w:r w:rsidR="00A40FAA" w:rsidRPr="002020BA">
        <w:rPr>
          <w:rFonts w:cstheme="minorHAnsi"/>
        </w:rPr>
        <w:t xml:space="preserve"> </w:t>
      </w:r>
      <w:r w:rsidR="001A640B" w:rsidRPr="002020BA">
        <w:rPr>
          <w:rFonts w:cstheme="minorHAnsi"/>
        </w:rPr>
        <w:t xml:space="preserve">Data show individual data plots (light blue) and mean </w:t>
      </w:r>
      <w:r w:rsidR="001A640B" w:rsidRPr="002020BA">
        <w:rPr>
          <w:rFonts w:eastAsia="Times New Roman" w:cstheme="minorHAnsi"/>
          <w:color w:val="212121"/>
          <w:bdr w:val="none" w:sz="0" w:space="0" w:color="auto" w:frame="1"/>
        </w:rPr>
        <w:t>± SD (dark blue)</w:t>
      </w:r>
      <w:r w:rsidR="001A640B" w:rsidRPr="002020BA">
        <w:rPr>
          <w:rFonts w:cstheme="minorHAnsi"/>
        </w:rPr>
        <w:t xml:space="preserve"> </w:t>
      </w:r>
    </w:p>
    <w:p w14:paraId="73A99F37" w14:textId="1B3F4195" w:rsidR="003A467B" w:rsidRPr="002020BA" w:rsidRDefault="003A467B" w:rsidP="00AD2E0A">
      <w:pPr>
        <w:spacing w:before="240" w:line="360" w:lineRule="auto"/>
        <w:jc w:val="both"/>
        <w:rPr>
          <w:rFonts w:cstheme="minorHAnsi"/>
        </w:rPr>
      </w:pPr>
      <w:r w:rsidRPr="002020BA">
        <w:rPr>
          <w:rFonts w:cstheme="minorHAnsi"/>
        </w:rPr>
        <w:t xml:space="preserve">Figure </w:t>
      </w:r>
      <w:r w:rsidR="00A436A9" w:rsidRPr="002020BA">
        <w:rPr>
          <w:rFonts w:cstheme="minorHAnsi"/>
        </w:rPr>
        <w:t>1b</w:t>
      </w:r>
      <w:r w:rsidRPr="002020BA">
        <w:rPr>
          <w:rFonts w:cstheme="minorHAnsi"/>
        </w:rPr>
        <w:t>: Change in BMI</w:t>
      </w:r>
      <w:r w:rsidR="00A40FAA" w:rsidRPr="002020BA">
        <w:rPr>
          <w:rFonts w:cstheme="minorHAnsi"/>
        </w:rPr>
        <w:t xml:space="preserve"> </w:t>
      </w:r>
      <w:r w:rsidRPr="002020BA">
        <w:rPr>
          <w:rFonts w:cstheme="minorHAnsi"/>
        </w:rPr>
        <w:t>(kg/m</w:t>
      </w:r>
      <w:r w:rsidRPr="002020BA">
        <w:rPr>
          <w:rFonts w:cstheme="minorHAnsi"/>
          <w:vertAlign w:val="superscript"/>
        </w:rPr>
        <w:t>2</w:t>
      </w:r>
      <w:r w:rsidRPr="002020BA">
        <w:rPr>
          <w:rFonts w:cstheme="minorHAnsi"/>
        </w:rPr>
        <w:t>), 3 years prior to insulin cessation and 3 years after insulin cessation.</w:t>
      </w:r>
      <w:r w:rsidR="001A640B" w:rsidRPr="002020BA">
        <w:rPr>
          <w:rFonts w:cstheme="minorHAnsi"/>
        </w:rPr>
        <w:t xml:space="preserve"> Data show individual data plots (light blue) and mean </w:t>
      </w:r>
      <w:r w:rsidR="001A640B" w:rsidRPr="002020BA">
        <w:rPr>
          <w:rFonts w:eastAsia="Times New Roman" w:cstheme="minorHAnsi"/>
          <w:color w:val="212121"/>
          <w:bdr w:val="none" w:sz="0" w:space="0" w:color="auto" w:frame="1"/>
        </w:rPr>
        <w:t>± SD (dark blue)</w:t>
      </w:r>
    </w:p>
    <w:p w14:paraId="60C30956" w14:textId="72EA4C8B" w:rsidR="003A467B" w:rsidRPr="00D408AE" w:rsidRDefault="003A467B" w:rsidP="00AD2E0A">
      <w:pPr>
        <w:spacing w:before="240" w:line="360" w:lineRule="auto"/>
        <w:jc w:val="both"/>
        <w:rPr>
          <w:rFonts w:cstheme="minorHAnsi"/>
        </w:rPr>
      </w:pPr>
      <w:r w:rsidRPr="002020BA">
        <w:rPr>
          <w:rFonts w:cstheme="minorHAnsi"/>
        </w:rPr>
        <w:t xml:space="preserve">Figure </w:t>
      </w:r>
      <w:r w:rsidR="00A436A9" w:rsidRPr="002020BA">
        <w:rPr>
          <w:rFonts w:cstheme="minorHAnsi"/>
        </w:rPr>
        <w:t>1c</w:t>
      </w:r>
      <w:r w:rsidRPr="002020BA">
        <w:rPr>
          <w:rFonts w:cstheme="minorHAnsi"/>
        </w:rPr>
        <w:t>: Change in FEV1</w:t>
      </w:r>
      <w:r w:rsidR="00A40FAA" w:rsidRPr="002020BA">
        <w:rPr>
          <w:rFonts w:cstheme="minorHAnsi"/>
        </w:rPr>
        <w:t xml:space="preserve"> </w:t>
      </w:r>
      <w:r w:rsidRPr="002020BA">
        <w:rPr>
          <w:rFonts w:cstheme="minorHAnsi"/>
        </w:rPr>
        <w:t>(% of predicted), 3 years prior to insulin cessation and 3 years after insulin cessation.</w:t>
      </w:r>
      <w:r w:rsidR="001A640B" w:rsidRPr="002020BA">
        <w:rPr>
          <w:rFonts w:cstheme="minorHAnsi"/>
        </w:rPr>
        <w:t xml:space="preserve"> Data show individual data plots (light blue) and mean </w:t>
      </w:r>
      <w:r w:rsidR="001A640B" w:rsidRPr="002020BA">
        <w:rPr>
          <w:rFonts w:eastAsia="Times New Roman" w:cstheme="minorHAnsi"/>
          <w:color w:val="212121"/>
          <w:bdr w:val="none" w:sz="0" w:space="0" w:color="auto" w:frame="1"/>
        </w:rPr>
        <w:t>± SD (dark blue)</w:t>
      </w:r>
    </w:p>
    <w:p w14:paraId="149FD42C" w14:textId="529B4AAA" w:rsidR="00A02685" w:rsidRPr="00D408AE" w:rsidRDefault="00A02685" w:rsidP="00AD2E0A">
      <w:pPr>
        <w:spacing w:before="240" w:line="360" w:lineRule="auto"/>
        <w:jc w:val="both"/>
        <w:rPr>
          <w:rFonts w:cstheme="minorHAnsi"/>
        </w:rPr>
      </w:pPr>
    </w:p>
    <w:p w14:paraId="737FB899" w14:textId="77777777" w:rsidR="008C0581" w:rsidRPr="00D408AE" w:rsidRDefault="008C0581" w:rsidP="00AD2E0A">
      <w:pPr>
        <w:spacing w:before="240" w:line="360" w:lineRule="auto"/>
        <w:rPr>
          <w:rFonts w:cstheme="minorHAnsi"/>
        </w:rPr>
      </w:pPr>
    </w:p>
    <w:p w14:paraId="0EB09FE8" w14:textId="77777777" w:rsidR="008C0581" w:rsidRPr="00D408AE" w:rsidRDefault="008C0581" w:rsidP="00AD2E0A">
      <w:pPr>
        <w:spacing w:before="240" w:line="360" w:lineRule="auto"/>
        <w:rPr>
          <w:rFonts w:cstheme="minorHAnsi"/>
        </w:rPr>
      </w:pPr>
    </w:p>
    <w:p w14:paraId="35B61CDA" w14:textId="77777777" w:rsidR="008C0581" w:rsidRPr="00D408AE" w:rsidRDefault="008C0581" w:rsidP="00AD2E0A">
      <w:pPr>
        <w:spacing w:before="240" w:line="360" w:lineRule="auto"/>
        <w:rPr>
          <w:rFonts w:cstheme="minorHAnsi"/>
        </w:rPr>
      </w:pPr>
    </w:p>
    <w:p w14:paraId="3BE41BA3" w14:textId="77777777" w:rsidR="008C0581" w:rsidRPr="00D408AE" w:rsidRDefault="008C0581" w:rsidP="00AD2E0A">
      <w:pPr>
        <w:spacing w:before="240" w:line="360" w:lineRule="auto"/>
        <w:rPr>
          <w:rFonts w:cstheme="minorHAnsi"/>
        </w:rPr>
      </w:pPr>
    </w:p>
    <w:p w14:paraId="111540D1" w14:textId="77777777" w:rsidR="008C0581" w:rsidRPr="00D408AE" w:rsidRDefault="008C0581" w:rsidP="00AD2E0A">
      <w:pPr>
        <w:spacing w:before="240" w:line="360" w:lineRule="auto"/>
        <w:rPr>
          <w:rFonts w:cstheme="minorHAnsi"/>
        </w:rPr>
      </w:pPr>
    </w:p>
    <w:p w14:paraId="5C995428" w14:textId="77777777" w:rsidR="008C0581" w:rsidRPr="00D408AE" w:rsidRDefault="008C0581" w:rsidP="00AD2E0A">
      <w:pPr>
        <w:spacing w:before="240" w:line="360" w:lineRule="auto"/>
        <w:rPr>
          <w:rFonts w:cstheme="minorHAnsi"/>
        </w:rPr>
      </w:pPr>
    </w:p>
    <w:p w14:paraId="7FF174B9" w14:textId="77777777" w:rsidR="003A6889" w:rsidRPr="00D408AE" w:rsidRDefault="003A6889" w:rsidP="00AD2E0A">
      <w:pPr>
        <w:spacing w:before="240" w:line="360" w:lineRule="auto"/>
        <w:rPr>
          <w:rFonts w:cstheme="minorHAnsi"/>
        </w:rPr>
        <w:sectPr w:rsidR="003A6889" w:rsidRPr="00D408AE" w:rsidSect="006E29EC">
          <w:pgSz w:w="11900" w:h="16840"/>
          <w:pgMar w:top="1440" w:right="1440" w:bottom="1440" w:left="1440" w:header="708" w:footer="708" w:gutter="0"/>
          <w:cols w:space="708"/>
          <w:docGrid w:linePitch="360"/>
        </w:sectPr>
      </w:pPr>
    </w:p>
    <w:p w14:paraId="7A6828A1" w14:textId="47B4D8E4" w:rsidR="006E7E45" w:rsidRPr="00D408AE" w:rsidRDefault="003A467B" w:rsidP="00AD2E0A">
      <w:pPr>
        <w:spacing w:before="240" w:line="360" w:lineRule="auto"/>
        <w:rPr>
          <w:rFonts w:cstheme="minorHAnsi"/>
        </w:rPr>
      </w:pPr>
      <w:r w:rsidRPr="00D408AE">
        <w:rPr>
          <w:rFonts w:cstheme="minorHAnsi"/>
        </w:rPr>
        <w:lastRenderedPageBreak/>
        <w:t>Figure 1</w:t>
      </w:r>
      <w:r w:rsidR="00A436A9" w:rsidRPr="00D408AE">
        <w:rPr>
          <w:rFonts w:cstheme="minorHAnsi"/>
        </w:rPr>
        <w:t>a</w:t>
      </w:r>
      <w:r w:rsidRPr="00D408AE">
        <w:rPr>
          <w:rFonts w:cstheme="minorHAnsi"/>
        </w:rPr>
        <w:t>:</w:t>
      </w:r>
    </w:p>
    <w:p w14:paraId="14A3A75A" w14:textId="08E55C61" w:rsidR="008C0581" w:rsidRPr="00D408AE" w:rsidRDefault="006E7E45" w:rsidP="00AD2E0A">
      <w:pPr>
        <w:spacing w:before="240" w:line="360" w:lineRule="auto"/>
        <w:rPr>
          <w:rFonts w:cstheme="minorHAnsi"/>
        </w:rPr>
      </w:pPr>
      <w:r w:rsidRPr="00D408AE">
        <w:rPr>
          <w:rFonts w:cstheme="minorHAnsi"/>
          <w:noProof/>
          <w:lang w:eastAsia="en-GB"/>
        </w:rPr>
        <w:drawing>
          <wp:inline distT="0" distB="0" distL="0" distR="0" wp14:anchorId="62159E4C" wp14:editId="22DF2D21">
            <wp:extent cx="6851996" cy="4582633"/>
            <wp:effectExtent l="0" t="0" r="635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19-11-21 at 12.34.23.png"/>
                    <pic:cNvPicPr/>
                  </pic:nvPicPr>
                  <pic:blipFill rotWithShape="1">
                    <a:blip r:embed="rId6">
                      <a:extLst>
                        <a:ext uri="{28A0092B-C50C-407E-A947-70E740481C1C}">
                          <a14:useLocalDpi xmlns:a14="http://schemas.microsoft.com/office/drawing/2010/main" val="0"/>
                        </a:ext>
                      </a:extLst>
                    </a:blip>
                    <a:srcRect l="841"/>
                    <a:stretch/>
                  </pic:blipFill>
                  <pic:spPr bwMode="auto">
                    <a:xfrm>
                      <a:off x="0" y="0"/>
                      <a:ext cx="6956746" cy="4652690"/>
                    </a:xfrm>
                    <a:prstGeom prst="rect">
                      <a:avLst/>
                    </a:prstGeom>
                    <a:ln>
                      <a:noFill/>
                    </a:ln>
                    <a:extLst>
                      <a:ext uri="{53640926-AAD7-44D8-BBD7-CCE9431645EC}">
                        <a14:shadowObscured xmlns:a14="http://schemas.microsoft.com/office/drawing/2010/main"/>
                      </a:ext>
                    </a:extLst>
                  </pic:spPr>
                </pic:pic>
              </a:graphicData>
            </a:graphic>
          </wp:inline>
        </w:drawing>
      </w:r>
    </w:p>
    <w:p w14:paraId="56C93942" w14:textId="08E18741" w:rsidR="001501D4" w:rsidRPr="00D408AE" w:rsidRDefault="001501D4" w:rsidP="00AD2E0A">
      <w:pPr>
        <w:spacing w:before="240" w:line="360" w:lineRule="auto"/>
        <w:rPr>
          <w:rFonts w:cstheme="minorHAnsi"/>
        </w:rPr>
      </w:pPr>
    </w:p>
    <w:p w14:paraId="6FB10977" w14:textId="0B116EA0" w:rsidR="008C0581" w:rsidRPr="00D408AE" w:rsidRDefault="003A467B" w:rsidP="00AD2E0A">
      <w:pPr>
        <w:spacing w:before="240" w:line="360" w:lineRule="auto"/>
        <w:rPr>
          <w:rFonts w:cstheme="minorHAnsi"/>
        </w:rPr>
      </w:pPr>
      <w:r w:rsidRPr="00D408AE">
        <w:rPr>
          <w:rFonts w:cstheme="minorHAnsi"/>
        </w:rPr>
        <w:t xml:space="preserve">Figure </w:t>
      </w:r>
      <w:r w:rsidR="00A436A9" w:rsidRPr="00D408AE">
        <w:rPr>
          <w:rFonts w:cstheme="minorHAnsi"/>
        </w:rPr>
        <w:t>1</w:t>
      </w:r>
      <w:r w:rsidR="008C0581" w:rsidRPr="00D408AE">
        <w:rPr>
          <w:rFonts w:cstheme="minorHAnsi"/>
        </w:rPr>
        <w:t>b</w:t>
      </w:r>
    </w:p>
    <w:p w14:paraId="179B8F96" w14:textId="57E49B6E" w:rsidR="007A3A4E" w:rsidRPr="00D408AE" w:rsidRDefault="006E7E45" w:rsidP="00AD2E0A">
      <w:pPr>
        <w:spacing w:before="240" w:line="360" w:lineRule="auto"/>
        <w:rPr>
          <w:rFonts w:cstheme="minorHAnsi"/>
        </w:rPr>
      </w:pPr>
      <w:r w:rsidRPr="00D408AE">
        <w:rPr>
          <w:rFonts w:cstheme="minorHAnsi"/>
          <w:noProof/>
          <w:lang w:eastAsia="en-GB"/>
        </w:rPr>
        <w:lastRenderedPageBreak/>
        <w:drawing>
          <wp:inline distT="0" distB="0" distL="0" distR="0" wp14:anchorId="782BB19C" wp14:editId="6312C5D9">
            <wp:extent cx="6730179" cy="4928839"/>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19-11-21 at 12.23.52.png"/>
                    <pic:cNvPicPr/>
                  </pic:nvPicPr>
                  <pic:blipFill>
                    <a:blip r:embed="rId7">
                      <a:extLst>
                        <a:ext uri="{28A0092B-C50C-407E-A947-70E740481C1C}">
                          <a14:useLocalDpi xmlns:a14="http://schemas.microsoft.com/office/drawing/2010/main" val="0"/>
                        </a:ext>
                      </a:extLst>
                    </a:blip>
                    <a:stretch>
                      <a:fillRect/>
                    </a:stretch>
                  </pic:blipFill>
                  <pic:spPr>
                    <a:xfrm>
                      <a:off x="0" y="0"/>
                      <a:ext cx="6730179" cy="4928839"/>
                    </a:xfrm>
                    <a:prstGeom prst="rect">
                      <a:avLst/>
                    </a:prstGeom>
                  </pic:spPr>
                </pic:pic>
              </a:graphicData>
            </a:graphic>
          </wp:inline>
        </w:drawing>
      </w:r>
    </w:p>
    <w:p w14:paraId="76930EAA" w14:textId="0CEFBB41" w:rsidR="008C0581" w:rsidRPr="00D408AE" w:rsidRDefault="003A467B" w:rsidP="00AD2E0A">
      <w:pPr>
        <w:spacing w:before="240" w:line="360" w:lineRule="auto"/>
        <w:rPr>
          <w:rFonts w:cstheme="minorHAnsi"/>
        </w:rPr>
      </w:pPr>
      <w:r w:rsidRPr="00D408AE">
        <w:rPr>
          <w:rFonts w:cstheme="minorHAnsi"/>
        </w:rPr>
        <w:t xml:space="preserve">Figure </w:t>
      </w:r>
      <w:r w:rsidR="00A436A9" w:rsidRPr="00D408AE">
        <w:rPr>
          <w:rFonts w:cstheme="minorHAnsi"/>
        </w:rPr>
        <w:t>1c</w:t>
      </w:r>
    </w:p>
    <w:p w14:paraId="767463EA" w14:textId="43A2C546" w:rsidR="007865CD" w:rsidRPr="00D408AE" w:rsidRDefault="006E7E45" w:rsidP="00AD2E0A">
      <w:pPr>
        <w:spacing w:before="240" w:line="360" w:lineRule="auto"/>
        <w:rPr>
          <w:rFonts w:cstheme="minorHAnsi"/>
        </w:rPr>
      </w:pPr>
      <w:r w:rsidRPr="00D408AE">
        <w:rPr>
          <w:rFonts w:cstheme="minorHAnsi"/>
          <w:noProof/>
          <w:lang w:eastAsia="en-GB"/>
        </w:rPr>
        <w:drawing>
          <wp:inline distT="0" distB="0" distL="0" distR="0" wp14:anchorId="5676E0A0" wp14:editId="7DD04485">
            <wp:extent cx="6811940" cy="490653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 2019-11-21 at 12.27.04.png"/>
                    <pic:cNvPicPr/>
                  </pic:nvPicPr>
                  <pic:blipFill rotWithShape="1">
                    <a:blip r:embed="rId8">
                      <a:extLst>
                        <a:ext uri="{28A0092B-C50C-407E-A947-70E740481C1C}">
                          <a14:useLocalDpi xmlns:a14="http://schemas.microsoft.com/office/drawing/2010/main" val="0"/>
                        </a:ext>
                      </a:extLst>
                    </a:blip>
                    <a:srcRect b="1670"/>
                    <a:stretch/>
                  </pic:blipFill>
                  <pic:spPr bwMode="auto">
                    <a:xfrm>
                      <a:off x="0" y="0"/>
                      <a:ext cx="6877913" cy="4954055"/>
                    </a:xfrm>
                    <a:prstGeom prst="rect">
                      <a:avLst/>
                    </a:prstGeom>
                    <a:ln>
                      <a:noFill/>
                    </a:ln>
                    <a:extLst>
                      <a:ext uri="{53640926-AAD7-44D8-BBD7-CCE9431645EC}">
                        <a14:shadowObscured xmlns:a14="http://schemas.microsoft.com/office/drawing/2010/main"/>
                      </a:ext>
                    </a:extLst>
                  </pic:spPr>
                </pic:pic>
              </a:graphicData>
            </a:graphic>
          </wp:inline>
        </w:drawing>
      </w:r>
    </w:p>
    <w:sectPr w:rsidR="007865CD" w:rsidRPr="00D408AE" w:rsidSect="003A6889">
      <w:pgSz w:w="16840" w:h="11900"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607F6"/>
    <w:multiLevelType w:val="hybridMultilevel"/>
    <w:tmpl w:val="4CE41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FF5069"/>
    <w:multiLevelType w:val="multilevel"/>
    <w:tmpl w:val="45401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023153"/>
    <w:multiLevelType w:val="hybridMultilevel"/>
    <w:tmpl w:val="935EE4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0C370A5"/>
    <w:multiLevelType w:val="hybridMultilevel"/>
    <w:tmpl w:val="7B04B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2C4"/>
    <w:rsid w:val="00012D00"/>
    <w:rsid w:val="00045568"/>
    <w:rsid w:val="0004768F"/>
    <w:rsid w:val="0006467E"/>
    <w:rsid w:val="00066389"/>
    <w:rsid w:val="000836E9"/>
    <w:rsid w:val="000849F1"/>
    <w:rsid w:val="0008704B"/>
    <w:rsid w:val="000C5429"/>
    <w:rsid w:val="000E0B12"/>
    <w:rsid w:val="000F0ECA"/>
    <w:rsid w:val="000F3829"/>
    <w:rsid w:val="00120ADF"/>
    <w:rsid w:val="001501D4"/>
    <w:rsid w:val="0015779C"/>
    <w:rsid w:val="00160805"/>
    <w:rsid w:val="00181F30"/>
    <w:rsid w:val="00182ABD"/>
    <w:rsid w:val="00185F3E"/>
    <w:rsid w:val="00190D34"/>
    <w:rsid w:val="001A1FAC"/>
    <w:rsid w:val="001A640B"/>
    <w:rsid w:val="001A7287"/>
    <w:rsid w:val="001C3ED5"/>
    <w:rsid w:val="001C544B"/>
    <w:rsid w:val="001C686D"/>
    <w:rsid w:val="001C7B7C"/>
    <w:rsid w:val="002020BA"/>
    <w:rsid w:val="00204F0F"/>
    <w:rsid w:val="00207889"/>
    <w:rsid w:val="0021001D"/>
    <w:rsid w:val="00211C97"/>
    <w:rsid w:val="00251654"/>
    <w:rsid w:val="00277895"/>
    <w:rsid w:val="00281714"/>
    <w:rsid w:val="002A5809"/>
    <w:rsid w:val="002C3070"/>
    <w:rsid w:val="002C372B"/>
    <w:rsid w:val="002C4A53"/>
    <w:rsid w:val="00321E8E"/>
    <w:rsid w:val="00326F8F"/>
    <w:rsid w:val="003469D3"/>
    <w:rsid w:val="00351369"/>
    <w:rsid w:val="003545B8"/>
    <w:rsid w:val="003667B2"/>
    <w:rsid w:val="003675B2"/>
    <w:rsid w:val="00367F40"/>
    <w:rsid w:val="003811F7"/>
    <w:rsid w:val="003A467B"/>
    <w:rsid w:val="003A6889"/>
    <w:rsid w:val="003C0240"/>
    <w:rsid w:val="003D67F4"/>
    <w:rsid w:val="003E5BBB"/>
    <w:rsid w:val="003E7146"/>
    <w:rsid w:val="003F44D4"/>
    <w:rsid w:val="0040493B"/>
    <w:rsid w:val="00412611"/>
    <w:rsid w:val="0043539A"/>
    <w:rsid w:val="0044046B"/>
    <w:rsid w:val="004500AB"/>
    <w:rsid w:val="004712B8"/>
    <w:rsid w:val="004977B2"/>
    <w:rsid w:val="004A290C"/>
    <w:rsid w:val="004B382B"/>
    <w:rsid w:val="004D3215"/>
    <w:rsid w:val="004F5FE2"/>
    <w:rsid w:val="0050455B"/>
    <w:rsid w:val="00511F35"/>
    <w:rsid w:val="00525C22"/>
    <w:rsid w:val="005307D4"/>
    <w:rsid w:val="00537580"/>
    <w:rsid w:val="00541E61"/>
    <w:rsid w:val="005425B2"/>
    <w:rsid w:val="005F3F17"/>
    <w:rsid w:val="0060603F"/>
    <w:rsid w:val="00623EEA"/>
    <w:rsid w:val="0062511C"/>
    <w:rsid w:val="00627547"/>
    <w:rsid w:val="00636493"/>
    <w:rsid w:val="00643AF1"/>
    <w:rsid w:val="006577ED"/>
    <w:rsid w:val="00694F9E"/>
    <w:rsid w:val="0069620E"/>
    <w:rsid w:val="006A025E"/>
    <w:rsid w:val="006A4C82"/>
    <w:rsid w:val="006B4D9B"/>
    <w:rsid w:val="006B5BAD"/>
    <w:rsid w:val="006C77C1"/>
    <w:rsid w:val="006E06EE"/>
    <w:rsid w:val="006E29EC"/>
    <w:rsid w:val="006E7E45"/>
    <w:rsid w:val="007039BD"/>
    <w:rsid w:val="00740CB6"/>
    <w:rsid w:val="00745381"/>
    <w:rsid w:val="0075058F"/>
    <w:rsid w:val="00763D75"/>
    <w:rsid w:val="00764F4D"/>
    <w:rsid w:val="0076663B"/>
    <w:rsid w:val="007762EA"/>
    <w:rsid w:val="007833B6"/>
    <w:rsid w:val="007865CD"/>
    <w:rsid w:val="00795DF4"/>
    <w:rsid w:val="007A3A4E"/>
    <w:rsid w:val="007A4262"/>
    <w:rsid w:val="007A582D"/>
    <w:rsid w:val="007D191B"/>
    <w:rsid w:val="007F4588"/>
    <w:rsid w:val="007F500D"/>
    <w:rsid w:val="00832370"/>
    <w:rsid w:val="0085770F"/>
    <w:rsid w:val="008632B0"/>
    <w:rsid w:val="00875A84"/>
    <w:rsid w:val="008770E2"/>
    <w:rsid w:val="0088560D"/>
    <w:rsid w:val="00885DDC"/>
    <w:rsid w:val="00886BC0"/>
    <w:rsid w:val="008C0581"/>
    <w:rsid w:val="0095018E"/>
    <w:rsid w:val="00995792"/>
    <w:rsid w:val="009A43C7"/>
    <w:rsid w:val="009C5612"/>
    <w:rsid w:val="009D51C6"/>
    <w:rsid w:val="009D7036"/>
    <w:rsid w:val="009E061E"/>
    <w:rsid w:val="009E3446"/>
    <w:rsid w:val="009E6E95"/>
    <w:rsid w:val="00A02685"/>
    <w:rsid w:val="00A07BFB"/>
    <w:rsid w:val="00A1253B"/>
    <w:rsid w:val="00A40FAA"/>
    <w:rsid w:val="00A436A9"/>
    <w:rsid w:val="00A5327F"/>
    <w:rsid w:val="00A712C6"/>
    <w:rsid w:val="00A73DC4"/>
    <w:rsid w:val="00A86076"/>
    <w:rsid w:val="00A9398A"/>
    <w:rsid w:val="00A9796D"/>
    <w:rsid w:val="00AA5C0F"/>
    <w:rsid w:val="00AD2E0A"/>
    <w:rsid w:val="00AE3ABE"/>
    <w:rsid w:val="00AE7D85"/>
    <w:rsid w:val="00AF3BD2"/>
    <w:rsid w:val="00B2417A"/>
    <w:rsid w:val="00B30963"/>
    <w:rsid w:val="00B339EC"/>
    <w:rsid w:val="00B367FD"/>
    <w:rsid w:val="00B86849"/>
    <w:rsid w:val="00B904A1"/>
    <w:rsid w:val="00BA6194"/>
    <w:rsid w:val="00BD1C1D"/>
    <w:rsid w:val="00C21B2C"/>
    <w:rsid w:val="00C41857"/>
    <w:rsid w:val="00C46778"/>
    <w:rsid w:val="00C56EA4"/>
    <w:rsid w:val="00C56FDD"/>
    <w:rsid w:val="00C7311D"/>
    <w:rsid w:val="00C804C7"/>
    <w:rsid w:val="00C87224"/>
    <w:rsid w:val="00CA098E"/>
    <w:rsid w:val="00CB5CC3"/>
    <w:rsid w:val="00CB5F87"/>
    <w:rsid w:val="00CC1871"/>
    <w:rsid w:val="00CD37C0"/>
    <w:rsid w:val="00D408AE"/>
    <w:rsid w:val="00D432C4"/>
    <w:rsid w:val="00D97E47"/>
    <w:rsid w:val="00DB6BE5"/>
    <w:rsid w:val="00DD7048"/>
    <w:rsid w:val="00DE2AE2"/>
    <w:rsid w:val="00DF70BC"/>
    <w:rsid w:val="00E0558E"/>
    <w:rsid w:val="00E13AB3"/>
    <w:rsid w:val="00E147CE"/>
    <w:rsid w:val="00E321E8"/>
    <w:rsid w:val="00E33C59"/>
    <w:rsid w:val="00E646DF"/>
    <w:rsid w:val="00E677AA"/>
    <w:rsid w:val="00E92FE6"/>
    <w:rsid w:val="00EA21E8"/>
    <w:rsid w:val="00EB2889"/>
    <w:rsid w:val="00EB5275"/>
    <w:rsid w:val="00EC58AC"/>
    <w:rsid w:val="00ED25E7"/>
    <w:rsid w:val="00F26D7F"/>
    <w:rsid w:val="00F30730"/>
    <w:rsid w:val="00F53A68"/>
    <w:rsid w:val="00F7208B"/>
    <w:rsid w:val="00F73383"/>
    <w:rsid w:val="00FB1D41"/>
    <w:rsid w:val="00FB6BC8"/>
    <w:rsid w:val="00FD5012"/>
    <w:rsid w:val="00FE4AC4"/>
    <w:rsid w:val="00FF04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C3017"/>
  <w15:docId w15:val="{4C58D0B4-87B5-40C9-B907-FD1BD994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32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32C4"/>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EA21E8"/>
  </w:style>
  <w:style w:type="character" w:styleId="CommentReference">
    <w:name w:val="annotation reference"/>
    <w:basedOn w:val="DefaultParagraphFont"/>
    <w:uiPriority w:val="99"/>
    <w:semiHidden/>
    <w:unhideWhenUsed/>
    <w:rsid w:val="007833B6"/>
    <w:rPr>
      <w:sz w:val="16"/>
      <w:szCs w:val="16"/>
    </w:rPr>
  </w:style>
  <w:style w:type="paragraph" w:styleId="CommentText">
    <w:name w:val="annotation text"/>
    <w:basedOn w:val="Normal"/>
    <w:link w:val="CommentTextChar"/>
    <w:uiPriority w:val="99"/>
    <w:semiHidden/>
    <w:unhideWhenUsed/>
    <w:rsid w:val="007833B6"/>
    <w:rPr>
      <w:sz w:val="20"/>
      <w:szCs w:val="20"/>
    </w:rPr>
  </w:style>
  <w:style w:type="character" w:customStyle="1" w:styleId="CommentTextChar">
    <w:name w:val="Comment Text Char"/>
    <w:basedOn w:val="DefaultParagraphFont"/>
    <w:link w:val="CommentText"/>
    <w:uiPriority w:val="99"/>
    <w:semiHidden/>
    <w:rsid w:val="007833B6"/>
    <w:rPr>
      <w:sz w:val="20"/>
      <w:szCs w:val="20"/>
    </w:rPr>
  </w:style>
  <w:style w:type="paragraph" w:styleId="CommentSubject">
    <w:name w:val="annotation subject"/>
    <w:basedOn w:val="CommentText"/>
    <w:next w:val="CommentText"/>
    <w:link w:val="CommentSubjectChar"/>
    <w:uiPriority w:val="99"/>
    <w:semiHidden/>
    <w:unhideWhenUsed/>
    <w:rsid w:val="007833B6"/>
    <w:rPr>
      <w:b/>
      <w:bCs/>
    </w:rPr>
  </w:style>
  <w:style w:type="character" w:customStyle="1" w:styleId="CommentSubjectChar">
    <w:name w:val="Comment Subject Char"/>
    <w:basedOn w:val="CommentTextChar"/>
    <w:link w:val="CommentSubject"/>
    <w:uiPriority w:val="99"/>
    <w:semiHidden/>
    <w:rsid w:val="007833B6"/>
    <w:rPr>
      <w:b/>
      <w:bCs/>
      <w:sz w:val="20"/>
      <w:szCs w:val="20"/>
    </w:rPr>
  </w:style>
  <w:style w:type="paragraph" w:styleId="BalloonText">
    <w:name w:val="Balloon Text"/>
    <w:basedOn w:val="Normal"/>
    <w:link w:val="BalloonTextChar"/>
    <w:uiPriority w:val="99"/>
    <w:semiHidden/>
    <w:unhideWhenUsed/>
    <w:rsid w:val="007833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3B6"/>
    <w:rPr>
      <w:rFonts w:ascii="Segoe UI" w:hAnsi="Segoe UI" w:cs="Segoe UI"/>
      <w:sz w:val="18"/>
      <w:szCs w:val="18"/>
    </w:rPr>
  </w:style>
  <w:style w:type="paragraph" w:styleId="ListParagraph">
    <w:name w:val="List Paragraph"/>
    <w:basedOn w:val="Normal"/>
    <w:uiPriority w:val="34"/>
    <w:qFormat/>
    <w:rsid w:val="00795DF4"/>
    <w:pPr>
      <w:ind w:left="720"/>
      <w:contextualSpacing/>
    </w:pPr>
  </w:style>
  <w:style w:type="character" w:styleId="Hyperlink">
    <w:name w:val="Hyperlink"/>
    <w:basedOn w:val="DefaultParagraphFont"/>
    <w:uiPriority w:val="99"/>
    <w:semiHidden/>
    <w:unhideWhenUsed/>
    <w:rsid w:val="00EB5275"/>
    <w:rPr>
      <w:color w:val="0000FF"/>
      <w:u w:val="single"/>
    </w:rPr>
  </w:style>
  <w:style w:type="character" w:styleId="FollowedHyperlink">
    <w:name w:val="FollowedHyperlink"/>
    <w:basedOn w:val="DefaultParagraphFont"/>
    <w:uiPriority w:val="99"/>
    <w:semiHidden/>
    <w:unhideWhenUsed/>
    <w:rsid w:val="00C804C7"/>
    <w:rPr>
      <w:color w:val="954F72" w:themeColor="followedHyperlink"/>
      <w:u w:val="single"/>
    </w:rPr>
  </w:style>
  <w:style w:type="paragraph" w:customStyle="1" w:styleId="contributor">
    <w:name w:val="contributor"/>
    <w:basedOn w:val="Normal"/>
    <w:rsid w:val="0095018E"/>
    <w:pPr>
      <w:spacing w:before="100" w:beforeAutospacing="1" w:after="100" w:afterAutospacing="1"/>
    </w:pPr>
    <w:rPr>
      <w:rFonts w:ascii="Times New Roman" w:eastAsia="Times New Roman" w:hAnsi="Times New Roman" w:cs="Times New Roman"/>
    </w:rPr>
  </w:style>
  <w:style w:type="character" w:customStyle="1" w:styleId="name">
    <w:name w:val="name"/>
    <w:basedOn w:val="DefaultParagraphFont"/>
    <w:rsid w:val="0095018E"/>
  </w:style>
  <w:style w:type="paragraph" w:customStyle="1" w:styleId="last">
    <w:name w:val="last"/>
    <w:basedOn w:val="Normal"/>
    <w:rsid w:val="0095018E"/>
    <w:pPr>
      <w:spacing w:before="100" w:beforeAutospacing="1" w:after="100" w:afterAutospacing="1"/>
    </w:pPr>
    <w:rPr>
      <w:rFonts w:ascii="Times New Roman" w:eastAsia="Times New Roman" w:hAnsi="Times New Roman" w:cs="Times New Roman"/>
    </w:rPr>
  </w:style>
  <w:style w:type="character" w:customStyle="1" w:styleId="st1">
    <w:name w:val="st1"/>
    <w:basedOn w:val="DefaultParagraphFont"/>
    <w:rsid w:val="00A07BFB"/>
  </w:style>
  <w:style w:type="character" w:styleId="PlaceholderText">
    <w:name w:val="Placeholder Text"/>
    <w:basedOn w:val="DefaultParagraphFont"/>
    <w:uiPriority w:val="99"/>
    <w:semiHidden/>
    <w:rsid w:val="00A40FAA"/>
    <w:rPr>
      <w:color w:val="808080"/>
    </w:rPr>
  </w:style>
  <w:style w:type="table" w:styleId="TableGrid">
    <w:name w:val="Table Grid"/>
    <w:basedOn w:val="TableNormal"/>
    <w:uiPriority w:val="39"/>
    <w:rsid w:val="00A02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C54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740804">
      <w:bodyDiv w:val="1"/>
      <w:marLeft w:val="0"/>
      <w:marRight w:val="0"/>
      <w:marTop w:val="0"/>
      <w:marBottom w:val="0"/>
      <w:divBdr>
        <w:top w:val="none" w:sz="0" w:space="0" w:color="auto"/>
        <w:left w:val="none" w:sz="0" w:space="0" w:color="auto"/>
        <w:bottom w:val="none" w:sz="0" w:space="0" w:color="auto"/>
        <w:right w:val="none" w:sz="0" w:space="0" w:color="auto"/>
      </w:divBdr>
    </w:div>
    <w:div w:id="1698893937">
      <w:bodyDiv w:val="1"/>
      <w:marLeft w:val="0"/>
      <w:marRight w:val="0"/>
      <w:marTop w:val="0"/>
      <w:marBottom w:val="0"/>
      <w:divBdr>
        <w:top w:val="none" w:sz="0" w:space="0" w:color="auto"/>
        <w:left w:val="none" w:sz="0" w:space="0" w:color="auto"/>
        <w:bottom w:val="none" w:sz="0" w:space="0" w:color="auto"/>
        <w:right w:val="none" w:sz="0" w:space="0" w:color="auto"/>
      </w:divBdr>
    </w:div>
    <w:div w:id="185954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CA361-0C04-4733-B332-11127D7A7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2198</Words>
  <Characters>12534</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ogbolu c.a. (cao1u16)</dc:creator>
  <cp:keywords/>
  <dc:description/>
  <cp:lastModifiedBy>Hickman J. (Medicine)</cp:lastModifiedBy>
  <cp:revision>2</cp:revision>
  <dcterms:created xsi:type="dcterms:W3CDTF">2020-01-29T10:32:00Z</dcterms:created>
  <dcterms:modified xsi:type="dcterms:W3CDTF">2020-01-29T10:32:00Z</dcterms:modified>
</cp:coreProperties>
</file>