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A153B" w14:textId="77777777" w:rsidR="0092105C" w:rsidRPr="00AA7D88" w:rsidRDefault="0092105C" w:rsidP="00CC43D1">
      <w:pPr>
        <w:rPr>
          <w:rFonts w:asciiTheme="majorHAnsi" w:hAnsiTheme="majorHAnsi" w:cstheme="majorHAnsi"/>
          <w:b/>
          <w:sz w:val="22"/>
          <w:szCs w:val="22"/>
        </w:rPr>
      </w:pPr>
      <w:bookmarkStart w:id="0" w:name="_GoBack"/>
      <w:bookmarkEnd w:id="0"/>
      <w:r w:rsidRPr="00AA7D88">
        <w:rPr>
          <w:rFonts w:asciiTheme="majorHAnsi" w:hAnsiTheme="majorHAnsi" w:cstheme="majorHAnsi"/>
          <w:b/>
          <w:sz w:val="22"/>
          <w:szCs w:val="22"/>
        </w:rPr>
        <w:t>Title</w:t>
      </w:r>
    </w:p>
    <w:p w14:paraId="2F2D32A7" w14:textId="77777777" w:rsidR="00B3185D" w:rsidRPr="00AA7D88" w:rsidRDefault="00CD1ED5" w:rsidP="00B3185D">
      <w:pPr>
        <w:spacing w:line="360" w:lineRule="auto"/>
        <w:rPr>
          <w:rFonts w:asciiTheme="majorHAnsi" w:hAnsiTheme="majorHAnsi" w:cstheme="majorHAnsi"/>
          <w:color w:val="000000"/>
          <w:sz w:val="22"/>
          <w:szCs w:val="22"/>
          <w:shd w:val="clear" w:color="auto" w:fill="FFFFFF"/>
        </w:rPr>
      </w:pPr>
      <w:bookmarkStart w:id="1" w:name="OLE_LINK1"/>
      <w:bookmarkStart w:id="2" w:name="OLE_LINK2"/>
      <w:bookmarkStart w:id="3" w:name="OLE_LINK3"/>
      <w:bookmarkStart w:id="4" w:name="OLE_LINK10"/>
      <w:r w:rsidRPr="00AA7D88">
        <w:rPr>
          <w:rFonts w:asciiTheme="majorHAnsi" w:hAnsiTheme="majorHAnsi" w:cstheme="majorHAnsi"/>
          <w:color w:val="000000"/>
          <w:sz w:val="22"/>
          <w:szCs w:val="22"/>
          <w:shd w:val="clear" w:color="auto" w:fill="FFFFFF"/>
        </w:rPr>
        <w:t>C</w:t>
      </w:r>
      <w:r w:rsidR="00B3185D" w:rsidRPr="00AA7D88">
        <w:rPr>
          <w:rFonts w:asciiTheme="majorHAnsi" w:hAnsiTheme="majorHAnsi" w:cstheme="majorHAnsi"/>
          <w:color w:val="000000"/>
          <w:sz w:val="22"/>
          <w:szCs w:val="22"/>
          <w:shd w:val="clear" w:color="auto" w:fill="FFFFFF"/>
        </w:rPr>
        <w:t xml:space="preserve">linical features </w:t>
      </w:r>
      <w:r w:rsidR="0024726B" w:rsidRPr="00AA7D88">
        <w:rPr>
          <w:rFonts w:asciiTheme="majorHAnsi" w:hAnsiTheme="majorHAnsi" w:cstheme="majorHAnsi"/>
          <w:color w:val="000000"/>
          <w:sz w:val="22"/>
          <w:szCs w:val="22"/>
          <w:shd w:val="clear" w:color="auto" w:fill="FFFFFF"/>
        </w:rPr>
        <w:t>and</w:t>
      </w:r>
      <w:r w:rsidR="00B3185D" w:rsidRPr="00AA7D88">
        <w:rPr>
          <w:rFonts w:asciiTheme="majorHAnsi" w:hAnsiTheme="majorHAnsi" w:cstheme="majorHAnsi"/>
          <w:color w:val="000000"/>
          <w:sz w:val="22"/>
          <w:szCs w:val="22"/>
          <w:shd w:val="clear" w:color="auto" w:fill="FFFFFF"/>
        </w:rPr>
        <w:t xml:space="preserve"> management of children with primary ciliary dyskinesia in </w:t>
      </w:r>
      <w:r w:rsidRPr="00AA7D88">
        <w:rPr>
          <w:rFonts w:asciiTheme="majorHAnsi" w:hAnsiTheme="majorHAnsi" w:cstheme="majorHAnsi"/>
          <w:color w:val="000000"/>
          <w:sz w:val="22"/>
          <w:szCs w:val="22"/>
          <w:shd w:val="clear" w:color="auto" w:fill="FFFFFF"/>
        </w:rPr>
        <w:t>England</w:t>
      </w:r>
    </w:p>
    <w:p w14:paraId="73FD0FAD" w14:textId="77777777" w:rsidR="009E2C63" w:rsidRPr="00AA7D88" w:rsidRDefault="009E2C63" w:rsidP="00B3185D">
      <w:pPr>
        <w:spacing w:line="360" w:lineRule="auto"/>
        <w:rPr>
          <w:rFonts w:asciiTheme="majorHAnsi" w:hAnsiTheme="majorHAnsi" w:cstheme="majorHAnsi"/>
          <w:b/>
          <w:color w:val="000000"/>
          <w:sz w:val="22"/>
          <w:szCs w:val="22"/>
          <w:shd w:val="clear" w:color="auto" w:fill="FFFFFF"/>
        </w:rPr>
      </w:pPr>
    </w:p>
    <w:bookmarkEnd w:id="1"/>
    <w:bookmarkEnd w:id="2"/>
    <w:bookmarkEnd w:id="3"/>
    <w:bookmarkEnd w:id="4"/>
    <w:p w14:paraId="4E4F45F9" w14:textId="77777777" w:rsidR="0092105C" w:rsidRPr="00AA7D88" w:rsidRDefault="0092105C" w:rsidP="00CC43D1">
      <w:pPr>
        <w:rPr>
          <w:rFonts w:asciiTheme="majorHAnsi" w:hAnsiTheme="majorHAnsi" w:cstheme="majorHAnsi"/>
          <w:b/>
          <w:sz w:val="22"/>
          <w:szCs w:val="22"/>
        </w:rPr>
      </w:pPr>
      <w:r w:rsidRPr="00AA7D88">
        <w:rPr>
          <w:rFonts w:asciiTheme="majorHAnsi" w:hAnsiTheme="majorHAnsi" w:cstheme="majorHAnsi"/>
          <w:b/>
          <w:sz w:val="22"/>
          <w:szCs w:val="22"/>
        </w:rPr>
        <w:t>Authors</w:t>
      </w:r>
    </w:p>
    <w:p w14:paraId="523C5179" w14:textId="77777777" w:rsidR="00FA59D7" w:rsidRPr="00AA7D88" w:rsidRDefault="00FA59D7" w:rsidP="00B3185D">
      <w:pPr>
        <w:spacing w:line="360" w:lineRule="auto"/>
        <w:rPr>
          <w:rFonts w:asciiTheme="majorHAnsi" w:hAnsiTheme="majorHAnsi" w:cstheme="majorHAnsi"/>
          <w:sz w:val="22"/>
          <w:szCs w:val="22"/>
        </w:rPr>
      </w:pPr>
      <w:r w:rsidRPr="00AA7D88">
        <w:rPr>
          <w:rFonts w:asciiTheme="majorHAnsi" w:hAnsiTheme="majorHAnsi" w:cstheme="majorHAnsi"/>
          <w:sz w:val="22"/>
          <w:szCs w:val="22"/>
        </w:rPr>
        <w:t xml:space="preserve">Rubbo </w:t>
      </w:r>
      <w:r w:rsidR="00B3185D" w:rsidRPr="00AA7D88">
        <w:rPr>
          <w:rFonts w:asciiTheme="majorHAnsi" w:hAnsiTheme="majorHAnsi" w:cstheme="majorHAnsi"/>
          <w:sz w:val="22"/>
          <w:szCs w:val="22"/>
        </w:rPr>
        <w:t>B</w:t>
      </w:r>
      <w:r w:rsidR="00B86D3F" w:rsidRPr="00AA7D88">
        <w:rPr>
          <w:rFonts w:asciiTheme="majorHAnsi" w:hAnsiTheme="majorHAnsi" w:cstheme="majorHAnsi"/>
          <w:sz w:val="22"/>
          <w:szCs w:val="22"/>
          <w:vertAlign w:val="superscript"/>
        </w:rPr>
        <w:t>1,2,3</w:t>
      </w:r>
      <w:r w:rsidR="00B3185D" w:rsidRPr="00AA7D88">
        <w:rPr>
          <w:rFonts w:asciiTheme="majorHAnsi" w:hAnsiTheme="majorHAnsi" w:cstheme="majorHAnsi"/>
          <w:sz w:val="22"/>
          <w:szCs w:val="22"/>
        </w:rPr>
        <w:t>, Best S</w:t>
      </w:r>
      <w:r w:rsidR="00A81E21" w:rsidRPr="00AA7D88">
        <w:rPr>
          <w:rFonts w:asciiTheme="majorHAnsi" w:hAnsiTheme="majorHAnsi" w:cstheme="majorHAnsi"/>
          <w:sz w:val="22"/>
          <w:szCs w:val="22"/>
          <w:vertAlign w:val="superscript"/>
        </w:rPr>
        <w:t>4</w:t>
      </w:r>
      <w:r w:rsidR="00B3185D" w:rsidRPr="00AA7D88">
        <w:rPr>
          <w:rFonts w:asciiTheme="majorHAnsi" w:hAnsiTheme="majorHAnsi" w:cstheme="majorHAnsi"/>
          <w:sz w:val="22"/>
          <w:szCs w:val="22"/>
        </w:rPr>
        <w:t>, Hirst R</w:t>
      </w:r>
      <w:r w:rsidR="00A81E21" w:rsidRPr="00AA7D88">
        <w:rPr>
          <w:rFonts w:asciiTheme="majorHAnsi" w:hAnsiTheme="majorHAnsi" w:cstheme="majorHAnsi"/>
          <w:sz w:val="22"/>
          <w:szCs w:val="22"/>
          <w:vertAlign w:val="superscript"/>
        </w:rPr>
        <w:t>5</w:t>
      </w:r>
      <w:r w:rsidRPr="00AA7D88">
        <w:rPr>
          <w:rFonts w:asciiTheme="majorHAnsi" w:hAnsiTheme="majorHAnsi" w:cstheme="majorHAnsi"/>
          <w:sz w:val="22"/>
          <w:szCs w:val="22"/>
        </w:rPr>
        <w:t xml:space="preserve">, </w:t>
      </w:r>
      <w:r w:rsidR="00E76EAC" w:rsidRPr="00AA7D88">
        <w:rPr>
          <w:rFonts w:asciiTheme="majorHAnsi" w:hAnsiTheme="majorHAnsi" w:cstheme="majorHAnsi"/>
          <w:sz w:val="22"/>
          <w:szCs w:val="22"/>
        </w:rPr>
        <w:t>Shoemark A</w:t>
      </w:r>
      <w:r w:rsidR="00F75538" w:rsidRPr="00AA7D88">
        <w:rPr>
          <w:rFonts w:asciiTheme="majorHAnsi" w:hAnsiTheme="majorHAnsi" w:cstheme="majorHAnsi"/>
          <w:sz w:val="22"/>
          <w:szCs w:val="22"/>
          <w:vertAlign w:val="superscript"/>
        </w:rPr>
        <w:t>4,</w:t>
      </w:r>
      <w:r w:rsidR="00A81E21" w:rsidRPr="00AA7D88">
        <w:rPr>
          <w:rFonts w:asciiTheme="majorHAnsi" w:hAnsiTheme="majorHAnsi" w:cstheme="majorHAnsi"/>
          <w:sz w:val="22"/>
          <w:szCs w:val="22"/>
          <w:vertAlign w:val="superscript"/>
        </w:rPr>
        <w:t>6</w:t>
      </w:r>
      <w:r w:rsidR="00E76EAC" w:rsidRPr="00AA7D88">
        <w:rPr>
          <w:rFonts w:asciiTheme="majorHAnsi" w:hAnsiTheme="majorHAnsi" w:cstheme="majorHAnsi"/>
          <w:sz w:val="22"/>
          <w:szCs w:val="22"/>
        </w:rPr>
        <w:t xml:space="preserve">, </w:t>
      </w:r>
      <w:r w:rsidR="00916163" w:rsidRPr="00AA7D88">
        <w:rPr>
          <w:rFonts w:asciiTheme="majorHAnsi" w:hAnsiTheme="majorHAnsi" w:cstheme="majorHAnsi"/>
          <w:sz w:val="22"/>
          <w:szCs w:val="22"/>
        </w:rPr>
        <w:t>Goggin P</w:t>
      </w:r>
      <w:r w:rsidR="00460839" w:rsidRPr="00AA7D88">
        <w:rPr>
          <w:rFonts w:asciiTheme="majorHAnsi" w:hAnsiTheme="majorHAnsi" w:cstheme="majorHAnsi"/>
          <w:sz w:val="22"/>
          <w:szCs w:val="22"/>
          <w:vertAlign w:val="superscript"/>
        </w:rPr>
        <w:t>2</w:t>
      </w:r>
      <w:r w:rsidR="00916163" w:rsidRPr="00AA7D88">
        <w:rPr>
          <w:rFonts w:asciiTheme="majorHAnsi" w:hAnsiTheme="majorHAnsi" w:cstheme="majorHAnsi"/>
          <w:sz w:val="22"/>
          <w:szCs w:val="22"/>
        </w:rPr>
        <w:t xml:space="preserve">, </w:t>
      </w:r>
      <w:r w:rsidRPr="00AA7D88">
        <w:rPr>
          <w:rFonts w:asciiTheme="majorHAnsi" w:hAnsiTheme="majorHAnsi" w:cstheme="majorHAnsi"/>
          <w:sz w:val="22"/>
          <w:szCs w:val="22"/>
        </w:rPr>
        <w:t>Carr S</w:t>
      </w:r>
      <w:r w:rsidR="00B3185D" w:rsidRPr="00AA7D88">
        <w:rPr>
          <w:rFonts w:asciiTheme="majorHAnsi" w:hAnsiTheme="majorHAnsi" w:cstheme="majorHAnsi"/>
          <w:sz w:val="22"/>
          <w:szCs w:val="22"/>
        </w:rPr>
        <w:t>B</w:t>
      </w:r>
      <w:r w:rsidR="00703D3E" w:rsidRPr="00AA7D88">
        <w:rPr>
          <w:rFonts w:asciiTheme="majorHAnsi" w:hAnsiTheme="majorHAnsi" w:cstheme="majorHAnsi"/>
          <w:sz w:val="22"/>
          <w:szCs w:val="22"/>
          <w:vertAlign w:val="superscript"/>
        </w:rPr>
        <w:t>4,</w:t>
      </w:r>
      <w:r w:rsidR="00A81E21" w:rsidRPr="00AA7D88">
        <w:rPr>
          <w:rFonts w:asciiTheme="majorHAnsi" w:hAnsiTheme="majorHAnsi" w:cstheme="majorHAnsi"/>
          <w:sz w:val="22"/>
          <w:szCs w:val="22"/>
          <w:vertAlign w:val="superscript"/>
        </w:rPr>
        <w:t>7</w:t>
      </w:r>
      <w:r w:rsidRPr="00AA7D88">
        <w:rPr>
          <w:rFonts w:asciiTheme="majorHAnsi" w:hAnsiTheme="majorHAnsi" w:cstheme="majorHAnsi"/>
          <w:sz w:val="22"/>
          <w:szCs w:val="22"/>
        </w:rPr>
        <w:t>, Chetcuti P</w:t>
      </w:r>
      <w:r w:rsidR="0099654A" w:rsidRPr="00AA7D88">
        <w:rPr>
          <w:rFonts w:asciiTheme="majorHAnsi" w:hAnsiTheme="majorHAnsi" w:cstheme="majorHAnsi"/>
          <w:sz w:val="22"/>
          <w:szCs w:val="22"/>
          <w:vertAlign w:val="superscript"/>
        </w:rPr>
        <w:t>8</w:t>
      </w:r>
      <w:r w:rsidRPr="00AA7D88">
        <w:rPr>
          <w:rFonts w:asciiTheme="majorHAnsi" w:hAnsiTheme="majorHAnsi" w:cstheme="majorHAnsi"/>
          <w:sz w:val="22"/>
          <w:szCs w:val="22"/>
        </w:rPr>
        <w:t>, Hogg C</w:t>
      </w:r>
      <w:r w:rsidR="00A81E21" w:rsidRPr="00AA7D88">
        <w:rPr>
          <w:rFonts w:asciiTheme="majorHAnsi" w:hAnsiTheme="majorHAnsi" w:cstheme="majorHAnsi"/>
          <w:sz w:val="22"/>
          <w:szCs w:val="22"/>
          <w:vertAlign w:val="superscript"/>
        </w:rPr>
        <w:t>4,7</w:t>
      </w:r>
      <w:r w:rsidRPr="00AA7D88">
        <w:rPr>
          <w:rFonts w:asciiTheme="majorHAnsi" w:hAnsiTheme="majorHAnsi" w:cstheme="majorHAnsi"/>
          <w:sz w:val="22"/>
          <w:szCs w:val="22"/>
        </w:rPr>
        <w:t>, Kenia P</w:t>
      </w:r>
      <w:r w:rsidR="0099654A" w:rsidRPr="00AA7D88">
        <w:rPr>
          <w:rFonts w:asciiTheme="majorHAnsi" w:hAnsiTheme="majorHAnsi" w:cstheme="majorHAnsi"/>
          <w:sz w:val="22"/>
          <w:szCs w:val="22"/>
          <w:vertAlign w:val="superscript"/>
        </w:rPr>
        <w:t>9</w:t>
      </w:r>
      <w:r w:rsidR="0099654A" w:rsidRPr="00AA7D88">
        <w:rPr>
          <w:rFonts w:asciiTheme="majorHAnsi" w:hAnsiTheme="majorHAnsi" w:cstheme="majorHAnsi"/>
          <w:sz w:val="22"/>
          <w:szCs w:val="22"/>
        </w:rPr>
        <w:t>,</w:t>
      </w:r>
      <w:r w:rsidRPr="00AA7D88">
        <w:rPr>
          <w:rFonts w:asciiTheme="majorHAnsi" w:hAnsiTheme="majorHAnsi" w:cstheme="majorHAnsi"/>
          <w:sz w:val="22"/>
          <w:szCs w:val="22"/>
        </w:rPr>
        <w:t xml:space="preserve"> Lucas JS</w:t>
      </w:r>
      <w:r w:rsidR="00FB77C3" w:rsidRPr="00AA7D88">
        <w:rPr>
          <w:rFonts w:asciiTheme="majorHAnsi" w:hAnsiTheme="majorHAnsi" w:cstheme="majorHAnsi"/>
          <w:sz w:val="22"/>
          <w:szCs w:val="22"/>
        </w:rPr>
        <w:t xml:space="preserve"> </w:t>
      </w:r>
      <w:r w:rsidR="00FB77C3" w:rsidRPr="00AA7D88">
        <w:rPr>
          <w:rFonts w:asciiTheme="majorHAnsi" w:hAnsiTheme="majorHAnsi" w:cstheme="majorHAnsi"/>
          <w:sz w:val="22"/>
          <w:szCs w:val="22"/>
          <w:vertAlign w:val="superscript"/>
        </w:rPr>
        <w:t>1,2,3</w:t>
      </w:r>
      <w:r w:rsidRPr="00AA7D88">
        <w:rPr>
          <w:rFonts w:asciiTheme="majorHAnsi" w:hAnsiTheme="majorHAnsi" w:cstheme="majorHAnsi"/>
          <w:sz w:val="22"/>
          <w:szCs w:val="22"/>
        </w:rPr>
        <w:t>, Moya E</w:t>
      </w:r>
      <w:r w:rsidR="00C931EF" w:rsidRPr="00AA7D88">
        <w:rPr>
          <w:rFonts w:asciiTheme="majorHAnsi" w:hAnsiTheme="majorHAnsi" w:cstheme="majorHAnsi"/>
          <w:sz w:val="22"/>
          <w:szCs w:val="22"/>
          <w:vertAlign w:val="superscript"/>
        </w:rPr>
        <w:t>10</w:t>
      </w:r>
      <w:r w:rsidRPr="00AA7D88">
        <w:rPr>
          <w:rFonts w:asciiTheme="majorHAnsi" w:hAnsiTheme="majorHAnsi" w:cstheme="majorHAnsi"/>
          <w:sz w:val="22"/>
          <w:szCs w:val="22"/>
        </w:rPr>
        <w:t>, Narayanan M</w:t>
      </w:r>
      <w:r w:rsidR="00A81E21" w:rsidRPr="00AA7D88">
        <w:rPr>
          <w:rFonts w:asciiTheme="majorHAnsi" w:hAnsiTheme="majorHAnsi" w:cstheme="majorHAnsi"/>
          <w:sz w:val="22"/>
          <w:szCs w:val="22"/>
          <w:vertAlign w:val="superscript"/>
        </w:rPr>
        <w:t>5</w:t>
      </w:r>
      <w:r w:rsidR="00C931EF" w:rsidRPr="00AA7D88">
        <w:rPr>
          <w:rFonts w:asciiTheme="majorHAnsi" w:hAnsiTheme="majorHAnsi" w:cstheme="majorHAnsi"/>
          <w:sz w:val="22"/>
          <w:szCs w:val="22"/>
          <w:vertAlign w:val="superscript"/>
        </w:rPr>
        <w:t>,11</w:t>
      </w:r>
      <w:r w:rsidRPr="00AA7D88">
        <w:rPr>
          <w:rFonts w:asciiTheme="majorHAnsi" w:hAnsiTheme="majorHAnsi" w:cstheme="majorHAnsi"/>
          <w:sz w:val="22"/>
          <w:szCs w:val="22"/>
        </w:rPr>
        <w:t>, O’Callaghan C</w:t>
      </w:r>
      <w:r w:rsidR="00C931EF" w:rsidRPr="00AA7D88">
        <w:rPr>
          <w:rFonts w:asciiTheme="majorHAnsi" w:hAnsiTheme="majorHAnsi" w:cstheme="majorHAnsi"/>
          <w:sz w:val="22"/>
          <w:szCs w:val="22"/>
          <w:vertAlign w:val="superscript"/>
        </w:rPr>
        <w:t>11,12</w:t>
      </w:r>
      <w:r w:rsidRPr="00AA7D88">
        <w:rPr>
          <w:rFonts w:asciiTheme="majorHAnsi" w:hAnsiTheme="majorHAnsi" w:cstheme="majorHAnsi"/>
          <w:sz w:val="22"/>
          <w:szCs w:val="22"/>
        </w:rPr>
        <w:t>, Williamson M</w:t>
      </w:r>
      <w:r w:rsidR="00C931EF" w:rsidRPr="00AA7D88">
        <w:rPr>
          <w:rFonts w:asciiTheme="majorHAnsi" w:hAnsiTheme="majorHAnsi" w:cstheme="majorHAnsi"/>
          <w:sz w:val="22"/>
          <w:szCs w:val="22"/>
          <w:vertAlign w:val="superscript"/>
        </w:rPr>
        <w:t>11</w:t>
      </w:r>
      <w:r w:rsidRPr="00AA7D88">
        <w:rPr>
          <w:rFonts w:asciiTheme="majorHAnsi" w:hAnsiTheme="majorHAnsi" w:cstheme="majorHAnsi"/>
          <w:sz w:val="22"/>
          <w:szCs w:val="22"/>
        </w:rPr>
        <w:t>, Walker WT</w:t>
      </w:r>
      <w:r w:rsidR="00B86D3F" w:rsidRPr="00AA7D88">
        <w:rPr>
          <w:rFonts w:asciiTheme="majorHAnsi" w:hAnsiTheme="majorHAnsi" w:cstheme="majorHAnsi"/>
          <w:sz w:val="22"/>
          <w:szCs w:val="22"/>
          <w:vertAlign w:val="superscript"/>
        </w:rPr>
        <w:t>1,2,3</w:t>
      </w:r>
      <w:r w:rsidRPr="00AA7D88">
        <w:rPr>
          <w:rFonts w:asciiTheme="majorHAnsi" w:hAnsiTheme="majorHAnsi" w:cstheme="majorHAnsi"/>
          <w:sz w:val="22"/>
          <w:szCs w:val="22"/>
        </w:rPr>
        <w:t xml:space="preserve">*, on behalf of the </w:t>
      </w:r>
      <w:r w:rsidR="00661270" w:rsidRPr="00AA7D88">
        <w:rPr>
          <w:rFonts w:asciiTheme="majorHAnsi" w:hAnsiTheme="majorHAnsi" w:cstheme="majorHAnsi"/>
          <w:sz w:val="22"/>
          <w:szCs w:val="22"/>
        </w:rPr>
        <w:t xml:space="preserve">English </w:t>
      </w:r>
      <w:r w:rsidRPr="00AA7D88">
        <w:rPr>
          <w:rFonts w:asciiTheme="majorHAnsi" w:hAnsiTheme="majorHAnsi" w:cstheme="majorHAnsi"/>
          <w:sz w:val="22"/>
          <w:szCs w:val="22"/>
        </w:rPr>
        <w:t>National Children’s PCD Management Service **</w:t>
      </w:r>
    </w:p>
    <w:p w14:paraId="6F0E7E00" w14:textId="77777777" w:rsidR="00827478" w:rsidRPr="00AA7D88" w:rsidRDefault="00827478" w:rsidP="00B3185D">
      <w:pPr>
        <w:spacing w:line="360" w:lineRule="auto"/>
        <w:rPr>
          <w:rFonts w:asciiTheme="majorHAnsi" w:hAnsiTheme="majorHAnsi" w:cstheme="majorHAnsi"/>
          <w:sz w:val="22"/>
          <w:szCs w:val="22"/>
        </w:rPr>
      </w:pPr>
    </w:p>
    <w:p w14:paraId="1A04A72F" w14:textId="77777777" w:rsidR="00827478" w:rsidRPr="00AA7D88" w:rsidRDefault="00827478" w:rsidP="00B3185D">
      <w:pPr>
        <w:spacing w:line="360" w:lineRule="auto"/>
        <w:rPr>
          <w:rFonts w:asciiTheme="majorHAnsi" w:hAnsiTheme="majorHAnsi" w:cstheme="majorHAnsi"/>
          <w:sz w:val="22"/>
          <w:szCs w:val="22"/>
        </w:rPr>
      </w:pPr>
      <w:r w:rsidRPr="00AA7D88">
        <w:rPr>
          <w:rFonts w:asciiTheme="majorHAnsi" w:hAnsiTheme="majorHAnsi" w:cstheme="majorHAnsi"/>
          <w:sz w:val="22"/>
          <w:szCs w:val="22"/>
        </w:rPr>
        <w:t>*</w:t>
      </w:r>
      <w:r w:rsidR="002B2CF9" w:rsidRPr="00AA7D88">
        <w:rPr>
          <w:rFonts w:asciiTheme="majorHAnsi" w:hAnsiTheme="majorHAnsi" w:cstheme="majorHAnsi"/>
          <w:sz w:val="22"/>
          <w:szCs w:val="22"/>
        </w:rPr>
        <w:t>Corresponding</w:t>
      </w:r>
      <w:r w:rsidRPr="00AA7D88">
        <w:rPr>
          <w:rFonts w:asciiTheme="majorHAnsi" w:hAnsiTheme="majorHAnsi" w:cstheme="majorHAnsi"/>
          <w:sz w:val="22"/>
          <w:szCs w:val="22"/>
        </w:rPr>
        <w:t xml:space="preserve"> Author</w:t>
      </w:r>
    </w:p>
    <w:p w14:paraId="3F8E802E" w14:textId="77777777" w:rsidR="0092105C" w:rsidRPr="00AA7D88" w:rsidRDefault="00B3185D" w:rsidP="00703D3E">
      <w:pPr>
        <w:rPr>
          <w:rFonts w:asciiTheme="majorHAnsi" w:hAnsiTheme="majorHAnsi" w:cstheme="majorHAnsi"/>
          <w:color w:val="000000" w:themeColor="text1"/>
          <w:sz w:val="22"/>
          <w:szCs w:val="22"/>
        </w:rPr>
      </w:pPr>
      <w:r w:rsidRPr="00AA7D88">
        <w:rPr>
          <w:rFonts w:asciiTheme="majorHAnsi" w:hAnsiTheme="majorHAnsi" w:cstheme="majorHAnsi"/>
          <w:sz w:val="22"/>
          <w:szCs w:val="22"/>
        </w:rPr>
        <w:t>**</w:t>
      </w:r>
      <w:r w:rsidR="00C21CD2" w:rsidRPr="00AA7D88">
        <w:rPr>
          <w:rFonts w:asciiTheme="majorHAnsi" w:hAnsiTheme="majorHAnsi" w:cstheme="majorHAnsi"/>
          <w:sz w:val="22"/>
          <w:szCs w:val="22"/>
        </w:rPr>
        <w:t xml:space="preserve">Members </w:t>
      </w:r>
      <w:r w:rsidR="00BC621B" w:rsidRPr="00AA7D88">
        <w:rPr>
          <w:rFonts w:asciiTheme="majorHAnsi" w:hAnsiTheme="majorHAnsi" w:cstheme="majorHAnsi"/>
          <w:sz w:val="22"/>
          <w:szCs w:val="22"/>
        </w:rPr>
        <w:t xml:space="preserve">of the English National Children’s PCD Management Service </w:t>
      </w:r>
      <w:r w:rsidR="00C21CD2" w:rsidRPr="00AA7D88">
        <w:rPr>
          <w:rFonts w:asciiTheme="majorHAnsi" w:hAnsiTheme="majorHAnsi" w:cstheme="majorHAnsi"/>
          <w:sz w:val="22"/>
          <w:szCs w:val="22"/>
        </w:rPr>
        <w:t xml:space="preserve">include: </w:t>
      </w:r>
      <w:r w:rsidR="008B7A0A" w:rsidRPr="00AA7D88">
        <w:rPr>
          <w:rFonts w:asciiTheme="majorHAnsi" w:hAnsiTheme="majorHAnsi" w:cstheme="majorHAnsi"/>
          <w:sz w:val="22"/>
          <w:szCs w:val="22"/>
        </w:rPr>
        <w:t xml:space="preserve">Amanda Harris, Amanda Friend, Victoria Keenan, Hannah Wilkins, </w:t>
      </w:r>
      <w:proofErr w:type="spellStart"/>
      <w:r w:rsidR="0010215E" w:rsidRPr="00AA7D88">
        <w:rPr>
          <w:rFonts w:asciiTheme="majorHAnsi" w:hAnsiTheme="majorHAnsi" w:cstheme="majorHAnsi"/>
          <w:sz w:val="22"/>
          <w:szCs w:val="22"/>
        </w:rPr>
        <w:t>Hasnaa</w:t>
      </w:r>
      <w:proofErr w:type="spellEnd"/>
      <w:r w:rsidR="0010215E" w:rsidRPr="00AA7D88">
        <w:rPr>
          <w:rFonts w:asciiTheme="majorHAnsi" w:hAnsiTheme="majorHAnsi" w:cstheme="majorHAnsi"/>
          <w:sz w:val="22"/>
          <w:szCs w:val="22"/>
        </w:rPr>
        <w:t xml:space="preserve"> Ismail-Koch, Andrea Burgess, </w:t>
      </w:r>
      <w:r w:rsidR="008B7A0A" w:rsidRPr="00AA7D88">
        <w:rPr>
          <w:rFonts w:asciiTheme="majorHAnsi" w:hAnsiTheme="majorHAnsi" w:cstheme="majorHAnsi"/>
          <w:sz w:val="22"/>
          <w:szCs w:val="22"/>
        </w:rPr>
        <w:t xml:space="preserve">Samantha Packham, </w:t>
      </w:r>
      <w:r w:rsidR="007A3BEB" w:rsidRPr="00AA7D88">
        <w:rPr>
          <w:rFonts w:asciiTheme="majorHAnsi" w:hAnsiTheme="majorHAnsi" w:cstheme="majorHAnsi"/>
          <w:sz w:val="22"/>
          <w:szCs w:val="22"/>
        </w:rPr>
        <w:t xml:space="preserve">Patricia Goggin, </w:t>
      </w:r>
      <w:r w:rsidR="00A57270" w:rsidRPr="00AA7D88">
        <w:rPr>
          <w:rFonts w:asciiTheme="majorHAnsi" w:hAnsiTheme="majorHAnsi" w:cstheme="majorHAnsi"/>
          <w:sz w:val="22"/>
          <w:szCs w:val="22"/>
        </w:rPr>
        <w:t xml:space="preserve">Gemma Marsh, Laura </w:t>
      </w:r>
      <w:proofErr w:type="spellStart"/>
      <w:r w:rsidR="00A57270" w:rsidRPr="00AA7D88">
        <w:rPr>
          <w:rFonts w:asciiTheme="majorHAnsi" w:hAnsiTheme="majorHAnsi" w:cstheme="majorHAnsi"/>
          <w:sz w:val="22"/>
          <w:szCs w:val="22"/>
        </w:rPr>
        <w:t>Baynton</w:t>
      </w:r>
      <w:proofErr w:type="spellEnd"/>
      <w:r w:rsidR="00A57270" w:rsidRPr="00AA7D88">
        <w:rPr>
          <w:rFonts w:asciiTheme="majorHAnsi" w:hAnsiTheme="majorHAnsi" w:cstheme="majorHAnsi"/>
          <w:sz w:val="22"/>
          <w:szCs w:val="22"/>
        </w:rPr>
        <w:t xml:space="preserve">, Michael </w:t>
      </w:r>
      <w:proofErr w:type="spellStart"/>
      <w:r w:rsidR="00A57270" w:rsidRPr="00AA7D88">
        <w:rPr>
          <w:rFonts w:asciiTheme="majorHAnsi" w:hAnsiTheme="majorHAnsi" w:cstheme="majorHAnsi"/>
          <w:sz w:val="22"/>
          <w:szCs w:val="22"/>
        </w:rPr>
        <w:t>Leshen</w:t>
      </w:r>
      <w:proofErr w:type="spellEnd"/>
      <w:r w:rsidR="00A57270" w:rsidRPr="00AA7D88">
        <w:rPr>
          <w:rFonts w:asciiTheme="majorHAnsi" w:hAnsiTheme="majorHAnsi" w:cstheme="majorHAnsi"/>
          <w:sz w:val="22"/>
          <w:szCs w:val="22"/>
        </w:rPr>
        <w:t>, Sarah Ollosson, Nicola Collins</w:t>
      </w:r>
      <w:r w:rsidR="00827573" w:rsidRPr="00AA7D88">
        <w:rPr>
          <w:rFonts w:asciiTheme="majorHAnsi" w:hAnsiTheme="majorHAnsi" w:cstheme="majorHAnsi"/>
          <w:sz w:val="22"/>
          <w:szCs w:val="22"/>
        </w:rPr>
        <w:t xml:space="preserve">, Peter Rea, Ann-Louise McDermott, Amanda Parsons, Rajinder Kang, </w:t>
      </w:r>
      <w:r w:rsidR="00827573" w:rsidRPr="00AA7D88">
        <w:rPr>
          <w:rFonts w:asciiTheme="majorHAnsi" w:hAnsiTheme="majorHAnsi" w:cstheme="majorHAnsi"/>
          <w:color w:val="000000" w:themeColor="text1"/>
          <w:sz w:val="22"/>
          <w:szCs w:val="22"/>
        </w:rPr>
        <w:t>Nicola Lloyd</w:t>
      </w:r>
      <w:r w:rsidR="00146F51" w:rsidRPr="00AA7D88">
        <w:rPr>
          <w:rFonts w:asciiTheme="majorHAnsi" w:hAnsiTheme="majorHAnsi" w:cstheme="majorHAnsi"/>
          <w:color w:val="000000" w:themeColor="text1"/>
          <w:sz w:val="22"/>
          <w:szCs w:val="22"/>
        </w:rPr>
        <w:t>, Alison Truscott, Lynne Schofield, l Knight</w:t>
      </w:r>
    </w:p>
    <w:p w14:paraId="58D830D6" w14:textId="77777777" w:rsidR="0092105C" w:rsidRPr="00AA7D88" w:rsidRDefault="0092105C" w:rsidP="00686956">
      <w:pPr>
        <w:spacing w:line="360" w:lineRule="auto"/>
        <w:rPr>
          <w:rFonts w:asciiTheme="majorHAnsi" w:hAnsiTheme="majorHAnsi" w:cstheme="majorHAnsi"/>
          <w:sz w:val="22"/>
          <w:szCs w:val="22"/>
        </w:rPr>
      </w:pPr>
    </w:p>
    <w:p w14:paraId="78D6708F" w14:textId="77777777" w:rsidR="0092105C" w:rsidRPr="00AA7D88" w:rsidRDefault="0092105C" w:rsidP="00CC43D1">
      <w:pPr>
        <w:rPr>
          <w:rFonts w:asciiTheme="majorHAnsi" w:hAnsiTheme="majorHAnsi" w:cstheme="majorHAnsi"/>
          <w:b/>
          <w:sz w:val="22"/>
          <w:szCs w:val="22"/>
        </w:rPr>
      </w:pPr>
      <w:r w:rsidRPr="00AA7D88">
        <w:rPr>
          <w:rFonts w:asciiTheme="majorHAnsi" w:hAnsiTheme="majorHAnsi" w:cstheme="majorHAnsi"/>
          <w:b/>
          <w:sz w:val="22"/>
          <w:szCs w:val="22"/>
        </w:rPr>
        <w:t>Affiliations</w:t>
      </w:r>
    </w:p>
    <w:p w14:paraId="55A91097" w14:textId="77777777" w:rsidR="0092105C" w:rsidRPr="00AA7D88" w:rsidRDefault="0092105C" w:rsidP="00686956">
      <w:pPr>
        <w:spacing w:line="360" w:lineRule="auto"/>
        <w:jc w:val="right"/>
        <w:rPr>
          <w:rFonts w:asciiTheme="majorHAnsi" w:hAnsiTheme="majorHAnsi" w:cstheme="majorHAnsi"/>
          <w:sz w:val="22"/>
          <w:szCs w:val="22"/>
          <w:vertAlign w:val="superscript"/>
        </w:rPr>
      </w:pPr>
    </w:p>
    <w:p w14:paraId="51EE4766" w14:textId="77777777" w:rsidR="0092105C" w:rsidRPr="00AA7D88" w:rsidRDefault="0092105C" w:rsidP="00686956">
      <w:pPr>
        <w:numPr>
          <w:ilvl w:val="0"/>
          <w:numId w:val="1"/>
        </w:numPr>
        <w:spacing w:line="360" w:lineRule="auto"/>
        <w:contextualSpacing/>
        <w:rPr>
          <w:rFonts w:asciiTheme="majorHAnsi" w:hAnsiTheme="majorHAnsi" w:cstheme="majorHAnsi"/>
          <w:sz w:val="22"/>
          <w:szCs w:val="22"/>
        </w:rPr>
      </w:pPr>
      <w:r w:rsidRPr="00AA7D88">
        <w:rPr>
          <w:rFonts w:asciiTheme="majorHAnsi" w:hAnsiTheme="majorHAnsi" w:cstheme="majorHAnsi"/>
          <w:sz w:val="22"/>
          <w:szCs w:val="22"/>
        </w:rPr>
        <w:t xml:space="preserve">NIHR Southampton Biomedical Research </w:t>
      </w:r>
      <w:r w:rsidR="00FB77C3" w:rsidRPr="00AA7D88">
        <w:rPr>
          <w:rFonts w:asciiTheme="majorHAnsi" w:hAnsiTheme="majorHAnsi" w:cstheme="majorHAnsi"/>
          <w:sz w:val="22"/>
          <w:szCs w:val="22"/>
        </w:rPr>
        <w:t>Centre</w:t>
      </w:r>
      <w:r w:rsidRPr="00AA7D88">
        <w:rPr>
          <w:rFonts w:asciiTheme="majorHAnsi" w:hAnsiTheme="majorHAnsi" w:cstheme="majorHAnsi"/>
          <w:sz w:val="22"/>
          <w:szCs w:val="22"/>
        </w:rPr>
        <w:t>, University of Southampton and University Hospital Southampton NHS Foundation Trust, Southampton, UK</w:t>
      </w:r>
    </w:p>
    <w:p w14:paraId="3D35E607" w14:textId="77777777" w:rsidR="0092105C" w:rsidRPr="00AA7D88" w:rsidRDefault="0092105C" w:rsidP="00686956">
      <w:pPr>
        <w:numPr>
          <w:ilvl w:val="0"/>
          <w:numId w:val="1"/>
        </w:numPr>
        <w:spacing w:line="360" w:lineRule="auto"/>
        <w:ind w:left="714" w:hanging="357"/>
        <w:contextualSpacing/>
        <w:rPr>
          <w:rFonts w:asciiTheme="majorHAnsi" w:hAnsiTheme="majorHAnsi" w:cstheme="majorHAnsi"/>
          <w:sz w:val="22"/>
          <w:szCs w:val="22"/>
        </w:rPr>
      </w:pPr>
      <w:r w:rsidRPr="00AA7D88">
        <w:rPr>
          <w:rFonts w:asciiTheme="majorHAnsi" w:hAnsiTheme="majorHAnsi" w:cstheme="majorHAnsi"/>
          <w:sz w:val="22"/>
          <w:szCs w:val="22"/>
        </w:rPr>
        <w:t>Primary Ciliary Dyskinesia Centre, University Hospital Southampton NHS Foundation Trust, Southampton, UK.</w:t>
      </w:r>
    </w:p>
    <w:p w14:paraId="57C66971" w14:textId="77777777" w:rsidR="0092105C" w:rsidRPr="00AA7D88" w:rsidRDefault="0030512D" w:rsidP="00686956">
      <w:pPr>
        <w:numPr>
          <w:ilvl w:val="0"/>
          <w:numId w:val="1"/>
        </w:numPr>
        <w:spacing w:line="360" w:lineRule="auto"/>
        <w:ind w:left="714" w:hanging="357"/>
        <w:contextualSpacing/>
        <w:rPr>
          <w:rFonts w:asciiTheme="majorHAnsi" w:hAnsiTheme="majorHAnsi" w:cstheme="majorHAnsi"/>
          <w:snapToGrid w:val="0"/>
          <w:sz w:val="22"/>
          <w:szCs w:val="22"/>
        </w:rPr>
      </w:pPr>
      <w:r>
        <w:rPr>
          <w:rFonts w:asciiTheme="majorHAnsi" w:hAnsiTheme="majorHAnsi" w:cstheme="majorHAnsi"/>
          <w:snapToGrid w:val="0"/>
          <w:sz w:val="22"/>
          <w:szCs w:val="22"/>
        </w:rPr>
        <w:t>School</w:t>
      </w:r>
      <w:r w:rsidR="0092105C" w:rsidRPr="00AA7D88">
        <w:rPr>
          <w:rFonts w:asciiTheme="majorHAnsi" w:hAnsiTheme="majorHAnsi" w:cstheme="majorHAnsi"/>
          <w:snapToGrid w:val="0"/>
          <w:sz w:val="22"/>
          <w:szCs w:val="22"/>
        </w:rPr>
        <w:t xml:space="preserve"> of Clinical and Experimental Sciences, University of Southampton Faculty of Medicine, Southampton, UK</w:t>
      </w:r>
    </w:p>
    <w:p w14:paraId="71C7F827" w14:textId="77777777" w:rsidR="00A57270" w:rsidRPr="00AA7D88" w:rsidRDefault="00703D3E" w:rsidP="00A57270">
      <w:pPr>
        <w:numPr>
          <w:ilvl w:val="0"/>
          <w:numId w:val="1"/>
        </w:numPr>
        <w:spacing w:line="360" w:lineRule="auto"/>
        <w:ind w:left="714" w:hanging="357"/>
        <w:contextualSpacing/>
        <w:rPr>
          <w:rFonts w:asciiTheme="majorHAnsi" w:hAnsiTheme="majorHAnsi" w:cstheme="majorHAnsi"/>
          <w:snapToGrid w:val="0"/>
          <w:sz w:val="22"/>
          <w:szCs w:val="22"/>
        </w:rPr>
      </w:pPr>
      <w:r w:rsidRPr="00AA7D88">
        <w:rPr>
          <w:rFonts w:asciiTheme="majorHAnsi" w:hAnsiTheme="majorHAnsi" w:cstheme="majorHAnsi"/>
          <w:snapToGrid w:val="0"/>
          <w:sz w:val="22"/>
          <w:szCs w:val="22"/>
        </w:rPr>
        <w:t xml:space="preserve">Paediatric </w:t>
      </w:r>
      <w:r w:rsidR="00A57270" w:rsidRPr="00AA7D88">
        <w:rPr>
          <w:rFonts w:asciiTheme="majorHAnsi" w:hAnsiTheme="majorHAnsi" w:cstheme="majorHAnsi"/>
          <w:snapToGrid w:val="0"/>
          <w:sz w:val="22"/>
          <w:szCs w:val="22"/>
        </w:rPr>
        <w:t>Primary Ciliary Dyskinesia Service, Royal Brompton and Harefield Foundation Trust, London SW3 6NP, UK.</w:t>
      </w:r>
    </w:p>
    <w:p w14:paraId="1F87E3C9" w14:textId="77777777" w:rsidR="0099654A" w:rsidRPr="00AA7D88" w:rsidRDefault="0099654A" w:rsidP="0099654A">
      <w:pPr>
        <w:numPr>
          <w:ilvl w:val="0"/>
          <w:numId w:val="1"/>
        </w:numPr>
        <w:spacing w:line="360" w:lineRule="auto"/>
        <w:ind w:left="714" w:hanging="357"/>
        <w:contextualSpacing/>
        <w:rPr>
          <w:rFonts w:asciiTheme="majorHAnsi" w:hAnsiTheme="majorHAnsi" w:cstheme="majorHAnsi"/>
          <w:snapToGrid w:val="0"/>
          <w:sz w:val="22"/>
          <w:szCs w:val="22"/>
        </w:rPr>
      </w:pPr>
      <w:r w:rsidRPr="00AA7D88">
        <w:rPr>
          <w:rFonts w:asciiTheme="majorHAnsi" w:hAnsiTheme="majorHAnsi" w:cstheme="majorHAnsi"/>
          <w:snapToGrid w:val="0"/>
          <w:sz w:val="22"/>
          <w:szCs w:val="22"/>
        </w:rPr>
        <w:t>Centre for PCD Diagnosis and Research, Department of Infection, Immunity and Inflammation, Robert Kilpatrick Clinical Sciences Building, University of Leicester, LE2 7LX, Leicester, UK.</w:t>
      </w:r>
    </w:p>
    <w:p w14:paraId="3B3A53FC" w14:textId="77777777" w:rsidR="00F75538" w:rsidRPr="00AA7D88" w:rsidRDefault="00F75538" w:rsidP="00A57270">
      <w:pPr>
        <w:numPr>
          <w:ilvl w:val="0"/>
          <w:numId w:val="1"/>
        </w:numPr>
        <w:spacing w:line="360" w:lineRule="auto"/>
        <w:ind w:left="714" w:hanging="357"/>
        <w:contextualSpacing/>
        <w:rPr>
          <w:rFonts w:asciiTheme="majorHAnsi" w:hAnsiTheme="majorHAnsi" w:cstheme="majorHAnsi"/>
          <w:snapToGrid w:val="0"/>
          <w:sz w:val="22"/>
          <w:szCs w:val="22"/>
        </w:rPr>
      </w:pPr>
      <w:r w:rsidRPr="00AA7D88">
        <w:rPr>
          <w:rFonts w:asciiTheme="majorHAnsi" w:hAnsiTheme="majorHAnsi" w:cstheme="majorHAnsi"/>
          <w:snapToGrid w:val="0"/>
          <w:sz w:val="22"/>
          <w:szCs w:val="22"/>
        </w:rPr>
        <w:t xml:space="preserve">Clinical and </w:t>
      </w:r>
      <w:r w:rsidR="009E2C63" w:rsidRPr="00AA7D88">
        <w:rPr>
          <w:rFonts w:asciiTheme="majorHAnsi" w:hAnsiTheme="majorHAnsi" w:cstheme="majorHAnsi"/>
          <w:snapToGrid w:val="0"/>
          <w:sz w:val="22"/>
          <w:szCs w:val="22"/>
        </w:rPr>
        <w:t>Molecular</w:t>
      </w:r>
      <w:r w:rsidRPr="00AA7D88">
        <w:rPr>
          <w:rFonts w:asciiTheme="majorHAnsi" w:hAnsiTheme="majorHAnsi" w:cstheme="majorHAnsi"/>
          <w:snapToGrid w:val="0"/>
          <w:sz w:val="22"/>
          <w:szCs w:val="22"/>
        </w:rPr>
        <w:t xml:space="preserve"> </w:t>
      </w:r>
      <w:r w:rsidR="0099654A" w:rsidRPr="00AA7D88">
        <w:rPr>
          <w:rFonts w:asciiTheme="majorHAnsi" w:hAnsiTheme="majorHAnsi" w:cstheme="majorHAnsi"/>
          <w:snapToGrid w:val="0"/>
          <w:sz w:val="22"/>
          <w:szCs w:val="22"/>
        </w:rPr>
        <w:t>M</w:t>
      </w:r>
      <w:r w:rsidRPr="00AA7D88">
        <w:rPr>
          <w:rFonts w:asciiTheme="majorHAnsi" w:hAnsiTheme="majorHAnsi" w:cstheme="majorHAnsi"/>
          <w:snapToGrid w:val="0"/>
          <w:sz w:val="22"/>
          <w:szCs w:val="22"/>
        </w:rPr>
        <w:t>edicine, University of Dundee, Ninewells Hospital, Dundee, UK</w:t>
      </w:r>
    </w:p>
    <w:p w14:paraId="47B4CCB4" w14:textId="77777777" w:rsidR="00A81E21" w:rsidRPr="00AA7D88" w:rsidRDefault="00A81E21" w:rsidP="00A81E21">
      <w:pPr>
        <w:numPr>
          <w:ilvl w:val="0"/>
          <w:numId w:val="1"/>
        </w:numPr>
        <w:spacing w:line="360" w:lineRule="auto"/>
        <w:ind w:left="714" w:hanging="357"/>
        <w:contextualSpacing/>
        <w:rPr>
          <w:rFonts w:asciiTheme="majorHAnsi" w:hAnsiTheme="majorHAnsi" w:cstheme="majorHAnsi"/>
          <w:snapToGrid w:val="0"/>
          <w:sz w:val="22"/>
          <w:szCs w:val="22"/>
        </w:rPr>
      </w:pPr>
      <w:r w:rsidRPr="00AA7D88">
        <w:rPr>
          <w:rFonts w:asciiTheme="majorHAnsi" w:hAnsiTheme="majorHAnsi" w:cstheme="majorHAnsi"/>
          <w:snapToGrid w:val="0"/>
          <w:sz w:val="22"/>
          <w:szCs w:val="22"/>
        </w:rPr>
        <w:t xml:space="preserve">National Heart and Lung Institute, Imperial College, </w:t>
      </w:r>
      <w:proofErr w:type="spellStart"/>
      <w:r w:rsidRPr="00AA7D88">
        <w:rPr>
          <w:rFonts w:asciiTheme="majorHAnsi" w:hAnsiTheme="majorHAnsi" w:cstheme="majorHAnsi"/>
          <w:snapToGrid w:val="0"/>
          <w:sz w:val="22"/>
          <w:szCs w:val="22"/>
        </w:rPr>
        <w:t>Dovehouse</w:t>
      </w:r>
      <w:proofErr w:type="spellEnd"/>
      <w:r w:rsidRPr="00AA7D88">
        <w:rPr>
          <w:rFonts w:asciiTheme="majorHAnsi" w:hAnsiTheme="majorHAnsi" w:cstheme="majorHAnsi"/>
          <w:snapToGrid w:val="0"/>
          <w:sz w:val="22"/>
          <w:szCs w:val="22"/>
        </w:rPr>
        <w:t xml:space="preserve"> Street, London SW3 6NP, London UK</w:t>
      </w:r>
    </w:p>
    <w:p w14:paraId="7E1DED47" w14:textId="77777777" w:rsidR="0099654A" w:rsidRPr="00AA7D88" w:rsidRDefault="0099654A" w:rsidP="004C0A34">
      <w:pPr>
        <w:numPr>
          <w:ilvl w:val="0"/>
          <w:numId w:val="1"/>
        </w:numPr>
        <w:spacing w:line="360" w:lineRule="auto"/>
        <w:ind w:left="714" w:hanging="357"/>
        <w:contextualSpacing/>
        <w:rPr>
          <w:rFonts w:asciiTheme="majorHAnsi" w:hAnsiTheme="majorHAnsi" w:cstheme="majorHAnsi"/>
          <w:snapToGrid w:val="0"/>
          <w:sz w:val="22"/>
          <w:szCs w:val="22"/>
        </w:rPr>
      </w:pPr>
      <w:r w:rsidRPr="00AA7D88">
        <w:rPr>
          <w:rFonts w:asciiTheme="majorHAnsi" w:hAnsiTheme="majorHAnsi" w:cstheme="majorHAnsi"/>
          <w:snapToGrid w:val="0"/>
          <w:sz w:val="22"/>
          <w:szCs w:val="22"/>
        </w:rPr>
        <w:t xml:space="preserve">Leeds Children’s Hospital, Leeds, UK </w:t>
      </w:r>
    </w:p>
    <w:p w14:paraId="5D24BF77" w14:textId="77777777" w:rsidR="0099654A" w:rsidRPr="00AA7D88" w:rsidRDefault="0099654A" w:rsidP="004C0A34">
      <w:pPr>
        <w:numPr>
          <w:ilvl w:val="0"/>
          <w:numId w:val="1"/>
        </w:numPr>
        <w:spacing w:line="360" w:lineRule="auto"/>
        <w:ind w:left="714" w:hanging="357"/>
        <w:contextualSpacing/>
        <w:rPr>
          <w:rFonts w:asciiTheme="majorHAnsi" w:hAnsiTheme="majorHAnsi" w:cstheme="majorHAnsi"/>
          <w:snapToGrid w:val="0"/>
          <w:sz w:val="22"/>
          <w:szCs w:val="22"/>
        </w:rPr>
      </w:pPr>
      <w:r w:rsidRPr="00AA7D88">
        <w:rPr>
          <w:rFonts w:asciiTheme="majorHAnsi" w:hAnsiTheme="majorHAnsi" w:cstheme="majorHAnsi"/>
          <w:sz w:val="22"/>
          <w:szCs w:val="22"/>
        </w:rPr>
        <w:t>Birmingham Women’s and Children’s Hospital NHS Trust, Birmingham</w:t>
      </w:r>
      <w:r w:rsidRPr="00AA7D88">
        <w:rPr>
          <w:rFonts w:asciiTheme="majorHAnsi" w:hAnsiTheme="majorHAnsi" w:cstheme="majorHAnsi"/>
          <w:snapToGrid w:val="0"/>
          <w:sz w:val="22"/>
          <w:szCs w:val="22"/>
        </w:rPr>
        <w:t xml:space="preserve"> </w:t>
      </w:r>
    </w:p>
    <w:p w14:paraId="65D2300A" w14:textId="77777777" w:rsidR="00C931EF" w:rsidRPr="00AA7D88" w:rsidRDefault="00C931EF" w:rsidP="00C931EF">
      <w:pPr>
        <w:pStyle w:val="ListParagraph"/>
        <w:numPr>
          <w:ilvl w:val="0"/>
          <w:numId w:val="1"/>
        </w:numPr>
        <w:spacing w:line="360" w:lineRule="auto"/>
        <w:rPr>
          <w:rFonts w:asciiTheme="majorHAnsi" w:hAnsiTheme="majorHAnsi" w:cstheme="majorHAnsi"/>
          <w:snapToGrid w:val="0"/>
          <w:sz w:val="22"/>
          <w:szCs w:val="22"/>
        </w:rPr>
      </w:pPr>
      <w:r w:rsidRPr="00AA7D88">
        <w:rPr>
          <w:rFonts w:asciiTheme="majorHAnsi" w:hAnsiTheme="majorHAnsi" w:cstheme="majorHAnsi"/>
          <w:snapToGrid w:val="0"/>
          <w:sz w:val="22"/>
          <w:szCs w:val="22"/>
        </w:rPr>
        <w:t>Bradford Teaching Hospitals NHS Trust, Bradford, UK</w:t>
      </w:r>
    </w:p>
    <w:p w14:paraId="4B89DA7B" w14:textId="77777777" w:rsidR="00C931EF" w:rsidRPr="00AA7D88" w:rsidRDefault="00C931EF" w:rsidP="00C931EF">
      <w:pPr>
        <w:numPr>
          <w:ilvl w:val="0"/>
          <w:numId w:val="1"/>
        </w:numPr>
        <w:spacing w:line="360" w:lineRule="auto"/>
        <w:ind w:left="714" w:hanging="357"/>
        <w:contextualSpacing/>
        <w:rPr>
          <w:rFonts w:asciiTheme="majorHAnsi" w:hAnsiTheme="majorHAnsi" w:cstheme="majorHAnsi"/>
          <w:snapToGrid w:val="0"/>
          <w:sz w:val="22"/>
          <w:szCs w:val="22"/>
        </w:rPr>
      </w:pPr>
      <w:r w:rsidRPr="00AA7D88">
        <w:rPr>
          <w:rFonts w:asciiTheme="majorHAnsi" w:hAnsiTheme="majorHAnsi" w:cstheme="majorHAnsi"/>
          <w:snapToGrid w:val="0"/>
          <w:sz w:val="22"/>
          <w:szCs w:val="22"/>
        </w:rPr>
        <w:t xml:space="preserve">Leicester National Primary Ciliary Dyskinesia diagnosis and management service, </w:t>
      </w:r>
      <w:r w:rsidRPr="00AA7D88">
        <w:rPr>
          <w:rFonts w:asciiTheme="majorHAnsi" w:hAnsiTheme="majorHAnsi" w:cstheme="majorHAnsi"/>
          <w:sz w:val="22"/>
          <w:szCs w:val="22"/>
        </w:rPr>
        <w:t>Department of Paediatrics, University Hospitals of Leicester NHS trust, Leicester.</w:t>
      </w:r>
    </w:p>
    <w:p w14:paraId="028F7B47" w14:textId="77777777" w:rsidR="004C0A34" w:rsidRPr="00AA7D88" w:rsidRDefault="004C0A34" w:rsidP="004C0A34">
      <w:pPr>
        <w:numPr>
          <w:ilvl w:val="0"/>
          <w:numId w:val="1"/>
        </w:numPr>
        <w:spacing w:line="360" w:lineRule="auto"/>
        <w:ind w:left="714" w:hanging="357"/>
        <w:contextualSpacing/>
        <w:rPr>
          <w:rFonts w:asciiTheme="majorHAnsi" w:hAnsiTheme="majorHAnsi" w:cstheme="majorHAnsi"/>
          <w:snapToGrid w:val="0"/>
          <w:sz w:val="22"/>
          <w:szCs w:val="22"/>
        </w:rPr>
      </w:pPr>
      <w:r w:rsidRPr="00AA7D88">
        <w:rPr>
          <w:rFonts w:asciiTheme="majorHAnsi" w:hAnsiTheme="majorHAnsi" w:cstheme="majorHAnsi"/>
          <w:snapToGrid w:val="0"/>
          <w:sz w:val="22"/>
          <w:szCs w:val="22"/>
        </w:rPr>
        <w:lastRenderedPageBreak/>
        <w:t>UCL Great Ormond Street Institute of Child Health, GOSH NIHR BRC, London UK.</w:t>
      </w:r>
    </w:p>
    <w:p w14:paraId="5578F70F" w14:textId="77777777" w:rsidR="00C5746B" w:rsidRPr="00AA7D88" w:rsidRDefault="00C5746B" w:rsidP="009E2C63">
      <w:pPr>
        <w:spacing w:line="360" w:lineRule="auto"/>
        <w:ind w:left="714"/>
        <w:contextualSpacing/>
        <w:rPr>
          <w:rFonts w:asciiTheme="majorHAnsi" w:hAnsiTheme="majorHAnsi" w:cstheme="majorHAnsi"/>
          <w:snapToGrid w:val="0"/>
          <w:sz w:val="22"/>
          <w:szCs w:val="22"/>
        </w:rPr>
      </w:pPr>
    </w:p>
    <w:p w14:paraId="1CAAD0FF" w14:textId="77777777" w:rsidR="0092105C" w:rsidRPr="00AA7D88" w:rsidRDefault="0092105C" w:rsidP="00CC43D1">
      <w:pPr>
        <w:rPr>
          <w:rFonts w:asciiTheme="majorHAnsi" w:hAnsiTheme="majorHAnsi" w:cstheme="majorHAnsi"/>
          <w:b/>
          <w:snapToGrid w:val="0"/>
          <w:sz w:val="22"/>
          <w:szCs w:val="22"/>
        </w:rPr>
      </w:pPr>
      <w:r w:rsidRPr="00AA7D88">
        <w:rPr>
          <w:rFonts w:asciiTheme="majorHAnsi" w:hAnsiTheme="majorHAnsi" w:cstheme="majorHAnsi"/>
          <w:b/>
          <w:snapToGrid w:val="0"/>
          <w:sz w:val="22"/>
          <w:szCs w:val="22"/>
        </w:rPr>
        <w:t>Correspondence:</w:t>
      </w:r>
    </w:p>
    <w:p w14:paraId="6020893F" w14:textId="77777777" w:rsidR="00CF1668" w:rsidRPr="00AA7D88" w:rsidRDefault="00CF1668" w:rsidP="00AC79A0">
      <w:pPr>
        <w:spacing w:line="360" w:lineRule="auto"/>
        <w:rPr>
          <w:rFonts w:asciiTheme="majorHAnsi" w:hAnsiTheme="majorHAnsi" w:cstheme="majorHAnsi"/>
          <w:b/>
          <w:snapToGrid w:val="0"/>
          <w:sz w:val="22"/>
          <w:szCs w:val="22"/>
        </w:rPr>
      </w:pPr>
    </w:p>
    <w:p w14:paraId="5B3E2215" w14:textId="77777777" w:rsidR="00B3185D" w:rsidRPr="00AA7D88" w:rsidRDefault="00B3185D" w:rsidP="00AC79A0">
      <w:pPr>
        <w:spacing w:line="360" w:lineRule="auto"/>
        <w:contextualSpacing/>
        <w:rPr>
          <w:rFonts w:asciiTheme="majorHAnsi" w:hAnsiTheme="majorHAnsi" w:cstheme="majorHAnsi"/>
          <w:sz w:val="22"/>
          <w:szCs w:val="22"/>
        </w:rPr>
      </w:pPr>
      <w:r w:rsidRPr="00AA7D88">
        <w:rPr>
          <w:rFonts w:asciiTheme="majorHAnsi" w:hAnsiTheme="majorHAnsi" w:cstheme="majorHAnsi"/>
          <w:snapToGrid w:val="0"/>
          <w:sz w:val="22"/>
          <w:szCs w:val="22"/>
        </w:rPr>
        <w:t xml:space="preserve">Dr Woolf Walker, </w:t>
      </w:r>
      <w:r w:rsidRPr="00AA7D88">
        <w:rPr>
          <w:rFonts w:asciiTheme="majorHAnsi" w:hAnsiTheme="majorHAnsi" w:cstheme="majorHAnsi"/>
          <w:sz w:val="22"/>
          <w:szCs w:val="22"/>
        </w:rPr>
        <w:t>Primary Ciliary Dyskinesia Centre, University Hospital Southampton NHS Foundation Trust, Southampton, UK SO16 6YD</w:t>
      </w:r>
    </w:p>
    <w:p w14:paraId="79AE648E" w14:textId="77777777" w:rsidR="00BC621B" w:rsidRPr="00AA7D88" w:rsidRDefault="00BC621B" w:rsidP="00AC79A0">
      <w:pPr>
        <w:spacing w:line="360" w:lineRule="auto"/>
        <w:contextualSpacing/>
        <w:rPr>
          <w:rFonts w:asciiTheme="majorHAnsi" w:hAnsiTheme="majorHAnsi" w:cstheme="majorHAnsi"/>
          <w:sz w:val="22"/>
          <w:szCs w:val="22"/>
        </w:rPr>
      </w:pPr>
    </w:p>
    <w:p w14:paraId="32548F20" w14:textId="74442A78" w:rsidR="00BC621B" w:rsidRPr="00AA7D88" w:rsidRDefault="00BC621B" w:rsidP="00AC79A0">
      <w:pPr>
        <w:spacing w:line="360" w:lineRule="auto"/>
        <w:contextualSpacing/>
        <w:rPr>
          <w:rFonts w:asciiTheme="majorHAnsi" w:hAnsiTheme="majorHAnsi" w:cstheme="majorHAnsi"/>
          <w:sz w:val="22"/>
          <w:szCs w:val="22"/>
        </w:rPr>
      </w:pPr>
      <w:r w:rsidRPr="00967C53">
        <w:rPr>
          <w:rFonts w:asciiTheme="majorHAnsi" w:hAnsiTheme="majorHAnsi" w:cstheme="majorHAnsi"/>
          <w:sz w:val="22"/>
          <w:szCs w:val="22"/>
        </w:rPr>
        <w:t xml:space="preserve">Word Count: </w:t>
      </w:r>
      <w:r w:rsidR="00095B66" w:rsidRPr="00967C53">
        <w:rPr>
          <w:rFonts w:asciiTheme="majorHAnsi" w:hAnsiTheme="majorHAnsi" w:cstheme="majorHAnsi"/>
          <w:sz w:val="22"/>
          <w:szCs w:val="22"/>
        </w:rPr>
        <w:t>26</w:t>
      </w:r>
      <w:r w:rsidR="00195D4E">
        <w:rPr>
          <w:rFonts w:asciiTheme="majorHAnsi" w:hAnsiTheme="majorHAnsi" w:cstheme="majorHAnsi"/>
          <w:sz w:val="22"/>
          <w:szCs w:val="22"/>
        </w:rPr>
        <w:t>84</w:t>
      </w:r>
    </w:p>
    <w:p w14:paraId="71039C0F" w14:textId="77777777" w:rsidR="00FC5D1E" w:rsidRPr="00AA7D88" w:rsidRDefault="00FC5D1E" w:rsidP="00AC79A0">
      <w:pPr>
        <w:spacing w:line="360" w:lineRule="auto"/>
        <w:rPr>
          <w:rFonts w:asciiTheme="majorHAnsi" w:hAnsiTheme="majorHAnsi" w:cstheme="majorHAnsi"/>
          <w:sz w:val="22"/>
          <w:szCs w:val="22"/>
        </w:rPr>
      </w:pPr>
    </w:p>
    <w:p w14:paraId="3286D8B2" w14:textId="77777777" w:rsidR="00B441B7" w:rsidRPr="00AA7D88" w:rsidRDefault="00B441B7" w:rsidP="00AC79A0">
      <w:pPr>
        <w:spacing w:line="360" w:lineRule="auto"/>
        <w:rPr>
          <w:rFonts w:asciiTheme="majorHAnsi" w:hAnsiTheme="majorHAnsi" w:cstheme="majorHAnsi"/>
          <w:sz w:val="22"/>
          <w:szCs w:val="22"/>
        </w:rPr>
      </w:pPr>
      <w:r w:rsidRPr="00AA7D88">
        <w:rPr>
          <w:rFonts w:asciiTheme="majorHAnsi" w:hAnsiTheme="majorHAnsi" w:cstheme="majorHAnsi"/>
          <w:b/>
          <w:sz w:val="22"/>
          <w:szCs w:val="22"/>
        </w:rPr>
        <w:t>Keywords:</w:t>
      </w:r>
      <w:r w:rsidRPr="00AA7D88">
        <w:rPr>
          <w:rFonts w:asciiTheme="majorHAnsi" w:hAnsiTheme="majorHAnsi" w:cstheme="majorHAnsi"/>
          <w:sz w:val="22"/>
          <w:szCs w:val="22"/>
        </w:rPr>
        <w:t xml:space="preserve"> </w:t>
      </w:r>
      <w:r w:rsidR="005A750C" w:rsidRPr="00AA7D88">
        <w:rPr>
          <w:rFonts w:asciiTheme="majorHAnsi" w:hAnsiTheme="majorHAnsi" w:cstheme="majorHAnsi"/>
          <w:sz w:val="22"/>
          <w:szCs w:val="22"/>
        </w:rPr>
        <w:t>P</w:t>
      </w:r>
      <w:r w:rsidR="005D52BC" w:rsidRPr="00AA7D88">
        <w:rPr>
          <w:rFonts w:asciiTheme="majorHAnsi" w:hAnsiTheme="majorHAnsi" w:cstheme="majorHAnsi"/>
          <w:sz w:val="22"/>
          <w:szCs w:val="22"/>
        </w:rPr>
        <w:t xml:space="preserve">rimary ciliary dyskinesia, management, </w:t>
      </w:r>
      <w:r w:rsidR="00963BEB" w:rsidRPr="00AA7D88">
        <w:rPr>
          <w:rFonts w:asciiTheme="majorHAnsi" w:hAnsiTheme="majorHAnsi" w:cstheme="majorHAnsi"/>
          <w:sz w:val="22"/>
          <w:szCs w:val="22"/>
        </w:rPr>
        <w:t>lung function, cystic fibrosis</w:t>
      </w:r>
    </w:p>
    <w:p w14:paraId="7A33F835" w14:textId="77777777" w:rsidR="00594200" w:rsidRPr="00AA7D88" w:rsidRDefault="00594200" w:rsidP="00AC79A0">
      <w:pPr>
        <w:spacing w:line="360" w:lineRule="auto"/>
        <w:rPr>
          <w:rFonts w:asciiTheme="majorHAnsi" w:hAnsiTheme="majorHAnsi" w:cstheme="majorHAnsi"/>
          <w:sz w:val="22"/>
          <w:szCs w:val="22"/>
        </w:rPr>
      </w:pPr>
    </w:p>
    <w:p w14:paraId="36C5F766" w14:textId="77777777" w:rsidR="00AC79A0" w:rsidRPr="00AA7D88" w:rsidRDefault="00AC79A0">
      <w:pPr>
        <w:rPr>
          <w:rFonts w:asciiTheme="majorHAnsi" w:hAnsiTheme="majorHAnsi" w:cstheme="majorHAnsi"/>
        </w:rPr>
      </w:pPr>
      <w:r w:rsidRPr="00AA7D88">
        <w:rPr>
          <w:rFonts w:asciiTheme="majorHAnsi" w:hAnsiTheme="majorHAnsi" w:cstheme="majorHAnsi"/>
        </w:rPr>
        <w:br w:type="page"/>
      </w:r>
    </w:p>
    <w:p w14:paraId="289325CD" w14:textId="061BE5C5" w:rsidR="00AC79A0" w:rsidRPr="00AA7D88" w:rsidRDefault="00F44BD8" w:rsidP="001C6EA8">
      <w:pPr>
        <w:spacing w:after="120" w:line="480" w:lineRule="auto"/>
        <w:rPr>
          <w:rFonts w:asciiTheme="majorHAnsi" w:hAnsiTheme="majorHAnsi" w:cstheme="majorHAnsi"/>
          <w:color w:val="000000"/>
          <w:sz w:val="22"/>
          <w:szCs w:val="22"/>
          <w:lang w:eastAsia="en-GB"/>
        </w:rPr>
      </w:pPr>
      <w:r w:rsidRPr="00AA7D88">
        <w:rPr>
          <w:rFonts w:asciiTheme="majorHAnsi" w:hAnsiTheme="majorHAnsi" w:cstheme="majorHAnsi"/>
          <w:b/>
          <w:color w:val="000000"/>
          <w:sz w:val="22"/>
          <w:szCs w:val="22"/>
          <w:lang w:eastAsia="en-GB"/>
        </w:rPr>
        <w:lastRenderedPageBreak/>
        <w:t>What is already known on this topic:</w:t>
      </w:r>
      <w:r w:rsidRPr="00AA7D88">
        <w:rPr>
          <w:rFonts w:asciiTheme="majorHAnsi" w:hAnsiTheme="majorHAnsi" w:cstheme="majorHAnsi"/>
          <w:color w:val="000000"/>
          <w:sz w:val="22"/>
          <w:szCs w:val="22"/>
          <w:lang w:eastAsia="en-GB"/>
        </w:rPr>
        <w:t xml:space="preserve"> </w:t>
      </w:r>
    </w:p>
    <w:p w14:paraId="301DFAB2" w14:textId="5E9F2176" w:rsidR="00AC79A0" w:rsidRPr="00AA7D88" w:rsidRDefault="00AC79A0" w:rsidP="001C6EA8">
      <w:pPr>
        <w:pStyle w:val="ListParagraph"/>
        <w:numPr>
          <w:ilvl w:val="0"/>
          <w:numId w:val="18"/>
        </w:numPr>
        <w:spacing w:after="120" w:line="480" w:lineRule="auto"/>
        <w:rPr>
          <w:rFonts w:asciiTheme="majorHAnsi" w:hAnsiTheme="majorHAnsi" w:cstheme="majorHAnsi"/>
          <w:color w:val="000000"/>
          <w:sz w:val="22"/>
          <w:szCs w:val="22"/>
          <w:lang w:eastAsia="en-GB"/>
        </w:rPr>
      </w:pPr>
      <w:r w:rsidRPr="00AA7D88">
        <w:rPr>
          <w:rFonts w:asciiTheme="majorHAnsi" w:hAnsiTheme="majorHAnsi" w:cstheme="majorHAnsi"/>
          <w:sz w:val="22"/>
          <w:szCs w:val="22"/>
        </w:rPr>
        <w:t>PCD is a rare autosomal recessive condition where abnormal ciliary function leads to impaired mucociliary clearance</w:t>
      </w:r>
      <w:r w:rsidR="00466374">
        <w:rPr>
          <w:rFonts w:asciiTheme="majorHAnsi" w:hAnsiTheme="majorHAnsi" w:cstheme="majorHAnsi"/>
          <w:sz w:val="22"/>
          <w:szCs w:val="22"/>
        </w:rPr>
        <w:t>.</w:t>
      </w:r>
      <w:r w:rsidRPr="00AA7D88">
        <w:rPr>
          <w:rFonts w:asciiTheme="majorHAnsi" w:hAnsiTheme="majorHAnsi" w:cstheme="majorHAnsi"/>
          <w:color w:val="000000"/>
          <w:sz w:val="22"/>
          <w:szCs w:val="22"/>
          <w:lang w:eastAsia="en-GB"/>
        </w:rPr>
        <w:t xml:space="preserve"> </w:t>
      </w:r>
    </w:p>
    <w:p w14:paraId="0927549C" w14:textId="19D38B07" w:rsidR="00AC79A0" w:rsidRPr="00AA7D88" w:rsidRDefault="00AC79A0" w:rsidP="001C6EA8">
      <w:pPr>
        <w:pStyle w:val="ListParagraph"/>
        <w:numPr>
          <w:ilvl w:val="0"/>
          <w:numId w:val="18"/>
        </w:numPr>
        <w:spacing w:after="120" w:line="480" w:lineRule="auto"/>
        <w:rPr>
          <w:rFonts w:asciiTheme="majorHAnsi" w:hAnsiTheme="majorHAnsi" w:cstheme="majorHAnsi"/>
          <w:sz w:val="22"/>
          <w:szCs w:val="22"/>
        </w:rPr>
      </w:pPr>
      <w:r w:rsidRPr="00AA7D88">
        <w:rPr>
          <w:rFonts w:asciiTheme="majorHAnsi" w:hAnsiTheme="majorHAnsi" w:cstheme="majorHAnsi"/>
          <w:sz w:val="22"/>
          <w:szCs w:val="22"/>
        </w:rPr>
        <w:t>Historically PCD has been considered a mild respiratory condition</w:t>
      </w:r>
      <w:r w:rsidR="00466374">
        <w:rPr>
          <w:rFonts w:asciiTheme="majorHAnsi" w:hAnsiTheme="majorHAnsi" w:cstheme="majorHAnsi"/>
          <w:sz w:val="22"/>
          <w:szCs w:val="22"/>
        </w:rPr>
        <w:t>.</w:t>
      </w:r>
    </w:p>
    <w:p w14:paraId="3901C4D8" w14:textId="5184FCFF" w:rsidR="003F61AF" w:rsidRPr="001C6EA8" w:rsidRDefault="00AC79A0" w:rsidP="001C6EA8">
      <w:pPr>
        <w:pStyle w:val="ListParagraph"/>
        <w:numPr>
          <w:ilvl w:val="0"/>
          <w:numId w:val="18"/>
        </w:numPr>
        <w:spacing w:after="120" w:line="480" w:lineRule="auto"/>
        <w:rPr>
          <w:rFonts w:asciiTheme="majorHAnsi" w:hAnsiTheme="majorHAnsi" w:cstheme="majorHAnsi"/>
          <w:color w:val="000000"/>
          <w:sz w:val="22"/>
          <w:szCs w:val="22"/>
          <w:lang w:eastAsia="en-GB"/>
        </w:rPr>
      </w:pPr>
      <w:r w:rsidRPr="00AA7D88">
        <w:rPr>
          <w:rFonts w:asciiTheme="majorHAnsi" w:hAnsiTheme="majorHAnsi" w:cstheme="majorHAnsi"/>
          <w:color w:val="000000"/>
          <w:sz w:val="22"/>
          <w:szCs w:val="22"/>
          <w:lang w:eastAsia="en-GB"/>
        </w:rPr>
        <w:t xml:space="preserve">There is little evidence to guide the management of children with PCD, with only one RCT published to date. </w:t>
      </w:r>
    </w:p>
    <w:p w14:paraId="7E03B7D3" w14:textId="43F20C75" w:rsidR="00AC79A0" w:rsidRPr="00AA7D88" w:rsidRDefault="00F44BD8" w:rsidP="001C6EA8">
      <w:pPr>
        <w:spacing w:after="120" w:line="480" w:lineRule="auto"/>
        <w:rPr>
          <w:rFonts w:asciiTheme="majorHAnsi" w:hAnsiTheme="majorHAnsi" w:cstheme="majorHAnsi"/>
          <w:color w:val="000000"/>
          <w:sz w:val="22"/>
          <w:szCs w:val="22"/>
          <w:lang w:eastAsia="en-GB"/>
        </w:rPr>
      </w:pPr>
      <w:r w:rsidRPr="00AA7D88">
        <w:rPr>
          <w:rFonts w:asciiTheme="majorHAnsi" w:hAnsiTheme="majorHAnsi" w:cstheme="majorHAnsi"/>
          <w:b/>
          <w:color w:val="000000"/>
          <w:sz w:val="22"/>
          <w:szCs w:val="22"/>
          <w:lang w:eastAsia="en-GB"/>
        </w:rPr>
        <w:t>What this study adds:</w:t>
      </w:r>
      <w:r w:rsidRPr="00AA7D88">
        <w:rPr>
          <w:rFonts w:asciiTheme="majorHAnsi" w:hAnsiTheme="majorHAnsi" w:cstheme="majorHAnsi"/>
          <w:color w:val="000000"/>
          <w:sz w:val="22"/>
          <w:szCs w:val="22"/>
          <w:lang w:eastAsia="en-GB"/>
        </w:rPr>
        <w:t xml:space="preserve"> </w:t>
      </w:r>
    </w:p>
    <w:p w14:paraId="6FB0094B" w14:textId="77777777" w:rsidR="00881C39" w:rsidRPr="00AA7D88" w:rsidRDefault="00AC79A0" w:rsidP="001C6EA8">
      <w:pPr>
        <w:pStyle w:val="ListParagraph"/>
        <w:numPr>
          <w:ilvl w:val="0"/>
          <w:numId w:val="19"/>
        </w:numPr>
        <w:spacing w:after="120" w:line="480" w:lineRule="auto"/>
        <w:rPr>
          <w:rFonts w:asciiTheme="majorHAnsi" w:hAnsiTheme="majorHAnsi" w:cstheme="majorHAnsi"/>
          <w:color w:val="000000"/>
          <w:sz w:val="22"/>
          <w:szCs w:val="22"/>
          <w:lang w:eastAsia="en-GB"/>
        </w:rPr>
      </w:pPr>
      <w:r w:rsidRPr="00AA7D88">
        <w:rPr>
          <w:rFonts w:asciiTheme="majorHAnsi" w:hAnsiTheme="majorHAnsi" w:cstheme="majorHAnsi"/>
          <w:color w:val="000000"/>
          <w:sz w:val="22"/>
          <w:szCs w:val="22"/>
          <w:lang w:eastAsia="en-GB"/>
        </w:rPr>
        <w:t xml:space="preserve">In England, </w:t>
      </w:r>
      <w:r w:rsidR="005A12D5" w:rsidRPr="00AA7D88">
        <w:rPr>
          <w:rFonts w:asciiTheme="majorHAnsi" w:hAnsiTheme="majorHAnsi" w:cstheme="majorHAnsi"/>
          <w:color w:val="000000"/>
          <w:sz w:val="22"/>
          <w:szCs w:val="22"/>
          <w:lang w:eastAsia="en-GB"/>
        </w:rPr>
        <w:t>FEV</w:t>
      </w:r>
      <w:r w:rsidR="005A12D5" w:rsidRPr="00AA7D88">
        <w:rPr>
          <w:rFonts w:asciiTheme="majorHAnsi" w:hAnsiTheme="majorHAnsi" w:cstheme="majorHAnsi"/>
          <w:color w:val="000000"/>
          <w:sz w:val="22"/>
          <w:szCs w:val="22"/>
          <w:vertAlign w:val="subscript"/>
          <w:lang w:eastAsia="en-GB"/>
        </w:rPr>
        <w:t>1</w:t>
      </w:r>
      <w:r w:rsidR="005A12D5" w:rsidRPr="00AA7D88">
        <w:rPr>
          <w:rFonts w:asciiTheme="majorHAnsi" w:hAnsiTheme="majorHAnsi" w:cstheme="majorHAnsi"/>
          <w:color w:val="000000"/>
          <w:sz w:val="22"/>
          <w:szCs w:val="22"/>
          <w:lang w:eastAsia="en-GB"/>
        </w:rPr>
        <w:t xml:space="preserve"> was </w:t>
      </w:r>
      <w:r w:rsidR="00AD123E" w:rsidRPr="00AA7D88">
        <w:rPr>
          <w:rFonts w:asciiTheme="majorHAnsi" w:hAnsiTheme="majorHAnsi" w:cstheme="majorHAnsi"/>
          <w:color w:val="000000"/>
          <w:sz w:val="22"/>
          <w:szCs w:val="22"/>
          <w:lang w:eastAsia="en-GB"/>
        </w:rPr>
        <w:t>lower</w:t>
      </w:r>
      <w:r w:rsidR="005A12D5" w:rsidRPr="00AA7D88">
        <w:rPr>
          <w:rFonts w:asciiTheme="majorHAnsi" w:hAnsiTheme="majorHAnsi" w:cstheme="majorHAnsi"/>
          <w:color w:val="000000"/>
          <w:sz w:val="22"/>
          <w:szCs w:val="22"/>
          <w:lang w:eastAsia="en-GB"/>
        </w:rPr>
        <w:t xml:space="preserve"> in</w:t>
      </w:r>
      <w:r w:rsidRPr="00AA7D88">
        <w:rPr>
          <w:rFonts w:asciiTheme="majorHAnsi" w:hAnsiTheme="majorHAnsi" w:cstheme="majorHAnsi"/>
          <w:color w:val="000000"/>
          <w:sz w:val="22"/>
          <w:szCs w:val="22"/>
          <w:lang w:eastAsia="en-GB"/>
        </w:rPr>
        <w:t xml:space="preserve"> children with </w:t>
      </w:r>
      <w:r w:rsidR="00AD123E" w:rsidRPr="00AA7D88">
        <w:rPr>
          <w:rFonts w:asciiTheme="majorHAnsi" w:hAnsiTheme="majorHAnsi" w:cstheme="majorHAnsi"/>
          <w:color w:val="000000"/>
          <w:sz w:val="22"/>
          <w:szCs w:val="22"/>
          <w:lang w:eastAsia="en-GB"/>
        </w:rPr>
        <w:t>PCD</w:t>
      </w:r>
      <w:r w:rsidR="005A12D5" w:rsidRPr="00AA7D88">
        <w:rPr>
          <w:rFonts w:asciiTheme="majorHAnsi" w:hAnsiTheme="majorHAnsi" w:cstheme="majorHAnsi"/>
          <w:color w:val="000000"/>
          <w:sz w:val="22"/>
          <w:szCs w:val="22"/>
          <w:lang w:eastAsia="en-GB"/>
        </w:rPr>
        <w:t xml:space="preserve"> </w:t>
      </w:r>
      <w:r w:rsidR="00AD123E" w:rsidRPr="00AA7D88">
        <w:rPr>
          <w:rFonts w:asciiTheme="majorHAnsi" w:hAnsiTheme="majorHAnsi" w:cstheme="majorHAnsi"/>
          <w:color w:val="000000"/>
          <w:sz w:val="22"/>
          <w:szCs w:val="22"/>
          <w:lang w:eastAsia="en-GB"/>
        </w:rPr>
        <w:t>compared to</w:t>
      </w:r>
      <w:r w:rsidR="005A12D5" w:rsidRPr="00AA7D88">
        <w:rPr>
          <w:rFonts w:asciiTheme="majorHAnsi" w:hAnsiTheme="majorHAnsi" w:cstheme="majorHAnsi"/>
          <w:color w:val="000000"/>
          <w:sz w:val="22"/>
          <w:szCs w:val="22"/>
          <w:lang w:eastAsia="en-GB"/>
        </w:rPr>
        <w:t xml:space="preserve"> those with CF</w:t>
      </w:r>
      <w:r w:rsidRPr="00AA7D88">
        <w:rPr>
          <w:rFonts w:asciiTheme="majorHAnsi" w:hAnsiTheme="majorHAnsi" w:cstheme="majorHAnsi"/>
          <w:color w:val="000000"/>
          <w:sz w:val="22"/>
          <w:szCs w:val="22"/>
          <w:lang w:eastAsia="en-GB"/>
        </w:rPr>
        <w:t xml:space="preserve">, </w:t>
      </w:r>
      <w:r w:rsidR="005A12D5" w:rsidRPr="00AA7D88">
        <w:rPr>
          <w:rFonts w:asciiTheme="majorHAnsi" w:hAnsiTheme="majorHAnsi" w:cstheme="majorHAnsi"/>
          <w:color w:val="000000"/>
          <w:sz w:val="22"/>
          <w:szCs w:val="22"/>
          <w:lang w:eastAsia="en-GB"/>
        </w:rPr>
        <w:t xml:space="preserve">particularly in younger </w:t>
      </w:r>
      <w:r w:rsidR="00AD123E" w:rsidRPr="00AA7D88">
        <w:rPr>
          <w:rFonts w:asciiTheme="majorHAnsi" w:hAnsiTheme="majorHAnsi" w:cstheme="majorHAnsi"/>
          <w:color w:val="000000"/>
          <w:sz w:val="22"/>
          <w:szCs w:val="22"/>
          <w:lang w:eastAsia="en-GB"/>
        </w:rPr>
        <w:t>age groups</w:t>
      </w:r>
      <w:r w:rsidR="005A12D5" w:rsidRPr="00AA7D88">
        <w:rPr>
          <w:rFonts w:asciiTheme="majorHAnsi" w:hAnsiTheme="majorHAnsi" w:cstheme="majorHAnsi"/>
          <w:color w:val="000000"/>
          <w:sz w:val="22"/>
          <w:szCs w:val="22"/>
          <w:lang w:eastAsia="en-GB"/>
        </w:rPr>
        <w:t>.</w:t>
      </w:r>
    </w:p>
    <w:p w14:paraId="4F6174F6" w14:textId="77777777" w:rsidR="006A10D6" w:rsidRPr="00AA7D88" w:rsidRDefault="00AC79A0" w:rsidP="001C6EA8">
      <w:pPr>
        <w:pStyle w:val="ListParagraph"/>
        <w:numPr>
          <w:ilvl w:val="0"/>
          <w:numId w:val="19"/>
        </w:numPr>
        <w:spacing w:after="120" w:line="480" w:lineRule="auto"/>
        <w:rPr>
          <w:rFonts w:asciiTheme="majorHAnsi" w:hAnsiTheme="majorHAnsi" w:cstheme="majorHAnsi"/>
          <w:color w:val="000000"/>
          <w:sz w:val="22"/>
          <w:szCs w:val="22"/>
          <w:lang w:eastAsia="en-GB"/>
        </w:rPr>
      </w:pPr>
      <w:r w:rsidRPr="00AA7D88">
        <w:rPr>
          <w:rStyle w:val="apple-converted-space"/>
          <w:rFonts w:asciiTheme="majorHAnsi" w:hAnsiTheme="majorHAnsi" w:cstheme="majorHAnsi"/>
          <w:color w:val="000000"/>
          <w:sz w:val="22"/>
          <w:szCs w:val="22"/>
        </w:rPr>
        <w:t xml:space="preserve">Nutritional status should be considered in PCD management, as </w:t>
      </w:r>
      <w:r w:rsidRPr="00AA7D88">
        <w:rPr>
          <w:rFonts w:asciiTheme="majorHAnsi" w:hAnsiTheme="majorHAnsi" w:cstheme="majorHAnsi"/>
          <w:sz w:val="22"/>
          <w:szCs w:val="22"/>
        </w:rPr>
        <w:t>those with a lower BMI have significantly lower FEV</w:t>
      </w:r>
      <w:r w:rsidRPr="00AA7D88">
        <w:rPr>
          <w:rFonts w:asciiTheme="majorHAnsi" w:hAnsiTheme="majorHAnsi" w:cstheme="majorHAnsi"/>
          <w:sz w:val="22"/>
          <w:szCs w:val="22"/>
          <w:vertAlign w:val="subscript"/>
        </w:rPr>
        <w:t>1</w:t>
      </w:r>
      <w:r w:rsidRPr="00AA7D88">
        <w:rPr>
          <w:rFonts w:asciiTheme="majorHAnsi" w:hAnsiTheme="majorHAnsi" w:cstheme="majorHAnsi"/>
          <w:sz w:val="22"/>
          <w:szCs w:val="22"/>
        </w:rPr>
        <w:t>.</w:t>
      </w:r>
    </w:p>
    <w:p w14:paraId="68D0DECD" w14:textId="2C0F3634" w:rsidR="006A10D6" w:rsidRPr="00AA7D88" w:rsidRDefault="00AC79A0" w:rsidP="001C6EA8">
      <w:pPr>
        <w:pStyle w:val="ListParagraph"/>
        <w:numPr>
          <w:ilvl w:val="0"/>
          <w:numId w:val="19"/>
        </w:numPr>
        <w:spacing w:after="120" w:line="480" w:lineRule="auto"/>
        <w:rPr>
          <w:rFonts w:asciiTheme="majorHAnsi" w:hAnsiTheme="majorHAnsi" w:cstheme="majorHAnsi"/>
          <w:color w:val="000000"/>
          <w:sz w:val="22"/>
          <w:szCs w:val="22"/>
          <w:lang w:eastAsia="en-GB"/>
        </w:rPr>
      </w:pPr>
      <w:r w:rsidRPr="00AA7D88">
        <w:rPr>
          <w:rFonts w:asciiTheme="majorHAnsi" w:hAnsiTheme="majorHAnsi" w:cstheme="majorHAnsi"/>
          <w:sz w:val="22"/>
          <w:szCs w:val="22"/>
        </w:rPr>
        <w:t>Hearing impairment is common but seems to improve with age</w:t>
      </w:r>
      <w:r w:rsidR="00466374">
        <w:rPr>
          <w:rFonts w:asciiTheme="majorHAnsi" w:hAnsiTheme="majorHAnsi" w:cstheme="majorHAnsi"/>
          <w:sz w:val="22"/>
          <w:szCs w:val="22"/>
        </w:rPr>
        <w:t>.</w:t>
      </w:r>
      <w:r w:rsidRPr="00AA7D88" w:rsidDel="00F44BD8">
        <w:rPr>
          <w:rFonts w:asciiTheme="majorHAnsi" w:hAnsiTheme="majorHAnsi" w:cstheme="majorHAnsi"/>
          <w:b/>
          <w:sz w:val="22"/>
          <w:szCs w:val="22"/>
        </w:rPr>
        <w:t xml:space="preserve"> </w:t>
      </w:r>
    </w:p>
    <w:p w14:paraId="30004BB8" w14:textId="77777777" w:rsidR="006A10D6" w:rsidRPr="00AA7D88" w:rsidRDefault="006A10D6" w:rsidP="001C6EA8">
      <w:pPr>
        <w:spacing w:after="120" w:line="480" w:lineRule="auto"/>
        <w:rPr>
          <w:rFonts w:asciiTheme="majorHAnsi" w:hAnsiTheme="majorHAnsi" w:cstheme="majorHAnsi"/>
          <w:sz w:val="22"/>
          <w:szCs w:val="22"/>
        </w:rPr>
      </w:pPr>
    </w:p>
    <w:p w14:paraId="1665A53E" w14:textId="77777777" w:rsidR="00AC79A0" w:rsidRPr="00AA7D88" w:rsidRDefault="00AC79A0" w:rsidP="00191874">
      <w:pPr>
        <w:spacing w:line="480" w:lineRule="auto"/>
        <w:rPr>
          <w:rFonts w:asciiTheme="majorHAnsi" w:hAnsiTheme="majorHAnsi" w:cstheme="majorHAnsi"/>
          <w:color w:val="000000"/>
          <w:sz w:val="22"/>
          <w:szCs w:val="22"/>
          <w:lang w:eastAsia="en-GB"/>
        </w:rPr>
      </w:pPr>
    </w:p>
    <w:p w14:paraId="5480F55E" w14:textId="77777777" w:rsidR="006A10D6" w:rsidRPr="00AA7D88" w:rsidRDefault="006A10D6" w:rsidP="006A10D6">
      <w:pPr>
        <w:rPr>
          <w:rFonts w:asciiTheme="majorHAnsi" w:hAnsiTheme="majorHAnsi" w:cstheme="majorHAnsi"/>
          <w:color w:val="000000"/>
          <w:sz w:val="22"/>
          <w:szCs w:val="22"/>
          <w:lang w:eastAsia="en-GB"/>
        </w:rPr>
        <w:sectPr w:rsidR="006A10D6" w:rsidRPr="00AA7D88" w:rsidSect="00766BC8">
          <w:pgSz w:w="11900" w:h="16840"/>
          <w:pgMar w:top="1440" w:right="1800" w:bottom="1440" w:left="1800" w:header="708" w:footer="708" w:gutter="0"/>
          <w:cols w:space="708"/>
        </w:sectPr>
      </w:pPr>
    </w:p>
    <w:p w14:paraId="7251F9AD" w14:textId="77777777" w:rsidR="0092105C" w:rsidRPr="00AA7D88" w:rsidRDefault="00594200" w:rsidP="001C6EA8">
      <w:pPr>
        <w:spacing w:after="120" w:line="480" w:lineRule="auto"/>
        <w:rPr>
          <w:rStyle w:val="Strong"/>
          <w:rFonts w:asciiTheme="majorHAnsi" w:eastAsia="Calibri" w:hAnsiTheme="majorHAnsi" w:cstheme="majorHAnsi"/>
          <w:b w:val="0"/>
          <w:color w:val="000000"/>
          <w:szCs w:val="22"/>
          <w:lang w:eastAsia="en-GB"/>
        </w:rPr>
      </w:pPr>
      <w:r w:rsidRPr="00AA7D88">
        <w:rPr>
          <w:rStyle w:val="Strong"/>
          <w:rFonts w:asciiTheme="majorHAnsi" w:eastAsia="Calibri" w:hAnsiTheme="majorHAnsi" w:cstheme="majorHAnsi"/>
          <w:b w:val="0"/>
          <w:color w:val="000000"/>
          <w:szCs w:val="22"/>
          <w:lang w:eastAsia="en-GB"/>
        </w:rPr>
        <w:t>ABSTRACT</w:t>
      </w:r>
    </w:p>
    <w:p w14:paraId="4DE45C94" w14:textId="2EB31244" w:rsidR="00B3185D" w:rsidRPr="00AA7D88" w:rsidRDefault="00221DF7" w:rsidP="001C6EA8">
      <w:pPr>
        <w:pStyle w:val="NormalWeb"/>
        <w:shd w:val="clear" w:color="auto" w:fill="FFFFFF"/>
        <w:spacing w:after="120" w:afterAutospacing="0" w:line="480" w:lineRule="auto"/>
        <w:rPr>
          <w:rFonts w:asciiTheme="majorHAnsi" w:hAnsiTheme="majorHAnsi" w:cstheme="majorHAnsi"/>
          <w:color w:val="000000"/>
          <w:sz w:val="22"/>
          <w:szCs w:val="22"/>
        </w:rPr>
      </w:pPr>
      <w:bookmarkStart w:id="5" w:name="OLE_LINK6"/>
      <w:bookmarkStart w:id="6" w:name="OLE_LINK7"/>
      <w:bookmarkStart w:id="7" w:name="OLE_LINK4"/>
      <w:bookmarkStart w:id="8" w:name="OLE_LINK5"/>
      <w:r w:rsidRPr="00AA7D88">
        <w:rPr>
          <w:rStyle w:val="Strong"/>
          <w:rFonts w:asciiTheme="majorHAnsi" w:eastAsia="Calibri" w:hAnsiTheme="majorHAnsi" w:cstheme="majorHAnsi"/>
          <w:color w:val="000000"/>
          <w:sz w:val="22"/>
          <w:szCs w:val="22"/>
        </w:rPr>
        <w:t xml:space="preserve">Objective </w:t>
      </w:r>
      <w:r w:rsidRPr="00AA7D88">
        <w:rPr>
          <w:rStyle w:val="Strong"/>
          <w:rFonts w:asciiTheme="majorHAnsi" w:eastAsia="Calibri" w:hAnsiTheme="majorHAnsi" w:cstheme="majorHAnsi"/>
          <w:b w:val="0"/>
          <w:color w:val="000000"/>
          <w:sz w:val="22"/>
          <w:szCs w:val="22"/>
        </w:rPr>
        <w:t xml:space="preserve">In </w:t>
      </w:r>
      <w:r w:rsidR="00CC43D1" w:rsidRPr="00AA7D88">
        <w:rPr>
          <w:rStyle w:val="Strong"/>
          <w:rFonts w:asciiTheme="majorHAnsi" w:eastAsia="Calibri" w:hAnsiTheme="majorHAnsi" w:cstheme="majorHAnsi"/>
          <w:b w:val="0"/>
          <w:color w:val="000000"/>
          <w:sz w:val="22"/>
          <w:szCs w:val="22"/>
        </w:rPr>
        <w:t>England</w:t>
      </w:r>
      <w:r w:rsidR="00967C53">
        <w:rPr>
          <w:rStyle w:val="Strong"/>
          <w:rFonts w:asciiTheme="majorHAnsi" w:eastAsia="Calibri" w:hAnsiTheme="majorHAnsi" w:cstheme="majorHAnsi"/>
          <w:b w:val="0"/>
          <w:color w:val="000000"/>
          <w:sz w:val="22"/>
          <w:szCs w:val="22"/>
        </w:rPr>
        <w:t>,</w:t>
      </w:r>
      <w:r w:rsidR="00CC43D1" w:rsidRPr="00AA7D88">
        <w:rPr>
          <w:rStyle w:val="Strong"/>
          <w:rFonts w:asciiTheme="majorHAnsi" w:eastAsia="Calibri" w:hAnsiTheme="majorHAnsi" w:cstheme="majorHAnsi"/>
          <w:b w:val="0"/>
          <w:color w:val="000000"/>
          <w:sz w:val="22"/>
          <w:szCs w:val="22"/>
        </w:rPr>
        <w:t xml:space="preserve"> the</w:t>
      </w:r>
      <w:r w:rsidRPr="00AA7D88">
        <w:rPr>
          <w:rStyle w:val="Strong"/>
          <w:rFonts w:asciiTheme="majorHAnsi" w:eastAsia="Calibri" w:hAnsiTheme="majorHAnsi" w:cstheme="majorHAnsi"/>
          <w:b w:val="0"/>
          <w:color w:val="000000"/>
          <w:sz w:val="22"/>
          <w:szCs w:val="22"/>
        </w:rPr>
        <w:t xml:space="preserve"> National Health Service </w:t>
      </w:r>
      <w:r w:rsidR="00B3185D" w:rsidRPr="00AA7D88">
        <w:rPr>
          <w:rFonts w:asciiTheme="majorHAnsi" w:hAnsiTheme="majorHAnsi" w:cstheme="majorHAnsi"/>
          <w:color w:val="000000"/>
          <w:sz w:val="22"/>
          <w:szCs w:val="22"/>
        </w:rPr>
        <w:t xml:space="preserve">commissioned </w:t>
      </w:r>
      <w:r w:rsidRPr="00AA7D88">
        <w:rPr>
          <w:rFonts w:asciiTheme="majorHAnsi" w:hAnsiTheme="majorHAnsi" w:cstheme="majorHAnsi"/>
          <w:color w:val="000000"/>
          <w:sz w:val="22"/>
          <w:szCs w:val="22"/>
        </w:rPr>
        <w:t>a National Manage</w:t>
      </w:r>
      <w:r w:rsidR="00A113D7">
        <w:rPr>
          <w:rFonts w:asciiTheme="majorHAnsi" w:hAnsiTheme="majorHAnsi" w:cstheme="majorHAnsi"/>
          <w:color w:val="000000"/>
          <w:sz w:val="22"/>
          <w:szCs w:val="22"/>
        </w:rPr>
        <w:t>ment Service for children with p</w:t>
      </w:r>
      <w:r w:rsidRPr="00AA7D88">
        <w:rPr>
          <w:rFonts w:asciiTheme="majorHAnsi" w:hAnsiTheme="majorHAnsi" w:cstheme="majorHAnsi"/>
          <w:color w:val="000000"/>
          <w:sz w:val="22"/>
          <w:szCs w:val="22"/>
        </w:rPr>
        <w:t>rimary ciliary dyskinesia (PCD)</w:t>
      </w:r>
      <w:r w:rsidR="00B3185D" w:rsidRPr="00AA7D88">
        <w:rPr>
          <w:rFonts w:asciiTheme="majorHAnsi" w:hAnsiTheme="majorHAnsi" w:cstheme="majorHAnsi"/>
          <w:color w:val="000000"/>
          <w:sz w:val="22"/>
          <w:szCs w:val="22"/>
        </w:rPr>
        <w:t>.</w:t>
      </w:r>
      <w:r w:rsidR="003D4ED1" w:rsidRPr="00AA7D88" w:rsidDel="003D4ED1">
        <w:rPr>
          <w:rStyle w:val="apple-converted-space"/>
          <w:rFonts w:asciiTheme="majorHAnsi" w:hAnsiTheme="majorHAnsi" w:cstheme="majorHAnsi"/>
          <w:color w:val="000000"/>
          <w:sz w:val="22"/>
          <w:szCs w:val="22"/>
        </w:rPr>
        <w:t xml:space="preserve"> </w:t>
      </w:r>
      <w:r w:rsidR="003D4ED1" w:rsidRPr="00AA7D88">
        <w:rPr>
          <w:rStyle w:val="apple-converted-space"/>
          <w:rFonts w:asciiTheme="majorHAnsi" w:hAnsiTheme="majorHAnsi" w:cstheme="majorHAnsi"/>
          <w:color w:val="000000"/>
          <w:sz w:val="22"/>
          <w:szCs w:val="22"/>
        </w:rPr>
        <w:t>The aim</w:t>
      </w:r>
      <w:r w:rsidR="009E2C63" w:rsidRPr="00AA7D88">
        <w:rPr>
          <w:rStyle w:val="apple-converted-space"/>
          <w:rFonts w:asciiTheme="majorHAnsi" w:hAnsiTheme="majorHAnsi" w:cstheme="majorHAnsi"/>
          <w:color w:val="000000"/>
          <w:sz w:val="22"/>
          <w:szCs w:val="22"/>
        </w:rPr>
        <w:t>s</w:t>
      </w:r>
      <w:r w:rsidR="003D4ED1" w:rsidRPr="00AA7D88">
        <w:rPr>
          <w:rStyle w:val="apple-converted-space"/>
          <w:rFonts w:asciiTheme="majorHAnsi" w:hAnsiTheme="majorHAnsi" w:cstheme="majorHAnsi"/>
          <w:color w:val="000000"/>
          <w:sz w:val="22"/>
          <w:szCs w:val="22"/>
        </w:rPr>
        <w:t xml:space="preserve"> of this study w</w:t>
      </w:r>
      <w:r w:rsidR="009E2C63" w:rsidRPr="00AA7D88">
        <w:rPr>
          <w:rStyle w:val="apple-converted-space"/>
          <w:rFonts w:asciiTheme="majorHAnsi" w:hAnsiTheme="majorHAnsi" w:cstheme="majorHAnsi"/>
          <w:color w:val="000000"/>
          <w:sz w:val="22"/>
          <w:szCs w:val="22"/>
        </w:rPr>
        <w:t>ere</w:t>
      </w:r>
      <w:r w:rsidR="003D4ED1" w:rsidRPr="00AA7D88">
        <w:rPr>
          <w:rStyle w:val="apple-converted-space"/>
          <w:rFonts w:asciiTheme="majorHAnsi" w:hAnsiTheme="majorHAnsi" w:cstheme="majorHAnsi"/>
          <w:color w:val="000000"/>
          <w:sz w:val="22"/>
          <w:szCs w:val="22"/>
        </w:rPr>
        <w:t xml:space="preserve"> to describe the </w:t>
      </w:r>
      <w:r w:rsidR="00EA2AD3" w:rsidRPr="00AA7D88">
        <w:rPr>
          <w:rStyle w:val="apple-converted-space"/>
          <w:rFonts w:asciiTheme="majorHAnsi" w:hAnsiTheme="majorHAnsi" w:cstheme="majorHAnsi"/>
          <w:color w:val="000000"/>
          <w:sz w:val="22"/>
          <w:szCs w:val="22"/>
        </w:rPr>
        <w:t>health</w:t>
      </w:r>
      <w:r w:rsidR="003D4ED1" w:rsidRPr="00AA7D88">
        <w:rPr>
          <w:rStyle w:val="apple-converted-space"/>
          <w:rFonts w:asciiTheme="majorHAnsi" w:hAnsiTheme="majorHAnsi" w:cstheme="majorHAnsi"/>
          <w:color w:val="000000"/>
          <w:sz w:val="22"/>
          <w:szCs w:val="22"/>
        </w:rPr>
        <w:t xml:space="preserve"> of children </w:t>
      </w:r>
      <w:r w:rsidR="00CC43D1" w:rsidRPr="00AA7D88">
        <w:rPr>
          <w:rStyle w:val="apple-converted-space"/>
          <w:rFonts w:asciiTheme="majorHAnsi" w:hAnsiTheme="majorHAnsi" w:cstheme="majorHAnsi"/>
          <w:color w:val="000000"/>
          <w:sz w:val="22"/>
          <w:szCs w:val="22"/>
        </w:rPr>
        <w:t xml:space="preserve">seen in this Service </w:t>
      </w:r>
      <w:r w:rsidR="00510E8D" w:rsidRPr="00AA7D88">
        <w:rPr>
          <w:rStyle w:val="apple-converted-space"/>
          <w:rFonts w:asciiTheme="majorHAnsi" w:hAnsiTheme="majorHAnsi" w:cstheme="majorHAnsi"/>
          <w:color w:val="000000"/>
          <w:sz w:val="22"/>
          <w:szCs w:val="22"/>
        </w:rPr>
        <w:t>and</w:t>
      </w:r>
      <w:r w:rsidR="003D4ED1" w:rsidRPr="00AA7D88">
        <w:rPr>
          <w:rStyle w:val="apple-converted-space"/>
          <w:rFonts w:asciiTheme="majorHAnsi" w:hAnsiTheme="majorHAnsi" w:cstheme="majorHAnsi"/>
          <w:color w:val="000000"/>
          <w:sz w:val="22"/>
          <w:szCs w:val="22"/>
        </w:rPr>
        <w:t xml:space="preserve"> compare lung function to child</w:t>
      </w:r>
      <w:r w:rsidR="00940813" w:rsidRPr="00AA7D88">
        <w:rPr>
          <w:rStyle w:val="apple-converted-space"/>
          <w:rFonts w:asciiTheme="majorHAnsi" w:hAnsiTheme="majorHAnsi" w:cstheme="majorHAnsi"/>
          <w:color w:val="000000"/>
          <w:sz w:val="22"/>
          <w:szCs w:val="22"/>
        </w:rPr>
        <w:t>ren</w:t>
      </w:r>
      <w:r w:rsidR="003D4ED1" w:rsidRPr="00AA7D88">
        <w:rPr>
          <w:rStyle w:val="apple-converted-space"/>
          <w:rFonts w:asciiTheme="majorHAnsi" w:hAnsiTheme="majorHAnsi" w:cstheme="majorHAnsi"/>
          <w:color w:val="000000"/>
          <w:sz w:val="22"/>
          <w:szCs w:val="22"/>
        </w:rPr>
        <w:t xml:space="preserve"> with </w:t>
      </w:r>
      <w:r w:rsidR="009E2C63" w:rsidRPr="00AA7D88">
        <w:rPr>
          <w:rStyle w:val="apple-converted-space"/>
          <w:rFonts w:asciiTheme="majorHAnsi" w:hAnsiTheme="majorHAnsi" w:cstheme="majorHAnsi"/>
          <w:color w:val="000000"/>
          <w:sz w:val="22"/>
          <w:szCs w:val="22"/>
        </w:rPr>
        <w:t>cystic fibrosis (CF)</w:t>
      </w:r>
      <w:r w:rsidR="00510E8D" w:rsidRPr="00AA7D88">
        <w:rPr>
          <w:rStyle w:val="apple-converted-space"/>
          <w:rFonts w:asciiTheme="majorHAnsi" w:hAnsiTheme="majorHAnsi" w:cstheme="majorHAnsi"/>
          <w:color w:val="000000"/>
          <w:sz w:val="22"/>
          <w:szCs w:val="22"/>
        </w:rPr>
        <w:t>.</w:t>
      </w:r>
      <w:r w:rsidR="003D4ED1" w:rsidRPr="00AA7D88">
        <w:rPr>
          <w:rStyle w:val="apple-converted-space"/>
          <w:rFonts w:asciiTheme="majorHAnsi" w:hAnsiTheme="majorHAnsi" w:cstheme="majorHAnsi"/>
          <w:color w:val="000000"/>
          <w:sz w:val="22"/>
          <w:szCs w:val="22"/>
        </w:rPr>
        <w:t xml:space="preserve"> </w:t>
      </w:r>
    </w:p>
    <w:p w14:paraId="4CC087FC" w14:textId="77777777" w:rsidR="00221DF7" w:rsidRPr="00AA7D88" w:rsidRDefault="00221DF7" w:rsidP="001C6EA8">
      <w:pPr>
        <w:pStyle w:val="NormalWeb"/>
        <w:shd w:val="clear" w:color="auto" w:fill="FFFFFF"/>
        <w:spacing w:after="120" w:afterAutospacing="0" w:line="480" w:lineRule="auto"/>
        <w:rPr>
          <w:rStyle w:val="Strong"/>
          <w:rFonts w:asciiTheme="majorHAnsi" w:eastAsia="Calibri" w:hAnsiTheme="majorHAnsi" w:cstheme="majorHAnsi"/>
          <w:color w:val="000000"/>
          <w:sz w:val="22"/>
          <w:szCs w:val="22"/>
        </w:rPr>
      </w:pPr>
      <w:r w:rsidRPr="00AA7D88">
        <w:rPr>
          <w:rStyle w:val="Strong"/>
          <w:rFonts w:asciiTheme="majorHAnsi" w:eastAsia="Calibri" w:hAnsiTheme="majorHAnsi" w:cstheme="majorHAnsi"/>
          <w:color w:val="000000"/>
          <w:sz w:val="22"/>
          <w:szCs w:val="22"/>
        </w:rPr>
        <w:t xml:space="preserve">Design </w:t>
      </w:r>
      <w:r w:rsidRPr="00AA7D88">
        <w:rPr>
          <w:rStyle w:val="Strong"/>
          <w:rFonts w:asciiTheme="majorHAnsi" w:eastAsia="Calibri" w:hAnsiTheme="majorHAnsi" w:cstheme="majorHAnsi"/>
          <w:b w:val="0"/>
          <w:color w:val="000000"/>
          <w:sz w:val="22"/>
          <w:szCs w:val="22"/>
        </w:rPr>
        <w:t xml:space="preserve">Multi-centre service evaluation of the English National </w:t>
      </w:r>
      <w:r w:rsidR="00FA5CF6" w:rsidRPr="00AA7D88">
        <w:rPr>
          <w:rStyle w:val="Strong"/>
          <w:rFonts w:asciiTheme="majorHAnsi" w:eastAsia="Calibri" w:hAnsiTheme="majorHAnsi" w:cstheme="majorHAnsi"/>
          <w:b w:val="0"/>
          <w:color w:val="000000"/>
          <w:sz w:val="22"/>
          <w:szCs w:val="22"/>
        </w:rPr>
        <w:t xml:space="preserve">Management </w:t>
      </w:r>
      <w:r w:rsidRPr="00AA7D88">
        <w:rPr>
          <w:rStyle w:val="Strong"/>
          <w:rFonts w:asciiTheme="majorHAnsi" w:eastAsia="Calibri" w:hAnsiTheme="majorHAnsi" w:cstheme="majorHAnsi"/>
          <w:b w:val="0"/>
          <w:color w:val="000000"/>
          <w:sz w:val="22"/>
          <w:szCs w:val="22"/>
        </w:rPr>
        <w:t xml:space="preserve">PCD </w:t>
      </w:r>
      <w:r w:rsidR="00FA5CF6" w:rsidRPr="00AA7D88">
        <w:rPr>
          <w:rStyle w:val="Strong"/>
          <w:rFonts w:asciiTheme="majorHAnsi" w:eastAsia="Calibri" w:hAnsiTheme="majorHAnsi" w:cstheme="majorHAnsi"/>
          <w:b w:val="0"/>
          <w:color w:val="000000"/>
          <w:sz w:val="22"/>
          <w:szCs w:val="22"/>
        </w:rPr>
        <w:t>Service</w:t>
      </w:r>
      <w:r w:rsidRPr="00AA7D88">
        <w:rPr>
          <w:rStyle w:val="Strong"/>
          <w:rFonts w:asciiTheme="majorHAnsi" w:eastAsia="Calibri" w:hAnsiTheme="majorHAnsi" w:cstheme="majorHAnsi"/>
          <w:b w:val="0"/>
          <w:color w:val="000000"/>
          <w:sz w:val="22"/>
          <w:szCs w:val="22"/>
        </w:rPr>
        <w:t>.</w:t>
      </w:r>
    </w:p>
    <w:p w14:paraId="112DAFCF" w14:textId="77777777" w:rsidR="00B3185D" w:rsidRPr="00AA7D88" w:rsidRDefault="00221DF7" w:rsidP="001C6EA8">
      <w:pPr>
        <w:pStyle w:val="NormalWeb"/>
        <w:shd w:val="clear" w:color="auto" w:fill="FFFFFF"/>
        <w:spacing w:after="120" w:afterAutospacing="0" w:line="480" w:lineRule="auto"/>
        <w:rPr>
          <w:rStyle w:val="Strong"/>
          <w:rFonts w:asciiTheme="majorHAnsi" w:eastAsia="Calibri" w:hAnsiTheme="majorHAnsi" w:cstheme="majorHAnsi"/>
          <w:b w:val="0"/>
          <w:color w:val="000000"/>
          <w:sz w:val="22"/>
          <w:szCs w:val="22"/>
        </w:rPr>
      </w:pPr>
      <w:r w:rsidRPr="00AA7D88">
        <w:rPr>
          <w:rStyle w:val="Strong"/>
          <w:rFonts w:asciiTheme="majorHAnsi" w:eastAsia="Calibri" w:hAnsiTheme="majorHAnsi" w:cstheme="majorHAnsi"/>
          <w:color w:val="000000"/>
          <w:sz w:val="22"/>
          <w:szCs w:val="22"/>
        </w:rPr>
        <w:t xml:space="preserve">Setting </w:t>
      </w:r>
      <w:r w:rsidR="00CD1ED5" w:rsidRPr="00AA7D88">
        <w:rPr>
          <w:rStyle w:val="Strong"/>
          <w:rFonts w:asciiTheme="majorHAnsi" w:eastAsia="Calibri" w:hAnsiTheme="majorHAnsi" w:cstheme="majorHAnsi"/>
          <w:b w:val="0"/>
          <w:color w:val="000000"/>
          <w:sz w:val="22"/>
          <w:szCs w:val="22"/>
        </w:rPr>
        <w:t xml:space="preserve">Four </w:t>
      </w:r>
      <w:r w:rsidRPr="00AA7D88">
        <w:rPr>
          <w:rStyle w:val="Strong"/>
          <w:rFonts w:asciiTheme="majorHAnsi" w:eastAsia="Calibri" w:hAnsiTheme="majorHAnsi" w:cstheme="majorHAnsi"/>
          <w:b w:val="0"/>
          <w:color w:val="000000"/>
          <w:sz w:val="22"/>
          <w:szCs w:val="22"/>
        </w:rPr>
        <w:t>nationally commissioned PCD centres in England.</w:t>
      </w:r>
    </w:p>
    <w:p w14:paraId="20BE42D6" w14:textId="77777777" w:rsidR="00221DF7" w:rsidRPr="00AA7D88" w:rsidRDefault="00221DF7" w:rsidP="001C6EA8">
      <w:pPr>
        <w:pStyle w:val="NormalWeb"/>
        <w:shd w:val="clear" w:color="auto" w:fill="FFFFFF"/>
        <w:spacing w:after="120" w:afterAutospacing="0" w:line="480" w:lineRule="auto"/>
        <w:rPr>
          <w:rFonts w:asciiTheme="majorHAnsi" w:hAnsiTheme="majorHAnsi" w:cstheme="majorHAnsi"/>
          <w:b/>
          <w:color w:val="000000"/>
          <w:sz w:val="22"/>
          <w:szCs w:val="22"/>
        </w:rPr>
      </w:pPr>
      <w:r w:rsidRPr="00AA7D88">
        <w:rPr>
          <w:rFonts w:asciiTheme="majorHAnsi" w:hAnsiTheme="majorHAnsi" w:cstheme="majorHAnsi"/>
          <w:b/>
          <w:color w:val="000000"/>
          <w:sz w:val="22"/>
          <w:szCs w:val="22"/>
        </w:rPr>
        <w:t xml:space="preserve">Patients </w:t>
      </w:r>
      <w:r w:rsidRPr="00AA7D88">
        <w:rPr>
          <w:rFonts w:asciiTheme="majorHAnsi" w:hAnsiTheme="majorHAnsi" w:cstheme="majorHAnsi"/>
          <w:color w:val="000000"/>
          <w:sz w:val="22"/>
          <w:szCs w:val="22"/>
        </w:rPr>
        <w:t>333 children with PCD reviewed in th</w:t>
      </w:r>
      <w:r w:rsidR="00CC43D1" w:rsidRPr="00AA7D88">
        <w:rPr>
          <w:rFonts w:asciiTheme="majorHAnsi" w:hAnsiTheme="majorHAnsi" w:cstheme="majorHAnsi"/>
          <w:color w:val="000000"/>
          <w:sz w:val="22"/>
          <w:szCs w:val="22"/>
        </w:rPr>
        <w:t xml:space="preserve">e </w:t>
      </w:r>
      <w:r w:rsidRPr="00AA7D88">
        <w:rPr>
          <w:rFonts w:asciiTheme="majorHAnsi" w:hAnsiTheme="majorHAnsi" w:cstheme="majorHAnsi"/>
          <w:color w:val="000000"/>
          <w:sz w:val="22"/>
          <w:szCs w:val="22"/>
        </w:rPr>
        <w:t>Service in 2015</w:t>
      </w:r>
      <w:r w:rsidR="00FA5CF6" w:rsidRPr="00AA7D88">
        <w:rPr>
          <w:rFonts w:asciiTheme="majorHAnsi" w:hAnsiTheme="majorHAnsi" w:cstheme="majorHAnsi"/>
          <w:color w:val="000000"/>
          <w:sz w:val="22"/>
          <w:szCs w:val="22"/>
        </w:rPr>
        <w:t xml:space="preserve">; </w:t>
      </w:r>
      <w:r w:rsidRPr="00AA7D88">
        <w:rPr>
          <w:rFonts w:asciiTheme="majorHAnsi" w:hAnsiTheme="majorHAnsi" w:cstheme="majorHAnsi"/>
          <w:color w:val="000000"/>
          <w:sz w:val="22"/>
          <w:szCs w:val="22"/>
        </w:rPr>
        <w:t>lung function</w:t>
      </w:r>
      <w:r w:rsidR="00FA5CF6" w:rsidRPr="00AA7D88">
        <w:rPr>
          <w:rFonts w:asciiTheme="majorHAnsi" w:hAnsiTheme="majorHAnsi" w:cstheme="majorHAnsi"/>
          <w:color w:val="000000"/>
          <w:sz w:val="22"/>
          <w:szCs w:val="22"/>
        </w:rPr>
        <w:t xml:space="preserve"> data</w:t>
      </w:r>
      <w:r w:rsidRPr="00AA7D88">
        <w:rPr>
          <w:rFonts w:asciiTheme="majorHAnsi" w:hAnsiTheme="majorHAnsi" w:cstheme="majorHAnsi"/>
          <w:color w:val="000000"/>
          <w:sz w:val="22"/>
          <w:szCs w:val="22"/>
        </w:rPr>
        <w:t xml:space="preserve"> w</w:t>
      </w:r>
      <w:r w:rsidR="00FA5CF6" w:rsidRPr="00AA7D88">
        <w:rPr>
          <w:rFonts w:asciiTheme="majorHAnsi" w:hAnsiTheme="majorHAnsi" w:cstheme="majorHAnsi"/>
          <w:color w:val="000000"/>
          <w:sz w:val="22"/>
          <w:szCs w:val="22"/>
        </w:rPr>
        <w:t>ere</w:t>
      </w:r>
      <w:r w:rsidRPr="00AA7D88">
        <w:rPr>
          <w:rFonts w:asciiTheme="majorHAnsi" w:hAnsiTheme="majorHAnsi" w:cstheme="majorHAnsi"/>
          <w:color w:val="000000"/>
          <w:sz w:val="22"/>
          <w:szCs w:val="22"/>
        </w:rPr>
        <w:t xml:space="preserve"> </w:t>
      </w:r>
      <w:r w:rsidR="00CC43D1" w:rsidRPr="00AA7D88">
        <w:rPr>
          <w:rFonts w:asciiTheme="majorHAnsi" w:hAnsiTheme="majorHAnsi" w:cstheme="majorHAnsi"/>
          <w:color w:val="000000"/>
          <w:sz w:val="22"/>
          <w:szCs w:val="22"/>
        </w:rPr>
        <w:t xml:space="preserve">also </w:t>
      </w:r>
      <w:r w:rsidRPr="00AA7D88">
        <w:rPr>
          <w:rFonts w:asciiTheme="majorHAnsi" w:hAnsiTheme="majorHAnsi" w:cstheme="majorHAnsi"/>
          <w:color w:val="000000"/>
          <w:sz w:val="22"/>
          <w:szCs w:val="22"/>
        </w:rPr>
        <w:t xml:space="preserve">compared to </w:t>
      </w:r>
      <w:r w:rsidR="00510E8D" w:rsidRPr="00AA7D88">
        <w:rPr>
          <w:rFonts w:asciiTheme="majorHAnsi" w:hAnsiTheme="majorHAnsi" w:cstheme="majorHAnsi"/>
          <w:color w:val="000000"/>
          <w:sz w:val="22"/>
          <w:szCs w:val="22"/>
        </w:rPr>
        <w:t>2970</w:t>
      </w:r>
      <w:r w:rsidRPr="00AA7D88">
        <w:rPr>
          <w:rFonts w:asciiTheme="majorHAnsi" w:hAnsiTheme="majorHAnsi" w:cstheme="majorHAnsi"/>
          <w:color w:val="000000"/>
          <w:sz w:val="22"/>
          <w:szCs w:val="22"/>
        </w:rPr>
        <w:t xml:space="preserve"> children with CF.</w:t>
      </w:r>
    </w:p>
    <w:p w14:paraId="3E16CCC8" w14:textId="529FCCF6" w:rsidR="00B3185D" w:rsidRPr="00AA7D88" w:rsidRDefault="00B3185D" w:rsidP="001C6EA8">
      <w:pPr>
        <w:pStyle w:val="NormalWeb"/>
        <w:shd w:val="clear" w:color="auto" w:fill="FFFFFF"/>
        <w:spacing w:after="120" w:afterAutospacing="0" w:line="480" w:lineRule="auto"/>
        <w:rPr>
          <w:rFonts w:asciiTheme="majorHAnsi" w:hAnsiTheme="majorHAnsi" w:cstheme="majorHAnsi"/>
          <w:color w:val="000000"/>
          <w:sz w:val="22"/>
          <w:szCs w:val="22"/>
        </w:rPr>
      </w:pPr>
      <w:r w:rsidRPr="00AA7D88">
        <w:rPr>
          <w:rStyle w:val="Strong"/>
          <w:rFonts w:asciiTheme="majorHAnsi" w:eastAsia="Calibri" w:hAnsiTheme="majorHAnsi" w:cstheme="majorHAnsi"/>
          <w:color w:val="000000"/>
          <w:sz w:val="22"/>
          <w:szCs w:val="22"/>
        </w:rPr>
        <w:t>Results</w:t>
      </w:r>
      <w:r w:rsidRPr="00AA7D88">
        <w:rPr>
          <w:rStyle w:val="apple-converted-space"/>
          <w:rFonts w:asciiTheme="majorHAnsi" w:hAnsiTheme="majorHAnsi" w:cstheme="majorHAnsi"/>
          <w:color w:val="000000"/>
          <w:sz w:val="22"/>
          <w:szCs w:val="22"/>
        </w:rPr>
        <w:t xml:space="preserve"> </w:t>
      </w:r>
      <w:r w:rsidRPr="00AA7D88">
        <w:rPr>
          <w:rFonts w:asciiTheme="majorHAnsi" w:hAnsiTheme="majorHAnsi" w:cstheme="majorHAnsi"/>
          <w:color w:val="000000"/>
          <w:sz w:val="22"/>
          <w:szCs w:val="22"/>
        </w:rPr>
        <w:t xml:space="preserve">Median age at diagnosis </w:t>
      </w:r>
      <w:r w:rsidR="00CC43D1" w:rsidRPr="00AA7D88">
        <w:rPr>
          <w:rFonts w:asciiTheme="majorHAnsi" w:hAnsiTheme="majorHAnsi" w:cstheme="majorHAnsi"/>
          <w:color w:val="000000"/>
          <w:sz w:val="22"/>
          <w:szCs w:val="22"/>
        </w:rPr>
        <w:t xml:space="preserve">for PCD </w:t>
      </w:r>
      <w:r w:rsidRPr="00AA7D88">
        <w:rPr>
          <w:rFonts w:asciiTheme="majorHAnsi" w:hAnsiTheme="majorHAnsi" w:cstheme="majorHAnsi"/>
          <w:color w:val="000000"/>
          <w:sz w:val="22"/>
          <w:szCs w:val="22"/>
        </w:rPr>
        <w:t>was 2.6</w:t>
      </w:r>
      <w:r w:rsidR="00FA5CF6" w:rsidRPr="00AA7D88">
        <w:rPr>
          <w:rFonts w:asciiTheme="majorHAnsi" w:hAnsiTheme="majorHAnsi" w:cstheme="majorHAnsi"/>
          <w:color w:val="000000"/>
          <w:sz w:val="22"/>
          <w:szCs w:val="22"/>
        </w:rPr>
        <w:t xml:space="preserve"> years</w:t>
      </w:r>
      <w:r w:rsidRPr="00AA7D88">
        <w:rPr>
          <w:rFonts w:asciiTheme="majorHAnsi" w:hAnsiTheme="majorHAnsi" w:cstheme="majorHAnsi"/>
          <w:color w:val="000000"/>
          <w:sz w:val="22"/>
          <w:szCs w:val="22"/>
        </w:rPr>
        <w:t xml:space="preserve">, significantly lower in </w:t>
      </w:r>
      <w:r w:rsidR="00FA20B5" w:rsidRPr="00AA7D88">
        <w:rPr>
          <w:rFonts w:asciiTheme="majorHAnsi" w:hAnsiTheme="majorHAnsi" w:cstheme="majorHAnsi"/>
          <w:color w:val="000000"/>
          <w:sz w:val="22"/>
          <w:szCs w:val="22"/>
        </w:rPr>
        <w:t>children</w:t>
      </w:r>
      <w:r w:rsidRPr="00AA7D88">
        <w:rPr>
          <w:rFonts w:asciiTheme="majorHAnsi" w:hAnsiTheme="majorHAnsi" w:cstheme="majorHAnsi"/>
          <w:color w:val="000000"/>
          <w:sz w:val="22"/>
          <w:szCs w:val="22"/>
        </w:rPr>
        <w:t xml:space="preserve"> with </w:t>
      </w:r>
      <w:r w:rsidR="000D3B38" w:rsidRPr="00AA7D88">
        <w:rPr>
          <w:rFonts w:asciiTheme="majorHAnsi" w:hAnsiTheme="majorHAnsi" w:cstheme="majorHAnsi"/>
          <w:color w:val="000000"/>
          <w:sz w:val="22"/>
          <w:szCs w:val="22"/>
        </w:rPr>
        <w:t xml:space="preserve">situs inversus </w:t>
      </w:r>
      <w:r w:rsidRPr="00AA7D88">
        <w:rPr>
          <w:rFonts w:asciiTheme="majorHAnsi" w:hAnsiTheme="majorHAnsi" w:cstheme="majorHAnsi"/>
          <w:color w:val="000000"/>
          <w:sz w:val="22"/>
          <w:szCs w:val="22"/>
        </w:rPr>
        <w:t>(1.0 vs 6</w:t>
      </w:r>
      <w:r w:rsidR="003873ED" w:rsidRPr="00AA7D88">
        <w:rPr>
          <w:rFonts w:asciiTheme="majorHAnsi" w:hAnsiTheme="majorHAnsi" w:cstheme="majorHAnsi"/>
          <w:color w:val="000000"/>
          <w:sz w:val="22"/>
          <w:szCs w:val="22"/>
        </w:rPr>
        <w:t>.0</w:t>
      </w:r>
      <w:r w:rsidR="00FA5CF6" w:rsidRPr="00AA7D88">
        <w:rPr>
          <w:rFonts w:asciiTheme="majorHAnsi" w:hAnsiTheme="majorHAnsi" w:cstheme="majorHAnsi"/>
          <w:color w:val="000000"/>
          <w:sz w:val="22"/>
          <w:szCs w:val="22"/>
        </w:rPr>
        <w:t xml:space="preserve"> years</w:t>
      </w:r>
      <w:r w:rsidRPr="00AA7D88">
        <w:rPr>
          <w:rFonts w:asciiTheme="majorHAnsi" w:hAnsiTheme="majorHAnsi" w:cstheme="majorHAnsi"/>
          <w:color w:val="000000"/>
          <w:sz w:val="22"/>
          <w:szCs w:val="22"/>
        </w:rPr>
        <w:t>, p&lt;0.0001).</w:t>
      </w:r>
      <w:r w:rsidR="00E82BD5" w:rsidRPr="00AA7D88">
        <w:rPr>
          <w:rFonts w:asciiTheme="majorHAnsi" w:hAnsiTheme="majorHAnsi" w:cstheme="majorHAnsi"/>
          <w:color w:val="000000"/>
          <w:sz w:val="22"/>
          <w:szCs w:val="22"/>
        </w:rPr>
        <w:t xml:space="preserve"> </w:t>
      </w:r>
      <w:r w:rsidR="00E82BD5">
        <w:rPr>
          <w:rFonts w:asciiTheme="majorHAnsi" w:hAnsiTheme="majorHAnsi" w:cstheme="majorHAnsi"/>
          <w:color w:val="000000"/>
          <w:sz w:val="22"/>
          <w:szCs w:val="22"/>
        </w:rPr>
        <w:t>Compared with national data from the CF Registry, m</w:t>
      </w:r>
      <w:r w:rsidRPr="00AA7D88">
        <w:rPr>
          <w:rFonts w:asciiTheme="majorHAnsi" w:hAnsiTheme="majorHAnsi" w:cstheme="majorHAnsi"/>
          <w:color w:val="000000"/>
          <w:sz w:val="22"/>
          <w:szCs w:val="22"/>
        </w:rPr>
        <w:t>ean (SD) %predicted FEV</w:t>
      </w:r>
      <w:r w:rsidRPr="00AA7D88">
        <w:rPr>
          <w:rFonts w:asciiTheme="majorHAnsi" w:hAnsiTheme="majorHAnsi" w:cstheme="majorHAnsi"/>
          <w:color w:val="000000"/>
          <w:sz w:val="22"/>
          <w:szCs w:val="22"/>
          <w:vertAlign w:val="subscript"/>
        </w:rPr>
        <w:t>1</w:t>
      </w:r>
      <w:r w:rsidRPr="00AA7D88">
        <w:rPr>
          <w:rFonts w:asciiTheme="majorHAnsi" w:hAnsiTheme="majorHAnsi" w:cstheme="majorHAnsi"/>
          <w:color w:val="000000"/>
          <w:sz w:val="22"/>
          <w:szCs w:val="22"/>
        </w:rPr>
        <w:t xml:space="preserve"> 7</w:t>
      </w:r>
      <w:r w:rsidR="00CF1668" w:rsidRPr="00AA7D88">
        <w:rPr>
          <w:rFonts w:asciiTheme="majorHAnsi" w:hAnsiTheme="majorHAnsi" w:cstheme="majorHAnsi"/>
          <w:color w:val="000000"/>
          <w:sz w:val="22"/>
          <w:szCs w:val="22"/>
        </w:rPr>
        <w:t>6.8</w:t>
      </w:r>
      <w:r w:rsidRPr="00AA7D88">
        <w:rPr>
          <w:rFonts w:asciiTheme="majorHAnsi" w:hAnsiTheme="majorHAnsi" w:cstheme="majorHAnsi"/>
          <w:color w:val="000000"/>
          <w:sz w:val="22"/>
          <w:szCs w:val="22"/>
        </w:rPr>
        <w:t>%</w:t>
      </w:r>
      <w:r w:rsidR="00F84B9B">
        <w:rPr>
          <w:rFonts w:asciiTheme="majorHAnsi" w:hAnsiTheme="majorHAnsi" w:cstheme="majorHAnsi"/>
          <w:color w:val="000000"/>
          <w:sz w:val="22"/>
          <w:szCs w:val="22"/>
        </w:rPr>
        <w:t xml:space="preserve"> in PCD</w:t>
      </w:r>
      <w:r w:rsidR="00510E8D" w:rsidRPr="00AA7D88">
        <w:rPr>
          <w:rFonts w:asciiTheme="majorHAnsi" w:hAnsiTheme="majorHAnsi" w:cstheme="majorHAnsi"/>
          <w:color w:val="000000"/>
          <w:sz w:val="22"/>
          <w:szCs w:val="22"/>
        </w:rPr>
        <w:t xml:space="preserve"> </w:t>
      </w:r>
      <w:r w:rsidRPr="00AA7D88">
        <w:rPr>
          <w:rFonts w:asciiTheme="majorHAnsi" w:hAnsiTheme="majorHAnsi" w:cstheme="majorHAnsi"/>
          <w:color w:val="000000"/>
          <w:sz w:val="22"/>
          <w:szCs w:val="22"/>
        </w:rPr>
        <w:t>(n=24</w:t>
      </w:r>
      <w:r w:rsidR="00510E8D" w:rsidRPr="00AA7D88">
        <w:rPr>
          <w:rFonts w:asciiTheme="majorHAnsi" w:hAnsiTheme="majorHAnsi" w:cstheme="majorHAnsi"/>
          <w:color w:val="000000"/>
          <w:sz w:val="22"/>
          <w:szCs w:val="22"/>
        </w:rPr>
        <w:t>0</w:t>
      </w:r>
      <w:r w:rsidRPr="00AA7D88">
        <w:rPr>
          <w:rFonts w:asciiTheme="majorHAnsi" w:hAnsiTheme="majorHAnsi" w:cstheme="majorHAnsi"/>
          <w:color w:val="000000"/>
          <w:sz w:val="22"/>
          <w:szCs w:val="22"/>
        </w:rPr>
        <w:t>)</w:t>
      </w:r>
      <w:r w:rsidR="00C142DC">
        <w:rPr>
          <w:rFonts w:asciiTheme="majorHAnsi" w:hAnsiTheme="majorHAnsi" w:cstheme="majorHAnsi"/>
          <w:color w:val="000000"/>
          <w:sz w:val="22"/>
          <w:szCs w:val="22"/>
        </w:rPr>
        <w:t xml:space="preserve"> and 85.0% in CF, and</w:t>
      </w:r>
      <w:r w:rsidRPr="00AA7D88">
        <w:rPr>
          <w:rFonts w:asciiTheme="majorHAnsi" w:hAnsiTheme="majorHAnsi" w:cstheme="majorHAnsi"/>
          <w:color w:val="000000"/>
          <w:sz w:val="22"/>
          <w:szCs w:val="22"/>
        </w:rPr>
        <w:t xml:space="preserve"> FEV</w:t>
      </w:r>
      <w:r w:rsidRPr="00AA7D88">
        <w:rPr>
          <w:rFonts w:asciiTheme="majorHAnsi" w:hAnsiTheme="majorHAnsi" w:cstheme="majorHAnsi"/>
          <w:color w:val="000000"/>
          <w:sz w:val="22"/>
          <w:szCs w:val="22"/>
          <w:vertAlign w:val="subscript"/>
        </w:rPr>
        <w:t xml:space="preserve">1 </w:t>
      </w:r>
      <w:r w:rsidRPr="00AA7D88">
        <w:rPr>
          <w:rFonts w:asciiTheme="majorHAnsi" w:hAnsiTheme="majorHAnsi" w:cstheme="majorHAnsi"/>
          <w:color w:val="000000"/>
          <w:sz w:val="22"/>
          <w:szCs w:val="22"/>
        </w:rPr>
        <w:t xml:space="preserve">was lower in children </w:t>
      </w:r>
      <w:r w:rsidR="00C35BC3">
        <w:rPr>
          <w:rFonts w:asciiTheme="majorHAnsi" w:hAnsiTheme="majorHAnsi" w:cstheme="majorHAnsi"/>
          <w:color w:val="000000"/>
          <w:sz w:val="22"/>
          <w:szCs w:val="22"/>
        </w:rPr>
        <w:t xml:space="preserve">with PCD </w:t>
      </w:r>
      <w:r w:rsidR="001A623E" w:rsidRPr="00AA7D88">
        <w:rPr>
          <w:rFonts w:asciiTheme="majorHAnsi" w:hAnsiTheme="majorHAnsi" w:cstheme="majorHAnsi"/>
          <w:color w:val="000000"/>
          <w:sz w:val="22"/>
          <w:szCs w:val="22"/>
        </w:rPr>
        <w:t>up to the age of 15 years</w:t>
      </w:r>
      <w:r w:rsidR="00906BD4" w:rsidRPr="00AA7D88">
        <w:rPr>
          <w:rFonts w:asciiTheme="majorHAnsi" w:hAnsiTheme="majorHAnsi" w:cstheme="majorHAnsi"/>
          <w:color w:val="000000"/>
          <w:sz w:val="22"/>
          <w:szCs w:val="22"/>
        </w:rPr>
        <w:t>.</w:t>
      </w:r>
      <w:r w:rsidRPr="00AA7D88">
        <w:rPr>
          <w:rFonts w:asciiTheme="majorHAnsi" w:hAnsiTheme="majorHAnsi" w:cstheme="majorHAnsi"/>
          <w:color w:val="000000"/>
          <w:sz w:val="22"/>
          <w:szCs w:val="22"/>
        </w:rPr>
        <w:t xml:space="preserve"> </w:t>
      </w:r>
      <w:r w:rsidR="00EF35B9" w:rsidRPr="00AA7D88">
        <w:rPr>
          <w:rFonts w:asciiTheme="majorHAnsi" w:hAnsiTheme="majorHAnsi" w:cstheme="majorHAnsi"/>
          <w:color w:val="000000"/>
          <w:sz w:val="22"/>
          <w:szCs w:val="22"/>
        </w:rPr>
        <w:t>Approximately half</w:t>
      </w:r>
      <w:r w:rsidRPr="00AA7D88">
        <w:rPr>
          <w:rFonts w:asciiTheme="majorHAnsi" w:hAnsiTheme="majorHAnsi" w:cstheme="majorHAnsi"/>
          <w:color w:val="000000"/>
          <w:sz w:val="22"/>
          <w:szCs w:val="22"/>
        </w:rPr>
        <w:t xml:space="preserve"> of children had </w:t>
      </w:r>
      <w:r w:rsidR="0056437F" w:rsidRPr="00AA7D88">
        <w:rPr>
          <w:rFonts w:asciiTheme="majorHAnsi" w:hAnsiTheme="majorHAnsi" w:cstheme="majorHAnsi"/>
          <w:color w:val="000000"/>
          <w:sz w:val="22"/>
          <w:szCs w:val="22"/>
        </w:rPr>
        <w:t>some</w:t>
      </w:r>
      <w:r w:rsidR="00827573" w:rsidRPr="00AA7D88">
        <w:rPr>
          <w:rFonts w:asciiTheme="majorHAnsi" w:hAnsiTheme="majorHAnsi" w:cstheme="majorHAnsi"/>
          <w:color w:val="000000"/>
          <w:sz w:val="22"/>
          <w:szCs w:val="22"/>
        </w:rPr>
        <w:t xml:space="preserve"> </w:t>
      </w:r>
      <w:r w:rsidRPr="00AA7D88">
        <w:rPr>
          <w:rFonts w:asciiTheme="majorHAnsi" w:hAnsiTheme="majorHAnsi" w:cstheme="majorHAnsi"/>
          <w:color w:val="000000"/>
          <w:sz w:val="22"/>
          <w:szCs w:val="22"/>
        </w:rPr>
        <w:t>hearing impairment</w:t>
      </w:r>
      <w:r w:rsidR="00CE31F2" w:rsidRPr="00AA7D88">
        <w:rPr>
          <w:rFonts w:asciiTheme="majorHAnsi" w:hAnsiTheme="majorHAnsi" w:cstheme="majorHAnsi"/>
          <w:color w:val="000000"/>
          <w:sz w:val="22"/>
          <w:szCs w:val="22"/>
        </w:rPr>
        <w:t xml:space="preserve">, with 26% </w:t>
      </w:r>
      <w:r w:rsidR="00FA5CF6" w:rsidRPr="00AA7D88">
        <w:rPr>
          <w:rFonts w:asciiTheme="majorHAnsi" w:hAnsiTheme="majorHAnsi" w:cstheme="majorHAnsi"/>
          <w:color w:val="000000"/>
          <w:sz w:val="22"/>
          <w:szCs w:val="22"/>
        </w:rPr>
        <w:t xml:space="preserve">requiring </w:t>
      </w:r>
      <w:r w:rsidR="00CE31F2" w:rsidRPr="00AA7D88">
        <w:rPr>
          <w:rFonts w:asciiTheme="majorHAnsi" w:hAnsiTheme="majorHAnsi" w:cstheme="majorHAnsi"/>
          <w:color w:val="000000"/>
          <w:sz w:val="22"/>
          <w:szCs w:val="22"/>
        </w:rPr>
        <w:t>hearing aids</w:t>
      </w:r>
      <w:r w:rsidRPr="00AA7D88">
        <w:rPr>
          <w:rFonts w:asciiTheme="majorHAnsi" w:hAnsiTheme="majorHAnsi" w:cstheme="majorHAnsi"/>
          <w:color w:val="000000"/>
          <w:sz w:val="22"/>
          <w:szCs w:val="22"/>
        </w:rPr>
        <w:t>. Children with a lower BMI had lower FEV</w:t>
      </w:r>
      <w:r w:rsidRPr="00AA7D88">
        <w:rPr>
          <w:rFonts w:asciiTheme="majorHAnsi" w:hAnsiTheme="majorHAnsi" w:cstheme="majorHAnsi"/>
          <w:color w:val="000000"/>
          <w:sz w:val="22"/>
          <w:szCs w:val="22"/>
          <w:vertAlign w:val="subscript"/>
        </w:rPr>
        <w:t>1</w:t>
      </w:r>
      <w:r w:rsidR="0076007F" w:rsidRPr="00AA7D88">
        <w:rPr>
          <w:rStyle w:val="apple-converted-space"/>
          <w:rFonts w:asciiTheme="majorHAnsi" w:hAnsiTheme="majorHAnsi" w:cstheme="majorHAnsi"/>
          <w:color w:val="000000"/>
          <w:sz w:val="22"/>
          <w:szCs w:val="22"/>
        </w:rPr>
        <w:t xml:space="preserve"> </w:t>
      </w:r>
      <w:r w:rsidR="00CE2A52" w:rsidRPr="00AA7D88">
        <w:rPr>
          <w:rStyle w:val="apple-converted-space"/>
          <w:rFonts w:asciiTheme="majorHAnsi" w:hAnsiTheme="majorHAnsi" w:cstheme="majorHAnsi"/>
          <w:color w:val="000000"/>
          <w:sz w:val="22"/>
          <w:szCs w:val="22"/>
        </w:rPr>
        <w:t>(</w:t>
      </w:r>
      <w:r w:rsidR="00421FE2" w:rsidRPr="00AA7D88">
        <w:rPr>
          <w:rFonts w:asciiTheme="majorHAnsi" w:hAnsiTheme="majorHAnsi" w:cstheme="majorHAnsi"/>
          <w:color w:val="000000" w:themeColor="text1"/>
          <w:sz w:val="22"/>
          <w:szCs w:val="22"/>
        </w:rPr>
        <w:t>p&lt;0.001</w:t>
      </w:r>
      <w:r w:rsidR="00CE2A52" w:rsidRPr="00AA7D88">
        <w:rPr>
          <w:rFonts w:asciiTheme="majorHAnsi" w:hAnsiTheme="majorHAnsi" w:cstheme="majorHAnsi"/>
          <w:color w:val="000000" w:themeColor="text1"/>
          <w:sz w:val="22"/>
          <w:szCs w:val="22"/>
        </w:rPr>
        <w:t>)</w:t>
      </w:r>
      <w:r w:rsidRPr="00AA7D88">
        <w:rPr>
          <w:rFonts w:asciiTheme="majorHAnsi" w:hAnsiTheme="majorHAnsi" w:cstheme="majorHAnsi"/>
          <w:color w:val="000000"/>
          <w:sz w:val="22"/>
          <w:szCs w:val="22"/>
        </w:rPr>
        <w:t>.</w:t>
      </w:r>
      <w:r w:rsidR="00906BD4" w:rsidRPr="00AA7D88">
        <w:rPr>
          <w:rFonts w:asciiTheme="majorHAnsi" w:hAnsiTheme="majorHAnsi" w:cstheme="majorHAnsi"/>
          <w:color w:val="000000"/>
          <w:sz w:val="22"/>
          <w:szCs w:val="22"/>
        </w:rPr>
        <w:t xml:space="preserve"> </w:t>
      </w:r>
      <w:r w:rsidR="00703D3E" w:rsidRPr="00AA7D88">
        <w:rPr>
          <w:rFonts w:asciiTheme="majorHAnsi" w:hAnsiTheme="majorHAnsi" w:cstheme="majorHAnsi"/>
          <w:color w:val="000000"/>
          <w:sz w:val="22"/>
          <w:szCs w:val="22"/>
        </w:rPr>
        <w:t xml:space="preserve">One third of children had positive respiratory cultures at review, 54% of these </w:t>
      </w:r>
      <w:r w:rsidR="00C35BC3">
        <w:rPr>
          <w:rFonts w:asciiTheme="majorHAnsi" w:hAnsiTheme="majorHAnsi" w:cstheme="majorHAnsi"/>
          <w:color w:val="000000"/>
          <w:sz w:val="22"/>
          <w:szCs w:val="22"/>
        </w:rPr>
        <w:t>grew</w:t>
      </w:r>
      <w:r w:rsidR="00703D3E" w:rsidRPr="00AA7D88">
        <w:rPr>
          <w:rFonts w:asciiTheme="majorHAnsi" w:hAnsiTheme="majorHAnsi" w:cstheme="majorHAnsi"/>
          <w:color w:val="000000"/>
          <w:sz w:val="22"/>
          <w:szCs w:val="22"/>
        </w:rPr>
        <w:t xml:space="preserve"> </w:t>
      </w:r>
      <w:r w:rsidR="00C219E2" w:rsidRPr="00AA7D88">
        <w:rPr>
          <w:rFonts w:asciiTheme="majorHAnsi" w:hAnsiTheme="majorHAnsi" w:cstheme="majorHAnsi"/>
          <w:i/>
          <w:color w:val="000000"/>
          <w:sz w:val="22"/>
          <w:szCs w:val="22"/>
        </w:rPr>
        <w:t>Haemophilus influenzae</w:t>
      </w:r>
      <w:r w:rsidR="00703D3E" w:rsidRPr="00AA7D88">
        <w:rPr>
          <w:rFonts w:asciiTheme="majorHAnsi" w:hAnsiTheme="majorHAnsi" w:cstheme="majorHAnsi"/>
          <w:color w:val="000000"/>
          <w:sz w:val="22"/>
          <w:szCs w:val="22"/>
        </w:rPr>
        <w:t>.</w:t>
      </w:r>
    </w:p>
    <w:p w14:paraId="0BBAE19C" w14:textId="77777777" w:rsidR="006978E1" w:rsidRPr="00AA7D88" w:rsidRDefault="00B3185D" w:rsidP="001C6EA8">
      <w:pPr>
        <w:spacing w:after="120" w:line="480" w:lineRule="auto"/>
        <w:rPr>
          <w:rFonts w:asciiTheme="majorHAnsi" w:hAnsiTheme="majorHAnsi" w:cstheme="majorHAnsi"/>
          <w:b/>
          <w:sz w:val="22"/>
          <w:szCs w:val="22"/>
        </w:rPr>
      </w:pPr>
      <w:r w:rsidRPr="00AA7D88">
        <w:rPr>
          <w:rStyle w:val="Strong"/>
          <w:rFonts w:asciiTheme="majorHAnsi" w:eastAsia="Calibri" w:hAnsiTheme="majorHAnsi" w:cstheme="majorHAnsi"/>
          <w:color w:val="000000"/>
          <w:sz w:val="22"/>
          <w:szCs w:val="22"/>
        </w:rPr>
        <w:t>Conclusion</w:t>
      </w:r>
      <w:r w:rsidR="002132FB" w:rsidRPr="00AA7D88">
        <w:rPr>
          <w:rStyle w:val="Strong"/>
          <w:rFonts w:asciiTheme="majorHAnsi" w:eastAsia="Calibri" w:hAnsiTheme="majorHAnsi" w:cstheme="majorHAnsi"/>
          <w:color w:val="000000"/>
          <w:sz w:val="22"/>
          <w:szCs w:val="22"/>
        </w:rPr>
        <w:t>s</w:t>
      </w:r>
      <w:r w:rsidRPr="00AA7D88">
        <w:rPr>
          <w:rStyle w:val="apple-converted-space"/>
          <w:rFonts w:asciiTheme="majorHAnsi" w:hAnsiTheme="majorHAnsi" w:cstheme="majorHAnsi"/>
          <w:color w:val="000000"/>
          <w:sz w:val="22"/>
          <w:szCs w:val="22"/>
        </w:rPr>
        <w:t xml:space="preserve"> </w:t>
      </w:r>
      <w:bookmarkEnd w:id="5"/>
      <w:bookmarkEnd w:id="6"/>
      <w:r w:rsidR="006978E1" w:rsidRPr="00AA7D88">
        <w:rPr>
          <w:rStyle w:val="apple-converted-space"/>
          <w:rFonts w:asciiTheme="majorHAnsi" w:hAnsiTheme="majorHAnsi" w:cstheme="majorHAnsi"/>
          <w:color w:val="000000"/>
          <w:sz w:val="22"/>
          <w:szCs w:val="22"/>
        </w:rPr>
        <w:t xml:space="preserve">We provide evidence that children with PCD </w:t>
      </w:r>
      <w:r w:rsidR="00066311" w:rsidRPr="00AA7D88">
        <w:rPr>
          <w:rStyle w:val="apple-converted-space"/>
          <w:rFonts w:asciiTheme="majorHAnsi" w:hAnsiTheme="majorHAnsi" w:cstheme="majorHAnsi"/>
          <w:color w:val="000000"/>
          <w:sz w:val="22"/>
          <w:szCs w:val="22"/>
        </w:rPr>
        <w:t xml:space="preserve">in England </w:t>
      </w:r>
      <w:r w:rsidR="006978E1" w:rsidRPr="00AA7D88">
        <w:rPr>
          <w:rStyle w:val="apple-converted-space"/>
          <w:rFonts w:asciiTheme="majorHAnsi" w:hAnsiTheme="majorHAnsi" w:cstheme="majorHAnsi"/>
          <w:color w:val="000000"/>
          <w:sz w:val="22"/>
          <w:szCs w:val="22"/>
        </w:rPr>
        <w:t xml:space="preserve">have worse lung function than those with CF. </w:t>
      </w:r>
      <w:r w:rsidR="00FA5CF6" w:rsidRPr="00AA7D88">
        <w:rPr>
          <w:rStyle w:val="apple-converted-space"/>
          <w:rFonts w:asciiTheme="majorHAnsi" w:hAnsiTheme="majorHAnsi" w:cstheme="majorHAnsi"/>
          <w:color w:val="000000"/>
          <w:sz w:val="22"/>
          <w:szCs w:val="22"/>
        </w:rPr>
        <w:t xml:space="preserve">Nutritional status should be considered in PCD management, as </w:t>
      </w:r>
      <w:r w:rsidR="00FA5CF6" w:rsidRPr="00AA7D88">
        <w:rPr>
          <w:rFonts w:asciiTheme="majorHAnsi" w:hAnsiTheme="majorHAnsi" w:cstheme="majorHAnsi"/>
          <w:sz w:val="22"/>
          <w:szCs w:val="22"/>
        </w:rPr>
        <w:t>t</w:t>
      </w:r>
      <w:r w:rsidR="006978E1" w:rsidRPr="00AA7D88">
        <w:rPr>
          <w:rFonts w:asciiTheme="majorHAnsi" w:hAnsiTheme="majorHAnsi" w:cstheme="majorHAnsi"/>
          <w:sz w:val="22"/>
          <w:szCs w:val="22"/>
        </w:rPr>
        <w:t>hose with</w:t>
      </w:r>
      <w:r w:rsidR="00C05D70" w:rsidRPr="00AA7D88">
        <w:rPr>
          <w:rFonts w:asciiTheme="majorHAnsi" w:hAnsiTheme="majorHAnsi" w:cstheme="majorHAnsi"/>
          <w:sz w:val="22"/>
          <w:szCs w:val="22"/>
        </w:rPr>
        <w:t xml:space="preserve"> a lower BMI </w:t>
      </w:r>
      <w:r w:rsidR="006978E1" w:rsidRPr="00AA7D88">
        <w:rPr>
          <w:rFonts w:asciiTheme="majorHAnsi" w:hAnsiTheme="majorHAnsi" w:cstheme="majorHAnsi"/>
          <w:sz w:val="22"/>
          <w:szCs w:val="22"/>
        </w:rPr>
        <w:t>have significantly lower FEV</w:t>
      </w:r>
      <w:r w:rsidR="006978E1" w:rsidRPr="00AA7D88">
        <w:rPr>
          <w:rFonts w:asciiTheme="majorHAnsi" w:hAnsiTheme="majorHAnsi" w:cstheme="majorHAnsi"/>
          <w:sz w:val="22"/>
          <w:szCs w:val="22"/>
          <w:vertAlign w:val="subscript"/>
        </w:rPr>
        <w:t>1</w:t>
      </w:r>
      <w:r w:rsidR="006978E1" w:rsidRPr="00AA7D88">
        <w:rPr>
          <w:rFonts w:asciiTheme="majorHAnsi" w:hAnsiTheme="majorHAnsi" w:cstheme="majorHAnsi"/>
          <w:sz w:val="22"/>
          <w:szCs w:val="22"/>
        </w:rPr>
        <w:t xml:space="preserve">. </w:t>
      </w:r>
      <w:r w:rsidR="00FB77C3" w:rsidRPr="00AA7D88">
        <w:rPr>
          <w:rFonts w:asciiTheme="majorHAnsi" w:hAnsiTheme="majorHAnsi" w:cstheme="majorHAnsi"/>
          <w:sz w:val="22"/>
          <w:szCs w:val="22"/>
        </w:rPr>
        <w:t>Hearing impairment is commo</w:t>
      </w:r>
      <w:r w:rsidR="009B5EB4" w:rsidRPr="00AA7D88">
        <w:rPr>
          <w:rFonts w:asciiTheme="majorHAnsi" w:hAnsiTheme="majorHAnsi" w:cstheme="majorHAnsi"/>
          <w:sz w:val="22"/>
          <w:szCs w:val="22"/>
        </w:rPr>
        <w:t>n</w:t>
      </w:r>
      <w:r w:rsidR="00FB77C3" w:rsidRPr="00AA7D88">
        <w:rPr>
          <w:rFonts w:asciiTheme="majorHAnsi" w:hAnsiTheme="majorHAnsi" w:cstheme="majorHAnsi"/>
          <w:sz w:val="22"/>
          <w:szCs w:val="22"/>
        </w:rPr>
        <w:t xml:space="preserve"> but </w:t>
      </w:r>
      <w:r w:rsidR="009B5EB4" w:rsidRPr="00AA7D88">
        <w:rPr>
          <w:rFonts w:asciiTheme="majorHAnsi" w:hAnsiTheme="majorHAnsi" w:cstheme="majorHAnsi"/>
          <w:sz w:val="22"/>
          <w:szCs w:val="22"/>
        </w:rPr>
        <w:t xml:space="preserve">seems to </w:t>
      </w:r>
      <w:r w:rsidR="00FB77C3" w:rsidRPr="00AA7D88">
        <w:rPr>
          <w:rFonts w:asciiTheme="majorHAnsi" w:hAnsiTheme="majorHAnsi" w:cstheme="majorHAnsi"/>
          <w:sz w:val="22"/>
          <w:szCs w:val="22"/>
        </w:rPr>
        <w:t>improv</w:t>
      </w:r>
      <w:r w:rsidR="009B5EB4" w:rsidRPr="00AA7D88">
        <w:rPr>
          <w:rFonts w:asciiTheme="majorHAnsi" w:hAnsiTheme="majorHAnsi" w:cstheme="majorHAnsi"/>
          <w:sz w:val="22"/>
          <w:szCs w:val="22"/>
        </w:rPr>
        <w:t>e</w:t>
      </w:r>
      <w:r w:rsidR="00FB77C3" w:rsidRPr="00AA7D88">
        <w:rPr>
          <w:rFonts w:asciiTheme="majorHAnsi" w:hAnsiTheme="majorHAnsi" w:cstheme="majorHAnsi"/>
          <w:sz w:val="22"/>
          <w:szCs w:val="22"/>
        </w:rPr>
        <w:t xml:space="preserve"> with age.</w:t>
      </w:r>
      <w:r w:rsidR="00221DF7" w:rsidRPr="00AA7D88">
        <w:rPr>
          <w:rFonts w:asciiTheme="majorHAnsi" w:hAnsiTheme="majorHAnsi" w:cstheme="majorHAnsi"/>
          <w:sz w:val="22"/>
          <w:szCs w:val="22"/>
        </w:rPr>
        <w:t xml:space="preserve"> Well designed and powered </w:t>
      </w:r>
      <w:r w:rsidR="00B57715" w:rsidRPr="00AA7D88">
        <w:rPr>
          <w:rFonts w:asciiTheme="majorHAnsi" w:hAnsiTheme="majorHAnsi" w:cstheme="majorHAnsi"/>
          <w:sz w:val="22"/>
          <w:szCs w:val="22"/>
        </w:rPr>
        <w:t>randomised controlled trials</w:t>
      </w:r>
      <w:r w:rsidR="00221DF7" w:rsidRPr="00AA7D88">
        <w:rPr>
          <w:rFonts w:asciiTheme="majorHAnsi" w:hAnsiTheme="majorHAnsi" w:cstheme="majorHAnsi"/>
          <w:sz w:val="22"/>
          <w:szCs w:val="22"/>
        </w:rPr>
        <w:t xml:space="preserve"> on management of PCD are needed to inform best clinical practice.</w:t>
      </w:r>
    </w:p>
    <w:bookmarkEnd w:id="7"/>
    <w:bookmarkEnd w:id="8"/>
    <w:p w14:paraId="1B6DE60E" w14:textId="77777777" w:rsidR="00CB74BF" w:rsidRPr="00A113D7" w:rsidRDefault="00CB74BF" w:rsidP="001C6EA8">
      <w:pPr>
        <w:spacing w:after="120" w:line="480" w:lineRule="auto"/>
        <w:rPr>
          <w:rFonts w:asciiTheme="majorHAnsi" w:hAnsiTheme="majorHAnsi" w:cstheme="majorHAnsi"/>
          <w:sz w:val="22"/>
          <w:szCs w:val="22"/>
        </w:rPr>
      </w:pPr>
    </w:p>
    <w:p w14:paraId="6D3569E9" w14:textId="07153105" w:rsidR="0092105C" w:rsidRPr="00AA7D88" w:rsidRDefault="00421FE2" w:rsidP="001C6EA8">
      <w:pPr>
        <w:spacing w:after="120" w:line="480" w:lineRule="auto"/>
        <w:rPr>
          <w:rFonts w:asciiTheme="majorHAnsi" w:hAnsiTheme="majorHAnsi" w:cstheme="majorHAnsi"/>
          <w:sz w:val="22"/>
          <w:szCs w:val="22"/>
        </w:rPr>
      </w:pPr>
      <w:r w:rsidRPr="00A113D7">
        <w:rPr>
          <w:rFonts w:asciiTheme="majorHAnsi" w:hAnsiTheme="majorHAnsi" w:cstheme="majorHAnsi"/>
          <w:sz w:val="22"/>
          <w:szCs w:val="22"/>
        </w:rPr>
        <w:t xml:space="preserve">Words: </w:t>
      </w:r>
      <w:r w:rsidR="00FB77C3" w:rsidRPr="00A113D7">
        <w:rPr>
          <w:rFonts w:asciiTheme="majorHAnsi" w:hAnsiTheme="majorHAnsi" w:cstheme="majorHAnsi"/>
          <w:sz w:val="22"/>
          <w:szCs w:val="22"/>
        </w:rPr>
        <w:t>2</w:t>
      </w:r>
      <w:r w:rsidR="00394B75">
        <w:rPr>
          <w:rFonts w:asciiTheme="majorHAnsi" w:hAnsiTheme="majorHAnsi" w:cstheme="majorHAnsi"/>
          <w:sz w:val="22"/>
          <w:szCs w:val="22"/>
        </w:rPr>
        <w:t>47</w:t>
      </w:r>
      <w:r w:rsidR="0092105C" w:rsidRPr="00AA7D88">
        <w:rPr>
          <w:rFonts w:asciiTheme="majorHAnsi" w:hAnsiTheme="majorHAnsi" w:cstheme="majorHAnsi"/>
          <w:sz w:val="22"/>
          <w:szCs w:val="22"/>
        </w:rPr>
        <w:br w:type="page"/>
      </w:r>
    </w:p>
    <w:p w14:paraId="352D10AC" w14:textId="77777777" w:rsidR="0092105C" w:rsidRPr="00AA7D88" w:rsidRDefault="00594200" w:rsidP="001C6EA8">
      <w:pPr>
        <w:spacing w:after="120" w:line="480" w:lineRule="auto"/>
        <w:rPr>
          <w:rFonts w:asciiTheme="majorHAnsi" w:hAnsiTheme="majorHAnsi" w:cstheme="majorHAnsi"/>
          <w:b/>
          <w:szCs w:val="22"/>
        </w:rPr>
      </w:pPr>
      <w:r w:rsidRPr="00AA7D88">
        <w:rPr>
          <w:rFonts w:asciiTheme="majorHAnsi" w:hAnsiTheme="majorHAnsi" w:cstheme="majorHAnsi"/>
          <w:b/>
          <w:szCs w:val="22"/>
        </w:rPr>
        <w:t>INTRODUCTION</w:t>
      </w:r>
    </w:p>
    <w:p w14:paraId="27DC7FCB" w14:textId="56B53131" w:rsidR="00DC3F81" w:rsidRPr="00AA7D88" w:rsidRDefault="00AE3823" w:rsidP="001C6EA8">
      <w:pPr>
        <w:spacing w:after="120" w:line="480" w:lineRule="auto"/>
        <w:rPr>
          <w:rFonts w:asciiTheme="majorHAnsi" w:hAnsiTheme="majorHAnsi" w:cstheme="majorHAnsi"/>
          <w:sz w:val="22"/>
          <w:szCs w:val="22"/>
        </w:rPr>
      </w:pPr>
      <w:r w:rsidRPr="00AA7D88">
        <w:rPr>
          <w:rFonts w:asciiTheme="majorHAnsi" w:hAnsiTheme="majorHAnsi" w:cstheme="majorHAnsi"/>
          <w:sz w:val="22"/>
          <w:szCs w:val="22"/>
        </w:rPr>
        <w:t>Primary</w:t>
      </w:r>
      <w:r w:rsidR="004959B1" w:rsidRPr="00AA7D88">
        <w:rPr>
          <w:rFonts w:asciiTheme="majorHAnsi" w:hAnsiTheme="majorHAnsi" w:cstheme="majorHAnsi"/>
          <w:sz w:val="22"/>
          <w:szCs w:val="22"/>
        </w:rPr>
        <w:t xml:space="preserve"> ciliary dyskinesia (PCD) is a rare</w:t>
      </w:r>
      <w:r w:rsidR="00E93BE1" w:rsidRPr="00AA7D88">
        <w:rPr>
          <w:rFonts w:asciiTheme="majorHAnsi" w:hAnsiTheme="majorHAnsi" w:cstheme="majorHAnsi"/>
          <w:sz w:val="22"/>
          <w:szCs w:val="22"/>
        </w:rPr>
        <w:t xml:space="preserve"> </w:t>
      </w:r>
      <w:r w:rsidR="00702B47" w:rsidRPr="00AA7D88">
        <w:rPr>
          <w:rFonts w:asciiTheme="majorHAnsi" w:hAnsiTheme="majorHAnsi" w:cstheme="majorHAnsi"/>
          <w:sz w:val="22"/>
          <w:szCs w:val="22"/>
        </w:rPr>
        <w:t>autosomal recessive</w:t>
      </w:r>
      <w:r w:rsidR="00E93BE1" w:rsidRPr="00AA7D88">
        <w:rPr>
          <w:rFonts w:asciiTheme="majorHAnsi" w:hAnsiTheme="majorHAnsi" w:cstheme="majorHAnsi"/>
          <w:sz w:val="22"/>
          <w:szCs w:val="22"/>
        </w:rPr>
        <w:t xml:space="preserve"> </w:t>
      </w:r>
      <w:r w:rsidR="004959B1" w:rsidRPr="00AA7D88">
        <w:rPr>
          <w:rFonts w:asciiTheme="majorHAnsi" w:hAnsiTheme="majorHAnsi" w:cstheme="majorHAnsi"/>
          <w:sz w:val="22"/>
          <w:szCs w:val="22"/>
        </w:rPr>
        <w:t xml:space="preserve">condition where abnormal ciliary function leads to impaired mucociliary clearance. This loss of function </w:t>
      </w:r>
      <w:r w:rsidR="009B5EB4" w:rsidRPr="00AA7D88">
        <w:rPr>
          <w:rFonts w:asciiTheme="majorHAnsi" w:hAnsiTheme="majorHAnsi" w:cstheme="majorHAnsi"/>
          <w:sz w:val="22"/>
          <w:szCs w:val="22"/>
        </w:rPr>
        <w:t>to</w:t>
      </w:r>
      <w:r w:rsidR="004959B1" w:rsidRPr="00AA7D88">
        <w:rPr>
          <w:rFonts w:asciiTheme="majorHAnsi" w:hAnsiTheme="majorHAnsi" w:cstheme="majorHAnsi"/>
          <w:sz w:val="22"/>
          <w:szCs w:val="22"/>
        </w:rPr>
        <w:t xml:space="preserve"> the mucociliary escalator leads to</w:t>
      </w:r>
      <w:r w:rsidRPr="00AA7D88">
        <w:rPr>
          <w:rFonts w:asciiTheme="majorHAnsi" w:hAnsiTheme="majorHAnsi" w:cstheme="majorHAnsi"/>
          <w:sz w:val="22"/>
          <w:szCs w:val="22"/>
        </w:rPr>
        <w:t xml:space="preserve"> rec</w:t>
      </w:r>
      <w:r w:rsidR="004959B1" w:rsidRPr="00AA7D88">
        <w:rPr>
          <w:rFonts w:asciiTheme="majorHAnsi" w:hAnsiTheme="majorHAnsi" w:cstheme="majorHAnsi"/>
          <w:sz w:val="22"/>
          <w:szCs w:val="22"/>
        </w:rPr>
        <w:t>urrent sinopulmonary infection and, ultimately, bronc</w:t>
      </w:r>
      <w:r w:rsidR="0059797E" w:rsidRPr="00AA7D88">
        <w:rPr>
          <w:rFonts w:asciiTheme="majorHAnsi" w:hAnsiTheme="majorHAnsi" w:cstheme="majorHAnsi"/>
          <w:sz w:val="22"/>
          <w:szCs w:val="22"/>
        </w:rPr>
        <w:t xml:space="preserve">hiectasis. Historically </w:t>
      </w:r>
      <w:r w:rsidR="00AB0299" w:rsidRPr="00AA7D88">
        <w:rPr>
          <w:rFonts w:asciiTheme="majorHAnsi" w:hAnsiTheme="majorHAnsi" w:cstheme="majorHAnsi"/>
          <w:sz w:val="22"/>
          <w:szCs w:val="22"/>
        </w:rPr>
        <w:t>it</w:t>
      </w:r>
      <w:r w:rsidR="00B3185D" w:rsidRPr="00AA7D88">
        <w:rPr>
          <w:rFonts w:asciiTheme="majorHAnsi" w:hAnsiTheme="majorHAnsi" w:cstheme="majorHAnsi"/>
          <w:sz w:val="22"/>
          <w:szCs w:val="22"/>
        </w:rPr>
        <w:t xml:space="preserve"> has</w:t>
      </w:r>
      <w:r w:rsidR="0059797E" w:rsidRPr="00AA7D88">
        <w:rPr>
          <w:rFonts w:asciiTheme="majorHAnsi" w:hAnsiTheme="majorHAnsi" w:cstheme="majorHAnsi"/>
          <w:sz w:val="22"/>
          <w:szCs w:val="22"/>
        </w:rPr>
        <w:t xml:space="preserve"> been considered a mild respiratory condition</w:t>
      </w:r>
      <w:r w:rsidR="00011730" w:rsidRPr="00AA7D88">
        <w:rPr>
          <w:rFonts w:asciiTheme="majorHAnsi" w:hAnsiTheme="majorHAnsi" w:cstheme="majorHAnsi"/>
          <w:sz w:val="22"/>
          <w:szCs w:val="22"/>
        </w:rPr>
        <w:t>;</w:t>
      </w:r>
      <w:r w:rsidR="0059797E" w:rsidRPr="00AA7D88">
        <w:rPr>
          <w:rFonts w:asciiTheme="majorHAnsi" w:hAnsiTheme="majorHAnsi" w:cstheme="majorHAnsi"/>
          <w:sz w:val="22"/>
          <w:szCs w:val="22"/>
        </w:rPr>
        <w:t xml:space="preserve"> however</w:t>
      </w:r>
      <w:r w:rsidR="00011730" w:rsidRPr="00AA7D88">
        <w:rPr>
          <w:rFonts w:asciiTheme="majorHAnsi" w:hAnsiTheme="majorHAnsi" w:cstheme="majorHAnsi"/>
          <w:sz w:val="22"/>
          <w:szCs w:val="22"/>
        </w:rPr>
        <w:t>,</w:t>
      </w:r>
      <w:r w:rsidR="00257A38" w:rsidRPr="00AA7D88">
        <w:rPr>
          <w:rFonts w:asciiTheme="majorHAnsi" w:hAnsiTheme="majorHAnsi" w:cstheme="majorHAnsi"/>
          <w:sz w:val="22"/>
          <w:szCs w:val="22"/>
        </w:rPr>
        <w:t xml:space="preserve"> </w:t>
      </w:r>
      <w:r w:rsidR="00B3185D" w:rsidRPr="00AA7D88">
        <w:rPr>
          <w:rFonts w:asciiTheme="majorHAnsi" w:hAnsiTheme="majorHAnsi" w:cstheme="majorHAnsi"/>
          <w:sz w:val="22"/>
          <w:szCs w:val="22"/>
        </w:rPr>
        <w:t xml:space="preserve">recent </w:t>
      </w:r>
      <w:r w:rsidR="00257A38" w:rsidRPr="00AA7D88">
        <w:rPr>
          <w:rFonts w:asciiTheme="majorHAnsi" w:hAnsiTheme="majorHAnsi" w:cstheme="majorHAnsi"/>
          <w:sz w:val="22"/>
          <w:szCs w:val="22"/>
        </w:rPr>
        <w:t xml:space="preserve">data </w:t>
      </w:r>
      <w:r w:rsidR="00B3185D" w:rsidRPr="00AA7D88">
        <w:rPr>
          <w:rFonts w:asciiTheme="majorHAnsi" w:hAnsiTheme="majorHAnsi" w:cstheme="majorHAnsi"/>
          <w:sz w:val="22"/>
          <w:szCs w:val="22"/>
        </w:rPr>
        <w:t>suggests</w:t>
      </w:r>
      <w:r w:rsidR="0059797E" w:rsidRPr="00AA7D88">
        <w:rPr>
          <w:rFonts w:asciiTheme="majorHAnsi" w:hAnsiTheme="majorHAnsi" w:cstheme="majorHAnsi"/>
          <w:sz w:val="22"/>
          <w:szCs w:val="22"/>
        </w:rPr>
        <w:t xml:space="preserve"> </w:t>
      </w:r>
      <w:r w:rsidR="00257A38" w:rsidRPr="00AA7D88">
        <w:rPr>
          <w:rFonts w:asciiTheme="majorHAnsi" w:hAnsiTheme="majorHAnsi" w:cstheme="majorHAnsi"/>
          <w:sz w:val="22"/>
          <w:szCs w:val="22"/>
        </w:rPr>
        <w:t xml:space="preserve">that lung function </w:t>
      </w:r>
      <w:r w:rsidR="0059797E" w:rsidRPr="00AA7D88">
        <w:rPr>
          <w:rFonts w:asciiTheme="majorHAnsi" w:hAnsiTheme="majorHAnsi" w:cstheme="majorHAnsi"/>
          <w:sz w:val="22"/>
          <w:szCs w:val="22"/>
        </w:rPr>
        <w:t>decline</w:t>
      </w:r>
      <w:r w:rsidR="00257A38" w:rsidRPr="00AA7D88">
        <w:rPr>
          <w:rFonts w:asciiTheme="majorHAnsi" w:hAnsiTheme="majorHAnsi" w:cstheme="majorHAnsi"/>
          <w:sz w:val="22"/>
          <w:szCs w:val="22"/>
        </w:rPr>
        <w:t>s</w:t>
      </w:r>
      <w:r w:rsidR="0059797E" w:rsidRPr="00AA7D88">
        <w:rPr>
          <w:rFonts w:asciiTheme="majorHAnsi" w:hAnsiTheme="majorHAnsi" w:cstheme="majorHAnsi"/>
          <w:sz w:val="22"/>
          <w:szCs w:val="22"/>
        </w:rPr>
        <w:t xml:space="preserve"> at a similar rat</w:t>
      </w:r>
      <w:r w:rsidR="00AB0299" w:rsidRPr="00AA7D88">
        <w:rPr>
          <w:rFonts w:asciiTheme="majorHAnsi" w:hAnsiTheme="majorHAnsi" w:cstheme="majorHAnsi"/>
          <w:sz w:val="22"/>
          <w:szCs w:val="22"/>
        </w:rPr>
        <w:t>e through</w:t>
      </w:r>
      <w:r w:rsidR="0059797E" w:rsidRPr="00AA7D88">
        <w:rPr>
          <w:rFonts w:asciiTheme="majorHAnsi" w:hAnsiTheme="majorHAnsi" w:cstheme="majorHAnsi"/>
          <w:sz w:val="22"/>
          <w:szCs w:val="22"/>
        </w:rPr>
        <w:t xml:space="preserve"> childhood </w:t>
      </w:r>
      <w:r w:rsidR="00257A38" w:rsidRPr="00AA7D88">
        <w:rPr>
          <w:rFonts w:asciiTheme="majorHAnsi" w:hAnsiTheme="majorHAnsi" w:cstheme="majorHAnsi"/>
          <w:sz w:val="22"/>
          <w:szCs w:val="22"/>
        </w:rPr>
        <w:t>to children</w:t>
      </w:r>
      <w:r w:rsidR="00AB0299" w:rsidRPr="00AA7D88">
        <w:rPr>
          <w:rFonts w:asciiTheme="majorHAnsi" w:hAnsiTheme="majorHAnsi" w:cstheme="majorHAnsi"/>
          <w:sz w:val="22"/>
          <w:szCs w:val="22"/>
        </w:rPr>
        <w:t xml:space="preserve"> with </w:t>
      </w:r>
      <w:r w:rsidR="002D17D9" w:rsidRPr="00AA7D88">
        <w:rPr>
          <w:rFonts w:asciiTheme="majorHAnsi" w:hAnsiTheme="majorHAnsi" w:cstheme="majorHAnsi"/>
          <w:sz w:val="22"/>
          <w:szCs w:val="22"/>
        </w:rPr>
        <w:t>cystic fibrosis (</w:t>
      </w:r>
      <w:r w:rsidR="00AB0299" w:rsidRPr="00AA7D88">
        <w:rPr>
          <w:rFonts w:asciiTheme="majorHAnsi" w:hAnsiTheme="majorHAnsi" w:cstheme="majorHAnsi"/>
          <w:sz w:val="22"/>
          <w:szCs w:val="22"/>
        </w:rPr>
        <w:t>CF</w:t>
      </w:r>
      <w:r w:rsidR="002D17D9" w:rsidRPr="00AA7D88">
        <w:rPr>
          <w:rFonts w:asciiTheme="majorHAnsi" w:hAnsiTheme="majorHAnsi" w:cstheme="majorHAnsi"/>
          <w:sz w:val="22"/>
          <w:szCs w:val="22"/>
        </w:rPr>
        <w:t>)</w:t>
      </w:r>
      <w:r w:rsidR="0088542F">
        <w:rPr>
          <w:rFonts w:asciiTheme="majorHAnsi" w:hAnsiTheme="majorHAnsi" w:cstheme="majorHAnsi"/>
          <w:sz w:val="22"/>
          <w:szCs w:val="22"/>
        </w:rPr>
        <w:t xml:space="preserve"> </w:t>
      </w:r>
      <w:r w:rsidR="00735187" w:rsidRPr="00735187">
        <w:rPr>
          <w:rFonts w:ascii="Calibri" w:hAnsi="Calibri" w:cs="Calibri"/>
          <w:sz w:val="22"/>
        </w:rPr>
        <w:t>(1–3)</w:t>
      </w:r>
      <w:r w:rsidR="00E93BE1" w:rsidRPr="00AA7D88">
        <w:rPr>
          <w:rFonts w:asciiTheme="majorHAnsi" w:hAnsiTheme="majorHAnsi" w:cstheme="majorHAnsi"/>
          <w:sz w:val="22"/>
          <w:szCs w:val="22"/>
        </w:rPr>
        <w:t>. In addition,</w:t>
      </w:r>
      <w:r w:rsidR="00125753" w:rsidRPr="00AA7D88">
        <w:rPr>
          <w:rStyle w:val="CommentReference"/>
          <w:rFonts w:asciiTheme="majorHAnsi" w:eastAsia="Calibri" w:hAnsiTheme="majorHAnsi" w:cstheme="majorHAnsi"/>
        </w:rPr>
        <w:t xml:space="preserve"> </w:t>
      </w:r>
      <w:r w:rsidR="00E93BE1" w:rsidRPr="00AA7D88">
        <w:rPr>
          <w:rFonts w:asciiTheme="majorHAnsi" w:hAnsiTheme="majorHAnsi" w:cstheme="majorHAnsi"/>
          <w:sz w:val="22"/>
          <w:szCs w:val="22"/>
        </w:rPr>
        <w:t>about</w:t>
      </w:r>
      <w:r w:rsidR="00C77036" w:rsidRPr="00AA7D88">
        <w:rPr>
          <w:rFonts w:asciiTheme="majorHAnsi" w:hAnsiTheme="majorHAnsi" w:cstheme="majorHAnsi"/>
          <w:sz w:val="22"/>
          <w:szCs w:val="22"/>
        </w:rPr>
        <w:t xml:space="preserve"> 80% </w:t>
      </w:r>
      <w:r w:rsidR="00881B89" w:rsidRPr="00AA7D88">
        <w:rPr>
          <w:rFonts w:asciiTheme="majorHAnsi" w:hAnsiTheme="majorHAnsi" w:cstheme="majorHAnsi"/>
          <w:sz w:val="22"/>
          <w:szCs w:val="22"/>
        </w:rPr>
        <w:t xml:space="preserve">of patients suffer with </w:t>
      </w:r>
      <w:r w:rsidR="003B1F89" w:rsidRPr="00AA7D88">
        <w:rPr>
          <w:rFonts w:asciiTheme="majorHAnsi" w:hAnsiTheme="majorHAnsi" w:cstheme="majorHAnsi"/>
          <w:sz w:val="22"/>
          <w:szCs w:val="22"/>
        </w:rPr>
        <w:t xml:space="preserve">persistent </w:t>
      </w:r>
      <w:r w:rsidR="000F1AC6" w:rsidRPr="00AA7D88">
        <w:rPr>
          <w:rFonts w:asciiTheme="majorHAnsi" w:hAnsiTheme="majorHAnsi" w:cstheme="majorHAnsi"/>
          <w:sz w:val="22"/>
          <w:szCs w:val="22"/>
        </w:rPr>
        <w:t>otitis media with effusion</w:t>
      </w:r>
      <w:r w:rsidR="00881B89" w:rsidRPr="00AA7D88">
        <w:rPr>
          <w:rFonts w:asciiTheme="majorHAnsi" w:hAnsiTheme="majorHAnsi" w:cstheme="majorHAnsi"/>
          <w:sz w:val="22"/>
          <w:szCs w:val="22"/>
        </w:rPr>
        <w:t xml:space="preserve"> (OME)</w:t>
      </w:r>
      <w:r w:rsidR="00221DF7" w:rsidRPr="00AA7D88">
        <w:rPr>
          <w:rFonts w:asciiTheme="majorHAnsi" w:hAnsiTheme="majorHAnsi" w:cstheme="majorHAnsi"/>
          <w:sz w:val="22"/>
          <w:szCs w:val="22"/>
        </w:rPr>
        <w:t xml:space="preserve"> and</w:t>
      </w:r>
      <w:r w:rsidR="00881B89" w:rsidRPr="00AA7D88">
        <w:rPr>
          <w:rFonts w:asciiTheme="majorHAnsi" w:hAnsiTheme="majorHAnsi" w:cstheme="majorHAnsi"/>
          <w:sz w:val="22"/>
          <w:szCs w:val="22"/>
        </w:rPr>
        <w:t xml:space="preserve"> associated conductive</w:t>
      </w:r>
      <w:r w:rsidR="00BA5730" w:rsidRPr="00AA7D88">
        <w:rPr>
          <w:rFonts w:asciiTheme="majorHAnsi" w:hAnsiTheme="majorHAnsi" w:cstheme="majorHAnsi"/>
          <w:sz w:val="22"/>
          <w:szCs w:val="22"/>
        </w:rPr>
        <w:t xml:space="preserve"> hearing loss</w:t>
      </w:r>
      <w:r w:rsidR="002C480E" w:rsidRPr="00AA7D88">
        <w:rPr>
          <w:rFonts w:asciiTheme="majorHAnsi" w:hAnsiTheme="majorHAnsi" w:cstheme="majorHAnsi"/>
          <w:sz w:val="22"/>
          <w:szCs w:val="22"/>
        </w:rPr>
        <w:t xml:space="preserve"> </w:t>
      </w:r>
      <w:r w:rsidR="00735187" w:rsidRPr="00735187">
        <w:rPr>
          <w:rFonts w:ascii="Calibri" w:hAnsi="Calibri" w:cs="Calibri"/>
          <w:sz w:val="22"/>
        </w:rPr>
        <w:t>(4,5)</w:t>
      </w:r>
      <w:r w:rsidR="00221DF7" w:rsidRPr="00AA7D88">
        <w:rPr>
          <w:rFonts w:asciiTheme="majorHAnsi" w:hAnsiTheme="majorHAnsi" w:cstheme="majorHAnsi"/>
          <w:sz w:val="22"/>
          <w:szCs w:val="22"/>
        </w:rPr>
        <w:t>. H</w:t>
      </w:r>
      <w:r w:rsidR="0059797E" w:rsidRPr="00AA7D88">
        <w:rPr>
          <w:rFonts w:asciiTheme="majorHAnsi" w:hAnsiTheme="majorHAnsi" w:cstheme="majorHAnsi"/>
          <w:sz w:val="22"/>
          <w:szCs w:val="22"/>
        </w:rPr>
        <w:t xml:space="preserve">alf </w:t>
      </w:r>
      <w:r w:rsidR="00997EB1" w:rsidRPr="00AA7D88">
        <w:rPr>
          <w:rFonts w:asciiTheme="majorHAnsi" w:hAnsiTheme="majorHAnsi" w:cstheme="majorHAnsi"/>
          <w:sz w:val="22"/>
          <w:szCs w:val="22"/>
        </w:rPr>
        <w:t xml:space="preserve">of the patients </w:t>
      </w:r>
      <w:r w:rsidR="0059797E" w:rsidRPr="00AA7D88">
        <w:rPr>
          <w:rFonts w:asciiTheme="majorHAnsi" w:hAnsiTheme="majorHAnsi" w:cstheme="majorHAnsi"/>
          <w:sz w:val="22"/>
          <w:szCs w:val="22"/>
        </w:rPr>
        <w:t xml:space="preserve">have </w:t>
      </w:r>
      <w:r w:rsidR="0059797E" w:rsidRPr="00AA7D88">
        <w:rPr>
          <w:rStyle w:val="Emphasis"/>
          <w:rFonts w:asciiTheme="majorHAnsi" w:hAnsiTheme="majorHAnsi" w:cstheme="majorHAnsi"/>
          <w:color w:val="333333"/>
          <w:sz w:val="22"/>
          <w:szCs w:val="22"/>
          <w:shd w:val="clear" w:color="auto" w:fill="FFFFFF"/>
        </w:rPr>
        <w:t>situs inversus</w:t>
      </w:r>
      <w:r w:rsidR="0059797E" w:rsidRPr="00AA7D88">
        <w:rPr>
          <w:rFonts w:asciiTheme="majorHAnsi" w:hAnsiTheme="majorHAnsi" w:cstheme="majorHAnsi"/>
          <w:sz w:val="22"/>
          <w:szCs w:val="22"/>
        </w:rPr>
        <w:t xml:space="preserve"> </w:t>
      </w:r>
      <w:r w:rsidR="0059797E" w:rsidRPr="00AA7D88">
        <w:rPr>
          <w:rFonts w:asciiTheme="majorHAnsi" w:hAnsiTheme="majorHAnsi" w:cstheme="majorHAnsi"/>
          <w:i/>
          <w:sz w:val="22"/>
          <w:szCs w:val="22"/>
        </w:rPr>
        <w:t>totalis</w:t>
      </w:r>
      <w:r w:rsidR="00221DF7" w:rsidRPr="00AA7D88">
        <w:rPr>
          <w:rFonts w:asciiTheme="majorHAnsi" w:hAnsiTheme="majorHAnsi" w:cstheme="majorHAnsi"/>
          <w:i/>
          <w:sz w:val="22"/>
          <w:szCs w:val="22"/>
        </w:rPr>
        <w:t xml:space="preserve"> </w:t>
      </w:r>
      <w:r w:rsidR="00735187" w:rsidRPr="00735187">
        <w:rPr>
          <w:rFonts w:ascii="Calibri" w:hAnsi="Calibri" w:cs="Calibri"/>
          <w:sz w:val="22"/>
        </w:rPr>
        <w:t>(6)</w:t>
      </w:r>
      <w:r w:rsidR="00221DF7" w:rsidRPr="00AA7D88">
        <w:rPr>
          <w:rFonts w:asciiTheme="majorHAnsi" w:hAnsiTheme="majorHAnsi" w:cstheme="majorHAnsi"/>
          <w:sz w:val="22"/>
          <w:szCs w:val="22"/>
        </w:rPr>
        <w:t xml:space="preserve"> </w:t>
      </w:r>
      <w:r w:rsidR="00F93CBF" w:rsidRPr="00AA7D88">
        <w:rPr>
          <w:rFonts w:asciiTheme="majorHAnsi" w:hAnsiTheme="majorHAnsi" w:cstheme="majorHAnsi"/>
          <w:sz w:val="22"/>
          <w:szCs w:val="22"/>
        </w:rPr>
        <w:t xml:space="preserve">and </w:t>
      </w:r>
      <w:r w:rsidR="00E93BE1" w:rsidRPr="00AA7D88">
        <w:rPr>
          <w:rFonts w:asciiTheme="majorHAnsi" w:hAnsiTheme="majorHAnsi" w:cstheme="majorHAnsi"/>
          <w:sz w:val="22"/>
          <w:szCs w:val="22"/>
        </w:rPr>
        <w:t xml:space="preserve">up to 17% have </w:t>
      </w:r>
      <w:r w:rsidR="0059797E" w:rsidRPr="00AA7D88">
        <w:rPr>
          <w:rFonts w:asciiTheme="majorHAnsi" w:hAnsiTheme="majorHAnsi" w:cstheme="majorHAnsi"/>
          <w:sz w:val="22"/>
          <w:szCs w:val="22"/>
        </w:rPr>
        <w:t>congenital heart disease</w:t>
      </w:r>
      <w:r w:rsidR="00FB17F8" w:rsidRPr="00AA7D88">
        <w:rPr>
          <w:rFonts w:asciiTheme="majorHAnsi" w:hAnsiTheme="majorHAnsi" w:cstheme="majorHAnsi"/>
          <w:sz w:val="22"/>
          <w:szCs w:val="22"/>
        </w:rPr>
        <w:t xml:space="preserve"> (CHD) </w:t>
      </w:r>
      <w:r w:rsidR="00735187" w:rsidRPr="00735187">
        <w:rPr>
          <w:rFonts w:ascii="Calibri" w:hAnsi="Calibri" w:cs="Calibri"/>
          <w:sz w:val="22"/>
        </w:rPr>
        <w:t>(7,8)</w:t>
      </w:r>
      <w:r w:rsidR="005D739D" w:rsidRPr="00AA7D88">
        <w:rPr>
          <w:rFonts w:asciiTheme="majorHAnsi" w:hAnsiTheme="majorHAnsi" w:cstheme="majorHAnsi"/>
          <w:sz w:val="22"/>
          <w:szCs w:val="22"/>
        </w:rPr>
        <w:t>.</w:t>
      </w:r>
      <w:r w:rsidR="00432C76" w:rsidRPr="00AA7D88">
        <w:rPr>
          <w:rFonts w:asciiTheme="majorHAnsi" w:hAnsiTheme="majorHAnsi" w:cstheme="majorHAnsi"/>
          <w:sz w:val="22"/>
          <w:szCs w:val="22"/>
        </w:rPr>
        <w:t xml:space="preserve"> </w:t>
      </w:r>
      <w:r w:rsidR="00F93CBF" w:rsidRPr="00AA7D88">
        <w:rPr>
          <w:rFonts w:asciiTheme="majorHAnsi" w:hAnsiTheme="majorHAnsi" w:cstheme="majorHAnsi"/>
          <w:sz w:val="22"/>
          <w:szCs w:val="22"/>
        </w:rPr>
        <w:t>Many</w:t>
      </w:r>
      <w:r w:rsidR="0059797E" w:rsidRPr="00AA7D88">
        <w:rPr>
          <w:rFonts w:asciiTheme="majorHAnsi" w:hAnsiTheme="majorHAnsi" w:cstheme="majorHAnsi"/>
          <w:sz w:val="22"/>
          <w:szCs w:val="22"/>
        </w:rPr>
        <w:t xml:space="preserve"> men </w:t>
      </w:r>
      <w:r w:rsidR="00F93CBF" w:rsidRPr="00AA7D88">
        <w:rPr>
          <w:rFonts w:asciiTheme="majorHAnsi" w:hAnsiTheme="majorHAnsi" w:cstheme="majorHAnsi"/>
          <w:sz w:val="22"/>
          <w:szCs w:val="22"/>
        </w:rPr>
        <w:t>are</w:t>
      </w:r>
      <w:r w:rsidR="0059797E" w:rsidRPr="00AA7D88">
        <w:rPr>
          <w:rFonts w:asciiTheme="majorHAnsi" w:hAnsiTheme="majorHAnsi" w:cstheme="majorHAnsi"/>
          <w:sz w:val="22"/>
          <w:szCs w:val="22"/>
        </w:rPr>
        <w:t xml:space="preserve"> infertil</w:t>
      </w:r>
      <w:r w:rsidR="00F93CBF" w:rsidRPr="00AA7D88">
        <w:rPr>
          <w:rFonts w:asciiTheme="majorHAnsi" w:hAnsiTheme="majorHAnsi" w:cstheme="majorHAnsi"/>
          <w:sz w:val="22"/>
          <w:szCs w:val="22"/>
        </w:rPr>
        <w:t>e</w:t>
      </w:r>
      <w:r w:rsidR="0059797E" w:rsidRPr="00AA7D88">
        <w:rPr>
          <w:rFonts w:asciiTheme="majorHAnsi" w:hAnsiTheme="majorHAnsi" w:cstheme="majorHAnsi"/>
          <w:sz w:val="22"/>
          <w:szCs w:val="22"/>
        </w:rPr>
        <w:t xml:space="preserve"> due to immotile sperm </w:t>
      </w:r>
      <w:r w:rsidR="00997EB1" w:rsidRPr="00AA7D88">
        <w:rPr>
          <w:rFonts w:asciiTheme="majorHAnsi" w:hAnsiTheme="majorHAnsi" w:cstheme="majorHAnsi"/>
          <w:sz w:val="22"/>
          <w:szCs w:val="22"/>
        </w:rPr>
        <w:t xml:space="preserve">and </w:t>
      </w:r>
      <w:r w:rsidR="00493933" w:rsidRPr="00AA7D88">
        <w:rPr>
          <w:rFonts w:asciiTheme="majorHAnsi" w:hAnsiTheme="majorHAnsi" w:cstheme="majorHAnsi"/>
          <w:sz w:val="22"/>
          <w:szCs w:val="22"/>
        </w:rPr>
        <w:t>women can have</w:t>
      </w:r>
      <w:r w:rsidR="00DC3F81" w:rsidRPr="00AA7D88">
        <w:rPr>
          <w:rFonts w:asciiTheme="majorHAnsi" w:hAnsiTheme="majorHAnsi" w:cstheme="majorHAnsi"/>
          <w:sz w:val="22"/>
          <w:szCs w:val="22"/>
        </w:rPr>
        <w:t xml:space="preserve"> reduced fertility</w:t>
      </w:r>
      <w:r w:rsidR="00BB3D9D" w:rsidRPr="00AA7D88">
        <w:rPr>
          <w:rFonts w:asciiTheme="majorHAnsi" w:hAnsiTheme="majorHAnsi" w:cstheme="majorHAnsi"/>
          <w:sz w:val="22"/>
          <w:szCs w:val="22"/>
        </w:rPr>
        <w:t xml:space="preserve"> </w:t>
      </w:r>
      <w:r w:rsidR="00735187" w:rsidRPr="00735187">
        <w:rPr>
          <w:rFonts w:ascii="Calibri" w:hAnsi="Calibri" w:cs="Calibri"/>
          <w:sz w:val="22"/>
        </w:rPr>
        <w:t>(9,10)</w:t>
      </w:r>
      <w:r w:rsidR="00DC3F81" w:rsidRPr="00AA7D88">
        <w:rPr>
          <w:rFonts w:asciiTheme="majorHAnsi" w:hAnsiTheme="majorHAnsi" w:cstheme="majorHAnsi"/>
          <w:sz w:val="22"/>
          <w:szCs w:val="22"/>
        </w:rPr>
        <w:t>.</w:t>
      </w:r>
      <w:r w:rsidR="0059797E" w:rsidRPr="00AA7D88">
        <w:rPr>
          <w:rFonts w:asciiTheme="majorHAnsi" w:hAnsiTheme="majorHAnsi" w:cstheme="majorHAnsi"/>
          <w:sz w:val="22"/>
          <w:szCs w:val="22"/>
        </w:rPr>
        <w:t xml:space="preserve"> </w:t>
      </w:r>
      <w:r w:rsidRPr="00AA7D88">
        <w:rPr>
          <w:rFonts w:asciiTheme="majorHAnsi" w:hAnsiTheme="majorHAnsi" w:cstheme="majorHAnsi"/>
          <w:sz w:val="22"/>
          <w:szCs w:val="22"/>
        </w:rPr>
        <w:t xml:space="preserve">The estimated prevalence </w:t>
      </w:r>
      <w:r w:rsidR="004959B1" w:rsidRPr="00AA7D88">
        <w:rPr>
          <w:rFonts w:asciiTheme="majorHAnsi" w:hAnsiTheme="majorHAnsi" w:cstheme="majorHAnsi"/>
          <w:sz w:val="22"/>
          <w:szCs w:val="22"/>
        </w:rPr>
        <w:t xml:space="preserve">is </w:t>
      </w:r>
      <w:r w:rsidRPr="00AA7D88">
        <w:rPr>
          <w:rFonts w:asciiTheme="majorHAnsi" w:hAnsiTheme="majorHAnsi" w:cstheme="majorHAnsi"/>
          <w:sz w:val="22"/>
          <w:szCs w:val="22"/>
        </w:rPr>
        <w:t>1 in 1</w:t>
      </w:r>
      <w:r w:rsidR="003873ED" w:rsidRPr="00AA7D88">
        <w:rPr>
          <w:rFonts w:asciiTheme="majorHAnsi" w:hAnsiTheme="majorHAnsi" w:cstheme="majorHAnsi"/>
          <w:sz w:val="22"/>
          <w:szCs w:val="22"/>
        </w:rPr>
        <w:t>0</w:t>
      </w:r>
      <w:r w:rsidRPr="00AA7D88">
        <w:rPr>
          <w:rFonts w:asciiTheme="majorHAnsi" w:hAnsiTheme="majorHAnsi" w:cstheme="majorHAnsi"/>
          <w:sz w:val="22"/>
          <w:szCs w:val="22"/>
        </w:rPr>
        <w:t>,000 live births</w:t>
      </w:r>
      <w:r w:rsidR="006A4A2C" w:rsidRPr="00AA7D88">
        <w:rPr>
          <w:rFonts w:asciiTheme="majorHAnsi" w:hAnsiTheme="majorHAnsi" w:cstheme="majorHAnsi"/>
          <w:sz w:val="22"/>
          <w:szCs w:val="22"/>
        </w:rPr>
        <w:t xml:space="preserve"> </w:t>
      </w:r>
      <w:r w:rsidR="00735187" w:rsidRPr="00735187">
        <w:rPr>
          <w:rFonts w:ascii="Calibri" w:hAnsi="Calibri" w:cs="Calibri"/>
          <w:sz w:val="22"/>
        </w:rPr>
        <w:t>(11)</w:t>
      </w:r>
      <w:r w:rsidR="00FB16BF" w:rsidRPr="00AA7D88">
        <w:rPr>
          <w:rFonts w:asciiTheme="majorHAnsi" w:hAnsiTheme="majorHAnsi" w:cstheme="majorHAnsi"/>
          <w:sz w:val="22"/>
          <w:szCs w:val="22"/>
        </w:rPr>
        <w:fldChar w:fldCharType="begin">
          <w:fldData xml:space="preserve">PEVuZE5vdGU+PENpdGU+PEF1dGhvcj5CYXJiYXRvPC9BdXRob3I+PFllYXI+MjAwOTwvWWVhcj48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</w:fldData>
        </w:fldChar>
      </w:r>
      <w:r w:rsidR="00AE636A">
        <w:rPr>
          <w:rFonts w:asciiTheme="majorHAnsi" w:hAnsiTheme="majorHAnsi" w:cstheme="majorHAnsi"/>
          <w:sz w:val="22"/>
          <w:szCs w:val="22"/>
        </w:rPr>
        <w:instrText xml:space="preserve"> ADDIN EN.CITE </w:instrText>
      </w:r>
      <w:r w:rsidR="00AE636A">
        <w:rPr>
          <w:rFonts w:asciiTheme="majorHAnsi" w:hAnsiTheme="majorHAnsi" w:cstheme="majorHAnsi"/>
          <w:sz w:val="22"/>
          <w:szCs w:val="22"/>
        </w:rPr>
        <w:fldChar w:fldCharType="begin">
          <w:fldData xml:space="preserve">PEVuZE5vdGU+PENpdGU+PEF1dGhvcj5CYXJiYXRvPC9BdXRob3I+PFllYXI+MjAwOTwvWWVhcj48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</w:fldData>
        </w:fldChar>
      </w:r>
      <w:r w:rsidR="00AE636A">
        <w:rPr>
          <w:rFonts w:asciiTheme="majorHAnsi" w:hAnsiTheme="majorHAnsi" w:cstheme="majorHAnsi"/>
          <w:sz w:val="22"/>
          <w:szCs w:val="22"/>
        </w:rPr>
        <w:instrText xml:space="preserve"> ADDIN EN.CITE.DATA </w:instrText>
      </w:r>
      <w:r w:rsidR="00AE636A">
        <w:rPr>
          <w:rFonts w:asciiTheme="majorHAnsi" w:hAnsiTheme="majorHAnsi" w:cstheme="majorHAnsi"/>
          <w:sz w:val="22"/>
          <w:szCs w:val="22"/>
        </w:rPr>
      </w:r>
      <w:r w:rsidR="00AE636A">
        <w:rPr>
          <w:rFonts w:asciiTheme="majorHAnsi" w:hAnsiTheme="majorHAnsi" w:cstheme="majorHAnsi"/>
          <w:sz w:val="22"/>
          <w:szCs w:val="22"/>
        </w:rPr>
        <w:fldChar w:fldCharType="end"/>
      </w:r>
      <w:r w:rsidR="00FB16BF" w:rsidRPr="00AA7D88">
        <w:rPr>
          <w:rFonts w:asciiTheme="majorHAnsi" w:hAnsiTheme="majorHAnsi" w:cstheme="majorHAnsi"/>
          <w:sz w:val="22"/>
          <w:szCs w:val="22"/>
        </w:rPr>
      </w:r>
      <w:r w:rsidR="00FB16BF" w:rsidRPr="00AA7D88">
        <w:rPr>
          <w:rFonts w:asciiTheme="majorHAnsi" w:hAnsiTheme="majorHAnsi" w:cstheme="majorHAnsi"/>
          <w:sz w:val="22"/>
          <w:szCs w:val="22"/>
        </w:rPr>
        <w:fldChar w:fldCharType="end"/>
      </w:r>
      <w:r w:rsidR="00AE636A">
        <w:rPr>
          <w:rFonts w:asciiTheme="majorHAnsi" w:hAnsiTheme="majorHAnsi" w:cstheme="majorHAnsi"/>
          <w:sz w:val="22"/>
          <w:szCs w:val="22"/>
        </w:rPr>
        <w:t xml:space="preserve"> (1)</w:t>
      </w:r>
      <w:r w:rsidR="0088542F">
        <w:rPr>
          <w:rFonts w:asciiTheme="majorHAnsi" w:hAnsiTheme="majorHAnsi" w:cstheme="majorHAnsi"/>
          <w:sz w:val="22"/>
          <w:szCs w:val="22"/>
        </w:rPr>
        <w:t xml:space="preserve"> (1) (1) (1) (1)</w:t>
      </w:r>
      <w:r w:rsidR="00AC5305">
        <w:rPr>
          <w:rFonts w:asciiTheme="majorHAnsi" w:hAnsiTheme="majorHAnsi" w:cstheme="majorHAnsi"/>
          <w:sz w:val="22"/>
          <w:szCs w:val="22"/>
        </w:rPr>
        <w:t xml:space="preserve"> (1) (1) (1)</w:t>
      </w:r>
      <w:r w:rsidR="00BA5730" w:rsidRPr="00AA7D88">
        <w:rPr>
          <w:rFonts w:asciiTheme="majorHAnsi" w:hAnsiTheme="majorHAnsi" w:cstheme="majorHAnsi"/>
          <w:sz w:val="22"/>
          <w:szCs w:val="22"/>
        </w:rPr>
        <w:t xml:space="preserve"> but </w:t>
      </w:r>
      <w:r w:rsidR="007A1AC2" w:rsidRPr="00AA7D88">
        <w:rPr>
          <w:rFonts w:asciiTheme="majorHAnsi" w:hAnsiTheme="majorHAnsi" w:cstheme="majorHAnsi"/>
          <w:sz w:val="22"/>
          <w:szCs w:val="22"/>
        </w:rPr>
        <w:t xml:space="preserve">this </w:t>
      </w:r>
      <w:r w:rsidR="00881C39" w:rsidRPr="00AA7D88">
        <w:rPr>
          <w:rFonts w:asciiTheme="majorHAnsi" w:hAnsiTheme="majorHAnsi" w:cstheme="majorHAnsi"/>
          <w:sz w:val="22"/>
          <w:szCs w:val="22"/>
        </w:rPr>
        <w:t>can be</w:t>
      </w:r>
      <w:r w:rsidR="007A1AC2" w:rsidRPr="00AA7D88">
        <w:rPr>
          <w:rFonts w:asciiTheme="majorHAnsi" w:hAnsiTheme="majorHAnsi" w:cstheme="majorHAnsi"/>
          <w:sz w:val="22"/>
          <w:szCs w:val="22"/>
        </w:rPr>
        <w:t xml:space="preserve"> </w:t>
      </w:r>
      <w:r w:rsidRPr="00AA7D88">
        <w:rPr>
          <w:rFonts w:asciiTheme="majorHAnsi" w:hAnsiTheme="majorHAnsi" w:cstheme="majorHAnsi"/>
          <w:sz w:val="22"/>
          <w:szCs w:val="22"/>
        </w:rPr>
        <w:t>significantly higher in certain populations</w:t>
      </w:r>
      <w:r w:rsidR="00DE7AED" w:rsidRPr="00AA7D88">
        <w:rPr>
          <w:rFonts w:asciiTheme="majorHAnsi" w:hAnsiTheme="majorHAnsi" w:cstheme="majorHAnsi"/>
          <w:sz w:val="22"/>
          <w:szCs w:val="22"/>
        </w:rPr>
        <w:t xml:space="preserve"> </w:t>
      </w:r>
      <w:r w:rsidR="00735187" w:rsidRPr="00735187">
        <w:rPr>
          <w:rFonts w:ascii="Calibri" w:hAnsi="Calibri" w:cs="Calibri"/>
          <w:sz w:val="22"/>
        </w:rPr>
        <w:t>(12,13)</w:t>
      </w:r>
      <w:r w:rsidRPr="00AA7D88">
        <w:rPr>
          <w:rFonts w:asciiTheme="majorHAnsi" w:hAnsiTheme="majorHAnsi" w:cstheme="majorHAnsi"/>
          <w:sz w:val="22"/>
          <w:szCs w:val="22"/>
        </w:rPr>
        <w:t>.</w:t>
      </w:r>
      <w:r w:rsidR="006A3A7D" w:rsidRPr="00AA7D88">
        <w:rPr>
          <w:rFonts w:asciiTheme="majorHAnsi" w:hAnsiTheme="majorHAnsi" w:cstheme="majorHAnsi"/>
          <w:sz w:val="22"/>
          <w:szCs w:val="22"/>
        </w:rPr>
        <w:t xml:space="preserve"> </w:t>
      </w:r>
    </w:p>
    <w:p w14:paraId="37DB8B9C" w14:textId="592951D0" w:rsidR="00221DF7" w:rsidRPr="00AA7D88" w:rsidRDefault="007B68AD" w:rsidP="001C6EA8">
      <w:pPr>
        <w:spacing w:after="120" w:line="480" w:lineRule="auto"/>
        <w:rPr>
          <w:rFonts w:asciiTheme="majorHAnsi" w:hAnsiTheme="majorHAnsi" w:cstheme="majorHAnsi"/>
          <w:sz w:val="22"/>
          <w:szCs w:val="22"/>
        </w:rPr>
      </w:pPr>
      <w:r w:rsidRPr="00AA7D88">
        <w:rPr>
          <w:rFonts w:asciiTheme="majorHAnsi" w:hAnsiTheme="majorHAnsi" w:cstheme="majorHAnsi"/>
          <w:sz w:val="22"/>
          <w:szCs w:val="22"/>
        </w:rPr>
        <w:t>In 201</w:t>
      </w:r>
      <w:r w:rsidR="003873ED" w:rsidRPr="00AA7D88">
        <w:rPr>
          <w:rFonts w:asciiTheme="majorHAnsi" w:hAnsiTheme="majorHAnsi" w:cstheme="majorHAnsi"/>
          <w:sz w:val="22"/>
          <w:szCs w:val="22"/>
        </w:rPr>
        <w:t>2</w:t>
      </w:r>
      <w:r w:rsidR="00C22ECD" w:rsidRPr="00AA7D88">
        <w:rPr>
          <w:rFonts w:asciiTheme="majorHAnsi" w:hAnsiTheme="majorHAnsi" w:cstheme="majorHAnsi"/>
          <w:sz w:val="22"/>
          <w:szCs w:val="22"/>
        </w:rPr>
        <w:t>,</w:t>
      </w:r>
      <w:r w:rsidR="00DC3F81" w:rsidRPr="00AA7D88">
        <w:rPr>
          <w:rFonts w:asciiTheme="majorHAnsi" w:hAnsiTheme="majorHAnsi" w:cstheme="majorHAnsi"/>
          <w:sz w:val="22"/>
          <w:szCs w:val="22"/>
        </w:rPr>
        <w:t xml:space="preserve"> </w:t>
      </w:r>
      <w:r w:rsidR="00A87703" w:rsidRPr="00AA7D88">
        <w:rPr>
          <w:rFonts w:asciiTheme="majorHAnsi" w:hAnsiTheme="majorHAnsi" w:cstheme="majorHAnsi"/>
          <w:sz w:val="22"/>
          <w:szCs w:val="22"/>
        </w:rPr>
        <w:t>National Health Service</w:t>
      </w:r>
      <w:r w:rsidR="00DF6C96" w:rsidRPr="00AA7D88">
        <w:rPr>
          <w:rFonts w:asciiTheme="majorHAnsi" w:hAnsiTheme="majorHAnsi" w:cstheme="majorHAnsi"/>
          <w:sz w:val="22"/>
          <w:szCs w:val="22"/>
        </w:rPr>
        <w:t xml:space="preserve"> (NHS)</w:t>
      </w:r>
      <w:r w:rsidR="00B94882" w:rsidRPr="00AA7D88">
        <w:rPr>
          <w:rFonts w:asciiTheme="majorHAnsi" w:hAnsiTheme="majorHAnsi" w:cstheme="majorHAnsi"/>
          <w:sz w:val="22"/>
          <w:szCs w:val="22"/>
        </w:rPr>
        <w:t xml:space="preserve"> </w:t>
      </w:r>
      <w:r w:rsidR="00DF6C96" w:rsidRPr="00AA7D88">
        <w:rPr>
          <w:rFonts w:asciiTheme="majorHAnsi" w:hAnsiTheme="majorHAnsi" w:cstheme="majorHAnsi"/>
          <w:sz w:val="22"/>
          <w:szCs w:val="22"/>
        </w:rPr>
        <w:t>England</w:t>
      </w:r>
      <w:r w:rsidR="00B94882" w:rsidRPr="00AA7D88">
        <w:rPr>
          <w:rFonts w:asciiTheme="majorHAnsi" w:hAnsiTheme="majorHAnsi" w:cstheme="majorHAnsi"/>
          <w:sz w:val="22"/>
          <w:szCs w:val="22"/>
        </w:rPr>
        <w:t xml:space="preserve"> </w:t>
      </w:r>
      <w:r w:rsidR="005E10CF" w:rsidRPr="00AA7D88">
        <w:rPr>
          <w:rFonts w:asciiTheme="majorHAnsi" w:hAnsiTheme="majorHAnsi" w:cstheme="majorHAnsi"/>
          <w:sz w:val="22"/>
          <w:szCs w:val="22"/>
        </w:rPr>
        <w:t xml:space="preserve">commissioned a </w:t>
      </w:r>
      <w:r w:rsidR="00432C76" w:rsidRPr="00AA7D88">
        <w:rPr>
          <w:rFonts w:asciiTheme="majorHAnsi" w:hAnsiTheme="majorHAnsi" w:cstheme="majorHAnsi"/>
          <w:sz w:val="22"/>
          <w:szCs w:val="22"/>
        </w:rPr>
        <w:t xml:space="preserve">National </w:t>
      </w:r>
      <w:r w:rsidR="00B5246F" w:rsidRPr="00AA7D88">
        <w:rPr>
          <w:rFonts w:asciiTheme="majorHAnsi" w:hAnsiTheme="majorHAnsi" w:cstheme="majorHAnsi"/>
          <w:sz w:val="22"/>
          <w:szCs w:val="22"/>
        </w:rPr>
        <w:t>Children’s</w:t>
      </w:r>
      <w:r w:rsidR="00DC3F81" w:rsidRPr="00AA7D88">
        <w:rPr>
          <w:rFonts w:asciiTheme="majorHAnsi" w:hAnsiTheme="majorHAnsi" w:cstheme="majorHAnsi"/>
          <w:sz w:val="22"/>
          <w:szCs w:val="22"/>
        </w:rPr>
        <w:t xml:space="preserve"> </w:t>
      </w:r>
      <w:r w:rsidR="00AE3823" w:rsidRPr="00AA7D88">
        <w:rPr>
          <w:rFonts w:asciiTheme="majorHAnsi" w:hAnsiTheme="majorHAnsi" w:cstheme="majorHAnsi"/>
          <w:sz w:val="22"/>
          <w:szCs w:val="22"/>
        </w:rPr>
        <w:t xml:space="preserve">PCD </w:t>
      </w:r>
      <w:r w:rsidR="00515A84" w:rsidRPr="00AA7D88">
        <w:rPr>
          <w:rFonts w:asciiTheme="majorHAnsi" w:hAnsiTheme="majorHAnsi" w:cstheme="majorHAnsi"/>
          <w:sz w:val="22"/>
          <w:szCs w:val="22"/>
        </w:rPr>
        <w:t>M</w:t>
      </w:r>
      <w:r w:rsidR="00DC3F81" w:rsidRPr="00AA7D88">
        <w:rPr>
          <w:rFonts w:asciiTheme="majorHAnsi" w:hAnsiTheme="majorHAnsi" w:cstheme="majorHAnsi"/>
          <w:sz w:val="22"/>
          <w:szCs w:val="22"/>
        </w:rPr>
        <w:t>ana</w:t>
      </w:r>
      <w:r w:rsidR="005915D3" w:rsidRPr="00AA7D88">
        <w:rPr>
          <w:rFonts w:asciiTheme="majorHAnsi" w:hAnsiTheme="majorHAnsi" w:cstheme="majorHAnsi"/>
          <w:sz w:val="22"/>
          <w:szCs w:val="22"/>
        </w:rPr>
        <w:t>gement Service</w:t>
      </w:r>
      <w:r w:rsidR="0060096E" w:rsidRPr="00AA7D88">
        <w:rPr>
          <w:rFonts w:asciiTheme="majorHAnsi" w:hAnsiTheme="majorHAnsi" w:cstheme="majorHAnsi"/>
          <w:sz w:val="22"/>
          <w:szCs w:val="22"/>
        </w:rPr>
        <w:t xml:space="preserve"> to complement the existing diagnostic service</w:t>
      </w:r>
      <w:r w:rsidR="00F670CD" w:rsidRPr="00AA7D88">
        <w:rPr>
          <w:rFonts w:asciiTheme="majorHAnsi" w:hAnsiTheme="majorHAnsi" w:cstheme="majorHAnsi"/>
          <w:sz w:val="22"/>
          <w:szCs w:val="22"/>
        </w:rPr>
        <w:t xml:space="preserve"> </w:t>
      </w:r>
      <w:r w:rsidR="00735187" w:rsidRPr="00735187">
        <w:rPr>
          <w:rFonts w:ascii="Calibri" w:hAnsi="Calibri" w:cs="Calibri"/>
          <w:sz w:val="22"/>
        </w:rPr>
        <w:t>(14)</w:t>
      </w:r>
      <w:r w:rsidR="00FA20B5" w:rsidRPr="00AA7D88">
        <w:rPr>
          <w:rFonts w:asciiTheme="majorHAnsi" w:hAnsiTheme="majorHAnsi" w:cstheme="majorHAnsi"/>
          <w:sz w:val="22"/>
          <w:szCs w:val="22"/>
        </w:rPr>
        <w:t xml:space="preserve">. </w:t>
      </w:r>
      <w:r w:rsidR="003E3D4F" w:rsidRPr="00AA7D88">
        <w:rPr>
          <w:rFonts w:asciiTheme="majorHAnsi" w:hAnsiTheme="majorHAnsi" w:cstheme="majorHAnsi"/>
          <w:sz w:val="22"/>
          <w:szCs w:val="22"/>
        </w:rPr>
        <w:t>F</w:t>
      </w:r>
      <w:r w:rsidR="00221DF7" w:rsidRPr="00AA7D88">
        <w:rPr>
          <w:rFonts w:asciiTheme="majorHAnsi" w:hAnsiTheme="majorHAnsi" w:cstheme="majorHAnsi"/>
          <w:sz w:val="22"/>
          <w:szCs w:val="22"/>
        </w:rPr>
        <w:t>our</w:t>
      </w:r>
      <w:r w:rsidR="00515A84" w:rsidRPr="00AA7D88">
        <w:rPr>
          <w:rFonts w:asciiTheme="majorHAnsi" w:hAnsiTheme="majorHAnsi" w:cstheme="majorHAnsi"/>
          <w:sz w:val="22"/>
          <w:szCs w:val="22"/>
        </w:rPr>
        <w:t xml:space="preserve"> </w:t>
      </w:r>
      <w:r w:rsidR="00E93BE1" w:rsidRPr="00AA7D88">
        <w:rPr>
          <w:rFonts w:asciiTheme="majorHAnsi" w:hAnsiTheme="majorHAnsi" w:cstheme="majorHAnsi"/>
          <w:sz w:val="22"/>
          <w:szCs w:val="22"/>
        </w:rPr>
        <w:t xml:space="preserve">PCD </w:t>
      </w:r>
      <w:r w:rsidR="00515A84" w:rsidRPr="00AA7D88">
        <w:rPr>
          <w:rFonts w:asciiTheme="majorHAnsi" w:hAnsiTheme="majorHAnsi" w:cstheme="majorHAnsi"/>
          <w:sz w:val="22"/>
          <w:szCs w:val="22"/>
        </w:rPr>
        <w:t xml:space="preserve">centres were commissioned </w:t>
      </w:r>
      <w:r w:rsidR="00F6783D" w:rsidRPr="00AA7D88">
        <w:rPr>
          <w:rFonts w:asciiTheme="majorHAnsi" w:hAnsiTheme="majorHAnsi" w:cstheme="majorHAnsi"/>
          <w:sz w:val="22"/>
          <w:szCs w:val="22"/>
        </w:rPr>
        <w:t>to undertake annual review assessments</w:t>
      </w:r>
      <w:r w:rsidR="003873ED" w:rsidRPr="00AA7D88">
        <w:rPr>
          <w:rFonts w:asciiTheme="majorHAnsi" w:hAnsiTheme="majorHAnsi" w:cstheme="majorHAnsi"/>
          <w:sz w:val="22"/>
          <w:szCs w:val="22"/>
        </w:rPr>
        <w:t>,</w:t>
      </w:r>
      <w:r w:rsidR="00F6783D" w:rsidRPr="00AA7D88">
        <w:rPr>
          <w:rFonts w:asciiTheme="majorHAnsi" w:hAnsiTheme="majorHAnsi" w:cstheme="majorHAnsi"/>
          <w:sz w:val="22"/>
          <w:szCs w:val="22"/>
        </w:rPr>
        <w:t xml:space="preserve"> </w:t>
      </w:r>
      <w:r w:rsidR="003873ED" w:rsidRPr="00AA7D88">
        <w:rPr>
          <w:rFonts w:asciiTheme="majorHAnsi" w:hAnsiTheme="majorHAnsi" w:cstheme="majorHAnsi"/>
          <w:sz w:val="22"/>
          <w:szCs w:val="22"/>
        </w:rPr>
        <w:t xml:space="preserve">to a standardised service specification, </w:t>
      </w:r>
      <w:r w:rsidR="00592D9A" w:rsidRPr="00AA7D88">
        <w:rPr>
          <w:rFonts w:asciiTheme="majorHAnsi" w:hAnsiTheme="majorHAnsi" w:cstheme="majorHAnsi"/>
          <w:sz w:val="22"/>
          <w:szCs w:val="22"/>
        </w:rPr>
        <w:t>by a specialist PCD multi</w:t>
      </w:r>
      <w:r w:rsidR="00575CDF" w:rsidRPr="00AA7D88">
        <w:rPr>
          <w:rFonts w:asciiTheme="majorHAnsi" w:hAnsiTheme="majorHAnsi" w:cstheme="majorHAnsi"/>
          <w:sz w:val="22"/>
          <w:szCs w:val="22"/>
        </w:rPr>
        <w:t>-</w:t>
      </w:r>
      <w:r w:rsidR="00592D9A" w:rsidRPr="00AA7D88">
        <w:rPr>
          <w:rFonts w:asciiTheme="majorHAnsi" w:hAnsiTheme="majorHAnsi" w:cstheme="majorHAnsi"/>
          <w:sz w:val="22"/>
          <w:szCs w:val="22"/>
        </w:rPr>
        <w:t>disciplinary team</w:t>
      </w:r>
      <w:r w:rsidR="00575CDF" w:rsidRPr="00AA7D88">
        <w:rPr>
          <w:rFonts w:asciiTheme="majorHAnsi" w:hAnsiTheme="majorHAnsi" w:cstheme="majorHAnsi"/>
          <w:sz w:val="22"/>
          <w:szCs w:val="22"/>
        </w:rPr>
        <w:t xml:space="preserve"> (MDT)</w:t>
      </w:r>
      <w:r w:rsidR="00592D9A" w:rsidRPr="00AA7D88">
        <w:rPr>
          <w:rFonts w:asciiTheme="majorHAnsi" w:hAnsiTheme="majorHAnsi" w:cstheme="majorHAnsi"/>
          <w:sz w:val="22"/>
          <w:szCs w:val="22"/>
        </w:rPr>
        <w:t xml:space="preserve"> </w:t>
      </w:r>
      <w:r w:rsidR="00F6783D" w:rsidRPr="00AA7D88">
        <w:rPr>
          <w:rFonts w:asciiTheme="majorHAnsi" w:hAnsiTheme="majorHAnsi" w:cstheme="majorHAnsi"/>
          <w:sz w:val="22"/>
          <w:szCs w:val="22"/>
        </w:rPr>
        <w:t>on all children with PCD</w:t>
      </w:r>
      <w:r w:rsidR="005915D3" w:rsidRPr="00AA7D88">
        <w:rPr>
          <w:rFonts w:asciiTheme="majorHAnsi" w:hAnsiTheme="majorHAnsi" w:cstheme="majorHAnsi"/>
          <w:sz w:val="22"/>
          <w:szCs w:val="22"/>
        </w:rPr>
        <w:t xml:space="preserve"> in England</w:t>
      </w:r>
      <w:r w:rsidR="00F6783D" w:rsidRPr="00AA7D88">
        <w:rPr>
          <w:rFonts w:asciiTheme="majorHAnsi" w:hAnsiTheme="majorHAnsi" w:cstheme="majorHAnsi"/>
          <w:sz w:val="22"/>
          <w:szCs w:val="22"/>
        </w:rPr>
        <w:t>.</w:t>
      </w:r>
      <w:r w:rsidR="00A87703" w:rsidRPr="00AA7D88">
        <w:rPr>
          <w:rFonts w:asciiTheme="majorHAnsi" w:hAnsiTheme="majorHAnsi" w:cstheme="majorHAnsi"/>
          <w:sz w:val="22"/>
          <w:szCs w:val="22"/>
        </w:rPr>
        <w:t xml:space="preserve"> </w:t>
      </w:r>
    </w:p>
    <w:p w14:paraId="7C87ABF2" w14:textId="7299410F" w:rsidR="00702B47" w:rsidRPr="00AA7D88" w:rsidRDefault="00702B47" w:rsidP="001C6EA8">
      <w:pPr>
        <w:spacing w:after="120" w:line="480" w:lineRule="auto"/>
        <w:rPr>
          <w:rFonts w:asciiTheme="majorHAnsi" w:hAnsiTheme="majorHAnsi" w:cstheme="majorHAnsi"/>
          <w:sz w:val="22"/>
          <w:szCs w:val="22"/>
        </w:rPr>
      </w:pPr>
      <w:r w:rsidRPr="00AA7D88">
        <w:rPr>
          <w:rFonts w:asciiTheme="majorHAnsi" w:hAnsiTheme="majorHAnsi" w:cstheme="majorHAnsi"/>
          <w:sz w:val="22"/>
          <w:szCs w:val="22"/>
        </w:rPr>
        <w:t>Here w</w:t>
      </w:r>
      <w:r w:rsidR="00FA20B5" w:rsidRPr="00AA7D88">
        <w:rPr>
          <w:rFonts w:asciiTheme="majorHAnsi" w:hAnsiTheme="majorHAnsi" w:cstheme="majorHAnsi"/>
          <w:sz w:val="22"/>
          <w:szCs w:val="22"/>
        </w:rPr>
        <w:t xml:space="preserve">e </w:t>
      </w:r>
      <w:r w:rsidR="00377504" w:rsidRPr="00AA7D88">
        <w:rPr>
          <w:rFonts w:asciiTheme="majorHAnsi" w:hAnsiTheme="majorHAnsi" w:cstheme="majorHAnsi"/>
          <w:sz w:val="22"/>
          <w:szCs w:val="22"/>
        </w:rPr>
        <w:t>describe</w:t>
      </w:r>
      <w:r w:rsidR="00FA20B5" w:rsidRPr="00AA7D88">
        <w:rPr>
          <w:rFonts w:asciiTheme="majorHAnsi" w:hAnsiTheme="majorHAnsi" w:cstheme="majorHAnsi"/>
          <w:sz w:val="22"/>
          <w:szCs w:val="22"/>
        </w:rPr>
        <w:t xml:space="preserve"> </w:t>
      </w:r>
      <w:r w:rsidR="00CB74BF" w:rsidRPr="00AA7D88">
        <w:rPr>
          <w:rFonts w:asciiTheme="majorHAnsi" w:hAnsiTheme="majorHAnsi" w:cstheme="majorHAnsi"/>
          <w:sz w:val="22"/>
          <w:szCs w:val="22"/>
        </w:rPr>
        <w:t xml:space="preserve">the first full set of </w:t>
      </w:r>
      <w:r w:rsidR="0079122A" w:rsidRPr="00AA7D88">
        <w:rPr>
          <w:rFonts w:asciiTheme="majorHAnsi" w:hAnsiTheme="majorHAnsi" w:cstheme="majorHAnsi"/>
          <w:sz w:val="22"/>
          <w:szCs w:val="22"/>
        </w:rPr>
        <w:t xml:space="preserve">data collected </w:t>
      </w:r>
      <w:r w:rsidR="00C35BC3">
        <w:rPr>
          <w:rFonts w:asciiTheme="majorHAnsi" w:hAnsiTheme="majorHAnsi" w:cstheme="majorHAnsi"/>
          <w:sz w:val="22"/>
          <w:szCs w:val="22"/>
        </w:rPr>
        <w:t xml:space="preserve">from children at </w:t>
      </w:r>
      <w:r w:rsidR="00DC3F81" w:rsidRPr="00AA7D88">
        <w:rPr>
          <w:rFonts w:asciiTheme="majorHAnsi" w:hAnsiTheme="majorHAnsi" w:cstheme="majorHAnsi"/>
          <w:sz w:val="22"/>
          <w:szCs w:val="22"/>
        </w:rPr>
        <w:t>annual review</w:t>
      </w:r>
      <w:r w:rsidR="00C35BC3">
        <w:rPr>
          <w:rFonts w:asciiTheme="majorHAnsi" w:hAnsiTheme="majorHAnsi" w:cstheme="majorHAnsi"/>
          <w:sz w:val="22"/>
          <w:szCs w:val="22"/>
        </w:rPr>
        <w:t xml:space="preserve">, </w:t>
      </w:r>
      <w:r w:rsidR="00424DF2" w:rsidRPr="00AA7D88">
        <w:rPr>
          <w:rFonts w:asciiTheme="majorHAnsi" w:hAnsiTheme="majorHAnsi" w:cstheme="majorHAnsi"/>
          <w:sz w:val="22"/>
          <w:szCs w:val="22"/>
        </w:rPr>
        <w:t>in 2015</w:t>
      </w:r>
      <w:r w:rsidR="007B5CBC" w:rsidRPr="00AA7D88">
        <w:rPr>
          <w:rStyle w:val="apple-converted-space"/>
          <w:rFonts w:asciiTheme="majorHAnsi" w:hAnsiTheme="majorHAnsi" w:cstheme="majorHAnsi"/>
          <w:color w:val="000000"/>
          <w:sz w:val="22"/>
          <w:szCs w:val="22"/>
        </w:rPr>
        <w:t xml:space="preserve">. We </w:t>
      </w:r>
      <w:r w:rsidR="00533421" w:rsidRPr="00AA7D88">
        <w:rPr>
          <w:rStyle w:val="apple-converted-space"/>
          <w:rFonts w:asciiTheme="majorHAnsi" w:hAnsiTheme="majorHAnsi" w:cstheme="majorHAnsi"/>
          <w:color w:val="000000"/>
          <w:sz w:val="22"/>
          <w:szCs w:val="22"/>
        </w:rPr>
        <w:t>compar</w:t>
      </w:r>
      <w:r w:rsidR="007B5CBC" w:rsidRPr="00AA7D88">
        <w:rPr>
          <w:rStyle w:val="apple-converted-space"/>
          <w:rFonts w:asciiTheme="majorHAnsi" w:hAnsiTheme="majorHAnsi" w:cstheme="majorHAnsi"/>
          <w:color w:val="000000"/>
          <w:sz w:val="22"/>
          <w:szCs w:val="22"/>
        </w:rPr>
        <w:t>e</w:t>
      </w:r>
      <w:r w:rsidR="00A67B9C" w:rsidRPr="00AA7D88">
        <w:rPr>
          <w:rStyle w:val="apple-converted-space"/>
          <w:rFonts w:asciiTheme="majorHAnsi" w:hAnsiTheme="majorHAnsi" w:cstheme="majorHAnsi"/>
          <w:color w:val="000000"/>
          <w:sz w:val="22"/>
          <w:szCs w:val="22"/>
        </w:rPr>
        <w:t xml:space="preserve"> the</w:t>
      </w:r>
      <w:r w:rsidR="00533421" w:rsidRPr="00AA7D88">
        <w:rPr>
          <w:rStyle w:val="apple-converted-space"/>
          <w:rFonts w:asciiTheme="majorHAnsi" w:hAnsiTheme="majorHAnsi" w:cstheme="majorHAnsi"/>
          <w:color w:val="000000"/>
          <w:sz w:val="22"/>
          <w:szCs w:val="22"/>
        </w:rPr>
        <w:t xml:space="preserve"> lung function </w:t>
      </w:r>
      <w:r w:rsidR="003E6731" w:rsidRPr="00AA7D88">
        <w:rPr>
          <w:rStyle w:val="apple-converted-space"/>
          <w:rFonts w:asciiTheme="majorHAnsi" w:hAnsiTheme="majorHAnsi" w:cstheme="majorHAnsi"/>
          <w:color w:val="000000"/>
          <w:sz w:val="22"/>
          <w:szCs w:val="22"/>
        </w:rPr>
        <w:t xml:space="preserve">of children with PCD </w:t>
      </w:r>
      <w:r w:rsidR="00533421" w:rsidRPr="00AA7D88">
        <w:rPr>
          <w:rStyle w:val="apple-converted-space"/>
          <w:rFonts w:asciiTheme="majorHAnsi" w:hAnsiTheme="majorHAnsi" w:cstheme="majorHAnsi"/>
          <w:color w:val="000000"/>
          <w:sz w:val="22"/>
          <w:szCs w:val="22"/>
        </w:rPr>
        <w:t>to those with CF</w:t>
      </w:r>
      <w:r w:rsidR="00377504" w:rsidRPr="00AA7D88">
        <w:rPr>
          <w:rStyle w:val="apple-converted-space"/>
          <w:rFonts w:asciiTheme="majorHAnsi" w:hAnsiTheme="majorHAnsi" w:cstheme="majorHAnsi"/>
          <w:color w:val="000000"/>
          <w:sz w:val="22"/>
          <w:szCs w:val="22"/>
        </w:rPr>
        <w:t xml:space="preserve"> </w:t>
      </w:r>
      <w:r w:rsidR="00221DF7" w:rsidRPr="00AA7D88">
        <w:rPr>
          <w:rStyle w:val="apple-converted-space"/>
          <w:rFonts w:asciiTheme="majorHAnsi" w:hAnsiTheme="majorHAnsi" w:cstheme="majorHAnsi"/>
          <w:color w:val="000000"/>
          <w:sz w:val="22"/>
          <w:szCs w:val="22"/>
        </w:rPr>
        <w:t xml:space="preserve">in England </w:t>
      </w:r>
      <w:r w:rsidR="00377504" w:rsidRPr="00AA7D88">
        <w:rPr>
          <w:rStyle w:val="apple-converted-space"/>
          <w:rFonts w:asciiTheme="majorHAnsi" w:hAnsiTheme="majorHAnsi" w:cstheme="majorHAnsi"/>
          <w:color w:val="000000"/>
          <w:sz w:val="22"/>
          <w:szCs w:val="22"/>
        </w:rPr>
        <w:t>and identif</w:t>
      </w:r>
      <w:r w:rsidR="00A67B9C" w:rsidRPr="00AA7D88">
        <w:rPr>
          <w:rStyle w:val="apple-converted-space"/>
          <w:rFonts w:asciiTheme="majorHAnsi" w:hAnsiTheme="majorHAnsi" w:cstheme="majorHAnsi"/>
          <w:color w:val="000000"/>
          <w:sz w:val="22"/>
          <w:szCs w:val="22"/>
        </w:rPr>
        <w:t>y</w:t>
      </w:r>
      <w:r w:rsidR="00215939" w:rsidRPr="00AA7D88">
        <w:rPr>
          <w:rStyle w:val="apple-converted-space"/>
          <w:rFonts w:asciiTheme="majorHAnsi" w:hAnsiTheme="majorHAnsi" w:cstheme="majorHAnsi"/>
          <w:color w:val="000000"/>
          <w:sz w:val="22"/>
          <w:szCs w:val="22"/>
        </w:rPr>
        <w:t xml:space="preserve"> </w:t>
      </w:r>
      <w:r w:rsidR="001A623E" w:rsidRPr="00AA7D88">
        <w:rPr>
          <w:rStyle w:val="apple-converted-space"/>
          <w:rFonts w:asciiTheme="majorHAnsi" w:hAnsiTheme="majorHAnsi" w:cstheme="majorHAnsi"/>
          <w:color w:val="000000"/>
          <w:sz w:val="22"/>
          <w:szCs w:val="22"/>
        </w:rPr>
        <w:t xml:space="preserve">areas of future research that will help to </w:t>
      </w:r>
      <w:r w:rsidR="00377504" w:rsidRPr="00AA7D88">
        <w:rPr>
          <w:rStyle w:val="apple-converted-space"/>
          <w:rFonts w:asciiTheme="majorHAnsi" w:hAnsiTheme="majorHAnsi" w:cstheme="majorHAnsi"/>
          <w:color w:val="000000"/>
          <w:sz w:val="22"/>
          <w:szCs w:val="22"/>
        </w:rPr>
        <w:t>improve patient care</w:t>
      </w:r>
      <w:r w:rsidR="00E93BE1" w:rsidRPr="00AA7D88">
        <w:rPr>
          <w:rStyle w:val="apple-converted-space"/>
          <w:rFonts w:asciiTheme="majorHAnsi" w:hAnsiTheme="majorHAnsi" w:cstheme="majorHAnsi"/>
          <w:color w:val="000000"/>
          <w:sz w:val="22"/>
          <w:szCs w:val="22"/>
        </w:rPr>
        <w:t>.</w:t>
      </w:r>
      <w:r w:rsidR="00377504" w:rsidRPr="00AA7D88">
        <w:rPr>
          <w:rStyle w:val="apple-converted-space"/>
          <w:rFonts w:asciiTheme="majorHAnsi" w:hAnsiTheme="majorHAnsi" w:cstheme="majorHAnsi"/>
          <w:color w:val="000000"/>
          <w:sz w:val="22"/>
          <w:szCs w:val="22"/>
        </w:rPr>
        <w:t xml:space="preserve"> </w:t>
      </w:r>
    </w:p>
    <w:p w14:paraId="03C95E68" w14:textId="1C3C8790" w:rsidR="003F61AF" w:rsidRPr="001C6EA8" w:rsidRDefault="00594200" w:rsidP="001C6EA8">
      <w:pPr>
        <w:spacing w:after="120" w:line="480" w:lineRule="auto"/>
        <w:rPr>
          <w:rFonts w:asciiTheme="majorHAnsi" w:hAnsiTheme="majorHAnsi" w:cstheme="majorHAnsi"/>
          <w:b/>
          <w:szCs w:val="22"/>
        </w:rPr>
      </w:pPr>
      <w:r w:rsidRPr="00AA7D88">
        <w:rPr>
          <w:rFonts w:asciiTheme="majorHAnsi" w:hAnsiTheme="majorHAnsi" w:cstheme="majorHAnsi"/>
          <w:b/>
          <w:szCs w:val="22"/>
        </w:rPr>
        <w:t>METHODS</w:t>
      </w:r>
    </w:p>
    <w:p w14:paraId="5F377B9E" w14:textId="77777777" w:rsidR="0059697B" w:rsidRPr="00AA7D88" w:rsidRDefault="005915D3" w:rsidP="001C6EA8">
      <w:pPr>
        <w:spacing w:after="120" w:line="480" w:lineRule="auto"/>
        <w:rPr>
          <w:rFonts w:asciiTheme="majorHAnsi" w:hAnsiTheme="majorHAnsi" w:cstheme="majorHAnsi"/>
          <w:lang w:eastAsia="en-GB"/>
        </w:rPr>
      </w:pPr>
      <w:r w:rsidRPr="00AA7D88">
        <w:rPr>
          <w:rFonts w:asciiTheme="majorHAnsi" w:hAnsiTheme="majorHAnsi" w:cstheme="majorHAnsi"/>
          <w:lang w:eastAsia="en-GB"/>
        </w:rPr>
        <w:t>Participants</w:t>
      </w:r>
    </w:p>
    <w:p w14:paraId="6E8E534F" w14:textId="77777777" w:rsidR="00686956" w:rsidRPr="00AA7D88" w:rsidRDefault="005915D3" w:rsidP="001C6EA8">
      <w:pPr>
        <w:pStyle w:val="NormalWeb"/>
        <w:shd w:val="clear" w:color="auto" w:fill="FFFFFF"/>
        <w:spacing w:after="120" w:afterAutospacing="0" w:line="480" w:lineRule="auto"/>
        <w:rPr>
          <w:rFonts w:asciiTheme="majorHAnsi" w:hAnsiTheme="majorHAnsi" w:cstheme="majorHAnsi"/>
          <w:color w:val="000000"/>
          <w:sz w:val="22"/>
          <w:szCs w:val="22"/>
        </w:rPr>
      </w:pPr>
      <w:r w:rsidRPr="00AA7D88">
        <w:rPr>
          <w:rFonts w:asciiTheme="majorHAnsi" w:hAnsiTheme="majorHAnsi" w:cstheme="majorHAnsi"/>
          <w:sz w:val="22"/>
          <w:szCs w:val="22"/>
        </w:rPr>
        <w:t>A</w:t>
      </w:r>
      <w:r w:rsidR="00EF7236" w:rsidRPr="00AA7D88">
        <w:rPr>
          <w:rFonts w:asciiTheme="majorHAnsi" w:hAnsiTheme="majorHAnsi" w:cstheme="majorHAnsi"/>
          <w:sz w:val="22"/>
          <w:szCs w:val="22"/>
        </w:rPr>
        <w:t>ll children with a diagnosis of PCD</w:t>
      </w:r>
      <w:r w:rsidR="002F6765" w:rsidRPr="00AA7D88">
        <w:rPr>
          <w:rFonts w:asciiTheme="majorHAnsi" w:hAnsiTheme="majorHAnsi" w:cstheme="majorHAnsi"/>
          <w:sz w:val="22"/>
          <w:szCs w:val="22"/>
        </w:rPr>
        <w:t xml:space="preserve"> </w:t>
      </w:r>
      <w:r w:rsidR="00B5246F" w:rsidRPr="00AA7D88">
        <w:rPr>
          <w:rFonts w:asciiTheme="majorHAnsi" w:hAnsiTheme="majorHAnsi" w:cstheme="majorHAnsi"/>
          <w:sz w:val="22"/>
          <w:szCs w:val="22"/>
        </w:rPr>
        <w:t>who</w:t>
      </w:r>
      <w:r w:rsidR="00EF7236" w:rsidRPr="00AA7D88">
        <w:rPr>
          <w:rFonts w:asciiTheme="majorHAnsi" w:hAnsiTheme="majorHAnsi" w:cstheme="majorHAnsi"/>
          <w:sz w:val="22"/>
          <w:szCs w:val="22"/>
        </w:rPr>
        <w:t xml:space="preserve"> had a</w:t>
      </w:r>
      <w:r w:rsidRPr="00AA7D88">
        <w:rPr>
          <w:rFonts w:asciiTheme="majorHAnsi" w:hAnsiTheme="majorHAnsi" w:cstheme="majorHAnsi"/>
          <w:sz w:val="22"/>
          <w:szCs w:val="22"/>
        </w:rPr>
        <w:t>n</w:t>
      </w:r>
      <w:r w:rsidR="00EF7236" w:rsidRPr="00AA7D88">
        <w:rPr>
          <w:rFonts w:asciiTheme="majorHAnsi" w:hAnsiTheme="majorHAnsi" w:cstheme="majorHAnsi"/>
          <w:sz w:val="22"/>
          <w:szCs w:val="22"/>
        </w:rPr>
        <w:t xml:space="preserve"> annual review assessment</w:t>
      </w:r>
      <w:r w:rsidR="00EF463D" w:rsidRPr="00AA7D88">
        <w:rPr>
          <w:rFonts w:asciiTheme="majorHAnsi" w:hAnsiTheme="majorHAnsi" w:cstheme="majorHAnsi"/>
          <w:sz w:val="22"/>
          <w:szCs w:val="22"/>
        </w:rPr>
        <w:t xml:space="preserve"> </w:t>
      </w:r>
      <w:r w:rsidR="007B68AD" w:rsidRPr="00AA7D88">
        <w:rPr>
          <w:rFonts w:asciiTheme="majorHAnsi" w:hAnsiTheme="majorHAnsi" w:cstheme="majorHAnsi"/>
          <w:sz w:val="22"/>
          <w:szCs w:val="22"/>
        </w:rPr>
        <w:t>between 1</w:t>
      </w:r>
      <w:r w:rsidR="007B68AD" w:rsidRPr="00AA7D88">
        <w:rPr>
          <w:rFonts w:asciiTheme="majorHAnsi" w:hAnsiTheme="majorHAnsi" w:cstheme="majorHAnsi"/>
          <w:sz w:val="22"/>
          <w:szCs w:val="22"/>
          <w:vertAlign w:val="superscript"/>
        </w:rPr>
        <w:t>st</w:t>
      </w:r>
      <w:r w:rsidR="00424DF2" w:rsidRPr="00AA7D88">
        <w:rPr>
          <w:rFonts w:asciiTheme="majorHAnsi" w:hAnsiTheme="majorHAnsi" w:cstheme="majorHAnsi"/>
          <w:sz w:val="22"/>
          <w:szCs w:val="22"/>
        </w:rPr>
        <w:t xml:space="preserve"> January </w:t>
      </w:r>
      <w:r w:rsidR="007B68AD" w:rsidRPr="00AA7D88">
        <w:rPr>
          <w:rFonts w:asciiTheme="majorHAnsi" w:hAnsiTheme="majorHAnsi" w:cstheme="majorHAnsi"/>
          <w:sz w:val="22"/>
          <w:szCs w:val="22"/>
        </w:rPr>
        <w:t>and 31</w:t>
      </w:r>
      <w:r w:rsidR="007B68AD" w:rsidRPr="00AA7D88">
        <w:rPr>
          <w:rFonts w:asciiTheme="majorHAnsi" w:hAnsiTheme="majorHAnsi" w:cstheme="majorHAnsi"/>
          <w:sz w:val="22"/>
          <w:szCs w:val="22"/>
          <w:vertAlign w:val="superscript"/>
        </w:rPr>
        <w:t>st</w:t>
      </w:r>
      <w:r w:rsidR="00424DF2" w:rsidRPr="00AA7D88">
        <w:rPr>
          <w:rFonts w:asciiTheme="majorHAnsi" w:hAnsiTheme="majorHAnsi" w:cstheme="majorHAnsi"/>
          <w:sz w:val="22"/>
          <w:szCs w:val="22"/>
        </w:rPr>
        <w:t xml:space="preserve"> December 2015</w:t>
      </w:r>
      <w:r w:rsidR="007B68AD" w:rsidRPr="00AA7D88">
        <w:rPr>
          <w:rFonts w:asciiTheme="majorHAnsi" w:hAnsiTheme="majorHAnsi" w:cstheme="majorHAnsi"/>
          <w:sz w:val="22"/>
          <w:szCs w:val="22"/>
        </w:rPr>
        <w:t xml:space="preserve">, </w:t>
      </w:r>
      <w:r w:rsidR="00702B47" w:rsidRPr="00AA7D88">
        <w:rPr>
          <w:rFonts w:asciiTheme="majorHAnsi" w:hAnsiTheme="majorHAnsi" w:cstheme="majorHAnsi"/>
          <w:sz w:val="22"/>
          <w:szCs w:val="22"/>
        </w:rPr>
        <w:t xml:space="preserve">in one of the four </w:t>
      </w:r>
      <w:r w:rsidR="00FA5CF6" w:rsidRPr="00AA7D88">
        <w:rPr>
          <w:rFonts w:asciiTheme="majorHAnsi" w:hAnsiTheme="majorHAnsi" w:cstheme="majorHAnsi"/>
          <w:sz w:val="22"/>
          <w:szCs w:val="22"/>
        </w:rPr>
        <w:t>n</w:t>
      </w:r>
      <w:r w:rsidR="00702B47" w:rsidRPr="00AA7D88">
        <w:rPr>
          <w:rFonts w:asciiTheme="majorHAnsi" w:hAnsiTheme="majorHAnsi" w:cstheme="majorHAnsi"/>
          <w:sz w:val="22"/>
          <w:szCs w:val="22"/>
        </w:rPr>
        <w:t xml:space="preserve">ationally commissioned PCD centres </w:t>
      </w:r>
      <w:r w:rsidR="00930FC3" w:rsidRPr="00AA7D88">
        <w:rPr>
          <w:rFonts w:asciiTheme="majorHAnsi" w:hAnsiTheme="majorHAnsi" w:cstheme="majorHAnsi"/>
          <w:sz w:val="22"/>
          <w:szCs w:val="22"/>
        </w:rPr>
        <w:t>in England</w:t>
      </w:r>
      <w:r w:rsidRPr="00AA7D88">
        <w:rPr>
          <w:rFonts w:asciiTheme="majorHAnsi" w:hAnsiTheme="majorHAnsi" w:cstheme="majorHAnsi"/>
          <w:sz w:val="22"/>
          <w:szCs w:val="22"/>
        </w:rPr>
        <w:t xml:space="preserve"> were included in this study</w:t>
      </w:r>
      <w:r w:rsidR="00930FC3" w:rsidRPr="00AA7D88">
        <w:rPr>
          <w:rFonts w:asciiTheme="majorHAnsi" w:hAnsiTheme="majorHAnsi" w:cstheme="majorHAnsi"/>
          <w:sz w:val="22"/>
          <w:szCs w:val="22"/>
        </w:rPr>
        <w:t>.</w:t>
      </w:r>
      <w:r w:rsidR="003D03F9" w:rsidRPr="00AA7D88">
        <w:rPr>
          <w:rFonts w:asciiTheme="majorHAnsi" w:hAnsiTheme="majorHAnsi" w:cstheme="majorHAnsi"/>
          <w:sz w:val="22"/>
          <w:szCs w:val="22"/>
        </w:rPr>
        <w:t xml:space="preserve"> </w:t>
      </w:r>
      <w:r w:rsidR="002F6765" w:rsidRPr="00AA7D88">
        <w:rPr>
          <w:rFonts w:asciiTheme="majorHAnsi" w:hAnsiTheme="majorHAnsi" w:cstheme="majorHAnsi"/>
          <w:sz w:val="22"/>
          <w:szCs w:val="22"/>
        </w:rPr>
        <w:t>T</w:t>
      </w:r>
      <w:r w:rsidR="00B5246F" w:rsidRPr="00AA7D88">
        <w:rPr>
          <w:rFonts w:asciiTheme="majorHAnsi" w:hAnsiTheme="majorHAnsi" w:cstheme="majorHAnsi"/>
          <w:sz w:val="22"/>
          <w:szCs w:val="22"/>
        </w:rPr>
        <w:t>he diag</w:t>
      </w:r>
      <w:r w:rsidR="002F6765" w:rsidRPr="00AA7D88">
        <w:rPr>
          <w:rFonts w:asciiTheme="majorHAnsi" w:hAnsiTheme="majorHAnsi" w:cstheme="majorHAnsi"/>
          <w:sz w:val="22"/>
          <w:szCs w:val="22"/>
        </w:rPr>
        <w:t xml:space="preserve">nosis of PCD </w:t>
      </w:r>
      <w:r w:rsidR="00BC3908" w:rsidRPr="00AA7D88">
        <w:rPr>
          <w:rFonts w:asciiTheme="majorHAnsi" w:hAnsiTheme="majorHAnsi" w:cstheme="majorHAnsi"/>
          <w:sz w:val="22"/>
          <w:szCs w:val="22"/>
        </w:rPr>
        <w:t>was</w:t>
      </w:r>
      <w:r w:rsidR="002F6765" w:rsidRPr="00AA7D88">
        <w:rPr>
          <w:rFonts w:asciiTheme="majorHAnsi" w:hAnsiTheme="majorHAnsi" w:cstheme="majorHAnsi"/>
          <w:sz w:val="22"/>
          <w:szCs w:val="22"/>
        </w:rPr>
        <w:t xml:space="preserve"> confirmed by a specialist PCD diagnostic </w:t>
      </w:r>
      <w:r w:rsidR="00221DF7" w:rsidRPr="00AA7D88">
        <w:rPr>
          <w:rFonts w:asciiTheme="majorHAnsi" w:hAnsiTheme="majorHAnsi" w:cstheme="majorHAnsi"/>
          <w:sz w:val="22"/>
          <w:szCs w:val="22"/>
        </w:rPr>
        <w:t>MDT</w:t>
      </w:r>
      <w:r w:rsidR="006D4AC1" w:rsidRPr="00AA7D88">
        <w:rPr>
          <w:rFonts w:asciiTheme="majorHAnsi" w:hAnsiTheme="majorHAnsi" w:cstheme="majorHAnsi"/>
          <w:sz w:val="22"/>
          <w:szCs w:val="22"/>
        </w:rPr>
        <w:t>,</w:t>
      </w:r>
      <w:r w:rsidR="002F6765" w:rsidRPr="00AA7D88">
        <w:rPr>
          <w:rFonts w:asciiTheme="majorHAnsi" w:hAnsiTheme="majorHAnsi" w:cstheme="majorHAnsi"/>
          <w:sz w:val="22"/>
          <w:szCs w:val="22"/>
        </w:rPr>
        <w:t xml:space="preserve"> in line with</w:t>
      </w:r>
      <w:r w:rsidR="00B5246F" w:rsidRPr="00AA7D88">
        <w:rPr>
          <w:rFonts w:asciiTheme="majorHAnsi" w:hAnsiTheme="majorHAnsi" w:cstheme="majorHAnsi"/>
          <w:sz w:val="22"/>
          <w:szCs w:val="22"/>
        </w:rPr>
        <w:t xml:space="preserve"> ERS consensus guidelines</w:t>
      </w:r>
      <w:r w:rsidR="0032468F" w:rsidRPr="00AA7D88">
        <w:rPr>
          <w:rFonts w:asciiTheme="majorHAnsi" w:hAnsiTheme="majorHAnsi" w:cstheme="majorHAnsi"/>
          <w:sz w:val="22"/>
          <w:szCs w:val="22"/>
        </w:rPr>
        <w:t xml:space="preserve"> </w:t>
      </w:r>
      <w:r w:rsidR="00735187" w:rsidRPr="00735187">
        <w:rPr>
          <w:rFonts w:ascii="Calibri" w:hAnsi="Calibri" w:cs="Calibri"/>
          <w:sz w:val="22"/>
        </w:rPr>
        <w:t>(14,15)</w:t>
      </w:r>
      <w:r w:rsidR="00B5246F" w:rsidRPr="00AA7D88">
        <w:rPr>
          <w:rFonts w:asciiTheme="majorHAnsi" w:hAnsiTheme="majorHAnsi" w:cstheme="majorHAnsi"/>
          <w:sz w:val="22"/>
          <w:szCs w:val="22"/>
        </w:rPr>
        <w:t xml:space="preserve">. </w:t>
      </w:r>
      <w:r w:rsidR="003873ED" w:rsidRPr="00AA7D88">
        <w:rPr>
          <w:rFonts w:asciiTheme="majorHAnsi" w:hAnsiTheme="majorHAnsi" w:cstheme="majorHAnsi"/>
          <w:sz w:val="22"/>
          <w:szCs w:val="22"/>
        </w:rPr>
        <w:t xml:space="preserve">Annual reviews were carried out to a standardised service specification </w:t>
      </w:r>
      <w:r w:rsidR="00735187" w:rsidRPr="00735187">
        <w:rPr>
          <w:rFonts w:ascii="Calibri" w:hAnsi="Calibri" w:cs="Calibri"/>
          <w:sz w:val="22"/>
        </w:rPr>
        <w:t>(14,16)</w:t>
      </w:r>
      <w:r w:rsidR="00FA20B5" w:rsidRPr="00AA7D88">
        <w:rPr>
          <w:rFonts w:asciiTheme="majorHAnsi" w:hAnsiTheme="majorHAnsi" w:cstheme="majorHAnsi"/>
          <w:sz w:val="22"/>
          <w:szCs w:val="22"/>
        </w:rPr>
        <w:t xml:space="preserve">. To ensure that children received similar care across </w:t>
      </w:r>
      <w:r w:rsidR="00FB17F8" w:rsidRPr="00AA7D88">
        <w:rPr>
          <w:rFonts w:asciiTheme="majorHAnsi" w:hAnsiTheme="majorHAnsi" w:cstheme="majorHAnsi"/>
          <w:sz w:val="22"/>
          <w:szCs w:val="22"/>
        </w:rPr>
        <w:t>c</w:t>
      </w:r>
      <w:r w:rsidR="003873ED" w:rsidRPr="00AA7D88">
        <w:rPr>
          <w:rFonts w:asciiTheme="majorHAnsi" w:hAnsiTheme="majorHAnsi" w:cstheme="majorHAnsi"/>
          <w:sz w:val="22"/>
          <w:szCs w:val="22"/>
        </w:rPr>
        <w:t>entres</w:t>
      </w:r>
      <w:r w:rsidR="00E10693" w:rsidRPr="00AA7D88">
        <w:rPr>
          <w:rFonts w:asciiTheme="majorHAnsi" w:hAnsiTheme="majorHAnsi" w:cstheme="majorHAnsi"/>
          <w:sz w:val="22"/>
          <w:szCs w:val="22"/>
        </w:rPr>
        <w:t>,</w:t>
      </w:r>
      <w:r w:rsidR="003873ED" w:rsidRPr="00AA7D88">
        <w:rPr>
          <w:rFonts w:asciiTheme="majorHAnsi" w:hAnsiTheme="majorHAnsi" w:cstheme="majorHAnsi"/>
          <w:sz w:val="22"/>
          <w:szCs w:val="22"/>
        </w:rPr>
        <w:t xml:space="preserve"> </w:t>
      </w:r>
      <w:r w:rsidR="00E10693" w:rsidRPr="00AA7D88">
        <w:rPr>
          <w:rFonts w:asciiTheme="majorHAnsi" w:hAnsiTheme="majorHAnsi" w:cstheme="majorHAnsi"/>
          <w:sz w:val="22"/>
          <w:szCs w:val="22"/>
        </w:rPr>
        <w:t xml:space="preserve">national </w:t>
      </w:r>
      <w:r w:rsidR="00FA20B5" w:rsidRPr="00AA7D88">
        <w:rPr>
          <w:rFonts w:asciiTheme="majorHAnsi" w:hAnsiTheme="majorHAnsi" w:cstheme="majorHAnsi"/>
          <w:sz w:val="22"/>
          <w:szCs w:val="22"/>
        </w:rPr>
        <w:t xml:space="preserve">guidelines </w:t>
      </w:r>
      <w:r w:rsidR="00E10693" w:rsidRPr="00AA7D88">
        <w:rPr>
          <w:rFonts w:asciiTheme="majorHAnsi" w:hAnsiTheme="majorHAnsi" w:cstheme="majorHAnsi"/>
          <w:sz w:val="22"/>
          <w:szCs w:val="22"/>
        </w:rPr>
        <w:t>were developed, teams</w:t>
      </w:r>
      <w:r w:rsidR="00FA20B5" w:rsidRPr="00AA7D88">
        <w:rPr>
          <w:rFonts w:asciiTheme="majorHAnsi" w:hAnsiTheme="majorHAnsi" w:cstheme="majorHAnsi"/>
          <w:sz w:val="22"/>
          <w:szCs w:val="22"/>
        </w:rPr>
        <w:t xml:space="preserve"> </w:t>
      </w:r>
      <w:r w:rsidR="003873ED" w:rsidRPr="00AA7D88">
        <w:rPr>
          <w:rFonts w:asciiTheme="majorHAnsi" w:hAnsiTheme="majorHAnsi" w:cstheme="majorHAnsi"/>
          <w:sz w:val="22"/>
          <w:szCs w:val="22"/>
        </w:rPr>
        <w:t xml:space="preserve">met regularly to discuss </w:t>
      </w:r>
      <w:r w:rsidR="00FA20B5" w:rsidRPr="00AA7D88">
        <w:rPr>
          <w:rFonts w:asciiTheme="majorHAnsi" w:hAnsiTheme="majorHAnsi" w:cstheme="majorHAnsi"/>
          <w:sz w:val="22"/>
          <w:szCs w:val="22"/>
        </w:rPr>
        <w:t>clinical cases</w:t>
      </w:r>
      <w:r w:rsidR="003873ED" w:rsidRPr="00AA7D88">
        <w:rPr>
          <w:rFonts w:asciiTheme="majorHAnsi" w:hAnsiTheme="majorHAnsi" w:cstheme="majorHAnsi"/>
          <w:sz w:val="22"/>
          <w:szCs w:val="22"/>
        </w:rPr>
        <w:t xml:space="preserve"> and </w:t>
      </w:r>
      <w:r w:rsidR="00E10693" w:rsidRPr="00AA7D88">
        <w:rPr>
          <w:rFonts w:asciiTheme="majorHAnsi" w:hAnsiTheme="majorHAnsi" w:cstheme="majorHAnsi"/>
          <w:sz w:val="22"/>
          <w:szCs w:val="22"/>
        </w:rPr>
        <w:t>clinical</w:t>
      </w:r>
      <w:r w:rsidR="003873ED" w:rsidRPr="00AA7D88">
        <w:rPr>
          <w:rFonts w:asciiTheme="majorHAnsi" w:hAnsiTheme="majorHAnsi" w:cstheme="majorHAnsi"/>
          <w:sz w:val="22"/>
          <w:szCs w:val="22"/>
        </w:rPr>
        <w:t xml:space="preserve"> outcome data</w:t>
      </w:r>
      <w:r w:rsidR="00E10693" w:rsidRPr="00AA7D88">
        <w:rPr>
          <w:rFonts w:asciiTheme="majorHAnsi" w:hAnsiTheme="majorHAnsi" w:cstheme="majorHAnsi"/>
          <w:sz w:val="22"/>
          <w:szCs w:val="22"/>
        </w:rPr>
        <w:t xml:space="preserve"> w</w:t>
      </w:r>
      <w:r w:rsidR="00221DF7" w:rsidRPr="00AA7D88">
        <w:rPr>
          <w:rFonts w:asciiTheme="majorHAnsi" w:hAnsiTheme="majorHAnsi" w:cstheme="majorHAnsi"/>
          <w:sz w:val="22"/>
          <w:szCs w:val="22"/>
        </w:rPr>
        <w:t>ere</w:t>
      </w:r>
      <w:r w:rsidR="00E10693" w:rsidRPr="00AA7D88">
        <w:rPr>
          <w:rFonts w:asciiTheme="majorHAnsi" w:hAnsiTheme="majorHAnsi" w:cstheme="majorHAnsi"/>
          <w:sz w:val="22"/>
          <w:szCs w:val="22"/>
        </w:rPr>
        <w:t xml:space="preserve"> audited</w:t>
      </w:r>
      <w:r w:rsidR="003873ED" w:rsidRPr="00AA7D88">
        <w:rPr>
          <w:rFonts w:asciiTheme="majorHAnsi" w:hAnsiTheme="majorHAnsi" w:cstheme="majorHAnsi"/>
          <w:sz w:val="22"/>
          <w:szCs w:val="22"/>
        </w:rPr>
        <w:t xml:space="preserve">. </w:t>
      </w:r>
      <w:r w:rsidR="005E10CF" w:rsidRPr="00AA7D88">
        <w:rPr>
          <w:rFonts w:asciiTheme="majorHAnsi" w:hAnsiTheme="majorHAnsi" w:cstheme="majorHAnsi"/>
          <w:sz w:val="22"/>
          <w:szCs w:val="22"/>
        </w:rPr>
        <w:t>The project</w:t>
      </w:r>
      <w:r w:rsidRPr="00AA7D88">
        <w:rPr>
          <w:rFonts w:asciiTheme="majorHAnsi" w:hAnsiTheme="majorHAnsi" w:cstheme="majorHAnsi"/>
          <w:sz w:val="22"/>
          <w:szCs w:val="22"/>
        </w:rPr>
        <w:t xml:space="preserve"> was reviewed by the</w:t>
      </w:r>
      <w:r w:rsidR="005E10CF" w:rsidRPr="00AA7D88">
        <w:rPr>
          <w:rFonts w:asciiTheme="majorHAnsi" w:hAnsiTheme="majorHAnsi" w:cstheme="majorHAnsi"/>
          <w:sz w:val="22"/>
          <w:szCs w:val="22"/>
        </w:rPr>
        <w:t xml:space="preserve"> </w:t>
      </w:r>
      <w:r w:rsidR="00215939" w:rsidRPr="00AA7D88">
        <w:rPr>
          <w:rFonts w:asciiTheme="majorHAnsi" w:hAnsiTheme="majorHAnsi" w:cstheme="majorHAnsi"/>
          <w:sz w:val="22"/>
          <w:szCs w:val="22"/>
        </w:rPr>
        <w:t>Research &amp; Development</w:t>
      </w:r>
      <w:r w:rsidR="005E10CF" w:rsidRPr="00AA7D88">
        <w:rPr>
          <w:rFonts w:asciiTheme="majorHAnsi" w:hAnsiTheme="majorHAnsi" w:cstheme="majorHAnsi"/>
          <w:sz w:val="22"/>
          <w:szCs w:val="22"/>
        </w:rPr>
        <w:t xml:space="preserve"> office at</w:t>
      </w:r>
      <w:r w:rsidR="00BC3908" w:rsidRPr="00AA7D88">
        <w:rPr>
          <w:rFonts w:asciiTheme="majorHAnsi" w:hAnsiTheme="majorHAnsi" w:cstheme="majorHAnsi"/>
          <w:sz w:val="22"/>
          <w:szCs w:val="22"/>
        </w:rPr>
        <w:t xml:space="preserve"> University Hospital Southampton</w:t>
      </w:r>
      <w:r w:rsidR="005E10CF" w:rsidRPr="00AA7D88">
        <w:rPr>
          <w:rFonts w:asciiTheme="majorHAnsi" w:hAnsiTheme="majorHAnsi" w:cstheme="majorHAnsi"/>
          <w:sz w:val="22"/>
          <w:szCs w:val="22"/>
        </w:rPr>
        <w:t xml:space="preserve"> </w:t>
      </w:r>
      <w:r w:rsidR="00BC3908" w:rsidRPr="00AA7D88">
        <w:rPr>
          <w:rFonts w:asciiTheme="majorHAnsi" w:hAnsiTheme="majorHAnsi" w:cstheme="majorHAnsi"/>
          <w:sz w:val="22"/>
          <w:szCs w:val="22"/>
        </w:rPr>
        <w:t>(</w:t>
      </w:r>
      <w:r w:rsidR="005E10CF" w:rsidRPr="00AA7D88">
        <w:rPr>
          <w:rFonts w:asciiTheme="majorHAnsi" w:hAnsiTheme="majorHAnsi" w:cstheme="majorHAnsi"/>
          <w:sz w:val="22"/>
          <w:szCs w:val="22"/>
        </w:rPr>
        <w:t>UHS</w:t>
      </w:r>
      <w:r w:rsidR="00BC3908" w:rsidRPr="00AA7D88">
        <w:rPr>
          <w:rFonts w:asciiTheme="majorHAnsi" w:hAnsiTheme="majorHAnsi" w:cstheme="majorHAnsi"/>
          <w:sz w:val="22"/>
          <w:szCs w:val="22"/>
        </w:rPr>
        <w:t>)</w:t>
      </w:r>
      <w:r w:rsidR="005E10CF" w:rsidRPr="00AA7D88">
        <w:rPr>
          <w:rFonts w:asciiTheme="majorHAnsi" w:hAnsiTheme="majorHAnsi" w:cstheme="majorHAnsi"/>
          <w:sz w:val="22"/>
          <w:szCs w:val="22"/>
        </w:rPr>
        <w:t xml:space="preserve"> </w:t>
      </w:r>
      <w:r w:rsidRPr="00AA7D88">
        <w:rPr>
          <w:rFonts w:asciiTheme="majorHAnsi" w:hAnsiTheme="majorHAnsi" w:cstheme="majorHAnsi"/>
          <w:sz w:val="22"/>
          <w:szCs w:val="22"/>
        </w:rPr>
        <w:t xml:space="preserve">and </w:t>
      </w:r>
      <w:r w:rsidR="005E10CF" w:rsidRPr="00AA7D88">
        <w:rPr>
          <w:rFonts w:asciiTheme="majorHAnsi" w:hAnsiTheme="majorHAnsi" w:cstheme="majorHAnsi"/>
          <w:sz w:val="22"/>
          <w:szCs w:val="22"/>
        </w:rPr>
        <w:t>was deem</w:t>
      </w:r>
      <w:r w:rsidR="003D09BF" w:rsidRPr="00AA7D88">
        <w:rPr>
          <w:rFonts w:asciiTheme="majorHAnsi" w:hAnsiTheme="majorHAnsi" w:cstheme="majorHAnsi"/>
          <w:sz w:val="22"/>
          <w:szCs w:val="22"/>
        </w:rPr>
        <w:t>ed</w:t>
      </w:r>
      <w:r w:rsidR="005E10CF" w:rsidRPr="00AA7D88">
        <w:rPr>
          <w:rFonts w:asciiTheme="majorHAnsi" w:hAnsiTheme="majorHAnsi" w:cstheme="majorHAnsi"/>
          <w:sz w:val="22"/>
          <w:szCs w:val="22"/>
        </w:rPr>
        <w:t xml:space="preserve"> to be a service evaluation hence research ethics committee approval was not required</w:t>
      </w:r>
      <w:r w:rsidR="006F6606" w:rsidRPr="00AA7D88">
        <w:rPr>
          <w:rFonts w:asciiTheme="majorHAnsi" w:hAnsiTheme="majorHAnsi" w:cstheme="majorHAnsi"/>
          <w:sz w:val="22"/>
          <w:szCs w:val="22"/>
        </w:rPr>
        <w:t xml:space="preserve"> </w:t>
      </w:r>
      <w:r w:rsidR="00735187" w:rsidRPr="00735187">
        <w:rPr>
          <w:rFonts w:ascii="Calibri" w:hAnsi="Calibri" w:cs="Calibri"/>
          <w:sz w:val="22"/>
        </w:rPr>
        <w:t>(17)</w:t>
      </w:r>
      <w:r w:rsidR="006F6606" w:rsidRPr="00AA7D88">
        <w:rPr>
          <w:rFonts w:asciiTheme="majorHAnsi" w:hAnsiTheme="majorHAnsi" w:cstheme="majorHAnsi"/>
          <w:sz w:val="22"/>
          <w:szCs w:val="22"/>
        </w:rPr>
        <w:t xml:space="preserve">. </w:t>
      </w:r>
    </w:p>
    <w:p w14:paraId="6CC3A97E" w14:textId="283D484D" w:rsidR="003F61AF" w:rsidRPr="001C6EA8" w:rsidRDefault="00B5246F" w:rsidP="001C6EA8">
      <w:pPr>
        <w:spacing w:after="120" w:line="480" w:lineRule="auto"/>
        <w:rPr>
          <w:rFonts w:asciiTheme="majorHAnsi" w:hAnsiTheme="majorHAnsi" w:cstheme="majorHAnsi"/>
          <w:szCs w:val="22"/>
        </w:rPr>
      </w:pPr>
      <w:r w:rsidRPr="00AA7D88">
        <w:rPr>
          <w:rFonts w:asciiTheme="majorHAnsi" w:hAnsiTheme="majorHAnsi" w:cstheme="majorHAnsi"/>
          <w:szCs w:val="22"/>
        </w:rPr>
        <w:t>Data collection</w:t>
      </w:r>
    </w:p>
    <w:p w14:paraId="42EABF53" w14:textId="7B31AA72" w:rsidR="00670F49" w:rsidRPr="00AA7D88" w:rsidRDefault="002523DF" w:rsidP="001C6EA8">
      <w:pPr>
        <w:spacing w:after="120" w:line="480" w:lineRule="auto"/>
        <w:rPr>
          <w:rFonts w:asciiTheme="majorHAnsi" w:hAnsiTheme="majorHAnsi" w:cstheme="majorHAnsi"/>
          <w:sz w:val="22"/>
          <w:szCs w:val="22"/>
        </w:rPr>
      </w:pPr>
      <w:r w:rsidRPr="00AA7D88">
        <w:rPr>
          <w:rFonts w:asciiTheme="majorHAnsi" w:hAnsiTheme="majorHAnsi" w:cstheme="majorHAnsi"/>
          <w:sz w:val="22"/>
          <w:szCs w:val="22"/>
        </w:rPr>
        <w:t xml:space="preserve">Data </w:t>
      </w:r>
      <w:r w:rsidR="003D09BF" w:rsidRPr="00AA7D88">
        <w:rPr>
          <w:rFonts w:asciiTheme="majorHAnsi" w:hAnsiTheme="majorHAnsi" w:cstheme="majorHAnsi"/>
          <w:sz w:val="22"/>
          <w:szCs w:val="22"/>
        </w:rPr>
        <w:t>were extracted from</w:t>
      </w:r>
      <w:r w:rsidR="008B7388" w:rsidRPr="00AA7D88">
        <w:rPr>
          <w:rFonts w:asciiTheme="majorHAnsi" w:hAnsiTheme="majorHAnsi" w:cstheme="majorHAnsi"/>
          <w:sz w:val="22"/>
          <w:szCs w:val="22"/>
        </w:rPr>
        <w:t xml:space="preserve"> electronic and paper</w:t>
      </w:r>
      <w:r w:rsidR="003D09BF" w:rsidRPr="00AA7D88">
        <w:rPr>
          <w:rFonts w:asciiTheme="majorHAnsi" w:hAnsiTheme="majorHAnsi" w:cstheme="majorHAnsi"/>
          <w:sz w:val="22"/>
          <w:szCs w:val="22"/>
        </w:rPr>
        <w:t xml:space="preserve"> </w:t>
      </w:r>
      <w:r w:rsidR="00FC0B83" w:rsidRPr="00AA7D88">
        <w:rPr>
          <w:rFonts w:asciiTheme="majorHAnsi" w:hAnsiTheme="majorHAnsi" w:cstheme="majorHAnsi"/>
          <w:sz w:val="22"/>
          <w:szCs w:val="22"/>
        </w:rPr>
        <w:t>medical records and</w:t>
      </w:r>
      <w:r w:rsidR="009C7F47" w:rsidRPr="00AA7D88">
        <w:rPr>
          <w:rFonts w:asciiTheme="majorHAnsi" w:hAnsiTheme="majorHAnsi" w:cstheme="majorHAnsi"/>
          <w:sz w:val="22"/>
          <w:szCs w:val="22"/>
        </w:rPr>
        <w:t xml:space="preserve"> from</w:t>
      </w:r>
      <w:r w:rsidR="00FC0B83" w:rsidRPr="00AA7D88">
        <w:rPr>
          <w:rFonts w:asciiTheme="majorHAnsi" w:hAnsiTheme="majorHAnsi" w:cstheme="majorHAnsi"/>
          <w:sz w:val="22"/>
          <w:szCs w:val="22"/>
        </w:rPr>
        <w:t xml:space="preserve"> annual review reports</w:t>
      </w:r>
      <w:r w:rsidR="00702B47" w:rsidRPr="00AA7D88">
        <w:rPr>
          <w:rFonts w:asciiTheme="majorHAnsi" w:hAnsiTheme="majorHAnsi" w:cstheme="majorHAnsi"/>
          <w:sz w:val="22"/>
          <w:szCs w:val="22"/>
        </w:rPr>
        <w:t xml:space="preserve">, </w:t>
      </w:r>
      <w:r w:rsidR="00F10CE0" w:rsidRPr="00AA7D88">
        <w:rPr>
          <w:rFonts w:asciiTheme="majorHAnsi" w:hAnsiTheme="majorHAnsi" w:cstheme="majorHAnsi"/>
          <w:sz w:val="22"/>
          <w:szCs w:val="22"/>
        </w:rPr>
        <w:t>using a standardised data sheet, agreed a priori</w:t>
      </w:r>
      <w:r w:rsidR="003E3D4F" w:rsidRPr="00AA7D88">
        <w:rPr>
          <w:rFonts w:asciiTheme="majorHAnsi" w:hAnsiTheme="majorHAnsi" w:cstheme="majorHAnsi"/>
          <w:sz w:val="22"/>
          <w:szCs w:val="22"/>
        </w:rPr>
        <w:t>, with v</w:t>
      </w:r>
      <w:r w:rsidR="00F10CE0" w:rsidRPr="00AA7D88">
        <w:rPr>
          <w:rFonts w:asciiTheme="majorHAnsi" w:hAnsiTheme="majorHAnsi" w:cstheme="majorHAnsi"/>
          <w:sz w:val="22"/>
          <w:szCs w:val="22"/>
        </w:rPr>
        <w:t>ariable</w:t>
      </w:r>
      <w:r w:rsidR="00A113D7">
        <w:rPr>
          <w:rFonts w:asciiTheme="majorHAnsi" w:hAnsiTheme="majorHAnsi" w:cstheme="majorHAnsi"/>
          <w:sz w:val="22"/>
          <w:szCs w:val="22"/>
        </w:rPr>
        <w:t>s</w:t>
      </w:r>
      <w:r w:rsidR="00F10CE0" w:rsidRPr="00AA7D88">
        <w:rPr>
          <w:rFonts w:asciiTheme="majorHAnsi" w:hAnsiTheme="majorHAnsi" w:cstheme="majorHAnsi"/>
          <w:sz w:val="22"/>
          <w:szCs w:val="22"/>
        </w:rPr>
        <w:t xml:space="preserve"> </w:t>
      </w:r>
      <w:r w:rsidR="003E3D4F" w:rsidRPr="00AA7D88">
        <w:rPr>
          <w:rFonts w:asciiTheme="majorHAnsi" w:hAnsiTheme="majorHAnsi" w:cstheme="majorHAnsi"/>
          <w:sz w:val="22"/>
          <w:szCs w:val="22"/>
        </w:rPr>
        <w:t>pre-</w:t>
      </w:r>
      <w:r w:rsidR="00F10CE0" w:rsidRPr="00AA7D88">
        <w:rPr>
          <w:rFonts w:asciiTheme="majorHAnsi" w:hAnsiTheme="majorHAnsi" w:cstheme="majorHAnsi"/>
          <w:sz w:val="22"/>
          <w:szCs w:val="22"/>
        </w:rPr>
        <w:t>defin</w:t>
      </w:r>
      <w:r w:rsidR="003E3D4F" w:rsidRPr="00AA7D88">
        <w:rPr>
          <w:rFonts w:asciiTheme="majorHAnsi" w:hAnsiTheme="majorHAnsi" w:cstheme="majorHAnsi"/>
          <w:sz w:val="22"/>
          <w:szCs w:val="22"/>
        </w:rPr>
        <w:t>ed in</w:t>
      </w:r>
      <w:r w:rsidR="00F10CE0" w:rsidRPr="00AA7D88">
        <w:rPr>
          <w:rFonts w:asciiTheme="majorHAnsi" w:hAnsiTheme="majorHAnsi" w:cstheme="majorHAnsi"/>
          <w:sz w:val="22"/>
          <w:szCs w:val="22"/>
        </w:rPr>
        <w:t xml:space="preserve"> a coding manua</w:t>
      </w:r>
      <w:r w:rsidR="003E3D4F" w:rsidRPr="00AA7D88">
        <w:rPr>
          <w:rFonts w:asciiTheme="majorHAnsi" w:hAnsiTheme="majorHAnsi" w:cstheme="majorHAnsi"/>
          <w:sz w:val="22"/>
          <w:szCs w:val="22"/>
        </w:rPr>
        <w:t xml:space="preserve">l. </w:t>
      </w:r>
      <w:r w:rsidR="003873ED" w:rsidRPr="00AA7D88">
        <w:rPr>
          <w:rFonts w:asciiTheme="majorHAnsi" w:hAnsiTheme="majorHAnsi" w:cstheme="majorHAnsi"/>
          <w:sz w:val="22"/>
          <w:szCs w:val="22"/>
        </w:rPr>
        <w:t>These</w:t>
      </w:r>
      <w:r w:rsidR="00FC0B83" w:rsidRPr="00AA7D88">
        <w:rPr>
          <w:rFonts w:asciiTheme="majorHAnsi" w:hAnsiTheme="majorHAnsi" w:cstheme="majorHAnsi"/>
          <w:sz w:val="22"/>
          <w:szCs w:val="22"/>
        </w:rPr>
        <w:t xml:space="preserve"> included </w:t>
      </w:r>
      <w:r w:rsidR="00FD6A28" w:rsidRPr="00AA7D88">
        <w:rPr>
          <w:rFonts w:asciiTheme="majorHAnsi" w:hAnsiTheme="majorHAnsi" w:cstheme="majorHAnsi"/>
          <w:sz w:val="22"/>
          <w:szCs w:val="22"/>
        </w:rPr>
        <w:t>demographic</w:t>
      </w:r>
      <w:r w:rsidR="00CD3DEE" w:rsidRPr="00AA7D88">
        <w:rPr>
          <w:rFonts w:asciiTheme="majorHAnsi" w:hAnsiTheme="majorHAnsi" w:cstheme="majorHAnsi"/>
          <w:sz w:val="22"/>
          <w:szCs w:val="22"/>
        </w:rPr>
        <w:t>s</w:t>
      </w:r>
      <w:r w:rsidR="003E6731" w:rsidRPr="00AA7D88">
        <w:rPr>
          <w:rFonts w:asciiTheme="majorHAnsi" w:hAnsiTheme="majorHAnsi" w:cstheme="majorHAnsi"/>
          <w:sz w:val="22"/>
          <w:szCs w:val="22"/>
        </w:rPr>
        <w:t xml:space="preserve">, </w:t>
      </w:r>
      <w:r w:rsidR="00DB4641" w:rsidRPr="00AA7D88">
        <w:rPr>
          <w:rFonts w:asciiTheme="majorHAnsi" w:hAnsiTheme="majorHAnsi" w:cstheme="majorHAnsi"/>
          <w:sz w:val="22"/>
          <w:szCs w:val="22"/>
        </w:rPr>
        <w:t>diagnostic information</w:t>
      </w:r>
      <w:r w:rsidR="003E6731" w:rsidRPr="00AA7D88">
        <w:rPr>
          <w:rFonts w:asciiTheme="majorHAnsi" w:hAnsiTheme="majorHAnsi" w:cstheme="majorHAnsi"/>
          <w:sz w:val="22"/>
          <w:szCs w:val="22"/>
        </w:rPr>
        <w:t xml:space="preserve"> and </w:t>
      </w:r>
      <w:r w:rsidR="00FD6A28" w:rsidRPr="00AA7D88">
        <w:rPr>
          <w:rFonts w:asciiTheme="majorHAnsi" w:hAnsiTheme="majorHAnsi" w:cstheme="majorHAnsi"/>
          <w:sz w:val="22"/>
          <w:szCs w:val="22"/>
        </w:rPr>
        <w:t>a clinical review of the year</w:t>
      </w:r>
      <w:r w:rsidR="005E10CF" w:rsidRPr="00AA7D88">
        <w:rPr>
          <w:rFonts w:asciiTheme="majorHAnsi" w:hAnsiTheme="majorHAnsi" w:cstheme="majorHAnsi"/>
          <w:sz w:val="22"/>
          <w:szCs w:val="22"/>
        </w:rPr>
        <w:t xml:space="preserve">, </w:t>
      </w:r>
      <w:r w:rsidR="00EF463D" w:rsidRPr="00AA7D88">
        <w:rPr>
          <w:rFonts w:asciiTheme="majorHAnsi" w:hAnsiTheme="majorHAnsi" w:cstheme="majorHAnsi"/>
          <w:sz w:val="22"/>
          <w:szCs w:val="22"/>
        </w:rPr>
        <w:t>focused on</w:t>
      </w:r>
      <w:r w:rsidR="00D735B8" w:rsidRPr="00AA7D88">
        <w:rPr>
          <w:rFonts w:asciiTheme="majorHAnsi" w:hAnsiTheme="majorHAnsi" w:cstheme="majorHAnsi"/>
          <w:sz w:val="22"/>
          <w:szCs w:val="22"/>
        </w:rPr>
        <w:t xml:space="preserve"> respiratory, </w:t>
      </w:r>
      <w:r w:rsidR="005E10CF" w:rsidRPr="00AA7D88">
        <w:rPr>
          <w:rFonts w:asciiTheme="majorHAnsi" w:hAnsiTheme="majorHAnsi" w:cstheme="majorHAnsi"/>
          <w:sz w:val="22"/>
          <w:szCs w:val="22"/>
        </w:rPr>
        <w:t>ENT</w:t>
      </w:r>
      <w:r w:rsidR="006D4AC1" w:rsidRPr="00AA7D88">
        <w:rPr>
          <w:rFonts w:asciiTheme="majorHAnsi" w:hAnsiTheme="majorHAnsi" w:cstheme="majorHAnsi"/>
          <w:sz w:val="22"/>
          <w:szCs w:val="22"/>
        </w:rPr>
        <w:t xml:space="preserve"> </w:t>
      </w:r>
      <w:r w:rsidR="005E10CF" w:rsidRPr="00AA7D88">
        <w:rPr>
          <w:rFonts w:asciiTheme="majorHAnsi" w:hAnsiTheme="majorHAnsi" w:cstheme="majorHAnsi"/>
          <w:sz w:val="22"/>
          <w:szCs w:val="22"/>
        </w:rPr>
        <w:t>and cardiac issues</w:t>
      </w:r>
      <w:r w:rsidR="003E6731" w:rsidRPr="00AA7D88">
        <w:rPr>
          <w:rFonts w:asciiTheme="majorHAnsi" w:hAnsiTheme="majorHAnsi" w:cstheme="majorHAnsi"/>
          <w:sz w:val="22"/>
        </w:rPr>
        <w:t>.</w:t>
      </w:r>
      <w:r w:rsidR="00FD6A28" w:rsidRPr="00AA7D88">
        <w:rPr>
          <w:rFonts w:asciiTheme="majorHAnsi" w:hAnsiTheme="majorHAnsi" w:cstheme="majorHAnsi"/>
          <w:sz w:val="22"/>
          <w:szCs w:val="22"/>
        </w:rPr>
        <w:t xml:space="preserve"> </w:t>
      </w:r>
      <w:r w:rsidR="003E6731" w:rsidRPr="00AA7D88">
        <w:rPr>
          <w:rFonts w:asciiTheme="majorHAnsi" w:hAnsiTheme="majorHAnsi" w:cstheme="majorHAnsi"/>
          <w:sz w:val="22"/>
          <w:szCs w:val="22"/>
        </w:rPr>
        <w:t xml:space="preserve">Also collected were data on </w:t>
      </w:r>
      <w:r w:rsidR="00FD6A28" w:rsidRPr="00AA7D88">
        <w:rPr>
          <w:rFonts w:asciiTheme="majorHAnsi" w:hAnsiTheme="majorHAnsi" w:cstheme="majorHAnsi"/>
          <w:sz w:val="22"/>
          <w:szCs w:val="22"/>
        </w:rPr>
        <w:t>treatments</w:t>
      </w:r>
      <w:r w:rsidR="005E10CF" w:rsidRPr="00AA7D88">
        <w:rPr>
          <w:rFonts w:asciiTheme="majorHAnsi" w:hAnsiTheme="majorHAnsi" w:cstheme="majorHAnsi"/>
          <w:sz w:val="22"/>
          <w:szCs w:val="22"/>
        </w:rPr>
        <w:t xml:space="preserve">, </w:t>
      </w:r>
      <w:r w:rsidR="00DB4641" w:rsidRPr="00AA7D88">
        <w:rPr>
          <w:rFonts w:asciiTheme="majorHAnsi" w:hAnsiTheme="majorHAnsi" w:cstheme="majorHAnsi"/>
          <w:sz w:val="22"/>
          <w:szCs w:val="22"/>
        </w:rPr>
        <w:t xml:space="preserve">including </w:t>
      </w:r>
      <w:r w:rsidR="00FD6A28" w:rsidRPr="00AA7D88">
        <w:rPr>
          <w:rFonts w:asciiTheme="majorHAnsi" w:hAnsiTheme="majorHAnsi" w:cstheme="majorHAnsi"/>
          <w:sz w:val="22"/>
          <w:szCs w:val="22"/>
        </w:rPr>
        <w:t>airway clearance physiotherapy</w:t>
      </w:r>
      <w:r w:rsidR="00DB4641" w:rsidRPr="00AA7D88">
        <w:rPr>
          <w:rFonts w:asciiTheme="majorHAnsi" w:hAnsiTheme="majorHAnsi" w:cstheme="majorHAnsi"/>
          <w:sz w:val="22"/>
          <w:szCs w:val="22"/>
        </w:rPr>
        <w:t xml:space="preserve"> techniques </w:t>
      </w:r>
      <w:r w:rsidR="00CD3DEE" w:rsidRPr="00AA7D88">
        <w:rPr>
          <w:rFonts w:asciiTheme="majorHAnsi" w:hAnsiTheme="majorHAnsi" w:cstheme="majorHAnsi"/>
          <w:sz w:val="22"/>
          <w:szCs w:val="22"/>
        </w:rPr>
        <w:t>and</w:t>
      </w:r>
      <w:r w:rsidR="00DB4641" w:rsidRPr="00AA7D88">
        <w:rPr>
          <w:rFonts w:asciiTheme="majorHAnsi" w:hAnsiTheme="majorHAnsi" w:cstheme="majorHAnsi"/>
          <w:sz w:val="22"/>
          <w:szCs w:val="22"/>
        </w:rPr>
        <w:t xml:space="preserve"> adjuncts, nebulised </w:t>
      </w:r>
      <w:r w:rsidR="005E10CF" w:rsidRPr="00AA7D88">
        <w:rPr>
          <w:rFonts w:asciiTheme="majorHAnsi" w:hAnsiTheme="majorHAnsi" w:cstheme="majorHAnsi"/>
          <w:sz w:val="22"/>
          <w:szCs w:val="22"/>
        </w:rPr>
        <w:t>mucolyt</w:t>
      </w:r>
      <w:r w:rsidR="00DB4641" w:rsidRPr="00AA7D88">
        <w:rPr>
          <w:rFonts w:asciiTheme="majorHAnsi" w:hAnsiTheme="majorHAnsi" w:cstheme="majorHAnsi"/>
          <w:sz w:val="22"/>
          <w:szCs w:val="22"/>
        </w:rPr>
        <w:t>ics, antibiotic use</w:t>
      </w:r>
      <w:r w:rsidR="00EF463D" w:rsidRPr="00AA7D88">
        <w:rPr>
          <w:rFonts w:asciiTheme="majorHAnsi" w:hAnsiTheme="majorHAnsi" w:cstheme="majorHAnsi"/>
          <w:sz w:val="22"/>
          <w:szCs w:val="22"/>
        </w:rPr>
        <w:t xml:space="preserve"> (oral</w:t>
      </w:r>
      <w:r w:rsidR="005E10CF" w:rsidRPr="00AA7D88">
        <w:rPr>
          <w:rFonts w:asciiTheme="majorHAnsi" w:hAnsiTheme="majorHAnsi" w:cstheme="majorHAnsi"/>
          <w:sz w:val="22"/>
          <w:szCs w:val="22"/>
        </w:rPr>
        <w:t xml:space="preserve"> </w:t>
      </w:r>
      <w:r w:rsidR="00966236" w:rsidRPr="00AA7D88">
        <w:rPr>
          <w:rFonts w:asciiTheme="majorHAnsi" w:hAnsiTheme="majorHAnsi" w:cstheme="majorHAnsi"/>
          <w:sz w:val="22"/>
          <w:szCs w:val="22"/>
        </w:rPr>
        <w:t>and</w:t>
      </w:r>
      <w:r w:rsidR="00DB4641" w:rsidRPr="00AA7D88">
        <w:rPr>
          <w:rFonts w:asciiTheme="majorHAnsi" w:hAnsiTheme="majorHAnsi" w:cstheme="majorHAnsi"/>
          <w:sz w:val="22"/>
          <w:szCs w:val="22"/>
        </w:rPr>
        <w:t xml:space="preserve"> intra</w:t>
      </w:r>
      <w:r w:rsidR="00EF463D" w:rsidRPr="00AA7D88">
        <w:rPr>
          <w:rFonts w:asciiTheme="majorHAnsi" w:hAnsiTheme="majorHAnsi" w:cstheme="majorHAnsi"/>
          <w:sz w:val="22"/>
          <w:szCs w:val="22"/>
        </w:rPr>
        <w:t>venous</w:t>
      </w:r>
      <w:r w:rsidR="00DB4641" w:rsidRPr="00AA7D88">
        <w:rPr>
          <w:rFonts w:asciiTheme="majorHAnsi" w:hAnsiTheme="majorHAnsi" w:cstheme="majorHAnsi"/>
          <w:sz w:val="22"/>
          <w:szCs w:val="22"/>
        </w:rPr>
        <w:t>)</w:t>
      </w:r>
      <w:r w:rsidR="00EF463D" w:rsidRPr="00AA7D88">
        <w:rPr>
          <w:rFonts w:asciiTheme="majorHAnsi" w:hAnsiTheme="majorHAnsi" w:cstheme="majorHAnsi"/>
          <w:sz w:val="22"/>
          <w:szCs w:val="22"/>
        </w:rPr>
        <w:t xml:space="preserve"> both prophylactically and for exacerbations</w:t>
      </w:r>
      <w:r w:rsidR="00DB4641" w:rsidRPr="00AA7D88">
        <w:rPr>
          <w:rFonts w:asciiTheme="majorHAnsi" w:hAnsiTheme="majorHAnsi" w:cstheme="majorHAnsi"/>
          <w:sz w:val="22"/>
          <w:szCs w:val="22"/>
        </w:rPr>
        <w:t xml:space="preserve">, inhalers and nasal treatments; </w:t>
      </w:r>
      <w:r w:rsidR="005E10CF" w:rsidRPr="00AA7D88">
        <w:rPr>
          <w:rFonts w:asciiTheme="majorHAnsi" w:hAnsiTheme="majorHAnsi" w:cstheme="majorHAnsi"/>
          <w:sz w:val="22"/>
          <w:szCs w:val="22"/>
        </w:rPr>
        <w:t>a</w:t>
      </w:r>
      <w:r w:rsidR="00DB4641" w:rsidRPr="00AA7D88">
        <w:rPr>
          <w:rFonts w:asciiTheme="majorHAnsi" w:hAnsiTheme="majorHAnsi" w:cstheme="majorHAnsi"/>
          <w:sz w:val="22"/>
          <w:szCs w:val="22"/>
        </w:rPr>
        <w:t>nthrop</w:t>
      </w:r>
      <w:r w:rsidR="005E10CF" w:rsidRPr="00AA7D88">
        <w:rPr>
          <w:rFonts w:asciiTheme="majorHAnsi" w:hAnsiTheme="majorHAnsi" w:cstheme="majorHAnsi"/>
          <w:sz w:val="22"/>
          <w:szCs w:val="22"/>
        </w:rPr>
        <w:t>ometry</w:t>
      </w:r>
      <w:r w:rsidR="00CD3DEE" w:rsidRPr="00AA7D88">
        <w:rPr>
          <w:rFonts w:asciiTheme="majorHAnsi" w:hAnsiTheme="majorHAnsi" w:cstheme="majorHAnsi"/>
          <w:sz w:val="22"/>
          <w:szCs w:val="22"/>
        </w:rPr>
        <w:t>;</w:t>
      </w:r>
      <w:r w:rsidR="005E10CF" w:rsidRPr="00AA7D88">
        <w:rPr>
          <w:rFonts w:asciiTheme="majorHAnsi" w:hAnsiTheme="majorHAnsi" w:cstheme="majorHAnsi"/>
          <w:sz w:val="22"/>
          <w:szCs w:val="22"/>
        </w:rPr>
        <w:t xml:space="preserve"> and investigations, </w:t>
      </w:r>
      <w:r w:rsidR="00DB4641" w:rsidRPr="00AA7D88">
        <w:rPr>
          <w:rFonts w:asciiTheme="majorHAnsi" w:hAnsiTheme="majorHAnsi" w:cstheme="majorHAnsi"/>
          <w:sz w:val="22"/>
          <w:szCs w:val="22"/>
        </w:rPr>
        <w:t xml:space="preserve">including </w:t>
      </w:r>
      <w:r w:rsidR="00FD6A28" w:rsidRPr="00AA7D88">
        <w:rPr>
          <w:rFonts w:asciiTheme="majorHAnsi" w:hAnsiTheme="majorHAnsi" w:cstheme="majorHAnsi"/>
          <w:sz w:val="22"/>
          <w:szCs w:val="22"/>
        </w:rPr>
        <w:t>spirometry</w:t>
      </w:r>
      <w:r w:rsidR="005E10CF" w:rsidRPr="00AA7D88">
        <w:rPr>
          <w:rFonts w:asciiTheme="majorHAnsi" w:hAnsiTheme="majorHAnsi" w:cstheme="majorHAnsi"/>
          <w:sz w:val="22"/>
          <w:szCs w:val="22"/>
        </w:rPr>
        <w:t>, audiometry</w:t>
      </w:r>
      <w:r w:rsidR="00FD6A28" w:rsidRPr="00AA7D88">
        <w:rPr>
          <w:rFonts w:asciiTheme="majorHAnsi" w:hAnsiTheme="majorHAnsi" w:cstheme="majorHAnsi"/>
          <w:sz w:val="22"/>
          <w:szCs w:val="22"/>
        </w:rPr>
        <w:t xml:space="preserve"> and collection of an airway microbiology sample</w:t>
      </w:r>
      <w:r w:rsidR="005E10CF" w:rsidRPr="00AA7D88">
        <w:rPr>
          <w:rFonts w:asciiTheme="majorHAnsi" w:hAnsiTheme="majorHAnsi" w:cstheme="majorHAnsi"/>
          <w:sz w:val="22"/>
          <w:szCs w:val="22"/>
        </w:rPr>
        <w:t>.</w:t>
      </w:r>
      <w:r w:rsidR="00DA6164" w:rsidRPr="00AA7D88">
        <w:rPr>
          <w:rFonts w:asciiTheme="majorHAnsi" w:hAnsiTheme="majorHAnsi" w:cstheme="majorHAnsi"/>
          <w:sz w:val="22"/>
          <w:szCs w:val="22"/>
        </w:rPr>
        <w:t xml:space="preserve"> </w:t>
      </w:r>
      <w:r w:rsidR="00D0399B" w:rsidRPr="00AA7D88">
        <w:rPr>
          <w:rFonts w:asciiTheme="majorHAnsi" w:hAnsiTheme="majorHAnsi" w:cstheme="majorHAnsi"/>
          <w:sz w:val="22"/>
          <w:szCs w:val="22"/>
        </w:rPr>
        <w:t>Centres were contacted to clarify any discordant or missing data</w:t>
      </w:r>
      <w:r w:rsidR="00C35BC3">
        <w:rPr>
          <w:rFonts w:asciiTheme="majorHAnsi" w:hAnsiTheme="majorHAnsi" w:cstheme="majorHAnsi"/>
          <w:sz w:val="22"/>
          <w:szCs w:val="22"/>
        </w:rPr>
        <w:t>.</w:t>
      </w:r>
    </w:p>
    <w:p w14:paraId="0CFEAFCC" w14:textId="302566CE" w:rsidR="00600360" w:rsidRPr="001C6EA8" w:rsidRDefault="003873ED" w:rsidP="001C6EA8">
      <w:pPr>
        <w:spacing w:after="120" w:line="480" w:lineRule="auto"/>
        <w:rPr>
          <w:rFonts w:asciiTheme="majorHAnsi" w:hAnsiTheme="majorHAnsi" w:cstheme="majorHAnsi"/>
          <w:b/>
          <w:szCs w:val="22"/>
        </w:rPr>
      </w:pPr>
      <w:r w:rsidRPr="00AA7D88">
        <w:rPr>
          <w:rFonts w:asciiTheme="majorHAnsi" w:hAnsiTheme="majorHAnsi" w:cstheme="majorHAnsi"/>
          <w:b/>
          <w:szCs w:val="22"/>
        </w:rPr>
        <w:t>Investigations conducted at annual review assessment</w:t>
      </w:r>
    </w:p>
    <w:p w14:paraId="312FD095" w14:textId="27C9E779" w:rsidR="00600360" w:rsidRPr="00AA7D88" w:rsidRDefault="00D735B8" w:rsidP="001C6EA8">
      <w:pPr>
        <w:spacing w:after="120" w:line="480" w:lineRule="auto"/>
        <w:rPr>
          <w:rFonts w:asciiTheme="majorHAnsi" w:hAnsiTheme="majorHAnsi" w:cstheme="majorHAnsi"/>
          <w:szCs w:val="22"/>
        </w:rPr>
      </w:pPr>
      <w:r w:rsidRPr="00AA7D88">
        <w:rPr>
          <w:rFonts w:asciiTheme="majorHAnsi" w:hAnsiTheme="majorHAnsi" w:cstheme="majorHAnsi"/>
          <w:szCs w:val="22"/>
        </w:rPr>
        <w:t>Spirometry data</w:t>
      </w:r>
    </w:p>
    <w:p w14:paraId="46BC9310" w14:textId="43DCF58B" w:rsidR="00A55B54" w:rsidRPr="00AA7D88" w:rsidRDefault="003873ED" w:rsidP="001C6EA8">
      <w:pPr>
        <w:spacing w:after="120" w:line="480" w:lineRule="auto"/>
        <w:rPr>
          <w:rFonts w:asciiTheme="majorHAnsi" w:hAnsiTheme="majorHAnsi" w:cstheme="majorHAnsi"/>
          <w:sz w:val="22"/>
        </w:rPr>
      </w:pPr>
      <w:r w:rsidRPr="00AA7D88">
        <w:rPr>
          <w:rFonts w:asciiTheme="majorHAnsi" w:hAnsiTheme="majorHAnsi" w:cstheme="majorHAnsi"/>
          <w:sz w:val="22"/>
        </w:rPr>
        <w:t>E</w:t>
      </w:r>
      <w:r w:rsidR="00670F49" w:rsidRPr="00AA7D88">
        <w:rPr>
          <w:rFonts w:asciiTheme="majorHAnsi" w:hAnsiTheme="majorHAnsi" w:cstheme="majorHAnsi"/>
          <w:sz w:val="22"/>
        </w:rPr>
        <w:t xml:space="preserve">quipment was calibrated as per manufacturers’ instructions and all measurements were obtained </w:t>
      </w:r>
      <w:r w:rsidR="00CD15BE" w:rsidRPr="00AA7D88">
        <w:rPr>
          <w:rFonts w:asciiTheme="majorHAnsi" w:hAnsiTheme="majorHAnsi" w:cstheme="majorHAnsi"/>
          <w:sz w:val="22"/>
        </w:rPr>
        <w:t>according to the</w:t>
      </w:r>
      <w:r w:rsidR="00670F49" w:rsidRPr="00AA7D88">
        <w:rPr>
          <w:rFonts w:asciiTheme="majorHAnsi" w:hAnsiTheme="majorHAnsi" w:cstheme="majorHAnsi"/>
          <w:sz w:val="22"/>
        </w:rPr>
        <w:t xml:space="preserve"> ERS/ATS guid</w:t>
      </w:r>
      <w:r w:rsidR="00CD15BE" w:rsidRPr="00AA7D88">
        <w:rPr>
          <w:rFonts w:asciiTheme="majorHAnsi" w:hAnsiTheme="majorHAnsi" w:cstheme="majorHAnsi"/>
          <w:sz w:val="22"/>
        </w:rPr>
        <w:t>elines</w:t>
      </w:r>
      <w:r w:rsidR="00670F49" w:rsidRPr="00AA7D88">
        <w:rPr>
          <w:rFonts w:asciiTheme="majorHAnsi" w:hAnsiTheme="majorHAnsi" w:cstheme="majorHAnsi"/>
          <w:sz w:val="22"/>
        </w:rPr>
        <w:t xml:space="preserve"> </w:t>
      </w:r>
      <w:r w:rsidR="00735187" w:rsidRPr="00735187">
        <w:rPr>
          <w:rFonts w:ascii="Calibri" w:hAnsi="Calibri" w:cs="Calibri"/>
          <w:sz w:val="22"/>
        </w:rPr>
        <w:t>(18)</w:t>
      </w:r>
      <w:r w:rsidR="00670F49" w:rsidRPr="00AA7D88">
        <w:rPr>
          <w:rFonts w:asciiTheme="majorHAnsi" w:hAnsiTheme="majorHAnsi" w:cstheme="majorHAnsi"/>
          <w:sz w:val="22"/>
        </w:rPr>
        <w:t>.</w:t>
      </w:r>
      <w:r w:rsidR="00EF463D" w:rsidRPr="00AA7D88">
        <w:rPr>
          <w:rFonts w:asciiTheme="majorHAnsi" w:hAnsiTheme="majorHAnsi" w:cstheme="majorHAnsi"/>
          <w:sz w:val="22"/>
        </w:rPr>
        <w:t xml:space="preserve"> Global L</w:t>
      </w:r>
      <w:r w:rsidR="00670F49" w:rsidRPr="00AA7D88">
        <w:rPr>
          <w:rFonts w:asciiTheme="majorHAnsi" w:hAnsiTheme="majorHAnsi" w:cstheme="majorHAnsi"/>
          <w:sz w:val="22"/>
        </w:rPr>
        <w:t xml:space="preserve">ung </w:t>
      </w:r>
      <w:r w:rsidR="00EF463D" w:rsidRPr="00AA7D88">
        <w:rPr>
          <w:rFonts w:asciiTheme="majorHAnsi" w:hAnsiTheme="majorHAnsi" w:cstheme="majorHAnsi"/>
          <w:sz w:val="22"/>
        </w:rPr>
        <w:t>I</w:t>
      </w:r>
      <w:r w:rsidR="007B0702" w:rsidRPr="00AA7D88">
        <w:rPr>
          <w:rFonts w:asciiTheme="majorHAnsi" w:hAnsiTheme="majorHAnsi" w:cstheme="majorHAnsi"/>
          <w:sz w:val="22"/>
        </w:rPr>
        <w:t>nitiative (GLI) equations were</w:t>
      </w:r>
      <w:r w:rsidR="00670F49" w:rsidRPr="00AA7D88">
        <w:rPr>
          <w:rFonts w:asciiTheme="majorHAnsi" w:hAnsiTheme="majorHAnsi" w:cstheme="majorHAnsi"/>
          <w:sz w:val="22"/>
        </w:rPr>
        <w:t xml:space="preserve"> used </w:t>
      </w:r>
      <w:r w:rsidR="002523DF" w:rsidRPr="00AA7D88">
        <w:rPr>
          <w:rFonts w:asciiTheme="majorHAnsi" w:hAnsiTheme="majorHAnsi" w:cstheme="majorHAnsi"/>
          <w:sz w:val="22"/>
        </w:rPr>
        <w:t xml:space="preserve">to estimate </w:t>
      </w:r>
      <w:r w:rsidR="002F0013" w:rsidRPr="00AA7D88">
        <w:rPr>
          <w:rFonts w:asciiTheme="majorHAnsi" w:hAnsiTheme="majorHAnsi" w:cstheme="majorHAnsi"/>
          <w:sz w:val="22"/>
        </w:rPr>
        <w:t>z scores for f</w:t>
      </w:r>
      <w:r w:rsidR="00670F49" w:rsidRPr="00AA7D88">
        <w:rPr>
          <w:rFonts w:asciiTheme="majorHAnsi" w:hAnsiTheme="majorHAnsi" w:cstheme="majorHAnsi"/>
          <w:sz w:val="22"/>
        </w:rPr>
        <w:t xml:space="preserve">orced expiratory </w:t>
      </w:r>
      <w:r w:rsidR="007B0702" w:rsidRPr="00AA7D88">
        <w:rPr>
          <w:rFonts w:asciiTheme="majorHAnsi" w:hAnsiTheme="majorHAnsi" w:cstheme="majorHAnsi"/>
          <w:sz w:val="22"/>
        </w:rPr>
        <w:t>volume in one second (FEV</w:t>
      </w:r>
      <w:r w:rsidR="007B0702" w:rsidRPr="00AA7D88">
        <w:rPr>
          <w:rFonts w:asciiTheme="majorHAnsi" w:hAnsiTheme="majorHAnsi" w:cstheme="majorHAnsi"/>
          <w:sz w:val="22"/>
          <w:vertAlign w:val="subscript"/>
        </w:rPr>
        <w:t>1</w:t>
      </w:r>
      <w:r w:rsidR="007B0702" w:rsidRPr="00AA7D88">
        <w:rPr>
          <w:rFonts w:asciiTheme="majorHAnsi" w:hAnsiTheme="majorHAnsi" w:cstheme="majorHAnsi"/>
          <w:sz w:val="22"/>
        </w:rPr>
        <w:t>) and forced vital capacity (FVC) from the data</w:t>
      </w:r>
      <w:r w:rsidR="002523DF" w:rsidRPr="00AA7D88">
        <w:rPr>
          <w:rFonts w:asciiTheme="majorHAnsi" w:hAnsiTheme="majorHAnsi" w:cstheme="majorHAnsi"/>
          <w:sz w:val="22"/>
        </w:rPr>
        <w:t>, ethnicity</w:t>
      </w:r>
      <w:r w:rsidR="007B0702" w:rsidRPr="00AA7D88">
        <w:rPr>
          <w:rFonts w:asciiTheme="majorHAnsi" w:hAnsiTheme="majorHAnsi" w:cstheme="majorHAnsi"/>
          <w:sz w:val="22"/>
        </w:rPr>
        <w:t xml:space="preserve"> specific </w:t>
      </w:r>
      <w:r w:rsidR="002523DF" w:rsidRPr="00AA7D88">
        <w:rPr>
          <w:rFonts w:asciiTheme="majorHAnsi" w:hAnsiTheme="majorHAnsi" w:cstheme="majorHAnsi"/>
          <w:sz w:val="22"/>
        </w:rPr>
        <w:t xml:space="preserve">equations </w:t>
      </w:r>
      <w:r w:rsidR="007B0702" w:rsidRPr="00AA7D88">
        <w:rPr>
          <w:rFonts w:asciiTheme="majorHAnsi" w:hAnsiTheme="majorHAnsi" w:cstheme="majorHAnsi"/>
          <w:sz w:val="22"/>
        </w:rPr>
        <w:t>were used where available</w:t>
      </w:r>
      <w:r w:rsidR="007C6C36" w:rsidRPr="00AA7D88">
        <w:rPr>
          <w:rFonts w:asciiTheme="majorHAnsi" w:hAnsiTheme="majorHAnsi" w:cstheme="majorHAnsi"/>
          <w:sz w:val="22"/>
        </w:rPr>
        <w:t xml:space="preserve"> </w:t>
      </w:r>
      <w:r w:rsidR="00735187" w:rsidRPr="00735187">
        <w:rPr>
          <w:rFonts w:ascii="Calibri" w:hAnsi="Calibri" w:cs="Calibri"/>
          <w:sz w:val="22"/>
        </w:rPr>
        <w:t>(19)</w:t>
      </w:r>
      <w:r w:rsidR="007C6C36" w:rsidRPr="00AA7D88">
        <w:rPr>
          <w:rFonts w:asciiTheme="majorHAnsi" w:hAnsiTheme="majorHAnsi" w:cstheme="majorHAnsi"/>
          <w:sz w:val="22"/>
        </w:rPr>
        <w:t>.</w:t>
      </w:r>
      <w:r w:rsidR="00EB000D" w:rsidRPr="00AA7D88">
        <w:rPr>
          <w:rFonts w:asciiTheme="majorHAnsi" w:hAnsiTheme="majorHAnsi" w:cstheme="majorHAnsi"/>
          <w:sz w:val="22"/>
        </w:rPr>
        <w:t xml:space="preserve"> </w:t>
      </w:r>
      <w:r w:rsidR="00F517A6" w:rsidRPr="00AA7D88">
        <w:rPr>
          <w:rFonts w:asciiTheme="majorHAnsi" w:hAnsiTheme="majorHAnsi" w:cstheme="majorHAnsi"/>
          <w:sz w:val="22"/>
        </w:rPr>
        <w:t xml:space="preserve">GLI-based </w:t>
      </w:r>
      <w:r w:rsidR="00A905FC" w:rsidRPr="00AA7D88">
        <w:rPr>
          <w:rFonts w:asciiTheme="majorHAnsi" w:hAnsiTheme="majorHAnsi" w:cstheme="majorHAnsi"/>
          <w:sz w:val="22"/>
        </w:rPr>
        <w:t>FEV</w:t>
      </w:r>
      <w:r w:rsidR="00A905FC" w:rsidRPr="00AA7D88">
        <w:rPr>
          <w:rFonts w:asciiTheme="majorHAnsi" w:hAnsiTheme="majorHAnsi" w:cstheme="majorHAnsi"/>
          <w:sz w:val="22"/>
          <w:vertAlign w:val="subscript"/>
        </w:rPr>
        <w:t>1</w:t>
      </w:r>
      <w:r w:rsidR="00A905FC" w:rsidRPr="00AA7D88">
        <w:rPr>
          <w:rFonts w:asciiTheme="majorHAnsi" w:hAnsiTheme="majorHAnsi" w:cstheme="majorHAnsi"/>
          <w:sz w:val="22"/>
        </w:rPr>
        <w:t xml:space="preserve"> </w:t>
      </w:r>
      <w:r w:rsidR="00F517A6" w:rsidRPr="00AA7D88">
        <w:rPr>
          <w:rFonts w:asciiTheme="majorHAnsi" w:hAnsiTheme="majorHAnsi" w:cstheme="majorHAnsi"/>
          <w:sz w:val="22"/>
        </w:rPr>
        <w:t xml:space="preserve">z scores </w:t>
      </w:r>
      <w:r w:rsidR="00C27B3E" w:rsidRPr="00AA7D88">
        <w:rPr>
          <w:rFonts w:asciiTheme="majorHAnsi" w:hAnsiTheme="majorHAnsi" w:cstheme="majorHAnsi"/>
          <w:sz w:val="22"/>
        </w:rPr>
        <w:t>were obtained from the UK CF Registry for</w:t>
      </w:r>
      <w:r w:rsidR="00FB17F8" w:rsidRPr="00AA7D88">
        <w:rPr>
          <w:rFonts w:asciiTheme="majorHAnsi" w:hAnsiTheme="majorHAnsi" w:cstheme="majorHAnsi"/>
          <w:sz w:val="22"/>
        </w:rPr>
        <w:t xml:space="preserve"> all </w:t>
      </w:r>
      <w:r w:rsidR="00603C5A" w:rsidRPr="00AA7D88">
        <w:rPr>
          <w:rFonts w:asciiTheme="majorHAnsi" w:hAnsiTheme="majorHAnsi" w:cstheme="majorHAnsi"/>
          <w:sz w:val="22"/>
        </w:rPr>
        <w:t>English children</w:t>
      </w:r>
      <w:r w:rsidR="00FB17F8" w:rsidRPr="00AA7D88">
        <w:rPr>
          <w:rFonts w:asciiTheme="majorHAnsi" w:hAnsiTheme="majorHAnsi" w:cstheme="majorHAnsi"/>
          <w:sz w:val="22"/>
        </w:rPr>
        <w:t xml:space="preserve"> </w:t>
      </w:r>
      <w:r w:rsidR="00603C5A" w:rsidRPr="00AA7D88">
        <w:rPr>
          <w:rFonts w:asciiTheme="majorHAnsi" w:hAnsiTheme="majorHAnsi" w:cstheme="majorHAnsi"/>
          <w:sz w:val="22"/>
        </w:rPr>
        <w:t>in 2015</w:t>
      </w:r>
      <w:r w:rsidR="00A4433E" w:rsidRPr="00AA7D88">
        <w:rPr>
          <w:rFonts w:asciiTheme="majorHAnsi" w:hAnsiTheme="majorHAnsi" w:cstheme="majorHAnsi"/>
          <w:sz w:val="22"/>
        </w:rPr>
        <w:t xml:space="preserve"> for direct comparisons with our</w:t>
      </w:r>
      <w:r w:rsidR="00966236" w:rsidRPr="00AA7D88">
        <w:rPr>
          <w:rFonts w:asciiTheme="majorHAnsi" w:hAnsiTheme="majorHAnsi" w:cstheme="majorHAnsi"/>
          <w:sz w:val="22"/>
        </w:rPr>
        <w:t xml:space="preserve"> </w:t>
      </w:r>
      <w:r w:rsidR="002D17D9" w:rsidRPr="00AA7D88">
        <w:rPr>
          <w:rFonts w:asciiTheme="majorHAnsi" w:hAnsiTheme="majorHAnsi" w:cstheme="majorHAnsi"/>
          <w:sz w:val="22"/>
        </w:rPr>
        <w:t>PCD FEV</w:t>
      </w:r>
      <w:r w:rsidR="002D17D9" w:rsidRPr="00AA7D88">
        <w:rPr>
          <w:rFonts w:asciiTheme="majorHAnsi" w:hAnsiTheme="majorHAnsi" w:cstheme="majorHAnsi"/>
          <w:sz w:val="22"/>
          <w:vertAlign w:val="subscript"/>
        </w:rPr>
        <w:t>1</w:t>
      </w:r>
      <w:r w:rsidR="002D17D9" w:rsidRPr="00AA7D88">
        <w:rPr>
          <w:rFonts w:asciiTheme="majorHAnsi" w:hAnsiTheme="majorHAnsi" w:cstheme="majorHAnsi"/>
          <w:sz w:val="22"/>
        </w:rPr>
        <w:t xml:space="preserve"> data </w:t>
      </w:r>
      <w:r w:rsidR="00735187" w:rsidRPr="00735187">
        <w:rPr>
          <w:rFonts w:ascii="Calibri" w:hAnsi="Calibri" w:cs="Calibri"/>
          <w:sz w:val="22"/>
        </w:rPr>
        <w:t>(20)</w:t>
      </w:r>
      <w:r w:rsidR="002D17D9" w:rsidRPr="00AA7D88">
        <w:rPr>
          <w:rFonts w:asciiTheme="majorHAnsi" w:hAnsiTheme="majorHAnsi" w:cstheme="majorHAnsi"/>
          <w:sz w:val="22"/>
        </w:rPr>
        <w:t xml:space="preserve">. </w:t>
      </w:r>
    </w:p>
    <w:p w14:paraId="252F88DB" w14:textId="5638EEB7" w:rsidR="00600360" w:rsidRPr="00AA7D88" w:rsidRDefault="000A0830" w:rsidP="001C6EA8">
      <w:pPr>
        <w:spacing w:after="120" w:line="480" w:lineRule="auto"/>
        <w:rPr>
          <w:rFonts w:asciiTheme="majorHAnsi" w:hAnsiTheme="majorHAnsi" w:cstheme="majorHAnsi"/>
          <w:szCs w:val="22"/>
        </w:rPr>
      </w:pPr>
      <w:r w:rsidRPr="00AA7D88">
        <w:rPr>
          <w:rFonts w:asciiTheme="majorHAnsi" w:hAnsiTheme="majorHAnsi" w:cstheme="majorHAnsi"/>
          <w:szCs w:val="22"/>
        </w:rPr>
        <w:t>Audiology data</w:t>
      </w:r>
    </w:p>
    <w:p w14:paraId="00E96319" w14:textId="54DC657C" w:rsidR="00E33B85" w:rsidRPr="00AA7D88" w:rsidRDefault="00CD3DEE" w:rsidP="001C6EA8">
      <w:pPr>
        <w:spacing w:after="120" w:line="480" w:lineRule="auto"/>
        <w:rPr>
          <w:rFonts w:asciiTheme="majorHAnsi" w:hAnsiTheme="majorHAnsi" w:cstheme="majorHAnsi"/>
          <w:sz w:val="22"/>
        </w:rPr>
      </w:pPr>
      <w:r w:rsidRPr="00AA7D88">
        <w:rPr>
          <w:rFonts w:asciiTheme="majorHAnsi" w:hAnsiTheme="majorHAnsi" w:cstheme="majorHAnsi"/>
          <w:sz w:val="22"/>
        </w:rPr>
        <w:t>H</w:t>
      </w:r>
      <w:r w:rsidR="000A0830" w:rsidRPr="00AA7D88">
        <w:rPr>
          <w:rFonts w:asciiTheme="majorHAnsi" w:hAnsiTheme="majorHAnsi" w:cstheme="majorHAnsi"/>
          <w:sz w:val="22"/>
        </w:rPr>
        <w:t>earing was defined a</w:t>
      </w:r>
      <w:r w:rsidR="00836084" w:rsidRPr="00AA7D88">
        <w:rPr>
          <w:rFonts w:asciiTheme="majorHAnsi" w:hAnsiTheme="majorHAnsi" w:cstheme="majorHAnsi"/>
          <w:sz w:val="22"/>
        </w:rPr>
        <w:t xml:space="preserve">s </w:t>
      </w:r>
      <w:r w:rsidRPr="00AA7D88">
        <w:rPr>
          <w:rFonts w:asciiTheme="majorHAnsi" w:hAnsiTheme="majorHAnsi" w:cstheme="majorHAnsi"/>
          <w:sz w:val="22"/>
        </w:rPr>
        <w:t>normal i</w:t>
      </w:r>
      <w:r w:rsidR="00A55B54" w:rsidRPr="00AA7D88">
        <w:rPr>
          <w:rFonts w:asciiTheme="majorHAnsi" w:hAnsiTheme="majorHAnsi" w:cstheme="majorHAnsi"/>
          <w:sz w:val="22"/>
        </w:rPr>
        <w:t>f</w:t>
      </w:r>
      <w:r w:rsidR="000A0830" w:rsidRPr="00AA7D88">
        <w:rPr>
          <w:rFonts w:asciiTheme="majorHAnsi" w:hAnsiTheme="majorHAnsi" w:cstheme="majorHAnsi"/>
          <w:sz w:val="22"/>
        </w:rPr>
        <w:t xml:space="preserve"> &lt;20 </w:t>
      </w:r>
      <w:r w:rsidR="00C27B3E" w:rsidRPr="00AA7D88">
        <w:rPr>
          <w:rFonts w:asciiTheme="majorHAnsi" w:hAnsiTheme="majorHAnsi" w:cstheme="majorHAnsi"/>
          <w:sz w:val="22"/>
        </w:rPr>
        <w:t>dB</w:t>
      </w:r>
      <w:r w:rsidR="000A0830" w:rsidRPr="00AA7D88">
        <w:rPr>
          <w:rFonts w:asciiTheme="majorHAnsi" w:hAnsiTheme="majorHAnsi" w:cstheme="majorHAnsi"/>
          <w:sz w:val="22"/>
        </w:rPr>
        <w:t>, mild</w:t>
      </w:r>
      <w:r w:rsidRPr="00AA7D88">
        <w:rPr>
          <w:rFonts w:asciiTheme="majorHAnsi" w:hAnsiTheme="majorHAnsi" w:cstheme="majorHAnsi"/>
          <w:sz w:val="22"/>
        </w:rPr>
        <w:t xml:space="preserve"> loss</w:t>
      </w:r>
      <w:r w:rsidR="000A0830" w:rsidRPr="00AA7D88">
        <w:rPr>
          <w:rFonts w:asciiTheme="majorHAnsi" w:hAnsiTheme="majorHAnsi" w:cstheme="majorHAnsi"/>
          <w:sz w:val="22"/>
        </w:rPr>
        <w:t xml:space="preserve"> </w:t>
      </w:r>
      <w:r w:rsidRPr="00AA7D88">
        <w:rPr>
          <w:rFonts w:asciiTheme="majorHAnsi" w:hAnsiTheme="majorHAnsi" w:cstheme="majorHAnsi"/>
          <w:sz w:val="22"/>
        </w:rPr>
        <w:t>if</w:t>
      </w:r>
      <w:r w:rsidR="000A0830" w:rsidRPr="00AA7D88">
        <w:rPr>
          <w:rFonts w:asciiTheme="majorHAnsi" w:hAnsiTheme="majorHAnsi" w:cstheme="majorHAnsi"/>
          <w:sz w:val="22"/>
        </w:rPr>
        <w:t xml:space="preserve"> 20-40 </w:t>
      </w:r>
      <w:r w:rsidR="00C27B3E" w:rsidRPr="00AA7D88">
        <w:rPr>
          <w:rFonts w:asciiTheme="majorHAnsi" w:hAnsiTheme="majorHAnsi" w:cstheme="majorHAnsi"/>
          <w:sz w:val="22"/>
        </w:rPr>
        <w:t>dB</w:t>
      </w:r>
      <w:r w:rsidR="000A0830" w:rsidRPr="00AA7D88">
        <w:rPr>
          <w:rFonts w:asciiTheme="majorHAnsi" w:hAnsiTheme="majorHAnsi" w:cstheme="majorHAnsi"/>
          <w:sz w:val="22"/>
        </w:rPr>
        <w:t>, moderate</w:t>
      </w:r>
      <w:r w:rsidRPr="00AA7D88">
        <w:rPr>
          <w:rFonts w:asciiTheme="majorHAnsi" w:hAnsiTheme="majorHAnsi" w:cstheme="majorHAnsi"/>
          <w:sz w:val="22"/>
        </w:rPr>
        <w:t xml:space="preserve"> loss</w:t>
      </w:r>
      <w:r w:rsidR="000A0830" w:rsidRPr="00AA7D88">
        <w:rPr>
          <w:rFonts w:asciiTheme="majorHAnsi" w:hAnsiTheme="majorHAnsi" w:cstheme="majorHAnsi"/>
          <w:sz w:val="22"/>
        </w:rPr>
        <w:t xml:space="preserve"> </w:t>
      </w:r>
      <w:r w:rsidRPr="00AA7D88">
        <w:rPr>
          <w:rFonts w:asciiTheme="majorHAnsi" w:hAnsiTheme="majorHAnsi" w:cstheme="majorHAnsi"/>
          <w:sz w:val="22"/>
        </w:rPr>
        <w:t>if</w:t>
      </w:r>
      <w:r w:rsidR="000A0830" w:rsidRPr="00AA7D88">
        <w:rPr>
          <w:rFonts w:asciiTheme="majorHAnsi" w:hAnsiTheme="majorHAnsi" w:cstheme="majorHAnsi"/>
          <w:sz w:val="22"/>
        </w:rPr>
        <w:t xml:space="preserve"> 40-70 </w:t>
      </w:r>
      <w:r w:rsidR="00C27B3E" w:rsidRPr="00AA7D88">
        <w:rPr>
          <w:rFonts w:asciiTheme="majorHAnsi" w:hAnsiTheme="majorHAnsi" w:cstheme="majorHAnsi"/>
          <w:sz w:val="22"/>
        </w:rPr>
        <w:t>dB</w:t>
      </w:r>
      <w:r w:rsidR="000A0830" w:rsidRPr="00AA7D88">
        <w:rPr>
          <w:rFonts w:asciiTheme="majorHAnsi" w:hAnsiTheme="majorHAnsi" w:cstheme="majorHAnsi"/>
          <w:sz w:val="22"/>
        </w:rPr>
        <w:t>, severe loss</w:t>
      </w:r>
      <w:r w:rsidRPr="00AA7D88">
        <w:rPr>
          <w:rFonts w:asciiTheme="majorHAnsi" w:hAnsiTheme="majorHAnsi" w:cstheme="majorHAnsi"/>
          <w:sz w:val="22"/>
        </w:rPr>
        <w:t xml:space="preserve"> if</w:t>
      </w:r>
      <w:r w:rsidR="000A0830" w:rsidRPr="00AA7D88">
        <w:rPr>
          <w:rFonts w:asciiTheme="majorHAnsi" w:hAnsiTheme="majorHAnsi" w:cstheme="majorHAnsi"/>
          <w:sz w:val="22"/>
        </w:rPr>
        <w:t xml:space="preserve"> 70 – 95 </w:t>
      </w:r>
      <w:r w:rsidR="00C27B3E" w:rsidRPr="00AA7D88">
        <w:rPr>
          <w:rFonts w:asciiTheme="majorHAnsi" w:hAnsiTheme="majorHAnsi" w:cstheme="majorHAnsi"/>
          <w:sz w:val="22"/>
        </w:rPr>
        <w:t>dB</w:t>
      </w:r>
      <w:r w:rsidR="000A0830" w:rsidRPr="00AA7D88">
        <w:rPr>
          <w:rFonts w:asciiTheme="majorHAnsi" w:hAnsiTheme="majorHAnsi" w:cstheme="majorHAnsi"/>
          <w:sz w:val="22"/>
        </w:rPr>
        <w:t xml:space="preserve"> and profound loss</w:t>
      </w:r>
      <w:r w:rsidRPr="00AA7D88">
        <w:rPr>
          <w:rFonts w:asciiTheme="majorHAnsi" w:hAnsiTheme="majorHAnsi" w:cstheme="majorHAnsi"/>
          <w:sz w:val="22"/>
        </w:rPr>
        <w:t xml:space="preserve"> if</w:t>
      </w:r>
      <w:r w:rsidR="000A0830" w:rsidRPr="00AA7D88">
        <w:rPr>
          <w:rFonts w:asciiTheme="majorHAnsi" w:hAnsiTheme="majorHAnsi" w:cstheme="majorHAnsi"/>
          <w:sz w:val="22"/>
        </w:rPr>
        <w:t xml:space="preserve"> &gt;95 </w:t>
      </w:r>
      <w:proofErr w:type="spellStart"/>
      <w:r w:rsidR="00C27B3E" w:rsidRPr="00AA7D88">
        <w:rPr>
          <w:rFonts w:asciiTheme="majorHAnsi" w:hAnsiTheme="majorHAnsi" w:cstheme="majorHAnsi"/>
          <w:sz w:val="22"/>
        </w:rPr>
        <w:t>dB</w:t>
      </w:r>
      <w:r w:rsidR="000A0830" w:rsidRPr="00AA7D88">
        <w:rPr>
          <w:rFonts w:asciiTheme="majorHAnsi" w:hAnsiTheme="majorHAnsi" w:cstheme="majorHAnsi"/>
          <w:sz w:val="22"/>
        </w:rPr>
        <w:t>.</w:t>
      </w:r>
      <w:proofErr w:type="spellEnd"/>
    </w:p>
    <w:p w14:paraId="41A87848" w14:textId="5D49FCE3" w:rsidR="00600360" w:rsidRPr="00AA7D88" w:rsidRDefault="00EF463D" w:rsidP="001C6EA8">
      <w:pPr>
        <w:spacing w:after="120" w:line="480" w:lineRule="auto"/>
        <w:rPr>
          <w:rFonts w:asciiTheme="majorHAnsi" w:hAnsiTheme="majorHAnsi" w:cstheme="majorHAnsi"/>
          <w:szCs w:val="22"/>
        </w:rPr>
      </w:pPr>
      <w:r w:rsidRPr="00AA7D88">
        <w:rPr>
          <w:rFonts w:asciiTheme="majorHAnsi" w:hAnsiTheme="majorHAnsi" w:cstheme="majorHAnsi"/>
          <w:szCs w:val="22"/>
        </w:rPr>
        <w:t xml:space="preserve">Anthropometric </w:t>
      </w:r>
      <w:r w:rsidR="000A0830" w:rsidRPr="00AA7D88">
        <w:rPr>
          <w:rFonts w:asciiTheme="majorHAnsi" w:hAnsiTheme="majorHAnsi" w:cstheme="majorHAnsi"/>
          <w:szCs w:val="22"/>
        </w:rPr>
        <w:t>data</w:t>
      </w:r>
    </w:p>
    <w:p w14:paraId="68A4A0C2" w14:textId="3F1FC501" w:rsidR="000A0830" w:rsidRPr="00AA7D88" w:rsidRDefault="002523DF" w:rsidP="001C6EA8">
      <w:pPr>
        <w:spacing w:after="120" w:line="480" w:lineRule="auto"/>
        <w:rPr>
          <w:rFonts w:asciiTheme="majorHAnsi" w:hAnsiTheme="majorHAnsi" w:cstheme="majorHAnsi"/>
          <w:sz w:val="22"/>
        </w:rPr>
      </w:pPr>
      <w:r w:rsidRPr="00AA7D88">
        <w:rPr>
          <w:rFonts w:asciiTheme="majorHAnsi" w:hAnsiTheme="majorHAnsi" w:cstheme="majorHAnsi"/>
          <w:sz w:val="22"/>
        </w:rPr>
        <w:t xml:space="preserve">Height and </w:t>
      </w:r>
      <w:r w:rsidR="000A0830" w:rsidRPr="00AA7D88">
        <w:rPr>
          <w:rFonts w:asciiTheme="majorHAnsi" w:hAnsiTheme="majorHAnsi" w:cstheme="majorHAnsi"/>
          <w:sz w:val="22"/>
        </w:rPr>
        <w:t xml:space="preserve">weight </w:t>
      </w:r>
      <w:r w:rsidR="00DB4641" w:rsidRPr="00AA7D88">
        <w:rPr>
          <w:rFonts w:asciiTheme="majorHAnsi" w:hAnsiTheme="majorHAnsi" w:cstheme="majorHAnsi"/>
          <w:sz w:val="22"/>
        </w:rPr>
        <w:t xml:space="preserve">were performed and recorded in accordance with World Health Organisation (WHO) guidelines </w:t>
      </w:r>
      <w:r w:rsidR="00EE53F4" w:rsidRPr="00AA7D88">
        <w:rPr>
          <w:rFonts w:asciiTheme="majorHAnsi" w:hAnsiTheme="majorHAnsi" w:cstheme="majorHAnsi"/>
          <w:sz w:val="22"/>
        </w:rPr>
        <w:t>(2</w:t>
      </w:r>
      <w:r w:rsidR="00AC2755">
        <w:rPr>
          <w:rFonts w:asciiTheme="majorHAnsi" w:hAnsiTheme="majorHAnsi" w:cstheme="majorHAnsi"/>
          <w:sz w:val="22"/>
        </w:rPr>
        <w:t>1</w:t>
      </w:r>
      <w:r w:rsidR="00F67C2B" w:rsidRPr="00AA7D88">
        <w:rPr>
          <w:rFonts w:asciiTheme="majorHAnsi" w:hAnsiTheme="majorHAnsi" w:cstheme="majorHAnsi"/>
          <w:sz w:val="22"/>
        </w:rPr>
        <w:t>)</w:t>
      </w:r>
      <w:r w:rsidR="00DB4641" w:rsidRPr="00AA7D88">
        <w:rPr>
          <w:rFonts w:asciiTheme="majorHAnsi" w:hAnsiTheme="majorHAnsi" w:cstheme="majorHAnsi"/>
          <w:sz w:val="22"/>
        </w:rPr>
        <w:t xml:space="preserve">. </w:t>
      </w:r>
      <w:r w:rsidR="00741693" w:rsidRPr="00AA7D88">
        <w:rPr>
          <w:rFonts w:asciiTheme="majorHAnsi" w:hAnsiTheme="majorHAnsi" w:cstheme="majorHAnsi"/>
          <w:sz w:val="22"/>
        </w:rPr>
        <w:t xml:space="preserve">Body mass index (BMI) z scores were calculated using the WHO Anthro </w:t>
      </w:r>
      <w:r w:rsidR="002D1B58" w:rsidRPr="00AA7D88">
        <w:rPr>
          <w:rFonts w:asciiTheme="majorHAnsi" w:hAnsiTheme="majorHAnsi" w:cstheme="majorHAnsi"/>
          <w:sz w:val="22"/>
        </w:rPr>
        <w:t xml:space="preserve">Plus </w:t>
      </w:r>
      <w:r w:rsidR="00741693" w:rsidRPr="00AA7D88">
        <w:rPr>
          <w:rFonts w:asciiTheme="majorHAnsi" w:hAnsiTheme="majorHAnsi" w:cstheme="majorHAnsi"/>
          <w:sz w:val="22"/>
        </w:rPr>
        <w:t xml:space="preserve">software version 3.2.2. </w:t>
      </w:r>
    </w:p>
    <w:p w14:paraId="46D144AF" w14:textId="1108C173" w:rsidR="00600360" w:rsidRPr="00AA7D88" w:rsidRDefault="0059697B" w:rsidP="001C6EA8">
      <w:pPr>
        <w:spacing w:after="120" w:line="480" w:lineRule="auto"/>
        <w:rPr>
          <w:rFonts w:asciiTheme="majorHAnsi" w:hAnsiTheme="majorHAnsi" w:cstheme="majorHAnsi"/>
        </w:rPr>
      </w:pPr>
      <w:r w:rsidRPr="00AA7D88">
        <w:rPr>
          <w:rFonts w:asciiTheme="majorHAnsi" w:hAnsiTheme="majorHAnsi" w:cstheme="majorHAnsi"/>
        </w:rPr>
        <w:t>Statistic</w:t>
      </w:r>
      <w:r w:rsidR="002E26DA" w:rsidRPr="00AA7D88">
        <w:rPr>
          <w:rFonts w:asciiTheme="majorHAnsi" w:hAnsiTheme="majorHAnsi" w:cstheme="majorHAnsi"/>
        </w:rPr>
        <w:t>al analyses</w:t>
      </w:r>
    </w:p>
    <w:p w14:paraId="18C5D4A7" w14:textId="71492302" w:rsidR="00BD41C6" w:rsidRPr="00AA7D88" w:rsidRDefault="00BF5484" w:rsidP="001C6EA8">
      <w:pPr>
        <w:spacing w:after="120" w:line="480" w:lineRule="auto"/>
        <w:rPr>
          <w:rFonts w:asciiTheme="majorHAnsi" w:hAnsiTheme="majorHAnsi" w:cstheme="majorHAnsi"/>
          <w:sz w:val="22"/>
          <w:szCs w:val="22"/>
        </w:rPr>
      </w:pPr>
      <w:r w:rsidRPr="00AA7D88">
        <w:rPr>
          <w:rFonts w:asciiTheme="majorHAnsi" w:hAnsiTheme="majorHAnsi" w:cstheme="majorHAnsi"/>
          <w:sz w:val="22"/>
          <w:szCs w:val="22"/>
        </w:rPr>
        <w:t>Data were cleaned, coded and analysed in S</w:t>
      </w:r>
      <w:r w:rsidR="003B1F89" w:rsidRPr="00AA7D88">
        <w:rPr>
          <w:rFonts w:asciiTheme="majorHAnsi" w:hAnsiTheme="majorHAnsi" w:cstheme="majorHAnsi"/>
          <w:sz w:val="22"/>
          <w:szCs w:val="22"/>
        </w:rPr>
        <w:t>tata</w:t>
      </w:r>
      <w:r w:rsidRPr="00AA7D88">
        <w:rPr>
          <w:rFonts w:asciiTheme="majorHAnsi" w:hAnsiTheme="majorHAnsi" w:cstheme="majorHAnsi"/>
          <w:sz w:val="22"/>
          <w:szCs w:val="22"/>
        </w:rPr>
        <w:t xml:space="preserve"> </w:t>
      </w:r>
      <w:r w:rsidR="00BF2E61" w:rsidRPr="00AA7D88">
        <w:rPr>
          <w:rFonts w:asciiTheme="majorHAnsi" w:hAnsiTheme="majorHAnsi" w:cstheme="majorHAnsi"/>
          <w:sz w:val="22"/>
          <w:szCs w:val="22"/>
        </w:rPr>
        <w:t>(</w:t>
      </w:r>
      <w:r w:rsidRPr="00AA7D88">
        <w:rPr>
          <w:rFonts w:asciiTheme="majorHAnsi" w:hAnsiTheme="majorHAnsi" w:cstheme="majorHAnsi"/>
          <w:sz w:val="22"/>
          <w:szCs w:val="22"/>
        </w:rPr>
        <w:t>version 14.0</w:t>
      </w:r>
      <w:r w:rsidR="00BF2E61" w:rsidRPr="00AA7D88">
        <w:rPr>
          <w:rFonts w:asciiTheme="majorHAnsi" w:hAnsiTheme="majorHAnsi" w:cstheme="majorHAnsi"/>
          <w:sz w:val="22"/>
          <w:szCs w:val="22"/>
        </w:rPr>
        <w:t>, Stata Corp, Texas, USA)</w:t>
      </w:r>
      <w:r w:rsidRPr="00AA7D88">
        <w:rPr>
          <w:rFonts w:asciiTheme="majorHAnsi" w:hAnsiTheme="majorHAnsi" w:cstheme="majorHAnsi"/>
          <w:sz w:val="22"/>
          <w:szCs w:val="22"/>
        </w:rPr>
        <w:t xml:space="preserve">. </w:t>
      </w:r>
      <w:r w:rsidR="00680FF3" w:rsidRPr="00AA7D88">
        <w:rPr>
          <w:rFonts w:asciiTheme="majorHAnsi" w:hAnsiTheme="majorHAnsi" w:cstheme="majorHAnsi"/>
          <w:sz w:val="22"/>
          <w:szCs w:val="22"/>
        </w:rPr>
        <w:t>C</w:t>
      </w:r>
      <w:r w:rsidRPr="00AA7D88">
        <w:rPr>
          <w:rFonts w:asciiTheme="majorHAnsi" w:hAnsiTheme="majorHAnsi" w:cstheme="majorHAnsi"/>
          <w:sz w:val="22"/>
          <w:szCs w:val="22"/>
        </w:rPr>
        <w:t>ontinuous variables were presented as mean</w:t>
      </w:r>
      <w:r w:rsidR="00C27B3E" w:rsidRPr="00AA7D88">
        <w:rPr>
          <w:rFonts w:asciiTheme="majorHAnsi" w:hAnsiTheme="majorHAnsi" w:cstheme="majorHAnsi"/>
          <w:sz w:val="22"/>
          <w:szCs w:val="22"/>
        </w:rPr>
        <w:t xml:space="preserve"> with standard deviation (SD)</w:t>
      </w:r>
      <w:r w:rsidRPr="00AA7D88">
        <w:rPr>
          <w:rFonts w:asciiTheme="majorHAnsi" w:hAnsiTheme="majorHAnsi" w:cstheme="majorHAnsi"/>
          <w:sz w:val="22"/>
          <w:szCs w:val="22"/>
        </w:rPr>
        <w:t xml:space="preserve"> or median</w:t>
      </w:r>
      <w:r w:rsidR="00C27B3E" w:rsidRPr="00AA7D88">
        <w:rPr>
          <w:rFonts w:asciiTheme="majorHAnsi" w:hAnsiTheme="majorHAnsi" w:cstheme="majorHAnsi"/>
          <w:sz w:val="22"/>
          <w:szCs w:val="22"/>
        </w:rPr>
        <w:t xml:space="preserve"> with inter-quarter range (IQR)</w:t>
      </w:r>
      <w:r w:rsidR="00EE6046">
        <w:rPr>
          <w:rFonts w:asciiTheme="majorHAnsi" w:hAnsiTheme="majorHAnsi" w:cstheme="majorHAnsi"/>
          <w:sz w:val="22"/>
          <w:szCs w:val="22"/>
        </w:rPr>
        <w:t>.G</w:t>
      </w:r>
      <w:r w:rsidR="007728FB" w:rsidRPr="00AA7D88">
        <w:rPr>
          <w:rFonts w:asciiTheme="majorHAnsi" w:hAnsiTheme="majorHAnsi" w:cstheme="majorHAnsi"/>
          <w:sz w:val="22"/>
          <w:szCs w:val="22"/>
        </w:rPr>
        <w:t xml:space="preserve">roups were </w:t>
      </w:r>
      <w:r w:rsidR="009C7F47" w:rsidRPr="00AA7D88">
        <w:rPr>
          <w:rFonts w:asciiTheme="majorHAnsi" w:hAnsiTheme="majorHAnsi" w:cstheme="majorHAnsi"/>
          <w:sz w:val="22"/>
          <w:szCs w:val="22"/>
        </w:rPr>
        <w:t>compared using independent t-tests, Mann-Whitney and Kruskal-Wallis tests.</w:t>
      </w:r>
      <w:r w:rsidR="00862391">
        <w:rPr>
          <w:rFonts w:asciiTheme="majorHAnsi" w:hAnsiTheme="majorHAnsi" w:cstheme="majorHAnsi"/>
          <w:sz w:val="22"/>
          <w:szCs w:val="22"/>
        </w:rPr>
        <w:t xml:space="preserve"> Post-hoc</w:t>
      </w:r>
      <w:r w:rsidR="00B1556C">
        <w:rPr>
          <w:rFonts w:asciiTheme="majorHAnsi" w:hAnsiTheme="majorHAnsi" w:cstheme="majorHAnsi"/>
          <w:sz w:val="22"/>
          <w:szCs w:val="22"/>
        </w:rPr>
        <w:t xml:space="preserve"> for pairwise comparisons</w:t>
      </w:r>
      <w:r w:rsidR="00862391">
        <w:rPr>
          <w:rFonts w:asciiTheme="majorHAnsi" w:hAnsiTheme="majorHAnsi" w:cstheme="majorHAnsi"/>
          <w:sz w:val="22"/>
          <w:szCs w:val="22"/>
        </w:rPr>
        <w:t xml:space="preserve"> were performed</w:t>
      </w:r>
      <w:r w:rsidR="00B1556C">
        <w:rPr>
          <w:rFonts w:asciiTheme="majorHAnsi" w:hAnsiTheme="majorHAnsi" w:cstheme="majorHAnsi"/>
          <w:sz w:val="22"/>
          <w:szCs w:val="22"/>
        </w:rPr>
        <w:t xml:space="preserve"> for FEV</w:t>
      </w:r>
      <w:r w:rsidR="00B1556C" w:rsidRPr="00050C88">
        <w:rPr>
          <w:rFonts w:asciiTheme="majorHAnsi" w:hAnsiTheme="majorHAnsi" w:cstheme="majorHAnsi"/>
          <w:sz w:val="22"/>
          <w:szCs w:val="22"/>
          <w:vertAlign w:val="subscript"/>
        </w:rPr>
        <w:t>1</w:t>
      </w:r>
      <w:r w:rsidR="00B1556C">
        <w:rPr>
          <w:rFonts w:asciiTheme="majorHAnsi" w:hAnsiTheme="majorHAnsi" w:cstheme="majorHAnsi"/>
          <w:sz w:val="22"/>
          <w:szCs w:val="22"/>
        </w:rPr>
        <w:t xml:space="preserve"> % predicted and age categories, with</w:t>
      </w:r>
      <w:r w:rsidR="00862391">
        <w:rPr>
          <w:rFonts w:asciiTheme="majorHAnsi" w:hAnsiTheme="majorHAnsi" w:cstheme="majorHAnsi"/>
          <w:sz w:val="22"/>
          <w:szCs w:val="22"/>
        </w:rPr>
        <w:t xml:space="preserve"> </w:t>
      </w:r>
      <w:r w:rsidR="00E372F8">
        <w:rPr>
          <w:rFonts w:asciiTheme="majorHAnsi" w:hAnsiTheme="majorHAnsi" w:cstheme="majorHAnsi"/>
          <w:sz w:val="22"/>
          <w:szCs w:val="22"/>
        </w:rPr>
        <w:t>Tukey’s method to adjust for multiple comparisons.</w:t>
      </w:r>
      <w:r w:rsidRPr="00AA7D88">
        <w:rPr>
          <w:rFonts w:asciiTheme="majorHAnsi" w:hAnsiTheme="majorHAnsi" w:cstheme="majorHAnsi"/>
          <w:sz w:val="22"/>
          <w:szCs w:val="22"/>
        </w:rPr>
        <w:t xml:space="preserve"> Categorical variables were reported as proportions and groups were compared using Chi-square</w:t>
      </w:r>
      <w:r w:rsidR="001539E2">
        <w:rPr>
          <w:rFonts w:asciiTheme="majorHAnsi" w:hAnsiTheme="majorHAnsi" w:cstheme="majorHAnsi"/>
          <w:sz w:val="22"/>
          <w:szCs w:val="22"/>
        </w:rPr>
        <w:t>d</w:t>
      </w:r>
      <w:r w:rsidRPr="00AA7D88">
        <w:rPr>
          <w:rFonts w:asciiTheme="majorHAnsi" w:hAnsiTheme="majorHAnsi" w:cstheme="majorHAnsi"/>
          <w:sz w:val="22"/>
          <w:szCs w:val="22"/>
        </w:rPr>
        <w:t xml:space="preserve"> or Fisher’s </w:t>
      </w:r>
      <w:r w:rsidR="001857AB" w:rsidRPr="00AA7D88">
        <w:rPr>
          <w:rFonts w:asciiTheme="majorHAnsi" w:hAnsiTheme="majorHAnsi" w:cstheme="majorHAnsi"/>
          <w:sz w:val="22"/>
          <w:szCs w:val="22"/>
        </w:rPr>
        <w:t>e</w:t>
      </w:r>
      <w:r w:rsidRPr="00AA7D88">
        <w:rPr>
          <w:rFonts w:asciiTheme="majorHAnsi" w:hAnsiTheme="majorHAnsi" w:cstheme="majorHAnsi"/>
          <w:sz w:val="22"/>
          <w:szCs w:val="22"/>
        </w:rPr>
        <w:t xml:space="preserve">xact test. </w:t>
      </w:r>
      <w:r w:rsidR="001F5807">
        <w:rPr>
          <w:rFonts w:asciiTheme="majorHAnsi" w:hAnsiTheme="majorHAnsi" w:cstheme="majorHAnsi"/>
          <w:sz w:val="22"/>
          <w:szCs w:val="22"/>
        </w:rPr>
        <w:t>M</w:t>
      </w:r>
      <w:r w:rsidRPr="00AA7D88">
        <w:rPr>
          <w:rFonts w:asciiTheme="majorHAnsi" w:hAnsiTheme="majorHAnsi" w:cstheme="majorHAnsi"/>
          <w:sz w:val="22"/>
          <w:szCs w:val="22"/>
        </w:rPr>
        <w:t>ultiple regression</w:t>
      </w:r>
      <w:r w:rsidR="00F84EB2" w:rsidRPr="00AA7D88">
        <w:rPr>
          <w:rFonts w:asciiTheme="majorHAnsi" w:hAnsiTheme="majorHAnsi" w:cstheme="majorHAnsi"/>
          <w:sz w:val="22"/>
          <w:szCs w:val="22"/>
        </w:rPr>
        <w:t>s</w:t>
      </w:r>
      <w:r w:rsidRPr="00AA7D88">
        <w:rPr>
          <w:rFonts w:asciiTheme="majorHAnsi" w:hAnsiTheme="majorHAnsi" w:cstheme="majorHAnsi"/>
          <w:sz w:val="22"/>
          <w:szCs w:val="22"/>
        </w:rPr>
        <w:t xml:space="preserve"> w</w:t>
      </w:r>
      <w:r w:rsidR="00F84EB2" w:rsidRPr="00AA7D88">
        <w:rPr>
          <w:rFonts w:asciiTheme="majorHAnsi" w:hAnsiTheme="majorHAnsi" w:cstheme="majorHAnsi"/>
          <w:sz w:val="22"/>
          <w:szCs w:val="22"/>
        </w:rPr>
        <w:t>ere</w:t>
      </w:r>
      <w:r w:rsidRPr="00AA7D88">
        <w:rPr>
          <w:rFonts w:asciiTheme="majorHAnsi" w:hAnsiTheme="majorHAnsi" w:cstheme="majorHAnsi"/>
          <w:sz w:val="22"/>
          <w:szCs w:val="22"/>
        </w:rPr>
        <w:t xml:space="preserve"> used to model FEV</w:t>
      </w:r>
      <w:r w:rsidRPr="00AA7D88">
        <w:rPr>
          <w:rFonts w:asciiTheme="majorHAnsi" w:hAnsiTheme="majorHAnsi" w:cstheme="majorHAnsi"/>
          <w:sz w:val="22"/>
          <w:szCs w:val="22"/>
          <w:vertAlign w:val="subscript"/>
        </w:rPr>
        <w:t>1</w:t>
      </w:r>
      <w:r w:rsidRPr="00AA7D88">
        <w:rPr>
          <w:rFonts w:asciiTheme="majorHAnsi" w:hAnsiTheme="majorHAnsi" w:cstheme="majorHAnsi"/>
          <w:sz w:val="22"/>
          <w:szCs w:val="22"/>
        </w:rPr>
        <w:t xml:space="preserve"> z score, adjusting for possible covariates</w:t>
      </w:r>
      <w:r w:rsidR="001F5807">
        <w:rPr>
          <w:rFonts w:asciiTheme="majorHAnsi" w:hAnsiTheme="majorHAnsi" w:cstheme="majorHAnsi"/>
          <w:sz w:val="22"/>
          <w:szCs w:val="22"/>
        </w:rPr>
        <w:t>. S</w:t>
      </w:r>
      <w:r w:rsidRPr="00AA7D88">
        <w:rPr>
          <w:rFonts w:asciiTheme="majorHAnsi" w:hAnsiTheme="majorHAnsi" w:cstheme="majorHAnsi"/>
          <w:sz w:val="22"/>
          <w:szCs w:val="22"/>
        </w:rPr>
        <w:t>ignificant (p&lt;0.05)</w:t>
      </w:r>
      <w:r w:rsidR="00C27B3E" w:rsidRPr="00AA7D88">
        <w:rPr>
          <w:rFonts w:asciiTheme="majorHAnsi" w:hAnsiTheme="majorHAnsi" w:cstheme="majorHAnsi"/>
          <w:sz w:val="22"/>
          <w:szCs w:val="22"/>
        </w:rPr>
        <w:t xml:space="preserve"> variables</w:t>
      </w:r>
      <w:r w:rsidR="001F5807">
        <w:rPr>
          <w:rFonts w:asciiTheme="majorHAnsi" w:hAnsiTheme="majorHAnsi" w:cstheme="majorHAnsi"/>
          <w:sz w:val="22"/>
          <w:szCs w:val="22"/>
        </w:rPr>
        <w:t xml:space="preserve"> were</w:t>
      </w:r>
      <w:r w:rsidRPr="00AA7D88">
        <w:rPr>
          <w:rFonts w:asciiTheme="majorHAnsi" w:hAnsiTheme="majorHAnsi" w:cstheme="majorHAnsi"/>
          <w:sz w:val="22"/>
          <w:szCs w:val="22"/>
        </w:rPr>
        <w:t xml:space="preserve"> retained</w:t>
      </w:r>
      <w:r w:rsidR="001F5807">
        <w:rPr>
          <w:rFonts w:asciiTheme="majorHAnsi" w:hAnsiTheme="majorHAnsi" w:cstheme="majorHAnsi"/>
          <w:sz w:val="22"/>
          <w:szCs w:val="22"/>
        </w:rPr>
        <w:t xml:space="preserve"> (backward selection)</w:t>
      </w:r>
      <w:r w:rsidRPr="00AA7D88">
        <w:rPr>
          <w:rFonts w:asciiTheme="majorHAnsi" w:hAnsiTheme="majorHAnsi" w:cstheme="majorHAnsi"/>
          <w:sz w:val="22"/>
          <w:szCs w:val="22"/>
        </w:rPr>
        <w:t xml:space="preserve"> </w:t>
      </w:r>
      <w:r w:rsidR="001F5807">
        <w:rPr>
          <w:rFonts w:asciiTheme="majorHAnsi" w:hAnsiTheme="majorHAnsi" w:cstheme="majorHAnsi"/>
          <w:sz w:val="22"/>
          <w:szCs w:val="22"/>
        </w:rPr>
        <w:t>and results from the reduced regression model are reported</w:t>
      </w:r>
      <w:r w:rsidR="00FB7F84">
        <w:rPr>
          <w:rFonts w:asciiTheme="majorHAnsi" w:hAnsiTheme="majorHAnsi" w:cstheme="majorHAnsi"/>
          <w:sz w:val="22"/>
          <w:szCs w:val="22"/>
        </w:rPr>
        <w:t xml:space="preserve">. </w:t>
      </w:r>
      <w:r w:rsidR="004A403D">
        <w:rPr>
          <w:rFonts w:asciiTheme="majorHAnsi" w:hAnsiTheme="majorHAnsi" w:cstheme="majorHAnsi"/>
          <w:sz w:val="22"/>
          <w:szCs w:val="22"/>
        </w:rPr>
        <w:t>Normality</w:t>
      </w:r>
      <w:r w:rsidR="00FB7F84">
        <w:rPr>
          <w:rFonts w:asciiTheme="majorHAnsi" w:hAnsiTheme="majorHAnsi" w:cstheme="majorHAnsi"/>
          <w:sz w:val="22"/>
          <w:szCs w:val="22"/>
        </w:rPr>
        <w:t xml:space="preserve"> of residuals</w:t>
      </w:r>
      <w:r w:rsidR="004A403D">
        <w:rPr>
          <w:rFonts w:asciiTheme="majorHAnsi" w:hAnsiTheme="majorHAnsi" w:cstheme="majorHAnsi"/>
          <w:sz w:val="22"/>
          <w:szCs w:val="22"/>
        </w:rPr>
        <w:t xml:space="preserve"> was accessed </w:t>
      </w:r>
      <w:r w:rsidR="00FB7F84">
        <w:rPr>
          <w:rFonts w:asciiTheme="majorHAnsi" w:hAnsiTheme="majorHAnsi" w:cstheme="majorHAnsi"/>
          <w:sz w:val="22"/>
          <w:szCs w:val="22"/>
        </w:rPr>
        <w:t>using kernel density estimations and visual inspection of histograms.</w:t>
      </w:r>
      <w:r w:rsidR="000678A0" w:rsidRPr="00AA7D88">
        <w:rPr>
          <w:rFonts w:asciiTheme="majorHAnsi" w:hAnsiTheme="majorHAnsi" w:cstheme="majorHAnsi"/>
          <w:sz w:val="22"/>
          <w:szCs w:val="22"/>
        </w:rPr>
        <w:t xml:space="preserve"> </w:t>
      </w:r>
      <w:r w:rsidRPr="00AA7D88">
        <w:rPr>
          <w:rFonts w:asciiTheme="majorHAnsi" w:hAnsiTheme="majorHAnsi" w:cstheme="majorHAnsi"/>
          <w:sz w:val="22"/>
          <w:szCs w:val="22"/>
        </w:rPr>
        <w:t xml:space="preserve">Results from the models </w:t>
      </w:r>
      <w:r w:rsidR="009C7F47" w:rsidRPr="00AA7D88">
        <w:rPr>
          <w:rFonts w:asciiTheme="majorHAnsi" w:hAnsiTheme="majorHAnsi" w:cstheme="majorHAnsi"/>
          <w:sz w:val="22"/>
          <w:szCs w:val="22"/>
        </w:rPr>
        <w:t>were</w:t>
      </w:r>
      <w:r w:rsidRPr="00AA7D88">
        <w:rPr>
          <w:rFonts w:asciiTheme="majorHAnsi" w:hAnsiTheme="majorHAnsi" w:cstheme="majorHAnsi"/>
          <w:sz w:val="22"/>
          <w:szCs w:val="22"/>
        </w:rPr>
        <w:t xml:space="preserve"> presented as number of observations, regression coefficients (r) with 95% confidence intervals and model</w:t>
      </w:r>
      <w:r w:rsidR="00BA041F">
        <w:rPr>
          <w:rFonts w:asciiTheme="majorHAnsi" w:hAnsiTheme="majorHAnsi" w:cstheme="majorHAnsi"/>
          <w:sz w:val="22"/>
          <w:szCs w:val="22"/>
        </w:rPr>
        <w:t>’s goodness-of-</w:t>
      </w:r>
      <w:r w:rsidRPr="00AA7D88">
        <w:rPr>
          <w:rFonts w:asciiTheme="majorHAnsi" w:hAnsiTheme="majorHAnsi" w:cstheme="majorHAnsi"/>
          <w:sz w:val="22"/>
          <w:szCs w:val="22"/>
        </w:rPr>
        <w:t>fitness (</w:t>
      </w:r>
      <w:r w:rsidR="001F5807">
        <w:rPr>
          <w:rFonts w:asciiTheme="majorHAnsi" w:hAnsiTheme="majorHAnsi" w:cstheme="majorHAnsi"/>
          <w:sz w:val="22"/>
          <w:szCs w:val="22"/>
        </w:rPr>
        <w:t xml:space="preserve">adjusted </w:t>
      </w:r>
      <w:r w:rsidRPr="00AA7D88">
        <w:rPr>
          <w:rFonts w:asciiTheme="majorHAnsi" w:hAnsiTheme="majorHAnsi" w:cstheme="majorHAnsi"/>
          <w:sz w:val="22"/>
          <w:szCs w:val="22"/>
        </w:rPr>
        <w:t>R</w:t>
      </w:r>
      <w:r w:rsidRPr="00AA7D88">
        <w:rPr>
          <w:rFonts w:asciiTheme="majorHAnsi" w:hAnsiTheme="majorHAnsi" w:cstheme="majorHAnsi"/>
          <w:sz w:val="22"/>
          <w:szCs w:val="22"/>
          <w:vertAlign w:val="superscript"/>
        </w:rPr>
        <w:t>2</w:t>
      </w:r>
      <w:r w:rsidRPr="00AA7D88">
        <w:rPr>
          <w:rFonts w:asciiTheme="majorHAnsi" w:hAnsiTheme="majorHAnsi" w:cstheme="majorHAnsi"/>
          <w:sz w:val="22"/>
          <w:szCs w:val="22"/>
        </w:rPr>
        <w:t>).</w:t>
      </w:r>
      <w:r w:rsidR="00DB6DF0" w:rsidRPr="00AA7D88">
        <w:rPr>
          <w:rFonts w:asciiTheme="majorHAnsi" w:hAnsiTheme="majorHAnsi" w:cstheme="majorHAnsi"/>
          <w:sz w:val="22"/>
          <w:szCs w:val="22"/>
        </w:rPr>
        <w:t xml:space="preserve"> Spearman</w:t>
      </w:r>
      <w:r w:rsidR="00A0024F">
        <w:rPr>
          <w:rFonts w:asciiTheme="majorHAnsi" w:hAnsiTheme="majorHAnsi" w:cstheme="majorHAnsi"/>
          <w:sz w:val="22"/>
          <w:szCs w:val="22"/>
        </w:rPr>
        <w:t>’s rank</w:t>
      </w:r>
      <w:r w:rsidR="00DB6DF0" w:rsidRPr="00AA7D88">
        <w:rPr>
          <w:rFonts w:asciiTheme="majorHAnsi" w:hAnsiTheme="majorHAnsi" w:cstheme="majorHAnsi"/>
          <w:sz w:val="22"/>
          <w:szCs w:val="22"/>
        </w:rPr>
        <w:t xml:space="preserve"> correlation</w:t>
      </w:r>
      <w:r w:rsidR="00A0024F">
        <w:rPr>
          <w:rFonts w:asciiTheme="majorHAnsi" w:hAnsiTheme="majorHAnsi" w:cstheme="majorHAnsi"/>
          <w:sz w:val="22"/>
          <w:szCs w:val="22"/>
        </w:rPr>
        <w:t xml:space="preserve"> coefficient</w:t>
      </w:r>
      <w:r w:rsidR="00DB6DF0" w:rsidRPr="00AA7D88">
        <w:rPr>
          <w:rFonts w:asciiTheme="majorHAnsi" w:hAnsiTheme="majorHAnsi" w:cstheme="majorHAnsi"/>
          <w:sz w:val="22"/>
          <w:szCs w:val="22"/>
        </w:rPr>
        <w:t xml:space="preserve"> was used to compare association between variables that were not </w:t>
      </w:r>
      <w:r w:rsidR="005866AF" w:rsidRPr="00AA7D88">
        <w:rPr>
          <w:rFonts w:asciiTheme="majorHAnsi" w:hAnsiTheme="majorHAnsi" w:cstheme="majorHAnsi"/>
          <w:sz w:val="22"/>
          <w:szCs w:val="22"/>
        </w:rPr>
        <w:t>n</w:t>
      </w:r>
      <w:r w:rsidR="00DB6DF0" w:rsidRPr="00AA7D88">
        <w:rPr>
          <w:rFonts w:asciiTheme="majorHAnsi" w:hAnsiTheme="majorHAnsi" w:cstheme="majorHAnsi"/>
          <w:sz w:val="22"/>
          <w:szCs w:val="22"/>
        </w:rPr>
        <w:t>ormally distributed or between continuous and non-continuous variables.</w:t>
      </w:r>
      <w:r w:rsidR="00567659">
        <w:rPr>
          <w:rFonts w:asciiTheme="majorHAnsi" w:hAnsiTheme="majorHAnsi" w:cstheme="majorHAnsi"/>
          <w:sz w:val="22"/>
          <w:szCs w:val="22"/>
        </w:rPr>
        <w:t xml:space="preserve"> </w:t>
      </w:r>
    </w:p>
    <w:p w14:paraId="3D31EF03" w14:textId="1F890356" w:rsidR="00091D72" w:rsidRPr="001C6EA8" w:rsidRDefault="00594200" w:rsidP="001C6EA8">
      <w:pPr>
        <w:spacing w:after="120" w:line="480" w:lineRule="auto"/>
        <w:rPr>
          <w:rFonts w:asciiTheme="majorHAnsi" w:hAnsiTheme="majorHAnsi" w:cstheme="majorHAnsi"/>
          <w:b/>
        </w:rPr>
      </w:pPr>
      <w:r w:rsidRPr="00AA7D88">
        <w:rPr>
          <w:rFonts w:asciiTheme="majorHAnsi" w:hAnsiTheme="majorHAnsi" w:cstheme="majorHAnsi"/>
          <w:b/>
        </w:rPr>
        <w:t>RESULTS</w:t>
      </w:r>
    </w:p>
    <w:p w14:paraId="223CC769" w14:textId="126F1FA3" w:rsidR="005D35E4" w:rsidRPr="00AA7D88" w:rsidRDefault="00C04D4A" w:rsidP="001C6EA8">
      <w:pPr>
        <w:spacing w:after="120" w:line="480" w:lineRule="auto"/>
        <w:rPr>
          <w:rFonts w:asciiTheme="majorHAnsi" w:hAnsiTheme="majorHAnsi" w:cstheme="majorHAnsi"/>
          <w:sz w:val="22"/>
          <w:szCs w:val="22"/>
        </w:rPr>
      </w:pPr>
      <w:r w:rsidRPr="00AA7D88">
        <w:rPr>
          <w:rFonts w:asciiTheme="majorHAnsi" w:hAnsiTheme="majorHAnsi" w:cstheme="majorHAnsi"/>
          <w:sz w:val="22"/>
          <w:szCs w:val="22"/>
        </w:rPr>
        <w:t>Three hundred and thirty</w:t>
      </w:r>
      <w:r w:rsidR="003873ED" w:rsidRPr="00AA7D88">
        <w:rPr>
          <w:rFonts w:asciiTheme="majorHAnsi" w:hAnsiTheme="majorHAnsi" w:cstheme="majorHAnsi"/>
          <w:sz w:val="22"/>
          <w:szCs w:val="22"/>
        </w:rPr>
        <w:t>-</w:t>
      </w:r>
      <w:r w:rsidRPr="00AA7D88">
        <w:rPr>
          <w:rFonts w:asciiTheme="majorHAnsi" w:hAnsiTheme="majorHAnsi" w:cstheme="majorHAnsi"/>
          <w:sz w:val="22"/>
          <w:szCs w:val="22"/>
        </w:rPr>
        <w:t>three</w:t>
      </w:r>
      <w:r w:rsidR="003873ED" w:rsidRPr="00AA7D88">
        <w:rPr>
          <w:rFonts w:asciiTheme="majorHAnsi" w:hAnsiTheme="majorHAnsi" w:cstheme="majorHAnsi"/>
          <w:sz w:val="22"/>
          <w:szCs w:val="22"/>
        </w:rPr>
        <w:t xml:space="preserve"> </w:t>
      </w:r>
      <w:r w:rsidR="007B0702" w:rsidRPr="00AA7D88">
        <w:rPr>
          <w:rFonts w:asciiTheme="majorHAnsi" w:hAnsiTheme="majorHAnsi" w:cstheme="majorHAnsi"/>
          <w:sz w:val="22"/>
          <w:szCs w:val="22"/>
        </w:rPr>
        <w:t xml:space="preserve">children </w:t>
      </w:r>
      <w:r w:rsidR="004B671F" w:rsidRPr="00AA7D88">
        <w:rPr>
          <w:rFonts w:asciiTheme="majorHAnsi" w:hAnsiTheme="majorHAnsi" w:cstheme="majorHAnsi"/>
          <w:sz w:val="22"/>
          <w:szCs w:val="22"/>
        </w:rPr>
        <w:t xml:space="preserve">with PCD </w:t>
      </w:r>
      <w:r w:rsidR="007B0702" w:rsidRPr="00AA7D88">
        <w:rPr>
          <w:rFonts w:asciiTheme="majorHAnsi" w:hAnsiTheme="majorHAnsi" w:cstheme="majorHAnsi"/>
          <w:sz w:val="22"/>
          <w:szCs w:val="22"/>
        </w:rPr>
        <w:t xml:space="preserve">underwent </w:t>
      </w:r>
      <w:r w:rsidR="00101190" w:rsidRPr="00AA7D88">
        <w:rPr>
          <w:rFonts w:asciiTheme="majorHAnsi" w:hAnsiTheme="majorHAnsi" w:cstheme="majorHAnsi"/>
          <w:sz w:val="22"/>
          <w:szCs w:val="22"/>
        </w:rPr>
        <w:t>a</w:t>
      </w:r>
      <w:r w:rsidR="004B671F" w:rsidRPr="00AA7D88">
        <w:rPr>
          <w:rFonts w:asciiTheme="majorHAnsi" w:hAnsiTheme="majorHAnsi" w:cstheme="majorHAnsi"/>
          <w:sz w:val="22"/>
          <w:szCs w:val="22"/>
        </w:rPr>
        <w:t>n</w:t>
      </w:r>
      <w:r w:rsidR="007B0702" w:rsidRPr="00AA7D88">
        <w:rPr>
          <w:rFonts w:asciiTheme="majorHAnsi" w:hAnsiTheme="majorHAnsi" w:cstheme="majorHAnsi"/>
          <w:sz w:val="22"/>
          <w:szCs w:val="22"/>
        </w:rPr>
        <w:t xml:space="preserve"> annual review durin</w:t>
      </w:r>
      <w:r w:rsidR="005D35E4" w:rsidRPr="00AA7D88">
        <w:rPr>
          <w:rFonts w:asciiTheme="majorHAnsi" w:hAnsiTheme="majorHAnsi" w:cstheme="majorHAnsi"/>
          <w:sz w:val="22"/>
          <w:szCs w:val="22"/>
        </w:rPr>
        <w:t>g the study period</w:t>
      </w:r>
      <w:r w:rsidR="00870C09" w:rsidRPr="00AA7D88">
        <w:rPr>
          <w:rFonts w:asciiTheme="majorHAnsi" w:hAnsiTheme="majorHAnsi" w:cstheme="majorHAnsi"/>
          <w:sz w:val="22"/>
          <w:szCs w:val="22"/>
        </w:rPr>
        <w:t>.</w:t>
      </w:r>
      <w:r w:rsidR="005D35E4" w:rsidRPr="00AA7D88">
        <w:rPr>
          <w:rFonts w:asciiTheme="majorHAnsi" w:hAnsiTheme="majorHAnsi" w:cstheme="majorHAnsi"/>
          <w:sz w:val="22"/>
          <w:szCs w:val="22"/>
        </w:rPr>
        <w:t xml:space="preserve"> </w:t>
      </w:r>
      <w:r w:rsidR="00870C09" w:rsidRPr="00AA7D88">
        <w:rPr>
          <w:rFonts w:asciiTheme="majorHAnsi" w:hAnsiTheme="majorHAnsi" w:cstheme="majorHAnsi"/>
          <w:sz w:val="22"/>
          <w:szCs w:val="22"/>
        </w:rPr>
        <w:t>M</w:t>
      </w:r>
      <w:r w:rsidR="00FA0B67" w:rsidRPr="00AA7D88">
        <w:rPr>
          <w:rFonts w:asciiTheme="majorHAnsi" w:hAnsiTheme="majorHAnsi" w:cstheme="majorHAnsi"/>
          <w:sz w:val="22"/>
          <w:szCs w:val="22"/>
        </w:rPr>
        <w:t xml:space="preserve">edian </w:t>
      </w:r>
      <w:r w:rsidR="005D35E4" w:rsidRPr="00AA7D88">
        <w:rPr>
          <w:rFonts w:asciiTheme="majorHAnsi" w:hAnsiTheme="majorHAnsi" w:cstheme="majorHAnsi"/>
          <w:sz w:val="22"/>
          <w:szCs w:val="22"/>
        </w:rPr>
        <w:t xml:space="preserve">age </w:t>
      </w:r>
      <w:r w:rsidR="004B671F" w:rsidRPr="00AA7D88">
        <w:rPr>
          <w:rFonts w:asciiTheme="majorHAnsi" w:hAnsiTheme="majorHAnsi" w:cstheme="majorHAnsi"/>
          <w:sz w:val="22"/>
          <w:szCs w:val="22"/>
        </w:rPr>
        <w:t xml:space="preserve">at review </w:t>
      </w:r>
      <w:r w:rsidR="00870C09" w:rsidRPr="00AA7D88">
        <w:rPr>
          <w:rFonts w:asciiTheme="majorHAnsi" w:hAnsiTheme="majorHAnsi" w:cstheme="majorHAnsi"/>
          <w:sz w:val="22"/>
          <w:szCs w:val="22"/>
        </w:rPr>
        <w:t xml:space="preserve">was </w:t>
      </w:r>
      <w:r w:rsidR="005D35E4" w:rsidRPr="00AA7D88">
        <w:rPr>
          <w:rFonts w:asciiTheme="majorHAnsi" w:hAnsiTheme="majorHAnsi" w:cstheme="majorHAnsi"/>
          <w:sz w:val="22"/>
          <w:szCs w:val="22"/>
        </w:rPr>
        <w:t>9.8 years</w:t>
      </w:r>
      <w:r w:rsidR="00BA5730" w:rsidRPr="00AA7D88">
        <w:rPr>
          <w:rFonts w:asciiTheme="majorHAnsi" w:hAnsiTheme="majorHAnsi" w:cstheme="majorHAnsi"/>
          <w:sz w:val="22"/>
          <w:szCs w:val="22"/>
        </w:rPr>
        <w:t>, 5</w:t>
      </w:r>
      <w:r w:rsidR="008C4B52" w:rsidRPr="00AA7D88">
        <w:rPr>
          <w:rFonts w:asciiTheme="majorHAnsi" w:hAnsiTheme="majorHAnsi" w:cstheme="majorHAnsi"/>
          <w:sz w:val="22"/>
          <w:szCs w:val="22"/>
        </w:rPr>
        <w:t>2.6</w:t>
      </w:r>
      <w:r w:rsidR="00BA5730" w:rsidRPr="00AA7D88">
        <w:rPr>
          <w:rFonts w:asciiTheme="majorHAnsi" w:hAnsiTheme="majorHAnsi" w:cstheme="majorHAnsi"/>
          <w:sz w:val="22"/>
          <w:szCs w:val="22"/>
        </w:rPr>
        <w:t xml:space="preserve">% of those reviewed were male and the majority were </w:t>
      </w:r>
      <w:r w:rsidR="00C35BC3">
        <w:rPr>
          <w:rFonts w:asciiTheme="majorHAnsi" w:hAnsiTheme="majorHAnsi" w:cstheme="majorHAnsi"/>
          <w:sz w:val="22"/>
          <w:szCs w:val="22"/>
        </w:rPr>
        <w:t xml:space="preserve">either </w:t>
      </w:r>
      <w:r w:rsidR="00870C09" w:rsidRPr="00AA7D88">
        <w:rPr>
          <w:rFonts w:asciiTheme="majorHAnsi" w:hAnsiTheme="majorHAnsi" w:cstheme="majorHAnsi"/>
          <w:sz w:val="22"/>
          <w:szCs w:val="22"/>
        </w:rPr>
        <w:t xml:space="preserve">white British </w:t>
      </w:r>
      <w:r w:rsidR="00221DF7" w:rsidRPr="00AA7D88">
        <w:rPr>
          <w:rFonts w:asciiTheme="majorHAnsi" w:hAnsiTheme="majorHAnsi" w:cstheme="majorHAnsi"/>
          <w:sz w:val="22"/>
          <w:szCs w:val="22"/>
        </w:rPr>
        <w:t>(n</w:t>
      </w:r>
      <w:r w:rsidR="00211A46" w:rsidRPr="00AA7D88">
        <w:rPr>
          <w:rFonts w:asciiTheme="majorHAnsi" w:hAnsiTheme="majorHAnsi" w:cstheme="majorHAnsi"/>
          <w:sz w:val="22"/>
          <w:szCs w:val="22"/>
        </w:rPr>
        <w:t>=</w:t>
      </w:r>
      <w:r w:rsidR="009C7F47" w:rsidRPr="00AA7D88">
        <w:rPr>
          <w:rFonts w:asciiTheme="majorHAnsi" w:hAnsiTheme="majorHAnsi" w:cstheme="majorHAnsi"/>
          <w:sz w:val="22"/>
          <w:szCs w:val="22"/>
        </w:rPr>
        <w:t>122</w:t>
      </w:r>
      <w:r w:rsidR="00221DF7" w:rsidRPr="00AA7D88">
        <w:rPr>
          <w:rFonts w:asciiTheme="majorHAnsi" w:hAnsiTheme="majorHAnsi" w:cstheme="majorHAnsi"/>
          <w:sz w:val="22"/>
          <w:szCs w:val="22"/>
        </w:rPr>
        <w:t>,</w:t>
      </w:r>
      <w:r w:rsidR="009C7F47" w:rsidRPr="00AA7D88">
        <w:rPr>
          <w:rFonts w:asciiTheme="majorHAnsi" w:hAnsiTheme="majorHAnsi" w:cstheme="majorHAnsi"/>
          <w:sz w:val="22"/>
          <w:szCs w:val="22"/>
        </w:rPr>
        <w:t xml:space="preserve"> 36.6</w:t>
      </w:r>
      <w:r w:rsidR="00221DF7" w:rsidRPr="00AA7D88">
        <w:rPr>
          <w:rFonts w:asciiTheme="majorHAnsi" w:hAnsiTheme="majorHAnsi" w:cstheme="majorHAnsi"/>
          <w:sz w:val="22"/>
          <w:szCs w:val="22"/>
        </w:rPr>
        <w:t xml:space="preserve">%) </w:t>
      </w:r>
      <w:r w:rsidR="00D44875" w:rsidRPr="00AA7D88">
        <w:rPr>
          <w:rFonts w:asciiTheme="majorHAnsi" w:hAnsiTheme="majorHAnsi" w:cstheme="majorHAnsi"/>
          <w:sz w:val="22"/>
          <w:szCs w:val="22"/>
        </w:rPr>
        <w:t xml:space="preserve">or </w:t>
      </w:r>
      <w:r w:rsidR="00870C09" w:rsidRPr="00AA7D88">
        <w:rPr>
          <w:rFonts w:asciiTheme="majorHAnsi" w:hAnsiTheme="majorHAnsi" w:cstheme="majorHAnsi"/>
          <w:sz w:val="22"/>
          <w:szCs w:val="22"/>
        </w:rPr>
        <w:t>Pakistani</w:t>
      </w:r>
      <w:r w:rsidR="00D44875" w:rsidRPr="00AA7D88">
        <w:rPr>
          <w:rFonts w:asciiTheme="majorHAnsi" w:hAnsiTheme="majorHAnsi" w:cstheme="majorHAnsi"/>
          <w:sz w:val="22"/>
          <w:szCs w:val="22"/>
        </w:rPr>
        <w:t xml:space="preserve"> and </w:t>
      </w:r>
      <w:r w:rsidR="00870C09" w:rsidRPr="00AA7D88">
        <w:rPr>
          <w:rFonts w:asciiTheme="majorHAnsi" w:hAnsiTheme="majorHAnsi" w:cstheme="majorHAnsi"/>
          <w:sz w:val="22"/>
          <w:szCs w:val="22"/>
        </w:rPr>
        <w:t xml:space="preserve">British Pakistani </w:t>
      </w:r>
      <w:r w:rsidR="00221DF7" w:rsidRPr="00AA7D88">
        <w:rPr>
          <w:rFonts w:asciiTheme="majorHAnsi" w:hAnsiTheme="majorHAnsi" w:cstheme="majorHAnsi"/>
          <w:sz w:val="22"/>
          <w:szCs w:val="22"/>
        </w:rPr>
        <w:t>(n</w:t>
      </w:r>
      <w:r w:rsidR="00211A46" w:rsidRPr="00AA7D88">
        <w:rPr>
          <w:rFonts w:asciiTheme="majorHAnsi" w:hAnsiTheme="majorHAnsi" w:cstheme="majorHAnsi"/>
          <w:sz w:val="22"/>
          <w:szCs w:val="22"/>
        </w:rPr>
        <w:t>=121</w:t>
      </w:r>
      <w:r w:rsidR="00221DF7" w:rsidRPr="00AA7D88">
        <w:rPr>
          <w:rFonts w:asciiTheme="majorHAnsi" w:hAnsiTheme="majorHAnsi" w:cstheme="majorHAnsi"/>
          <w:sz w:val="22"/>
          <w:szCs w:val="22"/>
        </w:rPr>
        <w:t xml:space="preserve">, </w:t>
      </w:r>
      <w:r w:rsidR="00211A46" w:rsidRPr="00AA7D88">
        <w:rPr>
          <w:rFonts w:asciiTheme="majorHAnsi" w:hAnsiTheme="majorHAnsi" w:cstheme="majorHAnsi"/>
          <w:sz w:val="22"/>
          <w:szCs w:val="22"/>
        </w:rPr>
        <w:t>36.3</w:t>
      </w:r>
      <w:r w:rsidR="00221DF7" w:rsidRPr="00AA7D88">
        <w:rPr>
          <w:rFonts w:asciiTheme="majorHAnsi" w:hAnsiTheme="majorHAnsi" w:cstheme="majorHAnsi"/>
          <w:sz w:val="22"/>
          <w:szCs w:val="22"/>
        </w:rPr>
        <w:t xml:space="preserve">%) </w:t>
      </w:r>
      <w:r w:rsidR="00870C09" w:rsidRPr="00AA7D88">
        <w:rPr>
          <w:rFonts w:asciiTheme="majorHAnsi" w:hAnsiTheme="majorHAnsi" w:cstheme="majorHAnsi"/>
          <w:sz w:val="22"/>
          <w:szCs w:val="22"/>
        </w:rPr>
        <w:t>(</w:t>
      </w:r>
      <w:r w:rsidR="00EA18DE" w:rsidRPr="00AA7D88">
        <w:rPr>
          <w:rFonts w:asciiTheme="majorHAnsi" w:hAnsiTheme="majorHAnsi" w:cstheme="majorHAnsi"/>
          <w:sz w:val="22"/>
          <w:szCs w:val="22"/>
        </w:rPr>
        <w:t xml:space="preserve">Table 1, </w:t>
      </w:r>
      <w:r w:rsidR="00221DF7" w:rsidRPr="00AA7D88">
        <w:rPr>
          <w:rFonts w:asciiTheme="majorHAnsi" w:hAnsiTheme="majorHAnsi" w:cstheme="majorHAnsi"/>
          <w:sz w:val="22"/>
          <w:szCs w:val="22"/>
        </w:rPr>
        <w:t xml:space="preserve">Supplementary </w:t>
      </w:r>
      <w:r w:rsidR="00870C09" w:rsidRPr="00AA7D88">
        <w:rPr>
          <w:rFonts w:asciiTheme="majorHAnsi" w:hAnsiTheme="majorHAnsi" w:cstheme="majorHAnsi"/>
          <w:sz w:val="22"/>
          <w:szCs w:val="22"/>
        </w:rPr>
        <w:t>Figure 1)</w:t>
      </w:r>
      <w:r w:rsidR="007B0702" w:rsidRPr="00AA7D88">
        <w:rPr>
          <w:rFonts w:asciiTheme="majorHAnsi" w:hAnsiTheme="majorHAnsi" w:cstheme="majorHAnsi"/>
          <w:sz w:val="22"/>
          <w:szCs w:val="22"/>
        </w:rPr>
        <w:t>.</w:t>
      </w:r>
      <w:r w:rsidR="00E445D0" w:rsidRPr="00AA7D88">
        <w:rPr>
          <w:rFonts w:asciiTheme="majorHAnsi" w:hAnsiTheme="majorHAnsi" w:cstheme="majorHAnsi"/>
          <w:sz w:val="22"/>
          <w:szCs w:val="22"/>
        </w:rPr>
        <w:t xml:space="preserve"> </w:t>
      </w:r>
    </w:p>
    <w:p w14:paraId="6B8CBE45" w14:textId="75C71974" w:rsidR="00091D72" w:rsidRPr="00AA7D88" w:rsidRDefault="007B0702" w:rsidP="001C6EA8">
      <w:pPr>
        <w:spacing w:after="120" w:line="480" w:lineRule="auto"/>
        <w:rPr>
          <w:rFonts w:asciiTheme="majorHAnsi" w:hAnsiTheme="majorHAnsi" w:cstheme="majorHAnsi"/>
        </w:rPr>
      </w:pPr>
      <w:r w:rsidRPr="00AA7D88">
        <w:rPr>
          <w:rFonts w:asciiTheme="majorHAnsi" w:hAnsiTheme="majorHAnsi" w:cstheme="majorHAnsi"/>
        </w:rPr>
        <w:t>Diagnosis of PCD</w:t>
      </w:r>
    </w:p>
    <w:p w14:paraId="212F6CBF" w14:textId="58A7424F" w:rsidR="00091D72" w:rsidRPr="001C6EA8" w:rsidRDefault="00B26B13" w:rsidP="001C6EA8">
      <w:pPr>
        <w:spacing w:after="120" w:line="480" w:lineRule="auto"/>
        <w:rPr>
          <w:rFonts w:asciiTheme="majorHAnsi" w:hAnsiTheme="majorHAnsi" w:cstheme="majorHAnsi"/>
          <w:sz w:val="22"/>
          <w:szCs w:val="22"/>
        </w:rPr>
      </w:pPr>
      <w:r w:rsidRPr="00AA7D88">
        <w:rPr>
          <w:rFonts w:asciiTheme="majorHAnsi" w:hAnsiTheme="majorHAnsi" w:cstheme="majorHAnsi"/>
          <w:sz w:val="22"/>
          <w:szCs w:val="22"/>
        </w:rPr>
        <w:t>M</w:t>
      </w:r>
      <w:r w:rsidR="00096159" w:rsidRPr="00AA7D88">
        <w:rPr>
          <w:rFonts w:asciiTheme="majorHAnsi" w:hAnsiTheme="majorHAnsi" w:cstheme="majorHAnsi"/>
          <w:sz w:val="22"/>
          <w:szCs w:val="22"/>
        </w:rPr>
        <w:t>e</w:t>
      </w:r>
      <w:r w:rsidR="009D3FFF" w:rsidRPr="00AA7D88">
        <w:rPr>
          <w:rFonts w:asciiTheme="majorHAnsi" w:hAnsiTheme="majorHAnsi" w:cstheme="majorHAnsi"/>
          <w:sz w:val="22"/>
          <w:szCs w:val="22"/>
        </w:rPr>
        <w:t>dian</w:t>
      </w:r>
      <w:r w:rsidR="00096159" w:rsidRPr="00AA7D88">
        <w:rPr>
          <w:rFonts w:asciiTheme="majorHAnsi" w:hAnsiTheme="majorHAnsi" w:cstheme="majorHAnsi"/>
          <w:sz w:val="22"/>
          <w:szCs w:val="22"/>
        </w:rPr>
        <w:t xml:space="preserve"> age at diagnosis of PCD </w:t>
      </w:r>
      <w:r w:rsidR="00623618" w:rsidRPr="00AA7D88">
        <w:rPr>
          <w:rFonts w:asciiTheme="majorHAnsi" w:hAnsiTheme="majorHAnsi" w:cstheme="majorHAnsi"/>
          <w:sz w:val="22"/>
          <w:szCs w:val="22"/>
        </w:rPr>
        <w:t xml:space="preserve">was </w:t>
      </w:r>
      <w:r w:rsidR="00096159" w:rsidRPr="00AA7D88">
        <w:rPr>
          <w:rFonts w:asciiTheme="majorHAnsi" w:hAnsiTheme="majorHAnsi" w:cstheme="majorHAnsi"/>
          <w:sz w:val="22"/>
          <w:szCs w:val="22"/>
        </w:rPr>
        <w:t xml:space="preserve">2.6 years </w:t>
      </w:r>
      <w:r w:rsidR="006159B8" w:rsidRPr="00AA7D88">
        <w:rPr>
          <w:rFonts w:asciiTheme="majorHAnsi" w:hAnsiTheme="majorHAnsi" w:cstheme="majorHAnsi"/>
          <w:sz w:val="22"/>
          <w:szCs w:val="22"/>
        </w:rPr>
        <w:t>(IQR 0.5 to</w:t>
      </w:r>
      <w:r w:rsidR="00434987" w:rsidRPr="00AA7D88">
        <w:rPr>
          <w:rFonts w:asciiTheme="majorHAnsi" w:hAnsiTheme="majorHAnsi" w:cstheme="majorHAnsi"/>
          <w:sz w:val="22"/>
          <w:szCs w:val="22"/>
        </w:rPr>
        <w:t xml:space="preserve"> 7.</w:t>
      </w:r>
      <w:r w:rsidR="006159B8" w:rsidRPr="00AA7D88">
        <w:rPr>
          <w:rFonts w:asciiTheme="majorHAnsi" w:hAnsiTheme="majorHAnsi" w:cstheme="majorHAnsi"/>
          <w:sz w:val="22"/>
          <w:szCs w:val="22"/>
        </w:rPr>
        <w:t>2</w:t>
      </w:r>
      <w:r w:rsidR="0051276B" w:rsidRPr="00AA7D88">
        <w:rPr>
          <w:rFonts w:asciiTheme="majorHAnsi" w:hAnsiTheme="majorHAnsi" w:cstheme="majorHAnsi"/>
          <w:sz w:val="22"/>
          <w:szCs w:val="22"/>
        </w:rPr>
        <w:t xml:space="preserve"> years)</w:t>
      </w:r>
      <w:r w:rsidR="00EA18DE" w:rsidRPr="00AA7D88">
        <w:rPr>
          <w:rFonts w:asciiTheme="majorHAnsi" w:hAnsiTheme="majorHAnsi" w:cstheme="majorHAnsi"/>
          <w:sz w:val="22"/>
          <w:szCs w:val="22"/>
        </w:rPr>
        <w:t xml:space="preserve"> (Table 1)</w:t>
      </w:r>
      <w:r w:rsidR="00F93168" w:rsidRPr="00AA7D88">
        <w:rPr>
          <w:rFonts w:asciiTheme="majorHAnsi" w:hAnsiTheme="majorHAnsi" w:cstheme="majorHAnsi"/>
          <w:sz w:val="22"/>
          <w:szCs w:val="22"/>
        </w:rPr>
        <w:t xml:space="preserve">. </w:t>
      </w:r>
      <w:r w:rsidR="003E3D4F" w:rsidRPr="00AA7D88">
        <w:rPr>
          <w:rFonts w:asciiTheme="majorHAnsi" w:hAnsiTheme="majorHAnsi" w:cstheme="majorHAnsi"/>
          <w:sz w:val="22"/>
          <w:szCs w:val="22"/>
        </w:rPr>
        <w:t>This</w:t>
      </w:r>
      <w:r w:rsidR="00F93168" w:rsidRPr="00AA7D88">
        <w:rPr>
          <w:rFonts w:asciiTheme="majorHAnsi" w:hAnsiTheme="majorHAnsi" w:cstheme="majorHAnsi"/>
          <w:sz w:val="22"/>
          <w:szCs w:val="22"/>
        </w:rPr>
        <w:t xml:space="preserve"> was </w:t>
      </w:r>
      <w:r w:rsidR="00212DB5" w:rsidRPr="00AA7D88">
        <w:rPr>
          <w:rFonts w:asciiTheme="majorHAnsi" w:hAnsiTheme="majorHAnsi" w:cstheme="majorHAnsi"/>
          <w:sz w:val="22"/>
          <w:szCs w:val="22"/>
        </w:rPr>
        <w:t xml:space="preserve">significantly </w:t>
      </w:r>
      <w:r w:rsidR="00870C09" w:rsidRPr="00AA7D88">
        <w:rPr>
          <w:rFonts w:asciiTheme="majorHAnsi" w:hAnsiTheme="majorHAnsi" w:cstheme="majorHAnsi"/>
          <w:sz w:val="22"/>
          <w:szCs w:val="22"/>
        </w:rPr>
        <w:t xml:space="preserve">lower </w:t>
      </w:r>
      <w:r w:rsidR="00DE3BEF" w:rsidRPr="00AA7D88">
        <w:rPr>
          <w:rFonts w:asciiTheme="majorHAnsi" w:hAnsiTheme="majorHAnsi" w:cstheme="majorHAnsi"/>
          <w:sz w:val="22"/>
          <w:szCs w:val="22"/>
        </w:rPr>
        <w:t>in those with dextrocardia</w:t>
      </w:r>
      <w:r w:rsidR="00703BD2" w:rsidRPr="00AA7D88">
        <w:rPr>
          <w:rFonts w:asciiTheme="majorHAnsi" w:hAnsiTheme="majorHAnsi" w:cstheme="majorHAnsi"/>
          <w:sz w:val="22"/>
          <w:szCs w:val="22"/>
        </w:rPr>
        <w:t xml:space="preserve"> (n=172)</w:t>
      </w:r>
      <w:r w:rsidR="00DE3BEF" w:rsidRPr="00AA7D88">
        <w:rPr>
          <w:rFonts w:asciiTheme="majorHAnsi" w:hAnsiTheme="majorHAnsi" w:cstheme="majorHAnsi"/>
          <w:sz w:val="22"/>
          <w:szCs w:val="22"/>
        </w:rPr>
        <w:t xml:space="preserve"> compared to </w:t>
      </w:r>
      <w:proofErr w:type="spellStart"/>
      <w:r w:rsidR="00DE3BEF" w:rsidRPr="00AA7D88">
        <w:rPr>
          <w:rFonts w:asciiTheme="majorHAnsi" w:hAnsiTheme="majorHAnsi" w:cstheme="majorHAnsi"/>
          <w:sz w:val="22"/>
          <w:szCs w:val="22"/>
        </w:rPr>
        <w:t>levocardia</w:t>
      </w:r>
      <w:proofErr w:type="spellEnd"/>
      <w:r w:rsidR="00703BD2" w:rsidRPr="00AA7D88">
        <w:rPr>
          <w:rFonts w:asciiTheme="majorHAnsi" w:hAnsiTheme="majorHAnsi" w:cstheme="majorHAnsi"/>
          <w:sz w:val="22"/>
          <w:szCs w:val="22"/>
        </w:rPr>
        <w:t xml:space="preserve"> (n=151)</w:t>
      </w:r>
      <w:r w:rsidR="008C4B52" w:rsidRPr="00AA7D88">
        <w:rPr>
          <w:rFonts w:asciiTheme="majorHAnsi" w:hAnsiTheme="majorHAnsi" w:cstheme="majorHAnsi"/>
          <w:sz w:val="22"/>
          <w:szCs w:val="22"/>
        </w:rPr>
        <w:t xml:space="preserve"> </w:t>
      </w:r>
      <w:r w:rsidR="00870C09" w:rsidRPr="00AA7D88">
        <w:rPr>
          <w:rFonts w:asciiTheme="majorHAnsi" w:hAnsiTheme="majorHAnsi" w:cstheme="majorHAnsi"/>
          <w:sz w:val="22"/>
          <w:szCs w:val="22"/>
        </w:rPr>
        <w:t>(</w:t>
      </w:r>
      <w:r w:rsidR="00110B20" w:rsidRPr="00AA7D88">
        <w:rPr>
          <w:rFonts w:asciiTheme="majorHAnsi" w:hAnsiTheme="majorHAnsi" w:cstheme="majorHAnsi"/>
          <w:sz w:val="22"/>
          <w:szCs w:val="22"/>
        </w:rPr>
        <w:t>1</w:t>
      </w:r>
      <w:r w:rsidR="003873ED" w:rsidRPr="00AA7D88">
        <w:rPr>
          <w:rFonts w:asciiTheme="majorHAnsi" w:hAnsiTheme="majorHAnsi" w:cstheme="majorHAnsi"/>
          <w:sz w:val="22"/>
          <w:szCs w:val="22"/>
        </w:rPr>
        <w:t>.0</w:t>
      </w:r>
      <w:r w:rsidR="00110B20" w:rsidRPr="00AA7D88">
        <w:rPr>
          <w:rFonts w:asciiTheme="majorHAnsi" w:hAnsiTheme="majorHAnsi" w:cstheme="majorHAnsi"/>
          <w:sz w:val="22"/>
          <w:szCs w:val="22"/>
        </w:rPr>
        <w:t xml:space="preserve"> year of age (IQR 0.3 to 3.</w:t>
      </w:r>
      <w:r w:rsidR="008C4B52" w:rsidRPr="00AA7D88">
        <w:rPr>
          <w:rFonts w:asciiTheme="majorHAnsi" w:hAnsiTheme="majorHAnsi" w:cstheme="majorHAnsi"/>
          <w:sz w:val="22"/>
          <w:szCs w:val="22"/>
        </w:rPr>
        <w:t>2</w:t>
      </w:r>
      <w:r w:rsidR="00AF4EC2" w:rsidRPr="00AA7D88">
        <w:rPr>
          <w:rFonts w:asciiTheme="majorHAnsi" w:hAnsiTheme="majorHAnsi" w:cstheme="majorHAnsi"/>
          <w:sz w:val="22"/>
          <w:szCs w:val="22"/>
        </w:rPr>
        <w:t>, range 0 to 14.0</w:t>
      </w:r>
      <w:r w:rsidR="00066311" w:rsidRPr="00AA7D88">
        <w:rPr>
          <w:rFonts w:asciiTheme="majorHAnsi" w:hAnsiTheme="majorHAnsi" w:cstheme="majorHAnsi"/>
          <w:sz w:val="22"/>
          <w:szCs w:val="22"/>
        </w:rPr>
        <w:t xml:space="preserve">) vs </w:t>
      </w:r>
      <w:r w:rsidR="006159B8" w:rsidRPr="00AA7D88">
        <w:rPr>
          <w:rFonts w:asciiTheme="majorHAnsi" w:hAnsiTheme="majorHAnsi" w:cstheme="majorHAnsi"/>
          <w:sz w:val="22"/>
          <w:szCs w:val="22"/>
        </w:rPr>
        <w:t>6</w:t>
      </w:r>
      <w:r w:rsidR="003873ED" w:rsidRPr="00AA7D88">
        <w:rPr>
          <w:rFonts w:asciiTheme="majorHAnsi" w:hAnsiTheme="majorHAnsi" w:cstheme="majorHAnsi"/>
          <w:sz w:val="22"/>
          <w:szCs w:val="22"/>
        </w:rPr>
        <w:t>.0</w:t>
      </w:r>
      <w:r w:rsidR="006159B8" w:rsidRPr="00AA7D88">
        <w:rPr>
          <w:rFonts w:asciiTheme="majorHAnsi" w:hAnsiTheme="majorHAnsi" w:cstheme="majorHAnsi"/>
          <w:sz w:val="22"/>
          <w:szCs w:val="22"/>
        </w:rPr>
        <w:t xml:space="preserve"> years (IQR </w:t>
      </w:r>
      <w:r w:rsidR="00702D79" w:rsidRPr="00AA7D88">
        <w:rPr>
          <w:rFonts w:asciiTheme="majorHAnsi" w:hAnsiTheme="majorHAnsi" w:cstheme="majorHAnsi"/>
          <w:sz w:val="22"/>
          <w:szCs w:val="22"/>
        </w:rPr>
        <w:t>2.0</w:t>
      </w:r>
      <w:r w:rsidR="006159B8" w:rsidRPr="00AA7D88">
        <w:rPr>
          <w:rFonts w:asciiTheme="majorHAnsi" w:hAnsiTheme="majorHAnsi" w:cstheme="majorHAnsi"/>
          <w:sz w:val="22"/>
          <w:szCs w:val="22"/>
        </w:rPr>
        <w:t xml:space="preserve"> to </w:t>
      </w:r>
      <w:r w:rsidR="00110B20" w:rsidRPr="00AA7D88">
        <w:rPr>
          <w:rFonts w:asciiTheme="majorHAnsi" w:hAnsiTheme="majorHAnsi" w:cstheme="majorHAnsi"/>
          <w:sz w:val="22"/>
          <w:szCs w:val="22"/>
        </w:rPr>
        <w:t>9.</w:t>
      </w:r>
      <w:r w:rsidR="008C4B52" w:rsidRPr="00AA7D88">
        <w:rPr>
          <w:rFonts w:asciiTheme="majorHAnsi" w:hAnsiTheme="majorHAnsi" w:cstheme="majorHAnsi"/>
          <w:sz w:val="22"/>
          <w:szCs w:val="22"/>
        </w:rPr>
        <w:t>0</w:t>
      </w:r>
      <w:r w:rsidR="00AF4EC2" w:rsidRPr="00AA7D88">
        <w:rPr>
          <w:rFonts w:asciiTheme="majorHAnsi" w:hAnsiTheme="majorHAnsi" w:cstheme="majorHAnsi"/>
          <w:sz w:val="22"/>
          <w:szCs w:val="22"/>
        </w:rPr>
        <w:t>, range 0 to 16.2</w:t>
      </w:r>
      <w:r w:rsidR="00DE3BEF" w:rsidRPr="00AA7D88">
        <w:rPr>
          <w:rFonts w:asciiTheme="majorHAnsi" w:hAnsiTheme="majorHAnsi" w:cstheme="majorHAnsi"/>
          <w:sz w:val="22"/>
          <w:szCs w:val="22"/>
        </w:rPr>
        <w:t>)</w:t>
      </w:r>
      <w:r w:rsidR="00870C09" w:rsidRPr="00AA7D88">
        <w:rPr>
          <w:rFonts w:asciiTheme="majorHAnsi" w:hAnsiTheme="majorHAnsi" w:cstheme="majorHAnsi"/>
          <w:sz w:val="22"/>
          <w:szCs w:val="22"/>
        </w:rPr>
        <w:t>,</w:t>
      </w:r>
      <w:r w:rsidR="00110B20" w:rsidRPr="00AA7D88">
        <w:rPr>
          <w:rFonts w:asciiTheme="majorHAnsi" w:hAnsiTheme="majorHAnsi" w:cstheme="majorHAnsi"/>
          <w:sz w:val="22"/>
          <w:szCs w:val="22"/>
        </w:rPr>
        <w:t xml:space="preserve"> p&lt;0.001</w:t>
      </w:r>
      <w:r w:rsidR="00066311" w:rsidRPr="00AA7D88">
        <w:rPr>
          <w:rFonts w:asciiTheme="majorHAnsi" w:hAnsiTheme="majorHAnsi" w:cstheme="majorHAnsi"/>
          <w:sz w:val="22"/>
          <w:szCs w:val="22"/>
        </w:rPr>
        <w:t>)</w:t>
      </w:r>
      <w:r w:rsidR="00623618" w:rsidRPr="00AA7D88">
        <w:rPr>
          <w:rFonts w:asciiTheme="majorHAnsi" w:hAnsiTheme="majorHAnsi" w:cstheme="majorHAnsi"/>
          <w:sz w:val="22"/>
          <w:szCs w:val="22"/>
        </w:rPr>
        <w:t>.</w:t>
      </w:r>
      <w:r w:rsidR="00214FDA" w:rsidRPr="00AA7D88">
        <w:rPr>
          <w:rFonts w:asciiTheme="majorHAnsi" w:hAnsiTheme="majorHAnsi" w:cstheme="majorHAnsi"/>
          <w:sz w:val="22"/>
          <w:szCs w:val="22"/>
        </w:rPr>
        <w:t xml:space="preserve"> </w:t>
      </w:r>
      <w:r w:rsidR="00C254A4" w:rsidRPr="00AA7D88">
        <w:rPr>
          <w:rFonts w:asciiTheme="majorHAnsi" w:hAnsiTheme="majorHAnsi" w:cstheme="majorHAnsi"/>
          <w:color w:val="000000" w:themeColor="text1"/>
          <w:sz w:val="22"/>
          <w:szCs w:val="22"/>
        </w:rPr>
        <w:t xml:space="preserve">53.3% of children had dextrocardia with almost all having </w:t>
      </w:r>
      <w:r w:rsidR="00C254A4" w:rsidRPr="00AA7D88">
        <w:rPr>
          <w:rFonts w:asciiTheme="majorHAnsi" w:hAnsiTheme="majorHAnsi" w:cstheme="majorHAnsi"/>
          <w:i/>
          <w:color w:val="000000" w:themeColor="text1"/>
          <w:sz w:val="22"/>
          <w:szCs w:val="22"/>
        </w:rPr>
        <w:t>situs inversus totalis</w:t>
      </w:r>
      <w:r w:rsidR="00C254A4" w:rsidRPr="00AA7D88">
        <w:rPr>
          <w:rFonts w:asciiTheme="majorHAnsi" w:hAnsiTheme="majorHAnsi" w:cstheme="majorHAnsi"/>
          <w:color w:val="000000" w:themeColor="text1"/>
          <w:sz w:val="22"/>
          <w:szCs w:val="22"/>
        </w:rPr>
        <w:t xml:space="preserve">, only 12 patients (3.7%) had dextrocardia in isolation. </w:t>
      </w:r>
      <w:r w:rsidR="003E6731" w:rsidRPr="00AA7D88">
        <w:rPr>
          <w:rFonts w:asciiTheme="majorHAnsi" w:hAnsiTheme="majorHAnsi" w:cstheme="majorHAnsi"/>
          <w:color w:val="000000" w:themeColor="text1"/>
          <w:sz w:val="22"/>
          <w:szCs w:val="22"/>
        </w:rPr>
        <w:t>CHD</w:t>
      </w:r>
      <w:r w:rsidR="00211A46" w:rsidRPr="00AA7D88">
        <w:rPr>
          <w:rFonts w:asciiTheme="majorHAnsi" w:hAnsiTheme="majorHAnsi" w:cstheme="majorHAnsi"/>
          <w:color w:val="000000" w:themeColor="text1"/>
          <w:sz w:val="22"/>
          <w:szCs w:val="22"/>
        </w:rPr>
        <w:t xml:space="preserve"> was reported in 13.1% of children</w:t>
      </w:r>
      <w:r w:rsidR="00C254A4" w:rsidRPr="00AA7D88">
        <w:rPr>
          <w:rFonts w:asciiTheme="majorHAnsi" w:hAnsiTheme="majorHAnsi" w:cstheme="majorHAnsi"/>
          <w:color w:val="000000" w:themeColor="text1"/>
          <w:sz w:val="22"/>
          <w:szCs w:val="22"/>
        </w:rPr>
        <w:t xml:space="preserve"> </w:t>
      </w:r>
      <w:r w:rsidR="00BC13B0" w:rsidRPr="00AA7D88">
        <w:rPr>
          <w:rFonts w:asciiTheme="majorHAnsi" w:hAnsiTheme="majorHAnsi" w:cstheme="majorHAnsi"/>
        </w:rPr>
        <w:t>Spirometry</w:t>
      </w:r>
    </w:p>
    <w:p w14:paraId="427C6D20" w14:textId="3AF4BE13" w:rsidR="005104F0" w:rsidRPr="001C6EA8" w:rsidRDefault="002C5AF9" w:rsidP="001C6EA8">
      <w:pPr>
        <w:spacing w:after="120" w:line="480" w:lineRule="auto"/>
        <w:rPr>
          <w:rFonts w:asciiTheme="majorHAnsi" w:hAnsiTheme="majorHAnsi" w:cstheme="majorHAnsi"/>
          <w:sz w:val="22"/>
          <w:szCs w:val="22"/>
        </w:rPr>
      </w:pPr>
      <w:r w:rsidRPr="00AA7D88">
        <w:rPr>
          <w:rFonts w:asciiTheme="majorHAnsi" w:hAnsiTheme="majorHAnsi" w:cstheme="majorHAnsi"/>
          <w:sz w:val="22"/>
          <w:szCs w:val="22"/>
        </w:rPr>
        <w:t>M</w:t>
      </w:r>
      <w:r w:rsidR="00865111" w:rsidRPr="00AA7D88">
        <w:rPr>
          <w:rFonts w:asciiTheme="majorHAnsi" w:hAnsiTheme="majorHAnsi" w:cstheme="majorHAnsi"/>
          <w:sz w:val="22"/>
          <w:szCs w:val="22"/>
        </w:rPr>
        <w:t>e</w:t>
      </w:r>
      <w:r w:rsidR="007A3BEB" w:rsidRPr="00AA7D88">
        <w:rPr>
          <w:rFonts w:asciiTheme="majorHAnsi" w:hAnsiTheme="majorHAnsi" w:cstheme="majorHAnsi"/>
          <w:sz w:val="22"/>
          <w:szCs w:val="22"/>
        </w:rPr>
        <w:t>an (SD)</w:t>
      </w:r>
      <w:r w:rsidR="00C5482D" w:rsidRPr="00AA7D88">
        <w:rPr>
          <w:rFonts w:asciiTheme="majorHAnsi" w:hAnsiTheme="majorHAnsi" w:cstheme="majorHAnsi"/>
          <w:sz w:val="22"/>
          <w:szCs w:val="22"/>
        </w:rPr>
        <w:t xml:space="preserve"> FEV</w:t>
      </w:r>
      <w:r w:rsidR="00C5482D" w:rsidRPr="00AA7D88">
        <w:rPr>
          <w:rFonts w:asciiTheme="majorHAnsi" w:hAnsiTheme="majorHAnsi" w:cstheme="majorHAnsi"/>
          <w:sz w:val="22"/>
          <w:szCs w:val="22"/>
          <w:vertAlign w:val="subscript"/>
        </w:rPr>
        <w:t>1</w:t>
      </w:r>
      <w:r w:rsidR="00C5482D" w:rsidRPr="00AA7D88">
        <w:rPr>
          <w:rFonts w:asciiTheme="majorHAnsi" w:hAnsiTheme="majorHAnsi" w:cstheme="majorHAnsi"/>
          <w:sz w:val="22"/>
          <w:szCs w:val="22"/>
        </w:rPr>
        <w:t xml:space="preserve"> z scores </w:t>
      </w:r>
      <w:r w:rsidR="005E2E90" w:rsidRPr="00AA7D88">
        <w:rPr>
          <w:rFonts w:asciiTheme="majorHAnsi" w:hAnsiTheme="majorHAnsi" w:cstheme="majorHAnsi"/>
          <w:sz w:val="22"/>
          <w:szCs w:val="22"/>
        </w:rPr>
        <w:t xml:space="preserve">for </w:t>
      </w:r>
      <w:r w:rsidR="00FA20B5" w:rsidRPr="00AA7D88">
        <w:rPr>
          <w:rFonts w:asciiTheme="majorHAnsi" w:hAnsiTheme="majorHAnsi" w:cstheme="majorHAnsi"/>
          <w:sz w:val="22"/>
          <w:szCs w:val="22"/>
        </w:rPr>
        <w:t xml:space="preserve">children with </w:t>
      </w:r>
      <w:r w:rsidR="005E2E90" w:rsidRPr="00AA7D88">
        <w:rPr>
          <w:rFonts w:asciiTheme="majorHAnsi" w:hAnsiTheme="majorHAnsi" w:cstheme="majorHAnsi"/>
          <w:sz w:val="22"/>
          <w:szCs w:val="22"/>
        </w:rPr>
        <w:t xml:space="preserve">PCD </w:t>
      </w:r>
      <w:r w:rsidR="00184CF3" w:rsidRPr="00AA7D88">
        <w:rPr>
          <w:rFonts w:asciiTheme="majorHAnsi" w:hAnsiTheme="majorHAnsi" w:cstheme="majorHAnsi"/>
          <w:sz w:val="22"/>
          <w:szCs w:val="22"/>
        </w:rPr>
        <w:t>were</w:t>
      </w:r>
      <w:r w:rsidR="00C5482D" w:rsidRPr="00AA7D88">
        <w:rPr>
          <w:rFonts w:asciiTheme="majorHAnsi" w:hAnsiTheme="majorHAnsi" w:cstheme="majorHAnsi"/>
          <w:sz w:val="22"/>
          <w:szCs w:val="22"/>
        </w:rPr>
        <w:t xml:space="preserve"> </w:t>
      </w:r>
      <w:r w:rsidR="007A3BEB" w:rsidRPr="00AA7D88">
        <w:rPr>
          <w:rFonts w:asciiTheme="majorHAnsi" w:hAnsiTheme="majorHAnsi" w:cstheme="majorHAnsi"/>
          <w:sz w:val="22"/>
          <w:szCs w:val="22"/>
        </w:rPr>
        <w:t>-1.</w:t>
      </w:r>
      <w:r w:rsidR="0025731D" w:rsidRPr="00AA7D88">
        <w:rPr>
          <w:rFonts w:asciiTheme="majorHAnsi" w:hAnsiTheme="majorHAnsi" w:cstheme="majorHAnsi"/>
          <w:sz w:val="22"/>
          <w:szCs w:val="22"/>
        </w:rPr>
        <w:t>9</w:t>
      </w:r>
      <w:r w:rsidR="007A3BEB" w:rsidRPr="00AA7D88">
        <w:rPr>
          <w:rFonts w:asciiTheme="majorHAnsi" w:hAnsiTheme="majorHAnsi" w:cstheme="majorHAnsi"/>
          <w:sz w:val="22"/>
          <w:szCs w:val="22"/>
        </w:rPr>
        <w:t xml:space="preserve"> (1.</w:t>
      </w:r>
      <w:r w:rsidR="0025731D" w:rsidRPr="00AA7D88">
        <w:rPr>
          <w:rFonts w:asciiTheme="majorHAnsi" w:hAnsiTheme="majorHAnsi" w:cstheme="majorHAnsi"/>
          <w:sz w:val="22"/>
          <w:szCs w:val="22"/>
        </w:rPr>
        <w:t>4</w:t>
      </w:r>
      <w:r w:rsidR="007A3BEB" w:rsidRPr="00AA7D88">
        <w:rPr>
          <w:rFonts w:asciiTheme="majorHAnsi" w:hAnsiTheme="majorHAnsi" w:cstheme="majorHAnsi"/>
          <w:sz w:val="22"/>
          <w:szCs w:val="22"/>
        </w:rPr>
        <w:t xml:space="preserve">) </w:t>
      </w:r>
      <w:r w:rsidR="00C5482D" w:rsidRPr="00AA7D88">
        <w:rPr>
          <w:rFonts w:asciiTheme="majorHAnsi" w:hAnsiTheme="majorHAnsi" w:cstheme="majorHAnsi"/>
          <w:sz w:val="22"/>
          <w:szCs w:val="22"/>
        </w:rPr>
        <w:t>and</w:t>
      </w:r>
      <w:r w:rsidR="007A3BEB" w:rsidRPr="00AA7D88">
        <w:rPr>
          <w:rFonts w:asciiTheme="majorHAnsi" w:hAnsiTheme="majorHAnsi" w:cstheme="majorHAnsi"/>
          <w:sz w:val="22"/>
          <w:szCs w:val="22"/>
        </w:rPr>
        <w:t xml:space="preserve"> </w:t>
      </w:r>
      <w:r w:rsidR="00C5482D" w:rsidRPr="00AA7D88">
        <w:rPr>
          <w:rFonts w:asciiTheme="majorHAnsi" w:hAnsiTheme="majorHAnsi" w:cstheme="majorHAnsi"/>
          <w:sz w:val="22"/>
          <w:szCs w:val="22"/>
        </w:rPr>
        <w:t xml:space="preserve">FVC z scores </w:t>
      </w:r>
      <w:r w:rsidR="00184CF3" w:rsidRPr="00AA7D88">
        <w:rPr>
          <w:rFonts w:asciiTheme="majorHAnsi" w:hAnsiTheme="majorHAnsi" w:cstheme="majorHAnsi"/>
          <w:sz w:val="22"/>
          <w:szCs w:val="22"/>
        </w:rPr>
        <w:t xml:space="preserve">were </w:t>
      </w:r>
      <w:r w:rsidR="007A3BEB" w:rsidRPr="00AA7D88">
        <w:rPr>
          <w:rFonts w:asciiTheme="majorHAnsi" w:hAnsiTheme="majorHAnsi" w:cstheme="majorHAnsi"/>
          <w:sz w:val="22"/>
          <w:szCs w:val="22"/>
        </w:rPr>
        <w:t>-1.</w:t>
      </w:r>
      <w:r w:rsidR="0025731D" w:rsidRPr="00AA7D88">
        <w:rPr>
          <w:rFonts w:asciiTheme="majorHAnsi" w:hAnsiTheme="majorHAnsi" w:cstheme="majorHAnsi"/>
          <w:sz w:val="22"/>
          <w:szCs w:val="22"/>
        </w:rPr>
        <w:t>3</w:t>
      </w:r>
      <w:r w:rsidR="007A3BEB" w:rsidRPr="00AA7D88">
        <w:rPr>
          <w:rFonts w:asciiTheme="majorHAnsi" w:hAnsiTheme="majorHAnsi" w:cstheme="majorHAnsi"/>
          <w:sz w:val="22"/>
          <w:szCs w:val="22"/>
        </w:rPr>
        <w:t xml:space="preserve"> (1.</w:t>
      </w:r>
      <w:r w:rsidR="0025731D" w:rsidRPr="00AA7D88">
        <w:rPr>
          <w:rFonts w:asciiTheme="majorHAnsi" w:hAnsiTheme="majorHAnsi" w:cstheme="majorHAnsi"/>
          <w:sz w:val="22"/>
          <w:szCs w:val="22"/>
        </w:rPr>
        <w:t>5</w:t>
      </w:r>
      <w:r w:rsidR="007A3BEB" w:rsidRPr="00AA7D88">
        <w:rPr>
          <w:rFonts w:asciiTheme="majorHAnsi" w:hAnsiTheme="majorHAnsi" w:cstheme="majorHAnsi"/>
          <w:sz w:val="22"/>
          <w:szCs w:val="22"/>
        </w:rPr>
        <w:t>)</w:t>
      </w:r>
      <w:r w:rsidR="003E3D4F" w:rsidRPr="00AA7D88">
        <w:rPr>
          <w:rFonts w:asciiTheme="majorHAnsi" w:hAnsiTheme="majorHAnsi" w:cstheme="majorHAnsi"/>
          <w:sz w:val="22"/>
          <w:szCs w:val="22"/>
        </w:rPr>
        <w:t xml:space="preserve">, </w:t>
      </w:r>
      <w:r w:rsidR="00A2137E" w:rsidRPr="00AA7D88">
        <w:rPr>
          <w:rFonts w:asciiTheme="majorHAnsi" w:hAnsiTheme="majorHAnsi" w:cstheme="majorHAnsi"/>
          <w:sz w:val="22"/>
          <w:szCs w:val="22"/>
        </w:rPr>
        <w:t xml:space="preserve">mean </w:t>
      </w:r>
      <w:r w:rsidR="006F41B8" w:rsidRPr="00AA7D88">
        <w:rPr>
          <w:rFonts w:asciiTheme="majorHAnsi" w:hAnsiTheme="majorHAnsi" w:cstheme="majorHAnsi"/>
          <w:sz w:val="22"/>
          <w:szCs w:val="22"/>
        </w:rPr>
        <w:t>predicted FEV</w:t>
      </w:r>
      <w:r w:rsidR="006F41B8" w:rsidRPr="00AA7D88">
        <w:rPr>
          <w:rFonts w:asciiTheme="majorHAnsi" w:hAnsiTheme="majorHAnsi" w:cstheme="majorHAnsi"/>
          <w:sz w:val="22"/>
          <w:szCs w:val="22"/>
          <w:vertAlign w:val="subscript"/>
        </w:rPr>
        <w:t>1</w:t>
      </w:r>
      <w:r w:rsidR="006F41B8" w:rsidRPr="00AA7D88">
        <w:rPr>
          <w:rFonts w:asciiTheme="majorHAnsi" w:hAnsiTheme="majorHAnsi" w:cstheme="majorHAnsi"/>
          <w:sz w:val="22"/>
          <w:szCs w:val="22"/>
        </w:rPr>
        <w:t xml:space="preserve"> (SD) was 76.</w:t>
      </w:r>
      <w:r w:rsidR="00CD003C" w:rsidRPr="00AA7D88">
        <w:rPr>
          <w:rFonts w:asciiTheme="majorHAnsi" w:hAnsiTheme="majorHAnsi" w:cstheme="majorHAnsi"/>
          <w:sz w:val="22"/>
          <w:szCs w:val="22"/>
        </w:rPr>
        <w:t>8</w:t>
      </w:r>
      <w:r w:rsidR="006F41B8" w:rsidRPr="00AA7D88">
        <w:rPr>
          <w:rFonts w:asciiTheme="majorHAnsi" w:hAnsiTheme="majorHAnsi" w:cstheme="majorHAnsi"/>
          <w:sz w:val="22"/>
          <w:szCs w:val="22"/>
        </w:rPr>
        <w:t xml:space="preserve">% </w:t>
      </w:r>
      <w:r w:rsidR="003E3D4F" w:rsidRPr="00AA7D88">
        <w:rPr>
          <w:rFonts w:asciiTheme="majorHAnsi" w:hAnsiTheme="majorHAnsi" w:cstheme="majorHAnsi"/>
          <w:sz w:val="22"/>
          <w:szCs w:val="22"/>
        </w:rPr>
        <w:t>(Table 1)</w:t>
      </w:r>
      <w:r w:rsidR="00D44875" w:rsidRPr="00AA7D88">
        <w:rPr>
          <w:rFonts w:asciiTheme="majorHAnsi" w:hAnsiTheme="majorHAnsi" w:cstheme="majorHAnsi"/>
          <w:sz w:val="22"/>
          <w:szCs w:val="22"/>
        </w:rPr>
        <w:t>.</w:t>
      </w:r>
      <w:r w:rsidR="005E2E90" w:rsidRPr="00AA7D88">
        <w:rPr>
          <w:rFonts w:asciiTheme="majorHAnsi" w:hAnsiTheme="majorHAnsi" w:cstheme="majorHAnsi"/>
          <w:sz w:val="22"/>
          <w:szCs w:val="22"/>
        </w:rPr>
        <w:t xml:space="preserve"> </w:t>
      </w:r>
      <w:r w:rsidR="005658A3" w:rsidRPr="00AA7D88">
        <w:rPr>
          <w:rFonts w:asciiTheme="majorHAnsi" w:hAnsiTheme="majorHAnsi" w:cstheme="majorHAnsi"/>
          <w:sz w:val="22"/>
          <w:szCs w:val="22"/>
        </w:rPr>
        <w:t>FEV</w:t>
      </w:r>
      <w:r w:rsidR="005658A3" w:rsidRPr="00AA7D88">
        <w:rPr>
          <w:rFonts w:asciiTheme="majorHAnsi" w:hAnsiTheme="majorHAnsi" w:cstheme="majorHAnsi"/>
          <w:sz w:val="22"/>
          <w:szCs w:val="22"/>
          <w:vertAlign w:val="subscript"/>
        </w:rPr>
        <w:t>1</w:t>
      </w:r>
      <w:r w:rsidR="005658A3" w:rsidRPr="00AA7D88">
        <w:rPr>
          <w:rFonts w:asciiTheme="majorHAnsi" w:hAnsiTheme="majorHAnsi" w:cstheme="majorHAnsi"/>
          <w:sz w:val="22"/>
          <w:szCs w:val="22"/>
        </w:rPr>
        <w:t xml:space="preserve"> </w:t>
      </w:r>
      <w:r w:rsidR="000466CF" w:rsidRPr="00AA7D88">
        <w:rPr>
          <w:rFonts w:asciiTheme="majorHAnsi" w:hAnsiTheme="majorHAnsi" w:cstheme="majorHAnsi"/>
          <w:sz w:val="22"/>
          <w:szCs w:val="22"/>
        </w:rPr>
        <w:t>z score</w:t>
      </w:r>
      <w:r w:rsidR="005658A3" w:rsidRPr="00AA7D88">
        <w:rPr>
          <w:rFonts w:asciiTheme="majorHAnsi" w:hAnsiTheme="majorHAnsi" w:cstheme="majorHAnsi"/>
          <w:sz w:val="22"/>
          <w:szCs w:val="22"/>
        </w:rPr>
        <w:t xml:space="preserve"> </w:t>
      </w:r>
      <w:r w:rsidR="00F93168" w:rsidRPr="00AA7D88">
        <w:rPr>
          <w:rFonts w:asciiTheme="majorHAnsi" w:hAnsiTheme="majorHAnsi" w:cstheme="majorHAnsi"/>
          <w:sz w:val="22"/>
          <w:szCs w:val="22"/>
        </w:rPr>
        <w:t xml:space="preserve">was significantly lower </w:t>
      </w:r>
      <w:r w:rsidR="005658A3" w:rsidRPr="00AA7D88">
        <w:rPr>
          <w:rFonts w:asciiTheme="majorHAnsi" w:hAnsiTheme="majorHAnsi" w:cstheme="majorHAnsi"/>
          <w:sz w:val="22"/>
          <w:szCs w:val="22"/>
        </w:rPr>
        <w:t>in older children</w:t>
      </w:r>
      <w:r w:rsidR="000466CF" w:rsidRPr="00AA7D88">
        <w:rPr>
          <w:rFonts w:asciiTheme="majorHAnsi" w:hAnsiTheme="majorHAnsi" w:cstheme="majorHAnsi"/>
          <w:sz w:val="22"/>
          <w:szCs w:val="22"/>
        </w:rPr>
        <w:t>, with a decrease of 0.6 z scores for every increase of 10 years in age</w:t>
      </w:r>
      <w:r w:rsidR="00EC2FB2" w:rsidRPr="00AA7D88">
        <w:rPr>
          <w:rFonts w:asciiTheme="majorHAnsi" w:hAnsiTheme="majorHAnsi" w:cstheme="majorHAnsi"/>
          <w:sz w:val="22"/>
          <w:szCs w:val="22"/>
        </w:rPr>
        <w:t xml:space="preserve"> (</w:t>
      </w:r>
      <w:r w:rsidR="00381508" w:rsidRPr="00AA7D88">
        <w:rPr>
          <w:rFonts w:asciiTheme="majorHAnsi" w:hAnsiTheme="majorHAnsi" w:cstheme="majorHAnsi"/>
          <w:sz w:val="22"/>
          <w:szCs w:val="22"/>
        </w:rPr>
        <w:t xml:space="preserve">n=240, </w:t>
      </w:r>
      <w:r w:rsidR="00EC2FB2" w:rsidRPr="00AA7D88">
        <w:rPr>
          <w:rFonts w:asciiTheme="majorHAnsi" w:hAnsiTheme="majorHAnsi" w:cstheme="majorHAnsi"/>
          <w:sz w:val="22"/>
          <w:szCs w:val="22"/>
        </w:rPr>
        <w:t>regression coefficient=-0.06, 95% CI -0.11 to -0.0</w:t>
      </w:r>
      <w:r w:rsidR="00381508" w:rsidRPr="00AA7D88">
        <w:rPr>
          <w:rFonts w:asciiTheme="majorHAnsi" w:hAnsiTheme="majorHAnsi" w:cstheme="majorHAnsi"/>
          <w:sz w:val="22"/>
          <w:szCs w:val="22"/>
        </w:rPr>
        <w:t xml:space="preserve">2, p=0.008, </w:t>
      </w:r>
      <w:r w:rsidR="00F96E71">
        <w:rPr>
          <w:rFonts w:asciiTheme="majorHAnsi" w:hAnsiTheme="majorHAnsi" w:cstheme="majorHAnsi"/>
          <w:sz w:val="22"/>
          <w:szCs w:val="22"/>
        </w:rPr>
        <w:t xml:space="preserve">adjusted </w:t>
      </w:r>
      <w:r w:rsidR="00381508" w:rsidRPr="00AA7D88">
        <w:rPr>
          <w:rFonts w:asciiTheme="majorHAnsi" w:hAnsiTheme="majorHAnsi" w:cstheme="majorHAnsi"/>
          <w:sz w:val="22"/>
          <w:szCs w:val="22"/>
        </w:rPr>
        <w:t>R</w:t>
      </w:r>
      <w:r w:rsidR="00381508" w:rsidRPr="00AA7D88">
        <w:rPr>
          <w:rFonts w:asciiTheme="majorHAnsi" w:hAnsiTheme="majorHAnsi" w:cstheme="majorHAnsi"/>
          <w:sz w:val="22"/>
          <w:szCs w:val="22"/>
          <w:vertAlign w:val="superscript"/>
        </w:rPr>
        <w:t>2</w:t>
      </w:r>
      <w:r w:rsidR="00381508" w:rsidRPr="00AA7D88">
        <w:rPr>
          <w:rFonts w:asciiTheme="majorHAnsi" w:hAnsiTheme="majorHAnsi" w:cstheme="majorHAnsi"/>
          <w:sz w:val="22"/>
          <w:szCs w:val="22"/>
        </w:rPr>
        <w:t>=2.</w:t>
      </w:r>
      <w:r w:rsidR="005373DB" w:rsidRPr="00AA7D88">
        <w:rPr>
          <w:rFonts w:asciiTheme="majorHAnsi" w:hAnsiTheme="majorHAnsi" w:cstheme="majorHAnsi"/>
          <w:sz w:val="22"/>
          <w:szCs w:val="22"/>
        </w:rPr>
        <w:t>9</w:t>
      </w:r>
      <w:r w:rsidR="002F5CAB" w:rsidRPr="00AA7D88">
        <w:rPr>
          <w:rFonts w:asciiTheme="majorHAnsi" w:hAnsiTheme="majorHAnsi" w:cstheme="majorHAnsi"/>
          <w:sz w:val="22"/>
          <w:szCs w:val="22"/>
        </w:rPr>
        <w:t>%</w:t>
      </w:r>
      <w:r w:rsidR="007728FB" w:rsidRPr="00AA7D88">
        <w:rPr>
          <w:rFonts w:asciiTheme="majorHAnsi" w:hAnsiTheme="majorHAnsi" w:cstheme="majorHAnsi"/>
          <w:sz w:val="22"/>
          <w:szCs w:val="22"/>
        </w:rPr>
        <w:t xml:space="preserve">; </w:t>
      </w:r>
      <w:r w:rsidR="003F5395" w:rsidRPr="00AA7D88">
        <w:rPr>
          <w:rFonts w:asciiTheme="majorHAnsi" w:hAnsiTheme="majorHAnsi" w:cstheme="majorHAnsi"/>
          <w:sz w:val="22"/>
          <w:szCs w:val="22"/>
        </w:rPr>
        <w:t xml:space="preserve">Figure </w:t>
      </w:r>
      <w:r w:rsidR="00450335" w:rsidRPr="00AA7D88">
        <w:rPr>
          <w:rFonts w:asciiTheme="majorHAnsi" w:hAnsiTheme="majorHAnsi" w:cstheme="majorHAnsi"/>
          <w:sz w:val="22"/>
          <w:szCs w:val="22"/>
        </w:rPr>
        <w:t>1</w:t>
      </w:r>
      <w:r w:rsidR="00E10693" w:rsidRPr="00AA7D88">
        <w:rPr>
          <w:rFonts w:asciiTheme="majorHAnsi" w:hAnsiTheme="majorHAnsi" w:cstheme="majorHAnsi"/>
          <w:sz w:val="22"/>
          <w:szCs w:val="22"/>
        </w:rPr>
        <w:t>a</w:t>
      </w:r>
      <w:r w:rsidR="00D1668D" w:rsidRPr="00AA7D88">
        <w:rPr>
          <w:rFonts w:asciiTheme="majorHAnsi" w:hAnsiTheme="majorHAnsi" w:cstheme="majorHAnsi"/>
          <w:sz w:val="22"/>
          <w:szCs w:val="22"/>
        </w:rPr>
        <w:t>)</w:t>
      </w:r>
      <w:r w:rsidR="007728FB" w:rsidRPr="00AA7D88">
        <w:rPr>
          <w:rFonts w:asciiTheme="majorHAnsi" w:hAnsiTheme="majorHAnsi" w:cstheme="majorHAnsi"/>
          <w:sz w:val="22"/>
          <w:szCs w:val="22"/>
        </w:rPr>
        <w:t>, adjusted for</w:t>
      </w:r>
      <w:r w:rsidR="005658A3" w:rsidRPr="00AA7D88">
        <w:rPr>
          <w:rFonts w:asciiTheme="majorHAnsi" w:hAnsiTheme="majorHAnsi" w:cstheme="majorHAnsi"/>
          <w:sz w:val="22"/>
          <w:szCs w:val="22"/>
        </w:rPr>
        <w:t xml:space="preserve"> </w:t>
      </w:r>
      <w:r w:rsidR="007728FB" w:rsidRPr="00AA7D88">
        <w:rPr>
          <w:rFonts w:asciiTheme="majorHAnsi" w:hAnsiTheme="majorHAnsi" w:cstheme="majorHAnsi"/>
          <w:sz w:val="22"/>
          <w:szCs w:val="22"/>
        </w:rPr>
        <w:t>c</w:t>
      </w:r>
      <w:r w:rsidR="008C6572" w:rsidRPr="00AA7D88">
        <w:rPr>
          <w:rFonts w:asciiTheme="majorHAnsi" w:hAnsiTheme="majorHAnsi" w:cstheme="majorHAnsi"/>
          <w:sz w:val="22"/>
          <w:szCs w:val="22"/>
        </w:rPr>
        <w:t>entre of origin, a</w:t>
      </w:r>
      <w:r w:rsidR="00783BA8" w:rsidRPr="00AA7D88">
        <w:rPr>
          <w:rFonts w:asciiTheme="majorHAnsi" w:hAnsiTheme="majorHAnsi" w:cstheme="majorHAnsi"/>
          <w:sz w:val="22"/>
          <w:szCs w:val="22"/>
        </w:rPr>
        <w:t>ge at diagnosis</w:t>
      </w:r>
      <w:r w:rsidR="00CB20C3" w:rsidRPr="00AA7D88">
        <w:rPr>
          <w:rFonts w:asciiTheme="majorHAnsi" w:hAnsiTheme="majorHAnsi" w:cstheme="majorHAnsi"/>
          <w:sz w:val="22"/>
          <w:szCs w:val="22"/>
        </w:rPr>
        <w:t>, sex</w:t>
      </w:r>
      <w:r w:rsidR="008E468C" w:rsidRPr="00AA7D88">
        <w:rPr>
          <w:rFonts w:asciiTheme="majorHAnsi" w:hAnsiTheme="majorHAnsi" w:cstheme="majorHAnsi"/>
          <w:sz w:val="22"/>
          <w:szCs w:val="22"/>
        </w:rPr>
        <w:t>,</w:t>
      </w:r>
      <w:r w:rsidR="00CB20C3" w:rsidRPr="00AA7D88">
        <w:rPr>
          <w:rFonts w:asciiTheme="majorHAnsi" w:hAnsiTheme="majorHAnsi" w:cstheme="majorHAnsi"/>
          <w:sz w:val="22"/>
          <w:szCs w:val="22"/>
        </w:rPr>
        <w:t xml:space="preserve"> cardiac situs</w:t>
      </w:r>
      <w:r w:rsidR="008E468C" w:rsidRPr="00AA7D88">
        <w:rPr>
          <w:rFonts w:asciiTheme="majorHAnsi" w:hAnsiTheme="majorHAnsi" w:cstheme="majorHAnsi"/>
          <w:sz w:val="22"/>
          <w:szCs w:val="22"/>
        </w:rPr>
        <w:t xml:space="preserve"> and presence of cultured pathogens</w:t>
      </w:r>
      <w:r w:rsidR="007728FB" w:rsidRPr="00AA7D88">
        <w:rPr>
          <w:rFonts w:asciiTheme="majorHAnsi" w:hAnsiTheme="majorHAnsi" w:cstheme="majorHAnsi"/>
          <w:sz w:val="22"/>
          <w:szCs w:val="22"/>
        </w:rPr>
        <w:t xml:space="preserve"> (Supplementary Table </w:t>
      </w:r>
      <w:r w:rsidR="00C35BC3">
        <w:rPr>
          <w:rFonts w:asciiTheme="majorHAnsi" w:hAnsiTheme="majorHAnsi" w:cstheme="majorHAnsi"/>
          <w:sz w:val="22"/>
          <w:szCs w:val="22"/>
        </w:rPr>
        <w:t>1</w:t>
      </w:r>
      <w:r w:rsidR="007728FB" w:rsidRPr="00AA7D88">
        <w:rPr>
          <w:rFonts w:asciiTheme="majorHAnsi" w:hAnsiTheme="majorHAnsi" w:cstheme="majorHAnsi"/>
          <w:sz w:val="22"/>
          <w:szCs w:val="22"/>
        </w:rPr>
        <w:t>)</w:t>
      </w:r>
      <w:r w:rsidR="00783BA8" w:rsidRPr="00AA7D88">
        <w:rPr>
          <w:rFonts w:asciiTheme="majorHAnsi" w:hAnsiTheme="majorHAnsi" w:cstheme="majorHAnsi"/>
          <w:sz w:val="22"/>
          <w:szCs w:val="22"/>
        </w:rPr>
        <w:t xml:space="preserve">. </w:t>
      </w:r>
      <w:r w:rsidR="00E10693" w:rsidRPr="00AA7D88">
        <w:rPr>
          <w:rFonts w:asciiTheme="majorHAnsi" w:hAnsiTheme="majorHAnsi" w:cstheme="majorHAnsi"/>
          <w:sz w:val="22"/>
          <w:szCs w:val="22"/>
        </w:rPr>
        <w:t xml:space="preserve">Spirometry data </w:t>
      </w:r>
      <w:r w:rsidR="00A47CFD" w:rsidRPr="00AA7D88">
        <w:rPr>
          <w:rFonts w:asciiTheme="majorHAnsi" w:hAnsiTheme="majorHAnsi" w:cstheme="majorHAnsi"/>
          <w:sz w:val="22"/>
          <w:szCs w:val="22"/>
        </w:rPr>
        <w:t>from</w:t>
      </w:r>
      <w:r w:rsidR="00E10693" w:rsidRPr="00AA7D88">
        <w:rPr>
          <w:rFonts w:asciiTheme="majorHAnsi" w:hAnsiTheme="majorHAnsi" w:cstheme="majorHAnsi"/>
          <w:sz w:val="22"/>
          <w:szCs w:val="22"/>
        </w:rPr>
        <w:t xml:space="preserve"> children with CF in 2015 was available as predicted FEV</w:t>
      </w:r>
      <w:r w:rsidR="00E10693" w:rsidRPr="00AA7D88">
        <w:rPr>
          <w:rFonts w:asciiTheme="majorHAnsi" w:hAnsiTheme="majorHAnsi" w:cstheme="majorHAnsi"/>
          <w:sz w:val="22"/>
          <w:szCs w:val="22"/>
          <w:vertAlign w:val="subscript"/>
        </w:rPr>
        <w:t>1</w:t>
      </w:r>
      <w:r w:rsidR="00E10693" w:rsidRPr="00AA7D88">
        <w:rPr>
          <w:rFonts w:asciiTheme="majorHAnsi" w:hAnsiTheme="majorHAnsi" w:cstheme="majorHAnsi"/>
          <w:sz w:val="22"/>
          <w:szCs w:val="22"/>
        </w:rPr>
        <w:t xml:space="preserve"> and hence </w:t>
      </w:r>
      <w:r w:rsidR="008E2208" w:rsidRPr="00AA7D88">
        <w:rPr>
          <w:rFonts w:asciiTheme="majorHAnsi" w:hAnsiTheme="majorHAnsi" w:cstheme="majorHAnsi"/>
          <w:sz w:val="22"/>
          <w:szCs w:val="22"/>
        </w:rPr>
        <w:t xml:space="preserve">this was </w:t>
      </w:r>
      <w:r w:rsidR="00E10693" w:rsidRPr="00AA7D88">
        <w:rPr>
          <w:rFonts w:asciiTheme="majorHAnsi" w:hAnsiTheme="majorHAnsi" w:cstheme="majorHAnsi"/>
          <w:sz w:val="22"/>
          <w:szCs w:val="22"/>
        </w:rPr>
        <w:t xml:space="preserve">used for comparison with our PCD patients </w:t>
      </w:r>
      <w:r w:rsidR="00735187" w:rsidRPr="00735187">
        <w:rPr>
          <w:rFonts w:ascii="Calibri" w:hAnsi="Calibri" w:cs="Calibri"/>
          <w:sz w:val="22"/>
        </w:rPr>
        <w:t>(20)</w:t>
      </w:r>
      <w:r w:rsidR="00E10693" w:rsidRPr="00AA7D88">
        <w:rPr>
          <w:rFonts w:asciiTheme="majorHAnsi" w:hAnsiTheme="majorHAnsi" w:cstheme="majorHAnsi"/>
          <w:sz w:val="22"/>
          <w:szCs w:val="22"/>
        </w:rPr>
        <w:t xml:space="preserve">. </w:t>
      </w:r>
      <w:r w:rsidR="00211A46" w:rsidRPr="00AA7D88">
        <w:rPr>
          <w:rFonts w:asciiTheme="majorHAnsi" w:hAnsiTheme="majorHAnsi" w:cstheme="majorHAnsi"/>
          <w:sz w:val="22"/>
          <w:szCs w:val="22"/>
        </w:rPr>
        <w:t>M</w:t>
      </w:r>
      <w:r w:rsidR="00274BD4" w:rsidRPr="00AA7D88">
        <w:rPr>
          <w:rFonts w:asciiTheme="majorHAnsi" w:hAnsiTheme="majorHAnsi" w:cstheme="majorHAnsi"/>
          <w:sz w:val="22"/>
          <w:szCs w:val="22"/>
        </w:rPr>
        <w:t xml:space="preserve">ean </w:t>
      </w:r>
      <w:r w:rsidR="00516A5E" w:rsidRPr="00AA7D88">
        <w:rPr>
          <w:rFonts w:asciiTheme="majorHAnsi" w:hAnsiTheme="majorHAnsi" w:cstheme="majorHAnsi"/>
          <w:sz w:val="22"/>
          <w:szCs w:val="22"/>
        </w:rPr>
        <w:t xml:space="preserve">predicted </w:t>
      </w:r>
      <w:r w:rsidR="00E10693" w:rsidRPr="00AA7D88">
        <w:rPr>
          <w:rFonts w:asciiTheme="majorHAnsi" w:hAnsiTheme="majorHAnsi" w:cstheme="majorHAnsi"/>
          <w:sz w:val="22"/>
          <w:szCs w:val="22"/>
        </w:rPr>
        <w:t>FEV</w:t>
      </w:r>
      <w:r w:rsidR="00E10693" w:rsidRPr="00AA7D88">
        <w:rPr>
          <w:rFonts w:asciiTheme="majorHAnsi" w:hAnsiTheme="majorHAnsi" w:cstheme="majorHAnsi"/>
          <w:sz w:val="22"/>
          <w:szCs w:val="22"/>
          <w:vertAlign w:val="subscript"/>
        </w:rPr>
        <w:t>1</w:t>
      </w:r>
      <w:r w:rsidR="00516A5E" w:rsidRPr="00AA7D88">
        <w:rPr>
          <w:rFonts w:asciiTheme="majorHAnsi" w:hAnsiTheme="majorHAnsi" w:cstheme="majorHAnsi"/>
          <w:sz w:val="22"/>
          <w:szCs w:val="22"/>
        </w:rPr>
        <w:t xml:space="preserve"> </w:t>
      </w:r>
      <w:r w:rsidR="00211A46" w:rsidRPr="00AA7D88">
        <w:rPr>
          <w:rFonts w:asciiTheme="majorHAnsi" w:hAnsiTheme="majorHAnsi" w:cstheme="majorHAnsi"/>
          <w:sz w:val="22"/>
          <w:szCs w:val="22"/>
        </w:rPr>
        <w:t>w</w:t>
      </w:r>
      <w:r w:rsidR="00516A5E" w:rsidRPr="00AA7D88">
        <w:rPr>
          <w:rFonts w:asciiTheme="majorHAnsi" w:hAnsiTheme="majorHAnsi" w:cstheme="majorHAnsi"/>
          <w:sz w:val="22"/>
          <w:szCs w:val="22"/>
        </w:rPr>
        <w:t>as</w:t>
      </w:r>
      <w:r w:rsidR="00211A46" w:rsidRPr="00AA7D88">
        <w:rPr>
          <w:rFonts w:asciiTheme="majorHAnsi" w:hAnsiTheme="majorHAnsi" w:cstheme="majorHAnsi"/>
          <w:sz w:val="22"/>
          <w:szCs w:val="22"/>
        </w:rPr>
        <w:t xml:space="preserve"> </w:t>
      </w:r>
      <w:r w:rsidR="00281012" w:rsidRPr="00AA7D88">
        <w:rPr>
          <w:rFonts w:asciiTheme="majorHAnsi" w:hAnsiTheme="majorHAnsi" w:cstheme="majorHAnsi"/>
          <w:sz w:val="22"/>
          <w:szCs w:val="22"/>
        </w:rPr>
        <w:t>significantly</w:t>
      </w:r>
      <w:r w:rsidR="00E10693" w:rsidRPr="00AA7D88">
        <w:rPr>
          <w:rFonts w:asciiTheme="majorHAnsi" w:hAnsiTheme="majorHAnsi" w:cstheme="majorHAnsi"/>
          <w:sz w:val="22"/>
          <w:szCs w:val="22"/>
        </w:rPr>
        <w:t xml:space="preserve"> lower in PCD children </w:t>
      </w:r>
      <w:r w:rsidR="00281012" w:rsidRPr="00AA7D88">
        <w:rPr>
          <w:rFonts w:asciiTheme="majorHAnsi" w:hAnsiTheme="majorHAnsi" w:cstheme="majorHAnsi"/>
          <w:sz w:val="22"/>
          <w:szCs w:val="22"/>
        </w:rPr>
        <w:t>compared to CF children up to the age of 15</w:t>
      </w:r>
      <w:r w:rsidR="008E2208" w:rsidRPr="00AA7D88">
        <w:rPr>
          <w:rFonts w:asciiTheme="majorHAnsi" w:hAnsiTheme="majorHAnsi" w:cstheme="majorHAnsi"/>
          <w:sz w:val="22"/>
          <w:szCs w:val="22"/>
        </w:rPr>
        <w:t xml:space="preserve"> years</w:t>
      </w:r>
      <w:r w:rsidR="000C3EDA" w:rsidRPr="00AA7D88">
        <w:rPr>
          <w:rFonts w:asciiTheme="majorHAnsi" w:hAnsiTheme="majorHAnsi" w:cstheme="majorHAnsi"/>
          <w:sz w:val="22"/>
          <w:szCs w:val="22"/>
        </w:rPr>
        <w:t xml:space="preserve"> (p=0.001), with no difference seen in the 16 to 18 years old category (p=0.</w:t>
      </w:r>
      <w:r w:rsidR="00C70EE5" w:rsidRPr="00AA7D88">
        <w:rPr>
          <w:rFonts w:asciiTheme="majorHAnsi" w:hAnsiTheme="majorHAnsi" w:cstheme="majorHAnsi"/>
          <w:sz w:val="22"/>
          <w:szCs w:val="22"/>
        </w:rPr>
        <w:t>7</w:t>
      </w:r>
      <w:r w:rsidR="000C3EDA" w:rsidRPr="00AA7D88">
        <w:rPr>
          <w:rFonts w:asciiTheme="majorHAnsi" w:hAnsiTheme="majorHAnsi" w:cstheme="majorHAnsi"/>
          <w:sz w:val="22"/>
          <w:szCs w:val="22"/>
        </w:rPr>
        <w:t>).</w:t>
      </w:r>
      <w:r w:rsidR="001A0A9A" w:rsidRPr="00AA7D88">
        <w:rPr>
          <w:rFonts w:asciiTheme="majorHAnsi" w:hAnsiTheme="majorHAnsi" w:cstheme="majorHAnsi"/>
          <w:sz w:val="22"/>
          <w:szCs w:val="22"/>
        </w:rPr>
        <w:t xml:space="preserve"> </w:t>
      </w:r>
      <w:r w:rsidR="000C3EDA" w:rsidRPr="00AA7D88">
        <w:rPr>
          <w:rFonts w:asciiTheme="majorHAnsi" w:hAnsiTheme="majorHAnsi" w:cstheme="majorHAnsi"/>
          <w:sz w:val="22"/>
          <w:szCs w:val="22"/>
        </w:rPr>
        <w:t>The</w:t>
      </w:r>
      <w:r w:rsidR="001A0A9A" w:rsidRPr="00AA7D88">
        <w:rPr>
          <w:rFonts w:asciiTheme="majorHAnsi" w:hAnsiTheme="majorHAnsi" w:cstheme="majorHAnsi"/>
          <w:sz w:val="22"/>
          <w:szCs w:val="22"/>
        </w:rPr>
        <w:t xml:space="preserve"> largest</w:t>
      </w:r>
      <w:r w:rsidR="000C3EDA" w:rsidRPr="00AA7D88">
        <w:rPr>
          <w:rFonts w:asciiTheme="majorHAnsi" w:hAnsiTheme="majorHAnsi" w:cstheme="majorHAnsi"/>
          <w:sz w:val="22"/>
          <w:szCs w:val="22"/>
        </w:rPr>
        <w:t xml:space="preserve"> difference was</w:t>
      </w:r>
      <w:r w:rsidR="001A0A9A" w:rsidRPr="00AA7D88">
        <w:rPr>
          <w:rFonts w:asciiTheme="majorHAnsi" w:hAnsiTheme="majorHAnsi" w:cstheme="majorHAnsi"/>
          <w:sz w:val="22"/>
          <w:szCs w:val="22"/>
        </w:rPr>
        <w:t xml:space="preserve"> </w:t>
      </w:r>
      <w:r w:rsidR="00E10693" w:rsidRPr="00AA7D88">
        <w:rPr>
          <w:rFonts w:asciiTheme="majorHAnsi" w:hAnsiTheme="majorHAnsi" w:cstheme="majorHAnsi"/>
          <w:sz w:val="22"/>
          <w:szCs w:val="22"/>
        </w:rPr>
        <w:t xml:space="preserve">in </w:t>
      </w:r>
      <w:r w:rsidR="001A0A9A" w:rsidRPr="00AA7D88">
        <w:rPr>
          <w:rFonts w:asciiTheme="majorHAnsi" w:hAnsiTheme="majorHAnsi" w:cstheme="majorHAnsi"/>
          <w:sz w:val="22"/>
          <w:szCs w:val="22"/>
        </w:rPr>
        <w:t xml:space="preserve">the </w:t>
      </w:r>
      <w:r w:rsidR="00C70EE5" w:rsidRPr="00AA7D88">
        <w:rPr>
          <w:rFonts w:asciiTheme="majorHAnsi" w:hAnsiTheme="majorHAnsi" w:cstheme="majorHAnsi"/>
          <w:sz w:val="22"/>
          <w:szCs w:val="22"/>
        </w:rPr>
        <w:t>5</w:t>
      </w:r>
      <w:r w:rsidR="00E10693" w:rsidRPr="00AA7D88">
        <w:rPr>
          <w:rFonts w:asciiTheme="majorHAnsi" w:hAnsiTheme="majorHAnsi" w:cstheme="majorHAnsi"/>
          <w:sz w:val="22"/>
          <w:szCs w:val="22"/>
        </w:rPr>
        <w:t xml:space="preserve"> to 7-year olds</w:t>
      </w:r>
      <w:r w:rsidR="000C3EDA" w:rsidRPr="00AA7D88">
        <w:rPr>
          <w:rFonts w:asciiTheme="majorHAnsi" w:hAnsiTheme="majorHAnsi" w:cstheme="majorHAnsi"/>
          <w:sz w:val="22"/>
          <w:szCs w:val="22"/>
        </w:rPr>
        <w:t>, where</w:t>
      </w:r>
      <w:r w:rsidR="00E10693" w:rsidRPr="00AA7D88">
        <w:rPr>
          <w:rFonts w:asciiTheme="majorHAnsi" w:hAnsiTheme="majorHAnsi" w:cstheme="majorHAnsi"/>
          <w:sz w:val="22"/>
          <w:szCs w:val="22"/>
        </w:rPr>
        <w:t xml:space="preserve"> the me</w:t>
      </w:r>
      <w:r w:rsidR="00274BD4" w:rsidRPr="00AA7D88">
        <w:rPr>
          <w:rFonts w:asciiTheme="majorHAnsi" w:hAnsiTheme="majorHAnsi" w:cstheme="majorHAnsi"/>
          <w:sz w:val="22"/>
          <w:szCs w:val="22"/>
        </w:rPr>
        <w:t>an</w:t>
      </w:r>
      <w:r w:rsidR="00E10693" w:rsidRPr="00AA7D88">
        <w:rPr>
          <w:rFonts w:asciiTheme="majorHAnsi" w:hAnsiTheme="majorHAnsi" w:cstheme="majorHAnsi"/>
          <w:sz w:val="22"/>
          <w:szCs w:val="22"/>
        </w:rPr>
        <w:t xml:space="preserve"> predicted FEV</w:t>
      </w:r>
      <w:r w:rsidR="00E10693" w:rsidRPr="00AA7D88">
        <w:rPr>
          <w:rFonts w:asciiTheme="majorHAnsi" w:hAnsiTheme="majorHAnsi" w:cstheme="majorHAnsi"/>
          <w:sz w:val="22"/>
          <w:szCs w:val="22"/>
          <w:vertAlign w:val="subscript"/>
        </w:rPr>
        <w:t>1</w:t>
      </w:r>
      <w:r w:rsidR="00E10693" w:rsidRPr="00AA7D88">
        <w:rPr>
          <w:rFonts w:asciiTheme="majorHAnsi" w:hAnsiTheme="majorHAnsi" w:cstheme="majorHAnsi"/>
          <w:sz w:val="22"/>
          <w:szCs w:val="22"/>
        </w:rPr>
        <w:t xml:space="preserve"> was 9</w:t>
      </w:r>
      <w:r w:rsidR="00CD003C" w:rsidRPr="00AA7D88">
        <w:rPr>
          <w:rFonts w:asciiTheme="majorHAnsi" w:hAnsiTheme="majorHAnsi" w:cstheme="majorHAnsi"/>
          <w:sz w:val="22"/>
          <w:szCs w:val="22"/>
        </w:rPr>
        <w:t>1</w:t>
      </w:r>
      <w:r w:rsidR="00E56D82" w:rsidRPr="00AA7D88">
        <w:rPr>
          <w:rFonts w:asciiTheme="majorHAnsi" w:hAnsiTheme="majorHAnsi" w:cstheme="majorHAnsi"/>
          <w:sz w:val="22"/>
          <w:szCs w:val="22"/>
        </w:rPr>
        <w:t>.</w:t>
      </w:r>
      <w:r w:rsidR="00CD003C" w:rsidRPr="00AA7D88">
        <w:rPr>
          <w:rFonts w:asciiTheme="majorHAnsi" w:hAnsiTheme="majorHAnsi" w:cstheme="majorHAnsi"/>
          <w:sz w:val="22"/>
          <w:szCs w:val="22"/>
        </w:rPr>
        <w:t>3</w:t>
      </w:r>
      <w:r w:rsidR="00E10693" w:rsidRPr="00AA7D88">
        <w:rPr>
          <w:rFonts w:asciiTheme="majorHAnsi" w:hAnsiTheme="majorHAnsi" w:cstheme="majorHAnsi"/>
          <w:sz w:val="22"/>
          <w:szCs w:val="22"/>
        </w:rPr>
        <w:t>%</w:t>
      </w:r>
      <w:r w:rsidR="00E56D82" w:rsidRPr="00AA7D88">
        <w:rPr>
          <w:rFonts w:asciiTheme="majorHAnsi" w:hAnsiTheme="majorHAnsi" w:cstheme="majorHAnsi"/>
          <w:sz w:val="22"/>
          <w:szCs w:val="22"/>
        </w:rPr>
        <w:t xml:space="preserve"> (SD=1</w:t>
      </w:r>
      <w:r w:rsidR="00CD003C" w:rsidRPr="00AA7D88">
        <w:rPr>
          <w:rFonts w:asciiTheme="majorHAnsi" w:hAnsiTheme="majorHAnsi" w:cstheme="majorHAnsi"/>
          <w:sz w:val="22"/>
          <w:szCs w:val="22"/>
        </w:rPr>
        <w:t>5</w:t>
      </w:r>
      <w:r w:rsidR="00E56D82" w:rsidRPr="00AA7D88">
        <w:rPr>
          <w:rFonts w:asciiTheme="majorHAnsi" w:hAnsiTheme="majorHAnsi" w:cstheme="majorHAnsi"/>
          <w:sz w:val="22"/>
          <w:szCs w:val="22"/>
        </w:rPr>
        <w:t>.</w:t>
      </w:r>
      <w:r w:rsidR="00CD003C" w:rsidRPr="00AA7D88">
        <w:rPr>
          <w:rFonts w:asciiTheme="majorHAnsi" w:hAnsiTheme="majorHAnsi" w:cstheme="majorHAnsi"/>
          <w:sz w:val="22"/>
          <w:szCs w:val="22"/>
        </w:rPr>
        <w:t>7</w:t>
      </w:r>
      <w:r w:rsidR="00E56D82" w:rsidRPr="00AA7D88">
        <w:rPr>
          <w:rFonts w:asciiTheme="majorHAnsi" w:hAnsiTheme="majorHAnsi" w:cstheme="majorHAnsi"/>
          <w:sz w:val="22"/>
          <w:szCs w:val="22"/>
        </w:rPr>
        <w:t>%)</w:t>
      </w:r>
      <w:r w:rsidR="00E10693" w:rsidRPr="00AA7D88">
        <w:rPr>
          <w:rFonts w:asciiTheme="majorHAnsi" w:hAnsiTheme="majorHAnsi" w:cstheme="majorHAnsi"/>
          <w:sz w:val="22"/>
          <w:szCs w:val="22"/>
        </w:rPr>
        <w:t xml:space="preserve"> in CF but was </w:t>
      </w:r>
      <w:r w:rsidR="00E56D82" w:rsidRPr="00AA7D88">
        <w:rPr>
          <w:rFonts w:asciiTheme="majorHAnsi" w:hAnsiTheme="majorHAnsi" w:cstheme="majorHAnsi"/>
          <w:sz w:val="22"/>
          <w:szCs w:val="22"/>
        </w:rPr>
        <w:t>78.</w:t>
      </w:r>
      <w:r w:rsidR="00CD003C" w:rsidRPr="00AA7D88">
        <w:rPr>
          <w:rFonts w:asciiTheme="majorHAnsi" w:hAnsiTheme="majorHAnsi" w:cstheme="majorHAnsi"/>
          <w:sz w:val="22"/>
          <w:szCs w:val="22"/>
        </w:rPr>
        <w:t>3</w:t>
      </w:r>
      <w:r w:rsidR="00E10693" w:rsidRPr="00AA7D88">
        <w:rPr>
          <w:rFonts w:asciiTheme="majorHAnsi" w:hAnsiTheme="majorHAnsi" w:cstheme="majorHAnsi"/>
          <w:sz w:val="22"/>
          <w:szCs w:val="22"/>
        </w:rPr>
        <w:t>%</w:t>
      </w:r>
      <w:r w:rsidR="00E56D82" w:rsidRPr="00AA7D88">
        <w:rPr>
          <w:rFonts w:asciiTheme="majorHAnsi" w:hAnsiTheme="majorHAnsi" w:cstheme="majorHAnsi"/>
          <w:sz w:val="22"/>
          <w:szCs w:val="22"/>
        </w:rPr>
        <w:t xml:space="preserve"> (SD=1</w:t>
      </w:r>
      <w:r w:rsidR="00CD003C" w:rsidRPr="00AA7D88">
        <w:rPr>
          <w:rFonts w:asciiTheme="majorHAnsi" w:hAnsiTheme="majorHAnsi" w:cstheme="majorHAnsi"/>
          <w:sz w:val="22"/>
          <w:szCs w:val="22"/>
        </w:rPr>
        <w:t>8</w:t>
      </w:r>
      <w:r w:rsidR="00E56D82" w:rsidRPr="00AA7D88">
        <w:rPr>
          <w:rFonts w:asciiTheme="majorHAnsi" w:hAnsiTheme="majorHAnsi" w:cstheme="majorHAnsi"/>
          <w:sz w:val="22"/>
          <w:szCs w:val="22"/>
        </w:rPr>
        <w:t>.</w:t>
      </w:r>
      <w:r w:rsidR="00CD003C" w:rsidRPr="00AA7D88">
        <w:rPr>
          <w:rFonts w:asciiTheme="majorHAnsi" w:hAnsiTheme="majorHAnsi" w:cstheme="majorHAnsi"/>
          <w:sz w:val="22"/>
          <w:szCs w:val="22"/>
        </w:rPr>
        <w:t>6</w:t>
      </w:r>
      <w:r w:rsidR="00E56D82" w:rsidRPr="00AA7D88">
        <w:rPr>
          <w:rFonts w:asciiTheme="majorHAnsi" w:hAnsiTheme="majorHAnsi" w:cstheme="majorHAnsi"/>
          <w:sz w:val="22"/>
          <w:szCs w:val="22"/>
        </w:rPr>
        <w:t>%)</w:t>
      </w:r>
      <w:r w:rsidR="00E10693" w:rsidRPr="00AA7D88">
        <w:rPr>
          <w:rFonts w:asciiTheme="majorHAnsi" w:hAnsiTheme="majorHAnsi" w:cstheme="majorHAnsi"/>
          <w:sz w:val="22"/>
          <w:szCs w:val="22"/>
        </w:rPr>
        <w:t xml:space="preserve"> in PCD (Figure </w:t>
      </w:r>
      <w:r w:rsidR="00450335" w:rsidRPr="00AA7D88">
        <w:rPr>
          <w:rFonts w:asciiTheme="majorHAnsi" w:hAnsiTheme="majorHAnsi" w:cstheme="majorHAnsi"/>
          <w:sz w:val="22"/>
          <w:szCs w:val="22"/>
        </w:rPr>
        <w:t>1</w:t>
      </w:r>
      <w:r w:rsidR="00E10693" w:rsidRPr="00AA7D88">
        <w:rPr>
          <w:rFonts w:asciiTheme="majorHAnsi" w:hAnsiTheme="majorHAnsi" w:cstheme="majorHAnsi"/>
          <w:sz w:val="22"/>
          <w:szCs w:val="22"/>
        </w:rPr>
        <w:t xml:space="preserve">b) </w:t>
      </w:r>
      <w:r w:rsidR="00735187" w:rsidRPr="00735187">
        <w:rPr>
          <w:rFonts w:ascii="Calibri" w:hAnsi="Calibri" w:cs="Calibri"/>
          <w:sz w:val="22"/>
        </w:rPr>
        <w:t>(20)</w:t>
      </w:r>
      <w:r w:rsidR="00E10693" w:rsidRPr="00AA7D88">
        <w:rPr>
          <w:rFonts w:asciiTheme="majorHAnsi" w:hAnsiTheme="majorHAnsi" w:cstheme="majorHAnsi"/>
          <w:sz w:val="22"/>
          <w:szCs w:val="22"/>
        </w:rPr>
        <w:t>.</w:t>
      </w:r>
    </w:p>
    <w:p w14:paraId="24B70C6E" w14:textId="08A978E5" w:rsidR="009172E9" w:rsidRPr="00AA7D88" w:rsidRDefault="00AF4C0E" w:rsidP="001C6EA8">
      <w:pPr>
        <w:spacing w:after="120" w:line="480" w:lineRule="auto"/>
        <w:rPr>
          <w:rFonts w:asciiTheme="majorHAnsi" w:hAnsiTheme="majorHAnsi" w:cstheme="majorHAnsi"/>
        </w:rPr>
      </w:pPr>
      <w:r w:rsidRPr="00AA7D88">
        <w:rPr>
          <w:rFonts w:asciiTheme="majorHAnsi" w:hAnsiTheme="majorHAnsi" w:cstheme="majorHAnsi"/>
          <w:color w:val="000000" w:themeColor="text1"/>
          <w:sz w:val="22"/>
          <w:szCs w:val="22"/>
        </w:rPr>
        <w:t xml:space="preserve">Mean (SD) BMI z scores in children with PCD </w:t>
      </w:r>
      <w:r w:rsidR="00211A46" w:rsidRPr="00AA7D88">
        <w:rPr>
          <w:rFonts w:asciiTheme="majorHAnsi" w:hAnsiTheme="majorHAnsi" w:cstheme="majorHAnsi"/>
          <w:color w:val="000000" w:themeColor="text1"/>
          <w:sz w:val="22"/>
          <w:szCs w:val="22"/>
        </w:rPr>
        <w:t>were normal (z score=</w:t>
      </w:r>
      <w:r w:rsidRPr="00AA7D88">
        <w:rPr>
          <w:rFonts w:asciiTheme="majorHAnsi" w:hAnsiTheme="majorHAnsi" w:cstheme="majorHAnsi"/>
          <w:color w:val="000000" w:themeColor="text1"/>
          <w:sz w:val="22"/>
          <w:szCs w:val="22"/>
        </w:rPr>
        <w:t>0 (1.4)) (Table 1). However, children with lower BMI also had lower FEV</w:t>
      </w:r>
      <w:r w:rsidRPr="00AA7D88">
        <w:rPr>
          <w:rFonts w:asciiTheme="majorHAnsi" w:hAnsiTheme="majorHAnsi" w:cstheme="majorHAnsi"/>
          <w:color w:val="000000" w:themeColor="text1"/>
          <w:sz w:val="22"/>
          <w:szCs w:val="22"/>
          <w:vertAlign w:val="subscript"/>
        </w:rPr>
        <w:t>1</w:t>
      </w:r>
      <w:r w:rsidRPr="00AA7D88">
        <w:rPr>
          <w:rFonts w:asciiTheme="majorHAnsi" w:hAnsiTheme="majorHAnsi" w:cstheme="majorHAnsi"/>
          <w:color w:val="000000" w:themeColor="text1"/>
          <w:sz w:val="22"/>
          <w:szCs w:val="22"/>
        </w:rPr>
        <w:t xml:space="preserve"> z scores (n=238, regression coefficient=0.35, 95%CI 0.22 to 0.47, p&lt;0.001, </w:t>
      </w:r>
      <w:r w:rsidR="00F96E71">
        <w:rPr>
          <w:rFonts w:asciiTheme="majorHAnsi" w:hAnsiTheme="majorHAnsi" w:cstheme="majorHAnsi"/>
          <w:color w:val="000000" w:themeColor="text1"/>
          <w:sz w:val="22"/>
          <w:szCs w:val="22"/>
        </w:rPr>
        <w:t xml:space="preserve">adjusted </w:t>
      </w:r>
      <w:r w:rsidRPr="00AA7D88">
        <w:rPr>
          <w:rFonts w:asciiTheme="majorHAnsi" w:hAnsiTheme="majorHAnsi" w:cstheme="majorHAnsi"/>
          <w:color w:val="000000" w:themeColor="text1"/>
          <w:sz w:val="22"/>
          <w:szCs w:val="22"/>
        </w:rPr>
        <w:t>R</w:t>
      </w:r>
      <w:r w:rsidRPr="00AA7D88">
        <w:rPr>
          <w:rFonts w:asciiTheme="majorHAnsi" w:hAnsiTheme="majorHAnsi" w:cstheme="majorHAnsi"/>
          <w:color w:val="000000" w:themeColor="text1"/>
          <w:sz w:val="22"/>
          <w:szCs w:val="22"/>
          <w:vertAlign w:val="superscript"/>
        </w:rPr>
        <w:t>2</w:t>
      </w:r>
      <w:r w:rsidRPr="00AA7D88">
        <w:rPr>
          <w:rFonts w:asciiTheme="majorHAnsi" w:hAnsiTheme="majorHAnsi" w:cstheme="majorHAnsi"/>
          <w:color w:val="000000" w:themeColor="text1"/>
          <w:sz w:val="22"/>
          <w:szCs w:val="22"/>
        </w:rPr>
        <w:t>=10.8</w:t>
      </w:r>
      <w:r w:rsidR="00F96E71">
        <w:rPr>
          <w:rFonts w:asciiTheme="majorHAnsi" w:hAnsiTheme="majorHAnsi" w:cstheme="majorHAnsi"/>
          <w:color w:val="000000" w:themeColor="text1"/>
          <w:sz w:val="22"/>
          <w:szCs w:val="22"/>
        </w:rPr>
        <w:t>%</w:t>
      </w:r>
      <w:r w:rsidRPr="00AA7D88">
        <w:rPr>
          <w:rFonts w:asciiTheme="majorHAnsi" w:hAnsiTheme="majorHAnsi" w:cstheme="majorHAnsi"/>
          <w:color w:val="000000" w:themeColor="text1"/>
          <w:sz w:val="22"/>
          <w:szCs w:val="22"/>
        </w:rPr>
        <w:t xml:space="preserve">) (Figure </w:t>
      </w:r>
      <w:r w:rsidR="00450335" w:rsidRPr="00AA7D88">
        <w:rPr>
          <w:rFonts w:asciiTheme="majorHAnsi" w:hAnsiTheme="majorHAnsi" w:cstheme="majorHAnsi"/>
          <w:color w:val="000000" w:themeColor="text1"/>
          <w:sz w:val="22"/>
          <w:szCs w:val="22"/>
        </w:rPr>
        <w:t>1c</w:t>
      </w:r>
      <w:r w:rsidRPr="00AA7D88">
        <w:rPr>
          <w:rFonts w:asciiTheme="majorHAnsi" w:hAnsiTheme="majorHAnsi" w:cstheme="majorHAnsi"/>
          <w:color w:val="000000" w:themeColor="text1"/>
          <w:sz w:val="22"/>
          <w:szCs w:val="22"/>
        </w:rPr>
        <w:t>).</w:t>
      </w:r>
    </w:p>
    <w:p w14:paraId="3AB55AC4" w14:textId="7FF69407" w:rsidR="00091D72" w:rsidRPr="00AA7D88" w:rsidRDefault="0001034D" w:rsidP="001C6EA8">
      <w:pPr>
        <w:spacing w:after="120" w:line="480" w:lineRule="auto"/>
        <w:rPr>
          <w:rFonts w:asciiTheme="majorHAnsi" w:hAnsiTheme="majorHAnsi" w:cstheme="majorHAnsi"/>
        </w:rPr>
      </w:pPr>
      <w:r w:rsidRPr="00AA7D88">
        <w:rPr>
          <w:rFonts w:asciiTheme="majorHAnsi" w:hAnsiTheme="majorHAnsi" w:cstheme="majorHAnsi"/>
        </w:rPr>
        <w:t xml:space="preserve">Microbiology </w:t>
      </w:r>
    </w:p>
    <w:p w14:paraId="36A8E0FE" w14:textId="69CC8C48" w:rsidR="00AF2272" w:rsidRPr="001C6EA8" w:rsidRDefault="001B2EF7" w:rsidP="001C6EA8">
      <w:pPr>
        <w:spacing w:after="120" w:line="480" w:lineRule="auto"/>
        <w:rPr>
          <w:rFonts w:asciiTheme="majorHAnsi" w:hAnsiTheme="majorHAnsi" w:cstheme="majorHAnsi"/>
          <w:color w:val="000000" w:themeColor="text1"/>
          <w:sz w:val="22"/>
          <w:szCs w:val="22"/>
        </w:rPr>
      </w:pPr>
      <w:r w:rsidRPr="00AA7D88">
        <w:rPr>
          <w:rFonts w:asciiTheme="majorHAnsi" w:hAnsiTheme="majorHAnsi" w:cstheme="majorHAnsi"/>
          <w:color w:val="000000" w:themeColor="text1"/>
          <w:sz w:val="22"/>
          <w:szCs w:val="22"/>
        </w:rPr>
        <w:t>M</w:t>
      </w:r>
      <w:r w:rsidR="00065FEB" w:rsidRPr="00AA7D88">
        <w:rPr>
          <w:rFonts w:asciiTheme="majorHAnsi" w:hAnsiTheme="majorHAnsi" w:cstheme="majorHAnsi"/>
          <w:color w:val="000000" w:themeColor="text1"/>
          <w:sz w:val="22"/>
          <w:szCs w:val="22"/>
        </w:rPr>
        <w:t>i</w:t>
      </w:r>
      <w:r w:rsidRPr="00AA7D88">
        <w:rPr>
          <w:rFonts w:asciiTheme="majorHAnsi" w:hAnsiTheme="majorHAnsi" w:cstheme="majorHAnsi"/>
          <w:color w:val="000000" w:themeColor="text1"/>
          <w:sz w:val="22"/>
          <w:szCs w:val="22"/>
        </w:rPr>
        <w:t>crobio</w:t>
      </w:r>
      <w:r w:rsidR="003F5395" w:rsidRPr="00AA7D88">
        <w:rPr>
          <w:rFonts w:asciiTheme="majorHAnsi" w:hAnsiTheme="majorHAnsi" w:cstheme="majorHAnsi"/>
          <w:color w:val="000000" w:themeColor="text1"/>
          <w:sz w:val="22"/>
          <w:szCs w:val="22"/>
        </w:rPr>
        <w:t xml:space="preserve">logy data </w:t>
      </w:r>
      <w:r w:rsidR="00065FEB" w:rsidRPr="00AA7D88">
        <w:rPr>
          <w:rFonts w:asciiTheme="majorHAnsi" w:hAnsiTheme="majorHAnsi" w:cstheme="majorHAnsi"/>
          <w:color w:val="000000" w:themeColor="text1"/>
          <w:sz w:val="22"/>
          <w:szCs w:val="22"/>
        </w:rPr>
        <w:t xml:space="preserve">were available for </w:t>
      </w:r>
      <w:r w:rsidR="000204AE" w:rsidRPr="00AA7D88">
        <w:rPr>
          <w:rFonts w:asciiTheme="majorHAnsi" w:hAnsiTheme="majorHAnsi" w:cstheme="majorHAnsi"/>
          <w:color w:val="000000" w:themeColor="text1"/>
          <w:sz w:val="22"/>
          <w:szCs w:val="22"/>
        </w:rPr>
        <w:t>3</w:t>
      </w:r>
      <w:r w:rsidR="005373DB" w:rsidRPr="00AA7D88">
        <w:rPr>
          <w:rFonts w:asciiTheme="majorHAnsi" w:hAnsiTheme="majorHAnsi" w:cstheme="majorHAnsi"/>
          <w:color w:val="000000" w:themeColor="text1"/>
          <w:sz w:val="22"/>
          <w:szCs w:val="22"/>
        </w:rPr>
        <w:t>12</w:t>
      </w:r>
      <w:r w:rsidR="000204AE" w:rsidRPr="00AA7D88">
        <w:rPr>
          <w:rFonts w:asciiTheme="majorHAnsi" w:hAnsiTheme="majorHAnsi" w:cstheme="majorHAnsi"/>
          <w:color w:val="000000" w:themeColor="text1"/>
          <w:sz w:val="22"/>
          <w:szCs w:val="22"/>
        </w:rPr>
        <w:t xml:space="preserve"> </w:t>
      </w:r>
      <w:r w:rsidR="00065FEB" w:rsidRPr="00AA7D88">
        <w:rPr>
          <w:rFonts w:asciiTheme="majorHAnsi" w:hAnsiTheme="majorHAnsi" w:cstheme="majorHAnsi"/>
          <w:color w:val="000000" w:themeColor="text1"/>
          <w:sz w:val="22"/>
          <w:szCs w:val="22"/>
        </w:rPr>
        <w:t>children</w:t>
      </w:r>
      <w:r w:rsidR="003620E0" w:rsidRPr="00AA7D88">
        <w:rPr>
          <w:rFonts w:asciiTheme="majorHAnsi" w:hAnsiTheme="majorHAnsi" w:cstheme="majorHAnsi"/>
          <w:color w:val="000000" w:themeColor="text1"/>
          <w:sz w:val="22"/>
          <w:szCs w:val="22"/>
        </w:rPr>
        <w:t>,</w:t>
      </w:r>
      <w:r w:rsidR="004230B0" w:rsidRPr="00AA7D88">
        <w:rPr>
          <w:rFonts w:asciiTheme="majorHAnsi" w:hAnsiTheme="majorHAnsi" w:cstheme="majorHAnsi"/>
          <w:color w:val="000000" w:themeColor="text1"/>
          <w:sz w:val="22"/>
          <w:szCs w:val="22"/>
        </w:rPr>
        <w:t xml:space="preserve"> of which</w:t>
      </w:r>
      <w:r w:rsidR="003620E0" w:rsidRPr="00AA7D88">
        <w:rPr>
          <w:rFonts w:asciiTheme="majorHAnsi" w:hAnsiTheme="majorHAnsi" w:cstheme="majorHAnsi"/>
          <w:color w:val="000000" w:themeColor="text1"/>
          <w:sz w:val="22"/>
          <w:szCs w:val="22"/>
        </w:rPr>
        <w:t xml:space="preserve"> </w:t>
      </w:r>
      <w:r w:rsidR="0025731D" w:rsidRPr="00AA7D88">
        <w:rPr>
          <w:rFonts w:asciiTheme="majorHAnsi" w:hAnsiTheme="majorHAnsi" w:cstheme="majorHAnsi"/>
          <w:color w:val="000000" w:themeColor="text1"/>
          <w:sz w:val="22"/>
          <w:szCs w:val="22"/>
        </w:rPr>
        <w:t>6</w:t>
      </w:r>
      <w:r w:rsidR="002C4330" w:rsidRPr="00AA7D88">
        <w:rPr>
          <w:rFonts w:asciiTheme="majorHAnsi" w:hAnsiTheme="majorHAnsi" w:cstheme="majorHAnsi"/>
          <w:color w:val="000000" w:themeColor="text1"/>
          <w:sz w:val="22"/>
          <w:szCs w:val="22"/>
        </w:rPr>
        <w:t>7</w:t>
      </w:r>
      <w:r w:rsidR="00065FEB" w:rsidRPr="00AA7D88">
        <w:rPr>
          <w:rFonts w:asciiTheme="majorHAnsi" w:hAnsiTheme="majorHAnsi" w:cstheme="majorHAnsi"/>
          <w:color w:val="000000" w:themeColor="text1"/>
          <w:sz w:val="22"/>
          <w:szCs w:val="22"/>
        </w:rPr>
        <w:t xml:space="preserve">% </w:t>
      </w:r>
      <w:r w:rsidR="003620E0" w:rsidRPr="00AA7D88">
        <w:rPr>
          <w:rFonts w:asciiTheme="majorHAnsi" w:hAnsiTheme="majorHAnsi" w:cstheme="majorHAnsi"/>
          <w:color w:val="000000" w:themeColor="text1"/>
          <w:sz w:val="22"/>
          <w:szCs w:val="22"/>
        </w:rPr>
        <w:t xml:space="preserve">did </w:t>
      </w:r>
      <w:r w:rsidR="00065FEB" w:rsidRPr="00AA7D88">
        <w:rPr>
          <w:rFonts w:asciiTheme="majorHAnsi" w:hAnsiTheme="majorHAnsi" w:cstheme="majorHAnsi"/>
          <w:color w:val="000000" w:themeColor="text1"/>
          <w:sz w:val="22"/>
          <w:szCs w:val="22"/>
        </w:rPr>
        <w:t>not cultur</w:t>
      </w:r>
      <w:r w:rsidR="005E2E90" w:rsidRPr="00AA7D88">
        <w:rPr>
          <w:rFonts w:asciiTheme="majorHAnsi" w:hAnsiTheme="majorHAnsi" w:cstheme="majorHAnsi"/>
          <w:color w:val="000000" w:themeColor="text1"/>
          <w:sz w:val="22"/>
          <w:szCs w:val="22"/>
        </w:rPr>
        <w:t>e</w:t>
      </w:r>
      <w:r w:rsidR="00065FEB" w:rsidRPr="00AA7D88">
        <w:rPr>
          <w:rFonts w:asciiTheme="majorHAnsi" w:hAnsiTheme="majorHAnsi" w:cstheme="majorHAnsi"/>
          <w:color w:val="000000" w:themeColor="text1"/>
          <w:sz w:val="22"/>
          <w:szCs w:val="22"/>
        </w:rPr>
        <w:t xml:space="preserve"> a respiratory pathogen</w:t>
      </w:r>
      <w:r w:rsidR="00184CF3" w:rsidRPr="00AA7D88">
        <w:rPr>
          <w:rFonts w:asciiTheme="majorHAnsi" w:hAnsiTheme="majorHAnsi" w:cstheme="majorHAnsi"/>
          <w:color w:val="000000" w:themeColor="text1"/>
          <w:sz w:val="22"/>
          <w:szCs w:val="22"/>
        </w:rPr>
        <w:t xml:space="preserve"> </w:t>
      </w:r>
      <w:r w:rsidR="003F5395" w:rsidRPr="00AA7D88">
        <w:rPr>
          <w:rFonts w:asciiTheme="majorHAnsi" w:hAnsiTheme="majorHAnsi" w:cstheme="majorHAnsi"/>
          <w:color w:val="000000" w:themeColor="text1"/>
          <w:sz w:val="22"/>
          <w:szCs w:val="22"/>
        </w:rPr>
        <w:t xml:space="preserve">at annual review. </w:t>
      </w:r>
      <w:r w:rsidR="00065FEB" w:rsidRPr="00AA7D88">
        <w:rPr>
          <w:rFonts w:asciiTheme="majorHAnsi" w:hAnsiTheme="majorHAnsi" w:cstheme="majorHAnsi"/>
          <w:i/>
          <w:color w:val="000000" w:themeColor="text1"/>
          <w:sz w:val="22"/>
          <w:szCs w:val="22"/>
        </w:rPr>
        <w:t>Haemophilus influenzae</w:t>
      </w:r>
      <w:r w:rsidR="00065FEB" w:rsidRPr="00AA7D88">
        <w:rPr>
          <w:rFonts w:asciiTheme="majorHAnsi" w:hAnsiTheme="majorHAnsi" w:cstheme="majorHAnsi"/>
          <w:color w:val="000000" w:themeColor="text1"/>
          <w:sz w:val="22"/>
          <w:szCs w:val="22"/>
        </w:rPr>
        <w:t xml:space="preserve"> </w:t>
      </w:r>
      <w:r w:rsidR="000B5A5C" w:rsidRPr="00AA7D88">
        <w:rPr>
          <w:rFonts w:asciiTheme="majorHAnsi" w:hAnsiTheme="majorHAnsi" w:cstheme="majorHAnsi"/>
          <w:color w:val="000000" w:themeColor="text1"/>
          <w:sz w:val="22"/>
          <w:szCs w:val="22"/>
        </w:rPr>
        <w:t xml:space="preserve">was the most prevalent </w:t>
      </w:r>
      <w:r w:rsidR="00B02B4D" w:rsidRPr="00AA7D88">
        <w:rPr>
          <w:rFonts w:asciiTheme="majorHAnsi" w:hAnsiTheme="majorHAnsi" w:cstheme="majorHAnsi"/>
          <w:color w:val="000000" w:themeColor="text1"/>
          <w:sz w:val="22"/>
          <w:szCs w:val="22"/>
        </w:rPr>
        <w:t xml:space="preserve">pathogen </w:t>
      </w:r>
      <w:r w:rsidR="003620E0" w:rsidRPr="00AA7D88">
        <w:rPr>
          <w:rFonts w:asciiTheme="majorHAnsi" w:hAnsiTheme="majorHAnsi" w:cstheme="majorHAnsi"/>
          <w:color w:val="000000" w:themeColor="text1"/>
          <w:sz w:val="22"/>
          <w:szCs w:val="22"/>
        </w:rPr>
        <w:t>(</w:t>
      </w:r>
      <w:r w:rsidR="00B02B4D" w:rsidRPr="00AA7D88">
        <w:rPr>
          <w:rFonts w:asciiTheme="majorHAnsi" w:hAnsiTheme="majorHAnsi" w:cstheme="majorHAnsi"/>
          <w:color w:val="000000" w:themeColor="text1"/>
          <w:sz w:val="22"/>
          <w:szCs w:val="22"/>
        </w:rPr>
        <w:t xml:space="preserve">17.9%, </w:t>
      </w:r>
      <w:r w:rsidR="00516A5E" w:rsidRPr="00AA7D88">
        <w:rPr>
          <w:rFonts w:asciiTheme="majorHAnsi" w:hAnsiTheme="majorHAnsi" w:cstheme="majorHAnsi"/>
          <w:color w:val="000000" w:themeColor="text1"/>
          <w:sz w:val="22"/>
          <w:szCs w:val="22"/>
        </w:rPr>
        <w:t xml:space="preserve">corresponding </w:t>
      </w:r>
      <w:r w:rsidR="00B02B4D" w:rsidRPr="00AA7D88">
        <w:rPr>
          <w:rFonts w:asciiTheme="majorHAnsi" w:hAnsiTheme="majorHAnsi" w:cstheme="majorHAnsi"/>
          <w:color w:val="000000" w:themeColor="text1"/>
          <w:sz w:val="22"/>
          <w:szCs w:val="22"/>
        </w:rPr>
        <w:t xml:space="preserve">to </w:t>
      </w:r>
      <w:r w:rsidR="0025731D" w:rsidRPr="00AA7D88">
        <w:rPr>
          <w:rFonts w:asciiTheme="majorHAnsi" w:hAnsiTheme="majorHAnsi" w:cstheme="majorHAnsi"/>
          <w:color w:val="000000" w:themeColor="text1"/>
          <w:sz w:val="22"/>
          <w:szCs w:val="22"/>
        </w:rPr>
        <w:t>5</w:t>
      </w:r>
      <w:r w:rsidR="002C4330" w:rsidRPr="00AA7D88">
        <w:rPr>
          <w:rFonts w:asciiTheme="majorHAnsi" w:hAnsiTheme="majorHAnsi" w:cstheme="majorHAnsi"/>
          <w:color w:val="000000" w:themeColor="text1"/>
          <w:sz w:val="22"/>
          <w:szCs w:val="22"/>
        </w:rPr>
        <w:t>3.9</w:t>
      </w:r>
      <w:r w:rsidR="000B5A5C" w:rsidRPr="00AA7D88">
        <w:rPr>
          <w:rFonts w:asciiTheme="majorHAnsi" w:hAnsiTheme="majorHAnsi" w:cstheme="majorHAnsi"/>
          <w:color w:val="000000" w:themeColor="text1"/>
          <w:sz w:val="22"/>
          <w:szCs w:val="22"/>
        </w:rPr>
        <w:t>%</w:t>
      </w:r>
      <w:r w:rsidR="00B02B4D" w:rsidRPr="00AA7D88">
        <w:rPr>
          <w:rFonts w:asciiTheme="majorHAnsi" w:hAnsiTheme="majorHAnsi" w:cstheme="majorHAnsi"/>
          <w:color w:val="000000" w:themeColor="text1"/>
          <w:sz w:val="22"/>
          <w:szCs w:val="22"/>
        </w:rPr>
        <w:t xml:space="preserve"> of those with a positive culture</w:t>
      </w:r>
      <w:r w:rsidR="003620E0" w:rsidRPr="00AA7D88">
        <w:rPr>
          <w:rFonts w:asciiTheme="majorHAnsi" w:hAnsiTheme="majorHAnsi" w:cstheme="majorHAnsi"/>
          <w:color w:val="000000" w:themeColor="text1"/>
          <w:sz w:val="22"/>
          <w:szCs w:val="22"/>
        </w:rPr>
        <w:t>),</w:t>
      </w:r>
      <w:r w:rsidR="005E2E90" w:rsidRPr="00AA7D88">
        <w:rPr>
          <w:rFonts w:asciiTheme="majorHAnsi" w:hAnsiTheme="majorHAnsi" w:cstheme="majorHAnsi"/>
          <w:color w:val="000000" w:themeColor="text1"/>
          <w:sz w:val="22"/>
          <w:szCs w:val="22"/>
        </w:rPr>
        <w:t xml:space="preserve"> </w:t>
      </w:r>
      <w:r w:rsidR="000B5A5C" w:rsidRPr="00AA7D88">
        <w:rPr>
          <w:rFonts w:asciiTheme="majorHAnsi" w:hAnsiTheme="majorHAnsi" w:cstheme="majorHAnsi"/>
          <w:color w:val="000000" w:themeColor="text1"/>
          <w:sz w:val="22"/>
          <w:szCs w:val="22"/>
        </w:rPr>
        <w:t xml:space="preserve">followed by </w:t>
      </w:r>
      <w:r w:rsidR="000B5A5C" w:rsidRPr="00AA7D88">
        <w:rPr>
          <w:rFonts w:asciiTheme="majorHAnsi" w:hAnsiTheme="majorHAnsi" w:cstheme="majorHAnsi"/>
          <w:i/>
          <w:color w:val="000000" w:themeColor="text1"/>
          <w:sz w:val="22"/>
          <w:szCs w:val="22"/>
        </w:rPr>
        <w:t>Staphylococcus aureus</w:t>
      </w:r>
      <w:r w:rsidR="000B5A5C" w:rsidRPr="00AA7D88">
        <w:rPr>
          <w:rFonts w:asciiTheme="majorHAnsi" w:hAnsiTheme="majorHAnsi" w:cstheme="majorHAnsi"/>
          <w:color w:val="000000" w:themeColor="text1"/>
          <w:sz w:val="22"/>
          <w:szCs w:val="22"/>
        </w:rPr>
        <w:t xml:space="preserve"> </w:t>
      </w:r>
      <w:r w:rsidR="00184CF3" w:rsidRPr="00AA7D88">
        <w:rPr>
          <w:rFonts w:asciiTheme="majorHAnsi" w:hAnsiTheme="majorHAnsi" w:cstheme="majorHAnsi"/>
          <w:color w:val="000000" w:themeColor="text1"/>
          <w:sz w:val="22"/>
          <w:szCs w:val="22"/>
        </w:rPr>
        <w:t>(</w:t>
      </w:r>
      <w:r w:rsidR="00B02B4D" w:rsidRPr="00AA7D88">
        <w:rPr>
          <w:rFonts w:asciiTheme="majorHAnsi" w:hAnsiTheme="majorHAnsi" w:cstheme="majorHAnsi"/>
          <w:color w:val="000000" w:themeColor="text1"/>
          <w:sz w:val="22"/>
          <w:szCs w:val="22"/>
        </w:rPr>
        <w:t>5.1</w:t>
      </w:r>
      <w:r w:rsidR="00184CF3" w:rsidRPr="00AA7D88">
        <w:rPr>
          <w:rFonts w:asciiTheme="majorHAnsi" w:hAnsiTheme="majorHAnsi" w:cstheme="majorHAnsi"/>
          <w:color w:val="000000" w:themeColor="text1"/>
          <w:sz w:val="22"/>
          <w:szCs w:val="22"/>
        </w:rPr>
        <w:t>%)</w:t>
      </w:r>
      <w:r w:rsidR="00C27523" w:rsidRPr="00AA7D88">
        <w:rPr>
          <w:rFonts w:asciiTheme="majorHAnsi" w:hAnsiTheme="majorHAnsi" w:cstheme="majorHAnsi"/>
          <w:color w:val="000000" w:themeColor="text1"/>
          <w:sz w:val="22"/>
          <w:szCs w:val="22"/>
        </w:rPr>
        <w:t xml:space="preserve"> and</w:t>
      </w:r>
      <w:r w:rsidR="00184CF3" w:rsidRPr="00AA7D88">
        <w:rPr>
          <w:rFonts w:asciiTheme="majorHAnsi" w:hAnsiTheme="majorHAnsi" w:cstheme="majorHAnsi"/>
          <w:color w:val="000000" w:themeColor="text1"/>
          <w:sz w:val="22"/>
          <w:szCs w:val="22"/>
        </w:rPr>
        <w:t xml:space="preserve"> </w:t>
      </w:r>
      <w:r w:rsidR="00C27523" w:rsidRPr="00AA7D88">
        <w:rPr>
          <w:rFonts w:asciiTheme="majorHAnsi" w:hAnsiTheme="majorHAnsi" w:cstheme="majorHAnsi"/>
          <w:i/>
          <w:color w:val="000000" w:themeColor="text1"/>
          <w:sz w:val="22"/>
          <w:szCs w:val="22"/>
        </w:rPr>
        <w:t>Streptococcus pneumoniae</w:t>
      </w:r>
      <w:r w:rsidR="00C27523" w:rsidRPr="00AA7D88">
        <w:rPr>
          <w:rFonts w:asciiTheme="majorHAnsi" w:hAnsiTheme="majorHAnsi" w:cstheme="majorHAnsi"/>
          <w:color w:val="000000" w:themeColor="text1"/>
          <w:sz w:val="22"/>
          <w:szCs w:val="22"/>
        </w:rPr>
        <w:t xml:space="preserve"> (</w:t>
      </w:r>
      <w:r w:rsidR="00B02B4D" w:rsidRPr="00AA7D88">
        <w:rPr>
          <w:rFonts w:asciiTheme="majorHAnsi" w:hAnsiTheme="majorHAnsi" w:cstheme="majorHAnsi"/>
          <w:color w:val="000000" w:themeColor="text1"/>
          <w:sz w:val="22"/>
          <w:szCs w:val="22"/>
        </w:rPr>
        <w:t>4.2%</w:t>
      </w:r>
      <w:r w:rsidR="00C27523" w:rsidRPr="00AA7D88">
        <w:rPr>
          <w:rFonts w:asciiTheme="majorHAnsi" w:hAnsiTheme="majorHAnsi" w:cstheme="majorHAnsi"/>
          <w:color w:val="000000" w:themeColor="text1"/>
          <w:sz w:val="22"/>
          <w:szCs w:val="22"/>
        </w:rPr>
        <w:t>)</w:t>
      </w:r>
      <w:r w:rsidR="003620E0" w:rsidRPr="00AA7D88">
        <w:rPr>
          <w:rFonts w:asciiTheme="majorHAnsi" w:hAnsiTheme="majorHAnsi" w:cstheme="majorHAnsi"/>
          <w:color w:val="000000" w:themeColor="text1"/>
          <w:sz w:val="22"/>
          <w:szCs w:val="22"/>
        </w:rPr>
        <w:t>,</w:t>
      </w:r>
      <w:r w:rsidR="00C27523" w:rsidRPr="00AA7D88">
        <w:rPr>
          <w:rFonts w:asciiTheme="majorHAnsi" w:hAnsiTheme="majorHAnsi" w:cstheme="majorHAnsi"/>
          <w:color w:val="000000" w:themeColor="text1"/>
          <w:sz w:val="22"/>
          <w:szCs w:val="22"/>
        </w:rPr>
        <w:t xml:space="preserve"> with </w:t>
      </w:r>
      <w:r w:rsidR="000B5A5C" w:rsidRPr="00AA7D88">
        <w:rPr>
          <w:rFonts w:asciiTheme="majorHAnsi" w:hAnsiTheme="majorHAnsi" w:cstheme="majorHAnsi"/>
          <w:i/>
          <w:color w:val="000000" w:themeColor="text1"/>
          <w:sz w:val="22"/>
          <w:szCs w:val="22"/>
        </w:rPr>
        <w:t>Pseudomonas aeruginosa</w:t>
      </w:r>
      <w:r w:rsidR="000B5A5C" w:rsidRPr="00AA7D88">
        <w:rPr>
          <w:rFonts w:asciiTheme="majorHAnsi" w:hAnsiTheme="majorHAnsi" w:cstheme="majorHAnsi"/>
          <w:color w:val="000000" w:themeColor="text1"/>
          <w:sz w:val="22"/>
          <w:szCs w:val="22"/>
        </w:rPr>
        <w:t xml:space="preserve"> </w:t>
      </w:r>
      <w:r w:rsidR="00184CF3" w:rsidRPr="00AA7D88">
        <w:rPr>
          <w:rFonts w:asciiTheme="majorHAnsi" w:hAnsiTheme="majorHAnsi" w:cstheme="majorHAnsi"/>
          <w:color w:val="000000" w:themeColor="text1"/>
          <w:sz w:val="22"/>
          <w:szCs w:val="22"/>
        </w:rPr>
        <w:t>cultured</w:t>
      </w:r>
      <w:r w:rsidR="00ED6C63" w:rsidRPr="00AA7D88">
        <w:rPr>
          <w:rFonts w:asciiTheme="majorHAnsi" w:hAnsiTheme="majorHAnsi" w:cstheme="majorHAnsi"/>
          <w:color w:val="000000" w:themeColor="text1"/>
          <w:sz w:val="22"/>
          <w:szCs w:val="22"/>
        </w:rPr>
        <w:t xml:space="preserve"> in </w:t>
      </w:r>
      <w:r w:rsidR="00B02B4D" w:rsidRPr="00AA7D88">
        <w:rPr>
          <w:rFonts w:asciiTheme="majorHAnsi" w:hAnsiTheme="majorHAnsi" w:cstheme="majorHAnsi"/>
          <w:color w:val="000000" w:themeColor="text1"/>
          <w:sz w:val="22"/>
          <w:szCs w:val="22"/>
        </w:rPr>
        <w:t>2.6</w:t>
      </w:r>
      <w:r w:rsidR="00ED6C63" w:rsidRPr="00AA7D88">
        <w:rPr>
          <w:rFonts w:asciiTheme="majorHAnsi" w:hAnsiTheme="majorHAnsi" w:cstheme="majorHAnsi"/>
          <w:color w:val="000000" w:themeColor="text1"/>
          <w:sz w:val="22"/>
          <w:szCs w:val="22"/>
        </w:rPr>
        <w:t>% of children</w:t>
      </w:r>
      <w:r w:rsidR="001A623E" w:rsidRPr="00AA7D88">
        <w:rPr>
          <w:rFonts w:asciiTheme="majorHAnsi" w:hAnsiTheme="majorHAnsi" w:cstheme="majorHAnsi"/>
          <w:color w:val="000000" w:themeColor="text1"/>
          <w:sz w:val="22"/>
          <w:szCs w:val="22"/>
        </w:rPr>
        <w:t xml:space="preserve"> (Supplementary table </w:t>
      </w:r>
      <w:r w:rsidR="00C35BC3">
        <w:rPr>
          <w:rFonts w:asciiTheme="majorHAnsi" w:hAnsiTheme="majorHAnsi" w:cstheme="majorHAnsi"/>
          <w:color w:val="000000" w:themeColor="text1"/>
          <w:sz w:val="22"/>
          <w:szCs w:val="22"/>
        </w:rPr>
        <w:t>2</w:t>
      </w:r>
      <w:r w:rsidR="001A623E" w:rsidRPr="00AA7D88">
        <w:rPr>
          <w:rFonts w:asciiTheme="majorHAnsi" w:hAnsiTheme="majorHAnsi" w:cstheme="majorHAnsi"/>
          <w:color w:val="000000" w:themeColor="text1"/>
          <w:sz w:val="22"/>
          <w:szCs w:val="22"/>
        </w:rPr>
        <w:t>)</w:t>
      </w:r>
      <w:r w:rsidR="00166A28" w:rsidRPr="00AA7D88">
        <w:rPr>
          <w:rFonts w:asciiTheme="majorHAnsi" w:hAnsiTheme="majorHAnsi" w:cstheme="majorHAnsi"/>
          <w:color w:val="000000" w:themeColor="text1"/>
          <w:sz w:val="22"/>
          <w:szCs w:val="22"/>
        </w:rPr>
        <w:t xml:space="preserve">. </w:t>
      </w:r>
      <w:r w:rsidR="00103B37" w:rsidRPr="00AA7D88">
        <w:rPr>
          <w:rFonts w:asciiTheme="majorHAnsi" w:hAnsiTheme="majorHAnsi" w:cstheme="majorHAnsi"/>
          <w:color w:val="000000" w:themeColor="text1"/>
          <w:sz w:val="22"/>
          <w:szCs w:val="22"/>
        </w:rPr>
        <w:t xml:space="preserve">No </w:t>
      </w:r>
      <w:r w:rsidR="00FA20B5" w:rsidRPr="00AA7D88">
        <w:rPr>
          <w:rFonts w:asciiTheme="majorHAnsi" w:hAnsiTheme="majorHAnsi" w:cstheme="majorHAnsi"/>
          <w:color w:val="000000" w:themeColor="text1"/>
          <w:sz w:val="22"/>
          <w:szCs w:val="22"/>
        </w:rPr>
        <w:t xml:space="preserve">children </w:t>
      </w:r>
      <w:r w:rsidR="00103B37" w:rsidRPr="00AA7D88">
        <w:rPr>
          <w:rFonts w:asciiTheme="majorHAnsi" w:hAnsiTheme="majorHAnsi" w:cstheme="majorHAnsi"/>
          <w:color w:val="000000" w:themeColor="text1"/>
          <w:sz w:val="22"/>
          <w:szCs w:val="22"/>
        </w:rPr>
        <w:t>cultured non</w:t>
      </w:r>
      <w:r w:rsidR="00C35BC3">
        <w:rPr>
          <w:rFonts w:asciiTheme="majorHAnsi" w:hAnsiTheme="majorHAnsi" w:cstheme="majorHAnsi"/>
          <w:color w:val="000000" w:themeColor="text1"/>
          <w:sz w:val="22"/>
          <w:szCs w:val="22"/>
        </w:rPr>
        <w:t>-</w:t>
      </w:r>
      <w:r w:rsidR="00103B37" w:rsidRPr="00AA7D88">
        <w:rPr>
          <w:rFonts w:asciiTheme="majorHAnsi" w:hAnsiTheme="majorHAnsi" w:cstheme="majorHAnsi"/>
          <w:color w:val="000000" w:themeColor="text1"/>
          <w:sz w:val="22"/>
          <w:szCs w:val="22"/>
        </w:rPr>
        <w:t xml:space="preserve">tuberculous mycobacterium. </w:t>
      </w:r>
      <w:r w:rsidR="004230B0" w:rsidRPr="00AA7D88">
        <w:rPr>
          <w:rFonts w:asciiTheme="majorHAnsi" w:hAnsiTheme="majorHAnsi" w:cstheme="majorHAnsi"/>
          <w:color w:val="000000" w:themeColor="text1"/>
          <w:sz w:val="22"/>
          <w:szCs w:val="22"/>
        </w:rPr>
        <w:t xml:space="preserve">There was no </w:t>
      </w:r>
      <w:r w:rsidR="003620E0" w:rsidRPr="00AA7D88">
        <w:rPr>
          <w:rFonts w:asciiTheme="majorHAnsi" w:hAnsiTheme="majorHAnsi" w:cstheme="majorHAnsi"/>
          <w:color w:val="000000" w:themeColor="text1"/>
          <w:sz w:val="22"/>
          <w:szCs w:val="22"/>
        </w:rPr>
        <w:t>correlation</w:t>
      </w:r>
      <w:r w:rsidR="00951FA2" w:rsidRPr="00AA7D88">
        <w:rPr>
          <w:rFonts w:asciiTheme="majorHAnsi" w:hAnsiTheme="majorHAnsi" w:cstheme="majorHAnsi"/>
          <w:color w:val="000000" w:themeColor="text1"/>
          <w:sz w:val="22"/>
          <w:szCs w:val="22"/>
        </w:rPr>
        <w:t xml:space="preserve"> between those</w:t>
      </w:r>
      <w:r w:rsidR="00BC330F" w:rsidRPr="00AA7D88">
        <w:rPr>
          <w:rFonts w:asciiTheme="majorHAnsi" w:hAnsiTheme="majorHAnsi" w:cstheme="majorHAnsi"/>
          <w:color w:val="000000" w:themeColor="text1"/>
          <w:sz w:val="22"/>
          <w:szCs w:val="22"/>
        </w:rPr>
        <w:t xml:space="preserve"> culturing respiratory pathogen</w:t>
      </w:r>
      <w:r w:rsidR="003620E0" w:rsidRPr="00AA7D88">
        <w:rPr>
          <w:rFonts w:asciiTheme="majorHAnsi" w:hAnsiTheme="majorHAnsi" w:cstheme="majorHAnsi"/>
          <w:color w:val="000000" w:themeColor="text1"/>
          <w:sz w:val="22"/>
          <w:szCs w:val="22"/>
        </w:rPr>
        <w:t>s</w:t>
      </w:r>
      <w:r w:rsidR="005E2E90" w:rsidRPr="00AA7D88">
        <w:rPr>
          <w:rFonts w:asciiTheme="majorHAnsi" w:hAnsiTheme="majorHAnsi" w:cstheme="majorHAnsi"/>
          <w:color w:val="000000" w:themeColor="text1"/>
          <w:sz w:val="22"/>
          <w:szCs w:val="22"/>
        </w:rPr>
        <w:t xml:space="preserve"> and </w:t>
      </w:r>
      <w:r w:rsidR="00114BEB" w:rsidRPr="00AA7D88">
        <w:rPr>
          <w:rFonts w:asciiTheme="majorHAnsi" w:hAnsiTheme="majorHAnsi" w:cstheme="majorHAnsi"/>
          <w:color w:val="000000" w:themeColor="text1"/>
          <w:sz w:val="22"/>
          <w:szCs w:val="22"/>
        </w:rPr>
        <w:t>FEV</w:t>
      </w:r>
      <w:r w:rsidR="00114BEB" w:rsidRPr="00AA7D88">
        <w:rPr>
          <w:rFonts w:asciiTheme="majorHAnsi" w:hAnsiTheme="majorHAnsi" w:cstheme="majorHAnsi"/>
          <w:color w:val="000000" w:themeColor="text1"/>
          <w:sz w:val="22"/>
          <w:szCs w:val="22"/>
          <w:vertAlign w:val="subscript"/>
        </w:rPr>
        <w:t>1</w:t>
      </w:r>
      <w:r w:rsidR="004230B0" w:rsidRPr="00AA7D88">
        <w:rPr>
          <w:rFonts w:asciiTheme="majorHAnsi" w:hAnsiTheme="majorHAnsi" w:cstheme="majorHAnsi"/>
          <w:color w:val="000000" w:themeColor="text1"/>
          <w:sz w:val="22"/>
          <w:szCs w:val="22"/>
          <w:vertAlign w:val="subscript"/>
        </w:rPr>
        <w:t xml:space="preserve"> </w:t>
      </w:r>
      <w:r w:rsidR="004230B0" w:rsidRPr="00AA7D88">
        <w:rPr>
          <w:rFonts w:asciiTheme="majorHAnsi" w:hAnsiTheme="majorHAnsi" w:cstheme="majorHAnsi"/>
          <w:color w:val="000000" w:themeColor="text1"/>
          <w:sz w:val="22"/>
          <w:szCs w:val="22"/>
        </w:rPr>
        <w:t>z scores and</w:t>
      </w:r>
      <w:r w:rsidR="00BF1DC9" w:rsidRPr="00AA7D88">
        <w:rPr>
          <w:rFonts w:asciiTheme="majorHAnsi" w:hAnsiTheme="majorHAnsi" w:cstheme="majorHAnsi"/>
          <w:color w:val="000000" w:themeColor="text1"/>
          <w:sz w:val="22"/>
          <w:szCs w:val="22"/>
        </w:rPr>
        <w:t xml:space="preserve"> </w:t>
      </w:r>
      <w:r w:rsidR="004230B0" w:rsidRPr="00AA7D88">
        <w:rPr>
          <w:rFonts w:asciiTheme="majorHAnsi" w:hAnsiTheme="majorHAnsi" w:cstheme="majorHAnsi"/>
          <w:color w:val="000000" w:themeColor="text1"/>
          <w:sz w:val="22"/>
          <w:szCs w:val="22"/>
        </w:rPr>
        <w:t>n</w:t>
      </w:r>
      <w:r w:rsidR="00BF1DC9" w:rsidRPr="00AA7D88">
        <w:rPr>
          <w:rFonts w:asciiTheme="majorHAnsi" w:hAnsiTheme="majorHAnsi" w:cstheme="majorHAnsi"/>
          <w:color w:val="000000" w:themeColor="text1"/>
          <w:sz w:val="22"/>
          <w:szCs w:val="22"/>
        </w:rPr>
        <w:t>o</w:t>
      </w:r>
      <w:r w:rsidR="001A0A9A" w:rsidRPr="00AA7D88">
        <w:rPr>
          <w:rFonts w:asciiTheme="majorHAnsi" w:hAnsiTheme="majorHAnsi" w:cstheme="majorHAnsi"/>
          <w:color w:val="000000" w:themeColor="text1"/>
          <w:sz w:val="22"/>
          <w:szCs w:val="22"/>
        </w:rPr>
        <w:t xml:space="preserve"> statistically significant</w:t>
      </w:r>
      <w:r w:rsidR="00BF1DC9" w:rsidRPr="00AA7D88">
        <w:rPr>
          <w:rFonts w:asciiTheme="majorHAnsi" w:hAnsiTheme="majorHAnsi" w:cstheme="majorHAnsi"/>
          <w:color w:val="000000" w:themeColor="text1"/>
          <w:sz w:val="22"/>
          <w:szCs w:val="22"/>
        </w:rPr>
        <w:t xml:space="preserve"> differences were </w:t>
      </w:r>
      <w:r w:rsidR="004230B0" w:rsidRPr="00AA7D88">
        <w:rPr>
          <w:rFonts w:asciiTheme="majorHAnsi" w:hAnsiTheme="majorHAnsi" w:cstheme="majorHAnsi"/>
          <w:color w:val="000000" w:themeColor="text1"/>
          <w:sz w:val="22"/>
          <w:szCs w:val="22"/>
        </w:rPr>
        <w:t xml:space="preserve">observed </w:t>
      </w:r>
      <w:r w:rsidR="00BF1DC9" w:rsidRPr="00AA7D88">
        <w:rPr>
          <w:rFonts w:asciiTheme="majorHAnsi" w:hAnsiTheme="majorHAnsi" w:cstheme="majorHAnsi"/>
          <w:color w:val="000000" w:themeColor="text1"/>
          <w:sz w:val="22"/>
          <w:szCs w:val="22"/>
        </w:rPr>
        <w:t xml:space="preserve">in respiratory pathogens </w:t>
      </w:r>
      <w:r w:rsidR="001A0A9A" w:rsidRPr="00AA7D88">
        <w:rPr>
          <w:rFonts w:asciiTheme="majorHAnsi" w:hAnsiTheme="majorHAnsi" w:cstheme="majorHAnsi"/>
          <w:color w:val="000000" w:themeColor="text1"/>
          <w:sz w:val="22"/>
          <w:szCs w:val="22"/>
        </w:rPr>
        <w:t xml:space="preserve">when stratified by </w:t>
      </w:r>
      <w:r w:rsidR="00BF1DC9" w:rsidRPr="00AA7D88">
        <w:rPr>
          <w:rFonts w:asciiTheme="majorHAnsi" w:hAnsiTheme="majorHAnsi" w:cstheme="majorHAnsi"/>
          <w:color w:val="000000" w:themeColor="text1"/>
          <w:sz w:val="22"/>
          <w:szCs w:val="22"/>
        </w:rPr>
        <w:t>age category</w:t>
      </w:r>
      <w:r w:rsidR="00221DF7" w:rsidRPr="00AA7D88">
        <w:rPr>
          <w:rFonts w:asciiTheme="majorHAnsi" w:hAnsiTheme="majorHAnsi" w:cstheme="majorHAnsi"/>
          <w:color w:val="000000" w:themeColor="text1"/>
          <w:sz w:val="22"/>
          <w:szCs w:val="22"/>
        </w:rPr>
        <w:t xml:space="preserve"> </w:t>
      </w:r>
      <w:r w:rsidR="00BF1DC9" w:rsidRPr="00AA7D88">
        <w:rPr>
          <w:rFonts w:asciiTheme="majorHAnsi" w:hAnsiTheme="majorHAnsi" w:cstheme="majorHAnsi"/>
          <w:color w:val="000000" w:themeColor="text1"/>
          <w:sz w:val="22"/>
          <w:szCs w:val="22"/>
        </w:rPr>
        <w:t xml:space="preserve">(Figure </w:t>
      </w:r>
      <w:r w:rsidR="008C6572" w:rsidRPr="00AA7D88">
        <w:rPr>
          <w:rFonts w:asciiTheme="majorHAnsi" w:hAnsiTheme="majorHAnsi" w:cstheme="majorHAnsi"/>
          <w:color w:val="000000" w:themeColor="text1"/>
          <w:sz w:val="22"/>
          <w:szCs w:val="22"/>
        </w:rPr>
        <w:t>2</w:t>
      </w:r>
      <w:r w:rsidR="00BF1DC9" w:rsidRPr="00AA7D88">
        <w:rPr>
          <w:rFonts w:asciiTheme="majorHAnsi" w:hAnsiTheme="majorHAnsi" w:cstheme="majorHAnsi"/>
          <w:color w:val="000000" w:themeColor="text1"/>
          <w:sz w:val="22"/>
          <w:szCs w:val="22"/>
        </w:rPr>
        <w:t>).</w:t>
      </w:r>
    </w:p>
    <w:p w14:paraId="720A00E5" w14:textId="4281B5E1" w:rsidR="00091D72" w:rsidRPr="00AA7D88" w:rsidRDefault="0001034D" w:rsidP="001C6EA8">
      <w:pPr>
        <w:spacing w:after="120" w:line="480" w:lineRule="auto"/>
        <w:rPr>
          <w:rFonts w:asciiTheme="majorHAnsi" w:hAnsiTheme="majorHAnsi" w:cstheme="majorHAnsi"/>
        </w:rPr>
      </w:pPr>
      <w:r w:rsidRPr="00AA7D88">
        <w:rPr>
          <w:rFonts w:asciiTheme="majorHAnsi" w:hAnsiTheme="majorHAnsi" w:cstheme="majorHAnsi"/>
        </w:rPr>
        <w:t>Audiology</w:t>
      </w:r>
    </w:p>
    <w:p w14:paraId="687AB1E3" w14:textId="1C77CBE7" w:rsidR="00AF2272" w:rsidRPr="001C6EA8" w:rsidRDefault="001A0A9A" w:rsidP="001C6EA8">
      <w:pPr>
        <w:spacing w:after="120" w:line="480" w:lineRule="auto"/>
        <w:rPr>
          <w:rFonts w:asciiTheme="majorHAnsi" w:hAnsiTheme="majorHAnsi" w:cstheme="majorHAnsi"/>
          <w:color w:val="000000" w:themeColor="text1"/>
          <w:sz w:val="22"/>
          <w:szCs w:val="22"/>
        </w:rPr>
      </w:pPr>
      <w:r w:rsidRPr="00AA7D88">
        <w:rPr>
          <w:rFonts w:asciiTheme="majorHAnsi" w:hAnsiTheme="majorHAnsi" w:cstheme="majorHAnsi"/>
          <w:color w:val="000000" w:themeColor="text1"/>
          <w:sz w:val="22"/>
          <w:szCs w:val="22"/>
        </w:rPr>
        <w:t xml:space="preserve">Normal hearing levels were observed in </w:t>
      </w:r>
      <w:r w:rsidR="00FD2E29" w:rsidRPr="00AA7D88">
        <w:rPr>
          <w:rFonts w:asciiTheme="majorHAnsi" w:hAnsiTheme="majorHAnsi" w:cstheme="majorHAnsi"/>
          <w:color w:val="000000" w:themeColor="text1"/>
          <w:sz w:val="22"/>
          <w:szCs w:val="22"/>
        </w:rPr>
        <w:t>44</w:t>
      </w:r>
      <w:r w:rsidR="0025731D" w:rsidRPr="00AA7D88">
        <w:rPr>
          <w:rFonts w:asciiTheme="majorHAnsi" w:hAnsiTheme="majorHAnsi" w:cstheme="majorHAnsi"/>
          <w:color w:val="000000" w:themeColor="text1"/>
          <w:sz w:val="22"/>
          <w:szCs w:val="22"/>
        </w:rPr>
        <w:t>.3</w:t>
      </w:r>
      <w:r w:rsidR="00FD2E29" w:rsidRPr="00AA7D88">
        <w:rPr>
          <w:rFonts w:asciiTheme="majorHAnsi" w:hAnsiTheme="majorHAnsi" w:cstheme="majorHAnsi"/>
          <w:color w:val="000000" w:themeColor="text1"/>
          <w:sz w:val="22"/>
          <w:szCs w:val="22"/>
        </w:rPr>
        <w:t xml:space="preserve">% </w:t>
      </w:r>
      <w:r w:rsidR="004C6B66" w:rsidRPr="00AA7D88">
        <w:rPr>
          <w:rFonts w:asciiTheme="majorHAnsi" w:hAnsiTheme="majorHAnsi" w:cstheme="majorHAnsi"/>
          <w:color w:val="000000" w:themeColor="text1"/>
          <w:sz w:val="22"/>
          <w:szCs w:val="22"/>
        </w:rPr>
        <w:t>of children</w:t>
      </w:r>
      <w:r w:rsidR="006A512B" w:rsidRPr="00AA7D88">
        <w:rPr>
          <w:rFonts w:asciiTheme="majorHAnsi" w:hAnsiTheme="majorHAnsi" w:cstheme="majorHAnsi"/>
          <w:color w:val="000000" w:themeColor="text1"/>
          <w:sz w:val="22"/>
          <w:szCs w:val="22"/>
        </w:rPr>
        <w:t xml:space="preserve"> with audiology results available (n=27</w:t>
      </w:r>
      <w:r w:rsidR="005373DB" w:rsidRPr="00AA7D88">
        <w:rPr>
          <w:rFonts w:asciiTheme="majorHAnsi" w:hAnsiTheme="majorHAnsi" w:cstheme="majorHAnsi"/>
          <w:color w:val="000000" w:themeColor="text1"/>
          <w:sz w:val="22"/>
          <w:szCs w:val="22"/>
        </w:rPr>
        <w:t>1</w:t>
      </w:r>
      <w:r w:rsidR="00E81B93" w:rsidRPr="00AA7D88">
        <w:rPr>
          <w:rFonts w:asciiTheme="majorHAnsi" w:hAnsiTheme="majorHAnsi" w:cstheme="majorHAnsi"/>
          <w:color w:val="000000" w:themeColor="text1"/>
          <w:sz w:val="22"/>
          <w:szCs w:val="22"/>
        </w:rPr>
        <w:t xml:space="preserve">; </w:t>
      </w:r>
      <w:r w:rsidR="0025731D" w:rsidRPr="00AA7D88">
        <w:rPr>
          <w:rFonts w:asciiTheme="majorHAnsi" w:hAnsiTheme="majorHAnsi" w:cstheme="majorHAnsi"/>
          <w:color w:val="000000" w:themeColor="text1"/>
          <w:sz w:val="22"/>
          <w:szCs w:val="22"/>
        </w:rPr>
        <w:t>81.4</w:t>
      </w:r>
      <w:r w:rsidR="00E81B93" w:rsidRPr="00AA7D88">
        <w:rPr>
          <w:rFonts w:asciiTheme="majorHAnsi" w:hAnsiTheme="majorHAnsi" w:cstheme="majorHAnsi"/>
          <w:color w:val="000000" w:themeColor="text1"/>
          <w:sz w:val="22"/>
          <w:szCs w:val="22"/>
        </w:rPr>
        <w:t>%</w:t>
      </w:r>
      <w:r w:rsidR="000E14AE" w:rsidRPr="00AA7D88">
        <w:rPr>
          <w:rFonts w:asciiTheme="majorHAnsi" w:hAnsiTheme="majorHAnsi" w:cstheme="majorHAnsi"/>
          <w:color w:val="000000" w:themeColor="text1"/>
          <w:sz w:val="22"/>
          <w:szCs w:val="22"/>
        </w:rPr>
        <w:t xml:space="preserve"> of </w:t>
      </w:r>
      <w:r w:rsidR="003D7CD4" w:rsidRPr="00AA7D88">
        <w:rPr>
          <w:rFonts w:asciiTheme="majorHAnsi" w:hAnsiTheme="majorHAnsi" w:cstheme="majorHAnsi"/>
          <w:color w:val="000000" w:themeColor="text1"/>
          <w:sz w:val="22"/>
          <w:szCs w:val="22"/>
        </w:rPr>
        <w:t xml:space="preserve">all </w:t>
      </w:r>
      <w:r w:rsidR="000E14AE" w:rsidRPr="00AA7D88">
        <w:rPr>
          <w:rFonts w:asciiTheme="majorHAnsi" w:hAnsiTheme="majorHAnsi" w:cstheme="majorHAnsi"/>
          <w:color w:val="000000" w:themeColor="text1"/>
          <w:sz w:val="22"/>
          <w:szCs w:val="22"/>
        </w:rPr>
        <w:t>children</w:t>
      </w:r>
      <w:r w:rsidR="006A512B" w:rsidRPr="00AA7D88">
        <w:rPr>
          <w:rFonts w:asciiTheme="majorHAnsi" w:hAnsiTheme="majorHAnsi" w:cstheme="majorHAnsi"/>
          <w:color w:val="000000" w:themeColor="text1"/>
          <w:sz w:val="22"/>
          <w:szCs w:val="22"/>
        </w:rPr>
        <w:t>)</w:t>
      </w:r>
      <w:r w:rsidR="003A4729" w:rsidRPr="00AA7D88">
        <w:rPr>
          <w:rFonts w:asciiTheme="majorHAnsi" w:hAnsiTheme="majorHAnsi" w:cstheme="majorHAnsi"/>
          <w:color w:val="000000" w:themeColor="text1"/>
          <w:sz w:val="22"/>
          <w:szCs w:val="22"/>
        </w:rPr>
        <w:t>, 34% had mild hearing loss</w:t>
      </w:r>
      <w:r w:rsidR="004C6B66" w:rsidRPr="00AA7D88">
        <w:rPr>
          <w:rFonts w:asciiTheme="majorHAnsi" w:hAnsiTheme="majorHAnsi" w:cstheme="majorHAnsi"/>
          <w:color w:val="000000" w:themeColor="text1"/>
          <w:sz w:val="22"/>
          <w:szCs w:val="22"/>
        </w:rPr>
        <w:t xml:space="preserve"> </w:t>
      </w:r>
      <w:r w:rsidR="00D41071" w:rsidRPr="00AA7D88">
        <w:rPr>
          <w:rFonts w:asciiTheme="majorHAnsi" w:hAnsiTheme="majorHAnsi" w:cstheme="majorHAnsi"/>
          <w:color w:val="000000" w:themeColor="text1"/>
          <w:sz w:val="22"/>
          <w:szCs w:val="22"/>
        </w:rPr>
        <w:t>and</w:t>
      </w:r>
      <w:r w:rsidR="004C6B66" w:rsidRPr="00AA7D88">
        <w:rPr>
          <w:rFonts w:asciiTheme="majorHAnsi" w:hAnsiTheme="majorHAnsi" w:cstheme="majorHAnsi"/>
          <w:color w:val="000000" w:themeColor="text1"/>
          <w:sz w:val="22"/>
          <w:szCs w:val="22"/>
        </w:rPr>
        <w:t xml:space="preserve"> 2</w:t>
      </w:r>
      <w:r w:rsidR="00DE13B2" w:rsidRPr="00AA7D88">
        <w:rPr>
          <w:rFonts w:asciiTheme="majorHAnsi" w:hAnsiTheme="majorHAnsi" w:cstheme="majorHAnsi"/>
          <w:color w:val="000000" w:themeColor="text1"/>
          <w:sz w:val="22"/>
          <w:szCs w:val="22"/>
        </w:rPr>
        <w:t>1</w:t>
      </w:r>
      <w:r w:rsidR="0025731D" w:rsidRPr="00AA7D88">
        <w:rPr>
          <w:rFonts w:asciiTheme="majorHAnsi" w:hAnsiTheme="majorHAnsi" w:cstheme="majorHAnsi"/>
          <w:color w:val="000000" w:themeColor="text1"/>
          <w:sz w:val="22"/>
          <w:szCs w:val="22"/>
        </w:rPr>
        <w:t>.8</w:t>
      </w:r>
      <w:r w:rsidR="004C6B66" w:rsidRPr="00AA7D88">
        <w:rPr>
          <w:rFonts w:asciiTheme="majorHAnsi" w:hAnsiTheme="majorHAnsi" w:cstheme="majorHAnsi"/>
          <w:color w:val="000000" w:themeColor="text1"/>
          <w:sz w:val="22"/>
          <w:szCs w:val="22"/>
        </w:rPr>
        <w:t>% ha</w:t>
      </w:r>
      <w:r w:rsidR="00D41071" w:rsidRPr="00AA7D88">
        <w:rPr>
          <w:rFonts w:asciiTheme="majorHAnsi" w:hAnsiTheme="majorHAnsi" w:cstheme="majorHAnsi"/>
          <w:color w:val="000000" w:themeColor="text1"/>
          <w:sz w:val="22"/>
          <w:szCs w:val="22"/>
        </w:rPr>
        <w:t xml:space="preserve">d </w:t>
      </w:r>
      <w:r w:rsidR="00DE13B2" w:rsidRPr="00AA7D88">
        <w:rPr>
          <w:rFonts w:asciiTheme="majorHAnsi" w:hAnsiTheme="majorHAnsi" w:cstheme="majorHAnsi"/>
          <w:color w:val="000000" w:themeColor="text1"/>
          <w:sz w:val="22"/>
          <w:szCs w:val="22"/>
        </w:rPr>
        <w:t xml:space="preserve">more significant </w:t>
      </w:r>
      <w:r w:rsidR="00D41071" w:rsidRPr="00AA7D88">
        <w:rPr>
          <w:rFonts w:asciiTheme="majorHAnsi" w:hAnsiTheme="majorHAnsi" w:cstheme="majorHAnsi"/>
          <w:color w:val="000000" w:themeColor="text1"/>
          <w:sz w:val="22"/>
          <w:szCs w:val="22"/>
        </w:rPr>
        <w:t>hearing loss</w:t>
      </w:r>
      <w:r w:rsidR="00221DF7" w:rsidRPr="00AA7D88">
        <w:rPr>
          <w:rFonts w:asciiTheme="majorHAnsi" w:hAnsiTheme="majorHAnsi" w:cstheme="majorHAnsi"/>
          <w:color w:val="000000" w:themeColor="text1"/>
          <w:sz w:val="22"/>
          <w:szCs w:val="22"/>
        </w:rPr>
        <w:t xml:space="preserve">. </w:t>
      </w:r>
      <w:r w:rsidR="00516A5E" w:rsidRPr="00AA7D88">
        <w:rPr>
          <w:rFonts w:asciiTheme="majorHAnsi" w:hAnsiTheme="majorHAnsi" w:cstheme="majorHAnsi"/>
          <w:color w:val="000000" w:themeColor="text1"/>
          <w:sz w:val="22"/>
          <w:szCs w:val="22"/>
        </w:rPr>
        <w:t xml:space="preserve">At the time of annual review </w:t>
      </w:r>
      <w:r w:rsidR="000C2977" w:rsidRPr="00AA7D88">
        <w:rPr>
          <w:rFonts w:asciiTheme="majorHAnsi" w:hAnsiTheme="majorHAnsi" w:cstheme="majorHAnsi"/>
          <w:color w:val="000000" w:themeColor="text1"/>
          <w:sz w:val="22"/>
          <w:szCs w:val="22"/>
        </w:rPr>
        <w:t>2</w:t>
      </w:r>
      <w:r w:rsidR="0025731D" w:rsidRPr="00AA7D88">
        <w:rPr>
          <w:rFonts w:asciiTheme="majorHAnsi" w:hAnsiTheme="majorHAnsi" w:cstheme="majorHAnsi"/>
          <w:color w:val="000000" w:themeColor="text1"/>
          <w:sz w:val="22"/>
          <w:szCs w:val="22"/>
        </w:rPr>
        <w:t>3.6</w:t>
      </w:r>
      <w:r w:rsidR="000C2977" w:rsidRPr="00AA7D88">
        <w:rPr>
          <w:rFonts w:asciiTheme="majorHAnsi" w:hAnsiTheme="majorHAnsi" w:cstheme="majorHAnsi"/>
          <w:color w:val="000000" w:themeColor="text1"/>
          <w:sz w:val="22"/>
          <w:szCs w:val="22"/>
        </w:rPr>
        <w:t xml:space="preserve">% </w:t>
      </w:r>
      <w:r w:rsidR="005C0A47" w:rsidRPr="00AA7D88">
        <w:rPr>
          <w:rFonts w:asciiTheme="majorHAnsi" w:hAnsiTheme="majorHAnsi" w:cstheme="majorHAnsi"/>
          <w:color w:val="000000" w:themeColor="text1"/>
          <w:sz w:val="22"/>
          <w:szCs w:val="22"/>
        </w:rPr>
        <w:t xml:space="preserve">of children </w:t>
      </w:r>
      <w:r w:rsidR="00221DF7" w:rsidRPr="00AA7D88">
        <w:rPr>
          <w:rFonts w:asciiTheme="majorHAnsi" w:hAnsiTheme="majorHAnsi" w:cstheme="majorHAnsi"/>
          <w:color w:val="000000" w:themeColor="text1"/>
          <w:sz w:val="22"/>
          <w:szCs w:val="22"/>
        </w:rPr>
        <w:t xml:space="preserve">were </w:t>
      </w:r>
      <w:r w:rsidR="000C2977" w:rsidRPr="00AA7D88">
        <w:rPr>
          <w:rFonts w:asciiTheme="majorHAnsi" w:hAnsiTheme="majorHAnsi" w:cstheme="majorHAnsi"/>
          <w:color w:val="000000" w:themeColor="text1"/>
          <w:sz w:val="22"/>
          <w:szCs w:val="22"/>
        </w:rPr>
        <w:t>w</w:t>
      </w:r>
      <w:r w:rsidR="00221DF7" w:rsidRPr="00AA7D88">
        <w:rPr>
          <w:rFonts w:asciiTheme="majorHAnsi" w:hAnsiTheme="majorHAnsi" w:cstheme="majorHAnsi"/>
          <w:color w:val="000000" w:themeColor="text1"/>
          <w:sz w:val="22"/>
          <w:szCs w:val="22"/>
        </w:rPr>
        <w:t xml:space="preserve">earing </w:t>
      </w:r>
      <w:r w:rsidR="000C2977" w:rsidRPr="00AA7D88">
        <w:rPr>
          <w:rFonts w:asciiTheme="majorHAnsi" w:hAnsiTheme="majorHAnsi" w:cstheme="majorHAnsi"/>
          <w:color w:val="000000" w:themeColor="text1"/>
          <w:sz w:val="22"/>
          <w:szCs w:val="22"/>
        </w:rPr>
        <w:t>hearing aids</w:t>
      </w:r>
      <w:r w:rsidR="00472D76" w:rsidRPr="00AA7D88">
        <w:rPr>
          <w:rFonts w:asciiTheme="majorHAnsi" w:hAnsiTheme="majorHAnsi" w:cstheme="majorHAnsi"/>
          <w:color w:val="000000" w:themeColor="text1"/>
          <w:sz w:val="22"/>
          <w:szCs w:val="22"/>
        </w:rPr>
        <w:t>.</w:t>
      </w:r>
      <w:r w:rsidR="000C2977" w:rsidRPr="00AA7D88">
        <w:rPr>
          <w:rFonts w:asciiTheme="majorHAnsi" w:hAnsiTheme="majorHAnsi" w:cstheme="majorHAnsi"/>
          <w:color w:val="000000" w:themeColor="text1"/>
          <w:sz w:val="22"/>
          <w:szCs w:val="22"/>
        </w:rPr>
        <w:t xml:space="preserve"> </w:t>
      </w:r>
      <w:r w:rsidR="003F120E" w:rsidRPr="00AA7D88">
        <w:rPr>
          <w:rFonts w:asciiTheme="majorHAnsi" w:hAnsiTheme="majorHAnsi" w:cstheme="majorHAnsi"/>
          <w:color w:val="000000" w:themeColor="text1"/>
          <w:sz w:val="22"/>
          <w:szCs w:val="22"/>
        </w:rPr>
        <w:t xml:space="preserve">Moderate to profound hearing loss was seen in </w:t>
      </w:r>
      <w:r w:rsidR="001E6DCF" w:rsidRPr="00AA7D88">
        <w:rPr>
          <w:rFonts w:asciiTheme="majorHAnsi" w:hAnsiTheme="majorHAnsi" w:cstheme="majorHAnsi"/>
          <w:color w:val="000000" w:themeColor="text1"/>
          <w:sz w:val="22"/>
          <w:szCs w:val="22"/>
        </w:rPr>
        <w:t xml:space="preserve">26.4% of children younger than 6 years of age </w:t>
      </w:r>
      <w:r w:rsidR="003F120E" w:rsidRPr="00AA7D88">
        <w:rPr>
          <w:rFonts w:asciiTheme="majorHAnsi" w:hAnsiTheme="majorHAnsi" w:cstheme="majorHAnsi"/>
          <w:color w:val="000000" w:themeColor="text1"/>
          <w:sz w:val="22"/>
          <w:szCs w:val="22"/>
        </w:rPr>
        <w:t>but in only</w:t>
      </w:r>
      <w:r w:rsidR="001E6DCF" w:rsidRPr="00AA7D88">
        <w:rPr>
          <w:rFonts w:asciiTheme="majorHAnsi" w:hAnsiTheme="majorHAnsi" w:cstheme="majorHAnsi"/>
          <w:color w:val="000000" w:themeColor="text1"/>
          <w:sz w:val="22"/>
          <w:szCs w:val="22"/>
        </w:rPr>
        <w:t xml:space="preserve"> 13.</w:t>
      </w:r>
      <w:r w:rsidR="0097005B" w:rsidRPr="00AA7D88">
        <w:rPr>
          <w:rFonts w:asciiTheme="majorHAnsi" w:hAnsiTheme="majorHAnsi" w:cstheme="majorHAnsi"/>
          <w:color w:val="000000" w:themeColor="text1"/>
          <w:sz w:val="22"/>
          <w:szCs w:val="22"/>
        </w:rPr>
        <w:t>8</w:t>
      </w:r>
      <w:r w:rsidR="001E6DCF" w:rsidRPr="00AA7D88">
        <w:rPr>
          <w:rFonts w:asciiTheme="majorHAnsi" w:hAnsiTheme="majorHAnsi" w:cstheme="majorHAnsi"/>
          <w:color w:val="000000" w:themeColor="text1"/>
          <w:sz w:val="22"/>
          <w:szCs w:val="22"/>
        </w:rPr>
        <w:t xml:space="preserve">% </w:t>
      </w:r>
      <w:r w:rsidR="003F120E" w:rsidRPr="00AA7D88">
        <w:rPr>
          <w:rFonts w:asciiTheme="majorHAnsi" w:hAnsiTheme="majorHAnsi" w:cstheme="majorHAnsi"/>
          <w:color w:val="000000" w:themeColor="text1"/>
          <w:sz w:val="22"/>
          <w:szCs w:val="22"/>
        </w:rPr>
        <w:t xml:space="preserve">of those aged between </w:t>
      </w:r>
      <w:r w:rsidR="001E6DCF" w:rsidRPr="00AA7D88">
        <w:rPr>
          <w:rFonts w:asciiTheme="majorHAnsi" w:hAnsiTheme="majorHAnsi" w:cstheme="majorHAnsi"/>
          <w:color w:val="000000" w:themeColor="text1"/>
          <w:sz w:val="22"/>
          <w:szCs w:val="22"/>
        </w:rPr>
        <w:t xml:space="preserve">16 to 18 </w:t>
      </w:r>
      <w:r w:rsidR="0097005B" w:rsidRPr="00AA7D88">
        <w:rPr>
          <w:rFonts w:asciiTheme="majorHAnsi" w:hAnsiTheme="majorHAnsi" w:cstheme="majorHAnsi"/>
          <w:color w:val="000000" w:themeColor="text1"/>
          <w:sz w:val="22"/>
          <w:szCs w:val="22"/>
        </w:rPr>
        <w:t>year</w:t>
      </w:r>
      <w:r w:rsidR="009D12F9" w:rsidRPr="00AA7D88">
        <w:rPr>
          <w:rFonts w:asciiTheme="majorHAnsi" w:hAnsiTheme="majorHAnsi" w:cstheme="majorHAnsi"/>
          <w:color w:val="000000" w:themeColor="text1"/>
          <w:sz w:val="22"/>
          <w:szCs w:val="22"/>
        </w:rPr>
        <w:t>s</w:t>
      </w:r>
      <w:r w:rsidR="003F120E" w:rsidRPr="00AA7D88">
        <w:rPr>
          <w:rFonts w:asciiTheme="majorHAnsi" w:hAnsiTheme="majorHAnsi" w:cstheme="majorHAnsi"/>
          <w:color w:val="000000" w:themeColor="text1"/>
          <w:sz w:val="22"/>
          <w:szCs w:val="22"/>
        </w:rPr>
        <w:t xml:space="preserve"> </w:t>
      </w:r>
      <w:r w:rsidR="001E6DCF" w:rsidRPr="00AA7D88">
        <w:rPr>
          <w:rFonts w:asciiTheme="majorHAnsi" w:hAnsiTheme="majorHAnsi" w:cstheme="majorHAnsi"/>
          <w:color w:val="000000" w:themeColor="text1"/>
          <w:sz w:val="22"/>
          <w:szCs w:val="22"/>
        </w:rPr>
        <w:t xml:space="preserve">(Figure </w:t>
      </w:r>
      <w:r w:rsidR="007F3361" w:rsidRPr="00AA7D88">
        <w:rPr>
          <w:rFonts w:asciiTheme="majorHAnsi" w:hAnsiTheme="majorHAnsi" w:cstheme="majorHAnsi"/>
          <w:color w:val="000000" w:themeColor="text1"/>
          <w:sz w:val="22"/>
          <w:szCs w:val="22"/>
        </w:rPr>
        <w:t>3</w:t>
      </w:r>
      <w:r w:rsidR="00731ACF" w:rsidRPr="00AA7D88">
        <w:rPr>
          <w:rFonts w:asciiTheme="majorHAnsi" w:hAnsiTheme="majorHAnsi" w:cstheme="majorHAnsi"/>
          <w:color w:val="000000" w:themeColor="text1"/>
          <w:sz w:val="22"/>
          <w:szCs w:val="22"/>
        </w:rPr>
        <w:t xml:space="preserve">). </w:t>
      </w:r>
      <w:r w:rsidR="002C5F91" w:rsidRPr="00AA7D88">
        <w:rPr>
          <w:rFonts w:asciiTheme="majorHAnsi" w:hAnsiTheme="majorHAnsi" w:cstheme="majorHAnsi"/>
          <w:color w:val="000000" w:themeColor="text1"/>
          <w:sz w:val="22"/>
          <w:szCs w:val="22"/>
        </w:rPr>
        <w:t xml:space="preserve">Once the children were </w:t>
      </w:r>
      <w:r w:rsidR="00221DF7" w:rsidRPr="00AA7D88">
        <w:rPr>
          <w:rFonts w:asciiTheme="majorHAnsi" w:hAnsiTheme="majorHAnsi" w:cstheme="majorHAnsi"/>
          <w:color w:val="000000" w:themeColor="text1"/>
          <w:sz w:val="22"/>
          <w:szCs w:val="22"/>
        </w:rPr>
        <w:t>under the care of the</w:t>
      </w:r>
      <w:r w:rsidR="002C5F91" w:rsidRPr="00AA7D88">
        <w:rPr>
          <w:rFonts w:asciiTheme="majorHAnsi" w:hAnsiTheme="majorHAnsi" w:cstheme="majorHAnsi"/>
          <w:color w:val="000000" w:themeColor="text1"/>
          <w:sz w:val="22"/>
          <w:szCs w:val="22"/>
        </w:rPr>
        <w:t xml:space="preserve"> National Children’s PCD Management Service only </w:t>
      </w:r>
      <w:r w:rsidRPr="00AA7D88">
        <w:rPr>
          <w:rFonts w:asciiTheme="majorHAnsi" w:hAnsiTheme="majorHAnsi" w:cstheme="majorHAnsi"/>
          <w:color w:val="000000" w:themeColor="text1"/>
          <w:sz w:val="22"/>
          <w:szCs w:val="22"/>
        </w:rPr>
        <w:t>two</w:t>
      </w:r>
      <w:r w:rsidR="002C5F91" w:rsidRPr="00AA7D88">
        <w:rPr>
          <w:rFonts w:asciiTheme="majorHAnsi" w:hAnsiTheme="majorHAnsi" w:cstheme="majorHAnsi"/>
          <w:color w:val="000000" w:themeColor="text1"/>
          <w:sz w:val="22"/>
          <w:szCs w:val="22"/>
        </w:rPr>
        <w:t xml:space="preserve"> of the 333 children had v</w:t>
      </w:r>
      <w:r w:rsidR="003F120E" w:rsidRPr="00AA7D88">
        <w:rPr>
          <w:rFonts w:asciiTheme="majorHAnsi" w:hAnsiTheme="majorHAnsi" w:cstheme="majorHAnsi"/>
          <w:sz w:val="22"/>
          <w:szCs w:val="22"/>
        </w:rPr>
        <w:t>entilation tube</w:t>
      </w:r>
      <w:r w:rsidR="002C5F91" w:rsidRPr="00AA7D88">
        <w:rPr>
          <w:rFonts w:asciiTheme="majorHAnsi" w:hAnsiTheme="majorHAnsi" w:cstheme="majorHAnsi"/>
          <w:sz w:val="22"/>
          <w:szCs w:val="22"/>
        </w:rPr>
        <w:t>s inserted.</w:t>
      </w:r>
    </w:p>
    <w:p w14:paraId="1D3FB296" w14:textId="61B2DC26" w:rsidR="00091D72" w:rsidRPr="00AA7D88" w:rsidRDefault="0001034D" w:rsidP="001C6EA8">
      <w:pPr>
        <w:spacing w:after="120" w:line="480" w:lineRule="auto"/>
        <w:rPr>
          <w:rFonts w:asciiTheme="majorHAnsi" w:hAnsiTheme="majorHAnsi" w:cstheme="majorHAnsi"/>
        </w:rPr>
      </w:pPr>
      <w:r w:rsidRPr="00AA7D88">
        <w:rPr>
          <w:rFonts w:asciiTheme="majorHAnsi" w:hAnsiTheme="majorHAnsi" w:cstheme="majorHAnsi"/>
        </w:rPr>
        <w:t>Physiotherapy</w:t>
      </w:r>
      <w:r w:rsidR="00327A9E" w:rsidRPr="00AA7D88">
        <w:rPr>
          <w:rFonts w:asciiTheme="majorHAnsi" w:hAnsiTheme="majorHAnsi" w:cstheme="majorHAnsi"/>
        </w:rPr>
        <w:t xml:space="preserve"> and mucolytic nebulisation</w:t>
      </w:r>
    </w:p>
    <w:p w14:paraId="7DAC18E3" w14:textId="030AA884" w:rsidR="001A623E" w:rsidRPr="00AA7D88" w:rsidRDefault="006E7CC1" w:rsidP="001C6EA8">
      <w:pPr>
        <w:spacing w:after="120" w:line="480" w:lineRule="auto"/>
        <w:rPr>
          <w:rFonts w:asciiTheme="majorHAnsi" w:hAnsiTheme="majorHAnsi" w:cstheme="majorHAnsi"/>
          <w:color w:val="000000" w:themeColor="text1"/>
          <w:sz w:val="22"/>
          <w:szCs w:val="22"/>
        </w:rPr>
      </w:pPr>
      <w:r w:rsidRPr="00AA7D88">
        <w:rPr>
          <w:rFonts w:asciiTheme="majorHAnsi" w:hAnsiTheme="majorHAnsi" w:cstheme="majorHAnsi"/>
          <w:color w:val="000000" w:themeColor="text1"/>
          <w:sz w:val="22"/>
          <w:szCs w:val="22"/>
        </w:rPr>
        <w:t>All</w:t>
      </w:r>
      <w:r w:rsidR="007432D9" w:rsidRPr="00AA7D88">
        <w:rPr>
          <w:rFonts w:asciiTheme="majorHAnsi" w:hAnsiTheme="majorHAnsi" w:cstheme="majorHAnsi"/>
          <w:color w:val="000000" w:themeColor="text1"/>
          <w:sz w:val="22"/>
          <w:szCs w:val="22"/>
        </w:rPr>
        <w:t xml:space="preserve"> children</w:t>
      </w:r>
      <w:r w:rsidRPr="00AA7D88">
        <w:rPr>
          <w:rFonts w:asciiTheme="majorHAnsi" w:hAnsiTheme="majorHAnsi" w:cstheme="majorHAnsi"/>
          <w:color w:val="000000" w:themeColor="text1"/>
          <w:sz w:val="22"/>
          <w:szCs w:val="22"/>
        </w:rPr>
        <w:t xml:space="preserve"> were </w:t>
      </w:r>
      <w:r w:rsidR="00DE402D" w:rsidRPr="00AA7D88">
        <w:rPr>
          <w:rFonts w:asciiTheme="majorHAnsi" w:hAnsiTheme="majorHAnsi" w:cstheme="majorHAnsi"/>
          <w:color w:val="000000" w:themeColor="text1"/>
          <w:sz w:val="22"/>
          <w:szCs w:val="22"/>
        </w:rPr>
        <w:t>trained to perform</w:t>
      </w:r>
      <w:r w:rsidR="00516A5E" w:rsidRPr="00AA7D88">
        <w:rPr>
          <w:rFonts w:asciiTheme="majorHAnsi" w:hAnsiTheme="majorHAnsi" w:cstheme="majorHAnsi"/>
          <w:color w:val="000000" w:themeColor="text1"/>
          <w:sz w:val="22"/>
          <w:szCs w:val="22"/>
        </w:rPr>
        <w:t>,</w:t>
      </w:r>
      <w:r w:rsidR="00DE402D" w:rsidRPr="00AA7D88">
        <w:rPr>
          <w:rFonts w:asciiTheme="majorHAnsi" w:hAnsiTheme="majorHAnsi" w:cstheme="majorHAnsi"/>
          <w:color w:val="000000" w:themeColor="text1"/>
          <w:sz w:val="22"/>
          <w:szCs w:val="22"/>
        </w:rPr>
        <w:t xml:space="preserve"> and </w:t>
      </w:r>
      <w:r w:rsidRPr="00AA7D88">
        <w:rPr>
          <w:rFonts w:asciiTheme="majorHAnsi" w:hAnsiTheme="majorHAnsi" w:cstheme="majorHAnsi"/>
          <w:color w:val="000000" w:themeColor="text1"/>
          <w:sz w:val="22"/>
          <w:szCs w:val="22"/>
        </w:rPr>
        <w:t>advised to undertake</w:t>
      </w:r>
      <w:r w:rsidR="00516A5E" w:rsidRPr="00AA7D88">
        <w:rPr>
          <w:rFonts w:asciiTheme="majorHAnsi" w:hAnsiTheme="majorHAnsi" w:cstheme="majorHAnsi"/>
          <w:color w:val="000000" w:themeColor="text1"/>
          <w:sz w:val="22"/>
          <w:szCs w:val="22"/>
        </w:rPr>
        <w:t>,</w:t>
      </w:r>
      <w:r w:rsidRPr="00AA7D88">
        <w:rPr>
          <w:rFonts w:asciiTheme="majorHAnsi" w:hAnsiTheme="majorHAnsi" w:cstheme="majorHAnsi"/>
          <w:color w:val="000000" w:themeColor="text1"/>
          <w:sz w:val="22"/>
          <w:szCs w:val="22"/>
        </w:rPr>
        <w:t xml:space="preserve"> regular </w:t>
      </w:r>
      <w:r w:rsidR="00DE402D" w:rsidRPr="00AA7D88">
        <w:rPr>
          <w:rFonts w:asciiTheme="majorHAnsi" w:hAnsiTheme="majorHAnsi" w:cstheme="majorHAnsi"/>
          <w:color w:val="000000" w:themeColor="text1"/>
          <w:sz w:val="22"/>
          <w:szCs w:val="22"/>
        </w:rPr>
        <w:t xml:space="preserve">age-appropriate </w:t>
      </w:r>
      <w:r w:rsidRPr="00AA7D88">
        <w:rPr>
          <w:rFonts w:asciiTheme="majorHAnsi" w:hAnsiTheme="majorHAnsi" w:cstheme="majorHAnsi"/>
          <w:color w:val="000000" w:themeColor="text1"/>
          <w:sz w:val="22"/>
          <w:szCs w:val="22"/>
        </w:rPr>
        <w:t>airway clearance physiotherapy.</w:t>
      </w:r>
      <w:r w:rsidR="009415A5" w:rsidRPr="00AA7D88">
        <w:rPr>
          <w:rFonts w:asciiTheme="majorHAnsi" w:hAnsiTheme="majorHAnsi" w:cstheme="majorHAnsi"/>
          <w:color w:val="000000" w:themeColor="text1"/>
          <w:sz w:val="22"/>
          <w:szCs w:val="22"/>
        </w:rPr>
        <w:t xml:space="preserve"> The majority </w:t>
      </w:r>
      <w:r w:rsidRPr="00AA7D88">
        <w:rPr>
          <w:rFonts w:asciiTheme="majorHAnsi" w:hAnsiTheme="majorHAnsi" w:cstheme="majorHAnsi"/>
          <w:color w:val="000000" w:themeColor="text1"/>
          <w:sz w:val="22"/>
          <w:szCs w:val="22"/>
        </w:rPr>
        <w:t xml:space="preserve">used </w:t>
      </w:r>
      <w:r w:rsidR="003606D5" w:rsidRPr="00AA7D88">
        <w:rPr>
          <w:rFonts w:asciiTheme="majorHAnsi" w:hAnsiTheme="majorHAnsi" w:cstheme="majorHAnsi"/>
          <w:color w:val="000000" w:themeColor="text1"/>
          <w:sz w:val="22"/>
          <w:szCs w:val="22"/>
        </w:rPr>
        <w:t>either oscillating positive expiratory pressure (PEP)</w:t>
      </w:r>
      <w:r w:rsidR="00F365B4" w:rsidRPr="00AA7D88">
        <w:rPr>
          <w:rFonts w:asciiTheme="majorHAnsi" w:hAnsiTheme="majorHAnsi" w:cstheme="majorHAnsi"/>
          <w:color w:val="000000" w:themeColor="text1"/>
          <w:sz w:val="22"/>
          <w:szCs w:val="22"/>
        </w:rPr>
        <w:t xml:space="preserve"> (49</w:t>
      </w:r>
      <w:r w:rsidR="00483022" w:rsidRPr="00AA7D88">
        <w:rPr>
          <w:rFonts w:asciiTheme="majorHAnsi" w:hAnsiTheme="majorHAnsi" w:cstheme="majorHAnsi"/>
          <w:color w:val="000000" w:themeColor="text1"/>
          <w:sz w:val="22"/>
          <w:szCs w:val="22"/>
        </w:rPr>
        <w:t>.2</w:t>
      </w:r>
      <w:r w:rsidR="00F365B4" w:rsidRPr="00AA7D88">
        <w:rPr>
          <w:rFonts w:asciiTheme="majorHAnsi" w:hAnsiTheme="majorHAnsi" w:cstheme="majorHAnsi"/>
          <w:color w:val="000000" w:themeColor="text1"/>
          <w:sz w:val="22"/>
          <w:szCs w:val="22"/>
        </w:rPr>
        <w:t xml:space="preserve">%) or PEP physiotherapy </w:t>
      </w:r>
      <w:r w:rsidR="004D7D26" w:rsidRPr="00AA7D88">
        <w:rPr>
          <w:rFonts w:asciiTheme="majorHAnsi" w:hAnsiTheme="majorHAnsi" w:cstheme="majorHAnsi"/>
          <w:color w:val="000000" w:themeColor="text1"/>
          <w:sz w:val="22"/>
          <w:szCs w:val="22"/>
        </w:rPr>
        <w:t>(32</w:t>
      </w:r>
      <w:r w:rsidR="00483022" w:rsidRPr="00AA7D88">
        <w:rPr>
          <w:rFonts w:asciiTheme="majorHAnsi" w:hAnsiTheme="majorHAnsi" w:cstheme="majorHAnsi"/>
          <w:color w:val="000000" w:themeColor="text1"/>
          <w:sz w:val="22"/>
          <w:szCs w:val="22"/>
        </w:rPr>
        <w:t>.1</w:t>
      </w:r>
      <w:r w:rsidR="004D7D26" w:rsidRPr="00AA7D88">
        <w:rPr>
          <w:rFonts w:asciiTheme="majorHAnsi" w:hAnsiTheme="majorHAnsi" w:cstheme="majorHAnsi"/>
          <w:color w:val="000000" w:themeColor="text1"/>
          <w:sz w:val="22"/>
          <w:szCs w:val="22"/>
        </w:rPr>
        <w:t>%)</w:t>
      </w:r>
      <w:r w:rsidR="00982C3E" w:rsidRPr="00AA7D88">
        <w:rPr>
          <w:rFonts w:asciiTheme="majorHAnsi" w:hAnsiTheme="majorHAnsi" w:cstheme="majorHAnsi"/>
          <w:color w:val="000000" w:themeColor="text1"/>
          <w:sz w:val="22"/>
          <w:szCs w:val="22"/>
        </w:rPr>
        <w:t xml:space="preserve"> </w:t>
      </w:r>
      <w:r w:rsidR="00C05D70" w:rsidRPr="00AA7D88">
        <w:rPr>
          <w:rFonts w:asciiTheme="majorHAnsi" w:hAnsiTheme="majorHAnsi" w:cstheme="majorHAnsi"/>
          <w:color w:val="000000" w:themeColor="text1"/>
          <w:sz w:val="22"/>
          <w:szCs w:val="22"/>
        </w:rPr>
        <w:t xml:space="preserve">(Table </w:t>
      </w:r>
      <w:r w:rsidR="007F3361" w:rsidRPr="00AA7D88">
        <w:rPr>
          <w:rFonts w:asciiTheme="majorHAnsi" w:hAnsiTheme="majorHAnsi" w:cstheme="majorHAnsi"/>
          <w:color w:val="000000" w:themeColor="text1"/>
          <w:sz w:val="22"/>
          <w:szCs w:val="22"/>
        </w:rPr>
        <w:t>2</w:t>
      </w:r>
      <w:r w:rsidR="004D7D26" w:rsidRPr="00AA7D88">
        <w:rPr>
          <w:rFonts w:asciiTheme="majorHAnsi" w:hAnsiTheme="majorHAnsi" w:cstheme="majorHAnsi"/>
          <w:color w:val="000000" w:themeColor="text1"/>
          <w:sz w:val="22"/>
          <w:szCs w:val="22"/>
        </w:rPr>
        <w:t>)</w:t>
      </w:r>
      <w:r w:rsidR="00327A9E" w:rsidRPr="00AA7D88">
        <w:rPr>
          <w:rFonts w:asciiTheme="majorHAnsi" w:hAnsiTheme="majorHAnsi" w:cstheme="majorHAnsi"/>
          <w:color w:val="000000" w:themeColor="text1"/>
          <w:sz w:val="22"/>
          <w:szCs w:val="22"/>
        </w:rPr>
        <w:t xml:space="preserve">. </w:t>
      </w:r>
      <w:r w:rsidR="00C16743" w:rsidRPr="00AA7D88">
        <w:rPr>
          <w:rFonts w:asciiTheme="majorHAnsi" w:hAnsiTheme="majorHAnsi" w:cstheme="majorHAnsi"/>
          <w:color w:val="000000" w:themeColor="text1"/>
          <w:sz w:val="22"/>
          <w:szCs w:val="22"/>
        </w:rPr>
        <w:t>Approximately half of children (53.2%) were prescribed nebulised hypertonic saline as a mucolytic agent to aid airway clearance. Children using hypertonic saline had significantly lower FEV</w:t>
      </w:r>
      <w:r w:rsidR="00C16743" w:rsidRPr="00AA7D88">
        <w:rPr>
          <w:rFonts w:asciiTheme="majorHAnsi" w:hAnsiTheme="majorHAnsi" w:cstheme="majorHAnsi"/>
          <w:color w:val="000000" w:themeColor="text1"/>
          <w:sz w:val="22"/>
          <w:szCs w:val="22"/>
          <w:vertAlign w:val="subscript"/>
        </w:rPr>
        <w:t>1</w:t>
      </w:r>
      <w:r w:rsidR="00C16743" w:rsidRPr="00AA7D88">
        <w:rPr>
          <w:rFonts w:asciiTheme="majorHAnsi" w:hAnsiTheme="majorHAnsi" w:cstheme="majorHAnsi"/>
          <w:color w:val="000000" w:themeColor="text1"/>
          <w:sz w:val="22"/>
          <w:szCs w:val="22"/>
        </w:rPr>
        <w:t xml:space="preserve"> z scores (mean difference -0.4, 95% CI -0.76 to -0.04, p=0.028). Nebulised Dornase Alpha (</w:t>
      </w:r>
      <w:r w:rsidR="00C16743" w:rsidRPr="00AA7D88">
        <w:rPr>
          <w:rFonts w:asciiTheme="majorHAnsi" w:hAnsiTheme="majorHAnsi" w:cstheme="majorHAnsi"/>
          <w:sz w:val="22"/>
          <w:szCs w:val="22"/>
        </w:rPr>
        <w:t>Pulmozyme ®, Genentech, San Francisco, US</w:t>
      </w:r>
      <w:r w:rsidR="00C16743" w:rsidRPr="00AA7D88">
        <w:rPr>
          <w:rFonts w:asciiTheme="majorHAnsi" w:hAnsiTheme="majorHAnsi" w:cstheme="majorHAnsi"/>
          <w:color w:val="000000" w:themeColor="text1"/>
          <w:sz w:val="22"/>
          <w:szCs w:val="22"/>
        </w:rPr>
        <w:t>) was used</w:t>
      </w:r>
      <w:r w:rsidR="001A0A9A" w:rsidRPr="00AA7D88">
        <w:rPr>
          <w:rFonts w:asciiTheme="majorHAnsi" w:hAnsiTheme="majorHAnsi" w:cstheme="majorHAnsi"/>
          <w:color w:val="000000" w:themeColor="text1"/>
          <w:sz w:val="22"/>
          <w:szCs w:val="22"/>
        </w:rPr>
        <w:t xml:space="preserve"> in</w:t>
      </w:r>
      <w:r w:rsidR="007F3361" w:rsidRPr="00AA7D88">
        <w:rPr>
          <w:rFonts w:asciiTheme="majorHAnsi" w:hAnsiTheme="majorHAnsi" w:cstheme="majorHAnsi"/>
          <w:color w:val="000000" w:themeColor="text1"/>
          <w:sz w:val="22"/>
          <w:szCs w:val="22"/>
        </w:rPr>
        <w:t xml:space="preserve"> only</w:t>
      </w:r>
      <w:r w:rsidR="00C16743" w:rsidRPr="00AA7D88">
        <w:rPr>
          <w:rFonts w:asciiTheme="majorHAnsi" w:hAnsiTheme="majorHAnsi" w:cstheme="majorHAnsi"/>
          <w:color w:val="000000" w:themeColor="text1"/>
          <w:sz w:val="22"/>
          <w:szCs w:val="22"/>
        </w:rPr>
        <w:t xml:space="preserve"> 4.9% of children.</w:t>
      </w:r>
    </w:p>
    <w:p w14:paraId="18A99249" w14:textId="00A9830D" w:rsidR="00091D72" w:rsidRPr="00AA7D88" w:rsidRDefault="001A623E" w:rsidP="001C6EA8">
      <w:pPr>
        <w:spacing w:after="120" w:line="480" w:lineRule="auto"/>
        <w:rPr>
          <w:rFonts w:asciiTheme="majorHAnsi" w:hAnsiTheme="majorHAnsi" w:cstheme="majorHAnsi"/>
        </w:rPr>
      </w:pPr>
      <w:r w:rsidRPr="00AA7D88">
        <w:rPr>
          <w:rFonts w:asciiTheme="majorHAnsi" w:hAnsiTheme="majorHAnsi" w:cstheme="majorHAnsi"/>
        </w:rPr>
        <w:t>Antibiotics</w:t>
      </w:r>
    </w:p>
    <w:p w14:paraId="174A85CC" w14:textId="16E00F14" w:rsidR="00BD41C6" w:rsidRPr="001C6EA8" w:rsidRDefault="001A0A9A" w:rsidP="001C6EA8">
      <w:pPr>
        <w:widowControl w:val="0"/>
        <w:autoSpaceDE w:val="0"/>
        <w:autoSpaceDN w:val="0"/>
        <w:adjustRightInd w:val="0"/>
        <w:spacing w:after="120" w:line="480" w:lineRule="auto"/>
        <w:rPr>
          <w:rFonts w:asciiTheme="majorHAnsi" w:hAnsiTheme="majorHAnsi" w:cstheme="majorHAnsi"/>
          <w:color w:val="000000" w:themeColor="text1"/>
          <w:sz w:val="22"/>
          <w:szCs w:val="22"/>
        </w:rPr>
      </w:pPr>
      <w:r w:rsidRPr="00AA7D88">
        <w:rPr>
          <w:rFonts w:asciiTheme="majorHAnsi" w:hAnsiTheme="majorHAnsi" w:cstheme="majorHAnsi"/>
          <w:color w:val="000000" w:themeColor="text1"/>
          <w:sz w:val="22"/>
          <w:szCs w:val="22"/>
        </w:rPr>
        <w:t>Thirty percent</w:t>
      </w:r>
      <w:r w:rsidR="00C16743" w:rsidRPr="00AA7D88">
        <w:rPr>
          <w:rFonts w:asciiTheme="majorHAnsi" w:hAnsiTheme="majorHAnsi" w:cstheme="majorHAnsi"/>
          <w:color w:val="000000" w:themeColor="text1"/>
          <w:sz w:val="22"/>
          <w:szCs w:val="22"/>
        </w:rPr>
        <w:t xml:space="preserve"> of children with PCD had at least one courses of intravenous (IV) antibiotics over the preceding 12 months. </w:t>
      </w:r>
      <w:r w:rsidRPr="00AA7D88">
        <w:rPr>
          <w:rFonts w:asciiTheme="majorHAnsi" w:hAnsiTheme="majorHAnsi" w:cstheme="majorHAnsi"/>
          <w:color w:val="000000" w:themeColor="text1"/>
          <w:sz w:val="22"/>
          <w:szCs w:val="22"/>
        </w:rPr>
        <w:t>Approximately 10% of the</w:t>
      </w:r>
      <w:r w:rsidR="00C16743" w:rsidRPr="00AA7D88">
        <w:rPr>
          <w:rFonts w:asciiTheme="majorHAnsi" w:hAnsiTheme="majorHAnsi" w:cstheme="majorHAnsi"/>
          <w:color w:val="000000" w:themeColor="text1"/>
          <w:sz w:val="22"/>
          <w:szCs w:val="22"/>
        </w:rPr>
        <w:t xml:space="preserve"> children were prescribed regular IV antibiotics (Table </w:t>
      </w:r>
      <w:r w:rsidR="007F3361" w:rsidRPr="00AA7D88">
        <w:rPr>
          <w:rFonts w:asciiTheme="majorHAnsi" w:hAnsiTheme="majorHAnsi" w:cstheme="majorHAnsi"/>
          <w:color w:val="000000" w:themeColor="text1"/>
          <w:sz w:val="22"/>
          <w:szCs w:val="22"/>
        </w:rPr>
        <w:t>2</w:t>
      </w:r>
      <w:r w:rsidR="00C16743" w:rsidRPr="00AA7D88">
        <w:rPr>
          <w:rFonts w:asciiTheme="majorHAnsi" w:hAnsiTheme="majorHAnsi" w:cstheme="majorHAnsi"/>
          <w:color w:val="000000" w:themeColor="text1"/>
          <w:sz w:val="22"/>
          <w:szCs w:val="22"/>
        </w:rPr>
        <w:t>). Those that received IV treatment had a lower FEV</w:t>
      </w:r>
      <w:r w:rsidR="00C16743" w:rsidRPr="00AA7D88">
        <w:rPr>
          <w:rFonts w:asciiTheme="majorHAnsi" w:hAnsiTheme="majorHAnsi" w:cstheme="majorHAnsi"/>
          <w:color w:val="000000" w:themeColor="text1"/>
          <w:sz w:val="22"/>
          <w:szCs w:val="22"/>
          <w:vertAlign w:val="subscript"/>
        </w:rPr>
        <w:t>1</w:t>
      </w:r>
      <w:r w:rsidR="00C16743" w:rsidRPr="00AA7D88">
        <w:rPr>
          <w:rFonts w:asciiTheme="majorHAnsi" w:hAnsiTheme="majorHAnsi" w:cstheme="majorHAnsi"/>
          <w:color w:val="000000" w:themeColor="text1"/>
          <w:sz w:val="22"/>
          <w:szCs w:val="22"/>
        </w:rPr>
        <w:t xml:space="preserve"> z score, adjusted for BMI z score and age (n=234, regression coefficient=-0.52, 95% CI -0.88 to -0.16, </w:t>
      </w:r>
      <w:r w:rsidR="000A7939">
        <w:rPr>
          <w:rFonts w:asciiTheme="majorHAnsi" w:hAnsiTheme="majorHAnsi" w:cstheme="majorHAnsi"/>
          <w:color w:val="000000" w:themeColor="text1"/>
          <w:sz w:val="22"/>
          <w:szCs w:val="22"/>
        </w:rPr>
        <w:t xml:space="preserve">adjusted </w:t>
      </w:r>
      <w:r w:rsidR="00C16743" w:rsidRPr="00AA7D88">
        <w:rPr>
          <w:rFonts w:asciiTheme="majorHAnsi" w:hAnsiTheme="majorHAnsi" w:cstheme="majorHAnsi"/>
          <w:color w:val="000000" w:themeColor="text1"/>
          <w:sz w:val="22"/>
          <w:szCs w:val="22"/>
        </w:rPr>
        <w:t>R</w:t>
      </w:r>
      <w:r w:rsidR="00C16743" w:rsidRPr="00AA7D88">
        <w:rPr>
          <w:rFonts w:asciiTheme="majorHAnsi" w:hAnsiTheme="majorHAnsi" w:cstheme="majorHAnsi"/>
          <w:color w:val="000000" w:themeColor="text1"/>
          <w:sz w:val="22"/>
          <w:szCs w:val="22"/>
          <w:vertAlign w:val="superscript"/>
        </w:rPr>
        <w:t>2</w:t>
      </w:r>
      <w:r w:rsidR="00C16743" w:rsidRPr="00AA7D88">
        <w:rPr>
          <w:rFonts w:asciiTheme="majorHAnsi" w:hAnsiTheme="majorHAnsi" w:cstheme="majorHAnsi"/>
          <w:color w:val="000000" w:themeColor="text1"/>
          <w:sz w:val="22"/>
          <w:szCs w:val="22"/>
        </w:rPr>
        <w:t>=17.5%).</w:t>
      </w:r>
      <w:r w:rsidR="001A623E" w:rsidRPr="00AA7D88">
        <w:rPr>
          <w:rFonts w:asciiTheme="majorHAnsi" w:hAnsiTheme="majorHAnsi" w:cstheme="majorHAnsi"/>
          <w:color w:val="000000" w:themeColor="text1"/>
          <w:sz w:val="22"/>
          <w:szCs w:val="22"/>
        </w:rPr>
        <w:t xml:space="preserve"> </w:t>
      </w:r>
      <w:r w:rsidR="00C16743" w:rsidRPr="00AA7D88">
        <w:rPr>
          <w:rFonts w:asciiTheme="majorHAnsi" w:hAnsiTheme="majorHAnsi" w:cstheme="majorHAnsi"/>
          <w:color w:val="000000" w:themeColor="text1"/>
          <w:sz w:val="22"/>
          <w:szCs w:val="22"/>
        </w:rPr>
        <w:t xml:space="preserve">Children received a median of two courses of oral antibiotics over the preceding year (IQR 1 to 3). 59% were prescribed prophylactic antibiotics and of these, over half used Azithromycin (59.8%) (Table </w:t>
      </w:r>
      <w:r w:rsidR="007F3361" w:rsidRPr="00AA7D88">
        <w:rPr>
          <w:rFonts w:asciiTheme="majorHAnsi" w:hAnsiTheme="majorHAnsi" w:cstheme="majorHAnsi"/>
          <w:color w:val="000000" w:themeColor="text1"/>
          <w:sz w:val="22"/>
          <w:szCs w:val="22"/>
        </w:rPr>
        <w:t>2</w:t>
      </w:r>
      <w:r w:rsidR="00EA18DE" w:rsidRPr="00AA7D88">
        <w:rPr>
          <w:rFonts w:asciiTheme="majorHAnsi" w:hAnsiTheme="majorHAnsi" w:cstheme="majorHAnsi"/>
          <w:color w:val="000000" w:themeColor="text1"/>
          <w:sz w:val="22"/>
          <w:szCs w:val="22"/>
        </w:rPr>
        <w:t>,</w:t>
      </w:r>
      <w:r w:rsidR="001A623E" w:rsidRPr="00AA7D88">
        <w:rPr>
          <w:rFonts w:asciiTheme="majorHAnsi" w:hAnsiTheme="majorHAnsi" w:cstheme="majorHAnsi"/>
          <w:color w:val="000000" w:themeColor="text1"/>
          <w:sz w:val="22"/>
          <w:szCs w:val="22"/>
        </w:rPr>
        <w:t xml:space="preserve"> Supplementary table </w:t>
      </w:r>
      <w:r w:rsidR="00C35BC3">
        <w:rPr>
          <w:rFonts w:asciiTheme="majorHAnsi" w:hAnsiTheme="majorHAnsi" w:cstheme="majorHAnsi"/>
          <w:color w:val="000000" w:themeColor="text1"/>
          <w:sz w:val="22"/>
          <w:szCs w:val="22"/>
        </w:rPr>
        <w:t>3</w:t>
      </w:r>
      <w:r w:rsidR="00C16743" w:rsidRPr="00AA7D88">
        <w:rPr>
          <w:rFonts w:asciiTheme="majorHAnsi" w:hAnsiTheme="majorHAnsi" w:cstheme="majorHAnsi"/>
          <w:color w:val="000000" w:themeColor="text1"/>
          <w:sz w:val="22"/>
          <w:szCs w:val="22"/>
        </w:rPr>
        <w:t xml:space="preserve">). </w:t>
      </w:r>
      <w:r w:rsidRPr="00AA7D88">
        <w:rPr>
          <w:rFonts w:asciiTheme="majorHAnsi" w:hAnsiTheme="majorHAnsi" w:cstheme="majorHAnsi"/>
          <w:color w:val="000000" w:themeColor="text1"/>
          <w:sz w:val="22"/>
          <w:szCs w:val="22"/>
        </w:rPr>
        <w:t xml:space="preserve">A </w:t>
      </w:r>
      <w:r w:rsidR="00C16743" w:rsidRPr="00AA7D88">
        <w:rPr>
          <w:rFonts w:asciiTheme="majorHAnsi" w:hAnsiTheme="majorHAnsi" w:cstheme="majorHAnsi"/>
          <w:color w:val="000000" w:themeColor="text1"/>
          <w:sz w:val="22"/>
          <w:szCs w:val="22"/>
        </w:rPr>
        <w:t>significantly lower mean FEV</w:t>
      </w:r>
      <w:r w:rsidR="00C16743" w:rsidRPr="00AA7D88">
        <w:rPr>
          <w:rFonts w:asciiTheme="majorHAnsi" w:hAnsiTheme="majorHAnsi" w:cstheme="majorHAnsi"/>
          <w:color w:val="000000" w:themeColor="text1"/>
          <w:sz w:val="22"/>
          <w:szCs w:val="22"/>
          <w:vertAlign w:val="subscript"/>
        </w:rPr>
        <w:t>1</w:t>
      </w:r>
      <w:r w:rsidR="00C16743" w:rsidRPr="00AA7D88">
        <w:rPr>
          <w:rFonts w:asciiTheme="majorHAnsi" w:hAnsiTheme="majorHAnsi" w:cstheme="majorHAnsi"/>
          <w:color w:val="000000" w:themeColor="text1"/>
          <w:sz w:val="22"/>
          <w:szCs w:val="22"/>
        </w:rPr>
        <w:t xml:space="preserve"> z score</w:t>
      </w:r>
      <w:r w:rsidRPr="00AA7D88">
        <w:rPr>
          <w:rFonts w:asciiTheme="majorHAnsi" w:hAnsiTheme="majorHAnsi" w:cstheme="majorHAnsi"/>
          <w:color w:val="000000" w:themeColor="text1"/>
          <w:sz w:val="22"/>
          <w:szCs w:val="22"/>
        </w:rPr>
        <w:t xml:space="preserve"> was found in children taking prophylactic antibiotics</w:t>
      </w:r>
      <w:r w:rsidR="00C16743" w:rsidRPr="00AA7D88">
        <w:rPr>
          <w:rFonts w:asciiTheme="majorHAnsi" w:hAnsiTheme="majorHAnsi" w:cstheme="majorHAnsi"/>
          <w:color w:val="000000" w:themeColor="text1"/>
          <w:sz w:val="22"/>
          <w:szCs w:val="22"/>
        </w:rPr>
        <w:t>, adjusted for use of antibiotics in the last year (IV or oral) and cultured pathogens (</w:t>
      </w:r>
      <w:r w:rsidR="00C16743" w:rsidRPr="00AA7D88">
        <w:rPr>
          <w:rFonts w:asciiTheme="majorHAnsi" w:hAnsiTheme="majorHAnsi" w:cstheme="majorHAnsi"/>
          <w:i/>
          <w:color w:val="000000" w:themeColor="text1"/>
          <w:sz w:val="22"/>
          <w:szCs w:val="22"/>
        </w:rPr>
        <w:t>n</w:t>
      </w:r>
      <w:r w:rsidR="00C16743" w:rsidRPr="00AA7D88">
        <w:rPr>
          <w:rFonts w:asciiTheme="majorHAnsi" w:hAnsiTheme="majorHAnsi" w:cstheme="majorHAnsi"/>
          <w:color w:val="000000" w:themeColor="text1"/>
          <w:sz w:val="22"/>
          <w:szCs w:val="22"/>
        </w:rPr>
        <w:t xml:space="preserve">=162, regression coefficient: -0.66, 95% CI -1.23 to -0.08, p=0.0008, </w:t>
      </w:r>
      <w:r w:rsidR="000A7939">
        <w:rPr>
          <w:rFonts w:asciiTheme="majorHAnsi" w:hAnsiTheme="majorHAnsi" w:cstheme="majorHAnsi"/>
          <w:color w:val="000000" w:themeColor="text1"/>
          <w:sz w:val="22"/>
          <w:szCs w:val="22"/>
        </w:rPr>
        <w:t xml:space="preserve">adjusted </w:t>
      </w:r>
      <w:r w:rsidR="00C16743" w:rsidRPr="00AA7D88">
        <w:rPr>
          <w:rFonts w:asciiTheme="majorHAnsi" w:hAnsiTheme="majorHAnsi" w:cstheme="majorHAnsi"/>
          <w:color w:val="000000" w:themeColor="text1"/>
          <w:sz w:val="22"/>
          <w:szCs w:val="22"/>
        </w:rPr>
        <w:t>R</w:t>
      </w:r>
      <w:r w:rsidR="00C16743" w:rsidRPr="00AA7D88">
        <w:rPr>
          <w:rFonts w:asciiTheme="majorHAnsi" w:hAnsiTheme="majorHAnsi" w:cstheme="majorHAnsi"/>
          <w:color w:val="000000" w:themeColor="text1"/>
          <w:sz w:val="22"/>
          <w:szCs w:val="22"/>
          <w:vertAlign w:val="superscript"/>
        </w:rPr>
        <w:t>2</w:t>
      </w:r>
      <w:r w:rsidR="00C16743" w:rsidRPr="00AA7D88">
        <w:rPr>
          <w:rFonts w:asciiTheme="majorHAnsi" w:hAnsiTheme="majorHAnsi" w:cstheme="majorHAnsi"/>
          <w:color w:val="000000" w:themeColor="text1"/>
          <w:sz w:val="22"/>
          <w:szCs w:val="22"/>
        </w:rPr>
        <w:t xml:space="preserve">=8.3%). </w:t>
      </w:r>
    </w:p>
    <w:p w14:paraId="20FBA7F8" w14:textId="77777777" w:rsidR="00976BB9" w:rsidRPr="00AA7D88" w:rsidRDefault="00594200" w:rsidP="001C6EA8">
      <w:pPr>
        <w:spacing w:after="120" w:line="480" w:lineRule="auto"/>
        <w:rPr>
          <w:rFonts w:asciiTheme="majorHAnsi" w:hAnsiTheme="majorHAnsi" w:cstheme="majorHAnsi"/>
          <w:b/>
        </w:rPr>
      </w:pPr>
      <w:r w:rsidRPr="00AA7D88">
        <w:rPr>
          <w:rFonts w:asciiTheme="majorHAnsi" w:hAnsiTheme="majorHAnsi" w:cstheme="majorHAnsi"/>
          <w:b/>
        </w:rPr>
        <w:t>DISCUSSION</w:t>
      </w:r>
      <w:r w:rsidR="00FF4027" w:rsidRPr="00AA7D88">
        <w:rPr>
          <w:rFonts w:asciiTheme="majorHAnsi" w:hAnsiTheme="majorHAnsi" w:cstheme="majorHAnsi"/>
          <w:b/>
        </w:rPr>
        <w:t xml:space="preserve"> </w:t>
      </w:r>
    </w:p>
    <w:p w14:paraId="2B870BA6" w14:textId="40A36974" w:rsidR="002A044A" w:rsidRPr="001C6EA8" w:rsidRDefault="00E33B85" w:rsidP="001C6EA8">
      <w:pPr>
        <w:spacing w:after="120" w:line="480" w:lineRule="auto"/>
        <w:rPr>
          <w:rFonts w:asciiTheme="majorHAnsi" w:hAnsiTheme="majorHAnsi" w:cstheme="majorHAnsi"/>
          <w:bCs/>
          <w:sz w:val="22"/>
          <w:szCs w:val="22"/>
        </w:rPr>
      </w:pPr>
      <w:r w:rsidRPr="00AA7D88">
        <w:rPr>
          <w:rFonts w:asciiTheme="majorHAnsi" w:hAnsiTheme="majorHAnsi" w:cstheme="majorHAnsi"/>
          <w:sz w:val="22"/>
          <w:szCs w:val="22"/>
        </w:rPr>
        <w:t>T</w:t>
      </w:r>
      <w:r w:rsidR="004927EF" w:rsidRPr="00AA7D88">
        <w:rPr>
          <w:rFonts w:asciiTheme="majorHAnsi" w:hAnsiTheme="majorHAnsi" w:cstheme="majorHAnsi"/>
          <w:sz w:val="22"/>
          <w:szCs w:val="22"/>
        </w:rPr>
        <w:t>his study</w:t>
      </w:r>
      <w:r w:rsidR="00DB0C47" w:rsidRPr="00AA7D88">
        <w:rPr>
          <w:rFonts w:asciiTheme="majorHAnsi" w:hAnsiTheme="majorHAnsi" w:cstheme="majorHAnsi"/>
          <w:sz w:val="22"/>
          <w:szCs w:val="22"/>
        </w:rPr>
        <w:t xml:space="preserve"> provide</w:t>
      </w:r>
      <w:r w:rsidR="004927EF" w:rsidRPr="00AA7D88">
        <w:rPr>
          <w:rFonts w:asciiTheme="majorHAnsi" w:hAnsiTheme="majorHAnsi" w:cstheme="majorHAnsi"/>
          <w:sz w:val="22"/>
          <w:szCs w:val="22"/>
        </w:rPr>
        <w:t>s</w:t>
      </w:r>
      <w:r w:rsidR="002A044A" w:rsidRPr="00AA7D88">
        <w:rPr>
          <w:rFonts w:asciiTheme="majorHAnsi" w:hAnsiTheme="majorHAnsi" w:cstheme="majorHAnsi"/>
          <w:sz w:val="22"/>
          <w:szCs w:val="22"/>
        </w:rPr>
        <w:t xml:space="preserve"> </w:t>
      </w:r>
      <w:r w:rsidR="00DB0C47" w:rsidRPr="00AA7D88">
        <w:rPr>
          <w:rFonts w:asciiTheme="majorHAnsi" w:hAnsiTheme="majorHAnsi" w:cstheme="majorHAnsi"/>
          <w:sz w:val="22"/>
          <w:szCs w:val="22"/>
        </w:rPr>
        <w:t>detailed characterisation of a</w:t>
      </w:r>
      <w:r w:rsidR="004927EF" w:rsidRPr="00AA7D88">
        <w:rPr>
          <w:rFonts w:asciiTheme="majorHAnsi" w:hAnsiTheme="majorHAnsi" w:cstheme="majorHAnsi"/>
          <w:sz w:val="22"/>
          <w:szCs w:val="22"/>
        </w:rPr>
        <w:t xml:space="preserve"> large and</w:t>
      </w:r>
      <w:r w:rsidR="00DB0C47" w:rsidRPr="00AA7D88">
        <w:rPr>
          <w:rFonts w:asciiTheme="majorHAnsi" w:hAnsiTheme="majorHAnsi" w:cstheme="majorHAnsi"/>
          <w:sz w:val="22"/>
          <w:szCs w:val="22"/>
        </w:rPr>
        <w:t xml:space="preserve"> well-defined </w:t>
      </w:r>
      <w:r w:rsidR="001A0A9A" w:rsidRPr="00AA7D88">
        <w:rPr>
          <w:rFonts w:asciiTheme="majorHAnsi" w:hAnsiTheme="majorHAnsi" w:cstheme="majorHAnsi"/>
          <w:sz w:val="22"/>
          <w:szCs w:val="22"/>
        </w:rPr>
        <w:t>group of</w:t>
      </w:r>
      <w:r w:rsidR="002A044A" w:rsidRPr="00AA7D88">
        <w:rPr>
          <w:rFonts w:asciiTheme="majorHAnsi" w:hAnsiTheme="majorHAnsi" w:cstheme="majorHAnsi"/>
          <w:sz w:val="22"/>
          <w:szCs w:val="22"/>
        </w:rPr>
        <w:t xml:space="preserve"> children </w:t>
      </w:r>
      <w:r w:rsidR="00C84EAF" w:rsidRPr="00AA7D88">
        <w:rPr>
          <w:rFonts w:asciiTheme="majorHAnsi" w:hAnsiTheme="majorHAnsi" w:cstheme="majorHAnsi"/>
          <w:sz w:val="22"/>
          <w:szCs w:val="22"/>
        </w:rPr>
        <w:t xml:space="preserve">with PCD, </w:t>
      </w:r>
      <w:r w:rsidR="002A044A" w:rsidRPr="00AA7D88">
        <w:rPr>
          <w:rFonts w:asciiTheme="majorHAnsi" w:hAnsiTheme="majorHAnsi" w:cstheme="majorHAnsi"/>
          <w:sz w:val="22"/>
          <w:szCs w:val="22"/>
        </w:rPr>
        <w:t>diagnosed</w:t>
      </w:r>
      <w:r w:rsidR="00DB0C47" w:rsidRPr="00AA7D88">
        <w:rPr>
          <w:rFonts w:asciiTheme="majorHAnsi" w:hAnsiTheme="majorHAnsi" w:cstheme="majorHAnsi"/>
          <w:sz w:val="22"/>
          <w:szCs w:val="22"/>
        </w:rPr>
        <w:t xml:space="preserve"> and managed under </w:t>
      </w:r>
      <w:r w:rsidR="00C84EAF" w:rsidRPr="00AA7D88">
        <w:rPr>
          <w:rFonts w:asciiTheme="majorHAnsi" w:hAnsiTheme="majorHAnsi" w:cstheme="majorHAnsi"/>
          <w:sz w:val="22"/>
          <w:szCs w:val="22"/>
        </w:rPr>
        <w:t>the</w:t>
      </w:r>
      <w:r w:rsidR="002A044A" w:rsidRPr="00AA7D88">
        <w:rPr>
          <w:rFonts w:asciiTheme="majorHAnsi" w:hAnsiTheme="majorHAnsi" w:cstheme="majorHAnsi"/>
          <w:sz w:val="22"/>
          <w:szCs w:val="22"/>
        </w:rPr>
        <w:t xml:space="preserve"> unified</w:t>
      </w:r>
      <w:r w:rsidR="00221DF7" w:rsidRPr="00AA7D88">
        <w:rPr>
          <w:rFonts w:asciiTheme="majorHAnsi" w:hAnsiTheme="majorHAnsi" w:cstheme="majorHAnsi"/>
          <w:sz w:val="22"/>
          <w:szCs w:val="22"/>
        </w:rPr>
        <w:t>,</w:t>
      </w:r>
      <w:r w:rsidR="00DB0C47" w:rsidRPr="00AA7D88">
        <w:rPr>
          <w:rFonts w:asciiTheme="majorHAnsi" w:hAnsiTheme="majorHAnsi" w:cstheme="majorHAnsi"/>
          <w:sz w:val="22"/>
          <w:szCs w:val="22"/>
        </w:rPr>
        <w:t xml:space="preserve"> specialised</w:t>
      </w:r>
      <w:r w:rsidR="002A044A" w:rsidRPr="00AA7D88">
        <w:rPr>
          <w:rFonts w:asciiTheme="majorHAnsi" w:hAnsiTheme="majorHAnsi" w:cstheme="majorHAnsi"/>
          <w:sz w:val="22"/>
          <w:szCs w:val="22"/>
        </w:rPr>
        <w:t xml:space="preserve"> </w:t>
      </w:r>
      <w:r w:rsidR="00BE72F1" w:rsidRPr="00AA7D88">
        <w:rPr>
          <w:rFonts w:asciiTheme="majorHAnsi" w:hAnsiTheme="majorHAnsi" w:cstheme="majorHAnsi"/>
          <w:sz w:val="22"/>
          <w:szCs w:val="22"/>
        </w:rPr>
        <w:t>N</w:t>
      </w:r>
      <w:r w:rsidR="00BE72F1" w:rsidRPr="00AA7D88">
        <w:rPr>
          <w:rFonts w:asciiTheme="majorHAnsi" w:hAnsiTheme="majorHAnsi" w:cstheme="majorHAnsi"/>
          <w:color w:val="000000"/>
          <w:sz w:val="22"/>
          <w:szCs w:val="22"/>
        </w:rPr>
        <w:t>ational Children's PCD Management Service</w:t>
      </w:r>
      <w:r w:rsidR="00BE72F1" w:rsidRPr="00AA7D88">
        <w:rPr>
          <w:rFonts w:asciiTheme="majorHAnsi" w:hAnsiTheme="majorHAnsi" w:cstheme="majorHAnsi"/>
          <w:sz w:val="22"/>
          <w:szCs w:val="22"/>
        </w:rPr>
        <w:t xml:space="preserve"> </w:t>
      </w:r>
      <w:r w:rsidR="00DB0C47" w:rsidRPr="00AA7D88">
        <w:rPr>
          <w:rFonts w:asciiTheme="majorHAnsi" w:hAnsiTheme="majorHAnsi" w:cstheme="majorHAnsi"/>
          <w:sz w:val="22"/>
          <w:szCs w:val="22"/>
        </w:rPr>
        <w:t>in England</w:t>
      </w:r>
      <w:r w:rsidR="002A044A" w:rsidRPr="00AA7D88">
        <w:rPr>
          <w:rFonts w:asciiTheme="majorHAnsi" w:hAnsiTheme="majorHAnsi" w:cstheme="majorHAnsi"/>
          <w:sz w:val="22"/>
          <w:szCs w:val="22"/>
        </w:rPr>
        <w:t xml:space="preserve">. </w:t>
      </w:r>
    </w:p>
    <w:p w14:paraId="23C3920F" w14:textId="51582B9C" w:rsidR="00597CF1" w:rsidRPr="00AA7D88" w:rsidRDefault="00975A7C" w:rsidP="001C6EA8">
      <w:pPr>
        <w:spacing w:after="120" w:line="480" w:lineRule="auto"/>
        <w:rPr>
          <w:rFonts w:asciiTheme="majorHAnsi" w:hAnsiTheme="majorHAnsi" w:cstheme="majorHAnsi"/>
          <w:color w:val="000000" w:themeColor="text1"/>
          <w:sz w:val="22"/>
          <w:szCs w:val="22"/>
        </w:rPr>
      </w:pPr>
      <w:r w:rsidRPr="00AA7D88">
        <w:rPr>
          <w:rFonts w:asciiTheme="majorHAnsi" w:hAnsiTheme="majorHAnsi" w:cstheme="majorHAnsi"/>
          <w:sz w:val="22"/>
          <w:szCs w:val="22"/>
        </w:rPr>
        <w:t>Historically</w:t>
      </w:r>
      <w:r w:rsidR="00741693" w:rsidRPr="00AA7D88">
        <w:rPr>
          <w:rFonts w:asciiTheme="majorHAnsi" w:hAnsiTheme="majorHAnsi" w:cstheme="majorHAnsi"/>
          <w:sz w:val="22"/>
          <w:szCs w:val="22"/>
        </w:rPr>
        <w:t>,</w:t>
      </w:r>
      <w:r w:rsidRPr="00AA7D88">
        <w:rPr>
          <w:rFonts w:asciiTheme="majorHAnsi" w:hAnsiTheme="majorHAnsi" w:cstheme="majorHAnsi"/>
          <w:sz w:val="22"/>
          <w:szCs w:val="22"/>
        </w:rPr>
        <w:t xml:space="preserve"> PCD has been considered a mild respiratory condition</w:t>
      </w:r>
      <w:r w:rsidR="00281012" w:rsidRPr="00AA7D88">
        <w:rPr>
          <w:rFonts w:asciiTheme="majorHAnsi" w:hAnsiTheme="majorHAnsi" w:cstheme="majorHAnsi"/>
          <w:sz w:val="22"/>
          <w:szCs w:val="22"/>
        </w:rPr>
        <w:t xml:space="preserve"> </w:t>
      </w:r>
      <w:r w:rsidR="00735187" w:rsidRPr="00735187">
        <w:rPr>
          <w:rFonts w:ascii="Calibri" w:hAnsi="Calibri" w:cs="Calibri"/>
          <w:sz w:val="22"/>
        </w:rPr>
        <w:t>(2</w:t>
      </w:r>
      <w:r w:rsidR="00AC2755">
        <w:rPr>
          <w:rFonts w:ascii="Calibri" w:hAnsi="Calibri" w:cs="Calibri"/>
          <w:sz w:val="22"/>
        </w:rPr>
        <w:t>2</w:t>
      </w:r>
      <w:r w:rsidR="00735187" w:rsidRPr="00735187">
        <w:rPr>
          <w:rFonts w:ascii="Calibri" w:hAnsi="Calibri" w:cs="Calibri"/>
          <w:sz w:val="22"/>
        </w:rPr>
        <w:t>)</w:t>
      </w:r>
      <w:r w:rsidR="003E3E5F" w:rsidRPr="00AA7D88">
        <w:rPr>
          <w:rFonts w:asciiTheme="majorHAnsi" w:hAnsiTheme="majorHAnsi" w:cstheme="majorHAnsi"/>
          <w:sz w:val="22"/>
          <w:szCs w:val="22"/>
        </w:rPr>
        <w:t>;</w:t>
      </w:r>
      <w:r w:rsidRPr="00AA7D88">
        <w:rPr>
          <w:rFonts w:asciiTheme="majorHAnsi" w:hAnsiTheme="majorHAnsi" w:cstheme="majorHAnsi"/>
          <w:sz w:val="22"/>
          <w:szCs w:val="22"/>
        </w:rPr>
        <w:t xml:space="preserve"> </w:t>
      </w:r>
      <w:r w:rsidR="00EE4FAF" w:rsidRPr="00AA7D88">
        <w:rPr>
          <w:rFonts w:asciiTheme="majorHAnsi" w:hAnsiTheme="majorHAnsi" w:cstheme="majorHAnsi"/>
          <w:sz w:val="22"/>
          <w:szCs w:val="22"/>
        </w:rPr>
        <w:t>however</w:t>
      </w:r>
      <w:r w:rsidR="003E3E5F" w:rsidRPr="00AA7D88">
        <w:rPr>
          <w:rFonts w:asciiTheme="majorHAnsi" w:hAnsiTheme="majorHAnsi" w:cstheme="majorHAnsi"/>
          <w:sz w:val="22"/>
          <w:szCs w:val="22"/>
        </w:rPr>
        <w:t>,</w:t>
      </w:r>
      <w:r w:rsidR="00EE4FAF" w:rsidRPr="00AA7D88">
        <w:rPr>
          <w:rFonts w:asciiTheme="majorHAnsi" w:hAnsiTheme="majorHAnsi" w:cstheme="majorHAnsi"/>
          <w:sz w:val="22"/>
          <w:szCs w:val="22"/>
        </w:rPr>
        <w:t xml:space="preserve"> we report </w:t>
      </w:r>
      <w:r w:rsidR="0040080B" w:rsidRPr="00AA7D88">
        <w:rPr>
          <w:rFonts w:asciiTheme="majorHAnsi" w:hAnsiTheme="majorHAnsi" w:cstheme="majorHAnsi"/>
          <w:color w:val="000000" w:themeColor="text1"/>
          <w:sz w:val="22"/>
          <w:szCs w:val="22"/>
        </w:rPr>
        <w:t>a mean FEV</w:t>
      </w:r>
      <w:r w:rsidR="0040080B" w:rsidRPr="00AA7D88">
        <w:rPr>
          <w:rFonts w:asciiTheme="majorHAnsi" w:hAnsiTheme="majorHAnsi" w:cstheme="majorHAnsi"/>
          <w:color w:val="000000" w:themeColor="text1"/>
          <w:sz w:val="22"/>
          <w:szCs w:val="22"/>
          <w:vertAlign w:val="subscript"/>
        </w:rPr>
        <w:t>1</w:t>
      </w:r>
      <w:r w:rsidR="0040080B" w:rsidRPr="00AA7D88">
        <w:rPr>
          <w:rFonts w:asciiTheme="majorHAnsi" w:hAnsiTheme="majorHAnsi" w:cstheme="majorHAnsi"/>
          <w:color w:val="000000" w:themeColor="text1"/>
          <w:sz w:val="22"/>
          <w:szCs w:val="22"/>
        </w:rPr>
        <w:t xml:space="preserve"> </w:t>
      </w:r>
      <w:r w:rsidR="003E3E5F" w:rsidRPr="00AA7D88">
        <w:rPr>
          <w:rFonts w:asciiTheme="majorHAnsi" w:hAnsiTheme="majorHAnsi" w:cstheme="majorHAnsi"/>
          <w:color w:val="000000" w:themeColor="text1"/>
          <w:sz w:val="22"/>
          <w:szCs w:val="22"/>
        </w:rPr>
        <w:t xml:space="preserve">of </w:t>
      </w:r>
      <w:r w:rsidR="00982C3E" w:rsidRPr="00AA7D88">
        <w:rPr>
          <w:rFonts w:asciiTheme="majorHAnsi" w:hAnsiTheme="majorHAnsi" w:cstheme="majorHAnsi"/>
          <w:color w:val="000000" w:themeColor="text1"/>
          <w:sz w:val="22"/>
          <w:szCs w:val="22"/>
        </w:rPr>
        <w:t>-1.</w:t>
      </w:r>
      <w:r w:rsidR="006E5574" w:rsidRPr="00AA7D88">
        <w:rPr>
          <w:rFonts w:asciiTheme="majorHAnsi" w:hAnsiTheme="majorHAnsi" w:cstheme="majorHAnsi"/>
          <w:color w:val="000000" w:themeColor="text1"/>
          <w:sz w:val="22"/>
          <w:szCs w:val="22"/>
        </w:rPr>
        <w:t>9</w:t>
      </w:r>
      <w:r w:rsidR="0040080B" w:rsidRPr="00AA7D88">
        <w:rPr>
          <w:rFonts w:asciiTheme="majorHAnsi" w:hAnsiTheme="majorHAnsi" w:cstheme="majorHAnsi"/>
          <w:color w:val="000000" w:themeColor="text1"/>
          <w:sz w:val="22"/>
          <w:szCs w:val="22"/>
        </w:rPr>
        <w:t xml:space="preserve"> z scores </w:t>
      </w:r>
      <w:r w:rsidR="000436A2" w:rsidRPr="00AA7D88">
        <w:rPr>
          <w:rFonts w:asciiTheme="majorHAnsi" w:hAnsiTheme="majorHAnsi" w:cstheme="majorHAnsi"/>
          <w:color w:val="000000" w:themeColor="text1"/>
          <w:sz w:val="22"/>
          <w:szCs w:val="22"/>
        </w:rPr>
        <w:t xml:space="preserve">in children with </w:t>
      </w:r>
      <w:r w:rsidR="00221DF7" w:rsidRPr="00AA7D88">
        <w:rPr>
          <w:rFonts w:asciiTheme="majorHAnsi" w:hAnsiTheme="majorHAnsi" w:cstheme="majorHAnsi"/>
          <w:color w:val="000000" w:themeColor="text1"/>
          <w:sz w:val="22"/>
          <w:szCs w:val="22"/>
        </w:rPr>
        <w:t>the disease</w:t>
      </w:r>
      <w:r w:rsidR="0040080B" w:rsidRPr="00AA7D88">
        <w:rPr>
          <w:rFonts w:asciiTheme="majorHAnsi" w:hAnsiTheme="majorHAnsi" w:cstheme="majorHAnsi"/>
          <w:color w:val="000000" w:themeColor="text1"/>
          <w:sz w:val="22"/>
          <w:szCs w:val="22"/>
        </w:rPr>
        <w:t xml:space="preserve"> in England</w:t>
      </w:r>
      <w:r w:rsidR="00587B16" w:rsidRPr="00AA7D88">
        <w:rPr>
          <w:rFonts w:asciiTheme="majorHAnsi" w:hAnsiTheme="majorHAnsi" w:cstheme="majorHAnsi"/>
          <w:color w:val="000000" w:themeColor="text1"/>
          <w:sz w:val="22"/>
          <w:szCs w:val="22"/>
        </w:rPr>
        <w:t xml:space="preserve">. </w:t>
      </w:r>
      <w:r w:rsidR="002D17D9" w:rsidRPr="00AA7D88">
        <w:rPr>
          <w:rFonts w:asciiTheme="majorHAnsi" w:hAnsiTheme="majorHAnsi" w:cstheme="majorHAnsi"/>
          <w:color w:val="000000"/>
          <w:sz w:val="22"/>
          <w:szCs w:val="22"/>
        </w:rPr>
        <w:t>A</w:t>
      </w:r>
      <w:r w:rsidR="005C0A47" w:rsidRPr="00AA7D88">
        <w:rPr>
          <w:rFonts w:asciiTheme="majorHAnsi" w:hAnsiTheme="majorHAnsi" w:cstheme="majorHAnsi"/>
          <w:color w:val="000000"/>
          <w:sz w:val="22"/>
          <w:szCs w:val="22"/>
        </w:rPr>
        <w:t>lmost a third of children required admission for I</w:t>
      </w:r>
      <w:r w:rsidR="00361FFD" w:rsidRPr="00AA7D88">
        <w:rPr>
          <w:rFonts w:asciiTheme="majorHAnsi" w:hAnsiTheme="majorHAnsi" w:cstheme="majorHAnsi"/>
          <w:color w:val="000000"/>
          <w:sz w:val="22"/>
          <w:szCs w:val="22"/>
        </w:rPr>
        <w:t>V antibiotics</w:t>
      </w:r>
      <w:r w:rsidR="005C0A47" w:rsidRPr="00AA7D88">
        <w:rPr>
          <w:rFonts w:asciiTheme="majorHAnsi" w:hAnsiTheme="majorHAnsi" w:cstheme="majorHAnsi"/>
          <w:color w:val="000000"/>
          <w:sz w:val="22"/>
          <w:szCs w:val="22"/>
        </w:rPr>
        <w:t xml:space="preserve"> over the preceding 12 months with over 10% receiving regular IV</w:t>
      </w:r>
      <w:r w:rsidR="00361FFD" w:rsidRPr="00AA7D88">
        <w:rPr>
          <w:rFonts w:asciiTheme="majorHAnsi" w:hAnsiTheme="majorHAnsi" w:cstheme="majorHAnsi"/>
          <w:color w:val="000000"/>
          <w:sz w:val="22"/>
          <w:szCs w:val="22"/>
        </w:rPr>
        <w:t xml:space="preserve"> antibiotics</w:t>
      </w:r>
      <w:r w:rsidR="005C0A47" w:rsidRPr="00AA7D88">
        <w:rPr>
          <w:rFonts w:asciiTheme="majorHAnsi" w:hAnsiTheme="majorHAnsi" w:cstheme="majorHAnsi"/>
          <w:color w:val="000000"/>
          <w:sz w:val="22"/>
          <w:szCs w:val="22"/>
        </w:rPr>
        <w:t xml:space="preserve">. </w:t>
      </w:r>
      <w:r w:rsidR="009D6004" w:rsidRPr="00AA7D88">
        <w:rPr>
          <w:rFonts w:asciiTheme="majorHAnsi" w:hAnsiTheme="majorHAnsi" w:cstheme="majorHAnsi"/>
          <w:color w:val="000000" w:themeColor="text1"/>
          <w:sz w:val="22"/>
          <w:szCs w:val="22"/>
        </w:rPr>
        <w:t xml:space="preserve">Further to this, </w:t>
      </w:r>
      <w:r w:rsidR="00261077" w:rsidRPr="00AA7D88">
        <w:rPr>
          <w:rFonts w:asciiTheme="majorHAnsi" w:hAnsiTheme="majorHAnsi" w:cstheme="majorHAnsi"/>
          <w:color w:val="000000" w:themeColor="text1"/>
          <w:sz w:val="22"/>
          <w:szCs w:val="22"/>
        </w:rPr>
        <w:t>whil</w:t>
      </w:r>
      <w:r w:rsidR="009D6004" w:rsidRPr="00AA7D88">
        <w:rPr>
          <w:rFonts w:asciiTheme="majorHAnsi" w:hAnsiTheme="majorHAnsi" w:cstheme="majorHAnsi"/>
          <w:color w:val="000000" w:themeColor="text1"/>
          <w:sz w:val="22"/>
          <w:szCs w:val="22"/>
        </w:rPr>
        <w:t>st</w:t>
      </w:r>
      <w:r w:rsidR="00261077" w:rsidRPr="00AA7D88">
        <w:rPr>
          <w:rFonts w:asciiTheme="majorHAnsi" w:hAnsiTheme="majorHAnsi" w:cstheme="majorHAnsi"/>
          <w:color w:val="000000" w:themeColor="text1"/>
          <w:sz w:val="22"/>
          <w:szCs w:val="22"/>
        </w:rPr>
        <w:t xml:space="preserve"> a</w:t>
      </w:r>
      <w:r w:rsidR="009D6004" w:rsidRPr="00AA7D88">
        <w:rPr>
          <w:rFonts w:asciiTheme="majorHAnsi" w:hAnsiTheme="majorHAnsi" w:cstheme="majorHAnsi"/>
          <w:color w:val="000000" w:themeColor="text1"/>
          <w:sz w:val="22"/>
          <w:szCs w:val="22"/>
        </w:rPr>
        <w:t xml:space="preserve"> recent</w:t>
      </w:r>
      <w:r w:rsidR="00261077" w:rsidRPr="00AA7D88">
        <w:rPr>
          <w:rFonts w:asciiTheme="majorHAnsi" w:hAnsiTheme="majorHAnsi" w:cstheme="majorHAnsi"/>
          <w:color w:val="000000" w:themeColor="text1"/>
          <w:sz w:val="22"/>
          <w:szCs w:val="22"/>
        </w:rPr>
        <w:t xml:space="preserve"> large international PCD cohort </w:t>
      </w:r>
      <w:r w:rsidR="009D6004" w:rsidRPr="00AA7D88">
        <w:rPr>
          <w:rFonts w:asciiTheme="majorHAnsi" w:hAnsiTheme="majorHAnsi" w:cstheme="majorHAnsi"/>
          <w:color w:val="000000" w:themeColor="text1"/>
          <w:sz w:val="22"/>
          <w:szCs w:val="22"/>
        </w:rPr>
        <w:t xml:space="preserve">found a </w:t>
      </w:r>
      <w:r w:rsidR="00261077" w:rsidRPr="00AA7D88">
        <w:rPr>
          <w:rFonts w:asciiTheme="majorHAnsi" w:hAnsiTheme="majorHAnsi" w:cstheme="majorHAnsi"/>
          <w:color w:val="000000" w:themeColor="text1"/>
          <w:sz w:val="22"/>
          <w:szCs w:val="22"/>
        </w:rPr>
        <w:t xml:space="preserve">similar reduction in lung function between </w:t>
      </w:r>
      <w:r w:rsidR="009D6004" w:rsidRPr="00AA7D88">
        <w:rPr>
          <w:rFonts w:asciiTheme="majorHAnsi" w:hAnsiTheme="majorHAnsi" w:cstheme="majorHAnsi"/>
          <w:color w:val="000000" w:themeColor="text1"/>
          <w:sz w:val="22"/>
          <w:szCs w:val="22"/>
        </w:rPr>
        <w:t xml:space="preserve">children </w:t>
      </w:r>
      <w:r w:rsidR="00261077" w:rsidRPr="00AA7D88">
        <w:rPr>
          <w:rFonts w:asciiTheme="majorHAnsi" w:hAnsiTheme="majorHAnsi" w:cstheme="majorHAnsi"/>
          <w:color w:val="000000" w:themeColor="text1"/>
          <w:sz w:val="22"/>
          <w:szCs w:val="22"/>
        </w:rPr>
        <w:t>with PCD and CF</w:t>
      </w:r>
      <w:r w:rsidR="00F45887">
        <w:rPr>
          <w:rFonts w:asciiTheme="majorHAnsi" w:hAnsiTheme="majorHAnsi" w:cstheme="majorHAnsi"/>
          <w:color w:val="000000" w:themeColor="text1"/>
          <w:sz w:val="22"/>
          <w:szCs w:val="22"/>
        </w:rPr>
        <w:t>,</w:t>
      </w:r>
      <w:r w:rsidR="009D6004" w:rsidRPr="00AA7D88">
        <w:rPr>
          <w:rFonts w:asciiTheme="majorHAnsi" w:hAnsiTheme="majorHAnsi" w:cstheme="majorHAnsi"/>
          <w:color w:val="000000" w:themeColor="text1"/>
          <w:sz w:val="22"/>
          <w:szCs w:val="22"/>
        </w:rPr>
        <w:t xml:space="preserve"> </w:t>
      </w:r>
      <w:r w:rsidR="00261077" w:rsidRPr="00AA7D88">
        <w:rPr>
          <w:rFonts w:asciiTheme="majorHAnsi" w:hAnsiTheme="majorHAnsi" w:cstheme="majorHAnsi"/>
          <w:color w:val="000000" w:themeColor="text1"/>
          <w:sz w:val="22"/>
          <w:szCs w:val="22"/>
        </w:rPr>
        <w:t>w</w:t>
      </w:r>
      <w:r w:rsidR="00F45887">
        <w:rPr>
          <w:rFonts w:asciiTheme="majorHAnsi" w:hAnsiTheme="majorHAnsi" w:cstheme="majorHAnsi"/>
          <w:color w:val="000000" w:themeColor="text1"/>
          <w:sz w:val="22"/>
          <w:szCs w:val="22"/>
        </w:rPr>
        <w:t xml:space="preserve">e </w:t>
      </w:r>
      <w:r w:rsidR="009D6004" w:rsidRPr="00AA7D88">
        <w:rPr>
          <w:rFonts w:asciiTheme="majorHAnsi" w:hAnsiTheme="majorHAnsi" w:cstheme="majorHAnsi"/>
          <w:color w:val="000000" w:themeColor="text1"/>
          <w:sz w:val="22"/>
          <w:szCs w:val="22"/>
        </w:rPr>
        <w:t xml:space="preserve">showed that </w:t>
      </w:r>
      <w:r w:rsidR="00C35BC3">
        <w:rPr>
          <w:rFonts w:asciiTheme="majorHAnsi" w:hAnsiTheme="majorHAnsi" w:cstheme="majorHAnsi"/>
          <w:color w:val="000000" w:themeColor="text1"/>
          <w:sz w:val="22"/>
          <w:szCs w:val="22"/>
        </w:rPr>
        <w:t xml:space="preserve">% predicted </w:t>
      </w:r>
      <w:r w:rsidR="009D6004" w:rsidRPr="00AA7D88">
        <w:rPr>
          <w:rFonts w:asciiTheme="majorHAnsi" w:hAnsiTheme="majorHAnsi" w:cstheme="majorHAnsi"/>
          <w:color w:val="000000" w:themeColor="text1"/>
          <w:sz w:val="22"/>
          <w:szCs w:val="22"/>
        </w:rPr>
        <w:t>FEV</w:t>
      </w:r>
      <w:r w:rsidR="009D6004" w:rsidRPr="00AA7D88">
        <w:rPr>
          <w:rFonts w:asciiTheme="majorHAnsi" w:hAnsiTheme="majorHAnsi" w:cstheme="majorHAnsi"/>
          <w:color w:val="000000" w:themeColor="text1"/>
          <w:sz w:val="22"/>
          <w:szCs w:val="22"/>
          <w:vertAlign w:val="subscript"/>
        </w:rPr>
        <w:t>1</w:t>
      </w:r>
      <w:r w:rsidR="009D6004" w:rsidRPr="00AA7D88">
        <w:rPr>
          <w:rFonts w:asciiTheme="majorHAnsi" w:hAnsiTheme="majorHAnsi" w:cstheme="majorHAnsi"/>
          <w:color w:val="000000" w:themeColor="text1"/>
          <w:sz w:val="22"/>
          <w:szCs w:val="22"/>
        </w:rPr>
        <w:t xml:space="preserve"> w</w:t>
      </w:r>
      <w:r w:rsidR="00C35BC3">
        <w:rPr>
          <w:rFonts w:asciiTheme="majorHAnsi" w:hAnsiTheme="majorHAnsi" w:cstheme="majorHAnsi"/>
          <w:color w:val="000000" w:themeColor="text1"/>
          <w:sz w:val="22"/>
          <w:szCs w:val="22"/>
        </w:rPr>
        <w:t>as</w:t>
      </w:r>
      <w:r w:rsidR="009D6004" w:rsidRPr="00AA7D88">
        <w:rPr>
          <w:rFonts w:asciiTheme="majorHAnsi" w:hAnsiTheme="majorHAnsi" w:cstheme="majorHAnsi"/>
          <w:color w:val="000000" w:themeColor="text1"/>
          <w:sz w:val="22"/>
          <w:szCs w:val="22"/>
        </w:rPr>
        <w:t xml:space="preserve"> significantly lower in those with PCD compared to those with CF up to the age of 15 </w:t>
      </w:r>
      <w:r w:rsidR="009D6004" w:rsidRPr="00735187">
        <w:rPr>
          <w:rFonts w:asciiTheme="majorHAnsi" w:hAnsiTheme="majorHAnsi" w:cstheme="majorHAnsi"/>
          <w:color w:val="000000" w:themeColor="text1"/>
          <w:sz w:val="22"/>
          <w:szCs w:val="22"/>
        </w:rPr>
        <w:t>years</w:t>
      </w:r>
      <w:r w:rsidR="00F45887">
        <w:rPr>
          <w:rFonts w:asciiTheme="majorHAnsi" w:hAnsiTheme="majorHAnsi" w:cstheme="majorHAnsi"/>
          <w:color w:val="000000" w:themeColor="text1"/>
          <w:sz w:val="22"/>
          <w:szCs w:val="22"/>
        </w:rPr>
        <w:t>,</w:t>
      </w:r>
      <w:r w:rsidR="00F45887" w:rsidRPr="00AA7D88">
        <w:rPr>
          <w:rFonts w:asciiTheme="majorHAnsi" w:hAnsiTheme="majorHAnsi" w:cstheme="majorHAnsi"/>
          <w:color w:val="000000" w:themeColor="text1"/>
          <w:sz w:val="22"/>
          <w:szCs w:val="22"/>
        </w:rPr>
        <w:t xml:space="preserve"> as was also obs</w:t>
      </w:r>
      <w:r w:rsidR="00F45887">
        <w:rPr>
          <w:rFonts w:asciiTheme="majorHAnsi" w:hAnsiTheme="majorHAnsi" w:cstheme="majorHAnsi"/>
          <w:color w:val="000000" w:themeColor="text1"/>
          <w:sz w:val="22"/>
          <w:szCs w:val="22"/>
        </w:rPr>
        <w:t>erved in a</w:t>
      </w:r>
      <w:r w:rsidR="001E0440">
        <w:rPr>
          <w:rFonts w:asciiTheme="majorHAnsi" w:hAnsiTheme="majorHAnsi" w:cstheme="majorHAnsi"/>
          <w:color w:val="000000" w:themeColor="text1"/>
          <w:sz w:val="22"/>
          <w:szCs w:val="22"/>
        </w:rPr>
        <w:t xml:space="preserve"> small</w:t>
      </w:r>
      <w:r w:rsidR="00AC5305">
        <w:rPr>
          <w:rFonts w:asciiTheme="majorHAnsi" w:hAnsiTheme="majorHAnsi" w:cstheme="majorHAnsi"/>
          <w:color w:val="000000" w:themeColor="text1"/>
          <w:sz w:val="22"/>
          <w:szCs w:val="22"/>
        </w:rPr>
        <w:t>er</w:t>
      </w:r>
      <w:r w:rsidR="00F45887">
        <w:rPr>
          <w:rFonts w:asciiTheme="majorHAnsi" w:hAnsiTheme="majorHAnsi" w:cstheme="majorHAnsi"/>
          <w:color w:val="000000" w:themeColor="text1"/>
          <w:sz w:val="22"/>
          <w:szCs w:val="22"/>
        </w:rPr>
        <w:t xml:space="preserve"> Danish cohort study</w:t>
      </w:r>
      <w:r w:rsidR="0088542F">
        <w:rPr>
          <w:rFonts w:asciiTheme="majorHAnsi" w:hAnsiTheme="majorHAnsi" w:cstheme="majorHAnsi"/>
          <w:color w:val="000000" w:themeColor="text1"/>
          <w:sz w:val="22"/>
          <w:szCs w:val="22"/>
        </w:rPr>
        <w:t xml:space="preserve"> (2, 3, 23)</w:t>
      </w:r>
      <w:r w:rsidR="00361FFD" w:rsidRPr="00735187">
        <w:rPr>
          <w:rFonts w:asciiTheme="majorHAnsi" w:hAnsiTheme="majorHAnsi" w:cstheme="majorHAnsi"/>
          <w:color w:val="000000" w:themeColor="text1"/>
          <w:sz w:val="22"/>
          <w:szCs w:val="22"/>
        </w:rPr>
        <w:t xml:space="preserve">. </w:t>
      </w:r>
      <w:r w:rsidR="00A66817" w:rsidRPr="00735187">
        <w:rPr>
          <w:rFonts w:asciiTheme="majorHAnsi" w:hAnsiTheme="majorHAnsi" w:cstheme="majorHAnsi"/>
          <w:color w:val="000000" w:themeColor="text1"/>
          <w:sz w:val="22"/>
          <w:szCs w:val="22"/>
        </w:rPr>
        <w:t>This</w:t>
      </w:r>
      <w:r w:rsidR="00A66817" w:rsidRPr="00AA7D88">
        <w:rPr>
          <w:rFonts w:asciiTheme="majorHAnsi" w:hAnsiTheme="majorHAnsi" w:cstheme="majorHAnsi"/>
          <w:color w:val="000000" w:themeColor="text1"/>
          <w:sz w:val="22"/>
          <w:szCs w:val="22"/>
        </w:rPr>
        <w:t xml:space="preserve"> </w:t>
      </w:r>
      <w:r w:rsidR="002443F2" w:rsidRPr="00AA7D88">
        <w:rPr>
          <w:rFonts w:asciiTheme="majorHAnsi" w:hAnsiTheme="majorHAnsi" w:cstheme="majorHAnsi"/>
          <w:color w:val="000000" w:themeColor="text1"/>
          <w:sz w:val="22"/>
          <w:szCs w:val="22"/>
        </w:rPr>
        <w:t>suggests</w:t>
      </w:r>
      <w:r w:rsidR="00A66817" w:rsidRPr="00AA7D88">
        <w:rPr>
          <w:rFonts w:asciiTheme="majorHAnsi" w:hAnsiTheme="majorHAnsi" w:cstheme="majorHAnsi"/>
          <w:color w:val="000000" w:themeColor="text1"/>
          <w:sz w:val="22"/>
          <w:szCs w:val="22"/>
        </w:rPr>
        <w:t xml:space="preserve"> that </w:t>
      </w:r>
      <w:r w:rsidR="00597CF1" w:rsidRPr="00AA7D88">
        <w:rPr>
          <w:rFonts w:asciiTheme="majorHAnsi" w:hAnsiTheme="majorHAnsi" w:cstheme="majorHAnsi"/>
          <w:color w:val="000000" w:themeColor="text1"/>
          <w:sz w:val="22"/>
          <w:szCs w:val="22"/>
        </w:rPr>
        <w:t>in 2015,</w:t>
      </w:r>
      <w:r w:rsidR="00A66817" w:rsidRPr="00AA7D88">
        <w:rPr>
          <w:rFonts w:asciiTheme="majorHAnsi" w:hAnsiTheme="majorHAnsi" w:cstheme="majorHAnsi"/>
          <w:color w:val="000000" w:themeColor="text1"/>
          <w:sz w:val="22"/>
          <w:szCs w:val="22"/>
        </w:rPr>
        <w:t xml:space="preserve"> </w:t>
      </w:r>
      <w:r w:rsidR="00597CF1" w:rsidRPr="00AA7D88">
        <w:rPr>
          <w:rFonts w:asciiTheme="majorHAnsi" w:hAnsiTheme="majorHAnsi" w:cstheme="majorHAnsi"/>
          <w:color w:val="000000" w:themeColor="text1"/>
          <w:sz w:val="22"/>
          <w:szCs w:val="22"/>
        </w:rPr>
        <w:t xml:space="preserve">younger children seen by the </w:t>
      </w:r>
      <w:r w:rsidR="00A66817" w:rsidRPr="00AA7D88">
        <w:rPr>
          <w:rFonts w:asciiTheme="majorHAnsi" w:hAnsiTheme="majorHAnsi" w:cstheme="majorHAnsi"/>
          <w:color w:val="000000" w:themeColor="text1"/>
          <w:sz w:val="22"/>
          <w:szCs w:val="22"/>
        </w:rPr>
        <w:t>National Children’s PCD Management Service</w:t>
      </w:r>
      <w:r w:rsidR="00597CF1" w:rsidRPr="00AA7D88">
        <w:rPr>
          <w:rFonts w:asciiTheme="majorHAnsi" w:hAnsiTheme="majorHAnsi" w:cstheme="majorHAnsi"/>
          <w:color w:val="000000" w:themeColor="text1"/>
          <w:sz w:val="22"/>
          <w:szCs w:val="22"/>
        </w:rPr>
        <w:t xml:space="preserve"> had</w:t>
      </w:r>
      <w:r w:rsidR="00A66817" w:rsidRPr="00AA7D88">
        <w:rPr>
          <w:rFonts w:asciiTheme="majorHAnsi" w:hAnsiTheme="majorHAnsi" w:cstheme="majorHAnsi"/>
          <w:color w:val="000000" w:themeColor="text1"/>
          <w:sz w:val="22"/>
          <w:szCs w:val="22"/>
        </w:rPr>
        <w:t xml:space="preserve"> lower lung function than their European counterparts. </w:t>
      </w:r>
      <w:r w:rsidR="00597CF1" w:rsidRPr="00AA7D88">
        <w:rPr>
          <w:rFonts w:asciiTheme="majorHAnsi" w:hAnsiTheme="majorHAnsi" w:cstheme="majorHAnsi"/>
          <w:color w:val="000000" w:themeColor="text1"/>
          <w:sz w:val="22"/>
          <w:szCs w:val="22"/>
        </w:rPr>
        <w:t>However</w:t>
      </w:r>
      <w:r w:rsidR="001A623E" w:rsidRPr="00AA7D88">
        <w:rPr>
          <w:rFonts w:asciiTheme="majorHAnsi" w:hAnsiTheme="majorHAnsi" w:cstheme="majorHAnsi"/>
          <w:color w:val="000000" w:themeColor="text1"/>
          <w:sz w:val="22"/>
          <w:szCs w:val="22"/>
        </w:rPr>
        <w:t>,</w:t>
      </w:r>
      <w:r w:rsidR="00221DF7" w:rsidRPr="00AA7D88">
        <w:rPr>
          <w:rFonts w:asciiTheme="majorHAnsi" w:hAnsiTheme="majorHAnsi" w:cstheme="majorHAnsi"/>
          <w:color w:val="000000" w:themeColor="text1"/>
          <w:sz w:val="22"/>
          <w:szCs w:val="22"/>
        </w:rPr>
        <w:t xml:space="preserve"> l</w:t>
      </w:r>
      <w:r w:rsidR="00361FFD" w:rsidRPr="00AA7D88">
        <w:rPr>
          <w:rFonts w:asciiTheme="majorHAnsi" w:hAnsiTheme="majorHAnsi" w:cstheme="majorHAnsi"/>
          <w:color w:val="000000" w:themeColor="text1"/>
          <w:sz w:val="22"/>
          <w:szCs w:val="22"/>
        </w:rPr>
        <w:t xml:space="preserve">ung function decline </w:t>
      </w:r>
      <w:r w:rsidR="00221DF7" w:rsidRPr="00AA7D88">
        <w:rPr>
          <w:rFonts w:asciiTheme="majorHAnsi" w:hAnsiTheme="majorHAnsi" w:cstheme="majorHAnsi"/>
          <w:color w:val="000000" w:themeColor="text1"/>
          <w:sz w:val="22"/>
          <w:szCs w:val="22"/>
        </w:rPr>
        <w:t xml:space="preserve">over time </w:t>
      </w:r>
      <w:r w:rsidR="00361FFD" w:rsidRPr="00AA7D88">
        <w:rPr>
          <w:rFonts w:asciiTheme="majorHAnsi" w:hAnsiTheme="majorHAnsi" w:cstheme="majorHAnsi"/>
          <w:color w:val="000000" w:themeColor="text1"/>
          <w:sz w:val="22"/>
          <w:szCs w:val="22"/>
        </w:rPr>
        <w:t>was steeper in CF patients and, by the age of 16 to 19 years,</w:t>
      </w:r>
      <w:r w:rsidR="00873332" w:rsidRPr="00AA7D88">
        <w:rPr>
          <w:rFonts w:asciiTheme="majorHAnsi" w:hAnsiTheme="majorHAnsi" w:cstheme="majorHAnsi"/>
          <w:color w:val="000000" w:themeColor="text1"/>
          <w:sz w:val="22"/>
          <w:szCs w:val="22"/>
        </w:rPr>
        <w:t xml:space="preserve"> </w:t>
      </w:r>
      <w:r w:rsidR="00361FFD" w:rsidRPr="00AA7D88">
        <w:rPr>
          <w:rFonts w:asciiTheme="majorHAnsi" w:hAnsiTheme="majorHAnsi" w:cstheme="majorHAnsi"/>
          <w:color w:val="000000" w:themeColor="text1"/>
          <w:sz w:val="22"/>
          <w:szCs w:val="22"/>
        </w:rPr>
        <w:t xml:space="preserve">no statistically significant difference </w:t>
      </w:r>
      <w:r w:rsidR="00702B47" w:rsidRPr="00AA7D88">
        <w:rPr>
          <w:rFonts w:asciiTheme="majorHAnsi" w:hAnsiTheme="majorHAnsi" w:cstheme="majorHAnsi"/>
          <w:color w:val="000000" w:themeColor="text1"/>
          <w:sz w:val="22"/>
          <w:szCs w:val="22"/>
        </w:rPr>
        <w:t xml:space="preserve">was seen </w:t>
      </w:r>
      <w:r w:rsidR="00361FFD" w:rsidRPr="00AA7D88">
        <w:rPr>
          <w:rFonts w:asciiTheme="majorHAnsi" w:hAnsiTheme="majorHAnsi" w:cstheme="majorHAnsi"/>
          <w:color w:val="000000" w:themeColor="text1"/>
          <w:sz w:val="22"/>
          <w:szCs w:val="22"/>
        </w:rPr>
        <w:t xml:space="preserve">between the two groups. </w:t>
      </w:r>
    </w:p>
    <w:p w14:paraId="0FE43F1D" w14:textId="5B051790" w:rsidR="001D77D5" w:rsidRPr="001C6EA8" w:rsidRDefault="00E16BE6" w:rsidP="001C6EA8">
      <w:pPr>
        <w:spacing w:after="120" w:line="480" w:lineRule="auto"/>
        <w:rPr>
          <w:rFonts w:asciiTheme="majorHAnsi" w:hAnsiTheme="majorHAnsi" w:cstheme="majorHAnsi"/>
          <w:color w:val="000000" w:themeColor="text1"/>
          <w:sz w:val="22"/>
          <w:szCs w:val="22"/>
        </w:rPr>
      </w:pPr>
      <w:r w:rsidRPr="00AA7D88">
        <w:rPr>
          <w:rFonts w:asciiTheme="majorHAnsi" w:hAnsiTheme="majorHAnsi" w:cstheme="majorHAnsi"/>
          <w:color w:val="000000" w:themeColor="text1"/>
          <w:sz w:val="22"/>
          <w:szCs w:val="22"/>
        </w:rPr>
        <w:t>Our children</w:t>
      </w:r>
      <w:r w:rsidR="000221DA" w:rsidRPr="00AA7D88">
        <w:rPr>
          <w:rFonts w:asciiTheme="majorHAnsi" w:hAnsiTheme="majorHAnsi" w:cstheme="majorHAnsi"/>
          <w:color w:val="000000" w:themeColor="text1"/>
          <w:sz w:val="22"/>
          <w:szCs w:val="22"/>
        </w:rPr>
        <w:t xml:space="preserve"> had a</w:t>
      </w:r>
      <w:r w:rsidR="00166A28" w:rsidRPr="00AA7D88">
        <w:rPr>
          <w:rFonts w:asciiTheme="majorHAnsi" w:hAnsiTheme="majorHAnsi" w:cstheme="majorHAnsi"/>
          <w:color w:val="000000" w:themeColor="text1"/>
          <w:sz w:val="22"/>
          <w:szCs w:val="22"/>
        </w:rPr>
        <w:t xml:space="preserve"> </w:t>
      </w:r>
      <w:r w:rsidR="00CD320A" w:rsidRPr="00AA7D88">
        <w:rPr>
          <w:rFonts w:asciiTheme="majorHAnsi" w:hAnsiTheme="majorHAnsi" w:cstheme="majorHAnsi"/>
          <w:color w:val="000000" w:themeColor="text1"/>
          <w:sz w:val="22"/>
          <w:szCs w:val="22"/>
        </w:rPr>
        <w:t>median age at diagnosis</w:t>
      </w:r>
      <w:r w:rsidR="00166A28" w:rsidRPr="00AA7D88">
        <w:rPr>
          <w:rFonts w:asciiTheme="majorHAnsi" w:hAnsiTheme="majorHAnsi" w:cstheme="majorHAnsi"/>
          <w:color w:val="000000" w:themeColor="text1"/>
          <w:sz w:val="22"/>
          <w:szCs w:val="22"/>
        </w:rPr>
        <w:t xml:space="preserve"> </w:t>
      </w:r>
      <w:r w:rsidR="000221DA" w:rsidRPr="00AA7D88">
        <w:rPr>
          <w:rFonts w:asciiTheme="majorHAnsi" w:hAnsiTheme="majorHAnsi" w:cstheme="majorHAnsi"/>
          <w:color w:val="000000" w:themeColor="text1"/>
          <w:sz w:val="22"/>
          <w:szCs w:val="22"/>
        </w:rPr>
        <w:t xml:space="preserve">of </w:t>
      </w:r>
      <w:r w:rsidR="00166A28" w:rsidRPr="00AA7D88">
        <w:rPr>
          <w:rFonts w:asciiTheme="majorHAnsi" w:hAnsiTheme="majorHAnsi" w:cstheme="majorHAnsi"/>
          <w:color w:val="000000" w:themeColor="text1"/>
          <w:sz w:val="22"/>
          <w:szCs w:val="22"/>
        </w:rPr>
        <w:t>2.6 years</w:t>
      </w:r>
      <w:r w:rsidR="002C5F91" w:rsidRPr="00AA7D88">
        <w:rPr>
          <w:rFonts w:asciiTheme="majorHAnsi" w:hAnsiTheme="majorHAnsi" w:cstheme="majorHAnsi"/>
          <w:color w:val="000000" w:themeColor="text1"/>
          <w:sz w:val="22"/>
          <w:szCs w:val="22"/>
        </w:rPr>
        <w:t>. This</w:t>
      </w:r>
      <w:r w:rsidRPr="00AA7D88">
        <w:rPr>
          <w:rFonts w:asciiTheme="majorHAnsi" w:hAnsiTheme="majorHAnsi" w:cstheme="majorHAnsi"/>
          <w:color w:val="000000" w:themeColor="text1"/>
          <w:sz w:val="22"/>
          <w:szCs w:val="22"/>
        </w:rPr>
        <w:t xml:space="preserve"> </w:t>
      </w:r>
      <w:r w:rsidR="000221DA" w:rsidRPr="00AA7D88">
        <w:rPr>
          <w:rFonts w:asciiTheme="majorHAnsi" w:hAnsiTheme="majorHAnsi" w:cstheme="majorHAnsi"/>
          <w:color w:val="000000" w:themeColor="text1"/>
          <w:sz w:val="22"/>
          <w:szCs w:val="22"/>
        </w:rPr>
        <w:t xml:space="preserve">is considerably younger than previously reported in the literature </w:t>
      </w:r>
      <w:r w:rsidR="00735187" w:rsidRPr="00735187">
        <w:rPr>
          <w:rFonts w:ascii="Calibri" w:hAnsi="Calibri" w:cs="Calibri"/>
          <w:sz w:val="22"/>
        </w:rPr>
        <w:t>(2</w:t>
      </w:r>
      <w:r w:rsidR="0088542F">
        <w:rPr>
          <w:rFonts w:ascii="Calibri" w:hAnsi="Calibri" w:cs="Calibri"/>
          <w:sz w:val="22"/>
        </w:rPr>
        <w:t>4</w:t>
      </w:r>
      <w:r w:rsidR="00735187" w:rsidRPr="00735187">
        <w:rPr>
          <w:rFonts w:ascii="Calibri" w:hAnsi="Calibri" w:cs="Calibri"/>
          <w:sz w:val="22"/>
        </w:rPr>
        <w:t>)</w:t>
      </w:r>
      <w:r w:rsidR="000221DA" w:rsidRPr="00AA7D88">
        <w:rPr>
          <w:rFonts w:asciiTheme="majorHAnsi" w:hAnsiTheme="majorHAnsi" w:cstheme="majorHAnsi"/>
          <w:color w:val="000000" w:themeColor="text1"/>
          <w:sz w:val="22"/>
          <w:szCs w:val="22"/>
        </w:rPr>
        <w:t>, suggesting that the establishment of</w:t>
      </w:r>
      <w:r w:rsidR="00CC59F7" w:rsidRPr="00AA7D88">
        <w:rPr>
          <w:rFonts w:asciiTheme="majorHAnsi" w:hAnsiTheme="majorHAnsi" w:cstheme="majorHAnsi"/>
          <w:color w:val="000000" w:themeColor="text1"/>
          <w:sz w:val="22"/>
          <w:szCs w:val="22"/>
        </w:rPr>
        <w:t xml:space="preserve"> </w:t>
      </w:r>
      <w:r w:rsidR="000221DA" w:rsidRPr="00AA7D88">
        <w:rPr>
          <w:rFonts w:asciiTheme="majorHAnsi" w:hAnsiTheme="majorHAnsi" w:cstheme="majorHAnsi"/>
          <w:color w:val="000000" w:themeColor="text1"/>
          <w:sz w:val="22"/>
          <w:szCs w:val="22"/>
        </w:rPr>
        <w:t xml:space="preserve">National </w:t>
      </w:r>
      <w:r w:rsidR="00CC59F7" w:rsidRPr="00AA7D88">
        <w:rPr>
          <w:rFonts w:asciiTheme="majorHAnsi" w:hAnsiTheme="majorHAnsi" w:cstheme="majorHAnsi"/>
          <w:color w:val="000000" w:themeColor="text1"/>
          <w:sz w:val="22"/>
          <w:szCs w:val="22"/>
        </w:rPr>
        <w:t xml:space="preserve">Children’s </w:t>
      </w:r>
      <w:r w:rsidR="000221DA" w:rsidRPr="00AA7D88">
        <w:rPr>
          <w:rFonts w:asciiTheme="majorHAnsi" w:hAnsiTheme="majorHAnsi" w:cstheme="majorHAnsi"/>
          <w:color w:val="000000" w:themeColor="text1"/>
          <w:sz w:val="22"/>
          <w:szCs w:val="22"/>
        </w:rPr>
        <w:t>PCD Diagnostic</w:t>
      </w:r>
      <w:r w:rsidR="00EF2693" w:rsidRPr="00AA7D88">
        <w:rPr>
          <w:rFonts w:asciiTheme="majorHAnsi" w:hAnsiTheme="majorHAnsi" w:cstheme="majorHAnsi"/>
          <w:color w:val="000000" w:themeColor="text1"/>
          <w:sz w:val="22"/>
          <w:szCs w:val="22"/>
        </w:rPr>
        <w:t xml:space="preserve"> </w:t>
      </w:r>
      <w:r w:rsidR="0079637C" w:rsidRPr="00AA7D88">
        <w:rPr>
          <w:rFonts w:asciiTheme="majorHAnsi" w:hAnsiTheme="majorHAnsi" w:cstheme="majorHAnsi"/>
          <w:color w:val="000000" w:themeColor="text1"/>
          <w:sz w:val="22"/>
          <w:szCs w:val="22"/>
        </w:rPr>
        <w:t>S</w:t>
      </w:r>
      <w:r w:rsidR="00EF2693" w:rsidRPr="00AA7D88">
        <w:rPr>
          <w:rFonts w:asciiTheme="majorHAnsi" w:hAnsiTheme="majorHAnsi" w:cstheme="majorHAnsi"/>
          <w:color w:val="000000" w:themeColor="text1"/>
          <w:sz w:val="22"/>
          <w:szCs w:val="22"/>
        </w:rPr>
        <w:t>ervice in 2006</w:t>
      </w:r>
      <w:r w:rsidR="000221DA" w:rsidRPr="00AA7D88">
        <w:rPr>
          <w:rFonts w:asciiTheme="majorHAnsi" w:hAnsiTheme="majorHAnsi" w:cstheme="majorHAnsi"/>
          <w:color w:val="000000" w:themeColor="text1"/>
          <w:sz w:val="22"/>
          <w:szCs w:val="22"/>
        </w:rPr>
        <w:t xml:space="preserve"> and Management Service</w:t>
      </w:r>
      <w:r w:rsidR="00EF2693" w:rsidRPr="00AA7D88">
        <w:rPr>
          <w:rFonts w:asciiTheme="majorHAnsi" w:hAnsiTheme="majorHAnsi" w:cstheme="majorHAnsi"/>
          <w:color w:val="000000" w:themeColor="text1"/>
          <w:sz w:val="22"/>
          <w:szCs w:val="22"/>
        </w:rPr>
        <w:t xml:space="preserve"> in 2012</w:t>
      </w:r>
      <w:r w:rsidR="000221DA" w:rsidRPr="00AA7D88">
        <w:rPr>
          <w:rFonts w:asciiTheme="majorHAnsi" w:hAnsiTheme="majorHAnsi" w:cstheme="majorHAnsi"/>
          <w:color w:val="000000" w:themeColor="text1"/>
          <w:sz w:val="22"/>
          <w:szCs w:val="22"/>
        </w:rPr>
        <w:t xml:space="preserve"> </w:t>
      </w:r>
      <w:r w:rsidR="00FD1107" w:rsidRPr="00AA7D88">
        <w:rPr>
          <w:rFonts w:asciiTheme="majorHAnsi" w:hAnsiTheme="majorHAnsi" w:cstheme="majorHAnsi"/>
          <w:color w:val="000000" w:themeColor="text1"/>
          <w:sz w:val="22"/>
          <w:szCs w:val="22"/>
        </w:rPr>
        <w:t xml:space="preserve">might have raised awareness of this rare disease among paediatricians. </w:t>
      </w:r>
      <w:r w:rsidR="00597CF1" w:rsidRPr="00AA7D88">
        <w:rPr>
          <w:rFonts w:asciiTheme="majorHAnsi" w:hAnsiTheme="majorHAnsi" w:cstheme="majorHAnsi"/>
          <w:color w:val="000000" w:themeColor="text1"/>
          <w:sz w:val="22"/>
          <w:szCs w:val="22"/>
        </w:rPr>
        <w:t>However, n</w:t>
      </w:r>
      <w:r w:rsidR="002C5F91" w:rsidRPr="00AA7D88">
        <w:rPr>
          <w:rFonts w:asciiTheme="majorHAnsi" w:hAnsiTheme="majorHAnsi" w:cstheme="majorHAnsi"/>
          <w:color w:val="000000" w:themeColor="text1"/>
          <w:sz w:val="22"/>
          <w:szCs w:val="22"/>
        </w:rPr>
        <w:t>ewborn screening for CF was introduced in England in 2007</w:t>
      </w:r>
      <w:r w:rsidR="00597CF1" w:rsidRPr="00AA7D88">
        <w:rPr>
          <w:rFonts w:asciiTheme="majorHAnsi" w:hAnsiTheme="majorHAnsi" w:cstheme="majorHAnsi"/>
          <w:color w:val="000000" w:themeColor="text1"/>
          <w:sz w:val="22"/>
          <w:szCs w:val="22"/>
        </w:rPr>
        <w:t xml:space="preserve"> meaning that </w:t>
      </w:r>
      <w:r w:rsidR="002C5F91" w:rsidRPr="00AA7D88">
        <w:rPr>
          <w:rFonts w:asciiTheme="majorHAnsi" w:hAnsiTheme="majorHAnsi" w:cstheme="majorHAnsi"/>
          <w:color w:val="000000" w:themeColor="text1"/>
          <w:sz w:val="22"/>
          <w:szCs w:val="22"/>
        </w:rPr>
        <w:t xml:space="preserve">CF </w:t>
      </w:r>
      <w:r w:rsidR="0079637C" w:rsidRPr="00AA7D88">
        <w:rPr>
          <w:rFonts w:asciiTheme="majorHAnsi" w:hAnsiTheme="majorHAnsi" w:cstheme="majorHAnsi"/>
          <w:color w:val="000000" w:themeColor="text1"/>
          <w:sz w:val="22"/>
          <w:szCs w:val="22"/>
        </w:rPr>
        <w:t>i</w:t>
      </w:r>
      <w:r w:rsidR="002C5F91" w:rsidRPr="00AA7D88">
        <w:rPr>
          <w:rFonts w:asciiTheme="majorHAnsi" w:hAnsiTheme="majorHAnsi" w:cstheme="majorHAnsi"/>
          <w:color w:val="000000" w:themeColor="text1"/>
          <w:sz w:val="22"/>
          <w:szCs w:val="22"/>
        </w:rPr>
        <w:t xml:space="preserve">s </w:t>
      </w:r>
      <w:r w:rsidR="00597CF1" w:rsidRPr="00AA7D88">
        <w:rPr>
          <w:rFonts w:asciiTheme="majorHAnsi" w:hAnsiTheme="majorHAnsi" w:cstheme="majorHAnsi"/>
          <w:color w:val="000000" w:themeColor="text1"/>
          <w:sz w:val="22"/>
          <w:szCs w:val="22"/>
        </w:rPr>
        <w:t>generally</w:t>
      </w:r>
      <w:r w:rsidR="00FD1107" w:rsidRPr="00AA7D88">
        <w:rPr>
          <w:rFonts w:asciiTheme="majorHAnsi" w:hAnsiTheme="majorHAnsi" w:cstheme="majorHAnsi"/>
          <w:color w:val="000000" w:themeColor="text1"/>
          <w:sz w:val="22"/>
          <w:szCs w:val="22"/>
        </w:rPr>
        <w:t xml:space="preserve"> diagnosed</w:t>
      </w:r>
      <w:r w:rsidR="00A93639" w:rsidRPr="00AA7D88">
        <w:rPr>
          <w:rFonts w:asciiTheme="majorHAnsi" w:hAnsiTheme="majorHAnsi" w:cstheme="majorHAnsi"/>
          <w:color w:val="000000" w:themeColor="text1"/>
          <w:sz w:val="22"/>
          <w:szCs w:val="22"/>
        </w:rPr>
        <w:t xml:space="preserve"> in</w:t>
      </w:r>
      <w:r w:rsidR="00FD1107" w:rsidRPr="00AA7D88">
        <w:rPr>
          <w:rFonts w:asciiTheme="majorHAnsi" w:hAnsiTheme="majorHAnsi" w:cstheme="majorHAnsi"/>
          <w:color w:val="000000" w:themeColor="text1"/>
          <w:sz w:val="22"/>
          <w:szCs w:val="22"/>
        </w:rPr>
        <w:t xml:space="preserve"> infancy</w:t>
      </w:r>
      <w:r w:rsidR="00274BD4" w:rsidRPr="00AA7D88">
        <w:rPr>
          <w:rFonts w:asciiTheme="majorHAnsi" w:hAnsiTheme="majorHAnsi" w:cstheme="majorHAnsi"/>
          <w:color w:val="000000" w:themeColor="text1"/>
          <w:sz w:val="22"/>
          <w:szCs w:val="22"/>
        </w:rPr>
        <w:t>,</w:t>
      </w:r>
      <w:r w:rsidR="00FD1107" w:rsidRPr="00AA7D88">
        <w:rPr>
          <w:rFonts w:asciiTheme="majorHAnsi" w:hAnsiTheme="majorHAnsi" w:cstheme="majorHAnsi"/>
          <w:color w:val="000000" w:themeColor="text1"/>
          <w:sz w:val="22"/>
          <w:szCs w:val="22"/>
        </w:rPr>
        <w:t xml:space="preserve"> allowing </w:t>
      </w:r>
      <w:r w:rsidR="0055031E" w:rsidRPr="00AA7D88">
        <w:rPr>
          <w:rFonts w:asciiTheme="majorHAnsi" w:hAnsiTheme="majorHAnsi" w:cstheme="majorHAnsi"/>
          <w:color w:val="000000" w:themeColor="text1"/>
          <w:sz w:val="22"/>
          <w:szCs w:val="22"/>
        </w:rPr>
        <w:t xml:space="preserve">for </w:t>
      </w:r>
      <w:r w:rsidR="002443F2" w:rsidRPr="00AA7D88">
        <w:rPr>
          <w:rFonts w:asciiTheme="majorHAnsi" w:hAnsiTheme="majorHAnsi" w:cstheme="majorHAnsi"/>
          <w:color w:val="000000" w:themeColor="text1"/>
          <w:sz w:val="22"/>
          <w:szCs w:val="22"/>
        </w:rPr>
        <w:t xml:space="preserve">early initiation of </w:t>
      </w:r>
      <w:r w:rsidR="00FD1107" w:rsidRPr="00AA7D88">
        <w:rPr>
          <w:rFonts w:asciiTheme="majorHAnsi" w:hAnsiTheme="majorHAnsi" w:cstheme="majorHAnsi"/>
          <w:color w:val="000000" w:themeColor="text1"/>
          <w:sz w:val="22"/>
          <w:szCs w:val="22"/>
        </w:rPr>
        <w:t>treatment</w:t>
      </w:r>
      <w:r w:rsidR="000221DA" w:rsidRPr="00AA7D88">
        <w:rPr>
          <w:rFonts w:asciiTheme="majorHAnsi" w:hAnsiTheme="majorHAnsi" w:cstheme="majorHAnsi"/>
          <w:color w:val="000000" w:themeColor="text1"/>
          <w:sz w:val="22"/>
          <w:szCs w:val="22"/>
        </w:rPr>
        <w:t xml:space="preserve">. </w:t>
      </w:r>
      <w:r w:rsidR="002443F2" w:rsidRPr="00AA7D88">
        <w:rPr>
          <w:rFonts w:asciiTheme="majorHAnsi" w:hAnsiTheme="majorHAnsi" w:cstheme="majorHAnsi"/>
          <w:color w:val="000000" w:themeColor="text1"/>
          <w:sz w:val="22"/>
          <w:szCs w:val="22"/>
        </w:rPr>
        <w:t>W</w:t>
      </w:r>
      <w:r w:rsidR="00BE72F1" w:rsidRPr="00AA7D88">
        <w:rPr>
          <w:rFonts w:asciiTheme="majorHAnsi" w:hAnsiTheme="majorHAnsi" w:cstheme="majorHAnsi"/>
          <w:color w:val="000000" w:themeColor="text1"/>
          <w:sz w:val="22"/>
          <w:szCs w:val="22"/>
        </w:rPr>
        <w:t>hen</w:t>
      </w:r>
      <w:r w:rsidR="00BE72F1" w:rsidRPr="00AA7D88">
        <w:rPr>
          <w:rFonts w:asciiTheme="majorHAnsi" w:hAnsiTheme="majorHAnsi" w:cstheme="majorHAnsi"/>
          <w:color w:val="000000"/>
          <w:sz w:val="22"/>
          <w:szCs w:val="22"/>
        </w:rPr>
        <w:t xml:space="preserve"> </w:t>
      </w:r>
      <w:r w:rsidR="0055031E" w:rsidRPr="00AA7D88">
        <w:rPr>
          <w:rFonts w:asciiTheme="majorHAnsi" w:hAnsiTheme="majorHAnsi" w:cstheme="majorHAnsi"/>
          <w:color w:val="000000"/>
          <w:sz w:val="22"/>
          <w:szCs w:val="22"/>
        </w:rPr>
        <w:t xml:space="preserve">comparing the spirometry data of our PCD children to those with CF, </w:t>
      </w:r>
      <w:r w:rsidR="002443F2" w:rsidRPr="00AA7D88">
        <w:rPr>
          <w:rFonts w:asciiTheme="majorHAnsi" w:hAnsiTheme="majorHAnsi" w:cstheme="majorHAnsi"/>
          <w:color w:val="000000"/>
          <w:sz w:val="22"/>
          <w:szCs w:val="22"/>
        </w:rPr>
        <w:t>the largest</w:t>
      </w:r>
      <w:r w:rsidR="0055031E" w:rsidRPr="00AA7D88">
        <w:rPr>
          <w:rFonts w:asciiTheme="majorHAnsi" w:hAnsiTheme="majorHAnsi" w:cstheme="majorHAnsi"/>
          <w:color w:val="000000"/>
          <w:sz w:val="22"/>
          <w:szCs w:val="22"/>
        </w:rPr>
        <w:t xml:space="preserve"> differences in me</w:t>
      </w:r>
      <w:r w:rsidR="00274BD4" w:rsidRPr="00AA7D88">
        <w:rPr>
          <w:rFonts w:asciiTheme="majorHAnsi" w:hAnsiTheme="majorHAnsi" w:cstheme="majorHAnsi"/>
          <w:color w:val="000000"/>
          <w:sz w:val="22"/>
          <w:szCs w:val="22"/>
        </w:rPr>
        <w:t>an</w:t>
      </w:r>
      <w:r w:rsidR="0055031E" w:rsidRPr="00AA7D88">
        <w:rPr>
          <w:rFonts w:asciiTheme="majorHAnsi" w:hAnsiTheme="majorHAnsi" w:cstheme="majorHAnsi"/>
          <w:color w:val="000000"/>
          <w:sz w:val="22"/>
          <w:szCs w:val="22"/>
        </w:rPr>
        <w:t xml:space="preserve"> FEV</w:t>
      </w:r>
      <w:r w:rsidR="0055031E" w:rsidRPr="00AA7D88">
        <w:rPr>
          <w:rFonts w:asciiTheme="majorHAnsi" w:hAnsiTheme="majorHAnsi" w:cstheme="majorHAnsi"/>
          <w:color w:val="000000"/>
          <w:sz w:val="22"/>
          <w:szCs w:val="22"/>
          <w:vertAlign w:val="subscript"/>
        </w:rPr>
        <w:t>1</w:t>
      </w:r>
      <w:r w:rsidR="0055031E" w:rsidRPr="00AA7D88">
        <w:rPr>
          <w:rFonts w:asciiTheme="majorHAnsi" w:hAnsiTheme="majorHAnsi" w:cstheme="majorHAnsi"/>
          <w:color w:val="000000"/>
          <w:sz w:val="22"/>
          <w:szCs w:val="22"/>
        </w:rPr>
        <w:t xml:space="preserve"> </w:t>
      </w:r>
      <w:r w:rsidR="002443F2" w:rsidRPr="00AA7D88">
        <w:rPr>
          <w:rFonts w:asciiTheme="majorHAnsi" w:hAnsiTheme="majorHAnsi" w:cstheme="majorHAnsi"/>
          <w:color w:val="000000" w:themeColor="text1"/>
          <w:sz w:val="22"/>
          <w:szCs w:val="22"/>
        </w:rPr>
        <w:t>were</w:t>
      </w:r>
      <w:r w:rsidR="0055031E" w:rsidRPr="00AA7D88">
        <w:rPr>
          <w:rFonts w:asciiTheme="majorHAnsi" w:hAnsiTheme="majorHAnsi" w:cstheme="majorHAnsi"/>
          <w:color w:val="000000" w:themeColor="text1"/>
          <w:sz w:val="22"/>
          <w:szCs w:val="22"/>
        </w:rPr>
        <w:t xml:space="preserve"> </w:t>
      </w:r>
      <w:r w:rsidR="0055031E" w:rsidRPr="00AA7D88">
        <w:rPr>
          <w:rFonts w:asciiTheme="majorHAnsi" w:hAnsiTheme="majorHAnsi" w:cstheme="majorHAnsi"/>
          <w:color w:val="000000"/>
          <w:sz w:val="22"/>
          <w:szCs w:val="22"/>
        </w:rPr>
        <w:t>in younger children</w:t>
      </w:r>
      <w:r w:rsidR="00597CF1" w:rsidRPr="00AA7D88">
        <w:rPr>
          <w:rFonts w:asciiTheme="majorHAnsi" w:hAnsiTheme="majorHAnsi" w:cstheme="majorHAnsi"/>
          <w:color w:val="000000"/>
          <w:sz w:val="22"/>
          <w:szCs w:val="22"/>
        </w:rPr>
        <w:t xml:space="preserve"> (Figure 1b)</w:t>
      </w:r>
      <w:r w:rsidR="0055031E" w:rsidRPr="00AA7D88">
        <w:rPr>
          <w:rFonts w:asciiTheme="majorHAnsi" w:hAnsiTheme="majorHAnsi" w:cstheme="majorHAnsi"/>
          <w:color w:val="000000"/>
          <w:sz w:val="22"/>
          <w:szCs w:val="22"/>
        </w:rPr>
        <w:t xml:space="preserve">. </w:t>
      </w:r>
      <w:r w:rsidR="00702B47" w:rsidRPr="00AA7D88">
        <w:rPr>
          <w:rFonts w:asciiTheme="majorHAnsi" w:hAnsiTheme="majorHAnsi" w:cstheme="majorHAnsi"/>
          <w:color w:val="000000" w:themeColor="text1"/>
          <w:sz w:val="22"/>
          <w:szCs w:val="22"/>
        </w:rPr>
        <w:t>We</w:t>
      </w:r>
      <w:r w:rsidR="002443F2" w:rsidRPr="00AA7D88">
        <w:rPr>
          <w:rFonts w:asciiTheme="majorHAnsi" w:hAnsiTheme="majorHAnsi" w:cstheme="majorHAnsi"/>
          <w:color w:val="000000" w:themeColor="text1"/>
          <w:sz w:val="22"/>
          <w:szCs w:val="22"/>
        </w:rPr>
        <w:t xml:space="preserve"> therefore</w:t>
      </w:r>
      <w:r w:rsidR="00493933" w:rsidRPr="00AA7D88">
        <w:rPr>
          <w:rFonts w:asciiTheme="majorHAnsi" w:hAnsiTheme="majorHAnsi" w:cstheme="majorHAnsi"/>
          <w:color w:val="000000" w:themeColor="text1"/>
          <w:sz w:val="22"/>
          <w:szCs w:val="22"/>
        </w:rPr>
        <w:t xml:space="preserve"> hypothesis</w:t>
      </w:r>
      <w:r w:rsidR="00702B47" w:rsidRPr="00AA7D88">
        <w:rPr>
          <w:rFonts w:asciiTheme="majorHAnsi" w:hAnsiTheme="majorHAnsi" w:cstheme="majorHAnsi"/>
          <w:color w:val="000000" w:themeColor="text1"/>
          <w:sz w:val="22"/>
          <w:szCs w:val="22"/>
        </w:rPr>
        <w:t>e</w:t>
      </w:r>
      <w:r w:rsidR="00493933" w:rsidRPr="00AA7D88">
        <w:rPr>
          <w:rFonts w:asciiTheme="majorHAnsi" w:hAnsiTheme="majorHAnsi" w:cstheme="majorHAnsi"/>
          <w:color w:val="000000" w:themeColor="text1"/>
          <w:sz w:val="22"/>
          <w:szCs w:val="22"/>
        </w:rPr>
        <w:t xml:space="preserve"> that earl</w:t>
      </w:r>
      <w:r w:rsidR="00CD320A" w:rsidRPr="00AA7D88">
        <w:rPr>
          <w:rFonts w:asciiTheme="majorHAnsi" w:hAnsiTheme="majorHAnsi" w:cstheme="majorHAnsi"/>
          <w:color w:val="000000" w:themeColor="text1"/>
          <w:sz w:val="22"/>
          <w:szCs w:val="22"/>
        </w:rPr>
        <w:t>ier</w:t>
      </w:r>
      <w:r w:rsidR="00493933" w:rsidRPr="00AA7D88">
        <w:rPr>
          <w:rFonts w:asciiTheme="majorHAnsi" w:hAnsiTheme="majorHAnsi" w:cstheme="majorHAnsi"/>
          <w:color w:val="000000" w:themeColor="text1"/>
          <w:sz w:val="22"/>
          <w:szCs w:val="22"/>
        </w:rPr>
        <w:t xml:space="preserve"> </w:t>
      </w:r>
      <w:r w:rsidR="002443F2" w:rsidRPr="00AA7D88">
        <w:rPr>
          <w:rFonts w:asciiTheme="majorHAnsi" w:hAnsiTheme="majorHAnsi" w:cstheme="majorHAnsi"/>
          <w:color w:val="000000" w:themeColor="text1"/>
          <w:sz w:val="22"/>
          <w:szCs w:val="22"/>
        </w:rPr>
        <w:t>diagnosis and initiation of treatment for</w:t>
      </w:r>
      <w:r w:rsidR="00BE72F1" w:rsidRPr="00AA7D88">
        <w:rPr>
          <w:rFonts w:asciiTheme="majorHAnsi" w:hAnsiTheme="majorHAnsi" w:cstheme="majorHAnsi"/>
          <w:color w:val="000000" w:themeColor="text1"/>
          <w:sz w:val="22"/>
          <w:szCs w:val="22"/>
        </w:rPr>
        <w:t xml:space="preserve"> PCD</w:t>
      </w:r>
      <w:r w:rsidR="00493933" w:rsidRPr="00AA7D88">
        <w:rPr>
          <w:rFonts w:asciiTheme="majorHAnsi" w:hAnsiTheme="majorHAnsi" w:cstheme="majorHAnsi"/>
          <w:color w:val="000000" w:themeColor="text1"/>
          <w:sz w:val="22"/>
          <w:szCs w:val="22"/>
        </w:rPr>
        <w:t xml:space="preserve"> may </w:t>
      </w:r>
      <w:r w:rsidR="0031279F" w:rsidRPr="00AA7D88">
        <w:rPr>
          <w:rFonts w:asciiTheme="majorHAnsi" w:hAnsiTheme="majorHAnsi" w:cstheme="majorHAnsi"/>
          <w:color w:val="000000" w:themeColor="text1"/>
          <w:sz w:val="22"/>
          <w:szCs w:val="22"/>
        </w:rPr>
        <w:t xml:space="preserve">improve </w:t>
      </w:r>
      <w:r w:rsidR="00493933" w:rsidRPr="00AA7D88">
        <w:rPr>
          <w:rFonts w:asciiTheme="majorHAnsi" w:hAnsiTheme="majorHAnsi" w:cstheme="majorHAnsi"/>
          <w:color w:val="000000" w:themeColor="text1"/>
          <w:sz w:val="22"/>
          <w:szCs w:val="22"/>
        </w:rPr>
        <w:t>th</w:t>
      </w:r>
      <w:r w:rsidR="0031279F" w:rsidRPr="00AA7D88">
        <w:rPr>
          <w:rFonts w:asciiTheme="majorHAnsi" w:hAnsiTheme="majorHAnsi" w:cstheme="majorHAnsi"/>
          <w:color w:val="000000" w:themeColor="text1"/>
          <w:sz w:val="22"/>
          <w:szCs w:val="22"/>
        </w:rPr>
        <w:t>e</w:t>
      </w:r>
      <w:r w:rsidR="00493933" w:rsidRPr="00AA7D88">
        <w:rPr>
          <w:rFonts w:asciiTheme="majorHAnsi" w:hAnsiTheme="majorHAnsi" w:cstheme="majorHAnsi"/>
          <w:color w:val="000000" w:themeColor="text1"/>
          <w:sz w:val="22"/>
          <w:szCs w:val="22"/>
        </w:rPr>
        <w:t xml:space="preserve"> </w:t>
      </w:r>
      <w:r w:rsidR="0031279F" w:rsidRPr="00AA7D88">
        <w:rPr>
          <w:rFonts w:asciiTheme="majorHAnsi" w:hAnsiTheme="majorHAnsi" w:cstheme="majorHAnsi"/>
          <w:color w:val="000000" w:themeColor="text1"/>
          <w:sz w:val="22"/>
          <w:szCs w:val="22"/>
        </w:rPr>
        <w:t>low values of</w:t>
      </w:r>
      <w:r w:rsidR="00493933" w:rsidRPr="00AA7D88">
        <w:rPr>
          <w:rFonts w:asciiTheme="majorHAnsi" w:hAnsiTheme="majorHAnsi" w:cstheme="majorHAnsi"/>
          <w:color w:val="000000" w:themeColor="text1"/>
          <w:sz w:val="22"/>
          <w:szCs w:val="22"/>
        </w:rPr>
        <w:t xml:space="preserve"> FEV</w:t>
      </w:r>
      <w:r w:rsidR="00493933" w:rsidRPr="00AA7D88">
        <w:rPr>
          <w:rFonts w:asciiTheme="majorHAnsi" w:hAnsiTheme="majorHAnsi" w:cstheme="majorHAnsi"/>
          <w:color w:val="000000" w:themeColor="text1"/>
          <w:sz w:val="22"/>
          <w:szCs w:val="22"/>
          <w:vertAlign w:val="subscript"/>
        </w:rPr>
        <w:t>1</w:t>
      </w:r>
      <w:r w:rsidR="00CD320A" w:rsidRPr="00AA7D88">
        <w:rPr>
          <w:rFonts w:asciiTheme="majorHAnsi" w:hAnsiTheme="majorHAnsi" w:cstheme="majorHAnsi"/>
          <w:color w:val="000000" w:themeColor="text1"/>
          <w:sz w:val="22"/>
          <w:szCs w:val="22"/>
          <w:vertAlign w:val="subscript"/>
        </w:rPr>
        <w:t xml:space="preserve"> </w:t>
      </w:r>
      <w:r w:rsidR="00CD320A" w:rsidRPr="00AA7D88">
        <w:rPr>
          <w:rFonts w:asciiTheme="majorHAnsi" w:hAnsiTheme="majorHAnsi" w:cstheme="majorHAnsi"/>
          <w:color w:val="000000" w:themeColor="text1"/>
          <w:sz w:val="22"/>
          <w:szCs w:val="22"/>
        </w:rPr>
        <w:t>observed</w:t>
      </w:r>
      <w:r w:rsidR="0031279F" w:rsidRPr="00AA7D88">
        <w:rPr>
          <w:rFonts w:asciiTheme="majorHAnsi" w:hAnsiTheme="majorHAnsi" w:cstheme="majorHAnsi"/>
          <w:color w:val="000000" w:themeColor="text1"/>
          <w:sz w:val="22"/>
          <w:szCs w:val="22"/>
        </w:rPr>
        <w:t xml:space="preserve"> in younger children</w:t>
      </w:r>
      <w:r w:rsidR="009E2D37" w:rsidRPr="00AA7D88">
        <w:rPr>
          <w:rFonts w:asciiTheme="majorHAnsi" w:hAnsiTheme="majorHAnsi" w:cstheme="majorHAnsi"/>
          <w:color w:val="000000" w:themeColor="text1"/>
          <w:sz w:val="22"/>
          <w:szCs w:val="22"/>
        </w:rPr>
        <w:t>.</w:t>
      </w:r>
    </w:p>
    <w:p w14:paraId="76E44A91" w14:textId="2B110E00" w:rsidR="00421FE2" w:rsidRPr="00AA7D88" w:rsidRDefault="002F3CD5" w:rsidP="001C6EA8">
      <w:pPr>
        <w:pStyle w:val="NormalWeb"/>
        <w:spacing w:before="0" w:beforeAutospacing="0" w:after="120" w:afterAutospacing="0" w:line="480" w:lineRule="auto"/>
        <w:rPr>
          <w:rFonts w:asciiTheme="majorHAnsi" w:hAnsiTheme="majorHAnsi" w:cstheme="majorHAnsi"/>
          <w:sz w:val="22"/>
          <w:szCs w:val="22"/>
        </w:rPr>
      </w:pPr>
      <w:r w:rsidRPr="00AA7D88">
        <w:rPr>
          <w:rFonts w:asciiTheme="majorHAnsi" w:hAnsiTheme="majorHAnsi" w:cstheme="majorHAnsi"/>
          <w:i/>
          <w:sz w:val="22"/>
          <w:szCs w:val="22"/>
        </w:rPr>
        <w:t>Haemophilus influenzae</w:t>
      </w:r>
      <w:r w:rsidRPr="00AA7D88">
        <w:rPr>
          <w:rFonts w:asciiTheme="majorHAnsi" w:hAnsiTheme="majorHAnsi" w:cstheme="majorHAnsi"/>
          <w:sz w:val="22"/>
          <w:szCs w:val="22"/>
        </w:rPr>
        <w:t xml:space="preserve">, as reported in </w:t>
      </w:r>
      <w:r w:rsidR="00421FE2" w:rsidRPr="00AA7D88">
        <w:rPr>
          <w:rFonts w:asciiTheme="majorHAnsi" w:hAnsiTheme="majorHAnsi" w:cstheme="majorHAnsi"/>
          <w:sz w:val="22"/>
          <w:szCs w:val="22"/>
        </w:rPr>
        <w:t xml:space="preserve">previous </w:t>
      </w:r>
      <w:r w:rsidRPr="00AA7D88">
        <w:rPr>
          <w:rFonts w:asciiTheme="majorHAnsi" w:hAnsiTheme="majorHAnsi" w:cstheme="majorHAnsi"/>
          <w:sz w:val="22"/>
          <w:szCs w:val="22"/>
        </w:rPr>
        <w:t xml:space="preserve">studies, </w:t>
      </w:r>
      <w:r w:rsidR="00BB6900" w:rsidRPr="00AA7D88">
        <w:rPr>
          <w:rFonts w:asciiTheme="majorHAnsi" w:hAnsiTheme="majorHAnsi" w:cstheme="majorHAnsi"/>
          <w:sz w:val="22"/>
          <w:szCs w:val="22"/>
        </w:rPr>
        <w:t>wa</w:t>
      </w:r>
      <w:r w:rsidR="00214E71" w:rsidRPr="00AA7D88">
        <w:rPr>
          <w:rFonts w:asciiTheme="majorHAnsi" w:hAnsiTheme="majorHAnsi" w:cstheme="majorHAnsi"/>
          <w:sz w:val="22"/>
          <w:szCs w:val="22"/>
        </w:rPr>
        <w:t xml:space="preserve">s the </w:t>
      </w:r>
      <w:r w:rsidR="00015232" w:rsidRPr="00AA7D88">
        <w:rPr>
          <w:rFonts w:asciiTheme="majorHAnsi" w:hAnsiTheme="majorHAnsi" w:cstheme="majorHAnsi"/>
          <w:sz w:val="22"/>
          <w:szCs w:val="22"/>
        </w:rPr>
        <w:t xml:space="preserve">most frequent </w:t>
      </w:r>
      <w:r w:rsidR="00214E71" w:rsidRPr="00AA7D88">
        <w:rPr>
          <w:rFonts w:asciiTheme="majorHAnsi" w:hAnsiTheme="majorHAnsi" w:cstheme="majorHAnsi"/>
          <w:sz w:val="22"/>
          <w:szCs w:val="22"/>
        </w:rPr>
        <w:t>resp</w:t>
      </w:r>
      <w:r w:rsidR="00BF65B8" w:rsidRPr="00AA7D88">
        <w:rPr>
          <w:rFonts w:asciiTheme="majorHAnsi" w:hAnsiTheme="majorHAnsi" w:cstheme="majorHAnsi"/>
          <w:sz w:val="22"/>
          <w:szCs w:val="22"/>
        </w:rPr>
        <w:t>iratory pathogen cultured in</w:t>
      </w:r>
      <w:r w:rsidR="00214E71" w:rsidRPr="00AA7D88">
        <w:rPr>
          <w:rFonts w:asciiTheme="majorHAnsi" w:hAnsiTheme="majorHAnsi" w:cstheme="majorHAnsi"/>
          <w:sz w:val="22"/>
          <w:szCs w:val="22"/>
        </w:rPr>
        <w:t xml:space="preserve"> </w:t>
      </w:r>
      <w:r w:rsidR="00592D9A" w:rsidRPr="00AA7D88">
        <w:rPr>
          <w:rFonts w:asciiTheme="majorHAnsi" w:hAnsiTheme="majorHAnsi" w:cstheme="majorHAnsi"/>
          <w:sz w:val="22"/>
          <w:szCs w:val="22"/>
        </w:rPr>
        <w:t>our</w:t>
      </w:r>
      <w:r w:rsidR="00BE5EA6" w:rsidRPr="00AA7D88">
        <w:rPr>
          <w:rFonts w:asciiTheme="majorHAnsi" w:hAnsiTheme="majorHAnsi" w:cstheme="majorHAnsi"/>
          <w:sz w:val="22"/>
          <w:szCs w:val="22"/>
        </w:rPr>
        <w:t xml:space="preserve"> patients</w:t>
      </w:r>
      <w:r w:rsidR="00702B47" w:rsidRPr="00AA7D88">
        <w:rPr>
          <w:rFonts w:asciiTheme="majorHAnsi" w:hAnsiTheme="majorHAnsi" w:cstheme="majorHAnsi"/>
          <w:sz w:val="22"/>
          <w:szCs w:val="22"/>
        </w:rPr>
        <w:t xml:space="preserve"> </w:t>
      </w:r>
      <w:r w:rsidR="00735187" w:rsidRPr="00735187">
        <w:rPr>
          <w:rFonts w:ascii="Calibri" w:hAnsi="Calibri" w:cs="Calibri"/>
          <w:sz w:val="22"/>
        </w:rPr>
        <w:t>(2</w:t>
      </w:r>
      <w:r w:rsidR="00AC2755">
        <w:rPr>
          <w:rFonts w:ascii="Calibri" w:hAnsi="Calibri" w:cs="Calibri"/>
          <w:sz w:val="22"/>
        </w:rPr>
        <w:t>5</w:t>
      </w:r>
      <w:r w:rsidR="00BC6093">
        <w:rPr>
          <w:rFonts w:ascii="Calibri" w:hAnsi="Calibri" w:cs="Calibri"/>
          <w:sz w:val="22"/>
        </w:rPr>
        <w:t>, 26</w:t>
      </w:r>
      <w:r w:rsidR="00735187" w:rsidRPr="00735187">
        <w:rPr>
          <w:rFonts w:ascii="Calibri" w:hAnsi="Calibri" w:cs="Calibri"/>
          <w:sz w:val="22"/>
        </w:rPr>
        <w:t>)</w:t>
      </w:r>
      <w:r w:rsidR="005C0A47" w:rsidRPr="00AA7D88">
        <w:rPr>
          <w:rFonts w:asciiTheme="majorHAnsi" w:hAnsiTheme="majorHAnsi" w:cstheme="majorHAnsi"/>
          <w:sz w:val="22"/>
          <w:szCs w:val="22"/>
        </w:rPr>
        <w:t xml:space="preserve">. </w:t>
      </w:r>
      <w:r w:rsidR="00464B5F" w:rsidRPr="00AA7D88">
        <w:rPr>
          <w:rFonts w:asciiTheme="majorHAnsi" w:hAnsiTheme="majorHAnsi" w:cstheme="majorHAnsi"/>
          <w:sz w:val="22"/>
          <w:szCs w:val="22"/>
        </w:rPr>
        <w:t>Future studies clarifying t</w:t>
      </w:r>
      <w:r w:rsidR="00702B47" w:rsidRPr="00AA7D88">
        <w:rPr>
          <w:rFonts w:asciiTheme="majorHAnsi" w:hAnsiTheme="majorHAnsi" w:cstheme="majorHAnsi"/>
          <w:sz w:val="22"/>
          <w:szCs w:val="22"/>
        </w:rPr>
        <w:t xml:space="preserve">he impact of chronic colonisation with this and other pathogens such as </w:t>
      </w:r>
      <w:r w:rsidR="00702B47" w:rsidRPr="00AA7D88">
        <w:rPr>
          <w:rFonts w:asciiTheme="majorHAnsi" w:hAnsiTheme="majorHAnsi" w:cstheme="majorHAnsi"/>
          <w:i/>
          <w:sz w:val="22"/>
          <w:szCs w:val="22"/>
        </w:rPr>
        <w:t>Pseudomonas aeruginosa</w:t>
      </w:r>
      <w:r w:rsidR="00702B47" w:rsidRPr="00AA7D88">
        <w:rPr>
          <w:rFonts w:asciiTheme="majorHAnsi" w:hAnsiTheme="majorHAnsi" w:cstheme="majorHAnsi"/>
          <w:sz w:val="22"/>
          <w:szCs w:val="22"/>
        </w:rPr>
        <w:t xml:space="preserve"> in PCD patients</w:t>
      </w:r>
      <w:r w:rsidR="00464B5F" w:rsidRPr="00AA7D88">
        <w:rPr>
          <w:rFonts w:asciiTheme="majorHAnsi" w:hAnsiTheme="majorHAnsi" w:cstheme="majorHAnsi"/>
          <w:sz w:val="22"/>
          <w:szCs w:val="22"/>
        </w:rPr>
        <w:t xml:space="preserve"> are </w:t>
      </w:r>
      <w:r w:rsidR="00B078DB" w:rsidRPr="00AA7D88">
        <w:rPr>
          <w:rFonts w:asciiTheme="majorHAnsi" w:hAnsiTheme="majorHAnsi" w:cstheme="majorHAnsi"/>
          <w:sz w:val="22"/>
          <w:szCs w:val="22"/>
        </w:rPr>
        <w:t>needed</w:t>
      </w:r>
      <w:r w:rsidR="00702B47" w:rsidRPr="00AA7D88">
        <w:rPr>
          <w:rFonts w:asciiTheme="majorHAnsi" w:hAnsiTheme="majorHAnsi" w:cstheme="majorHAnsi"/>
          <w:sz w:val="22"/>
          <w:szCs w:val="22"/>
        </w:rPr>
        <w:t xml:space="preserve">. </w:t>
      </w:r>
      <w:r w:rsidR="00592D9A" w:rsidRPr="00AA7D88">
        <w:rPr>
          <w:rFonts w:asciiTheme="majorHAnsi" w:hAnsiTheme="majorHAnsi" w:cstheme="majorHAnsi"/>
          <w:sz w:val="22"/>
          <w:szCs w:val="22"/>
        </w:rPr>
        <w:t>Whilst these are cross</w:t>
      </w:r>
      <w:r w:rsidR="00587B16" w:rsidRPr="00AA7D88">
        <w:rPr>
          <w:rFonts w:asciiTheme="majorHAnsi" w:hAnsiTheme="majorHAnsi" w:cstheme="majorHAnsi"/>
          <w:sz w:val="22"/>
          <w:szCs w:val="22"/>
        </w:rPr>
        <w:t>-</w:t>
      </w:r>
      <w:r w:rsidR="00592D9A" w:rsidRPr="00AA7D88">
        <w:rPr>
          <w:rFonts w:asciiTheme="majorHAnsi" w:hAnsiTheme="majorHAnsi" w:cstheme="majorHAnsi"/>
          <w:sz w:val="22"/>
          <w:szCs w:val="22"/>
        </w:rPr>
        <w:t xml:space="preserve">sectional data, </w:t>
      </w:r>
      <w:r w:rsidR="006412B6" w:rsidRPr="00AA7D88">
        <w:rPr>
          <w:rFonts w:asciiTheme="majorHAnsi" w:hAnsiTheme="majorHAnsi" w:cstheme="majorHAnsi"/>
          <w:sz w:val="22"/>
          <w:szCs w:val="22"/>
        </w:rPr>
        <w:t>we found</w:t>
      </w:r>
      <w:r w:rsidR="00592D9A" w:rsidRPr="00AA7D88">
        <w:rPr>
          <w:rFonts w:asciiTheme="majorHAnsi" w:hAnsiTheme="majorHAnsi" w:cstheme="majorHAnsi"/>
          <w:sz w:val="22"/>
          <w:szCs w:val="22"/>
        </w:rPr>
        <w:t xml:space="preserve"> </w:t>
      </w:r>
      <w:r w:rsidR="00214E71" w:rsidRPr="00AA7D88">
        <w:rPr>
          <w:rFonts w:asciiTheme="majorHAnsi" w:hAnsiTheme="majorHAnsi" w:cstheme="majorHAnsi"/>
          <w:sz w:val="22"/>
          <w:szCs w:val="22"/>
        </w:rPr>
        <w:t xml:space="preserve">no association between any </w:t>
      </w:r>
      <w:r w:rsidR="00CD320A" w:rsidRPr="00AA7D88">
        <w:rPr>
          <w:rFonts w:asciiTheme="majorHAnsi" w:hAnsiTheme="majorHAnsi" w:cstheme="majorHAnsi"/>
          <w:sz w:val="22"/>
          <w:szCs w:val="22"/>
        </w:rPr>
        <w:t xml:space="preserve">cultured </w:t>
      </w:r>
      <w:r w:rsidR="00214E71" w:rsidRPr="00AA7D88">
        <w:rPr>
          <w:rFonts w:asciiTheme="majorHAnsi" w:hAnsiTheme="majorHAnsi" w:cstheme="majorHAnsi"/>
          <w:sz w:val="22"/>
          <w:szCs w:val="22"/>
        </w:rPr>
        <w:t>pathogen and FEV</w:t>
      </w:r>
      <w:r w:rsidR="00214E71" w:rsidRPr="00AA7D88">
        <w:rPr>
          <w:rFonts w:asciiTheme="majorHAnsi" w:hAnsiTheme="majorHAnsi" w:cstheme="majorHAnsi"/>
          <w:sz w:val="22"/>
          <w:szCs w:val="22"/>
          <w:vertAlign w:val="subscript"/>
        </w:rPr>
        <w:t>1</w:t>
      </w:r>
      <w:r w:rsidR="00592D9A" w:rsidRPr="00AA7D88">
        <w:rPr>
          <w:rFonts w:asciiTheme="majorHAnsi" w:hAnsiTheme="majorHAnsi" w:cstheme="majorHAnsi"/>
          <w:sz w:val="22"/>
          <w:szCs w:val="22"/>
        </w:rPr>
        <w:t xml:space="preserve">. </w:t>
      </w:r>
      <w:r w:rsidR="00E909CE" w:rsidRPr="00AA7D88">
        <w:rPr>
          <w:rFonts w:asciiTheme="majorHAnsi" w:hAnsiTheme="majorHAnsi" w:cstheme="majorHAnsi"/>
          <w:sz w:val="22"/>
          <w:szCs w:val="22"/>
        </w:rPr>
        <w:t>W</w:t>
      </w:r>
      <w:r w:rsidR="00BB6900" w:rsidRPr="00AA7D88">
        <w:rPr>
          <w:rFonts w:asciiTheme="majorHAnsi" w:hAnsiTheme="majorHAnsi" w:cstheme="majorHAnsi"/>
          <w:sz w:val="22"/>
          <w:szCs w:val="22"/>
        </w:rPr>
        <w:t>ell-powered longitudinal studies</w:t>
      </w:r>
      <w:r w:rsidR="00214E71" w:rsidRPr="00AA7D88">
        <w:rPr>
          <w:rFonts w:asciiTheme="majorHAnsi" w:hAnsiTheme="majorHAnsi" w:cstheme="majorHAnsi"/>
          <w:sz w:val="22"/>
          <w:szCs w:val="22"/>
        </w:rPr>
        <w:t xml:space="preserve"> </w:t>
      </w:r>
      <w:r w:rsidR="00592D9A" w:rsidRPr="00AA7D88">
        <w:rPr>
          <w:rFonts w:asciiTheme="majorHAnsi" w:hAnsiTheme="majorHAnsi" w:cstheme="majorHAnsi"/>
          <w:sz w:val="22"/>
          <w:szCs w:val="22"/>
        </w:rPr>
        <w:t>will be</w:t>
      </w:r>
      <w:r w:rsidR="00BB6900" w:rsidRPr="00AA7D88">
        <w:rPr>
          <w:rFonts w:asciiTheme="majorHAnsi" w:hAnsiTheme="majorHAnsi" w:cstheme="majorHAnsi"/>
          <w:sz w:val="22"/>
          <w:szCs w:val="22"/>
        </w:rPr>
        <w:t xml:space="preserve"> required </w:t>
      </w:r>
      <w:r w:rsidR="00592D9A" w:rsidRPr="00AA7D88">
        <w:rPr>
          <w:rFonts w:asciiTheme="majorHAnsi" w:hAnsiTheme="majorHAnsi" w:cstheme="majorHAnsi"/>
          <w:sz w:val="22"/>
          <w:szCs w:val="22"/>
        </w:rPr>
        <w:t xml:space="preserve">to </w:t>
      </w:r>
      <w:r w:rsidR="00BB6900" w:rsidRPr="00AA7D88">
        <w:rPr>
          <w:rFonts w:asciiTheme="majorHAnsi" w:hAnsiTheme="majorHAnsi" w:cstheme="majorHAnsi"/>
          <w:sz w:val="22"/>
          <w:szCs w:val="22"/>
        </w:rPr>
        <w:t xml:space="preserve">understand </w:t>
      </w:r>
      <w:r w:rsidR="00266999" w:rsidRPr="00AA7D88">
        <w:rPr>
          <w:rFonts w:asciiTheme="majorHAnsi" w:hAnsiTheme="majorHAnsi" w:cstheme="majorHAnsi"/>
          <w:sz w:val="22"/>
          <w:szCs w:val="22"/>
        </w:rPr>
        <w:t>the impact of</w:t>
      </w:r>
      <w:r w:rsidR="00214E71" w:rsidRPr="00AA7D88">
        <w:rPr>
          <w:rFonts w:asciiTheme="majorHAnsi" w:hAnsiTheme="majorHAnsi" w:cstheme="majorHAnsi"/>
          <w:sz w:val="22"/>
          <w:szCs w:val="22"/>
        </w:rPr>
        <w:t xml:space="preserve"> these pathogens </w:t>
      </w:r>
      <w:r w:rsidR="00266999" w:rsidRPr="00AA7D88">
        <w:rPr>
          <w:rFonts w:asciiTheme="majorHAnsi" w:hAnsiTheme="majorHAnsi" w:cstheme="majorHAnsi"/>
          <w:sz w:val="22"/>
          <w:szCs w:val="22"/>
        </w:rPr>
        <w:t>on</w:t>
      </w:r>
      <w:r w:rsidR="00214E71" w:rsidRPr="00AA7D88">
        <w:rPr>
          <w:rFonts w:asciiTheme="majorHAnsi" w:hAnsiTheme="majorHAnsi" w:cstheme="majorHAnsi"/>
          <w:sz w:val="22"/>
          <w:szCs w:val="22"/>
        </w:rPr>
        <w:t xml:space="preserve"> patients and</w:t>
      </w:r>
      <w:r w:rsidR="006A10D6" w:rsidRPr="00AA7D88">
        <w:rPr>
          <w:rFonts w:asciiTheme="majorHAnsi" w:hAnsiTheme="majorHAnsi" w:cstheme="majorHAnsi"/>
          <w:sz w:val="22"/>
          <w:szCs w:val="22"/>
        </w:rPr>
        <w:t>,</w:t>
      </w:r>
      <w:r w:rsidR="00C808F4" w:rsidRPr="00AA7D88">
        <w:rPr>
          <w:rFonts w:asciiTheme="majorHAnsi" w:hAnsiTheme="majorHAnsi" w:cstheme="majorHAnsi"/>
          <w:sz w:val="22"/>
          <w:szCs w:val="22"/>
        </w:rPr>
        <w:t xml:space="preserve"> </w:t>
      </w:r>
      <w:r w:rsidR="006A10D6" w:rsidRPr="00AA7D88">
        <w:rPr>
          <w:rFonts w:asciiTheme="majorHAnsi" w:hAnsiTheme="majorHAnsi" w:cstheme="majorHAnsi"/>
          <w:sz w:val="22"/>
          <w:szCs w:val="22"/>
        </w:rPr>
        <w:t>thereby, inform</w:t>
      </w:r>
      <w:r w:rsidR="00266999" w:rsidRPr="00AA7D88">
        <w:rPr>
          <w:rFonts w:asciiTheme="majorHAnsi" w:hAnsiTheme="majorHAnsi" w:cstheme="majorHAnsi"/>
          <w:sz w:val="22"/>
          <w:szCs w:val="22"/>
        </w:rPr>
        <w:t xml:space="preserve"> </w:t>
      </w:r>
      <w:r w:rsidR="00214E71" w:rsidRPr="00AA7D88">
        <w:rPr>
          <w:rFonts w:asciiTheme="majorHAnsi" w:hAnsiTheme="majorHAnsi" w:cstheme="majorHAnsi"/>
          <w:sz w:val="22"/>
          <w:szCs w:val="22"/>
        </w:rPr>
        <w:t xml:space="preserve">clinicians </w:t>
      </w:r>
      <w:r w:rsidR="006A10D6" w:rsidRPr="00AA7D88">
        <w:rPr>
          <w:rFonts w:asciiTheme="majorHAnsi" w:hAnsiTheme="majorHAnsi" w:cstheme="majorHAnsi"/>
          <w:sz w:val="22"/>
          <w:szCs w:val="22"/>
        </w:rPr>
        <w:t xml:space="preserve">as to whether they </w:t>
      </w:r>
      <w:r w:rsidR="00214E71" w:rsidRPr="00AA7D88">
        <w:rPr>
          <w:rFonts w:asciiTheme="majorHAnsi" w:hAnsiTheme="majorHAnsi" w:cstheme="majorHAnsi"/>
          <w:sz w:val="22"/>
          <w:szCs w:val="22"/>
        </w:rPr>
        <w:t>should</w:t>
      </w:r>
      <w:r w:rsidR="00266999" w:rsidRPr="00AA7D88">
        <w:rPr>
          <w:rFonts w:asciiTheme="majorHAnsi" w:hAnsiTheme="majorHAnsi" w:cstheme="majorHAnsi"/>
          <w:sz w:val="22"/>
          <w:szCs w:val="22"/>
        </w:rPr>
        <w:t xml:space="preserve"> persist</w:t>
      </w:r>
      <w:r w:rsidR="00214E71" w:rsidRPr="00AA7D88">
        <w:rPr>
          <w:rFonts w:asciiTheme="majorHAnsi" w:hAnsiTheme="majorHAnsi" w:cstheme="majorHAnsi"/>
          <w:sz w:val="22"/>
          <w:szCs w:val="22"/>
        </w:rPr>
        <w:t xml:space="preserve"> in </w:t>
      </w:r>
      <w:r w:rsidR="00BB6900" w:rsidRPr="00AA7D88">
        <w:rPr>
          <w:rFonts w:asciiTheme="majorHAnsi" w:hAnsiTheme="majorHAnsi" w:cstheme="majorHAnsi"/>
          <w:sz w:val="22"/>
          <w:szCs w:val="22"/>
        </w:rPr>
        <w:t xml:space="preserve">attempting </w:t>
      </w:r>
      <w:r w:rsidR="00214E71" w:rsidRPr="00AA7D88">
        <w:rPr>
          <w:rFonts w:asciiTheme="majorHAnsi" w:hAnsiTheme="majorHAnsi" w:cstheme="majorHAnsi"/>
          <w:sz w:val="22"/>
          <w:szCs w:val="22"/>
        </w:rPr>
        <w:t>to eradicate them.</w:t>
      </w:r>
      <w:r w:rsidR="00E909CE" w:rsidRPr="00AA7D88">
        <w:rPr>
          <w:rFonts w:asciiTheme="majorHAnsi" w:hAnsiTheme="majorHAnsi" w:cstheme="majorHAnsi"/>
          <w:sz w:val="22"/>
          <w:szCs w:val="22"/>
        </w:rPr>
        <w:t xml:space="preserve"> </w:t>
      </w:r>
      <w:r w:rsidR="00266999" w:rsidRPr="00AA7D88">
        <w:rPr>
          <w:rFonts w:asciiTheme="majorHAnsi" w:hAnsiTheme="majorHAnsi" w:cstheme="majorHAnsi"/>
          <w:sz w:val="22"/>
          <w:szCs w:val="22"/>
        </w:rPr>
        <w:t>C</w:t>
      </w:r>
      <w:r w:rsidR="00702B47" w:rsidRPr="00AA7D88">
        <w:rPr>
          <w:rFonts w:asciiTheme="majorHAnsi" w:hAnsiTheme="majorHAnsi" w:cstheme="majorHAnsi"/>
          <w:sz w:val="22"/>
          <w:szCs w:val="22"/>
        </w:rPr>
        <w:t xml:space="preserve">ontrary to previous publications, the prevalence of respiratory pathogen did not vary between age groups, in particular there was no increase seen in the prevalence of </w:t>
      </w:r>
      <w:r w:rsidR="00702B47" w:rsidRPr="00AA7D88">
        <w:rPr>
          <w:rFonts w:asciiTheme="majorHAnsi" w:hAnsiTheme="majorHAnsi" w:cstheme="majorHAnsi"/>
          <w:i/>
          <w:sz w:val="22"/>
          <w:szCs w:val="22"/>
        </w:rPr>
        <w:t>Pseudomonas aeruginosa</w:t>
      </w:r>
      <w:r w:rsidR="00702B47" w:rsidRPr="00AA7D88">
        <w:rPr>
          <w:rFonts w:asciiTheme="majorHAnsi" w:hAnsiTheme="majorHAnsi" w:cstheme="majorHAnsi"/>
          <w:sz w:val="22"/>
          <w:szCs w:val="22"/>
        </w:rPr>
        <w:t xml:space="preserve"> </w:t>
      </w:r>
      <w:r w:rsidR="00B078DB" w:rsidRPr="00AA7D88">
        <w:rPr>
          <w:rFonts w:asciiTheme="majorHAnsi" w:hAnsiTheme="majorHAnsi" w:cstheme="majorHAnsi"/>
          <w:sz w:val="22"/>
          <w:szCs w:val="22"/>
        </w:rPr>
        <w:t>in older age groups</w:t>
      </w:r>
      <w:r w:rsidR="00702B47" w:rsidRPr="00AA7D88">
        <w:rPr>
          <w:rFonts w:asciiTheme="majorHAnsi" w:hAnsiTheme="majorHAnsi" w:cstheme="majorHAnsi"/>
          <w:sz w:val="22"/>
          <w:szCs w:val="22"/>
        </w:rPr>
        <w:t xml:space="preserve"> </w:t>
      </w:r>
      <w:r w:rsidR="00735187" w:rsidRPr="00735187">
        <w:rPr>
          <w:rFonts w:ascii="Calibri" w:hAnsi="Calibri" w:cs="Calibri"/>
          <w:sz w:val="22"/>
        </w:rPr>
        <w:t>(2</w:t>
      </w:r>
      <w:r w:rsidR="00BC6093">
        <w:rPr>
          <w:rFonts w:ascii="Calibri" w:hAnsi="Calibri" w:cs="Calibri"/>
          <w:sz w:val="22"/>
        </w:rPr>
        <w:t>7</w:t>
      </w:r>
      <w:r w:rsidR="00735187" w:rsidRPr="00735187">
        <w:rPr>
          <w:rFonts w:ascii="Calibri" w:hAnsi="Calibri" w:cs="Calibri"/>
          <w:sz w:val="22"/>
        </w:rPr>
        <w:t>)</w:t>
      </w:r>
      <w:r w:rsidR="00702B47" w:rsidRPr="00AA7D88">
        <w:rPr>
          <w:rFonts w:asciiTheme="majorHAnsi" w:hAnsiTheme="majorHAnsi" w:cstheme="majorHAnsi"/>
          <w:sz w:val="22"/>
          <w:szCs w:val="22"/>
        </w:rPr>
        <w:t>.</w:t>
      </w:r>
    </w:p>
    <w:p w14:paraId="3876336B" w14:textId="76D0A776" w:rsidR="006A10D6" w:rsidRPr="001C6EA8" w:rsidRDefault="00002950" w:rsidP="001C6EA8">
      <w:pPr>
        <w:spacing w:after="120" w:line="480" w:lineRule="auto"/>
        <w:rPr>
          <w:rFonts w:asciiTheme="majorHAnsi" w:hAnsiTheme="majorHAnsi" w:cstheme="majorHAnsi"/>
          <w:bCs/>
          <w:sz w:val="22"/>
          <w:szCs w:val="22"/>
        </w:rPr>
      </w:pPr>
      <w:r>
        <w:rPr>
          <w:rFonts w:asciiTheme="majorHAnsi" w:hAnsiTheme="majorHAnsi" w:cstheme="majorHAnsi"/>
          <w:bCs/>
          <w:sz w:val="22"/>
          <w:szCs w:val="22"/>
        </w:rPr>
        <w:t>A recently</w:t>
      </w:r>
      <w:r w:rsidR="009A5B51" w:rsidRPr="00AA7D88">
        <w:rPr>
          <w:rFonts w:asciiTheme="majorHAnsi" w:hAnsiTheme="majorHAnsi" w:cstheme="majorHAnsi"/>
          <w:bCs/>
          <w:sz w:val="22"/>
          <w:szCs w:val="22"/>
        </w:rPr>
        <w:t xml:space="preserve"> published large international cohort of children with PCD</w:t>
      </w:r>
      <w:r w:rsidR="006914E0" w:rsidRPr="00AA7D88">
        <w:rPr>
          <w:rFonts w:asciiTheme="majorHAnsi" w:hAnsiTheme="majorHAnsi" w:cstheme="majorHAnsi"/>
          <w:bCs/>
          <w:sz w:val="22"/>
          <w:szCs w:val="22"/>
        </w:rPr>
        <w:t xml:space="preserve"> </w:t>
      </w:r>
      <w:r w:rsidR="00735187" w:rsidRPr="00735187">
        <w:rPr>
          <w:rFonts w:ascii="Calibri" w:hAnsi="Calibri" w:cs="Calibri"/>
          <w:sz w:val="22"/>
        </w:rPr>
        <w:t>(</w:t>
      </w:r>
      <w:r w:rsidR="006417B8">
        <w:rPr>
          <w:rFonts w:ascii="Calibri" w:hAnsi="Calibri" w:cs="Calibri"/>
          <w:sz w:val="22"/>
        </w:rPr>
        <w:t>28</w:t>
      </w:r>
      <w:r w:rsidR="00BC6093">
        <w:rPr>
          <w:rFonts w:ascii="Calibri" w:hAnsi="Calibri" w:cs="Calibri"/>
          <w:sz w:val="22"/>
        </w:rPr>
        <w:t>, 29</w:t>
      </w:r>
      <w:r w:rsidR="00735187" w:rsidRPr="00735187">
        <w:rPr>
          <w:rFonts w:ascii="Calibri" w:hAnsi="Calibri" w:cs="Calibri"/>
          <w:sz w:val="22"/>
        </w:rPr>
        <w:t>)</w:t>
      </w:r>
      <w:r>
        <w:rPr>
          <w:rFonts w:ascii="Calibri" w:hAnsi="Calibri" w:cs="Calibri"/>
          <w:sz w:val="22"/>
        </w:rPr>
        <w:t xml:space="preserve"> found that patients with lower BMI z scores </w:t>
      </w:r>
      <w:r w:rsidR="008C2D15">
        <w:rPr>
          <w:rFonts w:ascii="Calibri" w:hAnsi="Calibri" w:cs="Calibri"/>
          <w:sz w:val="22"/>
        </w:rPr>
        <w:t>have lower FEV1 z scores, which had not been observed previously</w:t>
      </w:r>
      <w:r w:rsidR="00AE636A">
        <w:rPr>
          <w:rFonts w:ascii="Calibri" w:hAnsi="Calibri" w:cs="Calibri"/>
          <w:sz w:val="22"/>
        </w:rPr>
        <w:t xml:space="preserve"> (30)</w:t>
      </w:r>
      <w:r w:rsidR="008C2D15">
        <w:rPr>
          <w:rFonts w:ascii="Calibri" w:hAnsi="Calibri" w:cs="Calibri"/>
          <w:sz w:val="22"/>
        </w:rPr>
        <w:t>. Our findings support this novel observation and are</w:t>
      </w:r>
      <w:r w:rsidR="007070B7" w:rsidRPr="00AA7D88">
        <w:rPr>
          <w:rFonts w:asciiTheme="majorHAnsi" w:hAnsiTheme="majorHAnsi" w:cstheme="majorHAnsi"/>
          <w:bCs/>
          <w:sz w:val="22"/>
          <w:szCs w:val="22"/>
        </w:rPr>
        <w:t xml:space="preserve"> </w:t>
      </w:r>
      <w:r w:rsidR="009A5B51" w:rsidRPr="00AA7D88">
        <w:rPr>
          <w:rFonts w:asciiTheme="majorHAnsi" w:hAnsiTheme="majorHAnsi" w:cstheme="majorHAnsi"/>
          <w:bCs/>
          <w:sz w:val="22"/>
          <w:szCs w:val="22"/>
        </w:rPr>
        <w:t>similar to well</w:t>
      </w:r>
      <w:r w:rsidR="007070B7" w:rsidRPr="00AA7D88">
        <w:rPr>
          <w:rFonts w:asciiTheme="majorHAnsi" w:hAnsiTheme="majorHAnsi" w:cstheme="majorHAnsi"/>
          <w:bCs/>
          <w:sz w:val="22"/>
          <w:szCs w:val="22"/>
        </w:rPr>
        <w:t>-</w:t>
      </w:r>
      <w:r w:rsidR="009A5B51" w:rsidRPr="00AA7D88">
        <w:rPr>
          <w:rFonts w:asciiTheme="majorHAnsi" w:hAnsiTheme="majorHAnsi" w:cstheme="majorHAnsi"/>
          <w:bCs/>
          <w:sz w:val="22"/>
          <w:szCs w:val="22"/>
        </w:rPr>
        <w:t>described</w:t>
      </w:r>
      <w:r w:rsidR="007070B7" w:rsidRPr="00AA7D88">
        <w:rPr>
          <w:rFonts w:asciiTheme="majorHAnsi" w:hAnsiTheme="majorHAnsi" w:cstheme="majorHAnsi"/>
          <w:bCs/>
          <w:sz w:val="22"/>
          <w:szCs w:val="22"/>
        </w:rPr>
        <w:t xml:space="preserve"> </w:t>
      </w:r>
      <w:r w:rsidR="00371C65" w:rsidRPr="00AA7D88">
        <w:rPr>
          <w:rFonts w:asciiTheme="majorHAnsi" w:hAnsiTheme="majorHAnsi" w:cstheme="majorHAnsi"/>
          <w:bCs/>
          <w:sz w:val="22"/>
          <w:szCs w:val="22"/>
        </w:rPr>
        <w:t>correlations</w:t>
      </w:r>
      <w:r w:rsidR="009A5B51" w:rsidRPr="00AA7D88">
        <w:rPr>
          <w:rFonts w:asciiTheme="majorHAnsi" w:hAnsiTheme="majorHAnsi" w:cstheme="majorHAnsi"/>
          <w:bCs/>
          <w:sz w:val="22"/>
          <w:szCs w:val="22"/>
        </w:rPr>
        <w:t xml:space="preserve"> in children with CF</w:t>
      </w:r>
      <w:r w:rsidR="00AC2755">
        <w:rPr>
          <w:rFonts w:asciiTheme="majorHAnsi" w:hAnsiTheme="majorHAnsi" w:cstheme="majorHAnsi"/>
          <w:bCs/>
          <w:sz w:val="22"/>
          <w:szCs w:val="22"/>
        </w:rPr>
        <w:t xml:space="preserve"> (</w:t>
      </w:r>
      <w:r w:rsidR="00BC6093">
        <w:rPr>
          <w:rFonts w:asciiTheme="majorHAnsi" w:hAnsiTheme="majorHAnsi" w:cstheme="majorHAnsi"/>
          <w:bCs/>
          <w:sz w:val="22"/>
          <w:szCs w:val="22"/>
        </w:rPr>
        <w:t>3</w:t>
      </w:r>
      <w:r w:rsidR="00AE636A">
        <w:rPr>
          <w:rFonts w:asciiTheme="majorHAnsi" w:hAnsiTheme="majorHAnsi" w:cstheme="majorHAnsi"/>
          <w:bCs/>
          <w:sz w:val="22"/>
          <w:szCs w:val="22"/>
        </w:rPr>
        <w:t>1</w:t>
      </w:r>
      <w:r w:rsidR="00AC2755">
        <w:rPr>
          <w:rFonts w:asciiTheme="majorHAnsi" w:hAnsiTheme="majorHAnsi" w:cstheme="majorHAnsi"/>
          <w:bCs/>
          <w:sz w:val="22"/>
          <w:szCs w:val="22"/>
        </w:rPr>
        <w:t>)</w:t>
      </w:r>
      <w:r w:rsidR="00221DF7" w:rsidRPr="00AA7D88">
        <w:rPr>
          <w:rFonts w:asciiTheme="majorHAnsi" w:hAnsiTheme="majorHAnsi" w:cstheme="majorHAnsi"/>
          <w:bCs/>
          <w:sz w:val="22"/>
          <w:szCs w:val="22"/>
        </w:rPr>
        <w:t>. H</w:t>
      </w:r>
      <w:r w:rsidR="009A5B51" w:rsidRPr="00AA7D88">
        <w:rPr>
          <w:rFonts w:asciiTheme="majorHAnsi" w:hAnsiTheme="majorHAnsi" w:cstheme="majorHAnsi"/>
          <w:bCs/>
          <w:sz w:val="22"/>
          <w:szCs w:val="22"/>
        </w:rPr>
        <w:t>owever</w:t>
      </w:r>
      <w:r w:rsidR="00015232" w:rsidRPr="00AA7D88">
        <w:rPr>
          <w:rFonts w:asciiTheme="majorHAnsi" w:hAnsiTheme="majorHAnsi" w:cstheme="majorHAnsi"/>
          <w:bCs/>
          <w:sz w:val="22"/>
          <w:szCs w:val="22"/>
        </w:rPr>
        <w:t>,</w:t>
      </w:r>
      <w:r w:rsidR="009A5B51" w:rsidRPr="00AA7D88">
        <w:rPr>
          <w:rFonts w:asciiTheme="majorHAnsi" w:hAnsiTheme="majorHAnsi" w:cstheme="majorHAnsi"/>
          <w:bCs/>
          <w:sz w:val="22"/>
          <w:szCs w:val="22"/>
        </w:rPr>
        <w:t xml:space="preserve"> the majority of </w:t>
      </w:r>
      <w:r w:rsidR="00266999" w:rsidRPr="00AA7D88">
        <w:rPr>
          <w:rFonts w:asciiTheme="majorHAnsi" w:hAnsiTheme="majorHAnsi" w:cstheme="majorHAnsi"/>
          <w:bCs/>
          <w:sz w:val="22"/>
          <w:szCs w:val="22"/>
        </w:rPr>
        <w:t>CF patients</w:t>
      </w:r>
      <w:r w:rsidR="009A5B51" w:rsidRPr="00AA7D88">
        <w:rPr>
          <w:rFonts w:asciiTheme="majorHAnsi" w:hAnsiTheme="majorHAnsi" w:cstheme="majorHAnsi"/>
          <w:bCs/>
          <w:sz w:val="22"/>
          <w:szCs w:val="22"/>
        </w:rPr>
        <w:t xml:space="preserve"> have pancreatic insufficiency, which is not the case in PCD</w:t>
      </w:r>
      <w:r w:rsidR="007070B7" w:rsidRPr="00AA7D88">
        <w:rPr>
          <w:rFonts w:asciiTheme="majorHAnsi" w:hAnsiTheme="majorHAnsi" w:cstheme="majorHAnsi"/>
          <w:bCs/>
          <w:sz w:val="22"/>
          <w:szCs w:val="22"/>
        </w:rPr>
        <w:t>.</w:t>
      </w:r>
      <w:r w:rsidR="006914E0" w:rsidRPr="00AA7D88">
        <w:rPr>
          <w:rFonts w:asciiTheme="majorHAnsi" w:hAnsiTheme="majorHAnsi" w:cstheme="majorHAnsi"/>
          <w:bCs/>
          <w:sz w:val="22"/>
          <w:szCs w:val="22"/>
        </w:rPr>
        <w:t xml:space="preserve"> </w:t>
      </w:r>
      <w:r w:rsidR="009A5B51" w:rsidRPr="00AA7D88">
        <w:rPr>
          <w:rFonts w:asciiTheme="majorHAnsi" w:hAnsiTheme="majorHAnsi" w:cstheme="majorHAnsi"/>
          <w:bCs/>
          <w:sz w:val="22"/>
          <w:szCs w:val="22"/>
        </w:rPr>
        <w:t xml:space="preserve">This would therefore </w:t>
      </w:r>
      <w:r w:rsidR="007070B7" w:rsidRPr="00AA7D88">
        <w:rPr>
          <w:rFonts w:asciiTheme="majorHAnsi" w:hAnsiTheme="majorHAnsi" w:cstheme="majorHAnsi"/>
          <w:bCs/>
          <w:sz w:val="22"/>
          <w:szCs w:val="22"/>
        </w:rPr>
        <w:t xml:space="preserve">imply that having suppurative lung disease, </w:t>
      </w:r>
      <w:r w:rsidR="0079637C" w:rsidRPr="00AA7D88">
        <w:rPr>
          <w:rFonts w:asciiTheme="majorHAnsi" w:hAnsiTheme="majorHAnsi" w:cstheme="majorHAnsi"/>
          <w:bCs/>
          <w:sz w:val="22"/>
          <w:szCs w:val="22"/>
        </w:rPr>
        <w:t>independent of</w:t>
      </w:r>
      <w:r w:rsidR="007070B7" w:rsidRPr="00AA7D88">
        <w:rPr>
          <w:rFonts w:asciiTheme="majorHAnsi" w:hAnsiTheme="majorHAnsi" w:cstheme="majorHAnsi"/>
          <w:bCs/>
          <w:sz w:val="22"/>
          <w:szCs w:val="22"/>
        </w:rPr>
        <w:t xml:space="preserve"> pancreatic issues, may impact negatively on nutritional status </w:t>
      </w:r>
      <w:r w:rsidR="00371C65" w:rsidRPr="00AA7D88">
        <w:rPr>
          <w:rFonts w:asciiTheme="majorHAnsi" w:hAnsiTheme="majorHAnsi" w:cstheme="majorHAnsi"/>
          <w:bCs/>
          <w:sz w:val="22"/>
          <w:szCs w:val="22"/>
        </w:rPr>
        <w:t>(</w:t>
      </w:r>
      <w:r w:rsidR="007070B7" w:rsidRPr="00AA7D88">
        <w:rPr>
          <w:rFonts w:asciiTheme="majorHAnsi" w:hAnsiTheme="majorHAnsi" w:cstheme="majorHAnsi"/>
          <w:bCs/>
          <w:sz w:val="22"/>
          <w:szCs w:val="22"/>
        </w:rPr>
        <w:t>or vice versa</w:t>
      </w:r>
      <w:r w:rsidR="00371C65" w:rsidRPr="00AA7D88">
        <w:rPr>
          <w:rFonts w:asciiTheme="majorHAnsi" w:hAnsiTheme="majorHAnsi" w:cstheme="majorHAnsi"/>
          <w:bCs/>
          <w:sz w:val="22"/>
          <w:szCs w:val="22"/>
        </w:rPr>
        <w:t>)</w:t>
      </w:r>
      <w:r w:rsidR="007070B7" w:rsidRPr="00AA7D88">
        <w:rPr>
          <w:rFonts w:asciiTheme="majorHAnsi" w:hAnsiTheme="majorHAnsi" w:cstheme="majorHAnsi"/>
          <w:bCs/>
          <w:sz w:val="22"/>
          <w:szCs w:val="22"/>
        </w:rPr>
        <w:t xml:space="preserve">. </w:t>
      </w:r>
      <w:r w:rsidR="00266999" w:rsidRPr="00AA7D88">
        <w:rPr>
          <w:rFonts w:asciiTheme="majorHAnsi" w:hAnsiTheme="majorHAnsi" w:cstheme="majorHAnsi"/>
          <w:bCs/>
          <w:sz w:val="22"/>
          <w:szCs w:val="22"/>
        </w:rPr>
        <w:t xml:space="preserve">These findings </w:t>
      </w:r>
      <w:r w:rsidR="007070B7" w:rsidRPr="00AA7D88">
        <w:rPr>
          <w:rFonts w:asciiTheme="majorHAnsi" w:hAnsiTheme="majorHAnsi" w:cstheme="majorHAnsi"/>
          <w:bCs/>
          <w:sz w:val="22"/>
          <w:szCs w:val="22"/>
        </w:rPr>
        <w:t>lead to the hypothesis that i</w:t>
      </w:r>
      <w:r w:rsidR="005C0A47" w:rsidRPr="00AA7D88">
        <w:rPr>
          <w:rFonts w:asciiTheme="majorHAnsi" w:hAnsiTheme="majorHAnsi" w:cstheme="majorHAnsi"/>
          <w:bCs/>
          <w:sz w:val="22"/>
          <w:szCs w:val="22"/>
        </w:rPr>
        <w:t>ntervening</w:t>
      </w:r>
      <w:r w:rsidR="007070B7" w:rsidRPr="00AA7D88">
        <w:rPr>
          <w:rFonts w:asciiTheme="majorHAnsi" w:hAnsiTheme="majorHAnsi" w:cstheme="majorHAnsi"/>
          <w:bCs/>
          <w:sz w:val="22"/>
          <w:szCs w:val="22"/>
        </w:rPr>
        <w:t xml:space="preserve"> on nutritional status may have a positive benefit on </w:t>
      </w:r>
      <w:r w:rsidR="00371C65" w:rsidRPr="00AA7D88">
        <w:rPr>
          <w:rFonts w:asciiTheme="majorHAnsi" w:hAnsiTheme="majorHAnsi" w:cstheme="majorHAnsi"/>
          <w:bCs/>
          <w:sz w:val="22"/>
          <w:szCs w:val="22"/>
        </w:rPr>
        <w:t xml:space="preserve">the </w:t>
      </w:r>
      <w:r w:rsidR="007070B7" w:rsidRPr="00AA7D88">
        <w:rPr>
          <w:rFonts w:asciiTheme="majorHAnsi" w:hAnsiTheme="majorHAnsi" w:cstheme="majorHAnsi"/>
          <w:bCs/>
          <w:sz w:val="22"/>
          <w:szCs w:val="22"/>
        </w:rPr>
        <w:t>respiratory health of children with PCD, as is the case in CF</w:t>
      </w:r>
      <w:r w:rsidR="00BE5EA6" w:rsidRPr="00AA7D88">
        <w:rPr>
          <w:rFonts w:asciiTheme="majorHAnsi" w:hAnsiTheme="majorHAnsi" w:cstheme="majorHAnsi"/>
          <w:bCs/>
          <w:sz w:val="22"/>
          <w:szCs w:val="22"/>
        </w:rPr>
        <w:t xml:space="preserve"> </w:t>
      </w:r>
      <w:r w:rsidR="00735187" w:rsidRPr="00735187">
        <w:rPr>
          <w:rFonts w:ascii="Calibri" w:hAnsi="Calibri" w:cs="Calibri"/>
          <w:sz w:val="22"/>
        </w:rPr>
        <w:t>(</w:t>
      </w:r>
      <w:r w:rsidR="006417B8">
        <w:rPr>
          <w:rFonts w:ascii="Calibri" w:hAnsi="Calibri" w:cs="Calibri"/>
          <w:sz w:val="22"/>
        </w:rPr>
        <w:t>3</w:t>
      </w:r>
      <w:r w:rsidR="00AE636A">
        <w:rPr>
          <w:rFonts w:ascii="Calibri" w:hAnsi="Calibri" w:cs="Calibri"/>
          <w:sz w:val="22"/>
        </w:rPr>
        <w:t>2</w:t>
      </w:r>
      <w:r w:rsidR="00735187" w:rsidRPr="00735187">
        <w:rPr>
          <w:rFonts w:ascii="Calibri" w:hAnsi="Calibri" w:cs="Calibri"/>
          <w:sz w:val="22"/>
        </w:rPr>
        <w:t>)</w:t>
      </w:r>
      <w:r w:rsidR="00845CA2">
        <w:rPr>
          <w:rFonts w:ascii="Calibri" w:hAnsi="Calibri" w:cs="Calibri"/>
          <w:sz w:val="22"/>
        </w:rPr>
        <w:t>,</w:t>
      </w:r>
      <w:r w:rsidR="00702B47" w:rsidRPr="00AA7D88">
        <w:rPr>
          <w:rFonts w:asciiTheme="majorHAnsi" w:hAnsiTheme="majorHAnsi" w:cstheme="majorHAnsi"/>
          <w:bCs/>
          <w:sz w:val="22"/>
          <w:szCs w:val="22"/>
        </w:rPr>
        <w:t xml:space="preserve"> </w:t>
      </w:r>
      <w:r w:rsidR="00BE5EA6" w:rsidRPr="00AA7D88">
        <w:rPr>
          <w:rFonts w:asciiTheme="majorHAnsi" w:hAnsiTheme="majorHAnsi" w:cstheme="majorHAnsi"/>
          <w:bCs/>
          <w:sz w:val="22"/>
          <w:szCs w:val="22"/>
        </w:rPr>
        <w:t>and warrants further investigation.</w:t>
      </w:r>
    </w:p>
    <w:p w14:paraId="607F8121" w14:textId="1ADE2A9B" w:rsidR="00BE5EA6" w:rsidRPr="001C6EA8" w:rsidRDefault="00221DF7" w:rsidP="001C6EA8">
      <w:pPr>
        <w:spacing w:after="120" w:line="480" w:lineRule="auto"/>
        <w:rPr>
          <w:rFonts w:asciiTheme="majorHAnsi" w:hAnsiTheme="majorHAnsi" w:cstheme="majorHAnsi"/>
          <w:bCs/>
          <w:sz w:val="22"/>
          <w:szCs w:val="22"/>
        </w:rPr>
      </w:pPr>
      <w:r w:rsidRPr="00AA7D88">
        <w:rPr>
          <w:rFonts w:asciiTheme="majorHAnsi" w:hAnsiTheme="majorHAnsi" w:cstheme="majorHAnsi"/>
          <w:sz w:val="22"/>
          <w:szCs w:val="22"/>
        </w:rPr>
        <w:t xml:space="preserve">Management of children with PCD is challenging due to the limited evidence base, with only one published randomised control trial (RCT) to date </w:t>
      </w:r>
      <w:r w:rsidR="00735187" w:rsidRPr="00735187">
        <w:rPr>
          <w:rFonts w:ascii="Calibri" w:hAnsi="Calibri" w:cs="Calibri"/>
          <w:sz w:val="22"/>
        </w:rPr>
        <w:t>(3</w:t>
      </w:r>
      <w:r w:rsidR="00AE636A">
        <w:rPr>
          <w:rFonts w:ascii="Calibri" w:hAnsi="Calibri" w:cs="Calibri"/>
          <w:sz w:val="22"/>
        </w:rPr>
        <w:t>3</w:t>
      </w:r>
      <w:r w:rsidR="00735187" w:rsidRPr="00735187">
        <w:rPr>
          <w:rFonts w:ascii="Calibri" w:hAnsi="Calibri" w:cs="Calibri"/>
          <w:sz w:val="22"/>
        </w:rPr>
        <w:t>)</w:t>
      </w:r>
      <w:r w:rsidRPr="00AA7D88">
        <w:rPr>
          <w:rFonts w:asciiTheme="majorHAnsi" w:hAnsiTheme="majorHAnsi" w:cstheme="majorHAnsi"/>
          <w:sz w:val="22"/>
          <w:szCs w:val="22"/>
        </w:rPr>
        <w:t xml:space="preserve">. Management is therefore based on expert opinion, consensus guidelines, and extrapolated from the larger evidence base available for patients with CF </w:t>
      </w:r>
      <w:r w:rsidR="00735187" w:rsidRPr="00735187">
        <w:rPr>
          <w:rFonts w:ascii="Calibri" w:hAnsi="Calibri" w:cs="Calibri"/>
          <w:sz w:val="22"/>
        </w:rPr>
        <w:t>(15,</w:t>
      </w:r>
      <w:r w:rsidR="00BC6093">
        <w:rPr>
          <w:rFonts w:ascii="Calibri" w:hAnsi="Calibri" w:cs="Calibri"/>
          <w:sz w:val="22"/>
        </w:rPr>
        <w:t>34</w:t>
      </w:r>
      <w:r w:rsidR="00AE636A">
        <w:rPr>
          <w:rFonts w:ascii="Calibri" w:hAnsi="Calibri" w:cs="Calibri"/>
          <w:sz w:val="22"/>
        </w:rPr>
        <w:t>,35</w:t>
      </w:r>
      <w:r w:rsidR="00735187" w:rsidRPr="00735187">
        <w:rPr>
          <w:rFonts w:ascii="Calibri" w:hAnsi="Calibri" w:cs="Calibri"/>
          <w:sz w:val="22"/>
        </w:rPr>
        <w:t>)</w:t>
      </w:r>
      <w:r w:rsidRPr="00AA7D88">
        <w:rPr>
          <w:rFonts w:asciiTheme="majorHAnsi" w:hAnsiTheme="majorHAnsi" w:cstheme="majorHAnsi"/>
          <w:sz w:val="22"/>
          <w:szCs w:val="22"/>
        </w:rPr>
        <w:t xml:space="preserve">. </w:t>
      </w:r>
    </w:p>
    <w:p w14:paraId="3B1E732E" w14:textId="275D67E0" w:rsidR="005866AF" w:rsidRPr="00AA7D88" w:rsidRDefault="005C0A47" w:rsidP="001C6EA8">
      <w:pPr>
        <w:spacing w:after="120" w:line="480" w:lineRule="auto"/>
        <w:rPr>
          <w:rFonts w:asciiTheme="majorHAnsi" w:hAnsiTheme="majorHAnsi" w:cstheme="majorHAnsi"/>
          <w:sz w:val="22"/>
          <w:szCs w:val="22"/>
        </w:rPr>
      </w:pPr>
      <w:r w:rsidRPr="00AA7D88">
        <w:rPr>
          <w:rFonts w:asciiTheme="majorHAnsi" w:hAnsiTheme="majorHAnsi" w:cstheme="majorHAnsi"/>
          <w:sz w:val="22"/>
          <w:szCs w:val="22"/>
        </w:rPr>
        <w:t>All children in</w:t>
      </w:r>
      <w:r w:rsidR="00221DF7" w:rsidRPr="00AA7D88">
        <w:rPr>
          <w:rFonts w:asciiTheme="majorHAnsi" w:hAnsiTheme="majorHAnsi" w:cstheme="majorHAnsi"/>
          <w:sz w:val="22"/>
          <w:szCs w:val="22"/>
        </w:rPr>
        <w:t xml:space="preserve"> the</w:t>
      </w:r>
      <w:r w:rsidRPr="00AA7D88">
        <w:rPr>
          <w:rFonts w:asciiTheme="majorHAnsi" w:hAnsiTheme="majorHAnsi" w:cstheme="majorHAnsi"/>
          <w:sz w:val="22"/>
          <w:szCs w:val="22"/>
        </w:rPr>
        <w:t xml:space="preserve"> </w:t>
      </w:r>
      <w:r w:rsidR="00DE402D" w:rsidRPr="00AA7D88">
        <w:rPr>
          <w:rFonts w:asciiTheme="majorHAnsi" w:hAnsiTheme="majorHAnsi" w:cstheme="majorHAnsi"/>
          <w:sz w:val="22"/>
          <w:szCs w:val="22"/>
        </w:rPr>
        <w:t>s</w:t>
      </w:r>
      <w:r w:rsidR="008D0DD8" w:rsidRPr="00AA7D88">
        <w:rPr>
          <w:rFonts w:asciiTheme="majorHAnsi" w:hAnsiTheme="majorHAnsi" w:cstheme="majorHAnsi"/>
          <w:sz w:val="22"/>
          <w:szCs w:val="22"/>
        </w:rPr>
        <w:t xml:space="preserve">ervice </w:t>
      </w:r>
      <w:r w:rsidRPr="00AA7D88">
        <w:rPr>
          <w:rFonts w:asciiTheme="majorHAnsi" w:hAnsiTheme="majorHAnsi" w:cstheme="majorHAnsi"/>
          <w:sz w:val="22"/>
          <w:szCs w:val="22"/>
        </w:rPr>
        <w:t>were advised to undertake regular airway clearance physiotherapy</w:t>
      </w:r>
      <w:r w:rsidR="00F44BD8" w:rsidRPr="00AA7D88">
        <w:rPr>
          <w:rFonts w:asciiTheme="majorHAnsi" w:hAnsiTheme="majorHAnsi" w:cstheme="majorHAnsi"/>
          <w:sz w:val="22"/>
          <w:szCs w:val="22"/>
        </w:rPr>
        <w:t xml:space="preserve"> (</w:t>
      </w:r>
      <w:r w:rsidR="00735187">
        <w:rPr>
          <w:rFonts w:asciiTheme="majorHAnsi" w:hAnsiTheme="majorHAnsi" w:cstheme="majorHAnsi"/>
          <w:sz w:val="22"/>
          <w:szCs w:val="22"/>
        </w:rPr>
        <w:t>3</w:t>
      </w:r>
      <w:r w:rsidR="00373C3F">
        <w:rPr>
          <w:rFonts w:asciiTheme="majorHAnsi" w:hAnsiTheme="majorHAnsi" w:cstheme="majorHAnsi"/>
          <w:sz w:val="22"/>
          <w:szCs w:val="22"/>
        </w:rPr>
        <w:t>6</w:t>
      </w:r>
      <w:r w:rsidR="00F44BD8" w:rsidRPr="00AA7D88">
        <w:rPr>
          <w:rFonts w:asciiTheme="majorHAnsi" w:hAnsiTheme="majorHAnsi" w:cstheme="majorHAnsi"/>
          <w:sz w:val="22"/>
          <w:szCs w:val="22"/>
        </w:rPr>
        <w:t>)</w:t>
      </w:r>
      <w:r w:rsidRPr="00AA7D88">
        <w:rPr>
          <w:rFonts w:asciiTheme="majorHAnsi" w:hAnsiTheme="majorHAnsi" w:cstheme="majorHAnsi"/>
          <w:sz w:val="22"/>
          <w:szCs w:val="22"/>
        </w:rPr>
        <w:t xml:space="preserve">. </w:t>
      </w:r>
      <w:r w:rsidR="006A10D6" w:rsidRPr="00AA7D88">
        <w:rPr>
          <w:rFonts w:asciiTheme="majorHAnsi" w:hAnsiTheme="majorHAnsi" w:cstheme="majorHAnsi"/>
          <w:sz w:val="22"/>
          <w:szCs w:val="22"/>
        </w:rPr>
        <w:t>O</w:t>
      </w:r>
      <w:r w:rsidRPr="00AA7D88">
        <w:rPr>
          <w:rFonts w:asciiTheme="majorHAnsi" w:hAnsiTheme="majorHAnsi" w:cstheme="majorHAnsi"/>
          <w:sz w:val="22"/>
          <w:szCs w:val="22"/>
        </w:rPr>
        <w:t xml:space="preserve">ver half the children used nebulised mucolytics agents, the vast majority using </w:t>
      </w:r>
      <w:r w:rsidR="003B4E84" w:rsidRPr="00AA7D88">
        <w:rPr>
          <w:rFonts w:asciiTheme="majorHAnsi" w:hAnsiTheme="majorHAnsi" w:cstheme="majorHAnsi"/>
          <w:sz w:val="22"/>
          <w:szCs w:val="22"/>
        </w:rPr>
        <w:t>hypertonic saline</w:t>
      </w:r>
      <w:r w:rsidRPr="00AA7D88">
        <w:rPr>
          <w:rFonts w:asciiTheme="majorHAnsi" w:hAnsiTheme="majorHAnsi" w:cstheme="majorHAnsi"/>
          <w:sz w:val="22"/>
          <w:szCs w:val="22"/>
        </w:rPr>
        <w:t xml:space="preserve">. </w:t>
      </w:r>
      <w:r w:rsidR="00266999" w:rsidRPr="00AA7D88">
        <w:rPr>
          <w:rFonts w:asciiTheme="majorHAnsi" w:hAnsiTheme="majorHAnsi" w:cstheme="majorHAnsi"/>
          <w:sz w:val="22"/>
          <w:szCs w:val="22"/>
        </w:rPr>
        <w:t>A</w:t>
      </w:r>
      <w:r w:rsidR="003B4E84" w:rsidRPr="00AA7D88">
        <w:rPr>
          <w:rFonts w:asciiTheme="majorHAnsi" w:hAnsiTheme="majorHAnsi" w:cstheme="majorHAnsi"/>
          <w:sz w:val="22"/>
          <w:szCs w:val="22"/>
        </w:rPr>
        <w:t xml:space="preserve"> RCT on use of hypertonic saline in PCD </w:t>
      </w:r>
      <w:r w:rsidR="00F4460E" w:rsidRPr="00AA7D88">
        <w:rPr>
          <w:rFonts w:asciiTheme="majorHAnsi" w:hAnsiTheme="majorHAnsi" w:cstheme="majorHAnsi"/>
          <w:sz w:val="22"/>
          <w:szCs w:val="22"/>
        </w:rPr>
        <w:t>did not</w:t>
      </w:r>
      <w:r w:rsidR="003B4E84" w:rsidRPr="00AA7D88">
        <w:rPr>
          <w:rFonts w:asciiTheme="majorHAnsi" w:hAnsiTheme="majorHAnsi" w:cstheme="majorHAnsi"/>
          <w:sz w:val="22"/>
          <w:szCs w:val="22"/>
        </w:rPr>
        <w:t xml:space="preserve"> </w:t>
      </w:r>
      <w:r w:rsidR="0050285E" w:rsidRPr="00AA7D88">
        <w:rPr>
          <w:rFonts w:asciiTheme="majorHAnsi" w:hAnsiTheme="majorHAnsi" w:cstheme="majorHAnsi"/>
          <w:sz w:val="22"/>
          <w:szCs w:val="22"/>
        </w:rPr>
        <w:t>show</w:t>
      </w:r>
      <w:r w:rsidR="0069460A" w:rsidRPr="00AA7D88">
        <w:rPr>
          <w:rFonts w:asciiTheme="majorHAnsi" w:hAnsiTheme="majorHAnsi" w:cstheme="majorHAnsi"/>
          <w:sz w:val="22"/>
          <w:szCs w:val="22"/>
        </w:rPr>
        <w:t xml:space="preserve"> </w:t>
      </w:r>
      <w:r w:rsidR="0050285E" w:rsidRPr="00AA7D88">
        <w:rPr>
          <w:rFonts w:asciiTheme="majorHAnsi" w:hAnsiTheme="majorHAnsi" w:cstheme="majorHAnsi"/>
          <w:sz w:val="22"/>
          <w:szCs w:val="22"/>
        </w:rPr>
        <w:t xml:space="preserve">improvement </w:t>
      </w:r>
      <w:r w:rsidR="00421FE2" w:rsidRPr="00AA7D88">
        <w:rPr>
          <w:rFonts w:asciiTheme="majorHAnsi" w:hAnsiTheme="majorHAnsi" w:cstheme="majorHAnsi"/>
          <w:sz w:val="22"/>
          <w:szCs w:val="22"/>
        </w:rPr>
        <w:t xml:space="preserve">on </w:t>
      </w:r>
      <w:r w:rsidR="0050285E" w:rsidRPr="00AA7D88">
        <w:rPr>
          <w:rFonts w:asciiTheme="majorHAnsi" w:hAnsiTheme="majorHAnsi" w:cstheme="majorHAnsi"/>
          <w:sz w:val="22"/>
          <w:szCs w:val="22"/>
        </w:rPr>
        <w:t>quality of life in patients compared to control</w:t>
      </w:r>
      <w:r w:rsidR="005866AF" w:rsidRPr="00AA7D88">
        <w:rPr>
          <w:rFonts w:asciiTheme="majorHAnsi" w:hAnsiTheme="majorHAnsi" w:cstheme="majorHAnsi"/>
          <w:sz w:val="22"/>
          <w:szCs w:val="22"/>
        </w:rPr>
        <w:t>s</w:t>
      </w:r>
      <w:r w:rsidR="00905421" w:rsidRPr="00AA7D88">
        <w:rPr>
          <w:rFonts w:asciiTheme="majorHAnsi" w:hAnsiTheme="majorHAnsi" w:cstheme="majorHAnsi"/>
          <w:sz w:val="22"/>
          <w:szCs w:val="22"/>
        </w:rPr>
        <w:t xml:space="preserve"> </w:t>
      </w:r>
      <w:r w:rsidR="00735187" w:rsidRPr="00735187">
        <w:rPr>
          <w:rFonts w:ascii="Calibri" w:hAnsi="Calibri" w:cs="Calibri"/>
          <w:sz w:val="22"/>
        </w:rPr>
        <w:t>(3</w:t>
      </w:r>
      <w:r w:rsidR="00373C3F">
        <w:rPr>
          <w:rFonts w:ascii="Calibri" w:hAnsi="Calibri" w:cs="Calibri"/>
          <w:sz w:val="22"/>
        </w:rPr>
        <w:t>3</w:t>
      </w:r>
      <w:r w:rsidR="00735187" w:rsidRPr="00735187">
        <w:rPr>
          <w:rFonts w:ascii="Calibri" w:hAnsi="Calibri" w:cs="Calibri"/>
          <w:sz w:val="22"/>
        </w:rPr>
        <w:t>)</w:t>
      </w:r>
      <w:r w:rsidR="00266999" w:rsidRPr="00AA7D88">
        <w:rPr>
          <w:rFonts w:asciiTheme="majorHAnsi" w:hAnsiTheme="majorHAnsi" w:cstheme="majorHAnsi"/>
          <w:sz w:val="22"/>
          <w:szCs w:val="22"/>
        </w:rPr>
        <w:t>; however,</w:t>
      </w:r>
      <w:r w:rsidR="0050285E" w:rsidRPr="00AA7D88">
        <w:rPr>
          <w:rFonts w:asciiTheme="majorHAnsi" w:hAnsiTheme="majorHAnsi" w:cstheme="majorHAnsi"/>
          <w:iCs/>
          <w:sz w:val="22"/>
          <w:szCs w:val="22"/>
        </w:rPr>
        <w:t xml:space="preserve"> the study did not use </w:t>
      </w:r>
      <w:r w:rsidR="005866AF" w:rsidRPr="00AA7D88">
        <w:rPr>
          <w:rFonts w:asciiTheme="majorHAnsi" w:hAnsiTheme="majorHAnsi" w:cstheme="majorHAnsi"/>
          <w:iCs/>
          <w:sz w:val="22"/>
          <w:szCs w:val="22"/>
        </w:rPr>
        <w:t xml:space="preserve">a </w:t>
      </w:r>
      <w:r w:rsidR="0050285E" w:rsidRPr="00AA7D88">
        <w:rPr>
          <w:rFonts w:asciiTheme="majorHAnsi" w:hAnsiTheme="majorHAnsi" w:cstheme="majorHAnsi"/>
          <w:iCs/>
          <w:sz w:val="22"/>
          <w:szCs w:val="22"/>
        </w:rPr>
        <w:t xml:space="preserve">disease-specific </w:t>
      </w:r>
      <w:r w:rsidR="00B1557B" w:rsidRPr="00AA7D88">
        <w:rPr>
          <w:rFonts w:asciiTheme="majorHAnsi" w:hAnsiTheme="majorHAnsi" w:cstheme="majorHAnsi"/>
          <w:iCs/>
          <w:sz w:val="22"/>
          <w:szCs w:val="22"/>
        </w:rPr>
        <w:t xml:space="preserve">quality of life </w:t>
      </w:r>
      <w:r w:rsidR="005866AF" w:rsidRPr="00AA7D88">
        <w:rPr>
          <w:rFonts w:asciiTheme="majorHAnsi" w:hAnsiTheme="majorHAnsi" w:cstheme="majorHAnsi"/>
          <w:iCs/>
          <w:sz w:val="22"/>
          <w:szCs w:val="22"/>
        </w:rPr>
        <w:t>questionnaire</w:t>
      </w:r>
      <w:r w:rsidR="00B1557B" w:rsidRPr="00AA7D88">
        <w:rPr>
          <w:rFonts w:asciiTheme="majorHAnsi" w:hAnsiTheme="majorHAnsi" w:cstheme="majorHAnsi"/>
          <w:iCs/>
          <w:sz w:val="22"/>
          <w:szCs w:val="22"/>
        </w:rPr>
        <w:t xml:space="preserve">, </w:t>
      </w:r>
      <w:r w:rsidR="003B4E84" w:rsidRPr="00AA7D88">
        <w:rPr>
          <w:rFonts w:asciiTheme="majorHAnsi" w:hAnsiTheme="majorHAnsi" w:cstheme="majorHAnsi"/>
          <w:iCs/>
          <w:sz w:val="22"/>
          <w:szCs w:val="22"/>
        </w:rPr>
        <w:t>was underpowered</w:t>
      </w:r>
      <w:r w:rsidR="00B1557B" w:rsidRPr="00AA7D88">
        <w:rPr>
          <w:rFonts w:asciiTheme="majorHAnsi" w:hAnsiTheme="majorHAnsi" w:cstheme="majorHAnsi"/>
          <w:iCs/>
          <w:sz w:val="22"/>
          <w:szCs w:val="22"/>
        </w:rPr>
        <w:t xml:space="preserve"> and the control group received </w:t>
      </w:r>
      <w:r w:rsidR="00421FE2" w:rsidRPr="00AA7D88">
        <w:rPr>
          <w:rFonts w:asciiTheme="majorHAnsi" w:hAnsiTheme="majorHAnsi" w:cstheme="majorHAnsi"/>
          <w:iCs/>
          <w:sz w:val="22"/>
          <w:szCs w:val="22"/>
        </w:rPr>
        <w:t>normal saline nebulisation</w:t>
      </w:r>
      <w:r w:rsidR="00845CA2">
        <w:rPr>
          <w:rFonts w:asciiTheme="majorHAnsi" w:hAnsiTheme="majorHAnsi" w:cstheme="majorHAnsi"/>
          <w:iCs/>
          <w:sz w:val="22"/>
          <w:szCs w:val="22"/>
        </w:rPr>
        <w:t>,</w:t>
      </w:r>
      <w:r w:rsidR="005866AF" w:rsidRPr="00AA7D88">
        <w:rPr>
          <w:rFonts w:asciiTheme="majorHAnsi" w:hAnsiTheme="majorHAnsi" w:cstheme="majorHAnsi"/>
          <w:iCs/>
          <w:sz w:val="22"/>
          <w:szCs w:val="22"/>
        </w:rPr>
        <w:t xml:space="preserve"> </w:t>
      </w:r>
      <w:r w:rsidR="00B1557B" w:rsidRPr="00AA7D88">
        <w:rPr>
          <w:rFonts w:asciiTheme="majorHAnsi" w:hAnsiTheme="majorHAnsi" w:cstheme="majorHAnsi"/>
          <w:iCs/>
          <w:sz w:val="22"/>
          <w:szCs w:val="22"/>
        </w:rPr>
        <w:t>which might</w:t>
      </w:r>
      <w:r w:rsidR="00845CA2">
        <w:rPr>
          <w:rFonts w:asciiTheme="majorHAnsi" w:hAnsiTheme="majorHAnsi" w:cstheme="majorHAnsi"/>
          <w:iCs/>
          <w:sz w:val="22"/>
          <w:szCs w:val="22"/>
        </w:rPr>
        <w:t xml:space="preserve"> in itself</w:t>
      </w:r>
      <w:r w:rsidR="00421FE2" w:rsidRPr="00AA7D88">
        <w:rPr>
          <w:rFonts w:asciiTheme="majorHAnsi" w:hAnsiTheme="majorHAnsi" w:cstheme="majorHAnsi"/>
          <w:iCs/>
          <w:sz w:val="22"/>
          <w:szCs w:val="22"/>
        </w:rPr>
        <w:t xml:space="preserve"> have been </w:t>
      </w:r>
      <w:r w:rsidR="00B1557B" w:rsidRPr="00AA7D88">
        <w:rPr>
          <w:rFonts w:asciiTheme="majorHAnsi" w:hAnsiTheme="majorHAnsi" w:cstheme="majorHAnsi"/>
          <w:iCs/>
          <w:sz w:val="22"/>
          <w:szCs w:val="22"/>
        </w:rPr>
        <w:t xml:space="preserve">beneficial for </w:t>
      </w:r>
      <w:r w:rsidR="00221DF7" w:rsidRPr="00AA7D88">
        <w:rPr>
          <w:rFonts w:asciiTheme="majorHAnsi" w:hAnsiTheme="majorHAnsi" w:cstheme="majorHAnsi"/>
          <w:iCs/>
          <w:sz w:val="22"/>
          <w:szCs w:val="22"/>
        </w:rPr>
        <w:t>the</w:t>
      </w:r>
      <w:r w:rsidR="00B1557B" w:rsidRPr="00AA7D88">
        <w:rPr>
          <w:rFonts w:asciiTheme="majorHAnsi" w:hAnsiTheme="majorHAnsi" w:cstheme="majorHAnsi"/>
          <w:iCs/>
          <w:sz w:val="22"/>
          <w:szCs w:val="22"/>
        </w:rPr>
        <w:t xml:space="preserve"> patients</w:t>
      </w:r>
      <w:r w:rsidR="00B2298F" w:rsidRPr="00AA7D88">
        <w:rPr>
          <w:rFonts w:asciiTheme="majorHAnsi" w:hAnsiTheme="majorHAnsi" w:cstheme="majorHAnsi"/>
          <w:iCs/>
          <w:sz w:val="22"/>
          <w:szCs w:val="22"/>
        </w:rPr>
        <w:t xml:space="preserve"> </w:t>
      </w:r>
      <w:r w:rsidR="00735187">
        <w:rPr>
          <w:rFonts w:ascii="Calibri" w:hAnsi="Calibri" w:cs="Calibri"/>
          <w:sz w:val="22"/>
        </w:rPr>
        <w:t>(3</w:t>
      </w:r>
      <w:r w:rsidR="00373C3F">
        <w:rPr>
          <w:rFonts w:ascii="Calibri" w:hAnsi="Calibri" w:cs="Calibri"/>
          <w:sz w:val="22"/>
        </w:rPr>
        <w:t>7</w:t>
      </w:r>
      <w:r w:rsidR="00735187" w:rsidRPr="00735187">
        <w:rPr>
          <w:rFonts w:ascii="Calibri" w:hAnsi="Calibri" w:cs="Calibri"/>
          <w:sz w:val="22"/>
        </w:rPr>
        <w:t>)</w:t>
      </w:r>
      <w:r w:rsidRPr="00AA7D88">
        <w:rPr>
          <w:rFonts w:asciiTheme="majorHAnsi" w:hAnsiTheme="majorHAnsi" w:cstheme="majorHAnsi"/>
          <w:sz w:val="22"/>
          <w:szCs w:val="22"/>
        </w:rPr>
        <w:t xml:space="preserve">. </w:t>
      </w:r>
      <w:r w:rsidR="0069460A" w:rsidRPr="00AA7D88">
        <w:rPr>
          <w:rFonts w:asciiTheme="majorHAnsi" w:hAnsiTheme="majorHAnsi" w:cstheme="majorHAnsi"/>
          <w:sz w:val="22"/>
          <w:szCs w:val="22"/>
        </w:rPr>
        <w:t>W</w:t>
      </w:r>
      <w:r w:rsidRPr="00AA7D88">
        <w:rPr>
          <w:rFonts w:asciiTheme="majorHAnsi" w:hAnsiTheme="majorHAnsi" w:cstheme="majorHAnsi"/>
          <w:sz w:val="22"/>
          <w:szCs w:val="22"/>
        </w:rPr>
        <w:t xml:space="preserve">e found that children on </w:t>
      </w:r>
      <w:r w:rsidR="003B4E84" w:rsidRPr="00AA7D88">
        <w:rPr>
          <w:rFonts w:asciiTheme="majorHAnsi" w:hAnsiTheme="majorHAnsi" w:cstheme="majorHAnsi"/>
          <w:sz w:val="22"/>
          <w:szCs w:val="22"/>
        </w:rPr>
        <w:t>hypertonic saline</w:t>
      </w:r>
      <w:r w:rsidRPr="00AA7D88">
        <w:rPr>
          <w:rFonts w:asciiTheme="majorHAnsi" w:hAnsiTheme="majorHAnsi" w:cstheme="majorHAnsi"/>
          <w:sz w:val="22"/>
          <w:szCs w:val="22"/>
        </w:rPr>
        <w:t xml:space="preserve"> had a significantly lower FEV</w:t>
      </w:r>
      <w:r w:rsidRPr="00AA7D88">
        <w:rPr>
          <w:rFonts w:asciiTheme="majorHAnsi" w:hAnsiTheme="majorHAnsi" w:cstheme="majorHAnsi"/>
          <w:sz w:val="22"/>
          <w:szCs w:val="22"/>
          <w:vertAlign w:val="subscript"/>
        </w:rPr>
        <w:t>1</w:t>
      </w:r>
      <w:r w:rsidRPr="00AA7D88">
        <w:rPr>
          <w:rFonts w:asciiTheme="majorHAnsi" w:hAnsiTheme="majorHAnsi" w:cstheme="majorHAnsi"/>
          <w:sz w:val="22"/>
          <w:szCs w:val="22"/>
        </w:rPr>
        <w:t xml:space="preserve"> than those not</w:t>
      </w:r>
      <w:r w:rsidR="00266999" w:rsidRPr="00AA7D88">
        <w:rPr>
          <w:rFonts w:asciiTheme="majorHAnsi" w:hAnsiTheme="majorHAnsi" w:cstheme="majorHAnsi"/>
          <w:sz w:val="22"/>
          <w:szCs w:val="22"/>
        </w:rPr>
        <w:t>. This is likely due to clinicians</w:t>
      </w:r>
      <w:r w:rsidR="00221DF7" w:rsidRPr="00AA7D88">
        <w:rPr>
          <w:rFonts w:asciiTheme="majorHAnsi" w:hAnsiTheme="majorHAnsi" w:cstheme="majorHAnsi"/>
          <w:sz w:val="22"/>
          <w:szCs w:val="22"/>
        </w:rPr>
        <w:t xml:space="preserve"> </w:t>
      </w:r>
      <w:r w:rsidRPr="00AA7D88">
        <w:rPr>
          <w:rFonts w:asciiTheme="majorHAnsi" w:hAnsiTheme="majorHAnsi" w:cstheme="majorHAnsi"/>
          <w:sz w:val="22"/>
          <w:szCs w:val="22"/>
        </w:rPr>
        <w:t xml:space="preserve">reserving </w:t>
      </w:r>
      <w:r w:rsidR="003B4E84" w:rsidRPr="00AA7D88">
        <w:rPr>
          <w:rFonts w:asciiTheme="majorHAnsi" w:hAnsiTheme="majorHAnsi" w:cstheme="majorHAnsi"/>
          <w:sz w:val="22"/>
          <w:szCs w:val="22"/>
        </w:rPr>
        <w:t>its use</w:t>
      </w:r>
      <w:r w:rsidRPr="00AA7D88">
        <w:rPr>
          <w:rFonts w:asciiTheme="majorHAnsi" w:hAnsiTheme="majorHAnsi" w:cstheme="majorHAnsi"/>
          <w:sz w:val="22"/>
          <w:szCs w:val="22"/>
        </w:rPr>
        <w:t xml:space="preserve"> for children with </w:t>
      </w:r>
      <w:r w:rsidR="0069460A" w:rsidRPr="00AA7D88">
        <w:rPr>
          <w:rFonts w:asciiTheme="majorHAnsi" w:hAnsiTheme="majorHAnsi" w:cstheme="majorHAnsi"/>
          <w:sz w:val="22"/>
          <w:szCs w:val="22"/>
        </w:rPr>
        <w:t xml:space="preserve">a </w:t>
      </w:r>
      <w:r w:rsidRPr="00AA7D88">
        <w:rPr>
          <w:rFonts w:asciiTheme="majorHAnsi" w:hAnsiTheme="majorHAnsi" w:cstheme="majorHAnsi"/>
          <w:sz w:val="22"/>
          <w:szCs w:val="22"/>
        </w:rPr>
        <w:t>more severe clinical phenotype</w:t>
      </w:r>
      <w:r w:rsidR="007D10FD" w:rsidRPr="00AA7D88">
        <w:rPr>
          <w:rFonts w:asciiTheme="majorHAnsi" w:hAnsiTheme="majorHAnsi" w:cstheme="majorHAnsi"/>
          <w:sz w:val="22"/>
          <w:szCs w:val="22"/>
        </w:rPr>
        <w:t>;</w:t>
      </w:r>
      <w:r w:rsidRPr="00AA7D88">
        <w:rPr>
          <w:rFonts w:asciiTheme="majorHAnsi" w:hAnsiTheme="majorHAnsi" w:cstheme="majorHAnsi"/>
          <w:sz w:val="22"/>
          <w:szCs w:val="22"/>
        </w:rPr>
        <w:t xml:space="preserve"> however</w:t>
      </w:r>
      <w:r w:rsidR="007D10FD" w:rsidRPr="00AA7D88">
        <w:rPr>
          <w:rFonts w:asciiTheme="majorHAnsi" w:hAnsiTheme="majorHAnsi" w:cstheme="majorHAnsi"/>
          <w:sz w:val="22"/>
          <w:szCs w:val="22"/>
        </w:rPr>
        <w:t>,</w:t>
      </w:r>
      <w:r w:rsidRPr="00AA7D88">
        <w:rPr>
          <w:rFonts w:asciiTheme="majorHAnsi" w:hAnsiTheme="majorHAnsi" w:cstheme="majorHAnsi"/>
          <w:sz w:val="22"/>
          <w:szCs w:val="22"/>
        </w:rPr>
        <w:t xml:space="preserve"> further </w:t>
      </w:r>
      <w:r w:rsidR="003B4E84" w:rsidRPr="00AA7D88">
        <w:rPr>
          <w:rFonts w:asciiTheme="majorHAnsi" w:hAnsiTheme="majorHAnsi" w:cstheme="majorHAnsi"/>
          <w:sz w:val="22"/>
          <w:szCs w:val="22"/>
        </w:rPr>
        <w:t xml:space="preserve">research </w:t>
      </w:r>
      <w:r w:rsidRPr="00AA7D88">
        <w:rPr>
          <w:rFonts w:asciiTheme="majorHAnsi" w:hAnsiTheme="majorHAnsi" w:cstheme="majorHAnsi"/>
          <w:sz w:val="22"/>
          <w:szCs w:val="22"/>
        </w:rPr>
        <w:t xml:space="preserve">is needed to </w:t>
      </w:r>
      <w:r w:rsidR="00D84321" w:rsidRPr="00AA7D88">
        <w:rPr>
          <w:rFonts w:asciiTheme="majorHAnsi" w:hAnsiTheme="majorHAnsi" w:cstheme="majorHAnsi"/>
          <w:sz w:val="22"/>
          <w:szCs w:val="22"/>
        </w:rPr>
        <w:t xml:space="preserve">exclude the possibility that </w:t>
      </w:r>
      <w:r w:rsidR="003B4E84" w:rsidRPr="00AA7D88">
        <w:rPr>
          <w:rFonts w:asciiTheme="majorHAnsi" w:hAnsiTheme="majorHAnsi" w:cstheme="majorHAnsi"/>
          <w:sz w:val="22"/>
          <w:szCs w:val="22"/>
        </w:rPr>
        <w:t>hypertonic saline</w:t>
      </w:r>
      <w:r w:rsidRPr="00AA7D88">
        <w:rPr>
          <w:rFonts w:asciiTheme="majorHAnsi" w:hAnsiTheme="majorHAnsi" w:cstheme="majorHAnsi"/>
          <w:sz w:val="22"/>
          <w:szCs w:val="22"/>
        </w:rPr>
        <w:t xml:space="preserve"> </w:t>
      </w:r>
      <w:r w:rsidR="003B4E84" w:rsidRPr="00AA7D88">
        <w:rPr>
          <w:rFonts w:asciiTheme="majorHAnsi" w:hAnsiTheme="majorHAnsi" w:cstheme="majorHAnsi"/>
          <w:sz w:val="22"/>
          <w:szCs w:val="22"/>
        </w:rPr>
        <w:t>has a</w:t>
      </w:r>
      <w:r w:rsidRPr="00AA7D88">
        <w:rPr>
          <w:rFonts w:asciiTheme="majorHAnsi" w:hAnsiTheme="majorHAnsi" w:cstheme="majorHAnsi"/>
          <w:sz w:val="22"/>
          <w:szCs w:val="22"/>
        </w:rPr>
        <w:t xml:space="preserve"> negative effect on lung function</w:t>
      </w:r>
      <w:r w:rsidR="00D84321" w:rsidRPr="00AA7D88">
        <w:rPr>
          <w:rFonts w:asciiTheme="majorHAnsi" w:hAnsiTheme="majorHAnsi" w:cstheme="majorHAnsi"/>
          <w:sz w:val="22"/>
          <w:szCs w:val="22"/>
        </w:rPr>
        <w:t xml:space="preserve"> in </w:t>
      </w:r>
      <w:r w:rsidR="00221DF7" w:rsidRPr="00AA7D88">
        <w:rPr>
          <w:rFonts w:asciiTheme="majorHAnsi" w:hAnsiTheme="majorHAnsi" w:cstheme="majorHAnsi"/>
          <w:sz w:val="22"/>
          <w:szCs w:val="22"/>
        </w:rPr>
        <w:t xml:space="preserve">children with </w:t>
      </w:r>
      <w:r w:rsidR="00D84321" w:rsidRPr="00AA7D88">
        <w:rPr>
          <w:rFonts w:asciiTheme="majorHAnsi" w:hAnsiTheme="majorHAnsi" w:cstheme="majorHAnsi"/>
          <w:sz w:val="22"/>
          <w:szCs w:val="22"/>
        </w:rPr>
        <w:t>PCD</w:t>
      </w:r>
      <w:r w:rsidRPr="00AA7D88">
        <w:rPr>
          <w:rFonts w:asciiTheme="majorHAnsi" w:hAnsiTheme="majorHAnsi" w:cstheme="majorHAnsi"/>
          <w:sz w:val="22"/>
          <w:szCs w:val="22"/>
        </w:rPr>
        <w:t xml:space="preserve">. </w:t>
      </w:r>
      <w:r w:rsidR="00983A13" w:rsidRPr="00AA7D88">
        <w:rPr>
          <w:rStyle w:val="CommentReference"/>
          <w:rFonts w:asciiTheme="majorHAnsi" w:eastAsia="Calibri" w:hAnsiTheme="majorHAnsi" w:cstheme="majorHAnsi"/>
        </w:rPr>
        <w:t xml:space="preserve"> </w:t>
      </w:r>
    </w:p>
    <w:p w14:paraId="0F0709CA" w14:textId="14B93337" w:rsidR="00421FE2" w:rsidRPr="00AA7D88" w:rsidRDefault="005C0A47" w:rsidP="001C6EA8">
      <w:pPr>
        <w:spacing w:after="120" w:line="480" w:lineRule="auto"/>
        <w:rPr>
          <w:rFonts w:asciiTheme="majorHAnsi" w:hAnsiTheme="majorHAnsi" w:cstheme="majorHAnsi"/>
          <w:sz w:val="22"/>
          <w:szCs w:val="22"/>
        </w:rPr>
      </w:pPr>
      <w:r w:rsidRPr="00AA7D88">
        <w:rPr>
          <w:rFonts w:asciiTheme="majorHAnsi" w:hAnsiTheme="majorHAnsi" w:cstheme="majorHAnsi"/>
          <w:sz w:val="22"/>
          <w:szCs w:val="22"/>
        </w:rPr>
        <w:t xml:space="preserve">The use of prophylactic antibiotics in PCD remains controversial, </w:t>
      </w:r>
      <w:r w:rsidR="00ED2CD5" w:rsidRPr="00AA7D88">
        <w:rPr>
          <w:rFonts w:asciiTheme="majorHAnsi" w:hAnsiTheme="majorHAnsi" w:cstheme="majorHAnsi"/>
          <w:sz w:val="22"/>
          <w:szCs w:val="22"/>
        </w:rPr>
        <w:t xml:space="preserve">as </w:t>
      </w:r>
      <w:r w:rsidRPr="00AA7D88">
        <w:rPr>
          <w:rFonts w:asciiTheme="majorHAnsi" w:hAnsiTheme="majorHAnsi" w:cstheme="majorHAnsi"/>
          <w:sz w:val="22"/>
          <w:szCs w:val="22"/>
        </w:rPr>
        <w:t>the potential decrease in</w:t>
      </w:r>
      <w:r w:rsidR="00B2298F" w:rsidRPr="00AA7D88">
        <w:rPr>
          <w:rFonts w:asciiTheme="majorHAnsi" w:hAnsiTheme="majorHAnsi" w:cstheme="majorHAnsi"/>
          <w:sz w:val="22"/>
          <w:szCs w:val="22"/>
        </w:rPr>
        <w:t xml:space="preserve"> the number of</w:t>
      </w:r>
      <w:r w:rsidRPr="00AA7D88">
        <w:rPr>
          <w:rFonts w:asciiTheme="majorHAnsi" w:hAnsiTheme="majorHAnsi" w:cstheme="majorHAnsi"/>
          <w:sz w:val="22"/>
          <w:szCs w:val="22"/>
        </w:rPr>
        <w:t xml:space="preserve"> respiratory exacerbations </w:t>
      </w:r>
      <w:r w:rsidR="00ED2CD5" w:rsidRPr="00AA7D88">
        <w:rPr>
          <w:rFonts w:asciiTheme="majorHAnsi" w:hAnsiTheme="majorHAnsi" w:cstheme="majorHAnsi"/>
          <w:sz w:val="22"/>
          <w:szCs w:val="22"/>
        </w:rPr>
        <w:t xml:space="preserve">must be balanced </w:t>
      </w:r>
      <w:r w:rsidRPr="00AA7D88">
        <w:rPr>
          <w:rFonts w:asciiTheme="majorHAnsi" w:hAnsiTheme="majorHAnsi" w:cstheme="majorHAnsi"/>
          <w:sz w:val="22"/>
          <w:szCs w:val="22"/>
        </w:rPr>
        <w:t xml:space="preserve">against the risk of </w:t>
      </w:r>
      <w:r w:rsidR="00ED2CD5" w:rsidRPr="00AA7D88">
        <w:rPr>
          <w:rFonts w:asciiTheme="majorHAnsi" w:hAnsiTheme="majorHAnsi" w:cstheme="majorHAnsi"/>
          <w:sz w:val="22"/>
          <w:szCs w:val="22"/>
        </w:rPr>
        <w:t>increasing antimicrobial resistance</w:t>
      </w:r>
      <w:r w:rsidRPr="00AA7D88">
        <w:rPr>
          <w:rFonts w:asciiTheme="majorHAnsi" w:hAnsiTheme="majorHAnsi" w:cstheme="majorHAnsi"/>
          <w:sz w:val="22"/>
          <w:szCs w:val="22"/>
        </w:rPr>
        <w:t>. Despite this</w:t>
      </w:r>
      <w:r w:rsidR="00B2298F" w:rsidRPr="00AA7D88">
        <w:rPr>
          <w:rFonts w:asciiTheme="majorHAnsi" w:hAnsiTheme="majorHAnsi" w:cstheme="majorHAnsi"/>
          <w:sz w:val="22"/>
          <w:szCs w:val="22"/>
        </w:rPr>
        <w:t>,</w:t>
      </w:r>
      <w:r w:rsidRPr="00AA7D88">
        <w:rPr>
          <w:rFonts w:asciiTheme="majorHAnsi" w:hAnsiTheme="majorHAnsi" w:cstheme="majorHAnsi"/>
          <w:sz w:val="22"/>
          <w:szCs w:val="22"/>
        </w:rPr>
        <w:t xml:space="preserve"> </w:t>
      </w:r>
      <w:r w:rsidR="00D84321" w:rsidRPr="00AA7D88">
        <w:rPr>
          <w:rFonts w:asciiTheme="majorHAnsi" w:hAnsiTheme="majorHAnsi" w:cstheme="majorHAnsi"/>
          <w:sz w:val="22"/>
          <w:szCs w:val="22"/>
        </w:rPr>
        <w:t xml:space="preserve">in 2015, </w:t>
      </w:r>
      <w:r w:rsidR="00B2298F" w:rsidRPr="00AA7D88">
        <w:rPr>
          <w:rFonts w:asciiTheme="majorHAnsi" w:hAnsiTheme="majorHAnsi" w:cstheme="majorHAnsi"/>
          <w:sz w:val="22"/>
          <w:szCs w:val="22"/>
        </w:rPr>
        <w:t xml:space="preserve">approximately </w:t>
      </w:r>
      <w:r w:rsidRPr="00AA7D88">
        <w:rPr>
          <w:rFonts w:asciiTheme="majorHAnsi" w:hAnsiTheme="majorHAnsi" w:cstheme="majorHAnsi"/>
          <w:sz w:val="22"/>
          <w:szCs w:val="22"/>
        </w:rPr>
        <w:t xml:space="preserve">60% of </w:t>
      </w:r>
      <w:r w:rsidR="0069460A" w:rsidRPr="00AA7D88">
        <w:rPr>
          <w:rFonts w:asciiTheme="majorHAnsi" w:hAnsiTheme="majorHAnsi" w:cstheme="majorHAnsi"/>
          <w:sz w:val="22"/>
          <w:szCs w:val="22"/>
        </w:rPr>
        <w:t>our</w:t>
      </w:r>
      <w:r w:rsidRPr="00AA7D88">
        <w:rPr>
          <w:rFonts w:asciiTheme="majorHAnsi" w:hAnsiTheme="majorHAnsi" w:cstheme="majorHAnsi"/>
          <w:sz w:val="22"/>
          <w:szCs w:val="22"/>
        </w:rPr>
        <w:t xml:space="preserve"> children were on prophylactic antibiotics, </w:t>
      </w:r>
      <w:r w:rsidR="00221DF7" w:rsidRPr="00AA7D88">
        <w:rPr>
          <w:rFonts w:asciiTheme="majorHAnsi" w:hAnsiTheme="majorHAnsi" w:cstheme="majorHAnsi"/>
          <w:sz w:val="22"/>
          <w:szCs w:val="22"/>
        </w:rPr>
        <w:t xml:space="preserve">with over </w:t>
      </w:r>
      <w:r w:rsidRPr="00AA7D88">
        <w:rPr>
          <w:rFonts w:asciiTheme="majorHAnsi" w:hAnsiTheme="majorHAnsi" w:cstheme="majorHAnsi"/>
          <w:sz w:val="22"/>
          <w:szCs w:val="22"/>
        </w:rPr>
        <w:t xml:space="preserve">half of these using Azithromycin. These </w:t>
      </w:r>
      <w:r w:rsidR="0069460A" w:rsidRPr="00AA7D88">
        <w:rPr>
          <w:rFonts w:asciiTheme="majorHAnsi" w:hAnsiTheme="majorHAnsi" w:cstheme="majorHAnsi"/>
          <w:sz w:val="22"/>
          <w:szCs w:val="22"/>
        </w:rPr>
        <w:t xml:space="preserve">children </w:t>
      </w:r>
      <w:r w:rsidRPr="00AA7D88">
        <w:rPr>
          <w:rFonts w:asciiTheme="majorHAnsi" w:hAnsiTheme="majorHAnsi" w:cstheme="majorHAnsi"/>
          <w:sz w:val="22"/>
          <w:szCs w:val="22"/>
        </w:rPr>
        <w:t>were noted to have significantly lower FEV</w:t>
      </w:r>
      <w:r w:rsidRPr="00AA7D88">
        <w:rPr>
          <w:rFonts w:asciiTheme="majorHAnsi" w:hAnsiTheme="majorHAnsi" w:cstheme="majorHAnsi"/>
          <w:sz w:val="22"/>
          <w:szCs w:val="22"/>
          <w:vertAlign w:val="subscript"/>
        </w:rPr>
        <w:t>1</w:t>
      </w:r>
      <w:r w:rsidRPr="00AA7D88">
        <w:rPr>
          <w:rFonts w:asciiTheme="majorHAnsi" w:hAnsiTheme="majorHAnsi" w:cstheme="majorHAnsi"/>
          <w:sz w:val="22"/>
          <w:szCs w:val="22"/>
        </w:rPr>
        <w:t xml:space="preserve"> than those not </w:t>
      </w:r>
      <w:r w:rsidR="00D84321" w:rsidRPr="00AA7D88">
        <w:rPr>
          <w:rFonts w:asciiTheme="majorHAnsi" w:hAnsiTheme="majorHAnsi" w:cstheme="majorHAnsi"/>
          <w:sz w:val="22"/>
          <w:szCs w:val="22"/>
        </w:rPr>
        <w:t xml:space="preserve">on </w:t>
      </w:r>
      <w:r w:rsidRPr="00AA7D88">
        <w:rPr>
          <w:rFonts w:asciiTheme="majorHAnsi" w:hAnsiTheme="majorHAnsi" w:cstheme="majorHAnsi"/>
          <w:sz w:val="22"/>
          <w:szCs w:val="22"/>
        </w:rPr>
        <w:t xml:space="preserve">antibiotics. </w:t>
      </w:r>
      <w:r w:rsidR="006A10D6" w:rsidRPr="00AA7D88">
        <w:rPr>
          <w:rFonts w:asciiTheme="majorHAnsi" w:hAnsiTheme="majorHAnsi" w:cstheme="majorHAnsi"/>
          <w:sz w:val="22"/>
          <w:szCs w:val="22"/>
        </w:rPr>
        <w:t>Again, c</w:t>
      </w:r>
      <w:r w:rsidRPr="00AA7D88">
        <w:rPr>
          <w:rFonts w:asciiTheme="majorHAnsi" w:hAnsiTheme="majorHAnsi" w:cstheme="majorHAnsi"/>
          <w:sz w:val="22"/>
          <w:szCs w:val="22"/>
        </w:rPr>
        <w:t>linicians</w:t>
      </w:r>
      <w:r w:rsidR="00F4460E" w:rsidRPr="00AA7D88">
        <w:rPr>
          <w:rFonts w:asciiTheme="majorHAnsi" w:hAnsiTheme="majorHAnsi" w:cstheme="majorHAnsi"/>
          <w:sz w:val="22"/>
          <w:szCs w:val="22"/>
        </w:rPr>
        <w:t xml:space="preserve"> likely</w:t>
      </w:r>
      <w:r w:rsidRPr="00AA7D88">
        <w:rPr>
          <w:rFonts w:asciiTheme="majorHAnsi" w:hAnsiTheme="majorHAnsi" w:cstheme="majorHAnsi"/>
          <w:sz w:val="22"/>
          <w:szCs w:val="22"/>
        </w:rPr>
        <w:t xml:space="preserve"> </w:t>
      </w:r>
      <w:r w:rsidR="00ED2CD5" w:rsidRPr="00AA7D88">
        <w:rPr>
          <w:rFonts w:asciiTheme="majorHAnsi" w:hAnsiTheme="majorHAnsi" w:cstheme="majorHAnsi"/>
          <w:sz w:val="22"/>
          <w:szCs w:val="22"/>
        </w:rPr>
        <w:t>reserved</w:t>
      </w:r>
      <w:r w:rsidRPr="00AA7D88">
        <w:rPr>
          <w:rFonts w:asciiTheme="majorHAnsi" w:hAnsiTheme="majorHAnsi" w:cstheme="majorHAnsi"/>
          <w:sz w:val="22"/>
          <w:szCs w:val="22"/>
        </w:rPr>
        <w:t xml:space="preserve"> the use</w:t>
      </w:r>
      <w:r w:rsidR="00ED2CD5" w:rsidRPr="00AA7D88">
        <w:rPr>
          <w:rFonts w:asciiTheme="majorHAnsi" w:hAnsiTheme="majorHAnsi" w:cstheme="majorHAnsi"/>
          <w:sz w:val="22"/>
          <w:szCs w:val="22"/>
        </w:rPr>
        <w:t xml:space="preserve"> of prophylactic antibiotics</w:t>
      </w:r>
      <w:r w:rsidRPr="00AA7D88">
        <w:rPr>
          <w:rFonts w:asciiTheme="majorHAnsi" w:hAnsiTheme="majorHAnsi" w:cstheme="majorHAnsi"/>
          <w:sz w:val="22"/>
          <w:szCs w:val="22"/>
        </w:rPr>
        <w:t xml:space="preserve"> for more se</w:t>
      </w:r>
      <w:r w:rsidR="00845CA2">
        <w:rPr>
          <w:rFonts w:asciiTheme="majorHAnsi" w:hAnsiTheme="majorHAnsi" w:cstheme="majorHAnsi"/>
          <w:sz w:val="22"/>
          <w:szCs w:val="22"/>
        </w:rPr>
        <w:t>vere, or frequently exacerbating</w:t>
      </w:r>
      <w:r w:rsidRPr="00AA7D88">
        <w:rPr>
          <w:rFonts w:asciiTheme="majorHAnsi" w:hAnsiTheme="majorHAnsi" w:cstheme="majorHAnsi"/>
          <w:sz w:val="22"/>
          <w:szCs w:val="22"/>
        </w:rPr>
        <w:t xml:space="preserve"> children. </w:t>
      </w:r>
      <w:r w:rsidR="00EA6118" w:rsidRPr="00AA7D88">
        <w:rPr>
          <w:rFonts w:asciiTheme="majorHAnsi" w:hAnsiTheme="majorHAnsi" w:cstheme="majorHAnsi"/>
          <w:sz w:val="22"/>
          <w:szCs w:val="22"/>
        </w:rPr>
        <w:t>Results from a</w:t>
      </w:r>
      <w:r w:rsidRPr="00AA7D88">
        <w:rPr>
          <w:rFonts w:asciiTheme="majorHAnsi" w:hAnsiTheme="majorHAnsi" w:cstheme="majorHAnsi"/>
          <w:sz w:val="22"/>
          <w:szCs w:val="22"/>
        </w:rPr>
        <w:t xml:space="preserve"> </w:t>
      </w:r>
      <w:r w:rsidR="00EA6118" w:rsidRPr="00AA7D88">
        <w:rPr>
          <w:rFonts w:asciiTheme="majorHAnsi" w:hAnsiTheme="majorHAnsi" w:cstheme="majorHAnsi"/>
          <w:sz w:val="22"/>
          <w:szCs w:val="22"/>
        </w:rPr>
        <w:t xml:space="preserve">multicentre </w:t>
      </w:r>
      <w:r w:rsidRPr="00AA7D88">
        <w:rPr>
          <w:rFonts w:asciiTheme="majorHAnsi" w:hAnsiTheme="majorHAnsi" w:cstheme="majorHAnsi"/>
          <w:sz w:val="22"/>
          <w:szCs w:val="22"/>
        </w:rPr>
        <w:t xml:space="preserve">study assessing the use of prophylactic azithromycin in PCD </w:t>
      </w:r>
      <w:r w:rsidR="00EA6118" w:rsidRPr="00AA7D88">
        <w:rPr>
          <w:rFonts w:asciiTheme="majorHAnsi" w:hAnsiTheme="majorHAnsi" w:cstheme="majorHAnsi"/>
          <w:sz w:val="22"/>
          <w:szCs w:val="22"/>
        </w:rPr>
        <w:t>should soon be available</w:t>
      </w:r>
      <w:r w:rsidR="0069460A" w:rsidRPr="00AA7D88">
        <w:rPr>
          <w:rFonts w:asciiTheme="majorHAnsi" w:hAnsiTheme="majorHAnsi" w:cstheme="majorHAnsi"/>
          <w:sz w:val="22"/>
          <w:szCs w:val="22"/>
        </w:rPr>
        <w:t xml:space="preserve"> and will help inform future management</w:t>
      </w:r>
      <w:r w:rsidR="00CF0C51" w:rsidRPr="00AA7D88">
        <w:rPr>
          <w:rFonts w:asciiTheme="majorHAnsi" w:hAnsiTheme="majorHAnsi" w:cstheme="majorHAnsi"/>
          <w:sz w:val="22"/>
          <w:szCs w:val="22"/>
        </w:rPr>
        <w:t xml:space="preserve"> </w:t>
      </w:r>
      <w:r w:rsidR="00735187">
        <w:rPr>
          <w:rFonts w:ascii="Calibri" w:hAnsi="Calibri" w:cs="Calibri"/>
          <w:sz w:val="22"/>
        </w:rPr>
        <w:t>(3</w:t>
      </w:r>
      <w:r w:rsidR="00373C3F">
        <w:rPr>
          <w:rFonts w:ascii="Calibri" w:hAnsi="Calibri" w:cs="Calibri"/>
          <w:sz w:val="22"/>
        </w:rPr>
        <w:t>8</w:t>
      </w:r>
      <w:r w:rsidR="00735187" w:rsidRPr="00735187">
        <w:rPr>
          <w:rFonts w:ascii="Calibri" w:hAnsi="Calibri" w:cs="Calibri"/>
          <w:sz w:val="22"/>
        </w:rPr>
        <w:t>)</w:t>
      </w:r>
      <w:r w:rsidR="00353BFA" w:rsidRPr="00AA7D88">
        <w:rPr>
          <w:rFonts w:asciiTheme="majorHAnsi" w:hAnsiTheme="majorHAnsi" w:cstheme="majorHAnsi"/>
          <w:sz w:val="22"/>
          <w:szCs w:val="22"/>
        </w:rPr>
        <w:t>.</w:t>
      </w:r>
    </w:p>
    <w:p w14:paraId="126E33F2" w14:textId="3DB5622A" w:rsidR="00A73B48" w:rsidRPr="00AA7D88" w:rsidRDefault="005C0A47" w:rsidP="001C6EA8">
      <w:pPr>
        <w:spacing w:after="120" w:line="480" w:lineRule="auto"/>
        <w:rPr>
          <w:rFonts w:asciiTheme="majorHAnsi" w:hAnsiTheme="majorHAnsi" w:cstheme="majorHAnsi"/>
          <w:sz w:val="22"/>
          <w:szCs w:val="22"/>
        </w:rPr>
      </w:pPr>
      <w:r w:rsidRPr="00AA7D88">
        <w:rPr>
          <w:rFonts w:asciiTheme="majorHAnsi" w:hAnsiTheme="majorHAnsi" w:cstheme="majorHAnsi"/>
          <w:sz w:val="22"/>
          <w:szCs w:val="22"/>
        </w:rPr>
        <w:t xml:space="preserve">Almost a quarter of </w:t>
      </w:r>
      <w:r w:rsidR="00D84321" w:rsidRPr="00AA7D88">
        <w:rPr>
          <w:rFonts w:asciiTheme="majorHAnsi" w:hAnsiTheme="majorHAnsi" w:cstheme="majorHAnsi"/>
          <w:sz w:val="22"/>
          <w:szCs w:val="22"/>
        </w:rPr>
        <w:t xml:space="preserve">our </w:t>
      </w:r>
      <w:r w:rsidRPr="00AA7D88">
        <w:rPr>
          <w:rFonts w:asciiTheme="majorHAnsi" w:hAnsiTheme="majorHAnsi" w:cstheme="majorHAnsi"/>
          <w:sz w:val="22"/>
          <w:szCs w:val="22"/>
        </w:rPr>
        <w:t xml:space="preserve">children needed hearing aids for moderate to profound hearing loss. </w:t>
      </w:r>
      <w:r w:rsidR="00F4460E" w:rsidRPr="00AA7D88">
        <w:rPr>
          <w:rFonts w:asciiTheme="majorHAnsi" w:hAnsiTheme="majorHAnsi" w:cstheme="majorHAnsi"/>
          <w:sz w:val="22"/>
          <w:szCs w:val="22"/>
        </w:rPr>
        <w:t>H</w:t>
      </w:r>
      <w:r w:rsidRPr="00AA7D88">
        <w:rPr>
          <w:rFonts w:asciiTheme="majorHAnsi" w:hAnsiTheme="majorHAnsi" w:cstheme="majorHAnsi"/>
          <w:sz w:val="22"/>
          <w:szCs w:val="22"/>
        </w:rPr>
        <w:t xml:space="preserve">earing </w:t>
      </w:r>
      <w:r w:rsidR="0079637C" w:rsidRPr="00AA7D88">
        <w:rPr>
          <w:rFonts w:asciiTheme="majorHAnsi" w:hAnsiTheme="majorHAnsi" w:cstheme="majorHAnsi"/>
          <w:sz w:val="22"/>
          <w:szCs w:val="22"/>
        </w:rPr>
        <w:t xml:space="preserve">seems to </w:t>
      </w:r>
      <w:r w:rsidRPr="00AA7D88">
        <w:rPr>
          <w:rFonts w:asciiTheme="majorHAnsi" w:hAnsiTheme="majorHAnsi" w:cstheme="majorHAnsi"/>
          <w:sz w:val="22"/>
          <w:szCs w:val="22"/>
        </w:rPr>
        <w:t>improve with age</w:t>
      </w:r>
      <w:r w:rsidR="00F4460E" w:rsidRPr="00AA7D88">
        <w:rPr>
          <w:rFonts w:asciiTheme="majorHAnsi" w:hAnsiTheme="majorHAnsi" w:cstheme="majorHAnsi"/>
          <w:sz w:val="22"/>
          <w:szCs w:val="22"/>
        </w:rPr>
        <w:t xml:space="preserve"> but the high proportion of patients with some level of hearing loss</w:t>
      </w:r>
      <w:r w:rsidRPr="00AA7D88">
        <w:rPr>
          <w:rFonts w:asciiTheme="majorHAnsi" w:hAnsiTheme="majorHAnsi" w:cstheme="majorHAnsi"/>
          <w:sz w:val="22"/>
          <w:szCs w:val="22"/>
        </w:rPr>
        <w:t xml:space="preserve"> stress</w:t>
      </w:r>
      <w:r w:rsidR="00F4460E" w:rsidRPr="00AA7D88">
        <w:rPr>
          <w:rFonts w:asciiTheme="majorHAnsi" w:hAnsiTheme="majorHAnsi" w:cstheme="majorHAnsi"/>
          <w:sz w:val="22"/>
          <w:szCs w:val="22"/>
        </w:rPr>
        <w:t>e</w:t>
      </w:r>
      <w:r w:rsidR="006A10D6" w:rsidRPr="00AA7D88">
        <w:rPr>
          <w:rFonts w:asciiTheme="majorHAnsi" w:hAnsiTheme="majorHAnsi" w:cstheme="majorHAnsi"/>
          <w:sz w:val="22"/>
          <w:szCs w:val="22"/>
        </w:rPr>
        <w:t xml:space="preserve">s </w:t>
      </w:r>
      <w:r w:rsidRPr="00AA7D88">
        <w:rPr>
          <w:rFonts w:asciiTheme="majorHAnsi" w:hAnsiTheme="majorHAnsi" w:cstheme="majorHAnsi"/>
          <w:sz w:val="22"/>
          <w:szCs w:val="22"/>
        </w:rPr>
        <w:t>the importance of regular hearing assessment</w:t>
      </w:r>
      <w:r w:rsidR="005866AF" w:rsidRPr="00AA7D88">
        <w:rPr>
          <w:rFonts w:asciiTheme="majorHAnsi" w:hAnsiTheme="majorHAnsi" w:cstheme="majorHAnsi"/>
          <w:sz w:val="22"/>
          <w:szCs w:val="22"/>
        </w:rPr>
        <w:t>s</w:t>
      </w:r>
      <w:r w:rsidRPr="00AA7D88">
        <w:rPr>
          <w:rFonts w:asciiTheme="majorHAnsi" w:hAnsiTheme="majorHAnsi" w:cstheme="majorHAnsi"/>
          <w:sz w:val="22"/>
          <w:szCs w:val="22"/>
        </w:rPr>
        <w:t xml:space="preserve"> and ENT </w:t>
      </w:r>
      <w:r w:rsidR="00AF1D62" w:rsidRPr="00AA7D88">
        <w:rPr>
          <w:rFonts w:asciiTheme="majorHAnsi" w:hAnsiTheme="majorHAnsi" w:cstheme="majorHAnsi"/>
          <w:sz w:val="22"/>
          <w:szCs w:val="22"/>
        </w:rPr>
        <w:t>follow-up</w:t>
      </w:r>
      <w:r w:rsidRPr="00AA7D88">
        <w:rPr>
          <w:rFonts w:asciiTheme="majorHAnsi" w:hAnsiTheme="majorHAnsi" w:cstheme="majorHAnsi"/>
          <w:sz w:val="22"/>
          <w:szCs w:val="22"/>
        </w:rPr>
        <w:t>, particularly in early childhood, when hearing is fundamental to speech development.</w:t>
      </w:r>
      <w:r w:rsidR="0069460A" w:rsidRPr="00AA7D88">
        <w:rPr>
          <w:rFonts w:asciiTheme="majorHAnsi" w:hAnsiTheme="majorHAnsi" w:cstheme="majorHAnsi"/>
          <w:sz w:val="22"/>
          <w:szCs w:val="22"/>
        </w:rPr>
        <w:t xml:space="preserve"> </w:t>
      </w:r>
      <w:r w:rsidR="00ED2CD5" w:rsidRPr="00AA7D88">
        <w:rPr>
          <w:rFonts w:asciiTheme="majorHAnsi" w:hAnsiTheme="majorHAnsi" w:cstheme="majorHAnsi"/>
          <w:sz w:val="22"/>
          <w:szCs w:val="22"/>
        </w:rPr>
        <w:t>O</w:t>
      </w:r>
      <w:r w:rsidR="0079637C" w:rsidRPr="00AA7D88">
        <w:rPr>
          <w:rFonts w:asciiTheme="majorHAnsi" w:hAnsiTheme="majorHAnsi" w:cstheme="majorHAnsi"/>
          <w:sz w:val="22"/>
          <w:szCs w:val="22"/>
        </w:rPr>
        <w:t>nly 2 out of 333 children</w:t>
      </w:r>
      <w:r w:rsidR="00ED2CD5" w:rsidRPr="00AA7D88">
        <w:rPr>
          <w:rFonts w:asciiTheme="majorHAnsi" w:hAnsiTheme="majorHAnsi" w:cstheme="majorHAnsi"/>
          <w:sz w:val="22"/>
          <w:szCs w:val="22"/>
        </w:rPr>
        <w:t xml:space="preserve"> in this study</w:t>
      </w:r>
      <w:r w:rsidR="0079637C" w:rsidRPr="00AA7D88">
        <w:rPr>
          <w:rFonts w:asciiTheme="majorHAnsi" w:hAnsiTheme="majorHAnsi" w:cstheme="majorHAnsi"/>
          <w:sz w:val="22"/>
          <w:szCs w:val="22"/>
        </w:rPr>
        <w:t xml:space="preserve"> had </w:t>
      </w:r>
      <w:r w:rsidR="00221DF7" w:rsidRPr="00AA7D88">
        <w:rPr>
          <w:rFonts w:asciiTheme="majorHAnsi" w:hAnsiTheme="majorHAnsi" w:cstheme="majorHAnsi"/>
          <w:sz w:val="22"/>
          <w:szCs w:val="22"/>
        </w:rPr>
        <w:t>ventilation tubes inserted under the care of t</w:t>
      </w:r>
      <w:r w:rsidR="0079637C" w:rsidRPr="00AA7D88">
        <w:rPr>
          <w:rFonts w:asciiTheme="majorHAnsi" w:hAnsiTheme="majorHAnsi" w:cstheme="majorHAnsi"/>
          <w:sz w:val="22"/>
          <w:szCs w:val="22"/>
        </w:rPr>
        <w:t xml:space="preserve">he </w:t>
      </w:r>
      <w:r w:rsidR="00C35BC3">
        <w:rPr>
          <w:rFonts w:asciiTheme="majorHAnsi" w:hAnsiTheme="majorHAnsi" w:cstheme="majorHAnsi"/>
          <w:sz w:val="22"/>
          <w:szCs w:val="22"/>
        </w:rPr>
        <w:t>S</w:t>
      </w:r>
      <w:r w:rsidR="0079637C" w:rsidRPr="00AA7D88">
        <w:rPr>
          <w:rFonts w:asciiTheme="majorHAnsi" w:hAnsiTheme="majorHAnsi" w:cstheme="majorHAnsi"/>
          <w:sz w:val="22"/>
          <w:szCs w:val="22"/>
        </w:rPr>
        <w:t>ervice</w:t>
      </w:r>
      <w:r w:rsidR="00221DF7" w:rsidRPr="00AA7D88">
        <w:rPr>
          <w:rFonts w:asciiTheme="majorHAnsi" w:hAnsiTheme="majorHAnsi" w:cstheme="majorHAnsi"/>
          <w:sz w:val="22"/>
          <w:szCs w:val="22"/>
        </w:rPr>
        <w:t xml:space="preserve">. The limited evidence for their use is both inconclusive and conflicting and a well-designed and powered study is needed to </w:t>
      </w:r>
      <w:r w:rsidR="00ED2CD5" w:rsidRPr="00AA7D88">
        <w:rPr>
          <w:rFonts w:asciiTheme="majorHAnsi" w:hAnsiTheme="majorHAnsi" w:cstheme="majorHAnsi"/>
          <w:sz w:val="22"/>
          <w:szCs w:val="22"/>
        </w:rPr>
        <w:t>investigate</w:t>
      </w:r>
      <w:r w:rsidR="00221DF7" w:rsidRPr="00AA7D88">
        <w:rPr>
          <w:rFonts w:asciiTheme="majorHAnsi" w:hAnsiTheme="majorHAnsi" w:cstheme="majorHAnsi"/>
          <w:sz w:val="22"/>
          <w:szCs w:val="22"/>
        </w:rPr>
        <w:t xml:space="preserve"> this important area of </w:t>
      </w:r>
      <w:r w:rsidR="00221DF7" w:rsidRPr="00AC2755">
        <w:rPr>
          <w:rFonts w:asciiTheme="majorHAnsi" w:hAnsiTheme="majorHAnsi" w:cstheme="majorHAnsi"/>
          <w:sz w:val="22"/>
          <w:szCs w:val="22"/>
        </w:rPr>
        <w:t>management</w:t>
      </w:r>
      <w:r w:rsidR="001A623E" w:rsidRPr="00AC2755">
        <w:rPr>
          <w:rFonts w:asciiTheme="majorHAnsi" w:hAnsiTheme="majorHAnsi" w:cstheme="majorHAnsi"/>
          <w:sz w:val="22"/>
          <w:szCs w:val="22"/>
        </w:rPr>
        <w:t xml:space="preserve"> </w:t>
      </w:r>
      <w:r w:rsidR="00735187" w:rsidRPr="00C35BC3">
        <w:rPr>
          <w:rFonts w:ascii="Calibri" w:hAnsi="Calibri" w:cs="Calibri"/>
          <w:sz w:val="22"/>
        </w:rPr>
        <w:t>(3</w:t>
      </w:r>
      <w:r w:rsidR="00373C3F">
        <w:rPr>
          <w:rFonts w:ascii="Calibri" w:hAnsi="Calibri" w:cs="Calibri"/>
          <w:sz w:val="22"/>
        </w:rPr>
        <w:t>9</w:t>
      </w:r>
      <w:r w:rsidR="00735187" w:rsidRPr="00C35BC3">
        <w:rPr>
          <w:rFonts w:ascii="Calibri" w:hAnsi="Calibri" w:cs="Calibri"/>
          <w:sz w:val="22"/>
        </w:rPr>
        <w:t>-</w:t>
      </w:r>
      <w:r w:rsidR="006417B8">
        <w:rPr>
          <w:rFonts w:ascii="Calibri" w:hAnsi="Calibri" w:cs="Calibri"/>
          <w:sz w:val="22"/>
        </w:rPr>
        <w:t>4</w:t>
      </w:r>
      <w:r w:rsidR="00373C3F">
        <w:rPr>
          <w:rFonts w:ascii="Calibri" w:hAnsi="Calibri" w:cs="Calibri"/>
          <w:sz w:val="22"/>
        </w:rPr>
        <w:t>2</w:t>
      </w:r>
      <w:r w:rsidR="00735187" w:rsidRPr="00C35BC3">
        <w:rPr>
          <w:rFonts w:ascii="Calibri" w:hAnsi="Calibri" w:cs="Calibri"/>
          <w:sz w:val="22"/>
        </w:rPr>
        <w:t>)</w:t>
      </w:r>
      <w:r w:rsidR="004E26C2" w:rsidRPr="00C35BC3">
        <w:rPr>
          <w:rFonts w:asciiTheme="majorHAnsi" w:hAnsiTheme="majorHAnsi" w:cstheme="majorHAnsi"/>
          <w:sz w:val="22"/>
          <w:szCs w:val="22"/>
        </w:rPr>
        <w:t>.</w:t>
      </w:r>
      <w:r w:rsidR="004E26C2" w:rsidRPr="00AA7D88">
        <w:rPr>
          <w:rFonts w:asciiTheme="majorHAnsi" w:hAnsiTheme="majorHAnsi" w:cstheme="majorHAnsi"/>
          <w:sz w:val="22"/>
          <w:szCs w:val="22"/>
        </w:rPr>
        <w:t xml:space="preserve"> </w:t>
      </w:r>
    </w:p>
    <w:p w14:paraId="24C790F4" w14:textId="036B58B5" w:rsidR="002F3CD5" w:rsidRPr="00AA7D88" w:rsidRDefault="001A623E" w:rsidP="001C6EA8">
      <w:pPr>
        <w:spacing w:after="120" w:line="480" w:lineRule="auto"/>
        <w:rPr>
          <w:rFonts w:asciiTheme="majorHAnsi" w:hAnsiTheme="majorHAnsi" w:cstheme="majorHAnsi"/>
          <w:sz w:val="22"/>
          <w:szCs w:val="22"/>
        </w:rPr>
      </w:pPr>
      <w:r w:rsidRPr="00AA7D88">
        <w:rPr>
          <w:rFonts w:asciiTheme="majorHAnsi" w:hAnsiTheme="majorHAnsi" w:cstheme="majorHAnsi"/>
          <w:sz w:val="22"/>
          <w:szCs w:val="22"/>
        </w:rPr>
        <w:t xml:space="preserve">The strength of this work is in the large number of well-characterised children with PCD evaluated under a nationally standardised </w:t>
      </w:r>
      <w:r w:rsidR="006A10D6" w:rsidRPr="00AA7D88">
        <w:rPr>
          <w:rFonts w:asciiTheme="majorHAnsi" w:hAnsiTheme="majorHAnsi" w:cstheme="majorHAnsi"/>
          <w:sz w:val="22"/>
          <w:szCs w:val="22"/>
        </w:rPr>
        <w:t>M</w:t>
      </w:r>
      <w:r w:rsidRPr="00AA7D88">
        <w:rPr>
          <w:rFonts w:asciiTheme="majorHAnsi" w:hAnsiTheme="majorHAnsi" w:cstheme="majorHAnsi"/>
          <w:sz w:val="22"/>
          <w:szCs w:val="22"/>
        </w:rPr>
        <w:t xml:space="preserve">anagement </w:t>
      </w:r>
      <w:r w:rsidR="006A10D6" w:rsidRPr="00AA7D88">
        <w:rPr>
          <w:rFonts w:asciiTheme="majorHAnsi" w:hAnsiTheme="majorHAnsi" w:cstheme="majorHAnsi"/>
          <w:sz w:val="22"/>
          <w:szCs w:val="22"/>
        </w:rPr>
        <w:t>S</w:t>
      </w:r>
      <w:r w:rsidRPr="00AA7D88">
        <w:rPr>
          <w:rFonts w:asciiTheme="majorHAnsi" w:hAnsiTheme="majorHAnsi" w:cstheme="majorHAnsi"/>
          <w:sz w:val="22"/>
          <w:szCs w:val="22"/>
        </w:rPr>
        <w:t xml:space="preserve">ervice. However, the data are cross-sectional and therefore do not allow for conclusions to be drawn on, for example, the potential benefits of therapeutic interventions or the detrimental impact of culturing particular pathogens on clinical outcomes. Detailed longitudinal follow up of these children are therefore required and will help inform both management guidelines and therapies </w:t>
      </w:r>
      <w:r w:rsidR="00486E79" w:rsidRPr="00AA7D88">
        <w:rPr>
          <w:rFonts w:asciiTheme="majorHAnsi" w:hAnsiTheme="majorHAnsi" w:cstheme="majorHAnsi"/>
          <w:sz w:val="22"/>
          <w:szCs w:val="22"/>
        </w:rPr>
        <w:t>to be</w:t>
      </w:r>
      <w:r w:rsidRPr="00AA7D88">
        <w:rPr>
          <w:rFonts w:asciiTheme="majorHAnsi" w:hAnsiTheme="majorHAnsi" w:cstheme="majorHAnsi"/>
          <w:sz w:val="22"/>
          <w:szCs w:val="22"/>
        </w:rPr>
        <w:t xml:space="preserve"> evaluated in</w:t>
      </w:r>
      <w:r w:rsidR="00486E79" w:rsidRPr="00AA7D88">
        <w:rPr>
          <w:rFonts w:asciiTheme="majorHAnsi" w:hAnsiTheme="majorHAnsi" w:cstheme="majorHAnsi"/>
          <w:sz w:val="22"/>
          <w:szCs w:val="22"/>
        </w:rPr>
        <w:t xml:space="preserve"> future</w:t>
      </w:r>
      <w:r w:rsidRPr="00AA7D88">
        <w:rPr>
          <w:rFonts w:asciiTheme="majorHAnsi" w:hAnsiTheme="majorHAnsi" w:cstheme="majorHAnsi"/>
          <w:sz w:val="22"/>
          <w:szCs w:val="22"/>
        </w:rPr>
        <w:t xml:space="preserve"> RCTs. </w:t>
      </w:r>
      <w:r w:rsidR="00843C16" w:rsidRPr="00AA7D88">
        <w:rPr>
          <w:rFonts w:asciiTheme="majorHAnsi" w:hAnsiTheme="majorHAnsi" w:cstheme="majorHAnsi"/>
          <w:sz w:val="22"/>
          <w:szCs w:val="22"/>
        </w:rPr>
        <w:t xml:space="preserve">Comparisons of lung function data between children with PCD and CF were limited to the data provided by the UK CF Registry (i.e. GLI-based spirometry measurements) and we were </w:t>
      </w:r>
      <w:r w:rsidRPr="00AA7D88">
        <w:rPr>
          <w:rFonts w:asciiTheme="majorHAnsi" w:hAnsiTheme="majorHAnsi" w:cstheme="majorHAnsi"/>
          <w:sz w:val="22"/>
          <w:szCs w:val="22"/>
        </w:rPr>
        <w:t xml:space="preserve">therefore </w:t>
      </w:r>
      <w:r w:rsidR="00843C16" w:rsidRPr="00AA7D88">
        <w:rPr>
          <w:rFonts w:asciiTheme="majorHAnsi" w:hAnsiTheme="majorHAnsi" w:cstheme="majorHAnsi"/>
          <w:sz w:val="22"/>
          <w:szCs w:val="22"/>
        </w:rPr>
        <w:t xml:space="preserve">unable to adjust CF data for potential confounders. </w:t>
      </w:r>
    </w:p>
    <w:p w14:paraId="1710B5C3" w14:textId="77777777" w:rsidR="00B77FC0" w:rsidRPr="00AA7D88" w:rsidRDefault="00594200" w:rsidP="001C6EA8">
      <w:pPr>
        <w:spacing w:after="120" w:line="480" w:lineRule="auto"/>
        <w:rPr>
          <w:rFonts w:asciiTheme="majorHAnsi" w:hAnsiTheme="majorHAnsi" w:cstheme="majorHAnsi"/>
          <w:b/>
          <w:sz w:val="22"/>
          <w:szCs w:val="22"/>
        </w:rPr>
      </w:pPr>
      <w:r w:rsidRPr="00AA7D88">
        <w:rPr>
          <w:rFonts w:asciiTheme="majorHAnsi" w:hAnsiTheme="majorHAnsi" w:cstheme="majorHAnsi"/>
          <w:b/>
          <w:sz w:val="22"/>
          <w:szCs w:val="22"/>
        </w:rPr>
        <w:t>CONCLUSIONS</w:t>
      </w:r>
    </w:p>
    <w:p w14:paraId="7719BA80" w14:textId="6C1A995B" w:rsidR="00C05D70" w:rsidRPr="00AA7D88" w:rsidRDefault="00EF2693" w:rsidP="001C6EA8">
      <w:pPr>
        <w:spacing w:after="120" w:line="480" w:lineRule="auto"/>
        <w:rPr>
          <w:rFonts w:asciiTheme="majorHAnsi" w:hAnsiTheme="majorHAnsi" w:cstheme="majorHAnsi"/>
          <w:sz w:val="22"/>
          <w:szCs w:val="22"/>
        </w:rPr>
      </w:pPr>
      <w:r w:rsidRPr="00AA7D88">
        <w:rPr>
          <w:rStyle w:val="apple-converted-space"/>
          <w:rFonts w:asciiTheme="majorHAnsi" w:hAnsiTheme="majorHAnsi" w:cstheme="majorHAnsi"/>
          <w:color w:val="000000"/>
          <w:sz w:val="22"/>
          <w:szCs w:val="22"/>
        </w:rPr>
        <w:t xml:space="preserve">Our data </w:t>
      </w:r>
      <w:r w:rsidR="00486E79" w:rsidRPr="00AA7D88">
        <w:rPr>
          <w:rStyle w:val="apple-converted-space"/>
          <w:rFonts w:asciiTheme="majorHAnsi" w:hAnsiTheme="majorHAnsi" w:cstheme="majorHAnsi"/>
          <w:color w:val="000000"/>
          <w:sz w:val="22"/>
          <w:szCs w:val="22"/>
        </w:rPr>
        <w:t>suggests</w:t>
      </w:r>
      <w:r w:rsidR="00B77FC0" w:rsidRPr="00AA7D88">
        <w:rPr>
          <w:rStyle w:val="apple-converted-space"/>
          <w:rFonts w:asciiTheme="majorHAnsi" w:hAnsiTheme="majorHAnsi" w:cstheme="majorHAnsi"/>
          <w:color w:val="000000"/>
          <w:sz w:val="22"/>
          <w:szCs w:val="22"/>
        </w:rPr>
        <w:t xml:space="preserve"> that, far from being a mild respiratory condition, children with PCD have worse lung function than those with CF</w:t>
      </w:r>
      <w:r w:rsidR="00E76EAC" w:rsidRPr="00AA7D88">
        <w:rPr>
          <w:rStyle w:val="apple-converted-space"/>
          <w:rFonts w:asciiTheme="majorHAnsi" w:hAnsiTheme="majorHAnsi" w:cstheme="majorHAnsi"/>
          <w:color w:val="000000"/>
          <w:sz w:val="22"/>
          <w:szCs w:val="22"/>
        </w:rPr>
        <w:t>, particularly at</w:t>
      </w:r>
      <w:r w:rsidR="003C032C" w:rsidRPr="00AA7D88">
        <w:rPr>
          <w:rStyle w:val="apple-converted-space"/>
          <w:rFonts w:asciiTheme="majorHAnsi" w:hAnsiTheme="majorHAnsi" w:cstheme="majorHAnsi"/>
          <w:color w:val="000000"/>
          <w:sz w:val="22"/>
          <w:szCs w:val="22"/>
        </w:rPr>
        <w:t xml:space="preserve"> an earl</w:t>
      </w:r>
      <w:r w:rsidR="00E76EAC" w:rsidRPr="00AA7D88">
        <w:rPr>
          <w:rStyle w:val="apple-converted-space"/>
          <w:rFonts w:asciiTheme="majorHAnsi" w:hAnsiTheme="majorHAnsi" w:cstheme="majorHAnsi"/>
          <w:color w:val="000000"/>
          <w:sz w:val="22"/>
          <w:szCs w:val="22"/>
        </w:rPr>
        <w:t>ier</w:t>
      </w:r>
      <w:r w:rsidR="003C032C" w:rsidRPr="00AA7D88">
        <w:rPr>
          <w:rStyle w:val="apple-converted-space"/>
          <w:rFonts w:asciiTheme="majorHAnsi" w:hAnsiTheme="majorHAnsi" w:cstheme="majorHAnsi"/>
          <w:color w:val="000000"/>
          <w:sz w:val="22"/>
          <w:szCs w:val="22"/>
        </w:rPr>
        <w:t xml:space="preserve"> age</w:t>
      </w:r>
      <w:r w:rsidR="00B77FC0" w:rsidRPr="00AA7D88">
        <w:rPr>
          <w:rStyle w:val="apple-converted-space"/>
          <w:rFonts w:asciiTheme="majorHAnsi" w:hAnsiTheme="majorHAnsi" w:cstheme="majorHAnsi"/>
          <w:color w:val="000000"/>
          <w:sz w:val="22"/>
          <w:szCs w:val="22"/>
        </w:rPr>
        <w:t xml:space="preserve">. </w:t>
      </w:r>
      <w:r w:rsidR="00C05D70" w:rsidRPr="00AA7D88">
        <w:rPr>
          <w:rFonts w:asciiTheme="majorHAnsi" w:hAnsiTheme="majorHAnsi" w:cstheme="majorHAnsi"/>
          <w:sz w:val="22"/>
          <w:szCs w:val="22"/>
        </w:rPr>
        <w:t xml:space="preserve">Those with a lower BMI have </w:t>
      </w:r>
      <w:r w:rsidR="00C307F2" w:rsidRPr="00AA7D88">
        <w:rPr>
          <w:rFonts w:asciiTheme="majorHAnsi" w:hAnsiTheme="majorHAnsi" w:cstheme="majorHAnsi"/>
          <w:sz w:val="22"/>
          <w:szCs w:val="22"/>
        </w:rPr>
        <w:t xml:space="preserve">a </w:t>
      </w:r>
      <w:r w:rsidR="00C05D70" w:rsidRPr="00AA7D88">
        <w:rPr>
          <w:rFonts w:asciiTheme="majorHAnsi" w:hAnsiTheme="majorHAnsi" w:cstheme="majorHAnsi"/>
          <w:sz w:val="22"/>
          <w:szCs w:val="22"/>
        </w:rPr>
        <w:t>significantly lower FEV</w:t>
      </w:r>
      <w:r w:rsidR="00C05D70" w:rsidRPr="00AA7D88">
        <w:rPr>
          <w:rFonts w:asciiTheme="majorHAnsi" w:hAnsiTheme="majorHAnsi" w:cstheme="majorHAnsi"/>
          <w:sz w:val="22"/>
          <w:szCs w:val="22"/>
          <w:vertAlign w:val="subscript"/>
        </w:rPr>
        <w:t>1</w:t>
      </w:r>
      <w:r w:rsidR="00C05D70" w:rsidRPr="00AA7D88">
        <w:rPr>
          <w:rFonts w:asciiTheme="majorHAnsi" w:hAnsiTheme="majorHAnsi" w:cstheme="majorHAnsi"/>
          <w:sz w:val="22"/>
          <w:szCs w:val="22"/>
        </w:rPr>
        <w:t xml:space="preserve"> </w:t>
      </w:r>
      <w:r w:rsidR="00325E1C" w:rsidRPr="00AA7D88">
        <w:rPr>
          <w:rFonts w:asciiTheme="majorHAnsi" w:hAnsiTheme="majorHAnsi" w:cstheme="majorHAnsi"/>
          <w:sz w:val="22"/>
          <w:szCs w:val="22"/>
        </w:rPr>
        <w:t>therefore</w:t>
      </w:r>
      <w:r w:rsidR="00C35BC3">
        <w:rPr>
          <w:rFonts w:asciiTheme="majorHAnsi" w:hAnsiTheme="majorHAnsi" w:cstheme="majorHAnsi"/>
          <w:sz w:val="22"/>
          <w:szCs w:val="22"/>
        </w:rPr>
        <w:t xml:space="preserve"> </w:t>
      </w:r>
      <w:r w:rsidR="00325E1C" w:rsidRPr="00AA7D88">
        <w:rPr>
          <w:rFonts w:asciiTheme="majorHAnsi" w:hAnsiTheme="majorHAnsi" w:cstheme="majorHAnsi"/>
          <w:sz w:val="22"/>
          <w:szCs w:val="22"/>
        </w:rPr>
        <w:t xml:space="preserve">nutritional status </w:t>
      </w:r>
      <w:r w:rsidR="00C05D70" w:rsidRPr="00AA7D88">
        <w:rPr>
          <w:rFonts w:asciiTheme="majorHAnsi" w:hAnsiTheme="majorHAnsi" w:cstheme="majorHAnsi"/>
          <w:sz w:val="22"/>
          <w:szCs w:val="22"/>
        </w:rPr>
        <w:t xml:space="preserve">should be considered in their management. </w:t>
      </w:r>
      <w:r w:rsidR="00221DF7" w:rsidRPr="00AA7D88">
        <w:rPr>
          <w:rFonts w:asciiTheme="majorHAnsi" w:hAnsiTheme="majorHAnsi" w:cstheme="majorHAnsi"/>
          <w:sz w:val="22"/>
          <w:szCs w:val="22"/>
        </w:rPr>
        <w:t>Well designed and powered RCTs on the management of PCD are needed to inform best clinical practice.</w:t>
      </w:r>
    </w:p>
    <w:p w14:paraId="3114B756" w14:textId="77777777" w:rsidR="0092105C" w:rsidRPr="00AA7D88" w:rsidRDefault="0092105C" w:rsidP="00191874">
      <w:pPr>
        <w:spacing w:line="480" w:lineRule="auto"/>
        <w:rPr>
          <w:rFonts w:asciiTheme="majorHAnsi" w:hAnsiTheme="majorHAnsi" w:cstheme="majorHAnsi"/>
          <w:sz w:val="22"/>
          <w:szCs w:val="22"/>
        </w:rPr>
      </w:pPr>
      <w:r w:rsidRPr="00AA7D88">
        <w:rPr>
          <w:rFonts w:asciiTheme="majorHAnsi" w:hAnsiTheme="majorHAnsi" w:cstheme="majorHAnsi"/>
          <w:sz w:val="22"/>
          <w:szCs w:val="22"/>
        </w:rPr>
        <w:br w:type="page"/>
      </w:r>
    </w:p>
    <w:p w14:paraId="02CA3B62" w14:textId="77777777" w:rsidR="00B3185D" w:rsidRPr="00AA7D88" w:rsidRDefault="00B3185D" w:rsidP="00191874">
      <w:pPr>
        <w:spacing w:line="480" w:lineRule="auto"/>
        <w:rPr>
          <w:rFonts w:asciiTheme="majorHAnsi" w:hAnsiTheme="majorHAnsi" w:cstheme="majorHAnsi"/>
          <w:b/>
        </w:rPr>
      </w:pPr>
      <w:r w:rsidRPr="00AA7D88">
        <w:rPr>
          <w:rFonts w:asciiTheme="majorHAnsi" w:hAnsiTheme="majorHAnsi" w:cstheme="majorHAnsi"/>
          <w:b/>
        </w:rPr>
        <w:t>Acknowledgements</w:t>
      </w:r>
    </w:p>
    <w:p w14:paraId="2354C99D" w14:textId="77777777" w:rsidR="00091D72" w:rsidRPr="00AA7D88" w:rsidRDefault="00091D72" w:rsidP="00191874">
      <w:pPr>
        <w:spacing w:line="480" w:lineRule="auto"/>
        <w:rPr>
          <w:rFonts w:asciiTheme="majorHAnsi" w:hAnsiTheme="majorHAnsi" w:cstheme="majorHAnsi"/>
          <w:b/>
        </w:rPr>
      </w:pPr>
    </w:p>
    <w:p w14:paraId="06C7498F" w14:textId="77777777" w:rsidR="00B3185D" w:rsidRPr="00AA7D88" w:rsidRDefault="00BA2570" w:rsidP="00191874">
      <w:pPr>
        <w:spacing w:line="480" w:lineRule="auto"/>
        <w:rPr>
          <w:rFonts w:asciiTheme="majorHAnsi" w:hAnsiTheme="majorHAnsi" w:cstheme="majorHAnsi"/>
          <w:color w:val="000000" w:themeColor="text1"/>
          <w:sz w:val="22"/>
          <w:szCs w:val="22"/>
        </w:rPr>
      </w:pPr>
      <w:r w:rsidRPr="00AA7D88">
        <w:rPr>
          <w:rFonts w:asciiTheme="majorHAnsi" w:hAnsiTheme="majorHAnsi" w:cstheme="majorHAnsi"/>
          <w:sz w:val="22"/>
          <w:szCs w:val="22"/>
        </w:rPr>
        <w:t xml:space="preserve">The National PCD Service is </w:t>
      </w:r>
      <w:r w:rsidRPr="00AA7D88">
        <w:rPr>
          <w:rFonts w:asciiTheme="majorHAnsi" w:hAnsiTheme="majorHAnsi" w:cstheme="majorHAnsi"/>
          <w:color w:val="000000" w:themeColor="text1"/>
          <w:sz w:val="22"/>
          <w:szCs w:val="22"/>
        </w:rPr>
        <w:t xml:space="preserve">commissioned and funded by NHS England. Research in Southampton is supported by NIHR Southampton Biomedical Research </w:t>
      </w:r>
      <w:r w:rsidR="00D7735F" w:rsidRPr="00AA7D88">
        <w:rPr>
          <w:rFonts w:asciiTheme="majorHAnsi" w:hAnsiTheme="majorHAnsi" w:cstheme="majorHAnsi"/>
          <w:color w:val="000000" w:themeColor="text1"/>
          <w:sz w:val="22"/>
          <w:szCs w:val="22"/>
        </w:rPr>
        <w:t>Centre</w:t>
      </w:r>
      <w:r w:rsidRPr="00AA7D88">
        <w:rPr>
          <w:rFonts w:asciiTheme="majorHAnsi" w:hAnsiTheme="majorHAnsi" w:cstheme="majorHAnsi"/>
          <w:color w:val="000000" w:themeColor="text1"/>
          <w:sz w:val="22"/>
          <w:szCs w:val="22"/>
        </w:rPr>
        <w:t xml:space="preserve"> and NIHR Wellcome Trust Clinical Research Facility.</w:t>
      </w:r>
      <w:r w:rsidR="0079637C" w:rsidRPr="00AA7D88">
        <w:rPr>
          <w:rFonts w:asciiTheme="majorHAnsi" w:hAnsiTheme="majorHAnsi" w:cstheme="majorHAnsi"/>
          <w:color w:val="000000" w:themeColor="text1"/>
          <w:sz w:val="22"/>
          <w:szCs w:val="22"/>
        </w:rPr>
        <w:t xml:space="preserve"> </w:t>
      </w:r>
      <w:r w:rsidR="00A57270" w:rsidRPr="00AA7D88">
        <w:rPr>
          <w:rFonts w:asciiTheme="majorHAnsi" w:hAnsiTheme="majorHAnsi" w:cstheme="majorHAnsi"/>
          <w:color w:val="000000" w:themeColor="text1"/>
          <w:sz w:val="22"/>
          <w:szCs w:val="22"/>
        </w:rPr>
        <w:t xml:space="preserve">Research in </w:t>
      </w:r>
      <w:r w:rsidR="00E90345" w:rsidRPr="00AA7D88">
        <w:rPr>
          <w:rFonts w:asciiTheme="majorHAnsi" w:hAnsiTheme="majorHAnsi" w:cstheme="majorHAnsi"/>
          <w:color w:val="000000" w:themeColor="text1"/>
          <w:sz w:val="22"/>
          <w:szCs w:val="22"/>
        </w:rPr>
        <w:t>Royal B</w:t>
      </w:r>
      <w:r w:rsidR="00A57270" w:rsidRPr="00AA7D88">
        <w:rPr>
          <w:rFonts w:asciiTheme="majorHAnsi" w:hAnsiTheme="majorHAnsi" w:cstheme="majorHAnsi"/>
          <w:color w:val="000000" w:themeColor="text1"/>
          <w:sz w:val="22"/>
          <w:szCs w:val="22"/>
        </w:rPr>
        <w:t xml:space="preserve">rompton </w:t>
      </w:r>
      <w:r w:rsidR="0079637C" w:rsidRPr="00AA7D88">
        <w:rPr>
          <w:rFonts w:asciiTheme="majorHAnsi" w:hAnsiTheme="majorHAnsi" w:cstheme="majorHAnsi"/>
          <w:color w:val="000000" w:themeColor="text1"/>
          <w:sz w:val="22"/>
          <w:szCs w:val="22"/>
        </w:rPr>
        <w:t xml:space="preserve">Hospital </w:t>
      </w:r>
      <w:r w:rsidR="00A57270" w:rsidRPr="00AA7D88">
        <w:rPr>
          <w:rFonts w:asciiTheme="majorHAnsi" w:hAnsiTheme="majorHAnsi" w:cstheme="majorHAnsi"/>
          <w:color w:val="000000" w:themeColor="text1"/>
          <w:sz w:val="22"/>
          <w:szCs w:val="22"/>
        </w:rPr>
        <w:t>is supported by the NHLI, Imperial College</w:t>
      </w:r>
      <w:r w:rsidR="00E90345" w:rsidRPr="00AA7D88">
        <w:rPr>
          <w:rFonts w:asciiTheme="majorHAnsi" w:hAnsiTheme="majorHAnsi" w:cstheme="majorHAnsi"/>
          <w:color w:val="000000" w:themeColor="text1"/>
          <w:sz w:val="22"/>
          <w:szCs w:val="22"/>
        </w:rPr>
        <w:t xml:space="preserve"> London.</w:t>
      </w:r>
      <w:r w:rsidR="0079637C" w:rsidRPr="00AA7D88">
        <w:rPr>
          <w:rFonts w:asciiTheme="majorHAnsi" w:hAnsiTheme="majorHAnsi" w:cstheme="majorHAnsi"/>
          <w:color w:val="000000" w:themeColor="text1"/>
          <w:sz w:val="22"/>
          <w:szCs w:val="22"/>
        </w:rPr>
        <w:t xml:space="preserve"> </w:t>
      </w:r>
      <w:r w:rsidR="00C5746B" w:rsidRPr="00AA7D88">
        <w:rPr>
          <w:rFonts w:asciiTheme="majorHAnsi" w:hAnsiTheme="majorHAnsi" w:cstheme="majorHAnsi"/>
          <w:color w:val="000000" w:themeColor="text1"/>
          <w:sz w:val="22"/>
          <w:szCs w:val="22"/>
        </w:rPr>
        <w:t>Research in GOSH is</w:t>
      </w:r>
      <w:r w:rsidR="0079637C" w:rsidRPr="00AA7D88">
        <w:rPr>
          <w:rFonts w:asciiTheme="majorHAnsi" w:hAnsiTheme="majorHAnsi" w:cstheme="majorHAnsi"/>
          <w:iCs/>
          <w:color w:val="000000" w:themeColor="text1"/>
          <w:sz w:val="22"/>
          <w:szCs w:val="22"/>
        </w:rPr>
        <w:t xml:space="preserve"> </w:t>
      </w:r>
      <w:r w:rsidR="009E2C63" w:rsidRPr="00AA7D88">
        <w:rPr>
          <w:rFonts w:asciiTheme="majorHAnsi" w:hAnsiTheme="majorHAnsi" w:cstheme="majorHAnsi"/>
          <w:iCs/>
          <w:color w:val="000000" w:themeColor="text1"/>
          <w:sz w:val="22"/>
          <w:szCs w:val="22"/>
        </w:rPr>
        <w:t>supported by the NIHR GOSH BRC.</w:t>
      </w:r>
      <w:r w:rsidR="00C5746B" w:rsidRPr="00AA7D88">
        <w:rPr>
          <w:rFonts w:asciiTheme="majorHAnsi" w:hAnsiTheme="majorHAnsi" w:cstheme="majorHAnsi"/>
          <w:color w:val="000000" w:themeColor="text1"/>
          <w:sz w:val="22"/>
          <w:szCs w:val="22"/>
        </w:rPr>
        <w:t xml:space="preserve"> </w:t>
      </w:r>
      <w:r w:rsidR="00C5746B" w:rsidRPr="00AA7D88">
        <w:rPr>
          <w:rFonts w:asciiTheme="majorHAnsi" w:hAnsiTheme="majorHAnsi" w:cstheme="majorHAnsi"/>
          <w:sz w:val="22"/>
          <w:szCs w:val="22"/>
        </w:rPr>
        <w:t xml:space="preserve">Research in the University Hospitals of Leicester NHS Trust is supported by University of Leicester, Leicester. Research in Birmingham Women’s and Children’s Hospital NHS Trust is supported by the University of Birmingham and Wellcome Trust Clinical Research Facility. </w:t>
      </w:r>
      <w:r w:rsidR="00A66817" w:rsidRPr="00AA7D88">
        <w:rPr>
          <w:rFonts w:asciiTheme="majorHAnsi" w:hAnsiTheme="majorHAnsi" w:cstheme="majorHAnsi"/>
          <w:color w:val="000000" w:themeColor="text1"/>
          <w:sz w:val="22"/>
          <w:szCs w:val="22"/>
        </w:rPr>
        <w:t xml:space="preserve">We would </w:t>
      </w:r>
      <w:r w:rsidR="00587B16" w:rsidRPr="00AA7D88">
        <w:rPr>
          <w:rFonts w:asciiTheme="majorHAnsi" w:hAnsiTheme="majorHAnsi" w:cstheme="majorHAnsi"/>
          <w:color w:val="000000" w:themeColor="text1"/>
          <w:sz w:val="22"/>
          <w:szCs w:val="22"/>
        </w:rPr>
        <w:t xml:space="preserve">also </w:t>
      </w:r>
      <w:r w:rsidR="00A66817" w:rsidRPr="00AA7D88">
        <w:rPr>
          <w:rFonts w:asciiTheme="majorHAnsi" w:hAnsiTheme="majorHAnsi" w:cstheme="majorHAnsi"/>
          <w:color w:val="000000" w:themeColor="text1"/>
          <w:sz w:val="22"/>
          <w:szCs w:val="22"/>
        </w:rPr>
        <w:t>like to thank all our shared care centres</w:t>
      </w:r>
      <w:r w:rsidR="00221DF7" w:rsidRPr="00AA7D88">
        <w:rPr>
          <w:rFonts w:asciiTheme="majorHAnsi" w:hAnsiTheme="majorHAnsi" w:cstheme="majorHAnsi"/>
          <w:color w:val="000000" w:themeColor="text1"/>
          <w:sz w:val="22"/>
          <w:szCs w:val="22"/>
        </w:rPr>
        <w:t xml:space="preserve">, </w:t>
      </w:r>
      <w:r w:rsidR="00587B16" w:rsidRPr="00AA7D88">
        <w:rPr>
          <w:rFonts w:asciiTheme="majorHAnsi" w:hAnsiTheme="majorHAnsi" w:cstheme="majorHAnsi"/>
          <w:color w:val="000000" w:themeColor="text1"/>
          <w:sz w:val="22"/>
          <w:szCs w:val="22"/>
        </w:rPr>
        <w:t>our patients and the UK PCD Family Support Group.</w:t>
      </w:r>
    </w:p>
    <w:p w14:paraId="7F1F6BFE" w14:textId="21727640" w:rsidR="00E12A91" w:rsidRDefault="00E12A91" w:rsidP="00191874">
      <w:pPr>
        <w:spacing w:line="480" w:lineRule="auto"/>
        <w:rPr>
          <w:rFonts w:asciiTheme="majorHAnsi" w:hAnsiTheme="majorHAnsi" w:cstheme="majorHAnsi"/>
          <w:sz w:val="22"/>
          <w:szCs w:val="22"/>
        </w:rPr>
      </w:pPr>
    </w:p>
    <w:p w14:paraId="3F2F32FE" w14:textId="6833447D" w:rsidR="00E12A91" w:rsidRPr="00A9790F" w:rsidRDefault="00E12A91" w:rsidP="00191874">
      <w:pPr>
        <w:spacing w:line="480" w:lineRule="auto"/>
        <w:rPr>
          <w:rFonts w:asciiTheme="majorHAnsi" w:hAnsiTheme="majorHAnsi" w:cstheme="majorHAnsi"/>
          <w:b/>
        </w:rPr>
      </w:pPr>
      <w:r w:rsidRPr="00A9790F">
        <w:rPr>
          <w:rFonts w:asciiTheme="majorHAnsi" w:hAnsiTheme="majorHAnsi" w:cstheme="majorHAnsi"/>
          <w:b/>
        </w:rPr>
        <w:t>Competing Interest</w:t>
      </w:r>
    </w:p>
    <w:p w14:paraId="11D74F9F" w14:textId="77C47610" w:rsidR="00E12A91" w:rsidRDefault="00567FCB" w:rsidP="00191874">
      <w:pPr>
        <w:spacing w:line="480" w:lineRule="auto"/>
        <w:rPr>
          <w:rFonts w:ascii="Myriad Pro" w:eastAsiaTheme="minorEastAsia" w:hAnsi="Myriad Pro" w:cs="Myriad Pro"/>
          <w:sz w:val="20"/>
          <w:szCs w:val="20"/>
        </w:rPr>
      </w:pPr>
      <w:proofErr w:type="spellStart"/>
      <w:r>
        <w:rPr>
          <w:rFonts w:ascii="Myriad Pro" w:eastAsiaTheme="minorEastAsia" w:hAnsi="Myriad Pro" w:cs="Myriad Pro"/>
          <w:sz w:val="20"/>
          <w:szCs w:val="20"/>
        </w:rPr>
        <w:t>Dr.</w:t>
      </w:r>
      <w:proofErr w:type="spellEnd"/>
      <w:r>
        <w:rPr>
          <w:rFonts w:ascii="Myriad Pro" w:eastAsiaTheme="minorEastAsia" w:hAnsi="Myriad Pro" w:cs="Myriad Pro"/>
          <w:sz w:val="20"/>
          <w:szCs w:val="20"/>
        </w:rPr>
        <w:t xml:space="preserve"> Lucas reports grants, personal fees and non-financial support from Aerocrine/ Circassia, grants and personal fees from Vertex, grants from </w:t>
      </w:r>
      <w:proofErr w:type="spellStart"/>
      <w:r>
        <w:rPr>
          <w:rFonts w:ascii="Myriad Pro" w:eastAsiaTheme="minorEastAsia" w:hAnsi="Myriad Pro" w:cs="Myriad Pro"/>
          <w:sz w:val="20"/>
          <w:szCs w:val="20"/>
        </w:rPr>
        <w:t>Parion</w:t>
      </w:r>
      <w:proofErr w:type="spellEnd"/>
      <w:r>
        <w:rPr>
          <w:rFonts w:ascii="Myriad Pro" w:eastAsiaTheme="minorEastAsia" w:hAnsi="Myriad Pro" w:cs="Myriad Pro"/>
          <w:sz w:val="20"/>
          <w:szCs w:val="20"/>
        </w:rPr>
        <w:t xml:space="preserve">, outside the submitted work. </w:t>
      </w:r>
      <w:proofErr w:type="spellStart"/>
      <w:r w:rsidR="00616BEF">
        <w:rPr>
          <w:rFonts w:ascii="Myriad Pro" w:eastAsiaTheme="minorEastAsia" w:hAnsi="Myriad Pro" w:cs="Myriad Pro"/>
          <w:sz w:val="20"/>
          <w:szCs w:val="20"/>
        </w:rPr>
        <w:t>Dr.</w:t>
      </w:r>
      <w:proofErr w:type="spellEnd"/>
      <w:r w:rsidR="00616BEF">
        <w:rPr>
          <w:rFonts w:ascii="Myriad Pro" w:eastAsiaTheme="minorEastAsia" w:hAnsi="Myriad Pro" w:cs="Myriad Pro"/>
          <w:sz w:val="20"/>
          <w:szCs w:val="20"/>
        </w:rPr>
        <w:t xml:space="preserve"> Carr reports grants, personal fees and non-financial support from Vertex Pharmaceuticals, grants and other from </w:t>
      </w:r>
      <w:proofErr w:type="spellStart"/>
      <w:r w:rsidR="00616BEF">
        <w:rPr>
          <w:rFonts w:ascii="Myriad Pro" w:eastAsiaTheme="minorEastAsia" w:hAnsi="Myriad Pro" w:cs="Myriad Pro"/>
          <w:sz w:val="20"/>
          <w:szCs w:val="20"/>
        </w:rPr>
        <w:t>Chiesi</w:t>
      </w:r>
      <w:proofErr w:type="spellEnd"/>
      <w:r w:rsidR="00616BEF">
        <w:rPr>
          <w:rFonts w:ascii="Myriad Pro" w:eastAsiaTheme="minorEastAsia" w:hAnsi="Myriad Pro" w:cs="Myriad Pro"/>
          <w:sz w:val="20"/>
          <w:szCs w:val="20"/>
        </w:rPr>
        <w:t xml:space="preserve"> Pharmaceuticals, other from </w:t>
      </w:r>
      <w:proofErr w:type="spellStart"/>
      <w:r w:rsidR="00616BEF">
        <w:rPr>
          <w:rFonts w:ascii="Myriad Pro" w:eastAsiaTheme="minorEastAsia" w:hAnsi="Myriad Pro" w:cs="Myriad Pro"/>
          <w:sz w:val="20"/>
          <w:szCs w:val="20"/>
        </w:rPr>
        <w:t>Pharmaxis</w:t>
      </w:r>
      <w:proofErr w:type="spellEnd"/>
      <w:r w:rsidR="00616BEF">
        <w:rPr>
          <w:rFonts w:ascii="Myriad Pro" w:eastAsiaTheme="minorEastAsia" w:hAnsi="Myriad Pro" w:cs="Myriad Pro"/>
          <w:sz w:val="20"/>
          <w:szCs w:val="20"/>
        </w:rPr>
        <w:t xml:space="preserve"> Pharmaceuticals, personal fees from Actavis Pharmaceuticals, other from Profile Pharma, outside the submitted work</w:t>
      </w:r>
      <w:r w:rsidR="00106961">
        <w:rPr>
          <w:rFonts w:ascii="Myriad Pro" w:eastAsiaTheme="minorEastAsia" w:hAnsi="Myriad Pro" w:cs="Myriad Pro"/>
          <w:sz w:val="20"/>
          <w:szCs w:val="20"/>
        </w:rPr>
        <w:t>.</w:t>
      </w:r>
    </w:p>
    <w:p w14:paraId="46F24A29" w14:textId="77777777" w:rsidR="00A9790F" w:rsidRPr="00AA7D88" w:rsidRDefault="00A9790F" w:rsidP="00191874">
      <w:pPr>
        <w:spacing w:line="480" w:lineRule="auto"/>
        <w:rPr>
          <w:rFonts w:asciiTheme="majorHAnsi" w:hAnsiTheme="majorHAnsi" w:cstheme="majorHAnsi"/>
          <w:sz w:val="22"/>
          <w:szCs w:val="22"/>
        </w:rPr>
      </w:pPr>
    </w:p>
    <w:p w14:paraId="7034075F" w14:textId="77777777" w:rsidR="00B73379" w:rsidRPr="00AA7D88" w:rsidRDefault="00B73379" w:rsidP="00191874">
      <w:pPr>
        <w:spacing w:line="480" w:lineRule="auto"/>
        <w:rPr>
          <w:rFonts w:asciiTheme="majorHAnsi" w:hAnsiTheme="majorHAnsi" w:cstheme="majorHAnsi"/>
          <w:b/>
        </w:rPr>
      </w:pPr>
      <w:r w:rsidRPr="00AA7D88">
        <w:rPr>
          <w:rFonts w:asciiTheme="majorHAnsi" w:hAnsiTheme="majorHAnsi" w:cstheme="majorHAnsi"/>
          <w:b/>
        </w:rPr>
        <w:t>Contributions</w:t>
      </w:r>
    </w:p>
    <w:p w14:paraId="170BC8C4" w14:textId="77777777" w:rsidR="00091D72" w:rsidRPr="00AA7D88" w:rsidRDefault="00091D72" w:rsidP="00191874">
      <w:pPr>
        <w:spacing w:line="480" w:lineRule="auto"/>
        <w:rPr>
          <w:rFonts w:asciiTheme="majorHAnsi" w:hAnsiTheme="majorHAnsi" w:cstheme="majorHAnsi"/>
          <w:b/>
        </w:rPr>
      </w:pPr>
    </w:p>
    <w:p w14:paraId="3A21C76B" w14:textId="4F8558E6" w:rsidR="00B73379" w:rsidRPr="00AA7D88" w:rsidRDefault="00B73379" w:rsidP="00191874">
      <w:pPr>
        <w:spacing w:line="480" w:lineRule="auto"/>
        <w:rPr>
          <w:rFonts w:asciiTheme="majorHAnsi" w:hAnsiTheme="majorHAnsi" w:cstheme="majorHAnsi"/>
        </w:rPr>
      </w:pPr>
      <w:r w:rsidRPr="00AA7D88">
        <w:rPr>
          <w:rFonts w:asciiTheme="majorHAnsi" w:hAnsiTheme="majorHAnsi" w:cstheme="majorHAnsi"/>
          <w:sz w:val="22"/>
          <w:szCs w:val="22"/>
        </w:rPr>
        <w:t>WW</w:t>
      </w:r>
      <w:r w:rsidR="005F32BA" w:rsidRPr="00AA7D88">
        <w:rPr>
          <w:rFonts w:asciiTheme="majorHAnsi" w:hAnsiTheme="majorHAnsi" w:cstheme="majorHAnsi"/>
          <w:sz w:val="22"/>
          <w:szCs w:val="22"/>
        </w:rPr>
        <w:t xml:space="preserve">, </w:t>
      </w:r>
      <w:r w:rsidR="00A66817" w:rsidRPr="00AA7D88">
        <w:rPr>
          <w:rFonts w:asciiTheme="majorHAnsi" w:hAnsiTheme="majorHAnsi" w:cstheme="majorHAnsi"/>
          <w:sz w:val="22"/>
          <w:szCs w:val="22"/>
        </w:rPr>
        <w:t xml:space="preserve">JSL, SC, CH, PC, EM, MN, </w:t>
      </w:r>
      <w:r w:rsidR="00E16BE6" w:rsidRPr="00AA7D88">
        <w:rPr>
          <w:rFonts w:asciiTheme="majorHAnsi" w:hAnsiTheme="majorHAnsi" w:cstheme="majorHAnsi"/>
          <w:sz w:val="22"/>
          <w:szCs w:val="22"/>
        </w:rPr>
        <w:t>PK, C</w:t>
      </w:r>
      <w:r w:rsidR="00EF2693" w:rsidRPr="00AA7D88">
        <w:rPr>
          <w:rFonts w:asciiTheme="majorHAnsi" w:hAnsiTheme="majorHAnsi" w:cstheme="majorHAnsi"/>
          <w:sz w:val="22"/>
          <w:szCs w:val="22"/>
        </w:rPr>
        <w:t>O’</w:t>
      </w:r>
      <w:r w:rsidR="00E16BE6" w:rsidRPr="00AA7D88">
        <w:rPr>
          <w:rFonts w:asciiTheme="majorHAnsi" w:hAnsiTheme="majorHAnsi" w:cstheme="majorHAnsi"/>
          <w:sz w:val="22"/>
          <w:szCs w:val="22"/>
        </w:rPr>
        <w:t xml:space="preserve">C and </w:t>
      </w:r>
      <w:r w:rsidR="00A66817" w:rsidRPr="00AA7D88">
        <w:rPr>
          <w:rFonts w:asciiTheme="majorHAnsi" w:hAnsiTheme="majorHAnsi" w:cstheme="majorHAnsi"/>
          <w:sz w:val="22"/>
          <w:szCs w:val="22"/>
        </w:rPr>
        <w:t xml:space="preserve">MW </w:t>
      </w:r>
      <w:r w:rsidR="005F32BA" w:rsidRPr="00AA7D88">
        <w:rPr>
          <w:rFonts w:asciiTheme="majorHAnsi" w:hAnsiTheme="majorHAnsi" w:cstheme="majorHAnsi"/>
          <w:sz w:val="22"/>
          <w:szCs w:val="22"/>
        </w:rPr>
        <w:t xml:space="preserve">developed </w:t>
      </w:r>
      <w:r w:rsidRPr="00AA7D88">
        <w:rPr>
          <w:rFonts w:asciiTheme="majorHAnsi" w:hAnsiTheme="majorHAnsi" w:cstheme="majorHAnsi"/>
          <w:sz w:val="22"/>
          <w:szCs w:val="22"/>
        </w:rPr>
        <w:t xml:space="preserve">the concept </w:t>
      </w:r>
      <w:r w:rsidR="00E16BE6" w:rsidRPr="00AA7D88">
        <w:rPr>
          <w:rFonts w:asciiTheme="majorHAnsi" w:hAnsiTheme="majorHAnsi" w:cstheme="majorHAnsi"/>
          <w:sz w:val="22"/>
          <w:szCs w:val="22"/>
        </w:rPr>
        <w:t xml:space="preserve">and design of </w:t>
      </w:r>
      <w:r w:rsidRPr="00AA7D88">
        <w:rPr>
          <w:rFonts w:asciiTheme="majorHAnsi" w:hAnsiTheme="majorHAnsi" w:cstheme="majorHAnsi"/>
          <w:sz w:val="22"/>
          <w:szCs w:val="22"/>
        </w:rPr>
        <w:t>the study</w:t>
      </w:r>
      <w:r w:rsidR="00E16BE6" w:rsidRPr="00AA7D88">
        <w:rPr>
          <w:rFonts w:asciiTheme="majorHAnsi" w:hAnsiTheme="majorHAnsi" w:cstheme="majorHAnsi"/>
          <w:sz w:val="22"/>
          <w:szCs w:val="22"/>
        </w:rPr>
        <w:t xml:space="preserve">. WW and BR are </w:t>
      </w:r>
      <w:r w:rsidRPr="00AA7D88">
        <w:rPr>
          <w:rFonts w:asciiTheme="majorHAnsi" w:hAnsiTheme="majorHAnsi" w:cstheme="majorHAnsi"/>
          <w:sz w:val="22"/>
          <w:szCs w:val="22"/>
        </w:rPr>
        <w:t>responsib</w:t>
      </w:r>
      <w:r w:rsidR="005F32BA" w:rsidRPr="00AA7D88">
        <w:rPr>
          <w:rFonts w:asciiTheme="majorHAnsi" w:hAnsiTheme="majorHAnsi" w:cstheme="majorHAnsi"/>
          <w:sz w:val="22"/>
          <w:szCs w:val="22"/>
        </w:rPr>
        <w:t>le</w:t>
      </w:r>
      <w:r w:rsidRPr="00AA7D88">
        <w:rPr>
          <w:rFonts w:asciiTheme="majorHAnsi" w:hAnsiTheme="majorHAnsi" w:cstheme="majorHAnsi"/>
          <w:sz w:val="22"/>
          <w:szCs w:val="22"/>
        </w:rPr>
        <w:t xml:space="preserve"> for the integrity of the study and data; BR led standardised clinical data collection, data management and statistical analyses; WW and BR drafted the manuscript; SB, BR, </w:t>
      </w:r>
      <w:r w:rsidR="00056276" w:rsidRPr="00AA7D88">
        <w:rPr>
          <w:rFonts w:asciiTheme="majorHAnsi" w:hAnsiTheme="majorHAnsi" w:cstheme="majorHAnsi"/>
          <w:sz w:val="22"/>
          <w:szCs w:val="22"/>
        </w:rPr>
        <w:t xml:space="preserve">SC, </w:t>
      </w:r>
      <w:r w:rsidRPr="00AA7D88">
        <w:rPr>
          <w:rFonts w:asciiTheme="majorHAnsi" w:hAnsiTheme="majorHAnsi" w:cstheme="majorHAnsi"/>
          <w:sz w:val="22"/>
          <w:szCs w:val="22"/>
        </w:rPr>
        <w:t>PK, PC, EM, RH</w:t>
      </w:r>
      <w:r w:rsidR="00056276" w:rsidRPr="00AA7D88">
        <w:rPr>
          <w:rFonts w:asciiTheme="majorHAnsi" w:hAnsiTheme="majorHAnsi" w:cstheme="majorHAnsi"/>
          <w:sz w:val="22"/>
          <w:szCs w:val="22"/>
        </w:rPr>
        <w:t>,</w:t>
      </w:r>
      <w:r w:rsidR="002C6D31" w:rsidRPr="00AA7D88">
        <w:rPr>
          <w:rFonts w:asciiTheme="majorHAnsi" w:hAnsiTheme="majorHAnsi" w:cstheme="majorHAnsi"/>
          <w:sz w:val="22"/>
          <w:szCs w:val="22"/>
        </w:rPr>
        <w:t xml:space="preserve"> AS,</w:t>
      </w:r>
      <w:r w:rsidR="00F90BA5" w:rsidRPr="00AA7D88">
        <w:rPr>
          <w:rFonts w:asciiTheme="majorHAnsi" w:hAnsiTheme="majorHAnsi" w:cstheme="majorHAnsi"/>
          <w:sz w:val="22"/>
          <w:szCs w:val="22"/>
        </w:rPr>
        <w:t xml:space="preserve"> PG,</w:t>
      </w:r>
      <w:r w:rsidRPr="00AA7D88">
        <w:rPr>
          <w:rFonts w:asciiTheme="majorHAnsi" w:hAnsiTheme="majorHAnsi" w:cstheme="majorHAnsi"/>
          <w:sz w:val="22"/>
          <w:szCs w:val="22"/>
        </w:rPr>
        <w:t xml:space="preserve"> </w:t>
      </w:r>
      <w:r w:rsidR="00056276" w:rsidRPr="00AA7D88">
        <w:rPr>
          <w:rFonts w:asciiTheme="majorHAnsi" w:hAnsiTheme="majorHAnsi" w:cstheme="majorHAnsi"/>
          <w:sz w:val="22"/>
          <w:szCs w:val="22"/>
        </w:rPr>
        <w:t>MN</w:t>
      </w:r>
      <w:r w:rsidR="00E16BE6" w:rsidRPr="00AA7D88">
        <w:rPr>
          <w:rFonts w:asciiTheme="majorHAnsi" w:hAnsiTheme="majorHAnsi" w:cstheme="majorHAnsi"/>
          <w:sz w:val="22"/>
          <w:szCs w:val="22"/>
        </w:rPr>
        <w:t xml:space="preserve"> and WW</w:t>
      </w:r>
      <w:r w:rsidR="00056276" w:rsidRPr="00AA7D88">
        <w:rPr>
          <w:rFonts w:asciiTheme="majorHAnsi" w:hAnsiTheme="majorHAnsi" w:cstheme="majorHAnsi"/>
          <w:sz w:val="22"/>
          <w:szCs w:val="22"/>
        </w:rPr>
        <w:t xml:space="preserve"> </w:t>
      </w:r>
      <w:r w:rsidRPr="00AA7D88">
        <w:rPr>
          <w:rFonts w:asciiTheme="majorHAnsi" w:hAnsiTheme="majorHAnsi" w:cstheme="majorHAnsi"/>
          <w:sz w:val="22"/>
          <w:szCs w:val="22"/>
        </w:rPr>
        <w:t>extract</w:t>
      </w:r>
      <w:r w:rsidR="00056276" w:rsidRPr="00AA7D88">
        <w:rPr>
          <w:rFonts w:asciiTheme="majorHAnsi" w:hAnsiTheme="majorHAnsi" w:cstheme="majorHAnsi"/>
          <w:sz w:val="22"/>
          <w:szCs w:val="22"/>
        </w:rPr>
        <w:t>ed</w:t>
      </w:r>
      <w:r w:rsidRPr="00AA7D88">
        <w:rPr>
          <w:rFonts w:asciiTheme="majorHAnsi" w:hAnsiTheme="majorHAnsi" w:cstheme="majorHAnsi"/>
          <w:sz w:val="22"/>
          <w:szCs w:val="22"/>
        </w:rPr>
        <w:t xml:space="preserve"> of clinical data from patient record; WW, </w:t>
      </w:r>
      <w:r w:rsidR="00056276" w:rsidRPr="00AA7D88">
        <w:rPr>
          <w:rFonts w:asciiTheme="majorHAnsi" w:hAnsiTheme="majorHAnsi" w:cstheme="majorHAnsi"/>
          <w:sz w:val="22"/>
          <w:szCs w:val="22"/>
        </w:rPr>
        <w:t xml:space="preserve">JSL, </w:t>
      </w:r>
      <w:r w:rsidRPr="00AA7D88">
        <w:rPr>
          <w:rFonts w:asciiTheme="majorHAnsi" w:hAnsiTheme="majorHAnsi" w:cstheme="majorHAnsi"/>
          <w:sz w:val="22"/>
          <w:szCs w:val="22"/>
        </w:rPr>
        <w:t>SC,</w:t>
      </w:r>
      <w:r w:rsidR="00056276" w:rsidRPr="00AA7D88">
        <w:rPr>
          <w:rFonts w:asciiTheme="majorHAnsi" w:hAnsiTheme="majorHAnsi" w:cstheme="majorHAnsi"/>
          <w:sz w:val="22"/>
          <w:szCs w:val="22"/>
        </w:rPr>
        <w:t xml:space="preserve"> CH, </w:t>
      </w:r>
      <w:r w:rsidRPr="00AA7D88">
        <w:rPr>
          <w:rFonts w:asciiTheme="majorHAnsi" w:hAnsiTheme="majorHAnsi" w:cstheme="majorHAnsi"/>
          <w:sz w:val="22"/>
          <w:szCs w:val="22"/>
        </w:rPr>
        <w:t xml:space="preserve">PC, EM, MN, </w:t>
      </w:r>
      <w:r w:rsidR="00E16BE6" w:rsidRPr="00AA7D88">
        <w:rPr>
          <w:rFonts w:asciiTheme="majorHAnsi" w:hAnsiTheme="majorHAnsi" w:cstheme="majorHAnsi"/>
          <w:sz w:val="22"/>
          <w:szCs w:val="22"/>
        </w:rPr>
        <w:t>PK</w:t>
      </w:r>
      <w:r w:rsidR="00EF2693" w:rsidRPr="00AA7D88">
        <w:rPr>
          <w:rFonts w:asciiTheme="majorHAnsi" w:hAnsiTheme="majorHAnsi" w:cstheme="majorHAnsi"/>
          <w:sz w:val="22"/>
          <w:szCs w:val="22"/>
        </w:rPr>
        <w:t>, CO’C</w:t>
      </w:r>
      <w:r w:rsidR="00E16BE6" w:rsidRPr="00AA7D88">
        <w:rPr>
          <w:rFonts w:asciiTheme="majorHAnsi" w:hAnsiTheme="majorHAnsi" w:cstheme="majorHAnsi"/>
          <w:sz w:val="22"/>
          <w:szCs w:val="22"/>
        </w:rPr>
        <w:t xml:space="preserve"> and </w:t>
      </w:r>
      <w:r w:rsidRPr="00AA7D88">
        <w:rPr>
          <w:rFonts w:asciiTheme="majorHAnsi" w:hAnsiTheme="majorHAnsi" w:cstheme="majorHAnsi"/>
          <w:sz w:val="22"/>
          <w:szCs w:val="22"/>
        </w:rPr>
        <w:t>MW led the diagnostic service and annual reviews at their respective centres; JSL provided</w:t>
      </w:r>
      <w:r w:rsidR="00871AA2" w:rsidRPr="00AA7D88">
        <w:rPr>
          <w:rFonts w:asciiTheme="majorHAnsi" w:hAnsiTheme="majorHAnsi" w:cstheme="majorHAnsi"/>
          <w:sz w:val="22"/>
          <w:szCs w:val="22"/>
        </w:rPr>
        <w:t xml:space="preserve"> guidance and critically</w:t>
      </w:r>
      <w:r w:rsidRPr="00AA7D88">
        <w:rPr>
          <w:rFonts w:asciiTheme="majorHAnsi" w:hAnsiTheme="majorHAnsi" w:cstheme="majorHAnsi"/>
          <w:sz w:val="22"/>
          <w:szCs w:val="22"/>
        </w:rPr>
        <w:t xml:space="preserve"> review</w:t>
      </w:r>
      <w:r w:rsidR="00871AA2" w:rsidRPr="00AA7D88">
        <w:rPr>
          <w:rFonts w:asciiTheme="majorHAnsi" w:hAnsiTheme="majorHAnsi" w:cstheme="majorHAnsi"/>
          <w:sz w:val="22"/>
          <w:szCs w:val="22"/>
        </w:rPr>
        <w:t>ed</w:t>
      </w:r>
      <w:r w:rsidRPr="00AA7D88">
        <w:rPr>
          <w:rFonts w:asciiTheme="majorHAnsi" w:hAnsiTheme="majorHAnsi" w:cstheme="majorHAnsi"/>
          <w:sz w:val="22"/>
          <w:szCs w:val="22"/>
        </w:rPr>
        <w:t xml:space="preserve"> the manuscript at an early draft</w:t>
      </w:r>
      <w:r w:rsidR="00871AA2" w:rsidRPr="00AA7D88">
        <w:rPr>
          <w:rFonts w:asciiTheme="majorHAnsi" w:hAnsiTheme="majorHAnsi" w:cstheme="majorHAnsi"/>
          <w:sz w:val="22"/>
          <w:szCs w:val="22"/>
        </w:rPr>
        <w:t>. All co-authors critically reviewed</w:t>
      </w:r>
      <w:r w:rsidR="00365D38" w:rsidRPr="00AA7D88">
        <w:rPr>
          <w:rFonts w:asciiTheme="majorHAnsi" w:hAnsiTheme="majorHAnsi" w:cstheme="majorHAnsi"/>
          <w:sz w:val="22"/>
          <w:szCs w:val="22"/>
        </w:rPr>
        <w:t xml:space="preserve"> and approved</w:t>
      </w:r>
      <w:r w:rsidR="00871AA2" w:rsidRPr="00AA7D88">
        <w:rPr>
          <w:rFonts w:asciiTheme="majorHAnsi" w:hAnsiTheme="majorHAnsi" w:cstheme="majorHAnsi"/>
          <w:sz w:val="22"/>
          <w:szCs w:val="22"/>
        </w:rPr>
        <w:t xml:space="preserve"> the</w:t>
      </w:r>
      <w:r w:rsidR="00365D38" w:rsidRPr="00AA7D88">
        <w:rPr>
          <w:rFonts w:asciiTheme="majorHAnsi" w:hAnsiTheme="majorHAnsi" w:cstheme="majorHAnsi"/>
          <w:sz w:val="22"/>
          <w:szCs w:val="22"/>
        </w:rPr>
        <w:t xml:space="preserve"> final</w:t>
      </w:r>
      <w:r w:rsidR="00871AA2" w:rsidRPr="00AA7D88">
        <w:rPr>
          <w:rFonts w:asciiTheme="majorHAnsi" w:hAnsiTheme="majorHAnsi" w:cstheme="majorHAnsi"/>
          <w:sz w:val="22"/>
          <w:szCs w:val="22"/>
        </w:rPr>
        <w:t xml:space="preserve"> manuscript.</w:t>
      </w:r>
      <w:r w:rsidR="00C5746B" w:rsidRPr="00AA7D88">
        <w:rPr>
          <w:rFonts w:asciiTheme="majorHAnsi" w:hAnsiTheme="majorHAnsi" w:cstheme="majorHAnsi"/>
          <w:iCs/>
          <w:color w:val="000000" w:themeColor="text1"/>
          <w:sz w:val="22"/>
          <w:szCs w:val="22"/>
        </w:rPr>
        <w:t xml:space="preserve"> The views expressed are those of the author(s) and not necessarily those of the NHS, the NIHR or the Department of Health</w:t>
      </w:r>
      <w:r w:rsidR="00845CA2">
        <w:rPr>
          <w:rFonts w:asciiTheme="majorHAnsi" w:hAnsiTheme="majorHAnsi" w:cstheme="majorHAnsi"/>
          <w:iCs/>
          <w:color w:val="000000" w:themeColor="text1"/>
          <w:sz w:val="22"/>
          <w:szCs w:val="22"/>
        </w:rPr>
        <w:t>.</w:t>
      </w:r>
    </w:p>
    <w:p w14:paraId="3CEC20E6" w14:textId="77777777" w:rsidR="00056276" w:rsidRPr="00AA7D88" w:rsidRDefault="00056276" w:rsidP="00191874">
      <w:pPr>
        <w:spacing w:line="480" w:lineRule="auto"/>
        <w:rPr>
          <w:rFonts w:asciiTheme="majorHAnsi" w:hAnsiTheme="majorHAnsi" w:cstheme="majorHAnsi"/>
          <w:sz w:val="22"/>
          <w:szCs w:val="22"/>
        </w:rPr>
      </w:pPr>
    </w:p>
    <w:p w14:paraId="49B6E6E7" w14:textId="77777777" w:rsidR="00056276" w:rsidRPr="00AA7D88" w:rsidRDefault="00056276" w:rsidP="00B3185D">
      <w:pPr>
        <w:spacing w:line="360" w:lineRule="auto"/>
        <w:rPr>
          <w:rFonts w:asciiTheme="majorHAnsi" w:hAnsiTheme="majorHAnsi" w:cstheme="majorHAnsi"/>
          <w:sz w:val="22"/>
          <w:szCs w:val="22"/>
        </w:rPr>
      </w:pPr>
    </w:p>
    <w:p w14:paraId="0B88BD7C" w14:textId="77777777" w:rsidR="00B3185D" w:rsidRPr="00AA7D88" w:rsidRDefault="00B3185D" w:rsidP="00B3185D">
      <w:pPr>
        <w:rPr>
          <w:rFonts w:asciiTheme="majorHAnsi" w:hAnsiTheme="majorHAnsi" w:cstheme="majorHAnsi"/>
          <w:sz w:val="22"/>
          <w:szCs w:val="22"/>
        </w:rPr>
      </w:pPr>
      <w:r w:rsidRPr="00AA7D88">
        <w:rPr>
          <w:rFonts w:asciiTheme="majorHAnsi" w:hAnsiTheme="majorHAnsi" w:cstheme="majorHAnsi"/>
          <w:sz w:val="22"/>
          <w:szCs w:val="22"/>
        </w:rPr>
        <w:br w:type="page"/>
      </w:r>
    </w:p>
    <w:p w14:paraId="17D9FE30" w14:textId="77777777" w:rsidR="00BB3D9D" w:rsidRPr="00AA7D88" w:rsidRDefault="005C7B19" w:rsidP="006A10D6">
      <w:pPr>
        <w:rPr>
          <w:rFonts w:asciiTheme="majorHAnsi" w:hAnsiTheme="majorHAnsi" w:cstheme="majorHAnsi"/>
          <w:b/>
        </w:rPr>
      </w:pPr>
      <w:r w:rsidRPr="00AA7D88">
        <w:rPr>
          <w:rFonts w:asciiTheme="majorHAnsi" w:hAnsiTheme="majorHAnsi" w:cstheme="majorHAnsi"/>
          <w:b/>
        </w:rPr>
        <w:t>References</w:t>
      </w:r>
    </w:p>
    <w:p w14:paraId="20F93D7F" w14:textId="77777777" w:rsidR="00BB3D9D" w:rsidRPr="00AA7D88" w:rsidRDefault="00BB3D9D" w:rsidP="006A10D6">
      <w:pPr>
        <w:rPr>
          <w:rFonts w:asciiTheme="majorHAnsi" w:hAnsiTheme="majorHAnsi" w:cstheme="majorHAnsi"/>
        </w:rPr>
      </w:pPr>
    </w:p>
    <w:p w14:paraId="14B9049C"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1. </w:t>
      </w:r>
      <w:r w:rsidRPr="00350848">
        <w:rPr>
          <w:rFonts w:asciiTheme="majorHAnsi" w:hAnsiTheme="majorHAnsi" w:cstheme="majorHAnsi"/>
          <w:sz w:val="22"/>
        </w:rPr>
        <w:tab/>
        <w:t xml:space="preserve">Werner C, </w:t>
      </w:r>
      <w:proofErr w:type="spellStart"/>
      <w:r w:rsidRPr="00350848">
        <w:rPr>
          <w:rFonts w:asciiTheme="majorHAnsi" w:hAnsiTheme="majorHAnsi" w:cstheme="majorHAnsi"/>
          <w:sz w:val="22"/>
        </w:rPr>
        <w:t>Lablans</w:t>
      </w:r>
      <w:proofErr w:type="spellEnd"/>
      <w:r w:rsidRPr="00350848">
        <w:rPr>
          <w:rFonts w:asciiTheme="majorHAnsi" w:hAnsiTheme="majorHAnsi" w:cstheme="majorHAnsi"/>
          <w:sz w:val="22"/>
        </w:rPr>
        <w:t xml:space="preserve"> M, </w:t>
      </w:r>
      <w:proofErr w:type="spellStart"/>
      <w:r w:rsidRPr="00350848">
        <w:rPr>
          <w:rFonts w:asciiTheme="majorHAnsi" w:hAnsiTheme="majorHAnsi" w:cstheme="majorHAnsi"/>
          <w:sz w:val="22"/>
        </w:rPr>
        <w:t>Ataian</w:t>
      </w:r>
      <w:proofErr w:type="spellEnd"/>
      <w:r w:rsidRPr="00350848">
        <w:rPr>
          <w:rFonts w:asciiTheme="majorHAnsi" w:hAnsiTheme="majorHAnsi" w:cstheme="majorHAnsi"/>
          <w:sz w:val="22"/>
        </w:rPr>
        <w:t xml:space="preserve"> M, </w:t>
      </w:r>
      <w:proofErr w:type="spellStart"/>
      <w:r w:rsidRPr="00350848">
        <w:rPr>
          <w:rFonts w:asciiTheme="majorHAnsi" w:hAnsiTheme="majorHAnsi" w:cstheme="majorHAnsi"/>
          <w:sz w:val="22"/>
        </w:rPr>
        <w:t>Raidt</w:t>
      </w:r>
      <w:proofErr w:type="spellEnd"/>
      <w:r w:rsidRPr="00350848">
        <w:rPr>
          <w:rFonts w:asciiTheme="majorHAnsi" w:hAnsiTheme="majorHAnsi" w:cstheme="majorHAnsi"/>
          <w:sz w:val="22"/>
        </w:rPr>
        <w:t xml:space="preserve"> J, </w:t>
      </w:r>
      <w:proofErr w:type="spellStart"/>
      <w:r w:rsidRPr="00350848">
        <w:rPr>
          <w:rFonts w:asciiTheme="majorHAnsi" w:hAnsiTheme="majorHAnsi" w:cstheme="majorHAnsi"/>
          <w:sz w:val="22"/>
        </w:rPr>
        <w:t>Wallmeier</w:t>
      </w:r>
      <w:proofErr w:type="spellEnd"/>
      <w:r w:rsidRPr="00350848">
        <w:rPr>
          <w:rFonts w:asciiTheme="majorHAnsi" w:hAnsiTheme="majorHAnsi" w:cstheme="majorHAnsi"/>
          <w:sz w:val="22"/>
        </w:rPr>
        <w:t xml:space="preserve"> J, </w:t>
      </w:r>
      <w:proofErr w:type="spellStart"/>
      <w:r w:rsidRPr="00350848">
        <w:rPr>
          <w:rFonts w:asciiTheme="majorHAnsi" w:hAnsiTheme="majorHAnsi" w:cstheme="majorHAnsi"/>
          <w:sz w:val="22"/>
        </w:rPr>
        <w:t>Große-Onnebrink</w:t>
      </w:r>
      <w:proofErr w:type="spellEnd"/>
      <w:r w:rsidRPr="00350848">
        <w:rPr>
          <w:rFonts w:asciiTheme="majorHAnsi" w:hAnsiTheme="majorHAnsi" w:cstheme="majorHAnsi"/>
          <w:sz w:val="22"/>
        </w:rPr>
        <w:t xml:space="preserve"> J, et al. An international registry for primary ciliary dyskinesia. Eur Respir J. 2016 Mar;47(3):849–59. </w:t>
      </w:r>
    </w:p>
    <w:p w14:paraId="18F2957D"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2. </w:t>
      </w:r>
      <w:r w:rsidRPr="00350848">
        <w:rPr>
          <w:rFonts w:asciiTheme="majorHAnsi" w:hAnsiTheme="majorHAnsi" w:cstheme="majorHAnsi"/>
          <w:sz w:val="22"/>
        </w:rPr>
        <w:tab/>
        <w:t xml:space="preserve">Halbeisen FS, </w:t>
      </w:r>
      <w:proofErr w:type="spellStart"/>
      <w:r w:rsidRPr="00350848">
        <w:rPr>
          <w:rFonts w:asciiTheme="majorHAnsi" w:hAnsiTheme="majorHAnsi" w:cstheme="majorHAnsi"/>
          <w:sz w:val="22"/>
        </w:rPr>
        <w:t>Goutaki</w:t>
      </w:r>
      <w:proofErr w:type="spellEnd"/>
      <w:r w:rsidRPr="00350848">
        <w:rPr>
          <w:rFonts w:asciiTheme="majorHAnsi" w:hAnsiTheme="majorHAnsi" w:cstheme="majorHAnsi"/>
          <w:sz w:val="22"/>
        </w:rPr>
        <w:t xml:space="preserve"> M, </w:t>
      </w:r>
      <w:proofErr w:type="spellStart"/>
      <w:r w:rsidRPr="00350848">
        <w:rPr>
          <w:rFonts w:asciiTheme="majorHAnsi" w:hAnsiTheme="majorHAnsi" w:cstheme="majorHAnsi"/>
          <w:sz w:val="22"/>
        </w:rPr>
        <w:t>Spycher</w:t>
      </w:r>
      <w:proofErr w:type="spellEnd"/>
      <w:r w:rsidRPr="00350848">
        <w:rPr>
          <w:rFonts w:asciiTheme="majorHAnsi" w:hAnsiTheme="majorHAnsi" w:cstheme="majorHAnsi"/>
          <w:sz w:val="22"/>
        </w:rPr>
        <w:t xml:space="preserve"> BD, </w:t>
      </w:r>
      <w:proofErr w:type="spellStart"/>
      <w:r w:rsidRPr="00350848">
        <w:rPr>
          <w:rFonts w:asciiTheme="majorHAnsi" w:hAnsiTheme="majorHAnsi" w:cstheme="majorHAnsi"/>
          <w:sz w:val="22"/>
        </w:rPr>
        <w:t>Amirav</w:t>
      </w:r>
      <w:proofErr w:type="spellEnd"/>
      <w:r w:rsidRPr="00350848">
        <w:rPr>
          <w:rFonts w:asciiTheme="majorHAnsi" w:hAnsiTheme="majorHAnsi" w:cstheme="majorHAnsi"/>
          <w:sz w:val="22"/>
        </w:rPr>
        <w:t xml:space="preserve"> I, Behan L, Boon M, et al. Lung function in patients with Primary Ciliary Dyskinesia: an </w:t>
      </w:r>
      <w:proofErr w:type="spellStart"/>
      <w:r w:rsidRPr="00350848">
        <w:rPr>
          <w:rFonts w:asciiTheme="majorHAnsi" w:hAnsiTheme="majorHAnsi" w:cstheme="majorHAnsi"/>
          <w:sz w:val="22"/>
        </w:rPr>
        <w:t>iPCD</w:t>
      </w:r>
      <w:proofErr w:type="spellEnd"/>
      <w:r w:rsidRPr="00350848">
        <w:rPr>
          <w:rFonts w:asciiTheme="majorHAnsi" w:hAnsiTheme="majorHAnsi" w:cstheme="majorHAnsi"/>
          <w:sz w:val="22"/>
        </w:rPr>
        <w:t xml:space="preserve"> Cohort study. European Respiratory Journal. 2018;1801040. </w:t>
      </w:r>
    </w:p>
    <w:p w14:paraId="2D5D9475"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3. </w:t>
      </w:r>
      <w:r w:rsidRPr="00350848">
        <w:rPr>
          <w:rFonts w:asciiTheme="majorHAnsi" w:hAnsiTheme="majorHAnsi" w:cstheme="majorHAnsi"/>
          <w:sz w:val="22"/>
        </w:rPr>
        <w:tab/>
        <w:t xml:space="preserve">Ring AM, </w:t>
      </w:r>
      <w:proofErr w:type="spellStart"/>
      <w:r w:rsidRPr="00350848">
        <w:rPr>
          <w:rFonts w:asciiTheme="majorHAnsi" w:hAnsiTheme="majorHAnsi" w:cstheme="majorHAnsi"/>
          <w:sz w:val="22"/>
        </w:rPr>
        <w:t>Buchvald</w:t>
      </w:r>
      <w:proofErr w:type="spellEnd"/>
      <w:r w:rsidRPr="00350848">
        <w:rPr>
          <w:rFonts w:asciiTheme="majorHAnsi" w:hAnsiTheme="majorHAnsi" w:cstheme="majorHAnsi"/>
          <w:sz w:val="22"/>
        </w:rPr>
        <w:t xml:space="preserve"> FF, </w:t>
      </w:r>
      <w:proofErr w:type="spellStart"/>
      <w:r w:rsidRPr="00350848">
        <w:rPr>
          <w:rFonts w:asciiTheme="majorHAnsi" w:hAnsiTheme="majorHAnsi" w:cstheme="majorHAnsi"/>
          <w:sz w:val="22"/>
        </w:rPr>
        <w:t>Holgersen</w:t>
      </w:r>
      <w:proofErr w:type="spellEnd"/>
      <w:r w:rsidRPr="00350848">
        <w:rPr>
          <w:rFonts w:asciiTheme="majorHAnsi" w:hAnsiTheme="majorHAnsi" w:cstheme="majorHAnsi"/>
          <w:sz w:val="22"/>
        </w:rPr>
        <w:t xml:space="preserve"> MG, Green K, Nielsen KG. Fitness and lung function in children with primary ciliary dyskinesia and cystic fibrosis. Respir Med. 2018</w:t>
      </w:r>
      <w:proofErr w:type="gramStart"/>
      <w:r w:rsidRPr="00350848">
        <w:rPr>
          <w:rFonts w:asciiTheme="majorHAnsi" w:hAnsiTheme="majorHAnsi" w:cstheme="majorHAnsi"/>
          <w:sz w:val="22"/>
        </w:rPr>
        <w:t>;139:79</w:t>
      </w:r>
      <w:proofErr w:type="gramEnd"/>
      <w:r w:rsidRPr="00350848">
        <w:rPr>
          <w:rFonts w:asciiTheme="majorHAnsi" w:hAnsiTheme="majorHAnsi" w:cstheme="majorHAnsi"/>
          <w:sz w:val="22"/>
        </w:rPr>
        <w:t xml:space="preserve">–85. </w:t>
      </w:r>
    </w:p>
    <w:p w14:paraId="7A15213F"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4. </w:t>
      </w:r>
      <w:r w:rsidRPr="00350848">
        <w:rPr>
          <w:rFonts w:asciiTheme="majorHAnsi" w:hAnsiTheme="majorHAnsi" w:cstheme="majorHAnsi"/>
          <w:sz w:val="22"/>
        </w:rPr>
        <w:tab/>
        <w:t xml:space="preserve">Goutaki M, Meier AB, Halbeisen FS, Lucas JS, Dell SD, Maurer E, et al. Clinical manifestations in primary ciliary dyskinesia: systematic review and meta-analysis. Eur Respir J. 2016;48(4):1081–95. </w:t>
      </w:r>
    </w:p>
    <w:p w14:paraId="17A95870"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5. </w:t>
      </w:r>
      <w:r w:rsidRPr="00350848">
        <w:rPr>
          <w:rFonts w:asciiTheme="majorHAnsi" w:hAnsiTheme="majorHAnsi" w:cstheme="majorHAnsi"/>
          <w:sz w:val="22"/>
        </w:rPr>
        <w:tab/>
      </w:r>
      <w:proofErr w:type="spellStart"/>
      <w:r w:rsidRPr="00350848">
        <w:rPr>
          <w:rFonts w:asciiTheme="majorHAnsi" w:hAnsiTheme="majorHAnsi" w:cstheme="majorHAnsi"/>
          <w:sz w:val="22"/>
        </w:rPr>
        <w:t>Prulière-Escabasse</w:t>
      </w:r>
      <w:proofErr w:type="spellEnd"/>
      <w:r w:rsidRPr="00350848">
        <w:rPr>
          <w:rFonts w:asciiTheme="majorHAnsi" w:hAnsiTheme="majorHAnsi" w:cstheme="majorHAnsi"/>
          <w:sz w:val="22"/>
        </w:rPr>
        <w:t xml:space="preserve"> V, </w:t>
      </w:r>
      <w:proofErr w:type="spellStart"/>
      <w:r w:rsidRPr="00350848">
        <w:rPr>
          <w:rFonts w:asciiTheme="majorHAnsi" w:hAnsiTheme="majorHAnsi" w:cstheme="majorHAnsi"/>
          <w:sz w:val="22"/>
        </w:rPr>
        <w:t>Coste</w:t>
      </w:r>
      <w:proofErr w:type="spellEnd"/>
      <w:r w:rsidRPr="00350848">
        <w:rPr>
          <w:rFonts w:asciiTheme="majorHAnsi" w:hAnsiTheme="majorHAnsi" w:cstheme="majorHAnsi"/>
          <w:sz w:val="22"/>
        </w:rPr>
        <w:t xml:space="preserve"> A, Chauvin P, </w:t>
      </w:r>
      <w:proofErr w:type="spellStart"/>
      <w:r w:rsidRPr="00350848">
        <w:rPr>
          <w:rFonts w:asciiTheme="majorHAnsi" w:hAnsiTheme="majorHAnsi" w:cstheme="majorHAnsi"/>
          <w:sz w:val="22"/>
        </w:rPr>
        <w:t>Fauroux</w:t>
      </w:r>
      <w:proofErr w:type="spellEnd"/>
      <w:r w:rsidRPr="00350848">
        <w:rPr>
          <w:rFonts w:asciiTheme="majorHAnsi" w:hAnsiTheme="majorHAnsi" w:cstheme="majorHAnsi"/>
          <w:sz w:val="22"/>
        </w:rPr>
        <w:t xml:space="preserve"> B, </w:t>
      </w:r>
      <w:proofErr w:type="spellStart"/>
      <w:r w:rsidRPr="00350848">
        <w:rPr>
          <w:rFonts w:asciiTheme="majorHAnsi" w:hAnsiTheme="majorHAnsi" w:cstheme="majorHAnsi"/>
          <w:sz w:val="22"/>
        </w:rPr>
        <w:t>Tamalet</w:t>
      </w:r>
      <w:proofErr w:type="spellEnd"/>
      <w:r w:rsidRPr="00350848">
        <w:rPr>
          <w:rFonts w:asciiTheme="majorHAnsi" w:hAnsiTheme="majorHAnsi" w:cstheme="majorHAnsi"/>
          <w:sz w:val="22"/>
        </w:rPr>
        <w:t xml:space="preserve"> A, </w:t>
      </w:r>
      <w:proofErr w:type="spellStart"/>
      <w:r w:rsidRPr="00350848">
        <w:rPr>
          <w:rFonts w:asciiTheme="majorHAnsi" w:hAnsiTheme="majorHAnsi" w:cstheme="majorHAnsi"/>
          <w:sz w:val="22"/>
        </w:rPr>
        <w:t>Garabedian</w:t>
      </w:r>
      <w:proofErr w:type="spellEnd"/>
      <w:r w:rsidRPr="00350848">
        <w:rPr>
          <w:rFonts w:asciiTheme="majorHAnsi" w:hAnsiTheme="majorHAnsi" w:cstheme="majorHAnsi"/>
          <w:sz w:val="22"/>
        </w:rPr>
        <w:t xml:space="preserve"> E-N, et al. Otologic features in children with primary ciliary dyskinesia. Arch </w:t>
      </w:r>
      <w:proofErr w:type="spellStart"/>
      <w:r w:rsidRPr="00350848">
        <w:rPr>
          <w:rFonts w:asciiTheme="majorHAnsi" w:hAnsiTheme="majorHAnsi" w:cstheme="majorHAnsi"/>
          <w:sz w:val="22"/>
        </w:rPr>
        <w:t>Otolaryngol</w:t>
      </w:r>
      <w:proofErr w:type="spellEnd"/>
      <w:r w:rsidRPr="00350848">
        <w:rPr>
          <w:rFonts w:asciiTheme="majorHAnsi" w:hAnsiTheme="majorHAnsi" w:cstheme="majorHAnsi"/>
          <w:sz w:val="22"/>
        </w:rPr>
        <w:t xml:space="preserve"> Head Neck Surg. 2010;136(11):1121–6. </w:t>
      </w:r>
    </w:p>
    <w:p w14:paraId="56B27F8D"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6. </w:t>
      </w:r>
      <w:r w:rsidRPr="00350848">
        <w:rPr>
          <w:rFonts w:asciiTheme="majorHAnsi" w:hAnsiTheme="majorHAnsi" w:cstheme="majorHAnsi"/>
          <w:sz w:val="22"/>
        </w:rPr>
        <w:tab/>
        <w:t xml:space="preserve">Hirokawa N, Tanaka Y, Okada Y. Left-right determination: involvement of molecular motor KIF3, cilia, and nodal flow. Cold Spring </w:t>
      </w:r>
      <w:proofErr w:type="spellStart"/>
      <w:r w:rsidRPr="00350848">
        <w:rPr>
          <w:rFonts w:asciiTheme="majorHAnsi" w:hAnsiTheme="majorHAnsi" w:cstheme="majorHAnsi"/>
          <w:sz w:val="22"/>
        </w:rPr>
        <w:t>Harb</w:t>
      </w:r>
      <w:proofErr w:type="spellEnd"/>
      <w:r w:rsidRPr="00350848">
        <w:rPr>
          <w:rFonts w:asciiTheme="majorHAnsi" w:hAnsiTheme="majorHAnsi" w:cstheme="majorHAnsi"/>
          <w:sz w:val="22"/>
        </w:rPr>
        <w:t xml:space="preserve"> </w:t>
      </w:r>
      <w:proofErr w:type="spellStart"/>
      <w:r w:rsidRPr="00350848">
        <w:rPr>
          <w:rFonts w:asciiTheme="majorHAnsi" w:hAnsiTheme="majorHAnsi" w:cstheme="majorHAnsi"/>
          <w:sz w:val="22"/>
        </w:rPr>
        <w:t>Perspect</w:t>
      </w:r>
      <w:proofErr w:type="spellEnd"/>
      <w:r w:rsidRPr="00350848">
        <w:rPr>
          <w:rFonts w:asciiTheme="majorHAnsi" w:hAnsiTheme="majorHAnsi" w:cstheme="majorHAnsi"/>
          <w:sz w:val="22"/>
        </w:rPr>
        <w:t xml:space="preserve"> Biol. 2009</w:t>
      </w:r>
      <w:proofErr w:type="gramStart"/>
      <w:r w:rsidRPr="00350848">
        <w:rPr>
          <w:rFonts w:asciiTheme="majorHAnsi" w:hAnsiTheme="majorHAnsi" w:cstheme="majorHAnsi"/>
          <w:sz w:val="22"/>
        </w:rPr>
        <w:t>;1</w:t>
      </w:r>
      <w:proofErr w:type="gramEnd"/>
      <w:r w:rsidRPr="00350848">
        <w:rPr>
          <w:rFonts w:asciiTheme="majorHAnsi" w:hAnsiTheme="majorHAnsi" w:cstheme="majorHAnsi"/>
          <w:sz w:val="22"/>
        </w:rPr>
        <w:t xml:space="preserve">(1):a000802. </w:t>
      </w:r>
    </w:p>
    <w:p w14:paraId="18D42D46"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7. </w:t>
      </w:r>
      <w:r w:rsidRPr="00350848">
        <w:rPr>
          <w:rFonts w:asciiTheme="majorHAnsi" w:hAnsiTheme="majorHAnsi" w:cstheme="majorHAnsi"/>
          <w:sz w:val="22"/>
        </w:rPr>
        <w:tab/>
        <w:t xml:space="preserve">Shapiro AJ, Davis SD, </w:t>
      </w:r>
      <w:proofErr w:type="spellStart"/>
      <w:r w:rsidRPr="00350848">
        <w:rPr>
          <w:rFonts w:asciiTheme="majorHAnsi" w:hAnsiTheme="majorHAnsi" w:cstheme="majorHAnsi"/>
          <w:sz w:val="22"/>
        </w:rPr>
        <w:t>Ferkol</w:t>
      </w:r>
      <w:proofErr w:type="spellEnd"/>
      <w:r w:rsidRPr="00350848">
        <w:rPr>
          <w:rFonts w:asciiTheme="majorHAnsi" w:hAnsiTheme="majorHAnsi" w:cstheme="majorHAnsi"/>
          <w:sz w:val="22"/>
        </w:rPr>
        <w:t xml:space="preserve"> T, Dell SD, Rosenfeld M, Olivier KN, et al. Laterality defects other than situs inversus totalis in primary ciliary dyskinesia: insights into situs </w:t>
      </w:r>
      <w:proofErr w:type="spellStart"/>
      <w:r w:rsidRPr="00350848">
        <w:rPr>
          <w:rFonts w:asciiTheme="majorHAnsi" w:hAnsiTheme="majorHAnsi" w:cstheme="majorHAnsi"/>
          <w:sz w:val="22"/>
        </w:rPr>
        <w:t>ambiguus</w:t>
      </w:r>
      <w:proofErr w:type="spellEnd"/>
      <w:r w:rsidRPr="00350848">
        <w:rPr>
          <w:rFonts w:asciiTheme="majorHAnsi" w:hAnsiTheme="majorHAnsi" w:cstheme="majorHAnsi"/>
          <w:sz w:val="22"/>
        </w:rPr>
        <w:t xml:space="preserve"> and </w:t>
      </w:r>
      <w:proofErr w:type="spellStart"/>
      <w:r w:rsidRPr="00350848">
        <w:rPr>
          <w:rFonts w:asciiTheme="majorHAnsi" w:hAnsiTheme="majorHAnsi" w:cstheme="majorHAnsi"/>
          <w:sz w:val="22"/>
        </w:rPr>
        <w:t>heterotaxy</w:t>
      </w:r>
      <w:proofErr w:type="spellEnd"/>
      <w:r w:rsidRPr="00350848">
        <w:rPr>
          <w:rFonts w:asciiTheme="majorHAnsi" w:hAnsiTheme="majorHAnsi" w:cstheme="majorHAnsi"/>
          <w:sz w:val="22"/>
        </w:rPr>
        <w:t xml:space="preserve">. Chest. 2014;146(5):1176–86. </w:t>
      </w:r>
    </w:p>
    <w:p w14:paraId="1ED9A33C"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8. </w:t>
      </w:r>
      <w:r w:rsidRPr="00350848">
        <w:rPr>
          <w:rFonts w:asciiTheme="majorHAnsi" w:hAnsiTheme="majorHAnsi" w:cstheme="majorHAnsi"/>
          <w:sz w:val="22"/>
        </w:rPr>
        <w:tab/>
        <w:t>Best S, Shoemark A, Rubbo B, Patel M, Fassad MR, Dixon M, et al. Risk factors for situs defects and congenital heart disease in primary ciliary dyskinesia. Thorax. 2018</w:t>
      </w:r>
      <w:r w:rsidR="003A71E0" w:rsidRPr="00350848">
        <w:rPr>
          <w:rFonts w:asciiTheme="majorHAnsi" w:hAnsiTheme="majorHAnsi" w:cstheme="majorHAnsi"/>
          <w:sz w:val="22"/>
        </w:rPr>
        <w:t>;74(2):203-205</w:t>
      </w:r>
    </w:p>
    <w:p w14:paraId="1E57EF3E"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9. </w:t>
      </w:r>
      <w:r w:rsidRPr="00350848">
        <w:rPr>
          <w:rFonts w:asciiTheme="majorHAnsi" w:hAnsiTheme="majorHAnsi" w:cstheme="majorHAnsi"/>
          <w:sz w:val="22"/>
        </w:rPr>
        <w:tab/>
        <w:t xml:space="preserve">Vanaken GJ, Bassinet L, Boon M, Mani R, </w:t>
      </w:r>
      <w:proofErr w:type="spellStart"/>
      <w:r w:rsidRPr="00350848">
        <w:rPr>
          <w:rFonts w:asciiTheme="majorHAnsi" w:hAnsiTheme="majorHAnsi" w:cstheme="majorHAnsi"/>
          <w:sz w:val="22"/>
        </w:rPr>
        <w:t>Honoré</w:t>
      </w:r>
      <w:proofErr w:type="spellEnd"/>
      <w:r w:rsidRPr="00350848">
        <w:rPr>
          <w:rFonts w:asciiTheme="majorHAnsi" w:hAnsiTheme="majorHAnsi" w:cstheme="majorHAnsi"/>
          <w:sz w:val="22"/>
        </w:rPr>
        <w:t xml:space="preserve"> I, </w:t>
      </w:r>
      <w:proofErr w:type="spellStart"/>
      <w:r w:rsidRPr="00350848">
        <w:rPr>
          <w:rFonts w:asciiTheme="majorHAnsi" w:hAnsiTheme="majorHAnsi" w:cstheme="majorHAnsi"/>
          <w:sz w:val="22"/>
        </w:rPr>
        <w:t>Papon</w:t>
      </w:r>
      <w:proofErr w:type="spellEnd"/>
      <w:r w:rsidRPr="00350848">
        <w:rPr>
          <w:rFonts w:asciiTheme="majorHAnsi" w:hAnsiTheme="majorHAnsi" w:cstheme="majorHAnsi"/>
          <w:sz w:val="22"/>
        </w:rPr>
        <w:t xml:space="preserve"> J-F, et al. Infertility in an adult cohort with primary ciliary dyskinesia: phenotype-gene association. Eur Respir J. 2017;50(5). </w:t>
      </w:r>
    </w:p>
    <w:p w14:paraId="2E81EB13"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10. </w:t>
      </w:r>
      <w:r w:rsidRPr="00350848">
        <w:rPr>
          <w:rFonts w:asciiTheme="majorHAnsi" w:hAnsiTheme="majorHAnsi" w:cstheme="majorHAnsi"/>
          <w:sz w:val="22"/>
        </w:rPr>
        <w:tab/>
        <w:t>Afzelius BA, Eliasson R. Male and female infertility problems in the immotile-cilia syndrome. Eur J Respir Dis Suppl. 1983</w:t>
      </w:r>
      <w:proofErr w:type="gramStart"/>
      <w:r w:rsidRPr="00350848">
        <w:rPr>
          <w:rFonts w:asciiTheme="majorHAnsi" w:hAnsiTheme="majorHAnsi" w:cstheme="majorHAnsi"/>
          <w:sz w:val="22"/>
        </w:rPr>
        <w:t>;127:144</w:t>
      </w:r>
      <w:proofErr w:type="gramEnd"/>
      <w:r w:rsidRPr="00350848">
        <w:rPr>
          <w:rFonts w:asciiTheme="majorHAnsi" w:hAnsiTheme="majorHAnsi" w:cstheme="majorHAnsi"/>
          <w:sz w:val="22"/>
        </w:rPr>
        <w:t xml:space="preserve">–7. </w:t>
      </w:r>
    </w:p>
    <w:p w14:paraId="492411AB"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11. </w:t>
      </w:r>
      <w:r w:rsidRPr="00350848">
        <w:rPr>
          <w:rFonts w:asciiTheme="majorHAnsi" w:hAnsiTheme="majorHAnsi" w:cstheme="majorHAnsi"/>
          <w:sz w:val="22"/>
        </w:rPr>
        <w:tab/>
        <w:t>Lucas JSA, Walker WT, Kuehni CE, Lazor R. Primary ciliary dyskinesia. In: Cordier J-F, editor. Orphan Lung Diseases. European Respiratory Society; 2011</w:t>
      </w:r>
      <w:r w:rsidR="003A71E0" w:rsidRPr="00350848">
        <w:rPr>
          <w:rFonts w:asciiTheme="majorHAnsi" w:hAnsiTheme="majorHAnsi" w:cstheme="majorHAnsi"/>
          <w:sz w:val="22"/>
        </w:rPr>
        <w:t>; DOI: 10.1183/1025448x.erm5410</w:t>
      </w:r>
      <w:r w:rsidRPr="00350848">
        <w:rPr>
          <w:rFonts w:asciiTheme="majorHAnsi" w:hAnsiTheme="majorHAnsi" w:cstheme="majorHAnsi"/>
          <w:sz w:val="22"/>
        </w:rPr>
        <w:t xml:space="preserve">12. </w:t>
      </w:r>
      <w:r w:rsidRPr="00350848">
        <w:rPr>
          <w:rFonts w:asciiTheme="majorHAnsi" w:hAnsiTheme="majorHAnsi" w:cstheme="majorHAnsi"/>
          <w:sz w:val="22"/>
        </w:rPr>
        <w:tab/>
        <w:t xml:space="preserve">O’Callaghan C, Chetcuti P, Moya E. High prevalence of primary ciliary dyskinesia in a British Asian population. Arch Dis Child. 2010;95(1):51–2. </w:t>
      </w:r>
    </w:p>
    <w:p w14:paraId="07C697D4"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13. </w:t>
      </w:r>
      <w:r w:rsidRPr="00350848">
        <w:rPr>
          <w:rFonts w:asciiTheme="majorHAnsi" w:hAnsiTheme="majorHAnsi" w:cstheme="majorHAnsi"/>
          <w:sz w:val="22"/>
        </w:rPr>
        <w:tab/>
      </w:r>
      <w:proofErr w:type="spellStart"/>
      <w:r w:rsidRPr="00350848">
        <w:rPr>
          <w:rFonts w:asciiTheme="majorHAnsi" w:hAnsiTheme="majorHAnsi" w:cstheme="majorHAnsi"/>
          <w:sz w:val="22"/>
        </w:rPr>
        <w:t>Onoufriadis</w:t>
      </w:r>
      <w:proofErr w:type="spellEnd"/>
      <w:r w:rsidRPr="00350848">
        <w:rPr>
          <w:rFonts w:asciiTheme="majorHAnsi" w:hAnsiTheme="majorHAnsi" w:cstheme="majorHAnsi"/>
          <w:sz w:val="22"/>
        </w:rPr>
        <w:t xml:space="preserve"> A, </w:t>
      </w:r>
      <w:proofErr w:type="spellStart"/>
      <w:r w:rsidRPr="00350848">
        <w:rPr>
          <w:rFonts w:asciiTheme="majorHAnsi" w:hAnsiTheme="majorHAnsi" w:cstheme="majorHAnsi"/>
          <w:sz w:val="22"/>
        </w:rPr>
        <w:t>Paff</w:t>
      </w:r>
      <w:proofErr w:type="spellEnd"/>
      <w:r w:rsidRPr="00350848">
        <w:rPr>
          <w:rFonts w:asciiTheme="majorHAnsi" w:hAnsiTheme="majorHAnsi" w:cstheme="majorHAnsi"/>
          <w:sz w:val="22"/>
        </w:rPr>
        <w:t xml:space="preserve"> T, Antony D, Shoemark A, </w:t>
      </w:r>
      <w:proofErr w:type="spellStart"/>
      <w:r w:rsidRPr="00350848">
        <w:rPr>
          <w:rFonts w:asciiTheme="majorHAnsi" w:hAnsiTheme="majorHAnsi" w:cstheme="majorHAnsi"/>
          <w:sz w:val="22"/>
        </w:rPr>
        <w:t>Micha</w:t>
      </w:r>
      <w:proofErr w:type="spellEnd"/>
      <w:r w:rsidRPr="00350848">
        <w:rPr>
          <w:rFonts w:asciiTheme="majorHAnsi" w:hAnsiTheme="majorHAnsi" w:cstheme="majorHAnsi"/>
          <w:sz w:val="22"/>
        </w:rPr>
        <w:t xml:space="preserve"> D, </w:t>
      </w:r>
      <w:proofErr w:type="spellStart"/>
      <w:r w:rsidRPr="00350848">
        <w:rPr>
          <w:rFonts w:asciiTheme="majorHAnsi" w:hAnsiTheme="majorHAnsi" w:cstheme="majorHAnsi"/>
          <w:sz w:val="22"/>
        </w:rPr>
        <w:t>Kuyt</w:t>
      </w:r>
      <w:proofErr w:type="spellEnd"/>
      <w:r w:rsidRPr="00350848">
        <w:rPr>
          <w:rFonts w:asciiTheme="majorHAnsi" w:hAnsiTheme="majorHAnsi" w:cstheme="majorHAnsi"/>
          <w:sz w:val="22"/>
        </w:rPr>
        <w:t xml:space="preserve"> B, et al. Splice-Site Mutations in the Axonemal Outer Dynein Arm Docking Complex Gene CCDC114 Cause Primary Ciliary Dyskinesia. Am J Hum Genet. 2013;92(1):88–98. </w:t>
      </w:r>
    </w:p>
    <w:p w14:paraId="68BB5729"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14. </w:t>
      </w:r>
      <w:r w:rsidRPr="00350848">
        <w:rPr>
          <w:rFonts w:asciiTheme="majorHAnsi" w:hAnsiTheme="majorHAnsi" w:cstheme="majorHAnsi"/>
          <w:sz w:val="22"/>
        </w:rPr>
        <w:tab/>
        <w:t>Lucas JS, Burgess A, Mitchison HM, Moya E, Williamson M, Hogg C, et al. Diagnosis and management of primary ciliary dyskinesia. Archives of Disease in Childhood. 2014</w:t>
      </w:r>
      <w:proofErr w:type="gramStart"/>
      <w:r w:rsidRPr="00350848">
        <w:rPr>
          <w:rFonts w:asciiTheme="majorHAnsi" w:hAnsiTheme="majorHAnsi" w:cstheme="majorHAnsi"/>
          <w:sz w:val="22"/>
        </w:rPr>
        <w:t>;archdischild</w:t>
      </w:r>
      <w:proofErr w:type="gramEnd"/>
      <w:r w:rsidRPr="00350848">
        <w:rPr>
          <w:rFonts w:asciiTheme="majorHAnsi" w:hAnsiTheme="majorHAnsi" w:cstheme="majorHAnsi"/>
          <w:sz w:val="22"/>
        </w:rPr>
        <w:t xml:space="preserve">-2013-304831. </w:t>
      </w:r>
    </w:p>
    <w:p w14:paraId="760BB41B"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15. </w:t>
      </w:r>
      <w:r w:rsidRPr="00350848">
        <w:rPr>
          <w:rFonts w:asciiTheme="majorHAnsi" w:hAnsiTheme="majorHAnsi" w:cstheme="majorHAnsi"/>
          <w:sz w:val="22"/>
        </w:rPr>
        <w:tab/>
      </w:r>
      <w:proofErr w:type="spellStart"/>
      <w:r w:rsidRPr="00350848">
        <w:rPr>
          <w:rFonts w:asciiTheme="majorHAnsi" w:hAnsiTheme="majorHAnsi" w:cstheme="majorHAnsi"/>
          <w:sz w:val="22"/>
        </w:rPr>
        <w:t>Barbato</w:t>
      </w:r>
      <w:proofErr w:type="spellEnd"/>
      <w:r w:rsidRPr="00350848">
        <w:rPr>
          <w:rFonts w:asciiTheme="majorHAnsi" w:hAnsiTheme="majorHAnsi" w:cstheme="majorHAnsi"/>
          <w:sz w:val="22"/>
        </w:rPr>
        <w:t xml:space="preserve"> A, </w:t>
      </w:r>
      <w:proofErr w:type="spellStart"/>
      <w:r w:rsidRPr="00350848">
        <w:rPr>
          <w:rFonts w:asciiTheme="majorHAnsi" w:hAnsiTheme="majorHAnsi" w:cstheme="majorHAnsi"/>
          <w:sz w:val="22"/>
        </w:rPr>
        <w:t>Frischer</w:t>
      </w:r>
      <w:proofErr w:type="spellEnd"/>
      <w:r w:rsidRPr="00350848">
        <w:rPr>
          <w:rFonts w:asciiTheme="majorHAnsi" w:hAnsiTheme="majorHAnsi" w:cstheme="majorHAnsi"/>
          <w:sz w:val="22"/>
        </w:rPr>
        <w:t xml:space="preserve"> T, Kuehni CE, Snijders D, </w:t>
      </w:r>
      <w:proofErr w:type="spellStart"/>
      <w:r w:rsidRPr="00350848">
        <w:rPr>
          <w:rFonts w:asciiTheme="majorHAnsi" w:hAnsiTheme="majorHAnsi" w:cstheme="majorHAnsi"/>
          <w:sz w:val="22"/>
        </w:rPr>
        <w:t>Azevedo</w:t>
      </w:r>
      <w:proofErr w:type="spellEnd"/>
      <w:r w:rsidRPr="00350848">
        <w:rPr>
          <w:rFonts w:asciiTheme="majorHAnsi" w:hAnsiTheme="majorHAnsi" w:cstheme="majorHAnsi"/>
          <w:sz w:val="22"/>
        </w:rPr>
        <w:t xml:space="preserve"> I, </w:t>
      </w:r>
      <w:proofErr w:type="spellStart"/>
      <w:r w:rsidRPr="00350848">
        <w:rPr>
          <w:rFonts w:asciiTheme="majorHAnsi" w:hAnsiTheme="majorHAnsi" w:cstheme="majorHAnsi"/>
          <w:sz w:val="22"/>
        </w:rPr>
        <w:t>Baktai</w:t>
      </w:r>
      <w:proofErr w:type="spellEnd"/>
      <w:r w:rsidRPr="00350848">
        <w:rPr>
          <w:rFonts w:asciiTheme="majorHAnsi" w:hAnsiTheme="majorHAnsi" w:cstheme="majorHAnsi"/>
          <w:sz w:val="22"/>
        </w:rPr>
        <w:t xml:space="preserve"> G, et al. Primary ciliary dyskinesia: a consensus statement on diagnostic and treatment approaches in children. Eur Respir J. 2009;34(6):1264–76. </w:t>
      </w:r>
    </w:p>
    <w:p w14:paraId="3A096572"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16. </w:t>
      </w:r>
      <w:r w:rsidRPr="00350848">
        <w:rPr>
          <w:rFonts w:asciiTheme="majorHAnsi" w:hAnsiTheme="majorHAnsi" w:cstheme="majorHAnsi"/>
          <w:sz w:val="22"/>
        </w:rPr>
        <w:tab/>
        <w:t xml:space="preserve">Harris A. Diagnosis and management of children with primary ciliary dyskinesia. </w:t>
      </w:r>
      <w:proofErr w:type="spellStart"/>
      <w:r w:rsidRPr="00350848">
        <w:rPr>
          <w:rFonts w:asciiTheme="majorHAnsi" w:hAnsiTheme="majorHAnsi" w:cstheme="majorHAnsi"/>
          <w:sz w:val="22"/>
        </w:rPr>
        <w:t>Nurs</w:t>
      </w:r>
      <w:proofErr w:type="spellEnd"/>
      <w:r w:rsidRPr="00350848">
        <w:rPr>
          <w:rFonts w:asciiTheme="majorHAnsi" w:hAnsiTheme="majorHAnsi" w:cstheme="majorHAnsi"/>
          <w:sz w:val="22"/>
        </w:rPr>
        <w:t xml:space="preserve"> Children Young People. 2017</w:t>
      </w:r>
      <w:r w:rsidR="003A71E0" w:rsidRPr="00350848">
        <w:rPr>
          <w:rFonts w:asciiTheme="majorHAnsi" w:hAnsiTheme="majorHAnsi" w:cstheme="majorHAnsi"/>
          <w:sz w:val="22"/>
        </w:rPr>
        <w:t>;29(7):38-47</w:t>
      </w:r>
    </w:p>
    <w:p w14:paraId="1585A726"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17. </w:t>
      </w:r>
      <w:r w:rsidRPr="00350848">
        <w:rPr>
          <w:rFonts w:asciiTheme="majorHAnsi" w:hAnsiTheme="majorHAnsi" w:cstheme="majorHAnsi"/>
          <w:sz w:val="22"/>
        </w:rPr>
        <w:tab/>
      </w:r>
      <w:proofErr w:type="spellStart"/>
      <w:r w:rsidRPr="00350848">
        <w:rPr>
          <w:rFonts w:asciiTheme="majorHAnsi" w:hAnsiTheme="majorHAnsi" w:cstheme="majorHAnsi"/>
          <w:sz w:val="22"/>
        </w:rPr>
        <w:t>Definying</w:t>
      </w:r>
      <w:proofErr w:type="spellEnd"/>
      <w:r w:rsidRPr="00350848">
        <w:rPr>
          <w:rFonts w:asciiTheme="majorHAnsi" w:hAnsiTheme="majorHAnsi" w:cstheme="majorHAnsi"/>
          <w:sz w:val="22"/>
        </w:rPr>
        <w:t xml:space="preserve"> Research, Health Research Authority [Internet]. National Health Service; 2013 [cited 2018 May 24]. Available from: https://researchsupport.admin.ox.ac.uk/sites/default/files/researchsupport/documents/media/defining-research.pdf</w:t>
      </w:r>
    </w:p>
    <w:p w14:paraId="436A2363"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18. </w:t>
      </w:r>
      <w:r w:rsidRPr="00350848">
        <w:rPr>
          <w:rFonts w:asciiTheme="majorHAnsi" w:hAnsiTheme="majorHAnsi" w:cstheme="majorHAnsi"/>
          <w:sz w:val="22"/>
        </w:rPr>
        <w:tab/>
        <w:t xml:space="preserve">Culver BH, Graham BL, Coates AL, Wanger J, Berry CE, Clarke PK, et al. Recommendations for a Standardized Pulmonary Function Report. An Official American Thoracic Society Technical Statement. American Journal of Respiratory and Critical Care Medicine. 2017;196(11):1463–72. </w:t>
      </w:r>
    </w:p>
    <w:p w14:paraId="59DC6AD9" w14:textId="77777777"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 xml:space="preserve">19. </w:t>
      </w:r>
      <w:r w:rsidRPr="00350848">
        <w:rPr>
          <w:rFonts w:asciiTheme="majorHAnsi" w:hAnsiTheme="majorHAnsi" w:cstheme="majorHAnsi"/>
          <w:sz w:val="22"/>
        </w:rPr>
        <w:tab/>
      </w:r>
      <w:proofErr w:type="spellStart"/>
      <w:r w:rsidRPr="00350848">
        <w:rPr>
          <w:rFonts w:asciiTheme="majorHAnsi" w:hAnsiTheme="majorHAnsi" w:cstheme="majorHAnsi"/>
          <w:sz w:val="22"/>
        </w:rPr>
        <w:t>Quanjer</w:t>
      </w:r>
      <w:proofErr w:type="spellEnd"/>
      <w:r w:rsidRPr="00350848">
        <w:rPr>
          <w:rFonts w:asciiTheme="majorHAnsi" w:hAnsiTheme="majorHAnsi" w:cstheme="majorHAnsi"/>
          <w:sz w:val="22"/>
        </w:rPr>
        <w:t xml:space="preserve"> PH, </w:t>
      </w:r>
      <w:proofErr w:type="spellStart"/>
      <w:r w:rsidRPr="00350848">
        <w:rPr>
          <w:rFonts w:asciiTheme="majorHAnsi" w:hAnsiTheme="majorHAnsi" w:cstheme="majorHAnsi"/>
          <w:sz w:val="22"/>
        </w:rPr>
        <w:t>Stanojevic</w:t>
      </w:r>
      <w:proofErr w:type="spellEnd"/>
      <w:r w:rsidRPr="00350848">
        <w:rPr>
          <w:rFonts w:asciiTheme="majorHAnsi" w:hAnsiTheme="majorHAnsi" w:cstheme="majorHAnsi"/>
          <w:sz w:val="22"/>
        </w:rPr>
        <w:t xml:space="preserve"> S, Cole TJ, Baur X, Hall GL, Culver BH, et al. Multi-ethnic reference values for spirometry for the 3-95-yr age range: the global lung function 2012 equations. Eur Respir J. 2012;40(6):1324–43. </w:t>
      </w:r>
    </w:p>
    <w:p w14:paraId="75C3BC92" w14:textId="77777777" w:rsidR="00350848" w:rsidRPr="00350848" w:rsidRDefault="00735187" w:rsidP="00350848">
      <w:pPr>
        <w:pStyle w:val="Bibliography"/>
        <w:rPr>
          <w:rStyle w:val="Hyperlink"/>
          <w:rFonts w:asciiTheme="majorHAnsi" w:hAnsiTheme="majorHAnsi" w:cstheme="majorHAnsi"/>
          <w:sz w:val="22"/>
        </w:rPr>
      </w:pPr>
      <w:r w:rsidRPr="00350848">
        <w:rPr>
          <w:rFonts w:asciiTheme="majorHAnsi" w:hAnsiTheme="majorHAnsi" w:cstheme="majorHAnsi"/>
          <w:sz w:val="22"/>
        </w:rPr>
        <w:t xml:space="preserve">20. </w:t>
      </w:r>
      <w:r w:rsidRPr="00350848">
        <w:rPr>
          <w:rFonts w:asciiTheme="majorHAnsi" w:hAnsiTheme="majorHAnsi" w:cstheme="majorHAnsi"/>
          <w:sz w:val="22"/>
        </w:rPr>
        <w:tab/>
      </w:r>
      <w:proofErr w:type="spellStart"/>
      <w:r w:rsidRPr="00350848">
        <w:rPr>
          <w:rFonts w:asciiTheme="majorHAnsi" w:hAnsiTheme="majorHAnsi" w:cstheme="majorHAnsi"/>
          <w:sz w:val="22"/>
        </w:rPr>
        <w:t>Carr</w:t>
      </w:r>
      <w:proofErr w:type="spellEnd"/>
      <w:r w:rsidRPr="00350848">
        <w:rPr>
          <w:rFonts w:asciiTheme="majorHAnsi" w:hAnsiTheme="majorHAnsi" w:cstheme="majorHAnsi"/>
          <w:sz w:val="22"/>
        </w:rPr>
        <w:t xml:space="preserve"> S, </w:t>
      </w:r>
      <w:proofErr w:type="spellStart"/>
      <w:r w:rsidRPr="00350848">
        <w:rPr>
          <w:rFonts w:asciiTheme="majorHAnsi" w:hAnsiTheme="majorHAnsi" w:cstheme="majorHAnsi"/>
          <w:sz w:val="22"/>
        </w:rPr>
        <w:t>Cosgriff</w:t>
      </w:r>
      <w:proofErr w:type="spellEnd"/>
      <w:r w:rsidRPr="00350848">
        <w:rPr>
          <w:rFonts w:asciiTheme="majorHAnsi" w:hAnsiTheme="majorHAnsi" w:cstheme="majorHAnsi"/>
          <w:sz w:val="22"/>
        </w:rPr>
        <w:t xml:space="preserve"> R, </w:t>
      </w:r>
      <w:proofErr w:type="spellStart"/>
      <w:r w:rsidRPr="00350848">
        <w:rPr>
          <w:rFonts w:asciiTheme="majorHAnsi" w:hAnsiTheme="majorHAnsi" w:cstheme="majorHAnsi"/>
          <w:sz w:val="22"/>
        </w:rPr>
        <w:t>Rajabzadeh-Heshejin</w:t>
      </w:r>
      <w:proofErr w:type="spellEnd"/>
      <w:r w:rsidRPr="00350848">
        <w:rPr>
          <w:rFonts w:asciiTheme="majorHAnsi" w:hAnsiTheme="majorHAnsi" w:cstheme="majorHAnsi"/>
          <w:sz w:val="22"/>
        </w:rPr>
        <w:t xml:space="preserve"> V. Cystic </w:t>
      </w:r>
      <w:proofErr w:type="spellStart"/>
      <w:r w:rsidRPr="00350848">
        <w:rPr>
          <w:rFonts w:asciiTheme="majorHAnsi" w:hAnsiTheme="majorHAnsi" w:cstheme="majorHAnsi"/>
          <w:sz w:val="22"/>
        </w:rPr>
        <w:t>Fribrosis</w:t>
      </w:r>
      <w:proofErr w:type="spellEnd"/>
      <w:r w:rsidRPr="00350848">
        <w:rPr>
          <w:rFonts w:asciiTheme="majorHAnsi" w:hAnsiTheme="majorHAnsi" w:cstheme="majorHAnsi"/>
          <w:sz w:val="22"/>
        </w:rPr>
        <w:t xml:space="preserve">: strength in numbers, UK Cystic Fibrosis Registry 2015 Annual Data Report [Internet]. 2016 Aug [cited 2018 May 24]. Available from: </w:t>
      </w:r>
      <w:hyperlink r:id="rId9" w:history="1">
        <w:r w:rsidR="006417B8" w:rsidRPr="00350848">
          <w:rPr>
            <w:rStyle w:val="Hyperlink"/>
            <w:rFonts w:asciiTheme="majorHAnsi" w:hAnsiTheme="majorHAnsi" w:cstheme="majorHAnsi"/>
            <w:sz w:val="22"/>
          </w:rPr>
          <w:t>https://www.cysticfibrosis.org.uk/the-work-we-do/uk-cf-registry/reporting-and-resources</w:t>
        </w:r>
      </w:hyperlink>
    </w:p>
    <w:p w14:paraId="5DAF18A5" w14:textId="73CF679F" w:rsidR="006417B8" w:rsidRPr="00350848" w:rsidRDefault="00350848" w:rsidP="00350848">
      <w:pPr>
        <w:pStyle w:val="Bibliography"/>
        <w:rPr>
          <w:rFonts w:asciiTheme="majorHAnsi" w:hAnsiTheme="majorHAnsi" w:cstheme="majorHAnsi"/>
          <w:sz w:val="22"/>
        </w:rPr>
      </w:pPr>
      <w:r w:rsidRPr="00350848">
        <w:rPr>
          <w:rFonts w:asciiTheme="majorHAnsi" w:hAnsiTheme="majorHAnsi" w:cstheme="majorHAnsi"/>
          <w:sz w:val="22"/>
        </w:rPr>
        <w:t xml:space="preserve">21. </w:t>
      </w:r>
      <w:r w:rsidR="006417B8" w:rsidRPr="00350848">
        <w:rPr>
          <w:rFonts w:asciiTheme="majorHAnsi" w:hAnsiTheme="majorHAnsi" w:cstheme="majorHAnsi"/>
          <w:sz w:val="22"/>
        </w:rPr>
        <w:t>World Health Organization Department of Nutrition for Health and Development. WHO Child Growth Standards length/height-for-age, weight-for-age, weight-for-length, weight-for-height and body mass index-for-age: methods and development. 2006.</w:t>
      </w:r>
    </w:p>
    <w:p w14:paraId="21516CAD" w14:textId="755D8754" w:rsidR="00735187" w:rsidRDefault="00735187" w:rsidP="00735187">
      <w:pPr>
        <w:pStyle w:val="Bibliography"/>
        <w:rPr>
          <w:rFonts w:asciiTheme="majorHAnsi" w:hAnsiTheme="majorHAnsi" w:cstheme="majorHAnsi"/>
          <w:sz w:val="22"/>
        </w:rPr>
      </w:pPr>
      <w:r w:rsidRPr="00350848">
        <w:rPr>
          <w:rFonts w:asciiTheme="majorHAnsi" w:hAnsiTheme="majorHAnsi" w:cstheme="majorHAnsi"/>
          <w:sz w:val="22"/>
        </w:rPr>
        <w:t>2</w:t>
      </w:r>
      <w:r w:rsidR="006417B8" w:rsidRPr="00350848">
        <w:rPr>
          <w:rFonts w:asciiTheme="majorHAnsi" w:hAnsiTheme="majorHAnsi" w:cstheme="majorHAnsi"/>
          <w:sz w:val="22"/>
        </w:rPr>
        <w:t>2</w:t>
      </w:r>
      <w:r w:rsidRPr="00350848">
        <w:rPr>
          <w:rFonts w:asciiTheme="majorHAnsi" w:hAnsiTheme="majorHAnsi" w:cstheme="majorHAnsi"/>
          <w:sz w:val="22"/>
        </w:rPr>
        <w:t xml:space="preserve">. </w:t>
      </w:r>
      <w:r w:rsidRPr="00350848">
        <w:rPr>
          <w:rFonts w:asciiTheme="majorHAnsi" w:hAnsiTheme="majorHAnsi" w:cstheme="majorHAnsi"/>
          <w:sz w:val="22"/>
        </w:rPr>
        <w:tab/>
        <w:t xml:space="preserve">Dell SD. Primary ciliary dyskinesia: Myths and realities. </w:t>
      </w:r>
      <w:proofErr w:type="spellStart"/>
      <w:r w:rsidRPr="00350848">
        <w:rPr>
          <w:rFonts w:asciiTheme="majorHAnsi" w:hAnsiTheme="majorHAnsi" w:cstheme="majorHAnsi"/>
          <w:sz w:val="22"/>
        </w:rPr>
        <w:t>Paediatr</w:t>
      </w:r>
      <w:proofErr w:type="spellEnd"/>
      <w:r w:rsidRPr="00350848">
        <w:rPr>
          <w:rFonts w:asciiTheme="majorHAnsi" w:hAnsiTheme="majorHAnsi" w:cstheme="majorHAnsi"/>
          <w:sz w:val="22"/>
        </w:rPr>
        <w:t xml:space="preserve"> Child Health. 2008 Oct;13(8):668–70. </w:t>
      </w:r>
    </w:p>
    <w:p w14:paraId="201D90A3" w14:textId="183E7405" w:rsidR="00BC6093" w:rsidRDefault="00BC6093" w:rsidP="006F17FB">
      <w:pPr>
        <w:ind w:left="386" w:hanging="386"/>
        <w:rPr>
          <w:rFonts w:asciiTheme="majorHAnsi" w:eastAsiaTheme="minorEastAsia" w:hAnsiTheme="majorHAnsi" w:cstheme="majorHAnsi"/>
          <w:sz w:val="22"/>
        </w:rPr>
      </w:pPr>
      <w:r w:rsidRPr="00BC6093">
        <w:rPr>
          <w:rFonts w:asciiTheme="majorHAnsi" w:eastAsiaTheme="minorEastAsia" w:hAnsiTheme="majorHAnsi" w:cstheme="majorHAnsi"/>
          <w:sz w:val="22"/>
        </w:rPr>
        <w:t xml:space="preserve">23. </w:t>
      </w:r>
      <w:r>
        <w:rPr>
          <w:rFonts w:asciiTheme="majorHAnsi" w:eastAsiaTheme="minorEastAsia" w:hAnsiTheme="majorHAnsi" w:cstheme="majorHAnsi"/>
          <w:sz w:val="22"/>
        </w:rPr>
        <w:t xml:space="preserve"> </w:t>
      </w:r>
      <w:r w:rsidR="000C1A84">
        <w:rPr>
          <w:rFonts w:asciiTheme="majorHAnsi" w:eastAsiaTheme="minorEastAsia" w:hAnsiTheme="majorHAnsi" w:cstheme="majorHAnsi"/>
          <w:sz w:val="22"/>
        </w:rPr>
        <w:t xml:space="preserve">Marthin JK, Petersen N, </w:t>
      </w:r>
      <w:proofErr w:type="spellStart"/>
      <w:r w:rsidR="000C1A84">
        <w:rPr>
          <w:rFonts w:asciiTheme="majorHAnsi" w:eastAsiaTheme="minorEastAsia" w:hAnsiTheme="majorHAnsi" w:cstheme="majorHAnsi"/>
          <w:sz w:val="22"/>
        </w:rPr>
        <w:t>Skovgaard</w:t>
      </w:r>
      <w:proofErr w:type="spellEnd"/>
      <w:r w:rsidR="000C1A84">
        <w:rPr>
          <w:rFonts w:asciiTheme="majorHAnsi" w:eastAsiaTheme="minorEastAsia" w:hAnsiTheme="majorHAnsi" w:cstheme="majorHAnsi"/>
          <w:sz w:val="22"/>
        </w:rPr>
        <w:t xml:space="preserve"> LT, Nielsen KG. Lung function in patients with primary ciliary dyskinesia</w:t>
      </w:r>
      <w:r w:rsidR="0052312B">
        <w:rPr>
          <w:rFonts w:asciiTheme="majorHAnsi" w:eastAsiaTheme="minorEastAsia" w:hAnsiTheme="majorHAnsi" w:cstheme="majorHAnsi"/>
          <w:sz w:val="22"/>
        </w:rPr>
        <w:t>: a cross-sectional and 3-decade longitudinal study. Am J Respir Crit Care Med. 2010</w:t>
      </w:r>
      <w:r w:rsidR="006F17FB">
        <w:rPr>
          <w:rFonts w:asciiTheme="majorHAnsi" w:eastAsiaTheme="minorEastAsia" w:hAnsiTheme="majorHAnsi" w:cstheme="majorHAnsi"/>
          <w:sz w:val="22"/>
        </w:rPr>
        <w:t xml:space="preserve"> Jun; 181(11):1262-8.</w:t>
      </w:r>
    </w:p>
    <w:p w14:paraId="03571B36" w14:textId="77777777" w:rsidR="000C1A84" w:rsidRPr="00BC6093" w:rsidRDefault="000C1A84" w:rsidP="006F17FB">
      <w:pPr>
        <w:ind w:left="720" w:hanging="720"/>
        <w:rPr>
          <w:rFonts w:asciiTheme="majorHAnsi" w:eastAsiaTheme="minorEastAsia" w:hAnsiTheme="majorHAnsi" w:cstheme="majorHAnsi"/>
          <w:sz w:val="22"/>
        </w:rPr>
      </w:pPr>
    </w:p>
    <w:p w14:paraId="4BC2F08E" w14:textId="241EE2BB"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2</w:t>
      </w:r>
      <w:r w:rsidR="003F3F78">
        <w:rPr>
          <w:rFonts w:asciiTheme="majorHAnsi" w:hAnsiTheme="majorHAnsi" w:cstheme="majorHAnsi"/>
          <w:sz w:val="22"/>
        </w:rPr>
        <w:t>4</w:t>
      </w:r>
      <w:r w:rsidRPr="00350848">
        <w:rPr>
          <w:rFonts w:asciiTheme="majorHAnsi" w:hAnsiTheme="majorHAnsi" w:cstheme="majorHAnsi"/>
          <w:sz w:val="22"/>
        </w:rPr>
        <w:t xml:space="preserve">. </w:t>
      </w:r>
      <w:r w:rsidRPr="00350848">
        <w:rPr>
          <w:rFonts w:asciiTheme="majorHAnsi" w:hAnsiTheme="majorHAnsi" w:cstheme="majorHAnsi"/>
          <w:sz w:val="22"/>
        </w:rPr>
        <w:tab/>
      </w:r>
      <w:proofErr w:type="spellStart"/>
      <w:r w:rsidRPr="00350848">
        <w:rPr>
          <w:rFonts w:asciiTheme="majorHAnsi" w:hAnsiTheme="majorHAnsi" w:cstheme="majorHAnsi"/>
          <w:sz w:val="22"/>
        </w:rPr>
        <w:t>Kuehni</w:t>
      </w:r>
      <w:proofErr w:type="spellEnd"/>
      <w:r w:rsidRPr="00350848">
        <w:rPr>
          <w:rFonts w:asciiTheme="majorHAnsi" w:hAnsiTheme="majorHAnsi" w:cstheme="majorHAnsi"/>
          <w:sz w:val="22"/>
        </w:rPr>
        <w:t xml:space="preserve"> CE, </w:t>
      </w:r>
      <w:proofErr w:type="spellStart"/>
      <w:r w:rsidRPr="00350848">
        <w:rPr>
          <w:rFonts w:asciiTheme="majorHAnsi" w:hAnsiTheme="majorHAnsi" w:cstheme="majorHAnsi"/>
          <w:sz w:val="22"/>
        </w:rPr>
        <w:t>Frischer</w:t>
      </w:r>
      <w:proofErr w:type="spellEnd"/>
      <w:r w:rsidRPr="00350848">
        <w:rPr>
          <w:rFonts w:asciiTheme="majorHAnsi" w:hAnsiTheme="majorHAnsi" w:cstheme="majorHAnsi"/>
          <w:sz w:val="22"/>
        </w:rPr>
        <w:t xml:space="preserve"> T, </w:t>
      </w:r>
      <w:proofErr w:type="spellStart"/>
      <w:r w:rsidRPr="00350848">
        <w:rPr>
          <w:rFonts w:asciiTheme="majorHAnsi" w:hAnsiTheme="majorHAnsi" w:cstheme="majorHAnsi"/>
          <w:sz w:val="22"/>
        </w:rPr>
        <w:t>Strippoli</w:t>
      </w:r>
      <w:proofErr w:type="spellEnd"/>
      <w:r w:rsidRPr="00350848">
        <w:rPr>
          <w:rFonts w:asciiTheme="majorHAnsi" w:hAnsiTheme="majorHAnsi" w:cstheme="majorHAnsi"/>
          <w:sz w:val="22"/>
        </w:rPr>
        <w:t xml:space="preserve"> M-PF, Maurer E, Bush A, Nielsen KG, et al. Factors influencing age at diagnosis of primary ciliary dyskinesia in European children. Eur Respir J. 2010 Dec;36(6):1248–58. </w:t>
      </w:r>
    </w:p>
    <w:p w14:paraId="10934AE9" w14:textId="4DE9D89F"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2</w:t>
      </w:r>
      <w:r w:rsidR="003F3F78">
        <w:rPr>
          <w:rFonts w:asciiTheme="majorHAnsi" w:hAnsiTheme="majorHAnsi" w:cstheme="majorHAnsi"/>
          <w:sz w:val="22"/>
        </w:rPr>
        <w:t>5</w:t>
      </w:r>
      <w:r w:rsidRPr="00350848">
        <w:rPr>
          <w:rFonts w:asciiTheme="majorHAnsi" w:hAnsiTheme="majorHAnsi" w:cstheme="majorHAnsi"/>
          <w:sz w:val="22"/>
        </w:rPr>
        <w:t xml:space="preserve">. </w:t>
      </w:r>
      <w:r w:rsidRPr="00350848">
        <w:rPr>
          <w:rFonts w:asciiTheme="majorHAnsi" w:hAnsiTheme="majorHAnsi" w:cstheme="majorHAnsi"/>
          <w:sz w:val="22"/>
        </w:rPr>
        <w:tab/>
        <w:t xml:space="preserve">Alanin MC, Nielsen KG, von Buchwald C, </w:t>
      </w:r>
      <w:proofErr w:type="spellStart"/>
      <w:r w:rsidRPr="00350848">
        <w:rPr>
          <w:rFonts w:asciiTheme="majorHAnsi" w:hAnsiTheme="majorHAnsi" w:cstheme="majorHAnsi"/>
          <w:sz w:val="22"/>
        </w:rPr>
        <w:t>Skov</w:t>
      </w:r>
      <w:proofErr w:type="spellEnd"/>
      <w:r w:rsidRPr="00350848">
        <w:rPr>
          <w:rFonts w:asciiTheme="majorHAnsi" w:hAnsiTheme="majorHAnsi" w:cstheme="majorHAnsi"/>
          <w:sz w:val="22"/>
        </w:rPr>
        <w:t xml:space="preserve"> M, </w:t>
      </w:r>
      <w:proofErr w:type="spellStart"/>
      <w:r w:rsidRPr="00350848">
        <w:rPr>
          <w:rFonts w:asciiTheme="majorHAnsi" w:hAnsiTheme="majorHAnsi" w:cstheme="majorHAnsi"/>
          <w:sz w:val="22"/>
        </w:rPr>
        <w:t>Aanaes</w:t>
      </w:r>
      <w:proofErr w:type="spellEnd"/>
      <w:r w:rsidRPr="00350848">
        <w:rPr>
          <w:rFonts w:asciiTheme="majorHAnsi" w:hAnsiTheme="majorHAnsi" w:cstheme="majorHAnsi"/>
          <w:sz w:val="22"/>
        </w:rPr>
        <w:t xml:space="preserve"> K, </w:t>
      </w:r>
      <w:proofErr w:type="spellStart"/>
      <w:r w:rsidRPr="00350848">
        <w:rPr>
          <w:rFonts w:asciiTheme="majorHAnsi" w:hAnsiTheme="majorHAnsi" w:cstheme="majorHAnsi"/>
          <w:sz w:val="22"/>
        </w:rPr>
        <w:t>Høiby</w:t>
      </w:r>
      <w:proofErr w:type="spellEnd"/>
      <w:r w:rsidRPr="00350848">
        <w:rPr>
          <w:rFonts w:asciiTheme="majorHAnsi" w:hAnsiTheme="majorHAnsi" w:cstheme="majorHAnsi"/>
          <w:sz w:val="22"/>
        </w:rPr>
        <w:t xml:space="preserve"> N, et al. A longitudinal study of lung bacterial pathogens in patients with primary ciliary dyskinesia. </w:t>
      </w:r>
      <w:proofErr w:type="spellStart"/>
      <w:r w:rsidRPr="00350848">
        <w:rPr>
          <w:rFonts w:asciiTheme="majorHAnsi" w:hAnsiTheme="majorHAnsi" w:cstheme="majorHAnsi"/>
          <w:sz w:val="22"/>
        </w:rPr>
        <w:t>Clin</w:t>
      </w:r>
      <w:proofErr w:type="spellEnd"/>
      <w:r w:rsidRPr="00350848">
        <w:rPr>
          <w:rFonts w:asciiTheme="majorHAnsi" w:hAnsiTheme="majorHAnsi" w:cstheme="majorHAnsi"/>
          <w:sz w:val="22"/>
        </w:rPr>
        <w:t xml:space="preserve"> </w:t>
      </w:r>
      <w:proofErr w:type="spellStart"/>
      <w:r w:rsidRPr="00350848">
        <w:rPr>
          <w:rFonts w:asciiTheme="majorHAnsi" w:hAnsiTheme="majorHAnsi" w:cstheme="majorHAnsi"/>
          <w:sz w:val="22"/>
        </w:rPr>
        <w:t>Microbiol</w:t>
      </w:r>
      <w:proofErr w:type="spellEnd"/>
      <w:r w:rsidRPr="00350848">
        <w:rPr>
          <w:rFonts w:asciiTheme="majorHAnsi" w:hAnsiTheme="majorHAnsi" w:cstheme="majorHAnsi"/>
          <w:sz w:val="22"/>
        </w:rPr>
        <w:t xml:space="preserve"> Infect. 2015 Dec</w:t>
      </w:r>
      <w:proofErr w:type="gramStart"/>
      <w:r w:rsidRPr="00350848">
        <w:rPr>
          <w:rFonts w:asciiTheme="majorHAnsi" w:hAnsiTheme="majorHAnsi" w:cstheme="majorHAnsi"/>
          <w:sz w:val="22"/>
        </w:rPr>
        <w:t>;21</w:t>
      </w:r>
      <w:proofErr w:type="gramEnd"/>
      <w:r w:rsidRPr="00350848">
        <w:rPr>
          <w:rFonts w:asciiTheme="majorHAnsi" w:hAnsiTheme="majorHAnsi" w:cstheme="majorHAnsi"/>
          <w:sz w:val="22"/>
        </w:rPr>
        <w:t xml:space="preserve">(12):1093.e1-7. </w:t>
      </w:r>
    </w:p>
    <w:p w14:paraId="7DAD7F84" w14:textId="657EB0DA"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2</w:t>
      </w:r>
      <w:r w:rsidR="003F3F78">
        <w:rPr>
          <w:rFonts w:asciiTheme="majorHAnsi" w:hAnsiTheme="majorHAnsi" w:cstheme="majorHAnsi"/>
          <w:sz w:val="22"/>
        </w:rPr>
        <w:t>6</w:t>
      </w:r>
      <w:r w:rsidRPr="00350848">
        <w:rPr>
          <w:rFonts w:asciiTheme="majorHAnsi" w:hAnsiTheme="majorHAnsi" w:cstheme="majorHAnsi"/>
          <w:sz w:val="22"/>
        </w:rPr>
        <w:t xml:space="preserve">. </w:t>
      </w:r>
      <w:r w:rsidRPr="00350848">
        <w:rPr>
          <w:rFonts w:asciiTheme="majorHAnsi" w:hAnsiTheme="majorHAnsi" w:cstheme="majorHAnsi"/>
          <w:sz w:val="22"/>
        </w:rPr>
        <w:tab/>
        <w:t xml:space="preserve">Rogers GB, Carroll MP, Zain NMM, Bruce KD, Lock K, Walker W, et al. Complexity, temporal stability, and clinical correlates of airway bacterial community composition in primary ciliary dyskinesia. J </w:t>
      </w:r>
      <w:proofErr w:type="spellStart"/>
      <w:r w:rsidRPr="00350848">
        <w:rPr>
          <w:rFonts w:asciiTheme="majorHAnsi" w:hAnsiTheme="majorHAnsi" w:cstheme="majorHAnsi"/>
          <w:sz w:val="22"/>
        </w:rPr>
        <w:t>Clin</w:t>
      </w:r>
      <w:proofErr w:type="spellEnd"/>
      <w:r w:rsidRPr="00350848">
        <w:rPr>
          <w:rFonts w:asciiTheme="majorHAnsi" w:hAnsiTheme="majorHAnsi" w:cstheme="majorHAnsi"/>
          <w:sz w:val="22"/>
        </w:rPr>
        <w:t xml:space="preserve"> </w:t>
      </w:r>
      <w:proofErr w:type="spellStart"/>
      <w:r w:rsidRPr="00350848">
        <w:rPr>
          <w:rFonts w:asciiTheme="majorHAnsi" w:hAnsiTheme="majorHAnsi" w:cstheme="majorHAnsi"/>
          <w:sz w:val="22"/>
        </w:rPr>
        <w:t>Microbiol</w:t>
      </w:r>
      <w:proofErr w:type="spellEnd"/>
      <w:r w:rsidRPr="00350848">
        <w:rPr>
          <w:rFonts w:asciiTheme="majorHAnsi" w:hAnsiTheme="majorHAnsi" w:cstheme="majorHAnsi"/>
          <w:sz w:val="22"/>
        </w:rPr>
        <w:t xml:space="preserve">. 2013 Dec;51(12):4029–35. </w:t>
      </w:r>
    </w:p>
    <w:p w14:paraId="0401F7F9" w14:textId="484FC2D1"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2</w:t>
      </w:r>
      <w:r w:rsidR="003F3F78">
        <w:rPr>
          <w:rFonts w:asciiTheme="majorHAnsi" w:hAnsiTheme="majorHAnsi" w:cstheme="majorHAnsi"/>
          <w:sz w:val="22"/>
        </w:rPr>
        <w:t>7</w:t>
      </w:r>
      <w:r w:rsidRPr="00350848">
        <w:rPr>
          <w:rFonts w:asciiTheme="majorHAnsi" w:hAnsiTheme="majorHAnsi" w:cstheme="majorHAnsi"/>
          <w:sz w:val="22"/>
        </w:rPr>
        <w:t xml:space="preserve">. </w:t>
      </w:r>
      <w:r w:rsidRPr="00350848">
        <w:rPr>
          <w:rFonts w:asciiTheme="majorHAnsi" w:hAnsiTheme="majorHAnsi" w:cstheme="majorHAnsi"/>
          <w:sz w:val="22"/>
        </w:rPr>
        <w:tab/>
        <w:t xml:space="preserve">Noone PG, Leigh MW, </w:t>
      </w:r>
      <w:proofErr w:type="spellStart"/>
      <w:r w:rsidRPr="00350848">
        <w:rPr>
          <w:rFonts w:asciiTheme="majorHAnsi" w:hAnsiTheme="majorHAnsi" w:cstheme="majorHAnsi"/>
          <w:sz w:val="22"/>
        </w:rPr>
        <w:t>Sannuti</w:t>
      </w:r>
      <w:proofErr w:type="spellEnd"/>
      <w:r w:rsidRPr="00350848">
        <w:rPr>
          <w:rFonts w:asciiTheme="majorHAnsi" w:hAnsiTheme="majorHAnsi" w:cstheme="majorHAnsi"/>
          <w:sz w:val="22"/>
        </w:rPr>
        <w:t xml:space="preserve"> A, </w:t>
      </w:r>
      <w:proofErr w:type="spellStart"/>
      <w:r w:rsidRPr="00350848">
        <w:rPr>
          <w:rFonts w:asciiTheme="majorHAnsi" w:hAnsiTheme="majorHAnsi" w:cstheme="majorHAnsi"/>
          <w:sz w:val="22"/>
        </w:rPr>
        <w:t>Minnix</w:t>
      </w:r>
      <w:proofErr w:type="spellEnd"/>
      <w:r w:rsidRPr="00350848">
        <w:rPr>
          <w:rFonts w:asciiTheme="majorHAnsi" w:hAnsiTheme="majorHAnsi" w:cstheme="majorHAnsi"/>
          <w:sz w:val="22"/>
        </w:rPr>
        <w:t xml:space="preserve"> SL, Carson JL, </w:t>
      </w:r>
      <w:proofErr w:type="spellStart"/>
      <w:r w:rsidRPr="00350848">
        <w:rPr>
          <w:rFonts w:asciiTheme="majorHAnsi" w:hAnsiTheme="majorHAnsi" w:cstheme="majorHAnsi"/>
          <w:sz w:val="22"/>
        </w:rPr>
        <w:t>Hazucha</w:t>
      </w:r>
      <w:proofErr w:type="spellEnd"/>
      <w:r w:rsidRPr="00350848">
        <w:rPr>
          <w:rFonts w:asciiTheme="majorHAnsi" w:hAnsiTheme="majorHAnsi" w:cstheme="majorHAnsi"/>
          <w:sz w:val="22"/>
        </w:rPr>
        <w:t xml:space="preserve"> M, et al. Primary ciliary dyskinesia: diagnostic and phenotypic features. Am J Respir Crit Care Med. 2004 Feb 15;169(4):459–67. </w:t>
      </w:r>
    </w:p>
    <w:p w14:paraId="5A92B93D" w14:textId="6E742D41"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2</w:t>
      </w:r>
      <w:r w:rsidR="003F3F78">
        <w:rPr>
          <w:rFonts w:asciiTheme="majorHAnsi" w:hAnsiTheme="majorHAnsi" w:cstheme="majorHAnsi"/>
          <w:sz w:val="22"/>
        </w:rPr>
        <w:t>8</w:t>
      </w:r>
      <w:r w:rsidRPr="00350848">
        <w:rPr>
          <w:rFonts w:asciiTheme="majorHAnsi" w:hAnsiTheme="majorHAnsi" w:cstheme="majorHAnsi"/>
          <w:sz w:val="22"/>
        </w:rPr>
        <w:t xml:space="preserve">. </w:t>
      </w:r>
      <w:r w:rsidRPr="00350848">
        <w:rPr>
          <w:rFonts w:asciiTheme="majorHAnsi" w:hAnsiTheme="majorHAnsi" w:cstheme="majorHAnsi"/>
          <w:sz w:val="22"/>
        </w:rPr>
        <w:tab/>
        <w:t xml:space="preserve">Goutaki M, </w:t>
      </w:r>
      <w:proofErr w:type="spellStart"/>
      <w:r w:rsidRPr="00350848">
        <w:rPr>
          <w:rFonts w:asciiTheme="majorHAnsi" w:hAnsiTheme="majorHAnsi" w:cstheme="majorHAnsi"/>
          <w:sz w:val="22"/>
        </w:rPr>
        <w:t>Halbeisen</w:t>
      </w:r>
      <w:proofErr w:type="spellEnd"/>
      <w:r w:rsidRPr="00350848">
        <w:rPr>
          <w:rFonts w:asciiTheme="majorHAnsi" w:hAnsiTheme="majorHAnsi" w:cstheme="majorHAnsi"/>
          <w:sz w:val="22"/>
        </w:rPr>
        <w:t xml:space="preserve"> FS, </w:t>
      </w:r>
      <w:proofErr w:type="spellStart"/>
      <w:r w:rsidRPr="00350848">
        <w:rPr>
          <w:rFonts w:asciiTheme="majorHAnsi" w:hAnsiTheme="majorHAnsi" w:cstheme="majorHAnsi"/>
          <w:sz w:val="22"/>
        </w:rPr>
        <w:t>Spycher</w:t>
      </w:r>
      <w:proofErr w:type="spellEnd"/>
      <w:r w:rsidRPr="00350848">
        <w:rPr>
          <w:rFonts w:asciiTheme="majorHAnsi" w:hAnsiTheme="majorHAnsi" w:cstheme="majorHAnsi"/>
          <w:sz w:val="22"/>
        </w:rPr>
        <w:t xml:space="preserve"> BD, Maurer E, Belle F, </w:t>
      </w:r>
      <w:proofErr w:type="spellStart"/>
      <w:r w:rsidRPr="00350848">
        <w:rPr>
          <w:rFonts w:asciiTheme="majorHAnsi" w:hAnsiTheme="majorHAnsi" w:cstheme="majorHAnsi"/>
          <w:sz w:val="22"/>
        </w:rPr>
        <w:t>Amirav</w:t>
      </w:r>
      <w:proofErr w:type="spellEnd"/>
      <w:r w:rsidRPr="00350848">
        <w:rPr>
          <w:rFonts w:asciiTheme="majorHAnsi" w:hAnsiTheme="majorHAnsi" w:cstheme="majorHAnsi"/>
          <w:sz w:val="22"/>
        </w:rPr>
        <w:t xml:space="preserve"> I, et al. Growth and nutritional status, and their association with lung function: a study from the international Primary Ciliary Dyskinesia Cohort. Eur Respir J. 2017 Dec;50(6). </w:t>
      </w:r>
    </w:p>
    <w:p w14:paraId="49D93253" w14:textId="4CB5003E" w:rsidR="00735187" w:rsidRDefault="00735187" w:rsidP="00735187">
      <w:pPr>
        <w:pStyle w:val="Bibliography"/>
        <w:rPr>
          <w:rFonts w:asciiTheme="majorHAnsi" w:hAnsiTheme="majorHAnsi" w:cstheme="majorHAnsi"/>
          <w:sz w:val="22"/>
        </w:rPr>
      </w:pPr>
      <w:r w:rsidRPr="00350848">
        <w:rPr>
          <w:rFonts w:asciiTheme="majorHAnsi" w:hAnsiTheme="majorHAnsi" w:cstheme="majorHAnsi"/>
          <w:sz w:val="22"/>
        </w:rPr>
        <w:t>2</w:t>
      </w:r>
      <w:r w:rsidR="003F3F78">
        <w:rPr>
          <w:rFonts w:asciiTheme="majorHAnsi" w:hAnsiTheme="majorHAnsi" w:cstheme="majorHAnsi"/>
          <w:sz w:val="22"/>
        </w:rPr>
        <w:t>9</w:t>
      </w:r>
      <w:r w:rsidRPr="00350848">
        <w:rPr>
          <w:rFonts w:asciiTheme="majorHAnsi" w:hAnsiTheme="majorHAnsi" w:cstheme="majorHAnsi"/>
          <w:sz w:val="22"/>
        </w:rPr>
        <w:t xml:space="preserve">. </w:t>
      </w:r>
      <w:r w:rsidRPr="00350848">
        <w:rPr>
          <w:rFonts w:asciiTheme="majorHAnsi" w:hAnsiTheme="majorHAnsi" w:cstheme="majorHAnsi"/>
          <w:sz w:val="22"/>
        </w:rPr>
        <w:tab/>
        <w:t xml:space="preserve">Marino LV, Harris A, Johnstone C, Friend A, Newell C, Miles EA, et al. Characterising the nutritional status of children with primary ciliary dyskinesia. </w:t>
      </w:r>
      <w:proofErr w:type="spellStart"/>
      <w:r w:rsidRPr="00350848">
        <w:rPr>
          <w:rFonts w:asciiTheme="majorHAnsi" w:hAnsiTheme="majorHAnsi" w:cstheme="majorHAnsi"/>
          <w:sz w:val="22"/>
        </w:rPr>
        <w:t>Clin</w:t>
      </w:r>
      <w:proofErr w:type="spellEnd"/>
      <w:r w:rsidRPr="00350848">
        <w:rPr>
          <w:rFonts w:asciiTheme="majorHAnsi" w:hAnsiTheme="majorHAnsi" w:cstheme="majorHAnsi"/>
          <w:sz w:val="22"/>
        </w:rPr>
        <w:t xml:space="preserve"> </w:t>
      </w:r>
      <w:proofErr w:type="spellStart"/>
      <w:r w:rsidRPr="00350848">
        <w:rPr>
          <w:rFonts w:asciiTheme="majorHAnsi" w:hAnsiTheme="majorHAnsi" w:cstheme="majorHAnsi"/>
          <w:sz w:val="22"/>
        </w:rPr>
        <w:t>Nutr</w:t>
      </w:r>
      <w:proofErr w:type="spellEnd"/>
      <w:r w:rsidRPr="00350848">
        <w:rPr>
          <w:rFonts w:asciiTheme="majorHAnsi" w:hAnsiTheme="majorHAnsi" w:cstheme="majorHAnsi"/>
          <w:sz w:val="22"/>
        </w:rPr>
        <w:t xml:space="preserve">. 2018 Sep 7; </w:t>
      </w:r>
    </w:p>
    <w:p w14:paraId="56D71C45" w14:textId="3B30DD87" w:rsidR="00545E43" w:rsidRDefault="00545E43" w:rsidP="00545E43">
      <w:pPr>
        <w:ind w:left="386" w:hanging="386"/>
        <w:rPr>
          <w:rFonts w:asciiTheme="majorHAnsi" w:eastAsiaTheme="minorEastAsia" w:hAnsiTheme="majorHAnsi" w:cstheme="majorHAnsi"/>
          <w:sz w:val="22"/>
        </w:rPr>
      </w:pPr>
      <w:r>
        <w:rPr>
          <w:rFonts w:asciiTheme="majorHAnsi" w:eastAsiaTheme="minorEastAsia" w:hAnsiTheme="majorHAnsi" w:cstheme="majorHAnsi"/>
          <w:sz w:val="22"/>
        </w:rPr>
        <w:t xml:space="preserve">30.  </w:t>
      </w:r>
      <w:proofErr w:type="spellStart"/>
      <w:r w:rsidRPr="00545E43">
        <w:rPr>
          <w:rFonts w:asciiTheme="majorHAnsi" w:eastAsiaTheme="minorEastAsia" w:hAnsiTheme="majorHAnsi" w:cstheme="majorHAnsi"/>
          <w:sz w:val="22"/>
        </w:rPr>
        <w:t>Maglione</w:t>
      </w:r>
      <w:proofErr w:type="spellEnd"/>
      <w:r w:rsidRPr="00545E43">
        <w:rPr>
          <w:rFonts w:asciiTheme="majorHAnsi" w:eastAsiaTheme="minorEastAsia" w:hAnsiTheme="majorHAnsi" w:cstheme="majorHAnsi"/>
          <w:sz w:val="22"/>
        </w:rPr>
        <w:t xml:space="preserve"> M, Bush A, Nielsen KG, Hogg C, </w:t>
      </w:r>
      <w:proofErr w:type="spellStart"/>
      <w:r w:rsidRPr="00545E43">
        <w:rPr>
          <w:rFonts w:asciiTheme="majorHAnsi" w:eastAsiaTheme="minorEastAsia" w:hAnsiTheme="majorHAnsi" w:cstheme="majorHAnsi"/>
          <w:sz w:val="22"/>
        </w:rPr>
        <w:t>Montella</w:t>
      </w:r>
      <w:proofErr w:type="spellEnd"/>
      <w:r w:rsidRPr="00545E43">
        <w:rPr>
          <w:rFonts w:asciiTheme="majorHAnsi" w:eastAsiaTheme="minorEastAsia" w:hAnsiTheme="majorHAnsi" w:cstheme="majorHAnsi"/>
          <w:sz w:val="22"/>
        </w:rPr>
        <w:t xml:space="preserve"> S, </w:t>
      </w:r>
      <w:proofErr w:type="spellStart"/>
      <w:r w:rsidRPr="00545E43">
        <w:rPr>
          <w:rFonts w:asciiTheme="majorHAnsi" w:eastAsiaTheme="minorEastAsia" w:hAnsiTheme="majorHAnsi" w:cstheme="majorHAnsi"/>
          <w:sz w:val="22"/>
        </w:rPr>
        <w:t>Marthin</w:t>
      </w:r>
      <w:proofErr w:type="spellEnd"/>
      <w:r w:rsidRPr="00545E43">
        <w:rPr>
          <w:rFonts w:asciiTheme="majorHAnsi" w:eastAsiaTheme="minorEastAsia" w:hAnsiTheme="majorHAnsi" w:cstheme="majorHAnsi"/>
          <w:sz w:val="22"/>
        </w:rPr>
        <w:t xml:space="preserve"> JK, et al. </w:t>
      </w:r>
      <w:proofErr w:type="spellStart"/>
      <w:r w:rsidRPr="00545E43">
        <w:rPr>
          <w:rFonts w:asciiTheme="majorHAnsi" w:eastAsiaTheme="minorEastAsia" w:hAnsiTheme="majorHAnsi" w:cstheme="majorHAnsi"/>
          <w:sz w:val="22"/>
        </w:rPr>
        <w:t>Multicenter</w:t>
      </w:r>
      <w:proofErr w:type="spellEnd"/>
      <w:r w:rsidRPr="00545E43">
        <w:rPr>
          <w:rFonts w:asciiTheme="majorHAnsi" w:eastAsiaTheme="minorEastAsia" w:hAnsiTheme="majorHAnsi" w:cstheme="majorHAnsi"/>
          <w:sz w:val="22"/>
        </w:rPr>
        <w:t xml:space="preserve"> analysis of body mass index, lung function, and sputum microbiology in primary ciliary dyskinesia. </w:t>
      </w:r>
      <w:proofErr w:type="spellStart"/>
      <w:r w:rsidRPr="00545E43">
        <w:rPr>
          <w:rFonts w:asciiTheme="majorHAnsi" w:eastAsiaTheme="minorEastAsia" w:hAnsiTheme="majorHAnsi" w:cstheme="majorHAnsi"/>
          <w:sz w:val="22"/>
        </w:rPr>
        <w:t>Pediatr</w:t>
      </w:r>
      <w:proofErr w:type="spellEnd"/>
      <w:r w:rsidRPr="00545E43">
        <w:rPr>
          <w:rFonts w:asciiTheme="majorHAnsi" w:eastAsiaTheme="minorEastAsia" w:hAnsiTheme="majorHAnsi" w:cstheme="majorHAnsi"/>
          <w:sz w:val="22"/>
        </w:rPr>
        <w:t xml:space="preserve"> </w:t>
      </w:r>
      <w:proofErr w:type="spellStart"/>
      <w:r w:rsidRPr="00545E43">
        <w:rPr>
          <w:rFonts w:asciiTheme="majorHAnsi" w:eastAsiaTheme="minorEastAsia" w:hAnsiTheme="majorHAnsi" w:cstheme="majorHAnsi"/>
          <w:sz w:val="22"/>
        </w:rPr>
        <w:t>Pulmonol</w:t>
      </w:r>
      <w:proofErr w:type="spellEnd"/>
      <w:r w:rsidRPr="00545E43">
        <w:rPr>
          <w:rFonts w:asciiTheme="majorHAnsi" w:eastAsiaTheme="minorEastAsia" w:hAnsiTheme="majorHAnsi" w:cstheme="majorHAnsi"/>
          <w:sz w:val="22"/>
        </w:rPr>
        <w:t>. 2014;49(12):1243-50</w:t>
      </w:r>
    </w:p>
    <w:p w14:paraId="5CAF5B7C" w14:textId="77777777" w:rsidR="00545E43" w:rsidRPr="00545E43" w:rsidRDefault="00545E43" w:rsidP="00545E43">
      <w:pPr>
        <w:ind w:left="386" w:hanging="386"/>
        <w:rPr>
          <w:rFonts w:asciiTheme="majorHAnsi" w:eastAsiaTheme="minorEastAsia" w:hAnsiTheme="majorHAnsi" w:cstheme="majorHAnsi"/>
          <w:sz w:val="22"/>
        </w:rPr>
      </w:pPr>
    </w:p>
    <w:p w14:paraId="2C6C79D6" w14:textId="310CCE60" w:rsidR="00735187" w:rsidRPr="00350848" w:rsidRDefault="003F3F78" w:rsidP="00735187">
      <w:pPr>
        <w:pStyle w:val="Bibliography"/>
        <w:rPr>
          <w:rFonts w:asciiTheme="majorHAnsi" w:hAnsiTheme="majorHAnsi" w:cstheme="majorHAnsi"/>
          <w:sz w:val="22"/>
        </w:rPr>
      </w:pPr>
      <w:r>
        <w:rPr>
          <w:rFonts w:asciiTheme="majorHAnsi" w:hAnsiTheme="majorHAnsi" w:cstheme="majorHAnsi"/>
          <w:sz w:val="22"/>
        </w:rPr>
        <w:t>3</w:t>
      </w:r>
      <w:r w:rsidR="00AE636A">
        <w:rPr>
          <w:rFonts w:asciiTheme="majorHAnsi" w:hAnsiTheme="majorHAnsi" w:cstheme="majorHAnsi"/>
          <w:sz w:val="22"/>
        </w:rPr>
        <w:t>1</w:t>
      </w:r>
      <w:r w:rsidR="00735187" w:rsidRPr="00350848">
        <w:rPr>
          <w:rFonts w:asciiTheme="majorHAnsi" w:hAnsiTheme="majorHAnsi" w:cstheme="majorHAnsi"/>
          <w:sz w:val="22"/>
        </w:rPr>
        <w:t xml:space="preserve">. </w:t>
      </w:r>
      <w:r w:rsidR="00735187" w:rsidRPr="00350848">
        <w:rPr>
          <w:rFonts w:asciiTheme="majorHAnsi" w:hAnsiTheme="majorHAnsi" w:cstheme="majorHAnsi"/>
          <w:sz w:val="22"/>
        </w:rPr>
        <w:tab/>
        <w:t xml:space="preserve">Dodge JA, </w:t>
      </w:r>
      <w:proofErr w:type="spellStart"/>
      <w:r w:rsidR="00735187" w:rsidRPr="00350848">
        <w:rPr>
          <w:rFonts w:asciiTheme="majorHAnsi" w:hAnsiTheme="majorHAnsi" w:cstheme="majorHAnsi"/>
          <w:sz w:val="22"/>
        </w:rPr>
        <w:t>Turck</w:t>
      </w:r>
      <w:proofErr w:type="spellEnd"/>
      <w:r w:rsidR="00735187" w:rsidRPr="00350848">
        <w:rPr>
          <w:rFonts w:asciiTheme="majorHAnsi" w:hAnsiTheme="majorHAnsi" w:cstheme="majorHAnsi"/>
          <w:sz w:val="22"/>
        </w:rPr>
        <w:t xml:space="preserve"> D. Cystic fibrosis: nutritional consequences and management. Best </w:t>
      </w:r>
      <w:proofErr w:type="spellStart"/>
      <w:r w:rsidR="00735187" w:rsidRPr="00350848">
        <w:rPr>
          <w:rFonts w:asciiTheme="majorHAnsi" w:hAnsiTheme="majorHAnsi" w:cstheme="majorHAnsi"/>
          <w:sz w:val="22"/>
        </w:rPr>
        <w:t>Pract</w:t>
      </w:r>
      <w:proofErr w:type="spellEnd"/>
      <w:r w:rsidR="00735187" w:rsidRPr="00350848">
        <w:rPr>
          <w:rFonts w:asciiTheme="majorHAnsi" w:hAnsiTheme="majorHAnsi" w:cstheme="majorHAnsi"/>
          <w:sz w:val="22"/>
        </w:rPr>
        <w:t xml:space="preserve"> Res </w:t>
      </w:r>
      <w:proofErr w:type="spellStart"/>
      <w:r w:rsidR="00735187" w:rsidRPr="00350848">
        <w:rPr>
          <w:rFonts w:asciiTheme="majorHAnsi" w:hAnsiTheme="majorHAnsi" w:cstheme="majorHAnsi"/>
          <w:sz w:val="22"/>
        </w:rPr>
        <w:t>Clin</w:t>
      </w:r>
      <w:proofErr w:type="spellEnd"/>
      <w:r w:rsidR="00735187" w:rsidRPr="00350848">
        <w:rPr>
          <w:rFonts w:asciiTheme="majorHAnsi" w:hAnsiTheme="majorHAnsi" w:cstheme="majorHAnsi"/>
          <w:sz w:val="22"/>
        </w:rPr>
        <w:t xml:space="preserve"> </w:t>
      </w:r>
      <w:proofErr w:type="spellStart"/>
      <w:r w:rsidR="00735187" w:rsidRPr="00350848">
        <w:rPr>
          <w:rFonts w:asciiTheme="majorHAnsi" w:hAnsiTheme="majorHAnsi" w:cstheme="majorHAnsi"/>
          <w:sz w:val="22"/>
        </w:rPr>
        <w:t>Gastroenterol</w:t>
      </w:r>
      <w:proofErr w:type="spellEnd"/>
      <w:r w:rsidR="00735187" w:rsidRPr="00350848">
        <w:rPr>
          <w:rFonts w:asciiTheme="majorHAnsi" w:hAnsiTheme="majorHAnsi" w:cstheme="majorHAnsi"/>
          <w:sz w:val="22"/>
        </w:rPr>
        <w:t xml:space="preserve">. 2006;20(3):531–46. </w:t>
      </w:r>
    </w:p>
    <w:p w14:paraId="588ADEDB" w14:textId="2580C607" w:rsidR="00735187" w:rsidRPr="00350848" w:rsidRDefault="006417B8" w:rsidP="00735187">
      <w:pPr>
        <w:pStyle w:val="Bibliography"/>
        <w:rPr>
          <w:rFonts w:asciiTheme="majorHAnsi" w:hAnsiTheme="majorHAnsi" w:cstheme="majorHAnsi"/>
          <w:sz w:val="22"/>
        </w:rPr>
      </w:pPr>
      <w:r w:rsidRPr="00350848">
        <w:rPr>
          <w:rFonts w:asciiTheme="majorHAnsi" w:hAnsiTheme="majorHAnsi" w:cstheme="majorHAnsi"/>
          <w:sz w:val="22"/>
        </w:rPr>
        <w:t>3</w:t>
      </w:r>
      <w:r w:rsidR="00AE636A">
        <w:rPr>
          <w:rFonts w:asciiTheme="majorHAnsi" w:hAnsiTheme="majorHAnsi" w:cstheme="majorHAnsi"/>
          <w:sz w:val="22"/>
        </w:rPr>
        <w:t>2</w:t>
      </w:r>
      <w:r w:rsidR="00735187" w:rsidRPr="00350848">
        <w:rPr>
          <w:rFonts w:asciiTheme="majorHAnsi" w:hAnsiTheme="majorHAnsi" w:cstheme="majorHAnsi"/>
          <w:sz w:val="22"/>
        </w:rPr>
        <w:t xml:space="preserve">. </w:t>
      </w:r>
      <w:r w:rsidR="00735187" w:rsidRPr="00350848">
        <w:rPr>
          <w:rFonts w:asciiTheme="majorHAnsi" w:hAnsiTheme="majorHAnsi" w:cstheme="majorHAnsi"/>
          <w:sz w:val="22"/>
        </w:rPr>
        <w:tab/>
      </w:r>
      <w:proofErr w:type="spellStart"/>
      <w:r w:rsidR="00735187" w:rsidRPr="00350848">
        <w:rPr>
          <w:rFonts w:asciiTheme="majorHAnsi" w:hAnsiTheme="majorHAnsi" w:cstheme="majorHAnsi"/>
          <w:sz w:val="22"/>
        </w:rPr>
        <w:t>Konstan</w:t>
      </w:r>
      <w:proofErr w:type="spellEnd"/>
      <w:r w:rsidR="00735187" w:rsidRPr="00350848">
        <w:rPr>
          <w:rFonts w:asciiTheme="majorHAnsi" w:hAnsiTheme="majorHAnsi" w:cstheme="majorHAnsi"/>
          <w:sz w:val="22"/>
        </w:rPr>
        <w:t xml:space="preserve"> MW, Butler SM, Wohl MEB, Stoddard M, </w:t>
      </w:r>
      <w:proofErr w:type="spellStart"/>
      <w:r w:rsidR="00735187" w:rsidRPr="00350848">
        <w:rPr>
          <w:rFonts w:asciiTheme="majorHAnsi" w:hAnsiTheme="majorHAnsi" w:cstheme="majorHAnsi"/>
          <w:sz w:val="22"/>
        </w:rPr>
        <w:t>Matousek</w:t>
      </w:r>
      <w:proofErr w:type="spellEnd"/>
      <w:r w:rsidR="00735187" w:rsidRPr="00350848">
        <w:rPr>
          <w:rFonts w:asciiTheme="majorHAnsi" w:hAnsiTheme="majorHAnsi" w:cstheme="majorHAnsi"/>
          <w:sz w:val="22"/>
        </w:rPr>
        <w:t xml:space="preserve"> R, Wagener JS, et al. Growth and nutritional indexes in early life predict pulmonary function in cystic fibrosis. J Pediatr. 2003 Jun;142(6):624–30. </w:t>
      </w:r>
    </w:p>
    <w:p w14:paraId="629468C6" w14:textId="3C733256"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3</w:t>
      </w:r>
      <w:r w:rsidR="00AE636A">
        <w:rPr>
          <w:rFonts w:asciiTheme="majorHAnsi" w:hAnsiTheme="majorHAnsi" w:cstheme="majorHAnsi"/>
          <w:sz w:val="22"/>
        </w:rPr>
        <w:t>3</w:t>
      </w:r>
      <w:r w:rsidRPr="00350848">
        <w:rPr>
          <w:rFonts w:asciiTheme="majorHAnsi" w:hAnsiTheme="majorHAnsi" w:cstheme="majorHAnsi"/>
          <w:sz w:val="22"/>
        </w:rPr>
        <w:t xml:space="preserve">. </w:t>
      </w:r>
      <w:r w:rsidRPr="00350848">
        <w:rPr>
          <w:rFonts w:asciiTheme="majorHAnsi" w:hAnsiTheme="majorHAnsi" w:cstheme="majorHAnsi"/>
          <w:sz w:val="22"/>
        </w:rPr>
        <w:tab/>
      </w:r>
      <w:proofErr w:type="spellStart"/>
      <w:r w:rsidRPr="00350848">
        <w:rPr>
          <w:rFonts w:asciiTheme="majorHAnsi" w:hAnsiTheme="majorHAnsi" w:cstheme="majorHAnsi"/>
          <w:sz w:val="22"/>
        </w:rPr>
        <w:t>Paff</w:t>
      </w:r>
      <w:proofErr w:type="spellEnd"/>
      <w:r w:rsidRPr="00350848">
        <w:rPr>
          <w:rFonts w:asciiTheme="majorHAnsi" w:hAnsiTheme="majorHAnsi" w:cstheme="majorHAnsi"/>
          <w:sz w:val="22"/>
        </w:rPr>
        <w:t xml:space="preserve"> T, Daniels JMA, </w:t>
      </w:r>
      <w:proofErr w:type="spellStart"/>
      <w:r w:rsidRPr="00350848">
        <w:rPr>
          <w:rFonts w:asciiTheme="majorHAnsi" w:hAnsiTheme="majorHAnsi" w:cstheme="majorHAnsi"/>
          <w:sz w:val="22"/>
        </w:rPr>
        <w:t>Weersink</w:t>
      </w:r>
      <w:proofErr w:type="spellEnd"/>
      <w:r w:rsidRPr="00350848">
        <w:rPr>
          <w:rFonts w:asciiTheme="majorHAnsi" w:hAnsiTheme="majorHAnsi" w:cstheme="majorHAnsi"/>
          <w:sz w:val="22"/>
        </w:rPr>
        <w:t xml:space="preserve"> EJ, </w:t>
      </w:r>
      <w:proofErr w:type="spellStart"/>
      <w:r w:rsidRPr="00350848">
        <w:rPr>
          <w:rFonts w:asciiTheme="majorHAnsi" w:hAnsiTheme="majorHAnsi" w:cstheme="majorHAnsi"/>
          <w:sz w:val="22"/>
        </w:rPr>
        <w:t>Lutter</w:t>
      </w:r>
      <w:proofErr w:type="spellEnd"/>
      <w:r w:rsidRPr="00350848">
        <w:rPr>
          <w:rFonts w:asciiTheme="majorHAnsi" w:hAnsiTheme="majorHAnsi" w:cstheme="majorHAnsi"/>
          <w:sz w:val="22"/>
        </w:rPr>
        <w:t xml:space="preserve"> R, </w:t>
      </w:r>
      <w:proofErr w:type="spellStart"/>
      <w:r w:rsidRPr="00350848">
        <w:rPr>
          <w:rFonts w:asciiTheme="majorHAnsi" w:hAnsiTheme="majorHAnsi" w:cstheme="majorHAnsi"/>
          <w:sz w:val="22"/>
        </w:rPr>
        <w:t>Vonk</w:t>
      </w:r>
      <w:proofErr w:type="spellEnd"/>
      <w:r w:rsidRPr="00350848">
        <w:rPr>
          <w:rFonts w:asciiTheme="majorHAnsi" w:hAnsiTheme="majorHAnsi" w:cstheme="majorHAnsi"/>
          <w:sz w:val="22"/>
        </w:rPr>
        <w:t xml:space="preserve"> </w:t>
      </w:r>
      <w:proofErr w:type="spellStart"/>
      <w:r w:rsidRPr="00350848">
        <w:rPr>
          <w:rFonts w:asciiTheme="majorHAnsi" w:hAnsiTheme="majorHAnsi" w:cstheme="majorHAnsi"/>
          <w:sz w:val="22"/>
        </w:rPr>
        <w:t>Noordegraaf</w:t>
      </w:r>
      <w:proofErr w:type="spellEnd"/>
      <w:r w:rsidRPr="00350848">
        <w:rPr>
          <w:rFonts w:asciiTheme="majorHAnsi" w:hAnsiTheme="majorHAnsi" w:cstheme="majorHAnsi"/>
          <w:sz w:val="22"/>
        </w:rPr>
        <w:t xml:space="preserve"> A, </w:t>
      </w:r>
      <w:proofErr w:type="spellStart"/>
      <w:r w:rsidRPr="00350848">
        <w:rPr>
          <w:rFonts w:asciiTheme="majorHAnsi" w:hAnsiTheme="majorHAnsi" w:cstheme="majorHAnsi"/>
          <w:sz w:val="22"/>
        </w:rPr>
        <w:t>Haarman</w:t>
      </w:r>
      <w:proofErr w:type="spellEnd"/>
      <w:r w:rsidRPr="00350848">
        <w:rPr>
          <w:rFonts w:asciiTheme="majorHAnsi" w:hAnsiTheme="majorHAnsi" w:cstheme="majorHAnsi"/>
          <w:sz w:val="22"/>
        </w:rPr>
        <w:t xml:space="preserve"> EG. A randomised controlled trial on the effect of inhaled hypertonic saline on quality of life in primary ciliary dyskinesia. Eur Respir J. 2017 Feb;49(2). </w:t>
      </w:r>
    </w:p>
    <w:p w14:paraId="72845F60" w14:textId="14E54D0A"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3</w:t>
      </w:r>
      <w:r w:rsidR="00AE636A">
        <w:rPr>
          <w:rFonts w:asciiTheme="majorHAnsi" w:hAnsiTheme="majorHAnsi" w:cstheme="majorHAnsi"/>
          <w:sz w:val="22"/>
        </w:rPr>
        <w:t>4</w:t>
      </w:r>
      <w:r w:rsidRPr="00350848">
        <w:rPr>
          <w:rFonts w:asciiTheme="majorHAnsi" w:hAnsiTheme="majorHAnsi" w:cstheme="majorHAnsi"/>
          <w:sz w:val="22"/>
        </w:rPr>
        <w:t xml:space="preserve">. </w:t>
      </w:r>
      <w:r w:rsidRPr="00350848">
        <w:rPr>
          <w:rFonts w:asciiTheme="majorHAnsi" w:hAnsiTheme="majorHAnsi" w:cstheme="majorHAnsi"/>
          <w:sz w:val="22"/>
        </w:rPr>
        <w:tab/>
        <w:t xml:space="preserve">Lucas JS, Alanin MC, Collins S, Harris A, Johansen HK, Nielsen KG, et al. Clinical care of children with primary ciliary dyskinesia. Expert Review of Respiratory Medicine. 2017 Oct 3;11(10):779–90. </w:t>
      </w:r>
    </w:p>
    <w:p w14:paraId="5B4BD1D8" w14:textId="2F21262F" w:rsidR="00735187" w:rsidRPr="00350848" w:rsidRDefault="00735187" w:rsidP="00735187">
      <w:pPr>
        <w:pStyle w:val="Bibliography"/>
        <w:rPr>
          <w:rFonts w:asciiTheme="majorHAnsi" w:hAnsiTheme="majorHAnsi" w:cstheme="majorHAnsi"/>
          <w:sz w:val="22"/>
        </w:rPr>
      </w:pPr>
      <w:r w:rsidRPr="00350848">
        <w:rPr>
          <w:rFonts w:asciiTheme="majorHAnsi" w:hAnsiTheme="majorHAnsi" w:cstheme="majorHAnsi"/>
          <w:sz w:val="22"/>
        </w:rPr>
        <w:t>3</w:t>
      </w:r>
      <w:r w:rsidR="00AE636A">
        <w:rPr>
          <w:rFonts w:asciiTheme="majorHAnsi" w:hAnsiTheme="majorHAnsi" w:cstheme="majorHAnsi"/>
          <w:sz w:val="22"/>
        </w:rPr>
        <w:t>5</w:t>
      </w:r>
      <w:r w:rsidRPr="00350848">
        <w:rPr>
          <w:rFonts w:asciiTheme="majorHAnsi" w:hAnsiTheme="majorHAnsi" w:cstheme="majorHAnsi"/>
          <w:sz w:val="22"/>
        </w:rPr>
        <w:t xml:space="preserve">. </w:t>
      </w:r>
      <w:r w:rsidRPr="00350848">
        <w:rPr>
          <w:rFonts w:asciiTheme="majorHAnsi" w:hAnsiTheme="majorHAnsi" w:cstheme="majorHAnsi"/>
          <w:sz w:val="22"/>
        </w:rPr>
        <w:tab/>
        <w:t xml:space="preserve">Shapiro AJ, </w:t>
      </w:r>
      <w:proofErr w:type="spellStart"/>
      <w:r w:rsidRPr="00350848">
        <w:rPr>
          <w:rFonts w:asciiTheme="majorHAnsi" w:hAnsiTheme="majorHAnsi" w:cstheme="majorHAnsi"/>
          <w:sz w:val="22"/>
        </w:rPr>
        <w:t>Zariwala</w:t>
      </w:r>
      <w:proofErr w:type="spellEnd"/>
      <w:r w:rsidRPr="00350848">
        <w:rPr>
          <w:rFonts w:asciiTheme="majorHAnsi" w:hAnsiTheme="majorHAnsi" w:cstheme="majorHAnsi"/>
          <w:sz w:val="22"/>
        </w:rPr>
        <w:t xml:space="preserve"> MA, </w:t>
      </w:r>
      <w:proofErr w:type="spellStart"/>
      <w:r w:rsidRPr="00350848">
        <w:rPr>
          <w:rFonts w:asciiTheme="majorHAnsi" w:hAnsiTheme="majorHAnsi" w:cstheme="majorHAnsi"/>
          <w:sz w:val="22"/>
        </w:rPr>
        <w:t>Ferkol</w:t>
      </w:r>
      <w:proofErr w:type="spellEnd"/>
      <w:r w:rsidRPr="00350848">
        <w:rPr>
          <w:rFonts w:asciiTheme="majorHAnsi" w:hAnsiTheme="majorHAnsi" w:cstheme="majorHAnsi"/>
          <w:sz w:val="22"/>
        </w:rPr>
        <w:t xml:space="preserve"> T, Davis SD, </w:t>
      </w:r>
      <w:proofErr w:type="spellStart"/>
      <w:r w:rsidRPr="00350848">
        <w:rPr>
          <w:rFonts w:asciiTheme="majorHAnsi" w:hAnsiTheme="majorHAnsi" w:cstheme="majorHAnsi"/>
          <w:sz w:val="22"/>
        </w:rPr>
        <w:t>Sagel</w:t>
      </w:r>
      <w:proofErr w:type="spellEnd"/>
      <w:r w:rsidRPr="00350848">
        <w:rPr>
          <w:rFonts w:asciiTheme="majorHAnsi" w:hAnsiTheme="majorHAnsi" w:cstheme="majorHAnsi"/>
          <w:sz w:val="22"/>
        </w:rPr>
        <w:t xml:space="preserve"> SD, Dell SD, et al. Diagnosis, monitoring, and treatment of primary ciliary dyskinesia: PCD foundation consensus recommendations based on state of the art review. Pediatric Pulmonology. 2016 Feb;51(2):115–32.</w:t>
      </w:r>
    </w:p>
    <w:p w14:paraId="06BE41EF" w14:textId="35099E36" w:rsidR="007631AB" w:rsidRPr="00350848" w:rsidRDefault="00735187" w:rsidP="007631AB">
      <w:pPr>
        <w:pStyle w:val="PlainText"/>
        <w:spacing w:after="240"/>
        <w:ind w:left="386" w:hanging="386"/>
        <w:rPr>
          <w:rFonts w:asciiTheme="majorHAnsi" w:eastAsiaTheme="minorEastAsia" w:hAnsiTheme="majorHAnsi" w:cstheme="majorHAnsi"/>
          <w:szCs w:val="24"/>
        </w:rPr>
      </w:pPr>
      <w:r w:rsidRPr="00350848">
        <w:rPr>
          <w:rFonts w:asciiTheme="majorHAnsi" w:eastAsiaTheme="minorEastAsia" w:hAnsiTheme="majorHAnsi" w:cstheme="majorHAnsi"/>
          <w:szCs w:val="24"/>
        </w:rPr>
        <w:t>3</w:t>
      </w:r>
      <w:r w:rsidR="00AE636A">
        <w:rPr>
          <w:rFonts w:asciiTheme="majorHAnsi" w:eastAsiaTheme="minorEastAsia" w:hAnsiTheme="majorHAnsi" w:cstheme="majorHAnsi"/>
          <w:szCs w:val="24"/>
        </w:rPr>
        <w:t>6</w:t>
      </w:r>
      <w:r w:rsidRPr="00350848">
        <w:rPr>
          <w:rFonts w:asciiTheme="majorHAnsi" w:eastAsiaTheme="minorEastAsia" w:hAnsiTheme="majorHAnsi" w:cstheme="majorHAnsi"/>
          <w:szCs w:val="24"/>
        </w:rPr>
        <w:t>.  Schofield, L.M. Lloyd, N. Kang, R. Marsh, G. Keenan, V. and Wilkins, H.M. Physiotherapy English National Standards of care for children with Primary Ciliary Dyskinesia. J ACPRC. 2018 (50)</w:t>
      </w:r>
      <w:r w:rsidR="007631AB" w:rsidRPr="00350848">
        <w:rPr>
          <w:rFonts w:asciiTheme="majorHAnsi" w:eastAsiaTheme="minorEastAsia" w:hAnsiTheme="majorHAnsi" w:cstheme="majorHAnsi"/>
          <w:szCs w:val="24"/>
        </w:rPr>
        <w:t>:71-82.</w:t>
      </w:r>
    </w:p>
    <w:p w14:paraId="4BF427F8" w14:textId="2E738C83" w:rsidR="00735187" w:rsidRPr="00350848" w:rsidRDefault="007631AB" w:rsidP="00735187">
      <w:pPr>
        <w:pStyle w:val="Bibliography"/>
        <w:rPr>
          <w:rFonts w:asciiTheme="majorHAnsi" w:hAnsiTheme="majorHAnsi" w:cstheme="majorHAnsi"/>
          <w:sz w:val="22"/>
        </w:rPr>
      </w:pPr>
      <w:r w:rsidRPr="00350848">
        <w:rPr>
          <w:rFonts w:asciiTheme="majorHAnsi" w:hAnsiTheme="majorHAnsi" w:cstheme="majorHAnsi"/>
          <w:sz w:val="22"/>
        </w:rPr>
        <w:t>3</w:t>
      </w:r>
      <w:r w:rsidR="00AE636A">
        <w:rPr>
          <w:rFonts w:asciiTheme="majorHAnsi" w:hAnsiTheme="majorHAnsi" w:cstheme="majorHAnsi"/>
          <w:sz w:val="22"/>
        </w:rPr>
        <w:t>7</w:t>
      </w:r>
      <w:r w:rsidR="00735187" w:rsidRPr="00350848">
        <w:rPr>
          <w:rFonts w:asciiTheme="majorHAnsi" w:hAnsiTheme="majorHAnsi" w:cstheme="majorHAnsi"/>
          <w:sz w:val="22"/>
        </w:rPr>
        <w:t xml:space="preserve">. </w:t>
      </w:r>
      <w:r w:rsidR="00735187" w:rsidRPr="00350848">
        <w:rPr>
          <w:rFonts w:asciiTheme="majorHAnsi" w:hAnsiTheme="majorHAnsi" w:cstheme="majorHAnsi"/>
          <w:sz w:val="22"/>
        </w:rPr>
        <w:tab/>
        <w:t xml:space="preserve">Kuehni CE, Goutaki M, Kobbernagel HE. Hypertonic saline in patients with primary ciliary dyskinesia: on the road to evidence-based treatment for a rare lung disease. Eur Respir J. 2017 Feb;49(2). </w:t>
      </w:r>
    </w:p>
    <w:p w14:paraId="70AE2D22" w14:textId="020D567A" w:rsidR="00735187" w:rsidRPr="00350848" w:rsidRDefault="007631AB" w:rsidP="00735187">
      <w:pPr>
        <w:pStyle w:val="Bibliography"/>
        <w:rPr>
          <w:rFonts w:asciiTheme="majorHAnsi" w:hAnsiTheme="majorHAnsi" w:cstheme="majorHAnsi"/>
          <w:sz w:val="22"/>
        </w:rPr>
      </w:pPr>
      <w:r w:rsidRPr="00350848">
        <w:rPr>
          <w:rFonts w:asciiTheme="majorHAnsi" w:hAnsiTheme="majorHAnsi" w:cstheme="majorHAnsi"/>
          <w:sz w:val="22"/>
        </w:rPr>
        <w:t>3</w:t>
      </w:r>
      <w:r w:rsidR="00AE636A">
        <w:rPr>
          <w:rFonts w:asciiTheme="majorHAnsi" w:hAnsiTheme="majorHAnsi" w:cstheme="majorHAnsi"/>
          <w:sz w:val="22"/>
        </w:rPr>
        <w:t>8</w:t>
      </w:r>
      <w:r w:rsidR="00735187" w:rsidRPr="00350848">
        <w:rPr>
          <w:rFonts w:asciiTheme="majorHAnsi" w:hAnsiTheme="majorHAnsi" w:cstheme="majorHAnsi"/>
          <w:sz w:val="22"/>
        </w:rPr>
        <w:t xml:space="preserve">. </w:t>
      </w:r>
      <w:r w:rsidR="00735187" w:rsidRPr="00350848">
        <w:rPr>
          <w:rFonts w:asciiTheme="majorHAnsi" w:hAnsiTheme="majorHAnsi" w:cstheme="majorHAnsi"/>
          <w:sz w:val="22"/>
        </w:rPr>
        <w:tab/>
      </w:r>
      <w:proofErr w:type="spellStart"/>
      <w:r w:rsidR="00735187" w:rsidRPr="00350848">
        <w:rPr>
          <w:rFonts w:asciiTheme="majorHAnsi" w:hAnsiTheme="majorHAnsi" w:cstheme="majorHAnsi"/>
          <w:sz w:val="22"/>
        </w:rPr>
        <w:t>Kobbernagel</w:t>
      </w:r>
      <w:proofErr w:type="spellEnd"/>
      <w:r w:rsidR="00735187" w:rsidRPr="00350848">
        <w:rPr>
          <w:rFonts w:asciiTheme="majorHAnsi" w:hAnsiTheme="majorHAnsi" w:cstheme="majorHAnsi"/>
          <w:sz w:val="22"/>
        </w:rPr>
        <w:t xml:space="preserve"> HE, </w:t>
      </w:r>
      <w:proofErr w:type="spellStart"/>
      <w:r w:rsidR="00735187" w:rsidRPr="00350848">
        <w:rPr>
          <w:rFonts w:asciiTheme="majorHAnsi" w:hAnsiTheme="majorHAnsi" w:cstheme="majorHAnsi"/>
          <w:sz w:val="22"/>
        </w:rPr>
        <w:t>Buchvald</w:t>
      </w:r>
      <w:proofErr w:type="spellEnd"/>
      <w:r w:rsidR="00735187" w:rsidRPr="00350848">
        <w:rPr>
          <w:rFonts w:asciiTheme="majorHAnsi" w:hAnsiTheme="majorHAnsi" w:cstheme="majorHAnsi"/>
          <w:sz w:val="22"/>
        </w:rPr>
        <w:t xml:space="preserve"> FF, </w:t>
      </w:r>
      <w:proofErr w:type="spellStart"/>
      <w:r w:rsidR="00735187" w:rsidRPr="00350848">
        <w:rPr>
          <w:rFonts w:asciiTheme="majorHAnsi" w:hAnsiTheme="majorHAnsi" w:cstheme="majorHAnsi"/>
          <w:sz w:val="22"/>
        </w:rPr>
        <w:t>Haarman</w:t>
      </w:r>
      <w:proofErr w:type="spellEnd"/>
      <w:r w:rsidR="00735187" w:rsidRPr="00350848">
        <w:rPr>
          <w:rFonts w:asciiTheme="majorHAnsi" w:hAnsiTheme="majorHAnsi" w:cstheme="majorHAnsi"/>
          <w:sz w:val="22"/>
        </w:rPr>
        <w:t xml:space="preserve"> EG, </w:t>
      </w:r>
      <w:proofErr w:type="spellStart"/>
      <w:r w:rsidR="00735187" w:rsidRPr="00350848">
        <w:rPr>
          <w:rFonts w:asciiTheme="majorHAnsi" w:hAnsiTheme="majorHAnsi" w:cstheme="majorHAnsi"/>
          <w:sz w:val="22"/>
        </w:rPr>
        <w:t>Casaulta</w:t>
      </w:r>
      <w:proofErr w:type="spellEnd"/>
      <w:r w:rsidR="00735187" w:rsidRPr="00350848">
        <w:rPr>
          <w:rFonts w:asciiTheme="majorHAnsi" w:hAnsiTheme="majorHAnsi" w:cstheme="majorHAnsi"/>
          <w:sz w:val="22"/>
        </w:rPr>
        <w:t xml:space="preserve"> C, Collins SA, Hogg C, et al. Study protocol, rationale and recruitment in a European multi-centre randomized controlled trial to determine the efficacy and safety of azithromycin maintenance therapy for 6 months in primary ciliary dyskinesia. BMC </w:t>
      </w:r>
      <w:proofErr w:type="spellStart"/>
      <w:r w:rsidR="00735187" w:rsidRPr="00350848">
        <w:rPr>
          <w:rFonts w:asciiTheme="majorHAnsi" w:hAnsiTheme="majorHAnsi" w:cstheme="majorHAnsi"/>
          <w:sz w:val="22"/>
        </w:rPr>
        <w:t>Pulm</w:t>
      </w:r>
      <w:proofErr w:type="spellEnd"/>
      <w:r w:rsidR="00735187" w:rsidRPr="00350848">
        <w:rPr>
          <w:rFonts w:asciiTheme="majorHAnsi" w:hAnsiTheme="majorHAnsi" w:cstheme="majorHAnsi"/>
          <w:sz w:val="22"/>
        </w:rPr>
        <w:t xml:space="preserve"> Med. 2016 Jul 22;16(1):104. </w:t>
      </w:r>
    </w:p>
    <w:p w14:paraId="65065B99" w14:textId="2AAB5B0E" w:rsidR="00735187" w:rsidRPr="00350848" w:rsidRDefault="007631AB" w:rsidP="00735187">
      <w:pPr>
        <w:pStyle w:val="Bibliography"/>
        <w:rPr>
          <w:rFonts w:asciiTheme="majorHAnsi" w:hAnsiTheme="majorHAnsi" w:cstheme="majorHAnsi"/>
          <w:sz w:val="22"/>
        </w:rPr>
      </w:pPr>
      <w:r w:rsidRPr="00350848">
        <w:rPr>
          <w:rFonts w:asciiTheme="majorHAnsi" w:hAnsiTheme="majorHAnsi" w:cstheme="majorHAnsi"/>
          <w:sz w:val="22"/>
        </w:rPr>
        <w:t>3</w:t>
      </w:r>
      <w:r w:rsidR="00AE636A">
        <w:rPr>
          <w:rFonts w:asciiTheme="majorHAnsi" w:hAnsiTheme="majorHAnsi" w:cstheme="majorHAnsi"/>
          <w:sz w:val="22"/>
        </w:rPr>
        <w:t>9</w:t>
      </w:r>
      <w:r w:rsidR="00735187" w:rsidRPr="00350848">
        <w:rPr>
          <w:rFonts w:asciiTheme="majorHAnsi" w:hAnsiTheme="majorHAnsi" w:cstheme="majorHAnsi"/>
          <w:sz w:val="22"/>
        </w:rPr>
        <w:t xml:space="preserve">. </w:t>
      </w:r>
      <w:r w:rsidR="00735187" w:rsidRPr="00350848">
        <w:rPr>
          <w:rFonts w:asciiTheme="majorHAnsi" w:hAnsiTheme="majorHAnsi" w:cstheme="majorHAnsi"/>
          <w:sz w:val="22"/>
        </w:rPr>
        <w:tab/>
        <w:t xml:space="preserve">Andersen TN, Alanin MC, von Buchwald C, Nielsen LH. A longitudinal evaluation of hearing and ventilation tube insertion in patients with primary ciliary dyskinesia. </w:t>
      </w:r>
      <w:proofErr w:type="spellStart"/>
      <w:r w:rsidR="00735187" w:rsidRPr="00350848">
        <w:rPr>
          <w:rFonts w:asciiTheme="majorHAnsi" w:hAnsiTheme="majorHAnsi" w:cstheme="majorHAnsi"/>
          <w:sz w:val="22"/>
        </w:rPr>
        <w:t>Int</w:t>
      </w:r>
      <w:proofErr w:type="spellEnd"/>
      <w:r w:rsidR="00735187" w:rsidRPr="00350848">
        <w:rPr>
          <w:rFonts w:asciiTheme="majorHAnsi" w:hAnsiTheme="majorHAnsi" w:cstheme="majorHAnsi"/>
          <w:sz w:val="22"/>
        </w:rPr>
        <w:t xml:space="preserve"> J </w:t>
      </w:r>
      <w:proofErr w:type="spellStart"/>
      <w:r w:rsidR="00735187" w:rsidRPr="00350848">
        <w:rPr>
          <w:rFonts w:asciiTheme="majorHAnsi" w:hAnsiTheme="majorHAnsi" w:cstheme="majorHAnsi"/>
          <w:sz w:val="22"/>
        </w:rPr>
        <w:t>Pediatr</w:t>
      </w:r>
      <w:proofErr w:type="spellEnd"/>
      <w:r w:rsidR="00735187" w:rsidRPr="00350848">
        <w:rPr>
          <w:rFonts w:asciiTheme="majorHAnsi" w:hAnsiTheme="majorHAnsi" w:cstheme="majorHAnsi"/>
          <w:sz w:val="22"/>
        </w:rPr>
        <w:t xml:space="preserve"> </w:t>
      </w:r>
      <w:proofErr w:type="spellStart"/>
      <w:r w:rsidR="00735187" w:rsidRPr="00350848">
        <w:rPr>
          <w:rFonts w:asciiTheme="majorHAnsi" w:hAnsiTheme="majorHAnsi" w:cstheme="majorHAnsi"/>
          <w:sz w:val="22"/>
        </w:rPr>
        <w:t>Otorhinolaryngol</w:t>
      </w:r>
      <w:proofErr w:type="spellEnd"/>
      <w:r w:rsidR="00735187" w:rsidRPr="00350848">
        <w:rPr>
          <w:rFonts w:asciiTheme="majorHAnsi" w:hAnsiTheme="majorHAnsi" w:cstheme="majorHAnsi"/>
          <w:sz w:val="22"/>
        </w:rPr>
        <w:t>. 2016 Oct</w:t>
      </w:r>
      <w:proofErr w:type="gramStart"/>
      <w:r w:rsidR="00735187" w:rsidRPr="00350848">
        <w:rPr>
          <w:rFonts w:asciiTheme="majorHAnsi" w:hAnsiTheme="majorHAnsi" w:cstheme="majorHAnsi"/>
          <w:sz w:val="22"/>
        </w:rPr>
        <w:t>;89:164</w:t>
      </w:r>
      <w:proofErr w:type="gramEnd"/>
      <w:r w:rsidR="00735187" w:rsidRPr="00350848">
        <w:rPr>
          <w:rFonts w:asciiTheme="majorHAnsi" w:hAnsiTheme="majorHAnsi" w:cstheme="majorHAnsi"/>
          <w:sz w:val="22"/>
        </w:rPr>
        <w:t xml:space="preserve">–8. </w:t>
      </w:r>
    </w:p>
    <w:p w14:paraId="3FF4EC4D" w14:textId="647332E8" w:rsidR="00735187" w:rsidRPr="00350848" w:rsidRDefault="00AE636A" w:rsidP="00735187">
      <w:pPr>
        <w:pStyle w:val="Bibliography"/>
        <w:rPr>
          <w:rFonts w:asciiTheme="majorHAnsi" w:hAnsiTheme="majorHAnsi" w:cstheme="majorHAnsi"/>
          <w:sz w:val="22"/>
        </w:rPr>
      </w:pPr>
      <w:r>
        <w:rPr>
          <w:rFonts w:asciiTheme="majorHAnsi" w:hAnsiTheme="majorHAnsi" w:cstheme="majorHAnsi"/>
          <w:sz w:val="22"/>
        </w:rPr>
        <w:t>40</w:t>
      </w:r>
      <w:r w:rsidR="00735187" w:rsidRPr="00350848">
        <w:rPr>
          <w:rFonts w:asciiTheme="majorHAnsi" w:hAnsiTheme="majorHAnsi" w:cstheme="majorHAnsi"/>
          <w:sz w:val="22"/>
        </w:rPr>
        <w:t xml:space="preserve">. </w:t>
      </w:r>
      <w:r w:rsidR="00735187" w:rsidRPr="00350848">
        <w:rPr>
          <w:rFonts w:asciiTheme="majorHAnsi" w:hAnsiTheme="majorHAnsi" w:cstheme="majorHAnsi"/>
          <w:sz w:val="22"/>
        </w:rPr>
        <w:tab/>
        <w:t xml:space="preserve">Wolter NE, Dell SD, James AL, </w:t>
      </w:r>
      <w:proofErr w:type="spellStart"/>
      <w:r w:rsidR="00735187" w:rsidRPr="00350848">
        <w:rPr>
          <w:rFonts w:asciiTheme="majorHAnsi" w:hAnsiTheme="majorHAnsi" w:cstheme="majorHAnsi"/>
          <w:sz w:val="22"/>
        </w:rPr>
        <w:t>Campisi</w:t>
      </w:r>
      <w:proofErr w:type="spellEnd"/>
      <w:r w:rsidR="00735187" w:rsidRPr="00350848">
        <w:rPr>
          <w:rFonts w:asciiTheme="majorHAnsi" w:hAnsiTheme="majorHAnsi" w:cstheme="majorHAnsi"/>
          <w:sz w:val="22"/>
        </w:rPr>
        <w:t xml:space="preserve"> P. Middle ear ventilation in children with primary ciliary dyskinesia. </w:t>
      </w:r>
      <w:proofErr w:type="spellStart"/>
      <w:r w:rsidR="00735187" w:rsidRPr="00350848">
        <w:rPr>
          <w:rFonts w:asciiTheme="majorHAnsi" w:hAnsiTheme="majorHAnsi" w:cstheme="majorHAnsi"/>
          <w:sz w:val="22"/>
        </w:rPr>
        <w:t>Int</w:t>
      </w:r>
      <w:proofErr w:type="spellEnd"/>
      <w:r w:rsidR="00735187" w:rsidRPr="00350848">
        <w:rPr>
          <w:rFonts w:asciiTheme="majorHAnsi" w:hAnsiTheme="majorHAnsi" w:cstheme="majorHAnsi"/>
          <w:sz w:val="22"/>
        </w:rPr>
        <w:t xml:space="preserve"> J </w:t>
      </w:r>
      <w:proofErr w:type="spellStart"/>
      <w:r w:rsidR="00735187" w:rsidRPr="00350848">
        <w:rPr>
          <w:rFonts w:asciiTheme="majorHAnsi" w:hAnsiTheme="majorHAnsi" w:cstheme="majorHAnsi"/>
          <w:sz w:val="22"/>
        </w:rPr>
        <w:t>Pediatr</w:t>
      </w:r>
      <w:proofErr w:type="spellEnd"/>
      <w:r w:rsidR="00735187" w:rsidRPr="00350848">
        <w:rPr>
          <w:rFonts w:asciiTheme="majorHAnsi" w:hAnsiTheme="majorHAnsi" w:cstheme="majorHAnsi"/>
          <w:sz w:val="22"/>
        </w:rPr>
        <w:t xml:space="preserve"> </w:t>
      </w:r>
      <w:proofErr w:type="spellStart"/>
      <w:r w:rsidR="00735187" w:rsidRPr="00350848">
        <w:rPr>
          <w:rFonts w:asciiTheme="majorHAnsi" w:hAnsiTheme="majorHAnsi" w:cstheme="majorHAnsi"/>
          <w:sz w:val="22"/>
        </w:rPr>
        <w:t>Otorhinolaryngol</w:t>
      </w:r>
      <w:proofErr w:type="spellEnd"/>
      <w:r w:rsidR="00735187" w:rsidRPr="00350848">
        <w:rPr>
          <w:rFonts w:asciiTheme="majorHAnsi" w:hAnsiTheme="majorHAnsi" w:cstheme="majorHAnsi"/>
          <w:sz w:val="22"/>
        </w:rPr>
        <w:t xml:space="preserve">. 2012 Nov;76(11):1565–8. </w:t>
      </w:r>
    </w:p>
    <w:p w14:paraId="321A1925" w14:textId="458A1ACC" w:rsidR="00735187" w:rsidRPr="00350848" w:rsidRDefault="003F3F78" w:rsidP="00735187">
      <w:pPr>
        <w:pStyle w:val="Bibliography"/>
        <w:rPr>
          <w:rFonts w:asciiTheme="majorHAnsi" w:hAnsiTheme="majorHAnsi" w:cstheme="majorHAnsi"/>
          <w:sz w:val="22"/>
        </w:rPr>
      </w:pPr>
      <w:r>
        <w:rPr>
          <w:rFonts w:asciiTheme="majorHAnsi" w:hAnsiTheme="majorHAnsi" w:cstheme="majorHAnsi"/>
          <w:sz w:val="22"/>
        </w:rPr>
        <w:t>4</w:t>
      </w:r>
      <w:r w:rsidR="00AE636A">
        <w:rPr>
          <w:rFonts w:asciiTheme="majorHAnsi" w:hAnsiTheme="majorHAnsi" w:cstheme="majorHAnsi"/>
          <w:sz w:val="22"/>
        </w:rPr>
        <w:t>1</w:t>
      </w:r>
      <w:r w:rsidR="00735187" w:rsidRPr="00350848">
        <w:rPr>
          <w:rFonts w:asciiTheme="majorHAnsi" w:hAnsiTheme="majorHAnsi" w:cstheme="majorHAnsi"/>
          <w:sz w:val="22"/>
        </w:rPr>
        <w:t xml:space="preserve">. </w:t>
      </w:r>
      <w:r w:rsidR="00735187" w:rsidRPr="00350848">
        <w:rPr>
          <w:rFonts w:asciiTheme="majorHAnsi" w:hAnsiTheme="majorHAnsi" w:cstheme="majorHAnsi"/>
          <w:sz w:val="22"/>
        </w:rPr>
        <w:tab/>
      </w:r>
      <w:proofErr w:type="spellStart"/>
      <w:r w:rsidR="00735187" w:rsidRPr="00350848">
        <w:rPr>
          <w:rFonts w:asciiTheme="majorHAnsi" w:hAnsiTheme="majorHAnsi" w:cstheme="majorHAnsi"/>
          <w:sz w:val="22"/>
        </w:rPr>
        <w:t>Majithia</w:t>
      </w:r>
      <w:proofErr w:type="spellEnd"/>
      <w:r w:rsidR="00735187" w:rsidRPr="00350848">
        <w:rPr>
          <w:rFonts w:asciiTheme="majorHAnsi" w:hAnsiTheme="majorHAnsi" w:cstheme="majorHAnsi"/>
          <w:sz w:val="22"/>
        </w:rPr>
        <w:t xml:space="preserve"> A, Fong J, Hariri M, Harcourt J. Hearing outcomes in children with primary ciliary dyskinesia--a longitudinal study. </w:t>
      </w:r>
      <w:proofErr w:type="spellStart"/>
      <w:r w:rsidR="00735187" w:rsidRPr="00350848">
        <w:rPr>
          <w:rFonts w:asciiTheme="majorHAnsi" w:hAnsiTheme="majorHAnsi" w:cstheme="majorHAnsi"/>
          <w:sz w:val="22"/>
        </w:rPr>
        <w:t>Int</w:t>
      </w:r>
      <w:proofErr w:type="spellEnd"/>
      <w:r w:rsidR="00735187" w:rsidRPr="00350848">
        <w:rPr>
          <w:rFonts w:asciiTheme="majorHAnsi" w:hAnsiTheme="majorHAnsi" w:cstheme="majorHAnsi"/>
          <w:sz w:val="22"/>
        </w:rPr>
        <w:t xml:space="preserve"> J </w:t>
      </w:r>
      <w:proofErr w:type="spellStart"/>
      <w:r w:rsidR="00735187" w:rsidRPr="00350848">
        <w:rPr>
          <w:rFonts w:asciiTheme="majorHAnsi" w:hAnsiTheme="majorHAnsi" w:cstheme="majorHAnsi"/>
          <w:sz w:val="22"/>
        </w:rPr>
        <w:t>Pediatr</w:t>
      </w:r>
      <w:proofErr w:type="spellEnd"/>
      <w:r w:rsidR="00735187" w:rsidRPr="00350848">
        <w:rPr>
          <w:rFonts w:asciiTheme="majorHAnsi" w:hAnsiTheme="majorHAnsi" w:cstheme="majorHAnsi"/>
          <w:sz w:val="22"/>
        </w:rPr>
        <w:t xml:space="preserve"> </w:t>
      </w:r>
      <w:proofErr w:type="spellStart"/>
      <w:r w:rsidR="00735187" w:rsidRPr="00350848">
        <w:rPr>
          <w:rFonts w:asciiTheme="majorHAnsi" w:hAnsiTheme="majorHAnsi" w:cstheme="majorHAnsi"/>
          <w:sz w:val="22"/>
        </w:rPr>
        <w:t>Otorhinolaryngol</w:t>
      </w:r>
      <w:proofErr w:type="spellEnd"/>
      <w:r w:rsidR="00735187" w:rsidRPr="00350848">
        <w:rPr>
          <w:rFonts w:asciiTheme="majorHAnsi" w:hAnsiTheme="majorHAnsi" w:cstheme="majorHAnsi"/>
          <w:sz w:val="22"/>
        </w:rPr>
        <w:t xml:space="preserve">. 2005 Aug;69(8):1061–4. </w:t>
      </w:r>
    </w:p>
    <w:p w14:paraId="2E436BBF" w14:textId="5DE462B1" w:rsidR="00735187" w:rsidRPr="00350848" w:rsidRDefault="006417B8" w:rsidP="00735187">
      <w:pPr>
        <w:pStyle w:val="Bibliography"/>
        <w:rPr>
          <w:rFonts w:asciiTheme="majorHAnsi" w:hAnsiTheme="majorHAnsi" w:cstheme="majorHAnsi"/>
          <w:sz w:val="22"/>
        </w:rPr>
      </w:pPr>
      <w:r w:rsidRPr="00350848">
        <w:rPr>
          <w:rFonts w:asciiTheme="majorHAnsi" w:hAnsiTheme="majorHAnsi" w:cstheme="majorHAnsi"/>
          <w:sz w:val="22"/>
        </w:rPr>
        <w:t>4</w:t>
      </w:r>
      <w:r w:rsidR="00AE636A">
        <w:rPr>
          <w:rFonts w:asciiTheme="majorHAnsi" w:hAnsiTheme="majorHAnsi" w:cstheme="majorHAnsi"/>
          <w:sz w:val="22"/>
        </w:rPr>
        <w:t>2</w:t>
      </w:r>
      <w:r w:rsidR="00735187" w:rsidRPr="00350848">
        <w:rPr>
          <w:rFonts w:asciiTheme="majorHAnsi" w:hAnsiTheme="majorHAnsi" w:cstheme="majorHAnsi"/>
          <w:sz w:val="22"/>
        </w:rPr>
        <w:t xml:space="preserve">. </w:t>
      </w:r>
      <w:r w:rsidR="00735187" w:rsidRPr="00350848">
        <w:rPr>
          <w:rFonts w:asciiTheme="majorHAnsi" w:hAnsiTheme="majorHAnsi" w:cstheme="majorHAnsi"/>
          <w:sz w:val="22"/>
        </w:rPr>
        <w:tab/>
        <w:t xml:space="preserve">Campbell RG, Birman CS, Morgan L. Management of otitis media with effusion in children with primary ciliary dyskinesia: a literature review. </w:t>
      </w:r>
      <w:proofErr w:type="spellStart"/>
      <w:r w:rsidR="00735187" w:rsidRPr="00350848">
        <w:rPr>
          <w:rFonts w:asciiTheme="majorHAnsi" w:hAnsiTheme="majorHAnsi" w:cstheme="majorHAnsi"/>
          <w:sz w:val="22"/>
        </w:rPr>
        <w:t>Int</w:t>
      </w:r>
      <w:proofErr w:type="spellEnd"/>
      <w:r w:rsidR="00735187" w:rsidRPr="00350848">
        <w:rPr>
          <w:rFonts w:asciiTheme="majorHAnsi" w:hAnsiTheme="majorHAnsi" w:cstheme="majorHAnsi"/>
          <w:sz w:val="22"/>
        </w:rPr>
        <w:t xml:space="preserve"> J </w:t>
      </w:r>
      <w:proofErr w:type="spellStart"/>
      <w:r w:rsidR="00735187" w:rsidRPr="00350848">
        <w:rPr>
          <w:rFonts w:asciiTheme="majorHAnsi" w:hAnsiTheme="majorHAnsi" w:cstheme="majorHAnsi"/>
          <w:sz w:val="22"/>
        </w:rPr>
        <w:t>Pediatr</w:t>
      </w:r>
      <w:proofErr w:type="spellEnd"/>
      <w:r w:rsidR="00735187" w:rsidRPr="00350848">
        <w:rPr>
          <w:rFonts w:asciiTheme="majorHAnsi" w:hAnsiTheme="majorHAnsi" w:cstheme="majorHAnsi"/>
          <w:sz w:val="22"/>
        </w:rPr>
        <w:t xml:space="preserve"> </w:t>
      </w:r>
      <w:proofErr w:type="spellStart"/>
      <w:r w:rsidR="00735187" w:rsidRPr="00350848">
        <w:rPr>
          <w:rFonts w:asciiTheme="majorHAnsi" w:hAnsiTheme="majorHAnsi" w:cstheme="majorHAnsi"/>
          <w:sz w:val="22"/>
        </w:rPr>
        <w:t>Otorhinolaryngol</w:t>
      </w:r>
      <w:proofErr w:type="spellEnd"/>
      <w:r w:rsidR="00735187" w:rsidRPr="00350848">
        <w:rPr>
          <w:rFonts w:asciiTheme="majorHAnsi" w:hAnsiTheme="majorHAnsi" w:cstheme="majorHAnsi"/>
          <w:sz w:val="22"/>
        </w:rPr>
        <w:t xml:space="preserve">. 2009 Dec;73(12):1630–8. </w:t>
      </w:r>
    </w:p>
    <w:p w14:paraId="6B8946EA" w14:textId="77777777" w:rsidR="00413F0B" w:rsidRPr="00350848" w:rsidRDefault="00413F0B" w:rsidP="00413F0B">
      <w:pPr>
        <w:rPr>
          <w:rFonts w:asciiTheme="majorHAnsi" w:hAnsiTheme="majorHAnsi" w:cstheme="majorHAnsi"/>
          <w:sz w:val="20"/>
          <w:szCs w:val="22"/>
        </w:rPr>
      </w:pPr>
    </w:p>
    <w:p w14:paraId="0C72789F" w14:textId="77777777" w:rsidR="00413F0B" w:rsidRPr="00AA7D88" w:rsidRDefault="00413F0B" w:rsidP="001E319E">
      <w:pPr>
        <w:spacing w:line="360" w:lineRule="auto"/>
        <w:outlineLvl w:val="0"/>
        <w:rPr>
          <w:rFonts w:asciiTheme="majorHAnsi" w:hAnsiTheme="majorHAnsi" w:cstheme="majorHAnsi"/>
          <w:b/>
          <w:sz w:val="22"/>
          <w:szCs w:val="22"/>
        </w:rPr>
        <w:sectPr w:rsidR="00413F0B" w:rsidRPr="00AA7D88" w:rsidSect="00766BC8">
          <w:pgSz w:w="11900" w:h="16840"/>
          <w:pgMar w:top="1440" w:right="1800" w:bottom="1440" w:left="1800" w:header="708" w:footer="708" w:gutter="0"/>
          <w:cols w:space="708"/>
        </w:sectPr>
      </w:pPr>
    </w:p>
    <w:p w14:paraId="38317CC4" w14:textId="6A557C40" w:rsidR="001D308B" w:rsidRPr="00AA7D88" w:rsidRDefault="001D308B" w:rsidP="001D308B">
      <w:pPr>
        <w:rPr>
          <w:rFonts w:asciiTheme="majorHAnsi" w:hAnsiTheme="majorHAnsi" w:cstheme="majorHAnsi"/>
          <w:b/>
        </w:rPr>
      </w:pPr>
      <w:r>
        <w:rPr>
          <w:rFonts w:asciiTheme="majorHAnsi" w:hAnsiTheme="majorHAnsi" w:cstheme="majorHAnsi"/>
          <w:b/>
        </w:rPr>
        <w:t>T</w:t>
      </w:r>
      <w:r w:rsidRPr="00AA7D88">
        <w:rPr>
          <w:rFonts w:asciiTheme="majorHAnsi" w:hAnsiTheme="majorHAnsi" w:cstheme="majorHAnsi"/>
          <w:b/>
        </w:rPr>
        <w:t>ables</w:t>
      </w:r>
    </w:p>
    <w:p w14:paraId="36997530" w14:textId="77777777" w:rsidR="001D308B" w:rsidRDefault="001D308B" w:rsidP="00AF2272">
      <w:pPr>
        <w:spacing w:line="360" w:lineRule="auto"/>
        <w:rPr>
          <w:rFonts w:asciiTheme="majorHAnsi" w:hAnsiTheme="majorHAnsi" w:cstheme="majorHAnsi"/>
          <w:b/>
          <w:color w:val="000000" w:themeColor="text1"/>
          <w:sz w:val="22"/>
          <w:szCs w:val="22"/>
        </w:rPr>
      </w:pPr>
    </w:p>
    <w:p w14:paraId="32F7CBC3" w14:textId="2DD745B1" w:rsidR="00AF2272" w:rsidRPr="00AA7D88" w:rsidRDefault="00AF2272" w:rsidP="00AF2272">
      <w:pPr>
        <w:spacing w:line="360" w:lineRule="auto"/>
        <w:rPr>
          <w:rFonts w:asciiTheme="majorHAnsi" w:hAnsiTheme="majorHAnsi" w:cstheme="majorHAnsi"/>
          <w:b/>
          <w:color w:val="000000" w:themeColor="text1"/>
          <w:sz w:val="22"/>
          <w:szCs w:val="22"/>
        </w:rPr>
      </w:pPr>
      <w:r w:rsidRPr="00AA7D88">
        <w:rPr>
          <w:rFonts w:asciiTheme="majorHAnsi" w:hAnsiTheme="majorHAnsi" w:cstheme="majorHAnsi"/>
          <w:b/>
          <w:color w:val="000000" w:themeColor="text1"/>
          <w:sz w:val="22"/>
          <w:szCs w:val="22"/>
        </w:rPr>
        <w:t xml:space="preserve">Table 1: Clinical and demographic data on children with PCD who underwent an annual review in 2015 across the four English National Children PCD Management Services </w:t>
      </w:r>
    </w:p>
    <w:tbl>
      <w:tblPr>
        <w:tblStyle w:val="TableGrid"/>
        <w:tblW w:w="8290" w:type="dxa"/>
        <w:tblLook w:val="04A0" w:firstRow="1" w:lastRow="0" w:firstColumn="1" w:lastColumn="0" w:noHBand="0" w:noVBand="1"/>
      </w:tblPr>
      <w:tblGrid>
        <w:gridCol w:w="2762"/>
        <w:gridCol w:w="2764"/>
        <w:gridCol w:w="2764"/>
      </w:tblGrid>
      <w:tr w:rsidR="00AF2272" w:rsidRPr="00AA7D88" w14:paraId="69E95B76" w14:textId="77777777" w:rsidTr="00E46108">
        <w:tc>
          <w:tcPr>
            <w:tcW w:w="2762" w:type="dxa"/>
            <w:vAlign w:val="center"/>
          </w:tcPr>
          <w:p w14:paraId="6750C89C" w14:textId="77777777" w:rsidR="00AF2272" w:rsidRPr="00AA7D88" w:rsidRDefault="00AF2272" w:rsidP="00E46108">
            <w:pPr>
              <w:rPr>
                <w:rFonts w:asciiTheme="majorHAnsi" w:hAnsiTheme="majorHAnsi" w:cstheme="majorHAnsi"/>
                <w:b/>
                <w:color w:val="000000" w:themeColor="text1"/>
                <w:sz w:val="20"/>
                <w:szCs w:val="20"/>
              </w:rPr>
            </w:pPr>
          </w:p>
        </w:tc>
        <w:tc>
          <w:tcPr>
            <w:tcW w:w="2764" w:type="dxa"/>
            <w:vAlign w:val="center"/>
          </w:tcPr>
          <w:p w14:paraId="212D0189" w14:textId="77777777" w:rsidR="00AF2272" w:rsidRPr="00AA7D88" w:rsidRDefault="00AF2272" w:rsidP="00E46108">
            <w:pPr>
              <w:rPr>
                <w:rFonts w:asciiTheme="majorHAnsi" w:hAnsiTheme="majorHAnsi" w:cstheme="majorHAnsi"/>
                <w:b/>
                <w:color w:val="000000" w:themeColor="text1"/>
                <w:sz w:val="20"/>
                <w:szCs w:val="20"/>
              </w:rPr>
            </w:pPr>
            <w:r w:rsidRPr="00AA7D88">
              <w:rPr>
                <w:rFonts w:asciiTheme="majorHAnsi" w:hAnsiTheme="majorHAnsi" w:cstheme="majorHAnsi"/>
                <w:b/>
                <w:color w:val="000000" w:themeColor="text1"/>
                <w:sz w:val="20"/>
                <w:szCs w:val="20"/>
              </w:rPr>
              <w:t>Mean (SD)</w:t>
            </w:r>
          </w:p>
        </w:tc>
        <w:tc>
          <w:tcPr>
            <w:tcW w:w="2764" w:type="dxa"/>
            <w:vAlign w:val="center"/>
          </w:tcPr>
          <w:p w14:paraId="56A097B8" w14:textId="77777777" w:rsidR="00AF2272" w:rsidRPr="00AA7D88" w:rsidRDefault="00AF2272" w:rsidP="00E46108">
            <w:pPr>
              <w:rPr>
                <w:rFonts w:asciiTheme="majorHAnsi" w:hAnsiTheme="majorHAnsi" w:cstheme="majorHAnsi"/>
                <w:b/>
                <w:color w:val="000000" w:themeColor="text1"/>
                <w:sz w:val="20"/>
                <w:szCs w:val="20"/>
              </w:rPr>
            </w:pPr>
            <w:r w:rsidRPr="00AA7D88">
              <w:rPr>
                <w:rFonts w:asciiTheme="majorHAnsi" w:hAnsiTheme="majorHAnsi" w:cstheme="majorHAnsi"/>
                <w:b/>
                <w:i/>
                <w:color w:val="000000" w:themeColor="text1"/>
                <w:sz w:val="20"/>
                <w:szCs w:val="20"/>
              </w:rPr>
              <w:t>n</w:t>
            </w:r>
            <w:r w:rsidRPr="00AA7D88">
              <w:rPr>
                <w:rFonts w:asciiTheme="majorHAnsi" w:hAnsiTheme="majorHAnsi" w:cstheme="majorHAnsi"/>
                <w:b/>
                <w:color w:val="000000" w:themeColor="text1"/>
                <w:sz w:val="20"/>
                <w:szCs w:val="20"/>
              </w:rPr>
              <w:t xml:space="preserve"> with available data</w:t>
            </w:r>
          </w:p>
        </w:tc>
      </w:tr>
      <w:tr w:rsidR="00AF2272" w:rsidRPr="00AA7D88" w14:paraId="7EDD56FB" w14:textId="77777777" w:rsidTr="00E46108">
        <w:tc>
          <w:tcPr>
            <w:tcW w:w="2762" w:type="dxa"/>
            <w:vAlign w:val="center"/>
          </w:tcPr>
          <w:p w14:paraId="3866B41B" w14:textId="77777777" w:rsidR="00AF2272" w:rsidRPr="00AA7D88" w:rsidRDefault="00AF2272" w:rsidP="00E46108">
            <w:pPr>
              <w:rPr>
                <w:rFonts w:asciiTheme="majorHAnsi" w:hAnsiTheme="majorHAnsi" w:cstheme="majorHAnsi"/>
                <w:b/>
                <w:color w:val="000000" w:themeColor="text1"/>
                <w:sz w:val="20"/>
                <w:szCs w:val="20"/>
              </w:rPr>
            </w:pPr>
            <w:r w:rsidRPr="00AA7D88">
              <w:rPr>
                <w:rFonts w:asciiTheme="majorHAnsi" w:hAnsiTheme="majorHAnsi" w:cstheme="majorHAnsi"/>
                <w:b/>
                <w:color w:val="000000" w:themeColor="text1"/>
                <w:sz w:val="20"/>
                <w:szCs w:val="20"/>
              </w:rPr>
              <w:t>Median age in years (IQR)</w:t>
            </w:r>
          </w:p>
        </w:tc>
        <w:tc>
          <w:tcPr>
            <w:tcW w:w="2764" w:type="dxa"/>
            <w:vAlign w:val="center"/>
          </w:tcPr>
          <w:p w14:paraId="57183B69"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9.8 (5.5 to 13.8)</w:t>
            </w:r>
          </w:p>
        </w:tc>
        <w:tc>
          <w:tcPr>
            <w:tcW w:w="2764" w:type="dxa"/>
            <w:vAlign w:val="center"/>
          </w:tcPr>
          <w:p w14:paraId="57AC0F8C"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333</w:t>
            </w:r>
          </w:p>
        </w:tc>
      </w:tr>
      <w:tr w:rsidR="00AF2272" w:rsidRPr="00AA7D88" w14:paraId="776D4FE3" w14:textId="77777777" w:rsidTr="00E46108">
        <w:tc>
          <w:tcPr>
            <w:tcW w:w="2762" w:type="dxa"/>
            <w:vAlign w:val="center"/>
          </w:tcPr>
          <w:p w14:paraId="0C5ED552"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Male (%)</w:t>
            </w:r>
          </w:p>
        </w:tc>
        <w:tc>
          <w:tcPr>
            <w:tcW w:w="2764" w:type="dxa"/>
            <w:vAlign w:val="center"/>
          </w:tcPr>
          <w:p w14:paraId="2D2A6143"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175 (52.6%)</w:t>
            </w:r>
          </w:p>
        </w:tc>
        <w:tc>
          <w:tcPr>
            <w:tcW w:w="2764" w:type="dxa"/>
            <w:vAlign w:val="center"/>
          </w:tcPr>
          <w:p w14:paraId="4DE22334"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333</w:t>
            </w:r>
          </w:p>
        </w:tc>
      </w:tr>
      <w:tr w:rsidR="00AF2272" w:rsidRPr="00AA7D88" w14:paraId="661F8310" w14:textId="77777777" w:rsidTr="00E46108">
        <w:tc>
          <w:tcPr>
            <w:tcW w:w="2762" w:type="dxa"/>
            <w:vAlign w:val="center"/>
          </w:tcPr>
          <w:p w14:paraId="379EBB0A"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FEV</w:t>
            </w:r>
            <w:r w:rsidRPr="00AA7D88">
              <w:rPr>
                <w:rFonts w:asciiTheme="majorHAnsi" w:hAnsiTheme="majorHAnsi" w:cstheme="majorHAnsi"/>
                <w:color w:val="000000" w:themeColor="text1"/>
                <w:sz w:val="20"/>
                <w:szCs w:val="20"/>
                <w:vertAlign w:val="subscript"/>
              </w:rPr>
              <w:t>1</w:t>
            </w:r>
            <w:r w:rsidRPr="00AA7D88">
              <w:rPr>
                <w:rFonts w:asciiTheme="majorHAnsi" w:hAnsiTheme="majorHAnsi" w:cstheme="majorHAnsi"/>
                <w:color w:val="000000" w:themeColor="text1"/>
                <w:sz w:val="20"/>
                <w:szCs w:val="20"/>
              </w:rPr>
              <w:t xml:space="preserve"> z score</w:t>
            </w:r>
          </w:p>
        </w:tc>
        <w:tc>
          <w:tcPr>
            <w:tcW w:w="2764" w:type="dxa"/>
            <w:vAlign w:val="center"/>
          </w:tcPr>
          <w:p w14:paraId="5F7A46F9"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-1.9 (1.4)</w:t>
            </w:r>
          </w:p>
        </w:tc>
        <w:tc>
          <w:tcPr>
            <w:tcW w:w="2764" w:type="dxa"/>
            <w:vAlign w:val="center"/>
          </w:tcPr>
          <w:p w14:paraId="71019E36"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240</w:t>
            </w:r>
          </w:p>
        </w:tc>
      </w:tr>
      <w:tr w:rsidR="00AF2272" w:rsidRPr="00AA7D88" w14:paraId="5230B92D" w14:textId="77777777" w:rsidTr="00E46108">
        <w:tc>
          <w:tcPr>
            <w:tcW w:w="2762" w:type="dxa"/>
            <w:vAlign w:val="center"/>
          </w:tcPr>
          <w:p w14:paraId="61F3E9FB" w14:textId="6029912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FEV</w:t>
            </w:r>
            <w:r w:rsidRPr="00AA7D88">
              <w:rPr>
                <w:rFonts w:asciiTheme="majorHAnsi" w:hAnsiTheme="majorHAnsi" w:cstheme="majorHAnsi"/>
                <w:color w:val="000000" w:themeColor="text1"/>
                <w:sz w:val="20"/>
                <w:szCs w:val="20"/>
                <w:vertAlign w:val="subscript"/>
              </w:rPr>
              <w:t>1</w:t>
            </w:r>
            <w:r w:rsidRPr="00AA7D88">
              <w:rPr>
                <w:rFonts w:asciiTheme="majorHAnsi" w:hAnsiTheme="majorHAnsi" w:cstheme="majorHAnsi"/>
                <w:color w:val="000000" w:themeColor="text1"/>
                <w:sz w:val="20"/>
                <w:szCs w:val="20"/>
              </w:rPr>
              <w:t xml:space="preserve"> % predicted</w:t>
            </w:r>
            <w:r w:rsidR="003108D5">
              <w:rPr>
                <w:rFonts w:asciiTheme="majorHAnsi" w:hAnsiTheme="majorHAnsi" w:cstheme="majorHAnsi"/>
                <w:color w:val="000000" w:themeColor="text1"/>
                <w:sz w:val="20"/>
                <w:szCs w:val="20"/>
              </w:rPr>
              <w:t xml:space="preserve"> </w:t>
            </w:r>
          </w:p>
        </w:tc>
        <w:tc>
          <w:tcPr>
            <w:tcW w:w="2764" w:type="dxa"/>
            <w:vAlign w:val="center"/>
          </w:tcPr>
          <w:p w14:paraId="656434F9" w14:textId="766B34F6"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 xml:space="preserve">76.8% </w:t>
            </w:r>
          </w:p>
        </w:tc>
        <w:tc>
          <w:tcPr>
            <w:tcW w:w="2764" w:type="dxa"/>
            <w:vAlign w:val="center"/>
          </w:tcPr>
          <w:p w14:paraId="505118C9"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240</w:t>
            </w:r>
          </w:p>
        </w:tc>
      </w:tr>
      <w:tr w:rsidR="00AF2272" w:rsidRPr="00AA7D88" w14:paraId="5A7A9844" w14:textId="77777777" w:rsidTr="00E46108">
        <w:tc>
          <w:tcPr>
            <w:tcW w:w="2762" w:type="dxa"/>
            <w:vAlign w:val="center"/>
          </w:tcPr>
          <w:p w14:paraId="323CCB3D"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FVC z score</w:t>
            </w:r>
          </w:p>
        </w:tc>
        <w:tc>
          <w:tcPr>
            <w:tcW w:w="2764" w:type="dxa"/>
            <w:vAlign w:val="center"/>
          </w:tcPr>
          <w:p w14:paraId="614DBF78"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-1.3 (1.5)</w:t>
            </w:r>
          </w:p>
        </w:tc>
        <w:tc>
          <w:tcPr>
            <w:tcW w:w="2764" w:type="dxa"/>
            <w:vAlign w:val="center"/>
          </w:tcPr>
          <w:p w14:paraId="7EB75667"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240</w:t>
            </w:r>
          </w:p>
        </w:tc>
      </w:tr>
      <w:tr w:rsidR="00AF2272" w:rsidRPr="00AA7D88" w14:paraId="6B3FE2BF" w14:textId="77777777" w:rsidTr="00E46108">
        <w:tc>
          <w:tcPr>
            <w:tcW w:w="2762" w:type="dxa"/>
            <w:vAlign w:val="center"/>
          </w:tcPr>
          <w:p w14:paraId="2C304371" w14:textId="03A86172"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FVC % predicted</w:t>
            </w:r>
          </w:p>
        </w:tc>
        <w:tc>
          <w:tcPr>
            <w:tcW w:w="2764" w:type="dxa"/>
            <w:vAlign w:val="center"/>
          </w:tcPr>
          <w:p w14:paraId="52981E9D" w14:textId="09DBB7E8"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 xml:space="preserve">85.4% </w:t>
            </w:r>
          </w:p>
        </w:tc>
        <w:tc>
          <w:tcPr>
            <w:tcW w:w="2764" w:type="dxa"/>
            <w:vAlign w:val="center"/>
          </w:tcPr>
          <w:p w14:paraId="30DB61B3"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240</w:t>
            </w:r>
          </w:p>
        </w:tc>
      </w:tr>
      <w:tr w:rsidR="00AF2272" w:rsidRPr="00AA7D88" w14:paraId="59F10CC6" w14:textId="77777777" w:rsidTr="00E46108">
        <w:tc>
          <w:tcPr>
            <w:tcW w:w="2762" w:type="dxa"/>
            <w:vAlign w:val="center"/>
          </w:tcPr>
          <w:p w14:paraId="0CEAA79C"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BMI z-score</w:t>
            </w:r>
          </w:p>
        </w:tc>
        <w:tc>
          <w:tcPr>
            <w:tcW w:w="2764" w:type="dxa"/>
            <w:vAlign w:val="center"/>
          </w:tcPr>
          <w:p w14:paraId="212CC6A5"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0 (1.4)</w:t>
            </w:r>
          </w:p>
        </w:tc>
        <w:tc>
          <w:tcPr>
            <w:tcW w:w="2764" w:type="dxa"/>
            <w:vAlign w:val="center"/>
          </w:tcPr>
          <w:p w14:paraId="4DCD598B"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307</w:t>
            </w:r>
          </w:p>
        </w:tc>
      </w:tr>
      <w:tr w:rsidR="00AF2272" w:rsidRPr="00AA7D88" w14:paraId="6F59A266" w14:textId="77777777" w:rsidTr="00E46108">
        <w:tc>
          <w:tcPr>
            <w:tcW w:w="2762" w:type="dxa"/>
            <w:vAlign w:val="center"/>
          </w:tcPr>
          <w:p w14:paraId="0F83FB9F"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Weight z-score</w:t>
            </w:r>
          </w:p>
        </w:tc>
        <w:tc>
          <w:tcPr>
            <w:tcW w:w="2764" w:type="dxa"/>
            <w:vAlign w:val="center"/>
          </w:tcPr>
          <w:p w14:paraId="5558C79F"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-0.1 (1.3)</w:t>
            </w:r>
          </w:p>
        </w:tc>
        <w:tc>
          <w:tcPr>
            <w:tcW w:w="2764" w:type="dxa"/>
            <w:vAlign w:val="center"/>
          </w:tcPr>
          <w:p w14:paraId="49EEF5D4"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159*</w:t>
            </w:r>
          </w:p>
        </w:tc>
      </w:tr>
      <w:tr w:rsidR="00AF2272" w:rsidRPr="00AA7D88" w14:paraId="6A0D8809" w14:textId="77777777" w:rsidTr="00E46108">
        <w:tc>
          <w:tcPr>
            <w:tcW w:w="2762" w:type="dxa"/>
            <w:vAlign w:val="center"/>
          </w:tcPr>
          <w:p w14:paraId="5CB821D5"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Height z-score</w:t>
            </w:r>
          </w:p>
        </w:tc>
        <w:tc>
          <w:tcPr>
            <w:tcW w:w="2764" w:type="dxa"/>
            <w:vAlign w:val="center"/>
          </w:tcPr>
          <w:p w14:paraId="1EF6CF1C"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-0.3 (1.1)</w:t>
            </w:r>
          </w:p>
        </w:tc>
        <w:tc>
          <w:tcPr>
            <w:tcW w:w="2764" w:type="dxa"/>
            <w:vAlign w:val="center"/>
          </w:tcPr>
          <w:p w14:paraId="7D7419C5"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310</w:t>
            </w:r>
          </w:p>
        </w:tc>
      </w:tr>
      <w:tr w:rsidR="00AF2272" w:rsidRPr="00AA7D88" w14:paraId="6C0EEA7B" w14:textId="77777777" w:rsidTr="00E46108">
        <w:tc>
          <w:tcPr>
            <w:tcW w:w="2762" w:type="dxa"/>
            <w:vAlign w:val="center"/>
          </w:tcPr>
          <w:p w14:paraId="2428A9A6"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Age at diagnosis</w:t>
            </w:r>
          </w:p>
        </w:tc>
        <w:tc>
          <w:tcPr>
            <w:tcW w:w="2764" w:type="dxa"/>
            <w:vAlign w:val="center"/>
          </w:tcPr>
          <w:p w14:paraId="4700F9C1"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2.6 (0.5 to 7.2)**</w:t>
            </w:r>
          </w:p>
        </w:tc>
        <w:tc>
          <w:tcPr>
            <w:tcW w:w="2764" w:type="dxa"/>
            <w:vAlign w:val="center"/>
          </w:tcPr>
          <w:p w14:paraId="0B7A40A6" w14:textId="77777777" w:rsidR="00AF2272" w:rsidRPr="00AA7D88" w:rsidRDefault="00AF2272" w:rsidP="00E46108">
            <w:pPr>
              <w:rPr>
                <w:rFonts w:asciiTheme="majorHAnsi" w:hAnsiTheme="majorHAnsi" w:cstheme="majorHAnsi"/>
                <w:color w:val="000000" w:themeColor="text1"/>
                <w:sz w:val="20"/>
                <w:szCs w:val="20"/>
              </w:rPr>
            </w:pPr>
            <w:r w:rsidRPr="00AA7D88">
              <w:rPr>
                <w:rFonts w:asciiTheme="majorHAnsi" w:hAnsiTheme="majorHAnsi" w:cstheme="majorHAnsi"/>
                <w:color w:val="000000" w:themeColor="text1"/>
                <w:sz w:val="20"/>
                <w:szCs w:val="20"/>
              </w:rPr>
              <w:t>321</w:t>
            </w:r>
          </w:p>
        </w:tc>
      </w:tr>
    </w:tbl>
    <w:p w14:paraId="13466A25" w14:textId="65CB7331" w:rsidR="00AF2272" w:rsidRPr="00AA7D88" w:rsidRDefault="00AF2272" w:rsidP="00AF2272">
      <w:pPr>
        <w:rPr>
          <w:rFonts w:asciiTheme="majorHAnsi" w:hAnsiTheme="majorHAnsi" w:cstheme="majorHAnsi"/>
          <w:sz w:val="16"/>
          <w:szCs w:val="16"/>
        </w:rPr>
      </w:pPr>
      <w:r w:rsidRPr="00AA7D88">
        <w:rPr>
          <w:rFonts w:asciiTheme="majorHAnsi" w:eastAsiaTheme="minorHAnsi" w:hAnsiTheme="majorHAnsi" w:cstheme="majorHAnsi"/>
          <w:bCs/>
          <w:color w:val="000000"/>
          <w:sz w:val="16"/>
          <w:szCs w:val="16"/>
        </w:rPr>
        <w:t>SD: standard deviation; IQR: Inter-quarter range; FEV</w:t>
      </w:r>
      <w:r w:rsidRPr="00AA7D88">
        <w:rPr>
          <w:rFonts w:asciiTheme="majorHAnsi" w:eastAsiaTheme="minorHAnsi" w:hAnsiTheme="majorHAnsi" w:cstheme="majorHAnsi"/>
          <w:bCs/>
          <w:color w:val="000000"/>
          <w:sz w:val="16"/>
          <w:szCs w:val="16"/>
          <w:vertAlign w:val="subscript"/>
        </w:rPr>
        <w:t>1</w:t>
      </w:r>
      <w:r w:rsidRPr="00AA7D88">
        <w:rPr>
          <w:rFonts w:asciiTheme="majorHAnsi" w:eastAsiaTheme="minorHAnsi" w:hAnsiTheme="majorHAnsi" w:cstheme="majorHAnsi"/>
          <w:bCs/>
          <w:color w:val="000000"/>
          <w:sz w:val="16"/>
          <w:szCs w:val="16"/>
        </w:rPr>
        <w:t>: forced expiratory volume in one second; FVC: forced vital capacity; BMI: body mass index; *</w:t>
      </w:r>
      <w:r w:rsidRPr="00AA7D88">
        <w:rPr>
          <w:rFonts w:asciiTheme="majorHAnsi" w:hAnsiTheme="majorHAnsi" w:cstheme="majorHAnsi"/>
          <w:color w:val="333333"/>
          <w:sz w:val="16"/>
          <w:szCs w:val="16"/>
        </w:rPr>
        <w:t xml:space="preserve">WHO Weight-for-age reference data are not available beyond age 10 hence </w:t>
      </w:r>
      <w:r w:rsidRPr="00AA7D88">
        <w:rPr>
          <w:rFonts w:asciiTheme="majorHAnsi" w:hAnsiTheme="majorHAnsi" w:cstheme="majorHAnsi"/>
          <w:i/>
          <w:color w:val="333333"/>
          <w:sz w:val="16"/>
          <w:szCs w:val="16"/>
        </w:rPr>
        <w:t>n</w:t>
      </w:r>
      <w:r w:rsidRPr="00AA7D88">
        <w:rPr>
          <w:rFonts w:asciiTheme="majorHAnsi" w:hAnsiTheme="majorHAnsi" w:cstheme="majorHAnsi"/>
          <w:color w:val="333333"/>
          <w:sz w:val="16"/>
          <w:szCs w:val="16"/>
        </w:rPr>
        <w:t xml:space="preserve"> lower than for other anthropometric data (27) ** Median (IQR)</w:t>
      </w:r>
    </w:p>
    <w:p w14:paraId="0F62D1DB" w14:textId="51C14209" w:rsidR="00AF2272" w:rsidRDefault="00AF2272" w:rsidP="00AF2272">
      <w:pPr>
        <w:spacing w:line="360" w:lineRule="auto"/>
        <w:rPr>
          <w:rFonts w:asciiTheme="majorHAnsi" w:hAnsiTheme="majorHAnsi" w:cstheme="majorHAnsi"/>
          <w:b/>
          <w:color w:val="000000" w:themeColor="text1"/>
          <w:sz w:val="22"/>
          <w:szCs w:val="22"/>
        </w:rPr>
      </w:pPr>
    </w:p>
    <w:p w14:paraId="2AA0B60C" w14:textId="77777777" w:rsidR="001D308B" w:rsidRPr="00AA7D88" w:rsidRDefault="001D308B" w:rsidP="001D308B">
      <w:pPr>
        <w:spacing w:line="360" w:lineRule="auto"/>
        <w:rPr>
          <w:rFonts w:asciiTheme="majorHAnsi" w:hAnsiTheme="majorHAnsi" w:cstheme="majorHAnsi"/>
          <w:b/>
          <w:color w:val="000000" w:themeColor="text1"/>
          <w:sz w:val="22"/>
          <w:szCs w:val="22"/>
        </w:rPr>
      </w:pPr>
      <w:r w:rsidRPr="00AA7D88">
        <w:rPr>
          <w:rFonts w:asciiTheme="majorHAnsi" w:hAnsiTheme="majorHAnsi" w:cstheme="majorHAnsi"/>
          <w:b/>
          <w:color w:val="000000" w:themeColor="text1"/>
          <w:sz w:val="22"/>
          <w:szCs w:val="22"/>
        </w:rPr>
        <w:t>Table 2: Management of Children with PCD in England in 2015</w:t>
      </w:r>
    </w:p>
    <w:tbl>
      <w:tblPr>
        <w:tblStyle w:val="TableGrid"/>
        <w:tblW w:w="0" w:type="auto"/>
        <w:tblLook w:val="04A0" w:firstRow="1" w:lastRow="0" w:firstColumn="1" w:lastColumn="0" w:noHBand="0" w:noVBand="1"/>
      </w:tblPr>
      <w:tblGrid>
        <w:gridCol w:w="3114"/>
        <w:gridCol w:w="2412"/>
        <w:gridCol w:w="2412"/>
      </w:tblGrid>
      <w:tr w:rsidR="001D308B" w:rsidRPr="00AA7D88" w14:paraId="5A061002" w14:textId="77777777" w:rsidTr="00E46108">
        <w:tc>
          <w:tcPr>
            <w:tcW w:w="3114" w:type="dxa"/>
          </w:tcPr>
          <w:p w14:paraId="7274BB34" w14:textId="77777777" w:rsidR="001D308B" w:rsidRPr="00AA7D88" w:rsidRDefault="001D308B" w:rsidP="00E46108">
            <w:pPr>
              <w:rPr>
                <w:rFonts w:asciiTheme="majorHAnsi" w:hAnsiTheme="majorHAnsi" w:cstheme="majorHAnsi"/>
                <w:b/>
                <w:sz w:val="20"/>
                <w:szCs w:val="20"/>
              </w:rPr>
            </w:pPr>
            <w:r w:rsidRPr="00AA7D88">
              <w:rPr>
                <w:rFonts w:asciiTheme="majorHAnsi" w:hAnsiTheme="majorHAnsi" w:cstheme="majorHAnsi"/>
                <w:b/>
                <w:sz w:val="20"/>
                <w:szCs w:val="20"/>
              </w:rPr>
              <w:t>Physiotherapy modality</w:t>
            </w:r>
          </w:p>
        </w:tc>
        <w:tc>
          <w:tcPr>
            <w:tcW w:w="2412" w:type="dxa"/>
          </w:tcPr>
          <w:p w14:paraId="033EB9B9" w14:textId="77777777" w:rsidR="001D308B" w:rsidRPr="00AA7D88" w:rsidRDefault="001D308B" w:rsidP="00E46108">
            <w:pPr>
              <w:rPr>
                <w:rFonts w:asciiTheme="majorHAnsi" w:hAnsiTheme="majorHAnsi" w:cstheme="majorHAnsi"/>
                <w:b/>
                <w:i/>
                <w:sz w:val="20"/>
                <w:szCs w:val="20"/>
              </w:rPr>
            </w:pPr>
            <w:r w:rsidRPr="00AA7D88">
              <w:rPr>
                <w:rFonts w:asciiTheme="majorHAnsi" w:hAnsiTheme="majorHAnsi" w:cstheme="majorHAnsi"/>
                <w:b/>
                <w:i/>
                <w:sz w:val="20"/>
                <w:szCs w:val="20"/>
              </w:rPr>
              <w:t>n (%)</w:t>
            </w:r>
          </w:p>
        </w:tc>
        <w:tc>
          <w:tcPr>
            <w:tcW w:w="2412" w:type="dxa"/>
          </w:tcPr>
          <w:p w14:paraId="18679D31" w14:textId="77777777" w:rsidR="001D308B" w:rsidRPr="00AA7D88" w:rsidRDefault="001D308B" w:rsidP="00E46108">
            <w:pPr>
              <w:rPr>
                <w:rFonts w:asciiTheme="majorHAnsi" w:hAnsiTheme="majorHAnsi" w:cstheme="majorHAnsi"/>
                <w:b/>
                <w:i/>
                <w:sz w:val="20"/>
                <w:szCs w:val="20"/>
              </w:rPr>
            </w:pPr>
            <w:r w:rsidRPr="00AA7D88">
              <w:rPr>
                <w:rFonts w:asciiTheme="majorHAnsi" w:hAnsiTheme="majorHAnsi" w:cstheme="majorHAnsi"/>
                <w:b/>
                <w:i/>
                <w:sz w:val="20"/>
                <w:szCs w:val="20"/>
              </w:rPr>
              <w:t>n with data available</w:t>
            </w:r>
          </w:p>
        </w:tc>
      </w:tr>
      <w:tr w:rsidR="001D308B" w:rsidRPr="00AA7D88" w14:paraId="6087A807" w14:textId="77777777" w:rsidTr="00E46108">
        <w:tc>
          <w:tcPr>
            <w:tcW w:w="3114" w:type="dxa"/>
          </w:tcPr>
          <w:p w14:paraId="35A0F7D7"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Breathing techniques</w:t>
            </w:r>
          </w:p>
        </w:tc>
        <w:tc>
          <w:tcPr>
            <w:tcW w:w="2412" w:type="dxa"/>
          </w:tcPr>
          <w:p w14:paraId="7B50C825"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10 (3.3)</w:t>
            </w:r>
          </w:p>
        </w:tc>
        <w:tc>
          <w:tcPr>
            <w:tcW w:w="2412" w:type="dxa"/>
          </w:tcPr>
          <w:p w14:paraId="651B39DC"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299</w:t>
            </w:r>
          </w:p>
        </w:tc>
      </w:tr>
      <w:tr w:rsidR="001D308B" w:rsidRPr="00AA7D88" w14:paraId="770750BA" w14:textId="77777777" w:rsidTr="00E46108">
        <w:tc>
          <w:tcPr>
            <w:tcW w:w="3114" w:type="dxa"/>
          </w:tcPr>
          <w:p w14:paraId="4F45FF17"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Exercise for airway clearance</w:t>
            </w:r>
          </w:p>
        </w:tc>
        <w:tc>
          <w:tcPr>
            <w:tcW w:w="2412" w:type="dxa"/>
          </w:tcPr>
          <w:p w14:paraId="4B57FA6F"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2 (0.7)</w:t>
            </w:r>
          </w:p>
        </w:tc>
        <w:tc>
          <w:tcPr>
            <w:tcW w:w="2412" w:type="dxa"/>
          </w:tcPr>
          <w:p w14:paraId="092F4F71"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299</w:t>
            </w:r>
          </w:p>
        </w:tc>
      </w:tr>
      <w:tr w:rsidR="001D308B" w:rsidRPr="00AA7D88" w14:paraId="11744EF4" w14:textId="77777777" w:rsidTr="00E46108">
        <w:tc>
          <w:tcPr>
            <w:tcW w:w="3114" w:type="dxa"/>
          </w:tcPr>
          <w:p w14:paraId="6EB0F5FD"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Manual techniques</w:t>
            </w:r>
          </w:p>
        </w:tc>
        <w:tc>
          <w:tcPr>
            <w:tcW w:w="2412" w:type="dxa"/>
          </w:tcPr>
          <w:p w14:paraId="15D9E605"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41 (13.7)</w:t>
            </w:r>
          </w:p>
        </w:tc>
        <w:tc>
          <w:tcPr>
            <w:tcW w:w="2412" w:type="dxa"/>
          </w:tcPr>
          <w:p w14:paraId="635A1213"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299</w:t>
            </w:r>
          </w:p>
        </w:tc>
      </w:tr>
      <w:tr w:rsidR="001D308B" w:rsidRPr="00AA7D88" w14:paraId="3616C67B" w14:textId="77777777" w:rsidTr="00E46108">
        <w:tc>
          <w:tcPr>
            <w:tcW w:w="3114" w:type="dxa"/>
          </w:tcPr>
          <w:p w14:paraId="36059745"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PEP physiotherapy (mask/Pari)</w:t>
            </w:r>
          </w:p>
        </w:tc>
        <w:tc>
          <w:tcPr>
            <w:tcW w:w="2412" w:type="dxa"/>
          </w:tcPr>
          <w:p w14:paraId="0F89077D"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96 (32.1)</w:t>
            </w:r>
          </w:p>
        </w:tc>
        <w:tc>
          <w:tcPr>
            <w:tcW w:w="2412" w:type="dxa"/>
          </w:tcPr>
          <w:p w14:paraId="16F0FC96"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299</w:t>
            </w:r>
          </w:p>
        </w:tc>
      </w:tr>
      <w:tr w:rsidR="001D308B" w:rsidRPr="00AA7D88" w14:paraId="3BA168CA" w14:textId="77777777" w:rsidTr="00E46108">
        <w:tc>
          <w:tcPr>
            <w:tcW w:w="3114" w:type="dxa"/>
          </w:tcPr>
          <w:p w14:paraId="22C93B2C"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Oscillating PEP</w:t>
            </w:r>
          </w:p>
        </w:tc>
        <w:tc>
          <w:tcPr>
            <w:tcW w:w="2412" w:type="dxa"/>
          </w:tcPr>
          <w:p w14:paraId="1CEFBC56"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147 (49.2)</w:t>
            </w:r>
          </w:p>
        </w:tc>
        <w:tc>
          <w:tcPr>
            <w:tcW w:w="2412" w:type="dxa"/>
          </w:tcPr>
          <w:p w14:paraId="3418EF4F"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299</w:t>
            </w:r>
          </w:p>
        </w:tc>
      </w:tr>
      <w:tr w:rsidR="001D308B" w:rsidRPr="00AA7D88" w14:paraId="3310E1B5" w14:textId="77777777" w:rsidTr="00E46108">
        <w:tc>
          <w:tcPr>
            <w:tcW w:w="3114" w:type="dxa"/>
          </w:tcPr>
          <w:p w14:paraId="3A3DE4FA"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Other</w:t>
            </w:r>
          </w:p>
        </w:tc>
        <w:tc>
          <w:tcPr>
            <w:tcW w:w="2412" w:type="dxa"/>
          </w:tcPr>
          <w:p w14:paraId="73860B41"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3 (1.0)</w:t>
            </w:r>
          </w:p>
        </w:tc>
        <w:tc>
          <w:tcPr>
            <w:tcW w:w="2412" w:type="dxa"/>
          </w:tcPr>
          <w:p w14:paraId="786AC4E8"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299</w:t>
            </w:r>
          </w:p>
        </w:tc>
      </w:tr>
      <w:tr w:rsidR="001D308B" w:rsidRPr="00AA7D88" w14:paraId="36F59FF6" w14:textId="77777777" w:rsidTr="00E46108">
        <w:tc>
          <w:tcPr>
            <w:tcW w:w="3114" w:type="dxa"/>
          </w:tcPr>
          <w:p w14:paraId="29AFA61C" w14:textId="77777777" w:rsidR="001D308B" w:rsidRPr="00AA7D88" w:rsidRDefault="001D308B" w:rsidP="00E46108">
            <w:pPr>
              <w:rPr>
                <w:rFonts w:asciiTheme="majorHAnsi" w:hAnsiTheme="majorHAnsi" w:cstheme="majorHAnsi"/>
                <w:b/>
                <w:sz w:val="20"/>
                <w:szCs w:val="20"/>
              </w:rPr>
            </w:pPr>
            <w:r w:rsidRPr="00AA7D88">
              <w:rPr>
                <w:rFonts w:asciiTheme="majorHAnsi" w:hAnsiTheme="majorHAnsi" w:cstheme="majorHAnsi"/>
                <w:b/>
                <w:sz w:val="20"/>
                <w:szCs w:val="20"/>
              </w:rPr>
              <w:t>Antibiotics</w:t>
            </w:r>
          </w:p>
        </w:tc>
        <w:tc>
          <w:tcPr>
            <w:tcW w:w="2412" w:type="dxa"/>
          </w:tcPr>
          <w:p w14:paraId="52845357" w14:textId="77777777" w:rsidR="001D308B" w:rsidRPr="00AA7D88" w:rsidRDefault="001D308B" w:rsidP="00E46108">
            <w:pPr>
              <w:rPr>
                <w:rFonts w:asciiTheme="majorHAnsi" w:hAnsiTheme="majorHAnsi" w:cstheme="majorHAnsi"/>
                <w:sz w:val="20"/>
                <w:szCs w:val="20"/>
              </w:rPr>
            </w:pPr>
          </w:p>
        </w:tc>
        <w:tc>
          <w:tcPr>
            <w:tcW w:w="2412" w:type="dxa"/>
          </w:tcPr>
          <w:p w14:paraId="397E2246" w14:textId="77777777" w:rsidR="001D308B" w:rsidRPr="00AA7D88" w:rsidRDefault="001D308B" w:rsidP="00E46108">
            <w:pPr>
              <w:rPr>
                <w:rFonts w:asciiTheme="majorHAnsi" w:hAnsiTheme="majorHAnsi" w:cstheme="majorHAnsi"/>
                <w:sz w:val="20"/>
                <w:szCs w:val="20"/>
              </w:rPr>
            </w:pPr>
          </w:p>
        </w:tc>
      </w:tr>
      <w:tr w:rsidR="001D308B" w:rsidRPr="00AA7D88" w14:paraId="213A74DE" w14:textId="77777777" w:rsidTr="00E46108">
        <w:tc>
          <w:tcPr>
            <w:tcW w:w="3114" w:type="dxa"/>
          </w:tcPr>
          <w:p w14:paraId="0806739E" w14:textId="3FDD1B12" w:rsidR="001D308B" w:rsidRPr="00AA7D88" w:rsidRDefault="00804F19" w:rsidP="00E46108">
            <w:pPr>
              <w:rPr>
                <w:rFonts w:asciiTheme="majorHAnsi" w:hAnsiTheme="majorHAnsi" w:cstheme="majorHAnsi"/>
                <w:sz w:val="20"/>
                <w:szCs w:val="20"/>
              </w:rPr>
            </w:pPr>
            <w:r>
              <w:rPr>
                <w:rFonts w:asciiTheme="majorHAnsi" w:hAnsiTheme="majorHAnsi" w:cstheme="majorHAnsi"/>
                <w:sz w:val="20"/>
                <w:szCs w:val="20"/>
              </w:rPr>
              <w:t>Number of</w:t>
            </w:r>
            <w:r w:rsidRPr="00AA7D88">
              <w:rPr>
                <w:rFonts w:asciiTheme="majorHAnsi" w:hAnsiTheme="majorHAnsi" w:cstheme="majorHAnsi"/>
                <w:sz w:val="20"/>
                <w:szCs w:val="20"/>
              </w:rPr>
              <w:t xml:space="preserve"> </w:t>
            </w:r>
            <w:r w:rsidR="001D308B" w:rsidRPr="00AA7D88">
              <w:rPr>
                <w:rFonts w:asciiTheme="majorHAnsi" w:hAnsiTheme="majorHAnsi" w:cstheme="majorHAnsi"/>
                <w:sz w:val="20"/>
                <w:szCs w:val="20"/>
              </w:rPr>
              <w:t>IV antibiotic</w:t>
            </w:r>
            <w:r>
              <w:rPr>
                <w:rFonts w:asciiTheme="majorHAnsi" w:hAnsiTheme="majorHAnsi" w:cstheme="majorHAnsi"/>
                <w:sz w:val="20"/>
                <w:szCs w:val="20"/>
              </w:rPr>
              <w:t xml:space="preserve"> courses in past year</w:t>
            </w:r>
          </w:p>
        </w:tc>
        <w:tc>
          <w:tcPr>
            <w:tcW w:w="2412" w:type="dxa"/>
          </w:tcPr>
          <w:p w14:paraId="7A8E204E"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95 (29.7)</w:t>
            </w:r>
          </w:p>
        </w:tc>
        <w:tc>
          <w:tcPr>
            <w:tcW w:w="2412" w:type="dxa"/>
          </w:tcPr>
          <w:p w14:paraId="397A3B1C"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320</w:t>
            </w:r>
          </w:p>
        </w:tc>
      </w:tr>
      <w:tr w:rsidR="001D308B" w:rsidRPr="00AA7D88" w14:paraId="52EBF4E3" w14:textId="77777777" w:rsidTr="00E46108">
        <w:tc>
          <w:tcPr>
            <w:tcW w:w="3114" w:type="dxa"/>
          </w:tcPr>
          <w:p w14:paraId="5AA23E5D"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Median (IQR) courses of oral antibiotics</w:t>
            </w:r>
          </w:p>
        </w:tc>
        <w:tc>
          <w:tcPr>
            <w:tcW w:w="2412" w:type="dxa"/>
          </w:tcPr>
          <w:p w14:paraId="1D3F6E33"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2 (1 to 3)</w:t>
            </w:r>
          </w:p>
        </w:tc>
        <w:tc>
          <w:tcPr>
            <w:tcW w:w="2412" w:type="dxa"/>
          </w:tcPr>
          <w:p w14:paraId="25734A09"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254</w:t>
            </w:r>
          </w:p>
        </w:tc>
      </w:tr>
      <w:tr w:rsidR="001D308B" w:rsidRPr="00AA7D88" w14:paraId="7EE60DE3" w14:textId="77777777" w:rsidTr="00E46108">
        <w:tc>
          <w:tcPr>
            <w:tcW w:w="3114" w:type="dxa"/>
          </w:tcPr>
          <w:p w14:paraId="411E9C74"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On regular IV treatment (every 3 to 6 months)</w:t>
            </w:r>
          </w:p>
        </w:tc>
        <w:tc>
          <w:tcPr>
            <w:tcW w:w="2412" w:type="dxa"/>
          </w:tcPr>
          <w:p w14:paraId="4E64EEDF"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34 (10.6)</w:t>
            </w:r>
          </w:p>
        </w:tc>
        <w:tc>
          <w:tcPr>
            <w:tcW w:w="2412" w:type="dxa"/>
          </w:tcPr>
          <w:p w14:paraId="112CCDF6"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320</w:t>
            </w:r>
          </w:p>
        </w:tc>
      </w:tr>
      <w:tr w:rsidR="001D308B" w:rsidRPr="00AA7D88" w14:paraId="1505ADF8" w14:textId="77777777" w:rsidTr="00E46108">
        <w:tc>
          <w:tcPr>
            <w:tcW w:w="3114" w:type="dxa"/>
          </w:tcPr>
          <w:p w14:paraId="5AAFAE28"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On antibiotic prophylaxis</w:t>
            </w:r>
          </w:p>
        </w:tc>
        <w:tc>
          <w:tcPr>
            <w:tcW w:w="2412" w:type="dxa"/>
          </w:tcPr>
          <w:p w14:paraId="20B91591"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189 (58.9)</w:t>
            </w:r>
          </w:p>
        </w:tc>
        <w:tc>
          <w:tcPr>
            <w:tcW w:w="2412" w:type="dxa"/>
          </w:tcPr>
          <w:p w14:paraId="777D17C4"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321</w:t>
            </w:r>
          </w:p>
        </w:tc>
      </w:tr>
      <w:tr w:rsidR="001D308B" w:rsidRPr="00AA7D88" w14:paraId="1001FE8F" w14:textId="77777777" w:rsidTr="00E46108">
        <w:tc>
          <w:tcPr>
            <w:tcW w:w="3114" w:type="dxa"/>
          </w:tcPr>
          <w:p w14:paraId="15EFCF00" w14:textId="77777777" w:rsidR="001D308B" w:rsidRPr="00AA7D88" w:rsidRDefault="001D308B" w:rsidP="00E46108">
            <w:pPr>
              <w:rPr>
                <w:rFonts w:asciiTheme="majorHAnsi" w:hAnsiTheme="majorHAnsi" w:cstheme="majorHAnsi"/>
                <w:b/>
                <w:sz w:val="20"/>
                <w:szCs w:val="20"/>
              </w:rPr>
            </w:pPr>
            <w:r w:rsidRPr="00AA7D88">
              <w:rPr>
                <w:rFonts w:asciiTheme="majorHAnsi" w:hAnsiTheme="majorHAnsi" w:cstheme="majorHAnsi"/>
                <w:b/>
                <w:sz w:val="20"/>
                <w:szCs w:val="20"/>
              </w:rPr>
              <w:t>Other treatments</w:t>
            </w:r>
          </w:p>
        </w:tc>
        <w:tc>
          <w:tcPr>
            <w:tcW w:w="2412" w:type="dxa"/>
          </w:tcPr>
          <w:p w14:paraId="2BE4E68D" w14:textId="77777777" w:rsidR="001D308B" w:rsidRPr="00AA7D88" w:rsidRDefault="001D308B" w:rsidP="00E46108">
            <w:pPr>
              <w:rPr>
                <w:rFonts w:asciiTheme="majorHAnsi" w:hAnsiTheme="majorHAnsi" w:cstheme="majorHAnsi"/>
                <w:sz w:val="20"/>
                <w:szCs w:val="20"/>
              </w:rPr>
            </w:pPr>
          </w:p>
        </w:tc>
        <w:tc>
          <w:tcPr>
            <w:tcW w:w="2412" w:type="dxa"/>
          </w:tcPr>
          <w:p w14:paraId="076D87DE" w14:textId="77777777" w:rsidR="001D308B" w:rsidRPr="00AA7D88" w:rsidRDefault="001D308B" w:rsidP="00E46108">
            <w:pPr>
              <w:rPr>
                <w:rFonts w:asciiTheme="majorHAnsi" w:hAnsiTheme="majorHAnsi" w:cstheme="majorHAnsi"/>
                <w:sz w:val="20"/>
                <w:szCs w:val="20"/>
              </w:rPr>
            </w:pPr>
          </w:p>
        </w:tc>
      </w:tr>
      <w:tr w:rsidR="001D308B" w:rsidRPr="00AA7D88" w14:paraId="60E76A50" w14:textId="77777777" w:rsidTr="00E46108">
        <w:tc>
          <w:tcPr>
            <w:tcW w:w="3114" w:type="dxa"/>
          </w:tcPr>
          <w:p w14:paraId="378F5C30"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Inhaled corticosteroids</w:t>
            </w:r>
          </w:p>
        </w:tc>
        <w:tc>
          <w:tcPr>
            <w:tcW w:w="2412" w:type="dxa"/>
          </w:tcPr>
          <w:p w14:paraId="11D065AC"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111 (34.2)</w:t>
            </w:r>
          </w:p>
        </w:tc>
        <w:tc>
          <w:tcPr>
            <w:tcW w:w="2412" w:type="dxa"/>
          </w:tcPr>
          <w:p w14:paraId="02D92EDC"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325</w:t>
            </w:r>
          </w:p>
        </w:tc>
      </w:tr>
      <w:tr w:rsidR="001D308B" w:rsidRPr="00AA7D88" w14:paraId="185FF651" w14:textId="77777777" w:rsidTr="00E46108">
        <w:tc>
          <w:tcPr>
            <w:tcW w:w="3114" w:type="dxa"/>
          </w:tcPr>
          <w:p w14:paraId="28E66857"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Bronchodilators</w:t>
            </w:r>
          </w:p>
        </w:tc>
        <w:tc>
          <w:tcPr>
            <w:tcW w:w="2412" w:type="dxa"/>
          </w:tcPr>
          <w:p w14:paraId="2A3DA3F4"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156 (48.3)</w:t>
            </w:r>
          </w:p>
        </w:tc>
        <w:tc>
          <w:tcPr>
            <w:tcW w:w="2412" w:type="dxa"/>
          </w:tcPr>
          <w:p w14:paraId="19C79305"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323</w:t>
            </w:r>
          </w:p>
        </w:tc>
      </w:tr>
      <w:tr w:rsidR="001D308B" w:rsidRPr="00AA7D88" w14:paraId="3D4456EF" w14:textId="77777777" w:rsidTr="00E46108">
        <w:tc>
          <w:tcPr>
            <w:tcW w:w="3114" w:type="dxa"/>
          </w:tcPr>
          <w:p w14:paraId="3479508D"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Nasal rinsing</w:t>
            </w:r>
          </w:p>
        </w:tc>
        <w:tc>
          <w:tcPr>
            <w:tcW w:w="2412" w:type="dxa"/>
          </w:tcPr>
          <w:p w14:paraId="2D1403DF"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123 (38.7)</w:t>
            </w:r>
          </w:p>
        </w:tc>
        <w:tc>
          <w:tcPr>
            <w:tcW w:w="2412" w:type="dxa"/>
          </w:tcPr>
          <w:p w14:paraId="73E542E6" w14:textId="77777777" w:rsidR="001D308B" w:rsidRPr="00AA7D88" w:rsidRDefault="001D308B" w:rsidP="00E46108">
            <w:pPr>
              <w:rPr>
                <w:rFonts w:asciiTheme="majorHAnsi" w:hAnsiTheme="majorHAnsi" w:cstheme="majorHAnsi"/>
                <w:sz w:val="20"/>
                <w:szCs w:val="20"/>
              </w:rPr>
            </w:pPr>
            <w:r w:rsidRPr="00AA7D88">
              <w:rPr>
                <w:rFonts w:asciiTheme="majorHAnsi" w:hAnsiTheme="majorHAnsi" w:cstheme="majorHAnsi"/>
                <w:sz w:val="20"/>
                <w:szCs w:val="20"/>
              </w:rPr>
              <w:t>318</w:t>
            </w:r>
          </w:p>
        </w:tc>
      </w:tr>
    </w:tbl>
    <w:p w14:paraId="01C7DF87" w14:textId="77777777" w:rsidR="001D308B" w:rsidRPr="00AA7D88" w:rsidRDefault="001D308B" w:rsidP="001D308B">
      <w:pPr>
        <w:spacing w:line="360" w:lineRule="auto"/>
        <w:rPr>
          <w:rFonts w:asciiTheme="majorHAnsi" w:hAnsiTheme="majorHAnsi" w:cstheme="majorHAnsi"/>
          <w:b/>
          <w:sz w:val="22"/>
          <w:szCs w:val="22"/>
        </w:rPr>
      </w:pPr>
      <w:r w:rsidRPr="00AA7D88">
        <w:rPr>
          <w:rFonts w:asciiTheme="majorHAnsi" w:hAnsiTheme="majorHAnsi" w:cstheme="majorHAnsi"/>
          <w:bCs/>
          <w:sz w:val="16"/>
          <w:szCs w:val="16"/>
        </w:rPr>
        <w:t>PEP: Positive expiratory pressure; IV: intravenous</w:t>
      </w:r>
    </w:p>
    <w:p w14:paraId="558DC0F4" w14:textId="77777777" w:rsidR="00AC5305" w:rsidRDefault="00AC5305" w:rsidP="00AF2272">
      <w:pPr>
        <w:spacing w:line="360" w:lineRule="auto"/>
        <w:rPr>
          <w:rFonts w:asciiTheme="majorHAnsi" w:hAnsiTheme="majorHAnsi" w:cstheme="majorHAnsi"/>
          <w:b/>
          <w:color w:val="000000" w:themeColor="text1"/>
          <w:sz w:val="22"/>
          <w:szCs w:val="22"/>
        </w:rPr>
      </w:pPr>
    </w:p>
    <w:p w14:paraId="68BA35BC" w14:textId="77777777" w:rsidR="00AC5305" w:rsidRDefault="00AC5305" w:rsidP="00AF2272">
      <w:pPr>
        <w:spacing w:line="360" w:lineRule="auto"/>
        <w:rPr>
          <w:rFonts w:asciiTheme="majorHAnsi" w:hAnsiTheme="majorHAnsi" w:cstheme="majorHAnsi"/>
          <w:b/>
          <w:color w:val="000000" w:themeColor="text1"/>
          <w:sz w:val="22"/>
          <w:szCs w:val="22"/>
        </w:rPr>
      </w:pPr>
    </w:p>
    <w:p w14:paraId="7E0F4395" w14:textId="4650836D" w:rsidR="001D308B" w:rsidRPr="00AA7D88" w:rsidRDefault="001D308B" w:rsidP="00AF2272">
      <w:pPr>
        <w:spacing w:line="360" w:lineRule="auto"/>
        <w:rPr>
          <w:rFonts w:asciiTheme="majorHAnsi" w:hAnsiTheme="majorHAnsi" w:cstheme="majorHAnsi"/>
          <w:b/>
          <w:color w:val="000000" w:themeColor="text1"/>
          <w:sz w:val="22"/>
          <w:szCs w:val="22"/>
        </w:rPr>
      </w:pPr>
    </w:p>
    <w:sectPr w:rsidR="001D308B" w:rsidRPr="00AA7D88" w:rsidSect="00766BC8">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yriad Pro">
    <w:altName w:val="Calibri"/>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B110E8"/>
    <w:multiLevelType w:val="hybridMultilevel"/>
    <w:tmpl w:val="CCFA3B2C"/>
    <w:lvl w:ilvl="0" w:tplc="F2E01A9A">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77F3B"/>
    <w:multiLevelType w:val="hybridMultilevel"/>
    <w:tmpl w:val="E16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F2FE6"/>
    <w:multiLevelType w:val="hybridMultilevel"/>
    <w:tmpl w:val="6B7E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61CEB"/>
    <w:multiLevelType w:val="hybridMultilevel"/>
    <w:tmpl w:val="589A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C7043"/>
    <w:multiLevelType w:val="hybridMultilevel"/>
    <w:tmpl w:val="0E94B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1579A"/>
    <w:multiLevelType w:val="hybridMultilevel"/>
    <w:tmpl w:val="E2B2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87452"/>
    <w:multiLevelType w:val="hybridMultilevel"/>
    <w:tmpl w:val="FF6EC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F5DB9"/>
    <w:multiLevelType w:val="hybridMultilevel"/>
    <w:tmpl w:val="7F3A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477FB"/>
    <w:multiLevelType w:val="hybridMultilevel"/>
    <w:tmpl w:val="68C6D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0943E90"/>
    <w:multiLevelType w:val="hybridMultilevel"/>
    <w:tmpl w:val="7814F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2E66F0"/>
    <w:multiLevelType w:val="hybridMultilevel"/>
    <w:tmpl w:val="810C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354A3"/>
    <w:multiLevelType w:val="hybridMultilevel"/>
    <w:tmpl w:val="8202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91592"/>
    <w:multiLevelType w:val="hybridMultilevel"/>
    <w:tmpl w:val="D8BC33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2D0722"/>
    <w:multiLevelType w:val="multilevel"/>
    <w:tmpl w:val="BDD8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812030"/>
    <w:multiLevelType w:val="hybridMultilevel"/>
    <w:tmpl w:val="E146E8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4378B3"/>
    <w:multiLevelType w:val="hybridMultilevel"/>
    <w:tmpl w:val="811EE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96D10EA"/>
    <w:multiLevelType w:val="hybridMultilevel"/>
    <w:tmpl w:val="180853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2B1C57"/>
    <w:multiLevelType w:val="hybridMultilevel"/>
    <w:tmpl w:val="9ACE6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2"/>
  </w:num>
  <w:num w:numId="3">
    <w:abstractNumId w:val="0"/>
  </w:num>
  <w:num w:numId="4">
    <w:abstractNumId w:val="1"/>
  </w:num>
  <w:num w:numId="5">
    <w:abstractNumId w:val="14"/>
  </w:num>
  <w:num w:numId="6">
    <w:abstractNumId w:val="13"/>
  </w:num>
  <w:num w:numId="7">
    <w:abstractNumId w:val="15"/>
  </w:num>
  <w:num w:numId="8">
    <w:abstractNumId w:val="17"/>
  </w:num>
  <w:num w:numId="9">
    <w:abstractNumId w:val="7"/>
  </w:num>
  <w:num w:numId="10">
    <w:abstractNumId w:val="5"/>
  </w:num>
  <w:num w:numId="11">
    <w:abstractNumId w:val="4"/>
  </w:num>
  <w:num w:numId="12">
    <w:abstractNumId w:val="16"/>
  </w:num>
  <w:num w:numId="13">
    <w:abstractNumId w:val="6"/>
  </w:num>
  <w:num w:numId="14">
    <w:abstractNumId w:val="2"/>
  </w:num>
  <w:num w:numId="15">
    <w:abstractNumId w:val="3"/>
  </w:num>
  <w:num w:numId="16">
    <w:abstractNumId w:val="10"/>
  </w:num>
  <w:num w:numId="17">
    <w:abstractNumId w:val="18"/>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2105C"/>
    <w:rsid w:val="0000200E"/>
    <w:rsid w:val="0000253A"/>
    <w:rsid w:val="00002950"/>
    <w:rsid w:val="0000338A"/>
    <w:rsid w:val="00005681"/>
    <w:rsid w:val="0000726F"/>
    <w:rsid w:val="0001034D"/>
    <w:rsid w:val="00011730"/>
    <w:rsid w:val="00014178"/>
    <w:rsid w:val="0001493F"/>
    <w:rsid w:val="00015232"/>
    <w:rsid w:val="00015DB2"/>
    <w:rsid w:val="00017749"/>
    <w:rsid w:val="000204AE"/>
    <w:rsid w:val="000221DA"/>
    <w:rsid w:val="000342DB"/>
    <w:rsid w:val="00036B0F"/>
    <w:rsid w:val="000378E3"/>
    <w:rsid w:val="00037C36"/>
    <w:rsid w:val="000436A2"/>
    <w:rsid w:val="00045813"/>
    <w:rsid w:val="000466CF"/>
    <w:rsid w:val="00047996"/>
    <w:rsid w:val="00050C88"/>
    <w:rsid w:val="00052801"/>
    <w:rsid w:val="00052F24"/>
    <w:rsid w:val="00053A91"/>
    <w:rsid w:val="0005444F"/>
    <w:rsid w:val="00056276"/>
    <w:rsid w:val="0006077D"/>
    <w:rsid w:val="0006188F"/>
    <w:rsid w:val="00061FB6"/>
    <w:rsid w:val="00064AC1"/>
    <w:rsid w:val="00065876"/>
    <w:rsid w:val="00065FEB"/>
    <w:rsid w:val="00066311"/>
    <w:rsid w:val="000678A0"/>
    <w:rsid w:val="00070FE4"/>
    <w:rsid w:val="000766F5"/>
    <w:rsid w:val="0007673C"/>
    <w:rsid w:val="00077297"/>
    <w:rsid w:val="00080282"/>
    <w:rsid w:val="000810EA"/>
    <w:rsid w:val="0008258E"/>
    <w:rsid w:val="00082A7F"/>
    <w:rsid w:val="0008532F"/>
    <w:rsid w:val="00086156"/>
    <w:rsid w:val="000865B8"/>
    <w:rsid w:val="00087019"/>
    <w:rsid w:val="00091D72"/>
    <w:rsid w:val="00093010"/>
    <w:rsid w:val="000951E7"/>
    <w:rsid w:val="00095B66"/>
    <w:rsid w:val="00096159"/>
    <w:rsid w:val="00096382"/>
    <w:rsid w:val="00097701"/>
    <w:rsid w:val="000A0830"/>
    <w:rsid w:val="000A0846"/>
    <w:rsid w:val="000A46A6"/>
    <w:rsid w:val="000A7939"/>
    <w:rsid w:val="000B583F"/>
    <w:rsid w:val="000B5A5C"/>
    <w:rsid w:val="000B66CE"/>
    <w:rsid w:val="000B77B2"/>
    <w:rsid w:val="000C1466"/>
    <w:rsid w:val="000C1A84"/>
    <w:rsid w:val="000C2977"/>
    <w:rsid w:val="000C3EDA"/>
    <w:rsid w:val="000C6905"/>
    <w:rsid w:val="000C6C58"/>
    <w:rsid w:val="000C7F66"/>
    <w:rsid w:val="000D208D"/>
    <w:rsid w:val="000D3B38"/>
    <w:rsid w:val="000D4817"/>
    <w:rsid w:val="000E1302"/>
    <w:rsid w:val="000E14AE"/>
    <w:rsid w:val="000E21DA"/>
    <w:rsid w:val="000E3ADD"/>
    <w:rsid w:val="000F1AC6"/>
    <w:rsid w:val="000F20F0"/>
    <w:rsid w:val="000F5681"/>
    <w:rsid w:val="00101190"/>
    <w:rsid w:val="0010215E"/>
    <w:rsid w:val="00103B37"/>
    <w:rsid w:val="0010549C"/>
    <w:rsid w:val="00105709"/>
    <w:rsid w:val="00106961"/>
    <w:rsid w:val="001075B1"/>
    <w:rsid w:val="00107655"/>
    <w:rsid w:val="00110B20"/>
    <w:rsid w:val="00114BEB"/>
    <w:rsid w:val="001168C6"/>
    <w:rsid w:val="00117BCC"/>
    <w:rsid w:val="00122871"/>
    <w:rsid w:val="00124F45"/>
    <w:rsid w:val="00125753"/>
    <w:rsid w:val="00125DC0"/>
    <w:rsid w:val="00126A5A"/>
    <w:rsid w:val="00132C36"/>
    <w:rsid w:val="001377CA"/>
    <w:rsid w:val="00141813"/>
    <w:rsid w:val="0014595F"/>
    <w:rsid w:val="00146F51"/>
    <w:rsid w:val="0014756D"/>
    <w:rsid w:val="00147B3D"/>
    <w:rsid w:val="001539E2"/>
    <w:rsid w:val="0015557E"/>
    <w:rsid w:val="001603E8"/>
    <w:rsid w:val="00165B7C"/>
    <w:rsid w:val="00166A28"/>
    <w:rsid w:val="00167E58"/>
    <w:rsid w:val="00170903"/>
    <w:rsid w:val="0017154E"/>
    <w:rsid w:val="0017250E"/>
    <w:rsid w:val="00172E67"/>
    <w:rsid w:val="00173194"/>
    <w:rsid w:val="00173ABC"/>
    <w:rsid w:val="00177047"/>
    <w:rsid w:val="00181C74"/>
    <w:rsid w:val="00183CBA"/>
    <w:rsid w:val="00184CF3"/>
    <w:rsid w:val="001852FC"/>
    <w:rsid w:val="001857AB"/>
    <w:rsid w:val="0018760A"/>
    <w:rsid w:val="00187FA2"/>
    <w:rsid w:val="00190448"/>
    <w:rsid w:val="00191874"/>
    <w:rsid w:val="001931FA"/>
    <w:rsid w:val="00193B34"/>
    <w:rsid w:val="0019460C"/>
    <w:rsid w:val="00195D4E"/>
    <w:rsid w:val="001A0A9A"/>
    <w:rsid w:val="001A0AFC"/>
    <w:rsid w:val="001A5428"/>
    <w:rsid w:val="001A623E"/>
    <w:rsid w:val="001B203F"/>
    <w:rsid w:val="001B2AE5"/>
    <w:rsid w:val="001B2EF7"/>
    <w:rsid w:val="001B4FFE"/>
    <w:rsid w:val="001C1052"/>
    <w:rsid w:val="001C58FD"/>
    <w:rsid w:val="001C6EA8"/>
    <w:rsid w:val="001D140B"/>
    <w:rsid w:val="001D243F"/>
    <w:rsid w:val="001D2C97"/>
    <w:rsid w:val="001D308B"/>
    <w:rsid w:val="001D526D"/>
    <w:rsid w:val="001D6418"/>
    <w:rsid w:val="001D6563"/>
    <w:rsid w:val="001D77D5"/>
    <w:rsid w:val="001E0440"/>
    <w:rsid w:val="001E319E"/>
    <w:rsid w:val="001E6DCF"/>
    <w:rsid w:val="001F2A29"/>
    <w:rsid w:val="001F37FE"/>
    <w:rsid w:val="001F5807"/>
    <w:rsid w:val="001F5960"/>
    <w:rsid w:val="00201A4D"/>
    <w:rsid w:val="00204BC1"/>
    <w:rsid w:val="00205574"/>
    <w:rsid w:val="0020747D"/>
    <w:rsid w:val="00211A46"/>
    <w:rsid w:val="00212DB5"/>
    <w:rsid w:val="002132FB"/>
    <w:rsid w:val="0021488E"/>
    <w:rsid w:val="00214E71"/>
    <w:rsid w:val="00214FDA"/>
    <w:rsid w:val="00215939"/>
    <w:rsid w:val="0021693A"/>
    <w:rsid w:val="0022121F"/>
    <w:rsid w:val="00221AF6"/>
    <w:rsid w:val="00221DF7"/>
    <w:rsid w:val="00222BB7"/>
    <w:rsid w:val="002274F3"/>
    <w:rsid w:val="0023295E"/>
    <w:rsid w:val="00232FCA"/>
    <w:rsid w:val="00237E9B"/>
    <w:rsid w:val="00240D93"/>
    <w:rsid w:val="00241135"/>
    <w:rsid w:val="002443F2"/>
    <w:rsid w:val="00245825"/>
    <w:rsid w:val="002470CC"/>
    <w:rsid w:val="0024726B"/>
    <w:rsid w:val="00251358"/>
    <w:rsid w:val="002523DF"/>
    <w:rsid w:val="00254375"/>
    <w:rsid w:val="002550CC"/>
    <w:rsid w:val="0025720E"/>
    <w:rsid w:val="0025731D"/>
    <w:rsid w:val="00257A38"/>
    <w:rsid w:val="00261077"/>
    <w:rsid w:val="00262143"/>
    <w:rsid w:val="00262B49"/>
    <w:rsid w:val="00266999"/>
    <w:rsid w:val="002715A2"/>
    <w:rsid w:val="002728EE"/>
    <w:rsid w:val="0027329F"/>
    <w:rsid w:val="00274808"/>
    <w:rsid w:val="00274BB6"/>
    <w:rsid w:val="00274BD4"/>
    <w:rsid w:val="002765ED"/>
    <w:rsid w:val="002769E8"/>
    <w:rsid w:val="00281012"/>
    <w:rsid w:val="002848E5"/>
    <w:rsid w:val="00287AE4"/>
    <w:rsid w:val="00292D7D"/>
    <w:rsid w:val="002967AC"/>
    <w:rsid w:val="00297790"/>
    <w:rsid w:val="002A044A"/>
    <w:rsid w:val="002A5351"/>
    <w:rsid w:val="002A5A03"/>
    <w:rsid w:val="002A6D61"/>
    <w:rsid w:val="002B2CF9"/>
    <w:rsid w:val="002C295C"/>
    <w:rsid w:val="002C4198"/>
    <w:rsid w:val="002C419A"/>
    <w:rsid w:val="002C4330"/>
    <w:rsid w:val="002C480E"/>
    <w:rsid w:val="002C516F"/>
    <w:rsid w:val="002C58D9"/>
    <w:rsid w:val="002C5AF9"/>
    <w:rsid w:val="002C5F91"/>
    <w:rsid w:val="002C6D31"/>
    <w:rsid w:val="002D17D9"/>
    <w:rsid w:val="002D1B58"/>
    <w:rsid w:val="002D3CA0"/>
    <w:rsid w:val="002D5C55"/>
    <w:rsid w:val="002D6F2A"/>
    <w:rsid w:val="002D6F2C"/>
    <w:rsid w:val="002E0CB7"/>
    <w:rsid w:val="002E1156"/>
    <w:rsid w:val="002E26DA"/>
    <w:rsid w:val="002E50C6"/>
    <w:rsid w:val="002F0013"/>
    <w:rsid w:val="002F0482"/>
    <w:rsid w:val="002F3CD5"/>
    <w:rsid w:val="002F5BB0"/>
    <w:rsid w:val="002F5CAB"/>
    <w:rsid w:val="002F6765"/>
    <w:rsid w:val="00300E23"/>
    <w:rsid w:val="00303028"/>
    <w:rsid w:val="003047E9"/>
    <w:rsid w:val="0030512D"/>
    <w:rsid w:val="00305907"/>
    <w:rsid w:val="003108D5"/>
    <w:rsid w:val="0031279F"/>
    <w:rsid w:val="00312A4B"/>
    <w:rsid w:val="003131DB"/>
    <w:rsid w:val="003226F6"/>
    <w:rsid w:val="0032468F"/>
    <w:rsid w:val="00325E1C"/>
    <w:rsid w:val="003272A5"/>
    <w:rsid w:val="00327A9E"/>
    <w:rsid w:val="003310EE"/>
    <w:rsid w:val="003372C4"/>
    <w:rsid w:val="00340288"/>
    <w:rsid w:val="003446CA"/>
    <w:rsid w:val="00347154"/>
    <w:rsid w:val="00350848"/>
    <w:rsid w:val="003510A7"/>
    <w:rsid w:val="00353BB9"/>
    <w:rsid w:val="00353BFA"/>
    <w:rsid w:val="00356602"/>
    <w:rsid w:val="003571FD"/>
    <w:rsid w:val="003606D5"/>
    <w:rsid w:val="00361FFD"/>
    <w:rsid w:val="003620E0"/>
    <w:rsid w:val="00365905"/>
    <w:rsid w:val="00365D38"/>
    <w:rsid w:val="00366EFC"/>
    <w:rsid w:val="00367B95"/>
    <w:rsid w:val="00367BCB"/>
    <w:rsid w:val="00371C65"/>
    <w:rsid w:val="00373C3F"/>
    <w:rsid w:val="003760E8"/>
    <w:rsid w:val="00376D66"/>
    <w:rsid w:val="00377504"/>
    <w:rsid w:val="003805F2"/>
    <w:rsid w:val="0038147B"/>
    <w:rsid w:val="00381508"/>
    <w:rsid w:val="0038207B"/>
    <w:rsid w:val="00383EFA"/>
    <w:rsid w:val="003873ED"/>
    <w:rsid w:val="003915A2"/>
    <w:rsid w:val="00394B75"/>
    <w:rsid w:val="003A0B73"/>
    <w:rsid w:val="003A45A0"/>
    <w:rsid w:val="003A4729"/>
    <w:rsid w:val="003A71E0"/>
    <w:rsid w:val="003B0B3E"/>
    <w:rsid w:val="003B1F89"/>
    <w:rsid w:val="003B4923"/>
    <w:rsid w:val="003B4E84"/>
    <w:rsid w:val="003B5C50"/>
    <w:rsid w:val="003B7643"/>
    <w:rsid w:val="003C032C"/>
    <w:rsid w:val="003C08F1"/>
    <w:rsid w:val="003C1215"/>
    <w:rsid w:val="003C3548"/>
    <w:rsid w:val="003C7A87"/>
    <w:rsid w:val="003D03F9"/>
    <w:rsid w:val="003D09BF"/>
    <w:rsid w:val="003D154C"/>
    <w:rsid w:val="003D48C8"/>
    <w:rsid w:val="003D4ED1"/>
    <w:rsid w:val="003D7CD4"/>
    <w:rsid w:val="003E0ECE"/>
    <w:rsid w:val="003E2951"/>
    <w:rsid w:val="003E3D4F"/>
    <w:rsid w:val="003E3E5F"/>
    <w:rsid w:val="003E4E99"/>
    <w:rsid w:val="003E5B02"/>
    <w:rsid w:val="003E6399"/>
    <w:rsid w:val="003E6731"/>
    <w:rsid w:val="003E7023"/>
    <w:rsid w:val="003E7AAC"/>
    <w:rsid w:val="003E7F9E"/>
    <w:rsid w:val="003F120E"/>
    <w:rsid w:val="003F26E4"/>
    <w:rsid w:val="003F3F78"/>
    <w:rsid w:val="003F4FD3"/>
    <w:rsid w:val="003F5395"/>
    <w:rsid w:val="003F5A33"/>
    <w:rsid w:val="003F61AF"/>
    <w:rsid w:val="0040080B"/>
    <w:rsid w:val="0040205A"/>
    <w:rsid w:val="00403EC7"/>
    <w:rsid w:val="00413F0B"/>
    <w:rsid w:val="00415C4D"/>
    <w:rsid w:val="00420553"/>
    <w:rsid w:val="00421FE2"/>
    <w:rsid w:val="004230B0"/>
    <w:rsid w:val="00424DF2"/>
    <w:rsid w:val="00427DF0"/>
    <w:rsid w:val="00430B45"/>
    <w:rsid w:val="00431BDD"/>
    <w:rsid w:val="00432C76"/>
    <w:rsid w:val="00434987"/>
    <w:rsid w:val="004366D0"/>
    <w:rsid w:val="00442C84"/>
    <w:rsid w:val="00450335"/>
    <w:rsid w:val="00450650"/>
    <w:rsid w:val="004567DD"/>
    <w:rsid w:val="00460839"/>
    <w:rsid w:val="00460F2D"/>
    <w:rsid w:val="00461912"/>
    <w:rsid w:val="004619C2"/>
    <w:rsid w:val="00462CC0"/>
    <w:rsid w:val="00464B5F"/>
    <w:rsid w:val="00466374"/>
    <w:rsid w:val="00470086"/>
    <w:rsid w:val="00472D76"/>
    <w:rsid w:val="0047402C"/>
    <w:rsid w:val="00474FA0"/>
    <w:rsid w:val="0048186D"/>
    <w:rsid w:val="00483022"/>
    <w:rsid w:val="00486E79"/>
    <w:rsid w:val="00490B45"/>
    <w:rsid w:val="00492547"/>
    <w:rsid w:val="004927EF"/>
    <w:rsid w:val="00492E42"/>
    <w:rsid w:val="00493933"/>
    <w:rsid w:val="004959B1"/>
    <w:rsid w:val="004A18FC"/>
    <w:rsid w:val="004A403D"/>
    <w:rsid w:val="004A4297"/>
    <w:rsid w:val="004B144A"/>
    <w:rsid w:val="004B3FF5"/>
    <w:rsid w:val="004B6093"/>
    <w:rsid w:val="004B671F"/>
    <w:rsid w:val="004C0151"/>
    <w:rsid w:val="004C0A34"/>
    <w:rsid w:val="004C6B66"/>
    <w:rsid w:val="004D0005"/>
    <w:rsid w:val="004D657D"/>
    <w:rsid w:val="004D6889"/>
    <w:rsid w:val="004D743F"/>
    <w:rsid w:val="004D7D26"/>
    <w:rsid w:val="004E26C2"/>
    <w:rsid w:val="004E490C"/>
    <w:rsid w:val="004E7894"/>
    <w:rsid w:val="004F02B5"/>
    <w:rsid w:val="004F0B2B"/>
    <w:rsid w:val="004F1362"/>
    <w:rsid w:val="004F2D83"/>
    <w:rsid w:val="004F2DB7"/>
    <w:rsid w:val="0050285E"/>
    <w:rsid w:val="0050411B"/>
    <w:rsid w:val="0050592A"/>
    <w:rsid w:val="00506B9C"/>
    <w:rsid w:val="00510040"/>
    <w:rsid w:val="005104F0"/>
    <w:rsid w:val="00510E8D"/>
    <w:rsid w:val="0051276B"/>
    <w:rsid w:val="005138D4"/>
    <w:rsid w:val="00514062"/>
    <w:rsid w:val="005147E1"/>
    <w:rsid w:val="00515A84"/>
    <w:rsid w:val="00515E6E"/>
    <w:rsid w:val="00516A5E"/>
    <w:rsid w:val="00516E1F"/>
    <w:rsid w:val="0052104D"/>
    <w:rsid w:val="00521233"/>
    <w:rsid w:val="005212BC"/>
    <w:rsid w:val="0052312B"/>
    <w:rsid w:val="00524EC8"/>
    <w:rsid w:val="00525535"/>
    <w:rsid w:val="005265D0"/>
    <w:rsid w:val="00533421"/>
    <w:rsid w:val="005354E9"/>
    <w:rsid w:val="005357C9"/>
    <w:rsid w:val="00535991"/>
    <w:rsid w:val="0053722E"/>
    <w:rsid w:val="005373DB"/>
    <w:rsid w:val="00540964"/>
    <w:rsid w:val="005417CD"/>
    <w:rsid w:val="00541CB9"/>
    <w:rsid w:val="00542110"/>
    <w:rsid w:val="00542DCC"/>
    <w:rsid w:val="00542DF4"/>
    <w:rsid w:val="00544D26"/>
    <w:rsid w:val="00545E17"/>
    <w:rsid w:val="00545E43"/>
    <w:rsid w:val="0055031E"/>
    <w:rsid w:val="00553BB6"/>
    <w:rsid w:val="00555D8A"/>
    <w:rsid w:val="00560C5E"/>
    <w:rsid w:val="00560EC4"/>
    <w:rsid w:val="00561F25"/>
    <w:rsid w:val="00562976"/>
    <w:rsid w:val="00562A84"/>
    <w:rsid w:val="005633F3"/>
    <w:rsid w:val="0056437F"/>
    <w:rsid w:val="005658A3"/>
    <w:rsid w:val="005663FB"/>
    <w:rsid w:val="00567659"/>
    <w:rsid w:val="00567FCB"/>
    <w:rsid w:val="00571550"/>
    <w:rsid w:val="00575CDF"/>
    <w:rsid w:val="0057777A"/>
    <w:rsid w:val="005839BB"/>
    <w:rsid w:val="005866AF"/>
    <w:rsid w:val="00586D57"/>
    <w:rsid w:val="005873E2"/>
    <w:rsid w:val="00587B16"/>
    <w:rsid w:val="005906D5"/>
    <w:rsid w:val="005915D3"/>
    <w:rsid w:val="00592D9A"/>
    <w:rsid w:val="00594200"/>
    <w:rsid w:val="005950A9"/>
    <w:rsid w:val="0059697B"/>
    <w:rsid w:val="00596E48"/>
    <w:rsid w:val="0059797E"/>
    <w:rsid w:val="00597CF1"/>
    <w:rsid w:val="005A12D5"/>
    <w:rsid w:val="005A2AE7"/>
    <w:rsid w:val="005A35A1"/>
    <w:rsid w:val="005A5E72"/>
    <w:rsid w:val="005A7084"/>
    <w:rsid w:val="005A750C"/>
    <w:rsid w:val="005C0A47"/>
    <w:rsid w:val="005C319B"/>
    <w:rsid w:val="005C65F6"/>
    <w:rsid w:val="005C6E85"/>
    <w:rsid w:val="005C7B19"/>
    <w:rsid w:val="005D10BA"/>
    <w:rsid w:val="005D35E4"/>
    <w:rsid w:val="005D52BC"/>
    <w:rsid w:val="005D739D"/>
    <w:rsid w:val="005D77B8"/>
    <w:rsid w:val="005D79A8"/>
    <w:rsid w:val="005E0353"/>
    <w:rsid w:val="005E10CF"/>
    <w:rsid w:val="005E2E90"/>
    <w:rsid w:val="005E3E3D"/>
    <w:rsid w:val="005E4D01"/>
    <w:rsid w:val="005F078E"/>
    <w:rsid w:val="005F32BA"/>
    <w:rsid w:val="00600360"/>
    <w:rsid w:val="0060096E"/>
    <w:rsid w:val="00603C5A"/>
    <w:rsid w:val="006067DA"/>
    <w:rsid w:val="00607487"/>
    <w:rsid w:val="00610BC2"/>
    <w:rsid w:val="006159B8"/>
    <w:rsid w:val="00616BEF"/>
    <w:rsid w:val="00621049"/>
    <w:rsid w:val="00623038"/>
    <w:rsid w:val="00623618"/>
    <w:rsid w:val="0062583B"/>
    <w:rsid w:val="00631BC8"/>
    <w:rsid w:val="006322F2"/>
    <w:rsid w:val="00640150"/>
    <w:rsid w:val="006412B6"/>
    <w:rsid w:val="0064173E"/>
    <w:rsid w:val="006417B8"/>
    <w:rsid w:val="0064207B"/>
    <w:rsid w:val="0064430C"/>
    <w:rsid w:val="006538E1"/>
    <w:rsid w:val="00653FBD"/>
    <w:rsid w:val="0065584A"/>
    <w:rsid w:val="00657700"/>
    <w:rsid w:val="006610AB"/>
    <w:rsid w:val="00661270"/>
    <w:rsid w:val="006651FE"/>
    <w:rsid w:val="00670031"/>
    <w:rsid w:val="00670F49"/>
    <w:rsid w:val="0067228D"/>
    <w:rsid w:val="00672473"/>
    <w:rsid w:val="00673BC2"/>
    <w:rsid w:val="00680FF3"/>
    <w:rsid w:val="006826DB"/>
    <w:rsid w:val="00683049"/>
    <w:rsid w:val="006844A2"/>
    <w:rsid w:val="00686956"/>
    <w:rsid w:val="00690337"/>
    <w:rsid w:val="006914E0"/>
    <w:rsid w:val="0069460A"/>
    <w:rsid w:val="006978E1"/>
    <w:rsid w:val="006A02D2"/>
    <w:rsid w:val="006A10D6"/>
    <w:rsid w:val="006A3A7D"/>
    <w:rsid w:val="006A4A2C"/>
    <w:rsid w:val="006A512B"/>
    <w:rsid w:val="006A5DB7"/>
    <w:rsid w:val="006A6203"/>
    <w:rsid w:val="006A68AD"/>
    <w:rsid w:val="006A7AF7"/>
    <w:rsid w:val="006B031C"/>
    <w:rsid w:val="006C106C"/>
    <w:rsid w:val="006C2ADA"/>
    <w:rsid w:val="006C5473"/>
    <w:rsid w:val="006C677C"/>
    <w:rsid w:val="006C7316"/>
    <w:rsid w:val="006D1FE3"/>
    <w:rsid w:val="006D2F7B"/>
    <w:rsid w:val="006D309A"/>
    <w:rsid w:val="006D4AC1"/>
    <w:rsid w:val="006D67B2"/>
    <w:rsid w:val="006D7AD1"/>
    <w:rsid w:val="006E2279"/>
    <w:rsid w:val="006E2B66"/>
    <w:rsid w:val="006E3052"/>
    <w:rsid w:val="006E5574"/>
    <w:rsid w:val="006E5A9E"/>
    <w:rsid w:val="006E6D1D"/>
    <w:rsid w:val="006E7CC1"/>
    <w:rsid w:val="006F0752"/>
    <w:rsid w:val="006F174A"/>
    <w:rsid w:val="006F17FB"/>
    <w:rsid w:val="006F24A4"/>
    <w:rsid w:val="006F2AC5"/>
    <w:rsid w:val="006F3BD0"/>
    <w:rsid w:val="006F3FED"/>
    <w:rsid w:val="006F41B8"/>
    <w:rsid w:val="006F651E"/>
    <w:rsid w:val="006F6606"/>
    <w:rsid w:val="00702B47"/>
    <w:rsid w:val="00702D79"/>
    <w:rsid w:val="00703BD2"/>
    <w:rsid w:val="00703D3E"/>
    <w:rsid w:val="007060A1"/>
    <w:rsid w:val="007066DE"/>
    <w:rsid w:val="0070675B"/>
    <w:rsid w:val="007070B7"/>
    <w:rsid w:val="0070730A"/>
    <w:rsid w:val="007152BE"/>
    <w:rsid w:val="00720772"/>
    <w:rsid w:val="00725704"/>
    <w:rsid w:val="007265CF"/>
    <w:rsid w:val="00730522"/>
    <w:rsid w:val="0073079B"/>
    <w:rsid w:val="00731ACF"/>
    <w:rsid w:val="00731E84"/>
    <w:rsid w:val="0073276A"/>
    <w:rsid w:val="00735187"/>
    <w:rsid w:val="00737B58"/>
    <w:rsid w:val="00741693"/>
    <w:rsid w:val="007432D9"/>
    <w:rsid w:val="007434D3"/>
    <w:rsid w:val="00743A50"/>
    <w:rsid w:val="007442D4"/>
    <w:rsid w:val="00745298"/>
    <w:rsid w:val="007461B0"/>
    <w:rsid w:val="0076007F"/>
    <w:rsid w:val="00761BDD"/>
    <w:rsid w:val="00761CE1"/>
    <w:rsid w:val="00761DEA"/>
    <w:rsid w:val="007631AB"/>
    <w:rsid w:val="00766BC8"/>
    <w:rsid w:val="00767C51"/>
    <w:rsid w:val="00767F51"/>
    <w:rsid w:val="0077047F"/>
    <w:rsid w:val="00771841"/>
    <w:rsid w:val="00771878"/>
    <w:rsid w:val="007728FB"/>
    <w:rsid w:val="00774C7C"/>
    <w:rsid w:val="00774C7D"/>
    <w:rsid w:val="00776866"/>
    <w:rsid w:val="00781738"/>
    <w:rsid w:val="00783BA8"/>
    <w:rsid w:val="0078593A"/>
    <w:rsid w:val="00785BA6"/>
    <w:rsid w:val="00790906"/>
    <w:rsid w:val="00790DEC"/>
    <w:rsid w:val="00791184"/>
    <w:rsid w:val="0079122A"/>
    <w:rsid w:val="00792753"/>
    <w:rsid w:val="0079637C"/>
    <w:rsid w:val="007A07D4"/>
    <w:rsid w:val="007A1AC2"/>
    <w:rsid w:val="007A2A12"/>
    <w:rsid w:val="007A3BEB"/>
    <w:rsid w:val="007A4CD2"/>
    <w:rsid w:val="007A4FC5"/>
    <w:rsid w:val="007A6443"/>
    <w:rsid w:val="007A7C42"/>
    <w:rsid w:val="007B0702"/>
    <w:rsid w:val="007B2524"/>
    <w:rsid w:val="007B2D26"/>
    <w:rsid w:val="007B5CBC"/>
    <w:rsid w:val="007B68AD"/>
    <w:rsid w:val="007C385B"/>
    <w:rsid w:val="007C5D65"/>
    <w:rsid w:val="007C60A9"/>
    <w:rsid w:val="007C6C36"/>
    <w:rsid w:val="007C75B0"/>
    <w:rsid w:val="007D10FD"/>
    <w:rsid w:val="007D2BAF"/>
    <w:rsid w:val="007D3843"/>
    <w:rsid w:val="007D3DD2"/>
    <w:rsid w:val="007D5264"/>
    <w:rsid w:val="007E0B24"/>
    <w:rsid w:val="007E4E54"/>
    <w:rsid w:val="007E628A"/>
    <w:rsid w:val="007F1C7D"/>
    <w:rsid w:val="007F3361"/>
    <w:rsid w:val="007F3EB6"/>
    <w:rsid w:val="007F702A"/>
    <w:rsid w:val="008003C3"/>
    <w:rsid w:val="0080060B"/>
    <w:rsid w:val="0080256C"/>
    <w:rsid w:val="00804334"/>
    <w:rsid w:val="00804F19"/>
    <w:rsid w:val="00810DA6"/>
    <w:rsid w:val="00813771"/>
    <w:rsid w:val="008159C9"/>
    <w:rsid w:val="00821DB1"/>
    <w:rsid w:val="00823568"/>
    <w:rsid w:val="00823A8B"/>
    <w:rsid w:val="00824079"/>
    <w:rsid w:val="00827478"/>
    <w:rsid w:val="00827573"/>
    <w:rsid w:val="00827BF0"/>
    <w:rsid w:val="00831DD0"/>
    <w:rsid w:val="008320C0"/>
    <w:rsid w:val="00836084"/>
    <w:rsid w:val="008378B9"/>
    <w:rsid w:val="00843C16"/>
    <w:rsid w:val="0084437F"/>
    <w:rsid w:val="00845CA2"/>
    <w:rsid w:val="008474B3"/>
    <w:rsid w:val="0085093E"/>
    <w:rsid w:val="0085189F"/>
    <w:rsid w:val="0085460A"/>
    <w:rsid w:val="0085641D"/>
    <w:rsid w:val="00862391"/>
    <w:rsid w:val="00862D7D"/>
    <w:rsid w:val="008631CC"/>
    <w:rsid w:val="0086332D"/>
    <w:rsid w:val="00865111"/>
    <w:rsid w:val="00870C09"/>
    <w:rsid w:val="00871AA2"/>
    <w:rsid w:val="00873332"/>
    <w:rsid w:val="00874233"/>
    <w:rsid w:val="00877BD7"/>
    <w:rsid w:val="00881B89"/>
    <w:rsid w:val="00881C39"/>
    <w:rsid w:val="0088521A"/>
    <w:rsid w:val="0088542F"/>
    <w:rsid w:val="00891F54"/>
    <w:rsid w:val="008A519A"/>
    <w:rsid w:val="008B27B2"/>
    <w:rsid w:val="008B288C"/>
    <w:rsid w:val="008B4E71"/>
    <w:rsid w:val="008B4FDD"/>
    <w:rsid w:val="008B7388"/>
    <w:rsid w:val="008B7A0A"/>
    <w:rsid w:val="008C281B"/>
    <w:rsid w:val="008C2D15"/>
    <w:rsid w:val="008C40F2"/>
    <w:rsid w:val="008C4B52"/>
    <w:rsid w:val="008C6052"/>
    <w:rsid w:val="008C6572"/>
    <w:rsid w:val="008D0D65"/>
    <w:rsid w:val="008D0DD8"/>
    <w:rsid w:val="008D1260"/>
    <w:rsid w:val="008D1FB5"/>
    <w:rsid w:val="008D6611"/>
    <w:rsid w:val="008E2208"/>
    <w:rsid w:val="008E352E"/>
    <w:rsid w:val="008E468C"/>
    <w:rsid w:val="008E582B"/>
    <w:rsid w:val="008F4D14"/>
    <w:rsid w:val="008F632E"/>
    <w:rsid w:val="009029AD"/>
    <w:rsid w:val="009041EC"/>
    <w:rsid w:val="00904360"/>
    <w:rsid w:val="00905421"/>
    <w:rsid w:val="009069AA"/>
    <w:rsid w:val="00906BD4"/>
    <w:rsid w:val="00916163"/>
    <w:rsid w:val="00916B17"/>
    <w:rsid w:val="009172E9"/>
    <w:rsid w:val="009175F4"/>
    <w:rsid w:val="0092105C"/>
    <w:rsid w:val="0092225A"/>
    <w:rsid w:val="009233F0"/>
    <w:rsid w:val="00923A86"/>
    <w:rsid w:val="009247D2"/>
    <w:rsid w:val="009258AD"/>
    <w:rsid w:val="00926976"/>
    <w:rsid w:val="00930FC3"/>
    <w:rsid w:val="00931309"/>
    <w:rsid w:val="009343CC"/>
    <w:rsid w:val="009366F1"/>
    <w:rsid w:val="00940813"/>
    <w:rsid w:val="009415A5"/>
    <w:rsid w:val="00941D4C"/>
    <w:rsid w:val="00942B7B"/>
    <w:rsid w:val="00943013"/>
    <w:rsid w:val="00944247"/>
    <w:rsid w:val="009461BE"/>
    <w:rsid w:val="00947A13"/>
    <w:rsid w:val="00950309"/>
    <w:rsid w:val="009507CF"/>
    <w:rsid w:val="00951129"/>
    <w:rsid w:val="00951FA2"/>
    <w:rsid w:val="0095442D"/>
    <w:rsid w:val="00954D8B"/>
    <w:rsid w:val="00955163"/>
    <w:rsid w:val="009568FE"/>
    <w:rsid w:val="009619D2"/>
    <w:rsid w:val="00962067"/>
    <w:rsid w:val="00963179"/>
    <w:rsid w:val="00963B3E"/>
    <w:rsid w:val="00963BEB"/>
    <w:rsid w:val="00966236"/>
    <w:rsid w:val="0096666B"/>
    <w:rsid w:val="0096697C"/>
    <w:rsid w:val="00967C53"/>
    <w:rsid w:val="0097005B"/>
    <w:rsid w:val="0097235B"/>
    <w:rsid w:val="00975436"/>
    <w:rsid w:val="009758A4"/>
    <w:rsid w:val="00975A7C"/>
    <w:rsid w:val="00976061"/>
    <w:rsid w:val="00976BB9"/>
    <w:rsid w:val="0097779B"/>
    <w:rsid w:val="00977945"/>
    <w:rsid w:val="00981DCF"/>
    <w:rsid w:val="00981F3B"/>
    <w:rsid w:val="00982C3E"/>
    <w:rsid w:val="00983667"/>
    <w:rsid w:val="00983A13"/>
    <w:rsid w:val="009873D7"/>
    <w:rsid w:val="00992156"/>
    <w:rsid w:val="00992899"/>
    <w:rsid w:val="00993688"/>
    <w:rsid w:val="00995568"/>
    <w:rsid w:val="0099624E"/>
    <w:rsid w:val="0099654A"/>
    <w:rsid w:val="00997EB1"/>
    <w:rsid w:val="009A5B51"/>
    <w:rsid w:val="009B19AD"/>
    <w:rsid w:val="009B3A39"/>
    <w:rsid w:val="009B497D"/>
    <w:rsid w:val="009B5148"/>
    <w:rsid w:val="009B5338"/>
    <w:rsid w:val="009B5916"/>
    <w:rsid w:val="009B5EB4"/>
    <w:rsid w:val="009B6974"/>
    <w:rsid w:val="009B7562"/>
    <w:rsid w:val="009C1547"/>
    <w:rsid w:val="009C2472"/>
    <w:rsid w:val="009C3A92"/>
    <w:rsid w:val="009C478D"/>
    <w:rsid w:val="009C5005"/>
    <w:rsid w:val="009C5954"/>
    <w:rsid w:val="009C5A2C"/>
    <w:rsid w:val="009C5E28"/>
    <w:rsid w:val="009C7F47"/>
    <w:rsid w:val="009D12F9"/>
    <w:rsid w:val="009D18FB"/>
    <w:rsid w:val="009D33C0"/>
    <w:rsid w:val="009D3FFF"/>
    <w:rsid w:val="009D4649"/>
    <w:rsid w:val="009D478B"/>
    <w:rsid w:val="009D6004"/>
    <w:rsid w:val="009E2C63"/>
    <w:rsid w:val="009E2D37"/>
    <w:rsid w:val="009E3B1E"/>
    <w:rsid w:val="009E4839"/>
    <w:rsid w:val="009E57AB"/>
    <w:rsid w:val="009E717D"/>
    <w:rsid w:val="00A0024F"/>
    <w:rsid w:val="00A02E1A"/>
    <w:rsid w:val="00A03A82"/>
    <w:rsid w:val="00A07662"/>
    <w:rsid w:val="00A113D7"/>
    <w:rsid w:val="00A12838"/>
    <w:rsid w:val="00A12ECF"/>
    <w:rsid w:val="00A12FA3"/>
    <w:rsid w:val="00A15AB9"/>
    <w:rsid w:val="00A20252"/>
    <w:rsid w:val="00A2137E"/>
    <w:rsid w:val="00A22B77"/>
    <w:rsid w:val="00A23A0C"/>
    <w:rsid w:val="00A24EA8"/>
    <w:rsid w:val="00A31327"/>
    <w:rsid w:val="00A315D1"/>
    <w:rsid w:val="00A32E61"/>
    <w:rsid w:val="00A3643B"/>
    <w:rsid w:val="00A4433E"/>
    <w:rsid w:val="00A4749D"/>
    <w:rsid w:val="00A47CFD"/>
    <w:rsid w:val="00A55B54"/>
    <w:rsid w:val="00A57270"/>
    <w:rsid w:val="00A60AC4"/>
    <w:rsid w:val="00A622C6"/>
    <w:rsid w:val="00A63C13"/>
    <w:rsid w:val="00A66477"/>
    <w:rsid w:val="00A66817"/>
    <w:rsid w:val="00A66B27"/>
    <w:rsid w:val="00A67B9C"/>
    <w:rsid w:val="00A711BC"/>
    <w:rsid w:val="00A72536"/>
    <w:rsid w:val="00A73B48"/>
    <w:rsid w:val="00A74B68"/>
    <w:rsid w:val="00A764FF"/>
    <w:rsid w:val="00A76DC1"/>
    <w:rsid w:val="00A77376"/>
    <w:rsid w:val="00A77577"/>
    <w:rsid w:val="00A81E21"/>
    <w:rsid w:val="00A823C8"/>
    <w:rsid w:val="00A82EC2"/>
    <w:rsid w:val="00A85EF8"/>
    <w:rsid w:val="00A87703"/>
    <w:rsid w:val="00A905FC"/>
    <w:rsid w:val="00A914D2"/>
    <w:rsid w:val="00A93639"/>
    <w:rsid w:val="00A93AEA"/>
    <w:rsid w:val="00A95213"/>
    <w:rsid w:val="00A9790F"/>
    <w:rsid w:val="00AA3B96"/>
    <w:rsid w:val="00AA55D4"/>
    <w:rsid w:val="00AA59FF"/>
    <w:rsid w:val="00AA644C"/>
    <w:rsid w:val="00AA7D88"/>
    <w:rsid w:val="00AB0299"/>
    <w:rsid w:val="00AB0FFB"/>
    <w:rsid w:val="00AB312C"/>
    <w:rsid w:val="00AB32FB"/>
    <w:rsid w:val="00AB367C"/>
    <w:rsid w:val="00AB585E"/>
    <w:rsid w:val="00AB7CCB"/>
    <w:rsid w:val="00AC0C0C"/>
    <w:rsid w:val="00AC1982"/>
    <w:rsid w:val="00AC2755"/>
    <w:rsid w:val="00AC29FA"/>
    <w:rsid w:val="00AC5305"/>
    <w:rsid w:val="00AC5367"/>
    <w:rsid w:val="00AC5BFD"/>
    <w:rsid w:val="00AC79A0"/>
    <w:rsid w:val="00AD123E"/>
    <w:rsid w:val="00AD38A1"/>
    <w:rsid w:val="00AE0322"/>
    <w:rsid w:val="00AE0F29"/>
    <w:rsid w:val="00AE1580"/>
    <w:rsid w:val="00AE2EAE"/>
    <w:rsid w:val="00AE3823"/>
    <w:rsid w:val="00AE636A"/>
    <w:rsid w:val="00AF01BC"/>
    <w:rsid w:val="00AF1D62"/>
    <w:rsid w:val="00AF2272"/>
    <w:rsid w:val="00AF2A96"/>
    <w:rsid w:val="00AF3355"/>
    <w:rsid w:val="00AF4C0E"/>
    <w:rsid w:val="00AF4EC2"/>
    <w:rsid w:val="00AF4FCD"/>
    <w:rsid w:val="00AF54F8"/>
    <w:rsid w:val="00B0012F"/>
    <w:rsid w:val="00B022AE"/>
    <w:rsid w:val="00B02B4D"/>
    <w:rsid w:val="00B042D7"/>
    <w:rsid w:val="00B078DB"/>
    <w:rsid w:val="00B07AF9"/>
    <w:rsid w:val="00B14AD9"/>
    <w:rsid w:val="00B1556C"/>
    <w:rsid w:val="00B1557B"/>
    <w:rsid w:val="00B17806"/>
    <w:rsid w:val="00B2298F"/>
    <w:rsid w:val="00B26B13"/>
    <w:rsid w:val="00B3185D"/>
    <w:rsid w:val="00B33BB2"/>
    <w:rsid w:val="00B35D4E"/>
    <w:rsid w:val="00B36D35"/>
    <w:rsid w:val="00B441B7"/>
    <w:rsid w:val="00B5246F"/>
    <w:rsid w:val="00B52C07"/>
    <w:rsid w:val="00B55ECD"/>
    <w:rsid w:val="00B57715"/>
    <w:rsid w:val="00B60125"/>
    <w:rsid w:val="00B63B2D"/>
    <w:rsid w:val="00B648A9"/>
    <w:rsid w:val="00B64EA4"/>
    <w:rsid w:val="00B65698"/>
    <w:rsid w:val="00B6679E"/>
    <w:rsid w:val="00B6720A"/>
    <w:rsid w:val="00B675FF"/>
    <w:rsid w:val="00B711B4"/>
    <w:rsid w:val="00B72157"/>
    <w:rsid w:val="00B73379"/>
    <w:rsid w:val="00B7590D"/>
    <w:rsid w:val="00B77FC0"/>
    <w:rsid w:val="00B8097D"/>
    <w:rsid w:val="00B82C77"/>
    <w:rsid w:val="00B84AAA"/>
    <w:rsid w:val="00B86D3F"/>
    <w:rsid w:val="00B936AF"/>
    <w:rsid w:val="00B93AB6"/>
    <w:rsid w:val="00B94882"/>
    <w:rsid w:val="00B95996"/>
    <w:rsid w:val="00BA041F"/>
    <w:rsid w:val="00BA0544"/>
    <w:rsid w:val="00BA1015"/>
    <w:rsid w:val="00BA2570"/>
    <w:rsid w:val="00BA5730"/>
    <w:rsid w:val="00BB382A"/>
    <w:rsid w:val="00BB3D9D"/>
    <w:rsid w:val="00BB6900"/>
    <w:rsid w:val="00BB6CE9"/>
    <w:rsid w:val="00BB6D8D"/>
    <w:rsid w:val="00BC13B0"/>
    <w:rsid w:val="00BC330F"/>
    <w:rsid w:val="00BC3908"/>
    <w:rsid w:val="00BC488D"/>
    <w:rsid w:val="00BC6093"/>
    <w:rsid w:val="00BC621B"/>
    <w:rsid w:val="00BC6E4B"/>
    <w:rsid w:val="00BD276C"/>
    <w:rsid w:val="00BD372C"/>
    <w:rsid w:val="00BD3831"/>
    <w:rsid w:val="00BD41C6"/>
    <w:rsid w:val="00BE116A"/>
    <w:rsid w:val="00BE2332"/>
    <w:rsid w:val="00BE5EA6"/>
    <w:rsid w:val="00BE72F1"/>
    <w:rsid w:val="00BF1DC9"/>
    <w:rsid w:val="00BF25F1"/>
    <w:rsid w:val="00BF2E61"/>
    <w:rsid w:val="00BF33C3"/>
    <w:rsid w:val="00BF5484"/>
    <w:rsid w:val="00BF65B8"/>
    <w:rsid w:val="00BF70D3"/>
    <w:rsid w:val="00C0460D"/>
    <w:rsid w:val="00C04696"/>
    <w:rsid w:val="00C04D4A"/>
    <w:rsid w:val="00C05D70"/>
    <w:rsid w:val="00C06521"/>
    <w:rsid w:val="00C067A8"/>
    <w:rsid w:val="00C118C0"/>
    <w:rsid w:val="00C13834"/>
    <w:rsid w:val="00C140A8"/>
    <w:rsid w:val="00C142DC"/>
    <w:rsid w:val="00C15196"/>
    <w:rsid w:val="00C16743"/>
    <w:rsid w:val="00C219E2"/>
    <w:rsid w:val="00C21CD2"/>
    <w:rsid w:val="00C22BAA"/>
    <w:rsid w:val="00C22ECD"/>
    <w:rsid w:val="00C236D6"/>
    <w:rsid w:val="00C24CF9"/>
    <w:rsid w:val="00C254A4"/>
    <w:rsid w:val="00C270E5"/>
    <w:rsid w:val="00C271A7"/>
    <w:rsid w:val="00C27523"/>
    <w:rsid w:val="00C27B3E"/>
    <w:rsid w:val="00C307F2"/>
    <w:rsid w:val="00C3296A"/>
    <w:rsid w:val="00C3560D"/>
    <w:rsid w:val="00C358F5"/>
    <w:rsid w:val="00C35B40"/>
    <w:rsid w:val="00C35BC3"/>
    <w:rsid w:val="00C3735D"/>
    <w:rsid w:val="00C43454"/>
    <w:rsid w:val="00C52B54"/>
    <w:rsid w:val="00C53605"/>
    <w:rsid w:val="00C5482D"/>
    <w:rsid w:val="00C56B01"/>
    <w:rsid w:val="00C5746B"/>
    <w:rsid w:val="00C57EAB"/>
    <w:rsid w:val="00C61771"/>
    <w:rsid w:val="00C6189B"/>
    <w:rsid w:val="00C63C8E"/>
    <w:rsid w:val="00C64E0D"/>
    <w:rsid w:val="00C65C8F"/>
    <w:rsid w:val="00C66BA8"/>
    <w:rsid w:val="00C70752"/>
    <w:rsid w:val="00C70EE5"/>
    <w:rsid w:val="00C71980"/>
    <w:rsid w:val="00C71E1D"/>
    <w:rsid w:val="00C77036"/>
    <w:rsid w:val="00C808F4"/>
    <w:rsid w:val="00C82A3E"/>
    <w:rsid w:val="00C84EAF"/>
    <w:rsid w:val="00C919D1"/>
    <w:rsid w:val="00C931EF"/>
    <w:rsid w:val="00C93231"/>
    <w:rsid w:val="00C9411B"/>
    <w:rsid w:val="00C950CC"/>
    <w:rsid w:val="00C95A39"/>
    <w:rsid w:val="00CA08E0"/>
    <w:rsid w:val="00CA1599"/>
    <w:rsid w:val="00CA179E"/>
    <w:rsid w:val="00CA4384"/>
    <w:rsid w:val="00CB20C3"/>
    <w:rsid w:val="00CB4EA6"/>
    <w:rsid w:val="00CB683E"/>
    <w:rsid w:val="00CB72EA"/>
    <w:rsid w:val="00CB74BF"/>
    <w:rsid w:val="00CC2761"/>
    <w:rsid w:val="00CC391C"/>
    <w:rsid w:val="00CC43D1"/>
    <w:rsid w:val="00CC4C89"/>
    <w:rsid w:val="00CC507A"/>
    <w:rsid w:val="00CC59F7"/>
    <w:rsid w:val="00CC6449"/>
    <w:rsid w:val="00CD003C"/>
    <w:rsid w:val="00CD01F3"/>
    <w:rsid w:val="00CD02B2"/>
    <w:rsid w:val="00CD15BE"/>
    <w:rsid w:val="00CD1ED5"/>
    <w:rsid w:val="00CD320A"/>
    <w:rsid w:val="00CD3DEE"/>
    <w:rsid w:val="00CD4E08"/>
    <w:rsid w:val="00CD6F56"/>
    <w:rsid w:val="00CE29ED"/>
    <w:rsid w:val="00CE2A52"/>
    <w:rsid w:val="00CE31F2"/>
    <w:rsid w:val="00CE4052"/>
    <w:rsid w:val="00CF0C51"/>
    <w:rsid w:val="00CF1668"/>
    <w:rsid w:val="00CF2038"/>
    <w:rsid w:val="00CF4B28"/>
    <w:rsid w:val="00CF5F66"/>
    <w:rsid w:val="00D0399B"/>
    <w:rsid w:val="00D04577"/>
    <w:rsid w:val="00D12176"/>
    <w:rsid w:val="00D13438"/>
    <w:rsid w:val="00D136C4"/>
    <w:rsid w:val="00D14236"/>
    <w:rsid w:val="00D14C13"/>
    <w:rsid w:val="00D1668D"/>
    <w:rsid w:val="00D201E5"/>
    <w:rsid w:val="00D232BA"/>
    <w:rsid w:val="00D2564C"/>
    <w:rsid w:val="00D263CE"/>
    <w:rsid w:val="00D27AF4"/>
    <w:rsid w:val="00D30822"/>
    <w:rsid w:val="00D362C3"/>
    <w:rsid w:val="00D3654E"/>
    <w:rsid w:val="00D4102B"/>
    <w:rsid w:val="00D41071"/>
    <w:rsid w:val="00D41394"/>
    <w:rsid w:val="00D44487"/>
    <w:rsid w:val="00D44875"/>
    <w:rsid w:val="00D47BFE"/>
    <w:rsid w:val="00D5004A"/>
    <w:rsid w:val="00D54A3F"/>
    <w:rsid w:val="00D557C4"/>
    <w:rsid w:val="00D60F8D"/>
    <w:rsid w:val="00D67841"/>
    <w:rsid w:val="00D70C09"/>
    <w:rsid w:val="00D735B8"/>
    <w:rsid w:val="00D737A8"/>
    <w:rsid w:val="00D748EA"/>
    <w:rsid w:val="00D7735F"/>
    <w:rsid w:val="00D84321"/>
    <w:rsid w:val="00D927F8"/>
    <w:rsid w:val="00D942A6"/>
    <w:rsid w:val="00D94B5A"/>
    <w:rsid w:val="00DA25C0"/>
    <w:rsid w:val="00DA266A"/>
    <w:rsid w:val="00DA2C31"/>
    <w:rsid w:val="00DA41CE"/>
    <w:rsid w:val="00DA552A"/>
    <w:rsid w:val="00DA60CD"/>
    <w:rsid w:val="00DA6164"/>
    <w:rsid w:val="00DA6A88"/>
    <w:rsid w:val="00DB0C47"/>
    <w:rsid w:val="00DB1180"/>
    <w:rsid w:val="00DB1892"/>
    <w:rsid w:val="00DB2D83"/>
    <w:rsid w:val="00DB2F51"/>
    <w:rsid w:val="00DB301A"/>
    <w:rsid w:val="00DB4641"/>
    <w:rsid w:val="00DB6DF0"/>
    <w:rsid w:val="00DC106B"/>
    <w:rsid w:val="00DC3C4A"/>
    <w:rsid w:val="00DC3F81"/>
    <w:rsid w:val="00DD1DFB"/>
    <w:rsid w:val="00DD71AE"/>
    <w:rsid w:val="00DE13B2"/>
    <w:rsid w:val="00DE161E"/>
    <w:rsid w:val="00DE3BEF"/>
    <w:rsid w:val="00DE402D"/>
    <w:rsid w:val="00DE5FCB"/>
    <w:rsid w:val="00DE7AED"/>
    <w:rsid w:val="00DF3855"/>
    <w:rsid w:val="00DF4CB3"/>
    <w:rsid w:val="00DF6C96"/>
    <w:rsid w:val="00E004B5"/>
    <w:rsid w:val="00E011A8"/>
    <w:rsid w:val="00E015BE"/>
    <w:rsid w:val="00E04C1D"/>
    <w:rsid w:val="00E0767B"/>
    <w:rsid w:val="00E076E8"/>
    <w:rsid w:val="00E07D91"/>
    <w:rsid w:val="00E10693"/>
    <w:rsid w:val="00E10E16"/>
    <w:rsid w:val="00E112B2"/>
    <w:rsid w:val="00E12A91"/>
    <w:rsid w:val="00E13120"/>
    <w:rsid w:val="00E15F09"/>
    <w:rsid w:val="00E16BE6"/>
    <w:rsid w:val="00E200C4"/>
    <w:rsid w:val="00E21AC5"/>
    <w:rsid w:val="00E21BE4"/>
    <w:rsid w:val="00E2220B"/>
    <w:rsid w:val="00E23AF8"/>
    <w:rsid w:val="00E26DF7"/>
    <w:rsid w:val="00E31C6F"/>
    <w:rsid w:val="00E32070"/>
    <w:rsid w:val="00E32DBC"/>
    <w:rsid w:val="00E33B85"/>
    <w:rsid w:val="00E33D5A"/>
    <w:rsid w:val="00E372F8"/>
    <w:rsid w:val="00E4101E"/>
    <w:rsid w:val="00E445D0"/>
    <w:rsid w:val="00E51E7E"/>
    <w:rsid w:val="00E534F8"/>
    <w:rsid w:val="00E56D82"/>
    <w:rsid w:val="00E62311"/>
    <w:rsid w:val="00E67814"/>
    <w:rsid w:val="00E739BF"/>
    <w:rsid w:val="00E73F19"/>
    <w:rsid w:val="00E7553F"/>
    <w:rsid w:val="00E7671F"/>
    <w:rsid w:val="00E76EAC"/>
    <w:rsid w:val="00E81B93"/>
    <w:rsid w:val="00E81F75"/>
    <w:rsid w:val="00E82BD5"/>
    <w:rsid w:val="00E83B6C"/>
    <w:rsid w:val="00E83C39"/>
    <w:rsid w:val="00E87BD1"/>
    <w:rsid w:val="00E90345"/>
    <w:rsid w:val="00E904C2"/>
    <w:rsid w:val="00E909CE"/>
    <w:rsid w:val="00E93BE1"/>
    <w:rsid w:val="00E97849"/>
    <w:rsid w:val="00E97F12"/>
    <w:rsid w:val="00EA18DE"/>
    <w:rsid w:val="00EA208D"/>
    <w:rsid w:val="00EA2AD3"/>
    <w:rsid w:val="00EA6118"/>
    <w:rsid w:val="00EA7414"/>
    <w:rsid w:val="00EB000D"/>
    <w:rsid w:val="00EB13AB"/>
    <w:rsid w:val="00EB348C"/>
    <w:rsid w:val="00EC03AC"/>
    <w:rsid w:val="00EC2FB2"/>
    <w:rsid w:val="00EC3C66"/>
    <w:rsid w:val="00EC553C"/>
    <w:rsid w:val="00ED2C5E"/>
    <w:rsid w:val="00ED2CD5"/>
    <w:rsid w:val="00ED5AAC"/>
    <w:rsid w:val="00ED6C63"/>
    <w:rsid w:val="00EE2023"/>
    <w:rsid w:val="00EE3574"/>
    <w:rsid w:val="00EE4F93"/>
    <w:rsid w:val="00EE4FAF"/>
    <w:rsid w:val="00EE53F4"/>
    <w:rsid w:val="00EE6046"/>
    <w:rsid w:val="00EE66B0"/>
    <w:rsid w:val="00EF0BDF"/>
    <w:rsid w:val="00EF0D80"/>
    <w:rsid w:val="00EF2693"/>
    <w:rsid w:val="00EF35B9"/>
    <w:rsid w:val="00EF463D"/>
    <w:rsid w:val="00EF7236"/>
    <w:rsid w:val="00F00571"/>
    <w:rsid w:val="00F02F00"/>
    <w:rsid w:val="00F05FDE"/>
    <w:rsid w:val="00F107DB"/>
    <w:rsid w:val="00F10CE0"/>
    <w:rsid w:val="00F1400F"/>
    <w:rsid w:val="00F15F11"/>
    <w:rsid w:val="00F23150"/>
    <w:rsid w:val="00F24E6F"/>
    <w:rsid w:val="00F25917"/>
    <w:rsid w:val="00F27B41"/>
    <w:rsid w:val="00F353C1"/>
    <w:rsid w:val="00F365B4"/>
    <w:rsid w:val="00F36F13"/>
    <w:rsid w:val="00F4146D"/>
    <w:rsid w:val="00F42C26"/>
    <w:rsid w:val="00F43FB2"/>
    <w:rsid w:val="00F4460E"/>
    <w:rsid w:val="00F44BD8"/>
    <w:rsid w:val="00F44F6A"/>
    <w:rsid w:val="00F45887"/>
    <w:rsid w:val="00F517A6"/>
    <w:rsid w:val="00F520D1"/>
    <w:rsid w:val="00F53F61"/>
    <w:rsid w:val="00F55904"/>
    <w:rsid w:val="00F574CE"/>
    <w:rsid w:val="00F57F1D"/>
    <w:rsid w:val="00F609B2"/>
    <w:rsid w:val="00F670CD"/>
    <w:rsid w:val="00F6783D"/>
    <w:rsid w:val="00F67C2B"/>
    <w:rsid w:val="00F75538"/>
    <w:rsid w:val="00F77606"/>
    <w:rsid w:val="00F82FA0"/>
    <w:rsid w:val="00F840EF"/>
    <w:rsid w:val="00F84B9B"/>
    <w:rsid w:val="00F84EB2"/>
    <w:rsid w:val="00F84F86"/>
    <w:rsid w:val="00F87389"/>
    <w:rsid w:val="00F90BA5"/>
    <w:rsid w:val="00F93168"/>
    <w:rsid w:val="00F93CBF"/>
    <w:rsid w:val="00F96E71"/>
    <w:rsid w:val="00FA0187"/>
    <w:rsid w:val="00FA0B67"/>
    <w:rsid w:val="00FA20B5"/>
    <w:rsid w:val="00FA2256"/>
    <w:rsid w:val="00FA59D7"/>
    <w:rsid w:val="00FA5CF6"/>
    <w:rsid w:val="00FA6BDD"/>
    <w:rsid w:val="00FB04A4"/>
    <w:rsid w:val="00FB16BF"/>
    <w:rsid w:val="00FB17F8"/>
    <w:rsid w:val="00FB7653"/>
    <w:rsid w:val="00FB77C3"/>
    <w:rsid w:val="00FB7F84"/>
    <w:rsid w:val="00FC0B83"/>
    <w:rsid w:val="00FC24B3"/>
    <w:rsid w:val="00FC3FD5"/>
    <w:rsid w:val="00FC568F"/>
    <w:rsid w:val="00FC5D1E"/>
    <w:rsid w:val="00FC7B87"/>
    <w:rsid w:val="00FD07EF"/>
    <w:rsid w:val="00FD1107"/>
    <w:rsid w:val="00FD2E29"/>
    <w:rsid w:val="00FD4958"/>
    <w:rsid w:val="00FD5490"/>
    <w:rsid w:val="00FD6A28"/>
    <w:rsid w:val="00FD6F00"/>
    <w:rsid w:val="00FE47D6"/>
    <w:rsid w:val="00FE74DA"/>
    <w:rsid w:val="00FE768A"/>
    <w:rsid w:val="00FF0564"/>
    <w:rsid w:val="00FF137D"/>
    <w:rsid w:val="00FF163B"/>
    <w:rsid w:val="00FF3A03"/>
    <w:rsid w:val="00FF4027"/>
    <w:rsid w:val="00FF4A8E"/>
    <w:rsid w:val="00FF5B6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ECB47"/>
  <w15:docId w15:val="{539233CF-0657-4098-AB8C-7DE458A0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F00"/>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7452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869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686956"/>
    <w:pPr>
      <w:keepNext/>
      <w:keepLines/>
      <w:spacing w:before="200" w:line="360" w:lineRule="auto"/>
      <w:outlineLvl w:val="3"/>
    </w:pPr>
    <w:rPr>
      <w:rFonts w:ascii="Lucida Sans" w:eastAsiaTheme="majorEastAsia" w:hAnsi="Lucida Sans"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418"/>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D6418"/>
    <w:rPr>
      <w:rFonts w:ascii="Lucida Grande" w:hAnsi="Lucida Grande" w:cs="Lucida Grande"/>
      <w:sz w:val="18"/>
      <w:szCs w:val="18"/>
      <w:lang w:val="en-GB"/>
    </w:rPr>
  </w:style>
  <w:style w:type="character" w:styleId="Hyperlink">
    <w:name w:val="Hyperlink"/>
    <w:uiPriority w:val="99"/>
    <w:rsid w:val="0092105C"/>
    <w:rPr>
      <w:rFonts w:cs="Times New Roman"/>
      <w:color w:val="0000FF"/>
      <w:u w:val="single"/>
    </w:rPr>
  </w:style>
  <w:style w:type="character" w:customStyle="1" w:styleId="Heading4Char">
    <w:name w:val="Heading 4 Char"/>
    <w:basedOn w:val="DefaultParagraphFont"/>
    <w:link w:val="Heading4"/>
    <w:uiPriority w:val="99"/>
    <w:rsid w:val="00686956"/>
    <w:rPr>
      <w:rFonts w:ascii="Lucida Sans" w:eastAsiaTheme="majorEastAsia" w:hAnsi="Lucida Sans" w:cstheme="majorBidi"/>
      <w:b/>
      <w:bCs/>
      <w:i/>
      <w:iCs/>
      <w:sz w:val="20"/>
      <w:lang w:val="en-GB"/>
    </w:rPr>
  </w:style>
  <w:style w:type="character" w:customStyle="1" w:styleId="Heading3Char">
    <w:name w:val="Heading 3 Char"/>
    <w:basedOn w:val="DefaultParagraphFont"/>
    <w:link w:val="Heading3"/>
    <w:uiPriority w:val="9"/>
    <w:semiHidden/>
    <w:rsid w:val="00686956"/>
    <w:rPr>
      <w:rFonts w:asciiTheme="majorHAnsi" w:eastAsiaTheme="majorEastAsia" w:hAnsiTheme="majorHAnsi" w:cstheme="majorBidi"/>
      <w:b/>
      <w:bCs/>
      <w:color w:val="4F81BD" w:themeColor="accent1"/>
      <w:lang w:val="en-GB"/>
    </w:rPr>
  </w:style>
  <w:style w:type="paragraph" w:styleId="ListParagraph">
    <w:name w:val="List Paragraph"/>
    <w:basedOn w:val="Normal"/>
    <w:uiPriority w:val="34"/>
    <w:qFormat/>
    <w:rsid w:val="00976BB9"/>
    <w:pPr>
      <w:ind w:left="720"/>
      <w:contextualSpacing/>
    </w:pPr>
    <w:rPr>
      <w:rFonts w:asciiTheme="minorHAnsi" w:eastAsiaTheme="minorHAnsi" w:hAnsiTheme="minorHAnsi" w:cstheme="minorBidi"/>
    </w:rPr>
  </w:style>
  <w:style w:type="character" w:styleId="CommentReference">
    <w:name w:val="annotation reference"/>
    <w:rsid w:val="0059797E"/>
    <w:rPr>
      <w:sz w:val="16"/>
      <w:szCs w:val="16"/>
    </w:rPr>
  </w:style>
  <w:style w:type="paragraph" w:styleId="CommentText">
    <w:name w:val="annotation text"/>
    <w:basedOn w:val="Normal"/>
    <w:link w:val="CommentTextChar"/>
    <w:rsid w:val="0059797E"/>
    <w:pPr>
      <w:spacing w:after="160" w:line="259" w:lineRule="auto"/>
    </w:pPr>
    <w:rPr>
      <w:rFonts w:ascii="Calibri" w:eastAsia="Calibri" w:hAnsi="Calibri"/>
      <w:sz w:val="20"/>
      <w:szCs w:val="20"/>
    </w:rPr>
  </w:style>
  <w:style w:type="character" w:customStyle="1" w:styleId="CommentTextChar">
    <w:name w:val="Comment Text Char"/>
    <w:basedOn w:val="DefaultParagraphFont"/>
    <w:link w:val="CommentText"/>
    <w:rsid w:val="0059797E"/>
    <w:rPr>
      <w:rFonts w:ascii="Calibri" w:eastAsia="Calibri" w:hAnsi="Calibri" w:cs="Times New Roman"/>
      <w:sz w:val="20"/>
      <w:szCs w:val="20"/>
    </w:rPr>
  </w:style>
  <w:style w:type="character" w:styleId="Emphasis">
    <w:name w:val="Emphasis"/>
    <w:uiPriority w:val="20"/>
    <w:qFormat/>
    <w:rsid w:val="0059797E"/>
    <w:rPr>
      <w:i/>
      <w:iCs/>
    </w:rPr>
  </w:style>
  <w:style w:type="paragraph" w:styleId="CommentSubject">
    <w:name w:val="annotation subject"/>
    <w:basedOn w:val="CommentText"/>
    <w:next w:val="CommentText"/>
    <w:link w:val="CommentSubjectChar"/>
    <w:uiPriority w:val="99"/>
    <w:semiHidden/>
    <w:unhideWhenUsed/>
    <w:rsid w:val="00C5482D"/>
    <w:pPr>
      <w:spacing w:after="0"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5482D"/>
    <w:rPr>
      <w:rFonts w:ascii="Calibri" w:eastAsia="Calibri" w:hAnsi="Calibri" w:cs="Times New Roman"/>
      <w:b/>
      <w:bCs/>
      <w:sz w:val="20"/>
      <w:szCs w:val="20"/>
      <w:lang w:val="en-GB"/>
    </w:rPr>
  </w:style>
  <w:style w:type="character" w:customStyle="1" w:styleId="apple-converted-space">
    <w:name w:val="apple-converted-space"/>
    <w:basedOn w:val="DefaultParagraphFont"/>
    <w:rsid w:val="0006077D"/>
  </w:style>
  <w:style w:type="character" w:customStyle="1" w:styleId="reference-text">
    <w:name w:val="reference-text"/>
    <w:basedOn w:val="DefaultParagraphFont"/>
    <w:rsid w:val="0006077D"/>
  </w:style>
  <w:style w:type="paragraph" w:styleId="Revision">
    <w:name w:val="Revision"/>
    <w:hidden/>
    <w:uiPriority w:val="99"/>
    <w:semiHidden/>
    <w:rsid w:val="00E33D5A"/>
    <w:rPr>
      <w:lang w:val="en-GB"/>
    </w:rPr>
  </w:style>
  <w:style w:type="paragraph" w:styleId="NormalWeb">
    <w:name w:val="Normal (Web)"/>
    <w:basedOn w:val="Normal"/>
    <w:uiPriority w:val="99"/>
    <w:unhideWhenUsed/>
    <w:rsid w:val="00B3185D"/>
    <w:pPr>
      <w:spacing w:before="100" w:beforeAutospacing="1" w:after="100" w:afterAutospacing="1"/>
    </w:pPr>
    <w:rPr>
      <w:lang w:eastAsia="en-GB"/>
    </w:rPr>
  </w:style>
  <w:style w:type="character" w:styleId="Strong">
    <w:name w:val="Strong"/>
    <w:basedOn w:val="DefaultParagraphFont"/>
    <w:uiPriority w:val="22"/>
    <w:qFormat/>
    <w:rsid w:val="00B3185D"/>
    <w:rPr>
      <w:b/>
      <w:bCs/>
    </w:rPr>
  </w:style>
  <w:style w:type="character" w:customStyle="1" w:styleId="Heading1Char">
    <w:name w:val="Heading 1 Char"/>
    <w:basedOn w:val="DefaultParagraphFont"/>
    <w:link w:val="Heading1"/>
    <w:uiPriority w:val="9"/>
    <w:rsid w:val="00745298"/>
    <w:rPr>
      <w:rFonts w:asciiTheme="majorHAnsi" w:eastAsiaTheme="majorEastAsia" w:hAnsiTheme="majorHAnsi" w:cstheme="majorBidi"/>
      <w:color w:val="365F91" w:themeColor="accent1" w:themeShade="BF"/>
      <w:sz w:val="32"/>
      <w:szCs w:val="32"/>
      <w:lang w:val="en-GB"/>
    </w:rPr>
  </w:style>
  <w:style w:type="character" w:customStyle="1" w:styleId="highlight">
    <w:name w:val="highlight"/>
    <w:basedOn w:val="DefaultParagraphFont"/>
    <w:rsid w:val="00745298"/>
  </w:style>
  <w:style w:type="paragraph" w:styleId="Bibliography">
    <w:name w:val="Bibliography"/>
    <w:basedOn w:val="Normal"/>
    <w:next w:val="Normal"/>
    <w:uiPriority w:val="37"/>
    <w:unhideWhenUsed/>
    <w:rsid w:val="00BB3D9D"/>
    <w:pPr>
      <w:tabs>
        <w:tab w:val="left" w:pos="384"/>
      </w:tabs>
      <w:spacing w:after="240"/>
      <w:ind w:left="384" w:hanging="384"/>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3873ED"/>
    <w:rPr>
      <w:color w:val="800080" w:themeColor="followedHyperlink"/>
      <w:u w:val="single"/>
    </w:rPr>
  </w:style>
  <w:style w:type="character" w:customStyle="1" w:styleId="hiddenreadable">
    <w:name w:val="hiddenreadable"/>
    <w:basedOn w:val="DefaultParagraphFont"/>
    <w:rsid w:val="00FD6F00"/>
  </w:style>
  <w:style w:type="character" w:customStyle="1" w:styleId="crossmark-dividor">
    <w:name w:val="crossmark-dividor"/>
    <w:basedOn w:val="DefaultParagraphFont"/>
    <w:rsid w:val="00FD6F00"/>
  </w:style>
  <w:style w:type="table" w:styleId="TableGrid">
    <w:name w:val="Table Grid"/>
    <w:basedOn w:val="TableNormal"/>
    <w:uiPriority w:val="59"/>
    <w:rsid w:val="00731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DefaultParagraphFont"/>
    <w:rsid w:val="00413F0B"/>
  </w:style>
  <w:style w:type="character" w:customStyle="1" w:styleId="highwire-cite-metadata-year">
    <w:name w:val="highwire-cite-metadata-year"/>
    <w:basedOn w:val="DefaultParagraphFont"/>
    <w:rsid w:val="00413F0B"/>
  </w:style>
  <w:style w:type="character" w:customStyle="1" w:styleId="highwire-cite-metadata-volume">
    <w:name w:val="highwire-cite-metadata-volume"/>
    <w:basedOn w:val="DefaultParagraphFont"/>
    <w:rsid w:val="00413F0B"/>
  </w:style>
  <w:style w:type="character" w:customStyle="1" w:styleId="highwire-cite-metadata-pages">
    <w:name w:val="highwire-cite-metadata-pages"/>
    <w:basedOn w:val="DefaultParagraphFont"/>
    <w:rsid w:val="00413F0B"/>
  </w:style>
  <w:style w:type="paragraph" w:styleId="PlainText">
    <w:name w:val="Plain Text"/>
    <w:basedOn w:val="Normal"/>
    <w:link w:val="PlainTextChar"/>
    <w:uiPriority w:val="99"/>
    <w:unhideWhenUsed/>
    <w:rsid w:val="0098366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83667"/>
    <w:rPr>
      <w:rFonts w:ascii="Calibri" w:eastAsiaTheme="minorHAnsi" w:hAnsi="Calibri"/>
      <w:sz w:val="22"/>
      <w:szCs w:val="21"/>
      <w:lang w:val="en-GB"/>
    </w:rPr>
  </w:style>
  <w:style w:type="paragraph" w:customStyle="1" w:styleId="EndNoteBibliographyTitle">
    <w:name w:val="EndNote Bibliography Title"/>
    <w:basedOn w:val="Normal"/>
    <w:link w:val="EndNoteBibliographyTitleChar"/>
    <w:rsid w:val="00AC5305"/>
    <w:pPr>
      <w:jc w:val="center"/>
    </w:pPr>
    <w:rPr>
      <w:noProof/>
      <w:lang w:val="en-US"/>
    </w:rPr>
  </w:style>
  <w:style w:type="character" w:customStyle="1" w:styleId="EndNoteBibliographyTitleChar">
    <w:name w:val="EndNote Bibliography Title Char"/>
    <w:basedOn w:val="DefaultParagraphFont"/>
    <w:link w:val="EndNoteBibliographyTitle"/>
    <w:rsid w:val="00AC5305"/>
    <w:rPr>
      <w:rFonts w:ascii="Times New Roman" w:eastAsia="Times New Roman" w:hAnsi="Times New Roman" w:cs="Times New Roman"/>
      <w:noProof/>
    </w:rPr>
  </w:style>
  <w:style w:type="paragraph" w:customStyle="1" w:styleId="EndNoteBibliography">
    <w:name w:val="EndNote Bibliography"/>
    <w:basedOn w:val="Normal"/>
    <w:link w:val="EndNoteBibliographyChar"/>
    <w:rsid w:val="00AC5305"/>
    <w:rPr>
      <w:noProof/>
      <w:lang w:val="en-US"/>
    </w:rPr>
  </w:style>
  <w:style w:type="character" w:customStyle="1" w:styleId="EndNoteBibliographyChar">
    <w:name w:val="EndNote Bibliography Char"/>
    <w:basedOn w:val="DefaultParagraphFont"/>
    <w:link w:val="EndNoteBibliography"/>
    <w:rsid w:val="00AC5305"/>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62136">
      <w:bodyDiv w:val="1"/>
      <w:marLeft w:val="0"/>
      <w:marRight w:val="0"/>
      <w:marTop w:val="0"/>
      <w:marBottom w:val="0"/>
      <w:divBdr>
        <w:top w:val="none" w:sz="0" w:space="0" w:color="auto"/>
        <w:left w:val="none" w:sz="0" w:space="0" w:color="auto"/>
        <w:bottom w:val="none" w:sz="0" w:space="0" w:color="auto"/>
        <w:right w:val="none" w:sz="0" w:space="0" w:color="auto"/>
      </w:divBdr>
    </w:div>
    <w:div w:id="204608595">
      <w:bodyDiv w:val="1"/>
      <w:marLeft w:val="0"/>
      <w:marRight w:val="0"/>
      <w:marTop w:val="0"/>
      <w:marBottom w:val="0"/>
      <w:divBdr>
        <w:top w:val="none" w:sz="0" w:space="0" w:color="auto"/>
        <w:left w:val="none" w:sz="0" w:space="0" w:color="auto"/>
        <w:bottom w:val="none" w:sz="0" w:space="0" w:color="auto"/>
        <w:right w:val="none" w:sz="0" w:space="0" w:color="auto"/>
      </w:divBdr>
    </w:div>
    <w:div w:id="260115413">
      <w:bodyDiv w:val="1"/>
      <w:marLeft w:val="0"/>
      <w:marRight w:val="0"/>
      <w:marTop w:val="0"/>
      <w:marBottom w:val="0"/>
      <w:divBdr>
        <w:top w:val="none" w:sz="0" w:space="0" w:color="auto"/>
        <w:left w:val="none" w:sz="0" w:space="0" w:color="auto"/>
        <w:bottom w:val="none" w:sz="0" w:space="0" w:color="auto"/>
        <w:right w:val="none" w:sz="0" w:space="0" w:color="auto"/>
      </w:divBdr>
      <w:divsChild>
        <w:div w:id="1696537812">
          <w:marLeft w:val="0"/>
          <w:marRight w:val="0"/>
          <w:marTop w:val="0"/>
          <w:marBottom w:val="0"/>
          <w:divBdr>
            <w:top w:val="none" w:sz="0" w:space="0" w:color="auto"/>
            <w:left w:val="none" w:sz="0" w:space="0" w:color="auto"/>
            <w:bottom w:val="none" w:sz="0" w:space="0" w:color="auto"/>
            <w:right w:val="none" w:sz="0" w:space="0" w:color="auto"/>
          </w:divBdr>
        </w:div>
        <w:div w:id="2143229853">
          <w:marLeft w:val="0"/>
          <w:marRight w:val="0"/>
          <w:marTop w:val="0"/>
          <w:marBottom w:val="0"/>
          <w:divBdr>
            <w:top w:val="none" w:sz="0" w:space="0" w:color="auto"/>
            <w:left w:val="none" w:sz="0" w:space="0" w:color="auto"/>
            <w:bottom w:val="none" w:sz="0" w:space="0" w:color="auto"/>
            <w:right w:val="none" w:sz="0" w:space="0" w:color="auto"/>
          </w:divBdr>
        </w:div>
        <w:div w:id="53895238">
          <w:marLeft w:val="0"/>
          <w:marRight w:val="0"/>
          <w:marTop w:val="0"/>
          <w:marBottom w:val="0"/>
          <w:divBdr>
            <w:top w:val="none" w:sz="0" w:space="0" w:color="auto"/>
            <w:left w:val="none" w:sz="0" w:space="0" w:color="auto"/>
            <w:bottom w:val="none" w:sz="0" w:space="0" w:color="auto"/>
            <w:right w:val="none" w:sz="0" w:space="0" w:color="auto"/>
          </w:divBdr>
        </w:div>
        <w:div w:id="25180575">
          <w:marLeft w:val="0"/>
          <w:marRight w:val="0"/>
          <w:marTop w:val="0"/>
          <w:marBottom w:val="0"/>
          <w:divBdr>
            <w:top w:val="none" w:sz="0" w:space="0" w:color="auto"/>
            <w:left w:val="none" w:sz="0" w:space="0" w:color="auto"/>
            <w:bottom w:val="none" w:sz="0" w:space="0" w:color="auto"/>
            <w:right w:val="none" w:sz="0" w:space="0" w:color="auto"/>
          </w:divBdr>
        </w:div>
        <w:div w:id="1587959291">
          <w:marLeft w:val="-135"/>
          <w:marRight w:val="0"/>
          <w:marTop w:val="0"/>
          <w:marBottom w:val="0"/>
          <w:divBdr>
            <w:top w:val="none" w:sz="0" w:space="0" w:color="auto"/>
            <w:left w:val="none" w:sz="0" w:space="0" w:color="auto"/>
            <w:bottom w:val="none" w:sz="0" w:space="0" w:color="auto"/>
            <w:right w:val="none" w:sz="0" w:space="0" w:color="auto"/>
          </w:divBdr>
          <w:divsChild>
            <w:div w:id="1721586453">
              <w:marLeft w:val="0"/>
              <w:marRight w:val="0"/>
              <w:marTop w:val="0"/>
              <w:marBottom w:val="0"/>
              <w:divBdr>
                <w:top w:val="none" w:sz="0" w:space="0" w:color="auto"/>
                <w:left w:val="none" w:sz="0" w:space="0" w:color="auto"/>
                <w:bottom w:val="none" w:sz="0" w:space="0" w:color="auto"/>
                <w:right w:val="none" w:sz="0" w:space="0" w:color="auto"/>
              </w:divBdr>
              <w:divsChild>
                <w:div w:id="5730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7498">
      <w:bodyDiv w:val="1"/>
      <w:marLeft w:val="0"/>
      <w:marRight w:val="0"/>
      <w:marTop w:val="0"/>
      <w:marBottom w:val="0"/>
      <w:divBdr>
        <w:top w:val="none" w:sz="0" w:space="0" w:color="auto"/>
        <w:left w:val="none" w:sz="0" w:space="0" w:color="auto"/>
        <w:bottom w:val="none" w:sz="0" w:space="0" w:color="auto"/>
        <w:right w:val="none" w:sz="0" w:space="0" w:color="auto"/>
      </w:divBdr>
    </w:div>
    <w:div w:id="344862112">
      <w:bodyDiv w:val="1"/>
      <w:marLeft w:val="0"/>
      <w:marRight w:val="0"/>
      <w:marTop w:val="0"/>
      <w:marBottom w:val="0"/>
      <w:divBdr>
        <w:top w:val="none" w:sz="0" w:space="0" w:color="auto"/>
        <w:left w:val="none" w:sz="0" w:space="0" w:color="auto"/>
        <w:bottom w:val="none" w:sz="0" w:space="0" w:color="auto"/>
        <w:right w:val="none" w:sz="0" w:space="0" w:color="auto"/>
      </w:divBdr>
      <w:divsChild>
        <w:div w:id="1192954831">
          <w:marLeft w:val="0"/>
          <w:marRight w:val="0"/>
          <w:marTop w:val="0"/>
          <w:marBottom w:val="0"/>
          <w:divBdr>
            <w:top w:val="none" w:sz="0" w:space="0" w:color="auto"/>
            <w:left w:val="none" w:sz="0" w:space="0" w:color="auto"/>
            <w:bottom w:val="none" w:sz="0" w:space="0" w:color="auto"/>
            <w:right w:val="none" w:sz="0" w:space="0" w:color="auto"/>
          </w:divBdr>
          <w:divsChild>
            <w:div w:id="1571766158">
              <w:marLeft w:val="0"/>
              <w:marRight w:val="0"/>
              <w:marTop w:val="0"/>
              <w:marBottom w:val="0"/>
              <w:divBdr>
                <w:top w:val="none" w:sz="0" w:space="0" w:color="auto"/>
                <w:left w:val="none" w:sz="0" w:space="0" w:color="auto"/>
                <w:bottom w:val="none" w:sz="0" w:space="0" w:color="auto"/>
                <w:right w:val="none" w:sz="0" w:space="0" w:color="auto"/>
              </w:divBdr>
              <w:divsChild>
                <w:div w:id="1942949131">
                  <w:marLeft w:val="0"/>
                  <w:marRight w:val="0"/>
                  <w:marTop w:val="0"/>
                  <w:marBottom w:val="0"/>
                  <w:divBdr>
                    <w:top w:val="none" w:sz="0" w:space="0" w:color="auto"/>
                    <w:left w:val="none" w:sz="0" w:space="0" w:color="auto"/>
                    <w:bottom w:val="none" w:sz="0" w:space="0" w:color="auto"/>
                    <w:right w:val="none" w:sz="0" w:space="0" w:color="auto"/>
                  </w:divBdr>
                  <w:divsChild>
                    <w:div w:id="473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49">
      <w:bodyDiv w:val="1"/>
      <w:marLeft w:val="0"/>
      <w:marRight w:val="0"/>
      <w:marTop w:val="0"/>
      <w:marBottom w:val="0"/>
      <w:divBdr>
        <w:top w:val="none" w:sz="0" w:space="0" w:color="auto"/>
        <w:left w:val="none" w:sz="0" w:space="0" w:color="auto"/>
        <w:bottom w:val="none" w:sz="0" w:space="0" w:color="auto"/>
        <w:right w:val="none" w:sz="0" w:space="0" w:color="auto"/>
      </w:divBdr>
      <w:divsChild>
        <w:div w:id="1946813030">
          <w:marLeft w:val="0"/>
          <w:marRight w:val="0"/>
          <w:marTop w:val="0"/>
          <w:marBottom w:val="0"/>
          <w:divBdr>
            <w:top w:val="none" w:sz="0" w:space="0" w:color="auto"/>
            <w:left w:val="none" w:sz="0" w:space="0" w:color="auto"/>
            <w:bottom w:val="none" w:sz="0" w:space="0" w:color="auto"/>
            <w:right w:val="none" w:sz="0" w:space="0" w:color="auto"/>
          </w:divBdr>
          <w:divsChild>
            <w:div w:id="2839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18494">
      <w:bodyDiv w:val="1"/>
      <w:marLeft w:val="0"/>
      <w:marRight w:val="0"/>
      <w:marTop w:val="0"/>
      <w:marBottom w:val="0"/>
      <w:divBdr>
        <w:top w:val="none" w:sz="0" w:space="0" w:color="auto"/>
        <w:left w:val="none" w:sz="0" w:space="0" w:color="auto"/>
        <w:bottom w:val="none" w:sz="0" w:space="0" w:color="auto"/>
        <w:right w:val="none" w:sz="0" w:space="0" w:color="auto"/>
      </w:divBdr>
      <w:divsChild>
        <w:div w:id="498814569">
          <w:marLeft w:val="0"/>
          <w:marRight w:val="0"/>
          <w:marTop w:val="0"/>
          <w:marBottom w:val="0"/>
          <w:divBdr>
            <w:top w:val="none" w:sz="0" w:space="0" w:color="auto"/>
            <w:left w:val="none" w:sz="0" w:space="0" w:color="auto"/>
            <w:bottom w:val="none" w:sz="0" w:space="0" w:color="auto"/>
            <w:right w:val="none" w:sz="0" w:space="0" w:color="auto"/>
          </w:divBdr>
        </w:div>
        <w:div w:id="553734601">
          <w:marLeft w:val="0"/>
          <w:marRight w:val="0"/>
          <w:marTop w:val="0"/>
          <w:marBottom w:val="0"/>
          <w:divBdr>
            <w:top w:val="none" w:sz="0" w:space="0" w:color="auto"/>
            <w:left w:val="none" w:sz="0" w:space="0" w:color="auto"/>
            <w:bottom w:val="none" w:sz="0" w:space="0" w:color="auto"/>
            <w:right w:val="none" w:sz="0" w:space="0" w:color="auto"/>
          </w:divBdr>
        </w:div>
        <w:div w:id="943609273">
          <w:marLeft w:val="0"/>
          <w:marRight w:val="0"/>
          <w:marTop w:val="0"/>
          <w:marBottom w:val="0"/>
          <w:divBdr>
            <w:top w:val="none" w:sz="0" w:space="0" w:color="auto"/>
            <w:left w:val="none" w:sz="0" w:space="0" w:color="auto"/>
            <w:bottom w:val="none" w:sz="0" w:space="0" w:color="auto"/>
            <w:right w:val="none" w:sz="0" w:space="0" w:color="auto"/>
          </w:divBdr>
        </w:div>
        <w:div w:id="1452699253">
          <w:marLeft w:val="-135"/>
          <w:marRight w:val="0"/>
          <w:marTop w:val="0"/>
          <w:marBottom w:val="0"/>
          <w:divBdr>
            <w:top w:val="none" w:sz="0" w:space="0" w:color="auto"/>
            <w:left w:val="none" w:sz="0" w:space="0" w:color="auto"/>
            <w:bottom w:val="none" w:sz="0" w:space="0" w:color="auto"/>
            <w:right w:val="none" w:sz="0" w:space="0" w:color="auto"/>
          </w:divBdr>
          <w:divsChild>
            <w:div w:id="1245333765">
              <w:marLeft w:val="0"/>
              <w:marRight w:val="0"/>
              <w:marTop w:val="0"/>
              <w:marBottom w:val="0"/>
              <w:divBdr>
                <w:top w:val="none" w:sz="0" w:space="0" w:color="auto"/>
                <w:left w:val="none" w:sz="0" w:space="0" w:color="auto"/>
                <w:bottom w:val="none" w:sz="0" w:space="0" w:color="auto"/>
                <w:right w:val="none" w:sz="0" w:space="0" w:color="auto"/>
              </w:divBdr>
              <w:divsChild>
                <w:div w:id="1255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89045">
      <w:bodyDiv w:val="1"/>
      <w:marLeft w:val="0"/>
      <w:marRight w:val="0"/>
      <w:marTop w:val="0"/>
      <w:marBottom w:val="0"/>
      <w:divBdr>
        <w:top w:val="none" w:sz="0" w:space="0" w:color="auto"/>
        <w:left w:val="none" w:sz="0" w:space="0" w:color="auto"/>
        <w:bottom w:val="none" w:sz="0" w:space="0" w:color="auto"/>
        <w:right w:val="none" w:sz="0" w:space="0" w:color="auto"/>
      </w:divBdr>
    </w:div>
    <w:div w:id="1193033814">
      <w:bodyDiv w:val="1"/>
      <w:marLeft w:val="0"/>
      <w:marRight w:val="0"/>
      <w:marTop w:val="0"/>
      <w:marBottom w:val="0"/>
      <w:divBdr>
        <w:top w:val="none" w:sz="0" w:space="0" w:color="auto"/>
        <w:left w:val="none" w:sz="0" w:space="0" w:color="auto"/>
        <w:bottom w:val="none" w:sz="0" w:space="0" w:color="auto"/>
        <w:right w:val="none" w:sz="0" w:space="0" w:color="auto"/>
      </w:divBdr>
    </w:div>
    <w:div w:id="1275865517">
      <w:bodyDiv w:val="1"/>
      <w:marLeft w:val="0"/>
      <w:marRight w:val="0"/>
      <w:marTop w:val="0"/>
      <w:marBottom w:val="0"/>
      <w:divBdr>
        <w:top w:val="none" w:sz="0" w:space="0" w:color="auto"/>
        <w:left w:val="none" w:sz="0" w:space="0" w:color="auto"/>
        <w:bottom w:val="none" w:sz="0" w:space="0" w:color="auto"/>
        <w:right w:val="none" w:sz="0" w:space="0" w:color="auto"/>
      </w:divBdr>
      <w:divsChild>
        <w:div w:id="452871989">
          <w:marLeft w:val="0"/>
          <w:marRight w:val="0"/>
          <w:marTop w:val="0"/>
          <w:marBottom w:val="0"/>
          <w:divBdr>
            <w:top w:val="none" w:sz="0" w:space="0" w:color="auto"/>
            <w:left w:val="none" w:sz="0" w:space="0" w:color="auto"/>
            <w:bottom w:val="none" w:sz="0" w:space="0" w:color="auto"/>
            <w:right w:val="none" w:sz="0" w:space="0" w:color="auto"/>
          </w:divBdr>
          <w:divsChild>
            <w:div w:id="1478377997">
              <w:marLeft w:val="0"/>
              <w:marRight w:val="0"/>
              <w:marTop w:val="0"/>
              <w:marBottom w:val="0"/>
              <w:divBdr>
                <w:top w:val="none" w:sz="0" w:space="0" w:color="auto"/>
                <w:left w:val="none" w:sz="0" w:space="0" w:color="auto"/>
                <w:bottom w:val="none" w:sz="0" w:space="0" w:color="auto"/>
                <w:right w:val="none" w:sz="0" w:space="0" w:color="auto"/>
              </w:divBdr>
              <w:divsChild>
                <w:div w:id="2097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01835">
      <w:bodyDiv w:val="1"/>
      <w:marLeft w:val="0"/>
      <w:marRight w:val="0"/>
      <w:marTop w:val="0"/>
      <w:marBottom w:val="0"/>
      <w:divBdr>
        <w:top w:val="none" w:sz="0" w:space="0" w:color="auto"/>
        <w:left w:val="none" w:sz="0" w:space="0" w:color="auto"/>
        <w:bottom w:val="none" w:sz="0" w:space="0" w:color="auto"/>
        <w:right w:val="none" w:sz="0" w:space="0" w:color="auto"/>
      </w:divBdr>
    </w:div>
    <w:div w:id="1412652720">
      <w:bodyDiv w:val="1"/>
      <w:marLeft w:val="0"/>
      <w:marRight w:val="0"/>
      <w:marTop w:val="0"/>
      <w:marBottom w:val="0"/>
      <w:divBdr>
        <w:top w:val="none" w:sz="0" w:space="0" w:color="auto"/>
        <w:left w:val="none" w:sz="0" w:space="0" w:color="auto"/>
        <w:bottom w:val="none" w:sz="0" w:space="0" w:color="auto"/>
        <w:right w:val="none" w:sz="0" w:space="0" w:color="auto"/>
      </w:divBdr>
    </w:div>
    <w:div w:id="1451700738">
      <w:bodyDiv w:val="1"/>
      <w:marLeft w:val="0"/>
      <w:marRight w:val="0"/>
      <w:marTop w:val="0"/>
      <w:marBottom w:val="0"/>
      <w:divBdr>
        <w:top w:val="none" w:sz="0" w:space="0" w:color="auto"/>
        <w:left w:val="none" w:sz="0" w:space="0" w:color="auto"/>
        <w:bottom w:val="none" w:sz="0" w:space="0" w:color="auto"/>
        <w:right w:val="none" w:sz="0" w:space="0" w:color="auto"/>
      </w:divBdr>
    </w:div>
    <w:div w:id="1458061466">
      <w:bodyDiv w:val="1"/>
      <w:marLeft w:val="0"/>
      <w:marRight w:val="0"/>
      <w:marTop w:val="0"/>
      <w:marBottom w:val="0"/>
      <w:divBdr>
        <w:top w:val="none" w:sz="0" w:space="0" w:color="auto"/>
        <w:left w:val="none" w:sz="0" w:space="0" w:color="auto"/>
        <w:bottom w:val="none" w:sz="0" w:space="0" w:color="auto"/>
        <w:right w:val="none" w:sz="0" w:space="0" w:color="auto"/>
      </w:divBdr>
    </w:div>
    <w:div w:id="1503660959">
      <w:bodyDiv w:val="1"/>
      <w:marLeft w:val="0"/>
      <w:marRight w:val="0"/>
      <w:marTop w:val="0"/>
      <w:marBottom w:val="0"/>
      <w:divBdr>
        <w:top w:val="none" w:sz="0" w:space="0" w:color="auto"/>
        <w:left w:val="none" w:sz="0" w:space="0" w:color="auto"/>
        <w:bottom w:val="none" w:sz="0" w:space="0" w:color="auto"/>
        <w:right w:val="none" w:sz="0" w:space="0" w:color="auto"/>
      </w:divBdr>
      <w:divsChild>
        <w:div w:id="76446180">
          <w:marLeft w:val="0"/>
          <w:marRight w:val="0"/>
          <w:marTop w:val="0"/>
          <w:marBottom w:val="0"/>
          <w:divBdr>
            <w:top w:val="none" w:sz="0" w:space="0" w:color="auto"/>
            <w:left w:val="none" w:sz="0" w:space="0" w:color="auto"/>
            <w:bottom w:val="none" w:sz="0" w:space="0" w:color="auto"/>
            <w:right w:val="none" w:sz="0" w:space="0" w:color="auto"/>
          </w:divBdr>
          <w:divsChild>
            <w:div w:id="817763092">
              <w:marLeft w:val="0"/>
              <w:marRight w:val="0"/>
              <w:marTop w:val="0"/>
              <w:marBottom w:val="0"/>
              <w:divBdr>
                <w:top w:val="none" w:sz="0" w:space="0" w:color="auto"/>
                <w:left w:val="none" w:sz="0" w:space="0" w:color="auto"/>
                <w:bottom w:val="none" w:sz="0" w:space="0" w:color="auto"/>
                <w:right w:val="none" w:sz="0" w:space="0" w:color="auto"/>
              </w:divBdr>
              <w:divsChild>
                <w:div w:id="10393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80427">
      <w:bodyDiv w:val="1"/>
      <w:marLeft w:val="0"/>
      <w:marRight w:val="0"/>
      <w:marTop w:val="0"/>
      <w:marBottom w:val="0"/>
      <w:divBdr>
        <w:top w:val="none" w:sz="0" w:space="0" w:color="auto"/>
        <w:left w:val="none" w:sz="0" w:space="0" w:color="auto"/>
        <w:bottom w:val="none" w:sz="0" w:space="0" w:color="auto"/>
        <w:right w:val="none" w:sz="0" w:space="0" w:color="auto"/>
      </w:divBdr>
      <w:divsChild>
        <w:div w:id="933317616">
          <w:marLeft w:val="0"/>
          <w:marRight w:val="0"/>
          <w:marTop w:val="0"/>
          <w:marBottom w:val="0"/>
          <w:divBdr>
            <w:top w:val="none" w:sz="0" w:space="0" w:color="auto"/>
            <w:left w:val="none" w:sz="0" w:space="0" w:color="auto"/>
            <w:bottom w:val="none" w:sz="0" w:space="0" w:color="auto"/>
            <w:right w:val="none" w:sz="0" w:space="0" w:color="auto"/>
          </w:divBdr>
        </w:div>
        <w:div w:id="1295061976">
          <w:marLeft w:val="0"/>
          <w:marRight w:val="0"/>
          <w:marTop w:val="0"/>
          <w:marBottom w:val="0"/>
          <w:divBdr>
            <w:top w:val="none" w:sz="0" w:space="0" w:color="auto"/>
            <w:left w:val="none" w:sz="0" w:space="0" w:color="auto"/>
            <w:bottom w:val="none" w:sz="0" w:space="0" w:color="auto"/>
            <w:right w:val="none" w:sz="0" w:space="0" w:color="auto"/>
          </w:divBdr>
        </w:div>
        <w:div w:id="1503277418">
          <w:marLeft w:val="0"/>
          <w:marRight w:val="0"/>
          <w:marTop w:val="0"/>
          <w:marBottom w:val="0"/>
          <w:divBdr>
            <w:top w:val="none" w:sz="0" w:space="0" w:color="auto"/>
            <w:left w:val="none" w:sz="0" w:space="0" w:color="auto"/>
            <w:bottom w:val="none" w:sz="0" w:space="0" w:color="auto"/>
            <w:right w:val="none" w:sz="0" w:space="0" w:color="auto"/>
          </w:divBdr>
        </w:div>
        <w:div w:id="1207183822">
          <w:marLeft w:val="0"/>
          <w:marRight w:val="0"/>
          <w:marTop w:val="0"/>
          <w:marBottom w:val="0"/>
          <w:divBdr>
            <w:top w:val="none" w:sz="0" w:space="0" w:color="auto"/>
            <w:left w:val="none" w:sz="0" w:space="0" w:color="auto"/>
            <w:bottom w:val="none" w:sz="0" w:space="0" w:color="auto"/>
            <w:right w:val="none" w:sz="0" w:space="0" w:color="auto"/>
          </w:divBdr>
        </w:div>
        <w:div w:id="2006397601">
          <w:marLeft w:val="-135"/>
          <w:marRight w:val="0"/>
          <w:marTop w:val="0"/>
          <w:marBottom w:val="0"/>
          <w:divBdr>
            <w:top w:val="none" w:sz="0" w:space="0" w:color="auto"/>
            <w:left w:val="none" w:sz="0" w:space="0" w:color="auto"/>
            <w:bottom w:val="none" w:sz="0" w:space="0" w:color="auto"/>
            <w:right w:val="none" w:sz="0" w:space="0" w:color="auto"/>
          </w:divBdr>
          <w:divsChild>
            <w:div w:id="365522961">
              <w:marLeft w:val="0"/>
              <w:marRight w:val="0"/>
              <w:marTop w:val="0"/>
              <w:marBottom w:val="0"/>
              <w:divBdr>
                <w:top w:val="none" w:sz="0" w:space="0" w:color="auto"/>
                <w:left w:val="none" w:sz="0" w:space="0" w:color="auto"/>
                <w:bottom w:val="none" w:sz="0" w:space="0" w:color="auto"/>
                <w:right w:val="none" w:sz="0" w:space="0" w:color="auto"/>
              </w:divBdr>
              <w:divsChild>
                <w:div w:id="2690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40101">
      <w:bodyDiv w:val="1"/>
      <w:marLeft w:val="0"/>
      <w:marRight w:val="0"/>
      <w:marTop w:val="0"/>
      <w:marBottom w:val="0"/>
      <w:divBdr>
        <w:top w:val="none" w:sz="0" w:space="0" w:color="auto"/>
        <w:left w:val="none" w:sz="0" w:space="0" w:color="auto"/>
        <w:bottom w:val="none" w:sz="0" w:space="0" w:color="auto"/>
        <w:right w:val="none" w:sz="0" w:space="0" w:color="auto"/>
      </w:divBdr>
      <w:divsChild>
        <w:div w:id="987899636">
          <w:marLeft w:val="0"/>
          <w:marRight w:val="0"/>
          <w:marTop w:val="0"/>
          <w:marBottom w:val="0"/>
          <w:divBdr>
            <w:top w:val="none" w:sz="0" w:space="0" w:color="auto"/>
            <w:left w:val="none" w:sz="0" w:space="0" w:color="auto"/>
            <w:bottom w:val="none" w:sz="0" w:space="0" w:color="auto"/>
            <w:right w:val="none" w:sz="0" w:space="0" w:color="auto"/>
          </w:divBdr>
          <w:divsChild>
            <w:div w:id="1182279617">
              <w:marLeft w:val="0"/>
              <w:marRight w:val="0"/>
              <w:marTop w:val="0"/>
              <w:marBottom w:val="0"/>
              <w:divBdr>
                <w:top w:val="none" w:sz="0" w:space="0" w:color="auto"/>
                <w:left w:val="none" w:sz="0" w:space="0" w:color="auto"/>
                <w:bottom w:val="none" w:sz="0" w:space="0" w:color="auto"/>
                <w:right w:val="none" w:sz="0" w:space="0" w:color="auto"/>
              </w:divBdr>
              <w:divsChild>
                <w:div w:id="896628399">
                  <w:marLeft w:val="0"/>
                  <w:marRight w:val="0"/>
                  <w:marTop w:val="0"/>
                  <w:marBottom w:val="0"/>
                  <w:divBdr>
                    <w:top w:val="none" w:sz="0" w:space="0" w:color="auto"/>
                    <w:left w:val="none" w:sz="0" w:space="0" w:color="auto"/>
                    <w:bottom w:val="none" w:sz="0" w:space="0" w:color="auto"/>
                    <w:right w:val="none" w:sz="0" w:space="0" w:color="auto"/>
                  </w:divBdr>
                  <w:divsChild>
                    <w:div w:id="5243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825760">
      <w:bodyDiv w:val="1"/>
      <w:marLeft w:val="0"/>
      <w:marRight w:val="0"/>
      <w:marTop w:val="0"/>
      <w:marBottom w:val="0"/>
      <w:divBdr>
        <w:top w:val="none" w:sz="0" w:space="0" w:color="auto"/>
        <w:left w:val="none" w:sz="0" w:space="0" w:color="auto"/>
        <w:bottom w:val="none" w:sz="0" w:space="0" w:color="auto"/>
        <w:right w:val="none" w:sz="0" w:space="0" w:color="auto"/>
      </w:divBdr>
      <w:divsChild>
        <w:div w:id="68164612">
          <w:marLeft w:val="0"/>
          <w:marRight w:val="0"/>
          <w:marTop w:val="0"/>
          <w:marBottom w:val="0"/>
          <w:divBdr>
            <w:top w:val="none" w:sz="0" w:space="0" w:color="auto"/>
            <w:left w:val="none" w:sz="0" w:space="0" w:color="auto"/>
            <w:bottom w:val="none" w:sz="0" w:space="0" w:color="auto"/>
            <w:right w:val="none" w:sz="0" w:space="0" w:color="auto"/>
          </w:divBdr>
          <w:divsChild>
            <w:div w:id="408963494">
              <w:marLeft w:val="0"/>
              <w:marRight w:val="0"/>
              <w:marTop w:val="0"/>
              <w:marBottom w:val="0"/>
              <w:divBdr>
                <w:top w:val="none" w:sz="0" w:space="0" w:color="auto"/>
                <w:left w:val="none" w:sz="0" w:space="0" w:color="auto"/>
                <w:bottom w:val="none" w:sz="0" w:space="0" w:color="auto"/>
                <w:right w:val="none" w:sz="0" w:space="0" w:color="auto"/>
              </w:divBdr>
              <w:divsChild>
                <w:div w:id="2147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8764">
      <w:bodyDiv w:val="1"/>
      <w:marLeft w:val="0"/>
      <w:marRight w:val="0"/>
      <w:marTop w:val="0"/>
      <w:marBottom w:val="0"/>
      <w:divBdr>
        <w:top w:val="none" w:sz="0" w:space="0" w:color="auto"/>
        <w:left w:val="none" w:sz="0" w:space="0" w:color="auto"/>
        <w:bottom w:val="none" w:sz="0" w:space="0" w:color="auto"/>
        <w:right w:val="none" w:sz="0" w:space="0" w:color="auto"/>
      </w:divBdr>
    </w:div>
    <w:div w:id="1892691712">
      <w:bodyDiv w:val="1"/>
      <w:marLeft w:val="0"/>
      <w:marRight w:val="0"/>
      <w:marTop w:val="0"/>
      <w:marBottom w:val="0"/>
      <w:divBdr>
        <w:top w:val="none" w:sz="0" w:space="0" w:color="auto"/>
        <w:left w:val="none" w:sz="0" w:space="0" w:color="auto"/>
        <w:bottom w:val="none" w:sz="0" w:space="0" w:color="auto"/>
        <w:right w:val="none" w:sz="0" w:space="0" w:color="auto"/>
      </w:divBdr>
      <w:divsChild>
        <w:div w:id="585503955">
          <w:marLeft w:val="0"/>
          <w:marRight w:val="0"/>
          <w:marTop w:val="0"/>
          <w:marBottom w:val="0"/>
          <w:divBdr>
            <w:top w:val="none" w:sz="0" w:space="0" w:color="auto"/>
            <w:left w:val="none" w:sz="0" w:space="0" w:color="auto"/>
            <w:bottom w:val="none" w:sz="0" w:space="0" w:color="auto"/>
            <w:right w:val="none" w:sz="0" w:space="0" w:color="auto"/>
          </w:divBdr>
          <w:divsChild>
            <w:div w:id="1846438543">
              <w:marLeft w:val="0"/>
              <w:marRight w:val="0"/>
              <w:marTop w:val="0"/>
              <w:marBottom w:val="0"/>
              <w:divBdr>
                <w:top w:val="none" w:sz="0" w:space="0" w:color="auto"/>
                <w:left w:val="none" w:sz="0" w:space="0" w:color="auto"/>
                <w:bottom w:val="none" w:sz="0" w:space="0" w:color="auto"/>
                <w:right w:val="none" w:sz="0" w:space="0" w:color="auto"/>
              </w:divBdr>
              <w:divsChild>
                <w:div w:id="214507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89621">
      <w:bodyDiv w:val="1"/>
      <w:marLeft w:val="0"/>
      <w:marRight w:val="0"/>
      <w:marTop w:val="0"/>
      <w:marBottom w:val="0"/>
      <w:divBdr>
        <w:top w:val="none" w:sz="0" w:space="0" w:color="auto"/>
        <w:left w:val="none" w:sz="0" w:space="0" w:color="auto"/>
        <w:bottom w:val="none" w:sz="0" w:space="0" w:color="auto"/>
        <w:right w:val="none" w:sz="0" w:space="0" w:color="auto"/>
      </w:divBdr>
    </w:div>
    <w:div w:id="2087190697">
      <w:bodyDiv w:val="1"/>
      <w:marLeft w:val="0"/>
      <w:marRight w:val="0"/>
      <w:marTop w:val="0"/>
      <w:marBottom w:val="0"/>
      <w:divBdr>
        <w:top w:val="none" w:sz="0" w:space="0" w:color="auto"/>
        <w:left w:val="none" w:sz="0" w:space="0" w:color="auto"/>
        <w:bottom w:val="none" w:sz="0" w:space="0" w:color="auto"/>
        <w:right w:val="none" w:sz="0" w:space="0" w:color="auto"/>
      </w:divBdr>
      <w:divsChild>
        <w:div w:id="1502701321">
          <w:marLeft w:val="0"/>
          <w:marRight w:val="0"/>
          <w:marTop w:val="0"/>
          <w:marBottom w:val="0"/>
          <w:divBdr>
            <w:top w:val="none" w:sz="0" w:space="0" w:color="auto"/>
            <w:left w:val="none" w:sz="0" w:space="0" w:color="auto"/>
            <w:bottom w:val="none" w:sz="0" w:space="0" w:color="auto"/>
            <w:right w:val="none" w:sz="0" w:space="0" w:color="auto"/>
          </w:divBdr>
          <w:divsChild>
            <w:div w:id="1366708549">
              <w:marLeft w:val="0"/>
              <w:marRight w:val="0"/>
              <w:marTop w:val="0"/>
              <w:marBottom w:val="0"/>
              <w:divBdr>
                <w:top w:val="none" w:sz="0" w:space="0" w:color="auto"/>
                <w:left w:val="none" w:sz="0" w:space="0" w:color="auto"/>
                <w:bottom w:val="none" w:sz="0" w:space="0" w:color="auto"/>
                <w:right w:val="none" w:sz="0" w:space="0" w:color="auto"/>
              </w:divBdr>
            </w:div>
            <w:div w:id="1755081201">
              <w:marLeft w:val="0"/>
              <w:marRight w:val="0"/>
              <w:marTop w:val="0"/>
              <w:marBottom w:val="0"/>
              <w:divBdr>
                <w:top w:val="none" w:sz="0" w:space="0" w:color="auto"/>
                <w:left w:val="none" w:sz="0" w:space="0" w:color="auto"/>
                <w:bottom w:val="none" w:sz="0" w:space="0" w:color="auto"/>
                <w:right w:val="none" w:sz="0" w:space="0" w:color="auto"/>
              </w:divBdr>
            </w:div>
            <w:div w:id="1714961378">
              <w:marLeft w:val="0"/>
              <w:marRight w:val="0"/>
              <w:marTop w:val="0"/>
              <w:marBottom w:val="0"/>
              <w:divBdr>
                <w:top w:val="none" w:sz="0" w:space="0" w:color="auto"/>
                <w:left w:val="none" w:sz="0" w:space="0" w:color="auto"/>
                <w:bottom w:val="none" w:sz="0" w:space="0" w:color="auto"/>
                <w:right w:val="none" w:sz="0" w:space="0" w:color="auto"/>
              </w:divBdr>
            </w:div>
            <w:div w:id="1892569429">
              <w:marLeft w:val="0"/>
              <w:marRight w:val="0"/>
              <w:marTop w:val="0"/>
              <w:marBottom w:val="0"/>
              <w:divBdr>
                <w:top w:val="none" w:sz="0" w:space="0" w:color="auto"/>
                <w:left w:val="none" w:sz="0" w:space="0" w:color="auto"/>
                <w:bottom w:val="none" w:sz="0" w:space="0" w:color="auto"/>
                <w:right w:val="none" w:sz="0" w:space="0" w:color="auto"/>
              </w:divBdr>
            </w:div>
            <w:div w:id="1001078640">
              <w:marLeft w:val="0"/>
              <w:marRight w:val="0"/>
              <w:marTop w:val="30"/>
              <w:marBottom w:val="0"/>
              <w:divBdr>
                <w:top w:val="none" w:sz="0" w:space="0" w:color="auto"/>
                <w:left w:val="none" w:sz="0" w:space="0" w:color="auto"/>
                <w:bottom w:val="none" w:sz="0" w:space="0" w:color="auto"/>
                <w:right w:val="none" w:sz="0" w:space="0" w:color="auto"/>
              </w:divBdr>
            </w:div>
          </w:divsChild>
        </w:div>
        <w:div w:id="1128551173">
          <w:marLeft w:val="0"/>
          <w:marRight w:val="0"/>
          <w:marTop w:val="0"/>
          <w:marBottom w:val="0"/>
          <w:divBdr>
            <w:top w:val="none" w:sz="0" w:space="0" w:color="auto"/>
            <w:left w:val="none" w:sz="0" w:space="0" w:color="auto"/>
            <w:bottom w:val="none" w:sz="0" w:space="0" w:color="auto"/>
            <w:right w:val="none" w:sz="0" w:space="0" w:color="auto"/>
          </w:divBdr>
          <w:divsChild>
            <w:div w:id="1247374769">
              <w:marLeft w:val="-135"/>
              <w:marRight w:val="0"/>
              <w:marTop w:val="0"/>
              <w:marBottom w:val="0"/>
              <w:divBdr>
                <w:top w:val="none" w:sz="0" w:space="0" w:color="auto"/>
                <w:left w:val="none" w:sz="0" w:space="0" w:color="auto"/>
                <w:bottom w:val="none" w:sz="0" w:space="0" w:color="auto"/>
                <w:right w:val="none" w:sz="0" w:space="0" w:color="auto"/>
              </w:divBdr>
              <w:divsChild>
                <w:div w:id="2094163230">
                  <w:marLeft w:val="0"/>
                  <w:marRight w:val="0"/>
                  <w:marTop w:val="0"/>
                  <w:marBottom w:val="0"/>
                  <w:divBdr>
                    <w:top w:val="none" w:sz="0" w:space="0" w:color="auto"/>
                    <w:left w:val="none" w:sz="0" w:space="0" w:color="auto"/>
                    <w:bottom w:val="none" w:sz="0" w:space="0" w:color="auto"/>
                    <w:right w:val="none" w:sz="0" w:space="0" w:color="auto"/>
                  </w:divBdr>
                  <w:divsChild>
                    <w:div w:id="14133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8084">
          <w:marLeft w:val="0"/>
          <w:marRight w:val="0"/>
          <w:marTop w:val="0"/>
          <w:marBottom w:val="0"/>
          <w:divBdr>
            <w:top w:val="none" w:sz="0" w:space="0" w:color="auto"/>
            <w:left w:val="none" w:sz="0" w:space="0" w:color="auto"/>
            <w:bottom w:val="none" w:sz="0" w:space="0" w:color="auto"/>
            <w:right w:val="none" w:sz="0" w:space="0" w:color="auto"/>
          </w:divBdr>
          <w:divsChild>
            <w:div w:id="3339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cysticfibrosis.org.uk/the-work-we-do/uk-cf-registry/reporting-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302B0CC84B314F90CCFF58F1FEBB07" ma:contentTypeVersion="8" ma:contentTypeDescription="Create a new document." ma:contentTypeScope="" ma:versionID="18df56e369c41e7fe7c6986581d6abc7">
  <xsd:schema xmlns:xsd="http://www.w3.org/2001/XMLSchema" xmlns:xs="http://www.w3.org/2001/XMLSchema" xmlns:p="http://schemas.microsoft.com/office/2006/metadata/properties" xmlns:ns3="e5f0e2f5-0233-4912-b9a4-936f54176530" targetNamespace="http://schemas.microsoft.com/office/2006/metadata/properties" ma:root="true" ma:fieldsID="ef1a3cab245fc816220902c2cd64d098" ns3:_="">
    <xsd:import namespace="e5f0e2f5-0233-4912-b9a4-936f541765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0e2f5-0233-4912-b9a4-936f54176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2962E-EB06-4FAF-8362-E821446488E1}">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e5f0e2f5-0233-4912-b9a4-936f54176530"/>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540C84E3-709E-41AE-8032-FC3FC6F69CA6}">
  <ds:schemaRefs>
    <ds:schemaRef ds:uri="http://schemas.microsoft.com/sharepoint/v3/contenttype/forms"/>
  </ds:schemaRefs>
</ds:datastoreItem>
</file>

<file path=customXml/itemProps3.xml><?xml version="1.0" encoding="utf-8"?>
<ds:datastoreItem xmlns:ds="http://schemas.openxmlformats.org/officeDocument/2006/customXml" ds:itemID="{D581D02B-8023-4D8D-BFB7-FA5685313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0e2f5-0233-4912-b9a4-936f54176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EB6F8-EB75-4622-BA1C-3948AAE7D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5154</Words>
  <Characters>29383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Woolf Walker</dc:creator>
  <cp:lastModifiedBy>Lapage K.P.</cp:lastModifiedBy>
  <cp:revision>2</cp:revision>
  <cp:lastPrinted>2019-03-12T13:48:00Z</cp:lastPrinted>
  <dcterms:created xsi:type="dcterms:W3CDTF">2020-02-19T16:31:00Z</dcterms:created>
  <dcterms:modified xsi:type="dcterms:W3CDTF">2020-02-19T16:31:00Z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zotero-version="5.0.65"&gt;&lt;session id="5QMRtfbI"/&gt;&lt;style id="http://www.zotero.org/styles/vancouver" locale="en-GB" hasBibliography="1" bibliographyStyleHasBeenSet="1"/&gt;&lt;prefs&gt;&lt;pref name="fieldType" value="Field"/&gt;&lt;/prefs&gt;&lt;/data&gt;</vt:lpwstr>
  </property>
  <property fmtid="{D5CDD505-2E9C-101B-9397-08002B2CF9AE}" pid="3" name="ContentTypeId">
    <vt:lpwstr>0x010100DE302B0CC84B314F90CCFF58F1FEBB07</vt:lpwstr>
  </property>
</Properties>
</file>