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B665DC" w14:textId="3699284B" w:rsidR="001435C0" w:rsidRPr="001D5FA0" w:rsidRDefault="001435C0" w:rsidP="001435C0">
      <w:pPr>
        <w:spacing w:line="480" w:lineRule="auto"/>
        <w:rPr>
          <w:rFonts w:ascii="Times New Roman" w:hAnsi="Times New Roman" w:cs="Times New Roman"/>
          <w:b/>
          <w:iCs/>
          <w:noProof/>
          <w:color w:val="000000" w:themeColor="text1"/>
          <w:sz w:val="24"/>
          <w:szCs w:val="24"/>
        </w:rPr>
      </w:pPr>
      <w:bookmarkStart w:id="0" w:name="_Hlk1550553"/>
      <w:bookmarkEnd w:id="0"/>
      <w:r w:rsidRPr="001D5FA0">
        <w:rPr>
          <w:rFonts w:ascii="Times New Roman" w:hAnsi="Times New Roman" w:cs="Times New Roman"/>
          <w:b/>
          <w:iCs/>
          <w:noProof/>
          <w:color w:val="000000" w:themeColor="text1"/>
          <w:sz w:val="24"/>
          <w:szCs w:val="24"/>
        </w:rPr>
        <w:t>Article type: Original article</w:t>
      </w:r>
    </w:p>
    <w:p w14:paraId="6A6E8CF3" w14:textId="77777777" w:rsidR="001435C0" w:rsidRPr="00CB10DF" w:rsidRDefault="001435C0" w:rsidP="001435C0">
      <w:pPr>
        <w:spacing w:line="480" w:lineRule="auto"/>
        <w:rPr>
          <w:rFonts w:ascii="Times New Roman" w:hAnsi="Times New Roman" w:cs="Times New Roman"/>
          <w:b/>
          <w:iCs/>
          <w:noProof/>
          <w:color w:val="000000" w:themeColor="text1"/>
          <w:sz w:val="28"/>
        </w:rPr>
      </w:pPr>
    </w:p>
    <w:p w14:paraId="2E2232ED" w14:textId="4B8DBA29" w:rsidR="001435C0" w:rsidRPr="00CB10DF" w:rsidRDefault="001435C0" w:rsidP="001435C0">
      <w:pPr>
        <w:spacing w:line="480" w:lineRule="auto"/>
        <w:rPr>
          <w:rFonts w:ascii="Times New Roman" w:hAnsi="Times New Roman" w:cs="Times New Roman"/>
          <w:b/>
          <w:iCs/>
          <w:noProof/>
          <w:color w:val="000000" w:themeColor="text1"/>
          <w:sz w:val="24"/>
          <w:szCs w:val="24"/>
        </w:rPr>
      </w:pPr>
      <w:r w:rsidRPr="00CB10DF">
        <w:rPr>
          <w:rFonts w:ascii="Times New Roman" w:hAnsi="Times New Roman" w:cs="Times New Roman"/>
          <w:b/>
          <w:iCs/>
          <w:noProof/>
          <w:color w:val="000000" w:themeColor="text1"/>
          <w:sz w:val="24"/>
          <w:szCs w:val="24"/>
        </w:rPr>
        <w:t>Running title: TEMPERATURE-BODY SIZE RESPONSES</w:t>
      </w:r>
    </w:p>
    <w:p w14:paraId="7108701B" w14:textId="77777777" w:rsidR="001435C0" w:rsidRPr="001D5FA0" w:rsidRDefault="001435C0" w:rsidP="001435C0">
      <w:pPr>
        <w:spacing w:line="480" w:lineRule="auto"/>
        <w:jc w:val="center"/>
        <w:rPr>
          <w:rFonts w:ascii="Times New Roman" w:hAnsi="Times New Roman" w:cs="Times New Roman"/>
          <w:b/>
          <w:iCs/>
          <w:noProof/>
          <w:color w:val="000000" w:themeColor="text1"/>
          <w:szCs w:val="22"/>
        </w:rPr>
      </w:pPr>
    </w:p>
    <w:p w14:paraId="56303BA9" w14:textId="27CDB24B" w:rsidR="000F7D1A" w:rsidRPr="001D5FA0" w:rsidRDefault="000F7D1A" w:rsidP="00824045">
      <w:pPr>
        <w:spacing w:line="480" w:lineRule="auto"/>
        <w:jc w:val="center"/>
        <w:rPr>
          <w:rFonts w:ascii="Times New Roman" w:hAnsi="Times New Roman" w:cs="Times New Roman"/>
          <w:iCs/>
          <w:noProof/>
          <w:color w:val="000000" w:themeColor="text1"/>
          <w:sz w:val="36"/>
          <w:szCs w:val="36"/>
        </w:rPr>
      </w:pPr>
      <w:bookmarkStart w:id="1" w:name="_Hlk2244900"/>
      <w:r w:rsidRPr="001D5FA0">
        <w:rPr>
          <w:rFonts w:ascii="Times New Roman" w:hAnsi="Times New Roman" w:cs="Times New Roman"/>
          <w:color w:val="000000" w:themeColor="text1"/>
          <w:sz w:val="28"/>
          <w:szCs w:val="36"/>
        </w:rPr>
        <w:t>Temperature</w:t>
      </w:r>
      <w:r w:rsidR="006A4566" w:rsidRPr="001D5FA0">
        <w:rPr>
          <w:rFonts w:ascii="Times New Roman" w:hAnsi="Times New Roman" w:cs="Times New Roman"/>
          <w:color w:val="000000" w:themeColor="text1"/>
          <w:sz w:val="28"/>
          <w:szCs w:val="36"/>
        </w:rPr>
        <w:t>-</w:t>
      </w:r>
      <w:r w:rsidRPr="001D5FA0">
        <w:rPr>
          <w:rFonts w:ascii="Times New Roman" w:hAnsi="Times New Roman" w:cs="Times New Roman"/>
          <w:color w:val="000000" w:themeColor="text1"/>
          <w:sz w:val="28"/>
          <w:szCs w:val="36"/>
        </w:rPr>
        <w:t>body size response</w:t>
      </w:r>
      <w:r w:rsidR="003F3A75" w:rsidRPr="001D5FA0">
        <w:rPr>
          <w:rFonts w:ascii="Times New Roman" w:hAnsi="Times New Roman" w:cs="Times New Roman"/>
          <w:color w:val="000000" w:themeColor="text1"/>
          <w:sz w:val="28"/>
          <w:szCs w:val="36"/>
        </w:rPr>
        <w:t>s</w:t>
      </w:r>
      <w:r w:rsidRPr="001D5FA0">
        <w:rPr>
          <w:rFonts w:ascii="Times New Roman" w:hAnsi="Times New Roman" w:cs="Times New Roman"/>
          <w:color w:val="000000" w:themeColor="text1"/>
          <w:sz w:val="28"/>
          <w:szCs w:val="36"/>
        </w:rPr>
        <w:t xml:space="preserve"> in </w:t>
      </w:r>
      <w:r w:rsidR="002A368F" w:rsidRPr="001D5FA0">
        <w:rPr>
          <w:rFonts w:ascii="Times New Roman" w:hAnsi="Times New Roman" w:cs="Times New Roman"/>
          <w:color w:val="000000" w:themeColor="text1"/>
          <w:sz w:val="28"/>
          <w:szCs w:val="36"/>
        </w:rPr>
        <w:t>insects</w:t>
      </w:r>
      <w:r w:rsidRPr="001D5FA0">
        <w:rPr>
          <w:rFonts w:ascii="Times New Roman" w:hAnsi="Times New Roman" w:cs="Times New Roman"/>
          <w:color w:val="000000" w:themeColor="text1"/>
          <w:sz w:val="28"/>
          <w:szCs w:val="36"/>
        </w:rPr>
        <w:t>: a case study of British Odonata</w:t>
      </w:r>
      <w:bookmarkEnd w:id="1"/>
    </w:p>
    <w:p w14:paraId="78396E30" w14:textId="77777777" w:rsidR="000F7D1A" w:rsidRPr="001D5FA0" w:rsidRDefault="000F7D1A" w:rsidP="0036765C">
      <w:pPr>
        <w:spacing w:line="480" w:lineRule="auto"/>
        <w:rPr>
          <w:rFonts w:ascii="Times New Roman" w:hAnsi="Times New Roman" w:cs="Times New Roman"/>
          <w:b/>
          <w:iCs/>
          <w:noProof/>
          <w:color w:val="000000" w:themeColor="text1"/>
          <w:sz w:val="28"/>
        </w:rPr>
      </w:pPr>
    </w:p>
    <w:p w14:paraId="3CD1D21C" w14:textId="6467ABDF" w:rsidR="003809CA" w:rsidRPr="00CB10DF" w:rsidRDefault="003809CA" w:rsidP="00824045">
      <w:pPr>
        <w:spacing w:line="480" w:lineRule="auto"/>
        <w:jc w:val="center"/>
        <w:rPr>
          <w:rStyle w:val="Strong"/>
          <w:rFonts w:ascii="Times New Roman" w:hAnsi="Times New Roman" w:cs="Times New Roman"/>
          <w:b w:val="0"/>
          <w:color w:val="000000" w:themeColor="text1"/>
          <w:szCs w:val="22"/>
        </w:rPr>
      </w:pPr>
      <w:proofErr w:type="spellStart"/>
      <w:r w:rsidRPr="00CB10DF">
        <w:rPr>
          <w:rStyle w:val="Strong"/>
          <w:rFonts w:ascii="Times New Roman" w:hAnsi="Times New Roman" w:cs="Times New Roman"/>
          <w:color w:val="000000" w:themeColor="text1"/>
          <w:szCs w:val="22"/>
        </w:rPr>
        <w:t>Rungtip</w:t>
      </w:r>
      <w:proofErr w:type="spellEnd"/>
      <w:r w:rsidRPr="00CB10DF">
        <w:rPr>
          <w:rStyle w:val="Strong"/>
          <w:rFonts w:ascii="Times New Roman" w:hAnsi="Times New Roman" w:cs="Times New Roman"/>
          <w:color w:val="000000" w:themeColor="text1"/>
          <w:szCs w:val="22"/>
        </w:rPr>
        <w:t xml:space="preserve"> </w:t>
      </w:r>
      <w:proofErr w:type="spellStart"/>
      <w:r w:rsidRPr="00CB10DF">
        <w:rPr>
          <w:rStyle w:val="Strong"/>
          <w:rFonts w:ascii="Times New Roman" w:hAnsi="Times New Roman" w:cs="Times New Roman"/>
          <w:color w:val="000000" w:themeColor="text1"/>
          <w:szCs w:val="22"/>
        </w:rPr>
        <w:t>Wonglersak</w:t>
      </w:r>
      <w:proofErr w:type="spellEnd"/>
      <w:r w:rsidRPr="00CB10DF">
        <w:rPr>
          <w:rStyle w:val="Strong"/>
          <w:rFonts w:ascii="Times New Roman" w:hAnsi="Times New Roman" w:cs="Times New Roman"/>
          <w:color w:val="000000" w:themeColor="text1"/>
          <w:szCs w:val="22"/>
          <w:vertAlign w:val="superscript"/>
        </w:rPr>
        <w:t xml:space="preserve">* </w:t>
      </w:r>
      <w:proofErr w:type="spellStart"/>
      <w:proofErr w:type="gramStart"/>
      <w:r w:rsidRPr="00CB10DF">
        <w:rPr>
          <w:rStyle w:val="Strong"/>
          <w:rFonts w:ascii="Times New Roman" w:hAnsi="Times New Roman" w:cs="Times New Roman"/>
          <w:color w:val="000000" w:themeColor="text1"/>
          <w:szCs w:val="22"/>
          <w:vertAlign w:val="superscript"/>
        </w:rPr>
        <w:t>a,b</w:t>
      </w:r>
      <w:proofErr w:type="spellEnd"/>
      <w:proofErr w:type="gramEnd"/>
      <w:r w:rsidRPr="00CB10DF">
        <w:rPr>
          <w:rStyle w:val="Strong"/>
          <w:rFonts w:ascii="Times New Roman" w:hAnsi="Times New Roman" w:cs="Times New Roman"/>
          <w:color w:val="000000" w:themeColor="text1"/>
          <w:szCs w:val="22"/>
        </w:rPr>
        <w:t xml:space="preserve">, Phillip B. </w:t>
      </w:r>
      <w:proofErr w:type="spellStart"/>
      <w:r w:rsidRPr="00CB10DF">
        <w:rPr>
          <w:rStyle w:val="Strong"/>
          <w:rFonts w:ascii="Times New Roman" w:hAnsi="Times New Roman" w:cs="Times New Roman"/>
          <w:color w:val="000000" w:themeColor="text1"/>
          <w:szCs w:val="22"/>
        </w:rPr>
        <w:t>Fenberg</w:t>
      </w:r>
      <w:proofErr w:type="spellEnd"/>
      <w:r w:rsidRPr="00CB10DF">
        <w:rPr>
          <w:rStyle w:val="Strong"/>
          <w:rFonts w:ascii="Times New Roman" w:hAnsi="Times New Roman" w:cs="Times New Roman"/>
          <w:color w:val="000000" w:themeColor="text1"/>
          <w:szCs w:val="22"/>
        </w:rPr>
        <w:t xml:space="preserve"> </w:t>
      </w:r>
      <w:proofErr w:type="spellStart"/>
      <w:r w:rsidRPr="00CB10DF">
        <w:rPr>
          <w:rStyle w:val="Strong"/>
          <w:rFonts w:ascii="Times New Roman" w:hAnsi="Times New Roman" w:cs="Times New Roman"/>
          <w:color w:val="000000" w:themeColor="text1"/>
          <w:szCs w:val="22"/>
          <w:vertAlign w:val="superscript"/>
        </w:rPr>
        <w:t>a,b</w:t>
      </w:r>
      <w:proofErr w:type="spellEnd"/>
      <w:r w:rsidRPr="00CB10DF">
        <w:rPr>
          <w:rStyle w:val="Strong"/>
          <w:rFonts w:ascii="Times New Roman" w:hAnsi="Times New Roman" w:cs="Times New Roman"/>
          <w:color w:val="000000" w:themeColor="text1"/>
          <w:szCs w:val="22"/>
        </w:rPr>
        <w:t xml:space="preserve">, Peter G. Langdon </w:t>
      </w:r>
      <w:r w:rsidRPr="00CB10DF">
        <w:rPr>
          <w:rStyle w:val="Strong"/>
          <w:rFonts w:ascii="Times New Roman" w:hAnsi="Times New Roman" w:cs="Times New Roman"/>
          <w:color w:val="000000" w:themeColor="text1"/>
          <w:szCs w:val="22"/>
          <w:vertAlign w:val="superscript"/>
        </w:rPr>
        <w:t>c</w:t>
      </w:r>
      <w:r w:rsidRPr="00CB10DF">
        <w:rPr>
          <w:rStyle w:val="Strong"/>
          <w:rFonts w:ascii="Times New Roman" w:hAnsi="Times New Roman" w:cs="Times New Roman"/>
          <w:color w:val="000000" w:themeColor="text1"/>
          <w:szCs w:val="22"/>
        </w:rPr>
        <w:t>,</w:t>
      </w:r>
    </w:p>
    <w:p w14:paraId="587658EF" w14:textId="77777777" w:rsidR="003809CA" w:rsidRPr="00CB10DF" w:rsidRDefault="003809CA" w:rsidP="003809CA">
      <w:pPr>
        <w:spacing w:line="480" w:lineRule="auto"/>
        <w:jc w:val="center"/>
        <w:rPr>
          <w:rStyle w:val="Strong"/>
          <w:rFonts w:ascii="Times New Roman" w:hAnsi="Times New Roman" w:cs="Times New Roman"/>
          <w:color w:val="000000" w:themeColor="text1"/>
          <w:szCs w:val="22"/>
        </w:rPr>
      </w:pPr>
      <w:r w:rsidRPr="00CB10DF">
        <w:rPr>
          <w:rStyle w:val="Strong"/>
          <w:rFonts w:ascii="Times New Roman" w:hAnsi="Times New Roman" w:cs="Times New Roman"/>
          <w:color w:val="000000" w:themeColor="text1"/>
          <w:szCs w:val="22"/>
        </w:rPr>
        <w:t xml:space="preserve">Stephen J. Brooks </w:t>
      </w:r>
      <w:r w:rsidRPr="00CB10DF">
        <w:rPr>
          <w:rStyle w:val="Strong"/>
          <w:rFonts w:ascii="Times New Roman" w:hAnsi="Times New Roman" w:cs="Times New Roman"/>
          <w:color w:val="000000" w:themeColor="text1"/>
          <w:szCs w:val="22"/>
          <w:vertAlign w:val="superscript"/>
        </w:rPr>
        <w:t>b</w:t>
      </w:r>
      <w:r w:rsidRPr="00CB10DF">
        <w:rPr>
          <w:rStyle w:val="Strong"/>
          <w:rFonts w:ascii="Times New Roman" w:hAnsi="Times New Roman" w:cs="Times New Roman"/>
          <w:color w:val="000000" w:themeColor="text1"/>
          <w:szCs w:val="22"/>
        </w:rPr>
        <w:t xml:space="preserve"> and Benjamin </w:t>
      </w:r>
      <w:r w:rsidRPr="00CB10DF">
        <w:rPr>
          <w:rStyle w:val="Strong"/>
          <w:rFonts w:ascii="Times New Roman" w:hAnsi="Times New Roman" w:cs="Times New Roman"/>
          <w:color w:val="000000" w:themeColor="text1"/>
        </w:rPr>
        <w:t>W.</w:t>
      </w:r>
      <w:r w:rsidRPr="00CB10DF">
        <w:rPr>
          <w:rStyle w:val="Strong"/>
          <w:rFonts w:ascii="Times New Roman" w:hAnsi="Times New Roman" w:cs="Times New Roman"/>
          <w:color w:val="000000" w:themeColor="text1"/>
          <w:szCs w:val="22"/>
        </w:rPr>
        <w:t xml:space="preserve"> Price </w:t>
      </w:r>
      <w:r w:rsidRPr="00CB10DF">
        <w:rPr>
          <w:rStyle w:val="Strong"/>
          <w:rFonts w:ascii="Times New Roman" w:hAnsi="Times New Roman" w:cs="Times New Roman"/>
          <w:color w:val="000000" w:themeColor="text1"/>
          <w:szCs w:val="22"/>
          <w:vertAlign w:val="superscript"/>
        </w:rPr>
        <w:t>b</w:t>
      </w:r>
    </w:p>
    <w:p w14:paraId="4F3E9DB8" w14:textId="77777777" w:rsidR="003809CA" w:rsidRPr="00CB10DF" w:rsidRDefault="003809CA" w:rsidP="003809CA">
      <w:pPr>
        <w:spacing w:line="480" w:lineRule="auto"/>
        <w:jc w:val="center"/>
        <w:rPr>
          <w:rStyle w:val="Strong"/>
          <w:rFonts w:ascii="Times New Roman" w:hAnsi="Times New Roman" w:cs="Times New Roman"/>
          <w:b w:val="0"/>
          <w:color w:val="000000" w:themeColor="text1"/>
          <w:szCs w:val="22"/>
        </w:rPr>
      </w:pPr>
    </w:p>
    <w:p w14:paraId="30356DF7" w14:textId="77777777" w:rsidR="003809CA" w:rsidRPr="00CB10DF" w:rsidRDefault="003809CA" w:rsidP="003809CA">
      <w:pPr>
        <w:spacing w:line="480" w:lineRule="auto"/>
        <w:jc w:val="center"/>
        <w:rPr>
          <w:rFonts w:ascii="Times New Roman" w:hAnsi="Times New Roman" w:cs="Times New Roman"/>
          <w:color w:val="000000" w:themeColor="text1"/>
        </w:rPr>
      </w:pPr>
      <w:r w:rsidRPr="00CB10DF">
        <w:rPr>
          <w:rFonts w:ascii="Times New Roman" w:hAnsi="Times New Roman" w:cs="Times New Roman"/>
          <w:color w:val="000000" w:themeColor="text1"/>
          <w:vertAlign w:val="superscript"/>
        </w:rPr>
        <w:t>a</w:t>
      </w:r>
      <w:r w:rsidRPr="00CB10DF">
        <w:rPr>
          <w:rFonts w:ascii="Times New Roman" w:hAnsi="Times New Roman" w:cs="Times New Roman"/>
          <w:color w:val="000000" w:themeColor="text1"/>
        </w:rPr>
        <w:t xml:space="preserve"> </w:t>
      </w:r>
      <w:r w:rsidRPr="00CB10DF">
        <w:rPr>
          <w:rFonts w:ascii="Times New Roman" w:hAnsi="Times New Roman" w:cs="Times New Roman"/>
          <w:i/>
          <w:iCs/>
          <w:color w:val="000000" w:themeColor="text1"/>
        </w:rPr>
        <w:t>Department of Ocean and Earth Sciences, University of Southampton, Southampton, SO14 3ZH, United Kingdom</w:t>
      </w:r>
    </w:p>
    <w:p w14:paraId="0CC87992" w14:textId="77777777" w:rsidR="003809CA" w:rsidRPr="00CB10DF" w:rsidRDefault="003809CA" w:rsidP="003809CA">
      <w:pPr>
        <w:spacing w:line="480" w:lineRule="auto"/>
        <w:jc w:val="center"/>
        <w:rPr>
          <w:rFonts w:ascii="Times New Roman" w:hAnsi="Times New Roman" w:cs="Times New Roman"/>
          <w:color w:val="000000" w:themeColor="text1"/>
        </w:rPr>
      </w:pPr>
      <w:r w:rsidRPr="00CB10DF">
        <w:rPr>
          <w:rFonts w:ascii="Times New Roman" w:hAnsi="Times New Roman" w:cs="Times New Roman"/>
          <w:color w:val="000000" w:themeColor="text1"/>
          <w:vertAlign w:val="superscript"/>
        </w:rPr>
        <w:t>b</w:t>
      </w:r>
      <w:r w:rsidRPr="00CB10DF">
        <w:rPr>
          <w:rFonts w:ascii="Times New Roman" w:hAnsi="Times New Roman" w:cs="Times New Roman"/>
          <w:color w:val="000000" w:themeColor="text1"/>
        </w:rPr>
        <w:t xml:space="preserve"> </w:t>
      </w:r>
      <w:r w:rsidRPr="00CB10DF">
        <w:rPr>
          <w:rFonts w:ascii="Times New Roman" w:hAnsi="Times New Roman" w:cs="Times New Roman"/>
          <w:i/>
          <w:iCs/>
          <w:color w:val="000000" w:themeColor="text1"/>
        </w:rPr>
        <w:t>Department of Life Sciences, Natural History Museum, London, SW7 5BD, United Kingdom</w:t>
      </w:r>
    </w:p>
    <w:p w14:paraId="01EC8B8B" w14:textId="77777777" w:rsidR="003809CA" w:rsidRPr="00CB10DF" w:rsidRDefault="003809CA" w:rsidP="003809CA">
      <w:pPr>
        <w:spacing w:line="480" w:lineRule="auto"/>
        <w:jc w:val="center"/>
        <w:rPr>
          <w:rFonts w:ascii="Times New Roman" w:hAnsi="Times New Roman" w:cs="Times New Roman"/>
          <w:color w:val="000000" w:themeColor="text1"/>
        </w:rPr>
      </w:pPr>
      <w:r w:rsidRPr="00CB10DF">
        <w:rPr>
          <w:rFonts w:ascii="Times New Roman" w:hAnsi="Times New Roman" w:cs="Times New Roman"/>
          <w:color w:val="000000" w:themeColor="text1"/>
          <w:vertAlign w:val="superscript"/>
        </w:rPr>
        <w:t>c</w:t>
      </w:r>
      <w:r w:rsidRPr="00CB10DF">
        <w:rPr>
          <w:rFonts w:ascii="Times New Roman" w:hAnsi="Times New Roman" w:cs="Times New Roman"/>
          <w:color w:val="000000" w:themeColor="text1"/>
        </w:rPr>
        <w:t xml:space="preserve"> </w:t>
      </w:r>
      <w:r w:rsidRPr="00CB10DF">
        <w:rPr>
          <w:rFonts w:ascii="Times New Roman" w:hAnsi="Times New Roman" w:cs="Times New Roman"/>
          <w:i/>
          <w:iCs/>
          <w:color w:val="000000" w:themeColor="text1"/>
        </w:rPr>
        <w:t>Department of Geography and Environment, University of Southampton, Southampton, SO17 1BJ, United Kingdom</w:t>
      </w:r>
    </w:p>
    <w:p w14:paraId="0B91532B" w14:textId="63618608" w:rsidR="003809CA" w:rsidRDefault="003809CA" w:rsidP="003809CA">
      <w:pPr>
        <w:spacing w:before="240" w:line="480" w:lineRule="auto"/>
        <w:jc w:val="center"/>
        <w:rPr>
          <w:rFonts w:ascii="Times New Roman" w:hAnsi="Times New Roman" w:cs="Times New Roman"/>
          <w:color w:val="000000" w:themeColor="text1"/>
        </w:rPr>
      </w:pPr>
      <w:r w:rsidRPr="00CB10DF">
        <w:rPr>
          <w:rFonts w:ascii="Times New Roman" w:hAnsi="Times New Roman" w:cs="Times New Roman"/>
          <w:b/>
          <w:bCs/>
          <w:color w:val="000000" w:themeColor="text1"/>
          <w:vertAlign w:val="superscript"/>
        </w:rPr>
        <w:t>*</w:t>
      </w:r>
      <w:r w:rsidRPr="00CB10DF">
        <w:rPr>
          <w:rFonts w:ascii="Times New Roman" w:hAnsi="Times New Roman" w:cs="Times New Roman"/>
          <w:b/>
          <w:bCs/>
          <w:color w:val="000000" w:themeColor="text1"/>
        </w:rPr>
        <w:t>Corresponding author</w:t>
      </w:r>
      <w:r w:rsidR="0036765C" w:rsidRPr="00CB10DF">
        <w:rPr>
          <w:rFonts w:ascii="Times New Roman" w:hAnsi="Times New Roman" w:cs="Times New Roman"/>
          <w:b/>
          <w:bCs/>
          <w:color w:val="000000" w:themeColor="text1"/>
        </w:rPr>
        <w:t>’s e-mail</w:t>
      </w:r>
      <w:r w:rsidR="001D5FA0">
        <w:rPr>
          <w:rFonts w:ascii="Times New Roman" w:hAnsi="Times New Roman" w:cs="Times New Roman"/>
          <w:b/>
          <w:bCs/>
          <w:color w:val="000000" w:themeColor="text1"/>
        </w:rPr>
        <w:t xml:space="preserve"> and address</w:t>
      </w:r>
      <w:r w:rsidRPr="00CB10DF">
        <w:rPr>
          <w:rFonts w:ascii="Times New Roman" w:hAnsi="Times New Roman" w:cs="Times New Roman"/>
          <w:b/>
          <w:bCs/>
          <w:color w:val="000000" w:themeColor="text1"/>
        </w:rPr>
        <w:t>:</w:t>
      </w:r>
      <w:r w:rsidRPr="00CB10DF">
        <w:rPr>
          <w:rFonts w:ascii="Times New Roman" w:hAnsi="Times New Roman" w:cs="Times New Roman"/>
          <w:color w:val="000000" w:themeColor="text1"/>
        </w:rPr>
        <w:t xml:space="preserve"> </w:t>
      </w:r>
      <w:hyperlink r:id="rId8" w:history="1">
        <w:r w:rsidR="001D5FA0" w:rsidRPr="003826B3">
          <w:rPr>
            <w:rStyle w:val="Hyperlink"/>
            <w:rFonts w:ascii="Times New Roman" w:hAnsi="Times New Roman" w:cs="Times New Roman"/>
          </w:rPr>
          <w:t>r.wonglersak@soton.ac.uk</w:t>
        </w:r>
      </w:hyperlink>
    </w:p>
    <w:p w14:paraId="6AB1FB22" w14:textId="696CA045" w:rsidR="001D5FA0" w:rsidRPr="001D5FA0" w:rsidRDefault="001D5FA0" w:rsidP="001D5FA0">
      <w:pPr>
        <w:spacing w:before="240" w:line="480" w:lineRule="auto"/>
        <w:jc w:val="center"/>
        <w:rPr>
          <w:rFonts w:ascii="Times New Roman" w:hAnsi="Times New Roman" w:cs="Times New Roman"/>
          <w:i/>
          <w:iCs/>
          <w:color w:val="000000" w:themeColor="text1"/>
        </w:rPr>
        <w:sectPr w:rsidR="001D5FA0" w:rsidRPr="001D5FA0" w:rsidSect="00291B57">
          <w:footerReference w:type="default" r:id="rId9"/>
          <w:pgSz w:w="12240" w:h="15840"/>
          <w:pgMar w:top="1440" w:right="2880" w:bottom="1440" w:left="2880" w:header="720" w:footer="720" w:gutter="0"/>
          <w:lnNumType w:countBy="1" w:restart="continuous"/>
          <w:cols w:space="720"/>
          <w:docGrid w:linePitch="299"/>
        </w:sectPr>
      </w:pPr>
      <w:r w:rsidRPr="001D5FA0">
        <w:rPr>
          <w:rFonts w:ascii="Times New Roman" w:hAnsi="Times New Roman" w:cs="Times New Roman"/>
          <w:i/>
          <w:iCs/>
          <w:color w:val="000000" w:themeColor="text1"/>
        </w:rPr>
        <w:t>7</w:t>
      </w:r>
      <w:r w:rsidRPr="001D5FA0">
        <w:rPr>
          <w:rFonts w:ascii="Times New Roman" w:hAnsi="Times New Roman" w:cs="Times New Roman"/>
          <w:i/>
          <w:iCs/>
          <w:color w:val="000000" w:themeColor="text1"/>
          <w:vertAlign w:val="superscript"/>
        </w:rPr>
        <w:t>th</w:t>
      </w:r>
      <w:r w:rsidRPr="001D5FA0">
        <w:rPr>
          <w:rFonts w:ascii="Times New Roman" w:hAnsi="Times New Roman" w:cs="Times New Roman"/>
          <w:i/>
          <w:iCs/>
          <w:color w:val="000000" w:themeColor="text1"/>
        </w:rPr>
        <w:t xml:space="preserve"> Floor DC2, Department of Life Sciences, The Natural History Muse</w:t>
      </w:r>
      <w:r w:rsidR="009F164B">
        <w:rPr>
          <w:rFonts w:ascii="Times New Roman" w:hAnsi="Times New Roman" w:cs="Times New Roman"/>
          <w:i/>
          <w:iCs/>
          <w:color w:val="000000" w:themeColor="text1"/>
        </w:rPr>
        <w:t>u</w:t>
      </w:r>
      <w:r w:rsidRPr="001D5FA0">
        <w:rPr>
          <w:rFonts w:ascii="Times New Roman" w:hAnsi="Times New Roman" w:cs="Times New Roman"/>
          <w:i/>
          <w:iCs/>
          <w:color w:val="000000" w:themeColor="text1"/>
        </w:rPr>
        <w:t>m, Cromwell Road, London, SW7 5BD, United Kingdom</w:t>
      </w:r>
    </w:p>
    <w:p w14:paraId="18F54B49" w14:textId="77777777" w:rsidR="00FE384D" w:rsidRPr="00CB10DF" w:rsidRDefault="00FE384D" w:rsidP="00FE384D">
      <w:pPr>
        <w:spacing w:before="240" w:after="240" w:line="480" w:lineRule="auto"/>
        <w:jc w:val="both"/>
        <w:rPr>
          <w:rFonts w:ascii="Times New Roman" w:eastAsia="Times New Roman" w:hAnsi="Times New Roman" w:cs="Times New Roman"/>
          <w:b/>
          <w:color w:val="000000" w:themeColor="text1"/>
        </w:rPr>
      </w:pPr>
      <w:r w:rsidRPr="00CB10DF">
        <w:rPr>
          <w:rFonts w:ascii="Times New Roman" w:eastAsia="Times New Roman" w:hAnsi="Times New Roman" w:cs="Times New Roman"/>
          <w:b/>
          <w:color w:val="000000" w:themeColor="text1"/>
        </w:rPr>
        <w:lastRenderedPageBreak/>
        <w:t>Abstract</w:t>
      </w:r>
    </w:p>
    <w:p w14:paraId="1555E6E5" w14:textId="77777777" w:rsidR="00FE384D" w:rsidRPr="00CB10DF" w:rsidRDefault="00FE384D" w:rsidP="00FE384D">
      <w:pPr>
        <w:spacing w:before="240" w:after="240" w:line="480" w:lineRule="auto"/>
        <w:ind w:left="720"/>
        <w:jc w:val="both"/>
        <w:rPr>
          <w:rFonts w:ascii="Times New Roman" w:eastAsia="Times New Roman" w:hAnsi="Times New Roman" w:cs="Times New Roman"/>
          <w:color w:val="000000" w:themeColor="text1"/>
        </w:rPr>
      </w:pPr>
      <w:r w:rsidRPr="00CB10DF">
        <w:rPr>
          <w:rFonts w:ascii="Times New Roman" w:eastAsia="Times New Roman" w:hAnsi="Times New Roman" w:cs="Times New Roman"/>
          <w:color w:val="000000" w:themeColor="text1"/>
        </w:rPr>
        <w:t>1.</w:t>
      </w:r>
      <w:r w:rsidRPr="00CB10DF">
        <w:rPr>
          <w:rFonts w:ascii="Times New Roman" w:eastAsia="Times New Roman" w:hAnsi="Times New Roman" w:cs="Times New Roman"/>
          <w:color w:val="000000" w:themeColor="text1"/>
          <w:sz w:val="14"/>
          <w:szCs w:val="14"/>
        </w:rPr>
        <w:t xml:space="preserve">     </w:t>
      </w:r>
      <w:r w:rsidRPr="00CB10DF">
        <w:rPr>
          <w:rFonts w:ascii="Times New Roman" w:eastAsia="Times New Roman" w:hAnsi="Times New Roman" w:cs="Times New Roman"/>
          <w:color w:val="000000" w:themeColor="text1"/>
        </w:rPr>
        <w:t>Body size is highly correlated with physiological traits, fitness, and trophic interactions. These traits are subject to change if there are widespread reductions of body size with warming temperatures, which is suggested as one of the “universal” ecological responses to climate change. However, general patterns of body size response to temperature in insects have not yet emerged.</w:t>
      </w:r>
    </w:p>
    <w:p w14:paraId="1B879B96" w14:textId="77777777" w:rsidR="00FE384D" w:rsidRPr="00CB10DF" w:rsidRDefault="00FE384D" w:rsidP="00FE384D">
      <w:pPr>
        <w:spacing w:before="240" w:after="240" w:line="480" w:lineRule="auto"/>
        <w:ind w:left="720"/>
        <w:jc w:val="both"/>
        <w:rPr>
          <w:rFonts w:ascii="Times New Roman" w:eastAsia="Times New Roman" w:hAnsi="Times New Roman" w:cs="Times New Roman"/>
          <w:color w:val="000000" w:themeColor="text1"/>
        </w:rPr>
      </w:pPr>
      <w:r w:rsidRPr="00CB10DF">
        <w:rPr>
          <w:rFonts w:ascii="Times New Roman" w:eastAsia="Times New Roman" w:hAnsi="Times New Roman" w:cs="Times New Roman"/>
          <w:color w:val="000000" w:themeColor="text1"/>
        </w:rPr>
        <w:t>2.</w:t>
      </w:r>
      <w:r w:rsidRPr="00CB10DF">
        <w:rPr>
          <w:rFonts w:ascii="Times New Roman" w:eastAsia="Times New Roman" w:hAnsi="Times New Roman" w:cs="Times New Roman"/>
          <w:color w:val="000000" w:themeColor="text1"/>
          <w:sz w:val="14"/>
          <w:szCs w:val="14"/>
        </w:rPr>
        <w:t xml:space="preserve">     </w:t>
      </w:r>
      <w:r w:rsidRPr="00CB10DF">
        <w:rPr>
          <w:rFonts w:ascii="Times New Roman" w:eastAsia="Times New Roman" w:hAnsi="Times New Roman" w:cs="Times New Roman"/>
          <w:color w:val="000000" w:themeColor="text1"/>
        </w:rPr>
        <w:t>To address this knowledge gap, we paired the wing length (as a proxy for body size) of 5,331 museum specimens of 14 species of British Odonata with historical temperature data. Three sets of analyses were performed 1) a regression analysis to test for a relationship between wing length and mean seasonal temperature within species and subsequent comparisons across species and suborders, 2) an investigation of whether the body size of species has an effect on sensitivity to warming temperature and, 3) a linear-mixed effects model to investigate factors that potentially affect temperature-size response.</w:t>
      </w:r>
    </w:p>
    <w:p w14:paraId="3C688C67" w14:textId="7AD5AD94" w:rsidR="00FE384D" w:rsidRPr="00CB10DF" w:rsidRDefault="00FE384D" w:rsidP="00FE384D">
      <w:pPr>
        <w:spacing w:before="240" w:after="240" w:line="480" w:lineRule="auto"/>
        <w:ind w:left="720"/>
        <w:jc w:val="both"/>
        <w:rPr>
          <w:rFonts w:ascii="Times New Roman" w:eastAsia="Times New Roman" w:hAnsi="Times New Roman" w:cs="Times New Roman"/>
          <w:color w:val="000000" w:themeColor="text1"/>
        </w:rPr>
      </w:pPr>
      <w:r w:rsidRPr="00CB10DF">
        <w:rPr>
          <w:rFonts w:ascii="Times New Roman" w:eastAsia="Times New Roman" w:hAnsi="Times New Roman" w:cs="Times New Roman"/>
          <w:color w:val="000000" w:themeColor="text1"/>
        </w:rPr>
        <w:t>3.</w:t>
      </w:r>
      <w:r w:rsidRPr="00CB10DF">
        <w:rPr>
          <w:rFonts w:ascii="Times New Roman" w:eastAsia="Times New Roman" w:hAnsi="Times New Roman" w:cs="Times New Roman"/>
          <w:color w:val="000000" w:themeColor="text1"/>
          <w:sz w:val="14"/>
          <w:szCs w:val="14"/>
        </w:rPr>
        <w:t xml:space="preserve">     </w:t>
      </w:r>
      <w:r w:rsidRPr="00CB10DF">
        <w:rPr>
          <w:rFonts w:ascii="Times New Roman" w:eastAsia="Times New Roman" w:hAnsi="Times New Roman" w:cs="Times New Roman"/>
          <w:color w:val="000000" w:themeColor="text1"/>
        </w:rPr>
        <w:t>The regression analysis indicated that wing length is negatively correlated with</w:t>
      </w:r>
      <w:r w:rsidR="001608E9" w:rsidRPr="00CB10DF">
        <w:rPr>
          <w:rFonts w:ascii="Times New Roman" w:eastAsia="Times New Roman" w:hAnsi="Times New Roman" w:cs="Times New Roman"/>
          <w:color w:val="000000" w:themeColor="text1"/>
        </w:rPr>
        <w:t xml:space="preserve"> </w:t>
      </w:r>
      <w:r w:rsidRPr="00CB10DF">
        <w:rPr>
          <w:rFonts w:ascii="Times New Roman" w:eastAsia="Times New Roman" w:hAnsi="Times New Roman" w:cs="Times New Roman"/>
          <w:color w:val="000000" w:themeColor="text1"/>
        </w:rPr>
        <w:t>mean seasonal temperatures for</w:t>
      </w:r>
      <w:r w:rsidR="001608E9" w:rsidRPr="00CB10DF">
        <w:rPr>
          <w:rFonts w:ascii="Times New Roman" w:eastAsia="Times New Roman" w:hAnsi="Times New Roman" w:cs="Times New Roman"/>
          <w:color w:val="000000" w:themeColor="text1"/>
        </w:rPr>
        <w:t xml:space="preserve"> </w:t>
      </w:r>
      <w:r w:rsidRPr="00CB10DF">
        <w:rPr>
          <w:rFonts w:ascii="Times New Roman" w:eastAsia="Times New Roman" w:hAnsi="Times New Roman" w:cs="Times New Roman"/>
          <w:color w:val="000000" w:themeColor="text1"/>
        </w:rPr>
        <w:t>Zygoptera, while, Anisoptera showed no significant correlation with temperature.</w:t>
      </w:r>
    </w:p>
    <w:p w14:paraId="11DF2D21" w14:textId="77777777" w:rsidR="00FE384D" w:rsidRPr="00CB10DF" w:rsidRDefault="00FE384D" w:rsidP="00FE384D">
      <w:pPr>
        <w:spacing w:before="240" w:after="240" w:line="480" w:lineRule="auto"/>
        <w:ind w:left="720"/>
        <w:jc w:val="both"/>
        <w:rPr>
          <w:rFonts w:ascii="Times New Roman" w:eastAsia="Times New Roman" w:hAnsi="Times New Roman" w:cs="Times New Roman"/>
          <w:color w:val="000000" w:themeColor="text1"/>
        </w:rPr>
      </w:pPr>
      <w:r w:rsidRPr="00CB10DF">
        <w:rPr>
          <w:rFonts w:ascii="Times New Roman" w:eastAsia="Times New Roman" w:hAnsi="Times New Roman" w:cs="Times New Roman"/>
          <w:color w:val="000000" w:themeColor="text1"/>
        </w:rPr>
        <w:lastRenderedPageBreak/>
        <w:t>4.</w:t>
      </w:r>
      <w:r w:rsidRPr="00CB10DF">
        <w:rPr>
          <w:rFonts w:ascii="Times New Roman" w:eastAsia="Times New Roman" w:hAnsi="Times New Roman" w:cs="Times New Roman"/>
          <w:color w:val="000000" w:themeColor="text1"/>
          <w:sz w:val="14"/>
          <w:szCs w:val="14"/>
        </w:rPr>
        <w:t xml:space="preserve">     </w:t>
      </w:r>
      <w:r w:rsidRPr="00CB10DF">
        <w:rPr>
          <w:rFonts w:ascii="Times New Roman" w:eastAsia="Times New Roman" w:hAnsi="Times New Roman" w:cs="Times New Roman"/>
          <w:color w:val="000000" w:themeColor="text1"/>
        </w:rPr>
        <w:t>There is a significant decline in wing length of all Zygoptera (but not Anisoptera) with collection date, suggesting that individuals emerging later in the season are smaller.</w:t>
      </w:r>
    </w:p>
    <w:p w14:paraId="39D2F912" w14:textId="77777777" w:rsidR="00FE384D" w:rsidRPr="00CB10DF" w:rsidRDefault="00FE384D" w:rsidP="00FE384D">
      <w:pPr>
        <w:spacing w:before="240" w:after="240" w:line="480" w:lineRule="auto"/>
        <w:ind w:left="720"/>
        <w:jc w:val="both"/>
        <w:rPr>
          <w:rFonts w:ascii="Times New Roman" w:eastAsia="Times New Roman" w:hAnsi="Times New Roman" w:cs="Times New Roman"/>
          <w:color w:val="000000" w:themeColor="text1"/>
        </w:rPr>
      </w:pPr>
      <w:r w:rsidRPr="00CB10DF">
        <w:rPr>
          <w:rFonts w:ascii="Times New Roman" w:eastAsia="Times New Roman" w:hAnsi="Times New Roman" w:cs="Times New Roman"/>
          <w:color w:val="000000" w:themeColor="text1"/>
        </w:rPr>
        <w:t>5.</w:t>
      </w:r>
      <w:r w:rsidRPr="00CB10DF">
        <w:rPr>
          <w:rFonts w:ascii="Times New Roman" w:eastAsia="Times New Roman" w:hAnsi="Times New Roman" w:cs="Times New Roman"/>
          <w:color w:val="000000" w:themeColor="text1"/>
          <w:sz w:val="14"/>
          <w:szCs w:val="14"/>
        </w:rPr>
        <w:t xml:space="preserve">     </w:t>
      </w:r>
      <w:r w:rsidRPr="00CB10DF">
        <w:rPr>
          <w:rFonts w:ascii="Times New Roman" w:eastAsia="Times New Roman" w:hAnsi="Times New Roman" w:cs="Times New Roman"/>
          <w:color w:val="000000" w:themeColor="text1"/>
        </w:rPr>
        <w:t>Life-cycle type was not important for predicting wing length-temperature responses, whereas sex, species and suborder were indicated as important factors affecting the magnitude of temperature-size responses in Odonata.</w:t>
      </w:r>
    </w:p>
    <w:p w14:paraId="6DA9F636" w14:textId="77777777" w:rsidR="00FE384D" w:rsidRPr="00CB10DF" w:rsidRDefault="00FE384D" w:rsidP="00FE384D">
      <w:pPr>
        <w:spacing w:before="240" w:after="240" w:line="480" w:lineRule="auto"/>
        <w:ind w:left="720"/>
        <w:jc w:val="both"/>
        <w:rPr>
          <w:rFonts w:ascii="Times New Roman" w:eastAsia="Times New Roman" w:hAnsi="Times New Roman" w:cs="Times New Roman"/>
          <w:color w:val="000000" w:themeColor="text1"/>
        </w:rPr>
      </w:pPr>
      <w:r w:rsidRPr="00CB10DF">
        <w:rPr>
          <w:rFonts w:ascii="Times New Roman" w:eastAsia="Times New Roman" w:hAnsi="Times New Roman" w:cs="Times New Roman"/>
          <w:color w:val="000000" w:themeColor="text1"/>
        </w:rPr>
        <w:t>6.</w:t>
      </w:r>
      <w:r w:rsidRPr="00CB10DF">
        <w:rPr>
          <w:rFonts w:ascii="Times New Roman" w:eastAsia="Times New Roman" w:hAnsi="Times New Roman" w:cs="Times New Roman"/>
          <w:color w:val="000000" w:themeColor="text1"/>
          <w:sz w:val="14"/>
          <w:szCs w:val="14"/>
        </w:rPr>
        <w:t xml:space="preserve">     </w:t>
      </w:r>
      <w:r w:rsidRPr="00CB10DF">
        <w:rPr>
          <w:rFonts w:ascii="Times New Roman" w:eastAsia="Times New Roman" w:hAnsi="Times New Roman" w:cs="Times New Roman"/>
          <w:color w:val="000000" w:themeColor="text1"/>
        </w:rPr>
        <w:t>Overall, wing lengths of Zygoptera are more sensitive to temperature and collection date than Anisoptera.</w:t>
      </w:r>
    </w:p>
    <w:p w14:paraId="2C576B2E" w14:textId="77777777" w:rsidR="00FE384D" w:rsidRPr="00CB10DF" w:rsidRDefault="00FE384D" w:rsidP="00FE384D">
      <w:pPr>
        <w:spacing w:before="240" w:after="240" w:line="480" w:lineRule="auto"/>
        <w:jc w:val="both"/>
        <w:rPr>
          <w:rFonts w:ascii="Times New Roman" w:eastAsia="Times New Roman" w:hAnsi="Times New Roman" w:cs="Times New Roman"/>
          <w:i/>
          <w:color w:val="000000" w:themeColor="text1"/>
        </w:rPr>
      </w:pPr>
      <w:r w:rsidRPr="00CB10DF">
        <w:rPr>
          <w:rFonts w:ascii="Times New Roman" w:eastAsia="Times New Roman" w:hAnsi="Times New Roman" w:cs="Times New Roman"/>
          <w:b/>
          <w:i/>
          <w:color w:val="000000" w:themeColor="text1"/>
        </w:rPr>
        <w:t>Key-words</w:t>
      </w:r>
      <w:r w:rsidRPr="00CB10DF">
        <w:rPr>
          <w:rFonts w:ascii="Times New Roman" w:eastAsia="Times New Roman" w:hAnsi="Times New Roman" w:cs="Times New Roman"/>
          <w:i/>
          <w:color w:val="000000" w:themeColor="text1"/>
        </w:rPr>
        <w:t>: Anisoptera, body size response, climate change, temperature-size rule (TSR), museum collections, Zygoptera</w:t>
      </w:r>
    </w:p>
    <w:p w14:paraId="30B79D67" w14:textId="77777777" w:rsidR="00FE384D" w:rsidRPr="00CB10DF" w:rsidRDefault="00FE384D" w:rsidP="00FE384D">
      <w:pPr>
        <w:spacing w:before="240" w:after="240" w:line="480" w:lineRule="auto"/>
        <w:jc w:val="both"/>
        <w:rPr>
          <w:rFonts w:ascii="Times New Roman" w:eastAsia="Times New Roman" w:hAnsi="Times New Roman" w:cs="Times New Roman"/>
          <w:b/>
          <w:color w:val="000000" w:themeColor="text1"/>
        </w:rPr>
      </w:pPr>
      <w:r w:rsidRPr="00CB10DF">
        <w:rPr>
          <w:rFonts w:ascii="Times New Roman" w:eastAsia="Times New Roman" w:hAnsi="Times New Roman" w:cs="Times New Roman"/>
          <w:b/>
          <w:color w:val="000000" w:themeColor="text1"/>
        </w:rPr>
        <w:t>Introduction</w:t>
      </w:r>
    </w:p>
    <w:p w14:paraId="0F1E3C28" w14:textId="59E51314" w:rsidR="00FE384D" w:rsidRPr="00CB10DF" w:rsidRDefault="00FE384D" w:rsidP="00FE384D">
      <w:pPr>
        <w:spacing w:before="240" w:after="240" w:line="480" w:lineRule="auto"/>
        <w:jc w:val="both"/>
        <w:rPr>
          <w:rFonts w:ascii="Times New Roman" w:eastAsia="Times New Roman" w:hAnsi="Times New Roman" w:cs="Times New Roman"/>
          <w:color w:val="000000" w:themeColor="text1"/>
        </w:rPr>
      </w:pPr>
      <w:r w:rsidRPr="00CB10DF">
        <w:rPr>
          <w:rFonts w:ascii="Times New Roman" w:eastAsia="Times New Roman" w:hAnsi="Times New Roman" w:cs="Times New Roman"/>
          <w:color w:val="000000" w:themeColor="text1"/>
        </w:rPr>
        <w:t xml:space="preserve">Along with species distribution shifts and phenological changes, a decrease in body size is suggested to be a universal ecological response of organisms to warming temperature </w:t>
      </w:r>
      <w:r w:rsidR="004E5041" w:rsidRPr="00CB10DF">
        <w:rPr>
          <w:rFonts w:ascii="Times New Roman" w:eastAsia="Times New Roman" w:hAnsi="Times New Roman" w:cs="Times New Roman"/>
          <w:color w:val="000000" w:themeColor="text1"/>
        </w:rPr>
        <w:fldChar w:fldCharType="begin" w:fldLock="1"/>
      </w:r>
      <w:r w:rsidR="00117D84" w:rsidRPr="00CB10DF">
        <w:rPr>
          <w:rFonts w:ascii="Times New Roman" w:eastAsia="Times New Roman" w:hAnsi="Times New Roman" w:cs="Times New Roman"/>
          <w:color w:val="000000" w:themeColor="text1"/>
        </w:rPr>
        <w:instrText>ADDIN CSL_CITATION {"citationItems":[{"id":"ITEM-1","itemData":{"DOI":"10.1016/j.tree.2011.03.005","ISBN":"0169-5347","ISSN":"01695347","PMID":"21470708","abstract":"A recently documented correlate of anthropogenic climate change involves reductions in body size, the nature and scale of the pattern leading to suggestions of a third universal response to climate warming. Because body size affects thermoregulation and energetics, changing body size has implications for resilience in the face of climate change. A review of recent studies shows heterogeneity in the magnitude and direction of size responses, exposing a need for large-scale phylogenetically controlled comparative analyses of temporal size change. Integrative analyses of museum data combined with new theoretical models of size-dependent thermoregulatory and metabolic responses will increase both understanding of the underlying mechanisms and physiological consequences of size shifts and, therefore, the ability to predict the sensitivities of species to climate change. © 2011 Elsevier Ltd.","author":[{"dropping-particle":"","family":"Gardner","given":"Janet L.","non-dropping-particle":"","parse-names":false,"suffix":""},{"dropping-particle":"","family":"Peters","given":"Anne","non-dropping-particle":"","parse-names":false,"suffix":""},{"dropping-particle":"","family":"Kearney","given":"Michael R.","non-dropping-particle":"","parse-names":false,"suffix":""},{"dropping-particle":"","family":"Joseph","given":"Leo","non-dropping-particle":"","parse-names":false,"suffix":""},{"dropping-particle":"","family":"Heinsohn","given":"Robert","non-dropping-particle":"","parse-names":false,"suffix":""}],"container-title":"Trends in Ecology and Evolution","id":"ITEM-1","issue":"6","issued":{"date-parts":[["2011"]]},"page":"285-291","title":"Declining body size: A third universal response to warming?","type":"article","volume":"26"},"uris":["http://www.mendeley.com/documents/?uuid=a5b169c0-6985-4310-a9d6-3a507aebf21e"]}],"mendeley":{"formattedCitation":"(Gardner et al., 2011)","manualFormatting":"(Gardner et al., 2011","plainTextFormattedCitation":"(Gardner et al., 2011)","previouslyFormattedCitation":"(Gardner et al., 2011)"},"properties":{"noteIndex":0},"schema":"https://github.com/citation-style-language/schema/raw/master/csl-citation.json"}</w:instrText>
      </w:r>
      <w:r w:rsidR="004E5041" w:rsidRPr="00CB10DF">
        <w:rPr>
          <w:rFonts w:ascii="Times New Roman" w:eastAsia="Times New Roman" w:hAnsi="Times New Roman" w:cs="Times New Roman"/>
          <w:color w:val="000000" w:themeColor="text1"/>
        </w:rPr>
        <w:fldChar w:fldCharType="separate"/>
      </w:r>
      <w:r w:rsidR="004E5041" w:rsidRPr="00CB10DF">
        <w:rPr>
          <w:rFonts w:ascii="Times New Roman" w:eastAsia="Times New Roman" w:hAnsi="Times New Roman" w:cs="Times New Roman"/>
          <w:noProof/>
          <w:color w:val="000000" w:themeColor="text1"/>
        </w:rPr>
        <w:t>(Gardner et al., 2011</w:t>
      </w:r>
      <w:r w:rsidR="004E5041" w:rsidRPr="00CB10DF">
        <w:rPr>
          <w:rFonts w:ascii="Times New Roman" w:eastAsia="Times New Roman" w:hAnsi="Times New Roman" w:cs="Times New Roman"/>
          <w:color w:val="000000" w:themeColor="text1"/>
        </w:rPr>
        <w:fldChar w:fldCharType="end"/>
      </w:r>
      <w:r w:rsidR="004E5041" w:rsidRPr="00CB10DF">
        <w:rPr>
          <w:rFonts w:ascii="Times New Roman" w:eastAsia="Times New Roman" w:hAnsi="Times New Roman" w:cs="Times New Roman"/>
          <w:color w:val="000000" w:themeColor="text1"/>
        </w:rPr>
        <w:t xml:space="preserve">, </w:t>
      </w:r>
      <w:r w:rsidR="004E5041" w:rsidRPr="00CB10DF">
        <w:rPr>
          <w:rFonts w:ascii="Times New Roman" w:eastAsia="Times New Roman" w:hAnsi="Times New Roman" w:cs="Times New Roman"/>
          <w:color w:val="000000" w:themeColor="text1"/>
        </w:rPr>
        <w:fldChar w:fldCharType="begin" w:fldLock="1"/>
      </w:r>
      <w:r w:rsidR="004E5041" w:rsidRPr="00CB10DF">
        <w:rPr>
          <w:rFonts w:ascii="Times New Roman" w:eastAsia="Times New Roman" w:hAnsi="Times New Roman" w:cs="Times New Roman"/>
          <w:color w:val="000000" w:themeColor="text1"/>
        </w:rPr>
        <w:instrText>ADDIN CSL_CITATION {"citationItems":[{"id":"ITEM-1","itemData":{"DOI":"10.1111/1365-2435.12098","ISBN":"1365-2435","ISSN":"02698463","PMID":"22173463","abstract":"* Accumulating evidence suggests that the average body size of many organisms is declining in response to climate warming. This phenomenon has been suggested to represent a universal response to warming that may impose significant adverse effects on ecosystem functioning and services. * However, we do not have a thorough understanding of why body sizes are commonly declining, and why some organisms show the opposite response. Because ectotherms constitute the vast majority of organism biomass and about 99% of species worldwide, it is particularly important to understand how ectotherms respond to a warming climate. * This review discusses the underlying physiological mechanisms of changes in ectotherm body size and addresses observed responses within a broad ecological context at different levels of organization, from individuals to communities, particularly in aquatic systems. * Warming-induced responses in average body size are not only determined by changes in rates of individual growth and development, but also mediated through size-dependent feedbacks at the population level, as well as competitive and predatory interactions within the community. Emergent properties at higher organizational levels have already been observed in both experimental and natural systems. * Various approaches will be required for enhancing our knowledge about the importance of such processes in natural systems. These include controlled semi-natural experiments and phylogenetic comparisons as well as statistical models of time-series data and theoretical models linking climate effects at the individual, population and community levels. * Understanding causes of observed changes in organism body sizes and how these depend on the ecological context is essential for improving our predictions and the management of ecosystems in the face of a warming climate.","author":[{"dropping-particle":"","family":"Ohlberger","given":"Jan","non-dropping-particle":"","parse-names":false,"suffix":""}],"container-title":"Functional Ecology","id":"ITEM-1","issue":"4","issued":{"date-parts":[["2013"]]},"page":"991-1001","title":"Climate warming and ectotherm body size - from individual physiology to community ecology","type":"article","volume":"27"},"uris":["http://www.mendeley.com/documents/?uuid=bb96c62c-42bc-42f5-bc3d-de4912cd3c28"]}],"mendeley":{"formattedCitation":"(Ohlberger, 2013)","manualFormatting":"Ohlberger, 2013)","plainTextFormattedCitation":"(Ohlberger, 2013)","previouslyFormattedCitation":"(Ohlberger, 2013)"},"properties":{"noteIndex":0},"schema":"https://github.com/citation-style-language/schema/raw/master/csl-citation.json"}</w:instrText>
      </w:r>
      <w:r w:rsidR="004E5041" w:rsidRPr="00CB10DF">
        <w:rPr>
          <w:rFonts w:ascii="Times New Roman" w:eastAsia="Times New Roman" w:hAnsi="Times New Roman" w:cs="Times New Roman"/>
          <w:color w:val="000000" w:themeColor="text1"/>
        </w:rPr>
        <w:fldChar w:fldCharType="separate"/>
      </w:r>
      <w:r w:rsidR="004E5041" w:rsidRPr="00CB10DF">
        <w:rPr>
          <w:rFonts w:ascii="Times New Roman" w:eastAsia="Times New Roman" w:hAnsi="Times New Roman" w:cs="Times New Roman"/>
          <w:noProof/>
          <w:color w:val="000000" w:themeColor="text1"/>
        </w:rPr>
        <w:t>Ohlberger, 2013)</w:t>
      </w:r>
      <w:r w:rsidR="004E5041" w:rsidRPr="00CB10DF">
        <w:rPr>
          <w:rFonts w:ascii="Times New Roman" w:eastAsia="Times New Roman" w:hAnsi="Times New Roman" w:cs="Times New Roman"/>
          <w:color w:val="000000" w:themeColor="text1"/>
        </w:rPr>
        <w:fldChar w:fldCharType="end"/>
      </w:r>
      <w:r w:rsidR="00E87427" w:rsidRPr="00CB10DF">
        <w:rPr>
          <w:rFonts w:ascii="Times New Roman" w:eastAsia="Times New Roman" w:hAnsi="Times New Roman" w:cs="Times New Roman"/>
          <w:color w:val="000000" w:themeColor="text1"/>
        </w:rPr>
        <w:t>.</w:t>
      </w:r>
      <w:r w:rsidRPr="00CB10DF">
        <w:rPr>
          <w:rFonts w:ascii="Times New Roman" w:eastAsia="Times New Roman" w:hAnsi="Times New Roman" w:cs="Times New Roman"/>
          <w:color w:val="000000" w:themeColor="text1"/>
        </w:rPr>
        <w:t xml:space="preserve"> In ectotherms, body temperature depends on environmental temperature, which in turn, can affect body size through both developmental and metabolic rate </w:t>
      </w:r>
      <w:r w:rsidR="004E5041" w:rsidRPr="00CB10DF">
        <w:rPr>
          <w:rFonts w:ascii="Times New Roman" w:eastAsia="Times New Roman" w:hAnsi="Times New Roman" w:cs="Times New Roman"/>
          <w:color w:val="000000" w:themeColor="text1"/>
        </w:rPr>
        <w:fldChar w:fldCharType="begin" w:fldLock="1"/>
      </w:r>
      <w:r w:rsidR="00D26080" w:rsidRPr="00CB10DF">
        <w:rPr>
          <w:rFonts w:ascii="Times New Roman" w:eastAsia="Times New Roman" w:hAnsi="Times New Roman" w:cs="Times New Roman"/>
          <w:color w:val="000000" w:themeColor="text1"/>
        </w:rPr>
        <w:instrText>ADDIN CSL_CITATION {"citationItems":[{"id":"ITEM-1","itemData":{"DOI":"10.1016/S0065-2504(08)60212-3","ISBN":"9780120139255","ISSN":"0065-2504","PMID":"1424779","abstract":"Ectothermy ; Size ; Organism ; Temperature ; Vegetals ; Animal ; Bacteria ; Growth ; Theory ; Phenotypic plasticity ;","author":[{"dropping-particle":"","family":"Atkinson","given":"D","non-dropping-particle":"","parse-names":false,"suffix":""}],"container-title":"Advances in ecological research","id":"ITEM-1","issue":"June","issued":{"date-parts":[["1994"]]},"page":"1-58","title":"Temperature and Organism Size-A biological Law for Ectotherms?","type":"chapter"},"uris":["http://www.mendeley.com/documents/?uuid=1891a520-2584-44f1-afe0-2b81f06d110e"]}],"mendeley":{"formattedCitation":"(Atkinson, 1994a)","manualFormatting":"(Atkinson, 1994","plainTextFormattedCitation":"(Atkinson, 1994a)","previouslyFormattedCitation":"(Atkinson, 1994a)"},"properties":{"noteIndex":0},"schema":"https://github.com/citation-style-language/schema/raw/master/csl-citation.json"}</w:instrText>
      </w:r>
      <w:r w:rsidR="004E5041" w:rsidRPr="00CB10DF">
        <w:rPr>
          <w:rFonts w:ascii="Times New Roman" w:eastAsia="Times New Roman" w:hAnsi="Times New Roman" w:cs="Times New Roman"/>
          <w:color w:val="000000" w:themeColor="text1"/>
        </w:rPr>
        <w:fldChar w:fldCharType="separate"/>
      </w:r>
      <w:r w:rsidR="004E5041" w:rsidRPr="00CB10DF">
        <w:rPr>
          <w:rFonts w:ascii="Times New Roman" w:eastAsia="Times New Roman" w:hAnsi="Times New Roman" w:cs="Times New Roman"/>
          <w:noProof/>
          <w:color w:val="000000" w:themeColor="text1"/>
        </w:rPr>
        <w:t>(Atkinson, 1994</w:t>
      </w:r>
      <w:r w:rsidR="004E5041" w:rsidRPr="00CB10DF">
        <w:rPr>
          <w:rFonts w:ascii="Times New Roman" w:eastAsia="Times New Roman" w:hAnsi="Times New Roman" w:cs="Times New Roman"/>
          <w:color w:val="000000" w:themeColor="text1"/>
        </w:rPr>
        <w:fldChar w:fldCharType="end"/>
      </w:r>
      <w:r w:rsidR="004E5041" w:rsidRPr="00CB10DF">
        <w:rPr>
          <w:rFonts w:ascii="Times New Roman" w:eastAsia="Times New Roman" w:hAnsi="Times New Roman" w:cs="Times New Roman"/>
          <w:color w:val="000000" w:themeColor="text1"/>
        </w:rPr>
        <w:fldChar w:fldCharType="begin" w:fldLock="1"/>
      </w:r>
      <w:r w:rsidR="00D26080" w:rsidRPr="00CB10DF">
        <w:rPr>
          <w:rFonts w:ascii="Times New Roman" w:eastAsia="Times New Roman" w:hAnsi="Times New Roman" w:cs="Times New Roman"/>
          <w:color w:val="000000" w:themeColor="text1"/>
        </w:rPr>
        <w:instrText>ADDIN CSL_CITATION {"citationItems":[{"id":"ITEM-1","itemData":{"DOI":"10.1038/nclimate1259","ISBN":"1758-678X","ISSN":"1758-678X","PMID":"25061202","abstract":"Determining how climate change will affect global ecology and ecosystem services is one of the next important frontiers in environmental science. Many species already exhibit smaller sizes as a result of climate change and many others are likely to shrink in response to continued climate change, following fundamental ecological and metabolic rules. This could negatively impact both crop plants and protein sources such as fish that are important for human nutrition. Furthermore, heterogeneity in response is likely to upset ecosystem balances. We discuss future research directions to better understand the trend and help ameliorate the trophic cascades and loss of biodiversity that will probably result from continued decreases in organism size.","author":[{"dropping-particle":"","family":"Sheridan","given":"Jennifer a.","non-dropping-particle":"","parse-names":false,"suffix":""},{"dropping-particle":"","family":"Bickford","given":"David","non-dropping-particle":"","parse-names":false,"suffix":""}],"container-title":"Nature Climate Change","id":"ITEM-1","issue":"8","issued":{"date-parts":[["2011"]]},"page":"401-406","title":"Shrinking body size as an ecological response to climate change","type":"article-journal","volume":"1"},"uris":["http://www.mendeley.com/documents/?uuid=8bce61ff-c60e-4b19-ae72-6d3a4002feb0"]}],"mendeley":{"formattedCitation":"(Sheridan &amp; Bickford, 2011)","manualFormatting":", Sheridan &amp; Bickford, 2011)","plainTextFormattedCitation":"(Sheridan &amp; Bickford, 2011)","previouslyFormattedCitation":"(Sheridan &amp; Bickford, 2011)"},"properties":{"noteIndex":0},"schema":"https://github.com/citation-style-language/schema/raw/master/csl-citation.json"}</w:instrText>
      </w:r>
      <w:r w:rsidR="004E5041" w:rsidRPr="00CB10DF">
        <w:rPr>
          <w:rFonts w:ascii="Times New Roman" w:eastAsia="Times New Roman" w:hAnsi="Times New Roman" w:cs="Times New Roman"/>
          <w:color w:val="000000" w:themeColor="text1"/>
        </w:rPr>
        <w:fldChar w:fldCharType="separate"/>
      </w:r>
      <w:r w:rsidR="004E5041" w:rsidRPr="00CB10DF">
        <w:rPr>
          <w:rFonts w:ascii="Times New Roman" w:eastAsia="Times New Roman" w:hAnsi="Times New Roman" w:cs="Times New Roman"/>
          <w:noProof/>
          <w:color w:val="000000" w:themeColor="text1"/>
        </w:rPr>
        <w:t>, Sheridan &amp; Bickford, 2011)</w:t>
      </w:r>
      <w:r w:rsidR="004E5041" w:rsidRPr="00CB10DF">
        <w:rPr>
          <w:rFonts w:ascii="Times New Roman" w:eastAsia="Times New Roman" w:hAnsi="Times New Roman" w:cs="Times New Roman"/>
          <w:color w:val="000000" w:themeColor="text1"/>
        </w:rPr>
        <w:fldChar w:fldCharType="end"/>
      </w:r>
      <w:r w:rsidRPr="00CB10DF">
        <w:rPr>
          <w:rFonts w:ascii="Times New Roman" w:eastAsia="Times New Roman" w:hAnsi="Times New Roman" w:cs="Times New Roman"/>
          <w:color w:val="000000" w:themeColor="text1"/>
        </w:rPr>
        <w:t xml:space="preserve">. Previous studies have found that the developmental rate of ectotherms is faster at lower latitudes and warmer temperatures </w:t>
      </w:r>
      <w:r w:rsidR="00D26080" w:rsidRPr="00CB10DF">
        <w:rPr>
          <w:rFonts w:ascii="Times New Roman" w:eastAsia="Times New Roman" w:hAnsi="Times New Roman" w:cs="Times New Roman"/>
          <w:color w:val="000000" w:themeColor="text1"/>
        </w:rPr>
        <w:fldChar w:fldCharType="begin" w:fldLock="1"/>
      </w:r>
      <w:r w:rsidR="00D26080" w:rsidRPr="00CB10DF">
        <w:rPr>
          <w:rFonts w:ascii="Times New Roman" w:eastAsia="Times New Roman" w:hAnsi="Times New Roman" w:cs="Times New Roman"/>
          <w:color w:val="000000" w:themeColor="text1"/>
        </w:rPr>
        <w:instrText>ADDIN CSL_CITATION {"citationItems":[{"id":"ITEM-1","itemData":{"DOI":"10.1016/S0065-2504(08)60212-3","ISBN":"9780120139255","ISSN":"0065-2504","PMID":"1424779","abstract":"Ectothermy ; Size ; Organism ; Temperature ; Vegetals ; Animal ; Bacteria ; Growth ; Theory ; Phenotypic plasticity ;","author":[{"dropping-particle":"","family":"Atkinson","given":"D","non-dropping-particle":"","parse-names":false,"suffix":""}],"container-title":"Advances in ecological research","id":"ITEM-1","issue":"June","issued":{"date-parts":[["1994"]]},"page":"1-58","title":"Temperature and Organism Size-A biological Law for Ectotherms?","type":"chapter"},"uris":["http://www.mendeley.com/documents/?uuid=1891a520-2584-44f1-afe0-2b81f06d110e"]}],"mendeley":{"formattedCitation":"(Atkinson, 1994a)","manualFormatting":"(Atkinson, 1994","plainTextFormattedCitation":"(Atkinson, 1994a)","previouslyFormattedCitation":"(Atkinson, 1994a)"},"properties":{"noteIndex":0},"schema":"https://github.com/citation-style-language/schema/raw/master/csl-citation.json"}</w:instrText>
      </w:r>
      <w:r w:rsidR="00D26080" w:rsidRPr="00CB10DF">
        <w:rPr>
          <w:rFonts w:ascii="Times New Roman" w:eastAsia="Times New Roman" w:hAnsi="Times New Roman" w:cs="Times New Roman"/>
          <w:color w:val="000000" w:themeColor="text1"/>
        </w:rPr>
        <w:fldChar w:fldCharType="separate"/>
      </w:r>
      <w:r w:rsidR="00D26080" w:rsidRPr="00CB10DF">
        <w:rPr>
          <w:rFonts w:ascii="Times New Roman" w:eastAsia="Times New Roman" w:hAnsi="Times New Roman" w:cs="Times New Roman"/>
          <w:noProof/>
          <w:color w:val="000000" w:themeColor="text1"/>
        </w:rPr>
        <w:t>(Atkinson, 1994</w:t>
      </w:r>
      <w:r w:rsidR="00D26080" w:rsidRPr="00CB10DF">
        <w:rPr>
          <w:rFonts w:ascii="Times New Roman" w:eastAsia="Times New Roman" w:hAnsi="Times New Roman" w:cs="Times New Roman"/>
          <w:color w:val="000000" w:themeColor="text1"/>
        </w:rPr>
        <w:fldChar w:fldCharType="end"/>
      </w:r>
      <w:r w:rsidR="00D26080" w:rsidRPr="00CB10DF">
        <w:rPr>
          <w:rFonts w:ascii="Times New Roman" w:eastAsia="Times New Roman" w:hAnsi="Times New Roman" w:cs="Times New Roman"/>
          <w:color w:val="000000" w:themeColor="text1"/>
        </w:rPr>
        <w:t xml:space="preserve">, </w:t>
      </w:r>
      <w:r w:rsidR="00D26080" w:rsidRPr="00CB10DF">
        <w:rPr>
          <w:rFonts w:ascii="Times New Roman" w:eastAsia="Times New Roman" w:hAnsi="Times New Roman" w:cs="Times New Roman"/>
          <w:color w:val="000000" w:themeColor="text1"/>
        </w:rPr>
        <w:fldChar w:fldCharType="begin" w:fldLock="1"/>
      </w:r>
      <w:r w:rsidR="00117D84" w:rsidRPr="00CB10DF">
        <w:rPr>
          <w:rFonts w:ascii="Times New Roman" w:eastAsia="Times New Roman" w:hAnsi="Times New Roman" w:cs="Times New Roman"/>
          <w:color w:val="000000" w:themeColor="text1"/>
        </w:rPr>
        <w:instrText>ADDIN CSL_CITATION {"citationItems":[{"id":"ITEM-1","itemData":{"DOI":"10.1093/icb/44.6.498","ISBN":"1540-7063","ISSN":"1540-7063","PMID":"21676736","abstract":"The majority of ectotherms grow slower but mature at a larger body size in colder environments. This phenomenon has puzzled biologists because classic theories of life-history evolution predict smaller sizes at maturity in environments that retard growth. During the last decade, intensive theoretical and empirical research has generated some plausible explanations based on nonadaptive or adaptive plasticity. Nonadaptive plasticity of body size is hypothesized to result from thermal constraints on cellular growth that cause smaller cells at higher temperatures, but the generality of this theory is poorly supported. Adaptive plasticity is hypothesized to result from greater benefits or lesser costs of delayed maturation in colder environments. These theories seem to apply well to some species but not others. Thus, no single theory has been able to explain the generality of temperature-size relationships in ectotherms. We recommend a multivariate theory that focuses on the coevolution of thermal reaction norms for growth rate and size at maturity. Such a theory should incorporate functional constraints on thermal reaction norms, as well as the natural covariation between temperature and other environmental variables.","author":[{"dropping-particle":"","family":"Angilletta","given":"Michael J","non-dropping-particle":"","parse-names":false,"suffix":""},{"dropping-particle":"","family":"Steury","given":"Todd D","non-dropping-particle":"","parse-names":false,"suffix":""},{"dropping-particle":"","family":"Sears","given":"Michael W","non-dropping-particle":"","parse-names":false,"suffix":""}],"container-title":"Integrative and comparative biology","id":"ITEM-1","issue":"6","issued":{"date-parts":[["2004"]]},"page":"498-509","title":"Temperature, growth rate, and body size in ectotherms: fitting pieces of a life-history puzzle.","type":"article-journal","volume":"44"},"uris":["http://www.mendeley.com/documents/?uuid=eb84bd3b-e64a-41c7-90e0-846d3a547bc5"]}],"mendeley":{"formattedCitation":"(Michael J Angilletta et al., 2004)","manualFormatting":"Angilletta et al., 2004)","plainTextFormattedCitation":"(Michael J Angilletta et al., 2004)","previouslyFormattedCitation":"(Michael J Angilletta et al., 2004)"},"properties":{"noteIndex":0},"schema":"https://github.com/citation-style-language/schema/raw/master/csl-citation.json"}</w:instrText>
      </w:r>
      <w:r w:rsidR="00D26080" w:rsidRPr="00CB10DF">
        <w:rPr>
          <w:rFonts w:ascii="Times New Roman" w:eastAsia="Times New Roman" w:hAnsi="Times New Roman" w:cs="Times New Roman"/>
          <w:color w:val="000000" w:themeColor="text1"/>
        </w:rPr>
        <w:fldChar w:fldCharType="separate"/>
      </w:r>
      <w:r w:rsidR="00D26080" w:rsidRPr="00CB10DF">
        <w:rPr>
          <w:rFonts w:ascii="Times New Roman" w:eastAsia="Times New Roman" w:hAnsi="Times New Roman" w:cs="Times New Roman"/>
          <w:noProof/>
          <w:color w:val="000000" w:themeColor="text1"/>
        </w:rPr>
        <w:t>Angilletta et al., 2004)</w:t>
      </w:r>
      <w:r w:rsidR="00D26080" w:rsidRPr="00CB10DF">
        <w:rPr>
          <w:rFonts w:ascii="Times New Roman" w:eastAsia="Times New Roman" w:hAnsi="Times New Roman" w:cs="Times New Roman"/>
          <w:color w:val="000000" w:themeColor="text1"/>
        </w:rPr>
        <w:fldChar w:fldCharType="end"/>
      </w:r>
      <w:r w:rsidRPr="00CB10DF">
        <w:rPr>
          <w:rFonts w:ascii="Times New Roman" w:eastAsia="Times New Roman" w:hAnsi="Times New Roman" w:cs="Times New Roman"/>
          <w:color w:val="000000" w:themeColor="text1"/>
        </w:rPr>
        <w:t xml:space="preserve"> and is more sensitive to temperature than growth rate </w:t>
      </w:r>
      <w:r w:rsidR="00D26080" w:rsidRPr="00CB10DF">
        <w:rPr>
          <w:rFonts w:ascii="Times New Roman" w:eastAsia="Times New Roman" w:hAnsi="Times New Roman" w:cs="Times New Roman"/>
          <w:color w:val="000000" w:themeColor="text1"/>
        </w:rPr>
        <w:fldChar w:fldCharType="begin" w:fldLock="1"/>
      </w:r>
      <w:r w:rsidR="00117D84" w:rsidRPr="00CB10DF">
        <w:rPr>
          <w:rFonts w:ascii="Times New Roman" w:eastAsia="Times New Roman" w:hAnsi="Times New Roman" w:cs="Times New Roman"/>
          <w:color w:val="000000" w:themeColor="text1"/>
        </w:rPr>
        <w:instrText>ADDIN CSL_CITATION {"citationItems":[{"id":"ITEM-1","itemData":{"DOI":"10.1098/rspb.2011.2000","ISSN":"14712970","abstract":"The temperature size rule (TSR) is the tendency for ectotherms to develop faster but mature at smaller body sizes at higher temperatures. It can be explained by a simple model in which the rate of growth or biomass accumulation and the rate of development have different temperature dependence. The model accounts for both TSR and the less frequently observed reverse-TSR, predicts the fraction of energy allocated to maintenance and synthesis over the course of development, and also predicts that less total energy is expended when developing at warmer temperatures for TSR and vice versa for reverse-TSR. It has important implications for effects of climate change on ectothermic animals. © 2012 The Royal Society.","author":[{"dropping-particle":"","family":"Zuo","given":"Wenyun","non-dropping-particle":"","parse-names":false,"suffix":""},{"dropping-particle":"","family":"Moses","given":"Melanie E.","non-dropping-particle":"","parse-names":false,"suffix":""},{"dropping-particle":"","family":"West","given":"Geoffrey B.","non-dropping-particle":"","parse-names":false,"suffix":""},{"dropping-particle":"","family":"Hou","given":"Chen","non-dropping-particle":"","parse-names":false,"suffix":""},{"dropping-particle":"","family":"Brown","given":"James H.","non-dropping-particle":"","parse-names":false,"suffix":""}],"container-title":"Proceedings of the Royal Society B: Biological Sciences","id":"ITEM-1","issued":{"date-parts":[["2012"]]},"title":"A general model for effects of temperature on ectotherm ontogenetic growth and development","type":"article-journal"},"uris":["http://www.mendeley.com/documents/?uuid=8f6df5a6-2dc2-45b8-a958-03da58cdf72d"]}],"mendeley":{"formattedCitation":"(Zuo et al., 2012)","manualFormatting":"(Zuo et al, 2012)","plainTextFormattedCitation":"(Zuo et al., 2012)","previouslyFormattedCitation":"(Zuo et al., 2012)"},"properties":{"noteIndex":0},"schema":"https://github.com/citation-style-language/schema/raw/master/csl-citation.json"}</w:instrText>
      </w:r>
      <w:r w:rsidR="00D26080" w:rsidRPr="00CB10DF">
        <w:rPr>
          <w:rFonts w:ascii="Times New Roman" w:eastAsia="Times New Roman" w:hAnsi="Times New Roman" w:cs="Times New Roman"/>
          <w:color w:val="000000" w:themeColor="text1"/>
        </w:rPr>
        <w:fldChar w:fldCharType="separate"/>
      </w:r>
      <w:r w:rsidR="00D26080" w:rsidRPr="00CB10DF">
        <w:rPr>
          <w:rFonts w:ascii="Times New Roman" w:eastAsia="Times New Roman" w:hAnsi="Times New Roman" w:cs="Times New Roman"/>
          <w:noProof/>
          <w:color w:val="000000" w:themeColor="text1"/>
        </w:rPr>
        <w:t>(Zuo et al, 2012)</w:t>
      </w:r>
      <w:r w:rsidR="00D26080" w:rsidRPr="00CB10DF">
        <w:rPr>
          <w:rFonts w:ascii="Times New Roman" w:eastAsia="Times New Roman" w:hAnsi="Times New Roman" w:cs="Times New Roman"/>
          <w:color w:val="000000" w:themeColor="text1"/>
        </w:rPr>
        <w:fldChar w:fldCharType="end"/>
      </w:r>
      <w:r w:rsidR="00D26080" w:rsidRPr="00CB10DF">
        <w:rPr>
          <w:rFonts w:ascii="Times New Roman" w:eastAsia="Times New Roman" w:hAnsi="Times New Roman" w:cs="Times New Roman"/>
          <w:color w:val="000000" w:themeColor="text1"/>
        </w:rPr>
        <w:t>.</w:t>
      </w:r>
      <w:r w:rsidRPr="00CB10DF">
        <w:rPr>
          <w:rFonts w:ascii="Times New Roman" w:eastAsia="Times New Roman" w:hAnsi="Times New Roman" w:cs="Times New Roman"/>
          <w:color w:val="000000" w:themeColor="text1"/>
        </w:rPr>
        <w:t xml:space="preserve"> Consequently, adult size should be smaller in warm environments compared to individuals growing in cooler </w:t>
      </w:r>
      <w:r w:rsidRPr="00CB10DF">
        <w:rPr>
          <w:rFonts w:ascii="Times New Roman" w:eastAsia="Times New Roman" w:hAnsi="Times New Roman" w:cs="Times New Roman"/>
          <w:color w:val="000000" w:themeColor="text1"/>
        </w:rPr>
        <w:lastRenderedPageBreak/>
        <w:t>temperatures and higher latitudes</w:t>
      </w:r>
      <w:r w:rsidR="00373EB6" w:rsidRPr="00CB10DF">
        <w:rPr>
          <w:rFonts w:ascii="Times New Roman" w:eastAsia="Times New Roman" w:hAnsi="Times New Roman" w:cs="Times New Roman"/>
          <w:color w:val="000000" w:themeColor="text1"/>
        </w:rPr>
        <w:t>;</w:t>
      </w:r>
      <w:r w:rsidRPr="00CB10DF">
        <w:rPr>
          <w:rFonts w:ascii="Times New Roman" w:eastAsia="Times New Roman" w:hAnsi="Times New Roman" w:cs="Times New Roman"/>
          <w:color w:val="000000" w:themeColor="text1"/>
        </w:rPr>
        <w:t xml:space="preserve"> this relationship is sometimes referred to as the temperature-size rule (TSR) </w:t>
      </w:r>
      <w:r w:rsidR="00D26080" w:rsidRPr="00CB10DF">
        <w:rPr>
          <w:rFonts w:ascii="Times New Roman" w:eastAsia="Times New Roman" w:hAnsi="Times New Roman" w:cs="Times New Roman"/>
          <w:color w:val="000000" w:themeColor="text1"/>
        </w:rPr>
        <w:fldChar w:fldCharType="begin" w:fldLock="1"/>
      </w:r>
      <w:r w:rsidR="00D26080" w:rsidRPr="00CB10DF">
        <w:rPr>
          <w:rFonts w:ascii="Times New Roman" w:eastAsia="Times New Roman" w:hAnsi="Times New Roman" w:cs="Times New Roman"/>
          <w:color w:val="000000" w:themeColor="text1"/>
        </w:rPr>
        <w:instrText>ADDIN CSL_CITATION {"citationItems":[{"id":"ITEM-1","itemData":{"DOI":"10.1016/S0065-2504(08)60212-3","ISBN":"9780120139255","ISSN":"00652504","PMID":"1424779","abstract":"For plants. protists and that vast majority of animals that rely on external sources for body heat (ectotherms). temperature is a particularly important and widespread correlate of differences in size between seasons and from one generation to the next. This includes the economically important differences between years in the yields of crops harvested at maturity such as cereals. © 1994, Academic Press Limited","author":[{"dropping-particle":"","family":"Atkinson","given":"D.","non-dropping-particle":"","parse-names":false,"suffix":""}],"container-title":"Advances in Ecological Research","id":"ITEM-1","issue":"C","issued":{"date-parts":[["1994"]]},"page":"1-58","title":"Temperature and Organism Size—A Biological Law for Ectotherms?","type":"article-journal","volume":"25"},"uris":["http://www.mendeley.com/documents/?uuid=2b2c5563-1c4c-4f74-9bbd-206ceedd06f4"]}],"mendeley":{"formattedCitation":"(Atkinson, 1994b)","manualFormatting":"(Atkinson, 1994)","plainTextFormattedCitation":"(Atkinson, 1994b)","previouslyFormattedCitation":"(Atkinson, 1994b)"},"properties":{"noteIndex":0},"schema":"https://github.com/citation-style-language/schema/raw/master/csl-citation.json"}</w:instrText>
      </w:r>
      <w:r w:rsidR="00D26080" w:rsidRPr="00CB10DF">
        <w:rPr>
          <w:rFonts w:ascii="Times New Roman" w:eastAsia="Times New Roman" w:hAnsi="Times New Roman" w:cs="Times New Roman"/>
          <w:color w:val="000000" w:themeColor="text1"/>
        </w:rPr>
        <w:fldChar w:fldCharType="separate"/>
      </w:r>
      <w:r w:rsidR="00D26080" w:rsidRPr="00CB10DF">
        <w:rPr>
          <w:rFonts w:ascii="Times New Roman" w:eastAsia="Times New Roman" w:hAnsi="Times New Roman" w:cs="Times New Roman"/>
          <w:noProof/>
          <w:color w:val="000000" w:themeColor="text1"/>
        </w:rPr>
        <w:t>(Atkinson, 1994)</w:t>
      </w:r>
      <w:r w:rsidR="00D26080" w:rsidRPr="00CB10DF">
        <w:rPr>
          <w:rFonts w:ascii="Times New Roman" w:eastAsia="Times New Roman" w:hAnsi="Times New Roman" w:cs="Times New Roman"/>
          <w:color w:val="000000" w:themeColor="text1"/>
        </w:rPr>
        <w:fldChar w:fldCharType="end"/>
      </w:r>
      <w:r w:rsidRPr="00CB10DF">
        <w:rPr>
          <w:rFonts w:ascii="Times New Roman" w:eastAsia="Times New Roman" w:hAnsi="Times New Roman" w:cs="Times New Roman"/>
          <w:color w:val="000000" w:themeColor="text1"/>
        </w:rPr>
        <w:t>.</w:t>
      </w:r>
    </w:p>
    <w:p w14:paraId="15F685CD" w14:textId="3F81FC8C" w:rsidR="00FE384D" w:rsidRPr="00CB10DF" w:rsidRDefault="00FE384D" w:rsidP="00FE384D">
      <w:pPr>
        <w:spacing w:before="240" w:after="240" w:line="480" w:lineRule="auto"/>
        <w:jc w:val="both"/>
        <w:rPr>
          <w:rFonts w:ascii="Times New Roman" w:eastAsia="Times New Roman" w:hAnsi="Times New Roman" w:cs="Times New Roman"/>
          <w:color w:val="000000" w:themeColor="text1"/>
        </w:rPr>
      </w:pPr>
      <w:r w:rsidRPr="00CB10DF">
        <w:rPr>
          <w:rFonts w:ascii="Times New Roman" w:eastAsia="Times New Roman" w:hAnsi="Times New Roman" w:cs="Times New Roman"/>
          <w:color w:val="000000" w:themeColor="text1"/>
        </w:rPr>
        <w:t xml:space="preserve">As well as the direct effects of warming temperature on the developmental rate of ectotherms that can ultimately reduce adult body size, changing food quality and availability with changing temperature can have an indirect effect </w:t>
      </w:r>
      <w:r w:rsidR="00D26080" w:rsidRPr="00CB10DF">
        <w:rPr>
          <w:rFonts w:ascii="Times New Roman" w:eastAsia="Times New Roman" w:hAnsi="Times New Roman" w:cs="Times New Roman"/>
          <w:color w:val="000000" w:themeColor="text1"/>
        </w:rPr>
        <w:fldChar w:fldCharType="begin" w:fldLock="1"/>
      </w:r>
      <w:r w:rsidR="00D26080" w:rsidRPr="00CB10DF">
        <w:rPr>
          <w:rFonts w:ascii="Times New Roman" w:eastAsia="Times New Roman" w:hAnsi="Times New Roman" w:cs="Times New Roman"/>
          <w:color w:val="000000" w:themeColor="text1"/>
        </w:rPr>
        <w:instrText>ADDIN CSL_CITATION {"citationItems":[{"id":"ITEM-1","itemData":{"DOI":"10.1126/science.1173668","ISSN":"00368075","abstract":"Environmental change, including climate change, can cause rapid phenotypic change via both ecological and evolutionary processes. Because ecological and evolutionary dynamics are intimately linked, a major challenge is to identify their relative roles. We exactly decomposed the change in mean body weight in a free-living population of Soay sheep into all the processes that contribute to change. Ecological processes contribute most, with selection--the underpinning of adaptive evolution--explaining little of the observed phenotypic trend. Our results enable us to explain why selection has so little effect even though weight is heritable, and why environmental change has caused a decline in the body size of Soay sheep.","author":[{"dropping-particle":"","family":"Ozgul","given":"Arpat","non-dropping-particle":"","parse-names":false,"suffix":""},{"dropping-particle":"","family":"Tuljapurkar","given":"Shripad","non-dropping-particle":"","parse-names":false,"suffix":""},{"dropping-particle":"","family":"Benton","given":"Tim G.","non-dropping-particle":"","parse-names":false,"suffix":""},{"dropping-particle":"","family":"Pemberton","given":"Josephine M.","non-dropping-particle":"","parse-names":false,"suffix":""},{"dropping-particle":"","family":"Clutton-Brock","given":"Tim H.","non-dropping-particle":"","parse-names":false,"suffix":""},{"dropping-particle":"","family":"Coulson","given":"Tim","non-dropping-particle":"","parse-names":false,"suffix":""}],"container-title":"Science","id":"ITEM-1","issued":{"date-parts":[["2009"]]},"title":"The dynamics of phenotypic change and the shrinking sheep of St. kilda","type":"article-journal"},"uris":["http://www.mendeley.com/documents/?uuid=bf6f9d87-23e3-495c-864d-3750e824416f"]}],"mendeley":{"formattedCitation":"(Ozgul et al., 2009)","manualFormatting":"(Ozgul et al., 2009","plainTextFormattedCitation":"(Ozgul et al., 2009)","previouslyFormattedCitation":"(Ozgul et al., 2009)"},"properties":{"noteIndex":0},"schema":"https://github.com/citation-style-language/schema/raw/master/csl-citation.json"}</w:instrText>
      </w:r>
      <w:r w:rsidR="00D26080" w:rsidRPr="00CB10DF">
        <w:rPr>
          <w:rFonts w:ascii="Times New Roman" w:eastAsia="Times New Roman" w:hAnsi="Times New Roman" w:cs="Times New Roman"/>
          <w:color w:val="000000" w:themeColor="text1"/>
        </w:rPr>
        <w:fldChar w:fldCharType="separate"/>
      </w:r>
      <w:r w:rsidR="00D26080" w:rsidRPr="00CB10DF">
        <w:rPr>
          <w:rFonts w:ascii="Times New Roman" w:eastAsia="Times New Roman" w:hAnsi="Times New Roman" w:cs="Times New Roman"/>
          <w:noProof/>
          <w:color w:val="000000" w:themeColor="text1"/>
        </w:rPr>
        <w:t>(Ozgul et al., 2009</w:t>
      </w:r>
      <w:r w:rsidR="00D26080" w:rsidRPr="00CB10DF">
        <w:rPr>
          <w:rFonts w:ascii="Times New Roman" w:eastAsia="Times New Roman" w:hAnsi="Times New Roman" w:cs="Times New Roman"/>
          <w:color w:val="000000" w:themeColor="text1"/>
        </w:rPr>
        <w:fldChar w:fldCharType="end"/>
      </w:r>
      <w:r w:rsidR="00D26080" w:rsidRPr="00CB10DF">
        <w:rPr>
          <w:rFonts w:ascii="Times New Roman" w:eastAsia="Times New Roman" w:hAnsi="Times New Roman" w:cs="Times New Roman"/>
          <w:color w:val="000000" w:themeColor="text1"/>
        </w:rPr>
        <w:t xml:space="preserve">, </w:t>
      </w:r>
      <w:r w:rsidR="00D26080" w:rsidRPr="00CB10DF">
        <w:rPr>
          <w:rFonts w:ascii="Times New Roman" w:eastAsia="Times New Roman" w:hAnsi="Times New Roman" w:cs="Times New Roman"/>
          <w:color w:val="000000" w:themeColor="text1"/>
        </w:rPr>
        <w:fldChar w:fldCharType="begin" w:fldLock="1"/>
      </w:r>
      <w:r w:rsidR="00D26080" w:rsidRPr="00CB10DF">
        <w:rPr>
          <w:rFonts w:ascii="Times New Roman" w:eastAsia="Times New Roman" w:hAnsi="Times New Roman" w:cs="Times New Roman"/>
          <w:color w:val="000000" w:themeColor="text1"/>
        </w:rPr>
        <w:instrText>ADDIN CSL_CITATION {"citationItems":[{"id":"ITEM-1","itemData":{"DOI":"10.1038/nature09210","ISSN":"00280836","abstract":"Environmental change has altered the phenology, morphological traits and population dynamics of many species. However, the links underlying these joint responses remain largely unknown owing to a paucity of long-term data and the lack of an appropriate analytical framework. Here we investigate the link between phenotypic and demographic responses to environmental change using a new methodology and a long-term (1976–2008) data set from a hibernating mammal (the yellow-bellied marmot) inhabiting a dynamic subalpine habitat. We demonstrate how earlier emergence from hibernation and earlier weaning of young has led to a longer growing season and larger body masses before hibernation. The resulting shift in both the phenotype and the relationship between phenotype and fitness components led to a decline in adult mortality, which in turn triggered an abrupt increase in population size in recent years. Direct and trait-mediated effects of environmental change made comparable contributions to the observed marked increase in population growth. Our results help explain how a shift in phenology can cause simultaneous phenotypic and demographic changes, and highlight the need for a theory integrating ecological and evolutionary dynamics in stochastic environments.","author":[{"dropping-particle":"","family":"Ozgul","given":"Arpat","non-dropping-particle":"","parse-names":false,"suffix":""},{"dropping-particle":"","family":"Childs","given":"Dylan Z.","non-dropping-particle":"","parse-names":false,"suffix":""},{"dropping-particle":"","family":"Oli","given":"Madan K.","non-dropping-particle":"","parse-names":false,"suffix":""},{"dropping-particle":"","family":"Armitage","given":"Kenneth B.","non-dropping-particle":"","parse-names":false,"suffix":""},{"dropping-particle":"","family":"Blumstein","given":"Daniel T.","non-dropping-particle":"","parse-names":false,"suffix":""},{"dropping-particle":"","family":"Olson","given":"Lucretia E.","non-dropping-particle":"","parse-names":false,"suffix":""},{"dropping-particle":"","family":"Tuljapurkar","given":"Shripad","non-dropping-particle":"","parse-names":false,"suffix":""},{"dropping-particle":"","family":"Coulson","given":"Tim","non-dropping-particle":"","parse-names":false,"suffix":""}],"container-title":"Nature","id":"ITEM-1","issued":{"date-parts":[["2010"]]},"title":"Coupled dynamics of body mass and population growth in response to environmental change","type":"article-journal"},"uris":["http://www.mendeley.com/documents/?uuid=6b5b17f2-067f-45a9-8982-00b807704622"]}],"mendeley":{"formattedCitation":"(Ozgul et al., 2010)","manualFormatting":"Ozgul et al., 2010","plainTextFormattedCitation":"(Ozgul et al., 2010)","previouslyFormattedCitation":"(Ozgul et al., 2010)"},"properties":{"noteIndex":0},"schema":"https://github.com/citation-style-language/schema/raw/master/csl-citation.json"}</w:instrText>
      </w:r>
      <w:r w:rsidR="00D26080" w:rsidRPr="00CB10DF">
        <w:rPr>
          <w:rFonts w:ascii="Times New Roman" w:eastAsia="Times New Roman" w:hAnsi="Times New Roman" w:cs="Times New Roman"/>
          <w:color w:val="000000" w:themeColor="text1"/>
        </w:rPr>
        <w:fldChar w:fldCharType="separate"/>
      </w:r>
      <w:r w:rsidR="00D26080" w:rsidRPr="00CB10DF">
        <w:rPr>
          <w:rFonts w:ascii="Times New Roman" w:eastAsia="Times New Roman" w:hAnsi="Times New Roman" w:cs="Times New Roman"/>
          <w:noProof/>
          <w:color w:val="000000" w:themeColor="text1"/>
        </w:rPr>
        <w:t>Ozgul et al., 2010</w:t>
      </w:r>
      <w:r w:rsidR="00D26080" w:rsidRPr="00CB10DF">
        <w:rPr>
          <w:rFonts w:ascii="Times New Roman" w:eastAsia="Times New Roman" w:hAnsi="Times New Roman" w:cs="Times New Roman"/>
          <w:color w:val="000000" w:themeColor="text1"/>
        </w:rPr>
        <w:fldChar w:fldCharType="end"/>
      </w:r>
      <w:r w:rsidR="00D26080" w:rsidRPr="00CB10DF">
        <w:rPr>
          <w:rFonts w:ascii="Times New Roman" w:eastAsia="Times New Roman" w:hAnsi="Times New Roman" w:cs="Times New Roman"/>
          <w:color w:val="000000" w:themeColor="text1"/>
        </w:rPr>
        <w:t xml:space="preserve">, </w:t>
      </w:r>
      <w:r w:rsidR="00D26080" w:rsidRPr="00CB10DF">
        <w:rPr>
          <w:rFonts w:ascii="Times New Roman" w:eastAsia="Times New Roman" w:hAnsi="Times New Roman" w:cs="Times New Roman"/>
          <w:color w:val="000000" w:themeColor="text1"/>
        </w:rPr>
        <w:fldChar w:fldCharType="begin" w:fldLock="1"/>
      </w:r>
      <w:r w:rsidR="00D26080" w:rsidRPr="00CB10DF">
        <w:rPr>
          <w:rFonts w:ascii="Times New Roman" w:eastAsia="Times New Roman" w:hAnsi="Times New Roman" w:cs="Times New Roman"/>
          <w:color w:val="000000" w:themeColor="text1"/>
        </w:rPr>
        <w:instrText>ADDIN CSL_CITATION {"citationItems":[{"id":"ITEM-1","itemData":{"DOI":"10.1016/j.tree.2011.03.005","ISBN":"0169-5347","ISSN":"01695347","PMID":"21470708","abstract":"A recently documented correlate of anthropogenic climate change involves reductions in body size, the nature and scale of the pattern leading to suggestions of a third universal response to climate warming. Because body size affects thermoregulation and energetics, changing body size has implications for resilience in the face of climate change. A review of recent studies shows heterogeneity in the magnitude and direction of size responses, exposing a need for large-scale phylogenetically controlled comparative analyses of temporal size change. Integrative analyses of museum data combined with new theoretical models of size-dependent thermoregulatory and metabolic responses will increase both understanding of the underlying mechanisms and physiological consequences of size shifts and, therefore, the ability to predict the sensitivities of species to climate change. © 2011 Elsevier Ltd.","author":[{"dropping-particle":"","family":"Gardner","given":"Janet L.","non-dropping-particle":"","parse-names":false,"suffix":""},{"dropping-particle":"","family":"Peters","given":"Anne","non-dropping-particle":"","parse-names":false,"suffix":""},{"dropping-particle":"","family":"Kearney","given":"Michael R.","non-dropping-particle":"","parse-names":false,"suffix":""},{"dropping-particle":"","family":"Joseph","given":"Leo","non-dropping-particle":"","parse-names":false,"suffix":""},{"dropping-particle":"","family":"Heinsohn","given":"Robert","non-dropping-particle":"","parse-names":false,"suffix":""}],"container-title":"Trends in Ecology and Evolution","id":"ITEM-1","issue":"6","issued":{"date-parts":[["2011"]]},"page":"285-291","title":"Declining body size: A third universal response to warming?","type":"article","volume":"26"},"uris":["http://www.mendeley.com/documents/?uuid=a5b169c0-6985-4310-a9d6-3a507aebf21e"]}],"mendeley":{"formattedCitation":"(Gardner et al., 2011)","manualFormatting":"Gardner et al., 2011)","plainTextFormattedCitation":"(Gardner et al., 2011)","previouslyFormattedCitation":"(Gardner et al., 2011)"},"properties":{"noteIndex":0},"schema":"https://github.com/citation-style-language/schema/raw/master/csl-citation.json"}</w:instrText>
      </w:r>
      <w:r w:rsidR="00D26080" w:rsidRPr="00CB10DF">
        <w:rPr>
          <w:rFonts w:ascii="Times New Roman" w:eastAsia="Times New Roman" w:hAnsi="Times New Roman" w:cs="Times New Roman"/>
          <w:color w:val="000000" w:themeColor="text1"/>
        </w:rPr>
        <w:fldChar w:fldCharType="separate"/>
      </w:r>
      <w:r w:rsidR="00D26080" w:rsidRPr="00CB10DF">
        <w:rPr>
          <w:rFonts w:ascii="Times New Roman" w:eastAsia="Times New Roman" w:hAnsi="Times New Roman" w:cs="Times New Roman"/>
          <w:noProof/>
          <w:color w:val="000000" w:themeColor="text1"/>
        </w:rPr>
        <w:t>Gardner et al., 2011)</w:t>
      </w:r>
      <w:r w:rsidR="00D26080" w:rsidRPr="00CB10DF">
        <w:rPr>
          <w:rFonts w:ascii="Times New Roman" w:eastAsia="Times New Roman" w:hAnsi="Times New Roman" w:cs="Times New Roman"/>
          <w:color w:val="000000" w:themeColor="text1"/>
        </w:rPr>
        <w:fldChar w:fldCharType="end"/>
      </w:r>
      <w:r w:rsidR="00D26080" w:rsidRPr="00CB10DF">
        <w:rPr>
          <w:rFonts w:ascii="Times New Roman" w:eastAsia="Times New Roman" w:hAnsi="Times New Roman" w:cs="Times New Roman"/>
          <w:color w:val="000000" w:themeColor="text1"/>
        </w:rPr>
        <w:t>.</w:t>
      </w:r>
      <w:r w:rsidRPr="00CB10DF">
        <w:rPr>
          <w:rFonts w:ascii="Times New Roman" w:eastAsia="Times New Roman" w:hAnsi="Times New Roman" w:cs="Times New Roman"/>
          <w:color w:val="000000" w:themeColor="text1"/>
        </w:rPr>
        <w:t xml:space="preserve"> Previous studies show that many ectothermic taxa do not follow the TSR, especially insects </w:t>
      </w:r>
      <w:r w:rsidR="00D26080" w:rsidRPr="00CB10DF">
        <w:rPr>
          <w:rFonts w:ascii="Times New Roman" w:eastAsia="Times New Roman" w:hAnsi="Times New Roman" w:cs="Times New Roman"/>
          <w:color w:val="000000" w:themeColor="text1"/>
        </w:rPr>
        <w:fldChar w:fldCharType="begin" w:fldLock="1"/>
      </w:r>
      <w:r w:rsidR="00117D84" w:rsidRPr="00CB10DF">
        <w:rPr>
          <w:rFonts w:ascii="Times New Roman" w:eastAsia="Times New Roman" w:hAnsi="Times New Roman" w:cs="Times New Roman"/>
          <w:color w:val="000000" w:themeColor="text1"/>
        </w:rPr>
        <w:instrText>ADDIN CSL_CITATION {"citationItems":[{"id":"ITEM-1","itemData":{"abstract":"The geographic variation in body size of an insect species may reflect not only differential adaptation to local climatic conditions but also evolutionary consequences of interaction with closely related species. Thus, both intra- and interspecific body size variations need to be analysed to understand evolutionary significance of geographic pattern of body size variation in a group of closely related species. Here, we introduce geographic patterns of intra- and interspecific body size variation in two groups of carabid beetles in Japan, Leptocarabus and Ohomopterus (the subtribe Carabina, Carabidae) and discuss the possible factors leading to the observed patterns. Body size of a species generally decreases with decreasing warmth of the habitat (the converse of the Bergmann's rule). However, coexisting related species at sympatric zones show separation in body size, leading to deviation from overall clinal trend of body size variation within species. Probably, interspecific interaction through reproductive interference at the secondary contacts has played a role in determining the combination of species that could coexist or affected the body size differentiation per se","author":[{"dropping-particle":"","family":"Sota","given":"T","non-dropping-particle":"","parse-names":false,"suffix":""},{"dropping-particle":"","family":"Takami","given":"Y","non-dropping-particle":"","parse-names":false,"suffix":""},{"dropping-particle":"","family":"Kubota","given":"K","non-dropping-particle":"","parse-names":false,"suffix":""},{"dropping-particle":"","family":"Ishikawa","given":"R","non-dropping-particle":"","parse-names":false,"suffix":""}],"container-title":"Japanese Journal of Entomology New Series","id":"ITEM-1","issue":"3","issued":{"date-parts":[["2002"]]},"page":"88-97","title":"Geographic variation in body size of carabid beetles: patterns resulting from climatic adaptation and interspecific interaction","type":"article","volume":"5"},"uris":["http://www.mendeley.com/documents/?uuid=2d8bdf01-3a6c-4440-8cc9-c994f74c8a14"]}],"mendeley":{"formattedCitation":"(Sota et al., 2002)","manualFormatting":"(Sota et al., 2002","plainTextFormattedCitation":"(Sota et al., 2002)","previouslyFormattedCitation":"(Sota et al., 2002)"},"properties":{"noteIndex":0},"schema":"https://github.com/citation-style-language/schema/raw/master/csl-citation.json"}</w:instrText>
      </w:r>
      <w:r w:rsidR="00D26080" w:rsidRPr="00CB10DF">
        <w:rPr>
          <w:rFonts w:ascii="Times New Roman" w:eastAsia="Times New Roman" w:hAnsi="Times New Roman" w:cs="Times New Roman"/>
          <w:color w:val="000000" w:themeColor="text1"/>
        </w:rPr>
        <w:fldChar w:fldCharType="separate"/>
      </w:r>
      <w:r w:rsidR="00D26080" w:rsidRPr="00CB10DF">
        <w:rPr>
          <w:rFonts w:ascii="Times New Roman" w:eastAsia="Times New Roman" w:hAnsi="Times New Roman" w:cs="Times New Roman"/>
          <w:noProof/>
          <w:color w:val="000000" w:themeColor="text1"/>
        </w:rPr>
        <w:t>(Sota et al., 2002</w:t>
      </w:r>
      <w:r w:rsidR="00D26080" w:rsidRPr="00CB10DF">
        <w:rPr>
          <w:rFonts w:ascii="Times New Roman" w:eastAsia="Times New Roman" w:hAnsi="Times New Roman" w:cs="Times New Roman"/>
          <w:color w:val="000000" w:themeColor="text1"/>
        </w:rPr>
        <w:fldChar w:fldCharType="end"/>
      </w:r>
      <w:r w:rsidR="00D26080" w:rsidRPr="00CB10DF">
        <w:rPr>
          <w:rFonts w:ascii="Times New Roman" w:eastAsia="Times New Roman" w:hAnsi="Times New Roman" w:cs="Times New Roman"/>
          <w:color w:val="000000" w:themeColor="text1"/>
        </w:rPr>
        <w:t xml:space="preserve">, </w:t>
      </w:r>
      <w:r w:rsidR="00D26080" w:rsidRPr="00CB10DF">
        <w:rPr>
          <w:rFonts w:ascii="Times New Roman" w:eastAsia="Times New Roman" w:hAnsi="Times New Roman" w:cs="Times New Roman"/>
          <w:color w:val="000000" w:themeColor="text1"/>
        </w:rPr>
        <w:fldChar w:fldCharType="begin" w:fldLock="1"/>
      </w:r>
      <w:r w:rsidR="00D26080" w:rsidRPr="00CB10DF">
        <w:rPr>
          <w:rFonts w:ascii="Times New Roman" w:eastAsia="Times New Roman" w:hAnsi="Times New Roman" w:cs="Times New Roman"/>
          <w:color w:val="000000" w:themeColor="text1"/>
        </w:rPr>
        <w:instrText>ADDIN CSL_CITATION {"citationItems":[{"id":"ITEM-1","itemData":{"DOI":"10.1093/icb/44.6.413","ISBN":"1540-7063","ISSN":"1540-7063","PMID":"21676727","abstract":"Two seemingly opposite evolutionary patterns of clinal variation in body size and associated life history traits exist in nature. According to Bergmann's rule, body size increases with latitude, a temperature effect. According to the converse Bergmann rule, body size decreases with latitude, a season length effect. A third pattern causally related to the latter is countergradient variation, whereby populations of a given species compensate seasonal limitations at higher latitudes by evolving faster growth and larger body sizes compared to their low latitude conspecifics. We discuss these patterns and argue that they are not mutually exclusive because they are driven by different environmental causes and proximate mechanisms; they therefore can act in conjunction, resulting in any intermediate pattern. Alternatively, Bergmann and converse Bergmann clines can be interpreted as over- and undercompensating countergradient variation, respectively. We illustrate this with data for the wide-spread yellow dung fly, Scathophaga stercoraria (Diptera: Scathophagidae), which in Europe shows a Bergmann cline for size and a converse Bergmann cline (i.e., countergradient variation) for development time. A literature review of the available evidence on arthropod latitudinal clines further shows a patterned continuum of responses. Converse Bergmann clines due to end-of-season time limitations are more common in larger species with longer development times. Our study thus provides a synthesis to the controversy about the importance of Bergmann's rule and the converse Bergmann rule in nature.","author":[{"dropping-particle":"","family":"Blanckenhorn","given":"W. U.","non-dropping-particle":"","parse-names":false,"suffix":""}],"container-title":"Integrative and Comparative Biology","id":"ITEM-1","issue":"6","issued":{"date-parts":[["2004"]]},"page":"413-424","title":"Bergmann and Converse Bergmann Latitudinal Clines in Arthropods: Two Ends of a Continuum?","type":"article-journal","volume":"44"},"uris":["http://www.mendeley.com/documents/?uuid=a71081b0-d5fd-4bc6-b117-f2016bd4d55d"]}],"mendeley":{"formattedCitation":"(Blanckenhorn, 2004)","manualFormatting":"Blanckenhorn, 2004","plainTextFormattedCitation":"(Blanckenhorn, 2004)","previouslyFormattedCitation":"(Blanckenhorn, 2004)"},"properties":{"noteIndex":0},"schema":"https://github.com/citation-style-language/schema/raw/master/csl-citation.json"}</w:instrText>
      </w:r>
      <w:r w:rsidR="00D26080" w:rsidRPr="00CB10DF">
        <w:rPr>
          <w:rFonts w:ascii="Times New Roman" w:eastAsia="Times New Roman" w:hAnsi="Times New Roman" w:cs="Times New Roman"/>
          <w:color w:val="000000" w:themeColor="text1"/>
        </w:rPr>
        <w:fldChar w:fldCharType="separate"/>
      </w:r>
      <w:r w:rsidR="00D26080" w:rsidRPr="00CB10DF">
        <w:rPr>
          <w:rFonts w:ascii="Times New Roman" w:eastAsia="Times New Roman" w:hAnsi="Times New Roman" w:cs="Times New Roman"/>
          <w:noProof/>
          <w:color w:val="000000" w:themeColor="text1"/>
        </w:rPr>
        <w:t>Blanckenhorn, 2004</w:t>
      </w:r>
      <w:r w:rsidR="00D26080" w:rsidRPr="00CB10DF">
        <w:rPr>
          <w:rFonts w:ascii="Times New Roman" w:eastAsia="Times New Roman" w:hAnsi="Times New Roman" w:cs="Times New Roman"/>
          <w:color w:val="000000" w:themeColor="text1"/>
        </w:rPr>
        <w:fldChar w:fldCharType="end"/>
      </w:r>
      <w:r w:rsidR="00D26080" w:rsidRPr="00CB10DF">
        <w:rPr>
          <w:rFonts w:ascii="Times New Roman" w:eastAsia="Times New Roman" w:hAnsi="Times New Roman" w:cs="Times New Roman"/>
          <w:color w:val="000000" w:themeColor="text1"/>
        </w:rPr>
        <w:t>,</w:t>
      </w:r>
      <w:r w:rsidR="00D26080" w:rsidRPr="00CB10DF">
        <w:rPr>
          <w:rFonts w:ascii="Times New Roman" w:eastAsia="Times New Roman" w:hAnsi="Times New Roman" w:cs="Times New Roman"/>
          <w:color w:val="000000" w:themeColor="text1"/>
        </w:rPr>
        <w:fldChar w:fldCharType="begin" w:fldLock="1"/>
      </w:r>
      <w:r w:rsidR="00D26080" w:rsidRPr="00CB10DF">
        <w:rPr>
          <w:rFonts w:ascii="Times New Roman" w:eastAsia="Times New Roman" w:hAnsi="Times New Roman" w:cs="Times New Roman"/>
          <w:color w:val="000000" w:themeColor="text1"/>
        </w:rPr>
        <w:instrText>ADDIN CSL_CITATION {"citationItems":[{"id":"ITEM-1","itemData":{"DOI":"10.1554/03-596","ISBN":"1558-5646","ISSN":"0014-3820","PMID":"15446422","abstract":"One of the most widely recognized generalizations in biology is Bergmann's rule, the observation that, within species of birds and mammals, body size tends to be inversely related to ambient temperature. Recent studies indicate that turtles and salamanders also tend to follow Bergmann's rule, which hints that this species-level tendency originated early in tetrapod history. Furthermore, exceptions to Bergmann's rule are concentrated within squamate reptiles (lizards and snakes), suggesting that the tendency to express a Bergmann's rule cline may be heritable at the species level. We evaluated species-level heritability and early origination of Bergmann's rule by mapping size-latitude relationships for 352 species onto a tetrapod phylogeny. When the largest available dataset is used, Bergmann's rule shows significant phylogenetic signal, indicating species-level heritability. This represents one of the few demonstrations of heritability for an emergent species-level property and the first for an ecogeographic rule. When species are discretely coded as showing either Bergmann's rule or its converse, parsimony reconstructions suggest that: (1) the tendency to follow Bergmann's rule is ancestral for tetrapods, and (2) most extant species that express the rule have retained this tendency from that ancient ancestor. The first inference also generally holds when the discrete data or size-latitude correlation coefficients are analyzed using maximum likelihood, although the results are only statistically significant for some versions of the discrete analyses. The best estimates of ancestral states suggest that the traditional adaptive explanation for Bergmann's rule-conservation of metabolic heat-was not involved in the origin of the trait since that origin predates the evolution of endothermy. A more general thermoregulatory hypothesis could apply to endotherms and some ectotherms, but fails to explain why salamanders have retained Bergmann's rule. Thus, if thermoregulation underlies the origin of a Bergmann's rule tendency, this trait may have been continuously maintained while its cause changed. Alternatively, thermoregulation may not underlie Bergmann's rule in any tetrapod group. The results also suggest that many extinct groups not included in our analyses followed Bergmann's rule.","author":[{"dropping-particle":"","family":"Queiroz","given":"Alan","non-dropping-particle":"de","parse-names":false,"suffix":""},{"dropping-particle":"","family":"Ashton","given":"Kyle G.","non-dropping-particle":"","parse-names":false,"suffix":""}],"container-title":"Evolution","id":"ITEM-1","issue":"8","issued":{"date-parts":[["2004"]]},"page":"1674","title":"The phylogeny of a species-level tendency: species heritability and possible deep origins of Bergmann's rule in Tetrapods","type":"article-journal","volume":"58"},"uris":["http://www.mendeley.com/documents/?uuid=9a33be92-1036-48bc-9db6-b7255ffae3a6"]}],"mendeley":{"formattedCitation":"(de Queiroz &amp; Ashton, 2004)","manualFormatting":" de Queiroz &amp; Ashton, 2004","plainTextFormattedCitation":"(de Queiroz &amp; Ashton, 2004)","previouslyFormattedCitation":"(de Queiroz &amp; Ashton, 2004)"},"properties":{"noteIndex":0},"schema":"https://github.com/citation-style-language/schema/raw/master/csl-citation.json"}</w:instrText>
      </w:r>
      <w:r w:rsidR="00D26080" w:rsidRPr="00CB10DF">
        <w:rPr>
          <w:rFonts w:ascii="Times New Roman" w:eastAsia="Times New Roman" w:hAnsi="Times New Roman" w:cs="Times New Roman"/>
          <w:color w:val="000000" w:themeColor="text1"/>
        </w:rPr>
        <w:fldChar w:fldCharType="separate"/>
      </w:r>
      <w:r w:rsidR="00D26080" w:rsidRPr="00CB10DF">
        <w:rPr>
          <w:rFonts w:ascii="Times New Roman" w:eastAsia="Times New Roman" w:hAnsi="Times New Roman" w:cs="Times New Roman"/>
          <w:noProof/>
          <w:color w:val="000000" w:themeColor="text1"/>
        </w:rPr>
        <w:t xml:space="preserve"> de Queiroz &amp; Ashton, 2004</w:t>
      </w:r>
      <w:r w:rsidR="00D26080" w:rsidRPr="00CB10DF">
        <w:rPr>
          <w:rFonts w:ascii="Times New Roman" w:eastAsia="Times New Roman" w:hAnsi="Times New Roman" w:cs="Times New Roman"/>
          <w:color w:val="000000" w:themeColor="text1"/>
        </w:rPr>
        <w:fldChar w:fldCharType="end"/>
      </w:r>
      <w:r w:rsidR="00D26080" w:rsidRPr="00CB10DF">
        <w:rPr>
          <w:rFonts w:ascii="Times New Roman" w:eastAsia="Times New Roman" w:hAnsi="Times New Roman" w:cs="Times New Roman"/>
          <w:color w:val="000000" w:themeColor="text1"/>
        </w:rPr>
        <w:t xml:space="preserve">, </w:t>
      </w:r>
      <w:r w:rsidR="00D26080" w:rsidRPr="00CB10DF">
        <w:rPr>
          <w:rFonts w:ascii="Times New Roman" w:eastAsia="Times New Roman" w:hAnsi="Times New Roman" w:cs="Times New Roman"/>
          <w:color w:val="000000" w:themeColor="text1"/>
        </w:rPr>
        <w:fldChar w:fldCharType="begin" w:fldLock="1"/>
      </w:r>
      <w:r w:rsidR="00117D84" w:rsidRPr="00CB10DF">
        <w:rPr>
          <w:rFonts w:ascii="Times New Roman" w:eastAsia="Times New Roman" w:hAnsi="Times New Roman" w:cs="Times New Roman"/>
          <w:color w:val="000000" w:themeColor="text1"/>
        </w:rPr>
        <w:instrText>ADDIN CSL_CITATION {"citationItems":[{"id":"ITEM-1","itemData":{"DOI":"10.1002/ece3.5550","ISSN":"2045-7758","author":[{"dropping-particle":"","family":"Wilson","given":"Rebecca J.","non-dropping-particle":"","parse-names":false,"suffix":""},{"dropping-particle":"","family":"Brooks","given":"Stephen J.","non-dropping-particle":"","parse-names":false,"suffix":""},{"dropping-particle":"","family":"Fenberg","given":"Phillip B.","non-dropping-particle":"","parse-names":false,"suffix":""}],"container-title":"Ecology and Evolution","id":"ITEM-1","issue":"18","issued":{"date-parts":[["2019","9","14"]]},"page":"10305-10316","title":"The influence of ecological and life history factors on ectothermic temperature–size responses: Analysis of three Lycaenidae butterflies (Lepidoptera)","type":"article-journal","volume":"9"},"uris":["http://www.mendeley.com/documents/?uuid=7b620d03-4056-4d14-99fb-b8231f3fad25"]}],"mendeley":{"formattedCitation":"(Wilson et al., 2019)","manualFormatting":"Wilson et al., 2019)","plainTextFormattedCitation":"(Wilson et al., 2019)","previouslyFormattedCitation":"(Wilson et al., 2019)"},"properties":{"noteIndex":0},"schema":"https://github.com/citation-style-language/schema/raw/master/csl-citation.json"}</w:instrText>
      </w:r>
      <w:r w:rsidR="00D26080" w:rsidRPr="00CB10DF">
        <w:rPr>
          <w:rFonts w:ascii="Times New Roman" w:eastAsia="Times New Roman" w:hAnsi="Times New Roman" w:cs="Times New Roman"/>
          <w:color w:val="000000" w:themeColor="text1"/>
        </w:rPr>
        <w:fldChar w:fldCharType="separate"/>
      </w:r>
      <w:r w:rsidR="00D26080" w:rsidRPr="00CB10DF">
        <w:rPr>
          <w:rFonts w:ascii="Times New Roman" w:eastAsia="Times New Roman" w:hAnsi="Times New Roman" w:cs="Times New Roman"/>
          <w:noProof/>
          <w:color w:val="000000" w:themeColor="text1"/>
        </w:rPr>
        <w:t>Wilson et al., 2019)</w:t>
      </w:r>
      <w:r w:rsidR="00D26080" w:rsidRPr="00CB10DF">
        <w:rPr>
          <w:rFonts w:ascii="Times New Roman" w:eastAsia="Times New Roman" w:hAnsi="Times New Roman" w:cs="Times New Roman"/>
          <w:color w:val="000000" w:themeColor="text1"/>
        </w:rPr>
        <w:fldChar w:fldCharType="end"/>
      </w:r>
      <w:r w:rsidR="00D26080" w:rsidRPr="00CB10DF">
        <w:rPr>
          <w:rFonts w:ascii="Times New Roman" w:eastAsia="Times New Roman" w:hAnsi="Times New Roman" w:cs="Times New Roman"/>
          <w:color w:val="000000" w:themeColor="text1"/>
        </w:rPr>
        <w:t>.</w:t>
      </w:r>
      <w:r w:rsidRPr="00CB10DF">
        <w:rPr>
          <w:rFonts w:ascii="Times New Roman" w:eastAsia="Times New Roman" w:hAnsi="Times New Roman" w:cs="Times New Roman"/>
          <w:color w:val="000000" w:themeColor="text1"/>
        </w:rPr>
        <w:t xml:space="preserve"> This is thought to be due to season length effects</w:t>
      </w:r>
      <w:r w:rsidR="00E87427" w:rsidRPr="00CB10DF">
        <w:rPr>
          <w:rFonts w:ascii="Times New Roman" w:eastAsia="Times New Roman" w:hAnsi="Times New Roman" w:cs="Times New Roman"/>
          <w:color w:val="000000" w:themeColor="text1"/>
        </w:rPr>
        <w:t xml:space="preserve"> (i.e. </w:t>
      </w:r>
      <w:r w:rsidR="005B0931" w:rsidRPr="00CB10DF">
        <w:rPr>
          <w:rFonts w:ascii="Times New Roman" w:eastAsia="Times New Roman" w:hAnsi="Times New Roman" w:cs="Times New Roman"/>
          <w:color w:val="000000" w:themeColor="text1"/>
        </w:rPr>
        <w:t>longer</w:t>
      </w:r>
      <w:r w:rsidR="00E87427" w:rsidRPr="00CB10DF">
        <w:rPr>
          <w:rFonts w:ascii="Times New Roman" w:eastAsia="Times New Roman" w:hAnsi="Times New Roman" w:cs="Times New Roman"/>
          <w:color w:val="000000" w:themeColor="text1"/>
        </w:rPr>
        <w:t xml:space="preserve"> warm </w:t>
      </w:r>
      <w:r w:rsidR="005B0931" w:rsidRPr="00CB10DF">
        <w:rPr>
          <w:rFonts w:ascii="Times New Roman" w:eastAsia="Times New Roman" w:hAnsi="Times New Roman" w:cs="Times New Roman"/>
          <w:color w:val="000000" w:themeColor="text1"/>
        </w:rPr>
        <w:t>season</w:t>
      </w:r>
      <w:r w:rsidR="00E87427" w:rsidRPr="00CB10DF">
        <w:rPr>
          <w:rFonts w:ascii="Times New Roman" w:eastAsia="Times New Roman" w:hAnsi="Times New Roman" w:cs="Times New Roman"/>
          <w:color w:val="000000" w:themeColor="text1"/>
        </w:rPr>
        <w:t>s</w:t>
      </w:r>
      <w:r w:rsidR="005B0931" w:rsidRPr="00CB10DF">
        <w:rPr>
          <w:rFonts w:ascii="Times New Roman" w:eastAsia="Times New Roman" w:hAnsi="Times New Roman" w:cs="Times New Roman"/>
          <w:color w:val="000000" w:themeColor="text1"/>
        </w:rPr>
        <w:t xml:space="preserve"> </w:t>
      </w:r>
      <w:r w:rsidR="00E87427" w:rsidRPr="00CB10DF">
        <w:rPr>
          <w:rFonts w:ascii="Times New Roman" w:eastAsia="Times New Roman" w:hAnsi="Times New Roman" w:cs="Times New Roman"/>
          <w:color w:val="000000" w:themeColor="text1"/>
        </w:rPr>
        <w:t>correspond to</w:t>
      </w:r>
      <w:r w:rsidR="005B0931" w:rsidRPr="00CB10DF">
        <w:rPr>
          <w:rFonts w:ascii="Times New Roman" w:eastAsia="Times New Roman" w:hAnsi="Times New Roman" w:cs="Times New Roman"/>
          <w:color w:val="000000" w:themeColor="text1"/>
        </w:rPr>
        <w:t xml:space="preserve"> </w:t>
      </w:r>
      <w:r w:rsidR="00E87427" w:rsidRPr="00CB10DF">
        <w:rPr>
          <w:rFonts w:ascii="Times New Roman" w:eastAsia="Times New Roman" w:hAnsi="Times New Roman" w:cs="Times New Roman"/>
          <w:color w:val="000000" w:themeColor="text1"/>
        </w:rPr>
        <w:t>a longer</w:t>
      </w:r>
      <w:r w:rsidR="005B0931" w:rsidRPr="00CB10DF">
        <w:rPr>
          <w:rFonts w:ascii="Times New Roman" w:eastAsia="Times New Roman" w:hAnsi="Times New Roman" w:cs="Times New Roman"/>
          <w:color w:val="000000" w:themeColor="text1"/>
        </w:rPr>
        <w:t xml:space="preserve"> developmental period</w:t>
      </w:r>
      <w:r w:rsidR="00E87427" w:rsidRPr="00CB10DF">
        <w:rPr>
          <w:rFonts w:ascii="Times New Roman" w:eastAsia="Times New Roman" w:hAnsi="Times New Roman" w:cs="Times New Roman"/>
          <w:color w:val="000000" w:themeColor="text1"/>
        </w:rPr>
        <w:t>)</w:t>
      </w:r>
      <w:r w:rsidRPr="00CB10DF">
        <w:rPr>
          <w:rFonts w:ascii="Times New Roman" w:eastAsia="Times New Roman" w:hAnsi="Times New Roman" w:cs="Times New Roman"/>
          <w:color w:val="000000" w:themeColor="text1"/>
        </w:rPr>
        <w:t xml:space="preserve">, voltinism type (the number of generations per year), sexual size-dimorphism (SSD), trophic level, habitat type, and food quality </w:t>
      </w:r>
      <w:r w:rsidR="008C687E" w:rsidRPr="00CB10DF">
        <w:rPr>
          <w:rFonts w:ascii="Times New Roman" w:eastAsia="Times New Roman" w:hAnsi="Times New Roman" w:cs="Times New Roman"/>
          <w:color w:val="000000" w:themeColor="text1"/>
        </w:rPr>
        <w:fldChar w:fldCharType="begin" w:fldLock="1"/>
      </w:r>
      <w:r w:rsidR="00117D84" w:rsidRPr="00CB10DF">
        <w:rPr>
          <w:rFonts w:ascii="Times New Roman" w:eastAsia="Times New Roman" w:hAnsi="Times New Roman" w:cs="Times New Roman"/>
          <w:color w:val="000000" w:themeColor="text1"/>
        </w:rPr>
        <w:instrText>ADDIN CSL_CITATION {"citationItems":[{"id":"ITEM-1","itemData":{"DOI":"10.1080/01650420701858764","ISSN":"01650424","abstract":"The objective of this study was to determine the relationship between body size and elevation in adults and larvae of five species of plecopterans of the genus Anacroneuria inhabiting the Chama River watershed (Me´ rida State, Venezuela). Body size was determined by six morphometric variables in adults (body length, head capsule width and length, forewing length, pronotum width and length) and eight in larvae (body length, head capsule width and length, intraocular distance, forewing pad, first abdominal segment length and width and total abdomen length). However, only forewing length and head capsule length showed a positive significant correlation in all adults and larvae, respectively, even though correlation coefficients in larvae were lower than in adults. A tendency to sex differences was also noted in adults with greater forewing length in females.","author":[{"dropping-particle":"","family":"Cressa","given":"Claudia","non-dropping-particle":"","parse-names":false,"suffix":""},{"dropping-particle":"","family":"Maldonado","given":"Vanesa","non-dropping-particle":"","parse-names":false,"suffix":""},{"dropping-particle":"","family":"Segnini","given":"Samuel","non-dropping-particle":"","parse-names":false,"suffix":""},{"dropping-particle":"","family":"Chacón","given":"Maria Marleny","non-dropping-particle":"","parse-names":false,"suffix":""}],"container-title":"Aquatic Insects","id":"ITEM-1","issue":"2","issued":{"date-parts":[["2008"]]},"page":"127-134","title":"Size variation with elevation in adults and larvae of some Venezuelan stoneflies (Insecta: Plecoptera: Perlidae)","type":"article-journal","volume":"30"},"uris":["http://www.mendeley.com/documents/?uuid=46333800-0868-4f85-b1f0-75707204a703"]}],"mendeley":{"formattedCitation":"(Cressa et al., 2008)","manualFormatting":"(Cressa et al., 2008","plainTextFormattedCitation":"(Cressa et al., 2008)","previouslyFormattedCitation":"(Cressa et al., 2008)"},"properties":{"noteIndex":0},"schema":"https://github.com/citation-style-language/schema/raw/master/csl-citation.json"}</w:instrText>
      </w:r>
      <w:r w:rsidR="008C687E" w:rsidRPr="00CB10DF">
        <w:rPr>
          <w:rFonts w:ascii="Times New Roman" w:eastAsia="Times New Roman" w:hAnsi="Times New Roman" w:cs="Times New Roman"/>
          <w:color w:val="000000" w:themeColor="text1"/>
        </w:rPr>
        <w:fldChar w:fldCharType="separate"/>
      </w:r>
      <w:r w:rsidR="008C687E" w:rsidRPr="00CB10DF">
        <w:rPr>
          <w:rFonts w:ascii="Times New Roman" w:eastAsia="Times New Roman" w:hAnsi="Times New Roman" w:cs="Times New Roman"/>
          <w:noProof/>
          <w:color w:val="000000" w:themeColor="text1"/>
        </w:rPr>
        <w:t>(Cressa et al., 2008</w:t>
      </w:r>
      <w:r w:rsidR="008C687E" w:rsidRPr="00CB10DF">
        <w:rPr>
          <w:rFonts w:ascii="Times New Roman" w:eastAsia="Times New Roman" w:hAnsi="Times New Roman" w:cs="Times New Roman"/>
          <w:color w:val="000000" w:themeColor="text1"/>
        </w:rPr>
        <w:fldChar w:fldCharType="end"/>
      </w:r>
      <w:r w:rsidR="008C687E" w:rsidRPr="00CB10DF">
        <w:rPr>
          <w:rFonts w:ascii="Times New Roman" w:eastAsia="Times New Roman" w:hAnsi="Times New Roman" w:cs="Times New Roman"/>
          <w:color w:val="000000" w:themeColor="text1"/>
        </w:rPr>
        <w:t xml:space="preserve">, </w:t>
      </w:r>
      <w:r w:rsidR="008C687E" w:rsidRPr="00CB10DF">
        <w:rPr>
          <w:rFonts w:ascii="Times New Roman" w:eastAsia="Times New Roman" w:hAnsi="Times New Roman" w:cs="Times New Roman"/>
          <w:color w:val="000000" w:themeColor="text1"/>
        </w:rPr>
        <w:fldChar w:fldCharType="begin" w:fldLock="1"/>
      </w:r>
      <w:r w:rsidR="008C687E" w:rsidRPr="00CB10DF">
        <w:rPr>
          <w:rFonts w:ascii="Times New Roman" w:eastAsia="Times New Roman" w:hAnsi="Times New Roman" w:cs="Times New Roman"/>
          <w:color w:val="000000" w:themeColor="text1"/>
        </w:rPr>
        <w:instrText>ADDIN CSL_CITATION {"citationItems":[{"id":"ITEM-1","itemData":{"ISBN":"1522-0613","ISSN":"15220613","PMID":"256465000007","abstract":"Question: Associations of body size and of body temperature with fitness have complex relationships for ectotherms, but three general patterns are known. Bigger is better: Larger body size is frequently associated with greater fitness within populations. Hotter is smaller: Smaller adult body sizes typically result from development at higher temperatures. Hotter is better: Greater maximal performance at the optimal temperature is frequently associated with higher optimal temperatures. How do we – or even can we – reconcile these three apparently conflicting empirical patterns about temperature, size, and fitness of ectotherms? Methods: We summarize available evidence supporting or contradicting these three rules. We present a conceptual framework that describes how developmental and adult body temperatures affect causal connections among size, performance, and key components of fitness. Findings: There is strong empirical support for Bigger is better and Hotter is smaller (≥79% of studies/estimates), primarily for terrestrial insects, reptiles, and annual plants. Evidence regarding Hotter is better is still limited (and primarily from terrestrial insects), but most available information supports the rule. Analyses of counterexamples are particularly instructive. The rules operate at different levels. Bigger is better describes phenotypic variation within populations. Hotter is smaller describes phenotypic plasticity of a genotype. Hotter is better describes evolved variation in reaction norms among genotypes or between species. Conclusions: We unify these three rules into a path diagram that describes how temperature impacts critical rate processes throughout the life cycle. Adult body size and development time are key traits that are not only consequences of temperature-dependent processes, but also are causes of variation in fitness. An unresolved issue involves how to determine the appropriate fitness metric for a particular ecological context (population and environment). For example, the intrinsic rate of population increase (r) is strongly influenced by generation time (and development time), whereas net reproductive rate (R0 ) is strongly influenced by fecundity (and size). Because the relative strengths of different paths contributing to fitness change differ for these fitness metrics, the choice of metric can affect whether Hotter is better is ‘better’ than Bigger is better.","author":[{"dropping-particle":"","family":"Kingsolver","given":"Joel G.","non-dropping-particle":"","parse-names":false,"suffix":""},{"dropping-particle":"","family":"Huey","given":"Raymond B.","non-dropping-particle":"","parse-names":false,"suffix":""}],"container-title":"Evolutionary Ecology Research","id":"ITEM-1","issue":"2","issued":{"date-parts":[["2008"]]},"page":"251-268","title":"Size, temperature, and fitness: Three rules","type":"article-journal","volume":"10"},"uris":["http://www.mendeley.com/documents/?uuid=5a989b4e-52b3-42ba-ac60-d92821eb6929"]}],"mendeley":{"formattedCitation":"(Kingsolver &amp; Huey, 2008)","manualFormatting":"Kingsolver &amp; Huey, 2008","plainTextFormattedCitation":"(Kingsolver &amp; Huey, 2008)","previouslyFormattedCitation":"(Kingsolver &amp; Huey, 2008)"},"properties":{"noteIndex":0},"schema":"https://github.com/citation-style-language/schema/raw/master/csl-citation.json"}</w:instrText>
      </w:r>
      <w:r w:rsidR="008C687E" w:rsidRPr="00CB10DF">
        <w:rPr>
          <w:rFonts w:ascii="Times New Roman" w:eastAsia="Times New Roman" w:hAnsi="Times New Roman" w:cs="Times New Roman"/>
          <w:color w:val="000000" w:themeColor="text1"/>
        </w:rPr>
        <w:fldChar w:fldCharType="separate"/>
      </w:r>
      <w:r w:rsidR="008C687E" w:rsidRPr="00CB10DF">
        <w:rPr>
          <w:rFonts w:ascii="Times New Roman" w:eastAsia="Times New Roman" w:hAnsi="Times New Roman" w:cs="Times New Roman"/>
          <w:noProof/>
          <w:color w:val="000000" w:themeColor="text1"/>
        </w:rPr>
        <w:t>Kingsolver &amp; Huey, 2008</w:t>
      </w:r>
      <w:r w:rsidR="008C687E" w:rsidRPr="00CB10DF">
        <w:rPr>
          <w:rFonts w:ascii="Times New Roman" w:eastAsia="Times New Roman" w:hAnsi="Times New Roman" w:cs="Times New Roman"/>
          <w:color w:val="000000" w:themeColor="text1"/>
        </w:rPr>
        <w:fldChar w:fldCharType="end"/>
      </w:r>
      <w:r w:rsidR="008C687E" w:rsidRPr="00CB10DF">
        <w:rPr>
          <w:rFonts w:ascii="Times New Roman" w:eastAsia="Times New Roman" w:hAnsi="Times New Roman" w:cs="Times New Roman"/>
          <w:color w:val="000000" w:themeColor="text1"/>
        </w:rPr>
        <w:t xml:space="preserve">, </w:t>
      </w:r>
      <w:r w:rsidR="008C687E" w:rsidRPr="00CB10DF">
        <w:rPr>
          <w:rFonts w:ascii="Times New Roman" w:eastAsia="Times New Roman" w:hAnsi="Times New Roman" w:cs="Times New Roman"/>
          <w:color w:val="000000" w:themeColor="text1"/>
        </w:rPr>
        <w:fldChar w:fldCharType="begin" w:fldLock="1"/>
      </w:r>
      <w:r w:rsidR="008C687E" w:rsidRPr="00CB10DF">
        <w:rPr>
          <w:rFonts w:ascii="Times New Roman" w:eastAsia="Times New Roman" w:hAnsi="Times New Roman" w:cs="Times New Roman"/>
          <w:color w:val="000000" w:themeColor="text1"/>
        </w:rPr>
        <w:instrText>ADDIN CSL_CITATION {"citationItems":[{"id":"ITEM-1","itemData":{"DOI":"10.1111/j.1466-8238.2007.00374.x","ISBN":"1466-822X","ISSN":"1466822X","abstract":"Aim To measure latitude-related body size variation in field-collected Paropsis atomaria Olivier (Coleoptera: Chrysomelidae) individuals and to conduct common- garden experiments to determine whether such variation is due to phenotypic plasticity or local adaptation. Location Four collection sites from the east coast of Australia were selected for our present field collections: Canberra (latitude 35 ° 19 ′ S), Bangalow (latitude 28 ° 43 ′ S), Beerburrum (latitude 26 ° 58 ′ S) and Lowmead (latitude 24 ° 29 ′ S). Museum specimens collected over the past 100 years and covering the same geographical area as the present field collections came from one state, one national and one private collection. Methods Body size (pronotum width) was measured for 118 field-collected beetles and 302 specimens from collections. We then reared larvae from the latitudinal extremes (Canberra and Lowmead) to determine whether the size cline was the result of phenotypic plasticity or evolved differences (= local adaptation) between sites. Results Beetles decreased in size with increasing latitude, representing a converse Bergmann cline. A decrease in developmental temperature produced larger adults for both Lowmead (low latitude) and Canberra (high latitude) individuals, and those from Lowmead were larger than those from Canberra when reared under identical conditions. Main conclusions The converse Bergmann cline in P. atomaria is likely to be the result of local adaptation to season length","author":[{"dropping-particle":"","family":"Schutze","given":"Mark K.","non-dropping-particle":"","parse-names":false,"suffix":""},{"dropping-particle":"","family":"Clarke","given":"Anthony R.","non-dropping-particle":"","parse-names":false,"suffix":""}],"container-title":"Global Ecology and Biogeography","id":"ITEM-1","issue":"3","issued":{"date-parts":[["2008"]]},"page":"424-431","title":"Converse bergmann cline in a Eucalyptus herbivore, Paropsis atomaria Olivier (Coleoptera: Chrysomelidae): Phenotypic plasticity or local adaptation?","type":"article-journal","volume":"17"},"uris":["http://www.mendeley.com/documents/?uuid=678b278c-a7e2-4196-a911-7e5f51d272c0"]}],"mendeley":{"formattedCitation":"(Schutze &amp; Clarke, 2008)","manualFormatting":"Schutze &amp; Clarke, 2008","plainTextFormattedCitation":"(Schutze &amp; Clarke, 2008)","previouslyFormattedCitation":"(Schutze &amp; Clarke, 2008)"},"properties":{"noteIndex":0},"schema":"https://github.com/citation-style-language/schema/raw/master/csl-citation.json"}</w:instrText>
      </w:r>
      <w:r w:rsidR="008C687E" w:rsidRPr="00CB10DF">
        <w:rPr>
          <w:rFonts w:ascii="Times New Roman" w:eastAsia="Times New Roman" w:hAnsi="Times New Roman" w:cs="Times New Roman"/>
          <w:color w:val="000000" w:themeColor="text1"/>
        </w:rPr>
        <w:fldChar w:fldCharType="separate"/>
      </w:r>
      <w:r w:rsidR="008C687E" w:rsidRPr="00CB10DF">
        <w:rPr>
          <w:rFonts w:ascii="Times New Roman" w:eastAsia="Times New Roman" w:hAnsi="Times New Roman" w:cs="Times New Roman"/>
          <w:noProof/>
          <w:color w:val="000000" w:themeColor="text1"/>
        </w:rPr>
        <w:t>Schutze &amp; Clarke, 2008</w:t>
      </w:r>
      <w:r w:rsidR="008C687E" w:rsidRPr="00CB10DF">
        <w:rPr>
          <w:rFonts w:ascii="Times New Roman" w:eastAsia="Times New Roman" w:hAnsi="Times New Roman" w:cs="Times New Roman"/>
          <w:color w:val="000000" w:themeColor="text1"/>
        </w:rPr>
        <w:fldChar w:fldCharType="end"/>
      </w:r>
      <w:r w:rsidR="008C687E" w:rsidRPr="00CB10DF">
        <w:rPr>
          <w:rFonts w:ascii="Times New Roman" w:eastAsia="Times New Roman" w:hAnsi="Times New Roman" w:cs="Times New Roman"/>
          <w:color w:val="000000" w:themeColor="text1"/>
        </w:rPr>
        <w:t xml:space="preserve">, </w:t>
      </w:r>
      <w:r w:rsidR="008C687E" w:rsidRPr="00CB10DF">
        <w:rPr>
          <w:rFonts w:ascii="Times New Roman" w:eastAsia="Times New Roman" w:hAnsi="Times New Roman" w:cs="Times New Roman"/>
          <w:color w:val="000000" w:themeColor="text1"/>
        </w:rPr>
        <w:fldChar w:fldCharType="begin" w:fldLock="1"/>
      </w:r>
      <w:r w:rsidR="008C687E" w:rsidRPr="00CB10DF">
        <w:rPr>
          <w:rFonts w:ascii="Times New Roman" w:eastAsia="Times New Roman" w:hAnsi="Times New Roman" w:cs="Times New Roman"/>
          <w:color w:val="000000" w:themeColor="text1"/>
        </w:rPr>
        <w:instrText>ADDIN CSL_CITATION {"citationItems":[{"id":"ITEM-1","itemData":{"DOI":"10.1098/rsbl.2014.0473","ISBN":"1744-9561","ISSN":"1744-9561","PMID":"25165457","abstract":"The increased temperature associated with climate change may have impor- tant effects on body size and predator–prey interactions. The consequences of these effects for food web structure are unclear because the relationships between temperature and aspects of food web structure such as predator– prey body-size relationships are unknown. Here, we use the largest reported dataset for marine predator–prey interactions to assess how temperature affects predator–prey body-size relationships among different habitats ran- ging from the tropics to the poles. We found that prey size selection depends on predator body size, temperature and the interaction between the two. Our results indicate that (i) predator–prey body-size ratios decrease with predator size at below-average temperatures and increase with predator size at above-average temperatures, and (ii) that the effect of temperature on predator–prey body-size structure will be stronger at small and large body sizes and relatively weak at intermediate sizes. This systematic interaction may help to simplify forecasting the potentially complex consequences of warming on interaction strengths and food web stability. 1.","author":[{"dropping-particle":"","family":"Gibert","given":"J. P.","non-dropping-particle":"","parse-names":false,"suffix":""},{"dropping-particle":"","family":"DeLong","given":"J. P.","non-dropping-particle":"","parse-names":false,"suffix":""}],"container-title":"Biology Letters","id":"ITEM-1","issue":"8","issued":{"date-parts":[["2014"]]},"page":"20140473-20140473","title":"Temperature alters food web body-size structure","type":"article-journal","volume":"10"},"uris":["http://www.mendeley.com/documents/?uuid=9a0e77dd-9a86-4e7c-ab20-3bb41bb8cbab"]}],"mendeley":{"formattedCitation":"(Gibert &amp; DeLong, 2014)","manualFormatting":"Gibert &amp; DeLong, 2014","plainTextFormattedCitation":"(Gibert &amp; DeLong, 2014)","previouslyFormattedCitation":"(Gibert &amp; DeLong, 2014)"},"properties":{"noteIndex":0},"schema":"https://github.com/citation-style-language/schema/raw/master/csl-citation.json"}</w:instrText>
      </w:r>
      <w:r w:rsidR="008C687E" w:rsidRPr="00CB10DF">
        <w:rPr>
          <w:rFonts w:ascii="Times New Roman" w:eastAsia="Times New Roman" w:hAnsi="Times New Roman" w:cs="Times New Roman"/>
          <w:color w:val="000000" w:themeColor="text1"/>
        </w:rPr>
        <w:fldChar w:fldCharType="separate"/>
      </w:r>
      <w:r w:rsidR="008C687E" w:rsidRPr="00CB10DF">
        <w:rPr>
          <w:rFonts w:ascii="Times New Roman" w:eastAsia="Times New Roman" w:hAnsi="Times New Roman" w:cs="Times New Roman"/>
          <w:noProof/>
          <w:color w:val="000000" w:themeColor="text1"/>
        </w:rPr>
        <w:t>Gibert &amp; DeLong, 2014</w:t>
      </w:r>
      <w:r w:rsidR="008C687E" w:rsidRPr="00CB10DF">
        <w:rPr>
          <w:rFonts w:ascii="Times New Roman" w:eastAsia="Times New Roman" w:hAnsi="Times New Roman" w:cs="Times New Roman"/>
          <w:color w:val="000000" w:themeColor="text1"/>
        </w:rPr>
        <w:fldChar w:fldCharType="end"/>
      </w:r>
      <w:r w:rsidR="008C687E" w:rsidRPr="00CB10DF">
        <w:rPr>
          <w:rFonts w:ascii="Times New Roman" w:eastAsia="Times New Roman" w:hAnsi="Times New Roman" w:cs="Times New Roman"/>
          <w:color w:val="000000" w:themeColor="text1"/>
        </w:rPr>
        <w:t xml:space="preserve">, </w:t>
      </w:r>
      <w:r w:rsidR="008C687E" w:rsidRPr="00CB10DF">
        <w:rPr>
          <w:rFonts w:ascii="Times New Roman" w:eastAsia="Times New Roman" w:hAnsi="Times New Roman" w:cs="Times New Roman"/>
          <w:color w:val="000000" w:themeColor="text1"/>
        </w:rPr>
        <w:fldChar w:fldCharType="begin" w:fldLock="1"/>
      </w:r>
      <w:r w:rsidR="00117D84" w:rsidRPr="00CB10DF">
        <w:rPr>
          <w:rFonts w:ascii="Times New Roman" w:eastAsia="Times New Roman" w:hAnsi="Times New Roman" w:cs="Times New Roman"/>
          <w:color w:val="000000" w:themeColor="text1"/>
        </w:rPr>
        <w:instrText>ADDIN CSL_CITATION {"citationItems":[{"id":"ITEM-1","itemData":{"DOI":"10.1111/ele.12413","ISBN":"1461-0248","ISSN":"14610248","PMID":"25682961","abstract":"Two major intraspecific patterns of adult size variation are plastic temperature-size (T-S) responses and latitude-size (L-S) clines. Yet, the degree to which these co-vary and share explana- tory mechanisms has not been systematically evaluated. We present the largest quantitative com- parison of these gradients to date, and find that their direction and magnitude co-vary among 12 arthropod orders (r2 = 0.72). Body size in aquatic species generally reduces with both warming and decreasing latitude, whereas terrestrial species have much reduced and even opposite gradi- ents. These patterns support the prediction that oxygen limitation is a major controlling factor in water, but not in air. Furthermore, voltinism explains much of the variation in T-S and L-S pat- terns in terrestrial but not aquatic species. While body size decreases with warming and with decreasing latitude in multivoltine terrestrial arthropods, size increases on average in univoltine species, consistent with predictions from size vs. season-length trade-offs.","author":[{"dropping-particle":"","family":"Horne","given":"Curtis R.","non-dropping-particle":"","parse-names":false,"suffix":""},{"dropping-particle":"","family":"Hirst","given":"Andrew G.","non-dropping-particle":"","parse-names":false,"suffix":""},{"dropping-particle":"","family":"Atkinson","given":"David","non-dropping-particle":"","parse-names":false,"suffix":""}],"container-title":"Ecology Letters","id":"ITEM-1","issue":"4","issued":{"date-parts":[["2015"]]},"page":"327-335","title":"Temperature-size responses match latitudinal-size clines in arthropods, revealing critical differences between aquatic and terrestrial species","type":"article-journal","volume":"18"},"uris":["http://www.mendeley.com/documents/?uuid=32c1bce0-acd2-42e3-a942-dba43bfa032f"]}],"mendeley":{"formattedCitation":"(Horne et al., 2015)","manualFormatting":"Horne et al, 2015","plainTextFormattedCitation":"(Horne et al., 2015)","previouslyFormattedCitation":"(Horne et al., 2015)"},"properties":{"noteIndex":0},"schema":"https://github.com/citation-style-language/schema/raw/master/csl-citation.json"}</w:instrText>
      </w:r>
      <w:r w:rsidR="008C687E" w:rsidRPr="00CB10DF">
        <w:rPr>
          <w:rFonts w:ascii="Times New Roman" w:eastAsia="Times New Roman" w:hAnsi="Times New Roman" w:cs="Times New Roman"/>
          <w:color w:val="000000" w:themeColor="text1"/>
        </w:rPr>
        <w:fldChar w:fldCharType="separate"/>
      </w:r>
      <w:r w:rsidR="008C687E" w:rsidRPr="00CB10DF">
        <w:rPr>
          <w:rFonts w:ascii="Times New Roman" w:eastAsia="Times New Roman" w:hAnsi="Times New Roman" w:cs="Times New Roman"/>
          <w:noProof/>
          <w:color w:val="000000" w:themeColor="text1"/>
        </w:rPr>
        <w:t>Horne et al, 2015</w:t>
      </w:r>
      <w:r w:rsidR="008C687E" w:rsidRPr="00CB10DF">
        <w:rPr>
          <w:rFonts w:ascii="Times New Roman" w:eastAsia="Times New Roman" w:hAnsi="Times New Roman" w:cs="Times New Roman"/>
          <w:color w:val="000000" w:themeColor="text1"/>
        </w:rPr>
        <w:fldChar w:fldCharType="end"/>
      </w:r>
      <w:r w:rsidR="008C687E" w:rsidRPr="00CB10DF">
        <w:rPr>
          <w:rFonts w:ascii="Times New Roman" w:eastAsia="Times New Roman" w:hAnsi="Times New Roman" w:cs="Times New Roman"/>
          <w:color w:val="000000" w:themeColor="text1"/>
        </w:rPr>
        <w:t xml:space="preserve">, </w:t>
      </w:r>
      <w:r w:rsidR="008C687E" w:rsidRPr="00CB10DF">
        <w:rPr>
          <w:rFonts w:ascii="Times New Roman" w:eastAsia="Times New Roman" w:hAnsi="Times New Roman" w:cs="Times New Roman"/>
          <w:color w:val="000000" w:themeColor="text1"/>
        </w:rPr>
        <w:fldChar w:fldCharType="begin" w:fldLock="1"/>
      </w:r>
      <w:r w:rsidR="00117D84" w:rsidRPr="00CB10DF">
        <w:rPr>
          <w:rFonts w:ascii="Times New Roman" w:eastAsia="Times New Roman" w:hAnsi="Times New Roman" w:cs="Times New Roman"/>
          <w:color w:val="000000" w:themeColor="text1"/>
        </w:rPr>
        <w:instrText>ADDIN CSL_CITATION {"citationItems":[{"id":"ITEM-1","itemData":{"DOI":"10.1111/1365-2656.12492","ISBN":"1365-2656 (Electronic)\\r0021-8790 (Linking)","ISSN":"13652656","PMID":"26876243","abstract":"Animals with distinct life stages are often exposed to different temperatures during each stage. Thus, how temperature affects these life stages should be considered for broadly understanding the ecological consequences of climate warming on such species. For example, temperature variation during particular life stages may affect respective change in body size, phenology and geographic range, which have been identified as the \"universal\" ecological responses to climate change. While each of these responses has been separately documented across a number of species, it is not known whether each response occurs together within a species. The influence of temperature during particular life stages may help explain each of these ecological responses to climate change. Our goal was to determine if monthly temperature variation during particular life stages of a butterfly species can predict respective changes in body size and phenology. We also refer to the literature to assess if temperature variability during the adult stage influences range change over time. Using historical museum collections paired with monthly temperature records, we show that changes in body size and phenology of the univoltine butterfly, Hesperia comma, are partly dependent upon temporal variation in summer temperatures during key stages of their life cycle. June temperatures, which are likely to affect growth rate of the final larval instar, are important for predicting adult body size (for males only; showing a positive relationship with temperature). July temperatures, which are likely to influence the pupal stage, are important for predicting the timing of adult emergence (showing a negative relationship with temperature). Previous studies show that August temperatures, which act on the adult stage, are linked to range change. Our study highlights the importance of considering temperature variation during each life stage over historic time-scales for understanding intraspecific response to climate change. Range edge studies of ectothermic species that have annual life cycles, long time-series occurrence data, and associated temperature records (ideally at monthly resolutions) could be useful model systems for intraspecific tests of the universal ecological responses to climate change and for exploring interactive effects.","author":[{"dropping-particle":"","family":"Fenberg","given":"Phillip B.","non-dropping-particle":"","parse-names":false,"suffix":""},{"dropping-particle":"","family":"Self","given":"Angela","non-dropping-particle":"","parse-names":false,"suffix":""},{"dropping-particle":"","family":"Stewart","given":"John R.","non-dropping-particle":"","parse-names":false,"suffix":""},{"dropping-particle":"","family":"Wilson","given":"Rebecca J.","non-dropping-particle":"","parse-names":false,"suffix":""},{"dropping-particle":"","family":"Brooks","given":"Stephen J.","non-dropping-particle":"","parse-names":false,"suffix":""}],"container-title":"Journal of Animal Ecology","id":"ITEM-1","issue":"3","issued":{"date-parts":[["2016"]]},"page":"739-748","title":"Exploring the universal ecological responses to climate change in a univoltine butterfly","type":"article-journal","volume":"85"},"uris":["http://www.mendeley.com/documents/?uuid=d548913b-0994-433d-a761-2f4f5b4daaf7"]}],"mendeley":{"formattedCitation":"(Fenberg et al., 2016)","manualFormatting":"Fenberg et al., 2016)","plainTextFormattedCitation":"(Fenberg et al., 2016)","previouslyFormattedCitation":"(Fenberg et al., 2016)"},"properties":{"noteIndex":0},"schema":"https://github.com/citation-style-language/schema/raw/master/csl-citation.json"}</w:instrText>
      </w:r>
      <w:r w:rsidR="008C687E" w:rsidRPr="00CB10DF">
        <w:rPr>
          <w:rFonts w:ascii="Times New Roman" w:eastAsia="Times New Roman" w:hAnsi="Times New Roman" w:cs="Times New Roman"/>
          <w:color w:val="000000" w:themeColor="text1"/>
        </w:rPr>
        <w:fldChar w:fldCharType="separate"/>
      </w:r>
      <w:r w:rsidR="008C687E" w:rsidRPr="00CB10DF">
        <w:rPr>
          <w:rFonts w:ascii="Times New Roman" w:eastAsia="Times New Roman" w:hAnsi="Times New Roman" w:cs="Times New Roman"/>
          <w:noProof/>
          <w:color w:val="000000" w:themeColor="text1"/>
        </w:rPr>
        <w:t>Fenberg et al., 2016)</w:t>
      </w:r>
      <w:r w:rsidR="008C687E" w:rsidRPr="00CB10DF">
        <w:rPr>
          <w:rFonts w:ascii="Times New Roman" w:eastAsia="Times New Roman" w:hAnsi="Times New Roman" w:cs="Times New Roman"/>
          <w:color w:val="000000" w:themeColor="text1"/>
        </w:rPr>
        <w:fldChar w:fldCharType="end"/>
      </w:r>
      <w:r w:rsidR="008C687E" w:rsidRPr="00CB10DF">
        <w:rPr>
          <w:rFonts w:ascii="Times New Roman" w:eastAsia="Times New Roman" w:hAnsi="Times New Roman" w:cs="Times New Roman"/>
          <w:color w:val="000000" w:themeColor="text1"/>
        </w:rPr>
        <w:t>.</w:t>
      </w:r>
    </w:p>
    <w:p w14:paraId="2D77D6F3" w14:textId="26B355AE" w:rsidR="00FE384D" w:rsidRPr="00CB10DF" w:rsidRDefault="00FE384D" w:rsidP="00FE384D">
      <w:pPr>
        <w:spacing w:before="240" w:after="240" w:line="480" w:lineRule="auto"/>
        <w:jc w:val="both"/>
        <w:rPr>
          <w:rFonts w:ascii="Times New Roman" w:eastAsia="Times New Roman" w:hAnsi="Times New Roman" w:cs="Times New Roman"/>
          <w:color w:val="000000" w:themeColor="text1"/>
        </w:rPr>
      </w:pPr>
      <w:r w:rsidRPr="00CB10DF">
        <w:rPr>
          <w:rFonts w:ascii="Times New Roman" w:eastAsia="Times New Roman" w:hAnsi="Times New Roman" w:cs="Times New Roman"/>
          <w:color w:val="000000" w:themeColor="text1"/>
        </w:rPr>
        <w:t xml:space="preserve">General patterns of insect body size response to temperature have therefore not yet emerged. This may be partly because it can be challenging to isolate the overall effect of temperature on adult body size given the complex life cycles and ecology of many insects. For instance, adult body size may be directly or indirectly affected by the temperature experienced during each larval stage or whether a species overwinters as an egg or larva </w:t>
      </w:r>
      <w:r w:rsidR="00A0234E" w:rsidRPr="00CB10DF">
        <w:rPr>
          <w:rFonts w:ascii="Times New Roman" w:eastAsia="Times New Roman" w:hAnsi="Times New Roman" w:cs="Times New Roman"/>
          <w:color w:val="000000" w:themeColor="text1"/>
        </w:rPr>
        <w:fldChar w:fldCharType="begin" w:fldLock="1"/>
      </w:r>
      <w:r w:rsidR="008C687E" w:rsidRPr="00CB10DF">
        <w:rPr>
          <w:rFonts w:ascii="Times New Roman" w:eastAsia="Times New Roman" w:hAnsi="Times New Roman" w:cs="Times New Roman"/>
          <w:color w:val="000000" w:themeColor="text1"/>
        </w:rPr>
        <w:instrText>ADDIN CSL_CITATION {"citationItems":[{"id":"ITEM-1","itemData":{"DOI":"10.1039/C8CC00158H","ISSN":"1364-548X","abstract":"The majority of ectotherms grow slower but mature at a larger body size in colder environments. This phenomenon has puzzled biologists because classic theories of life-history evolution predict smaller sizes at maturity in environments that retard growth. During the last decade, intensive theoretical and empirical research has generated some plausible explanations based on nonadaptive or adaptive plasticity. Nonadaptive plasticity of body size is hypothesized to result from thermal constraints on cellular growth that cause smaller cells at higher temperatures, but the generality of this theory is poorly supported. Adaptive plasticity is hypothesized to result from greater benefits or lesser costs of delayed maturation in colder environments. These theories seem to apply well to some species but not others. Thus, no single theory has been able to explain the generality of temperature-size relationships in ectotherms. We recommend a multivariate theory that focuses on the coevolution of thermal reaction norms for growth rate and size at maturity. Such a theory should incorporate functional constraints on thermal reaction norms, as well as the natural covariation between temperature and other environmental variables.","author":[{"dropping-particle":"","family":"Puzzle","given":"Life-history","non-dropping-particle":"","parse-names":false,"suffix":""}],"container-title":"Current","id":"ITEM-1","issue":"6","issued":{"date-parts":[["2004"]]},"page":"498-509","title":"Temperature , Growth Rate , and Body Size in Ectotherms : Fitting Pieces of a","type":"article-journal","volume":"509"},"uris":["http://www.mendeley.com/documents/?uuid=a20c723c-2bba-4905-8ff2-0c470fe06f79"]}],"mendeley":{"formattedCitation":"(Puzzle, 2004)","plainTextFormattedCitation":"(Puzzle, 2004)","previouslyFormattedCitation":"(Puzzle, 2004)"},"properties":{"noteIndex":0},"schema":"https://github.com/citation-style-language/schema/raw/master/csl-citation.json"}</w:instrText>
      </w:r>
      <w:r w:rsidR="00A0234E" w:rsidRPr="00CB10DF">
        <w:rPr>
          <w:rFonts w:ascii="Times New Roman" w:eastAsia="Times New Roman" w:hAnsi="Times New Roman" w:cs="Times New Roman"/>
          <w:color w:val="000000" w:themeColor="text1"/>
        </w:rPr>
        <w:fldChar w:fldCharType="separate"/>
      </w:r>
      <w:r w:rsidR="00A0234E" w:rsidRPr="00CB10DF">
        <w:rPr>
          <w:rFonts w:ascii="Times New Roman" w:eastAsia="Times New Roman" w:hAnsi="Times New Roman" w:cs="Times New Roman"/>
          <w:noProof/>
          <w:color w:val="000000" w:themeColor="text1"/>
        </w:rPr>
        <w:t>(Puzzle, 2004)</w:t>
      </w:r>
      <w:r w:rsidR="00A0234E" w:rsidRPr="00CB10DF">
        <w:rPr>
          <w:rFonts w:ascii="Times New Roman" w:eastAsia="Times New Roman" w:hAnsi="Times New Roman" w:cs="Times New Roman"/>
          <w:color w:val="000000" w:themeColor="text1"/>
        </w:rPr>
        <w:fldChar w:fldCharType="end"/>
      </w:r>
      <w:r w:rsidRPr="00CB10DF">
        <w:rPr>
          <w:rFonts w:ascii="Times New Roman" w:eastAsia="Times New Roman" w:hAnsi="Times New Roman" w:cs="Times New Roman"/>
          <w:color w:val="000000" w:themeColor="text1"/>
        </w:rPr>
        <w:t xml:space="preserve">. In addition, voltinism type, which can range from semivoltine (needing more than one year to complete the life cycle), </w:t>
      </w:r>
      <w:proofErr w:type="spellStart"/>
      <w:r w:rsidRPr="00CB10DF">
        <w:rPr>
          <w:rFonts w:ascii="Times New Roman" w:eastAsia="Times New Roman" w:hAnsi="Times New Roman" w:cs="Times New Roman"/>
          <w:color w:val="000000" w:themeColor="text1"/>
        </w:rPr>
        <w:t>univoltine</w:t>
      </w:r>
      <w:proofErr w:type="spellEnd"/>
      <w:r w:rsidRPr="00CB10DF">
        <w:rPr>
          <w:rFonts w:ascii="Times New Roman" w:eastAsia="Times New Roman" w:hAnsi="Times New Roman" w:cs="Times New Roman"/>
          <w:color w:val="000000" w:themeColor="text1"/>
        </w:rPr>
        <w:t xml:space="preserve"> (one generation per year), bivoltine (two generations per year) or multivoltine (more than two generations per year), is thought to affect temperature-body size response </w:t>
      </w:r>
      <w:r w:rsidR="00A0234E" w:rsidRPr="00CB10DF">
        <w:rPr>
          <w:rFonts w:ascii="Times New Roman" w:eastAsia="Times New Roman" w:hAnsi="Times New Roman" w:cs="Times New Roman"/>
          <w:color w:val="000000" w:themeColor="text1"/>
        </w:rPr>
        <w:fldChar w:fldCharType="begin" w:fldLock="1"/>
      </w:r>
      <w:r w:rsidR="00117D84" w:rsidRPr="00CB10DF">
        <w:rPr>
          <w:rFonts w:ascii="Times New Roman" w:eastAsia="Times New Roman" w:hAnsi="Times New Roman" w:cs="Times New Roman"/>
          <w:color w:val="000000" w:themeColor="text1"/>
        </w:rPr>
        <w:instrText>ADDIN CSL_CITATION {"citationItems":[{"id":"ITEM-1","itemData":{"DOI":"10.1111/geb.12460","ISBN":"0027-8424","ISSN":"14668238","PMID":"19620720","abstract":"Metabolism fuels all of life's activities, from biochemical reactions to ecological interactions. According to two intensely debated theories, body size affects metabolism via geometrical influ-ences on the transport of resources and wastes. However, these theories differ crucially in whether the size dependence of metabolism is derived from material transport across external surfaces, or through internal resource-transport networks. We show that when body shape changes during growth, these models make opposing predictions. These models are tested using pelagic inverte-brates, because these animals exhibit highly variable intraspecific scaling relationships for meta-bolic rate and body shape. Metabolic scaling slopes of diverse integument-breathing species were significantly positively correlated with degree of body flattening or elongation during ontogeny, as expected from surface area theory, but contradicting the negative correlations predicted by resource-transport network models. This finding explains strong deviations from predictions of widely adopted theory, and underpins a new explanation for mass-invariant metabolic scaling dur-ing ontogeny in animals and plants.","author":[{"dropping-particle":"","family":"Horne","given":"Curtis R.","non-dropping-particle":"","parse-names":false,"suffix":""},{"dropping-particle":"","family":"Hirst","given":"Andrew G.","non-dropping-particle":"","parse-names":false,"suffix":""},{"dropping-particle":"","family":"Atkinson","given":"David","non-dropping-particle":"","parse-names":false,"suffix":""},{"dropping-particle":"","family":"Neves","given":"Aitana","non-dropping-particle":"","parse-names":false,"suffix":""},{"dropping-particle":"","family":"Kiørboe","given":"Thomas","non-dropping-particle":"","parse-names":false,"suffix":""}],"container-title":"Global Ecology and Biogeography","id":"ITEM-1","issue":"8","issued":{"date-parts":[["2016"]]},"page":"988-999","title":"A global synthesis of seasonal temperature–size responses in copepods","type":"article-journal","volume":"25"},"uris":["http://www.mendeley.com/documents/?uuid=8c9cbd81-27b6-4b0c-ba66-8909501eafea"]}],"mendeley":{"formattedCitation":"(Horne et al., 2016)","manualFormatting":"(Horne et al., 2016)","plainTextFormattedCitation":"(Horne et al., 2016)","previouslyFormattedCitation":"(Horne et al., 2016)"},"properties":{"noteIndex":0},"schema":"https://github.com/citation-style-language/schema/raw/master/csl-citation.json"}</w:instrText>
      </w:r>
      <w:r w:rsidR="00A0234E" w:rsidRPr="00CB10DF">
        <w:rPr>
          <w:rFonts w:ascii="Times New Roman" w:eastAsia="Times New Roman" w:hAnsi="Times New Roman" w:cs="Times New Roman"/>
          <w:color w:val="000000" w:themeColor="text1"/>
        </w:rPr>
        <w:fldChar w:fldCharType="separate"/>
      </w:r>
      <w:r w:rsidR="00A0234E" w:rsidRPr="00CB10DF">
        <w:rPr>
          <w:rFonts w:ascii="Times New Roman" w:eastAsia="Times New Roman" w:hAnsi="Times New Roman" w:cs="Times New Roman"/>
          <w:noProof/>
          <w:color w:val="000000" w:themeColor="text1"/>
        </w:rPr>
        <w:t>(Horne et al., 2016)</w:t>
      </w:r>
      <w:r w:rsidR="00A0234E" w:rsidRPr="00CB10DF">
        <w:rPr>
          <w:rFonts w:ascii="Times New Roman" w:eastAsia="Times New Roman" w:hAnsi="Times New Roman" w:cs="Times New Roman"/>
          <w:color w:val="000000" w:themeColor="text1"/>
        </w:rPr>
        <w:fldChar w:fldCharType="end"/>
      </w:r>
      <w:r w:rsidR="00A0234E" w:rsidRPr="00CB10DF">
        <w:rPr>
          <w:rFonts w:ascii="Times New Roman" w:eastAsia="Times New Roman" w:hAnsi="Times New Roman" w:cs="Times New Roman"/>
          <w:color w:val="000000" w:themeColor="text1"/>
        </w:rPr>
        <w:t>.</w:t>
      </w:r>
    </w:p>
    <w:p w14:paraId="697DFB12" w14:textId="2B9C58C4" w:rsidR="00FE384D" w:rsidRPr="00CB10DF" w:rsidRDefault="00FE384D" w:rsidP="00FE384D">
      <w:pPr>
        <w:spacing w:before="240" w:after="240" w:line="480" w:lineRule="auto"/>
        <w:jc w:val="both"/>
        <w:rPr>
          <w:rFonts w:ascii="Times New Roman" w:eastAsia="Times New Roman" w:hAnsi="Times New Roman" w:cs="Times New Roman"/>
          <w:color w:val="000000" w:themeColor="text1"/>
        </w:rPr>
      </w:pPr>
      <w:r w:rsidRPr="00CB10DF">
        <w:rPr>
          <w:rFonts w:ascii="Times New Roman" w:eastAsia="Times New Roman" w:hAnsi="Times New Roman" w:cs="Times New Roman"/>
          <w:color w:val="000000" w:themeColor="text1"/>
        </w:rPr>
        <w:lastRenderedPageBreak/>
        <w:t xml:space="preserve">To make matters more complicated, the body size of each sex may respond differently to temperature, or have no response at all </w:t>
      </w:r>
      <w:r w:rsidR="00BF03AE" w:rsidRPr="00CB10DF">
        <w:rPr>
          <w:rFonts w:ascii="Times New Roman" w:eastAsia="Times New Roman" w:hAnsi="Times New Roman" w:cs="Times New Roman"/>
          <w:color w:val="000000" w:themeColor="text1"/>
        </w:rPr>
        <w:fldChar w:fldCharType="begin" w:fldLock="1"/>
      </w:r>
      <w:r w:rsidR="00B775E4" w:rsidRPr="00CB10DF">
        <w:rPr>
          <w:rFonts w:ascii="Times New Roman" w:eastAsia="Times New Roman" w:hAnsi="Times New Roman" w:cs="Times New Roman"/>
          <w:color w:val="000000" w:themeColor="text1"/>
        </w:rPr>
        <w:instrText>ADDIN CSL_CITATION {"citationItems":[{"id":"ITEM-1","itemData":{"DOI":"10.1111/1365-2656.12492","ISBN":"1365-2656 (Electronic)\\r0021-8790 (Linking)","ISSN":"13652656","PMID":"26876243","abstract":"Animals with distinct life stages are often exposed to different temperatures during each stage. Thus, how temperature affects these life stages should be considered for broadly understanding the ecological consequences of climate warming on such species. For example, temperature variation during particular life stages may affect respective change in body size, phenology and geographic range, which have been identified as the \"universal\" ecological responses to climate change. While each of these responses has been separately documented across a number of species, it is not known whether each response occurs together within a species. The influence of temperature during particular life stages may help explain each of these ecological responses to climate change. Our goal was to determine if monthly temperature variation during particular life stages of a butterfly species can predict respective changes in body size and phenology. We also refer to the literature to assess if temperature variability during the adult stage influences range change over time. Using historical museum collections paired with monthly temperature records, we show that changes in body size and phenology of the univoltine butterfly, Hesperia comma, are partly dependent upon temporal variation in summer temperatures during key stages of their life cycle. June temperatures, which are likely to affect growth rate of the final larval instar, are important for predicting adult body size (for males only; showing a positive relationship with temperature). July temperatures, which are likely to influence the pupal stage, are important for predicting the timing of adult emergence (showing a negative relationship with temperature). Previous studies show that August temperatures, which act on the adult stage, are linked to range change. Our study highlights the importance of considering temperature variation during each life stage over historic time-scales for understanding intraspecific response to climate change. Range edge studies of ectothermic species that have annual life cycles, long time-series occurrence data, and associated temperature records (ideally at monthly resolutions) could be useful model systems for intraspecific tests of the universal ecological responses to climate change and for exploring interactive effects.","author":[{"dropping-particle":"","family":"Fenberg","given":"Phillip B.","non-dropping-particle":"","parse-names":false,"suffix":""},{"dropping-particle":"","family":"Self","given":"Angela","non-dropping-particle":"","parse-names":false,"suffix":""},{"dropping-particle":"","family":"Stewart","given":"John R.","non-dropping-particle":"","parse-names":false,"suffix":""},{"dropping-particle":"","family":"Wilson","given":"Rebecca J.","non-dropping-particle":"","parse-names":false,"suffix":""},{"dropping-particle":"","family":"Brooks","given":"Stephen J.","non-dropping-particle":"","parse-names":false,"suffix":""}],"container-title":"Journal of Animal Ecology","id":"ITEM-1","issue":"3","issued":{"date-parts":[["2016"]]},"page":"739-748","title":"Exploring the universal ecological responses to climate change in a univoltine butterfly","type":"article-journal","volume":"85"},"uris":["http://www.mendeley.com/documents/?uuid=d548913b-0994-433d-a761-2f4f5b4daaf7"]}],"mendeley":{"formattedCitation":"(Fenberg et al., 2016)","manualFormatting":"(Fenberg et al., 2016)","plainTextFormattedCitation":"(Fenberg et al., 2016)","previouslyFormattedCitation":"(Fenberg et al., 2016)"},"properties":{"noteIndex":0},"schema":"https://github.com/citation-style-language/schema/raw/master/csl-citation.json"}</w:instrText>
      </w:r>
      <w:r w:rsidR="00BF03AE" w:rsidRPr="00CB10DF">
        <w:rPr>
          <w:rFonts w:ascii="Times New Roman" w:eastAsia="Times New Roman" w:hAnsi="Times New Roman" w:cs="Times New Roman"/>
          <w:color w:val="000000" w:themeColor="text1"/>
        </w:rPr>
        <w:fldChar w:fldCharType="separate"/>
      </w:r>
      <w:r w:rsidR="00BF03AE" w:rsidRPr="00CB10DF">
        <w:rPr>
          <w:rFonts w:ascii="Times New Roman" w:eastAsia="Times New Roman" w:hAnsi="Times New Roman" w:cs="Times New Roman"/>
          <w:noProof/>
          <w:color w:val="000000" w:themeColor="text1"/>
        </w:rPr>
        <w:t>(Fenberg et al., 2016)</w:t>
      </w:r>
      <w:r w:rsidR="00BF03AE" w:rsidRPr="00CB10DF">
        <w:rPr>
          <w:rFonts w:ascii="Times New Roman" w:eastAsia="Times New Roman" w:hAnsi="Times New Roman" w:cs="Times New Roman"/>
          <w:color w:val="000000" w:themeColor="text1"/>
        </w:rPr>
        <w:fldChar w:fldCharType="end"/>
      </w:r>
      <w:r w:rsidR="00BF03AE" w:rsidRPr="00CB10DF">
        <w:rPr>
          <w:rFonts w:ascii="Times New Roman" w:eastAsia="Times New Roman" w:hAnsi="Times New Roman" w:cs="Times New Roman"/>
          <w:color w:val="000000" w:themeColor="text1"/>
        </w:rPr>
        <w:t>.</w:t>
      </w:r>
      <w:r w:rsidRPr="00CB10DF">
        <w:rPr>
          <w:rFonts w:ascii="Times New Roman" w:eastAsia="Times New Roman" w:hAnsi="Times New Roman" w:cs="Times New Roman"/>
          <w:color w:val="000000" w:themeColor="text1"/>
        </w:rPr>
        <w:t xml:space="preserve"> Furthermore, it is unknown whether different phylogenetic groups within an insect order (e.g. between sub-orders) exhibit similar temperature size responses.  </w:t>
      </w:r>
    </w:p>
    <w:p w14:paraId="2115D6BB" w14:textId="17D15B5D" w:rsidR="00FE384D" w:rsidRPr="00CB10DF" w:rsidRDefault="00FE384D" w:rsidP="00FE384D">
      <w:pPr>
        <w:spacing w:before="240" w:after="240" w:line="480" w:lineRule="auto"/>
        <w:jc w:val="both"/>
        <w:rPr>
          <w:rFonts w:ascii="Times New Roman" w:eastAsia="Times New Roman" w:hAnsi="Times New Roman" w:cs="Times New Roman"/>
          <w:color w:val="000000" w:themeColor="text1"/>
        </w:rPr>
      </w:pPr>
      <w:r w:rsidRPr="00CB10DF">
        <w:rPr>
          <w:rFonts w:ascii="Times New Roman" w:eastAsia="Times New Roman" w:hAnsi="Times New Roman" w:cs="Times New Roman"/>
          <w:color w:val="000000" w:themeColor="text1"/>
        </w:rPr>
        <w:t>A potentially powerful way to determine if there are general body size responses of insects to temperature is to study both sexes of multiple species with varying life history strategies over long historical time scales, from the same geographic region. Natural history collections are valuable resources of such data. In this study</w:t>
      </w:r>
      <w:r w:rsidR="00E87427" w:rsidRPr="00CB10DF">
        <w:rPr>
          <w:rFonts w:ascii="Times New Roman" w:eastAsia="Times New Roman" w:hAnsi="Times New Roman" w:cs="Times New Roman"/>
          <w:color w:val="000000" w:themeColor="text1"/>
        </w:rPr>
        <w:t>,</w:t>
      </w:r>
      <w:r w:rsidRPr="00CB10DF">
        <w:rPr>
          <w:rFonts w:ascii="Times New Roman" w:eastAsia="Times New Roman" w:hAnsi="Times New Roman" w:cs="Times New Roman"/>
          <w:color w:val="000000" w:themeColor="text1"/>
        </w:rPr>
        <w:t xml:space="preserve"> we use museum collections </w:t>
      </w:r>
      <w:r w:rsidR="009570B3" w:rsidRPr="00CB10DF">
        <w:rPr>
          <w:rFonts w:ascii="Times New Roman" w:eastAsia="Times New Roman" w:hAnsi="Times New Roman" w:cs="Times New Roman"/>
          <w:color w:val="000000" w:themeColor="text1"/>
        </w:rPr>
        <w:t xml:space="preserve">of </w:t>
      </w:r>
      <w:r w:rsidRPr="00CB10DF">
        <w:rPr>
          <w:rFonts w:ascii="Times New Roman" w:eastAsia="Times New Roman" w:hAnsi="Times New Roman" w:cs="Times New Roman"/>
          <w:color w:val="000000" w:themeColor="text1"/>
        </w:rPr>
        <w:t xml:space="preserve">adult British Odonata as a model group for examining general patterns of insect body size responses to warming temperature because 1) there is a large amount of historical data available for several Odonata species in museum collections; 2) Odonata have seasonal regulation of key life history traits triggered by temperature (e.g. timing of egg hatch and adult emergence </w:t>
      </w:r>
      <w:r w:rsidR="009952B1" w:rsidRPr="00CB10DF">
        <w:rPr>
          <w:rFonts w:ascii="Times New Roman" w:eastAsia="Times New Roman" w:hAnsi="Times New Roman" w:cs="Times New Roman"/>
          <w:color w:val="000000" w:themeColor="text1"/>
        </w:rPr>
        <w:fldChar w:fldCharType="begin" w:fldLock="1"/>
      </w:r>
      <w:r w:rsidR="004C5AAD" w:rsidRPr="00CB10DF">
        <w:rPr>
          <w:rFonts w:ascii="Times New Roman" w:eastAsia="Times New Roman" w:hAnsi="Times New Roman" w:cs="Times New Roman"/>
          <w:color w:val="000000" w:themeColor="text1"/>
        </w:rPr>
        <w:instrText>ADDIN CSL_CITATION {"citationItems":[{"id":"ITEM-1","itemData":{"DOI":"10.1080/13887890.2008.9748319","ISBN":"1388-7890","ISSN":"21596719","PMID":"961","abstract":"Climate change brings with it unprecedented rates of increase in environmental tem- perature, which will have major consequences for the earths flora and fauna. The Odonata represent a taxon that has many strong links to this abiotic factor due to its tropical evolutionary history and adaptations to temperate climates. Tempera- ture is known to affect odonate physiology including life-history traits such as de- velopmental rate, phenology and seasonal regulation as well as immune function and the production of pigment for thermoregulation. A range of behaviours are likely to be affected which will, in turn, influence other parts of the aquatic ecosystem, pri- marily through trophic interactions. Temperature may influence changes in geo- graphical distributions, through a shifting of species fundamental niches, changes in the distribution of suitable habitat and variation in the dispersal ability of species. Finally, such a rapid change in the environment results in a strong selective pressure towards adaptation to cope and the inevitable loss of some populations and, poten- tially, species. Where data are lacking for odonates, studies on other invertebrate groups will be considered. Finally, directions for research are suggested, particularly laboratory studies that investigate underlying causes of climate-driven macroeco- logical patterns. Introduction","author":[{"dropping-particle":"","family":"Hassall","given":"Christopher","non-dropping-particle":"","parse-names":false,"suffix":""},{"dropping-particle":"","family":"Thompson","given":"David J.","non-dropping-particle":"","parse-names":false,"suffix":""}],"container-title":"International Journal of Odonatology","id":"ITEM-1","issue":"2","issued":{"date-parts":[["2008"]]},"page":"131-153","title":"The effects of environmental warming on odonata: A review","type":"article-journal","volume":"11"},"uris":["http://www.mendeley.com/documents/?uuid=f236a610-8232-41ca-b498-46828cc86044"]}],"mendeley":{"formattedCitation":"(Christopher Hassall &amp; Thompson, 2008)","manualFormatting":"(Hassall &amp; Thompson, 2008","plainTextFormattedCitation":"(Christopher Hassall &amp; Thompson, 2008)","previouslyFormattedCitation":"(Christopher Hassall &amp; Thompson, 2008)"},"properties":{"noteIndex":0},"schema":"https://github.com/citation-style-language/schema/raw/master/csl-citation.json"}</w:instrText>
      </w:r>
      <w:r w:rsidR="009952B1" w:rsidRPr="00CB10DF">
        <w:rPr>
          <w:rFonts w:ascii="Times New Roman" w:eastAsia="Times New Roman" w:hAnsi="Times New Roman" w:cs="Times New Roman"/>
          <w:color w:val="000000" w:themeColor="text1"/>
        </w:rPr>
        <w:fldChar w:fldCharType="separate"/>
      </w:r>
      <w:r w:rsidR="009952B1" w:rsidRPr="00CB10DF">
        <w:rPr>
          <w:rFonts w:ascii="Times New Roman" w:eastAsia="Times New Roman" w:hAnsi="Times New Roman" w:cs="Times New Roman"/>
          <w:noProof/>
          <w:color w:val="000000" w:themeColor="text1"/>
        </w:rPr>
        <w:t>(Hassall &amp; Thompson, 2008</w:t>
      </w:r>
      <w:r w:rsidR="009952B1" w:rsidRPr="00CB10DF">
        <w:rPr>
          <w:rFonts w:ascii="Times New Roman" w:eastAsia="Times New Roman" w:hAnsi="Times New Roman" w:cs="Times New Roman"/>
          <w:color w:val="000000" w:themeColor="text1"/>
        </w:rPr>
        <w:fldChar w:fldCharType="end"/>
      </w:r>
      <w:r w:rsidR="009952B1" w:rsidRPr="00CB10DF">
        <w:rPr>
          <w:rFonts w:ascii="Times New Roman" w:eastAsia="Times New Roman" w:hAnsi="Times New Roman" w:cs="Times New Roman"/>
          <w:color w:val="000000" w:themeColor="text1"/>
        </w:rPr>
        <w:t xml:space="preserve">, </w:t>
      </w:r>
      <w:r w:rsidR="009952B1" w:rsidRPr="00CB10DF">
        <w:rPr>
          <w:rFonts w:ascii="Times New Roman" w:eastAsia="Times New Roman" w:hAnsi="Times New Roman" w:cs="Times New Roman"/>
          <w:color w:val="000000" w:themeColor="text1"/>
        </w:rPr>
        <w:fldChar w:fldCharType="begin" w:fldLock="1"/>
      </w:r>
      <w:r w:rsidR="00A0234E" w:rsidRPr="00CB10DF">
        <w:rPr>
          <w:rFonts w:ascii="Times New Roman" w:eastAsia="Times New Roman" w:hAnsi="Times New Roman" w:cs="Times New Roman"/>
          <w:color w:val="000000" w:themeColor="text1"/>
        </w:rPr>
        <w:instrText>ADDIN CSL_CITATION {"citationItems":[{"id":"ITEM-1","itemData":{"DOI":"10.1146/annurev-ento-120710-100557","ISBN":"1545-4487 (Electronic)\\r0066-4170 (Linking)","ISSN":"0066-4170","PMID":"21910638","abstract":"Most insects have a complex life cycle with ecologically different larval and adult stages. We present an ontogenetic perspective to analyze and summarize the complex life cycle of Odonata within an evolutionary ecology framework. Morphological, physiological, and behavioral pathways that generate carry-over effects across the aquatic egg and larval stages and the terrestrial adult stage are identified. We also highlight several mechanisms that can decouple life stages including compensatory mechanisms at the larval and adult stages, stressful and stochastic events during metamorphosis, and stressful environmental conditions at the adult stage that may overrule effects of environmental conditions in the preceding stage. We consider the implications of these findings for the evolution, selection, and fitness of odonates; underline the role of the identified numerical and carry-over effects in shaping population and metapopulation dynamics and the community structure across habitat boundaries; and discuss implications for applied conservation issues.","author":[{"dropping-particle":"","family":"Stoks","given":"Robby","non-dropping-particle":"","parse-names":false,"suffix":""},{"dropping-particle":"","family":"Córdoba-Aguilar","given":"Alex","non-dropping-particle":"","parse-names":false,"suffix":""}],"container-title":"Annual Review of Entomology","id":"ITEM-1","issue":"1","issued":{"date-parts":[["2012"]]},"page":"249-265","title":"Evolutionary Ecology of Odonata: A Complex Life Cycle Perspective","type":"article-journal","volume":"57"},"uris":["http://www.mendeley.com/documents/?uuid=901e1613-5cc7-4abf-b757-7eb5a7d432b6"]}],"mendeley":{"formattedCitation":"(Stoks &amp; Córdoba-Aguilar, 2012)","manualFormatting":"Stoks &amp; Córdoba-Aguilar, 2012)","plainTextFormattedCitation":"(Stoks &amp; Córdoba-Aguilar, 2012)","previouslyFormattedCitation":"(Stoks &amp; Córdoba-Aguilar, 2012)"},"properties":{"noteIndex":0},"schema":"https://github.com/citation-style-language/schema/raw/master/csl-citation.json"}</w:instrText>
      </w:r>
      <w:r w:rsidR="009952B1" w:rsidRPr="00CB10DF">
        <w:rPr>
          <w:rFonts w:ascii="Times New Roman" w:eastAsia="Times New Roman" w:hAnsi="Times New Roman" w:cs="Times New Roman"/>
          <w:color w:val="000000" w:themeColor="text1"/>
        </w:rPr>
        <w:fldChar w:fldCharType="separate"/>
      </w:r>
      <w:r w:rsidR="009952B1" w:rsidRPr="00CB10DF">
        <w:rPr>
          <w:rFonts w:ascii="Times New Roman" w:eastAsia="Times New Roman" w:hAnsi="Times New Roman" w:cs="Times New Roman"/>
          <w:noProof/>
          <w:color w:val="000000" w:themeColor="text1"/>
        </w:rPr>
        <w:t>Stoks &amp; Córdoba-Aguilar, 2012)</w:t>
      </w:r>
      <w:r w:rsidR="009952B1" w:rsidRPr="00CB10DF">
        <w:rPr>
          <w:rFonts w:ascii="Times New Roman" w:eastAsia="Times New Roman" w:hAnsi="Times New Roman" w:cs="Times New Roman"/>
          <w:color w:val="000000" w:themeColor="text1"/>
        </w:rPr>
        <w:fldChar w:fldCharType="end"/>
      </w:r>
      <w:r w:rsidRPr="00CB10DF">
        <w:rPr>
          <w:rFonts w:ascii="Times New Roman" w:eastAsia="Times New Roman" w:hAnsi="Times New Roman" w:cs="Times New Roman"/>
          <w:color w:val="000000" w:themeColor="text1"/>
        </w:rPr>
        <w:t xml:space="preserve">); 3) Odonata exhibit a variety of life history strategies, including differences in voltinism type </w:t>
      </w:r>
      <w:r w:rsidR="00B0757D" w:rsidRPr="00CB10DF">
        <w:rPr>
          <w:rFonts w:ascii="Times New Roman" w:eastAsia="Times New Roman" w:hAnsi="Times New Roman" w:cs="Times New Roman"/>
          <w:color w:val="000000" w:themeColor="text1"/>
        </w:rPr>
        <w:fldChar w:fldCharType="begin" w:fldLock="1"/>
      </w:r>
      <w:r w:rsidR="00117D84" w:rsidRPr="00CB10DF">
        <w:rPr>
          <w:rFonts w:ascii="Times New Roman" w:eastAsia="Times New Roman" w:hAnsi="Times New Roman" w:cs="Times New Roman"/>
          <w:color w:val="000000" w:themeColor="text1"/>
        </w:rPr>
        <w:instrText>ADDIN CSL_CITATION {"citationItems":[{"id":"ITEM-1","itemData":{"DOI":"10.1080/13887890.2006.9748261","ISBN":"1388-7890","ISSN":"21596719","abstract":"We classified 542 records of voltinism for 275 species and subspecies of Odonata according to three variables: geographical latitude, systematic position and habitat type. We sorted records according to voltinism – categories being three or more generations per year, two generations per year, one generation per year, one gene- ration in two years and one generation in three or more years. We sought to cor- relate the voltinism of each record with latitude of the study site, thus demonstrating an overall negative correlation between voltinism and latitude. After allowing for phylogenetic similarity a negative correlation remains, although it decreases in strength after removal of taxonomic correlates, mainly between family and genus levels. A negative correlation exists at the species level within most families, with the exception of Lestidae. In genera for which we lacked data for latitudes 0-31°N/S no significant correlation between latitude and voltinism exists. In tem- porary waters most species complete at least one generation per year; most species in lentic perennial waters complete one generation or fewer; and the majority of species in lotic waters complete half a generation or less. We discuss the roles of exogenous and endogenous factors in influencing voltinism and identify those that may be affecting the correlation that the data reveal. We suggest projects that could improve understanding of voltinism in the context of seasonal regulation and the main types of odonate life cycle so far recognised. Introduction","author":[{"dropping-particle":"","family":"Corbet","given":"Philip S.","non-dropping-particle":"","parse-names":false,"suffix":""},{"dropping-particle":"","family":"Suhling","given":"Frank","non-dropping-particle":"","parse-names":false,"suffix":""},{"dropping-particle":"","family":"Soendgerath","given":"Dagmar","non-dropping-particle":"","parse-names":false,"suffix":""}],"container-title":"International Journal of Odonatology","id":"ITEM-1","issue":"1","issued":{"date-parts":[["2006"]]},"page":"1-44","title":"Voltinism of odonata: A review","type":"article-journal","volume":"9"},"uris":["http://www.mendeley.com/documents/?uuid=ec872455-88c6-4f2b-8295-1402b0a42304"]}],"mendeley":{"formattedCitation":"(Corbet et al., 2006)","manualFormatting":"(Corbet et al., 2006)","plainTextFormattedCitation":"(Corbet et al., 2006)","previouslyFormattedCitation":"(Corbet et al., 2006)"},"properties":{"noteIndex":0},"schema":"https://github.com/citation-style-language/schema/raw/master/csl-citation.json"}</w:instrText>
      </w:r>
      <w:r w:rsidR="00B0757D" w:rsidRPr="00CB10DF">
        <w:rPr>
          <w:rFonts w:ascii="Times New Roman" w:eastAsia="Times New Roman" w:hAnsi="Times New Roman" w:cs="Times New Roman"/>
          <w:color w:val="000000" w:themeColor="text1"/>
        </w:rPr>
        <w:fldChar w:fldCharType="separate"/>
      </w:r>
      <w:r w:rsidR="00B0757D" w:rsidRPr="00CB10DF">
        <w:rPr>
          <w:rFonts w:ascii="Times New Roman" w:eastAsia="Times New Roman" w:hAnsi="Times New Roman" w:cs="Times New Roman"/>
          <w:noProof/>
          <w:color w:val="000000" w:themeColor="text1"/>
        </w:rPr>
        <w:t>(Corbet et al., 2006)</w:t>
      </w:r>
      <w:r w:rsidR="00B0757D" w:rsidRPr="00CB10DF">
        <w:rPr>
          <w:rFonts w:ascii="Times New Roman" w:eastAsia="Times New Roman" w:hAnsi="Times New Roman" w:cs="Times New Roman"/>
          <w:color w:val="000000" w:themeColor="text1"/>
        </w:rPr>
        <w:fldChar w:fldCharType="end"/>
      </w:r>
      <w:r w:rsidR="00B0757D" w:rsidRPr="00CB10DF">
        <w:rPr>
          <w:rFonts w:ascii="Times New Roman" w:eastAsia="Times New Roman" w:hAnsi="Times New Roman" w:cs="Times New Roman"/>
          <w:color w:val="000000" w:themeColor="text1"/>
        </w:rPr>
        <w:t xml:space="preserve">, </w:t>
      </w:r>
      <w:r w:rsidRPr="00CB10DF">
        <w:rPr>
          <w:rFonts w:ascii="Times New Roman" w:eastAsia="Times New Roman" w:hAnsi="Times New Roman" w:cs="Times New Roman"/>
          <w:color w:val="000000" w:themeColor="text1"/>
        </w:rPr>
        <w:t xml:space="preserve">overwintering stage </w:t>
      </w:r>
      <w:r w:rsidR="00B0757D" w:rsidRPr="00CB10DF">
        <w:rPr>
          <w:rFonts w:ascii="Times New Roman" w:eastAsia="Times New Roman" w:hAnsi="Times New Roman" w:cs="Times New Roman"/>
          <w:color w:val="000000" w:themeColor="text1"/>
        </w:rPr>
        <w:fldChar w:fldCharType="begin" w:fldLock="1"/>
      </w:r>
      <w:r w:rsidR="00117D84" w:rsidRPr="00CB10DF">
        <w:rPr>
          <w:rFonts w:ascii="Times New Roman" w:eastAsia="Times New Roman" w:hAnsi="Times New Roman" w:cs="Times New Roman"/>
          <w:color w:val="000000" w:themeColor="text1"/>
        </w:rPr>
        <w:instrText>ADDIN CSL_CITATION {"citationItems":[{"id":"ITEM-1","itemData":{"DOI":"10.1111/j.1365-2427.2008.02035.x","ISBN":"0046-5070","ISSN":"00465070","PMID":"5280","abstract":"* 1Explaining spatial and temporal differences in species assemblages is a central aim of ecology. It requires a sound understanding of the causal mechanisms underlying the relationship of species with their environment. A species trait is widely acknowledged to be the key that links pattern and process, although the enormous variety of traits hampers generalization about which combination of traits are adaptive in a particular environment. * 2In three steps, we used species traits to match species and environment, and chose lentic freshwater ecosystems to illustrate our approach. We first identified key environmental factors and selected the species traits that enable the organism to deal with them. Secondly, we investigated how investments in these traits are related (e.g. through trade-offs). Thirdly, we outlined 13 life-history strategies, based on biological species traits, their interrelations known from life-history theory and their functional implications. * 3Species traits and environmental conditions are connected through life-history strategies, with different strategies representing different solutions to particular ecological problems. In addition, strategies may present an integrated response to the environment as they are based on many different traits and their interrelationships. The presence and abundance of (species exhibiting) different life-history strategies in a location may therefore give direct information about how a particular environment is experienced by the species present. * 4Life-history strategies can be used to (i) explain differences in species assemblages either between locations or in different periods; (ii) compare waterbodies separated by large geographical distances, which may comprise different regional species pools or span species distribution areas and (iii) reduce often very complex, biodiverse assemblages into a few meaningful, easily interpretable relationships.","author":[{"dropping-particle":"","family":"Verberk","given":"Wilco C.E.P.","non-dropping-particle":"","parse-names":false,"suffix":""},{"dropping-particle":"","family":"Siepel","given":"Henk","non-dropping-particle":"","parse-names":false,"suffix":""},{"dropping-particle":"","family":"Esselink","given":"Hans","non-dropping-particle":"","parse-names":false,"suffix":""}],"container-title":"Freshwater Biology","id":"ITEM-1","issue":"9","issued":{"date-parts":[["2008"]]},"page":"1722-1738","title":"Life-history strategies in freshwater macroinvertebrates","type":"article","volume":"53"},"uris":["http://www.mendeley.com/documents/?uuid=cccd0092-9044-4fe5-94e2-c04f61266255"]}],"mendeley":{"formattedCitation":"(Verberk et al., 2008)","manualFormatting":"(Verberk et al., 2008)","plainTextFormattedCitation":"(Verberk et al., 2008)","previouslyFormattedCitation":"(Verberk et al., 2008)"},"properties":{"noteIndex":0},"schema":"https://github.com/citation-style-language/schema/raw/master/csl-citation.json"}</w:instrText>
      </w:r>
      <w:r w:rsidR="00B0757D" w:rsidRPr="00CB10DF">
        <w:rPr>
          <w:rFonts w:ascii="Times New Roman" w:eastAsia="Times New Roman" w:hAnsi="Times New Roman" w:cs="Times New Roman"/>
          <w:color w:val="000000" w:themeColor="text1"/>
        </w:rPr>
        <w:fldChar w:fldCharType="separate"/>
      </w:r>
      <w:r w:rsidR="00B0757D" w:rsidRPr="00CB10DF">
        <w:rPr>
          <w:rFonts w:ascii="Times New Roman" w:eastAsia="Times New Roman" w:hAnsi="Times New Roman" w:cs="Times New Roman"/>
          <w:noProof/>
          <w:color w:val="000000" w:themeColor="text1"/>
        </w:rPr>
        <w:t>(Verberk et al., 2008)</w:t>
      </w:r>
      <w:r w:rsidR="00B0757D" w:rsidRPr="00CB10DF">
        <w:rPr>
          <w:rFonts w:ascii="Times New Roman" w:eastAsia="Times New Roman" w:hAnsi="Times New Roman" w:cs="Times New Roman"/>
          <w:color w:val="000000" w:themeColor="text1"/>
        </w:rPr>
        <w:fldChar w:fldCharType="end"/>
      </w:r>
      <w:r w:rsidRPr="00CB10DF">
        <w:rPr>
          <w:rFonts w:ascii="Times New Roman" w:eastAsia="Times New Roman" w:hAnsi="Times New Roman" w:cs="Times New Roman"/>
          <w:color w:val="000000" w:themeColor="text1"/>
        </w:rPr>
        <w:t xml:space="preserve">, and adult emergence period </w:t>
      </w:r>
      <w:r w:rsidR="00D26080" w:rsidRPr="00CB10DF">
        <w:rPr>
          <w:rFonts w:ascii="Times New Roman" w:eastAsia="Times New Roman" w:hAnsi="Times New Roman" w:cs="Times New Roman"/>
          <w:color w:val="000000" w:themeColor="text1"/>
        </w:rPr>
        <w:fldChar w:fldCharType="begin" w:fldLock="1"/>
      </w:r>
      <w:r w:rsidR="009952B1" w:rsidRPr="00CB10DF">
        <w:rPr>
          <w:rFonts w:ascii="Times New Roman" w:eastAsia="Times New Roman" w:hAnsi="Times New Roman" w:cs="Times New Roman"/>
          <w:color w:val="000000" w:themeColor="text1"/>
        </w:rPr>
        <w:instrText>ADDIN CSL_CITATION {"citationItems":[{"id":"ITEM-1","itemData":{"DOI":"10.1080/13887890.2006.9748261","ISBN":"1388-7890","ISSN":"21596719","abstract":"We classified 542 records of voltinism for 275 species and subspecies of Odonata according to three variables: geographical latitude, systematic position and habitat type. We sorted records according to voltinism – categories being three or more generations per year, two generations per year, one generation per year, one gene- ration in two years and one generation in three or more years. We sought to cor- relate the voltinism of each record with latitude of the study site, thus demonstrating an overall negative correlation between voltinism and latitude. After allowing for phylogenetic similarity a negative correlation remains, although it decreases in strength after removal of taxonomic correlates, mainly between family and genus levels. A negative correlation exists at the species level within most families, with the exception of Lestidae. In genera for which we lacked data for latitudes 0-31°N/S no significant correlation between latitude and voltinism exists. In tem- porary waters most species complete at least one generation per year; most species in lentic perennial waters complete one generation or fewer; and the majority of species in lotic waters complete half a generation or less. We discuss the roles of exogenous and endogenous factors in influencing voltinism and identify those that may be affecting the correlation that the data reveal. We suggest projects that could improve understanding of voltinism in the context of seasonal regulation and the main types of odonate life cycle so far recognised. Introduction","author":[{"dropping-particle":"","family":"Corbet","given":"Philip S.","non-dropping-particle":"","parse-names":false,"suffix":""},{"dropping-particle":"","family":"Suhling","given":"Frank","non-dropping-particle":"","parse-names":false,"suffix":""},{"dropping-particle":"","family":"Soendgerath","given":"Dagmar","non-dropping-particle":"","parse-names":false,"suffix":""}],"container-title":"International Journal of Odonatology","id":"ITEM-1","issue":"1","issued":{"date-parts":[["2006"]]},"page":"1-44","title":"Voltinism of odonata: A review","type":"article-journal","volume":"9"},"uris":["http://www.mendeley.com/documents/?uuid=ec872455-88c6-4f2b-8295-1402b0a42304"]}],"mendeley":{"formattedCitation":"(Corbet et al., 2006)","manualFormatting":"(Corbet et al., 2006)","plainTextFormattedCitation":"(Corbet et al., 2006)","previouslyFormattedCitation":"(Corbet et al., 2006)"},"properties":{"noteIndex":0},"schema":"https://github.com/citation-style-language/schema/raw/master/csl-citation.json"}</w:instrText>
      </w:r>
      <w:r w:rsidR="00D26080" w:rsidRPr="00CB10DF">
        <w:rPr>
          <w:rFonts w:ascii="Times New Roman" w:eastAsia="Times New Roman" w:hAnsi="Times New Roman" w:cs="Times New Roman"/>
          <w:color w:val="000000" w:themeColor="text1"/>
        </w:rPr>
        <w:fldChar w:fldCharType="separate"/>
      </w:r>
      <w:r w:rsidR="00D26080" w:rsidRPr="00CB10DF">
        <w:rPr>
          <w:rFonts w:ascii="Times New Roman" w:eastAsia="Times New Roman" w:hAnsi="Times New Roman" w:cs="Times New Roman"/>
          <w:noProof/>
          <w:color w:val="000000" w:themeColor="text1"/>
        </w:rPr>
        <w:t>(Corbet et al., 2006)</w:t>
      </w:r>
      <w:r w:rsidR="00D26080" w:rsidRPr="00CB10DF">
        <w:rPr>
          <w:rFonts w:ascii="Times New Roman" w:eastAsia="Times New Roman" w:hAnsi="Times New Roman" w:cs="Times New Roman"/>
          <w:color w:val="000000" w:themeColor="text1"/>
        </w:rPr>
        <w:fldChar w:fldCharType="end"/>
      </w:r>
      <w:r w:rsidRPr="00CB10DF">
        <w:rPr>
          <w:rFonts w:ascii="Times New Roman" w:eastAsia="Times New Roman" w:hAnsi="Times New Roman" w:cs="Times New Roman"/>
          <w:color w:val="000000" w:themeColor="text1"/>
        </w:rPr>
        <w:t>; 4) monthly regional temperature records are available from the whole of the British Isles from 1910 (UK Meteorological Office); and 5) by measuring adult body size only, the same life stage across all years and seasons is consistent,  and thus avoids issues of size variation in juvenile life stages and age structure.</w:t>
      </w:r>
    </w:p>
    <w:p w14:paraId="5DDB7AB4" w14:textId="06148050" w:rsidR="00FE384D" w:rsidRPr="00CB10DF" w:rsidRDefault="00FE384D" w:rsidP="00FE384D">
      <w:pPr>
        <w:spacing w:before="240" w:after="240" w:line="480" w:lineRule="auto"/>
        <w:jc w:val="both"/>
        <w:rPr>
          <w:rFonts w:ascii="Times New Roman" w:eastAsia="Times New Roman" w:hAnsi="Times New Roman" w:cs="Times New Roman"/>
          <w:color w:val="000000" w:themeColor="text1"/>
        </w:rPr>
      </w:pPr>
      <w:r w:rsidRPr="00CB10DF">
        <w:rPr>
          <w:rFonts w:ascii="Times New Roman" w:eastAsia="Times New Roman" w:hAnsi="Times New Roman" w:cs="Times New Roman"/>
          <w:color w:val="000000" w:themeColor="text1"/>
        </w:rPr>
        <w:lastRenderedPageBreak/>
        <w:t xml:space="preserve">In addition to the effects of temperature on adult body size through development rate, temperature could affect adult body size of Odonata by affecting their emergence time </w:t>
      </w:r>
      <w:r w:rsidR="00D26080" w:rsidRPr="00CB10DF">
        <w:rPr>
          <w:rFonts w:ascii="Times New Roman" w:eastAsia="Times New Roman" w:hAnsi="Times New Roman" w:cs="Times New Roman"/>
          <w:color w:val="000000" w:themeColor="text1"/>
        </w:rPr>
        <w:fldChar w:fldCharType="begin" w:fldLock="1"/>
      </w:r>
      <w:r w:rsidR="00D26080" w:rsidRPr="00CB10DF">
        <w:rPr>
          <w:rFonts w:ascii="Times New Roman" w:eastAsia="Times New Roman" w:hAnsi="Times New Roman" w:cs="Times New Roman"/>
          <w:color w:val="000000" w:themeColor="text1"/>
        </w:rPr>
        <w:instrText>ADDIN CSL_CITATION {"citationItems":[{"id":"ITEM-1","itemData":{"DOI":"10.2307/1467139","ISSN":"0738-2189","abstract":"Patterns of odonate emergence were examined seasonally in a reservoir receiving thermal effluents. Exuviae were routinely removed from the interior sides of vertebrate predator exclusion cages. Size, distribution, mean emergence date, and synchronization of emergence were determined for nine species at six stations along a thermal gradient (19.7 to 25.6°C). Mean emergence date varied significantly among species; the earlier emerging species were more synchronous. Temperature influenced the distribution of some of the species investigated. Most species had significant differences in emergence date among stations, and significant size differences among stations were found in three of the nine species. With the exception of the two earliest emerging species, the later in the year the emergence date, the smaller the individual emerging.","author":[{"dropping-particle":"","family":"Cothran","given":"Marian L.","non-dropping-particle":"","parse-names":false,"suffix":""},{"dropping-particle":"","family":"Thorp","given":"James H.","non-dropping-particle":"","parse-names":false,"suffix":""}],"container-title":"Freshwater Invertebrate Biology","id":"ITEM-1","issued":{"date-parts":[["2006"]]},"title":"Emergence Patterns and Size Variation of Odonata in a Thermal Reservoir","type":"article-journal"},"uris":["http://www.mendeley.com/documents/?uuid=7fdc0866-aa38-499f-9759-4bc1623470d9"]}],"mendeley":{"formattedCitation":"(Cothran &amp; Thorp, 2006)","manualFormatting":"(Cothran &amp; Thorp, 2006","plainTextFormattedCitation":"(Cothran &amp; Thorp, 2006)","previouslyFormattedCitation":"(Cothran &amp; Thorp, 2006)"},"properties":{"noteIndex":0},"schema":"https://github.com/citation-style-language/schema/raw/master/csl-citation.json"}</w:instrText>
      </w:r>
      <w:r w:rsidR="00D26080" w:rsidRPr="00CB10DF">
        <w:rPr>
          <w:rFonts w:ascii="Times New Roman" w:eastAsia="Times New Roman" w:hAnsi="Times New Roman" w:cs="Times New Roman"/>
          <w:color w:val="000000" w:themeColor="text1"/>
        </w:rPr>
        <w:fldChar w:fldCharType="separate"/>
      </w:r>
      <w:r w:rsidR="00D26080" w:rsidRPr="00CB10DF">
        <w:rPr>
          <w:rFonts w:ascii="Times New Roman" w:eastAsia="Times New Roman" w:hAnsi="Times New Roman" w:cs="Times New Roman"/>
          <w:noProof/>
          <w:color w:val="000000" w:themeColor="text1"/>
        </w:rPr>
        <w:t>(Cothran &amp; Thorp, 2006</w:t>
      </w:r>
      <w:r w:rsidR="00D26080" w:rsidRPr="00CB10DF">
        <w:rPr>
          <w:rFonts w:ascii="Times New Roman" w:eastAsia="Times New Roman" w:hAnsi="Times New Roman" w:cs="Times New Roman"/>
          <w:color w:val="000000" w:themeColor="text1"/>
        </w:rPr>
        <w:fldChar w:fldCharType="end"/>
      </w:r>
      <w:r w:rsidR="00D26080" w:rsidRPr="00CB10DF">
        <w:rPr>
          <w:rFonts w:ascii="Times New Roman" w:eastAsia="Times New Roman" w:hAnsi="Times New Roman" w:cs="Times New Roman"/>
          <w:color w:val="000000" w:themeColor="text1"/>
        </w:rPr>
        <w:fldChar w:fldCharType="begin" w:fldLock="1"/>
      </w:r>
      <w:r w:rsidR="00D26080" w:rsidRPr="00CB10DF">
        <w:rPr>
          <w:rFonts w:ascii="Times New Roman" w:eastAsia="Times New Roman" w:hAnsi="Times New Roman" w:cs="Times New Roman"/>
          <w:color w:val="000000" w:themeColor="text1"/>
        </w:rPr>
        <w:instrText>ADDIN CSL_CITATION {"citationItems":[{"id":"ITEM-1","itemData":{"DOI":"10.1093/aesa/44.2.193","ISSN":"0013-8746","author":[{"dropping-particle":"","family":"Penn","given":"George Henry","non-dropping-particle":"","parse-names":false,"suffix":""}],"container-title":"Annals of the Entomological Society of America","id":"ITEM-1","issued":{"date-parts":[["2015"]]},"title":"Seasonal Variation in the Adult Size of Pachydiplax Longipennis (Burmeister) (Odonata, Libellulidae)1","type":"article-journal"},"uris":["http://www.mendeley.com/documents/?uuid=68e02138-c2fd-4433-8963-5a9d2e56eb64"]}],"mendeley":{"formattedCitation":"(Penn, 2015)","manualFormatting":", Penn, 2015)","plainTextFormattedCitation":"(Penn, 2015)","previouslyFormattedCitation":"(Penn, 2015)"},"properties":{"noteIndex":0},"schema":"https://github.com/citation-style-language/schema/raw/master/csl-citation.json"}</w:instrText>
      </w:r>
      <w:r w:rsidR="00D26080" w:rsidRPr="00CB10DF">
        <w:rPr>
          <w:rFonts w:ascii="Times New Roman" w:eastAsia="Times New Roman" w:hAnsi="Times New Roman" w:cs="Times New Roman"/>
          <w:color w:val="000000" w:themeColor="text1"/>
        </w:rPr>
        <w:fldChar w:fldCharType="separate"/>
      </w:r>
      <w:r w:rsidR="00D26080" w:rsidRPr="00CB10DF">
        <w:rPr>
          <w:rFonts w:ascii="Times New Roman" w:eastAsia="Times New Roman" w:hAnsi="Times New Roman" w:cs="Times New Roman"/>
          <w:noProof/>
          <w:color w:val="000000" w:themeColor="text1"/>
        </w:rPr>
        <w:t>, Penn, 2015)</w:t>
      </w:r>
      <w:r w:rsidR="00D26080" w:rsidRPr="00CB10DF">
        <w:rPr>
          <w:rFonts w:ascii="Times New Roman" w:eastAsia="Times New Roman" w:hAnsi="Times New Roman" w:cs="Times New Roman"/>
          <w:color w:val="000000" w:themeColor="text1"/>
        </w:rPr>
        <w:fldChar w:fldCharType="end"/>
      </w:r>
      <w:r w:rsidRPr="00CB10DF">
        <w:rPr>
          <w:rFonts w:ascii="Times New Roman" w:eastAsia="Times New Roman" w:hAnsi="Times New Roman" w:cs="Times New Roman"/>
          <w:color w:val="000000" w:themeColor="text1"/>
        </w:rPr>
        <w:t xml:space="preserve">. For example, studies on the damselflies, </w:t>
      </w:r>
      <w:proofErr w:type="spellStart"/>
      <w:r w:rsidRPr="00CB10DF">
        <w:rPr>
          <w:rFonts w:ascii="Times New Roman" w:eastAsia="Times New Roman" w:hAnsi="Times New Roman" w:cs="Times New Roman"/>
          <w:i/>
          <w:color w:val="000000" w:themeColor="text1"/>
        </w:rPr>
        <w:t>Coenagrion</w:t>
      </w:r>
      <w:proofErr w:type="spellEnd"/>
      <w:r w:rsidRPr="00CB10DF">
        <w:rPr>
          <w:rFonts w:ascii="Times New Roman" w:eastAsia="Times New Roman" w:hAnsi="Times New Roman" w:cs="Times New Roman"/>
          <w:i/>
          <w:color w:val="000000" w:themeColor="text1"/>
        </w:rPr>
        <w:t xml:space="preserve"> </w:t>
      </w:r>
      <w:proofErr w:type="spellStart"/>
      <w:r w:rsidRPr="00CB10DF">
        <w:rPr>
          <w:rFonts w:ascii="Times New Roman" w:eastAsia="Times New Roman" w:hAnsi="Times New Roman" w:cs="Times New Roman"/>
          <w:i/>
          <w:color w:val="000000" w:themeColor="text1"/>
        </w:rPr>
        <w:t>puella</w:t>
      </w:r>
      <w:proofErr w:type="spellEnd"/>
      <w:r w:rsidRPr="00CB10DF">
        <w:rPr>
          <w:rFonts w:ascii="Times New Roman" w:eastAsia="Times New Roman" w:hAnsi="Times New Roman" w:cs="Times New Roman"/>
          <w:i/>
          <w:color w:val="000000" w:themeColor="text1"/>
        </w:rPr>
        <w:t xml:space="preserve"> </w:t>
      </w:r>
      <w:r w:rsidRPr="00CB10DF">
        <w:rPr>
          <w:rFonts w:ascii="Times New Roman" w:eastAsia="Times New Roman" w:hAnsi="Times New Roman" w:cs="Times New Roman"/>
          <w:color w:val="000000" w:themeColor="text1"/>
        </w:rPr>
        <w:t>and</w:t>
      </w:r>
      <w:r w:rsidRPr="00CB10DF">
        <w:rPr>
          <w:rFonts w:ascii="Times New Roman" w:eastAsia="Times New Roman" w:hAnsi="Times New Roman" w:cs="Times New Roman"/>
          <w:i/>
          <w:color w:val="000000" w:themeColor="text1"/>
        </w:rPr>
        <w:t xml:space="preserve"> C. </w:t>
      </w:r>
      <w:proofErr w:type="spellStart"/>
      <w:r w:rsidRPr="00CB10DF">
        <w:rPr>
          <w:rFonts w:ascii="Times New Roman" w:eastAsia="Times New Roman" w:hAnsi="Times New Roman" w:cs="Times New Roman"/>
          <w:i/>
          <w:color w:val="000000" w:themeColor="text1"/>
        </w:rPr>
        <w:t>mercuriale</w:t>
      </w:r>
      <w:proofErr w:type="spellEnd"/>
      <w:r w:rsidRPr="00CB10DF">
        <w:rPr>
          <w:rFonts w:ascii="Times New Roman" w:eastAsia="Times New Roman" w:hAnsi="Times New Roman" w:cs="Times New Roman"/>
          <w:color w:val="000000" w:themeColor="text1"/>
        </w:rPr>
        <w:t xml:space="preserve">, and on the dragonfly, </w:t>
      </w:r>
      <w:r w:rsidRPr="00CB10DF">
        <w:rPr>
          <w:rFonts w:ascii="Times New Roman" w:eastAsia="Times New Roman" w:hAnsi="Times New Roman" w:cs="Times New Roman"/>
          <w:i/>
          <w:color w:val="000000" w:themeColor="text1"/>
        </w:rPr>
        <w:t xml:space="preserve">Sympetrum </w:t>
      </w:r>
      <w:proofErr w:type="spellStart"/>
      <w:r w:rsidRPr="00CB10DF">
        <w:rPr>
          <w:rFonts w:ascii="Times New Roman" w:eastAsia="Times New Roman" w:hAnsi="Times New Roman" w:cs="Times New Roman"/>
          <w:i/>
          <w:color w:val="000000" w:themeColor="text1"/>
        </w:rPr>
        <w:t>danae</w:t>
      </w:r>
      <w:proofErr w:type="spellEnd"/>
      <w:r w:rsidRPr="00CB10DF">
        <w:rPr>
          <w:rFonts w:ascii="Times New Roman" w:eastAsia="Times New Roman" w:hAnsi="Times New Roman" w:cs="Times New Roman"/>
          <w:color w:val="000000" w:themeColor="text1"/>
        </w:rPr>
        <w:t xml:space="preserve">, found a negative correlation between adult body size and emergence date </w:t>
      </w:r>
      <w:r w:rsidR="00D26080" w:rsidRPr="00CB10DF">
        <w:rPr>
          <w:rFonts w:ascii="Times New Roman" w:eastAsia="Times New Roman" w:hAnsi="Times New Roman" w:cs="Times New Roman"/>
          <w:color w:val="000000" w:themeColor="text1"/>
        </w:rPr>
        <w:fldChar w:fldCharType="begin" w:fldLock="1"/>
      </w:r>
      <w:r w:rsidR="00D26080" w:rsidRPr="00CB10DF">
        <w:rPr>
          <w:rFonts w:ascii="Times New Roman" w:eastAsia="Times New Roman" w:hAnsi="Times New Roman" w:cs="Times New Roman"/>
          <w:color w:val="000000" w:themeColor="text1"/>
        </w:rPr>
        <w:instrText>ADDIN CSL_CITATION {"citationItems":[{"id":"ITEM-1","itemData":{"DOI":"10.1016/S0003-3472(85)80178-0","ISSN":"00033472","abstract":"Lifetime mating success of male azure damselflies (Coenagrion puella) was measured in a natural population. The major determinant of mating success is the number of days a male spends at the breeding site, which is mostly determined by a male's adult lifespan. Long-lived males have a higher mating rate than short-lived males, and daily mating rate increases with age up to 6 days, then falls. Large males live longer, but have a lower daily mating rate than small males. These effects of size are very weak, accounting for no more than 2% of the daily variance in mating success. The only overall effect of size on lifetime mating success is that males at both extremes of the size distribution are more likely to fail to mate. Chance differences in the number of females encountered are sufficient to account for the remaining variance in mating success. The weather is also shown to have a major effect on mating success. We draw attention to the ways in which it may be misleading to draw conclusions about the action of sexual selection from studies of daily, rather than lifetime, reproductive success. We provide evidence to support the view that variance in male reproductive success is neither evidence for sexual selection, nor a measure of its intensity. © 1985.","author":[{"dropping-particle":"","family":"Banks","given":"Michael J.","non-dropping-particle":"","parse-names":false,"suffix":""},{"dropping-particle":"","family":"Thompson","given":"David J.","non-dropping-particle":"","parse-names":false,"suffix":""}],"container-title":"Animal Behaviour","id":"ITEM-1","issued":{"date-parts":[["1985"]]},"title":"Lifetime mating success in the damselfly Coenagrion puella","type":"article-journal"},"uris":["http://www.mendeley.com/documents/?uuid=fa6ac396-6a5c-490e-98a3-d8cd1b0222c6"]}],"mendeley":{"formattedCitation":"(Banks &amp; Thompson, 1985)","manualFormatting":"(Banks &amp; Thompson, 1985","plainTextFormattedCitation":"(Banks &amp; Thompson, 1985)","previouslyFormattedCitation":"(Banks &amp; Thompson, 1985)"},"properties":{"noteIndex":0},"schema":"https://github.com/citation-style-language/schema/raw/master/csl-citation.json"}</w:instrText>
      </w:r>
      <w:r w:rsidR="00D26080" w:rsidRPr="00CB10DF">
        <w:rPr>
          <w:rFonts w:ascii="Times New Roman" w:eastAsia="Times New Roman" w:hAnsi="Times New Roman" w:cs="Times New Roman"/>
          <w:color w:val="000000" w:themeColor="text1"/>
        </w:rPr>
        <w:fldChar w:fldCharType="separate"/>
      </w:r>
      <w:r w:rsidR="00D26080" w:rsidRPr="00CB10DF">
        <w:rPr>
          <w:rFonts w:ascii="Times New Roman" w:eastAsia="Times New Roman" w:hAnsi="Times New Roman" w:cs="Times New Roman"/>
          <w:noProof/>
          <w:color w:val="000000" w:themeColor="text1"/>
        </w:rPr>
        <w:t>(Banks &amp; Thompson, 1985</w:t>
      </w:r>
      <w:r w:rsidR="00D26080" w:rsidRPr="00CB10DF">
        <w:rPr>
          <w:rFonts w:ascii="Times New Roman" w:eastAsia="Times New Roman" w:hAnsi="Times New Roman" w:cs="Times New Roman"/>
          <w:color w:val="000000" w:themeColor="text1"/>
        </w:rPr>
        <w:fldChar w:fldCharType="end"/>
      </w:r>
      <w:r w:rsidR="00D26080" w:rsidRPr="00CB10DF">
        <w:rPr>
          <w:rFonts w:ascii="Times New Roman" w:eastAsia="Times New Roman" w:hAnsi="Times New Roman" w:cs="Times New Roman"/>
          <w:color w:val="000000" w:themeColor="text1"/>
        </w:rPr>
        <w:t xml:space="preserve">, </w:t>
      </w:r>
      <w:r w:rsidR="00D26080" w:rsidRPr="00CB10DF">
        <w:rPr>
          <w:rFonts w:ascii="Times New Roman" w:eastAsia="Times New Roman" w:hAnsi="Times New Roman" w:cs="Times New Roman"/>
          <w:color w:val="000000" w:themeColor="text1"/>
        </w:rPr>
        <w:fldChar w:fldCharType="begin" w:fldLock="1"/>
      </w:r>
      <w:r w:rsidR="00D26080" w:rsidRPr="00CB10DF">
        <w:rPr>
          <w:rFonts w:ascii="Times New Roman" w:eastAsia="Times New Roman" w:hAnsi="Times New Roman" w:cs="Times New Roman"/>
          <w:color w:val="000000" w:themeColor="text1"/>
        </w:rPr>
        <w:instrText>ADDIN CSL_CITATION {"citationItems":[{"id":"ITEM-1","itemData":{"DOI":"10.1007/BF00008175","ISSN":"00188158","PMID":"249","abstract":"Size, sex-ratio and mean abdomen length of an emergingSympetrum danae population showed significant yearly variations. It is argued that weather plays a major role. A consistent female-excess at emergence existed. Longevity estimates in the field were highly biased by emigration, especially at an early age, and seemingly more so in females than males. The larger, early emerging individuals emigrated more readily immediately after emergence and lived longer if they stayed in the area, than the smaller, late-emerging ones. This relation was especially clear in males. The shorter maturation in males found in the field was attributed to a sex-specific bias in the field. Maturation-time was found to be inversely related with emergence-data. No effects of abdomen length, weather or density could be demonstrated.","author":[{"dropping-particle":"","family":"Michiels","given":"Nico K.","non-dropping-particle":"","parse-names":false,"suffix":""},{"dropping-particle":"","family":"Dhondt","given":"André A.","non-dropping-particle":"","parse-names":false,"suffix":""}],"container-title":"Hydrobiologia","id":"ITEM-1","issue":"2","issued":{"date-parts":[["1989"]]},"page":"149-158","title":"Effects of emergence characteristics on longevity and maturation in the dragonfly Sympetrum danae (Anisoptera : Libellulidae)","type":"article-journal","volume":"171"},"uris":["http://www.mendeley.com/documents/?uuid=808a56f9-bc8b-4001-ba12-783913aa099e"]}],"mendeley":{"formattedCitation":"(Michiels &amp; Dhondt, 1989)","manualFormatting":"Michiels &amp; Dhondt, 1989","plainTextFormattedCitation":"(Michiels &amp; Dhondt, 1989)","previouslyFormattedCitation":"(Michiels &amp; Dhondt, 1989)"},"properties":{"noteIndex":0},"schema":"https://github.com/citation-style-language/schema/raw/master/csl-citation.json"}</w:instrText>
      </w:r>
      <w:r w:rsidR="00D26080" w:rsidRPr="00CB10DF">
        <w:rPr>
          <w:rFonts w:ascii="Times New Roman" w:eastAsia="Times New Roman" w:hAnsi="Times New Roman" w:cs="Times New Roman"/>
          <w:color w:val="000000" w:themeColor="text1"/>
        </w:rPr>
        <w:fldChar w:fldCharType="separate"/>
      </w:r>
      <w:r w:rsidR="00D26080" w:rsidRPr="00CB10DF">
        <w:rPr>
          <w:rFonts w:ascii="Times New Roman" w:eastAsia="Times New Roman" w:hAnsi="Times New Roman" w:cs="Times New Roman"/>
          <w:noProof/>
          <w:color w:val="000000" w:themeColor="text1"/>
        </w:rPr>
        <w:t>Michiels &amp; Dhondt, 1989</w:t>
      </w:r>
      <w:r w:rsidR="00D26080" w:rsidRPr="00CB10DF">
        <w:rPr>
          <w:rFonts w:ascii="Times New Roman" w:eastAsia="Times New Roman" w:hAnsi="Times New Roman" w:cs="Times New Roman"/>
          <w:color w:val="000000" w:themeColor="text1"/>
        </w:rPr>
        <w:fldChar w:fldCharType="end"/>
      </w:r>
      <w:r w:rsidR="00D26080" w:rsidRPr="00CB10DF">
        <w:rPr>
          <w:rFonts w:ascii="Times New Roman" w:eastAsia="Times New Roman" w:hAnsi="Times New Roman" w:cs="Times New Roman"/>
          <w:color w:val="000000" w:themeColor="text1"/>
        </w:rPr>
        <w:t xml:space="preserve">, </w:t>
      </w:r>
      <w:r w:rsidR="00D26080" w:rsidRPr="00CB10DF">
        <w:rPr>
          <w:rFonts w:ascii="Times New Roman" w:eastAsia="Times New Roman" w:hAnsi="Times New Roman" w:cs="Times New Roman"/>
          <w:color w:val="000000" w:themeColor="text1"/>
        </w:rPr>
        <w:fldChar w:fldCharType="begin" w:fldLock="1"/>
      </w:r>
      <w:r w:rsidR="00D26080" w:rsidRPr="00CB10DF">
        <w:rPr>
          <w:rFonts w:ascii="Times New Roman" w:eastAsia="Times New Roman" w:hAnsi="Times New Roman" w:cs="Times New Roman"/>
          <w:color w:val="000000" w:themeColor="text1"/>
        </w:rPr>
        <w:instrText>ADDIN CSL_CITATION {"citationItems":[{"id":"ITEM-1","itemData":{"ISBN":"1210-5759","ISSN":"18028829","PMID":"798","abstract":"Emergence of Coenagrion mercuriale and Ceriagrion tenellum was examined in a mixed population at their northern range margin in Britain. Mortality at emergence was quantified in C. mercuriale. Consistent with their larval diapause characteristics, both species had an asynchronous emergence pattern, typical of \"summer\" species. Daily emergence of C. mercuriale was positively correlated with the duration of sunlight on the previous day (controlling for season) and its emergence period was found to be shorter than that observed in its core populations in Central and Mediterranean Europe. No differences were found between the patterns of emergence of the sexes in either species. Sex ratio at emergence differed significantly from 1: 1 (at 1.35 : 1 - mates : females) in C. mercuriale but not in Ceriagrion tenellum (at 1.04 : 1). Body size at emergence declined more steeply with time in females than in males of C. mercuriale because large size may confer a greater reproductive advantage in females (larger females may be more fecund) than males in non-territorial odonates. Percentage mortality of C mercuriale at emergence was low (4.9% including deformed individuals), the main cause of mortality being deformity","author":[{"dropping-particle":"V.","family":"Purse","given":"Bethan","non-dropping-particle":"","parse-names":false,"suffix":""},{"dropping-particle":"","family":"Thompson","given":"David J.","non-dropping-particle":"","parse-names":false,"suffix":""}],"container-title":"European Journal of Entomology","id":"ITEM-1","issue":"1","issued":{"date-parts":[["2003"]]},"page":"93-99","title":"Emergence of the damselflies, Coenagrion mercuriale and Ceriagrion tenellum (Odonata: Coenagrionidae), at their northern range margins, in Britain","type":"article-journal","volume":"100"},"uris":["http://www.mendeley.com/documents/?uuid=4a0ad79b-c6bc-43ad-9b8d-8dd1413416b6"]}],"mendeley":{"formattedCitation":"(Purse &amp; Thompson, 2003)","manualFormatting":"Purse &amp; Thompson, 2003)","plainTextFormattedCitation":"(Purse &amp; Thompson, 2003)","previouslyFormattedCitation":"(Purse &amp; Thompson, 2003)"},"properties":{"noteIndex":0},"schema":"https://github.com/citation-style-language/schema/raw/master/csl-citation.json"}</w:instrText>
      </w:r>
      <w:r w:rsidR="00D26080" w:rsidRPr="00CB10DF">
        <w:rPr>
          <w:rFonts w:ascii="Times New Roman" w:eastAsia="Times New Roman" w:hAnsi="Times New Roman" w:cs="Times New Roman"/>
          <w:color w:val="000000" w:themeColor="text1"/>
        </w:rPr>
        <w:fldChar w:fldCharType="separate"/>
      </w:r>
      <w:r w:rsidR="00D26080" w:rsidRPr="00CB10DF">
        <w:rPr>
          <w:rFonts w:ascii="Times New Roman" w:eastAsia="Times New Roman" w:hAnsi="Times New Roman" w:cs="Times New Roman"/>
          <w:noProof/>
          <w:color w:val="000000" w:themeColor="text1"/>
        </w:rPr>
        <w:t>Purse &amp; Thompson, 2003)</w:t>
      </w:r>
      <w:r w:rsidR="00D26080" w:rsidRPr="00CB10DF">
        <w:rPr>
          <w:rFonts w:ascii="Times New Roman" w:eastAsia="Times New Roman" w:hAnsi="Times New Roman" w:cs="Times New Roman"/>
          <w:color w:val="000000" w:themeColor="text1"/>
        </w:rPr>
        <w:fldChar w:fldCharType="end"/>
      </w:r>
      <w:r w:rsidR="00D26080" w:rsidRPr="00CB10DF">
        <w:rPr>
          <w:rFonts w:ascii="Times New Roman" w:eastAsia="Times New Roman" w:hAnsi="Times New Roman" w:cs="Times New Roman"/>
          <w:color w:val="000000" w:themeColor="text1"/>
        </w:rPr>
        <w:t>.</w:t>
      </w:r>
    </w:p>
    <w:p w14:paraId="47FF4320" w14:textId="3AA438BC" w:rsidR="00FE384D" w:rsidRPr="00CB10DF" w:rsidRDefault="00FE384D" w:rsidP="00FE384D">
      <w:pPr>
        <w:spacing w:before="240" w:after="240" w:line="480" w:lineRule="auto"/>
        <w:jc w:val="both"/>
        <w:rPr>
          <w:rFonts w:ascii="Times New Roman" w:eastAsia="Times New Roman" w:hAnsi="Times New Roman" w:cs="Times New Roman"/>
          <w:color w:val="000000" w:themeColor="text1"/>
        </w:rPr>
      </w:pPr>
      <w:r w:rsidRPr="00CB10DF">
        <w:rPr>
          <w:rFonts w:ascii="Times New Roman" w:eastAsia="Times New Roman" w:hAnsi="Times New Roman" w:cs="Times New Roman"/>
          <w:color w:val="000000" w:themeColor="text1"/>
        </w:rPr>
        <w:t xml:space="preserve">Studies of temperature-size responses in insects should initially be examined at the intraspecific level because species specific traits such as seasonal life cycle will determine which temperature variable (e.g. seasonal or monthly) best predicts adult size. Then, comparisons across species can be made to assess whether there are any general temperature size responses. For example, previous studies have shown that the average size of a species can explain the strength of body size response to temperature change </w:t>
      </w:r>
      <w:r w:rsidR="00BF03AE" w:rsidRPr="00CB10DF">
        <w:rPr>
          <w:rFonts w:ascii="Times New Roman" w:eastAsia="Times New Roman" w:hAnsi="Times New Roman" w:cs="Times New Roman"/>
          <w:color w:val="000000" w:themeColor="text1"/>
        </w:rPr>
        <w:fldChar w:fldCharType="begin" w:fldLock="1"/>
      </w:r>
      <w:r w:rsidR="00117D84" w:rsidRPr="00CB10DF">
        <w:rPr>
          <w:rFonts w:ascii="Times New Roman" w:eastAsia="Times New Roman" w:hAnsi="Times New Roman" w:cs="Times New Roman"/>
          <w:color w:val="000000" w:themeColor="text1"/>
        </w:rPr>
        <w:instrText xml:space="preserve">ADDIN CSL_CITATION {"citationItems":[{"id":"ITEM-1","itemData":{"DOI":"10.1073/pnas.1210460109","ISSN":"0027-8424","abstract":"Most ectothermic organisms mature at smaller body sizes when reared in warmer conditions. This phenotypically plastic response, known as the \"temperature-size rule\" (TSR), is one of the most taxonomically widespread patterns in biology. However, the TSR remains a longstanding life-history puzzle for which no dominant driver has been found. We propose that oxygen supply plays a central role in explaining the magnitude of ectothermic temperature-size responses. Given the much lower oxygen availability and greater effort required to increase uptake in water vs. air, we predict that the TSR in aquatic organisms, especially larger species with lower surface area-body mass ratios, will be stronger than in terrestrial organisms. We performed a meta-analysis of 1,890 body mass responses to temperature in controlled experiments on 169 terrestrial, freshwater, and marine species. This reveals that the strength of the temperature-size response is greater in aquatic than terrestrial species. In animal species of </w:instrText>
      </w:r>
      <w:r w:rsidR="00117D84" w:rsidRPr="00CB10DF">
        <w:rPr>
          <w:rFonts w:ascii="Cambria Math" w:eastAsia="Times New Roman" w:hAnsi="Cambria Math" w:cs="Cambria Math"/>
          <w:color w:val="000000" w:themeColor="text1"/>
        </w:rPr>
        <w:instrText>∼</w:instrText>
      </w:r>
      <w:r w:rsidR="00117D84" w:rsidRPr="00CB10DF">
        <w:rPr>
          <w:rFonts w:ascii="Times New Roman" w:eastAsia="Times New Roman" w:hAnsi="Times New Roman" w:cs="Times New Roman"/>
          <w:color w:val="000000" w:themeColor="text1"/>
        </w:rPr>
        <w:instrText>100 mg dry mass, the temperature-size response of aquatic organisms is 10 times greater than in terrestrial organisms (-5.0% °C(-1) vs. -0.5% °C(-1)). Moreover, although the size response of small (&lt;0.1 mg dry mass) aquatic and terrestrial species is similar, increases in species size cause the response to become increasingly negative in aquatic species, as predicted, but on average less negative in terrestrial species. These results support oxygen as a major driver of temperature-size responses in aquatic organisms. Further, the environment-dependent differences parallel latitudinal body size clines, and will influence predicted impacts of climate warming on food production, community structure, and food-web dynamics.","author":[{"dropping-particle":"","family":"Forster","given":"J.","non-dropping-particle":"","parse-names":false,"suffix":""},{"dropping-particle":"","family":"Hirst","given":"A. G.","non-dropping-particle":"","parse-names":false,"suffix":""},{"dropping-particle":"","family":"Atkinson","given":"D.","non-dropping-particle":"","parse-names":false,"suffix":""}],"container-title":"Proceedings of the National Academy of Sciences","id":"ITEM-1","issued":{"date-parts":[["2012"]]},"title":"Warming-induced reductions in body size are greater in aquatic than terrestrial species","type":"article-journal"},"uris":["http://www.mendeley.com/documents/?uuid=2638fa64-a90f-440b-8266-8e84a75453f8"]}],"mendeley":{"formattedCitation":"(Forster et al., 2012)","manualFormatting":"(Forster, et al., 2012","plainTextFormattedCitation":"(Forster et al., 2012)","previouslyFormattedCitation":"(Forster et al., 2012)"},"properties":{"noteIndex":0},"schema":"https://github.com/citation-style-language/schema/raw/master/csl-citation.json"}</w:instrText>
      </w:r>
      <w:r w:rsidR="00BF03AE" w:rsidRPr="00CB10DF">
        <w:rPr>
          <w:rFonts w:ascii="Times New Roman" w:eastAsia="Times New Roman" w:hAnsi="Times New Roman" w:cs="Times New Roman"/>
          <w:color w:val="000000" w:themeColor="text1"/>
        </w:rPr>
        <w:fldChar w:fldCharType="separate"/>
      </w:r>
      <w:r w:rsidR="00BF03AE" w:rsidRPr="00CB10DF">
        <w:rPr>
          <w:rFonts w:ascii="Times New Roman" w:eastAsia="Times New Roman" w:hAnsi="Times New Roman" w:cs="Times New Roman"/>
          <w:noProof/>
          <w:color w:val="000000" w:themeColor="text1"/>
        </w:rPr>
        <w:t>(Forster, et al., 2012</w:t>
      </w:r>
      <w:r w:rsidR="00BF03AE" w:rsidRPr="00CB10DF">
        <w:rPr>
          <w:rFonts w:ascii="Times New Roman" w:eastAsia="Times New Roman" w:hAnsi="Times New Roman" w:cs="Times New Roman"/>
          <w:color w:val="000000" w:themeColor="text1"/>
        </w:rPr>
        <w:fldChar w:fldCharType="end"/>
      </w:r>
      <w:r w:rsidR="00BF03AE" w:rsidRPr="00CB10DF">
        <w:rPr>
          <w:rFonts w:ascii="Times New Roman" w:eastAsia="Times New Roman" w:hAnsi="Times New Roman" w:cs="Times New Roman"/>
          <w:color w:val="000000" w:themeColor="text1"/>
        </w:rPr>
        <w:t xml:space="preserve">, </w:t>
      </w:r>
      <w:r w:rsidR="00BF03AE" w:rsidRPr="00CB10DF">
        <w:rPr>
          <w:rFonts w:ascii="Times New Roman" w:eastAsia="Times New Roman" w:hAnsi="Times New Roman" w:cs="Times New Roman"/>
          <w:color w:val="000000" w:themeColor="text1"/>
        </w:rPr>
        <w:fldChar w:fldCharType="begin" w:fldLock="1"/>
      </w:r>
      <w:r w:rsidR="00BF03AE" w:rsidRPr="00CB10DF">
        <w:rPr>
          <w:rFonts w:ascii="Times New Roman" w:eastAsia="Times New Roman" w:hAnsi="Times New Roman" w:cs="Times New Roman"/>
          <w:color w:val="000000" w:themeColor="text1"/>
        </w:rPr>
        <w:instrText>ADDIN CSL_CITATION {"citationItems":[{"id":"ITEM-1","itemData":{"DOI":"10.1111/1365-2656.12789","ISSN":"13652656","abstract":"1. Body size is a fundamental ecological trait and is correlated with population dynamics, community structure and function, and ecosystem fluxes. Laboratory data from broad taxonomic groups suggest that a widespread response to a warming world may be an overall decrease in organism body size. However, given the myriad of biotic and abiotic factors that can also influence organism body size in the wild, it is unclear whether results from these laboratory assays hold in nature. 2. Here we use datasets spanning 30 to 100 years to examine whether the body size of wild-caught beetles has changed over time, whether body size changes are correlated with increased temperatures, and we frame these results using predictions derived from a quantitative review of laboratory responses of 22 beetle species to temperature. 3. We found that 95% of laboratory-reared beetles decreased in size with increased rearing temperature, with larger-bodied species shrinking disproportionately more than smaller-bodied beetles. In addition, the museum datasets revealed that largerbodied beetle species have decreased in size over time, that mean beetle body size explains much of the interspecific variation in beetle responses to temperature, and that long-term beetle size changes are explained by increases in autumn temperature and decreases in spring temperature in this region. 4. Our data demonstrate that the relationship between body size and temperature of wild-caught beetles matches relatively well with results from laboratory studies, and that variation in this relationship is largely explained by interspecific variation in mean beetle body size. 5. This long-term beetle dataset is one of the most comprehensive arthropod body size datasets compiled to date, it improves predictions regarding the shrinking of organisms with global climate change, and together with the meta-analysis data, call for new hypotheses to explain why larger-bodied organisms may be more sensitive to temperature.","author":[{"dropping-particle":"","family":"Tseng","given":"Michelle","non-dropping-particle":"","parse-names":false,"suffix":""},{"dropping-particle":"","family":"Kaur","given":"Katrina M.","non-dropping-particle":"","parse-names":false,"suffix":""},{"dropping-particle":"","family":"Soleimani Pari","given":"Sina","non-dropping-particle":"","parse-names":false,"suffix":""},{"dropping-particle":"","family":"Sarai","given":"Karnjit","non-dropping-particle":"","parse-names":false,"suffix":""},{"dropping-particle":"","family":"Chan","given":"Denessa","non-dropping-particle":"","parse-names":false,"suffix":""},{"dropping-particle":"","family":"Yao","given":"Christine H.","non-dropping-particle":"","parse-names":false,"suffix":""},{"dropping-particle":"","family":"Porto","given":"Paula","non-dropping-particle":"","parse-names":false,"suffix":""},{"dropping-particle":"","family":"Toor","given":"Anmol","non-dropping-particle":"","parse-names":false,"suffix":""},{"dropping-particle":"","family":"Toor","given":"Harpawantaj S.","non-dropping-particle":"","parse-names":false,"suffix":""},{"dropping-particle":"","family":"Fograscher","given":"Katrina","non-dropping-particle":"","parse-names":false,"suffix":""}],"container-title":"Journal of Animal Ecology","id":"ITEM-1","issued":{"date-parts":[["2018"]]},"title":"Decreases in beetle body size linked to climate change and warming temperatures","type":"article-journal"},"uris":["http://www.mendeley.com/documents/?uuid=a5fceff3-72a9-4d8f-b9fb-ec48fc06d9e1"]}],"mendeley":{"formattedCitation":"(Tseng et al., 2018)","manualFormatting":"Tseng et al., 2018)","plainTextFormattedCitation":"(Tseng et al., 2018)","previouslyFormattedCitation":"(Tseng et al., 2018)"},"properties":{"noteIndex":0},"schema":"https://github.com/citation-style-language/schema/raw/master/csl-citation.json"}</w:instrText>
      </w:r>
      <w:r w:rsidR="00BF03AE" w:rsidRPr="00CB10DF">
        <w:rPr>
          <w:rFonts w:ascii="Times New Roman" w:eastAsia="Times New Roman" w:hAnsi="Times New Roman" w:cs="Times New Roman"/>
          <w:color w:val="000000" w:themeColor="text1"/>
        </w:rPr>
        <w:fldChar w:fldCharType="separate"/>
      </w:r>
      <w:r w:rsidR="00BF03AE" w:rsidRPr="00CB10DF">
        <w:rPr>
          <w:rFonts w:ascii="Times New Roman" w:eastAsia="Times New Roman" w:hAnsi="Times New Roman" w:cs="Times New Roman"/>
          <w:noProof/>
          <w:color w:val="000000" w:themeColor="text1"/>
        </w:rPr>
        <w:t>Tseng et al., 2018)</w:t>
      </w:r>
      <w:r w:rsidR="00BF03AE" w:rsidRPr="00CB10DF">
        <w:rPr>
          <w:rFonts w:ascii="Times New Roman" w:eastAsia="Times New Roman" w:hAnsi="Times New Roman" w:cs="Times New Roman"/>
          <w:color w:val="000000" w:themeColor="text1"/>
        </w:rPr>
        <w:fldChar w:fldCharType="end"/>
      </w:r>
      <w:r w:rsidRPr="00CB10DF">
        <w:rPr>
          <w:rFonts w:ascii="Times New Roman" w:eastAsia="Times New Roman" w:hAnsi="Times New Roman" w:cs="Times New Roman"/>
          <w:color w:val="000000" w:themeColor="text1"/>
        </w:rPr>
        <w:t xml:space="preserve">. In aquatic organisms, large species exhibit greater reduction in body size </w:t>
      </w:r>
      <w:r w:rsidR="00463CE4" w:rsidRPr="00CB10DF">
        <w:rPr>
          <w:rFonts w:ascii="Times New Roman" w:eastAsia="Times New Roman" w:hAnsi="Times New Roman" w:cs="Times New Roman"/>
          <w:color w:val="000000" w:themeColor="text1"/>
          <w:szCs w:val="22"/>
          <w:shd w:val="clear" w:color="auto" w:fill="FFFFFF"/>
          <w:lang w:eastAsia="en-GB"/>
        </w:rPr>
        <w:t>in response</w:t>
      </w:r>
      <w:r w:rsidR="00463CE4" w:rsidRPr="00CB10DF">
        <w:rPr>
          <w:rFonts w:ascii="Times New Roman" w:eastAsia="Times New Roman" w:hAnsi="Times New Roman" w:cs="Times New Roman"/>
          <w:color w:val="000000" w:themeColor="text1"/>
        </w:rPr>
        <w:t xml:space="preserve">  </w:t>
      </w:r>
      <w:r w:rsidRPr="00CB10DF">
        <w:rPr>
          <w:rFonts w:ascii="Times New Roman" w:eastAsia="Times New Roman" w:hAnsi="Times New Roman" w:cs="Times New Roman"/>
          <w:color w:val="000000" w:themeColor="text1"/>
        </w:rPr>
        <w:t xml:space="preserve">to warming temperature than small species </w:t>
      </w:r>
      <w:r w:rsidR="00BF03AE" w:rsidRPr="00CB10DF">
        <w:rPr>
          <w:rFonts w:ascii="Times New Roman" w:eastAsia="Times New Roman" w:hAnsi="Times New Roman" w:cs="Times New Roman"/>
          <w:color w:val="000000" w:themeColor="text1"/>
        </w:rPr>
        <w:fldChar w:fldCharType="begin" w:fldLock="1"/>
      </w:r>
      <w:r w:rsidR="00EE68DF" w:rsidRPr="00CB10DF">
        <w:rPr>
          <w:rFonts w:ascii="Times New Roman" w:eastAsia="Times New Roman" w:hAnsi="Times New Roman" w:cs="Times New Roman"/>
          <w:color w:val="000000" w:themeColor="text1"/>
        </w:rPr>
        <w:instrText xml:space="preserve">ADDIN CSL_CITATION {"citationItems":[{"id":"ITEM-1","itemData":{"DOI":"10.1073/pnas.1210460109","ISSN":"0027-8424","abstract":"Most ectothermic organisms mature at smaller body sizes when reared in warmer conditions. This phenotypically plastic response, known as the \"temperature-size rule\" (TSR), is one of the most taxonomically widespread patterns in biology. However, the TSR remains a longstanding life-history puzzle for which no dominant driver has been found. We propose that oxygen supply plays a central role in explaining the magnitude of ectothermic temperature-size responses. Given the much lower oxygen availability and greater effort required to increase uptake in water vs. air, we predict that the TSR in aquatic organisms, especially larger species with lower surface area-body mass ratios, will be stronger than in terrestrial organisms. We performed a meta-analysis of 1,890 body mass responses to temperature in controlled experiments on 169 terrestrial, freshwater, and marine species. This reveals that the strength of the temperature-size response is greater in aquatic than terrestrial species. In animal species of </w:instrText>
      </w:r>
      <w:r w:rsidR="00EE68DF" w:rsidRPr="00CB10DF">
        <w:rPr>
          <w:rFonts w:ascii="Cambria Math" w:eastAsia="Times New Roman" w:hAnsi="Cambria Math" w:cs="Cambria Math"/>
          <w:color w:val="000000" w:themeColor="text1"/>
        </w:rPr>
        <w:instrText>∼</w:instrText>
      </w:r>
      <w:r w:rsidR="00EE68DF" w:rsidRPr="00CB10DF">
        <w:rPr>
          <w:rFonts w:ascii="Times New Roman" w:eastAsia="Times New Roman" w:hAnsi="Times New Roman" w:cs="Times New Roman"/>
          <w:color w:val="000000" w:themeColor="text1"/>
        </w:rPr>
        <w:instrText>100 mg dry mass, the temperature-size response of aquatic organisms is 10 times greater than in terrestrial organisms (-5.0% °C(-1) vs. -0.5% °C(-1)). Moreover, although the size response of small (&lt;0.1 mg dry mass) aquatic and terrestrial species is similar, increases in species size cause the response to become increasingly negative in aquatic species, as predicted, but on average less negative in terrestrial species. These results support oxygen as a major driver of temperature-size responses in aquatic organisms. Further, the environment-dependent differences parallel latitudinal body size clines, and will influence predicted impacts of climate warming on food production, community structure, and food-web dynamics.","author":[{"dropping-particle":"","family":"Forster","given":"J.","non-dropping-particle":"","parse-names":false,"suffix":""},{"dropping-particle":"","family":"Hirst","given":"A. G.","non-dropping-particle":"","parse-names":false,"suffix":""},{"dropping-particle":"","family":"Atkinson","given":"D.","non-dropping-particle":"","parse-names":false,"suffix":""}],"container-title":"Proceedings of the National Academy of Sciences","id":"ITEM-1","issued":{"date-parts":[["2012"]]},"title":"Warming-induced reductions in body size are greater in aquatic than terrestrial species","type":"article-journal"},"uris":["http://www.mendeley.com/documents/?uuid=2638fa64-a90f-440b-8266-8e84a75453f8"]}],"mendeley":{"formattedCitation":"(Forster et al., 2012)","manualFormatting":"(Forster et al., 2012)","plainTextFormattedCitation":"(Forster et al., 2012)","previouslyFormattedCitation":"(Forster et al., 2012)"},"properties":{"noteIndex":0},"schema":"https://github.com/citation-style-language/schema/raw/master/csl-citation.json"}</w:instrText>
      </w:r>
      <w:r w:rsidR="00BF03AE" w:rsidRPr="00CB10DF">
        <w:rPr>
          <w:rFonts w:ascii="Times New Roman" w:eastAsia="Times New Roman" w:hAnsi="Times New Roman" w:cs="Times New Roman"/>
          <w:color w:val="000000" w:themeColor="text1"/>
        </w:rPr>
        <w:fldChar w:fldCharType="separate"/>
      </w:r>
      <w:r w:rsidR="00BF03AE" w:rsidRPr="00CB10DF">
        <w:rPr>
          <w:rFonts w:ascii="Times New Roman" w:eastAsia="Times New Roman" w:hAnsi="Times New Roman" w:cs="Times New Roman"/>
          <w:noProof/>
          <w:color w:val="000000" w:themeColor="text1"/>
        </w:rPr>
        <w:t>(Forster et al., 2012)</w:t>
      </w:r>
      <w:r w:rsidR="00BF03AE" w:rsidRPr="00CB10DF">
        <w:rPr>
          <w:rFonts w:ascii="Times New Roman" w:eastAsia="Times New Roman" w:hAnsi="Times New Roman" w:cs="Times New Roman"/>
          <w:color w:val="000000" w:themeColor="text1"/>
        </w:rPr>
        <w:fldChar w:fldCharType="end"/>
      </w:r>
      <w:r w:rsidRPr="00CB10DF">
        <w:rPr>
          <w:rFonts w:ascii="Times New Roman" w:eastAsia="Times New Roman" w:hAnsi="Times New Roman" w:cs="Times New Roman"/>
          <w:color w:val="000000" w:themeColor="text1"/>
        </w:rPr>
        <w:t xml:space="preserve">. This could be explained by oxygen limitation, as the reduced surface area to body mass ratio in large species leads to decreased respiratory surface area, resulting in greater reduction of adult body size in large species </w:t>
      </w:r>
      <w:r w:rsidR="007C21F2" w:rsidRPr="00CB10DF">
        <w:rPr>
          <w:rFonts w:ascii="Times New Roman" w:eastAsia="Times New Roman" w:hAnsi="Times New Roman" w:cs="Times New Roman"/>
          <w:color w:val="000000" w:themeColor="text1"/>
          <w:szCs w:val="22"/>
          <w:shd w:val="clear" w:color="auto" w:fill="FFFFFF"/>
          <w:lang w:eastAsia="en-GB"/>
        </w:rPr>
        <w:t>compared to</w:t>
      </w:r>
      <w:r w:rsidRPr="00CB10DF">
        <w:rPr>
          <w:rFonts w:ascii="Times New Roman" w:eastAsia="Times New Roman" w:hAnsi="Times New Roman" w:cs="Times New Roman"/>
          <w:color w:val="000000" w:themeColor="text1"/>
        </w:rPr>
        <w:t xml:space="preserve"> small species </w:t>
      </w:r>
      <w:r w:rsidR="00BF03AE" w:rsidRPr="00CB10DF">
        <w:rPr>
          <w:rFonts w:ascii="Times New Roman" w:eastAsia="Times New Roman" w:hAnsi="Times New Roman" w:cs="Times New Roman"/>
          <w:color w:val="000000" w:themeColor="text1"/>
        </w:rPr>
        <w:fldChar w:fldCharType="begin" w:fldLock="1"/>
      </w:r>
      <w:r w:rsidR="00EE68DF" w:rsidRPr="00CB10DF">
        <w:rPr>
          <w:rFonts w:ascii="Times New Roman" w:eastAsia="Times New Roman" w:hAnsi="Times New Roman" w:cs="Times New Roman"/>
          <w:color w:val="000000" w:themeColor="text1"/>
        </w:rPr>
        <w:instrText xml:space="preserve">ADDIN CSL_CITATION {"citationItems":[{"id":"ITEM-1","itemData":{"DOI":"10.1073/pnas.1210460109","ISSN":"0027-8424","abstract":"Most ectothermic organisms mature at smaller body sizes when reared in warmer conditions. This phenotypically plastic response, known as the \"temperature-size rule\" (TSR), is one of the most taxonomically widespread patterns in biology. However, the TSR remains a longstanding life-history puzzle for which no dominant driver has been found. We propose that oxygen supply plays a central role in explaining the magnitude of ectothermic temperature-size responses. Given the much lower oxygen availability and greater effort required to increase uptake in water vs. air, we predict that the TSR in aquatic organisms, especially larger species with lower surface area-body mass ratios, will be stronger than in terrestrial organisms. We performed a meta-analysis of 1,890 body mass responses to temperature in controlled experiments on 169 terrestrial, freshwater, and marine species. This reveals that the strength of the temperature-size response is greater in aquatic than terrestrial species. In animal species of </w:instrText>
      </w:r>
      <w:r w:rsidR="00EE68DF" w:rsidRPr="00CB10DF">
        <w:rPr>
          <w:rFonts w:ascii="Cambria Math" w:eastAsia="Times New Roman" w:hAnsi="Cambria Math" w:cs="Cambria Math"/>
          <w:color w:val="000000" w:themeColor="text1"/>
        </w:rPr>
        <w:instrText>∼</w:instrText>
      </w:r>
      <w:r w:rsidR="00EE68DF" w:rsidRPr="00CB10DF">
        <w:rPr>
          <w:rFonts w:ascii="Times New Roman" w:eastAsia="Times New Roman" w:hAnsi="Times New Roman" w:cs="Times New Roman"/>
          <w:color w:val="000000" w:themeColor="text1"/>
        </w:rPr>
        <w:instrText>100 mg dry mass, the temperature-size response of aquatic organisms is 10 times greater than in terrestrial organisms (-5.0% °C(-1) vs. -0.5% °C(-1)). Moreover, although the size response of small (&lt;0.1 mg dry mass) aquatic and terrestrial species is similar, increases in species size cause the response to become increasingly negative in aquatic species, as predicted, but on average less negative in terrestrial species. These results support oxygen as a major driver of temperature-size responses in aquatic organisms. Further, the environment-dependent differences parallel latitudinal body size clines, and will influence predicted impacts of climate warming on food production, community structure, and food-web dynamics.","author":[{"dropping-particle":"","family":"Forster","given":"J.","non-dropping-particle":"","parse-names":false,"suffix":""},{"dropping-particle":"","family":"Hirst","given":"A. G.","non-dropping-particle":"","parse-names":false,"suffix":""},{"dropping-particle":"","family":"Atkinson","given":"D.","non-dropping-particle":"","parse-names":false,"suffix":""}],"container-title":"Proceedings of the National Academy of Sciences","id":"ITEM-1","issued":{"date-parts":[["2012"]]},"title":"Warming-induced reductions in body size are greater in aquatic than terrestrial species","type":"article-journal"},"uris":["http://www.mendeley.com/documents/?uuid=2638fa64-a90f-440b-8266-8e84a75453f8"]}],"mendeley":{"formattedCitation":"(Forster et al., 2012)","manualFormatting":"(Forster et al., 2012)","plainTextFormattedCitation":"(Forster et al., 2012)","previouslyFormattedCitation":"(Forster et al., 2012)"},"properties":{"noteIndex":0},"schema":"https://github.com/citation-style-language/schema/raw/master/csl-citation.json"}</w:instrText>
      </w:r>
      <w:r w:rsidR="00BF03AE" w:rsidRPr="00CB10DF">
        <w:rPr>
          <w:rFonts w:ascii="Times New Roman" w:eastAsia="Times New Roman" w:hAnsi="Times New Roman" w:cs="Times New Roman"/>
          <w:color w:val="000000" w:themeColor="text1"/>
        </w:rPr>
        <w:fldChar w:fldCharType="separate"/>
      </w:r>
      <w:r w:rsidR="00BF03AE" w:rsidRPr="00CB10DF">
        <w:rPr>
          <w:rFonts w:ascii="Times New Roman" w:eastAsia="Times New Roman" w:hAnsi="Times New Roman" w:cs="Times New Roman"/>
          <w:noProof/>
          <w:color w:val="000000" w:themeColor="text1"/>
        </w:rPr>
        <w:t>(Forster et al., 2012)</w:t>
      </w:r>
      <w:r w:rsidR="00BF03AE" w:rsidRPr="00CB10DF">
        <w:rPr>
          <w:rFonts w:ascii="Times New Roman" w:eastAsia="Times New Roman" w:hAnsi="Times New Roman" w:cs="Times New Roman"/>
          <w:color w:val="000000" w:themeColor="text1"/>
        </w:rPr>
        <w:fldChar w:fldCharType="end"/>
      </w:r>
      <w:r w:rsidRPr="00CB10DF">
        <w:rPr>
          <w:rFonts w:ascii="Times New Roman" w:eastAsia="Times New Roman" w:hAnsi="Times New Roman" w:cs="Times New Roman"/>
          <w:color w:val="000000" w:themeColor="text1"/>
        </w:rPr>
        <w:t>.</w:t>
      </w:r>
    </w:p>
    <w:p w14:paraId="6C608134" w14:textId="77777777" w:rsidR="00924A4E" w:rsidRPr="00CB10DF" w:rsidRDefault="00FE384D" w:rsidP="00FE384D">
      <w:pPr>
        <w:spacing w:before="240" w:after="240" w:line="480" w:lineRule="auto"/>
        <w:jc w:val="both"/>
        <w:rPr>
          <w:rFonts w:ascii="Times New Roman" w:eastAsia="Times New Roman" w:hAnsi="Times New Roman" w:cs="Times New Roman"/>
          <w:color w:val="000000" w:themeColor="text1"/>
        </w:rPr>
      </w:pPr>
      <w:r w:rsidRPr="00CB10DF">
        <w:rPr>
          <w:rFonts w:ascii="Times New Roman" w:eastAsia="Times New Roman" w:hAnsi="Times New Roman" w:cs="Times New Roman"/>
          <w:color w:val="000000" w:themeColor="text1"/>
        </w:rPr>
        <w:t xml:space="preserve">To investigate if there are body size responses of Odonata to temperature, we </w:t>
      </w:r>
      <w:proofErr w:type="spellStart"/>
      <w:r w:rsidRPr="00CB10DF">
        <w:rPr>
          <w:rFonts w:ascii="Times New Roman" w:eastAsia="Times New Roman" w:hAnsi="Times New Roman" w:cs="Times New Roman"/>
          <w:color w:val="000000" w:themeColor="text1"/>
        </w:rPr>
        <w:t>analysed</w:t>
      </w:r>
      <w:proofErr w:type="spellEnd"/>
      <w:r w:rsidRPr="00CB10DF">
        <w:rPr>
          <w:rFonts w:ascii="Times New Roman" w:eastAsia="Times New Roman" w:hAnsi="Times New Roman" w:cs="Times New Roman"/>
          <w:color w:val="000000" w:themeColor="text1"/>
        </w:rPr>
        <w:t xml:space="preserve"> species specific responses by pairing mean seasonal temperature during the larval growth period for each species with wing length measurements for 14 British Odonata species, collected between </w:t>
      </w:r>
      <w:r w:rsidRPr="00CB10DF">
        <w:rPr>
          <w:rFonts w:ascii="Times New Roman" w:eastAsia="Times New Roman" w:hAnsi="Times New Roman" w:cs="Times New Roman"/>
          <w:color w:val="000000" w:themeColor="text1"/>
        </w:rPr>
        <w:lastRenderedPageBreak/>
        <w:t xml:space="preserve">1910 and 1980. We then compared results across species and by suborder to determine if there are any general patterns of temperature size response across Odonata. In addition, we 1) tested whether the sexes responded differently to temperature; 2) investigated if body size correlates with collection date; and 3) investigated potential drivers that could correlate with the magnitude of temperature-size responses of Odonata, including average adult size of species, life history type and suborder. To our knowledge, this is the first study that assesses body size response to temperature among different Odonata species across historic to modern temporal scales in the same region. </w:t>
      </w:r>
    </w:p>
    <w:p w14:paraId="09696194" w14:textId="3C7EEDCF" w:rsidR="00FE384D" w:rsidRPr="00CB10DF" w:rsidRDefault="00924A4E" w:rsidP="00FE384D">
      <w:pPr>
        <w:spacing w:before="240" w:after="240" w:line="480" w:lineRule="auto"/>
        <w:jc w:val="both"/>
        <w:rPr>
          <w:rFonts w:ascii="Times New Roman" w:eastAsia="Times New Roman" w:hAnsi="Times New Roman" w:cs="Times New Roman"/>
          <w:color w:val="000000" w:themeColor="text1"/>
        </w:rPr>
      </w:pPr>
      <w:r w:rsidRPr="00CB10DF">
        <w:rPr>
          <w:rFonts w:ascii="Times New Roman" w:eastAsia="Times New Roman" w:hAnsi="Times New Roman" w:cs="Times New Roman"/>
          <w:color w:val="000000" w:themeColor="text1"/>
        </w:rPr>
        <w:t>We hypothesized that 1) g</w:t>
      </w:r>
      <w:r w:rsidR="00FE384D" w:rsidRPr="00CB10DF">
        <w:rPr>
          <w:rFonts w:ascii="Times New Roman" w:eastAsia="Times New Roman" w:hAnsi="Times New Roman" w:cs="Times New Roman"/>
          <w:color w:val="000000" w:themeColor="text1"/>
        </w:rPr>
        <w:t xml:space="preserve">iven the classically assumed TSR, adult wing length (as a proxy for body size) will decrease during years with warmer temperatures. </w:t>
      </w:r>
      <w:r w:rsidRPr="00CB10DF">
        <w:rPr>
          <w:rFonts w:ascii="Times New Roman" w:eastAsia="Times New Roman" w:hAnsi="Times New Roman" w:cs="Times New Roman"/>
          <w:color w:val="000000" w:themeColor="text1"/>
        </w:rPr>
        <w:t xml:space="preserve">2) </w:t>
      </w:r>
      <w:r w:rsidR="00FE384D" w:rsidRPr="00CB10DF">
        <w:rPr>
          <w:rFonts w:ascii="Times New Roman" w:eastAsia="Times New Roman" w:hAnsi="Times New Roman" w:cs="Times New Roman"/>
          <w:color w:val="000000" w:themeColor="text1"/>
        </w:rPr>
        <w:t>According to previous studies</w:t>
      </w:r>
      <w:r w:rsidR="00BF03AE" w:rsidRPr="00CB10DF">
        <w:rPr>
          <w:rFonts w:ascii="Times New Roman" w:eastAsia="Times New Roman" w:hAnsi="Times New Roman" w:cs="Times New Roman"/>
          <w:color w:val="000000" w:themeColor="text1"/>
        </w:rPr>
        <w:t xml:space="preserve"> </w:t>
      </w:r>
      <w:r w:rsidR="00BF03AE" w:rsidRPr="00CB10DF">
        <w:rPr>
          <w:rFonts w:ascii="Times New Roman" w:eastAsia="Times New Roman" w:hAnsi="Times New Roman" w:cs="Times New Roman"/>
          <w:color w:val="000000" w:themeColor="text1"/>
        </w:rPr>
        <w:fldChar w:fldCharType="begin" w:fldLock="1"/>
      </w:r>
      <w:r w:rsidR="00BF03AE" w:rsidRPr="00CB10DF">
        <w:rPr>
          <w:rFonts w:ascii="Times New Roman" w:eastAsia="Times New Roman" w:hAnsi="Times New Roman" w:cs="Times New Roman"/>
          <w:color w:val="000000" w:themeColor="text1"/>
        </w:rPr>
        <w:instrText xml:space="preserve">ADDIN CSL_CITATION {"citationItems":[{"id":"ITEM-1","itemData":{"DOI":"10.1073/pnas.1210460109","ISSN":"0027-8424","abstract":"Most ectothermic organisms mature at smaller body sizes when reared in warmer conditions. This phenotypically plastic response, known as the \"temperature-size rule\" (TSR), is one of the most taxonomically widespread patterns in biology. However, the TSR remains a longstanding life-history puzzle for which no dominant driver has been found. We propose that oxygen supply plays a central role in explaining the magnitude of ectothermic temperature-size responses. Given the much lower oxygen availability and greater effort required to increase uptake in water vs. air, we predict that the TSR in aquatic organisms, especially larger species with lower surface area-body mass ratios, will be stronger than in terrestrial organisms. We performed a meta-analysis of 1,890 body mass responses to temperature in controlled experiments on 169 terrestrial, freshwater, and marine species. This reveals that the strength of the temperature-size response is greater in aquatic than terrestrial species. In animal species of </w:instrText>
      </w:r>
      <w:r w:rsidR="00BF03AE" w:rsidRPr="00CB10DF">
        <w:rPr>
          <w:rFonts w:ascii="Cambria Math" w:eastAsia="Times New Roman" w:hAnsi="Cambria Math" w:cs="Cambria Math"/>
          <w:color w:val="000000" w:themeColor="text1"/>
        </w:rPr>
        <w:instrText>∼</w:instrText>
      </w:r>
      <w:r w:rsidR="00BF03AE" w:rsidRPr="00CB10DF">
        <w:rPr>
          <w:rFonts w:ascii="Times New Roman" w:eastAsia="Times New Roman" w:hAnsi="Times New Roman" w:cs="Times New Roman"/>
          <w:color w:val="000000" w:themeColor="text1"/>
        </w:rPr>
        <w:instrText>100 mg dry mass, the temperature-size response of aquatic organisms is 10 times greater than in terrestrial organisms (-5.0% °C(-1) vs. -0.5% °C(-1)). Moreover, although the size response of small (&lt;0.1 mg dry mass) aquatic and terrestrial species is similar, increases in species size cause the response to become increasingly negative in aquatic species, as predicted, but on average less negative in terrestrial species. These results support oxygen as a major driver of temperature-size responses in aquatic organisms. Further, the environment-dependent differences parallel latitudinal body size clines, and will influence predicted impacts of climate warming on food production, community structure, and food-web dynamics.","author":[{"dropping-particle":"","family":"Forster","given":"J.","non-dropping-particle":"","parse-names":false,"suffix":""},{"dropping-particle":"","family":"Hirst","given":"A. G.","non-dropping-particle":"","parse-names":false,"suffix":""},{"dropping-particle":"","family":"Atkinson","given":"D.","non-dropping-particle":"","parse-names":false,"suffix":""}],"container-title":"Proceedings of the National Academy of Sciences","id":"ITEM-1","issued":{"date-parts":[["2012"]]},"title":"Warming-induced reductions in body size are greater in aquatic than terrestrial species","type":"article-journal"},"uris":["http://www.mendeley.com/documents/?uuid=2638fa64-a90f-440b-8266-8e84a75453f8"]}],"mendeley":{"formattedCitation":"(Forster et al., 2012)","manualFormatting":"(Forster, et al., 2012","plainTextFormattedCitation":"(Forster et al., 2012)","previouslyFormattedCitation":"(Forster et al., 2012)"},"properties":{"noteIndex":0},"schema":"https://github.com/citation-style-language/schema/raw/master/csl-citation.json"}</w:instrText>
      </w:r>
      <w:r w:rsidR="00BF03AE" w:rsidRPr="00CB10DF">
        <w:rPr>
          <w:rFonts w:ascii="Times New Roman" w:eastAsia="Times New Roman" w:hAnsi="Times New Roman" w:cs="Times New Roman"/>
          <w:color w:val="000000" w:themeColor="text1"/>
        </w:rPr>
        <w:fldChar w:fldCharType="separate"/>
      </w:r>
      <w:r w:rsidR="00BF03AE" w:rsidRPr="00CB10DF">
        <w:rPr>
          <w:rFonts w:ascii="Times New Roman" w:eastAsia="Times New Roman" w:hAnsi="Times New Roman" w:cs="Times New Roman"/>
          <w:noProof/>
          <w:color w:val="000000" w:themeColor="text1"/>
        </w:rPr>
        <w:t>(Forster, et al., 2012</w:t>
      </w:r>
      <w:r w:rsidR="00BF03AE" w:rsidRPr="00CB10DF">
        <w:rPr>
          <w:rFonts w:ascii="Times New Roman" w:eastAsia="Times New Roman" w:hAnsi="Times New Roman" w:cs="Times New Roman"/>
          <w:color w:val="000000" w:themeColor="text1"/>
        </w:rPr>
        <w:fldChar w:fldCharType="end"/>
      </w:r>
      <w:r w:rsidR="00BF03AE" w:rsidRPr="00CB10DF">
        <w:rPr>
          <w:rFonts w:ascii="Times New Roman" w:eastAsia="Times New Roman" w:hAnsi="Times New Roman" w:cs="Times New Roman"/>
          <w:color w:val="000000" w:themeColor="text1"/>
        </w:rPr>
        <w:t>,</w:t>
      </w:r>
      <w:r w:rsidR="00FE384D" w:rsidRPr="00CB10DF">
        <w:rPr>
          <w:rFonts w:ascii="Times New Roman" w:eastAsia="Times New Roman" w:hAnsi="Times New Roman" w:cs="Times New Roman"/>
          <w:color w:val="000000" w:themeColor="text1"/>
        </w:rPr>
        <w:t xml:space="preserve"> </w:t>
      </w:r>
      <w:r w:rsidR="00BF03AE" w:rsidRPr="00CB10DF">
        <w:rPr>
          <w:rFonts w:ascii="Times New Roman" w:eastAsia="Times New Roman" w:hAnsi="Times New Roman" w:cs="Times New Roman"/>
          <w:color w:val="000000" w:themeColor="text1"/>
        </w:rPr>
        <w:fldChar w:fldCharType="begin" w:fldLock="1"/>
      </w:r>
      <w:r w:rsidR="00BF03AE" w:rsidRPr="00CB10DF">
        <w:rPr>
          <w:rFonts w:ascii="Times New Roman" w:eastAsia="Times New Roman" w:hAnsi="Times New Roman" w:cs="Times New Roman"/>
          <w:color w:val="000000" w:themeColor="text1"/>
        </w:rPr>
        <w:instrText>ADDIN CSL_CITATION {"citationItems":[{"id":"ITEM-1","itemData":{"DOI":"10.1111/1365-2656.12789","ISSN":"13652656","abstract":"1. Body size is a fundamental ecological trait and is correlated with population dynamics, community structure and function, and ecosystem fluxes. Laboratory data from broad taxonomic groups suggest that a widespread response to a warming world may be an overall decrease in organism body size. However, given the myriad of biotic and abiotic factors that can also influence organism body size in the wild, it is unclear whether results from these laboratory assays hold in nature. 2. Here we use datasets spanning 30 to 100 years to examine whether the body size of wild-caught beetles has changed over time, whether body size changes are correlated with increased temperatures, and we frame these results using predictions derived from a quantitative review of laboratory responses of 22 beetle species to temperature. 3. We found that 95% of laboratory-reared beetles decreased in size with increased rearing temperature, with larger-bodied species shrinking disproportionately more than smaller-bodied beetles. In addition, the museum datasets revealed that largerbodied beetle species have decreased in size over time, that mean beetle body size explains much of the interspecific variation in beetle responses to temperature, and that long-term beetle size changes are explained by increases in autumn temperature and decreases in spring temperature in this region. 4. Our data demonstrate that the relationship between body size and temperature of wild-caught beetles matches relatively well with results from laboratory studies, and that variation in this relationship is largely explained by interspecific variation in mean beetle body size. 5. This long-term beetle dataset is one of the most comprehensive arthropod body size datasets compiled to date, it improves predictions regarding the shrinking of organisms with global climate change, and together with the meta-analysis data, call for new hypotheses to explain why larger-bodied organisms may be more sensitive to temperature.","author":[{"dropping-particle":"","family":"Tseng","given":"Michelle","non-dropping-particle":"","parse-names":false,"suffix":""},{"dropping-particle":"","family":"Kaur","given":"Katrina M.","non-dropping-particle":"","parse-names":false,"suffix":""},{"dropping-particle":"","family":"Soleimani Pari","given":"Sina","non-dropping-particle":"","parse-names":false,"suffix":""},{"dropping-particle":"","family":"Sarai","given":"Karnjit","non-dropping-particle":"","parse-names":false,"suffix":""},{"dropping-particle":"","family":"Chan","given":"Denessa","non-dropping-particle":"","parse-names":false,"suffix":""},{"dropping-particle":"","family":"Yao","given":"Christine H.","non-dropping-particle":"","parse-names":false,"suffix":""},{"dropping-particle":"","family":"Porto","given":"Paula","non-dropping-particle":"","parse-names":false,"suffix":""},{"dropping-particle":"","family":"Toor","given":"Anmol","non-dropping-particle":"","parse-names":false,"suffix":""},{"dropping-particle":"","family":"Toor","given":"Harpawantaj S.","non-dropping-particle":"","parse-names":false,"suffix":""},{"dropping-particle":"","family":"Fograscher","given":"Katrina","non-dropping-particle":"","parse-names":false,"suffix":""}],"container-title":"Journal of Animal Ecology","id":"ITEM-1","issued":{"date-parts":[["2018"]]},"title":"Decreases in beetle body size linked to climate change and warming temperatures","type":"article-journal"},"uris":["http://www.mendeley.com/documents/?uuid=a5fceff3-72a9-4d8f-b9fb-ec48fc06d9e1"]}],"mendeley":{"formattedCitation":"(Tseng et al., 2018)","manualFormatting":"Tseng et al., 2018)","plainTextFormattedCitation":"(Tseng et al., 2018)","previouslyFormattedCitation":"(Tseng et al., 2018)"},"properties":{"noteIndex":0},"schema":"https://github.com/citation-style-language/schema/raw/master/csl-citation.json"}</w:instrText>
      </w:r>
      <w:r w:rsidR="00BF03AE" w:rsidRPr="00CB10DF">
        <w:rPr>
          <w:rFonts w:ascii="Times New Roman" w:eastAsia="Times New Roman" w:hAnsi="Times New Roman" w:cs="Times New Roman"/>
          <w:color w:val="000000" w:themeColor="text1"/>
        </w:rPr>
        <w:fldChar w:fldCharType="separate"/>
      </w:r>
      <w:r w:rsidR="00BF03AE" w:rsidRPr="00CB10DF">
        <w:rPr>
          <w:rFonts w:ascii="Times New Roman" w:eastAsia="Times New Roman" w:hAnsi="Times New Roman" w:cs="Times New Roman"/>
          <w:noProof/>
          <w:color w:val="000000" w:themeColor="text1"/>
        </w:rPr>
        <w:t>Tseng et al., 2018)</w:t>
      </w:r>
      <w:r w:rsidR="00BF03AE" w:rsidRPr="00CB10DF">
        <w:rPr>
          <w:rFonts w:ascii="Times New Roman" w:eastAsia="Times New Roman" w:hAnsi="Times New Roman" w:cs="Times New Roman"/>
          <w:color w:val="000000" w:themeColor="text1"/>
        </w:rPr>
        <w:fldChar w:fldCharType="end"/>
      </w:r>
      <w:r w:rsidR="00BF03AE" w:rsidRPr="00CB10DF">
        <w:rPr>
          <w:rFonts w:ascii="Times New Roman" w:eastAsia="Times New Roman" w:hAnsi="Times New Roman" w:cs="Times New Roman"/>
          <w:color w:val="000000" w:themeColor="text1"/>
        </w:rPr>
        <w:t>,</w:t>
      </w:r>
      <w:r w:rsidR="00FE384D" w:rsidRPr="00CB10DF">
        <w:rPr>
          <w:rFonts w:ascii="Times New Roman" w:eastAsia="Times New Roman" w:hAnsi="Times New Roman" w:cs="Times New Roman"/>
          <w:color w:val="000000" w:themeColor="text1"/>
        </w:rPr>
        <w:t xml:space="preserve"> we also expected an increase in the magnitude of wing length reduction with increasing temperature in larger species. Thus, Anisoptera could be expected to have a greater reduction in wing length than Zygoptera. </w:t>
      </w:r>
      <w:r w:rsidRPr="00CB10DF">
        <w:rPr>
          <w:rFonts w:ascii="Times New Roman" w:eastAsia="Times New Roman" w:hAnsi="Times New Roman" w:cs="Times New Roman"/>
          <w:color w:val="000000" w:themeColor="text1"/>
        </w:rPr>
        <w:t>F</w:t>
      </w:r>
      <w:r w:rsidR="00FE384D" w:rsidRPr="00CB10DF">
        <w:rPr>
          <w:rFonts w:ascii="Times New Roman" w:eastAsia="Times New Roman" w:hAnsi="Times New Roman" w:cs="Times New Roman"/>
          <w:color w:val="000000" w:themeColor="text1"/>
        </w:rPr>
        <w:t xml:space="preserve">urthermore, negative correlations are expected between temperature and body size for </w:t>
      </w:r>
      <w:proofErr w:type="spellStart"/>
      <w:r w:rsidR="00FE384D" w:rsidRPr="00CB10DF">
        <w:rPr>
          <w:rFonts w:ascii="Times New Roman" w:eastAsia="Times New Roman" w:hAnsi="Times New Roman" w:cs="Times New Roman"/>
          <w:color w:val="000000" w:themeColor="text1"/>
        </w:rPr>
        <w:t>univoltine</w:t>
      </w:r>
      <w:proofErr w:type="spellEnd"/>
      <w:r w:rsidR="00FE384D" w:rsidRPr="00CB10DF">
        <w:rPr>
          <w:color w:val="000000" w:themeColor="text1"/>
          <w:sz w:val="16"/>
          <w:szCs w:val="16"/>
        </w:rPr>
        <w:t xml:space="preserve"> </w:t>
      </w:r>
      <w:r w:rsidR="00FE384D" w:rsidRPr="00CB10DF">
        <w:rPr>
          <w:rFonts w:ascii="Times New Roman" w:eastAsia="Times New Roman" w:hAnsi="Times New Roman" w:cs="Times New Roman"/>
          <w:color w:val="000000" w:themeColor="text1"/>
        </w:rPr>
        <w:t xml:space="preserve">species as their development is time constrained. </w:t>
      </w:r>
      <w:r w:rsidR="00EE68DF" w:rsidRPr="00CB10DF">
        <w:rPr>
          <w:rFonts w:ascii="Times New Roman" w:eastAsia="Times New Roman" w:hAnsi="Times New Roman" w:cs="Times New Roman"/>
          <w:color w:val="000000" w:themeColor="text1"/>
        </w:rPr>
        <w:t>Previous studies</w:t>
      </w:r>
      <w:r w:rsidR="000D52BD" w:rsidRPr="00CB10DF">
        <w:rPr>
          <w:rFonts w:ascii="Times New Roman" w:eastAsia="Times New Roman" w:hAnsi="Times New Roman" w:cs="Times New Roman"/>
          <w:color w:val="000000" w:themeColor="text1"/>
        </w:rPr>
        <w:t>,</w:t>
      </w:r>
      <w:r w:rsidR="00EE68DF" w:rsidRPr="00CB10DF">
        <w:rPr>
          <w:rFonts w:ascii="Times New Roman" w:eastAsia="Times New Roman" w:hAnsi="Times New Roman" w:cs="Times New Roman"/>
          <w:color w:val="000000" w:themeColor="text1"/>
        </w:rPr>
        <w:t xml:space="preserve"> however, indicate a converse to </w:t>
      </w:r>
      <w:r w:rsidR="00941F6F" w:rsidRPr="00CB10DF">
        <w:rPr>
          <w:rFonts w:ascii="Times New Roman" w:eastAsia="Times New Roman" w:hAnsi="Times New Roman" w:cs="Times New Roman"/>
          <w:color w:val="000000" w:themeColor="text1"/>
        </w:rPr>
        <w:t xml:space="preserve">the </w:t>
      </w:r>
      <w:r w:rsidR="00EE68DF" w:rsidRPr="00CB10DF">
        <w:rPr>
          <w:rFonts w:ascii="Times New Roman" w:eastAsia="Times New Roman" w:hAnsi="Times New Roman" w:cs="Times New Roman"/>
          <w:color w:val="000000" w:themeColor="text1"/>
        </w:rPr>
        <w:t>TSR</w:t>
      </w:r>
      <w:r w:rsidR="00941F6F" w:rsidRPr="00CB10DF">
        <w:rPr>
          <w:rFonts w:ascii="Times New Roman" w:eastAsia="Times New Roman" w:hAnsi="Times New Roman" w:cs="Times New Roman"/>
          <w:color w:val="000000" w:themeColor="text1"/>
        </w:rPr>
        <w:t xml:space="preserve"> </w:t>
      </w:r>
      <w:r w:rsidR="00EE68DF" w:rsidRPr="00CB10DF">
        <w:rPr>
          <w:rFonts w:ascii="Times New Roman" w:eastAsia="Times New Roman" w:hAnsi="Times New Roman" w:cs="Times New Roman"/>
          <w:color w:val="000000" w:themeColor="text1"/>
        </w:rPr>
        <w:t xml:space="preserve">in </w:t>
      </w:r>
      <w:proofErr w:type="spellStart"/>
      <w:r w:rsidR="00EE68DF" w:rsidRPr="00CB10DF">
        <w:rPr>
          <w:rFonts w:ascii="Times New Roman" w:eastAsia="Times New Roman" w:hAnsi="Times New Roman" w:cs="Times New Roman"/>
          <w:color w:val="000000" w:themeColor="text1"/>
        </w:rPr>
        <w:t>univoltine</w:t>
      </w:r>
      <w:proofErr w:type="spellEnd"/>
      <w:r w:rsidR="00EE68DF" w:rsidRPr="00CB10DF">
        <w:rPr>
          <w:rFonts w:ascii="Times New Roman" w:eastAsia="Times New Roman" w:hAnsi="Times New Roman" w:cs="Times New Roman"/>
          <w:color w:val="000000" w:themeColor="text1"/>
        </w:rPr>
        <w:t xml:space="preserve"> </w:t>
      </w:r>
      <w:r w:rsidR="00CB62BD" w:rsidRPr="00CB10DF">
        <w:rPr>
          <w:rFonts w:ascii="Times New Roman" w:eastAsia="Times New Roman" w:hAnsi="Times New Roman" w:cs="Times New Roman"/>
          <w:color w:val="000000" w:themeColor="text1"/>
        </w:rPr>
        <w:t xml:space="preserve">insects </w:t>
      </w:r>
      <w:r w:rsidR="00EE68DF" w:rsidRPr="00CB10DF">
        <w:rPr>
          <w:rFonts w:ascii="Times New Roman" w:eastAsia="Times New Roman" w:hAnsi="Times New Roman" w:cs="Times New Roman"/>
          <w:color w:val="000000" w:themeColor="text1"/>
        </w:rPr>
        <w:t xml:space="preserve">species </w:t>
      </w:r>
      <w:r w:rsidR="00EE68DF" w:rsidRPr="00CB10DF">
        <w:rPr>
          <w:rFonts w:ascii="Times New Roman" w:eastAsia="Times New Roman" w:hAnsi="Times New Roman" w:cs="Times New Roman"/>
          <w:color w:val="000000" w:themeColor="text1"/>
        </w:rPr>
        <w:fldChar w:fldCharType="begin" w:fldLock="1"/>
      </w:r>
      <w:r w:rsidR="008C687E" w:rsidRPr="00CB10DF">
        <w:rPr>
          <w:rFonts w:ascii="Times New Roman" w:eastAsia="Times New Roman" w:hAnsi="Times New Roman" w:cs="Times New Roman"/>
          <w:color w:val="000000" w:themeColor="text1"/>
        </w:rPr>
        <w:instrText>ADDIN CSL_CITATION {"citationItems":[{"id":"ITEM-1","itemData":{"DOI":"10.1111/ele.12413","ISBN":"1461-0248","ISSN":"14610248","PMID":"25682961","abstract":"Two major intraspecific patterns of adult size variation are plastic temperature-size (T-S) responses and latitude-size (L-S) clines. Yet, the degree to which these co-vary and share explana- tory mechanisms has not been systematically evaluated. We present the largest quantitative com- parison of these gradients to date, and find that their direction and magnitude co-vary among 12 arthropod orders (r2 = 0.72). Body size in aquatic species generally reduces with both warming and decreasing latitude, whereas terrestrial species have much reduced and even opposite gradi- ents. These patterns support the prediction that oxygen limitation is a major controlling factor in water, but not in air. Furthermore, voltinism explains much of the variation in T-S and L-S pat- terns in terrestrial but not aquatic species. While body size decreases with warming and with decreasing latitude in multivoltine terrestrial arthropods, size increases on average in univoltine species, consistent with predictions from size vs. season-length trade-offs.","author":[{"dropping-particle":"","family":"Horne","given":"Curtis R.","non-dropping-particle":"","parse-names":false,"suffix":""},{"dropping-particle":"","family":"Hirst","given":"Andrew G.","non-dropping-particle":"","parse-names":false,"suffix":""},{"dropping-particle":"","family":"Atkinson","given":"David","non-dropping-particle":"","parse-names":false,"suffix":""}],"container-title":"Ecology Letters","id":"ITEM-1","issue":"4","issued":{"date-parts":[["2015"]]},"page":"327-335","title":"Temperature-size responses match latitudinal-size clines in arthropods, revealing critical differences between aquatic and terrestrial species","type":"article-journal","volume":"18"},"uris":["http://www.mendeley.com/documents/?uuid=32c1bce0-acd2-42e3-a942-dba43bfa032f"]}],"mendeley":{"formattedCitation":"(Horne et al., 2015)","manualFormatting":"(Horne et al., 2015","plainTextFormattedCitation":"(Horne et al., 2015)","previouslyFormattedCitation":"(Horne et al., 2015)"},"properties":{"noteIndex":0},"schema":"https://github.com/citation-style-language/schema/raw/master/csl-citation.json"}</w:instrText>
      </w:r>
      <w:r w:rsidR="00EE68DF" w:rsidRPr="00CB10DF">
        <w:rPr>
          <w:rFonts w:ascii="Times New Roman" w:eastAsia="Times New Roman" w:hAnsi="Times New Roman" w:cs="Times New Roman"/>
          <w:color w:val="000000" w:themeColor="text1"/>
        </w:rPr>
        <w:fldChar w:fldCharType="separate"/>
      </w:r>
      <w:r w:rsidR="00EE68DF" w:rsidRPr="00CB10DF">
        <w:rPr>
          <w:rFonts w:ascii="Times New Roman" w:eastAsia="Times New Roman" w:hAnsi="Times New Roman" w:cs="Times New Roman"/>
          <w:noProof/>
          <w:color w:val="000000" w:themeColor="text1"/>
        </w:rPr>
        <w:t>(Horne et al., 2015</w:t>
      </w:r>
      <w:r w:rsidR="00EE68DF" w:rsidRPr="00CB10DF">
        <w:rPr>
          <w:rFonts w:ascii="Times New Roman" w:eastAsia="Times New Roman" w:hAnsi="Times New Roman" w:cs="Times New Roman"/>
          <w:color w:val="000000" w:themeColor="text1"/>
        </w:rPr>
        <w:fldChar w:fldCharType="end"/>
      </w:r>
      <w:r w:rsidR="00EE68DF" w:rsidRPr="00CB10DF">
        <w:rPr>
          <w:rFonts w:ascii="Times New Roman" w:eastAsia="Times New Roman" w:hAnsi="Times New Roman" w:cs="Times New Roman"/>
          <w:color w:val="000000" w:themeColor="text1"/>
        </w:rPr>
        <w:fldChar w:fldCharType="begin" w:fldLock="1"/>
      </w:r>
      <w:r w:rsidR="00EE68DF" w:rsidRPr="00CB10DF">
        <w:rPr>
          <w:rFonts w:ascii="Times New Roman" w:eastAsia="Times New Roman" w:hAnsi="Times New Roman" w:cs="Times New Roman"/>
          <w:color w:val="000000" w:themeColor="text1"/>
        </w:rPr>
        <w:instrText>ADDIN CSL_CITATION {"citationItems":[{"id":"ITEM-1","itemData":{"DOI":"10.1111/1365-2656.12492","ISBN":"1365-2656 (Electronic)\\r0021-8790 (Linking)","ISSN":"13652656","PMID":"26876243","abstract":"Animals with distinct life stages are often exposed to different temperatures during each stage. Thus, how temperature affects these life stages should be considered for broadly understanding the ecological consequences of climate warming on such species. For example, temperature variation during particular life stages may affect respective change in body size, phenology and geographic range, which have been identified as the \"universal\" ecological responses to climate change. While each of these responses has been separately documented across a number of species, it is not known whether each response occurs together within a species. The influence of temperature during particular life stages may help explain each of these ecological responses to climate change. Our goal was to determine if monthly temperature variation during particular life stages of a butterfly species can predict respective changes in body size and phenology. We also refer to the literature to assess if temperature variability during the adult stage influences range change over time. Using historical museum collections paired with monthly temperature records, we show that changes in body size and phenology of the univoltine butterfly, Hesperia comma, are partly dependent upon temporal variation in summer temperatures during key stages of their life cycle. June temperatures, which are likely to affect growth rate of the final larval instar, are important for predicting adult body size (for males only; showing a positive relationship with temperature). July temperatures, which are likely to influence the pupal stage, are important for predicting the timing of adult emergence (showing a negative relationship with temperature). Previous studies show that August temperatures, which act on the adult stage, are linked to range change. Our study highlights the importance of considering temperature variation during each life stage over historic time-scales for understanding intraspecific response to climate change. Range edge studies of ectothermic species that have annual life cycles, long time-series occurrence data, and associated temperature records (ideally at monthly resolutions) could be useful model systems for intraspecific tests of the universal ecological responses to climate change and for exploring interactive effects.","author":[{"dropping-particle":"","family":"Fenberg","given":"Phillip B.","non-dropping-particle":"","parse-names":false,"suffix":""},{"dropping-particle":"","family":"Self","given":"Angela","non-dropping-particle":"","parse-names":false,"suffix":""},{"dropping-particle":"","family":"Stewart","given":"John R.","non-dropping-particle":"","parse-names":false,"suffix":""},{"dropping-particle":"","family":"Wilson","given":"Rebecca J.","non-dropping-particle":"","parse-names":false,"suffix":""},{"dropping-particle":"","family":"Brooks","given":"Stephen J.","non-dropping-particle":"","parse-names":false,"suffix":""}],"container-title":"Journal of Animal Ecology","id":"ITEM-1","issue":"3","issued":{"date-parts":[["2016"]]},"page":"739-748","title":"Exploring the universal ecological responses to climate change in a univoltine butterfly","type":"article-journal","volume":"85"},"uris":["http://www.mendeley.com/documents/?uuid=d548913b-0994-433d-a761-2f4f5b4daaf7"]}],"mendeley":{"formattedCitation":"(Fenberg et al., 2016)","manualFormatting":", Fenberg et al., 2016","plainTextFormattedCitation":"(Fenberg et al., 2016)","previouslyFormattedCitation":"(Fenberg et al., 2016)"},"properties":{"noteIndex":0},"schema":"https://github.com/citation-style-language/schema/raw/master/csl-citation.json"}</w:instrText>
      </w:r>
      <w:r w:rsidR="00EE68DF" w:rsidRPr="00CB10DF">
        <w:rPr>
          <w:rFonts w:ascii="Times New Roman" w:eastAsia="Times New Roman" w:hAnsi="Times New Roman" w:cs="Times New Roman"/>
          <w:color w:val="000000" w:themeColor="text1"/>
        </w:rPr>
        <w:fldChar w:fldCharType="separate"/>
      </w:r>
      <w:r w:rsidR="00EE68DF" w:rsidRPr="00CB10DF">
        <w:rPr>
          <w:rFonts w:ascii="Times New Roman" w:eastAsia="Times New Roman" w:hAnsi="Times New Roman" w:cs="Times New Roman"/>
          <w:noProof/>
          <w:color w:val="000000" w:themeColor="text1"/>
        </w:rPr>
        <w:t>, Fenberg et al., 2016</w:t>
      </w:r>
      <w:r w:rsidR="00EE68DF" w:rsidRPr="00CB10DF">
        <w:rPr>
          <w:rFonts w:ascii="Times New Roman" w:eastAsia="Times New Roman" w:hAnsi="Times New Roman" w:cs="Times New Roman"/>
          <w:color w:val="000000" w:themeColor="text1"/>
        </w:rPr>
        <w:fldChar w:fldCharType="end"/>
      </w:r>
      <w:r w:rsidR="00EE68DF" w:rsidRPr="00CB10DF">
        <w:rPr>
          <w:rFonts w:ascii="Times New Roman" w:eastAsia="Times New Roman" w:hAnsi="Times New Roman" w:cs="Times New Roman"/>
          <w:color w:val="000000" w:themeColor="text1"/>
        </w:rPr>
        <w:t xml:space="preserve">, </w:t>
      </w:r>
      <w:r w:rsidR="00EE68DF" w:rsidRPr="00CB10DF">
        <w:rPr>
          <w:rFonts w:ascii="Times New Roman" w:eastAsia="Times New Roman" w:hAnsi="Times New Roman" w:cs="Times New Roman"/>
          <w:color w:val="000000" w:themeColor="text1"/>
        </w:rPr>
        <w:fldChar w:fldCharType="begin" w:fldLock="1"/>
      </w:r>
      <w:r w:rsidR="00D26080" w:rsidRPr="00CB10DF">
        <w:rPr>
          <w:rFonts w:ascii="Times New Roman" w:eastAsia="Times New Roman" w:hAnsi="Times New Roman" w:cs="Times New Roman"/>
          <w:color w:val="000000" w:themeColor="text1"/>
        </w:rPr>
        <w:instrText>ADDIN CSL_CITATION {"citationItems":[{"id":"ITEM-1","itemData":{"DOI":"10.1002/ece3.5550","ISSN":"2045-7758","author":[{"dropping-particle":"","family":"Wilson","given":"Rebecca J.","non-dropping-particle":"","parse-names":false,"suffix":""},{"dropping-particle":"","family":"Brooks","given":"Stephen J.","non-dropping-particle":"","parse-names":false,"suffix":""},{"dropping-particle":"","family":"Fenberg","given":"Phillip B.","non-dropping-particle":"","parse-names":false,"suffix":""}],"container-title":"Ecology and Evolution","id":"ITEM-1","issue":"18","issued":{"date-parts":[["2019","9","14"]]},"page":"10305-10316","title":"The influence of ecological and life history factors on ectothermic temperature–size responses: Analysis of three Lycaenidae butterflies (Lepidoptera)","type":"article-journal","volume":"9"},"uris":["http://www.mendeley.com/documents/?uuid=7b620d03-4056-4d14-99fb-b8231f3fad25"]}],"mendeley":{"formattedCitation":"(Wilson et al., 2019)","manualFormatting":"Wilson et al., 2019)","plainTextFormattedCitation":"(Wilson et al., 2019)","previouslyFormattedCitation":"(Wilson et al., 2019)"},"properties":{"noteIndex":0},"schema":"https://github.com/citation-style-language/schema/raw/master/csl-citation.json"}</w:instrText>
      </w:r>
      <w:r w:rsidR="00EE68DF" w:rsidRPr="00CB10DF">
        <w:rPr>
          <w:rFonts w:ascii="Times New Roman" w:eastAsia="Times New Roman" w:hAnsi="Times New Roman" w:cs="Times New Roman"/>
          <w:color w:val="000000" w:themeColor="text1"/>
        </w:rPr>
        <w:fldChar w:fldCharType="separate"/>
      </w:r>
      <w:r w:rsidR="00EE68DF" w:rsidRPr="00CB10DF">
        <w:rPr>
          <w:rFonts w:ascii="Times New Roman" w:eastAsia="Times New Roman" w:hAnsi="Times New Roman" w:cs="Times New Roman"/>
          <w:noProof/>
          <w:color w:val="000000" w:themeColor="text1"/>
        </w:rPr>
        <w:t>Wilson et al., 2019)</w:t>
      </w:r>
      <w:r w:rsidR="00EE68DF" w:rsidRPr="00CB10DF">
        <w:rPr>
          <w:rFonts w:ascii="Times New Roman" w:eastAsia="Times New Roman" w:hAnsi="Times New Roman" w:cs="Times New Roman"/>
          <w:color w:val="000000" w:themeColor="text1"/>
        </w:rPr>
        <w:fldChar w:fldCharType="end"/>
      </w:r>
      <w:r w:rsidR="00EE68DF" w:rsidRPr="00CB10DF">
        <w:rPr>
          <w:rFonts w:ascii="Times New Roman" w:eastAsia="Times New Roman" w:hAnsi="Times New Roman" w:cs="Times New Roman"/>
          <w:color w:val="000000" w:themeColor="text1"/>
        </w:rPr>
        <w:t xml:space="preserve">. Positive or no correlation between temperature and </w:t>
      </w:r>
      <w:r w:rsidR="009B4E54" w:rsidRPr="00CB10DF">
        <w:rPr>
          <w:rFonts w:ascii="Times New Roman" w:eastAsia="Times New Roman" w:hAnsi="Times New Roman" w:cs="Times New Roman"/>
          <w:color w:val="000000" w:themeColor="text1"/>
        </w:rPr>
        <w:t>wing length</w:t>
      </w:r>
      <w:r w:rsidR="00EE68DF" w:rsidRPr="00CB10DF">
        <w:rPr>
          <w:rFonts w:ascii="Times New Roman" w:eastAsia="Times New Roman" w:hAnsi="Times New Roman" w:cs="Times New Roman"/>
          <w:color w:val="000000" w:themeColor="text1"/>
        </w:rPr>
        <w:t xml:space="preserve"> are predicted in semivoltine species due to their extended growing season in warmer years. </w:t>
      </w:r>
      <w:r w:rsidR="00FE384D" w:rsidRPr="00CB10DF">
        <w:rPr>
          <w:rFonts w:ascii="Times New Roman" w:eastAsia="Times New Roman" w:hAnsi="Times New Roman" w:cs="Times New Roman"/>
          <w:color w:val="000000" w:themeColor="text1"/>
        </w:rPr>
        <w:t xml:space="preserve">Thus, </w:t>
      </w:r>
      <w:r w:rsidR="00635135" w:rsidRPr="00CB10DF">
        <w:rPr>
          <w:rFonts w:ascii="Times New Roman" w:eastAsia="Times New Roman" w:hAnsi="Times New Roman" w:cs="Times New Roman"/>
          <w:color w:val="000000" w:themeColor="text1"/>
        </w:rPr>
        <w:t xml:space="preserve">3) </w:t>
      </w:r>
      <w:r w:rsidR="00FE384D" w:rsidRPr="00CB10DF">
        <w:rPr>
          <w:rFonts w:ascii="Times New Roman" w:eastAsia="Times New Roman" w:hAnsi="Times New Roman" w:cs="Times New Roman"/>
          <w:color w:val="000000" w:themeColor="text1"/>
        </w:rPr>
        <w:t xml:space="preserve">we hypothesized that suborder and/or life cycle type could be </w:t>
      </w:r>
      <w:r w:rsidR="00941F6F" w:rsidRPr="00CB10DF">
        <w:rPr>
          <w:rFonts w:ascii="Times New Roman" w:eastAsia="Times New Roman" w:hAnsi="Times New Roman" w:cs="Times New Roman"/>
          <w:color w:val="000000" w:themeColor="text1"/>
        </w:rPr>
        <w:t>predictors</w:t>
      </w:r>
      <w:r w:rsidR="00FE384D" w:rsidRPr="00CB10DF">
        <w:rPr>
          <w:rFonts w:ascii="Times New Roman" w:eastAsia="Times New Roman" w:hAnsi="Times New Roman" w:cs="Times New Roman"/>
          <w:color w:val="000000" w:themeColor="text1"/>
        </w:rPr>
        <w:t xml:space="preserve"> of the direction and magnitude of species responses to warming temperature. </w:t>
      </w:r>
      <w:r w:rsidR="00C22658" w:rsidRPr="00CB10DF">
        <w:rPr>
          <w:rFonts w:ascii="Times New Roman" w:eastAsia="Times New Roman" w:hAnsi="Times New Roman" w:cs="Times New Roman"/>
          <w:color w:val="000000" w:themeColor="text1"/>
        </w:rPr>
        <w:t xml:space="preserve">4) According to previous </w:t>
      </w:r>
      <w:r w:rsidR="00C22658" w:rsidRPr="00CB10DF">
        <w:rPr>
          <w:rFonts w:ascii="Times New Roman" w:eastAsia="Times New Roman" w:hAnsi="Times New Roman" w:cs="Times New Roman"/>
          <w:color w:val="000000" w:themeColor="text1"/>
        </w:rPr>
        <w:lastRenderedPageBreak/>
        <w:t>studies</w:t>
      </w:r>
      <w:r w:rsidR="009B4E54" w:rsidRPr="00CB10DF">
        <w:rPr>
          <w:rFonts w:ascii="Times New Roman" w:eastAsia="Times New Roman" w:hAnsi="Times New Roman" w:cs="Times New Roman"/>
          <w:color w:val="000000" w:themeColor="text1"/>
        </w:rPr>
        <w:t xml:space="preserve"> </w:t>
      </w:r>
      <w:r w:rsidR="009B4E54" w:rsidRPr="00CB10DF">
        <w:rPr>
          <w:rFonts w:ascii="Times New Roman" w:eastAsia="Times New Roman" w:hAnsi="Times New Roman" w:cs="Times New Roman"/>
          <w:color w:val="000000" w:themeColor="text1"/>
        </w:rPr>
        <w:fldChar w:fldCharType="begin" w:fldLock="1"/>
      </w:r>
      <w:r w:rsidR="009B4E54" w:rsidRPr="00CB10DF">
        <w:rPr>
          <w:rFonts w:ascii="Times New Roman" w:eastAsia="Times New Roman" w:hAnsi="Times New Roman" w:cs="Times New Roman"/>
          <w:color w:val="000000" w:themeColor="text1"/>
        </w:rPr>
        <w:instrText>ADDIN CSL_CITATION {"citationItems":[{"id":"ITEM-1","itemData":{"DOI":"10.1016/S0003-3472(85)80178-0","ISSN":"00033472","abstract":"Lifetime mating success of male azure damselflies (Coenagrion puella) was measured in a natural population. The major determinant of mating success is the number of days a male spends at the breeding site, which is mostly determined by a male's adult lifespan. Long-lived males have a higher mating rate than short-lived males, and daily mating rate increases with age up to 6 days, then falls. Large males live longer, but have a lower daily mating rate than small males. These effects of size are very weak, accounting for no more than 2% of the daily variance in mating success. The only overall effect of size on lifetime mating success is that males at both extremes of the size distribution are more likely to fail to mate. Chance differences in the number of females encountered are sufficient to account for the remaining variance in mating success. The weather is also shown to have a major effect on mating success. We draw attention to the ways in which it may be misleading to draw conclusions about the action of sexual selection from studies of daily, rather than lifetime, reproductive success. We provide evidence to support the view that variance in male reproductive success is neither evidence for sexual selection, nor a measure of its intensity. © 1985.","author":[{"dropping-particle":"","family":"Banks","given":"Michael J.","non-dropping-particle":"","parse-names":false,"suffix":""},{"dropping-particle":"","family":"Thompson","given":"David J.","non-dropping-particle":"","parse-names":false,"suffix":""}],"container-title":"Animal Behaviour","id":"ITEM-1","issued":{"date-parts":[["1985"]]},"title":"Lifetime mating success in the damselfly Coenagrion puella","type":"article-journal"},"uris":["http://www.mendeley.com/documents/?uuid=fa6ac396-6a5c-490e-98a3-d8cd1b0222c6"]}],"mendeley":{"formattedCitation":"(Banks &amp; Thompson, 1985)","manualFormatting":"(Banks &amp; Thompson, 1985","plainTextFormattedCitation":"(Banks &amp; Thompson, 1985)","previouslyFormattedCitation":"(Banks &amp; Thompson, 1985)"},"properties":{"noteIndex":0},"schema":"https://github.com/citation-style-language/schema/raw/master/csl-citation.json"}</w:instrText>
      </w:r>
      <w:r w:rsidR="009B4E54" w:rsidRPr="00CB10DF">
        <w:rPr>
          <w:rFonts w:ascii="Times New Roman" w:eastAsia="Times New Roman" w:hAnsi="Times New Roman" w:cs="Times New Roman"/>
          <w:color w:val="000000" w:themeColor="text1"/>
        </w:rPr>
        <w:fldChar w:fldCharType="separate"/>
      </w:r>
      <w:r w:rsidR="009B4E54" w:rsidRPr="00CB10DF">
        <w:rPr>
          <w:rFonts w:ascii="Times New Roman" w:eastAsia="Times New Roman" w:hAnsi="Times New Roman" w:cs="Times New Roman"/>
          <w:noProof/>
          <w:color w:val="000000" w:themeColor="text1"/>
        </w:rPr>
        <w:t>(Banks &amp; Thompson, 1985</w:t>
      </w:r>
      <w:r w:rsidR="009B4E54" w:rsidRPr="00CB10DF">
        <w:rPr>
          <w:rFonts w:ascii="Times New Roman" w:eastAsia="Times New Roman" w:hAnsi="Times New Roman" w:cs="Times New Roman"/>
          <w:color w:val="000000" w:themeColor="text1"/>
        </w:rPr>
        <w:fldChar w:fldCharType="end"/>
      </w:r>
      <w:r w:rsidR="009B4E54" w:rsidRPr="00CB10DF">
        <w:rPr>
          <w:rFonts w:ascii="Times New Roman" w:eastAsia="Times New Roman" w:hAnsi="Times New Roman" w:cs="Times New Roman"/>
          <w:color w:val="000000" w:themeColor="text1"/>
        </w:rPr>
        <w:t xml:space="preserve">, </w:t>
      </w:r>
      <w:r w:rsidR="009B4E54" w:rsidRPr="00CB10DF">
        <w:rPr>
          <w:rFonts w:ascii="Times New Roman" w:eastAsia="Times New Roman" w:hAnsi="Times New Roman" w:cs="Times New Roman"/>
          <w:color w:val="000000" w:themeColor="text1"/>
        </w:rPr>
        <w:fldChar w:fldCharType="begin" w:fldLock="1"/>
      </w:r>
      <w:r w:rsidR="009B4E54" w:rsidRPr="00CB10DF">
        <w:rPr>
          <w:rFonts w:ascii="Times New Roman" w:eastAsia="Times New Roman" w:hAnsi="Times New Roman" w:cs="Times New Roman"/>
          <w:color w:val="000000" w:themeColor="text1"/>
        </w:rPr>
        <w:instrText>ADDIN CSL_CITATION {"citationItems":[{"id":"ITEM-1","itemData":{"DOI":"10.1007/BF00008175","ISSN":"00188158","PMID":"249","abstract":"Size, sex-ratio and mean abdomen length of an emergingSympetrum danae population showed significant yearly variations. It is argued that weather plays a major role. A consistent female-excess at emergence existed. Longevity estimates in the field were highly biased by emigration, especially at an early age, and seemingly more so in females than males. The larger, early emerging individuals emigrated more readily immediately after emergence and lived longer if they stayed in the area, than the smaller, late-emerging ones. This relation was especially clear in males. The shorter maturation in males found in the field was attributed to a sex-specific bias in the field. Maturation-time was found to be inversely related with emergence-data. No effects of abdomen length, weather or density could be demonstrated.","author":[{"dropping-particle":"","family":"Michiels","given":"Nico K.","non-dropping-particle":"","parse-names":false,"suffix":""},{"dropping-particle":"","family":"Dhondt","given":"André A.","non-dropping-particle":"","parse-names":false,"suffix":""}],"container-title":"Hydrobiologia","id":"ITEM-1","issue":"2","issued":{"date-parts":[["1989"]]},"page":"149-158","title":"Effects of emergence characteristics on longevity and maturation in the dragonfly Sympetrum danae (Anisoptera : Libellulidae)","type":"article-journal","volume":"171"},"uris":["http://www.mendeley.com/documents/?uuid=808a56f9-bc8b-4001-ba12-783913aa099e"]}],"mendeley":{"formattedCitation":"(Michiels &amp; Dhondt, 1989)","manualFormatting":"Michiels &amp; Dhondt, 1989","plainTextFormattedCitation":"(Michiels &amp; Dhondt, 1989)","previouslyFormattedCitation":"(Michiels &amp; Dhondt, 1989)"},"properties":{"noteIndex":0},"schema":"https://github.com/citation-style-language/schema/raw/master/csl-citation.json"}</w:instrText>
      </w:r>
      <w:r w:rsidR="009B4E54" w:rsidRPr="00CB10DF">
        <w:rPr>
          <w:rFonts w:ascii="Times New Roman" w:eastAsia="Times New Roman" w:hAnsi="Times New Roman" w:cs="Times New Roman"/>
          <w:color w:val="000000" w:themeColor="text1"/>
        </w:rPr>
        <w:fldChar w:fldCharType="separate"/>
      </w:r>
      <w:r w:rsidR="009B4E54" w:rsidRPr="00CB10DF">
        <w:rPr>
          <w:rFonts w:ascii="Times New Roman" w:eastAsia="Times New Roman" w:hAnsi="Times New Roman" w:cs="Times New Roman"/>
          <w:noProof/>
          <w:color w:val="000000" w:themeColor="text1"/>
        </w:rPr>
        <w:t>Michiels &amp; Dhondt, 1989</w:t>
      </w:r>
      <w:r w:rsidR="009B4E54" w:rsidRPr="00CB10DF">
        <w:rPr>
          <w:rFonts w:ascii="Times New Roman" w:eastAsia="Times New Roman" w:hAnsi="Times New Roman" w:cs="Times New Roman"/>
          <w:color w:val="000000" w:themeColor="text1"/>
        </w:rPr>
        <w:fldChar w:fldCharType="end"/>
      </w:r>
      <w:r w:rsidR="009B4E54" w:rsidRPr="00CB10DF">
        <w:rPr>
          <w:rFonts w:ascii="Times New Roman" w:eastAsia="Times New Roman" w:hAnsi="Times New Roman" w:cs="Times New Roman"/>
          <w:color w:val="000000" w:themeColor="text1"/>
        </w:rPr>
        <w:t xml:space="preserve">, </w:t>
      </w:r>
      <w:r w:rsidR="009B4E54" w:rsidRPr="00CB10DF">
        <w:rPr>
          <w:rFonts w:ascii="Times New Roman" w:eastAsia="Times New Roman" w:hAnsi="Times New Roman" w:cs="Times New Roman"/>
          <w:color w:val="000000" w:themeColor="text1"/>
        </w:rPr>
        <w:fldChar w:fldCharType="begin" w:fldLock="1"/>
      </w:r>
      <w:r w:rsidR="009B4E54" w:rsidRPr="00CB10DF">
        <w:rPr>
          <w:rFonts w:ascii="Times New Roman" w:eastAsia="Times New Roman" w:hAnsi="Times New Roman" w:cs="Times New Roman"/>
          <w:color w:val="000000" w:themeColor="text1"/>
        </w:rPr>
        <w:instrText>ADDIN CSL_CITATION {"citationItems":[{"id":"ITEM-1","itemData":{"ISBN":"1210-5759","ISSN":"18028829","PMID":"798","abstract":"Emergence of Coenagrion mercuriale and Ceriagrion tenellum was examined in a mixed population at their northern range margin in Britain. Mortality at emergence was quantified in C. mercuriale. Consistent with their larval diapause characteristics, both species had an asynchronous emergence pattern, typical of \"summer\" species. Daily emergence of C. mercuriale was positively correlated with the duration of sunlight on the previous day (controlling for season) and its emergence period was found to be shorter than that observed in its core populations in Central and Mediterranean Europe. No differences were found between the patterns of emergence of the sexes in either species. Sex ratio at emergence differed significantly from 1: 1 (at 1.35 : 1 - mates : females) in C. mercuriale but not in Ceriagrion tenellum (at 1.04 : 1). Body size at emergence declined more steeply with time in females than in males of C. mercuriale because large size may confer a greater reproductive advantage in females (larger females may be more fecund) than males in non-territorial odonates. Percentage mortality of C mercuriale at emergence was low (4.9% including deformed individuals), the main cause of mortality being deformity","author":[{"dropping-particle":"V.","family":"Purse","given":"Bethan","non-dropping-particle":"","parse-names":false,"suffix":""},{"dropping-particle":"","family":"Thompson","given":"David J.","non-dropping-particle":"","parse-names":false,"suffix":""}],"container-title":"European Journal of Entomology","id":"ITEM-1","issue":"1","issued":{"date-parts":[["2003"]]},"page":"93-99","title":"Emergence of the damselflies, Coenagrion mercuriale and Ceriagrion tenellum (Odonata: Coenagrionidae), at their northern range margins, in Britain","type":"article-journal","volume":"100"},"uris":["http://www.mendeley.com/documents/?uuid=4a0ad79b-c6bc-43ad-9b8d-8dd1413416b6"]}],"mendeley":{"formattedCitation":"(Purse &amp; Thompson, 2003)","manualFormatting":"Purse &amp; Thompson, 2003)","plainTextFormattedCitation":"(Purse &amp; Thompson, 2003)","previouslyFormattedCitation":"(Purse &amp; Thompson, 2003)"},"properties":{"noteIndex":0},"schema":"https://github.com/citation-style-language/schema/raw/master/csl-citation.json"}</w:instrText>
      </w:r>
      <w:r w:rsidR="009B4E54" w:rsidRPr="00CB10DF">
        <w:rPr>
          <w:rFonts w:ascii="Times New Roman" w:eastAsia="Times New Roman" w:hAnsi="Times New Roman" w:cs="Times New Roman"/>
          <w:color w:val="000000" w:themeColor="text1"/>
        </w:rPr>
        <w:fldChar w:fldCharType="separate"/>
      </w:r>
      <w:r w:rsidR="009B4E54" w:rsidRPr="00CB10DF">
        <w:rPr>
          <w:rFonts w:ascii="Times New Roman" w:eastAsia="Times New Roman" w:hAnsi="Times New Roman" w:cs="Times New Roman"/>
          <w:noProof/>
          <w:color w:val="000000" w:themeColor="text1"/>
        </w:rPr>
        <w:t>Purse &amp; Thompson, 2003)</w:t>
      </w:r>
      <w:r w:rsidR="009B4E54" w:rsidRPr="00CB10DF">
        <w:rPr>
          <w:rFonts w:ascii="Times New Roman" w:eastAsia="Times New Roman" w:hAnsi="Times New Roman" w:cs="Times New Roman"/>
          <w:color w:val="000000" w:themeColor="text1"/>
        </w:rPr>
        <w:fldChar w:fldCharType="end"/>
      </w:r>
      <w:r w:rsidR="009B4E54" w:rsidRPr="00CB10DF">
        <w:rPr>
          <w:rFonts w:ascii="Times New Roman" w:eastAsia="Times New Roman" w:hAnsi="Times New Roman" w:cs="Times New Roman"/>
          <w:color w:val="000000" w:themeColor="text1"/>
        </w:rPr>
        <w:t xml:space="preserve">, we </w:t>
      </w:r>
      <w:r w:rsidR="003C56FE" w:rsidRPr="00CB10DF">
        <w:rPr>
          <w:rFonts w:ascii="Times New Roman" w:eastAsia="Times New Roman" w:hAnsi="Times New Roman" w:cs="Times New Roman"/>
          <w:color w:val="000000" w:themeColor="text1"/>
        </w:rPr>
        <w:t xml:space="preserve">also </w:t>
      </w:r>
      <w:r w:rsidR="009B4E54" w:rsidRPr="00CB10DF">
        <w:rPr>
          <w:rFonts w:ascii="Times New Roman" w:eastAsia="Times New Roman" w:hAnsi="Times New Roman" w:cs="Times New Roman"/>
          <w:color w:val="000000" w:themeColor="text1"/>
        </w:rPr>
        <w:t xml:space="preserve">expected smaller wing lengths </w:t>
      </w:r>
      <w:r w:rsidR="003C56FE" w:rsidRPr="00CB10DF">
        <w:rPr>
          <w:rFonts w:ascii="Times New Roman" w:eastAsia="Times New Roman" w:hAnsi="Times New Roman" w:cs="Times New Roman"/>
          <w:color w:val="000000" w:themeColor="text1"/>
        </w:rPr>
        <w:t xml:space="preserve">for specimens collected later in the </w:t>
      </w:r>
      <w:r w:rsidR="009570B3" w:rsidRPr="00CB10DF">
        <w:rPr>
          <w:rFonts w:ascii="Times New Roman" w:eastAsia="Times New Roman" w:hAnsi="Times New Roman" w:cs="Times New Roman"/>
          <w:color w:val="000000" w:themeColor="text1"/>
        </w:rPr>
        <w:t xml:space="preserve">year </w:t>
      </w:r>
      <w:r w:rsidR="003C56FE" w:rsidRPr="00CB10DF">
        <w:rPr>
          <w:rFonts w:ascii="Times New Roman" w:eastAsia="Times New Roman" w:hAnsi="Times New Roman" w:cs="Times New Roman"/>
          <w:color w:val="000000" w:themeColor="text1"/>
        </w:rPr>
        <w:t>due to time-constraints on larval development.</w:t>
      </w:r>
    </w:p>
    <w:p w14:paraId="2AD10EA8" w14:textId="77777777" w:rsidR="00FE384D" w:rsidRPr="00CB10DF" w:rsidRDefault="00FE384D" w:rsidP="00FE384D">
      <w:pPr>
        <w:spacing w:before="240" w:after="240" w:line="480" w:lineRule="auto"/>
        <w:jc w:val="both"/>
        <w:rPr>
          <w:rFonts w:ascii="Times New Roman" w:eastAsia="Times New Roman" w:hAnsi="Times New Roman" w:cs="Times New Roman"/>
          <w:b/>
          <w:color w:val="000000" w:themeColor="text1"/>
        </w:rPr>
      </w:pPr>
      <w:r w:rsidRPr="00CB10DF">
        <w:rPr>
          <w:rFonts w:ascii="Times New Roman" w:eastAsia="Times New Roman" w:hAnsi="Times New Roman" w:cs="Times New Roman"/>
          <w:b/>
          <w:color w:val="000000" w:themeColor="text1"/>
        </w:rPr>
        <w:t>Materials and methods</w:t>
      </w:r>
    </w:p>
    <w:p w14:paraId="312C1D19" w14:textId="77777777" w:rsidR="00FE384D" w:rsidRPr="00CB10DF" w:rsidRDefault="00FE384D" w:rsidP="00FE384D">
      <w:pPr>
        <w:spacing w:before="240" w:after="240" w:line="480" w:lineRule="auto"/>
        <w:jc w:val="both"/>
        <w:rPr>
          <w:rFonts w:ascii="Times New Roman" w:eastAsia="Times New Roman" w:hAnsi="Times New Roman" w:cs="Times New Roman"/>
          <w:color w:val="000000" w:themeColor="text1"/>
        </w:rPr>
      </w:pPr>
      <w:r w:rsidRPr="00CB10DF">
        <w:rPr>
          <w:rFonts w:ascii="Times New Roman" w:eastAsia="Times New Roman" w:hAnsi="Times New Roman" w:cs="Times New Roman"/>
          <w:color w:val="000000" w:themeColor="text1"/>
        </w:rPr>
        <w:t>This study was based on analyses of 5,331 specimens of 14 species of British Odonata, including eight Anisoptera species and six Zygoptera species (Table 1). These species were selected based on their range of life cycle types and the availability of specimens from UK museums (Table S1 in appendix).</w:t>
      </w:r>
    </w:p>
    <w:p w14:paraId="0465084D" w14:textId="77777777" w:rsidR="00FE384D" w:rsidRPr="00CB10DF" w:rsidRDefault="00FE384D" w:rsidP="00FE384D">
      <w:pPr>
        <w:pStyle w:val="Heading3"/>
        <w:keepNext w:val="0"/>
        <w:keepLines w:val="0"/>
        <w:spacing w:before="240" w:after="240" w:line="480" w:lineRule="auto"/>
        <w:jc w:val="both"/>
        <w:rPr>
          <w:rFonts w:ascii="Times New Roman" w:eastAsia="Times New Roman" w:hAnsi="Times New Roman" w:cs="Times New Roman"/>
          <w:b/>
          <w:i/>
          <w:color w:val="000000" w:themeColor="text1"/>
          <w:sz w:val="22"/>
          <w:szCs w:val="22"/>
        </w:rPr>
      </w:pPr>
      <w:bookmarkStart w:id="2" w:name="_zfhasxtprie4" w:colFirst="0" w:colLast="0"/>
      <w:bookmarkEnd w:id="2"/>
      <w:r w:rsidRPr="00CB10DF">
        <w:rPr>
          <w:rFonts w:ascii="Times New Roman" w:eastAsia="Times New Roman" w:hAnsi="Times New Roman" w:cs="Times New Roman"/>
          <w:b/>
          <w:i/>
          <w:color w:val="000000" w:themeColor="text1"/>
          <w:sz w:val="22"/>
          <w:szCs w:val="22"/>
        </w:rPr>
        <w:t>Data acquisition</w:t>
      </w:r>
    </w:p>
    <w:p w14:paraId="7C29D7A8" w14:textId="62E71948" w:rsidR="001B61E6" w:rsidRPr="00CB10DF" w:rsidRDefault="00592D4C" w:rsidP="00FE384D">
      <w:pPr>
        <w:spacing w:before="240" w:after="240" w:line="480" w:lineRule="auto"/>
        <w:jc w:val="both"/>
        <w:rPr>
          <w:rFonts w:ascii="Times New Roman" w:eastAsia="Times New Roman" w:hAnsi="Times New Roman" w:cs="Times New Roman"/>
          <w:color w:val="000000" w:themeColor="text1"/>
        </w:rPr>
      </w:pPr>
      <w:r w:rsidRPr="00CB10DF">
        <w:rPr>
          <w:rFonts w:ascii="Times New Roman" w:eastAsia="Times New Roman" w:hAnsi="Times New Roman" w:cs="Times New Roman"/>
          <w:color w:val="000000" w:themeColor="text1"/>
        </w:rPr>
        <w:t>A</w:t>
      </w:r>
      <w:r w:rsidRPr="00CB10DF">
        <w:rPr>
          <w:rFonts w:ascii="Times New Roman" w:eastAsia="Times New Roman" w:hAnsi="Times New Roman" w:cs="Times New Roman"/>
          <w:color w:val="000000" w:themeColor="text1"/>
          <w:highlight w:val="white"/>
        </w:rPr>
        <w:t xml:space="preserve">mong the morphological traits of insects, wing size and wing shape have been used to study size responses to environmental or climate change </w:t>
      </w:r>
      <w:r w:rsidRPr="00CB10DF">
        <w:rPr>
          <w:rFonts w:ascii="Times New Roman" w:eastAsia="Times New Roman" w:hAnsi="Times New Roman" w:cs="Times New Roman"/>
          <w:color w:val="000000" w:themeColor="text1"/>
          <w:highlight w:val="white"/>
        </w:rPr>
        <w:fldChar w:fldCharType="begin" w:fldLock="1"/>
      </w:r>
      <w:r w:rsidRPr="00CB10DF">
        <w:rPr>
          <w:rFonts w:ascii="Times New Roman" w:eastAsia="Times New Roman" w:hAnsi="Times New Roman" w:cs="Times New Roman"/>
          <w:color w:val="000000" w:themeColor="text1"/>
          <w:highlight w:val="white"/>
        </w:rPr>
        <w:instrText>ADDIN CSL_CITATION {"citationItems":[{"id":"ITEM-1","itemData":{"DOI":"10.7717/peerj.1219","ISSN":"21678359","abstract":"Geographical patterns in body size have been described across a wide range of species, leading to the development of a series of fundamental biological rules. However, shape variables are less well-described despite having substantial consequences for organism performance. Wing aspect ratio (AR) has been proposed as a key shape parameter that determines function in flying animals, with high AR corresponding to longer, thinner wings that promote high manoeuvrability, low speed flight, and low AR corresponding to shorter, broader wings that promote high efficiency long distance flight. From this principle it might be predicted that populations living in cooler areas would exhibit low AR wings to compensate for reduced muscle efficiency at lower temperatures. I test this hypothesis using the riverine damselfly, Calopteryx maculata, sampled from 34 sites across its range margin in North America. Nine hundred and seven male specimens were captured from across the 34 sites (mean = 26.7 ± 2.9 SE per site), dissected and measured to quantify the area and length of all four wings. Geometric morphometrics were employed to investigate geographical variation in wing shape. The majority of variation in wing shape involved changes in wing aspect ratio, confirmed independently by geometric morphometrics and wing measurements. There was a strong negative relationship between wing aspect ratio and the maximum temperature of the warmest month which varies fromwest-east inNorth America, creating a positive relationship with longitude. This pattern suggests that higher aspect ratio may be associated with areas in which greater flight efficiency is required: regions of lower temperatures during the flight season. I discussmy findings in light of research of the functional ecology of wing shape across vertebrate and invertebrate taxa.","author":[{"dropping-particle":"","family":"Hassall","given":"Christopher","non-dropping-particle":"","parse-names":false,"suffix":""}],"container-title":"PeerJ","id":"ITEM-1","issued":{"date-parts":[["2015"]]},"title":"Strong geographical variation in wing aspect ratio of a damselfly, Calopteryx maculata (Odonata: Zygoptera)","type":"article-journal"},"uris":["http://www.mendeley.com/documents/?uuid=e4ab885e-5052-44ce-87c1-0fd611b31acb"]}],"mendeley":{"formattedCitation":"(Christopher Hassall, 2015)","manualFormatting":"(Hassall, 2015","plainTextFormattedCitation":"(Christopher Hassall, 2015)","previouslyFormattedCitation":"(Christopher Hassall, 2015)"},"properties":{"noteIndex":0},"schema":"https://github.com/citation-style-language/schema/raw/master/csl-citation.json"}</w:instrText>
      </w:r>
      <w:r w:rsidRPr="00CB10DF">
        <w:rPr>
          <w:rFonts w:ascii="Times New Roman" w:eastAsia="Times New Roman" w:hAnsi="Times New Roman" w:cs="Times New Roman"/>
          <w:color w:val="000000" w:themeColor="text1"/>
          <w:highlight w:val="white"/>
        </w:rPr>
        <w:fldChar w:fldCharType="separate"/>
      </w:r>
      <w:r w:rsidRPr="00CB10DF">
        <w:rPr>
          <w:rFonts w:ascii="Times New Roman" w:eastAsia="Times New Roman" w:hAnsi="Times New Roman" w:cs="Times New Roman"/>
          <w:noProof/>
          <w:color w:val="000000" w:themeColor="text1"/>
          <w:highlight w:val="white"/>
        </w:rPr>
        <w:t>(Hassall, 2015</w:t>
      </w:r>
      <w:r w:rsidRPr="00CB10DF">
        <w:rPr>
          <w:rFonts w:ascii="Times New Roman" w:eastAsia="Times New Roman" w:hAnsi="Times New Roman" w:cs="Times New Roman"/>
          <w:color w:val="000000" w:themeColor="text1"/>
          <w:highlight w:val="white"/>
        </w:rPr>
        <w:fldChar w:fldCharType="end"/>
      </w:r>
      <w:r w:rsidRPr="00CB10DF">
        <w:rPr>
          <w:rFonts w:ascii="Times New Roman" w:eastAsia="Times New Roman" w:hAnsi="Times New Roman" w:cs="Times New Roman"/>
          <w:color w:val="000000" w:themeColor="text1"/>
          <w:highlight w:val="white"/>
        </w:rPr>
        <w:t xml:space="preserve">, </w:t>
      </w:r>
      <w:r w:rsidRPr="00CB10DF">
        <w:rPr>
          <w:rFonts w:ascii="Times New Roman" w:eastAsia="Times New Roman" w:hAnsi="Times New Roman" w:cs="Times New Roman"/>
          <w:color w:val="000000" w:themeColor="text1"/>
          <w:highlight w:val="white"/>
        </w:rPr>
        <w:fldChar w:fldCharType="begin" w:fldLock="1"/>
      </w:r>
      <w:r w:rsidR="00117D84" w:rsidRPr="00CB10DF">
        <w:rPr>
          <w:rFonts w:ascii="Times New Roman" w:eastAsia="Times New Roman" w:hAnsi="Times New Roman" w:cs="Times New Roman"/>
          <w:color w:val="000000" w:themeColor="text1"/>
          <w:highlight w:val="white"/>
        </w:rPr>
        <w:instrText>ADDIN CSL_CITATION {"citationItems":[{"id":"ITEM-1","itemData":{"DOI":"10.1038/srep32680","ISSN":"20452322","abstract":"A quantitative analysis of wing variation in grasshoppers can help us to understand how environmental heterogeneity affects the phenotypic patterns of insects. In this study, geometric morphometric methods were used to measure the differences in wing shape and size of Trilophidia annulata among 39 geographical populations in China, and a regression analysis was applied to identify the major environmental factors contributing to the observed morphological variations. The results showed that the size of the forewing and hindwing were significantly different among populations; the shape of the forewing among populations can be divided into geographical groups, however hindwing shape are geographical overlapped, and populations cannot be divided into geographical groups. Environmental PCA and thin-plate spline analysis suggested that smaller individuals with shorter and blunter-tip forewings were mainly distributed in the lower latitudes and mountainous areas, where they have higher temperatures and more precipitation. Correspondingly, the larger-bodied grasshoppers, those that have longer forewings with a longer radial sector, are distributed in contrary circumstances. We conclude that the size variations in body, forewing and hindwing of T. annulata apparently follow the Bergmann clines. The importance of climatic variables in influencing morphological variation among populations, forewing shape of T. annulata varies along an environmental gradient.","author":[{"dropping-particle":"","family":"Bai","given":"Yi","non-dropping-particle":"","parse-names":false,"suffix":""},{"dropping-particle":"","family":"Dong","given":"Jia Jia","non-dropping-particle":"","parse-names":false,"suffix":""},{"dropping-particle":"","family":"Guan","given":"De Long","non-dropping-particle":"","parse-names":false,"suffix":""},{"dropping-particle":"","family":"Xie","given":"Juan Ying","non-dropping-particle":"","parse-names":false,"suffix":""},{"dropping-particle":"","family":"Xu","given":"Sheng Quan","non-dropping-particle":"","parse-names":false,"suffix":""}],"container-title":"Scientific Reports","id":"ITEM-1","issued":{"date-parts":[["2016"]]},"title":"Geographic variation in wing size and shape of the grasshopper Trilophidia annulata (Orthoptera: Oedipodidae): Morphological trait variations follow an ecogeographical rule","type":"article-journal"},"uris":["http://www.mendeley.com/documents/?uuid=d77d586b-4418-47f2-925b-5ab31a621a91"]}],"mendeley":{"formattedCitation":"(Bai et al., 2016)","manualFormatting":"Bai et al., 2016","plainTextFormattedCitation":"(Bai et al., 2016)","previouslyFormattedCitation":"(Bai et al., 2016)"},"properties":{"noteIndex":0},"schema":"https://github.com/citation-style-language/schema/raw/master/csl-citation.json"}</w:instrText>
      </w:r>
      <w:r w:rsidRPr="00CB10DF">
        <w:rPr>
          <w:rFonts w:ascii="Times New Roman" w:eastAsia="Times New Roman" w:hAnsi="Times New Roman" w:cs="Times New Roman"/>
          <w:color w:val="000000" w:themeColor="text1"/>
          <w:highlight w:val="white"/>
        </w:rPr>
        <w:fldChar w:fldCharType="separate"/>
      </w:r>
      <w:r w:rsidRPr="00CB10DF">
        <w:rPr>
          <w:rFonts w:ascii="Times New Roman" w:eastAsia="Times New Roman" w:hAnsi="Times New Roman" w:cs="Times New Roman"/>
          <w:noProof/>
          <w:color w:val="000000" w:themeColor="text1"/>
          <w:highlight w:val="white"/>
        </w:rPr>
        <w:t>Bai et al., 2016</w:t>
      </w:r>
      <w:r w:rsidRPr="00CB10DF">
        <w:rPr>
          <w:rFonts w:ascii="Times New Roman" w:eastAsia="Times New Roman" w:hAnsi="Times New Roman" w:cs="Times New Roman"/>
          <w:color w:val="000000" w:themeColor="text1"/>
          <w:highlight w:val="white"/>
        </w:rPr>
        <w:fldChar w:fldCharType="end"/>
      </w:r>
      <w:r w:rsidRPr="00CB10DF">
        <w:rPr>
          <w:rFonts w:ascii="Times New Roman" w:eastAsia="Times New Roman" w:hAnsi="Times New Roman" w:cs="Times New Roman"/>
          <w:color w:val="000000" w:themeColor="text1"/>
          <w:highlight w:val="white"/>
        </w:rPr>
        <w:t xml:space="preserve">, </w:t>
      </w:r>
      <w:r w:rsidRPr="00CB10DF">
        <w:rPr>
          <w:rFonts w:ascii="Times New Roman" w:eastAsia="Times New Roman" w:hAnsi="Times New Roman" w:cs="Times New Roman"/>
          <w:color w:val="000000" w:themeColor="text1"/>
          <w:highlight w:val="white"/>
        </w:rPr>
        <w:fldChar w:fldCharType="begin" w:fldLock="1"/>
      </w:r>
      <w:r w:rsidRPr="00CB10DF">
        <w:rPr>
          <w:rFonts w:ascii="Times New Roman" w:eastAsia="Times New Roman" w:hAnsi="Times New Roman" w:cs="Times New Roman"/>
          <w:color w:val="000000" w:themeColor="text1"/>
          <w:highlight w:val="white"/>
        </w:rPr>
        <w:instrText>ADDIN CSL_CITATION {"citationItems":[{"id":"ITEM-1","itemData":{"DOI":"10.1080/13887890.2018.1523752","ISSN":"21596719","abstract":"Well-adapted flight morphology must allow for efficient behavioral activities. Wing shape has been shown in a variety of species to be influenced by environmental conditions. Analysis of wing shape using geometric morphometrics provides a visualization of wing shape variations. This study examined the effects of varied environments on wing shape and wing size of the damselfly Argia sedula in central Texas. Comparisons were made (1) between populations collected early in the flight season versus those collected late in the flight season; (2) between populations collected at different locations, and (3) among populations collected from the same locations during several annual flight seasons. We found widespread differences in both wing shape and body size in males and females among most environments examined. Male and female damselflies collected early varied significantly from those collected late in the flight season for all locations and years sampled. Damselflies emerging early in the flight season were significantly larger than those emerging late in the season. Significant differences in wing shape and size occurred in comparisons of male and female damselflies collected in different years at the same location. In comparing damselflies collected at different locations, neither females nor males varied significantly in wing shape. Size varied in only one male comparison between locations. Our results suggest that differences in seasonal and year-to-year environmental conditions, but not geographical location, frequently influence wing shape and wing size in A. sedula, and quite possibly in other damselfly species.","author":[{"dropping-particle":"","family":"Stewart","given":"Sherry S.","non-dropping-particle":"","parse-names":false,"suffix":""},{"dropping-particle":"","family":"Vodopich","given":"Darrell S.","non-dropping-particle":"","parse-names":false,"suffix":""}],"container-title":"International Journal of Odonatology","id":"ITEM-1","issued":{"date-parts":[["2018"]]},"title":"Environmental effects on wing shape and wing size of Argia sedula (Odonata: Coenagrionidae)","type":"article-journal"},"uris":["http://www.mendeley.com/documents/?uuid=34c3ea73-935a-4737-aa1a-1b9fbc76a837"]}],"mendeley":{"formattedCitation":"(Stewart &amp; Vodopich, 2018)","manualFormatting":"Stewart &amp; Vodopich, 2018)","plainTextFormattedCitation":"(Stewart &amp; Vodopich, 2018)","previouslyFormattedCitation":"(Stewart &amp; Vodopich, 2018)"},"properties":{"noteIndex":0},"schema":"https://github.com/citation-style-language/schema/raw/master/csl-citation.json"}</w:instrText>
      </w:r>
      <w:r w:rsidRPr="00CB10DF">
        <w:rPr>
          <w:rFonts w:ascii="Times New Roman" w:eastAsia="Times New Roman" w:hAnsi="Times New Roman" w:cs="Times New Roman"/>
          <w:color w:val="000000" w:themeColor="text1"/>
          <w:highlight w:val="white"/>
        </w:rPr>
        <w:fldChar w:fldCharType="separate"/>
      </w:r>
      <w:r w:rsidRPr="00CB10DF">
        <w:rPr>
          <w:rFonts w:ascii="Times New Roman" w:eastAsia="Times New Roman" w:hAnsi="Times New Roman" w:cs="Times New Roman"/>
          <w:noProof/>
          <w:color w:val="000000" w:themeColor="text1"/>
          <w:highlight w:val="white"/>
        </w:rPr>
        <w:t>Stewart &amp; Vodopich, 2018)</w:t>
      </w:r>
      <w:r w:rsidRPr="00CB10DF">
        <w:rPr>
          <w:rFonts w:ascii="Times New Roman" w:eastAsia="Times New Roman" w:hAnsi="Times New Roman" w:cs="Times New Roman"/>
          <w:color w:val="000000" w:themeColor="text1"/>
          <w:highlight w:val="white"/>
        </w:rPr>
        <w:fldChar w:fldCharType="end"/>
      </w:r>
      <w:r w:rsidRPr="00CB10DF">
        <w:rPr>
          <w:rFonts w:ascii="Times New Roman" w:eastAsia="Times New Roman" w:hAnsi="Times New Roman" w:cs="Times New Roman"/>
          <w:color w:val="000000" w:themeColor="text1"/>
          <w:highlight w:val="white"/>
        </w:rPr>
        <w:t xml:space="preserve">. </w:t>
      </w:r>
      <w:r w:rsidR="00C667C3" w:rsidRPr="00CB10DF">
        <w:rPr>
          <w:rFonts w:ascii="Times New Roman" w:eastAsia="Times New Roman" w:hAnsi="Times New Roman" w:cs="Times New Roman"/>
          <w:color w:val="000000" w:themeColor="text1"/>
          <w:highlight w:val="white"/>
        </w:rPr>
        <w:t xml:space="preserve">Here, </w:t>
      </w:r>
      <w:r w:rsidR="00C667C3" w:rsidRPr="00CB10DF">
        <w:rPr>
          <w:rFonts w:ascii="Times New Roman" w:eastAsia="Times New Roman" w:hAnsi="Times New Roman" w:cs="Times New Roman"/>
          <w:color w:val="000000" w:themeColor="text1"/>
        </w:rPr>
        <w:t>w</w:t>
      </w:r>
      <w:r w:rsidR="00FE384D" w:rsidRPr="00CB10DF">
        <w:rPr>
          <w:rFonts w:ascii="Times New Roman" w:eastAsia="Times New Roman" w:hAnsi="Times New Roman" w:cs="Times New Roman"/>
          <w:color w:val="000000" w:themeColor="text1"/>
        </w:rPr>
        <w:t xml:space="preserve">ing length </w:t>
      </w:r>
      <w:r w:rsidR="00C667C3" w:rsidRPr="00CB10DF">
        <w:rPr>
          <w:rFonts w:ascii="Times New Roman" w:eastAsia="Times New Roman" w:hAnsi="Times New Roman" w:cs="Times New Roman"/>
          <w:color w:val="000000" w:themeColor="text1"/>
        </w:rPr>
        <w:t xml:space="preserve">was used </w:t>
      </w:r>
      <w:r w:rsidR="00FE384D" w:rsidRPr="00CB10DF">
        <w:rPr>
          <w:rFonts w:ascii="Times New Roman" w:eastAsia="Times New Roman" w:hAnsi="Times New Roman" w:cs="Times New Roman"/>
          <w:color w:val="000000" w:themeColor="text1"/>
        </w:rPr>
        <w:t xml:space="preserve">as a proxy for body size as justified by previous studies </w:t>
      </w:r>
      <w:r w:rsidR="00B775E4" w:rsidRPr="00CB10DF">
        <w:rPr>
          <w:rFonts w:ascii="Times New Roman" w:eastAsia="Times New Roman" w:hAnsi="Times New Roman" w:cs="Times New Roman"/>
          <w:color w:val="000000" w:themeColor="text1"/>
        </w:rPr>
        <w:fldChar w:fldCharType="begin" w:fldLock="1"/>
      </w:r>
      <w:r w:rsidR="00B775E4" w:rsidRPr="00CB10DF">
        <w:rPr>
          <w:rFonts w:ascii="Times New Roman" w:eastAsia="Times New Roman" w:hAnsi="Times New Roman" w:cs="Times New Roman"/>
          <w:color w:val="000000" w:themeColor="text1"/>
        </w:rPr>
        <w:instrText>ADDIN CSL_CITATION {"citationItems":[{"id":"ITEM-1","itemData":{"DOI":"10.1017/S0952836998006074","ISBN":"0952836998","ISSN":"09528369","abstract":"Differences in wing morphology are described for three Eurasian populations of Drosophila lummei. A truss network of wing characters was used to quantify wing size and shape for 149 individuals from Japan, Sweden and Russia. Sexual dimorphism in wing size and shape was not substantial, so the sexes were pooled and multivariate analyses conducted. Both principal components analysis and discriminant analysis of wing morphology revealed significant differences among all geographic groups. These differences indicate that morphometric analysis of wing characters can reliably discriminate between geographic groups and accurately classify individuals of the three Drosophila lummei populations. Principal components analysis also revealed that characters occurring in the same section of the wing formed correlated suites which corresponded to morphologically and functionally distinct areas of the wing. This study is unique because it detects subtle morphological differences within a single species of fruit fly across an intercontinental distribution. The results corroborate genetic studies in which geographic variation was found for inversion polymorphisms among spatially separated populations of Drosophila lummei.","author":[{"dropping-particle":"","family":"Haas","given":"H L","non-dropping-particle":"","parse-names":false,"suffix":""},{"dropping-particle":"","family":"Tolley","given":"K A","non-dropping-particle":"","parse-names":false,"suffix":""}],"container-title":"Journal of Zoology","id":"ITEM-1","issue":"April 2001","issued":{"date-parts":[["1998"]]},"page":"197–203","title":"Geographic variation of wing morphology in three Eurasian populations of the fruit fly, Drosophila lummei","type":"article-journal","volume":"245"},"uris":["http://www.mendeley.com/documents/?uuid=9f7dbc5a-7726-4451-8066-bbf248f477e1"]}],"mendeley":{"formattedCitation":"(Haas &amp; Tolley, 1998)","manualFormatting":"(Haas &amp; Tolley, 1998","plainTextFormattedCitation":"(Haas &amp; Tolley, 1998)","previouslyFormattedCitation":"(Haas &amp; Tolley, 1998)"},"properties":{"noteIndex":0},"schema":"https://github.com/citation-style-language/schema/raw/master/csl-citation.json"}</w:instrText>
      </w:r>
      <w:r w:rsidR="00B775E4" w:rsidRPr="00CB10DF">
        <w:rPr>
          <w:rFonts w:ascii="Times New Roman" w:eastAsia="Times New Roman" w:hAnsi="Times New Roman" w:cs="Times New Roman"/>
          <w:color w:val="000000" w:themeColor="text1"/>
        </w:rPr>
        <w:fldChar w:fldCharType="separate"/>
      </w:r>
      <w:r w:rsidR="00B775E4" w:rsidRPr="00CB10DF">
        <w:rPr>
          <w:rFonts w:ascii="Times New Roman" w:eastAsia="Times New Roman" w:hAnsi="Times New Roman" w:cs="Times New Roman"/>
          <w:noProof/>
          <w:color w:val="000000" w:themeColor="text1"/>
        </w:rPr>
        <w:t>(Haas &amp; Tolley, 1998</w:t>
      </w:r>
      <w:r w:rsidR="00B775E4" w:rsidRPr="00CB10DF">
        <w:rPr>
          <w:rFonts w:ascii="Times New Roman" w:eastAsia="Times New Roman" w:hAnsi="Times New Roman" w:cs="Times New Roman"/>
          <w:color w:val="000000" w:themeColor="text1"/>
        </w:rPr>
        <w:fldChar w:fldCharType="end"/>
      </w:r>
      <w:r w:rsidR="00B775E4" w:rsidRPr="00CB10DF">
        <w:rPr>
          <w:rFonts w:ascii="Times New Roman" w:eastAsia="Times New Roman" w:hAnsi="Times New Roman" w:cs="Times New Roman"/>
          <w:color w:val="000000" w:themeColor="text1"/>
        </w:rPr>
        <w:t xml:space="preserve">, </w:t>
      </w:r>
      <w:r w:rsidR="00B775E4" w:rsidRPr="00CB10DF">
        <w:rPr>
          <w:rFonts w:ascii="Times New Roman" w:eastAsia="Times New Roman" w:hAnsi="Times New Roman" w:cs="Times New Roman"/>
          <w:color w:val="000000" w:themeColor="text1"/>
        </w:rPr>
        <w:fldChar w:fldCharType="begin" w:fldLock="1"/>
      </w:r>
      <w:r w:rsidR="00B775E4" w:rsidRPr="00CB10DF">
        <w:rPr>
          <w:rFonts w:ascii="Times New Roman" w:eastAsia="Times New Roman" w:hAnsi="Times New Roman" w:cs="Times New Roman"/>
          <w:color w:val="000000" w:themeColor="text1"/>
        </w:rPr>
        <w:instrText>ADDIN CSL_CITATION {"citationItems":[{"id":"ITEM-1","itemData":{"DOI":"10.1111/j.1365-2427.2001.00664.x","ISBN":"0-8014-2592-1","ISSN":"0007151683","PMID":"137","abstract":"Dragonflies constitute the order Odonata which contains two suborders, Anisoptera and Zygoptera. The order first appears as fossils in the Lower Permian, about 250 million years ago. This monograph discusses, in 12 chapters, the behavior and ecology of the dragonflies. The egg and prolarval stages, the larval stages, and the adult stage are all covered, including habitat selection and oviposition, respiration, the biotic environment, the physical environment, and foraging behavior of the larva, and growth, metamorphosis, and emergence of the adult. Adult foraging, spatial displacement by flight, reproductive behavior, and interaction with people are included. The text is illustrated by photographs, diagrams, line-drawings, graphs, charts, tables, scanning electron micrographs, maps, and color plates. A glossary, appendix tables, references, an author index, an Odonata index, and a subject index supplement the book.","author":[{"dropping-particle":"","family":"Corbet","given":"Philip S","non-dropping-particle":"","parse-names":false,"suffix":""}],"container-title":"Dragonflies: Behavior and ecology of Odonata","id":"ITEM-1","issue":"January","issued":{"date-parts":[["1999"]]},"page":"xxxiv+829p","title":"Dragonflies: Behavior and ecology of Odonata","type":"article-journal","volume":"31"},"uris":["http://www.mendeley.com/documents/?uuid=beaa38b0-da7c-4f36-802a-572869d8ebd6"]}],"mendeley":{"formattedCitation":"(Corbet, 1999)","manualFormatting":"Corbet, 1999)","plainTextFormattedCitation":"(Corbet, 1999)","previouslyFormattedCitation":"(Corbet, 1999)"},"properties":{"noteIndex":0},"schema":"https://github.com/citation-style-language/schema/raw/master/csl-citation.json"}</w:instrText>
      </w:r>
      <w:r w:rsidR="00B775E4" w:rsidRPr="00CB10DF">
        <w:rPr>
          <w:rFonts w:ascii="Times New Roman" w:eastAsia="Times New Roman" w:hAnsi="Times New Roman" w:cs="Times New Roman"/>
          <w:color w:val="000000" w:themeColor="text1"/>
        </w:rPr>
        <w:fldChar w:fldCharType="separate"/>
      </w:r>
      <w:r w:rsidR="00B775E4" w:rsidRPr="00CB10DF">
        <w:rPr>
          <w:rFonts w:ascii="Times New Roman" w:eastAsia="Times New Roman" w:hAnsi="Times New Roman" w:cs="Times New Roman"/>
          <w:noProof/>
          <w:color w:val="000000" w:themeColor="text1"/>
        </w:rPr>
        <w:t>Corbet, 1999)</w:t>
      </w:r>
      <w:r w:rsidR="00B775E4" w:rsidRPr="00CB10DF">
        <w:rPr>
          <w:rFonts w:ascii="Times New Roman" w:eastAsia="Times New Roman" w:hAnsi="Times New Roman" w:cs="Times New Roman"/>
          <w:color w:val="000000" w:themeColor="text1"/>
        </w:rPr>
        <w:fldChar w:fldCharType="end"/>
      </w:r>
      <w:r w:rsidR="00FE384D" w:rsidRPr="00CB10DF">
        <w:rPr>
          <w:rFonts w:ascii="Times New Roman" w:eastAsia="Times New Roman" w:hAnsi="Times New Roman" w:cs="Times New Roman"/>
          <w:color w:val="000000" w:themeColor="text1"/>
        </w:rPr>
        <w:t xml:space="preserve">. </w:t>
      </w:r>
      <w:r w:rsidR="00FE384D" w:rsidRPr="00CB10DF">
        <w:rPr>
          <w:rFonts w:ascii="Times New Roman" w:eastAsia="Times New Roman" w:hAnsi="Times New Roman" w:cs="Times New Roman"/>
          <w:color w:val="000000" w:themeColor="text1"/>
          <w:highlight w:val="white"/>
        </w:rPr>
        <w:t xml:space="preserve">Additionally, studies on body size in insects </w:t>
      </w:r>
      <w:r w:rsidR="00B775E4" w:rsidRPr="00CB10DF">
        <w:rPr>
          <w:rFonts w:ascii="Times New Roman" w:eastAsia="Times New Roman" w:hAnsi="Times New Roman" w:cs="Times New Roman"/>
          <w:color w:val="000000" w:themeColor="text1"/>
          <w:highlight w:val="white"/>
        </w:rPr>
        <w:fldChar w:fldCharType="begin" w:fldLock="1"/>
      </w:r>
      <w:r w:rsidR="00B775E4" w:rsidRPr="00CB10DF">
        <w:rPr>
          <w:rFonts w:ascii="Times New Roman" w:eastAsia="Times New Roman" w:hAnsi="Times New Roman" w:cs="Times New Roman"/>
          <w:color w:val="000000" w:themeColor="text1"/>
          <w:highlight w:val="white"/>
        </w:rPr>
        <w:instrText>ADDIN CSL_CITATION {"citationItems":[{"id":"ITEM-1","itemData":{"DOI":"10.1073/pnas.1204026109","ISSN":"00278424","abstract":"Giant insects, with wingspans as large as 70 cm, ruled the Carboniferous and Permian skies. Gigantism has been linked to hyperoxic conditions because oxygen concentration is a key physiological control on body size, particularly in groups like flying insects that have high metabolic oxygen demands. Here we show, using a dataset of more than 10,500 fossil insect wing lengths, that size tracked atmospheric oxygen concentrations only for the first 150 Myr of insect evolution. The data are best explained by a model relating maximum size to atmospheric environmental oxygen concentration (pO2) until the end of the Jurassic, and then at constant sizes, independent of oxygen fluctuations, during the Cretaceous and, at a smaller size, the Cenozoic. Maximum insect size decreased even as atmospheric pO2 rose in the Early Cretaceous following the evolution and radiation of early birds, particularly as birds acquired adaptations that allowed more agile flight. A further decrease in maximum size during the Cenozoic may relate to the evolution of bats, the Cretaceous mass extinction, or further specialization of flying birds. The decoupling of insect size and atmospheric pO2 coincident with the radiation of birds suggests that biotic interactions, such as predation and competition, superseded oxygen as the most important constraint on maximum body size of the largest insects.","author":[{"dropping-particle":"","family":"Clapham","given":"Matthew E.","non-dropping-particle":"","parse-names":false,"suffix":""},{"dropping-particle":"","family":"Karr","given":"Jered A.","non-dropping-particle":"","parse-names":false,"suffix":""}],"container-title":"Proceedings of the National Academy of Sciences of the United States of America","id":"ITEM-1","issued":{"date-parts":[["2012"]]},"title":"Environmental and biotic controls on the evolutionary history of insect body size","type":"article-journal"},"uris":["http://www.mendeley.com/documents/?uuid=15bbdefb-7731-4f58-8cf9-abb7bdcb800a"]}],"mendeley":{"formattedCitation":"(Clapham &amp; Karr, 2012)","plainTextFormattedCitation":"(Clapham &amp; Karr, 2012)","previouslyFormattedCitation":"(Clapham &amp; Karr, 2012)"},"properties":{"noteIndex":0},"schema":"https://github.com/citation-style-language/schema/raw/master/csl-citation.json"}</w:instrText>
      </w:r>
      <w:r w:rsidR="00B775E4" w:rsidRPr="00CB10DF">
        <w:rPr>
          <w:rFonts w:ascii="Times New Roman" w:eastAsia="Times New Roman" w:hAnsi="Times New Roman" w:cs="Times New Roman"/>
          <w:color w:val="000000" w:themeColor="text1"/>
          <w:highlight w:val="white"/>
        </w:rPr>
        <w:fldChar w:fldCharType="separate"/>
      </w:r>
      <w:r w:rsidR="00B775E4" w:rsidRPr="00CB10DF">
        <w:rPr>
          <w:rFonts w:ascii="Times New Roman" w:eastAsia="Times New Roman" w:hAnsi="Times New Roman" w:cs="Times New Roman"/>
          <w:noProof/>
          <w:color w:val="000000" w:themeColor="text1"/>
          <w:highlight w:val="white"/>
        </w:rPr>
        <w:t>(Clapham &amp; Karr, 2012)</w:t>
      </w:r>
      <w:r w:rsidR="00B775E4" w:rsidRPr="00CB10DF">
        <w:rPr>
          <w:rFonts w:ascii="Times New Roman" w:eastAsia="Times New Roman" w:hAnsi="Times New Roman" w:cs="Times New Roman"/>
          <w:color w:val="000000" w:themeColor="text1"/>
          <w:highlight w:val="white"/>
        </w:rPr>
        <w:fldChar w:fldCharType="end"/>
      </w:r>
      <w:r w:rsidR="00FE384D" w:rsidRPr="00CB10DF">
        <w:rPr>
          <w:rFonts w:ascii="Times New Roman" w:eastAsia="Times New Roman" w:hAnsi="Times New Roman" w:cs="Times New Roman"/>
          <w:color w:val="000000" w:themeColor="text1"/>
          <w:highlight w:val="white"/>
        </w:rPr>
        <w:t xml:space="preserve"> and Odonata </w:t>
      </w:r>
      <w:r w:rsidR="00B775E4" w:rsidRPr="00CB10DF">
        <w:rPr>
          <w:rFonts w:ascii="Times New Roman" w:eastAsia="Times New Roman" w:hAnsi="Times New Roman" w:cs="Times New Roman"/>
          <w:color w:val="000000" w:themeColor="text1"/>
          <w:highlight w:val="white"/>
        </w:rPr>
        <w:fldChar w:fldCharType="begin" w:fldLock="1"/>
      </w:r>
      <w:r w:rsidR="00B775E4" w:rsidRPr="00CB10DF">
        <w:rPr>
          <w:rFonts w:ascii="Times New Roman" w:eastAsia="Times New Roman" w:hAnsi="Times New Roman" w:cs="Times New Roman"/>
          <w:color w:val="000000" w:themeColor="text1"/>
          <w:highlight w:val="white"/>
        </w:rPr>
        <w:instrText>ADDIN CSL_CITATION {"citationItems":[{"id":"ITEM-1","itemData":{"DOI":"10.1080/13887890.2006.9748281","ISSN":"21596719","abstract":"Ten common libellulid species perch along the shoreline of lakes and ponds in South Carolina, USA. We collected individuals at five ponds throughout summer 2005, weighed them in the field, and calculated wing loading (N·m2) and wing aspect ratios from digital photographs. We measured the perch-height preferences of these species in ‘low perch’ (10, 20, 30, and 40 cm) and ‘high perch’ (20, 40, 60 and 80 cm) experiments. Flywheel anemometers recorded wind speeds at each perch height. Species differed significantly in mean body mass, spanning nearly an order of magnitude from Perithemis tenera (67 mg) to Libellula vibrans (633 mg). There were also significant differences in wing morphology that correlated with mean mass; larger species had greater wing loadings and greater wing aspect ratios that smaller species. Species also differed significantly in their perch-height prereferences in both experiments, in a manner correlating with body mass and hindwing aspect ratios. Erythemis simplicicollis and P. tenera preferred short perches, Celithemis fasciata, Pachydiplax longipennis and Plathemis lydia used perches of intermediate height, and Libellula auripennis, L. cyanea, L. incesta, L. luctuosa, and L. vibrans preferred the tallest perches. Because mean wind speed and maximum wind speed also increased with perch height, larger species may prefer taller perches to experience greater wind speed and generate more compensatory lift to offset their larger wing loadings. However, it is also possible that correlations between body mass and perch height are the result of large species competitively restricting smaller species to lower perches. © 2006 Taylor &amp; Francis Group, LLC.","author":[{"dropping-particle":"","family":"Worthen","given":"Wade B.","non-dropping-particle":"","parse-names":false,"suffix":""},{"dropping-particle":"","family":"Jones","given":"Christopher M.","non-dropping-particle":"","parse-names":false,"suffix":""}],"container-title":"International Journal of Odonatology","id":"ITEM-1","issued":{"date-parts":[["2006"]]},"title":"Relationships between body size, wing morphology, and perch height selection in a guild of Libellulidae species (Odonata)","type":"article-journal"},"uris":["http://www.mendeley.com/documents/?uuid=de9eb76d-812e-42f8-b1a7-c2dcde19f05c"]}],"mendeley":{"formattedCitation":"(Worthen &amp; Jones, 2006)","plainTextFormattedCitation":"(Worthen &amp; Jones, 2006)","previouslyFormattedCitation":"(Worthen &amp; Jones, 2006)"},"properties":{"noteIndex":0},"schema":"https://github.com/citation-style-language/schema/raw/master/csl-citation.json"}</w:instrText>
      </w:r>
      <w:r w:rsidR="00B775E4" w:rsidRPr="00CB10DF">
        <w:rPr>
          <w:rFonts w:ascii="Times New Roman" w:eastAsia="Times New Roman" w:hAnsi="Times New Roman" w:cs="Times New Roman"/>
          <w:color w:val="000000" w:themeColor="text1"/>
          <w:highlight w:val="white"/>
        </w:rPr>
        <w:fldChar w:fldCharType="separate"/>
      </w:r>
      <w:r w:rsidR="00B775E4" w:rsidRPr="00CB10DF">
        <w:rPr>
          <w:rFonts w:ascii="Times New Roman" w:eastAsia="Times New Roman" w:hAnsi="Times New Roman" w:cs="Times New Roman"/>
          <w:noProof/>
          <w:color w:val="000000" w:themeColor="text1"/>
          <w:highlight w:val="white"/>
        </w:rPr>
        <w:t>(Worthen &amp; Jones, 2006)</w:t>
      </w:r>
      <w:r w:rsidR="00B775E4" w:rsidRPr="00CB10DF">
        <w:rPr>
          <w:rFonts w:ascii="Times New Roman" w:eastAsia="Times New Roman" w:hAnsi="Times New Roman" w:cs="Times New Roman"/>
          <w:color w:val="000000" w:themeColor="text1"/>
          <w:highlight w:val="white"/>
        </w:rPr>
        <w:fldChar w:fldCharType="end"/>
      </w:r>
      <w:r w:rsidR="00FE384D" w:rsidRPr="00CB10DF">
        <w:rPr>
          <w:rFonts w:ascii="Times New Roman" w:eastAsia="Times New Roman" w:hAnsi="Times New Roman" w:cs="Times New Roman"/>
          <w:color w:val="000000" w:themeColor="text1"/>
          <w:highlight w:val="white"/>
        </w:rPr>
        <w:t xml:space="preserve"> suggest a strong correlation between body dimension</w:t>
      </w:r>
      <w:r w:rsidR="008866D8" w:rsidRPr="00CB10DF">
        <w:rPr>
          <w:rFonts w:ascii="Times New Roman" w:eastAsia="Times New Roman" w:hAnsi="Times New Roman" w:cs="Times New Roman"/>
          <w:color w:val="000000" w:themeColor="text1"/>
          <w:highlight w:val="white"/>
        </w:rPr>
        <w:t>s</w:t>
      </w:r>
      <w:r w:rsidR="00FE384D" w:rsidRPr="00CB10DF">
        <w:rPr>
          <w:rFonts w:ascii="Times New Roman" w:eastAsia="Times New Roman" w:hAnsi="Times New Roman" w:cs="Times New Roman"/>
          <w:color w:val="000000" w:themeColor="text1"/>
          <w:highlight w:val="white"/>
        </w:rPr>
        <w:t xml:space="preserve"> and wing length. Many studies on other insects suggested a reflection of body size in wing length (i.e. </w:t>
      </w:r>
      <w:r w:rsidR="00B775E4" w:rsidRPr="00CB10DF">
        <w:rPr>
          <w:rFonts w:ascii="Times New Roman" w:eastAsia="Times New Roman" w:hAnsi="Times New Roman" w:cs="Times New Roman"/>
          <w:color w:val="000000" w:themeColor="text1"/>
          <w:highlight w:val="white"/>
        </w:rPr>
        <w:fldChar w:fldCharType="begin" w:fldLock="1"/>
      </w:r>
      <w:r w:rsidR="00B775E4" w:rsidRPr="00CB10DF">
        <w:rPr>
          <w:rFonts w:ascii="Times New Roman" w:eastAsia="Times New Roman" w:hAnsi="Times New Roman" w:cs="Times New Roman"/>
          <w:color w:val="000000" w:themeColor="text1"/>
          <w:highlight w:val="white"/>
        </w:rPr>
        <w:instrText>ADDIN CSL_CITATION {"citationItems":[{"id":"ITEM-1","itemData":{"DOI":"10.1093/aesa/93.5.1195f","ISSN":"0013-8746","abstract":"From the rain forests of Borneo to the tenements of Manhattan, winged insects are a conspicuous and abundant feature of life on earth. Here, Robert Dudley presents the first comprehensive explanation of how insects fly. The author relates the biomechanics of flight to insect ecology and evolution in a major new work of synthesis. The book begins with an overview of insect flight biomechanics. Dudley explains insect morphology, wing motions, aerodynamics, flight energetics, and flight metabolism within a modern phylogenetic setting. Drawing on biomechanical principles, he describes and evaluates flight behavior and the limits to flight performance. The author then takes the next step by developing evolutionary explanations of insect flight. He analyzes the origins of flight in insects, the roles of natural and sexual selection in determining how insects fly, and the relationship between flight and insect size, pollination, predation, dispersal, and migration. Dudley ranges widely--from basic aerodynamics to muscle physiology and swarming behavior--but his focus is the explanation of functional design from evolutionary and ecological perspectives. The importance of flight in the lives of insects has long been recognized but never systematically evaluated. This book addresses that shortcoming. Robert Dudley provides an introduction to insect flight that will be welcomed by students and researchers in biomechanics, entomology, evolution, ecology, and behavior.","author":[{"dropping-particle":"","family":"Dudley","given":"Robert","non-dropping-particle":"","parse-names":false,"suffix":""}],"container-title":"Annals of the Entomological Society of America","id":"ITEM-1","issued":{"date-parts":[["2000"]]},"title":"The Biomechanics of Insect Flight: Form, Function, Evolution","type":"article-journal"},"uris":["http://www.mendeley.com/documents/?uuid=b7d36b93-2509-45d3-954d-7527835bfae2"]}],"mendeley":{"formattedCitation":"(Dudley, 2000)","manualFormatting":"Dudley, 2000","plainTextFormattedCitation":"(Dudley, 2000)","previouslyFormattedCitation":"(Dudley, 2000)"},"properties":{"noteIndex":0},"schema":"https://github.com/citation-style-language/schema/raw/master/csl-citation.json"}</w:instrText>
      </w:r>
      <w:r w:rsidR="00B775E4" w:rsidRPr="00CB10DF">
        <w:rPr>
          <w:rFonts w:ascii="Times New Roman" w:eastAsia="Times New Roman" w:hAnsi="Times New Roman" w:cs="Times New Roman"/>
          <w:color w:val="000000" w:themeColor="text1"/>
          <w:highlight w:val="white"/>
        </w:rPr>
        <w:fldChar w:fldCharType="separate"/>
      </w:r>
      <w:r w:rsidR="00B775E4" w:rsidRPr="00CB10DF">
        <w:rPr>
          <w:rFonts w:ascii="Times New Roman" w:eastAsia="Times New Roman" w:hAnsi="Times New Roman" w:cs="Times New Roman"/>
          <w:noProof/>
          <w:color w:val="000000" w:themeColor="text1"/>
          <w:highlight w:val="white"/>
        </w:rPr>
        <w:t>Dudley, 2000</w:t>
      </w:r>
      <w:r w:rsidR="00B775E4" w:rsidRPr="00CB10DF">
        <w:rPr>
          <w:rFonts w:ascii="Times New Roman" w:eastAsia="Times New Roman" w:hAnsi="Times New Roman" w:cs="Times New Roman"/>
          <w:color w:val="000000" w:themeColor="text1"/>
          <w:highlight w:val="white"/>
        </w:rPr>
        <w:fldChar w:fldCharType="end"/>
      </w:r>
      <w:r w:rsidR="00B775E4" w:rsidRPr="00CB10DF">
        <w:rPr>
          <w:rFonts w:ascii="Times New Roman" w:eastAsia="Times New Roman" w:hAnsi="Times New Roman" w:cs="Times New Roman"/>
          <w:color w:val="000000" w:themeColor="text1"/>
          <w:highlight w:val="white"/>
        </w:rPr>
        <w:t xml:space="preserve">, </w:t>
      </w:r>
      <w:r w:rsidR="00B775E4" w:rsidRPr="00CB10DF">
        <w:rPr>
          <w:rFonts w:ascii="Times New Roman" w:eastAsia="Times New Roman" w:hAnsi="Times New Roman" w:cs="Times New Roman"/>
          <w:color w:val="000000" w:themeColor="text1"/>
          <w:highlight w:val="white"/>
        </w:rPr>
        <w:fldChar w:fldCharType="begin" w:fldLock="1"/>
      </w:r>
      <w:r w:rsidR="00117D84" w:rsidRPr="00CB10DF">
        <w:rPr>
          <w:rFonts w:ascii="Times New Roman" w:eastAsia="Times New Roman" w:hAnsi="Times New Roman" w:cs="Times New Roman"/>
          <w:color w:val="000000" w:themeColor="text1"/>
          <w:highlight w:val="white"/>
        </w:rPr>
        <w:instrText>ADDIN CSL_CITATION {"citationItems":[{"id":"ITEM-1","itemData":{"DOI":"10.1007/s12041-008-0034-2","ISSN":"00221333","abstract":"The phenotypic plasticity of wing size and wing shape of Zaprionus indianus was investigated in relation to growth temperature (17°C to 31°C) in two natural populations living under different climates, equatorial and subtropical. The two populations were clearly distinguished not only by their wing size (the populations from the colder climate being bigger in size), but also by the shape of the response curves to growth temperature i.e., their reaction norms. In this respect, the temperature at which the size of the wing was maximum was about 3°C higher in the equatorial population. Such a difference in size plasticity is already found in two other nonclosely related species, might be a general evolutionary pattern in drosophilids. Wing shape was investigated by calculating an ellipse included into the wing blade, then by considering the ratio of the two axes, and also by analysing the angular position of 10 wing-vein landmarks. For an overall shape index (ratio of the two axes of the ellipse), a regular and almost linear increase was observed with increasing temperature i.e., a more round shape at high temperatures. Wing shape was also analysed by considering the variations of the various angles according to temperature. A diversity of response curves was observed, revealing either a monotonous increase or decrease with increasing temperature, and sometimes a bell shape curve. An interesting conclusion is that, in most cases, a significant difference was observed between the two populations, and the difference was more pronounced at low temperatures. These angular variations are difficult to interpret in an evolutionary context. More comparative studies should be undertaken before reaching some general conclusions. © Indian Academy of Sciences","author":[{"dropping-particle":"","family":"Loh","given":"Roberta","non-dropping-particle":"","parse-names":false,"suffix":""},{"dropping-particle":"","family":"David","given":"Jean R.","non-dropping-particle":"","parse-names":false,"suffix":""},{"dropping-particle":"","family":"Debat","given":"Vincent","non-dropping-particle":"","parse-names":false,"suffix":""},{"dropping-particle":"","family":"Bitner-Mathé","given":"Blanche Christine","non-dropping-particle":"","parse-names":false,"suffix":""}],"container-title":"Journal of Genetics","id":"ITEM-1","issued":{"date-parts":[["2008"]]},"title":"Adaptation to different climates results in divergent phenotypic plasticity of wing size and shape in an invasive drosophilid","type":"article-journal"},"uris":["http://www.mendeley.com/documents/?uuid=7294fec4-cae0-4641-bb2b-3f9614d476a1"]}],"mendeley":{"formattedCitation":"(Loh et al., 2008)","manualFormatting":"Loh et al., 2008","plainTextFormattedCitation":"(Loh et al., 2008)","previouslyFormattedCitation":"(Loh et al., 2008)"},"properties":{"noteIndex":0},"schema":"https://github.com/citation-style-language/schema/raw/master/csl-citation.json"}</w:instrText>
      </w:r>
      <w:r w:rsidR="00B775E4" w:rsidRPr="00CB10DF">
        <w:rPr>
          <w:rFonts w:ascii="Times New Roman" w:eastAsia="Times New Roman" w:hAnsi="Times New Roman" w:cs="Times New Roman"/>
          <w:color w:val="000000" w:themeColor="text1"/>
          <w:highlight w:val="white"/>
        </w:rPr>
        <w:fldChar w:fldCharType="separate"/>
      </w:r>
      <w:r w:rsidR="00B775E4" w:rsidRPr="00CB10DF">
        <w:rPr>
          <w:rFonts w:ascii="Times New Roman" w:eastAsia="Times New Roman" w:hAnsi="Times New Roman" w:cs="Times New Roman"/>
          <w:noProof/>
          <w:color w:val="000000" w:themeColor="text1"/>
          <w:highlight w:val="white"/>
        </w:rPr>
        <w:t>Loh et al., 2008</w:t>
      </w:r>
      <w:r w:rsidR="00B775E4" w:rsidRPr="00CB10DF">
        <w:rPr>
          <w:rFonts w:ascii="Times New Roman" w:eastAsia="Times New Roman" w:hAnsi="Times New Roman" w:cs="Times New Roman"/>
          <w:color w:val="000000" w:themeColor="text1"/>
          <w:highlight w:val="white"/>
        </w:rPr>
        <w:fldChar w:fldCharType="end"/>
      </w:r>
      <w:r w:rsidR="00322B78" w:rsidRPr="00CB10DF">
        <w:rPr>
          <w:rFonts w:ascii="Times New Roman" w:eastAsia="Times New Roman" w:hAnsi="Times New Roman" w:cs="Times New Roman"/>
          <w:color w:val="000000" w:themeColor="text1"/>
          <w:highlight w:val="white"/>
        </w:rPr>
        <w:t xml:space="preserve">, </w:t>
      </w:r>
      <w:r w:rsidR="00B775E4" w:rsidRPr="00CB10DF">
        <w:rPr>
          <w:rFonts w:ascii="Times New Roman" w:eastAsia="Times New Roman" w:hAnsi="Times New Roman" w:cs="Times New Roman"/>
          <w:color w:val="000000" w:themeColor="text1"/>
          <w:highlight w:val="white"/>
        </w:rPr>
        <w:fldChar w:fldCharType="begin" w:fldLock="1"/>
      </w:r>
      <w:r w:rsidR="00117D84" w:rsidRPr="00CB10DF">
        <w:rPr>
          <w:rFonts w:ascii="Times New Roman" w:eastAsia="Times New Roman" w:hAnsi="Times New Roman" w:cs="Times New Roman"/>
          <w:color w:val="000000" w:themeColor="text1"/>
          <w:highlight w:val="white"/>
        </w:rPr>
        <w:instrText>ADDIN CSL_CITATION {"citationItems":[{"id":"ITEM-1","itemData":{"DOI":"10.1111/j.1420-9101.2012.02502.x","ISSN":"1010061X","abstract":"Mutagenic and epigenetic effects of environmental stressors and their transgenerational consequences are of interest to evolutionary biologists because they can amplify natural genetic variation. We studied the effect of parental exposure to radioactive contamination on offspring development in lesser marsh grasshopper Chorthippus albomarginatus. We used a geometric morphometric approach to measure fluctuating asymmetry (FA), wing shape and wing size. We measured time to sexual maturity to check whether parental exposure to radiation influenced offspring developmental trajectory and tested effects of radiation on hatching success and parental fecundity. Wings were larger in early maturing individuals born to parents from high radiation sites compared to early maturing individuals from low radiation sites. As time to sexual maturity increased, wing size decreased but more sharply in individuals from high radiation sites. Radiation exposure did not significantly affect FA or shape in wings nor did it significantly affect hatching success and fecundity. Overall, parental radiation exposure can adversely affect offspring development and fitness depending on developmental trajectories although the cause of this effect remains unclear. We suggest more direct measures of fitness and the inclusion of replication in future studies to help further our understanding of the relationship between developmental instability, fitness and environmental stress. © 2012 The Authors. Journal of Evolutionary Biology © 2012 European Society For Evolutionary Biology.","author":[{"dropping-particle":"","family":"Beasley","given":"D. E.","non-dropping-particle":"","parse-names":false,"suffix":""},{"dropping-particle":"","family":"Bonisoli-Alquati","given":"A.","non-dropping-particle":"","parse-names":false,"suffix":""},{"dropping-particle":"","family":"Welch","given":"S. M.","non-dropping-particle":"","parse-names":false,"suffix":""},{"dropping-particle":"","family":"Møller","given":"A. P.","non-dropping-particle":"","parse-names":false,"suffix":""},{"dropping-particle":"","family":"Mousseau","given":"T. A.","non-dropping-particle":"","parse-names":false,"suffix":""}],"container-title":"Journal of Evolutionary Biology","id":"ITEM-1","issued":{"date-parts":[["2012"]]},"title":"Effects of parental radiation exposure on developmental instability in grasshoppers","type":"article-journal"},"uris":["http://www.mendeley.com/documents/?uuid=86712b09-0141-47b2-9624-243135ea7a64"]}],"mendeley":{"formattedCitation":"(Beasley et al., 2012)","manualFormatting":"Beasley et al., 2012,","plainTextFormattedCitation":"(Beasley et al., 2012)","previouslyFormattedCitation":"(Beasley et al., 2012)"},"properties":{"noteIndex":0},"schema":"https://github.com/citation-style-language/schema/raw/master/csl-citation.json"}</w:instrText>
      </w:r>
      <w:r w:rsidR="00B775E4" w:rsidRPr="00CB10DF">
        <w:rPr>
          <w:rFonts w:ascii="Times New Roman" w:eastAsia="Times New Roman" w:hAnsi="Times New Roman" w:cs="Times New Roman"/>
          <w:color w:val="000000" w:themeColor="text1"/>
          <w:highlight w:val="white"/>
        </w:rPr>
        <w:fldChar w:fldCharType="separate"/>
      </w:r>
      <w:r w:rsidR="00B775E4" w:rsidRPr="00CB10DF">
        <w:rPr>
          <w:rFonts w:ascii="Times New Roman" w:eastAsia="Times New Roman" w:hAnsi="Times New Roman" w:cs="Times New Roman"/>
          <w:noProof/>
          <w:color w:val="000000" w:themeColor="text1"/>
          <w:highlight w:val="white"/>
        </w:rPr>
        <w:t>Beasley et al., 2012,</w:t>
      </w:r>
      <w:r w:rsidR="00B775E4" w:rsidRPr="00CB10DF">
        <w:rPr>
          <w:rFonts w:ascii="Times New Roman" w:eastAsia="Times New Roman" w:hAnsi="Times New Roman" w:cs="Times New Roman"/>
          <w:color w:val="000000" w:themeColor="text1"/>
          <w:highlight w:val="white"/>
        </w:rPr>
        <w:fldChar w:fldCharType="end"/>
      </w:r>
      <w:r w:rsidR="00B775E4" w:rsidRPr="00CB10DF">
        <w:rPr>
          <w:rFonts w:ascii="Times New Roman" w:eastAsia="Times New Roman" w:hAnsi="Times New Roman" w:cs="Times New Roman"/>
          <w:color w:val="000000" w:themeColor="text1"/>
          <w:highlight w:val="white"/>
        </w:rPr>
        <w:t xml:space="preserve"> </w:t>
      </w:r>
      <w:r w:rsidR="00B775E4" w:rsidRPr="00CB10DF">
        <w:rPr>
          <w:rFonts w:ascii="Times New Roman" w:eastAsia="Times New Roman" w:hAnsi="Times New Roman" w:cs="Times New Roman"/>
          <w:color w:val="000000" w:themeColor="text1"/>
          <w:highlight w:val="white"/>
        </w:rPr>
        <w:fldChar w:fldCharType="begin" w:fldLock="1"/>
      </w:r>
      <w:r w:rsidR="00322B78" w:rsidRPr="00CB10DF">
        <w:rPr>
          <w:rFonts w:ascii="Times New Roman" w:eastAsia="Times New Roman" w:hAnsi="Times New Roman" w:cs="Times New Roman"/>
          <w:color w:val="000000" w:themeColor="text1"/>
          <w:highlight w:val="white"/>
        </w:rPr>
        <w:instrText>ADDIN CSL_CITATION {"citationItems":[{"id":"ITEM-1","itemData":{"DOI":"10.1038/srep32680","ISSN":"20452322","abstract":"A quantitative analysis of wing variation in grasshoppers can help us to understand how environmental heterogeneity affects the phenotypic patterns of insects. In this study, geometric morphometric methods were used to measure the differences in wing shape and size of Trilophidia annulata among 39 geographical populations in China, and a regression analysis was applied to identify the major environmental factors contributing to the observed morphological variations. The results showed that the size of the forewing and hindwing were significantly different among populations; the shape of the forewing among populations can be divided into geographical groups, however hindwing shape are geographical overlapped, and populations cannot be divided into geographical groups. Environmental PCA and thin-plate spline analysis suggested that smaller individuals with shorter and blunter-tip forewings were mainly distributed in the lower latitudes and mountainous areas, where they have higher temperatures and more precipitation. Correspondingly, the larger-bodied grasshoppers, those that have longer forewings with a longer radial sector, are distributed in contrary circumstances. We conclude that the size variations in body, forewing and hindwing of T. annulata apparently follow the Bergmann clines. The importance of climatic variables in influencing morphological variation among populations, forewing shape of T. annulata varies along an environmental gradient.","author":[{"dropping-particle":"","family":"Bai","given":"Yi","non-dropping-particle":"","parse-names":false,"suffix":""},{"dropping-particle":"","family":"Dong","given":"Jia Jia","non-dropping-particle":"","parse-names":false,"suffix":""},{"dropping-particle":"","family":"Guan","given":"De Long","non-dropping-particle":"","parse-names":false,"suffix":""},{"dropping-particle":"","family":"Xie","given":"Juan Ying","non-dropping-particle":"","parse-names":false,"suffix":""},{"dropping-particle":"","family":"Xu","given":"Sheng Quan","non-dropping-particle":"","parse-names":false,"suffix":""}],"container-title":"Scientific Reports","id":"ITEM-1","issued":{"date-parts":[["2016"]]},"title":"Geographic variation in wing size and shape of the grasshopper Trilophidia annulata (Orthoptera: Oedipodidae): Morphological trait variations follow an ecogeographical rule","type":"article-journal"},"uris":["http://www.mendeley.com/documents/?uuid=d77d586b-4418-47f2-925b-5ab31a621a91"]}],"mendeley":{"formattedCitation":"(Bai et al., 2016)","manualFormatting":"Bai et al., 2016)","plainTextFormattedCitation":"(Bai et al., 2016)","previouslyFormattedCitation":"(Bai et al., 2016)"},"properties":{"noteIndex":0},"schema":"https://github.com/citation-style-language/schema/raw/master/csl-citation.json"}</w:instrText>
      </w:r>
      <w:r w:rsidR="00B775E4" w:rsidRPr="00CB10DF">
        <w:rPr>
          <w:rFonts w:ascii="Times New Roman" w:eastAsia="Times New Roman" w:hAnsi="Times New Roman" w:cs="Times New Roman"/>
          <w:color w:val="000000" w:themeColor="text1"/>
          <w:highlight w:val="white"/>
        </w:rPr>
        <w:fldChar w:fldCharType="separate"/>
      </w:r>
      <w:r w:rsidR="00B775E4" w:rsidRPr="00CB10DF">
        <w:rPr>
          <w:rFonts w:ascii="Times New Roman" w:eastAsia="Times New Roman" w:hAnsi="Times New Roman" w:cs="Times New Roman"/>
          <w:noProof/>
          <w:color w:val="000000" w:themeColor="text1"/>
          <w:highlight w:val="white"/>
        </w:rPr>
        <w:t>Bai et al., 2016)</w:t>
      </w:r>
      <w:r w:rsidR="00B775E4" w:rsidRPr="00CB10DF">
        <w:rPr>
          <w:rFonts w:ascii="Times New Roman" w:eastAsia="Times New Roman" w:hAnsi="Times New Roman" w:cs="Times New Roman"/>
          <w:color w:val="000000" w:themeColor="text1"/>
          <w:highlight w:val="white"/>
        </w:rPr>
        <w:fldChar w:fldCharType="end"/>
      </w:r>
      <w:r w:rsidR="00FE384D" w:rsidRPr="00CB10DF">
        <w:rPr>
          <w:rFonts w:ascii="Times New Roman" w:eastAsia="Times New Roman" w:hAnsi="Times New Roman" w:cs="Times New Roman"/>
          <w:color w:val="000000" w:themeColor="text1"/>
          <w:highlight w:val="white"/>
        </w:rPr>
        <w:t xml:space="preserve">. </w:t>
      </w:r>
      <w:r w:rsidRPr="00CB10DF">
        <w:rPr>
          <w:rFonts w:ascii="Times New Roman" w:eastAsia="Times New Roman" w:hAnsi="Times New Roman" w:cs="Times New Roman"/>
          <w:color w:val="000000" w:themeColor="text1"/>
          <w:highlight w:val="white"/>
        </w:rPr>
        <w:t>Furthermore, w</w:t>
      </w:r>
      <w:r w:rsidR="00FE384D" w:rsidRPr="00CB10DF">
        <w:rPr>
          <w:rFonts w:ascii="Times New Roman" w:eastAsia="Times New Roman" w:hAnsi="Times New Roman" w:cs="Times New Roman"/>
          <w:color w:val="000000" w:themeColor="text1"/>
          <w:highlight w:val="white"/>
        </w:rPr>
        <w:t xml:space="preserve">ing length remains constant in museum specimens, </w:t>
      </w:r>
      <w:r w:rsidRPr="00CB10DF">
        <w:rPr>
          <w:rFonts w:ascii="Times New Roman" w:eastAsia="Times New Roman" w:hAnsi="Times New Roman" w:cs="Times New Roman"/>
          <w:color w:val="000000" w:themeColor="text1"/>
          <w:highlight w:val="white"/>
        </w:rPr>
        <w:t>while</w:t>
      </w:r>
      <w:r w:rsidR="00FE384D" w:rsidRPr="00CB10DF">
        <w:rPr>
          <w:rFonts w:ascii="Times New Roman" w:eastAsia="Times New Roman" w:hAnsi="Times New Roman" w:cs="Times New Roman"/>
          <w:color w:val="000000" w:themeColor="text1"/>
          <w:highlight w:val="white"/>
        </w:rPr>
        <w:t xml:space="preserve"> </w:t>
      </w:r>
      <w:r w:rsidRPr="00CB10DF">
        <w:rPr>
          <w:rFonts w:ascii="Times New Roman" w:eastAsia="Times New Roman" w:hAnsi="Times New Roman" w:cs="Times New Roman"/>
          <w:color w:val="000000" w:themeColor="text1"/>
        </w:rPr>
        <w:t>other insect body part</w:t>
      </w:r>
      <w:r w:rsidR="006B6D85" w:rsidRPr="00CB10DF">
        <w:rPr>
          <w:rFonts w:ascii="Times New Roman" w:eastAsia="Times New Roman" w:hAnsi="Times New Roman" w:cs="Times New Roman"/>
          <w:color w:val="000000" w:themeColor="text1"/>
        </w:rPr>
        <w:t>s</w:t>
      </w:r>
      <w:r w:rsidRPr="00CB10DF">
        <w:rPr>
          <w:rFonts w:ascii="Times New Roman" w:eastAsia="Times New Roman" w:hAnsi="Times New Roman" w:cs="Times New Roman"/>
          <w:color w:val="000000" w:themeColor="text1"/>
        </w:rPr>
        <w:t>, including</w:t>
      </w:r>
      <w:r w:rsidR="006B6D85" w:rsidRPr="00CB10DF">
        <w:rPr>
          <w:rFonts w:ascii="Times New Roman" w:eastAsia="Times New Roman" w:hAnsi="Times New Roman" w:cs="Times New Roman"/>
          <w:color w:val="000000" w:themeColor="text1"/>
        </w:rPr>
        <w:t xml:space="preserve"> the</w:t>
      </w:r>
      <w:r w:rsidRPr="00CB10DF">
        <w:rPr>
          <w:rFonts w:ascii="Times New Roman" w:eastAsia="Times New Roman" w:hAnsi="Times New Roman" w:cs="Times New Roman"/>
          <w:color w:val="000000" w:themeColor="text1"/>
        </w:rPr>
        <w:t xml:space="preserve"> thorax and abdomen</w:t>
      </w:r>
      <w:r w:rsidRPr="00CB10DF">
        <w:rPr>
          <w:rFonts w:ascii="Times New Roman" w:eastAsia="Times New Roman" w:hAnsi="Times New Roman" w:cs="Times New Roman"/>
          <w:color w:val="000000" w:themeColor="text1"/>
          <w:highlight w:val="white"/>
        </w:rPr>
        <w:t xml:space="preserve">, </w:t>
      </w:r>
      <w:r w:rsidR="00FE384D" w:rsidRPr="00CB10DF">
        <w:rPr>
          <w:rFonts w:ascii="Times New Roman" w:eastAsia="Times New Roman" w:hAnsi="Times New Roman" w:cs="Times New Roman"/>
          <w:color w:val="000000" w:themeColor="text1"/>
          <w:highlight w:val="white"/>
        </w:rPr>
        <w:t xml:space="preserve">shrink over time </w:t>
      </w:r>
      <w:r w:rsidR="00322B78" w:rsidRPr="00CB10DF">
        <w:rPr>
          <w:rFonts w:ascii="Times New Roman" w:eastAsia="Times New Roman" w:hAnsi="Times New Roman" w:cs="Times New Roman"/>
          <w:color w:val="000000" w:themeColor="text1"/>
          <w:highlight w:val="white"/>
        </w:rPr>
        <w:fldChar w:fldCharType="begin" w:fldLock="1"/>
      </w:r>
      <w:r w:rsidR="00117D84" w:rsidRPr="00CB10DF">
        <w:rPr>
          <w:rFonts w:ascii="Times New Roman" w:eastAsia="Times New Roman" w:hAnsi="Times New Roman" w:cs="Times New Roman"/>
          <w:color w:val="000000" w:themeColor="text1"/>
          <w:highlight w:val="white"/>
        </w:rPr>
        <w:instrText>ADDIN CSL_CITATION {"citationItems":[{"id":"ITEM-1","itemData":{"DOI":"volumes/volume-8-manual-atbi/volumes/volume-8-manual-atbi/chpater-18/Chapter_18.pdf","abstract":"Up-to-date field techniques for preserving and handling invertebrate specimens with special emphasis on insects are summarized. Different preservation techniques for specimens sampled for molecular and morphological analyses as well as for natural history collections are presented and hints for scientific labelling of specimens in the field are given. Fluid fixation of molluscs, annelids, nematodes, and plathelmints are briefly discussed. Fluid or dry preservation of insects and other arthropods depends on the purpose of the field work and on the taxonomic groups. The most commonly used killing agents, fixation fluids and sample containers are discussed. Direct pinning and card mounting of insects in the field is explained and hints for transport of specimens are given. The recipes of frequently used reagents and solutions are listed in an appendix. Keywords:","author":[{"dropping-particle":"","family":"Krogmann","given":"L.","non-dropping-particle":"","parse-names":false,"suffix":""},{"dropping-particle":"","family":"Holstein","given":"J.","non-dropping-particle":"","parse-names":false,"suffix":""}],"container-title":"Manual on Field Recording Techniques and Protocols for All Taxa Biodiversity Inventories","id":"ITEM-1","issued":{"date-parts":[["2010"]]},"title":"Preserving and Specimen Handling : Insects and other Invertebrates","type":"article-journal"},"uris":["http://www.mendeley.com/documents/?uuid=d9cde844-e4a4-45f3-85c8-9b88d79f9e3c"]}],"mendeley":{"formattedCitation":"(Krogmann &amp; Holstein, 2010)","manualFormatting":"(Krogmann &amp; Holstein, 2010,","plainTextFormattedCitation":"(Krogmann &amp; Holstein, 2010)","previouslyFormattedCitation":"(Krogmann &amp; Holstein, 2010)"},"properties":{"noteIndex":0},"schema":"https://github.com/citation-style-language/schema/raw/master/csl-citation.json"}</w:instrText>
      </w:r>
      <w:r w:rsidR="00322B78" w:rsidRPr="00CB10DF">
        <w:rPr>
          <w:rFonts w:ascii="Times New Roman" w:eastAsia="Times New Roman" w:hAnsi="Times New Roman" w:cs="Times New Roman"/>
          <w:color w:val="000000" w:themeColor="text1"/>
          <w:highlight w:val="white"/>
        </w:rPr>
        <w:fldChar w:fldCharType="separate"/>
      </w:r>
      <w:r w:rsidR="00322B78" w:rsidRPr="00CB10DF">
        <w:rPr>
          <w:rFonts w:ascii="Times New Roman" w:eastAsia="Times New Roman" w:hAnsi="Times New Roman" w:cs="Times New Roman"/>
          <w:noProof/>
          <w:color w:val="000000" w:themeColor="text1"/>
          <w:highlight w:val="white"/>
        </w:rPr>
        <w:t>(Krogmann &amp; Holstein, 2010</w:t>
      </w:r>
      <w:r w:rsidRPr="00CB10DF">
        <w:rPr>
          <w:rFonts w:ascii="Times New Roman" w:eastAsia="Times New Roman" w:hAnsi="Times New Roman" w:cs="Times New Roman"/>
          <w:noProof/>
          <w:color w:val="000000" w:themeColor="text1"/>
          <w:highlight w:val="white"/>
        </w:rPr>
        <w:t>,</w:t>
      </w:r>
      <w:r w:rsidR="00322B78" w:rsidRPr="00CB10DF">
        <w:rPr>
          <w:rFonts w:ascii="Times New Roman" w:eastAsia="Times New Roman" w:hAnsi="Times New Roman" w:cs="Times New Roman"/>
          <w:color w:val="000000" w:themeColor="text1"/>
          <w:highlight w:val="white"/>
        </w:rPr>
        <w:fldChar w:fldCharType="end"/>
      </w:r>
      <w:r w:rsidRPr="00CB10DF">
        <w:rPr>
          <w:rFonts w:ascii="Times New Roman" w:eastAsia="Times New Roman" w:hAnsi="Times New Roman" w:cs="Times New Roman"/>
          <w:color w:val="000000" w:themeColor="text1"/>
        </w:rPr>
        <w:t xml:space="preserve"> </w:t>
      </w:r>
      <w:r w:rsidRPr="00CB10DF">
        <w:rPr>
          <w:rFonts w:ascii="Times New Roman" w:eastAsia="Times New Roman" w:hAnsi="Times New Roman" w:cs="Times New Roman"/>
          <w:color w:val="000000" w:themeColor="text1"/>
        </w:rPr>
        <w:fldChar w:fldCharType="begin" w:fldLock="1"/>
      </w:r>
      <w:r w:rsidR="00117D84" w:rsidRPr="00CB10DF">
        <w:rPr>
          <w:rFonts w:ascii="Times New Roman" w:eastAsia="Times New Roman" w:hAnsi="Times New Roman" w:cs="Times New Roman"/>
          <w:color w:val="000000" w:themeColor="text1"/>
        </w:rPr>
        <w:instrText>ADDIN CSL_CITATION {"citationItems":[{"id":"ITEM-1","itemData":{"DOI":"10.1653/024.094.0433","ISSN":"0015-4040","abstract":"Body mass is an important, necessary parameter in life history studies. For insects, body mass is hard to obtain for large samples of species that may be distributed worldwide, mak- ing comparative studies difficult. Dry weights of museum specimens would be convenient, but specimens are generally inseparable from their pin. Here, I provide curves that allow re- searchers to estimate the weight of pins based on an empirically-derived model of length, di- ameter, material and head type ( r 2 = 0.99). Thus, pin weight can be subtracted from total specimen weight, allowing estimation of dry specimen weight. I assess inaccuracy of the method due to uncertainty in pin weight, and discard specimens where this made the dry weight estimate unreliable. This occurred primarily in insects weighing less than twice the 95% confidence interval for the weight of the pin; as a rule of thumb, I show that this method is unsuitable for insects below 11mm long. Among remaining specimens, dry weights agreed well with reported weights of oven-dried conspecifics, but were slightly heavier than pre- dicted based solely on length—possibly indicating shrinkage in length over time. Age had no effect upon specimen weight. This is a quick and easy method for determining insect dry weight with relatively small loss of accuracy, and should greatly facilitate comparative stud- ies of insect life history that require body mass as a covariate.","author":[{"dropping-particle":"","family":"Gilbert","given":"James D. J.","non-dropping-particle":"","parse-names":false,"suffix":""}],"container-title":"Florida Entomologist","id":"ITEM-1","issued":{"date-parts":[["2011"]]},"title":"Insect Dry Weight: Shortcut to a Difficult Quantity using Museum Specimens","type":"article-journal"},"uris":["http://www.mendeley.com/documents/?uuid=59e9434d-22e3-4270-839d-b63af116727b"]}],"mendeley":{"formattedCitation":"(Gilbert, 2011)","manualFormatting":"Gilbert, 2011)","plainTextFormattedCitation":"(Gilbert, 2011)","previouslyFormattedCitation":"(Gilbert, 2011)"},"properties":{"noteIndex":0},"schema":"https://github.com/citation-style-language/schema/raw/master/csl-citation.json"}</w:instrText>
      </w:r>
      <w:r w:rsidRPr="00CB10DF">
        <w:rPr>
          <w:rFonts w:ascii="Times New Roman" w:eastAsia="Times New Roman" w:hAnsi="Times New Roman" w:cs="Times New Roman"/>
          <w:color w:val="000000" w:themeColor="text1"/>
        </w:rPr>
        <w:fldChar w:fldCharType="separate"/>
      </w:r>
      <w:r w:rsidRPr="00CB10DF">
        <w:rPr>
          <w:rFonts w:ascii="Times New Roman" w:eastAsia="Times New Roman" w:hAnsi="Times New Roman" w:cs="Times New Roman"/>
          <w:noProof/>
          <w:color w:val="000000" w:themeColor="text1"/>
        </w:rPr>
        <w:t>Gilbert, 2011)</w:t>
      </w:r>
      <w:r w:rsidRPr="00CB10DF">
        <w:rPr>
          <w:rFonts w:ascii="Times New Roman" w:eastAsia="Times New Roman" w:hAnsi="Times New Roman" w:cs="Times New Roman"/>
          <w:color w:val="000000" w:themeColor="text1"/>
        </w:rPr>
        <w:fldChar w:fldCharType="end"/>
      </w:r>
      <w:r w:rsidR="00322B78" w:rsidRPr="00CB10DF">
        <w:rPr>
          <w:rFonts w:ascii="Times New Roman" w:eastAsia="Times New Roman" w:hAnsi="Times New Roman" w:cs="Times New Roman"/>
          <w:color w:val="000000" w:themeColor="text1"/>
          <w:highlight w:val="white"/>
        </w:rPr>
        <w:t>.</w:t>
      </w:r>
      <w:r w:rsidR="00FE384D" w:rsidRPr="00CB10DF">
        <w:rPr>
          <w:rFonts w:ascii="Times New Roman" w:eastAsia="Times New Roman" w:hAnsi="Times New Roman" w:cs="Times New Roman"/>
          <w:color w:val="000000" w:themeColor="text1"/>
          <w:highlight w:val="white"/>
        </w:rPr>
        <w:t xml:space="preserve"> </w:t>
      </w:r>
    </w:p>
    <w:p w14:paraId="32FC18A3" w14:textId="5A6552E4" w:rsidR="00FE384D" w:rsidRPr="00CB10DF" w:rsidRDefault="00FE384D" w:rsidP="00FE384D">
      <w:pPr>
        <w:spacing w:before="240" w:after="240" w:line="480" w:lineRule="auto"/>
        <w:jc w:val="both"/>
        <w:rPr>
          <w:rFonts w:ascii="Times New Roman" w:eastAsia="Times New Roman" w:hAnsi="Times New Roman" w:cs="Times New Roman"/>
          <w:color w:val="000000" w:themeColor="text1"/>
        </w:rPr>
      </w:pPr>
      <w:r w:rsidRPr="00CB10DF">
        <w:rPr>
          <w:rFonts w:ascii="Times New Roman" w:eastAsia="Times New Roman" w:hAnsi="Times New Roman" w:cs="Times New Roman"/>
          <w:color w:val="000000" w:themeColor="text1"/>
        </w:rPr>
        <w:lastRenderedPageBreak/>
        <w:t xml:space="preserve">All specimens were imaged in a standardized template alongside specimen label(s), scale bar, and a </w:t>
      </w:r>
      <w:proofErr w:type="spellStart"/>
      <w:r w:rsidRPr="00CB10DF">
        <w:rPr>
          <w:rFonts w:ascii="Times New Roman" w:eastAsia="Times New Roman" w:hAnsi="Times New Roman" w:cs="Times New Roman"/>
          <w:color w:val="000000" w:themeColor="text1"/>
        </w:rPr>
        <w:t>colour</w:t>
      </w:r>
      <w:proofErr w:type="spellEnd"/>
      <w:r w:rsidRPr="00CB10DF">
        <w:rPr>
          <w:rFonts w:ascii="Times New Roman" w:eastAsia="Times New Roman" w:hAnsi="Times New Roman" w:cs="Times New Roman"/>
          <w:color w:val="000000" w:themeColor="text1"/>
        </w:rPr>
        <w:t xml:space="preserve"> checker (Figure S1 in appendix). Wing length was obtained by measuring the distance between the base of the leading edge of the wing and the distal end of the first radial anterior vein (R1) of the right-hind wings of each specimen (Figure S1 in appendix). Collection location and date were manually extracted from specimen labels.</w:t>
      </w:r>
    </w:p>
    <w:p w14:paraId="0C49F491" w14:textId="6241B1C9" w:rsidR="00FE384D" w:rsidRPr="00CB10DF" w:rsidRDefault="00FE384D" w:rsidP="00FE384D">
      <w:pPr>
        <w:spacing w:before="240" w:after="240" w:line="480" w:lineRule="auto"/>
        <w:jc w:val="both"/>
        <w:rPr>
          <w:rFonts w:ascii="Times New Roman" w:eastAsia="Times New Roman" w:hAnsi="Times New Roman" w:cs="Times New Roman"/>
          <w:color w:val="000000" w:themeColor="text1"/>
        </w:rPr>
      </w:pPr>
      <w:r w:rsidRPr="00CB10DF">
        <w:rPr>
          <w:rFonts w:ascii="Times New Roman" w:eastAsia="Times New Roman" w:hAnsi="Times New Roman" w:cs="Times New Roman"/>
          <w:color w:val="000000" w:themeColor="text1"/>
        </w:rPr>
        <w:t>The regional air monthly temperature time-series data are derived from the UK Meteorological Office (</w:t>
      </w:r>
      <w:hyperlink r:id="rId10">
        <w:r w:rsidRPr="00CB10DF">
          <w:rPr>
            <w:rFonts w:ascii="Times New Roman" w:eastAsia="Times New Roman" w:hAnsi="Times New Roman" w:cs="Times New Roman"/>
            <w:color w:val="000000" w:themeColor="text1"/>
          </w:rPr>
          <w:t>www.metoffice.gov.uk/climate/uk/</w:t>
        </w:r>
      </w:hyperlink>
      <w:r w:rsidRPr="00CB10DF">
        <w:rPr>
          <w:rFonts w:ascii="Times New Roman" w:eastAsia="Times New Roman" w:hAnsi="Times New Roman" w:cs="Times New Roman"/>
          <w:color w:val="000000" w:themeColor="text1"/>
        </w:rPr>
        <w:t xml:space="preserve"> summaries/datasets) and were used to calculate climate variables for analyses. Although Odonata larvae are aquatic and not directly exposed to air temperatures during development, previous studies indicate a linear relationship between air and stream water temperature </w:t>
      </w:r>
      <w:r w:rsidR="004C5AAD" w:rsidRPr="00CB10DF">
        <w:rPr>
          <w:rFonts w:ascii="Times New Roman" w:eastAsia="Times New Roman" w:hAnsi="Times New Roman" w:cs="Times New Roman"/>
          <w:color w:val="000000" w:themeColor="text1"/>
        </w:rPr>
        <w:fldChar w:fldCharType="begin" w:fldLock="1"/>
      </w:r>
      <w:r w:rsidR="004C5AAD" w:rsidRPr="00CB10DF">
        <w:rPr>
          <w:rFonts w:ascii="Times New Roman" w:eastAsia="Times New Roman" w:hAnsi="Times New Roman" w:cs="Times New Roman"/>
          <w:color w:val="000000" w:themeColor="text1"/>
        </w:rPr>
        <w:instrText>ADDIN CSL_CITATION {"citationItems":[{"id":"ITEM-1","itemData":{"DOI":"10.1061/(ASCE)1084-0699(2000)5:3(317)","ISSN":"10840699","abstract":"The linear correlation of air temperatures and stream temperatures was investigated in this paper. Time lag, time scale, and mesoscale air temperature variability influence the magnitude of the regression coefficients of the linear model, as well as the strength of correlation. Monthly and weekly time scales were found to produce the best correlations. Streams affected by impoundments, reservoirs, and/or artificial heat inputs generally limit the air/stream interaction and produce poor correlations. Ground-water inflows, stream shading, and wind sheltering limit the influence of air temperature on stream temperature thereby reducing the slope of the relationship, but do not typically affect the strength of correlation. Air/stream temperature correlations from Minnesota remained linear throughout the extent of air temperatures experienced, whereas air/stream temperature correlations from Oklahoma departed from linearity as air temperatures exceeded approximately 25°C due to evaporative cooling. Linear air/stream temperature correlations will overestimate stream temperature at extreme air temperatures.","author":[{"dropping-particle":"","family":"Erickson","given":"Troy R.","non-dropping-particle":"","parse-names":false,"suffix":""},{"dropping-particle":"","family":"Stefan","given":"Heinz G.","non-dropping-particle":"","parse-names":false,"suffix":""}],"container-title":"Journal of Hydrologic Engineering","id":"ITEM-1","issued":{"date-parts":[["2000"]]},"title":"Linear air/water temperature correlations for streams during open water periods","type":"article-journal"},"uris":["http://www.mendeley.com/documents/?uuid=4ef82da6-4590-49d9-b853-95d9be32e6ee"]}],"mendeley":{"formattedCitation":"(Erickson &amp; Stefan, 2000)","plainTextFormattedCitation":"(Erickson &amp; Stefan, 2000)","previouslyFormattedCitation":"(Erickson &amp; Stefan, 2000)"},"properties":{"noteIndex":0},"schema":"https://github.com/citation-style-language/schema/raw/master/csl-citation.json"}</w:instrText>
      </w:r>
      <w:r w:rsidR="004C5AAD" w:rsidRPr="00CB10DF">
        <w:rPr>
          <w:rFonts w:ascii="Times New Roman" w:eastAsia="Times New Roman" w:hAnsi="Times New Roman" w:cs="Times New Roman"/>
          <w:color w:val="000000" w:themeColor="text1"/>
        </w:rPr>
        <w:fldChar w:fldCharType="separate"/>
      </w:r>
      <w:r w:rsidR="004C5AAD" w:rsidRPr="00CB10DF">
        <w:rPr>
          <w:rFonts w:ascii="Times New Roman" w:eastAsia="Times New Roman" w:hAnsi="Times New Roman" w:cs="Times New Roman"/>
          <w:noProof/>
          <w:color w:val="000000" w:themeColor="text1"/>
        </w:rPr>
        <w:t>(Erickson &amp; Stefan, 2000)</w:t>
      </w:r>
      <w:r w:rsidR="004C5AAD" w:rsidRPr="00CB10DF">
        <w:rPr>
          <w:rFonts w:ascii="Times New Roman" w:eastAsia="Times New Roman" w:hAnsi="Times New Roman" w:cs="Times New Roman"/>
          <w:color w:val="000000" w:themeColor="text1"/>
        </w:rPr>
        <w:fldChar w:fldCharType="end"/>
      </w:r>
      <w:r w:rsidRPr="00CB10DF">
        <w:rPr>
          <w:rFonts w:ascii="Times New Roman" w:eastAsia="Times New Roman" w:hAnsi="Times New Roman" w:cs="Times New Roman"/>
          <w:color w:val="000000" w:themeColor="text1"/>
        </w:rPr>
        <w:t xml:space="preserve"> and air temperature and lake water temperature in the upper </w:t>
      </w:r>
      <w:proofErr w:type="spellStart"/>
      <w:r w:rsidRPr="00CB10DF">
        <w:rPr>
          <w:rFonts w:ascii="Times New Roman" w:eastAsia="Times New Roman" w:hAnsi="Times New Roman" w:cs="Times New Roman"/>
          <w:color w:val="000000" w:themeColor="text1"/>
        </w:rPr>
        <w:t>metre</w:t>
      </w:r>
      <w:proofErr w:type="spellEnd"/>
      <w:r w:rsidRPr="00CB10DF">
        <w:rPr>
          <w:rFonts w:ascii="Times New Roman" w:eastAsia="Times New Roman" w:hAnsi="Times New Roman" w:cs="Times New Roman"/>
          <w:color w:val="000000" w:themeColor="text1"/>
        </w:rPr>
        <w:t xml:space="preserve"> of the water column </w:t>
      </w:r>
      <w:r w:rsidR="004C5AAD" w:rsidRPr="00CB10DF">
        <w:rPr>
          <w:rFonts w:ascii="Times New Roman" w:eastAsia="Times New Roman" w:hAnsi="Times New Roman" w:cs="Times New Roman"/>
          <w:color w:val="000000" w:themeColor="text1"/>
        </w:rPr>
        <w:fldChar w:fldCharType="begin" w:fldLock="1"/>
      </w:r>
      <w:r w:rsidR="004C5AAD" w:rsidRPr="00CB10DF">
        <w:rPr>
          <w:rFonts w:ascii="Times New Roman" w:eastAsia="Times New Roman" w:hAnsi="Times New Roman" w:cs="Times New Roman"/>
          <w:color w:val="000000" w:themeColor="text1"/>
        </w:rPr>
        <w:instrText>ADDIN CSL_CITATION {"citationItems":[{"id":"ITEM-1","itemData":{"DOI":"10.1023/A:1007904817619","ISSN":"09212728","abstract":"In paleeolimnological studies, inference models based on aquatic organisms are frequently used to estimate summer lake surface water temperatures. However, the calibration of such models is often unsatisfactory because of the sparseness of measured water temperature data. This study investigates the feasibility of using air temperature data, usually available at much higher resolution, to calibrate such models by comparing regional air temperatures with surface water temperatures in 17 lakes on the Swiss Plateau. Results show that altitude-corrected air temperatures are sufficiently uniform over the entire Swiss Plateau to allow local air temperatures at any particular lake site to be adequately estimated from standard composite air temperature series. In early summer, day-to-day variability in air temperature is reflected extremely well in the temperature of the uppermost metre of the water column, while monthly mean air temperatures correspond well, with respect to both absolute value and interannual variations, with water temperatures in most of the epilimnion. Standardised altitude-corrected air temperature series may therefore be a useful alternative to surface water temperatures for the purposes of calibrating lake temperature inference models. In Northern Hemisphere temperate regions, mean air and water temperatures are likely to correspond most closely in July, suggesting that calibration and reconstruction efforts be concentrated on this month.","author":[{"dropping-particle":"","family":"Livingstone","given":"David M.","non-dropping-particle":"","parse-names":false,"suffix":""},{"dropping-particle":"","family":"Lotter","given":"André F.","non-dropping-particle":"","parse-names":false,"suffix":""}],"container-title":"Journal of Paleolimnology","id":"ITEM-1","issued":{"date-parts":[["1998"]]},"title":"The relationship between air and water temperatures in lakes of the Swiss Plateau: A case study with palaeolimnological implications","type":"article-journal"},"uris":["http://www.mendeley.com/documents/?uuid=011aa732-2e09-4c61-98e4-ee3b3ac7f2cb"]}],"mendeley":{"formattedCitation":"(Livingstone &amp; Lotter, 1998)","plainTextFormattedCitation":"(Livingstone &amp; Lotter, 1998)","previouslyFormattedCitation":"(Livingstone &amp; Lotter, 1998)"},"properties":{"noteIndex":0},"schema":"https://github.com/citation-style-language/schema/raw/master/csl-citation.json"}</w:instrText>
      </w:r>
      <w:r w:rsidR="004C5AAD" w:rsidRPr="00CB10DF">
        <w:rPr>
          <w:rFonts w:ascii="Times New Roman" w:eastAsia="Times New Roman" w:hAnsi="Times New Roman" w:cs="Times New Roman"/>
          <w:color w:val="000000" w:themeColor="text1"/>
        </w:rPr>
        <w:fldChar w:fldCharType="separate"/>
      </w:r>
      <w:r w:rsidR="004C5AAD" w:rsidRPr="00CB10DF">
        <w:rPr>
          <w:rFonts w:ascii="Times New Roman" w:eastAsia="Times New Roman" w:hAnsi="Times New Roman" w:cs="Times New Roman"/>
          <w:noProof/>
          <w:color w:val="000000" w:themeColor="text1"/>
        </w:rPr>
        <w:t>(Livingstone &amp; Lotter, 1998)</w:t>
      </w:r>
      <w:r w:rsidR="004C5AAD" w:rsidRPr="00CB10DF">
        <w:rPr>
          <w:rFonts w:ascii="Times New Roman" w:eastAsia="Times New Roman" w:hAnsi="Times New Roman" w:cs="Times New Roman"/>
          <w:color w:val="000000" w:themeColor="text1"/>
        </w:rPr>
        <w:fldChar w:fldCharType="end"/>
      </w:r>
      <w:r w:rsidRPr="00CB10DF">
        <w:rPr>
          <w:rFonts w:ascii="Times New Roman" w:eastAsia="Times New Roman" w:hAnsi="Times New Roman" w:cs="Times New Roman"/>
          <w:color w:val="000000" w:themeColor="text1"/>
        </w:rPr>
        <w:t>. Most of the Odonata species in our study breed in small ponds and lakes. We used mean regional temperature, which compensates for any small variations in water temperature during larval development.</w:t>
      </w:r>
    </w:p>
    <w:p w14:paraId="0C381FDE" w14:textId="77777777" w:rsidR="00FE384D" w:rsidRPr="00CB10DF" w:rsidRDefault="00FE384D" w:rsidP="00FE384D">
      <w:pPr>
        <w:spacing w:before="240" w:after="240" w:line="480" w:lineRule="auto"/>
        <w:jc w:val="both"/>
        <w:rPr>
          <w:rFonts w:ascii="Times New Roman" w:eastAsia="Times New Roman" w:hAnsi="Times New Roman" w:cs="Times New Roman"/>
          <w:color w:val="000000" w:themeColor="text1"/>
        </w:rPr>
      </w:pPr>
      <w:r w:rsidRPr="00CB10DF">
        <w:rPr>
          <w:rFonts w:ascii="Times New Roman" w:eastAsia="Times New Roman" w:hAnsi="Times New Roman" w:cs="Times New Roman"/>
          <w:color w:val="000000" w:themeColor="text1"/>
        </w:rPr>
        <w:t xml:space="preserve">Three sets of analysis were performed in R (R Core Team, 2014): 1) a stepwise regression analysis of each species to investigate body size responses to mean seasonal temperature during their larval growing periods; 2) an investigation of whether body size of species has an effect on sensitivity to warming temperature (interspecific variation); and 3) a linear-mixed effects model to investigate the influence of random factors, </w:t>
      </w:r>
      <w:r w:rsidRPr="00CB10DF">
        <w:rPr>
          <w:rFonts w:ascii="Times New Roman" w:eastAsia="Times New Roman" w:hAnsi="Times New Roman" w:cs="Times New Roman"/>
          <w:color w:val="000000" w:themeColor="text1"/>
        </w:rPr>
        <w:lastRenderedPageBreak/>
        <w:t>including suborder, life-history type, and sex on temperature size responses across species.</w:t>
      </w:r>
    </w:p>
    <w:p w14:paraId="602B3C2C" w14:textId="77777777" w:rsidR="00FE384D" w:rsidRPr="00CB10DF" w:rsidRDefault="00FE384D" w:rsidP="00FE384D">
      <w:pPr>
        <w:spacing w:before="240" w:after="240" w:line="480" w:lineRule="auto"/>
        <w:jc w:val="both"/>
        <w:rPr>
          <w:rFonts w:ascii="Times New Roman" w:eastAsia="Times New Roman" w:hAnsi="Times New Roman" w:cs="Times New Roman"/>
          <w:i/>
          <w:color w:val="000000" w:themeColor="text1"/>
        </w:rPr>
      </w:pPr>
      <w:r w:rsidRPr="00CB10DF">
        <w:rPr>
          <w:rFonts w:ascii="Times New Roman" w:eastAsia="Times New Roman" w:hAnsi="Times New Roman" w:cs="Times New Roman"/>
          <w:i/>
          <w:color w:val="000000" w:themeColor="text1"/>
        </w:rPr>
        <w:t>Individual species analyses</w:t>
      </w:r>
    </w:p>
    <w:p w14:paraId="75B04A7C" w14:textId="17250B63" w:rsidR="00FE384D" w:rsidRPr="00CB10DF" w:rsidRDefault="00FE384D" w:rsidP="00FE384D">
      <w:pPr>
        <w:spacing w:before="240" w:after="240" w:line="480" w:lineRule="auto"/>
        <w:jc w:val="both"/>
        <w:rPr>
          <w:rFonts w:ascii="Times New Roman" w:eastAsia="Times New Roman" w:hAnsi="Times New Roman" w:cs="Times New Roman"/>
          <w:color w:val="000000" w:themeColor="text1"/>
        </w:rPr>
      </w:pPr>
      <w:r w:rsidRPr="00CB10DF">
        <w:rPr>
          <w:rFonts w:ascii="Times New Roman" w:eastAsia="Times New Roman" w:hAnsi="Times New Roman" w:cs="Times New Roman"/>
          <w:color w:val="000000" w:themeColor="text1"/>
        </w:rPr>
        <w:t xml:space="preserve">Previous work found that species with different life histories (e.g. spring and summer species) or voltinism type can affect phenological responses to warming temperature </w:t>
      </w:r>
      <w:r w:rsidR="004C5AAD" w:rsidRPr="00CB10DF">
        <w:rPr>
          <w:rFonts w:ascii="Times New Roman" w:eastAsia="Times New Roman" w:hAnsi="Times New Roman" w:cs="Times New Roman"/>
          <w:color w:val="000000" w:themeColor="text1"/>
        </w:rPr>
        <w:fldChar w:fldCharType="begin" w:fldLock="1"/>
      </w:r>
      <w:r w:rsidR="00117D84" w:rsidRPr="00CB10DF">
        <w:rPr>
          <w:rFonts w:ascii="Times New Roman" w:eastAsia="Times New Roman" w:hAnsi="Times New Roman" w:cs="Times New Roman"/>
          <w:color w:val="000000" w:themeColor="text1"/>
        </w:rPr>
        <w:instrText>ADDIN CSL_CITATION {"citationItems":[{"id":"ITEM-1","itemData":{"DOI":"10.1111/j.1365-2486.2007.01318.x","ISBN":"1365-2486","ISSN":"13541013","PMID":"474","abstract":"Responses of biota to climate change take a number of forms including distributional shifts, behavioural changes and life history changes. This study examined an extensive set of biological records to investigate changes in the timing of life history transitions (specifically emergence) in British Odonata between 1960 and 2004. The results show that there has been a significant, consistent advance in phenology in the taxon as a whole over the period of warming that is mediated by life history traits. British odonates significantly advanced the leading edge (first quartile date) of the flight period by a mean of 1.51 +/- 0.060 (SEM, n=17) days per decade or 3.08 +/- 1.16 (SEM, n=17) days per degree rise in temperature when phylogeny is controlled for. This study represents the first review of changes in odonate phenology in relation to climate change. The results suggest that the damped temperature oscillations experienced by aquatic organisms compared with terrestrial organisms are sufficient to evoke phenological responses similar to those of purely terrestrial taxa","author":[{"dropping-particle":"","family":"Hassall","given":"Chirstopher","non-dropping-particle":"","parse-names":false,"suffix":""},{"dropping-particle":"","family":"Thompson","given":"David J.","non-dropping-particle":"","parse-names":false,"suffix":""},{"dropping-particle":"","family":"French","given":"Graham C.","non-dropping-particle":"","parse-names":false,"suffix":""},{"dropping-particle":"","family":"Harvey","given":"Ian F.","non-dropping-particle":"","parse-names":false,"suffix":""}],"container-title":"Global Change Biology","id":"ITEM-1","issue":"5","issued":{"date-parts":[["2007"]]},"page":"933-941","title":"Historical changes in the phenology of British Odonata are related to climate","type":"article","volume":"13"},"uris":["http://www.mendeley.com/documents/?uuid=8977d72c-319a-4314-8758-3dac91fd139a"]}],"mendeley":{"formattedCitation":"(Chirstopher Hassall et al., 2007)","manualFormatting":"(Hassall et al., 2007)","plainTextFormattedCitation":"(Chirstopher Hassall et al., 2007)","previouslyFormattedCitation":"(Chirstopher Hassall et al., 2007)"},"properties":{"noteIndex":0},"schema":"https://github.com/citation-style-language/schema/raw/master/csl-citation.json"}</w:instrText>
      </w:r>
      <w:r w:rsidR="004C5AAD" w:rsidRPr="00CB10DF">
        <w:rPr>
          <w:rFonts w:ascii="Times New Roman" w:eastAsia="Times New Roman" w:hAnsi="Times New Roman" w:cs="Times New Roman"/>
          <w:color w:val="000000" w:themeColor="text1"/>
        </w:rPr>
        <w:fldChar w:fldCharType="separate"/>
      </w:r>
      <w:r w:rsidR="004C5AAD" w:rsidRPr="00CB10DF">
        <w:rPr>
          <w:rFonts w:ascii="Times New Roman" w:eastAsia="Times New Roman" w:hAnsi="Times New Roman" w:cs="Times New Roman"/>
          <w:noProof/>
          <w:color w:val="000000" w:themeColor="text1"/>
        </w:rPr>
        <w:t>(Hassall et al., 2007)</w:t>
      </w:r>
      <w:r w:rsidR="004C5AAD" w:rsidRPr="00CB10DF">
        <w:rPr>
          <w:rFonts w:ascii="Times New Roman" w:eastAsia="Times New Roman" w:hAnsi="Times New Roman" w:cs="Times New Roman"/>
          <w:color w:val="000000" w:themeColor="text1"/>
        </w:rPr>
        <w:fldChar w:fldCharType="end"/>
      </w:r>
      <w:r w:rsidRPr="00CB10DF">
        <w:rPr>
          <w:rFonts w:ascii="Times New Roman" w:eastAsia="Times New Roman" w:hAnsi="Times New Roman" w:cs="Times New Roman"/>
          <w:color w:val="000000" w:themeColor="text1"/>
        </w:rPr>
        <w:t xml:space="preserve">. Thus, mean seasonal temperature of the larval period was calculated for each species based on their voltinism type and life cycle characteristics as defined by </w:t>
      </w:r>
      <w:r w:rsidR="004C5AAD" w:rsidRPr="00CB10DF">
        <w:rPr>
          <w:rFonts w:ascii="Times New Roman" w:eastAsia="Times New Roman" w:hAnsi="Times New Roman" w:cs="Times New Roman"/>
          <w:color w:val="000000" w:themeColor="text1"/>
        </w:rPr>
        <w:fldChar w:fldCharType="begin" w:fldLock="1"/>
      </w:r>
      <w:r w:rsidR="004C5AAD" w:rsidRPr="00CB10DF">
        <w:rPr>
          <w:rFonts w:ascii="Times New Roman" w:eastAsia="Times New Roman" w:hAnsi="Times New Roman" w:cs="Times New Roman"/>
          <w:color w:val="000000" w:themeColor="text1"/>
        </w:rPr>
        <w:instrText>ADDIN CSL_CITATION {"citationItems":[{"id":"ITEM-1","itemData":{"DOI":"10.1080/13887890.2006.9748261","ISBN":"1388-7890","ISSN":"21596719","abstract":"We classified 542 records of voltinism for 275 species and subspecies of Odonata according to three variables: geographical latitude, systematic position and habitat type. We sorted records according to voltinism – categories being three or more generations per year, two generations per year, one generation per year, one gene- ration in two years and one generation in three or more years. We sought to cor- relate the voltinism of each record with latitude of the study site, thus demonstrating an overall negative correlation between voltinism and latitude. After allowing for phylogenetic similarity a negative correlation remains, although it decreases in strength after removal of taxonomic correlates, mainly between family and genus levels. A negative correlation exists at the species level within most families, with the exception of Lestidae. In genera for which we lacked data for latitudes 0-31°N/S no significant correlation between latitude and voltinism exists. In tem- porary waters most species complete at least one generation per year; most species in lentic perennial waters complete one generation or fewer; and the majority of species in lotic waters complete half a generation or less. We discuss the roles of exogenous and endogenous factors in influencing voltinism and identify those that may be affecting the correlation that the data reveal. We suggest projects that could improve understanding of voltinism in the context of seasonal regulation and the main types of odonate life cycle so far recognised. Introduction","author":[{"dropping-particle":"","family":"Corbet","given":"Philip S.","non-dropping-particle":"","parse-names":false,"suffix":""},{"dropping-particle":"","family":"Suhling","given":"Frank","non-dropping-particle":"","parse-names":false,"suffix":""},{"dropping-particle":"","family":"Soendgerath","given":"Dagmar","non-dropping-particle":"","parse-names":false,"suffix":""}],"container-title":"International Journal of Odonatology","id":"ITEM-1","issue":"1","issued":{"date-parts":[["2006"]]},"page":"1-44","title":"Voltinism of odonata: A review","type":"article-journal","volume":"9"},"uris":["http://www.mendeley.com/documents/?uuid=ec872455-88c6-4f2b-8295-1402b0a42304"]}],"mendeley":{"formattedCitation":"(Corbet et al., 2006)","manualFormatting":"Corbet et al. (2006)","plainTextFormattedCitation":"(Corbet et al., 2006)","previouslyFormattedCitation":"(Corbet et al., 2006)"},"properties":{"noteIndex":0},"schema":"https://github.com/citation-style-language/schema/raw/master/csl-citation.json"}</w:instrText>
      </w:r>
      <w:r w:rsidR="004C5AAD" w:rsidRPr="00CB10DF">
        <w:rPr>
          <w:rFonts w:ascii="Times New Roman" w:eastAsia="Times New Roman" w:hAnsi="Times New Roman" w:cs="Times New Roman"/>
          <w:color w:val="000000" w:themeColor="text1"/>
        </w:rPr>
        <w:fldChar w:fldCharType="separate"/>
      </w:r>
      <w:r w:rsidR="004C5AAD" w:rsidRPr="00CB10DF">
        <w:rPr>
          <w:rFonts w:ascii="Times New Roman" w:eastAsia="Times New Roman" w:hAnsi="Times New Roman" w:cs="Times New Roman"/>
          <w:noProof/>
          <w:color w:val="000000" w:themeColor="text1"/>
        </w:rPr>
        <w:t>Corbet et al. (2006)</w:t>
      </w:r>
      <w:r w:rsidR="004C5AAD" w:rsidRPr="00CB10DF">
        <w:rPr>
          <w:rFonts w:ascii="Times New Roman" w:eastAsia="Times New Roman" w:hAnsi="Times New Roman" w:cs="Times New Roman"/>
          <w:color w:val="000000" w:themeColor="text1"/>
        </w:rPr>
        <w:fldChar w:fldCharType="end"/>
      </w:r>
      <w:r w:rsidRPr="00CB10DF">
        <w:rPr>
          <w:rFonts w:ascii="Times New Roman" w:eastAsia="Times New Roman" w:hAnsi="Times New Roman" w:cs="Times New Roman"/>
          <w:color w:val="000000" w:themeColor="text1"/>
        </w:rPr>
        <w:t xml:space="preserve"> and used as independent variables (Table 1). Prior to analysis of each species, the Variance Inflation Factor (VIF) was estimated to test the multicollinearity among environmental variables. Variables having </w:t>
      </w:r>
      <w:proofErr w:type="spellStart"/>
      <w:r w:rsidRPr="00CB10DF">
        <w:rPr>
          <w:rFonts w:ascii="Times New Roman" w:eastAsia="Times New Roman" w:hAnsi="Times New Roman" w:cs="Times New Roman"/>
          <w:color w:val="000000" w:themeColor="text1"/>
        </w:rPr>
        <w:t>VIF</w:t>
      </w:r>
      <w:r w:rsidRPr="00CB10DF">
        <w:rPr>
          <w:rFonts w:ascii="Times New Roman" w:eastAsia="Times New Roman" w:hAnsi="Times New Roman" w:cs="Times New Roman"/>
          <w:color w:val="000000" w:themeColor="text1"/>
          <w:vertAlign w:val="subscript"/>
        </w:rPr>
        <w:t>Weight</w:t>
      </w:r>
      <w:proofErr w:type="spellEnd"/>
      <w:r w:rsidRPr="00CB10DF">
        <w:rPr>
          <w:rFonts w:ascii="Times New Roman" w:eastAsia="Times New Roman" w:hAnsi="Times New Roman" w:cs="Times New Roman"/>
          <w:color w:val="000000" w:themeColor="text1"/>
        </w:rPr>
        <w:t xml:space="preserve"> higher than 3 were removed from the models. A multiple linear regression analysis was performed followed by stepwise linear regression in both directions (forward and backward selection) using the </w:t>
      </w:r>
      <w:r w:rsidRPr="00CB10DF">
        <w:rPr>
          <w:rFonts w:ascii="Times New Roman" w:eastAsia="Times New Roman" w:hAnsi="Times New Roman" w:cs="Times New Roman"/>
          <w:i/>
          <w:color w:val="000000" w:themeColor="text1"/>
        </w:rPr>
        <w:t>MASS</w:t>
      </w:r>
      <w:r w:rsidRPr="00CB10DF">
        <w:rPr>
          <w:rFonts w:ascii="Times New Roman" w:eastAsia="Times New Roman" w:hAnsi="Times New Roman" w:cs="Times New Roman"/>
          <w:color w:val="000000" w:themeColor="text1"/>
        </w:rPr>
        <w:t xml:space="preserve"> package in R </w:t>
      </w:r>
      <w:r w:rsidR="004C5AAD" w:rsidRPr="00CB10DF">
        <w:rPr>
          <w:rFonts w:ascii="Times New Roman" w:eastAsia="Times New Roman" w:hAnsi="Times New Roman" w:cs="Times New Roman"/>
          <w:color w:val="000000" w:themeColor="text1"/>
        </w:rPr>
        <w:fldChar w:fldCharType="begin" w:fldLock="1"/>
      </w:r>
      <w:r w:rsidR="004C5AAD" w:rsidRPr="00CB10DF">
        <w:rPr>
          <w:rFonts w:ascii="Times New Roman" w:eastAsia="Times New Roman" w:hAnsi="Times New Roman" w:cs="Times New Roman"/>
          <w:color w:val="000000" w:themeColor="text1"/>
        </w:rPr>
        <w:instrText>ADDIN CSL_CITATION {"citationItems":[{"id":"ITEM-1","itemData":{"DOI":"10.2307/2685660","ISBN":"0387954570","ISSN":"00031305","PMID":"804","abstract":"S-PLUS is a powerful environment for the statistical and graphical analysis of data. It provides the tools to implement many statistical ideas which have been made possible by the widespread availability of workstations having good graphics and computational capabilities. This book is a guide to using S-PLUS to perform statistical analyses and provides both an introduction to the use of S-PLUS and a course in modern statistical methods. S-PLUS is available for both Windows and UNIX workstations, and both versions are covered in depth. The aim of the book is to show how to use S-PLUS as a powerful and graphical data analysis system. Readers are assumed to have a basic grounding in statistics, and so the book in intended for would-be users of S-PLUS and both students and researchers using statistics. Throughout, the emphasis is on presenting practical problems and full analyses of real data sets. Many of the methods discussed are state-of-the-art approaches to topics such as linear, nonlinear, and smooth regression models, tree-based methods, multivariate analysis and pattern recognition, survival analysis, time series and spatial statistics. Throughout, modern techniques such as robust methods, non-parametric smoothing, and bootstrapping are used where appropriate. This third edition is intended for users of S-PLUS 4.5, 5.0, 2000 or later, although S-PLUS 3.3/4 are also considered. The major change from the second edition is coverage of the current versions of S-PLUS. The material has been extensively rewritten using new examples and the latest computationally intensive methods. The companion volume on S Programming will provide an in-depth guide for those writing software in the S language. The authors have written several software libraries that enhance S-PLUS; these and all the datasets used are available on the Internet in versions for Windows and UNIX. There are extensive on-line complements covering advanced material, user-contributed extensions, further exercises, and new features of S-PLUS as they are introduced. Dr. Venables is now Statistician with CSRIO in Queensland, having been at the Department of Statistics, University of Adelaide, for many years previously. He has given many short courses on S-PLUS in Australia, Europe, and the USA. Professor Ripley holds the Chair of Applied Statistics at the University of Oxford, and is the author of four other books on spatial statistics, simulation, pattern recognition, and neural networks.","author":[{"dropping-particle":"","family":"Venables","given":"W N","non-dropping-particle":"","parse-names":false,"suffix":""},{"dropping-particle":"","family":"Ripley","given":"B D","non-dropping-particle":"","parse-names":false,"suffix":""}],"container-title":"World","id":"ITEM-1","issue":"March","issued":{"date-parts":[["2002"]]},"number-of-pages":"86","title":"Modern Applied Statistics with S Fourth edition by","type":"book","volume":"53"},"uris":["http://www.mendeley.com/documents/?uuid=fc03921c-1708-478e-8549-214b6fd46d81"]}],"mendeley":{"formattedCitation":"(Venables &amp; Ripley, 2002)","plainTextFormattedCitation":"(Venables &amp; Ripley, 2002)","previouslyFormattedCitation":"(Venables &amp; Ripley, 2002)"},"properties":{"noteIndex":0},"schema":"https://github.com/citation-style-language/schema/raw/master/csl-citation.json"}</w:instrText>
      </w:r>
      <w:r w:rsidR="004C5AAD" w:rsidRPr="00CB10DF">
        <w:rPr>
          <w:rFonts w:ascii="Times New Roman" w:eastAsia="Times New Roman" w:hAnsi="Times New Roman" w:cs="Times New Roman"/>
          <w:color w:val="000000" w:themeColor="text1"/>
        </w:rPr>
        <w:fldChar w:fldCharType="separate"/>
      </w:r>
      <w:r w:rsidR="004C5AAD" w:rsidRPr="00CB10DF">
        <w:rPr>
          <w:rFonts w:ascii="Times New Roman" w:eastAsia="Times New Roman" w:hAnsi="Times New Roman" w:cs="Times New Roman"/>
          <w:noProof/>
          <w:color w:val="000000" w:themeColor="text1"/>
        </w:rPr>
        <w:t>(Venables &amp; Ripley, 2002)</w:t>
      </w:r>
      <w:r w:rsidR="004C5AAD" w:rsidRPr="00CB10DF">
        <w:rPr>
          <w:rFonts w:ascii="Times New Roman" w:eastAsia="Times New Roman" w:hAnsi="Times New Roman" w:cs="Times New Roman"/>
          <w:color w:val="000000" w:themeColor="text1"/>
        </w:rPr>
        <w:fldChar w:fldCharType="end"/>
      </w:r>
      <w:r w:rsidRPr="00CB10DF">
        <w:rPr>
          <w:rFonts w:ascii="Times New Roman" w:eastAsia="Times New Roman" w:hAnsi="Times New Roman" w:cs="Times New Roman"/>
          <w:color w:val="000000" w:themeColor="text1"/>
        </w:rPr>
        <w:t xml:space="preserve"> to select the best final model with important variables from all possible subset models.</w:t>
      </w:r>
    </w:p>
    <w:p w14:paraId="07266379" w14:textId="6764A5FE" w:rsidR="00FE384D" w:rsidRPr="00CB10DF" w:rsidRDefault="00FE384D" w:rsidP="00FE384D">
      <w:pPr>
        <w:spacing w:before="240" w:after="240" w:line="480" w:lineRule="auto"/>
        <w:jc w:val="both"/>
        <w:rPr>
          <w:rFonts w:ascii="Times New Roman" w:eastAsia="Times New Roman" w:hAnsi="Times New Roman" w:cs="Times New Roman"/>
          <w:color w:val="000000" w:themeColor="text1"/>
        </w:rPr>
      </w:pPr>
      <w:r w:rsidRPr="00CB10DF">
        <w:rPr>
          <w:rFonts w:ascii="Times New Roman" w:eastAsia="Times New Roman" w:hAnsi="Times New Roman" w:cs="Times New Roman"/>
          <w:color w:val="000000" w:themeColor="text1"/>
        </w:rPr>
        <w:t xml:space="preserve">Odonata body size may vary through the season </w:t>
      </w:r>
      <w:r w:rsidR="004C5AAD" w:rsidRPr="00CB10DF">
        <w:rPr>
          <w:rFonts w:ascii="Times New Roman" w:eastAsia="Times New Roman" w:hAnsi="Times New Roman" w:cs="Times New Roman"/>
          <w:color w:val="000000" w:themeColor="text1"/>
        </w:rPr>
        <w:fldChar w:fldCharType="begin" w:fldLock="1"/>
      </w:r>
      <w:r w:rsidR="004C5AAD" w:rsidRPr="00CB10DF">
        <w:rPr>
          <w:rFonts w:ascii="Times New Roman" w:eastAsia="Times New Roman" w:hAnsi="Times New Roman" w:cs="Times New Roman"/>
          <w:color w:val="000000" w:themeColor="text1"/>
        </w:rPr>
        <w:instrText>ADDIN CSL_CITATION {"citationItems":[{"id":"ITEM-1","itemData":{"DOI":"10.2307/1467139","ISSN":"0738-2189","abstract":"Patterns of odonate emergence were examined seasonally in a reservoir receiving thermal effluents. Exuviae were routinely removed from the interior sides of vertebrate predator exclusion cages. Size, distribution, mean emergence date, and synchronization of emergence were determined for nine species at six stations along a thermal gradient (19.7 to 25.6°C). Mean emergence date varied significantly among species; the earlier emerging species were more synchronous. Temperature influenced the distribution of some of the species investigated. Most species had significant differences in emergence date among stations, and significant size differences among stations were found in three of the nine species. With the exception of the two earliest emerging species, the later in the year the emergence date, the smaller the individual emerging.","author":[{"dropping-particle":"","family":"Cothran","given":"Marian L.","non-dropping-particle":"","parse-names":false,"suffix":""},{"dropping-particle":"","family":"Thorp","given":"James H.","non-dropping-particle":"","parse-names":false,"suffix":""}],"container-title":"Freshwater Invertebrate Biology","id":"ITEM-1","issued":{"date-parts":[["2006"]]},"title":"Emergence Patterns and Size Variation of Odonata in a Thermal Reservoir","type":"article-journal"},"uris":["http://www.mendeley.com/documents/?uuid=7fdc0866-aa38-499f-9759-4bc1623470d9"]}],"mendeley":{"formattedCitation":"(Cothran &amp; Thorp, 2006)","manualFormatting":"(Cothran &amp; Thorp, 2006","plainTextFormattedCitation":"(Cothran &amp; Thorp, 2006)","previouslyFormattedCitation":"(Cothran &amp; Thorp, 2006)"},"properties":{"noteIndex":0},"schema":"https://github.com/citation-style-language/schema/raw/master/csl-citation.json"}</w:instrText>
      </w:r>
      <w:r w:rsidR="004C5AAD" w:rsidRPr="00CB10DF">
        <w:rPr>
          <w:rFonts w:ascii="Times New Roman" w:eastAsia="Times New Roman" w:hAnsi="Times New Roman" w:cs="Times New Roman"/>
          <w:color w:val="000000" w:themeColor="text1"/>
        </w:rPr>
        <w:fldChar w:fldCharType="separate"/>
      </w:r>
      <w:r w:rsidR="004C5AAD" w:rsidRPr="00CB10DF">
        <w:rPr>
          <w:rFonts w:ascii="Times New Roman" w:eastAsia="Times New Roman" w:hAnsi="Times New Roman" w:cs="Times New Roman"/>
          <w:noProof/>
          <w:color w:val="000000" w:themeColor="text1"/>
        </w:rPr>
        <w:t>(Cothran &amp; Thorp, 2006</w:t>
      </w:r>
      <w:r w:rsidR="004C5AAD" w:rsidRPr="00CB10DF">
        <w:rPr>
          <w:rFonts w:ascii="Times New Roman" w:eastAsia="Times New Roman" w:hAnsi="Times New Roman" w:cs="Times New Roman"/>
          <w:color w:val="000000" w:themeColor="text1"/>
        </w:rPr>
        <w:fldChar w:fldCharType="end"/>
      </w:r>
      <w:r w:rsidR="004C5AAD" w:rsidRPr="00CB10DF">
        <w:rPr>
          <w:rFonts w:ascii="Times New Roman" w:eastAsia="Times New Roman" w:hAnsi="Times New Roman" w:cs="Times New Roman"/>
          <w:color w:val="000000" w:themeColor="text1"/>
        </w:rPr>
        <w:t xml:space="preserve">, </w:t>
      </w:r>
      <w:r w:rsidR="004C5AAD" w:rsidRPr="00CB10DF">
        <w:rPr>
          <w:rFonts w:ascii="Times New Roman" w:eastAsia="Times New Roman" w:hAnsi="Times New Roman" w:cs="Times New Roman"/>
          <w:color w:val="000000" w:themeColor="text1"/>
        </w:rPr>
        <w:fldChar w:fldCharType="begin" w:fldLock="1"/>
      </w:r>
      <w:r w:rsidR="004C5AAD" w:rsidRPr="00CB10DF">
        <w:rPr>
          <w:rFonts w:ascii="Times New Roman" w:eastAsia="Times New Roman" w:hAnsi="Times New Roman" w:cs="Times New Roman"/>
          <w:color w:val="000000" w:themeColor="text1"/>
        </w:rPr>
        <w:instrText>ADDIN CSL_CITATION {"citationItems":[{"id":"ITEM-1","itemData":{"DOI":"10.1093/aesa/44.2.193","ISSN":"0013-8746","author":[{"dropping-particle":"","family":"Penn","given":"George Henry","non-dropping-particle":"","parse-names":false,"suffix":""}],"container-title":"Annals of the Entomological Society of America","id":"ITEM-1","issued":{"date-parts":[["2015"]]},"title":"Seasonal Variation in the Adult Size of Pachydiplax Longipennis (Burmeister) (Odonata, Libellulidae)1","type":"article-journal"},"uris":["http://www.mendeley.com/documents/?uuid=68e02138-c2fd-4433-8963-5a9d2e56eb64"]}],"mendeley":{"formattedCitation":"(Penn, 2015)","manualFormatting":"Penn, 2015)","plainTextFormattedCitation":"(Penn, 2015)","previouslyFormattedCitation":"(Penn, 2015)"},"properties":{"noteIndex":0},"schema":"https://github.com/citation-style-language/schema/raw/master/csl-citation.json"}</w:instrText>
      </w:r>
      <w:r w:rsidR="004C5AAD" w:rsidRPr="00CB10DF">
        <w:rPr>
          <w:rFonts w:ascii="Times New Roman" w:eastAsia="Times New Roman" w:hAnsi="Times New Roman" w:cs="Times New Roman"/>
          <w:color w:val="000000" w:themeColor="text1"/>
        </w:rPr>
        <w:fldChar w:fldCharType="separate"/>
      </w:r>
      <w:r w:rsidR="004C5AAD" w:rsidRPr="00CB10DF">
        <w:rPr>
          <w:rFonts w:ascii="Times New Roman" w:eastAsia="Times New Roman" w:hAnsi="Times New Roman" w:cs="Times New Roman"/>
          <w:noProof/>
          <w:color w:val="000000" w:themeColor="text1"/>
        </w:rPr>
        <w:t>Penn, 2015)</w:t>
      </w:r>
      <w:r w:rsidR="004C5AAD" w:rsidRPr="00CB10DF">
        <w:rPr>
          <w:rFonts w:ascii="Times New Roman" w:eastAsia="Times New Roman" w:hAnsi="Times New Roman" w:cs="Times New Roman"/>
          <w:color w:val="000000" w:themeColor="text1"/>
        </w:rPr>
        <w:fldChar w:fldCharType="end"/>
      </w:r>
      <w:r w:rsidRPr="00CB10DF">
        <w:rPr>
          <w:rFonts w:ascii="Times New Roman" w:eastAsia="Times New Roman" w:hAnsi="Times New Roman" w:cs="Times New Roman"/>
          <w:color w:val="000000" w:themeColor="text1"/>
        </w:rPr>
        <w:t xml:space="preserve">, thus it is important to consider emergence date as a factor that could affect adult body size. Collection date, which </w:t>
      </w:r>
      <w:r w:rsidR="00706EF8" w:rsidRPr="00CB10DF">
        <w:rPr>
          <w:rFonts w:ascii="Times New Roman" w:eastAsia="Times New Roman" w:hAnsi="Times New Roman" w:cs="Times New Roman"/>
          <w:color w:val="000000" w:themeColor="text1"/>
        </w:rPr>
        <w:t xml:space="preserve">can be considered </w:t>
      </w:r>
      <w:r w:rsidRPr="00CB10DF">
        <w:rPr>
          <w:rFonts w:ascii="Times New Roman" w:eastAsia="Times New Roman" w:hAnsi="Times New Roman" w:cs="Times New Roman"/>
          <w:color w:val="000000" w:themeColor="text1"/>
        </w:rPr>
        <w:t>as a proxy for emergence date</w:t>
      </w:r>
      <w:r w:rsidR="00706EF8" w:rsidRPr="00CB10DF">
        <w:rPr>
          <w:rFonts w:ascii="Times New Roman" w:eastAsia="Times New Roman" w:hAnsi="Times New Roman" w:cs="Times New Roman"/>
          <w:color w:val="000000" w:themeColor="text1"/>
        </w:rPr>
        <w:t xml:space="preserve"> (discussed below)</w:t>
      </w:r>
      <w:r w:rsidRPr="00CB10DF">
        <w:rPr>
          <w:rFonts w:ascii="Times New Roman" w:eastAsia="Times New Roman" w:hAnsi="Times New Roman" w:cs="Times New Roman"/>
          <w:color w:val="000000" w:themeColor="text1"/>
        </w:rPr>
        <w:t xml:space="preserve">, was therefore also included as an independent variable in the individual species analyses </w:t>
      </w:r>
      <w:r w:rsidR="004C5AAD" w:rsidRPr="00CB10DF">
        <w:rPr>
          <w:rFonts w:ascii="Times New Roman" w:eastAsia="Times New Roman" w:hAnsi="Times New Roman" w:cs="Times New Roman"/>
          <w:color w:val="000000" w:themeColor="text1"/>
        </w:rPr>
        <w:fldChar w:fldCharType="begin" w:fldLock="1"/>
      </w:r>
      <w:r w:rsidR="000E218C" w:rsidRPr="00CB10DF">
        <w:rPr>
          <w:rFonts w:ascii="Times New Roman" w:eastAsia="Times New Roman" w:hAnsi="Times New Roman" w:cs="Times New Roman"/>
          <w:color w:val="000000" w:themeColor="text1"/>
        </w:rPr>
        <w:instrText>ADDIN CSL_CITATION {"citationItems":[{"id":"ITEM-1","itemData":{"DOI":"10.1080/13887890.2009.9748332","ISSN":"21596719","abstract":"Size and mass are often uniformly related within individuals and populations, but the relationship may vary in time or space. I asked whether isolated adult dragonfly populations within the same environmental context (climate, physiography, ecoregion) differ in both size and mature mass, and whether earlier emerging dragonflies are both larger and heavier on average. Differences were apparent among locally separated populations (ca 130-160 km apart), with the most northerly populations containing larger and heavier adults on average. Site-level environmental variation probably exerted a larger influence than broad-based ecogeographic rules (e.g., Bergmann's rule) at this fine scale. On average, earlier emerging dragonflies tended to outsize and/or outweigh later emerging dragonflies, a commonly observed pattern in adult odonates and other insect taxa. Size and mass did not produce the same results in every case, suggesting the size-mass relationship within dragonfly species can vary among spatially or seasonally isolated adult populations. © 2009 Taylor  &amp;  Francis Group, LLC.","author":[{"dropping-particle":"","family":"Bried","given":"Jason T.","non-dropping-particle":"","parse-names":false,"suffix":""}],"container-title":"International Journal of Odonatology","id":"ITEM-1","issued":{"date-parts":[["2009"]]},"title":"Location and seasonal differences in adult dragonfly size and mass in northern Mississippi, USA (Odonata: Libellulidae)","type":"article-journal"},"uris":["http://www.mendeley.com/documents/?uuid=0bee1250-2760-4bbb-b10e-9cebe5480427"]}],"mendeley":{"formattedCitation":"(Bried, 2009)","plainTextFormattedCitation":"(Bried, 2009)","previouslyFormattedCitation":"(Bried, 2009)"},"properties":{"noteIndex":0},"schema":"https://github.com/citation-style-language/schema/raw/master/csl-citation.json"}</w:instrText>
      </w:r>
      <w:r w:rsidR="004C5AAD" w:rsidRPr="00CB10DF">
        <w:rPr>
          <w:rFonts w:ascii="Times New Roman" w:eastAsia="Times New Roman" w:hAnsi="Times New Roman" w:cs="Times New Roman"/>
          <w:color w:val="000000" w:themeColor="text1"/>
        </w:rPr>
        <w:fldChar w:fldCharType="separate"/>
      </w:r>
      <w:r w:rsidR="004C5AAD" w:rsidRPr="00CB10DF">
        <w:rPr>
          <w:rFonts w:ascii="Times New Roman" w:eastAsia="Times New Roman" w:hAnsi="Times New Roman" w:cs="Times New Roman"/>
          <w:noProof/>
          <w:color w:val="000000" w:themeColor="text1"/>
        </w:rPr>
        <w:t>(Bried, 2009)</w:t>
      </w:r>
      <w:r w:rsidR="004C5AAD" w:rsidRPr="00CB10DF">
        <w:rPr>
          <w:rFonts w:ascii="Times New Roman" w:eastAsia="Times New Roman" w:hAnsi="Times New Roman" w:cs="Times New Roman"/>
          <w:color w:val="000000" w:themeColor="text1"/>
        </w:rPr>
        <w:fldChar w:fldCharType="end"/>
      </w:r>
      <w:r w:rsidRPr="00CB10DF">
        <w:rPr>
          <w:rFonts w:ascii="Times New Roman" w:eastAsia="Times New Roman" w:hAnsi="Times New Roman" w:cs="Times New Roman"/>
          <w:color w:val="000000" w:themeColor="text1"/>
        </w:rPr>
        <w:t>.</w:t>
      </w:r>
    </w:p>
    <w:p w14:paraId="66C2C623" w14:textId="77777777" w:rsidR="00FE384D" w:rsidRPr="00CB10DF" w:rsidRDefault="00FE384D" w:rsidP="00FE384D">
      <w:pPr>
        <w:spacing w:before="240" w:after="240" w:line="480" w:lineRule="auto"/>
        <w:jc w:val="both"/>
        <w:rPr>
          <w:rFonts w:ascii="Times New Roman" w:eastAsia="Times New Roman" w:hAnsi="Times New Roman" w:cs="Times New Roman"/>
          <w:i/>
          <w:color w:val="000000" w:themeColor="text1"/>
        </w:rPr>
      </w:pPr>
      <w:r w:rsidRPr="00CB10DF">
        <w:rPr>
          <w:rFonts w:ascii="Times New Roman" w:eastAsia="Times New Roman" w:hAnsi="Times New Roman" w:cs="Times New Roman"/>
          <w:i/>
          <w:color w:val="000000" w:themeColor="text1"/>
        </w:rPr>
        <w:t>Interspecific analyses</w:t>
      </w:r>
    </w:p>
    <w:p w14:paraId="59381ADC" w14:textId="5E7C9E95" w:rsidR="00FE384D" w:rsidRPr="00CB10DF" w:rsidRDefault="00FE384D" w:rsidP="00FE384D">
      <w:pPr>
        <w:spacing w:before="240" w:line="480" w:lineRule="auto"/>
        <w:jc w:val="both"/>
        <w:rPr>
          <w:rFonts w:ascii="Times New Roman" w:eastAsia="Times New Roman" w:hAnsi="Times New Roman" w:cs="Times New Roman"/>
          <w:color w:val="000000" w:themeColor="text1"/>
        </w:rPr>
      </w:pPr>
      <w:r w:rsidRPr="00CB10DF">
        <w:rPr>
          <w:rFonts w:ascii="Times New Roman" w:eastAsia="Gungsuh" w:hAnsi="Times New Roman" w:cs="Times New Roman"/>
          <w:color w:val="000000" w:themeColor="text1"/>
        </w:rPr>
        <w:lastRenderedPageBreak/>
        <w:t xml:space="preserve">For each species, the percentage change in wing length per ºC was calculated using the mean seasonal temperature variables identified in the multiple linear regression analyses described above. Percentage wing length change was then calculated using the formula (exp(slope)−1) × 100; slopes were calculated using the natural log of wing lengths to account for any scaling effects that may have resulted from the differences in size between species and sexes </w:t>
      </w:r>
      <w:r w:rsidR="000E218C" w:rsidRPr="00CB10DF">
        <w:rPr>
          <w:rFonts w:ascii="Times New Roman" w:eastAsia="Gungsuh" w:hAnsi="Times New Roman" w:cs="Times New Roman"/>
          <w:color w:val="000000" w:themeColor="text1"/>
        </w:rPr>
        <w:fldChar w:fldCharType="begin" w:fldLock="1"/>
      </w:r>
      <w:r w:rsidR="000E218C" w:rsidRPr="00CB10DF">
        <w:rPr>
          <w:rFonts w:ascii="Times New Roman" w:eastAsia="Gungsuh" w:hAnsi="Times New Roman" w:cs="Times New Roman"/>
          <w:color w:val="000000" w:themeColor="text1"/>
        </w:rPr>
        <w:instrText>ADDIN CSL_CITATION {"citationItems":[{"id":"ITEM-1","itemData":{"DOI":"10.1073/pnas.1210460109","ISSN":"0027-8424","abstract":"Most ectothermic organisms mature at smaller body sizes when reared in warmer conditions. This phenotypically plastic response, known as the \"temperature-size rule\" (TSR), is one of the most taxonomically widespread patterns in biology. However, the TSR remains a longstanding life-history puzzle for which no dominant driver has been found. We propose that oxygen supply plays a central role in explaining the magnitude of ectothermic temperature-size responses. Given the much lower oxygen availability and greater effort required to increase uptake in water vs. air, we predict that the TSR in aquatic organisms, especially larger species with lower surface area-body mass ratios, will be stronger than in terrestrial organisms. We performed a meta-analysis of 1,890 body mass responses to temperature in controlled experiments on 169 terrestrial, freshwater, and marine species. This rev</w:instrText>
      </w:r>
      <w:r w:rsidR="000E218C" w:rsidRPr="00CB10DF">
        <w:rPr>
          <w:rFonts w:ascii="Times New Roman" w:eastAsia="Gungsuh" w:hAnsi="Times New Roman" w:cs="Times New Roman" w:hint="eastAsia"/>
          <w:color w:val="000000" w:themeColor="text1"/>
        </w:rPr>
        <w:instrText xml:space="preserve">eals that the strength of the temperature-size response is greater in aquatic than terrestrial species. In animal species of </w:instrText>
      </w:r>
      <w:r w:rsidR="000E218C" w:rsidRPr="00CB10DF">
        <w:rPr>
          <w:rFonts w:ascii="Times New Roman" w:eastAsia="Gungsuh" w:hAnsi="Times New Roman" w:cs="Times New Roman" w:hint="eastAsia"/>
          <w:color w:val="000000" w:themeColor="text1"/>
        </w:rPr>
        <w:instrText>∼</w:instrText>
      </w:r>
      <w:r w:rsidR="000E218C" w:rsidRPr="00CB10DF">
        <w:rPr>
          <w:rFonts w:ascii="Times New Roman" w:eastAsia="Gungsuh" w:hAnsi="Times New Roman" w:cs="Times New Roman" w:hint="eastAsia"/>
          <w:color w:val="000000" w:themeColor="text1"/>
        </w:rPr>
        <w:instrText xml:space="preserve">100 mg dry mass, the temperature-size response of aquatic organisms is 10 times greater than in terrestrial organisms (-5.0% </w:instrText>
      </w:r>
      <w:r w:rsidR="000E218C" w:rsidRPr="00CB10DF">
        <w:rPr>
          <w:rFonts w:ascii="Times New Roman" w:eastAsia="Gungsuh" w:hAnsi="Times New Roman" w:cs="Times New Roman" w:hint="eastAsia"/>
          <w:color w:val="000000" w:themeColor="text1"/>
        </w:rPr>
        <w:instrText>°</w:instrText>
      </w:r>
      <w:r w:rsidR="000E218C" w:rsidRPr="00CB10DF">
        <w:rPr>
          <w:rFonts w:ascii="Times New Roman" w:eastAsia="Gungsuh" w:hAnsi="Times New Roman" w:cs="Times New Roman" w:hint="eastAsia"/>
          <w:color w:val="000000" w:themeColor="text1"/>
        </w:rPr>
        <w:instrText>C(-</w:instrText>
      </w:r>
      <w:r w:rsidR="000E218C" w:rsidRPr="00CB10DF">
        <w:rPr>
          <w:rFonts w:ascii="Times New Roman" w:eastAsia="Gungsuh" w:hAnsi="Times New Roman" w:cs="Times New Roman"/>
          <w:color w:val="000000" w:themeColor="text1"/>
        </w:rPr>
        <w:instrText>1) vs. -0.5% °C(-1)). Moreover, although the size response of small (&lt;0.1 mg dry mass) aquatic and terrestrial species is similar, increases in species size cause the response to become increasingly negative in aquatic species, as predicted, but on average less negative in terrestrial species. These results support oxygen as a major driver of temperature-size responses in aquatic organisms. Further, the environment-dependent differences parallel latitudinal body size clines, and will influence predicted impacts of climate warming on food production, community structure, and food-web dynamics.","author":[{"dropping-particle":"","family":"Forster","given":"J.","non-dropping-particle":"","parse-names":false,"suffix":""},{"dropping-particle":"","family":"Hirst","given":"A. G.","non-dropping-particle":"","parse-names":false,"suffix":""},{"dropping-particle":"","family":"Atkinson","given":"D.","non-dropping-particle":"","parse-names":false,"suffix":""}],"container-title":"Proceedings of the National Academy of Sciences","id":"ITEM-1","issued":{"date-parts":[["2012"]]},"title":"Warming-induced reductions in body size are greater in aquatic than terrestrial species","type":"article-journal"},"uris":["http://www.mendeley.com/documents/?uuid=2638fa64-a90f-440b-8266-8e84a75453f8"]}],"mendeley":{"formattedCitation":"(Forster et al., 2012)","plainTextFormattedCitation":"(Forster et al., 2012)","previouslyFormattedCitation":"(Forster et al., 2012)"},"properties":{"noteIndex":0},"schema":"https://github.com/citation-style-language/schema/raw/master/csl-citation.json"}</w:instrText>
      </w:r>
      <w:r w:rsidR="000E218C" w:rsidRPr="00CB10DF">
        <w:rPr>
          <w:rFonts w:ascii="Times New Roman" w:eastAsia="Gungsuh" w:hAnsi="Times New Roman" w:cs="Times New Roman"/>
          <w:color w:val="000000" w:themeColor="text1"/>
        </w:rPr>
        <w:fldChar w:fldCharType="separate"/>
      </w:r>
      <w:r w:rsidR="000E218C" w:rsidRPr="00CB10DF">
        <w:rPr>
          <w:rFonts w:ascii="Times New Roman" w:eastAsia="Gungsuh" w:hAnsi="Times New Roman" w:cs="Times New Roman"/>
          <w:noProof/>
          <w:color w:val="000000" w:themeColor="text1"/>
        </w:rPr>
        <w:t>(Forster et al., 2012)</w:t>
      </w:r>
      <w:r w:rsidR="000E218C" w:rsidRPr="00CB10DF">
        <w:rPr>
          <w:rFonts w:ascii="Times New Roman" w:eastAsia="Gungsuh" w:hAnsi="Times New Roman" w:cs="Times New Roman"/>
          <w:color w:val="000000" w:themeColor="text1"/>
        </w:rPr>
        <w:fldChar w:fldCharType="end"/>
      </w:r>
      <w:r w:rsidR="000E218C" w:rsidRPr="00CB10DF">
        <w:rPr>
          <w:rFonts w:ascii="Times New Roman" w:eastAsia="Gungsuh" w:hAnsi="Times New Roman" w:cs="Times New Roman"/>
          <w:color w:val="000000" w:themeColor="text1"/>
        </w:rPr>
        <w:t>.</w:t>
      </w:r>
      <w:r w:rsidRPr="00CB10DF">
        <w:rPr>
          <w:rFonts w:ascii="Times New Roman" w:eastAsia="Gungsuh" w:hAnsi="Times New Roman" w:cs="Times New Roman"/>
          <w:color w:val="000000" w:themeColor="text1"/>
        </w:rPr>
        <w:t xml:space="preserve"> Then to investigate if species’ size is related to sensitivity to temperature, a linear regression analysis was performed between the percent change of wing length (per ºC) and mean wing length of each species.</w:t>
      </w:r>
    </w:p>
    <w:p w14:paraId="586B4436" w14:textId="2D04E244" w:rsidR="00FE384D" w:rsidRPr="00CB10DF" w:rsidRDefault="00FE384D" w:rsidP="00FE384D">
      <w:pPr>
        <w:spacing w:before="240" w:after="240" w:line="480" w:lineRule="auto"/>
        <w:jc w:val="both"/>
        <w:rPr>
          <w:rFonts w:ascii="Times New Roman" w:eastAsia="Times New Roman" w:hAnsi="Times New Roman" w:cs="Times New Roman"/>
          <w:color w:val="000000" w:themeColor="text1"/>
        </w:rPr>
      </w:pPr>
      <w:r w:rsidRPr="00CB10DF">
        <w:rPr>
          <w:rFonts w:ascii="Times New Roman" w:eastAsia="Times New Roman" w:hAnsi="Times New Roman" w:cs="Times New Roman"/>
          <w:color w:val="000000" w:themeColor="text1"/>
        </w:rPr>
        <w:t xml:space="preserve">For the linear mixed effects model, four independent temperature variables including mean winter, mean spring, mean summer and mean autumn temperature of the larval period was calculated for each species. For example, for </w:t>
      </w:r>
      <w:r w:rsidRPr="00CB10DF">
        <w:rPr>
          <w:rFonts w:ascii="Times New Roman" w:eastAsia="Times New Roman" w:hAnsi="Times New Roman" w:cs="Times New Roman"/>
          <w:i/>
          <w:color w:val="000000" w:themeColor="text1"/>
        </w:rPr>
        <w:t xml:space="preserve">Calopteryx </w:t>
      </w:r>
      <w:proofErr w:type="spellStart"/>
      <w:r w:rsidRPr="00CB10DF">
        <w:rPr>
          <w:rFonts w:ascii="Times New Roman" w:eastAsia="Times New Roman" w:hAnsi="Times New Roman" w:cs="Times New Roman"/>
          <w:i/>
          <w:color w:val="000000" w:themeColor="text1"/>
        </w:rPr>
        <w:t>splendens</w:t>
      </w:r>
      <w:proofErr w:type="spellEnd"/>
      <w:r w:rsidRPr="00CB10DF">
        <w:rPr>
          <w:rFonts w:ascii="Times New Roman" w:eastAsia="Times New Roman" w:hAnsi="Times New Roman" w:cs="Times New Roman"/>
          <w:color w:val="000000" w:themeColor="text1"/>
        </w:rPr>
        <w:t xml:space="preserve"> and </w:t>
      </w:r>
      <w:r w:rsidRPr="00CB10DF">
        <w:rPr>
          <w:rFonts w:ascii="Times New Roman" w:eastAsia="Times New Roman" w:hAnsi="Times New Roman" w:cs="Times New Roman"/>
          <w:i/>
          <w:color w:val="000000" w:themeColor="text1"/>
        </w:rPr>
        <w:t xml:space="preserve">C. </w:t>
      </w:r>
      <w:proofErr w:type="spellStart"/>
      <w:r w:rsidRPr="00CB10DF">
        <w:rPr>
          <w:rFonts w:ascii="Times New Roman" w:eastAsia="Times New Roman" w:hAnsi="Times New Roman" w:cs="Times New Roman"/>
          <w:i/>
          <w:color w:val="000000" w:themeColor="text1"/>
        </w:rPr>
        <w:t>virgo</w:t>
      </w:r>
      <w:proofErr w:type="spellEnd"/>
      <w:r w:rsidRPr="00CB10DF">
        <w:rPr>
          <w:rFonts w:ascii="Times New Roman" w:eastAsia="Times New Roman" w:hAnsi="Times New Roman" w:cs="Times New Roman"/>
          <w:i/>
          <w:color w:val="000000" w:themeColor="text1"/>
        </w:rPr>
        <w:t>,</w:t>
      </w:r>
      <w:r w:rsidRPr="00CB10DF">
        <w:rPr>
          <w:rFonts w:ascii="Times New Roman" w:eastAsia="Times New Roman" w:hAnsi="Times New Roman" w:cs="Times New Roman"/>
          <w:color w:val="000000" w:themeColor="text1"/>
        </w:rPr>
        <w:t xml:space="preserve"> which are semivoltine species, mean winter temperature was calculated from two years of winter temperature data during their larval growing period (year before their emergence and year of emergence). The linear mixed-effects model was used to examine if there were relationships between the dependent variable (log wing length), the four fixed independent variables (including mean winter, spring summer and autumn temperature) and the random effect variables (species, sex, suborder and life-history type) using the </w:t>
      </w:r>
      <w:r w:rsidRPr="00CB10DF">
        <w:rPr>
          <w:rFonts w:ascii="Times New Roman" w:eastAsia="Times New Roman" w:hAnsi="Times New Roman" w:cs="Times New Roman"/>
          <w:i/>
          <w:color w:val="000000" w:themeColor="text1"/>
        </w:rPr>
        <w:t>lme4</w:t>
      </w:r>
      <w:r w:rsidRPr="00CB10DF">
        <w:rPr>
          <w:rFonts w:ascii="Times New Roman" w:eastAsia="Times New Roman" w:hAnsi="Times New Roman" w:cs="Times New Roman"/>
          <w:color w:val="000000" w:themeColor="text1"/>
        </w:rPr>
        <w:t xml:space="preserve"> package</w:t>
      </w:r>
      <w:r w:rsidR="000E218C" w:rsidRPr="00CB10DF">
        <w:rPr>
          <w:rFonts w:ascii="Times New Roman" w:eastAsia="Times New Roman" w:hAnsi="Times New Roman" w:cs="Times New Roman"/>
          <w:color w:val="000000" w:themeColor="text1"/>
        </w:rPr>
        <w:t xml:space="preserve"> </w:t>
      </w:r>
      <w:r w:rsidR="000E218C" w:rsidRPr="00CB10DF">
        <w:rPr>
          <w:rFonts w:ascii="Times New Roman" w:eastAsia="Times New Roman" w:hAnsi="Times New Roman" w:cs="Times New Roman"/>
          <w:color w:val="000000" w:themeColor="text1"/>
        </w:rPr>
        <w:fldChar w:fldCharType="begin" w:fldLock="1"/>
      </w:r>
      <w:r w:rsidR="0039509E" w:rsidRPr="00CB10DF">
        <w:rPr>
          <w:rFonts w:ascii="Times New Roman" w:eastAsia="Times New Roman" w:hAnsi="Times New Roman" w:cs="Times New Roman"/>
          <w:color w:val="000000" w:themeColor="text1"/>
        </w:rPr>
        <w:instrText>ADDIN CSL_CITATION {"citationItems":[{"id":"ITEM-1","itemData":{"DOI":"10.18637/jss.v067.i01","ISSN":"1548-7660","abstract":"Fit linear and generalized linear mixed-effects models.\\r\\nThe models and their components are represented using S4 classes and\\r\\nmethods. The core computational algorithms are implemented using the 'Eigen' C++ library for numerical linear algebra and 'RcppEigen' ``glue''","author":[{"dropping-particle":"","family":"Bates","given":"D","non-dropping-particle":"","parse-names":false,"suffix":""},{"dropping-particle":"","family":"Maechler","given":"M","non-dropping-particle":"","parse-names":false,"suffix":""},{"dropping-particle":"","family":"Bolker","given":"B","non-dropping-particle":"","parse-names":false,"suffix":""},{"dropping-particle":"","family":"Walker","given":"S","non-dropping-particle":"","parse-names":false,"suffix":""},{"dropping-particle":"","family":"Christensen","given":"R H B","non-dropping-particle":"","parse-names":false,"suffix":""},{"dropping-particle":"","family":"Singmann","given":"H","non-dropping-particle":"","parse-names":false,"suffix":""},{"dropping-particle":"","family":"Dai","given":"B","non-dropping-particle":"","parse-names":false,"suffix":""},{"dropping-particle":"","family":"Eigen","given":"C","non-dropping-particle":"","parse-names":false,"suffix":""}],"container-title":"Journal of statistical software","id":"ITEM-1","issued":{"date-parts":[["2017"]]},"title":"lme4: Fitting linear mixed-effects models using lme4","type":"article-journal"},"uris":["http://www.mendeley.com/documents/?uuid=c0128df8-49a8-4556-a71f-497ee5682f56"]}],"mendeley":{"formattedCitation":"(Bates et al., 2017)","plainTextFormattedCitation":"(Bates et al., 2017)","previouslyFormattedCitation":"(Bates et al., 2017)"},"properties":{"noteIndex":0},"schema":"https://github.com/citation-style-language/schema/raw/master/csl-citation.json"}</w:instrText>
      </w:r>
      <w:r w:rsidR="000E218C" w:rsidRPr="00CB10DF">
        <w:rPr>
          <w:rFonts w:ascii="Times New Roman" w:eastAsia="Times New Roman" w:hAnsi="Times New Roman" w:cs="Times New Roman"/>
          <w:color w:val="000000" w:themeColor="text1"/>
        </w:rPr>
        <w:fldChar w:fldCharType="separate"/>
      </w:r>
      <w:r w:rsidR="000E218C" w:rsidRPr="00CB10DF">
        <w:rPr>
          <w:rFonts w:ascii="Times New Roman" w:eastAsia="Times New Roman" w:hAnsi="Times New Roman" w:cs="Times New Roman"/>
          <w:noProof/>
          <w:color w:val="000000" w:themeColor="text1"/>
        </w:rPr>
        <w:t>(Bates et al., 2017)</w:t>
      </w:r>
      <w:r w:rsidR="000E218C" w:rsidRPr="00CB10DF">
        <w:rPr>
          <w:rFonts w:ascii="Times New Roman" w:eastAsia="Times New Roman" w:hAnsi="Times New Roman" w:cs="Times New Roman"/>
          <w:color w:val="000000" w:themeColor="text1"/>
        </w:rPr>
        <w:fldChar w:fldCharType="end"/>
      </w:r>
      <w:r w:rsidRPr="00CB10DF">
        <w:rPr>
          <w:rFonts w:ascii="Times New Roman" w:eastAsia="Times New Roman" w:hAnsi="Times New Roman" w:cs="Times New Roman"/>
          <w:color w:val="000000" w:themeColor="text1"/>
        </w:rPr>
        <w:t>.</w:t>
      </w:r>
    </w:p>
    <w:p w14:paraId="2624A0BD" w14:textId="77777777" w:rsidR="00FE384D" w:rsidRPr="00CB10DF" w:rsidRDefault="00FE384D" w:rsidP="00FE384D">
      <w:pPr>
        <w:spacing w:before="240" w:after="240" w:line="480" w:lineRule="auto"/>
        <w:jc w:val="both"/>
        <w:rPr>
          <w:rFonts w:ascii="Times New Roman" w:eastAsia="Times New Roman" w:hAnsi="Times New Roman" w:cs="Times New Roman"/>
          <w:b/>
          <w:color w:val="000000" w:themeColor="text1"/>
        </w:rPr>
      </w:pPr>
      <w:r w:rsidRPr="00CB10DF">
        <w:rPr>
          <w:rFonts w:ascii="Times New Roman" w:eastAsia="Times New Roman" w:hAnsi="Times New Roman" w:cs="Times New Roman"/>
          <w:b/>
          <w:color w:val="000000" w:themeColor="text1"/>
        </w:rPr>
        <w:t>Results</w:t>
      </w:r>
    </w:p>
    <w:p w14:paraId="66373352" w14:textId="77777777" w:rsidR="00FE384D" w:rsidRPr="00CB10DF" w:rsidRDefault="00FE384D" w:rsidP="00FE384D">
      <w:pPr>
        <w:spacing w:before="240" w:after="240" w:line="480" w:lineRule="auto"/>
        <w:jc w:val="both"/>
        <w:rPr>
          <w:rFonts w:ascii="Times New Roman" w:eastAsia="Times New Roman" w:hAnsi="Times New Roman" w:cs="Times New Roman"/>
          <w:color w:val="000000" w:themeColor="text1"/>
        </w:rPr>
      </w:pPr>
      <w:r w:rsidRPr="00CB10DF">
        <w:rPr>
          <w:rFonts w:ascii="Times New Roman" w:eastAsia="Times New Roman" w:hAnsi="Times New Roman" w:cs="Times New Roman"/>
          <w:color w:val="000000" w:themeColor="text1"/>
        </w:rPr>
        <w:lastRenderedPageBreak/>
        <w:t xml:space="preserve">The stepwise regression analysis showed significant temperature-size relationships in all Zygoptera species and three </w:t>
      </w:r>
      <w:proofErr w:type="spellStart"/>
      <w:r w:rsidRPr="00CB10DF">
        <w:rPr>
          <w:rFonts w:ascii="Times New Roman" w:eastAsia="Times New Roman" w:hAnsi="Times New Roman" w:cs="Times New Roman"/>
          <w:color w:val="000000" w:themeColor="text1"/>
        </w:rPr>
        <w:t>Anisoptera</w:t>
      </w:r>
      <w:proofErr w:type="spellEnd"/>
      <w:r w:rsidRPr="00CB10DF">
        <w:rPr>
          <w:rFonts w:ascii="Times New Roman" w:eastAsia="Times New Roman" w:hAnsi="Times New Roman" w:cs="Times New Roman"/>
          <w:color w:val="000000" w:themeColor="text1"/>
        </w:rPr>
        <w:t xml:space="preserve"> species, </w:t>
      </w:r>
      <w:proofErr w:type="spellStart"/>
      <w:r w:rsidRPr="00CB10DF">
        <w:rPr>
          <w:rFonts w:ascii="Times New Roman" w:eastAsia="Times New Roman" w:hAnsi="Times New Roman" w:cs="Times New Roman"/>
          <w:i/>
          <w:color w:val="000000" w:themeColor="text1"/>
        </w:rPr>
        <w:t>Aeshna</w:t>
      </w:r>
      <w:proofErr w:type="spellEnd"/>
      <w:r w:rsidRPr="00CB10DF">
        <w:rPr>
          <w:rFonts w:ascii="Times New Roman" w:eastAsia="Times New Roman" w:hAnsi="Times New Roman" w:cs="Times New Roman"/>
          <w:i/>
          <w:color w:val="000000" w:themeColor="text1"/>
        </w:rPr>
        <w:t xml:space="preserve"> </w:t>
      </w:r>
      <w:proofErr w:type="spellStart"/>
      <w:r w:rsidRPr="00CB10DF">
        <w:rPr>
          <w:rFonts w:ascii="Times New Roman" w:eastAsia="Times New Roman" w:hAnsi="Times New Roman" w:cs="Times New Roman"/>
          <w:i/>
          <w:color w:val="000000" w:themeColor="text1"/>
        </w:rPr>
        <w:t>cyanea</w:t>
      </w:r>
      <w:proofErr w:type="spellEnd"/>
      <w:r w:rsidRPr="00CB10DF">
        <w:rPr>
          <w:rFonts w:ascii="Times New Roman" w:eastAsia="Times New Roman" w:hAnsi="Times New Roman" w:cs="Times New Roman"/>
          <w:color w:val="000000" w:themeColor="text1"/>
        </w:rPr>
        <w:t xml:space="preserve">, </w:t>
      </w:r>
      <w:proofErr w:type="spellStart"/>
      <w:r w:rsidRPr="00CB10DF">
        <w:rPr>
          <w:rFonts w:ascii="Times New Roman" w:eastAsia="Times New Roman" w:hAnsi="Times New Roman" w:cs="Times New Roman"/>
          <w:i/>
          <w:color w:val="000000" w:themeColor="text1"/>
        </w:rPr>
        <w:t>Anax</w:t>
      </w:r>
      <w:proofErr w:type="spellEnd"/>
      <w:r w:rsidRPr="00CB10DF">
        <w:rPr>
          <w:rFonts w:ascii="Times New Roman" w:eastAsia="Times New Roman" w:hAnsi="Times New Roman" w:cs="Times New Roman"/>
          <w:i/>
          <w:color w:val="000000" w:themeColor="text1"/>
        </w:rPr>
        <w:t xml:space="preserve"> imperator</w:t>
      </w:r>
      <w:r w:rsidRPr="00CB10DF">
        <w:rPr>
          <w:rFonts w:ascii="Times New Roman" w:eastAsia="Times New Roman" w:hAnsi="Times New Roman" w:cs="Times New Roman"/>
          <w:color w:val="000000" w:themeColor="text1"/>
        </w:rPr>
        <w:t xml:space="preserve"> and </w:t>
      </w:r>
      <w:r w:rsidRPr="00CB10DF">
        <w:rPr>
          <w:rFonts w:ascii="Times New Roman" w:eastAsia="Times New Roman" w:hAnsi="Times New Roman" w:cs="Times New Roman"/>
          <w:i/>
          <w:color w:val="000000" w:themeColor="text1"/>
        </w:rPr>
        <w:t xml:space="preserve">B. </w:t>
      </w:r>
      <w:proofErr w:type="spellStart"/>
      <w:r w:rsidRPr="00CB10DF">
        <w:rPr>
          <w:rFonts w:ascii="Times New Roman" w:eastAsia="Times New Roman" w:hAnsi="Times New Roman" w:cs="Times New Roman"/>
          <w:i/>
          <w:color w:val="000000" w:themeColor="text1"/>
        </w:rPr>
        <w:t>pratense</w:t>
      </w:r>
      <w:proofErr w:type="spellEnd"/>
      <w:r w:rsidRPr="00CB10DF">
        <w:rPr>
          <w:rFonts w:ascii="Times New Roman" w:eastAsia="Times New Roman" w:hAnsi="Times New Roman" w:cs="Times New Roman"/>
          <w:color w:val="000000" w:themeColor="text1"/>
        </w:rPr>
        <w:t xml:space="preserve"> (bold text Table 2). Mean autumn temperature of the year before emerging (y-1) and mean spring temperature of the emerging year (y0) were selected and retained as candidates of the fitted model to explain wing length variation of most Zygoptera species (Figures 1e-1h, 2e-2h). </w:t>
      </w:r>
      <w:r w:rsidRPr="00CB10DF">
        <w:rPr>
          <w:rFonts w:ascii="Times New Roman" w:eastAsia="Times New Roman" w:hAnsi="Times New Roman" w:cs="Times New Roman"/>
          <w:i/>
          <w:color w:val="000000" w:themeColor="text1"/>
        </w:rPr>
        <w:t xml:space="preserve">Calopteryx </w:t>
      </w:r>
      <w:proofErr w:type="spellStart"/>
      <w:r w:rsidRPr="00CB10DF">
        <w:rPr>
          <w:rFonts w:ascii="Times New Roman" w:eastAsia="Times New Roman" w:hAnsi="Times New Roman" w:cs="Times New Roman"/>
          <w:i/>
          <w:color w:val="000000" w:themeColor="text1"/>
        </w:rPr>
        <w:t>splendens</w:t>
      </w:r>
      <w:proofErr w:type="spellEnd"/>
      <w:r w:rsidRPr="00CB10DF">
        <w:rPr>
          <w:rFonts w:ascii="Times New Roman" w:eastAsia="Times New Roman" w:hAnsi="Times New Roman" w:cs="Times New Roman"/>
          <w:color w:val="000000" w:themeColor="text1"/>
        </w:rPr>
        <w:t xml:space="preserve">, </w:t>
      </w:r>
      <w:r w:rsidRPr="00CB10DF">
        <w:rPr>
          <w:rFonts w:ascii="Times New Roman" w:eastAsia="Times New Roman" w:hAnsi="Times New Roman" w:cs="Times New Roman"/>
          <w:i/>
          <w:color w:val="000000" w:themeColor="text1"/>
        </w:rPr>
        <w:t xml:space="preserve">C. </w:t>
      </w:r>
      <w:proofErr w:type="spellStart"/>
      <w:r w:rsidRPr="00CB10DF">
        <w:rPr>
          <w:rFonts w:ascii="Times New Roman" w:eastAsia="Times New Roman" w:hAnsi="Times New Roman" w:cs="Times New Roman"/>
          <w:i/>
          <w:color w:val="000000" w:themeColor="text1"/>
        </w:rPr>
        <w:t>virgo</w:t>
      </w:r>
      <w:proofErr w:type="spellEnd"/>
      <w:r w:rsidRPr="00CB10DF">
        <w:rPr>
          <w:rFonts w:ascii="Times New Roman" w:eastAsia="Times New Roman" w:hAnsi="Times New Roman" w:cs="Times New Roman"/>
          <w:color w:val="000000" w:themeColor="text1"/>
        </w:rPr>
        <w:t xml:space="preserve">, </w:t>
      </w:r>
      <w:proofErr w:type="spellStart"/>
      <w:r w:rsidRPr="00CB10DF">
        <w:rPr>
          <w:rFonts w:ascii="Times New Roman" w:eastAsia="Times New Roman" w:hAnsi="Times New Roman" w:cs="Times New Roman"/>
          <w:i/>
          <w:color w:val="000000" w:themeColor="text1"/>
        </w:rPr>
        <w:t>Coenagrion</w:t>
      </w:r>
      <w:proofErr w:type="spellEnd"/>
      <w:r w:rsidRPr="00CB10DF">
        <w:rPr>
          <w:rFonts w:ascii="Times New Roman" w:eastAsia="Times New Roman" w:hAnsi="Times New Roman" w:cs="Times New Roman"/>
          <w:i/>
          <w:color w:val="000000" w:themeColor="text1"/>
        </w:rPr>
        <w:t xml:space="preserve"> </w:t>
      </w:r>
      <w:proofErr w:type="spellStart"/>
      <w:r w:rsidRPr="00CB10DF">
        <w:rPr>
          <w:rFonts w:ascii="Times New Roman" w:eastAsia="Times New Roman" w:hAnsi="Times New Roman" w:cs="Times New Roman"/>
          <w:i/>
          <w:color w:val="000000" w:themeColor="text1"/>
        </w:rPr>
        <w:t>puella</w:t>
      </w:r>
      <w:proofErr w:type="spellEnd"/>
      <w:r w:rsidRPr="00CB10DF">
        <w:rPr>
          <w:rFonts w:ascii="Times New Roman" w:eastAsia="Times New Roman" w:hAnsi="Times New Roman" w:cs="Times New Roman"/>
          <w:color w:val="000000" w:themeColor="text1"/>
        </w:rPr>
        <w:t xml:space="preserve"> and </w:t>
      </w:r>
      <w:proofErr w:type="spellStart"/>
      <w:r w:rsidRPr="00CB10DF">
        <w:rPr>
          <w:rFonts w:ascii="Times New Roman" w:eastAsia="Times New Roman" w:hAnsi="Times New Roman" w:cs="Times New Roman"/>
          <w:i/>
          <w:color w:val="000000" w:themeColor="text1"/>
        </w:rPr>
        <w:t>Ischnura</w:t>
      </w:r>
      <w:proofErr w:type="spellEnd"/>
      <w:r w:rsidRPr="00CB10DF">
        <w:rPr>
          <w:rFonts w:ascii="Times New Roman" w:eastAsia="Times New Roman" w:hAnsi="Times New Roman" w:cs="Times New Roman"/>
          <w:i/>
          <w:color w:val="000000" w:themeColor="text1"/>
        </w:rPr>
        <w:t xml:space="preserve"> </w:t>
      </w:r>
      <w:proofErr w:type="spellStart"/>
      <w:r w:rsidRPr="00CB10DF">
        <w:rPr>
          <w:rFonts w:ascii="Times New Roman" w:eastAsia="Times New Roman" w:hAnsi="Times New Roman" w:cs="Times New Roman"/>
          <w:i/>
          <w:color w:val="000000" w:themeColor="text1"/>
        </w:rPr>
        <w:t>elegans</w:t>
      </w:r>
      <w:proofErr w:type="spellEnd"/>
      <w:r w:rsidRPr="00CB10DF">
        <w:rPr>
          <w:rFonts w:ascii="Times New Roman" w:eastAsia="Times New Roman" w:hAnsi="Times New Roman" w:cs="Times New Roman"/>
          <w:color w:val="000000" w:themeColor="text1"/>
        </w:rPr>
        <w:t xml:space="preserve"> showed a significantly smaller wing size with increasing mean autumn temperature of y-1 in both sexes (Figure 1e-1h). Most Zygoptera species, including </w:t>
      </w:r>
      <w:r w:rsidRPr="00CB10DF">
        <w:rPr>
          <w:rFonts w:ascii="Times New Roman" w:eastAsia="Times New Roman" w:hAnsi="Times New Roman" w:cs="Times New Roman"/>
          <w:i/>
          <w:color w:val="000000" w:themeColor="text1"/>
        </w:rPr>
        <w:t xml:space="preserve">Calopteryx </w:t>
      </w:r>
      <w:proofErr w:type="spellStart"/>
      <w:r w:rsidRPr="00CB10DF">
        <w:rPr>
          <w:rFonts w:ascii="Times New Roman" w:eastAsia="Times New Roman" w:hAnsi="Times New Roman" w:cs="Times New Roman"/>
          <w:i/>
          <w:color w:val="000000" w:themeColor="text1"/>
        </w:rPr>
        <w:t>splendens</w:t>
      </w:r>
      <w:proofErr w:type="spellEnd"/>
      <w:r w:rsidRPr="00CB10DF">
        <w:rPr>
          <w:rFonts w:ascii="Times New Roman" w:eastAsia="Times New Roman" w:hAnsi="Times New Roman" w:cs="Times New Roman"/>
          <w:color w:val="000000" w:themeColor="text1"/>
        </w:rPr>
        <w:t xml:space="preserve">, </w:t>
      </w:r>
      <w:r w:rsidRPr="00CB10DF">
        <w:rPr>
          <w:rFonts w:ascii="Times New Roman" w:eastAsia="Times New Roman" w:hAnsi="Times New Roman" w:cs="Times New Roman"/>
          <w:i/>
          <w:color w:val="000000" w:themeColor="text1"/>
        </w:rPr>
        <w:t xml:space="preserve">C. </w:t>
      </w:r>
      <w:proofErr w:type="spellStart"/>
      <w:r w:rsidRPr="00CB10DF">
        <w:rPr>
          <w:rFonts w:ascii="Times New Roman" w:eastAsia="Times New Roman" w:hAnsi="Times New Roman" w:cs="Times New Roman"/>
          <w:i/>
          <w:color w:val="000000" w:themeColor="text1"/>
        </w:rPr>
        <w:t>virgo</w:t>
      </w:r>
      <w:proofErr w:type="spellEnd"/>
      <w:r w:rsidRPr="00CB10DF">
        <w:rPr>
          <w:rFonts w:ascii="Times New Roman" w:eastAsia="Times New Roman" w:hAnsi="Times New Roman" w:cs="Times New Roman"/>
          <w:color w:val="000000" w:themeColor="text1"/>
        </w:rPr>
        <w:t xml:space="preserve">, </w:t>
      </w:r>
      <w:proofErr w:type="spellStart"/>
      <w:r w:rsidRPr="00CB10DF">
        <w:rPr>
          <w:rFonts w:ascii="Times New Roman" w:eastAsia="Times New Roman" w:hAnsi="Times New Roman" w:cs="Times New Roman"/>
          <w:i/>
          <w:color w:val="000000" w:themeColor="text1"/>
        </w:rPr>
        <w:t>Coenagrion</w:t>
      </w:r>
      <w:proofErr w:type="spellEnd"/>
      <w:r w:rsidRPr="00CB10DF">
        <w:rPr>
          <w:rFonts w:ascii="Times New Roman" w:eastAsia="Times New Roman" w:hAnsi="Times New Roman" w:cs="Times New Roman"/>
          <w:i/>
          <w:color w:val="000000" w:themeColor="text1"/>
        </w:rPr>
        <w:t xml:space="preserve"> </w:t>
      </w:r>
      <w:proofErr w:type="spellStart"/>
      <w:r w:rsidRPr="00CB10DF">
        <w:rPr>
          <w:rFonts w:ascii="Times New Roman" w:eastAsia="Times New Roman" w:hAnsi="Times New Roman" w:cs="Times New Roman"/>
          <w:i/>
          <w:color w:val="000000" w:themeColor="text1"/>
        </w:rPr>
        <w:t>puella</w:t>
      </w:r>
      <w:proofErr w:type="spellEnd"/>
      <w:r w:rsidRPr="00CB10DF">
        <w:rPr>
          <w:rFonts w:ascii="Times New Roman" w:eastAsia="Times New Roman" w:hAnsi="Times New Roman" w:cs="Times New Roman"/>
          <w:color w:val="000000" w:themeColor="text1"/>
        </w:rPr>
        <w:t xml:space="preserve"> and </w:t>
      </w:r>
      <w:proofErr w:type="spellStart"/>
      <w:r w:rsidRPr="00CB10DF">
        <w:rPr>
          <w:rFonts w:ascii="Times New Roman" w:eastAsia="Times New Roman" w:hAnsi="Times New Roman" w:cs="Times New Roman"/>
          <w:i/>
          <w:color w:val="000000" w:themeColor="text1"/>
        </w:rPr>
        <w:t>Lestes</w:t>
      </w:r>
      <w:proofErr w:type="spellEnd"/>
      <w:r w:rsidRPr="00CB10DF">
        <w:rPr>
          <w:rFonts w:ascii="Times New Roman" w:eastAsia="Times New Roman" w:hAnsi="Times New Roman" w:cs="Times New Roman"/>
          <w:i/>
          <w:color w:val="000000" w:themeColor="text1"/>
        </w:rPr>
        <w:t xml:space="preserve"> </w:t>
      </w:r>
      <w:proofErr w:type="spellStart"/>
      <w:r w:rsidRPr="00CB10DF">
        <w:rPr>
          <w:rFonts w:ascii="Times New Roman" w:eastAsia="Times New Roman" w:hAnsi="Times New Roman" w:cs="Times New Roman"/>
          <w:i/>
          <w:color w:val="000000" w:themeColor="text1"/>
        </w:rPr>
        <w:t>sponsa</w:t>
      </w:r>
      <w:proofErr w:type="spellEnd"/>
      <w:r w:rsidRPr="00CB10DF">
        <w:rPr>
          <w:rFonts w:ascii="Times New Roman" w:eastAsia="Times New Roman" w:hAnsi="Times New Roman" w:cs="Times New Roman"/>
          <w:color w:val="000000" w:themeColor="text1"/>
        </w:rPr>
        <w:t>, also showed significantly reduced wing length with warming spring temperature of y0 (Figure 2e-2h). In contrast, most Anisoptera showed non-significant wing length change with mean spring temperature of y0 (Figure 2a-2d).</w:t>
      </w:r>
    </w:p>
    <w:p w14:paraId="6EB8C79F" w14:textId="77777777" w:rsidR="00FE384D" w:rsidRPr="00CB10DF" w:rsidRDefault="00FE384D" w:rsidP="00FE384D">
      <w:pPr>
        <w:spacing w:before="240" w:after="240" w:line="480" w:lineRule="auto"/>
        <w:jc w:val="both"/>
        <w:rPr>
          <w:rFonts w:ascii="Times New Roman" w:eastAsia="Times New Roman" w:hAnsi="Times New Roman" w:cs="Times New Roman"/>
          <w:color w:val="000000" w:themeColor="text1"/>
          <w:szCs w:val="22"/>
        </w:rPr>
      </w:pPr>
      <w:r w:rsidRPr="00CB10DF">
        <w:rPr>
          <w:rFonts w:ascii="Times New Roman" w:eastAsia="Times New Roman" w:hAnsi="Times New Roman" w:cs="Times New Roman"/>
          <w:color w:val="000000" w:themeColor="text1"/>
        </w:rPr>
        <w:t xml:space="preserve">The percent change of wing length per degree ºC was calculated for each species to examine if there are interspecific differences in response and whether mean body size is related to the strength and direction of temperature size responses. We found a significant positive correlation between percent change of wing length change per ºC with mean wing length across species </w:t>
      </w:r>
      <w:r w:rsidRPr="00CB10DF">
        <w:rPr>
          <w:rFonts w:ascii="Times New Roman" w:eastAsia="Times New Roman" w:hAnsi="Times New Roman" w:cs="Times New Roman"/>
          <w:color w:val="000000" w:themeColor="text1"/>
          <w:szCs w:val="22"/>
        </w:rPr>
        <w:t>(</w:t>
      </w:r>
      <w:r w:rsidRPr="00CB10DF">
        <w:rPr>
          <w:rFonts w:ascii="Times New Roman" w:eastAsia="Times New Roman" w:hAnsi="Times New Roman" w:cs="Times New Roman"/>
          <w:i/>
          <w:color w:val="000000" w:themeColor="text1"/>
          <w:szCs w:val="22"/>
        </w:rPr>
        <w:t>R</w:t>
      </w:r>
      <w:r w:rsidRPr="00CB10DF">
        <w:rPr>
          <w:rFonts w:ascii="Times New Roman" w:eastAsia="Times New Roman" w:hAnsi="Times New Roman" w:cs="Times New Roman"/>
          <w:color w:val="000000" w:themeColor="text1"/>
          <w:szCs w:val="22"/>
        </w:rPr>
        <w:t xml:space="preserve">=0.60, </w:t>
      </w:r>
      <w:r w:rsidRPr="00CB10DF">
        <w:rPr>
          <w:rFonts w:ascii="Times New Roman" w:eastAsia="Times New Roman" w:hAnsi="Times New Roman" w:cs="Times New Roman"/>
          <w:i/>
          <w:color w:val="000000" w:themeColor="text1"/>
          <w:szCs w:val="22"/>
        </w:rPr>
        <w:t>p</w:t>
      </w:r>
      <w:r w:rsidRPr="00CB10DF">
        <w:rPr>
          <w:rFonts w:ascii="Times New Roman" w:eastAsia="Times New Roman" w:hAnsi="Times New Roman" w:cs="Times New Roman"/>
          <w:color w:val="000000" w:themeColor="text1"/>
          <w:szCs w:val="22"/>
        </w:rPr>
        <w:t>&lt;0.05; Figure 3a).</w:t>
      </w:r>
    </w:p>
    <w:p w14:paraId="662DC66C" w14:textId="2F52E003" w:rsidR="00F77625" w:rsidRPr="00CB10DF" w:rsidRDefault="00FE384D" w:rsidP="00FE384D">
      <w:pPr>
        <w:spacing w:before="240" w:after="240" w:line="480" w:lineRule="auto"/>
        <w:jc w:val="both"/>
        <w:rPr>
          <w:rFonts w:ascii="Times New Roman" w:eastAsia="Times New Roman" w:hAnsi="Times New Roman" w:cs="Times New Roman"/>
          <w:color w:val="000000" w:themeColor="text1"/>
        </w:rPr>
      </w:pPr>
      <w:bookmarkStart w:id="3" w:name="_Hlk27001793"/>
      <w:r w:rsidRPr="00CB10DF">
        <w:rPr>
          <w:rFonts w:ascii="Times New Roman" w:eastAsia="Times New Roman" w:hAnsi="Times New Roman" w:cs="Times New Roman"/>
          <w:color w:val="000000" w:themeColor="text1"/>
        </w:rPr>
        <w:t xml:space="preserve">Although males are significantly smaller than females in all Zygoptera species, the magnitude and direction of wing length response to temperature is similar in both sexes (Figure 1e-1h and 2e-2h). </w:t>
      </w:r>
      <w:bookmarkEnd w:id="3"/>
      <w:r w:rsidR="00211E92" w:rsidRPr="00CB10DF">
        <w:rPr>
          <w:rFonts w:ascii="Times New Roman" w:eastAsia="Times New Roman" w:hAnsi="Times New Roman" w:cs="Times New Roman"/>
          <w:color w:val="000000" w:themeColor="text1"/>
        </w:rPr>
        <w:t>T</w:t>
      </w:r>
      <w:r w:rsidRPr="00CB10DF">
        <w:rPr>
          <w:rFonts w:ascii="Times New Roman" w:eastAsia="Times New Roman" w:hAnsi="Times New Roman" w:cs="Times New Roman"/>
          <w:color w:val="000000" w:themeColor="text1"/>
        </w:rPr>
        <w:t xml:space="preserve">hree </w:t>
      </w:r>
      <w:proofErr w:type="spellStart"/>
      <w:r w:rsidRPr="00CB10DF">
        <w:rPr>
          <w:rFonts w:ascii="Times New Roman" w:eastAsia="Times New Roman" w:hAnsi="Times New Roman" w:cs="Times New Roman"/>
          <w:color w:val="000000" w:themeColor="text1"/>
        </w:rPr>
        <w:t>Anisoptera</w:t>
      </w:r>
      <w:proofErr w:type="spellEnd"/>
      <w:r w:rsidRPr="00CB10DF">
        <w:rPr>
          <w:rFonts w:ascii="Times New Roman" w:eastAsia="Times New Roman" w:hAnsi="Times New Roman" w:cs="Times New Roman"/>
          <w:color w:val="000000" w:themeColor="text1"/>
        </w:rPr>
        <w:t xml:space="preserve"> species</w:t>
      </w:r>
      <w:r w:rsidR="00211E92" w:rsidRPr="00CB10DF">
        <w:rPr>
          <w:rFonts w:ascii="Times New Roman" w:eastAsia="Times New Roman" w:hAnsi="Times New Roman" w:cs="Times New Roman"/>
          <w:color w:val="000000" w:themeColor="text1"/>
        </w:rPr>
        <w:t xml:space="preserve"> (</w:t>
      </w:r>
      <w:proofErr w:type="spellStart"/>
      <w:r w:rsidRPr="00CB10DF">
        <w:rPr>
          <w:rFonts w:ascii="Times New Roman" w:eastAsia="Times New Roman" w:hAnsi="Times New Roman" w:cs="Times New Roman"/>
          <w:i/>
          <w:color w:val="000000" w:themeColor="text1"/>
        </w:rPr>
        <w:t>Aeshna</w:t>
      </w:r>
      <w:proofErr w:type="spellEnd"/>
      <w:r w:rsidRPr="00CB10DF">
        <w:rPr>
          <w:rFonts w:ascii="Times New Roman" w:eastAsia="Times New Roman" w:hAnsi="Times New Roman" w:cs="Times New Roman"/>
          <w:i/>
          <w:color w:val="000000" w:themeColor="text1"/>
        </w:rPr>
        <w:t xml:space="preserve"> </w:t>
      </w:r>
      <w:proofErr w:type="spellStart"/>
      <w:r w:rsidRPr="00CB10DF">
        <w:rPr>
          <w:rFonts w:ascii="Times New Roman" w:eastAsia="Times New Roman" w:hAnsi="Times New Roman" w:cs="Times New Roman"/>
          <w:i/>
          <w:color w:val="000000" w:themeColor="text1"/>
        </w:rPr>
        <w:t>grandis</w:t>
      </w:r>
      <w:proofErr w:type="spellEnd"/>
      <w:r w:rsidRPr="00CB10DF">
        <w:rPr>
          <w:rFonts w:ascii="Times New Roman" w:eastAsia="Times New Roman" w:hAnsi="Times New Roman" w:cs="Times New Roman"/>
          <w:color w:val="000000" w:themeColor="text1"/>
        </w:rPr>
        <w:t xml:space="preserve">, </w:t>
      </w:r>
      <w:proofErr w:type="spellStart"/>
      <w:r w:rsidRPr="00CB10DF">
        <w:rPr>
          <w:rFonts w:ascii="Times New Roman" w:eastAsia="Times New Roman" w:hAnsi="Times New Roman" w:cs="Times New Roman"/>
          <w:i/>
          <w:color w:val="000000" w:themeColor="text1"/>
        </w:rPr>
        <w:t>Anax</w:t>
      </w:r>
      <w:proofErr w:type="spellEnd"/>
      <w:r w:rsidRPr="00CB10DF">
        <w:rPr>
          <w:rFonts w:ascii="Times New Roman" w:eastAsia="Times New Roman" w:hAnsi="Times New Roman" w:cs="Times New Roman"/>
          <w:i/>
          <w:color w:val="000000" w:themeColor="text1"/>
        </w:rPr>
        <w:t xml:space="preserve"> imperator</w:t>
      </w:r>
      <w:r w:rsidRPr="00CB10DF">
        <w:rPr>
          <w:rFonts w:ascii="Times New Roman" w:eastAsia="Times New Roman" w:hAnsi="Times New Roman" w:cs="Times New Roman"/>
          <w:color w:val="000000" w:themeColor="text1"/>
        </w:rPr>
        <w:t xml:space="preserve"> and </w:t>
      </w:r>
      <w:r w:rsidRPr="00CB10DF">
        <w:rPr>
          <w:rFonts w:ascii="Times New Roman" w:eastAsia="Times New Roman" w:hAnsi="Times New Roman" w:cs="Times New Roman"/>
          <w:i/>
          <w:color w:val="000000" w:themeColor="text1"/>
        </w:rPr>
        <w:t xml:space="preserve">B. </w:t>
      </w:r>
      <w:proofErr w:type="spellStart"/>
      <w:r w:rsidRPr="00CB10DF">
        <w:rPr>
          <w:rFonts w:ascii="Times New Roman" w:eastAsia="Times New Roman" w:hAnsi="Times New Roman" w:cs="Times New Roman"/>
          <w:i/>
          <w:color w:val="000000" w:themeColor="text1"/>
        </w:rPr>
        <w:t>pr</w:t>
      </w:r>
      <w:r w:rsidR="004F5E03" w:rsidRPr="00CB10DF">
        <w:rPr>
          <w:rFonts w:ascii="Times New Roman" w:eastAsia="Times New Roman" w:hAnsi="Times New Roman" w:cs="Times New Roman"/>
          <w:i/>
          <w:color w:val="000000" w:themeColor="text1"/>
        </w:rPr>
        <w:t>a</w:t>
      </w:r>
      <w:r w:rsidRPr="00CB10DF">
        <w:rPr>
          <w:rFonts w:ascii="Times New Roman" w:eastAsia="Times New Roman" w:hAnsi="Times New Roman" w:cs="Times New Roman"/>
          <w:i/>
          <w:color w:val="000000" w:themeColor="text1"/>
        </w:rPr>
        <w:t>tense</w:t>
      </w:r>
      <w:proofErr w:type="spellEnd"/>
      <w:r w:rsidR="00211E92" w:rsidRPr="00CB10DF">
        <w:rPr>
          <w:rFonts w:ascii="Times New Roman" w:eastAsia="Times New Roman" w:hAnsi="Times New Roman" w:cs="Times New Roman"/>
          <w:color w:val="000000" w:themeColor="text1"/>
        </w:rPr>
        <w:t>)</w:t>
      </w:r>
      <w:r w:rsidRPr="00CB10DF">
        <w:rPr>
          <w:rFonts w:ascii="Times New Roman" w:eastAsia="Times New Roman" w:hAnsi="Times New Roman" w:cs="Times New Roman"/>
          <w:color w:val="000000" w:themeColor="text1"/>
        </w:rPr>
        <w:t xml:space="preserve"> also exhibit a significant effect of sex on wing length responses to temperature </w:t>
      </w:r>
      <w:r w:rsidRPr="00CB10DF">
        <w:rPr>
          <w:rFonts w:ascii="Times New Roman" w:eastAsia="Times New Roman" w:hAnsi="Times New Roman" w:cs="Times New Roman"/>
          <w:color w:val="000000" w:themeColor="text1"/>
        </w:rPr>
        <w:lastRenderedPageBreak/>
        <w:t>(Table 2</w:t>
      </w:r>
      <w:r w:rsidR="006053E2" w:rsidRPr="00CB10DF">
        <w:rPr>
          <w:rFonts w:ascii="Times New Roman" w:eastAsia="Times New Roman" w:hAnsi="Times New Roman" w:cs="Times New Roman"/>
          <w:color w:val="000000" w:themeColor="text1"/>
        </w:rPr>
        <w:t>)</w:t>
      </w:r>
      <w:r w:rsidR="00491DFC" w:rsidRPr="00CB10DF">
        <w:rPr>
          <w:rFonts w:ascii="Times New Roman" w:eastAsia="Times New Roman" w:hAnsi="Times New Roman" w:cs="Times New Roman"/>
          <w:color w:val="000000" w:themeColor="text1"/>
        </w:rPr>
        <w:t>, which indicate</w:t>
      </w:r>
      <w:r w:rsidR="001B563D" w:rsidRPr="00CB10DF">
        <w:rPr>
          <w:rFonts w:ascii="Times New Roman" w:eastAsia="Times New Roman" w:hAnsi="Times New Roman" w:cs="Times New Roman"/>
          <w:color w:val="000000" w:themeColor="text1"/>
        </w:rPr>
        <w:t>s that</w:t>
      </w:r>
      <w:r w:rsidR="00491DFC" w:rsidRPr="00CB10DF">
        <w:rPr>
          <w:rFonts w:ascii="Times New Roman" w:eastAsia="Times New Roman" w:hAnsi="Times New Roman" w:cs="Times New Roman"/>
          <w:color w:val="000000" w:themeColor="text1"/>
        </w:rPr>
        <w:t xml:space="preserve"> wing length responses are different in magnitude or direction between </w:t>
      </w:r>
      <w:r w:rsidR="001B563D" w:rsidRPr="00CB10DF">
        <w:rPr>
          <w:rFonts w:ascii="Times New Roman" w:eastAsia="Times New Roman" w:hAnsi="Times New Roman" w:cs="Times New Roman"/>
          <w:color w:val="000000" w:themeColor="text1"/>
        </w:rPr>
        <w:t xml:space="preserve">the </w:t>
      </w:r>
      <w:r w:rsidR="00491DFC" w:rsidRPr="00CB10DF">
        <w:rPr>
          <w:rFonts w:ascii="Times New Roman" w:eastAsia="Times New Roman" w:hAnsi="Times New Roman" w:cs="Times New Roman"/>
          <w:color w:val="000000" w:themeColor="text1"/>
        </w:rPr>
        <w:t>sex</w:t>
      </w:r>
      <w:r w:rsidR="001B563D" w:rsidRPr="00CB10DF">
        <w:rPr>
          <w:rFonts w:ascii="Times New Roman" w:eastAsia="Times New Roman" w:hAnsi="Times New Roman" w:cs="Times New Roman"/>
          <w:color w:val="000000" w:themeColor="text1"/>
        </w:rPr>
        <w:t>es</w:t>
      </w:r>
      <w:r w:rsidR="00E3550F" w:rsidRPr="00CB10DF">
        <w:rPr>
          <w:rFonts w:ascii="Times New Roman" w:eastAsia="Times New Roman" w:hAnsi="Times New Roman" w:cs="Times New Roman"/>
          <w:color w:val="000000" w:themeColor="text1"/>
        </w:rPr>
        <w:t>.</w:t>
      </w:r>
      <w:r w:rsidR="00491DFC" w:rsidRPr="00CB10DF">
        <w:rPr>
          <w:rFonts w:ascii="Times New Roman" w:eastAsia="Times New Roman" w:hAnsi="Times New Roman" w:cs="Times New Roman"/>
          <w:color w:val="000000" w:themeColor="text1"/>
        </w:rPr>
        <w:t xml:space="preserve"> </w:t>
      </w:r>
      <w:r w:rsidR="00E3550F" w:rsidRPr="00CB10DF">
        <w:rPr>
          <w:rFonts w:ascii="Times New Roman" w:eastAsia="Times New Roman" w:hAnsi="Times New Roman" w:cs="Times New Roman"/>
          <w:color w:val="000000" w:themeColor="text1"/>
          <w:szCs w:val="22"/>
          <w:lang w:val="en-GB" w:eastAsia="en-GB"/>
        </w:rPr>
        <w:t>I</w:t>
      </w:r>
      <w:r w:rsidR="00F77625" w:rsidRPr="00CB10DF">
        <w:rPr>
          <w:rFonts w:ascii="Times New Roman" w:eastAsia="Times New Roman" w:hAnsi="Times New Roman" w:cs="Times New Roman"/>
          <w:color w:val="000000" w:themeColor="text1"/>
          <w:szCs w:val="22"/>
          <w:lang w:val="en-GB" w:eastAsia="en-GB"/>
        </w:rPr>
        <w:t xml:space="preserve">t seems females have more sensitivity to temperature, </w:t>
      </w:r>
      <w:r w:rsidR="00E3550F" w:rsidRPr="00CB10DF">
        <w:rPr>
          <w:rFonts w:ascii="Times New Roman" w:eastAsia="Times New Roman" w:hAnsi="Times New Roman" w:cs="Times New Roman"/>
          <w:color w:val="000000" w:themeColor="text1"/>
          <w:szCs w:val="22"/>
          <w:lang w:val="en-GB" w:eastAsia="en-GB"/>
        </w:rPr>
        <w:t xml:space="preserve">but </w:t>
      </w:r>
      <w:r w:rsidR="00F77625" w:rsidRPr="00CB10DF">
        <w:rPr>
          <w:rFonts w:ascii="Times New Roman" w:eastAsia="Times New Roman" w:hAnsi="Times New Roman" w:cs="Times New Roman"/>
          <w:color w:val="000000" w:themeColor="text1"/>
          <w:szCs w:val="22"/>
          <w:lang w:val="en-GB" w:eastAsia="en-GB"/>
        </w:rPr>
        <w:t xml:space="preserve">wing length responses </w:t>
      </w:r>
      <w:r w:rsidR="00E3550F" w:rsidRPr="00CB10DF">
        <w:rPr>
          <w:rFonts w:ascii="Times New Roman" w:eastAsia="Times New Roman" w:hAnsi="Times New Roman" w:cs="Times New Roman"/>
          <w:color w:val="000000" w:themeColor="text1"/>
          <w:szCs w:val="22"/>
          <w:lang w:val="en-GB" w:eastAsia="en-GB"/>
        </w:rPr>
        <w:t xml:space="preserve">in </w:t>
      </w:r>
      <w:r w:rsidR="00211E92" w:rsidRPr="00CB10DF">
        <w:rPr>
          <w:rFonts w:ascii="Times New Roman" w:eastAsia="Times New Roman" w:hAnsi="Times New Roman" w:cs="Times New Roman"/>
          <w:color w:val="000000" w:themeColor="text1"/>
          <w:szCs w:val="22"/>
          <w:lang w:val="en-GB" w:eastAsia="en-GB"/>
        </w:rPr>
        <w:t>both</w:t>
      </w:r>
      <w:r w:rsidR="00F77625" w:rsidRPr="00CB10DF">
        <w:rPr>
          <w:rFonts w:ascii="Times New Roman" w:eastAsia="Times New Roman" w:hAnsi="Times New Roman" w:cs="Times New Roman"/>
          <w:color w:val="000000" w:themeColor="text1"/>
          <w:szCs w:val="22"/>
          <w:lang w:val="en-GB" w:eastAsia="en-GB"/>
        </w:rPr>
        <w:t xml:space="preserve"> sex</w:t>
      </w:r>
      <w:r w:rsidR="00211E92" w:rsidRPr="00CB10DF">
        <w:rPr>
          <w:rFonts w:ascii="Times New Roman" w:eastAsia="Times New Roman" w:hAnsi="Times New Roman" w:cs="Times New Roman"/>
          <w:color w:val="000000" w:themeColor="text1"/>
          <w:szCs w:val="22"/>
          <w:lang w:val="en-GB" w:eastAsia="en-GB"/>
        </w:rPr>
        <w:t>es</w:t>
      </w:r>
      <w:r w:rsidR="00F77625" w:rsidRPr="00CB10DF">
        <w:rPr>
          <w:rFonts w:ascii="Times New Roman" w:eastAsia="Times New Roman" w:hAnsi="Times New Roman" w:cs="Times New Roman"/>
          <w:color w:val="000000" w:themeColor="text1"/>
          <w:szCs w:val="22"/>
          <w:lang w:val="en-GB" w:eastAsia="en-GB"/>
        </w:rPr>
        <w:t xml:space="preserve"> are non-significant (</w:t>
      </w:r>
      <w:r w:rsidR="00F437FA" w:rsidRPr="00CB10DF">
        <w:rPr>
          <w:rFonts w:ascii="Times New Roman" w:eastAsia="Times New Roman" w:hAnsi="Times New Roman" w:cs="Times New Roman"/>
          <w:color w:val="000000" w:themeColor="text1"/>
          <w:szCs w:val="22"/>
          <w:lang w:val="en-GB" w:eastAsia="en-GB"/>
        </w:rPr>
        <w:t>F</w:t>
      </w:r>
      <w:r w:rsidR="00F77625" w:rsidRPr="00CB10DF">
        <w:rPr>
          <w:rFonts w:ascii="Times New Roman" w:eastAsia="Times New Roman" w:hAnsi="Times New Roman" w:cs="Times New Roman"/>
          <w:color w:val="000000" w:themeColor="text1"/>
          <w:szCs w:val="22"/>
          <w:lang w:val="en-GB" w:eastAsia="en-GB"/>
        </w:rPr>
        <w:t>igure</w:t>
      </w:r>
      <w:r w:rsidR="00F437FA" w:rsidRPr="00CB10DF">
        <w:rPr>
          <w:rFonts w:ascii="Times New Roman" w:eastAsia="Times New Roman" w:hAnsi="Times New Roman" w:cs="Times New Roman"/>
          <w:color w:val="000000" w:themeColor="text1"/>
          <w:szCs w:val="22"/>
          <w:lang w:val="en-GB" w:eastAsia="en-GB"/>
        </w:rPr>
        <w:t xml:space="preserve"> </w:t>
      </w:r>
      <w:r w:rsidR="00F77625" w:rsidRPr="00CB10DF">
        <w:rPr>
          <w:rFonts w:ascii="Times New Roman" w:eastAsia="Times New Roman" w:hAnsi="Times New Roman" w:cs="Times New Roman"/>
          <w:color w:val="000000" w:themeColor="text1"/>
          <w:szCs w:val="22"/>
          <w:lang w:val="en-GB" w:eastAsia="en-GB"/>
        </w:rPr>
        <w:t xml:space="preserve">1a-1d and </w:t>
      </w:r>
      <w:r w:rsidR="00F437FA" w:rsidRPr="00CB10DF">
        <w:rPr>
          <w:rFonts w:ascii="Times New Roman" w:eastAsia="Times New Roman" w:hAnsi="Times New Roman" w:cs="Times New Roman"/>
          <w:color w:val="000000" w:themeColor="text1"/>
          <w:szCs w:val="22"/>
          <w:lang w:val="en-GB" w:eastAsia="en-GB"/>
        </w:rPr>
        <w:t>F</w:t>
      </w:r>
      <w:r w:rsidR="00F77625" w:rsidRPr="00CB10DF">
        <w:rPr>
          <w:rFonts w:ascii="Times New Roman" w:eastAsia="Times New Roman" w:hAnsi="Times New Roman" w:cs="Times New Roman"/>
          <w:color w:val="000000" w:themeColor="text1"/>
          <w:szCs w:val="22"/>
          <w:lang w:val="en-GB" w:eastAsia="en-GB"/>
        </w:rPr>
        <w:t>igure</w:t>
      </w:r>
      <w:r w:rsidR="00F437FA" w:rsidRPr="00CB10DF">
        <w:rPr>
          <w:rFonts w:ascii="Times New Roman" w:eastAsia="Times New Roman" w:hAnsi="Times New Roman" w:cs="Times New Roman"/>
          <w:color w:val="000000" w:themeColor="text1"/>
          <w:szCs w:val="22"/>
          <w:lang w:val="en-GB" w:eastAsia="en-GB"/>
        </w:rPr>
        <w:t xml:space="preserve"> </w:t>
      </w:r>
      <w:r w:rsidR="00F77625" w:rsidRPr="00CB10DF">
        <w:rPr>
          <w:rFonts w:ascii="Times New Roman" w:eastAsia="Times New Roman" w:hAnsi="Times New Roman" w:cs="Times New Roman"/>
          <w:color w:val="000000" w:themeColor="text1"/>
          <w:szCs w:val="22"/>
          <w:lang w:val="en-GB" w:eastAsia="en-GB"/>
        </w:rPr>
        <w:t>2a-2d)</w:t>
      </w:r>
      <w:r w:rsidR="00F77625" w:rsidRPr="00CB10DF">
        <w:rPr>
          <w:rFonts w:ascii="Times New Roman" w:eastAsia="Times New Roman" w:hAnsi="Times New Roman" w:cs="Times New Roman"/>
          <w:color w:val="000000" w:themeColor="text1"/>
        </w:rPr>
        <w:t>.</w:t>
      </w:r>
    </w:p>
    <w:p w14:paraId="425C760C" w14:textId="66BF265D" w:rsidR="00FE384D" w:rsidRPr="00CB10DF" w:rsidRDefault="00FE384D" w:rsidP="00FE384D">
      <w:pPr>
        <w:spacing w:before="240" w:after="240" w:line="480" w:lineRule="auto"/>
        <w:jc w:val="both"/>
        <w:rPr>
          <w:rFonts w:ascii="Times New Roman" w:eastAsia="Times New Roman" w:hAnsi="Times New Roman" w:cs="Times New Roman"/>
          <w:color w:val="000000" w:themeColor="text1"/>
        </w:rPr>
      </w:pPr>
      <w:r w:rsidRPr="00CB10DF">
        <w:rPr>
          <w:rFonts w:ascii="Times New Roman" w:eastAsia="Times New Roman" w:hAnsi="Times New Roman" w:cs="Times New Roman"/>
          <w:color w:val="000000" w:themeColor="text1"/>
        </w:rPr>
        <w:t xml:space="preserve">The stepwise regression analysis shows significantly smaller wing length with later </w:t>
      </w:r>
      <w:r w:rsidR="00642605" w:rsidRPr="00CB10DF">
        <w:rPr>
          <w:rFonts w:ascii="Times New Roman" w:eastAsia="Times New Roman" w:hAnsi="Times New Roman" w:cs="Times New Roman"/>
          <w:color w:val="000000" w:themeColor="text1"/>
        </w:rPr>
        <w:t xml:space="preserve">collection date </w:t>
      </w:r>
      <w:r w:rsidRPr="00CB10DF">
        <w:rPr>
          <w:rFonts w:ascii="Times New Roman" w:eastAsia="Times New Roman" w:hAnsi="Times New Roman" w:cs="Times New Roman"/>
          <w:color w:val="000000" w:themeColor="text1"/>
        </w:rPr>
        <w:t>in all six Zygoptera (</w:t>
      </w:r>
      <w:r w:rsidRPr="00CB10DF">
        <w:rPr>
          <w:rFonts w:ascii="Times New Roman" w:eastAsia="Times New Roman" w:hAnsi="Times New Roman" w:cs="Times New Roman"/>
          <w:i/>
          <w:color w:val="000000" w:themeColor="text1"/>
        </w:rPr>
        <w:t>p</w:t>
      </w:r>
      <w:r w:rsidRPr="00CB10DF">
        <w:rPr>
          <w:rFonts w:ascii="Times New Roman" w:eastAsia="Times New Roman" w:hAnsi="Times New Roman" w:cs="Times New Roman"/>
          <w:color w:val="000000" w:themeColor="text1"/>
        </w:rPr>
        <w:t>&lt;0.01; Figure 4a). Whereas Anisoptera species exhibit non-significant wing length difference across the emergence season (</w:t>
      </w:r>
      <w:r w:rsidRPr="00CB10DF">
        <w:rPr>
          <w:rFonts w:ascii="Times New Roman" w:eastAsia="Times New Roman" w:hAnsi="Times New Roman" w:cs="Times New Roman"/>
          <w:i/>
          <w:color w:val="000000" w:themeColor="text1"/>
        </w:rPr>
        <w:t>p</w:t>
      </w:r>
      <w:r w:rsidRPr="00CB10DF">
        <w:rPr>
          <w:rFonts w:ascii="Times New Roman" w:eastAsia="Times New Roman" w:hAnsi="Times New Roman" w:cs="Times New Roman"/>
          <w:color w:val="000000" w:themeColor="text1"/>
        </w:rPr>
        <w:t>&gt;0.05; Figure 4b).</w:t>
      </w:r>
    </w:p>
    <w:p w14:paraId="70297715" w14:textId="77777777" w:rsidR="00FE384D" w:rsidRPr="00CB10DF" w:rsidRDefault="00FE384D" w:rsidP="00FE384D">
      <w:pPr>
        <w:spacing w:before="240" w:after="240" w:line="480" w:lineRule="auto"/>
        <w:jc w:val="both"/>
        <w:rPr>
          <w:rFonts w:ascii="Times New Roman" w:eastAsia="Times New Roman" w:hAnsi="Times New Roman" w:cs="Times New Roman"/>
          <w:color w:val="000000" w:themeColor="text1"/>
        </w:rPr>
      </w:pPr>
      <w:r w:rsidRPr="00CB10DF">
        <w:rPr>
          <w:rFonts w:ascii="Times New Roman" w:eastAsia="Times New Roman" w:hAnsi="Times New Roman" w:cs="Times New Roman"/>
          <w:color w:val="000000" w:themeColor="text1"/>
          <w:highlight w:val="white"/>
        </w:rPr>
        <w:t xml:space="preserve">A significantly different wing length response is noted between Anisoptera and Zygoptera (Figure 3b). Thus, when comparing across all species, using the linear-mixed effects model, we incorporated suborder as a random effect variable </w:t>
      </w:r>
      <w:r w:rsidRPr="00CB10DF">
        <w:rPr>
          <w:rFonts w:ascii="Times New Roman" w:eastAsia="Times New Roman" w:hAnsi="Times New Roman" w:cs="Times New Roman"/>
          <w:i/>
          <w:color w:val="000000" w:themeColor="text1"/>
          <w:highlight w:val="white"/>
        </w:rPr>
        <w:t>in lieu</w:t>
      </w:r>
      <w:r w:rsidRPr="00CB10DF">
        <w:rPr>
          <w:rFonts w:ascii="Times New Roman" w:eastAsia="Times New Roman" w:hAnsi="Times New Roman" w:cs="Times New Roman"/>
          <w:color w:val="000000" w:themeColor="text1"/>
          <w:highlight w:val="white"/>
        </w:rPr>
        <w:t xml:space="preserve"> of correcting for phylogeny</w:t>
      </w:r>
      <w:r w:rsidRPr="00CB10DF">
        <w:rPr>
          <w:rFonts w:ascii="Times New Roman" w:eastAsia="Times New Roman" w:hAnsi="Times New Roman" w:cs="Times New Roman"/>
          <w:color w:val="000000" w:themeColor="text1"/>
        </w:rPr>
        <w:t>.</w:t>
      </w:r>
    </w:p>
    <w:p w14:paraId="01CA60D6" w14:textId="77777777" w:rsidR="00FE384D" w:rsidRPr="00CB10DF" w:rsidRDefault="00FE384D" w:rsidP="00FE384D">
      <w:pPr>
        <w:spacing w:before="240" w:after="240" w:line="480" w:lineRule="auto"/>
        <w:jc w:val="both"/>
        <w:rPr>
          <w:rFonts w:ascii="Times New Roman" w:eastAsia="Times New Roman" w:hAnsi="Times New Roman" w:cs="Times New Roman"/>
          <w:color w:val="000000" w:themeColor="text1"/>
        </w:rPr>
      </w:pPr>
      <w:r w:rsidRPr="00CB10DF">
        <w:rPr>
          <w:rFonts w:ascii="Times New Roman" w:eastAsia="Times New Roman" w:hAnsi="Times New Roman" w:cs="Times New Roman"/>
          <w:color w:val="000000" w:themeColor="text1"/>
        </w:rPr>
        <w:t xml:space="preserve">The linear-mixed effects model indicated that the inclusion of species, sex and particularly suborder, was the best predictive model for wing length variation of Odonata (Table S3 in appendix; Table 3). Given the importance of suborder in the linear-mixed effects model, an independent samples </w:t>
      </w:r>
      <w:r w:rsidRPr="00CB10DF">
        <w:rPr>
          <w:rFonts w:ascii="Times New Roman" w:eastAsia="Times New Roman" w:hAnsi="Times New Roman" w:cs="Times New Roman"/>
          <w:i/>
          <w:color w:val="000000" w:themeColor="text1"/>
        </w:rPr>
        <w:t>t</w:t>
      </w:r>
      <w:r w:rsidRPr="00CB10DF">
        <w:rPr>
          <w:rFonts w:ascii="Times New Roman" w:eastAsia="Times New Roman" w:hAnsi="Times New Roman" w:cs="Times New Roman"/>
          <w:color w:val="000000" w:themeColor="text1"/>
        </w:rPr>
        <w:t>-test was run between percent wing length change per degree temperature change between Anisoptera and Zygoptera, which indicated a significant difference of magnitude of wing length change (</w:t>
      </w:r>
      <w:r w:rsidRPr="00CB10DF">
        <w:rPr>
          <w:rFonts w:ascii="Times New Roman" w:eastAsia="Times New Roman" w:hAnsi="Times New Roman" w:cs="Times New Roman"/>
          <w:i/>
          <w:color w:val="000000" w:themeColor="text1"/>
        </w:rPr>
        <w:t>p</w:t>
      </w:r>
      <w:r w:rsidRPr="00CB10DF">
        <w:rPr>
          <w:rFonts w:ascii="Times New Roman" w:eastAsia="Times New Roman" w:hAnsi="Times New Roman" w:cs="Times New Roman"/>
          <w:color w:val="000000" w:themeColor="text1"/>
        </w:rPr>
        <w:t>&lt;0.01; Figure 3b). On average, the wing length in Zygoptera decreases by 1.10mm (SE=0.81) per ºC, whereas the wing lengths of Anisoptera as a whole, do not change with temperature (0.39mm, SE=0.49).</w:t>
      </w:r>
    </w:p>
    <w:p w14:paraId="4BF19D20" w14:textId="77777777" w:rsidR="00FE384D" w:rsidRPr="00CB10DF" w:rsidRDefault="00FE384D" w:rsidP="00FE384D">
      <w:pPr>
        <w:spacing w:before="240" w:after="240" w:line="480" w:lineRule="auto"/>
        <w:jc w:val="both"/>
        <w:rPr>
          <w:rFonts w:ascii="Times New Roman" w:eastAsia="Times New Roman" w:hAnsi="Times New Roman" w:cs="Times New Roman"/>
          <w:b/>
          <w:color w:val="000000" w:themeColor="text1"/>
        </w:rPr>
      </w:pPr>
      <w:r w:rsidRPr="00CB10DF">
        <w:rPr>
          <w:rFonts w:ascii="Times New Roman" w:eastAsia="Times New Roman" w:hAnsi="Times New Roman" w:cs="Times New Roman"/>
          <w:b/>
          <w:color w:val="000000" w:themeColor="text1"/>
        </w:rPr>
        <w:t>Discussion</w:t>
      </w:r>
    </w:p>
    <w:p w14:paraId="0F25B4FD" w14:textId="3DB12D87" w:rsidR="00FE384D" w:rsidRPr="00CB10DF" w:rsidRDefault="00FE384D" w:rsidP="00FE384D">
      <w:pPr>
        <w:spacing w:before="240" w:after="240" w:line="480" w:lineRule="auto"/>
        <w:jc w:val="both"/>
        <w:rPr>
          <w:rFonts w:ascii="Times New Roman" w:eastAsia="Times New Roman" w:hAnsi="Times New Roman" w:cs="Times New Roman"/>
          <w:color w:val="000000" w:themeColor="text1"/>
        </w:rPr>
      </w:pPr>
      <w:r w:rsidRPr="00CB10DF">
        <w:rPr>
          <w:rFonts w:ascii="Times New Roman" w:eastAsia="Times New Roman" w:hAnsi="Times New Roman" w:cs="Times New Roman"/>
          <w:color w:val="000000" w:themeColor="text1"/>
        </w:rPr>
        <w:lastRenderedPageBreak/>
        <w:t>There are many different factors that need to be considered when investigating body size response to temperature in insects, including voltinism type, overwintering stage, phylogenetic relationships, and sex. These factors also affect which temperature variables should be used for examining temperature-size responses. Although we find no universal response to temperature and its proxies, we find that Zygoptera tend to have stronger and more consistent responses to seasonal temperature and collecting date than Anisoptera. Also, suborder is indicated as the most important factor affecting the direction and magnitude of wing length responses to temperature. Below we will discuss the likely causes of these results and their implications for future trajectories of temperature</w:t>
      </w:r>
      <w:r w:rsidR="00642605" w:rsidRPr="00CB10DF">
        <w:rPr>
          <w:rFonts w:ascii="Times New Roman" w:eastAsia="Times New Roman" w:hAnsi="Times New Roman" w:cs="Times New Roman"/>
          <w:color w:val="000000" w:themeColor="text1"/>
        </w:rPr>
        <w:t>-</w:t>
      </w:r>
      <w:r w:rsidRPr="00CB10DF">
        <w:rPr>
          <w:rFonts w:ascii="Times New Roman" w:eastAsia="Times New Roman" w:hAnsi="Times New Roman" w:cs="Times New Roman"/>
          <w:color w:val="000000" w:themeColor="text1"/>
        </w:rPr>
        <w:t>size responses in Odonata.</w:t>
      </w:r>
    </w:p>
    <w:p w14:paraId="0761D819" w14:textId="096177A7" w:rsidR="00FE384D" w:rsidRPr="00CB10DF" w:rsidRDefault="00FE384D" w:rsidP="00FE384D">
      <w:pPr>
        <w:spacing w:before="240" w:after="240" w:line="480" w:lineRule="auto"/>
        <w:jc w:val="both"/>
        <w:rPr>
          <w:rFonts w:ascii="Times New Roman" w:eastAsia="Times New Roman" w:hAnsi="Times New Roman" w:cs="Times New Roman"/>
          <w:color w:val="000000" w:themeColor="text1"/>
        </w:rPr>
      </w:pPr>
      <w:r w:rsidRPr="00CB10DF">
        <w:rPr>
          <w:rFonts w:ascii="Times New Roman" w:eastAsia="Times New Roman" w:hAnsi="Times New Roman" w:cs="Times New Roman"/>
          <w:color w:val="000000" w:themeColor="text1"/>
        </w:rPr>
        <w:t xml:space="preserve">There were significant negative correlations between wing length of Zygoptera species and mean seasonal temperature, in particular mean temperature of autumn y-1 and mean temperature of spring y0 (Figures 1 and 2). This response corresponds with the temperature-size rule </w:t>
      </w:r>
      <w:r w:rsidR="0039509E" w:rsidRPr="00CB10DF">
        <w:rPr>
          <w:rFonts w:ascii="Times New Roman" w:eastAsia="Times New Roman" w:hAnsi="Times New Roman" w:cs="Times New Roman"/>
          <w:color w:val="000000" w:themeColor="text1"/>
        </w:rPr>
        <w:fldChar w:fldCharType="begin" w:fldLock="1"/>
      </w:r>
      <w:r w:rsidR="0039509E" w:rsidRPr="00CB10DF">
        <w:rPr>
          <w:rFonts w:ascii="Times New Roman" w:eastAsia="Times New Roman" w:hAnsi="Times New Roman" w:cs="Times New Roman"/>
          <w:color w:val="000000" w:themeColor="text1"/>
        </w:rPr>
        <w:instrText>ADDIN CSL_CITATION {"citationItems":[{"id":"ITEM-1","itemData":{"DOI":"10.1016/S0065-2504(08)60212-3","ISBN":"9780120139255","ISSN":"00652504","PMID":"1424779","abstract":"For plants. protists and that vast majority of animals that rely on external sources for body heat (ectotherms). temperature is a particularly important and widespread correlate of differences in size between seasons and from one generation to the next. This includes the economically important differences between years in the yields of crops harvested at maturity such as cereals. © 1994, Academic Press Limited","author":[{"dropping-particle":"","family":"Atkinson","given":"D.","non-dropping-particle":"","parse-names":false,"suffix":""}],"container-title":"Advances in Ecological Research","id":"ITEM-1","issue":"C","issued":{"date-parts":[["1994"]]},"page":"1-58","title":"Temperature and Organism Size—A Biological Law for Ectotherms?","type":"article-journal","volume":"25"},"uris":["http://www.mendeley.com/documents/?uuid=2b2c5563-1c4c-4f74-9bbd-206ceedd06f4"]}],"mendeley":{"formattedCitation":"(Atkinson, 1994b)","manualFormatting":"(Atkinson, 1994)","plainTextFormattedCitation":"(Atkinson, 1994b)","previouslyFormattedCitation":"(Atkinson, 1994b)"},"properties":{"noteIndex":0},"schema":"https://github.com/citation-style-language/schema/raw/master/csl-citation.json"}</w:instrText>
      </w:r>
      <w:r w:rsidR="0039509E" w:rsidRPr="00CB10DF">
        <w:rPr>
          <w:rFonts w:ascii="Times New Roman" w:eastAsia="Times New Roman" w:hAnsi="Times New Roman" w:cs="Times New Roman"/>
          <w:color w:val="000000" w:themeColor="text1"/>
        </w:rPr>
        <w:fldChar w:fldCharType="separate"/>
      </w:r>
      <w:r w:rsidR="0039509E" w:rsidRPr="00CB10DF">
        <w:rPr>
          <w:rFonts w:ascii="Times New Roman" w:eastAsia="Times New Roman" w:hAnsi="Times New Roman" w:cs="Times New Roman"/>
          <w:noProof/>
          <w:color w:val="000000" w:themeColor="text1"/>
        </w:rPr>
        <w:t>(Atkinson, 1994)</w:t>
      </w:r>
      <w:r w:rsidR="0039509E" w:rsidRPr="00CB10DF">
        <w:rPr>
          <w:rFonts w:ascii="Times New Roman" w:eastAsia="Times New Roman" w:hAnsi="Times New Roman" w:cs="Times New Roman"/>
          <w:color w:val="000000" w:themeColor="text1"/>
        </w:rPr>
        <w:fldChar w:fldCharType="end"/>
      </w:r>
      <w:r w:rsidRPr="00CB10DF">
        <w:rPr>
          <w:rFonts w:ascii="Times New Roman" w:eastAsia="Times New Roman" w:hAnsi="Times New Roman" w:cs="Times New Roman"/>
          <w:color w:val="000000" w:themeColor="text1"/>
        </w:rPr>
        <w:t xml:space="preserve">, as smaller body sizes are found in warmer temperatures. Higher temperatures disproportionately increase developmental rate, resulting in smaller adults </w:t>
      </w:r>
      <w:r w:rsidR="0039509E" w:rsidRPr="00CB10DF">
        <w:rPr>
          <w:rFonts w:ascii="Times New Roman" w:eastAsia="Times New Roman" w:hAnsi="Times New Roman" w:cs="Times New Roman"/>
          <w:color w:val="000000" w:themeColor="text1"/>
        </w:rPr>
        <w:fldChar w:fldCharType="begin" w:fldLock="1"/>
      </w:r>
      <w:r w:rsidR="0039509E" w:rsidRPr="00CB10DF">
        <w:rPr>
          <w:rFonts w:ascii="Times New Roman" w:eastAsia="Times New Roman" w:hAnsi="Times New Roman" w:cs="Times New Roman"/>
          <w:color w:val="000000" w:themeColor="text1"/>
        </w:rPr>
        <w:instrText>ADDIN CSL_CITATION {"citationItems":[{"id":"ITEM-1","itemData":{"DOI":"10.1016/S0065-2504(08)60212-3","ISBN":"9780120139255","ISSN":"00652504","PMID":"1424779","abstract":"For plants. protists and that vast majority of animals that rely on external sources for body heat (ectotherms). temperature is a particularly important and widespread correlate of differences in size between seasons and from one generation to the next. This includes the economically important differences between years in the yields of crops harvested at maturity such as cereals. © 1994, Academic Press Limited","author":[{"dropping-particle":"","family":"Atkinson","given":"D.","non-dropping-particle":"","parse-names":false,"suffix":""}],"container-title":"Advances in Ecological Research","id":"ITEM-1","issue":"C","issued":{"date-parts":[["1994"]]},"page":"1-58","title":"Temperature and Organism Size—A Biological Law for Ectotherms?","type":"article-journal","volume":"25"},"uris":["http://www.mendeley.com/documents/?uuid=2b2c5563-1c4c-4f74-9bbd-206ceedd06f4"]}],"mendeley":{"formattedCitation":"(Atkinson, 1994b)","manualFormatting":"(Atkinson, 1994","plainTextFormattedCitation":"(Atkinson, 1994b)","previouslyFormattedCitation":"(Atkinson, 1994b)"},"properties":{"noteIndex":0},"schema":"https://github.com/citation-style-language/schema/raw/master/csl-citation.json"}</w:instrText>
      </w:r>
      <w:r w:rsidR="0039509E" w:rsidRPr="00CB10DF">
        <w:rPr>
          <w:rFonts w:ascii="Times New Roman" w:eastAsia="Times New Roman" w:hAnsi="Times New Roman" w:cs="Times New Roman"/>
          <w:color w:val="000000" w:themeColor="text1"/>
        </w:rPr>
        <w:fldChar w:fldCharType="separate"/>
      </w:r>
      <w:r w:rsidR="0039509E" w:rsidRPr="00CB10DF">
        <w:rPr>
          <w:rFonts w:ascii="Times New Roman" w:eastAsia="Times New Roman" w:hAnsi="Times New Roman" w:cs="Times New Roman"/>
          <w:noProof/>
          <w:color w:val="000000" w:themeColor="text1"/>
        </w:rPr>
        <w:t>(Atkinson, 1994</w:t>
      </w:r>
      <w:r w:rsidR="0039509E" w:rsidRPr="00CB10DF">
        <w:rPr>
          <w:rFonts w:ascii="Times New Roman" w:eastAsia="Times New Roman" w:hAnsi="Times New Roman" w:cs="Times New Roman"/>
          <w:color w:val="000000" w:themeColor="text1"/>
        </w:rPr>
        <w:fldChar w:fldCharType="end"/>
      </w:r>
      <w:r w:rsidR="0039509E" w:rsidRPr="00CB10DF">
        <w:rPr>
          <w:rFonts w:ascii="Times New Roman" w:eastAsia="Times New Roman" w:hAnsi="Times New Roman" w:cs="Times New Roman"/>
          <w:color w:val="000000" w:themeColor="text1"/>
        </w:rPr>
        <w:t xml:space="preserve">, </w:t>
      </w:r>
      <w:r w:rsidR="0039509E" w:rsidRPr="00CB10DF">
        <w:rPr>
          <w:rFonts w:ascii="Times New Roman" w:eastAsia="Times New Roman" w:hAnsi="Times New Roman" w:cs="Times New Roman"/>
          <w:color w:val="000000" w:themeColor="text1"/>
        </w:rPr>
        <w:fldChar w:fldCharType="begin" w:fldLock="1"/>
      </w:r>
      <w:r w:rsidR="0039509E" w:rsidRPr="00CB10DF">
        <w:rPr>
          <w:rFonts w:ascii="Times New Roman" w:eastAsia="Times New Roman" w:hAnsi="Times New Roman" w:cs="Times New Roman"/>
          <w:color w:val="000000" w:themeColor="text1"/>
        </w:rPr>
        <w:instrText>ADDIN CSL_CITATION {"citationItems":[{"id":"ITEM-1","itemData":{"DOI":"10.1093/icb/44.6.498","ISBN":"1540-7063","ISSN":"1540-7063","PMID":"21676736","abstract":"The majority of ectotherms grow slower but mature at a larger body size in colder environments. This phenomenon has puzzled biologists because classic theories of life-history evolution predict smaller sizes at maturity in environments that retard growth. During the last decade, intensive theoretical and empirical research has generated some plausible explanations based on nonadaptive or adaptive plasticity. Nonadaptive plasticity of body size is hypothesized to result from thermal constraints on cellular growth that cause smaller cells at higher temperatures, but the generality of this theory is poorly supported. Adaptive plasticity is hypothesized to result from greater benefits or lesser costs of delayed maturation in colder environments. These theories seem to apply well to some species but not others. Thus, no single theory has been able to explain the generality of temperature-size relationships in ectotherms. We recommend a multivariate theory that focuses on the coevolution of thermal reaction norms for growth rate and size at maturity. Such a theory should incorporate functional constraints on thermal reaction norms, as well as the natural covariation between temperature and other environmental variables.","author":[{"dropping-particle":"","family":"Angilletta","given":"M. J.","non-dropping-particle":"","parse-names":false,"suffix":""}],"container-title":"Integrative and Comparative Biology","id":"ITEM-1","issue":"6","issued":{"date-parts":[["2004"]]},"page":"498-509","title":"Temperature, Growth Rate, and Body Size in Ectotherms: Fitting Pieces of a Life-History Puzzle","type":"article-journal","volume":"44"},"uris":["http://www.mendeley.com/documents/?uuid=5eccb371-78ac-40ec-845e-bf538299d99b"]}],"mendeley":{"formattedCitation":"(M. J. Angilletta, 2004)","manualFormatting":" Angilletta, 2004)","plainTextFormattedCitation":"(M. J. Angilletta, 2004)","previouslyFormattedCitation":"(M. J. Angilletta, 2004)"},"properties":{"noteIndex":0},"schema":"https://github.com/citation-style-language/schema/raw/master/csl-citation.json"}</w:instrText>
      </w:r>
      <w:r w:rsidR="0039509E" w:rsidRPr="00CB10DF">
        <w:rPr>
          <w:rFonts w:ascii="Times New Roman" w:eastAsia="Times New Roman" w:hAnsi="Times New Roman" w:cs="Times New Roman"/>
          <w:color w:val="000000" w:themeColor="text1"/>
        </w:rPr>
        <w:fldChar w:fldCharType="separate"/>
      </w:r>
      <w:r w:rsidR="0039509E" w:rsidRPr="00CB10DF">
        <w:rPr>
          <w:rFonts w:ascii="Times New Roman" w:eastAsia="Times New Roman" w:hAnsi="Times New Roman" w:cs="Times New Roman"/>
          <w:noProof/>
          <w:color w:val="000000" w:themeColor="text1"/>
        </w:rPr>
        <w:t xml:space="preserve"> Angilletta, 2004)</w:t>
      </w:r>
      <w:r w:rsidR="0039509E" w:rsidRPr="00CB10DF">
        <w:rPr>
          <w:rFonts w:ascii="Times New Roman" w:eastAsia="Times New Roman" w:hAnsi="Times New Roman" w:cs="Times New Roman"/>
          <w:color w:val="000000" w:themeColor="text1"/>
        </w:rPr>
        <w:fldChar w:fldCharType="end"/>
      </w:r>
      <w:r w:rsidRPr="00CB10DF">
        <w:rPr>
          <w:rFonts w:ascii="Times New Roman" w:eastAsia="Times New Roman" w:hAnsi="Times New Roman" w:cs="Times New Roman"/>
          <w:color w:val="000000" w:themeColor="text1"/>
        </w:rPr>
        <w:t xml:space="preserve">. In terms of life-history characters, some species are recorded as facultative </w:t>
      </w:r>
      <w:proofErr w:type="spellStart"/>
      <w:r w:rsidRPr="00CB10DF">
        <w:rPr>
          <w:rFonts w:ascii="Times New Roman" w:eastAsia="Times New Roman" w:hAnsi="Times New Roman" w:cs="Times New Roman"/>
          <w:color w:val="000000" w:themeColor="text1"/>
        </w:rPr>
        <w:t>univoltine</w:t>
      </w:r>
      <w:proofErr w:type="spellEnd"/>
      <w:r w:rsidRPr="00CB10DF">
        <w:rPr>
          <w:rFonts w:ascii="Times New Roman" w:eastAsia="Times New Roman" w:hAnsi="Times New Roman" w:cs="Times New Roman"/>
          <w:color w:val="000000" w:themeColor="text1"/>
        </w:rPr>
        <w:t xml:space="preserve"> species which can switch to a semivoltine lifecycle in parts of their distribution range. </w:t>
      </w:r>
      <w:proofErr w:type="spellStart"/>
      <w:r w:rsidRPr="00CB10DF">
        <w:rPr>
          <w:rFonts w:ascii="Times New Roman" w:eastAsia="Times New Roman" w:hAnsi="Times New Roman" w:cs="Times New Roman"/>
          <w:i/>
          <w:color w:val="000000" w:themeColor="text1"/>
        </w:rPr>
        <w:t>Coenagrion</w:t>
      </w:r>
      <w:proofErr w:type="spellEnd"/>
      <w:r w:rsidRPr="00CB10DF">
        <w:rPr>
          <w:rFonts w:ascii="Times New Roman" w:eastAsia="Times New Roman" w:hAnsi="Times New Roman" w:cs="Times New Roman"/>
          <w:color w:val="000000" w:themeColor="text1"/>
        </w:rPr>
        <w:t xml:space="preserve"> </w:t>
      </w:r>
      <w:proofErr w:type="spellStart"/>
      <w:r w:rsidRPr="00CB10DF">
        <w:rPr>
          <w:rFonts w:ascii="Times New Roman" w:eastAsia="Times New Roman" w:hAnsi="Times New Roman" w:cs="Times New Roman"/>
          <w:i/>
          <w:color w:val="000000" w:themeColor="text1"/>
        </w:rPr>
        <w:t>puella</w:t>
      </w:r>
      <w:proofErr w:type="spellEnd"/>
      <w:r w:rsidRPr="00CB10DF">
        <w:rPr>
          <w:rFonts w:ascii="Times New Roman" w:eastAsia="Times New Roman" w:hAnsi="Times New Roman" w:cs="Times New Roman"/>
          <w:color w:val="000000" w:themeColor="text1"/>
        </w:rPr>
        <w:t xml:space="preserve"> and </w:t>
      </w:r>
      <w:proofErr w:type="spellStart"/>
      <w:r w:rsidRPr="00CB10DF">
        <w:rPr>
          <w:rFonts w:ascii="Times New Roman" w:eastAsia="Times New Roman" w:hAnsi="Times New Roman" w:cs="Times New Roman"/>
          <w:i/>
          <w:color w:val="000000" w:themeColor="text1"/>
        </w:rPr>
        <w:t>Ischnura</w:t>
      </w:r>
      <w:proofErr w:type="spellEnd"/>
      <w:r w:rsidRPr="00CB10DF">
        <w:rPr>
          <w:rFonts w:ascii="Times New Roman" w:eastAsia="Times New Roman" w:hAnsi="Times New Roman" w:cs="Times New Roman"/>
          <w:i/>
          <w:color w:val="000000" w:themeColor="text1"/>
        </w:rPr>
        <w:t xml:space="preserve"> elegans </w:t>
      </w:r>
      <w:r w:rsidRPr="00CB10DF">
        <w:rPr>
          <w:rFonts w:ascii="Times New Roman" w:eastAsia="Times New Roman" w:hAnsi="Times New Roman" w:cs="Times New Roman"/>
          <w:color w:val="000000" w:themeColor="text1"/>
        </w:rPr>
        <w:t xml:space="preserve">(Zygoptera) have been recorded as facultative </w:t>
      </w:r>
      <w:proofErr w:type="spellStart"/>
      <w:r w:rsidRPr="00CB10DF">
        <w:rPr>
          <w:rFonts w:ascii="Times New Roman" w:eastAsia="Times New Roman" w:hAnsi="Times New Roman" w:cs="Times New Roman"/>
          <w:color w:val="000000" w:themeColor="text1"/>
        </w:rPr>
        <w:t>univoltine</w:t>
      </w:r>
      <w:proofErr w:type="spellEnd"/>
      <w:r w:rsidRPr="00CB10DF">
        <w:rPr>
          <w:rFonts w:ascii="Times New Roman" w:eastAsia="Times New Roman" w:hAnsi="Times New Roman" w:cs="Times New Roman"/>
          <w:color w:val="000000" w:themeColor="text1"/>
        </w:rPr>
        <w:t xml:space="preserve"> species in the UK </w:t>
      </w:r>
      <w:r w:rsidR="0039509E" w:rsidRPr="00CB10DF">
        <w:rPr>
          <w:rFonts w:ascii="Times New Roman" w:eastAsia="Times New Roman" w:hAnsi="Times New Roman" w:cs="Times New Roman"/>
          <w:color w:val="000000" w:themeColor="text1"/>
        </w:rPr>
        <w:fldChar w:fldCharType="begin" w:fldLock="1"/>
      </w:r>
      <w:r w:rsidR="008A7DCB" w:rsidRPr="00CB10DF">
        <w:rPr>
          <w:rFonts w:ascii="Times New Roman" w:eastAsia="Times New Roman" w:hAnsi="Times New Roman" w:cs="Times New Roman"/>
          <w:color w:val="000000" w:themeColor="text1"/>
        </w:rPr>
        <w:instrText>ADDIN CSL_CITATION {"citationItems":[{"id":"ITEM-1","itemData":{"DOI":"10.1080/13887890.2006.9748261","ISBN":"1388-7890","ISSN":"21596719","abstract":"We classified 542 records of voltinism for 275 species and subspecies of Odonata according to three variables: geographical latitude, systematic position and habitat type. We sorted records according to voltinism – categories being three or more generations per year, two generations per year, one generation per year, one gene- ration in two years and one generation in three or more years. We sought to cor- relate the voltinism of each record with latitude of the study site, thus demonstrating an overall negative correlation between voltinism and latitude. After allowing for phylogenetic similarity a negative correlation remains, although it decreases in strength after removal of taxonomic correlates, mainly between family and genus levels. A negative correlation exists at the species level within most families, with the exception of Lestidae. In genera for which we lacked data for latitudes 0-31°N/S no significant correlation between latitude and voltinism exists. In tem- porary waters most species complete at least one generation per year; most species in lentic perennial waters complete one generation or fewer; and the majority of species in lotic waters complete half a generation or less. We discuss the roles of exogenous and endogenous factors in influencing voltinism and identify those that may be affecting the correlation that the data reveal. We suggest projects that could improve understanding of voltinism in the context of seasonal regulation and the main types of odonate life cycle so far recognised. Introduction","author":[{"dropping-particle":"","family":"Corbet","given":"Philip S.","non-dropping-particle":"","parse-names":false,"suffix":""},{"dropping-particle":"","family":"Suhling","given":"Frank","non-dropping-particle":"","parse-names":false,"suffix":""},{"dropping-particle":"","family":"Soendgerath","given":"Dagmar","non-dropping-particle":"","parse-names":false,"suffix":""}],"container-title":"International Journal of Odonatology","id":"ITEM-1","issue":"1","issued":{"date-parts":[["2006"]]},"page":"1-44","title":"Voltinism of odonata: A review","type":"article-journal","volume":"9"},"uris":["http://www.mendeley.com/documents/?uuid=ec872455-88c6-4f2b-8295-1402b0a42304"]}],"mendeley":{"formattedCitation":"(Corbet et al., 2006)","plainTextFormattedCitation":"(Corbet et al., 2006)","previouslyFormattedCitation":"(Corbet et al., 2006)"},"properties":{"noteIndex":0},"schema":"https://github.com/citation-style-language/schema/raw/master/csl-citation.json"}</w:instrText>
      </w:r>
      <w:r w:rsidR="0039509E" w:rsidRPr="00CB10DF">
        <w:rPr>
          <w:rFonts w:ascii="Times New Roman" w:eastAsia="Times New Roman" w:hAnsi="Times New Roman" w:cs="Times New Roman"/>
          <w:color w:val="000000" w:themeColor="text1"/>
        </w:rPr>
        <w:fldChar w:fldCharType="separate"/>
      </w:r>
      <w:r w:rsidR="0039509E" w:rsidRPr="00CB10DF">
        <w:rPr>
          <w:rFonts w:ascii="Times New Roman" w:eastAsia="Times New Roman" w:hAnsi="Times New Roman" w:cs="Times New Roman"/>
          <w:noProof/>
          <w:color w:val="000000" w:themeColor="text1"/>
        </w:rPr>
        <w:t>(Corbet et al., 2006)</w:t>
      </w:r>
      <w:r w:rsidR="0039509E" w:rsidRPr="00CB10DF">
        <w:rPr>
          <w:rFonts w:ascii="Times New Roman" w:eastAsia="Times New Roman" w:hAnsi="Times New Roman" w:cs="Times New Roman"/>
          <w:color w:val="000000" w:themeColor="text1"/>
        </w:rPr>
        <w:fldChar w:fldCharType="end"/>
      </w:r>
      <w:r w:rsidRPr="00CB10DF">
        <w:rPr>
          <w:rFonts w:ascii="Times New Roman" w:eastAsia="Times New Roman" w:hAnsi="Times New Roman" w:cs="Times New Roman"/>
          <w:color w:val="000000" w:themeColor="text1"/>
        </w:rPr>
        <w:t xml:space="preserve">. Thus, years with relatively cool mean seasonal temperature might result in larvae switching to a semivoltine life cycle, thereby </w:t>
      </w:r>
      <w:r w:rsidRPr="00CB10DF">
        <w:rPr>
          <w:rFonts w:ascii="Times New Roman" w:eastAsia="Times New Roman" w:hAnsi="Times New Roman" w:cs="Times New Roman"/>
          <w:color w:val="000000" w:themeColor="text1"/>
        </w:rPr>
        <w:lastRenderedPageBreak/>
        <w:t>extending their development for an additional year, and resulting in a larger body size on emergence.</w:t>
      </w:r>
    </w:p>
    <w:p w14:paraId="4FABD9FF" w14:textId="33B34BFD" w:rsidR="00FE384D" w:rsidRPr="00CB10DF" w:rsidRDefault="00FE384D" w:rsidP="00FE384D">
      <w:pPr>
        <w:spacing w:before="240" w:after="240" w:line="480" w:lineRule="auto"/>
        <w:jc w:val="both"/>
        <w:rPr>
          <w:rFonts w:ascii="Times New Roman" w:eastAsia="Times New Roman" w:hAnsi="Times New Roman" w:cs="Times New Roman"/>
          <w:color w:val="000000" w:themeColor="text1"/>
        </w:rPr>
      </w:pPr>
      <w:r w:rsidRPr="00CB10DF">
        <w:rPr>
          <w:rFonts w:ascii="Times New Roman" w:eastAsia="Times New Roman" w:hAnsi="Times New Roman" w:cs="Times New Roman"/>
          <w:color w:val="000000" w:themeColor="text1"/>
        </w:rPr>
        <w:t xml:space="preserve">In terms of sexual size dimorphism, if the sexes respond in the same direction and rate to temperature, then the magnitude of SSD would not be predicted to change with increasing temperature. Conversely, if the size of one sex responds to temperature and the other does not, or they respond in opposite directions, then the magnitude of SSD may be predicted to change with warming temperatures </w:t>
      </w:r>
      <w:r w:rsidR="008A7DCB" w:rsidRPr="00CB10DF">
        <w:rPr>
          <w:rFonts w:ascii="Times New Roman" w:eastAsia="Times New Roman" w:hAnsi="Times New Roman" w:cs="Times New Roman"/>
          <w:color w:val="000000" w:themeColor="text1"/>
        </w:rPr>
        <w:fldChar w:fldCharType="begin" w:fldLock="1"/>
      </w:r>
      <w:r w:rsidR="008A7DCB" w:rsidRPr="00CB10DF">
        <w:rPr>
          <w:rFonts w:ascii="Times New Roman" w:eastAsia="Times New Roman" w:hAnsi="Times New Roman" w:cs="Times New Roman"/>
          <w:color w:val="000000" w:themeColor="text1"/>
        </w:rPr>
        <w:instrText>ADDIN CSL_CITATION {"citationItems":[{"id":"ITEM-1","itemData":{"DOI":"10.1111/1365-2656.12492","ISBN":"1365-2656 (Electronic)\\r0021-8790 (Linking)","ISSN":"13652656","PMID":"26876243","abstract":"Animals with distinct life stages are often exposed to different temperatures during each stage. Thus, how temperature affects these life stages should be considered for broadly understanding the ecological consequences of climate warming on such species. For example, temperature variation during particular life stages may affect respective change in body size, phenology and geographic range, which have been identified as the \"universal\" ecological responses to climate change. While each of these responses has been separately documented across a number of species, it is not known whether each response occurs together within a species. The influence of temperature during particular life stages may help explain each of these ecological responses to climate change. Our goal was to determine if monthly temperature variation during particular life stages of a butterfly species can predict respective changes in body size and phenology. We also refer to the literature to assess if temperature variability during the adult stage influences range change over time. Using historical museum collections paired with monthly temperature records, we show that changes in body size and phenology of the univoltine butterfly, Hesperia comma, are partly dependent upon temporal variation in summer temperatures during key stages of their life cycle. June temperatures, which are likely to affect growth rate of the final larval instar, are important for predicting adult body size (for males only; showing a positive relationship with temperature). July temperatures, which are likely to influence the pupal stage, are important for predicting the timing of adult emergence (showing a negative relationship with temperature). Previous studies show that August temperatures, which act on the adult stage, are linked to range change. Our study highlights the importance of considering temperature variation during each life stage over historic time-scales for understanding intraspecific response to climate change. Range edge studies of ectothermic species that have annual life cycles, long time-series occurrence data, and associated temperature records (ideally at monthly resolutions) could be useful model systems for intraspecific tests of the universal ecological responses to climate change and for exploring interactive effects.","author":[{"dropping-particle":"","family":"Fenberg","given":"Phillip B.","non-dropping-particle":"","parse-names":false,"suffix":""},{"dropping-particle":"","family":"Self","given":"Angela","non-dropping-particle":"","parse-names":false,"suffix":""},{"dropping-particle":"","family":"Stewart","given":"John R.","non-dropping-particle":"","parse-names":false,"suffix":""},{"dropping-particle":"","family":"Wilson","given":"Rebecca J.","non-dropping-particle":"","parse-names":false,"suffix":""},{"dropping-particle":"","family":"Brooks","given":"Stephen J.","non-dropping-particle":"","parse-names":false,"suffix":""}],"container-title":"Journal of Animal Ecology","id":"ITEM-1","issue":"3","issued":{"date-parts":[["2016"]]},"page":"739-748","title":"Exploring the universal ecological responses to climate change in a univoltine butterfly","type":"article-journal","volume":"85"},"uris":["http://www.mendeley.com/documents/?uuid=d548913b-0994-433d-a761-2f4f5b4daaf7"]}],"mendeley":{"formattedCitation":"(Fenberg et al., 2016)","plainTextFormattedCitation":"(Fenberg et al., 2016)","previouslyFormattedCitation":"(Fenberg et al., 2016)"},"properties":{"noteIndex":0},"schema":"https://github.com/citation-style-language/schema/raw/master/csl-citation.json"}</w:instrText>
      </w:r>
      <w:r w:rsidR="008A7DCB" w:rsidRPr="00CB10DF">
        <w:rPr>
          <w:rFonts w:ascii="Times New Roman" w:eastAsia="Times New Roman" w:hAnsi="Times New Roman" w:cs="Times New Roman"/>
          <w:color w:val="000000" w:themeColor="text1"/>
        </w:rPr>
        <w:fldChar w:fldCharType="separate"/>
      </w:r>
      <w:r w:rsidR="008A7DCB" w:rsidRPr="00CB10DF">
        <w:rPr>
          <w:rFonts w:ascii="Times New Roman" w:eastAsia="Times New Roman" w:hAnsi="Times New Roman" w:cs="Times New Roman"/>
          <w:noProof/>
          <w:color w:val="000000" w:themeColor="text1"/>
        </w:rPr>
        <w:t>(Fenberg et al., 2016)</w:t>
      </w:r>
      <w:r w:rsidR="008A7DCB" w:rsidRPr="00CB10DF">
        <w:rPr>
          <w:rFonts w:ascii="Times New Roman" w:eastAsia="Times New Roman" w:hAnsi="Times New Roman" w:cs="Times New Roman"/>
          <w:color w:val="000000" w:themeColor="text1"/>
        </w:rPr>
        <w:fldChar w:fldCharType="end"/>
      </w:r>
      <w:r w:rsidRPr="00CB10DF">
        <w:rPr>
          <w:rFonts w:ascii="Times New Roman" w:eastAsia="Times New Roman" w:hAnsi="Times New Roman" w:cs="Times New Roman"/>
          <w:color w:val="000000" w:themeColor="text1"/>
        </w:rPr>
        <w:t xml:space="preserve">. Because most Zygoptera in this study exhibit SSD (Figure S2 in appendix), but the males and females have equally negative size responses to temperature (Figures 1 and 2), we can be fairly confident that the magnitude of SSD will generally be stable with warming temperatures for this taxon. Anisoptera, on the other hand (excluding </w:t>
      </w:r>
      <w:r w:rsidRPr="00CB10DF">
        <w:rPr>
          <w:rFonts w:ascii="Times New Roman" w:eastAsia="Times New Roman" w:hAnsi="Times New Roman" w:cs="Times New Roman"/>
          <w:i/>
          <w:color w:val="000000" w:themeColor="text1"/>
        </w:rPr>
        <w:t xml:space="preserve">A. </w:t>
      </w:r>
      <w:proofErr w:type="spellStart"/>
      <w:r w:rsidRPr="00CB10DF">
        <w:rPr>
          <w:rFonts w:ascii="Times New Roman" w:eastAsia="Times New Roman" w:hAnsi="Times New Roman" w:cs="Times New Roman"/>
          <w:i/>
          <w:color w:val="000000" w:themeColor="text1"/>
        </w:rPr>
        <w:t>cyanea</w:t>
      </w:r>
      <w:proofErr w:type="spellEnd"/>
      <w:r w:rsidRPr="00CB10DF">
        <w:rPr>
          <w:rFonts w:ascii="Times New Roman" w:eastAsia="Times New Roman" w:hAnsi="Times New Roman" w:cs="Times New Roman"/>
          <w:color w:val="000000" w:themeColor="text1"/>
        </w:rPr>
        <w:t>) do not exhibit SSD (Figure S2 in appendix).</w:t>
      </w:r>
    </w:p>
    <w:p w14:paraId="0ED6FE35" w14:textId="77777777" w:rsidR="00FE384D" w:rsidRPr="00CB10DF" w:rsidRDefault="00FE384D" w:rsidP="00FE384D">
      <w:pPr>
        <w:spacing w:before="240" w:after="240" w:line="480" w:lineRule="auto"/>
        <w:jc w:val="both"/>
        <w:rPr>
          <w:rFonts w:ascii="Times New Roman" w:eastAsia="Times New Roman" w:hAnsi="Times New Roman" w:cs="Times New Roman"/>
          <w:color w:val="000000" w:themeColor="text1"/>
          <w:highlight w:val="white"/>
        </w:rPr>
      </w:pPr>
      <w:bookmarkStart w:id="4" w:name="_Hlk27002063"/>
      <w:r w:rsidRPr="00CB10DF">
        <w:rPr>
          <w:rFonts w:ascii="Times New Roman" w:eastAsia="Times New Roman" w:hAnsi="Times New Roman" w:cs="Times New Roman"/>
          <w:color w:val="000000" w:themeColor="text1"/>
        </w:rPr>
        <w:t>In females, b</w:t>
      </w:r>
      <w:r w:rsidRPr="00CB10DF">
        <w:rPr>
          <w:rFonts w:ascii="Times New Roman" w:eastAsia="Times New Roman" w:hAnsi="Times New Roman" w:cs="Times New Roman"/>
          <w:color w:val="000000" w:themeColor="text1"/>
          <w:highlight w:val="white"/>
        </w:rPr>
        <w:t>igger body sizes potentially have greater fecundity, so large females may be selected for. For Anisoptera, correlations between mean seasonal temperature and female wing length were non- or weakly-significant (Figure 1a-1d, 2a-2d)</w:t>
      </w:r>
      <w:r w:rsidRPr="00CB10DF">
        <w:rPr>
          <w:rFonts w:ascii="Times New Roman" w:eastAsia="Times New Roman" w:hAnsi="Times New Roman" w:cs="Times New Roman"/>
          <w:color w:val="000000" w:themeColor="text1"/>
        </w:rPr>
        <w:t xml:space="preserve">. However, </w:t>
      </w:r>
      <w:r w:rsidRPr="00CB10DF">
        <w:rPr>
          <w:rFonts w:ascii="Times New Roman" w:eastAsia="Times New Roman" w:hAnsi="Times New Roman" w:cs="Times New Roman"/>
          <w:color w:val="000000" w:themeColor="text1"/>
          <w:highlight w:val="white"/>
        </w:rPr>
        <w:t xml:space="preserve">similar to males, wing length decreased in female Zygoptera, thus the relative size difference between males and females does not change with respect to temperature. </w:t>
      </w:r>
    </w:p>
    <w:bookmarkEnd w:id="4"/>
    <w:p w14:paraId="62C44B94" w14:textId="1DD7A154" w:rsidR="00FE384D" w:rsidRPr="00CB10DF" w:rsidRDefault="00FE384D" w:rsidP="00FE384D">
      <w:pPr>
        <w:spacing w:before="240" w:after="240" w:line="480" w:lineRule="auto"/>
        <w:jc w:val="both"/>
        <w:rPr>
          <w:rFonts w:ascii="Times New Roman" w:eastAsia="Times New Roman" w:hAnsi="Times New Roman" w:cs="Times New Roman"/>
          <w:color w:val="000000" w:themeColor="text1"/>
        </w:rPr>
      </w:pPr>
      <w:r w:rsidRPr="00CB10DF">
        <w:rPr>
          <w:rFonts w:ascii="Times New Roman" w:eastAsia="Times New Roman" w:hAnsi="Times New Roman" w:cs="Times New Roman"/>
          <w:color w:val="000000" w:themeColor="text1"/>
        </w:rPr>
        <w:t xml:space="preserve">The linear-mixed effects model indicates that suborder is the most important driver affecting the magnitude of species wing length responses to warming temperature. In contrast, life-history type is excluded from the best fit model, which indicates less selective pressure for life-history type </w:t>
      </w:r>
      <w:r w:rsidRPr="00CB10DF">
        <w:rPr>
          <w:rFonts w:ascii="Times New Roman" w:eastAsia="Times New Roman" w:hAnsi="Times New Roman" w:cs="Times New Roman"/>
          <w:color w:val="000000" w:themeColor="text1"/>
        </w:rPr>
        <w:lastRenderedPageBreak/>
        <w:t xml:space="preserve">on the wing length responses to temperature. Previous studies have suggested that larger species are likely to have a greater reduction in size than smaller species as temperature increases </w:t>
      </w:r>
      <w:r w:rsidR="008A7DCB" w:rsidRPr="00CB10DF">
        <w:rPr>
          <w:rFonts w:ascii="Times New Roman" w:eastAsia="Times New Roman" w:hAnsi="Times New Roman" w:cs="Times New Roman"/>
          <w:color w:val="000000" w:themeColor="text1"/>
        </w:rPr>
        <w:fldChar w:fldCharType="begin" w:fldLock="1"/>
      </w:r>
      <w:r w:rsidR="008A7DCB" w:rsidRPr="00CB10DF">
        <w:rPr>
          <w:rFonts w:ascii="Times New Roman" w:eastAsia="Times New Roman" w:hAnsi="Times New Roman" w:cs="Times New Roman"/>
          <w:color w:val="000000" w:themeColor="text1"/>
        </w:rPr>
        <w:instrText xml:space="preserve">ADDIN CSL_CITATION {"citationItems":[{"id":"ITEM-1","itemData":{"DOI":"10.1073/pnas.1210460109","ISSN":"0027-8424","abstract":"Most ectothermic organisms mature at smaller body sizes when reared in warmer conditions. This phenotypically plastic response, known as the \"temperature-size rule\" (TSR), is one of the most taxonomically widespread patterns in biology. However, the TSR remains a longstanding life-history puzzle for which no dominant driver has been found. We propose that oxygen supply plays a central role in explaining the magnitude of ectothermic temperature-size responses. Given the much lower oxygen availability and greater effort required to increase uptake in water vs. air, we predict that the TSR in aquatic organisms, especially larger species with lower surface area-body mass ratios, will be stronger than in terrestrial organisms. We performed a meta-analysis of 1,890 body mass responses to temperature in controlled experiments on 169 terrestrial, freshwater, and marine species. This reveals that the strength of the temperature-size response is greater in aquatic than terrestrial species. In animal species of </w:instrText>
      </w:r>
      <w:r w:rsidR="008A7DCB" w:rsidRPr="00CB10DF">
        <w:rPr>
          <w:rFonts w:ascii="Cambria Math" w:eastAsia="Times New Roman" w:hAnsi="Cambria Math" w:cs="Cambria Math"/>
          <w:color w:val="000000" w:themeColor="text1"/>
        </w:rPr>
        <w:instrText>∼</w:instrText>
      </w:r>
      <w:r w:rsidR="008A7DCB" w:rsidRPr="00CB10DF">
        <w:rPr>
          <w:rFonts w:ascii="Times New Roman" w:eastAsia="Times New Roman" w:hAnsi="Times New Roman" w:cs="Times New Roman"/>
          <w:color w:val="000000" w:themeColor="text1"/>
        </w:rPr>
        <w:instrText>100 mg dry mass, the temperature-size response of aquatic organisms is 10 times greater than in terrestrial organisms (-5.0% °C(-1) vs. -0.5% °C(-1)). Moreover, although the size response of small (&lt;0.1 mg dry mass) aquatic and terrestrial species is similar, increases in species size cause the response to become increasingly negative in aquatic species, as predicted, but on average less negative in terrestrial species. These results support oxygen as a major driver of temperature-size responses in aquatic organisms. Further, the environment-dependent differences parallel latitudinal body size clines, and will influence predicted impacts of climate warming on food production, community structure, and food-web dynamics.","author":[{"dropping-particle":"","family":"Forster","given":"J.","non-dropping-particle":"","parse-names":false,"suffix":""},{"dropping-particle":"","family":"Hirst","given":"A. G.","non-dropping-particle":"","parse-names":false,"suffix":""},{"dropping-particle":"","family":"Atkinson","given":"D.","non-dropping-particle":"","parse-names":false,"suffix":""}],"container-title":"Proceedings of the National Academy of Sciences","id":"ITEM-1","issued":{"date-parts":[["2012"]]},"title":"Warming-induced reductions in body size are greater in aquatic than terrestrial species","type":"article-journal"},"uris":["http://www.mendeley.com/documents/?uuid=2638fa64-a90f-440b-8266-8e84a75453f8"]}],"mendeley":{"formattedCitation":"(Forster et al., 2012)","manualFormatting":"(Forster, et al., 2012","plainTextFormattedCitation":"(Forster et al., 2012)","previouslyFormattedCitation":"(Forster et al., 2012)"},"properties":{"noteIndex":0},"schema":"https://github.com/citation-style-language/schema/raw/master/csl-citation.json"}</w:instrText>
      </w:r>
      <w:r w:rsidR="008A7DCB" w:rsidRPr="00CB10DF">
        <w:rPr>
          <w:rFonts w:ascii="Times New Roman" w:eastAsia="Times New Roman" w:hAnsi="Times New Roman" w:cs="Times New Roman"/>
          <w:color w:val="000000" w:themeColor="text1"/>
        </w:rPr>
        <w:fldChar w:fldCharType="separate"/>
      </w:r>
      <w:r w:rsidR="008A7DCB" w:rsidRPr="00CB10DF">
        <w:rPr>
          <w:rFonts w:ascii="Times New Roman" w:eastAsia="Times New Roman" w:hAnsi="Times New Roman" w:cs="Times New Roman"/>
          <w:noProof/>
          <w:color w:val="000000" w:themeColor="text1"/>
        </w:rPr>
        <w:t>(Forster, et al., 2012</w:t>
      </w:r>
      <w:r w:rsidR="008A7DCB" w:rsidRPr="00CB10DF">
        <w:rPr>
          <w:rFonts w:ascii="Times New Roman" w:eastAsia="Times New Roman" w:hAnsi="Times New Roman" w:cs="Times New Roman"/>
          <w:color w:val="000000" w:themeColor="text1"/>
        </w:rPr>
        <w:fldChar w:fldCharType="end"/>
      </w:r>
      <w:r w:rsidR="008A7DCB" w:rsidRPr="00CB10DF">
        <w:rPr>
          <w:rFonts w:ascii="Times New Roman" w:eastAsia="Times New Roman" w:hAnsi="Times New Roman" w:cs="Times New Roman"/>
          <w:color w:val="000000" w:themeColor="text1"/>
        </w:rPr>
        <w:t xml:space="preserve">, </w:t>
      </w:r>
      <w:r w:rsidR="008A7DCB" w:rsidRPr="00CB10DF">
        <w:rPr>
          <w:rFonts w:ascii="Times New Roman" w:eastAsia="Times New Roman" w:hAnsi="Times New Roman" w:cs="Times New Roman"/>
          <w:color w:val="000000" w:themeColor="text1"/>
        </w:rPr>
        <w:fldChar w:fldCharType="begin" w:fldLock="1"/>
      </w:r>
      <w:r w:rsidR="008A7DCB" w:rsidRPr="00CB10DF">
        <w:rPr>
          <w:rFonts w:ascii="Times New Roman" w:eastAsia="Times New Roman" w:hAnsi="Times New Roman" w:cs="Times New Roman"/>
          <w:color w:val="000000" w:themeColor="text1"/>
        </w:rPr>
        <w:instrText>ADDIN CSL_CITATION {"citationItems":[{"id":"ITEM-1","itemData":{"DOI":"10.1111/ele.12413","ISBN":"1461-0248","ISSN":"14610248","PMID":"25682961","abstract":"Two major intraspecific patterns of adult size variation are plastic temperature-size (T-S) responses and latitude-size (L-S) clines. Yet, the degree to which these co-vary and share explana- tory mechanisms has not been systematically evaluated. We present the largest quantitative com- parison of these gradients to date, and find that their direction and magnitude co-vary among 12 arthropod orders (r2 = 0.72). Body size in aquatic species generally reduces with both warming and decreasing latitude, whereas terrestrial species have much reduced and even opposite gradi- ents. These patterns support the prediction that oxygen limitation is a major controlling factor in water, but not in air. Furthermore, voltinism explains much of the variation in T-S and L-S pat- terns in terrestrial but not aquatic species. While body size decreases with warming and with decreasing latitude in multivoltine terrestrial arthropods, size increases on average in univoltine species, consistent with predictions from size vs. season-length trade-offs.","author":[{"dropping-particle":"","family":"Horne","given":"Curtis R.","non-dropping-particle":"","parse-names":false,"suffix":""},{"dropping-particle":"","family":"Hirst","given":"Andrew G.","non-dropping-particle":"","parse-names":false,"suffix":""},{"dropping-particle":"","family":"Atkinson","given":"David","non-dropping-particle":"","parse-names":false,"suffix":""}],"container-title":"Ecology Letters","id":"ITEM-1","issue":"4","issued":{"date-parts":[["2015"]]},"page":"327-335","title":"Temperature-size responses match latitudinal-size clines in arthropods, revealing critical differences between aquatic and terrestrial species","type":"article-journal","volume":"18"},"uris":["http://www.mendeley.com/documents/?uuid=32c1bce0-acd2-42e3-a942-dba43bfa032f"]}],"mendeley":{"formattedCitation":"(Horne et al., 2015)","manualFormatting":"Horne et al., 2015","plainTextFormattedCitation":"(Horne et al., 2015)","previouslyFormattedCitation":"(Horne et al., 2015)"},"properties":{"noteIndex":0},"schema":"https://github.com/citation-style-language/schema/raw/master/csl-citation.json"}</w:instrText>
      </w:r>
      <w:r w:rsidR="008A7DCB" w:rsidRPr="00CB10DF">
        <w:rPr>
          <w:rFonts w:ascii="Times New Roman" w:eastAsia="Times New Roman" w:hAnsi="Times New Roman" w:cs="Times New Roman"/>
          <w:color w:val="000000" w:themeColor="text1"/>
        </w:rPr>
        <w:fldChar w:fldCharType="separate"/>
      </w:r>
      <w:r w:rsidR="008A7DCB" w:rsidRPr="00CB10DF">
        <w:rPr>
          <w:rFonts w:ascii="Times New Roman" w:eastAsia="Times New Roman" w:hAnsi="Times New Roman" w:cs="Times New Roman"/>
          <w:noProof/>
          <w:color w:val="000000" w:themeColor="text1"/>
        </w:rPr>
        <w:t>Horne et al., 2015</w:t>
      </w:r>
      <w:r w:rsidR="008A7DCB" w:rsidRPr="00CB10DF">
        <w:rPr>
          <w:rFonts w:ascii="Times New Roman" w:eastAsia="Times New Roman" w:hAnsi="Times New Roman" w:cs="Times New Roman"/>
          <w:color w:val="000000" w:themeColor="text1"/>
        </w:rPr>
        <w:fldChar w:fldCharType="end"/>
      </w:r>
      <w:r w:rsidR="008A7DCB" w:rsidRPr="00CB10DF">
        <w:rPr>
          <w:rFonts w:ascii="Times New Roman" w:eastAsia="Times New Roman" w:hAnsi="Times New Roman" w:cs="Times New Roman"/>
          <w:color w:val="000000" w:themeColor="text1"/>
        </w:rPr>
        <w:t xml:space="preserve">, </w:t>
      </w:r>
      <w:r w:rsidR="008A7DCB" w:rsidRPr="00CB10DF">
        <w:rPr>
          <w:rFonts w:ascii="Times New Roman" w:eastAsia="Times New Roman" w:hAnsi="Times New Roman" w:cs="Times New Roman"/>
          <w:color w:val="000000" w:themeColor="text1"/>
        </w:rPr>
        <w:fldChar w:fldCharType="begin" w:fldLock="1"/>
      </w:r>
      <w:r w:rsidR="008A7DCB" w:rsidRPr="00CB10DF">
        <w:rPr>
          <w:rFonts w:ascii="Times New Roman" w:eastAsia="Times New Roman" w:hAnsi="Times New Roman" w:cs="Times New Roman"/>
          <w:color w:val="000000" w:themeColor="text1"/>
        </w:rPr>
        <w:instrText>ADDIN CSL_CITATION {"citationItems":[{"id":"ITEM-1","itemData":{"DOI":"10.1111/1365-2656.12789","ISSN":"13652656","abstract":"1. Body size is a fundamental ecological trait and is correlated with population dynamics, community structure and function, and ecosystem fluxes. Laboratory data from broad taxonomic groups suggest that a widespread response to a warming world may be an overall decrease in organism body size. However, given the myriad of biotic and abiotic factors that can also influence organism body size in the wild, it is unclear whether results from these laboratory assays hold in nature. 2. Here we use datasets spanning 30 to 100 years to examine whether the body size of wild-caught beetles has changed over time, whether body size changes are correlated with increased temperatures, and we frame these results using predictions derived from a quantitative review of laboratory responses of 22 beetle species to temperature. 3. We found that 95% of laboratory-reared beetles decreased in size with increased rearing temperature, with larger-bodied species shrinking disproportionately more than smaller-bodied beetles. In addition, the museum datasets revealed that largerbodied beetle species have decreased in size over time, that mean beetle body size explains much of the interspecific variation in beetle responses to temperature, and that long-term beetle size changes are explained by increases in autumn temperature and decreases in spring temperature in this region. 4. Our data demonstrate that the relationship between body size and temperature of wild-caught beetles matches relatively well with results from laboratory studies, and that variation in this relationship is largely explained by interspecific variation in mean beetle body size. 5. This long-term beetle dataset is one of the most comprehensive arthropod body size datasets compiled to date, it improves predictions regarding the shrinking of organisms with global climate change, and together with the meta-analysis data, call for new hypotheses to explain why larger-bodied organisms may be more sensitive to temperature.","author":[{"dropping-particle":"","family":"Tseng","given":"Michelle","non-dropping-particle":"","parse-names":false,"suffix":""},{"dropping-particle":"","family":"Kaur","given":"Katrina M.","non-dropping-particle":"","parse-names":false,"suffix":""},{"dropping-particle":"","family":"Soleimani Pari","given":"Sina","non-dropping-particle":"","parse-names":false,"suffix":""},{"dropping-particle":"","family":"Sarai","given":"Karnjit","non-dropping-particle":"","parse-names":false,"suffix":""},{"dropping-particle":"","family":"Chan","given":"Denessa","non-dropping-particle":"","parse-names":false,"suffix":""},{"dropping-particle":"","family":"Yao","given":"Christine H.","non-dropping-particle":"","parse-names":false,"suffix":""},{"dropping-particle":"","family":"Porto","given":"Paula","non-dropping-particle":"","parse-names":false,"suffix":""},{"dropping-particle":"","family":"Toor","given":"Anmol","non-dropping-particle":"","parse-names":false,"suffix":""},{"dropping-particle":"","family":"Toor","given":"Harpawantaj S.","non-dropping-particle":"","parse-names":false,"suffix":""},{"dropping-particle":"","family":"Fograscher","given":"Katrina","non-dropping-particle":"","parse-names":false,"suffix":""}],"container-title":"Journal of Animal Ecology","id":"ITEM-1","issued":{"date-parts":[["2018"]]},"title":"Decreases in beetle body size linked to climate change and warming temperatures","type":"article-journal"},"uris":["http://www.mendeley.com/documents/?uuid=a5fceff3-72a9-4d8f-b9fb-ec48fc06d9e1"]}],"mendeley":{"formattedCitation":"(Tseng et al., 2018)","manualFormatting":"Tseng et al., 2018)","plainTextFormattedCitation":"(Tseng et al., 2018)","previouslyFormattedCitation":"(Tseng et al., 2018)"},"properties":{"noteIndex":0},"schema":"https://github.com/citation-style-language/schema/raw/master/csl-citation.json"}</w:instrText>
      </w:r>
      <w:r w:rsidR="008A7DCB" w:rsidRPr="00CB10DF">
        <w:rPr>
          <w:rFonts w:ascii="Times New Roman" w:eastAsia="Times New Roman" w:hAnsi="Times New Roman" w:cs="Times New Roman"/>
          <w:color w:val="000000" w:themeColor="text1"/>
        </w:rPr>
        <w:fldChar w:fldCharType="separate"/>
      </w:r>
      <w:r w:rsidR="008A7DCB" w:rsidRPr="00CB10DF">
        <w:rPr>
          <w:rFonts w:ascii="Times New Roman" w:eastAsia="Times New Roman" w:hAnsi="Times New Roman" w:cs="Times New Roman"/>
          <w:noProof/>
          <w:color w:val="000000" w:themeColor="text1"/>
        </w:rPr>
        <w:t>Tseng et al., 2018)</w:t>
      </w:r>
      <w:r w:rsidR="008A7DCB" w:rsidRPr="00CB10DF">
        <w:rPr>
          <w:rFonts w:ascii="Times New Roman" w:eastAsia="Times New Roman" w:hAnsi="Times New Roman" w:cs="Times New Roman"/>
          <w:color w:val="000000" w:themeColor="text1"/>
        </w:rPr>
        <w:fldChar w:fldCharType="end"/>
      </w:r>
      <w:r w:rsidRPr="00CB10DF">
        <w:rPr>
          <w:rFonts w:ascii="Times New Roman" w:eastAsia="Times New Roman" w:hAnsi="Times New Roman" w:cs="Times New Roman"/>
          <w:color w:val="000000" w:themeColor="text1"/>
        </w:rPr>
        <w:t xml:space="preserve">. However, our results show the opposite, whereby small species have a greater reduction in size than large species as temperature increases. Interestingly, Anisoptera species are likely not </w:t>
      </w:r>
      <w:r w:rsidR="00642605" w:rsidRPr="00CB10DF">
        <w:rPr>
          <w:rFonts w:ascii="Times New Roman" w:eastAsia="Times New Roman" w:hAnsi="Times New Roman" w:cs="Times New Roman"/>
          <w:color w:val="000000" w:themeColor="text1"/>
        </w:rPr>
        <w:t xml:space="preserve">to </w:t>
      </w:r>
      <w:r w:rsidRPr="00CB10DF">
        <w:rPr>
          <w:rFonts w:ascii="Times New Roman" w:eastAsia="Times New Roman" w:hAnsi="Times New Roman" w:cs="Times New Roman"/>
          <w:color w:val="000000" w:themeColor="text1"/>
        </w:rPr>
        <w:t xml:space="preserve">show any significant wing length changes with temperature. This result may be because those </w:t>
      </w:r>
      <w:proofErr w:type="spellStart"/>
      <w:r w:rsidRPr="00CB10DF">
        <w:rPr>
          <w:rFonts w:ascii="Times New Roman" w:eastAsia="Times New Roman" w:hAnsi="Times New Roman" w:cs="Times New Roman"/>
          <w:color w:val="000000" w:themeColor="text1"/>
        </w:rPr>
        <w:t>anisopteran</w:t>
      </w:r>
      <w:proofErr w:type="spellEnd"/>
      <w:r w:rsidRPr="00CB10DF">
        <w:rPr>
          <w:rFonts w:ascii="Times New Roman" w:eastAsia="Times New Roman" w:hAnsi="Times New Roman" w:cs="Times New Roman"/>
          <w:color w:val="000000" w:themeColor="text1"/>
        </w:rPr>
        <w:t xml:space="preserve"> species are strongly territorial and large male body size is linked to mating success </w:t>
      </w:r>
      <w:r w:rsidR="008A7DCB" w:rsidRPr="00CB10DF">
        <w:rPr>
          <w:rFonts w:ascii="Times New Roman" w:eastAsia="Times New Roman" w:hAnsi="Times New Roman" w:cs="Times New Roman"/>
          <w:color w:val="000000" w:themeColor="text1"/>
        </w:rPr>
        <w:fldChar w:fldCharType="begin" w:fldLock="1"/>
      </w:r>
      <w:r w:rsidR="00117D84" w:rsidRPr="00CB10DF">
        <w:rPr>
          <w:rFonts w:ascii="Times New Roman" w:eastAsia="Times New Roman" w:hAnsi="Times New Roman" w:cs="Times New Roman"/>
          <w:color w:val="000000" w:themeColor="text1"/>
        </w:rPr>
        <w:instrText>ADDIN CSL_CITATION {"citationItems":[{"id":"ITEM-1","itemData":{"DOI":"10.1046/j.1365-2311.2000.00251.x","ISBN":"0307-6946","ISSN":"03076946","PMID":"87","abstract":"The relationship between body size and fitness components in odonates was examined using a meta-analysis of 33 published studies. There was a positive and significant overall effect of body size on mating rate and lifetime mating success among males. There was also a weaker but still significant positive effect of body size on survivorship of males. The relationship between body size, mating rate, longevity, and lifetime mating success differed significantly between males of territorial and nonterritorial species. The effect of body size was significant for all fitness components in territorial species but significant only for longevity and lifetime mating success in nonterritorial species. Effect sizes appeared to be strongest on longevity in both sexes, and on male mating rate in territorial species. Other effect sizes, even when significant, were small. Despite a much smaller data set, female fitness also increased significantly with body size. Both clutch size and longevity showed a significant positive relationship with body size. These results suggest that there is a general fitness benefit to large size in odonates. Nevertheless, significant heterogeneity is apparent in this effect, which can be attributed to sex, mating system, and fitness component. Finally, these analyses point to inadequacies in the current data that need further study before the potentially rich patterns in size effects on fitness can be explored more thoroughly","author":[{"dropping-particle":"","family":"Sokolovska","given":"Natalia","non-dropping-particle":"","parse-names":false,"suffix":""},{"dropping-particle":"","family":"Rowe","given":"Locke","non-dropping-particle":"","parse-names":false,"suffix":""},{"dropping-particle":"","family":"Johansson","given":"Frank","non-dropping-particle":"","parse-names":false,"suffix":""}],"container-title":"Ecological Entomology","id":"ITEM-1","issue":"2","issued":{"date-parts":[["2000"]]},"page":"239-248","title":"Fitness and body size in mature odonates","type":"article-journal","volume":"25"},"uris":["http://www.mendeley.com/documents/?uuid=852a5649-15f0-422e-92d8-41791077f412"]}],"mendeley":{"formattedCitation":"(Sokolovska et al., 2000)","manualFormatting":"(Sokolovska et al., 2000","plainTextFormattedCitation":"(Sokolovska et al., 2000)","previouslyFormattedCitation":"(Sokolovska et al., 2000)"},"properties":{"noteIndex":0},"schema":"https://github.com/citation-style-language/schema/raw/master/csl-citation.json"}</w:instrText>
      </w:r>
      <w:r w:rsidR="008A7DCB" w:rsidRPr="00CB10DF">
        <w:rPr>
          <w:rFonts w:ascii="Times New Roman" w:eastAsia="Times New Roman" w:hAnsi="Times New Roman" w:cs="Times New Roman"/>
          <w:color w:val="000000" w:themeColor="text1"/>
        </w:rPr>
        <w:fldChar w:fldCharType="separate"/>
      </w:r>
      <w:r w:rsidR="008A7DCB" w:rsidRPr="00CB10DF">
        <w:rPr>
          <w:rFonts w:ascii="Times New Roman" w:eastAsia="Times New Roman" w:hAnsi="Times New Roman" w:cs="Times New Roman"/>
          <w:noProof/>
          <w:color w:val="000000" w:themeColor="text1"/>
        </w:rPr>
        <w:t>(Sokolovska</w:t>
      </w:r>
      <w:r w:rsidR="00C77311" w:rsidRPr="00CB10DF">
        <w:rPr>
          <w:rFonts w:ascii="Times New Roman" w:eastAsia="Times New Roman" w:hAnsi="Times New Roman" w:cs="Times New Roman"/>
          <w:noProof/>
          <w:color w:val="000000" w:themeColor="text1"/>
        </w:rPr>
        <w:t xml:space="preserve"> et al.</w:t>
      </w:r>
      <w:r w:rsidR="008A7DCB" w:rsidRPr="00CB10DF">
        <w:rPr>
          <w:rFonts w:ascii="Times New Roman" w:eastAsia="Times New Roman" w:hAnsi="Times New Roman" w:cs="Times New Roman"/>
          <w:noProof/>
          <w:color w:val="000000" w:themeColor="text1"/>
        </w:rPr>
        <w:t>, 2000</w:t>
      </w:r>
      <w:r w:rsidR="008A7DCB" w:rsidRPr="00CB10DF">
        <w:rPr>
          <w:rFonts w:ascii="Times New Roman" w:eastAsia="Times New Roman" w:hAnsi="Times New Roman" w:cs="Times New Roman"/>
          <w:color w:val="000000" w:themeColor="text1"/>
        </w:rPr>
        <w:fldChar w:fldCharType="end"/>
      </w:r>
      <w:r w:rsidR="008A7DCB" w:rsidRPr="00CB10DF">
        <w:rPr>
          <w:rFonts w:ascii="Times New Roman" w:eastAsia="Times New Roman" w:hAnsi="Times New Roman" w:cs="Times New Roman"/>
          <w:color w:val="000000" w:themeColor="text1"/>
        </w:rPr>
        <w:fldChar w:fldCharType="begin" w:fldLock="1"/>
      </w:r>
      <w:r w:rsidR="004A4109" w:rsidRPr="00CB10DF">
        <w:rPr>
          <w:rFonts w:ascii="Times New Roman" w:eastAsia="Times New Roman" w:hAnsi="Times New Roman" w:cs="Times New Roman"/>
          <w:color w:val="000000" w:themeColor="text1"/>
        </w:rPr>
        <w:instrText>ADDIN CSL_CITATION {"citationItems":[{"id":"ITEM-1","itemData":{"DOI":"10.1093/acprof:oso/9780199230693.001.0001","ISBN":"9780191710889","ISSN":"00033472","PMID":"416","abstract":"Valuing the services provided by ecosystems and their components is emerging as a new, practical tool for conservation of biodiversity. One such framework for quantifying those components of biodiversity and their attributes, which are important for the diversity of ecosystem services, is the Service Providing Unit (SPU). This framework provides a conceptual link between ecosystem services and the role of populations of different species in providing these services. Dragonflies provide several ecosystem services to humanity at the population level. Their role as SPUs encompasses most of the 28 ecosystem services, directly or indirectly, as recognized by the Millennium Ecosystem Assessment, in the categories of provisioning, cultural, supporting, and regulating services. Service provision by dragonflies can be quantified, for example, in pest control and riparian restoration. As the SPU concept, as a value metric, has considerable currency with dragonflies, there is merit in investigating its application to other invertebrate taxa and ecosystems.","author":[{"dropping-particle":"","family":"Córdoba-Aguilar","given":"Alex","non-dropping-particle":"","parse-names":false,"suffix":""}],"container-title":"Dragonflies and Damselflies: Model Organisms for Ecological and Evolutionary Research","id":"ITEM-1","issued":{"date-parts":[["2008"]]},"number-of-pages":"1-304","title":"Dragonflies and Damselflies: Model Organisms for Ecological and Evolutionary Research","type":"book"},"uris":["http://www.mendeley.com/documents/?uuid=1c94a6f3-8963-41c9-9483-75626307f444"]}],"mendeley":{"formattedCitation":"(Alex Córdoba-Aguilar, 2008)","manualFormatting":", Córdoba-Aguilar, 2008)","plainTextFormattedCitation":"(Alex Córdoba-Aguilar, 2008)","previouslyFormattedCitation":"(Alex Córdoba-Aguilar, 2008)"},"properties":{"noteIndex":0},"schema":"https://github.com/citation-style-language/schema/raw/master/csl-citation.json"}</w:instrText>
      </w:r>
      <w:r w:rsidR="008A7DCB" w:rsidRPr="00CB10DF">
        <w:rPr>
          <w:rFonts w:ascii="Times New Roman" w:eastAsia="Times New Roman" w:hAnsi="Times New Roman" w:cs="Times New Roman"/>
          <w:color w:val="000000" w:themeColor="text1"/>
        </w:rPr>
        <w:fldChar w:fldCharType="separate"/>
      </w:r>
      <w:r w:rsidR="00C77311" w:rsidRPr="00CB10DF">
        <w:rPr>
          <w:rFonts w:ascii="Times New Roman" w:eastAsia="Times New Roman" w:hAnsi="Times New Roman" w:cs="Times New Roman"/>
          <w:noProof/>
          <w:color w:val="000000" w:themeColor="text1"/>
        </w:rPr>
        <w:t xml:space="preserve">, </w:t>
      </w:r>
      <w:r w:rsidR="008A7DCB" w:rsidRPr="00CB10DF">
        <w:rPr>
          <w:rFonts w:ascii="Times New Roman" w:eastAsia="Times New Roman" w:hAnsi="Times New Roman" w:cs="Times New Roman"/>
          <w:noProof/>
          <w:color w:val="000000" w:themeColor="text1"/>
        </w:rPr>
        <w:t>Córdoba-Aguilar, 2008)</w:t>
      </w:r>
      <w:r w:rsidR="008A7DCB" w:rsidRPr="00CB10DF">
        <w:rPr>
          <w:rFonts w:ascii="Times New Roman" w:eastAsia="Times New Roman" w:hAnsi="Times New Roman" w:cs="Times New Roman"/>
          <w:color w:val="000000" w:themeColor="text1"/>
        </w:rPr>
        <w:fldChar w:fldCharType="end"/>
      </w:r>
      <w:r w:rsidRPr="00CB10DF">
        <w:rPr>
          <w:rFonts w:ascii="Times New Roman" w:eastAsia="Times New Roman" w:hAnsi="Times New Roman" w:cs="Times New Roman"/>
          <w:color w:val="000000" w:themeColor="text1"/>
        </w:rPr>
        <w:t>.</w:t>
      </w:r>
    </w:p>
    <w:p w14:paraId="44423FA1" w14:textId="7A70646B" w:rsidR="00CB1799" w:rsidRPr="00CB10DF" w:rsidRDefault="00FE384D" w:rsidP="00FE384D">
      <w:pPr>
        <w:spacing w:before="240" w:after="240" w:line="480" w:lineRule="auto"/>
        <w:jc w:val="both"/>
        <w:rPr>
          <w:rFonts w:ascii="Times New Roman" w:eastAsia="Times New Roman" w:hAnsi="Times New Roman" w:cs="Times New Roman"/>
          <w:color w:val="000000" w:themeColor="text1"/>
          <w:highlight w:val="white"/>
          <w:lang w:val="en-GB"/>
        </w:rPr>
      </w:pPr>
      <w:r w:rsidRPr="00CB10DF">
        <w:rPr>
          <w:rFonts w:ascii="Times New Roman" w:eastAsia="Times New Roman" w:hAnsi="Times New Roman" w:cs="Times New Roman"/>
          <w:color w:val="000000" w:themeColor="text1"/>
        </w:rPr>
        <w:t xml:space="preserve">Within the </w:t>
      </w:r>
      <w:proofErr w:type="spellStart"/>
      <w:r w:rsidRPr="00CB10DF">
        <w:rPr>
          <w:rFonts w:ascii="Times New Roman" w:eastAsia="Times New Roman" w:hAnsi="Times New Roman" w:cs="Times New Roman"/>
          <w:color w:val="000000" w:themeColor="text1"/>
        </w:rPr>
        <w:t>Zygoptera</w:t>
      </w:r>
      <w:proofErr w:type="spellEnd"/>
      <w:r w:rsidRPr="00CB10DF">
        <w:rPr>
          <w:rFonts w:ascii="Times New Roman" w:eastAsia="Times New Roman" w:hAnsi="Times New Roman" w:cs="Times New Roman"/>
          <w:color w:val="000000" w:themeColor="text1"/>
        </w:rPr>
        <w:t xml:space="preserve">, both </w:t>
      </w:r>
      <w:r w:rsidRPr="00CB10DF">
        <w:rPr>
          <w:rFonts w:ascii="Times New Roman" w:eastAsia="Times New Roman" w:hAnsi="Times New Roman" w:cs="Times New Roman"/>
          <w:i/>
          <w:color w:val="000000" w:themeColor="text1"/>
        </w:rPr>
        <w:t xml:space="preserve">Calopteryx </w:t>
      </w:r>
      <w:proofErr w:type="spellStart"/>
      <w:r w:rsidRPr="00CB10DF">
        <w:rPr>
          <w:rFonts w:ascii="Times New Roman" w:eastAsia="Times New Roman" w:hAnsi="Times New Roman" w:cs="Times New Roman"/>
          <w:i/>
          <w:color w:val="000000" w:themeColor="text1"/>
        </w:rPr>
        <w:t>splendens</w:t>
      </w:r>
      <w:proofErr w:type="spellEnd"/>
      <w:r w:rsidRPr="00CB10DF">
        <w:rPr>
          <w:rFonts w:ascii="Times New Roman" w:eastAsia="Times New Roman" w:hAnsi="Times New Roman" w:cs="Times New Roman"/>
          <w:i/>
          <w:color w:val="000000" w:themeColor="text1"/>
        </w:rPr>
        <w:t xml:space="preserve"> </w:t>
      </w:r>
      <w:r w:rsidRPr="00CB10DF">
        <w:rPr>
          <w:rFonts w:ascii="Times New Roman" w:eastAsia="Times New Roman" w:hAnsi="Times New Roman" w:cs="Times New Roman"/>
          <w:color w:val="000000" w:themeColor="text1"/>
        </w:rPr>
        <w:t xml:space="preserve">and </w:t>
      </w:r>
      <w:r w:rsidRPr="00CB10DF">
        <w:rPr>
          <w:rFonts w:ascii="Times New Roman" w:eastAsia="Times New Roman" w:hAnsi="Times New Roman" w:cs="Times New Roman"/>
          <w:i/>
          <w:color w:val="000000" w:themeColor="text1"/>
        </w:rPr>
        <w:t xml:space="preserve">C. </w:t>
      </w:r>
      <w:proofErr w:type="spellStart"/>
      <w:r w:rsidRPr="00CB10DF">
        <w:rPr>
          <w:rFonts w:ascii="Times New Roman" w:eastAsia="Times New Roman" w:hAnsi="Times New Roman" w:cs="Times New Roman"/>
          <w:i/>
          <w:color w:val="000000" w:themeColor="text1"/>
        </w:rPr>
        <w:t>virgo</w:t>
      </w:r>
      <w:proofErr w:type="spellEnd"/>
      <w:r w:rsidRPr="00CB10DF">
        <w:rPr>
          <w:rFonts w:ascii="Times New Roman" w:eastAsia="Times New Roman" w:hAnsi="Times New Roman" w:cs="Times New Roman"/>
          <w:color w:val="000000" w:themeColor="text1"/>
        </w:rPr>
        <w:t xml:space="preserve"> also exhibit territoriality and therefore, based on the results above, could be expected to show no body size change or get bigger with warmer temperatures,</w:t>
      </w:r>
      <w:r w:rsidRPr="00CB10DF">
        <w:rPr>
          <w:color w:val="000000" w:themeColor="text1"/>
        </w:rPr>
        <w:t xml:space="preserve"> </w:t>
      </w:r>
      <w:r w:rsidRPr="00CB10DF">
        <w:rPr>
          <w:rFonts w:ascii="Times New Roman" w:eastAsia="Times New Roman" w:hAnsi="Times New Roman" w:cs="Times New Roman"/>
          <w:color w:val="000000" w:themeColor="text1"/>
        </w:rPr>
        <w:t xml:space="preserve">especially as they are semivoltine, and so have less time-constraints on development than </w:t>
      </w:r>
      <w:proofErr w:type="spellStart"/>
      <w:r w:rsidRPr="00CB10DF">
        <w:rPr>
          <w:rFonts w:ascii="Times New Roman" w:eastAsia="Times New Roman" w:hAnsi="Times New Roman" w:cs="Times New Roman"/>
          <w:color w:val="000000" w:themeColor="text1"/>
        </w:rPr>
        <w:t>univoltine</w:t>
      </w:r>
      <w:proofErr w:type="spellEnd"/>
      <w:r w:rsidRPr="00CB10DF">
        <w:rPr>
          <w:rFonts w:ascii="Times New Roman" w:eastAsia="Times New Roman" w:hAnsi="Times New Roman" w:cs="Times New Roman"/>
          <w:color w:val="000000" w:themeColor="text1"/>
        </w:rPr>
        <w:t xml:space="preserve"> species.</w:t>
      </w:r>
      <w:r w:rsidRPr="00CB10DF">
        <w:rPr>
          <w:color w:val="000000" w:themeColor="text1"/>
        </w:rPr>
        <w:t xml:space="preserve"> </w:t>
      </w:r>
      <w:r w:rsidRPr="00CB10DF">
        <w:rPr>
          <w:rFonts w:ascii="Times New Roman" w:eastAsia="Times New Roman" w:hAnsi="Times New Roman" w:cs="Times New Roman"/>
          <w:color w:val="000000" w:themeColor="text1"/>
        </w:rPr>
        <w:t>However, our results indicate that in both species the adult males (and females) are smaller when they grow at higher temperatures</w:t>
      </w:r>
      <w:r w:rsidRPr="00CB10DF">
        <w:rPr>
          <w:rFonts w:ascii="Times New Roman" w:eastAsia="Times New Roman" w:hAnsi="Times New Roman" w:cs="Times New Roman"/>
          <w:color w:val="000000" w:themeColor="text1"/>
          <w:highlight w:val="white"/>
        </w:rPr>
        <w:t>. A possible explanation is that territoriality in</w:t>
      </w:r>
      <w:r w:rsidRPr="00CB10DF">
        <w:rPr>
          <w:rFonts w:ascii="Times New Roman" w:eastAsia="Times New Roman" w:hAnsi="Times New Roman" w:cs="Times New Roman"/>
          <w:i/>
          <w:color w:val="000000" w:themeColor="text1"/>
          <w:highlight w:val="white"/>
        </w:rPr>
        <w:t xml:space="preserve"> Calopteryx </w:t>
      </w:r>
      <w:r w:rsidRPr="00CB10DF">
        <w:rPr>
          <w:rFonts w:ascii="Times New Roman" w:eastAsia="Times New Roman" w:hAnsi="Times New Roman" w:cs="Times New Roman"/>
          <w:color w:val="000000" w:themeColor="text1"/>
          <w:highlight w:val="white"/>
        </w:rPr>
        <w:t xml:space="preserve">is weaker than in many Anisoptera. Previous studies on </w:t>
      </w:r>
      <w:r w:rsidRPr="00CB10DF">
        <w:rPr>
          <w:rFonts w:ascii="Times New Roman" w:eastAsia="Times New Roman" w:hAnsi="Times New Roman" w:cs="Times New Roman"/>
          <w:i/>
          <w:color w:val="000000" w:themeColor="text1"/>
          <w:highlight w:val="white"/>
        </w:rPr>
        <w:t>Calopteryx</w:t>
      </w:r>
      <w:r w:rsidRPr="00CB10DF">
        <w:rPr>
          <w:rFonts w:ascii="Times New Roman" w:eastAsia="Times New Roman" w:hAnsi="Times New Roman" w:cs="Times New Roman"/>
          <w:color w:val="000000" w:themeColor="text1"/>
          <w:highlight w:val="white"/>
        </w:rPr>
        <w:t xml:space="preserve"> indicate that male wing pigmentation is a more important mating cue than territory holding </w:t>
      </w:r>
      <w:r w:rsidR="004A4109" w:rsidRPr="00CB10DF">
        <w:rPr>
          <w:rFonts w:ascii="Times New Roman" w:eastAsia="Times New Roman" w:hAnsi="Times New Roman" w:cs="Times New Roman"/>
          <w:color w:val="000000" w:themeColor="text1"/>
          <w:highlight w:val="white"/>
        </w:rPr>
        <w:fldChar w:fldCharType="begin" w:fldLock="1"/>
      </w:r>
      <w:r w:rsidR="004A4109" w:rsidRPr="00CB10DF">
        <w:rPr>
          <w:rFonts w:ascii="Times New Roman" w:eastAsia="Times New Roman" w:hAnsi="Times New Roman" w:cs="Times New Roman"/>
          <w:color w:val="000000" w:themeColor="text1"/>
          <w:highlight w:val="white"/>
        </w:rPr>
        <w:instrText>ADDIN CSL_CITATION {"citationItems":[{"id":"ITEM-1","itemData":{"DOI":"10.1006/anbe.2001.1974","ISSN":"00033472","abstract":"One striking characteristic in adult males of some odonate species is the presence of wing pigmentation. In Calopteryx species, males show a series of pre- and postcopulatory behavioural displays during which they face females while showing their pigmented wings. One hypothesis to explain the precopulatory flying displays and the associated wing pigmentation is that they may serve a sexual selection function. I investigated this in the territorial damselfly Calopteryx haemorrhoidalis. Males of this species defend aquatic substrates that females use for oviposition. Observational evidence indicated that males with a higher proportion of wing pigmentation were more likely to defend a territory, obtained more matings, had fewer gut parasites, survived in the study site and stayed in territories for longer. Experimental evidence suggested that the relationship mating success and wing pigmentation still held when controlling for the size of the substrate defended by territorial males. Similar to other studies in the Calopterygidae, these results suggest that wing pigmentation may be favoured by sexual selection. I discuss, however, whether an alternative function for male copulatory courtship displays and wing pigmentation, as sexual and/or species recognition, may also explain the evolution of these traits. © 2002 The Association for the Study of Animal Behaviour. Published by Elsevier Science Ltd. All rights reserved.","author":[{"dropping-particle":"","family":"Córdoba-Aguilar","given":"A.","non-dropping-particle":"","parse-names":false,"suffix":""}],"container-title":"Animal Behaviour","id":"ITEM-1","issued":{"date-parts":[["2002"]]},"title":"Wing pigmentation in territorial male damselflies, Calopteryx haemorrhoidalis: A possible relation to sexual selection","type":"article-journal"},"uris":["http://www.mendeley.com/documents/?uuid=5c7c7929-3526-4d7d-98b6-6484a3952b28"]}],"mendeley":{"formattedCitation":"(A. Córdoba-Aguilar, 2002)","manualFormatting":"(Córdoba-Aguilar, 2002","plainTextFormattedCitation":"(A. Córdoba-Aguilar, 2002)","previouslyFormattedCitation":"(A. Córdoba-Aguilar, 2002)"},"properties":{"noteIndex":0},"schema":"https://github.com/citation-style-language/schema/raw/master/csl-citation.json"}</w:instrText>
      </w:r>
      <w:r w:rsidR="004A4109" w:rsidRPr="00CB10DF">
        <w:rPr>
          <w:rFonts w:ascii="Times New Roman" w:eastAsia="Times New Roman" w:hAnsi="Times New Roman" w:cs="Times New Roman"/>
          <w:color w:val="000000" w:themeColor="text1"/>
          <w:highlight w:val="white"/>
        </w:rPr>
        <w:fldChar w:fldCharType="separate"/>
      </w:r>
      <w:r w:rsidR="004A4109" w:rsidRPr="00CB10DF">
        <w:rPr>
          <w:rFonts w:ascii="Times New Roman" w:eastAsia="Times New Roman" w:hAnsi="Times New Roman" w:cs="Times New Roman"/>
          <w:noProof/>
          <w:color w:val="000000" w:themeColor="text1"/>
          <w:highlight w:val="white"/>
        </w:rPr>
        <w:t>(Córdoba-Aguilar, 2002</w:t>
      </w:r>
      <w:r w:rsidR="004A4109" w:rsidRPr="00CB10DF">
        <w:rPr>
          <w:rFonts w:ascii="Times New Roman" w:eastAsia="Times New Roman" w:hAnsi="Times New Roman" w:cs="Times New Roman"/>
          <w:color w:val="000000" w:themeColor="text1"/>
          <w:highlight w:val="white"/>
        </w:rPr>
        <w:fldChar w:fldCharType="end"/>
      </w:r>
      <w:r w:rsidR="004A4109" w:rsidRPr="00CB10DF">
        <w:rPr>
          <w:rFonts w:ascii="Times New Roman" w:eastAsia="Times New Roman" w:hAnsi="Times New Roman" w:cs="Times New Roman"/>
          <w:color w:val="000000" w:themeColor="text1"/>
          <w:highlight w:val="white"/>
        </w:rPr>
        <w:t xml:space="preserve">, </w:t>
      </w:r>
      <w:r w:rsidR="004A4109" w:rsidRPr="00CB10DF">
        <w:rPr>
          <w:rFonts w:ascii="Times New Roman" w:eastAsia="Times New Roman" w:hAnsi="Times New Roman" w:cs="Times New Roman"/>
          <w:color w:val="000000" w:themeColor="text1"/>
          <w:highlight w:val="white"/>
        </w:rPr>
        <w:fldChar w:fldCharType="begin" w:fldLock="1"/>
      </w:r>
      <w:r w:rsidR="004A4109" w:rsidRPr="00CB10DF">
        <w:rPr>
          <w:rFonts w:ascii="Times New Roman" w:eastAsia="Times New Roman" w:hAnsi="Times New Roman" w:cs="Times New Roman"/>
          <w:color w:val="000000" w:themeColor="text1"/>
          <w:highlight w:val="white"/>
        </w:rPr>
        <w:instrText>ADDIN CSL_CITATION {"citationItems":[{"id":"ITEM-1","itemData":{"DOI":"10.1590/s1519-566x2005000600001","ISSN":"1519-566X","abstract":"We review the studies of evolution and ecology in the Calopterygidae. Adults are easily distinguished for their pigmented wings and territorial behaviour. Three genera have been well studied: \u0010Hetaerina, Calopteryx \u0011and \u0010Mnais\u0011. Larvae develop in riverine aquatic environments. Selection operates at this stage to produce large muscle mass for adults. The adult spends some days until sexually ready. During this time, it feeds extensively to produce muscle fat for egg production and flight. However, gregarine parasites may ingest the fat reserves. Males may use two mating tactics or strategies that may be genetically (\u0010Mnais\u0011) or environmentally (\u0010Calopteryx \u0011and \u0010Hetaerina\u0011) determined: territoriality and nonterritoriality. In \u0010Mnais\u0011, these strategies appear balanced in fitness terms. Males of \u0010Calopteryx\u0011, \u0010Mnais \u0011and \u0010Phaon \u0011show a precopulatory courtship that is not the case for \u0010Hetaerina\u0011. Male wing pigmentation seems to signal how good the male is to deal immunologically with parasites to females during the male courtship. During copulation, males displace the sperm the female has stored in the storage organs from previous matings. There is an enormous variation in male sperm displacement mechanisms and ability, and in genitalic morphology in both sexes. This variation possibly results from a coevolutionary game between the sexes to control stored sperm. After copulation, males guard females apparently to avoid that other males take the female in copulation. Our review suggests sources for research in this family.","author":[{"dropping-particle":"","family":"Córdoba-Aguilar","given":"Alejandro","non-dropping-particle":"","parse-names":false,"suffix":""},{"dropping-particle":"","family":"Cordero-Rivera","given":"Adolfo","non-dropping-particle":"","parse-names":false,"suffix":""}],"container-title":"Neotropical Entomology","id":"ITEM-1","issued":{"date-parts":[["2005"]]},"title":"Evolution and ecology of Calopterygidae (Zygoptera: Odonata): status of knowledge and research perspectives","type":"article-journal"},"uris":["http://www.mendeley.com/documents/?uuid=67c61309-5a7a-48d2-a726-100df1ceae77"]}],"mendeley":{"formattedCitation":"(Alejandro Córdoba-Aguilar &amp; Cordero-Rivera, 2005)","manualFormatting":"Córdoba-Aguilar &amp; Cordero-Rivera, 2005)","plainTextFormattedCitation":"(Alejandro Córdoba-Aguilar &amp; Cordero-Rivera, 2005)","previouslyFormattedCitation":"(Alejandro Córdoba-Aguilar &amp; Cordero-Rivera, 2005)"},"properties":{"noteIndex":0},"schema":"https://github.com/citation-style-language/schema/raw/master/csl-citation.json"}</w:instrText>
      </w:r>
      <w:r w:rsidR="004A4109" w:rsidRPr="00CB10DF">
        <w:rPr>
          <w:rFonts w:ascii="Times New Roman" w:eastAsia="Times New Roman" w:hAnsi="Times New Roman" w:cs="Times New Roman"/>
          <w:color w:val="000000" w:themeColor="text1"/>
          <w:highlight w:val="white"/>
        </w:rPr>
        <w:fldChar w:fldCharType="separate"/>
      </w:r>
      <w:r w:rsidR="004A4109" w:rsidRPr="00CB10DF">
        <w:rPr>
          <w:rFonts w:ascii="Times New Roman" w:eastAsia="Times New Roman" w:hAnsi="Times New Roman" w:cs="Times New Roman"/>
          <w:noProof/>
          <w:color w:val="000000" w:themeColor="text1"/>
          <w:highlight w:val="white"/>
        </w:rPr>
        <w:t>Córdoba-Aguilar &amp; Cordero-Rivera, 2005)</w:t>
      </w:r>
      <w:r w:rsidR="004A4109" w:rsidRPr="00CB10DF">
        <w:rPr>
          <w:rFonts w:ascii="Times New Roman" w:eastAsia="Times New Roman" w:hAnsi="Times New Roman" w:cs="Times New Roman"/>
          <w:color w:val="000000" w:themeColor="text1"/>
          <w:highlight w:val="white"/>
        </w:rPr>
        <w:fldChar w:fldCharType="end"/>
      </w:r>
      <w:r w:rsidRPr="00CB10DF">
        <w:rPr>
          <w:rFonts w:ascii="Times New Roman" w:eastAsia="Times New Roman" w:hAnsi="Times New Roman" w:cs="Times New Roman"/>
          <w:color w:val="000000" w:themeColor="text1"/>
          <w:highlight w:val="white"/>
        </w:rPr>
        <w:t xml:space="preserve">. Moreover, </w:t>
      </w:r>
      <w:r w:rsidR="004A4109" w:rsidRPr="00CB10DF">
        <w:rPr>
          <w:rFonts w:ascii="Times New Roman" w:eastAsia="Times New Roman" w:hAnsi="Times New Roman" w:cs="Times New Roman"/>
          <w:color w:val="000000" w:themeColor="text1"/>
          <w:highlight w:val="white"/>
        </w:rPr>
        <w:fldChar w:fldCharType="begin" w:fldLock="1"/>
      </w:r>
      <w:r w:rsidR="00117D84" w:rsidRPr="00CB10DF">
        <w:rPr>
          <w:rFonts w:ascii="Times New Roman" w:eastAsia="Times New Roman" w:hAnsi="Times New Roman" w:cs="Times New Roman"/>
          <w:color w:val="000000" w:themeColor="text1"/>
          <w:highlight w:val="white"/>
        </w:rPr>
        <w:instrText>ADDIN CSL_CITATION {"citationItems":[{"id":"ITEM-1","itemData":{"ISSN":"03750183","abstract":"In territorial Odonata, adult ??? ??? may use 2 mating tactics that may be genetically or environmentally determined: territoriality and non-territoriality. The non-territorial tactic has been sometimes found to include 2 additional males: sneaking and wandering. The non-territorial ??? ???, however, often have lower reproductive success than territorial ??? ???. Studies on various Calopteryx spp. have repeatedly shown that territorial and non-territorial behaviours are conditional mating tactics and that body size does not predict ??? resource-holding potential and territorial behaviour. Instead, the resource holding potential seems to depend on the amount of S fat resources. Here, both territorial and wandering C. virgo S d were collected from a creek in central Finland. It was found that territorial ??? ??? were larger and heavier than wandering ??? ???. The data show that the size of the individual may predict the reproductive tactic of some odon. ??? ??? to a greater degree than previously thought.","author":[{"dropping-particle":"","family":"Koskim??ki","given":"J.","non-dropping-particle":"","parse-names":false,"suffix":""},{"dropping-particle":"","family":"Rantala","given":"M. J.","non-dropping-particle":"","parse-names":false,"suffix":""},{"dropping-particle":"","family":"Suhonen","given":"I.","non-dropping-particle":"","parse-names":false,"suffix":""}],"container-title":"Odonatologica","id":"ITEM-1","issued":{"date-parts":[["2009"]]},"title":"Wandering males are smaller than territorial males in the damselfly calopteryx virgo (L.) (zygoptera: calopterygidae)","type":"article-journal"},"uris":["http://www.mendeley.com/documents/?uuid=9a6531d7-ddd5-47d2-a913-94e5c5d626c2"]}],"mendeley":{"formattedCitation":"(Koskim??ki et al., 2009)","manualFormatting":"Koskimaki et al. (2009)","plainTextFormattedCitation":"(Koskim??ki et al., 2009)","previouslyFormattedCitation":"(Koskim??ki et al., 2009)"},"properties":{"noteIndex":0},"schema":"https://github.com/citation-style-language/schema/raw/master/csl-citation.json"}</w:instrText>
      </w:r>
      <w:r w:rsidR="004A4109" w:rsidRPr="00CB10DF">
        <w:rPr>
          <w:rFonts w:ascii="Times New Roman" w:eastAsia="Times New Roman" w:hAnsi="Times New Roman" w:cs="Times New Roman"/>
          <w:color w:val="000000" w:themeColor="text1"/>
          <w:highlight w:val="white"/>
        </w:rPr>
        <w:fldChar w:fldCharType="separate"/>
      </w:r>
      <w:r w:rsidR="004A4109" w:rsidRPr="00CB10DF">
        <w:rPr>
          <w:rFonts w:ascii="Times New Roman" w:eastAsia="Times New Roman" w:hAnsi="Times New Roman" w:cs="Times New Roman"/>
          <w:noProof/>
          <w:color w:val="000000" w:themeColor="text1"/>
          <w:highlight w:val="white"/>
        </w:rPr>
        <w:t>Koskimaki et al. (2009)</w:t>
      </w:r>
      <w:r w:rsidR="004A4109" w:rsidRPr="00CB10DF">
        <w:rPr>
          <w:rFonts w:ascii="Times New Roman" w:eastAsia="Times New Roman" w:hAnsi="Times New Roman" w:cs="Times New Roman"/>
          <w:color w:val="000000" w:themeColor="text1"/>
          <w:highlight w:val="white"/>
        </w:rPr>
        <w:fldChar w:fldCharType="end"/>
      </w:r>
      <w:r w:rsidRPr="00CB10DF">
        <w:rPr>
          <w:rFonts w:ascii="Times New Roman" w:eastAsia="Times New Roman" w:hAnsi="Times New Roman" w:cs="Times New Roman"/>
          <w:i/>
          <w:color w:val="000000" w:themeColor="text1"/>
          <w:highlight w:val="white"/>
        </w:rPr>
        <w:t xml:space="preserve"> </w:t>
      </w:r>
      <w:r w:rsidRPr="00CB10DF">
        <w:rPr>
          <w:rFonts w:ascii="Times New Roman" w:eastAsia="Times New Roman" w:hAnsi="Times New Roman" w:cs="Times New Roman"/>
          <w:color w:val="000000" w:themeColor="text1"/>
          <w:highlight w:val="white"/>
        </w:rPr>
        <w:t>showed that</w:t>
      </w:r>
      <w:r w:rsidRPr="00CB10DF">
        <w:rPr>
          <w:rFonts w:ascii="Times New Roman" w:eastAsia="Times New Roman" w:hAnsi="Times New Roman" w:cs="Times New Roman"/>
          <w:i/>
          <w:color w:val="000000" w:themeColor="text1"/>
          <w:highlight w:val="white"/>
        </w:rPr>
        <w:t xml:space="preserve"> C. </w:t>
      </w:r>
      <w:proofErr w:type="spellStart"/>
      <w:r w:rsidRPr="00CB10DF">
        <w:rPr>
          <w:rFonts w:ascii="Times New Roman" w:eastAsia="Times New Roman" w:hAnsi="Times New Roman" w:cs="Times New Roman"/>
          <w:i/>
          <w:color w:val="000000" w:themeColor="text1"/>
          <w:highlight w:val="white"/>
        </w:rPr>
        <w:t>virgo</w:t>
      </w:r>
      <w:proofErr w:type="spellEnd"/>
      <w:r w:rsidRPr="00CB10DF">
        <w:rPr>
          <w:rFonts w:ascii="Times New Roman" w:eastAsia="Times New Roman" w:hAnsi="Times New Roman" w:cs="Times New Roman"/>
          <w:color w:val="000000" w:themeColor="text1"/>
          <w:highlight w:val="white"/>
        </w:rPr>
        <w:t xml:space="preserve"> had three mating tactics; 1) territorial 2) non-territorial (sneaking), and 3) non-territorial (wandering). They found that the body size of wandering </w:t>
      </w:r>
      <w:r w:rsidRPr="00CB10DF">
        <w:rPr>
          <w:rFonts w:ascii="Times New Roman" w:eastAsia="Times New Roman" w:hAnsi="Times New Roman" w:cs="Times New Roman"/>
          <w:i/>
          <w:color w:val="000000" w:themeColor="text1"/>
          <w:highlight w:val="white"/>
        </w:rPr>
        <w:t xml:space="preserve">C. </w:t>
      </w:r>
      <w:proofErr w:type="spellStart"/>
      <w:r w:rsidRPr="00CB10DF">
        <w:rPr>
          <w:rFonts w:ascii="Times New Roman" w:eastAsia="Times New Roman" w:hAnsi="Times New Roman" w:cs="Times New Roman"/>
          <w:i/>
          <w:color w:val="000000" w:themeColor="text1"/>
          <w:highlight w:val="white"/>
        </w:rPr>
        <w:t>virgo</w:t>
      </w:r>
      <w:proofErr w:type="spellEnd"/>
      <w:r w:rsidRPr="00CB10DF">
        <w:rPr>
          <w:rFonts w:ascii="Times New Roman" w:eastAsia="Times New Roman" w:hAnsi="Times New Roman" w:cs="Times New Roman"/>
          <w:color w:val="000000" w:themeColor="text1"/>
          <w:highlight w:val="white"/>
        </w:rPr>
        <w:t xml:space="preserve"> males was smaller than territorial individuals. This may partly account for our results</w:t>
      </w:r>
      <w:r w:rsidR="00C465B4" w:rsidRPr="00CB10DF">
        <w:rPr>
          <w:rFonts w:ascii="Times New Roman" w:eastAsia="Times New Roman" w:hAnsi="Times New Roman" w:cs="Times New Roman"/>
          <w:color w:val="000000" w:themeColor="text1"/>
          <w:highlight w:val="white"/>
        </w:rPr>
        <w:t xml:space="preserve">, </w:t>
      </w:r>
      <w:r w:rsidR="00CB1799" w:rsidRPr="00CB10DF">
        <w:rPr>
          <w:rFonts w:ascii="Times New Roman" w:eastAsia="Times New Roman" w:hAnsi="Times New Roman" w:cs="Times New Roman"/>
          <w:color w:val="000000" w:themeColor="text1"/>
          <w:szCs w:val="22"/>
          <w:shd w:val="clear" w:color="auto" w:fill="FFFFFF"/>
          <w:lang w:val="en-GB" w:eastAsia="en-GB"/>
        </w:rPr>
        <w:t xml:space="preserve">but it could be that </w:t>
      </w:r>
      <w:r w:rsidR="00CB1799" w:rsidRPr="00CB10DF">
        <w:rPr>
          <w:rFonts w:ascii="Times New Roman" w:eastAsia="Times New Roman" w:hAnsi="Times New Roman" w:cs="Times New Roman"/>
          <w:color w:val="000000" w:themeColor="text1"/>
          <w:szCs w:val="22"/>
          <w:shd w:val="clear" w:color="auto" w:fill="FFFFFF"/>
          <w:lang w:val="en-GB" w:eastAsia="en-GB"/>
        </w:rPr>
        <w:lastRenderedPageBreak/>
        <w:t>other factors that differ between Anisoptera and Zygoptera have also affected their size responses to temperature. However, further study is required to fully untangle the mechanisms behind the differential wing size responses between Anisoptera and Zygoptera.</w:t>
      </w:r>
    </w:p>
    <w:p w14:paraId="1BAF5D12" w14:textId="77777777" w:rsidR="00FE384D" w:rsidRPr="00CB10DF" w:rsidRDefault="00FE384D" w:rsidP="00FE384D">
      <w:pPr>
        <w:spacing w:before="240" w:after="240" w:line="480" w:lineRule="auto"/>
        <w:jc w:val="both"/>
        <w:rPr>
          <w:rFonts w:ascii="Times New Roman" w:eastAsia="Times New Roman" w:hAnsi="Times New Roman" w:cs="Times New Roman"/>
          <w:i/>
          <w:color w:val="000000" w:themeColor="text1"/>
        </w:rPr>
      </w:pPr>
      <w:r w:rsidRPr="00CB10DF">
        <w:rPr>
          <w:rFonts w:ascii="Times New Roman" w:eastAsia="Times New Roman" w:hAnsi="Times New Roman" w:cs="Times New Roman"/>
          <w:i/>
          <w:color w:val="000000" w:themeColor="text1"/>
        </w:rPr>
        <w:t>Seasonal cline in wing length</w:t>
      </w:r>
    </w:p>
    <w:p w14:paraId="31923E14" w14:textId="36DA3772" w:rsidR="00FE384D" w:rsidRPr="00CB10DF" w:rsidRDefault="00FE384D" w:rsidP="00FE384D">
      <w:pPr>
        <w:spacing w:before="240" w:after="240" w:line="480" w:lineRule="auto"/>
        <w:jc w:val="both"/>
        <w:rPr>
          <w:rFonts w:ascii="Times New Roman" w:eastAsia="Times New Roman" w:hAnsi="Times New Roman" w:cs="Times New Roman"/>
          <w:color w:val="000000" w:themeColor="text1"/>
        </w:rPr>
      </w:pPr>
      <w:r w:rsidRPr="00CB10DF">
        <w:rPr>
          <w:rFonts w:ascii="Times New Roman" w:eastAsia="Times New Roman" w:hAnsi="Times New Roman" w:cs="Times New Roman"/>
          <w:color w:val="000000" w:themeColor="text1"/>
        </w:rPr>
        <w:t xml:space="preserve">A significant negative response between wing length and collection date in all the studied Zygoptera species implies that individuals flying late in the season tend to be smaller than those of the same species flying early in the season. This finding corresponds well with previous field studies on UK populations of the </w:t>
      </w:r>
      <w:proofErr w:type="spellStart"/>
      <w:r w:rsidRPr="00CB10DF">
        <w:rPr>
          <w:rFonts w:ascii="Times New Roman" w:eastAsia="Times New Roman" w:hAnsi="Times New Roman" w:cs="Times New Roman"/>
          <w:color w:val="000000" w:themeColor="text1"/>
        </w:rPr>
        <w:t>zygopteran</w:t>
      </w:r>
      <w:proofErr w:type="spellEnd"/>
      <w:r w:rsidRPr="00CB10DF">
        <w:rPr>
          <w:rFonts w:ascii="Times New Roman" w:eastAsia="Times New Roman" w:hAnsi="Times New Roman" w:cs="Times New Roman"/>
          <w:color w:val="000000" w:themeColor="text1"/>
        </w:rPr>
        <w:t xml:space="preserve">, </w:t>
      </w:r>
      <w:proofErr w:type="spellStart"/>
      <w:r w:rsidRPr="00CB10DF">
        <w:rPr>
          <w:rFonts w:ascii="Times New Roman" w:eastAsia="Times New Roman" w:hAnsi="Times New Roman" w:cs="Times New Roman"/>
          <w:i/>
          <w:color w:val="000000" w:themeColor="text1"/>
        </w:rPr>
        <w:t>Coenagrion</w:t>
      </w:r>
      <w:proofErr w:type="spellEnd"/>
      <w:r w:rsidRPr="00CB10DF">
        <w:rPr>
          <w:rFonts w:ascii="Times New Roman" w:eastAsia="Times New Roman" w:hAnsi="Times New Roman" w:cs="Times New Roman"/>
          <w:i/>
          <w:color w:val="000000" w:themeColor="text1"/>
        </w:rPr>
        <w:t xml:space="preserve"> </w:t>
      </w:r>
      <w:proofErr w:type="spellStart"/>
      <w:r w:rsidRPr="00CB10DF">
        <w:rPr>
          <w:rFonts w:ascii="Times New Roman" w:eastAsia="Times New Roman" w:hAnsi="Times New Roman" w:cs="Times New Roman"/>
          <w:i/>
          <w:color w:val="000000" w:themeColor="text1"/>
        </w:rPr>
        <w:t>mercuriale</w:t>
      </w:r>
      <w:proofErr w:type="spellEnd"/>
      <w:r w:rsidRPr="00CB10DF">
        <w:rPr>
          <w:rFonts w:ascii="Times New Roman" w:eastAsia="Times New Roman" w:hAnsi="Times New Roman" w:cs="Times New Roman"/>
          <w:color w:val="000000" w:themeColor="text1"/>
        </w:rPr>
        <w:t xml:space="preserve"> </w:t>
      </w:r>
      <w:r w:rsidR="005A5C19" w:rsidRPr="00CB10DF">
        <w:rPr>
          <w:rFonts w:ascii="Times New Roman" w:eastAsia="Times New Roman" w:hAnsi="Times New Roman" w:cs="Times New Roman"/>
          <w:color w:val="000000" w:themeColor="text1"/>
        </w:rPr>
        <w:fldChar w:fldCharType="begin" w:fldLock="1"/>
      </w:r>
      <w:r w:rsidR="005A5C19" w:rsidRPr="00CB10DF">
        <w:rPr>
          <w:rFonts w:ascii="Times New Roman" w:eastAsia="Times New Roman" w:hAnsi="Times New Roman" w:cs="Times New Roman"/>
          <w:color w:val="000000" w:themeColor="text1"/>
        </w:rPr>
        <w:instrText>ADDIN CSL_CITATION {"citationItems":[{"id":"ITEM-1","itemData":{"ISBN":"1210-5759","ISSN":"18028829","PMID":"798","abstract":"Emergence of Coenagrion mercuriale and Ceriagrion tenellum was examined in a mixed population at their northern range margin in Britain. Mortality at emergence was quantified in C. mercuriale. Consistent with their larval diapause characteristics, both species had an asynchronous emergence pattern, typical of \"summer\" species. Daily emergence of C. mercuriale was positively correlated with the duration of sunlight on the previous day (controlling for season) and its emergence period was found to be shorter than that observed in its core populations in Central and Mediterranean Europe. No differences were found between the patterns of emergence of the sexes in either species. Sex ratio at emergence differed significantly from 1: 1 (at 1.35 : 1 - mates : females) in C. mercuriale but not in Ceriagrion tenellum (at 1.04 : 1). Body size at emergence declined more steeply with time in females than in males of C. mercuriale because large size may confer a greater reproductive advantage in females (larger females may be more fecund) than males in non-territorial odonates. Percentage mortality of C mercuriale at emergence was low (4.9% including deformed individuals), the main cause of mortality being deformity","author":[{"dropping-particle":"V.","family":"Purse","given":"Bethan","non-dropping-particle":"","parse-names":false,"suffix":""},{"dropping-particle":"","family":"Thompson","given":"David J.","non-dropping-particle":"","parse-names":false,"suffix":""}],"container-title":"European Journal of Entomology","id":"ITEM-1","issue":"1","issued":{"date-parts":[["2003"]]},"page":"93-99","title":"Emergence of the damselflies, Coenagrion mercuriale and Ceriagrion tenellum (Odonata: Coenagrionidae), at their northern range margins, in Britain","type":"article-journal","volume":"100"},"uris":["http://www.mendeley.com/documents/?uuid=4a0ad79b-c6bc-43ad-9b8d-8dd1413416b6"]}],"mendeley":{"formattedCitation":"(Purse &amp; Thompson, 2003)","manualFormatting":"(Purse &amp; Thompson, 2003","plainTextFormattedCitation":"(Purse &amp; Thompson, 2003)","previouslyFormattedCitation":"(Purse &amp; Thompson, 2003)"},"properties":{"noteIndex":0},"schema":"https://github.com/citation-style-language/schema/raw/master/csl-citation.json"}</w:instrText>
      </w:r>
      <w:r w:rsidR="005A5C19" w:rsidRPr="00CB10DF">
        <w:rPr>
          <w:rFonts w:ascii="Times New Roman" w:eastAsia="Times New Roman" w:hAnsi="Times New Roman" w:cs="Times New Roman"/>
          <w:color w:val="000000" w:themeColor="text1"/>
        </w:rPr>
        <w:fldChar w:fldCharType="separate"/>
      </w:r>
      <w:r w:rsidR="005A5C19" w:rsidRPr="00CB10DF">
        <w:rPr>
          <w:rFonts w:ascii="Times New Roman" w:eastAsia="Times New Roman" w:hAnsi="Times New Roman" w:cs="Times New Roman"/>
          <w:noProof/>
          <w:color w:val="000000" w:themeColor="text1"/>
        </w:rPr>
        <w:t>(Purse &amp; Thompson, 2003</w:t>
      </w:r>
      <w:r w:rsidR="005A5C19" w:rsidRPr="00CB10DF">
        <w:rPr>
          <w:rFonts w:ascii="Times New Roman" w:eastAsia="Times New Roman" w:hAnsi="Times New Roman" w:cs="Times New Roman"/>
          <w:color w:val="000000" w:themeColor="text1"/>
        </w:rPr>
        <w:fldChar w:fldCharType="end"/>
      </w:r>
      <w:r w:rsidR="005A5C19" w:rsidRPr="00CB10DF">
        <w:rPr>
          <w:rFonts w:ascii="Times New Roman" w:eastAsia="Times New Roman" w:hAnsi="Times New Roman" w:cs="Times New Roman"/>
          <w:color w:val="000000" w:themeColor="text1"/>
        </w:rPr>
        <w:t xml:space="preserve">, </w:t>
      </w:r>
      <w:r w:rsidR="005A5C19" w:rsidRPr="00CB10DF">
        <w:rPr>
          <w:rFonts w:ascii="Times New Roman" w:eastAsia="Times New Roman" w:hAnsi="Times New Roman" w:cs="Times New Roman"/>
          <w:color w:val="000000" w:themeColor="text1"/>
        </w:rPr>
        <w:fldChar w:fldCharType="begin" w:fldLock="1"/>
      </w:r>
      <w:r w:rsidR="00117D84" w:rsidRPr="00CB10DF">
        <w:rPr>
          <w:rFonts w:ascii="Times New Roman" w:eastAsia="Times New Roman" w:hAnsi="Times New Roman" w:cs="Times New Roman"/>
          <w:color w:val="000000" w:themeColor="text1"/>
        </w:rPr>
        <w:instrText>ADDIN CSL_CITATION {"citationItems":[{"id":"ITEM-1","itemData":{"DOI":"10.1890/08-1780.1","ISBN":"0012-9658","ISSN":"00129658","PMID":"19739382","abstract":"By a combination of detailed behavioral observations and molecular genetic approaches we have assessed development time, timing of first maturity, and the extent of genetic structure through the flying season in a wild population of the damselfly Coenagrion puella in England. This work provides the first estimate of development time (egg to mature adult) in the field based on individual damselflies. Development time was significantly longer for females than males. In contrast to reported laboratory studies, there was no difference in development times between different female color morphs. Development time ranged between 347 and 396 days and was negatively correlated with egg-laying date. As a result eggs laid early in one season reach adult maturity relatively late in the next; concurrently individuals developing from eggs laid late mature relatively early. We speculate that this pattern of development is a direct physiological response to seasonal environmental variation and results in reproductive synchrony within a population. Size, specifically hind wing length, declined with development time in males, but not in females. In one of the two years of the study there was evidence for weak clustering of related individuals during the reproductive season. This appeared to be the result of developmental synchronization within families: variance in timing of maturation was smaller in full-sib families than in half-sib families or randomly assigned unrelated groups.","author":[{"dropping-particle":"","family":"Lowe","given":"Chris D.","non-dropping-particle":"","parse-names":false,"suffix":""},{"dropping-particle":"","family":"Harvey","given":"Ian F.","non-dropping-particle":"","parse-names":false,"suffix":""},{"dropping-particle":"","family":"Watts","given":"Phillip C.","non-dropping-particle":"","parse-names":false,"suffix":""},{"dropping-particle":"","family":"Thompson","given":"David J.","non-dropping-particle":"","parse-names":false,"suffix":""}],"container-title":"Ecology","id":"ITEM-1","issue":"8","issued":{"date-parts":[["2009"]]},"page":"2202-2212","title":"Reproductive timing and patterns of development for the damselfly Coenagrion puella in the field","type":"article-journal","volume":"90"},"uris":["http://www.mendeley.com/documents/?uuid=f13f905f-59c5-4d7f-bca7-e39df44d1b4e"]}],"mendeley":{"formattedCitation":"(Lowe et al., 2009)","manualFormatting":"Lowe et al., 2009)","plainTextFormattedCitation":"(Lowe et al., 2009)","previouslyFormattedCitation":"(Lowe et al., 2009)"},"properties":{"noteIndex":0},"schema":"https://github.com/citation-style-language/schema/raw/master/csl-citation.json"}</w:instrText>
      </w:r>
      <w:r w:rsidR="005A5C19" w:rsidRPr="00CB10DF">
        <w:rPr>
          <w:rFonts w:ascii="Times New Roman" w:eastAsia="Times New Roman" w:hAnsi="Times New Roman" w:cs="Times New Roman"/>
          <w:color w:val="000000" w:themeColor="text1"/>
        </w:rPr>
        <w:fldChar w:fldCharType="separate"/>
      </w:r>
      <w:r w:rsidR="005A5C19" w:rsidRPr="00CB10DF">
        <w:rPr>
          <w:rFonts w:ascii="Times New Roman" w:eastAsia="Times New Roman" w:hAnsi="Times New Roman" w:cs="Times New Roman"/>
          <w:noProof/>
          <w:color w:val="000000" w:themeColor="text1"/>
        </w:rPr>
        <w:t>Lowe et al., 2009)</w:t>
      </w:r>
      <w:r w:rsidR="005A5C19" w:rsidRPr="00CB10DF">
        <w:rPr>
          <w:rFonts w:ascii="Times New Roman" w:eastAsia="Times New Roman" w:hAnsi="Times New Roman" w:cs="Times New Roman"/>
          <w:color w:val="000000" w:themeColor="text1"/>
        </w:rPr>
        <w:fldChar w:fldCharType="end"/>
      </w:r>
      <w:r w:rsidRPr="00CB10DF">
        <w:rPr>
          <w:rFonts w:ascii="Times New Roman" w:eastAsia="Times New Roman" w:hAnsi="Times New Roman" w:cs="Times New Roman"/>
          <w:color w:val="000000" w:themeColor="text1"/>
        </w:rPr>
        <w:t xml:space="preserve">, which found larval exuviae emerging late in the season were smaller than those emerging early in the season, and studies in other Zygoptera species </w:t>
      </w:r>
      <w:r w:rsidR="005A5C19" w:rsidRPr="00CB10DF">
        <w:rPr>
          <w:rFonts w:ascii="Times New Roman" w:eastAsia="Times New Roman" w:hAnsi="Times New Roman" w:cs="Times New Roman"/>
          <w:color w:val="000000" w:themeColor="text1"/>
        </w:rPr>
        <w:fldChar w:fldCharType="begin" w:fldLock="1"/>
      </w:r>
      <w:r w:rsidR="00117D84" w:rsidRPr="00CB10DF">
        <w:rPr>
          <w:rFonts w:ascii="Times New Roman" w:eastAsia="Times New Roman" w:hAnsi="Times New Roman" w:cs="Times New Roman"/>
          <w:color w:val="000000" w:themeColor="text1"/>
        </w:rPr>
        <w:instrText>ADDIN CSL_CITATION {"citationItems":[{"id":"ITEM-1","itemData":{"DOI":"10.4001/003.023.0120","ISSN":"10213589","abstract":"Voltinism is an important life history trait that varies with the environment. In temperate zones, insect populations take a substantially longer time to reach the adult stage in the northern compared to the southern regions. In this study, emergence pattern and larval growth of the threatened zygopteran (Odonata) Coenagrion mercuriale were investigated in a population located in the southernlimit of its distribution range in order to determine its life history strategies in a hot climate and compare them to those displayed in northern popula- tions. There was no apparent winter diapause. The species produced two generations in a year, with the first generation emerging in mid spring and the second in late summer. The emergence patternof the first generationwastypical of asummerspeciesandlasted 48 days. All larvae emerged by the end of May. Due to some environmental perturbations, the emergence pattern of the second generation was not surveyed, but there was evidence that the emergence season was short (21 days). Larval structure prior to the second emergence of the year showed that only 25%of the population was in the final instar, which explains the shorter emergence season.We assume that the first eggs laid in the spring hatch and grow rapidly to reach the final instar in late summer as a consequence of higher temperatures and potential high food availability. There was a significant seasonal decline in body size in both males and females. The second generation had a significantly smaller body size, presumably due to the short growth season and/or higher growth rate.","author":[{"dropping-particle":"","family":"Mahdjoub","given":"H","non-dropping-particle":"","parse-names":false,"suffix":""},{"dropping-particle":"","family":"Khelifa","given":"R","non-dropping-particle":"","parse-names":false,"suffix":""},{"dropping-particle":"","family":"Zebsa","given":"R","non-dropping-particle":"","parse-names":false,"suffix":""},{"dropping-particle":"","family":"Bouslama","given":"Z","non-dropping-particle":"","parse-names":false,"suffix":""},{"dropping-particle":"","family":"Houhamdi","given":"M","non-dropping-particle":"","parse-names":false,"suffix":""}],"container-title":"African Entomology","id":"ITEM-1","issue":"1","issued":{"date-parts":[["2015"]]},"page":"59-67","title":"Bivoltinism in Coenagrion mercuriale (Zygoptera: Odonata) in the southern margin of its distribution range: emergence pattern and larval growth","type":"article-journal","volume":"23"},"uris":["http://www.mendeley.com/documents/?uuid=b4d11e35-f082-4cf4-9a98-ab0a215b39ec"]}],"mendeley":{"formattedCitation":"(Mahdjoub et al., 2015)","manualFormatting":"(Mahdjoub et al., 2015)","plainTextFormattedCitation":"(Mahdjoub et al., 2015)","previouslyFormattedCitation":"(Mahdjoub et al., 2015)"},"properties":{"noteIndex":0},"schema":"https://github.com/citation-style-language/schema/raw/master/csl-citation.json"}</w:instrText>
      </w:r>
      <w:r w:rsidR="005A5C19" w:rsidRPr="00CB10DF">
        <w:rPr>
          <w:rFonts w:ascii="Times New Roman" w:eastAsia="Times New Roman" w:hAnsi="Times New Roman" w:cs="Times New Roman"/>
          <w:color w:val="000000" w:themeColor="text1"/>
        </w:rPr>
        <w:fldChar w:fldCharType="separate"/>
      </w:r>
      <w:r w:rsidR="005A5C19" w:rsidRPr="00CB10DF">
        <w:rPr>
          <w:rFonts w:ascii="Times New Roman" w:eastAsia="Times New Roman" w:hAnsi="Times New Roman" w:cs="Times New Roman"/>
          <w:noProof/>
          <w:color w:val="000000" w:themeColor="text1"/>
        </w:rPr>
        <w:t>(Mahdjoub et al., 2015)</w:t>
      </w:r>
      <w:r w:rsidR="005A5C19" w:rsidRPr="00CB10DF">
        <w:rPr>
          <w:rFonts w:ascii="Times New Roman" w:eastAsia="Times New Roman" w:hAnsi="Times New Roman" w:cs="Times New Roman"/>
          <w:color w:val="000000" w:themeColor="text1"/>
        </w:rPr>
        <w:fldChar w:fldCharType="end"/>
      </w:r>
      <w:r w:rsidRPr="00CB10DF">
        <w:rPr>
          <w:rFonts w:ascii="Times New Roman" w:eastAsia="Times New Roman" w:hAnsi="Times New Roman" w:cs="Times New Roman"/>
          <w:color w:val="000000" w:themeColor="text1"/>
        </w:rPr>
        <w:t xml:space="preserve">. This is likely due to the fact that larval development is time-constrained later in the season and therefore larvae accelerate their developmental rate, which comes at the cost of a smaller adult body size </w:t>
      </w:r>
      <w:r w:rsidR="005A5C19" w:rsidRPr="00CB10DF">
        <w:rPr>
          <w:rFonts w:ascii="Times New Roman" w:eastAsia="Times New Roman" w:hAnsi="Times New Roman" w:cs="Times New Roman"/>
          <w:color w:val="000000" w:themeColor="text1"/>
        </w:rPr>
        <w:fldChar w:fldCharType="begin" w:fldLock="1"/>
      </w:r>
      <w:r w:rsidR="005A5C19" w:rsidRPr="00CB10DF">
        <w:rPr>
          <w:rFonts w:ascii="Times New Roman" w:eastAsia="Times New Roman" w:hAnsi="Times New Roman" w:cs="Times New Roman"/>
          <w:color w:val="000000" w:themeColor="text1"/>
        </w:rPr>
        <w:instrText>ADDIN CSL_CITATION {"citationItems":[{"id":"ITEM-1","itemData":{"DOI":"10.1890/0012-9658(1999)080[1242:LHABRT]2.0.CO;2","ISBN":"0012-9658","ISSN":"00129658","PMID":"18624601","abstract":"Time constraints, imposed by seasonality, are common to life histories. Recent theory in evolutionary ecology predicts independent behavioral and life history responses to such constraints, but this theory remains largely untested. In our two experiments on the damselfly Lestes congener we experimentally alter individual's perception of their proximity to a time constraint and ask whether their behavior and life history respond in the directions predicted by theory. We altered larval perception of their position in the season with light regime. In one group, we hatched larvae from winter diapausing eggs in a light regime that mimics a relatively early time in the season. In the other group we hatched larvae in a light regime that mimics a late time in the season. In the late (time constrained) group, larvae would have very little time to complete development and reach a large size so that they could attain their full reproductive potential prior to winter. In the first experiment, the behaviors we assess are activity rate, which is an indicator of foraging effort and willingness to take risks, and cannibalism, which is a component of the mortality risk of foraging. As predicted, time-constrained larvae increased their activity rates, perhaps in an attempt to increase weight gain, and as a result they suffered higher rates of cannibalism. In the second experiment, we measured development rate as the rate of molting and age at maturity. As predicted, time-constrained larvae accelerated development rate and thereby matured at a significantly earlier age and smaller size. Our analysis demonstrates that the behavioral and life history responses of these larvae were independent, in the sense that the life history responses did not result from the behavioral responses.","author":[{"dropping-particle":"","family":"Johansson","given":"Frank","non-dropping-particle":"","parse-names":false,"suffix":""},{"dropping-particle":"","family":"Rowe","given":"Locke","non-dropping-particle":"","parse-names":false,"suffix":""}],"container-title":"Ecology","id":"ITEM-1","issue":"4","issued":{"date-parts":[["1999"]]},"page":"1242-1252","title":"Life history and behavioral responses to time constraints in a damselfly","type":"article-journal","volume":"80"},"uris":["http://www.mendeley.com/documents/?uuid=f28ece88-f414-4759-8974-76f9a7fd5b93"]}],"mendeley":{"formattedCitation":"(Johansson &amp; Rowe, 1999)","plainTextFormattedCitation":"(Johansson &amp; Rowe, 1999)","previouslyFormattedCitation":"(Johansson &amp; Rowe, 1999)"},"properties":{"noteIndex":0},"schema":"https://github.com/citation-style-language/schema/raw/master/csl-citation.json"}</w:instrText>
      </w:r>
      <w:r w:rsidR="005A5C19" w:rsidRPr="00CB10DF">
        <w:rPr>
          <w:rFonts w:ascii="Times New Roman" w:eastAsia="Times New Roman" w:hAnsi="Times New Roman" w:cs="Times New Roman"/>
          <w:color w:val="000000" w:themeColor="text1"/>
        </w:rPr>
        <w:fldChar w:fldCharType="separate"/>
      </w:r>
      <w:r w:rsidR="005A5C19" w:rsidRPr="00CB10DF">
        <w:rPr>
          <w:rFonts w:ascii="Times New Roman" w:eastAsia="Times New Roman" w:hAnsi="Times New Roman" w:cs="Times New Roman"/>
          <w:noProof/>
          <w:color w:val="000000" w:themeColor="text1"/>
        </w:rPr>
        <w:t>(Johansson &amp; Rowe, 1999)</w:t>
      </w:r>
      <w:r w:rsidR="005A5C19" w:rsidRPr="00CB10DF">
        <w:rPr>
          <w:rFonts w:ascii="Times New Roman" w:eastAsia="Times New Roman" w:hAnsi="Times New Roman" w:cs="Times New Roman"/>
          <w:color w:val="000000" w:themeColor="text1"/>
        </w:rPr>
        <w:fldChar w:fldCharType="end"/>
      </w:r>
      <w:r w:rsidR="005A5C19" w:rsidRPr="00CB10DF">
        <w:rPr>
          <w:rFonts w:ascii="Times New Roman" w:eastAsia="Times New Roman" w:hAnsi="Times New Roman" w:cs="Times New Roman"/>
          <w:color w:val="000000" w:themeColor="text1"/>
        </w:rPr>
        <w:t>.</w:t>
      </w:r>
    </w:p>
    <w:p w14:paraId="52644421" w14:textId="6289AB74" w:rsidR="00FE384D" w:rsidRPr="00CB10DF" w:rsidRDefault="00FE384D" w:rsidP="00FE384D">
      <w:pPr>
        <w:spacing w:before="240" w:after="240" w:line="480" w:lineRule="auto"/>
        <w:jc w:val="both"/>
        <w:rPr>
          <w:rFonts w:ascii="Times New Roman" w:eastAsia="Times New Roman" w:hAnsi="Times New Roman" w:cs="Times New Roman"/>
          <w:color w:val="000000" w:themeColor="text1"/>
        </w:rPr>
      </w:pPr>
      <w:r w:rsidRPr="00CB10DF">
        <w:rPr>
          <w:rFonts w:ascii="Times New Roman" w:eastAsia="Times New Roman" w:hAnsi="Times New Roman" w:cs="Times New Roman"/>
          <w:color w:val="000000" w:themeColor="text1"/>
        </w:rPr>
        <w:t xml:space="preserve">In contrast to Zygoptera, the wing lengths of the Anisoptera we studied do not significantly change with collection date. A previous study on an </w:t>
      </w:r>
      <w:proofErr w:type="spellStart"/>
      <w:r w:rsidRPr="00CB10DF">
        <w:rPr>
          <w:rFonts w:ascii="Times New Roman" w:eastAsia="Times New Roman" w:hAnsi="Times New Roman" w:cs="Times New Roman"/>
          <w:color w:val="000000" w:themeColor="text1"/>
        </w:rPr>
        <w:t>anisopteran</w:t>
      </w:r>
      <w:proofErr w:type="spellEnd"/>
      <w:r w:rsidRPr="00CB10DF">
        <w:rPr>
          <w:rFonts w:ascii="Times New Roman" w:eastAsia="Times New Roman" w:hAnsi="Times New Roman" w:cs="Times New Roman"/>
          <w:color w:val="000000" w:themeColor="text1"/>
        </w:rPr>
        <w:t xml:space="preserve"> species </w:t>
      </w:r>
      <w:r w:rsidRPr="00CB10DF">
        <w:rPr>
          <w:rFonts w:ascii="Times New Roman" w:eastAsia="Times New Roman" w:hAnsi="Times New Roman" w:cs="Times New Roman"/>
          <w:i/>
          <w:color w:val="000000" w:themeColor="text1"/>
        </w:rPr>
        <w:t xml:space="preserve">Sympetrum </w:t>
      </w:r>
      <w:proofErr w:type="spellStart"/>
      <w:r w:rsidRPr="00CB10DF">
        <w:rPr>
          <w:rFonts w:ascii="Times New Roman" w:eastAsia="Times New Roman" w:hAnsi="Times New Roman" w:cs="Times New Roman"/>
          <w:i/>
          <w:color w:val="000000" w:themeColor="text1"/>
        </w:rPr>
        <w:t>danae</w:t>
      </w:r>
      <w:proofErr w:type="spellEnd"/>
      <w:r w:rsidRPr="00CB10DF">
        <w:rPr>
          <w:rFonts w:ascii="Times New Roman" w:eastAsia="Times New Roman" w:hAnsi="Times New Roman" w:cs="Times New Roman"/>
          <w:color w:val="000000" w:themeColor="text1"/>
        </w:rPr>
        <w:t xml:space="preserve">, revealed a decline in body size with emergence date </w:t>
      </w:r>
      <w:r w:rsidR="00DC225D" w:rsidRPr="00CB10DF">
        <w:rPr>
          <w:rFonts w:ascii="Times New Roman" w:eastAsia="Times New Roman" w:hAnsi="Times New Roman" w:cs="Times New Roman"/>
          <w:color w:val="000000" w:themeColor="text1"/>
        </w:rPr>
        <w:fldChar w:fldCharType="begin" w:fldLock="1"/>
      </w:r>
      <w:r w:rsidR="00DC225D" w:rsidRPr="00CB10DF">
        <w:rPr>
          <w:rFonts w:ascii="Times New Roman" w:eastAsia="Times New Roman" w:hAnsi="Times New Roman" w:cs="Times New Roman"/>
          <w:color w:val="000000" w:themeColor="text1"/>
        </w:rPr>
        <w:instrText>ADDIN CSL_CITATION {"citationItems":[{"id":"ITEM-1","itemData":{"DOI":"10.1007/BF00008175","ISSN":"00188158","PMID":"249","abstract":"Size, sex-ratio and mean abdomen length of an emergingSympetrum danae population showed significant yearly variations. It is argued that weather plays a major role. A consistent female-excess at emergence existed. Longevity estimates in the field were highly biased by emigration, especially at an early age, and seemingly more so in females than males. The larger, early emerging individuals emigrated more readily immediately after emergence and lived longer if they stayed in the area, than the smaller, late-emerging ones. This relation was especially clear in males. The shorter maturation in males found in the field was attributed to a sex-specific bias in the field. Maturation-time was found to be inversely related with emergence-data. No effects of abdomen length, weather or density could be demonstrated.","author":[{"dropping-particle":"","family":"Michiels","given":"Nico K.","non-dropping-particle":"","parse-names":false,"suffix":""},{"dropping-particle":"","family":"Dhondt","given":"André A.","non-dropping-particle":"","parse-names":false,"suffix":""}],"container-title":"Hydrobiologia","id":"ITEM-1","issue":"2","issued":{"date-parts":[["1989"]]},"page":"149-158","title":"Effects of emergence characteristics on longevity and maturation in the dragonfly Sympetrum danae (Anisoptera : Libellulidae)","type":"article-journal","volume":"171"},"uris":["http://www.mendeley.com/documents/?uuid=808a56f9-bc8b-4001-ba12-783913aa099e"]}],"mendeley":{"formattedCitation":"(Michiels &amp; Dhondt, 1989)","plainTextFormattedCitation":"(Michiels &amp; Dhondt, 1989)","previouslyFormattedCitation":"(Michiels &amp; Dhondt, 1989)"},"properties":{"noteIndex":0},"schema":"https://github.com/citation-style-language/schema/raw/master/csl-citation.json"}</w:instrText>
      </w:r>
      <w:r w:rsidR="00DC225D" w:rsidRPr="00CB10DF">
        <w:rPr>
          <w:rFonts w:ascii="Times New Roman" w:eastAsia="Times New Roman" w:hAnsi="Times New Roman" w:cs="Times New Roman"/>
          <w:color w:val="000000" w:themeColor="text1"/>
        </w:rPr>
        <w:fldChar w:fldCharType="separate"/>
      </w:r>
      <w:r w:rsidR="00DC225D" w:rsidRPr="00CB10DF">
        <w:rPr>
          <w:rFonts w:ascii="Times New Roman" w:eastAsia="Times New Roman" w:hAnsi="Times New Roman" w:cs="Times New Roman"/>
          <w:noProof/>
          <w:color w:val="000000" w:themeColor="text1"/>
        </w:rPr>
        <w:t>(Michiels &amp; Dhondt, 1989)</w:t>
      </w:r>
      <w:r w:rsidR="00DC225D" w:rsidRPr="00CB10DF">
        <w:rPr>
          <w:rFonts w:ascii="Times New Roman" w:eastAsia="Times New Roman" w:hAnsi="Times New Roman" w:cs="Times New Roman"/>
          <w:color w:val="000000" w:themeColor="text1"/>
        </w:rPr>
        <w:fldChar w:fldCharType="end"/>
      </w:r>
      <w:r w:rsidRPr="00CB10DF">
        <w:rPr>
          <w:rFonts w:ascii="Times New Roman" w:eastAsia="Times New Roman" w:hAnsi="Times New Roman" w:cs="Times New Roman"/>
          <w:color w:val="000000" w:themeColor="text1"/>
        </w:rPr>
        <w:t xml:space="preserve">, while a study on </w:t>
      </w:r>
      <w:r w:rsidRPr="00CB10DF">
        <w:rPr>
          <w:rFonts w:ascii="Times New Roman" w:eastAsia="Times New Roman" w:hAnsi="Times New Roman" w:cs="Times New Roman"/>
          <w:i/>
          <w:color w:val="000000" w:themeColor="text1"/>
        </w:rPr>
        <w:t xml:space="preserve">Sympetrum </w:t>
      </w:r>
      <w:proofErr w:type="spellStart"/>
      <w:r w:rsidRPr="00CB10DF">
        <w:rPr>
          <w:rFonts w:ascii="Times New Roman" w:eastAsia="Times New Roman" w:hAnsi="Times New Roman" w:cs="Times New Roman"/>
          <w:i/>
          <w:color w:val="000000" w:themeColor="text1"/>
        </w:rPr>
        <w:t>rubicundulum</w:t>
      </w:r>
      <w:proofErr w:type="spellEnd"/>
      <w:r w:rsidRPr="00CB10DF">
        <w:rPr>
          <w:rFonts w:ascii="Times New Roman" w:eastAsia="Times New Roman" w:hAnsi="Times New Roman" w:cs="Times New Roman"/>
          <w:color w:val="000000" w:themeColor="text1"/>
        </w:rPr>
        <w:t xml:space="preserve">, found no significant body size change across the emergence period </w:t>
      </w:r>
      <w:r w:rsidR="00DC225D" w:rsidRPr="00CB10DF">
        <w:rPr>
          <w:rFonts w:ascii="Times New Roman" w:eastAsia="Times New Roman" w:hAnsi="Times New Roman" w:cs="Times New Roman"/>
          <w:color w:val="000000" w:themeColor="text1"/>
        </w:rPr>
        <w:fldChar w:fldCharType="begin" w:fldLock="1"/>
      </w:r>
      <w:r w:rsidR="00DC225D" w:rsidRPr="00CB10DF">
        <w:rPr>
          <w:rFonts w:ascii="Times New Roman" w:eastAsia="Times New Roman" w:hAnsi="Times New Roman" w:cs="Times New Roman"/>
          <w:color w:val="000000" w:themeColor="text1"/>
        </w:rPr>
        <w:instrText>ADDIN CSL_CITATION {"citationItems":[{"id":"ITEM-1","itemData":{"ISBN":"0003-0031","ISSN":"00030031","abstract":"In dragonflies larval density and food supply influence the length of the larval period and size at emergence, but their effects on adult fitness are not well understood. I studied the influence of body size at emergence and date of emergence on two components of adult fitness (survival and mating success) in a natural population of the dragonfly Sympetrum rubicundulum. Survival during the 2-week maturation period from emergence to breeding was low for both sexes (2-3%). There was no significant change in the mean wing length of the population of males between emergence and breeding, indicating that neither large nor small males experienced a survival advantage during maturation. Once males attained reproductive age (13-16 days) they had high continued survival (mean daily survival: 0.96; expected life span: 37.7 days), which was unrelated to wing length or date of emergence. Similarly, the daily mating success of males was not influenced by wing length or date of emergence. These results suggest that natural variation in traits affected by larval growth rate may have little direct influence on adult fitness in male dragonflies.","author":[{"dropping-particle":"","family":"Buskirk","given":"J","non-dropping-particle":"Van","parse-names":false,"suffix":""}],"container-title":"American Midland Naturalist","id":"ITEM-1","issue":"1","issued":{"date-parts":[["1987"]]},"page":"169-176","title":"Influence of size and date of emergence on male survival and mating success in a dragonfly, Sympetrum rubicundulum","type":"article-journal","volume":"118"},"uris":["http://www.mendeley.com/documents/?uuid=d9de2530-6c92-47a4-bba9-3c62668c88b0"]}],"mendeley":{"formattedCitation":"(Van Buskirk, 1987)","plainTextFormattedCitation":"(Van Buskirk, 1987)","previouslyFormattedCitation":"(Van Buskirk, 1987)"},"properties":{"noteIndex":0},"schema":"https://github.com/citation-style-language/schema/raw/master/csl-citation.json"}</w:instrText>
      </w:r>
      <w:r w:rsidR="00DC225D" w:rsidRPr="00CB10DF">
        <w:rPr>
          <w:rFonts w:ascii="Times New Roman" w:eastAsia="Times New Roman" w:hAnsi="Times New Roman" w:cs="Times New Roman"/>
          <w:color w:val="000000" w:themeColor="text1"/>
        </w:rPr>
        <w:fldChar w:fldCharType="separate"/>
      </w:r>
      <w:r w:rsidR="00DC225D" w:rsidRPr="00CB10DF">
        <w:rPr>
          <w:rFonts w:ascii="Times New Roman" w:eastAsia="Times New Roman" w:hAnsi="Times New Roman" w:cs="Times New Roman"/>
          <w:noProof/>
          <w:color w:val="000000" w:themeColor="text1"/>
        </w:rPr>
        <w:t>(Van Buskirk, 1987)</w:t>
      </w:r>
      <w:r w:rsidR="00DC225D" w:rsidRPr="00CB10DF">
        <w:rPr>
          <w:rFonts w:ascii="Times New Roman" w:eastAsia="Times New Roman" w:hAnsi="Times New Roman" w:cs="Times New Roman"/>
          <w:color w:val="000000" w:themeColor="text1"/>
        </w:rPr>
        <w:fldChar w:fldCharType="end"/>
      </w:r>
      <w:r w:rsidRPr="00CB10DF">
        <w:rPr>
          <w:rFonts w:ascii="Times New Roman" w:eastAsia="Times New Roman" w:hAnsi="Times New Roman" w:cs="Times New Roman"/>
          <w:color w:val="000000" w:themeColor="text1"/>
        </w:rPr>
        <w:t>. Interestingly, most Zygoptera and some Anisoptera, such as</w:t>
      </w:r>
      <w:r w:rsidRPr="00CB10DF">
        <w:rPr>
          <w:rFonts w:ascii="Times New Roman" w:eastAsia="Times New Roman" w:hAnsi="Times New Roman" w:cs="Times New Roman"/>
          <w:i/>
          <w:color w:val="000000" w:themeColor="text1"/>
        </w:rPr>
        <w:t xml:space="preserve"> S. </w:t>
      </w:r>
      <w:proofErr w:type="spellStart"/>
      <w:r w:rsidRPr="00CB10DF">
        <w:rPr>
          <w:rFonts w:ascii="Times New Roman" w:eastAsia="Times New Roman" w:hAnsi="Times New Roman" w:cs="Times New Roman"/>
          <w:i/>
          <w:color w:val="000000" w:themeColor="text1"/>
        </w:rPr>
        <w:t>danae</w:t>
      </w:r>
      <w:proofErr w:type="spellEnd"/>
      <w:r w:rsidRPr="00CB10DF">
        <w:rPr>
          <w:rFonts w:ascii="Times New Roman" w:eastAsia="Times New Roman" w:hAnsi="Times New Roman" w:cs="Times New Roman"/>
          <w:i/>
          <w:color w:val="000000" w:themeColor="text1"/>
        </w:rPr>
        <w:t>,</w:t>
      </w:r>
      <w:r w:rsidRPr="00CB10DF">
        <w:rPr>
          <w:rFonts w:ascii="Times New Roman" w:eastAsia="Times New Roman" w:hAnsi="Times New Roman" w:cs="Times New Roman"/>
          <w:color w:val="000000" w:themeColor="text1"/>
        </w:rPr>
        <w:t xml:space="preserve"> are non-territorial. Most Anisoptera, including </w:t>
      </w:r>
      <w:r w:rsidRPr="00CB10DF">
        <w:rPr>
          <w:rFonts w:ascii="Times New Roman" w:eastAsia="Times New Roman" w:hAnsi="Times New Roman" w:cs="Times New Roman"/>
          <w:i/>
          <w:color w:val="000000" w:themeColor="text1"/>
        </w:rPr>
        <w:t xml:space="preserve">S. </w:t>
      </w:r>
      <w:proofErr w:type="spellStart"/>
      <w:r w:rsidRPr="00CB10DF">
        <w:rPr>
          <w:rFonts w:ascii="Times New Roman" w:eastAsia="Times New Roman" w:hAnsi="Times New Roman" w:cs="Times New Roman"/>
          <w:i/>
          <w:color w:val="000000" w:themeColor="text1"/>
        </w:rPr>
        <w:t>rubicundulum</w:t>
      </w:r>
      <w:proofErr w:type="spellEnd"/>
      <w:r w:rsidRPr="00CB10DF">
        <w:rPr>
          <w:rFonts w:ascii="Times New Roman" w:eastAsia="Times New Roman" w:hAnsi="Times New Roman" w:cs="Times New Roman"/>
          <w:i/>
          <w:color w:val="000000" w:themeColor="text1"/>
        </w:rPr>
        <w:t>,</w:t>
      </w:r>
      <w:r w:rsidRPr="00CB10DF">
        <w:rPr>
          <w:rFonts w:ascii="Times New Roman" w:eastAsia="Times New Roman" w:hAnsi="Times New Roman" w:cs="Times New Roman"/>
          <w:color w:val="000000" w:themeColor="text1"/>
        </w:rPr>
        <w:t xml:space="preserve"> are territorial where body size is relatively </w:t>
      </w:r>
      <w:r w:rsidRPr="00CB10DF">
        <w:rPr>
          <w:rFonts w:ascii="Times New Roman" w:eastAsia="Times New Roman" w:hAnsi="Times New Roman" w:cs="Times New Roman"/>
          <w:color w:val="000000" w:themeColor="text1"/>
        </w:rPr>
        <w:lastRenderedPageBreak/>
        <w:t xml:space="preserve">important for mating success in males </w:t>
      </w:r>
      <w:r w:rsidR="00117D84" w:rsidRPr="00CB10DF">
        <w:rPr>
          <w:rFonts w:ascii="Times New Roman" w:eastAsia="Times New Roman" w:hAnsi="Times New Roman" w:cs="Times New Roman"/>
          <w:color w:val="000000" w:themeColor="text1"/>
        </w:rPr>
        <w:fldChar w:fldCharType="begin" w:fldLock="1"/>
      </w:r>
      <w:r w:rsidR="00117D84" w:rsidRPr="00CB10DF">
        <w:rPr>
          <w:rFonts w:ascii="Times New Roman" w:eastAsia="Times New Roman" w:hAnsi="Times New Roman" w:cs="Times New Roman"/>
          <w:color w:val="000000" w:themeColor="text1"/>
        </w:rPr>
        <w:instrText>ADDIN CSL_CITATION {"citationItems":[{"id":"ITEM-1","itemData":{"DOI":"10.1046/j.1365-2311.2000.00251.x","ISBN":"0307-6946","ISSN":"03076946","PMID":"87","abstract":"The relationship between body size and fitness components in odonates was examined using a meta-analysis of 33 published studies. There was a positive and significant overall effect of body size on mating rate and lifetime mating success among males. There was also a weaker but still significant positive effect of body size on survivorship of males. The relationship between body size, mating rate, longevity, and lifetime mating success differed significantly between males of territorial and nonterritorial species. The effect of body size was significant for all fitness components in territorial species but significant only for longevity and lifetime mating success in nonterritorial species. Effect sizes appeared to be strongest on longevity in both sexes, and on male mating rate in territorial species. Other effect sizes, even when significant, were small. Despite a much smaller data set, female fitness also increased significantly with body size. Both clutch size and longevity showed a significant positive relationship with body size. These results suggest that there is a general fitness benefit to large size in odonates. Nevertheless, significant heterogeneity is apparent in this effect, which can be attributed to sex, mating system, and fitness component. Finally, these analyses point to inadequacies in the current data that need further study before the potentially rich patterns in size effects on fitness can be explored more thoroughly","author":[{"dropping-particle":"","family":"Sokolovska","given":"Natalia","non-dropping-particle":"","parse-names":false,"suffix":""},{"dropping-particle":"","family":"Rowe","given":"Locke","non-dropping-particle":"","parse-names":false,"suffix":""},{"dropping-particle":"","family":"Johansson","given":"Frank","non-dropping-particle":"","parse-names":false,"suffix":""}],"container-title":"Ecological Entomology","id":"ITEM-1","issue":"2","issued":{"date-parts":[["2000"]]},"page":"239-248","title":"Fitness and body size in mature odonates","type":"article-journal","volume":"25"},"uris":["http://www.mendeley.com/documents/?uuid=852a5649-15f0-422e-92d8-41791077f412"]}],"mendeley":{"formattedCitation":"(Sokolovska et al., 2000)","manualFormatting":"(Sokolovska et al., 2000","plainTextFormattedCitation":"(Sokolovska et al., 2000)"},"properties":{"noteIndex":0},"schema":"https://github.com/citation-style-language/schema/raw/master/csl-citation.json"}</w:instrText>
      </w:r>
      <w:r w:rsidR="00117D84" w:rsidRPr="00CB10DF">
        <w:rPr>
          <w:rFonts w:ascii="Times New Roman" w:eastAsia="Times New Roman" w:hAnsi="Times New Roman" w:cs="Times New Roman"/>
          <w:color w:val="000000" w:themeColor="text1"/>
        </w:rPr>
        <w:fldChar w:fldCharType="separate"/>
      </w:r>
      <w:r w:rsidR="00117D84" w:rsidRPr="00CB10DF">
        <w:rPr>
          <w:rFonts w:ascii="Times New Roman" w:eastAsia="Times New Roman" w:hAnsi="Times New Roman" w:cs="Times New Roman"/>
          <w:noProof/>
          <w:color w:val="000000" w:themeColor="text1"/>
        </w:rPr>
        <w:t>(Sokolovska et al., 2000</w:t>
      </w:r>
      <w:r w:rsidR="00117D84" w:rsidRPr="00CB10DF">
        <w:rPr>
          <w:rFonts w:ascii="Times New Roman" w:eastAsia="Times New Roman" w:hAnsi="Times New Roman" w:cs="Times New Roman"/>
          <w:color w:val="000000" w:themeColor="text1"/>
        </w:rPr>
        <w:fldChar w:fldCharType="end"/>
      </w:r>
      <w:r w:rsidR="00DC225D" w:rsidRPr="00CB10DF">
        <w:rPr>
          <w:rFonts w:ascii="Times New Roman" w:eastAsia="Times New Roman" w:hAnsi="Times New Roman" w:cs="Times New Roman"/>
          <w:color w:val="000000" w:themeColor="text1"/>
        </w:rPr>
        <w:fldChar w:fldCharType="begin" w:fldLock="1"/>
      </w:r>
      <w:r w:rsidR="00117D84" w:rsidRPr="00CB10DF">
        <w:rPr>
          <w:rFonts w:ascii="Times New Roman" w:eastAsia="Times New Roman" w:hAnsi="Times New Roman" w:cs="Times New Roman"/>
          <w:color w:val="000000" w:themeColor="text1"/>
        </w:rPr>
        <w:instrText>ADDIN CSL_CITATION {"citationItems":[{"id":"ITEM-1","itemData":{"DOI":"10.1046/j.1365-2311.2000.00251.x","ISBN":"0307-6946","ISSN":"03076946","PMID":"87","abstract":"The relationship between body size and fitness components in odonates was examined using a meta-analysis of 33 published studies. There was a positive and significant overall effect of body size on mating rate and lifetime mating success among males. There was also a weaker but still significant positive effect of body size on survivorship of males. The relationship between body size, mating rate, longevity, and lifetime mating success differed significantly between males of territorial and nonterritorial species. The effect of body size was significant for all fitness components in territorial species but significant only for longevity and lifetime mating success in nonterritorial species. Effect sizes appeared to be strongest on longevity in both sexes, and on male mating rate in territorial species. Other effect sizes, even when significant, were small. Despite a much smaller data set, female fitness also increased significantly with body size. Both clutch size and longevity showed a significant positive relationship with body size. These results suggest that there is a general fitness benefit to large size in odonates. Nevertheless, significant heterogeneity is apparent in this effect, which can be attributed to sex, mating system, and fitness component. Finally, these analyses point to inadequacies in the current data that need further study before the potentially rich patterns in size effects on fitness can be explored more thoroughly","author":[{"dropping-particle":"","family":"Sokolovska","given":"Natalia","non-dropping-particle":"","parse-names":false,"suffix":""},{"dropping-particle":"","family":"Rowe","given":"Locke","non-dropping-particle":"","parse-names":false,"suffix":""},{"dropping-particle":"","family":"Johansson","given":"Frank","non-dropping-particle":"","parse-names":false,"suffix":""}],"container-title":"Ecological Entomology","id":"ITEM-1","issue":"2","issued":{"date-parts":[["2000"]]},"page":"239-248","title":"Fitness and body size in mature odonates","type":"article-journal","volume":"25"},"uris":["http://www.mendeley.com/documents/?uuid=852a5649-15f0-422e-92d8-41791077f412"]}],"mendeley":{"formattedCitation":"(Sokolovska et al., 2000)","manualFormatting":"(Sokolovska et al., 2000, ","plainTextFormattedCitation":"(Sokolovska et al., 2000)","previouslyFormattedCitation":"(Sokolovska et al., 2000)"},"properties":{"noteIndex":0},"schema":"https://github.com/citation-style-language/schema/raw/master/csl-citation.json"}</w:instrText>
      </w:r>
      <w:r w:rsidR="00DC225D" w:rsidRPr="00CB10DF">
        <w:rPr>
          <w:rFonts w:ascii="Times New Roman" w:eastAsia="Times New Roman" w:hAnsi="Times New Roman" w:cs="Times New Roman"/>
          <w:color w:val="000000" w:themeColor="text1"/>
        </w:rPr>
        <w:fldChar w:fldCharType="separate"/>
      </w:r>
      <w:r w:rsidR="00117D84" w:rsidRPr="00CB10DF">
        <w:rPr>
          <w:rFonts w:ascii="Times New Roman" w:eastAsia="Times New Roman" w:hAnsi="Times New Roman" w:cs="Times New Roman"/>
          <w:noProof/>
          <w:color w:val="000000" w:themeColor="text1"/>
        </w:rPr>
        <w:t xml:space="preserve">, </w:t>
      </w:r>
      <w:r w:rsidR="00DC225D" w:rsidRPr="00CB10DF">
        <w:rPr>
          <w:rFonts w:ascii="Times New Roman" w:eastAsia="Times New Roman" w:hAnsi="Times New Roman" w:cs="Times New Roman"/>
          <w:color w:val="000000" w:themeColor="text1"/>
        </w:rPr>
        <w:fldChar w:fldCharType="end"/>
      </w:r>
      <w:r w:rsidR="00DC225D" w:rsidRPr="00CB10DF">
        <w:rPr>
          <w:rFonts w:ascii="Times New Roman" w:eastAsia="Times New Roman" w:hAnsi="Times New Roman" w:cs="Times New Roman"/>
          <w:color w:val="000000" w:themeColor="text1"/>
        </w:rPr>
        <w:fldChar w:fldCharType="begin" w:fldLock="1"/>
      </w:r>
      <w:r w:rsidR="00117D84" w:rsidRPr="00CB10DF">
        <w:rPr>
          <w:rFonts w:ascii="Times New Roman" w:eastAsia="Times New Roman" w:hAnsi="Times New Roman" w:cs="Times New Roman"/>
          <w:color w:val="000000" w:themeColor="text1"/>
        </w:rPr>
        <w:instrText>ADDIN CSL_CITATION {"citationItems":[{"id":"ITEM-1","itemData":{"DOI":"10.1111/j.1420-9101.2008.01567.x","ISBN":"1420-9101","ISSN":"1010061X","PMID":"18636976","abstract":"Odonata (dragonflies and damselflies) exhibit a range of sexual size dimorphism (SSD) that includes species with male-biased (males &gt; females) or female-biased SSD (males &lt; females) and species exhibiting nonterritorial or territorial mating strategies. Here, we use phylogenetic comparative analyses to investigate the influence of sexual selection on SSD in both suborders: dragonflies (Anisoptera) and damselflies (Zygoptera). First, we show that damselflies have male-biased SSD, and exhibit an allometric relationship between body size and SSD, that is consistent with Rensch's rule. Second, SSD of dragonflies is not different from unit, and this suborder does not exhibit Rensch's rule. Third, we test the influence of sexual selection on SSD using proxy variables of territorial mating strategy and male agility. Using generalized least squares to account for phylogenetic relationships between species, we show that male-biased SSD increases with territoriality in damselflies, but not in dragonflies. Finally, we show that nonagile territorial odonates exhibit male-biased SSD, whereas male agility is not related to SSD in nonterritorial odonates. These results suggest that sexual selection acting on male sizes influences SSD in Odonata. Taken together, our results, along with avian studies (bustards and shorebirds), suggest that male agility influences SSD, although this influence is modulated by territorial mating strategy and thus the likely advantage of being large. Other evolutionary processes, such as fecundity selection and viability selection, however, need further investigation.","author":[{"dropping-particle":"","family":"Serrano-Meneses","given":"M. A.","non-dropping-particle":"","parse-names":false,"suffix":""},{"dropping-particle":"","family":"Córdoba-Aguilar","given":"A.","non-dropping-particle":"","parse-names":false,"suffix":""},{"dropping-particle":"","family":"Azpilicueta-Amorín","given":"M.","non-dropping-particle":"","parse-names":false,"suffix":""},{"dropping-particle":"","family":"González-Soriano","given":"E.","non-dropping-particle":"","parse-names":false,"suffix":""},{"dropping-particle":"","family":"Székely","given":"T.","non-dropping-particle":"","parse-names":false,"suffix":""}],"container-title":"Journal of Evolutionary Biology","id":"ITEM-1","issue":"5","issued":{"date-parts":[["2008"]]},"page":"1259-1273","title":"Sexual selection, sexual size dimorphism and Rensch's rule in Odonata","type":"article-journal","volume":"21"},"uris":["http://www.mendeley.com/documents/?uuid=860e42e0-2691-43be-8443-9f072c08cc3e"]}],"mendeley":{"formattedCitation":"(Serrano-Meneses et al., 2008)","manualFormatting":"Córdoba-Aguilar et al., 2008)","plainTextFormattedCitation":"(Serrano-Meneses et al., 2008)","previouslyFormattedCitation":"(Serrano-Meneses et al., 2008)"},"properties":{"noteIndex":0},"schema":"https://github.com/citation-style-language/schema/raw/master/csl-citation.json"}</w:instrText>
      </w:r>
      <w:r w:rsidR="00DC225D" w:rsidRPr="00CB10DF">
        <w:rPr>
          <w:rFonts w:ascii="Times New Roman" w:eastAsia="Times New Roman" w:hAnsi="Times New Roman" w:cs="Times New Roman"/>
          <w:color w:val="000000" w:themeColor="text1"/>
        </w:rPr>
        <w:fldChar w:fldCharType="separate"/>
      </w:r>
      <w:r w:rsidR="00DC225D" w:rsidRPr="00CB10DF">
        <w:rPr>
          <w:rFonts w:ascii="Times New Roman" w:eastAsia="Times New Roman" w:hAnsi="Times New Roman" w:cs="Times New Roman"/>
          <w:noProof/>
          <w:color w:val="000000" w:themeColor="text1"/>
        </w:rPr>
        <w:t>Córdoba-Aguilar et al., 2008)</w:t>
      </w:r>
      <w:r w:rsidR="00DC225D" w:rsidRPr="00CB10DF">
        <w:rPr>
          <w:rFonts w:ascii="Times New Roman" w:eastAsia="Times New Roman" w:hAnsi="Times New Roman" w:cs="Times New Roman"/>
          <w:color w:val="000000" w:themeColor="text1"/>
        </w:rPr>
        <w:fldChar w:fldCharType="end"/>
      </w:r>
      <w:r w:rsidRPr="00CB10DF">
        <w:rPr>
          <w:rFonts w:ascii="Times New Roman" w:eastAsia="Times New Roman" w:hAnsi="Times New Roman" w:cs="Times New Roman"/>
          <w:color w:val="000000" w:themeColor="text1"/>
        </w:rPr>
        <w:t xml:space="preserve">. Thus, small larvae of territorial species could delay emergence, enabling more time to grow and emerge as larger adults later in the year, thereby increasing their territorial competitiveness </w:t>
      </w:r>
      <w:r w:rsidR="00B12FBB" w:rsidRPr="00CB10DF">
        <w:rPr>
          <w:rFonts w:ascii="Times New Roman" w:eastAsia="Times New Roman" w:hAnsi="Times New Roman" w:cs="Times New Roman"/>
          <w:color w:val="000000" w:themeColor="text1"/>
        </w:rPr>
        <w:fldChar w:fldCharType="begin" w:fldLock="1"/>
      </w:r>
      <w:r w:rsidR="00DC225D" w:rsidRPr="00CB10DF">
        <w:rPr>
          <w:rFonts w:ascii="Times New Roman" w:eastAsia="Times New Roman" w:hAnsi="Times New Roman" w:cs="Times New Roman"/>
          <w:color w:val="000000" w:themeColor="text1"/>
        </w:rPr>
        <w:instrText>ADDIN CSL_CITATION {"citationItems":[{"id":"ITEM-1","itemData":{"DOI":"10.2307/2937184","ISBN":"0012-9658","ISSN":"00129658","PMID":"3231328","abstract":"Abstract. Complex life cycles are characterized by niche shifts at the time of meta- morphosis. Current models predict optimal sizes for metamorphosis based on maximizing growth, minimizing mortality, or some balance of these goals. These models predict optimal sizes that are independent of the time of metamorphosis. Reproduction and other major events in the life history of organisms are often constrained to seasons, and the state (e.g., mass) of the organism at that time is related to fitness. Therefore, an organism's state as well as the time that that state is achieved are central variables in these time-constrained life histories. We extend earlier theory to include explicit time constraints in three, hypothetical, complex life cycles. Dynamic optimization models are constructed to determine optimal time and mass trajectories for niche shifts. First, we consider the habitat shift at emergence in mayflies, where reproduction terminates a growth period in the first habitat and is constrained to a season. Second, we consider the habitat shift at metamorphosis in am- phibians, where reproduction terminates a growth phase in the second habitat and repro- duction is constrained to a single point in time. Third, we combine the first two effects to allow an extended period of reproduction in amphibians. Here optimal time and mass trajectories are determined for two niche shifts-the shift from aquatic to terrestrial habitat and the shift from a growth phase to a reproductive phase. We present analytical theory that allows both quantitative and qualitative predictions. Problem constructions and so- lutions are presented graphically to aid intuition in interpreting our results and extending the framework to other parameter values and other life-history examples. The general conclusion is that time constraints on complex life histories lead to optimal sizes for niche shifts that vary with time. In time-constrained life histories, any variation in the state of individuals at some time prior to reproduction will be preserved to some degree at reproduction. Therefore, in time-constrained life histories, we expect optimal switches in habitat use or life history stage to depend not only on state but also on the time that state is achieved. Key","author":[{"dropping-particle":"","family":"Rowe","given":"L.","non-dropping-particle":"","parse-names":false,"suffix":""},{"dropping-particle":"","family":"Ludwig","given":"D.","non-dropping-particle":"","parse-names":false,"suffix":""}],"container-title":"Ecology","id":"ITEM-1","issue":"2","issued":{"date-parts":[["1991"]]},"page":"413-427","title":"Size and timing of metamorphosis in complex life cycles: time constraints and variation","type":"article-journal","volume":"72"},"uris":["http://www.mendeley.com/documents/?uuid=e4fbe98c-cfd4-45df-9c04-fa6388e0ffdd"]}],"mendeley":{"formattedCitation":"(Rowe &amp; Ludwig, 1991)","manualFormatting":"(Rowe &amp; Ludwig, 1991","plainTextFormattedCitation":"(Rowe &amp; Ludwig, 1991)","previouslyFormattedCitation":"(Rowe &amp; Ludwig, 1991)"},"properties":{"noteIndex":0},"schema":"https://github.com/citation-style-language/schema/raw/master/csl-citation.json"}</w:instrText>
      </w:r>
      <w:r w:rsidR="00B12FBB" w:rsidRPr="00CB10DF">
        <w:rPr>
          <w:rFonts w:ascii="Times New Roman" w:eastAsia="Times New Roman" w:hAnsi="Times New Roman" w:cs="Times New Roman"/>
          <w:color w:val="000000" w:themeColor="text1"/>
        </w:rPr>
        <w:fldChar w:fldCharType="separate"/>
      </w:r>
      <w:r w:rsidR="00B12FBB" w:rsidRPr="00CB10DF">
        <w:rPr>
          <w:rFonts w:ascii="Times New Roman" w:eastAsia="Times New Roman" w:hAnsi="Times New Roman" w:cs="Times New Roman"/>
          <w:noProof/>
          <w:color w:val="000000" w:themeColor="text1"/>
        </w:rPr>
        <w:t>(Rowe &amp; Ludwig, 1991</w:t>
      </w:r>
      <w:r w:rsidR="00B12FBB" w:rsidRPr="00CB10DF">
        <w:rPr>
          <w:rFonts w:ascii="Times New Roman" w:eastAsia="Times New Roman" w:hAnsi="Times New Roman" w:cs="Times New Roman"/>
          <w:color w:val="000000" w:themeColor="text1"/>
        </w:rPr>
        <w:fldChar w:fldCharType="end"/>
      </w:r>
      <w:r w:rsidR="00B12FBB" w:rsidRPr="00CB10DF">
        <w:rPr>
          <w:rFonts w:ascii="Times New Roman" w:eastAsia="Times New Roman" w:hAnsi="Times New Roman" w:cs="Times New Roman"/>
          <w:color w:val="000000" w:themeColor="text1"/>
        </w:rPr>
        <w:t xml:space="preserve">, </w:t>
      </w:r>
      <w:r w:rsidR="00B12FBB" w:rsidRPr="00CB10DF">
        <w:rPr>
          <w:rFonts w:ascii="Times New Roman" w:eastAsia="Times New Roman" w:hAnsi="Times New Roman" w:cs="Times New Roman"/>
          <w:color w:val="000000" w:themeColor="text1"/>
        </w:rPr>
        <w:fldChar w:fldCharType="begin" w:fldLock="1"/>
      </w:r>
      <w:r w:rsidR="00117D84" w:rsidRPr="00CB10DF">
        <w:rPr>
          <w:rFonts w:ascii="Times New Roman" w:eastAsia="Times New Roman" w:hAnsi="Times New Roman" w:cs="Times New Roman"/>
          <w:color w:val="000000" w:themeColor="text1"/>
        </w:rPr>
        <w:instrText>ADDIN CSL_CITATION {"citationItems":[{"id":"ITEM-1","itemData":{"DOI":"10.1080/02705060.2007.9664151","ISBN":"0270-5060","ISSN":"21566941","abstract":"Many species of dragonflies exhibit sexual dimorphism and biased sex ratios in adult populations. It is predicted that, in species with territorial adults, males should be larger than females at emergence. Larger male size should elevate foraging rate and lead to increased predation risk and higher male mortality during the larval stage. We tested these predictions for a territorial dragonfly, \u0002\u0010Anax junius, \u0004\u0011using laboratory and field experiments. We measured differences in growth and foraging activity between the sexes, determined sex ratios at emergence, and measured size at emergence for female and male dragonflies. Males gained more mass than females and males spent more time in motion and moved longer distances than females in foraging trials. Males were larger than females at emergence in natural populations, but sex ratios at emergence were not significantly different from 1: 1. Sex-specific growth strategies in the larval stage did not result in biased sex ratios at emergence but may be important to the reproductive success of this territorial dragonfly.","author":[{"dropping-particle":"","family":"Fuselier","given":"Linda","non-dropping-particle":"","parse-names":false,"suffix":""},{"dropping-particle":"","family":"Decker","given":"Paul","non-dropping-particle":"","parse-names":false,"suffix":""},{"dropping-particle":"","family":"Lunski","given":"Josh","non-dropping-particle":"","parse-names":false,"suffix":""},{"dropping-particle":"","family":"Mastel","given":"Tracy","non-dropping-particle":"","parse-names":false,"suffix":""},{"dropping-particle":"","family":"Skolness","given":"Sarah","non-dropping-particle":"","parse-names":false,"suffix":""}],"container-title":"Journal of Freshwater Ecology","id":"ITEM-1","issue":"1","issued":{"date-parts":[["2007"]]},"page":"107-117","title":"Sex differences and size at emergence are not linked to biased sex ratios in the common green darner, anax junius (odonata: Aeshnidae)","type":"article-journal","volume":"22"},"uris":["http://www.mendeley.com/documents/?uuid=529f6425-94fd-4108-90a2-1a87bb3c685c"]}],"mendeley":{"formattedCitation":"(Fuselier et al., 2007)","manualFormatting":"Fuselier et al., 2007)","plainTextFormattedCitation":"(Fuselier et al., 2007)","previouslyFormattedCitation":"(Fuselier et al., 2007)"},"properties":{"noteIndex":0},"schema":"https://github.com/citation-style-language/schema/raw/master/csl-citation.json"}</w:instrText>
      </w:r>
      <w:r w:rsidR="00B12FBB" w:rsidRPr="00CB10DF">
        <w:rPr>
          <w:rFonts w:ascii="Times New Roman" w:eastAsia="Times New Roman" w:hAnsi="Times New Roman" w:cs="Times New Roman"/>
          <w:color w:val="000000" w:themeColor="text1"/>
        </w:rPr>
        <w:fldChar w:fldCharType="separate"/>
      </w:r>
      <w:r w:rsidR="00B12FBB" w:rsidRPr="00CB10DF">
        <w:rPr>
          <w:rFonts w:ascii="Times New Roman" w:eastAsia="Times New Roman" w:hAnsi="Times New Roman" w:cs="Times New Roman"/>
          <w:noProof/>
          <w:color w:val="000000" w:themeColor="text1"/>
        </w:rPr>
        <w:t>Fuselier et al., 2007)</w:t>
      </w:r>
      <w:r w:rsidR="00B12FBB" w:rsidRPr="00CB10DF">
        <w:rPr>
          <w:rFonts w:ascii="Times New Roman" w:eastAsia="Times New Roman" w:hAnsi="Times New Roman" w:cs="Times New Roman"/>
          <w:color w:val="000000" w:themeColor="text1"/>
        </w:rPr>
        <w:fldChar w:fldCharType="end"/>
      </w:r>
      <w:r w:rsidR="00B12FBB" w:rsidRPr="00CB10DF">
        <w:rPr>
          <w:rFonts w:ascii="Times New Roman" w:eastAsia="Times New Roman" w:hAnsi="Times New Roman" w:cs="Times New Roman"/>
          <w:color w:val="000000" w:themeColor="text1"/>
        </w:rPr>
        <w:t>.</w:t>
      </w:r>
    </w:p>
    <w:p w14:paraId="6B968F09" w14:textId="77777777" w:rsidR="00FE384D" w:rsidRPr="00CB10DF" w:rsidRDefault="00FE384D" w:rsidP="00FE384D">
      <w:pPr>
        <w:spacing w:before="240" w:after="240" w:line="480" w:lineRule="auto"/>
        <w:jc w:val="both"/>
        <w:rPr>
          <w:rFonts w:ascii="Times New Roman" w:eastAsia="Times New Roman" w:hAnsi="Times New Roman" w:cs="Times New Roman"/>
          <w:color w:val="000000" w:themeColor="text1"/>
        </w:rPr>
      </w:pPr>
      <w:bookmarkStart w:id="5" w:name="_Hlk27001998"/>
      <w:r w:rsidRPr="00CB10DF">
        <w:rPr>
          <w:rFonts w:ascii="Times New Roman" w:eastAsia="Times New Roman" w:hAnsi="Times New Roman" w:cs="Times New Roman"/>
          <w:color w:val="000000" w:themeColor="text1"/>
        </w:rPr>
        <w:t>Adult Anisoptera generally have a slightly greater longevity than adult Zygoptera which may mean that collection date is not as good a proxy for emergence date in Anisoptera compared to Zygoptera. Thus, this may account for the non-significant correlation of wing length with collection date in Anisoptera. In order to assess the influence of earlier emergence dates relative to collecting dates we have randomly assigned earlier emergence dates between 0 and 30 days before collection across the dataset. These simulated datasets have resulted in the same conclusions (see Table S4 in appendix) highlighting that the potential disparity between emergence and collecting date does not influence the overall conclusions. Furthermore, an analysis of collecting date in response to temperature (Figure 3S in appendix) highlights that warmer years result in earlier collecting dates, indicating the collecting date is likely a good proxy for the date of emergence.</w:t>
      </w:r>
    </w:p>
    <w:bookmarkEnd w:id="5"/>
    <w:p w14:paraId="09FA3F70" w14:textId="77777777" w:rsidR="00FE384D" w:rsidRPr="00CB10DF" w:rsidRDefault="00FE384D" w:rsidP="00FE384D">
      <w:pPr>
        <w:spacing w:before="240" w:after="240" w:line="480" w:lineRule="auto"/>
        <w:jc w:val="both"/>
        <w:rPr>
          <w:rFonts w:ascii="Times New Roman" w:eastAsia="Times New Roman" w:hAnsi="Times New Roman" w:cs="Times New Roman"/>
          <w:b/>
          <w:i/>
          <w:color w:val="000000" w:themeColor="text1"/>
        </w:rPr>
      </w:pPr>
      <w:r w:rsidRPr="00CB10DF">
        <w:rPr>
          <w:rFonts w:ascii="Times New Roman" w:eastAsia="Times New Roman" w:hAnsi="Times New Roman" w:cs="Times New Roman"/>
          <w:b/>
          <w:i/>
          <w:color w:val="000000" w:themeColor="text1"/>
        </w:rPr>
        <w:t>Conclusions</w:t>
      </w:r>
    </w:p>
    <w:p w14:paraId="60606634" w14:textId="0DA1C27A" w:rsidR="00FE384D" w:rsidRPr="00CB10DF" w:rsidRDefault="00FE384D" w:rsidP="00FE384D">
      <w:pPr>
        <w:spacing w:line="480" w:lineRule="auto"/>
        <w:jc w:val="both"/>
        <w:rPr>
          <w:color w:val="000000" w:themeColor="text1"/>
          <w:szCs w:val="22"/>
          <w:shd w:val="clear" w:color="auto" w:fill="FFFFFF"/>
        </w:rPr>
      </w:pPr>
      <w:bookmarkStart w:id="6" w:name="_Hlk27001906"/>
      <w:r w:rsidRPr="00CB10DF">
        <w:rPr>
          <w:rFonts w:ascii="Times New Roman" w:eastAsia="Times New Roman" w:hAnsi="Times New Roman" w:cs="Times New Roman"/>
          <w:color w:val="000000" w:themeColor="text1"/>
        </w:rPr>
        <w:t xml:space="preserve">In conclusion, </w:t>
      </w:r>
      <w:r w:rsidR="00635135" w:rsidRPr="00CB10DF">
        <w:rPr>
          <w:rFonts w:ascii="Times New Roman" w:eastAsia="Times New Roman" w:hAnsi="Times New Roman" w:cs="Times New Roman"/>
          <w:color w:val="000000" w:themeColor="text1"/>
        </w:rPr>
        <w:t>we find that</w:t>
      </w:r>
      <w:r w:rsidRPr="00CB10DF">
        <w:rPr>
          <w:rFonts w:ascii="Times New Roman" w:eastAsia="Times New Roman" w:hAnsi="Times New Roman" w:cs="Times New Roman"/>
          <w:color w:val="000000" w:themeColor="text1"/>
        </w:rPr>
        <w:t xml:space="preserve"> </w:t>
      </w:r>
      <w:r w:rsidR="00635135" w:rsidRPr="00CB10DF">
        <w:rPr>
          <w:rFonts w:ascii="Times New Roman" w:eastAsia="Times New Roman" w:hAnsi="Times New Roman" w:cs="Times New Roman"/>
          <w:color w:val="000000" w:themeColor="text1"/>
        </w:rPr>
        <w:t xml:space="preserve">1) Zygoptera do show a decrease in wing length as temperature increases and as the season advances, which corresponds well with previous studies on other insects </w:t>
      </w:r>
      <w:r w:rsidR="00635135" w:rsidRPr="00CB10DF">
        <w:rPr>
          <w:rFonts w:ascii="Times New Roman" w:eastAsia="Times New Roman" w:hAnsi="Times New Roman" w:cs="Times New Roman"/>
          <w:color w:val="000000" w:themeColor="text1"/>
        </w:rPr>
        <w:fldChar w:fldCharType="begin" w:fldLock="1"/>
      </w:r>
      <w:r w:rsidR="00117D84" w:rsidRPr="00CB10DF">
        <w:rPr>
          <w:rFonts w:ascii="Times New Roman" w:eastAsia="Times New Roman" w:hAnsi="Times New Roman" w:cs="Times New Roman"/>
          <w:color w:val="000000" w:themeColor="text1"/>
        </w:rPr>
        <w:instrText>ADDIN CSL_CITATION {"citationItems":[{"id":"ITEM-1","itemData":{"DOI":"10.1098/rspb.2013.0174","ISSN":"14712954","abstract":"Most ectotherms show an inverse relationship between developmental temperature and body size, a phenomenon known as the temperature-size rule (TSR). Several competing hypotheses have been proposed to explain its occurrence. According to one set of views, the TSR results from inevitable biophysical effects of temperature on the rates of growth and differentiation, whereas other views suggest the TSR is an adaptation that can be achieved by a diversity of mechanisms in different taxa. Our data reveal that the fruitfly, Drosophila melanogaster, obeys the TSR using a novel mechanism: reduction in critical size at higher temperatures. In holometabolous insects, attainment of critical size initiates the hormonal cascade that terminates growth, and hence, Drosophila larvae appear to instigate the signal to stop growth at a smaller size at higher temperatures. This is in contrast to findings from another holometabolous insect, Manduca sexta, in which the TSR results from the effect of temperature on the rate and duration of growth. This contrast suggests that there is no single mechanism that accounts for the TSR. Instead, the TSR appears to be an adaptation that is achieved at a proximate level through different mechanisms in different taxa. © 2013 The Author(s) Published by the Royal Society. All rights reserved.","author":[{"dropping-particle":"","family":"Ghosh","given":"Shampa M.","non-dropping-particle":"","parse-names":false,"suffix":""},{"dropping-particle":"","family":"Testa","given":"Nicholas D.","non-dropping-particle":"","parse-names":false,"suffix":""},{"dropping-particle":"","family":"Shingleton","given":"Alexander W.","non-dropping-particle":"","parse-names":false,"suffix":""}],"container-title":"Proceedings of the Royal Society B: Biological Sciences","id":"ITEM-1","issued":{"date-parts":[["2013"]]},"title":"Temperature-size rule is mediated by thermal plasticity of critical size in Drosophila melanogaster","type":"article"},"uris":["http://www.mendeley.com/documents/?uuid=f25c99c1-3835-4ef9-b1ab-a11e8416b178"]}],"mendeley":{"formattedCitation":"(Ghosh et al., 2013)","manualFormatting":"(Ghosh et al, 2013","plainTextFormattedCitation":"(Ghosh et al., 2013)","previouslyFormattedCitation":"(Ghosh et al., 2013)"},"properties":{"noteIndex":0},"schema":"https://github.com/citation-style-language/schema/raw/master/csl-citation.json"}</w:instrText>
      </w:r>
      <w:r w:rsidR="00635135" w:rsidRPr="00CB10DF">
        <w:rPr>
          <w:rFonts w:ascii="Times New Roman" w:eastAsia="Times New Roman" w:hAnsi="Times New Roman" w:cs="Times New Roman"/>
          <w:color w:val="000000" w:themeColor="text1"/>
        </w:rPr>
        <w:fldChar w:fldCharType="separate"/>
      </w:r>
      <w:r w:rsidR="00635135" w:rsidRPr="00CB10DF">
        <w:rPr>
          <w:rFonts w:ascii="Times New Roman" w:eastAsia="Times New Roman" w:hAnsi="Times New Roman" w:cs="Times New Roman"/>
          <w:noProof/>
          <w:color w:val="000000" w:themeColor="text1"/>
        </w:rPr>
        <w:t>(Ghosh et al, 2013</w:t>
      </w:r>
      <w:r w:rsidR="00635135" w:rsidRPr="00CB10DF">
        <w:rPr>
          <w:rFonts w:ascii="Times New Roman" w:eastAsia="Times New Roman" w:hAnsi="Times New Roman" w:cs="Times New Roman"/>
          <w:color w:val="000000" w:themeColor="text1"/>
        </w:rPr>
        <w:fldChar w:fldCharType="end"/>
      </w:r>
      <w:r w:rsidR="00635135" w:rsidRPr="00CB10DF">
        <w:rPr>
          <w:rFonts w:ascii="Times New Roman" w:eastAsia="Times New Roman" w:hAnsi="Times New Roman" w:cs="Times New Roman"/>
          <w:color w:val="000000" w:themeColor="text1"/>
        </w:rPr>
        <w:t xml:space="preserve">, </w:t>
      </w:r>
      <w:r w:rsidR="00635135" w:rsidRPr="00CB10DF">
        <w:rPr>
          <w:rFonts w:ascii="Times New Roman" w:eastAsia="Times New Roman" w:hAnsi="Times New Roman" w:cs="Times New Roman"/>
          <w:color w:val="000000" w:themeColor="text1"/>
        </w:rPr>
        <w:fldChar w:fldCharType="begin" w:fldLock="1"/>
      </w:r>
      <w:r w:rsidR="00635135" w:rsidRPr="00CB10DF">
        <w:rPr>
          <w:rFonts w:ascii="Times New Roman" w:eastAsia="Times New Roman" w:hAnsi="Times New Roman" w:cs="Times New Roman"/>
          <w:color w:val="000000" w:themeColor="text1"/>
        </w:rPr>
        <w:instrText>ADDIN CSL_CITATION {"citationItems":[{"id":"ITEM-1","itemData":{"DOI":"10.1111/ele.12413","ISBN":"1461-0248","ISSN":"14610248","PMID":"25682961","abstract":"Two major intraspecific patterns of adult size variation are plastic temperature-size (T-S) responses and latitude-size (L-S) clines. Yet, the degree to which these co-vary and share explana- tory mechanisms has not been systematically evaluated. We present the largest quantitative com- parison of these gradients to date, and find that their direction and magnitude co-vary among 12 arthropod orders (r2 = 0.72). Body size in aquatic species generally reduces with both warming and decreasing latitude, whereas terrestrial species have much reduced and even opposite gradi- ents. These patterns support the prediction that oxygen limitation is a major controlling factor in water, but not in air. Furthermore, voltinism explains much of the variation in T-S and L-S pat- terns in terrestrial but not aquatic species. While body size decreases with warming and with decreasing latitude in multivoltine terrestrial arthropods, size increases on average in univoltine species, consistent with predictions from size vs. season-length trade-offs.","author":[{"dropping-particle":"","family":"Horne","given":"Curtis R.","non-dropping-particle":"","parse-names":false,"suffix":""},{"dropping-particle":"","family":"Hirst","given":"Andrew G.","non-dropping-particle":"","parse-names":false,"suffix":""},{"dropping-particle":"","family":"Atkinson","given":"David","non-dropping-particle":"","parse-names":false,"suffix":""}],"container-title":"Ecology Letters","id":"ITEM-1","issue":"4","issued":{"date-parts":[["2015"]]},"page":"327-335","title":"Temperature-size responses match latitudinal-size clines in arthropods, revealing critical differences between aquatic and terrestrial species","type":"article-journal","volume":"18"},"uris":["http://www.mendeley.com/documents/?uuid=32c1bce0-acd2-42e3-a942-dba43bfa032f"]}],"mendeley":{"formattedCitation":"(Horne et al., 2015)","manualFormatting":"Horne et al., 2015","plainTextFormattedCitation":"(Horne et al., 2015)","previouslyFormattedCitation":"(Horne et al., 2015)"},"properties":{"noteIndex":0},"schema":"https://github.com/citation-style-language/schema/raw/master/csl-citation.json"}</w:instrText>
      </w:r>
      <w:r w:rsidR="00635135" w:rsidRPr="00CB10DF">
        <w:rPr>
          <w:rFonts w:ascii="Times New Roman" w:eastAsia="Times New Roman" w:hAnsi="Times New Roman" w:cs="Times New Roman"/>
          <w:color w:val="000000" w:themeColor="text1"/>
        </w:rPr>
        <w:fldChar w:fldCharType="separate"/>
      </w:r>
      <w:r w:rsidR="00635135" w:rsidRPr="00CB10DF">
        <w:rPr>
          <w:rFonts w:ascii="Times New Roman" w:eastAsia="Times New Roman" w:hAnsi="Times New Roman" w:cs="Times New Roman"/>
          <w:noProof/>
          <w:color w:val="000000" w:themeColor="text1"/>
        </w:rPr>
        <w:t>Horne et al., 2015</w:t>
      </w:r>
      <w:r w:rsidR="00635135" w:rsidRPr="00CB10DF">
        <w:rPr>
          <w:rFonts w:ascii="Times New Roman" w:eastAsia="Times New Roman" w:hAnsi="Times New Roman" w:cs="Times New Roman"/>
          <w:color w:val="000000" w:themeColor="text1"/>
        </w:rPr>
        <w:fldChar w:fldCharType="end"/>
      </w:r>
      <w:r w:rsidR="00635135" w:rsidRPr="00CB10DF">
        <w:rPr>
          <w:rFonts w:ascii="Times New Roman" w:eastAsia="Times New Roman" w:hAnsi="Times New Roman" w:cs="Times New Roman"/>
          <w:color w:val="000000" w:themeColor="text1"/>
        </w:rPr>
        <w:t xml:space="preserve">, </w:t>
      </w:r>
      <w:r w:rsidR="00635135" w:rsidRPr="00CB10DF">
        <w:rPr>
          <w:rFonts w:ascii="Times New Roman" w:eastAsia="Times New Roman" w:hAnsi="Times New Roman" w:cs="Times New Roman"/>
          <w:color w:val="000000" w:themeColor="text1"/>
        </w:rPr>
        <w:fldChar w:fldCharType="begin" w:fldLock="1"/>
      </w:r>
      <w:r w:rsidR="00635135" w:rsidRPr="00CB10DF">
        <w:rPr>
          <w:rFonts w:ascii="Times New Roman" w:eastAsia="Times New Roman" w:hAnsi="Times New Roman" w:cs="Times New Roman"/>
          <w:color w:val="000000" w:themeColor="text1"/>
        </w:rPr>
        <w:instrText>ADDIN CSL_CITATION {"citationItems":[{"id":"ITEM-1","itemData":{"DOI":"10.1111/1365-2656.12789","ISSN":"13652656","abstract":"1. Body size is a fundamental ecological trait and is correlated with population dynamics, community structure and function, and ecosystem fluxes. Laboratory data from broad taxonomic groups suggest that a widespread response to a warming world may be an overall decrease in organism body size. However, given the myriad of biotic and abiotic factors that can also influence organism body size in the wild, it is unclear whether results from these laboratory assays hold in nature. 2. Here we use datasets spanning 30 to 100 years to examine whether the body size of wild-caught beetles has changed over time, whether body size changes are correlated with increased temperatures, and we frame these results using predictions derived from a quantitative review of laboratory responses of 22 beetle species to temperature. 3. We found that 95% of laboratory-reared beetles decreased in size with increased rearing temperature, with larger-bodied species shrinking disproportionately more than smaller-bodied beetles. In addition, the museum datasets revealed that largerbodied beetle species have decreased in size over time, that mean beetle body size explains much of the interspecific variation in beetle responses to temperature, and that long-term beetle size changes are explained by increases in autumn temperature and decreases in spring temperature in this region. 4. Our data demonstrate that the relationship between body size and temperature of wild-caught beetles matches relatively well with results from laboratory studies, and that variation in this relationship is largely explained by interspecific variation in mean beetle body size. 5. This long-term beetle dataset is one of the most comprehensive arthropod body size datasets compiled to date, it improves predictions regarding the shrinking of organisms with global climate change, and together with the meta-analysis data, call for new hypotheses to explain why larger-bodied organisms may be more sensitive to temperature.","author":[{"dropping-particle":"","family":"Tseng","given":"Michelle","non-dropping-particle":"","parse-names":false,"suffix":""},{"dropping-particle":"","family":"Kaur","given":"Katrina M.","non-dropping-particle":"","parse-names":false,"suffix":""},{"dropping-particle":"","family":"Soleimani Pari","given":"Sina","non-dropping-particle":"","parse-names":false,"suffix":""},{"dropping-particle":"","family":"Sarai","given":"Karnjit","non-dropping-particle":"","parse-names":false,"suffix":""},{"dropping-particle":"","family":"Chan","given":"Denessa","non-dropping-particle":"","parse-names":false,"suffix":""},{"dropping-particle":"","family":"Yao","given":"Christine H.","non-dropping-particle":"","parse-names":false,"suffix":""},{"dropping-particle":"","family":"Porto","given":"Paula","non-dropping-particle":"","parse-names":false,"suffix":""},{"dropping-particle":"","family":"Toor","given":"Anmol","non-dropping-particle":"","parse-names":false,"suffix":""},{"dropping-particle":"","family":"Toor","given":"Harpawantaj S.","non-dropping-particle":"","parse-names":false,"suffix":""},{"dropping-particle":"","family":"Fograscher","given":"Katrina","non-dropping-particle":"","parse-names":false,"suffix":""}],"container-title":"Journal of Animal Ecology","id":"ITEM-1","issued":{"date-parts":[["2018"]]},"title":"Decreases in beetle body size linked to climate change and warming temperatures","type":"article-journal"},"uris":["http://www.mendeley.com/documents/?uuid=a5fceff3-72a9-4d8f-b9fb-ec48fc06d9e1"]}],"mendeley":{"formattedCitation":"(Tseng et al., 2018)","manualFormatting":"Tseng et al., 2018)","plainTextFormattedCitation":"(Tseng et al., 2018)","previouslyFormattedCitation":"(Tseng et al., 2018)"},"properties":{"noteIndex":0},"schema":"https://github.com/citation-style-language/schema/raw/master/csl-citation.json"}</w:instrText>
      </w:r>
      <w:r w:rsidR="00635135" w:rsidRPr="00CB10DF">
        <w:rPr>
          <w:rFonts w:ascii="Times New Roman" w:eastAsia="Times New Roman" w:hAnsi="Times New Roman" w:cs="Times New Roman"/>
          <w:color w:val="000000" w:themeColor="text1"/>
        </w:rPr>
        <w:fldChar w:fldCharType="separate"/>
      </w:r>
      <w:r w:rsidR="00635135" w:rsidRPr="00CB10DF">
        <w:rPr>
          <w:rFonts w:ascii="Times New Roman" w:eastAsia="Times New Roman" w:hAnsi="Times New Roman" w:cs="Times New Roman"/>
          <w:noProof/>
          <w:color w:val="000000" w:themeColor="text1"/>
        </w:rPr>
        <w:t>Tseng et al., 2018)</w:t>
      </w:r>
      <w:r w:rsidR="00635135" w:rsidRPr="00CB10DF">
        <w:rPr>
          <w:rFonts w:ascii="Times New Roman" w:eastAsia="Times New Roman" w:hAnsi="Times New Roman" w:cs="Times New Roman"/>
          <w:color w:val="000000" w:themeColor="text1"/>
        </w:rPr>
        <w:fldChar w:fldCharType="end"/>
      </w:r>
      <w:r w:rsidR="00635135" w:rsidRPr="00CB10DF">
        <w:rPr>
          <w:rFonts w:ascii="Times New Roman" w:eastAsia="Times New Roman" w:hAnsi="Times New Roman" w:cs="Times New Roman"/>
          <w:color w:val="000000" w:themeColor="text1"/>
        </w:rPr>
        <w:t>. In contrast, Anisoptera showed either a non-</w:t>
      </w:r>
      <w:r w:rsidR="00635135" w:rsidRPr="00CB10DF">
        <w:rPr>
          <w:rFonts w:ascii="Times New Roman" w:eastAsia="Times New Roman" w:hAnsi="Times New Roman" w:cs="Times New Roman"/>
          <w:color w:val="000000" w:themeColor="text1"/>
        </w:rPr>
        <w:lastRenderedPageBreak/>
        <w:t>significant response or become larger (</w:t>
      </w:r>
      <w:r w:rsidR="00E3550F" w:rsidRPr="00CB10DF">
        <w:rPr>
          <w:rFonts w:ascii="Times New Roman" w:eastAsia="Times New Roman" w:hAnsi="Times New Roman" w:cs="Times New Roman"/>
          <w:color w:val="000000" w:themeColor="text1"/>
        </w:rPr>
        <w:t xml:space="preserve">one </w:t>
      </w:r>
      <w:r w:rsidR="00635135" w:rsidRPr="00CB10DF">
        <w:rPr>
          <w:rFonts w:ascii="Times New Roman" w:eastAsia="Times New Roman" w:hAnsi="Times New Roman" w:cs="Times New Roman"/>
          <w:color w:val="000000" w:themeColor="text1"/>
        </w:rPr>
        <w:t xml:space="preserve">species) </w:t>
      </w:r>
      <w:r w:rsidR="00E3550F" w:rsidRPr="00CB10DF">
        <w:rPr>
          <w:rFonts w:ascii="Times New Roman" w:eastAsia="Times New Roman" w:hAnsi="Times New Roman" w:cs="Times New Roman"/>
          <w:color w:val="000000" w:themeColor="text1"/>
        </w:rPr>
        <w:t xml:space="preserve">or smaller (two species) </w:t>
      </w:r>
      <w:r w:rsidR="00635135" w:rsidRPr="00CB10DF">
        <w:rPr>
          <w:rFonts w:ascii="Times New Roman" w:eastAsia="Times New Roman" w:hAnsi="Times New Roman" w:cs="Times New Roman"/>
          <w:color w:val="000000" w:themeColor="text1"/>
        </w:rPr>
        <w:t xml:space="preserve">with increasing temperature, possibly due to selection for larger individuals in </w:t>
      </w:r>
      <w:r w:rsidR="00E3550F" w:rsidRPr="00CB10DF">
        <w:rPr>
          <w:rFonts w:ascii="Times New Roman" w:eastAsia="Times New Roman" w:hAnsi="Times New Roman" w:cs="Times New Roman"/>
          <w:color w:val="000000" w:themeColor="text1"/>
        </w:rPr>
        <w:t xml:space="preserve">strongly </w:t>
      </w:r>
      <w:r w:rsidR="00635135" w:rsidRPr="00CB10DF">
        <w:rPr>
          <w:rFonts w:ascii="Times New Roman" w:eastAsia="Times New Roman" w:hAnsi="Times New Roman" w:cs="Times New Roman"/>
          <w:color w:val="000000" w:themeColor="text1"/>
        </w:rPr>
        <w:t>territorial species. 2) Contrary to our hypothesis, Zygoptera, which have a smaller body size than Anisoptera, showed greater sensitivity to temperature than Anisoptera. 3) S</w:t>
      </w:r>
      <w:r w:rsidRPr="00CB10DF">
        <w:rPr>
          <w:rFonts w:ascii="Times New Roman" w:eastAsia="Times New Roman" w:hAnsi="Times New Roman" w:cs="Times New Roman"/>
          <w:color w:val="000000" w:themeColor="text1"/>
        </w:rPr>
        <w:t xml:space="preserve">uborder is the main factor that affects Odonata temperature-size responses. </w:t>
      </w:r>
      <w:r w:rsidR="009E1EAD" w:rsidRPr="00CB10DF">
        <w:rPr>
          <w:rFonts w:ascii="Times New Roman" w:eastAsia="Times New Roman" w:hAnsi="Times New Roman" w:cs="Times New Roman"/>
          <w:color w:val="000000" w:themeColor="text1"/>
        </w:rPr>
        <w:t xml:space="preserve">We also hypothesized that </w:t>
      </w:r>
      <w:proofErr w:type="spellStart"/>
      <w:r w:rsidR="009E1EAD" w:rsidRPr="00CB10DF">
        <w:rPr>
          <w:rFonts w:ascii="Times New Roman" w:eastAsia="Times New Roman" w:hAnsi="Times New Roman" w:cs="Times New Roman"/>
          <w:color w:val="000000" w:themeColor="text1"/>
        </w:rPr>
        <w:t>univoltine</w:t>
      </w:r>
      <w:proofErr w:type="spellEnd"/>
      <w:r w:rsidR="009E1EAD" w:rsidRPr="00CB10DF">
        <w:rPr>
          <w:rFonts w:ascii="Times New Roman" w:eastAsia="Times New Roman" w:hAnsi="Times New Roman" w:cs="Times New Roman"/>
          <w:color w:val="000000" w:themeColor="text1"/>
        </w:rPr>
        <w:t xml:space="preserve"> species would show decreasing size with increasing temperature but that semivoltine species would show less sensitivity. This, however, proved not to be the case and suborder was a better predictor of size response irrespective of life cycle type. </w:t>
      </w:r>
      <w:r w:rsidR="009E1EAD" w:rsidRPr="00CB10DF">
        <w:rPr>
          <w:rFonts w:ascii="Times New Roman" w:hAnsi="Times New Roman" w:cs="Times New Roman"/>
          <w:color w:val="000000" w:themeColor="text1"/>
        </w:rPr>
        <w:t xml:space="preserve">Other studies, however, show that life cycle type is important for predicting temperature-size responses. For example, the adult body sizes of some insects get larger with increasing temperatures, most notably </w:t>
      </w:r>
      <w:proofErr w:type="spellStart"/>
      <w:r w:rsidR="009E1EAD" w:rsidRPr="00CB10DF">
        <w:rPr>
          <w:rFonts w:ascii="Times New Roman" w:hAnsi="Times New Roman" w:cs="Times New Roman"/>
          <w:color w:val="000000" w:themeColor="text1"/>
        </w:rPr>
        <w:t>univoltine</w:t>
      </w:r>
      <w:proofErr w:type="spellEnd"/>
      <w:r w:rsidR="009E1EAD" w:rsidRPr="00CB10DF">
        <w:rPr>
          <w:rFonts w:ascii="Times New Roman" w:hAnsi="Times New Roman" w:cs="Times New Roman"/>
          <w:color w:val="000000" w:themeColor="text1"/>
        </w:rPr>
        <w:t xml:space="preserve"> and the first generation of bivoltine butterflies </w:t>
      </w:r>
      <w:r w:rsidR="009E1EAD" w:rsidRPr="00CB10DF">
        <w:rPr>
          <w:rFonts w:ascii="Times New Roman" w:eastAsia="Times New Roman" w:hAnsi="Times New Roman" w:cs="Times New Roman"/>
          <w:color w:val="000000" w:themeColor="text1"/>
        </w:rPr>
        <w:fldChar w:fldCharType="begin" w:fldLock="1"/>
      </w:r>
      <w:r w:rsidR="009E1EAD" w:rsidRPr="00CB10DF">
        <w:rPr>
          <w:rFonts w:ascii="Times New Roman" w:eastAsia="Times New Roman" w:hAnsi="Times New Roman" w:cs="Times New Roman"/>
          <w:color w:val="000000" w:themeColor="text1"/>
        </w:rPr>
        <w:instrText>ADDIN CSL_CITATION {"citationItems":[{"id":"ITEM-1","itemData":{"DOI":"10.1111/1365-2656.12492","ISBN":"1365-2656 (Electronic)\\r0021-8790 (Linking)","ISSN":"13652656","PMID":"26876243","abstract":"Animals with distinct life stages are often exposed to different temperatures during each stage. Thus, how temperature affects these life stages should be considered for broadly understanding the ecological consequences of climate warming on such species. For example, temperature variation during particular life stages may affect respective change in body size, phenology and geographic range, which have been identified as the \"universal\" ecological responses to climate change. While each of these responses has been separately documented across a number of species, it is not known whether each response occurs together within a species. The influence of temperature during particular life stages may help explain each of these ecological responses to climate change. Our goal was to determine if monthly temperature variation during particular life stages of a butterfly species can predict respective changes in body size and phenology. We also refer to the literature to assess if temperature variability during the adult stage influences range change over time. Using historical museum collections paired with monthly temperature records, we show that changes in body size and phenology of the univoltine butterfly, Hesperia comma, are partly dependent upon temporal variation in summer temperatures during key stages of their life cycle. June temperatures, which are likely to affect growth rate of the final larval instar, are important for predicting adult body size (for males only; showing a positive relationship with temperature). July temperatures, which are likely to influence the pupal stage, are important for predicting the timing of adult emergence (showing a negative relationship with temperature). Previous studies show that August temperatures, which act on the adult stage, are linked to range change. Our study highlights the importance of considering temperature variation during each life stage over historic time-scales for understanding intraspecific response to climate change. Range edge studies of ectothermic species that have annual life cycles, long time-series occurrence data, and associated temperature records (ideally at monthly resolutions) could be useful model systems for intraspecific tests of the universal ecological responses to climate change and for exploring interactive effects.","author":[{"dropping-particle":"","family":"Fenberg","given":"Phillip B.","non-dropping-particle":"","parse-names":false,"suffix":""},{"dropping-particle":"","family":"Self","given":"Angela","non-dropping-particle":"","parse-names":false,"suffix":""},{"dropping-particle":"","family":"Stewart","given":"John R.","non-dropping-particle":"","parse-names":false,"suffix":""},{"dropping-particle":"","family":"Wilson","given":"Rebecca J.","non-dropping-particle":"","parse-names":false,"suffix":""},{"dropping-particle":"","family":"Brooks","given":"Stephen J.","non-dropping-particle":"","parse-names":false,"suffix":""}],"container-title":"Journal of Animal Ecology","id":"ITEM-1","issue":"3","issued":{"date-parts":[["2016"]]},"page":"739-748","title":"Exploring the universal ecological responses to climate change in a univoltine butterfly","type":"article-journal","volume":"85"},"uris":["http://www.mendeley.com/documents/?uuid=d548913b-0994-433d-a761-2f4f5b4daaf7"]}],"mendeley":{"formattedCitation":"(Fenberg et al., 2016)","manualFormatting":"(Fenberg et al., 2016","plainTextFormattedCitation":"(Fenberg et al., 2016)","previouslyFormattedCitation":"(Fenberg et al., 2016)"},"properties":{"noteIndex":0},"schema":"https://github.com/citation-style-language/schema/raw/master/csl-citation.json"}</w:instrText>
      </w:r>
      <w:r w:rsidR="009E1EAD" w:rsidRPr="00CB10DF">
        <w:rPr>
          <w:rFonts w:ascii="Times New Roman" w:eastAsia="Times New Roman" w:hAnsi="Times New Roman" w:cs="Times New Roman"/>
          <w:color w:val="000000" w:themeColor="text1"/>
        </w:rPr>
        <w:fldChar w:fldCharType="separate"/>
      </w:r>
      <w:r w:rsidR="009E1EAD" w:rsidRPr="00CB10DF">
        <w:rPr>
          <w:rFonts w:ascii="Times New Roman" w:eastAsia="Times New Roman" w:hAnsi="Times New Roman" w:cs="Times New Roman"/>
          <w:noProof/>
          <w:color w:val="000000" w:themeColor="text1"/>
        </w:rPr>
        <w:t>(Fenberg et al., 2016</w:t>
      </w:r>
      <w:r w:rsidR="009E1EAD" w:rsidRPr="00CB10DF">
        <w:rPr>
          <w:rFonts w:ascii="Times New Roman" w:eastAsia="Times New Roman" w:hAnsi="Times New Roman" w:cs="Times New Roman"/>
          <w:color w:val="000000" w:themeColor="text1"/>
        </w:rPr>
        <w:fldChar w:fldCharType="end"/>
      </w:r>
      <w:r w:rsidR="009E1EAD" w:rsidRPr="00CB10DF">
        <w:rPr>
          <w:rFonts w:ascii="Times New Roman" w:eastAsia="Times New Roman" w:hAnsi="Times New Roman" w:cs="Times New Roman"/>
          <w:color w:val="000000" w:themeColor="text1"/>
        </w:rPr>
        <w:t xml:space="preserve">, </w:t>
      </w:r>
      <w:r w:rsidR="009E1EAD" w:rsidRPr="00CB10DF">
        <w:rPr>
          <w:rFonts w:ascii="Times New Roman" w:eastAsia="Times New Roman" w:hAnsi="Times New Roman" w:cs="Times New Roman"/>
          <w:color w:val="000000" w:themeColor="text1"/>
        </w:rPr>
        <w:fldChar w:fldCharType="begin" w:fldLock="1"/>
      </w:r>
      <w:r w:rsidR="009E1EAD" w:rsidRPr="00CB10DF">
        <w:rPr>
          <w:rFonts w:ascii="Times New Roman" w:eastAsia="Times New Roman" w:hAnsi="Times New Roman" w:cs="Times New Roman"/>
          <w:color w:val="000000" w:themeColor="text1"/>
        </w:rPr>
        <w:instrText>ADDIN CSL_CITATION {"citationItems":[{"id":"ITEM-1","itemData":{"DOI":"10.1002/ece3.5550","ISSN":"2045-7758","author":[{"dropping-particle":"","family":"Wilson","given":"Rebecca J.","non-dropping-particle":"","parse-names":false,"suffix":""},{"dropping-particle":"","family":"Brooks","given":"Stephen J.","non-dropping-particle":"","parse-names":false,"suffix":""},{"dropping-particle":"","family":"Fenberg","given":"Phillip B.","non-dropping-particle":"","parse-names":false,"suffix":""}],"container-title":"Ecology and Evolution","id":"ITEM-1","issue":"18","issued":{"date-parts":[["2019","9","14"]]},"page":"10305-10316","title":"The influence of ecological and life history factors on ectothermic temperature–size responses: Analysis of three Lycaenidae butterflies (Lepidoptera)","type":"article-journal","volume":"9"},"uris":["http://www.mendeley.com/documents/?uuid=7b620d03-4056-4d14-99fb-b8231f3fad25"]}],"mendeley":{"formattedCitation":"(Wilson et al., 2019)","manualFormatting":"Wilson et al., 2019)","plainTextFormattedCitation":"(Wilson et al., 2019)","previouslyFormattedCitation":"(Wilson et al., 2019)"},"properties":{"noteIndex":0},"schema":"https://github.com/citation-style-language/schema/raw/master/csl-citation.json"}</w:instrText>
      </w:r>
      <w:r w:rsidR="009E1EAD" w:rsidRPr="00CB10DF">
        <w:rPr>
          <w:rFonts w:ascii="Times New Roman" w:eastAsia="Times New Roman" w:hAnsi="Times New Roman" w:cs="Times New Roman"/>
          <w:color w:val="000000" w:themeColor="text1"/>
        </w:rPr>
        <w:fldChar w:fldCharType="separate"/>
      </w:r>
      <w:r w:rsidR="009E1EAD" w:rsidRPr="00CB10DF">
        <w:rPr>
          <w:rFonts w:ascii="Times New Roman" w:eastAsia="Times New Roman" w:hAnsi="Times New Roman" w:cs="Times New Roman"/>
          <w:noProof/>
          <w:color w:val="000000" w:themeColor="text1"/>
        </w:rPr>
        <w:t>Wilson et al., 2019)</w:t>
      </w:r>
      <w:r w:rsidR="009E1EAD" w:rsidRPr="00CB10DF">
        <w:rPr>
          <w:rFonts w:ascii="Times New Roman" w:eastAsia="Times New Roman" w:hAnsi="Times New Roman" w:cs="Times New Roman"/>
          <w:color w:val="000000" w:themeColor="text1"/>
        </w:rPr>
        <w:fldChar w:fldCharType="end"/>
      </w:r>
      <w:r w:rsidR="009E1EAD" w:rsidRPr="00CB10DF">
        <w:rPr>
          <w:rFonts w:ascii="Times New Roman" w:hAnsi="Times New Roman" w:cs="Times New Roman"/>
          <w:color w:val="000000" w:themeColor="text1"/>
        </w:rPr>
        <w:t xml:space="preserve">. </w:t>
      </w:r>
      <w:r w:rsidR="009B4E54" w:rsidRPr="00CB10DF">
        <w:rPr>
          <w:rFonts w:ascii="Times New Roman" w:hAnsi="Times New Roman" w:cs="Times New Roman"/>
          <w:color w:val="000000" w:themeColor="text1"/>
        </w:rPr>
        <w:t xml:space="preserve">4) </w:t>
      </w:r>
      <w:r w:rsidR="009B4E54" w:rsidRPr="00CB10DF">
        <w:rPr>
          <w:rFonts w:ascii="Times New Roman" w:eastAsia="Times New Roman" w:hAnsi="Times New Roman" w:cs="Times New Roman"/>
          <w:color w:val="000000" w:themeColor="text1"/>
        </w:rPr>
        <w:t>Individuals</w:t>
      </w:r>
      <w:r w:rsidR="003C56FE" w:rsidRPr="00CB10DF">
        <w:rPr>
          <w:rFonts w:ascii="Times New Roman" w:eastAsia="Times New Roman" w:hAnsi="Times New Roman" w:cs="Times New Roman"/>
          <w:color w:val="000000" w:themeColor="text1"/>
        </w:rPr>
        <w:t xml:space="preserve"> of</w:t>
      </w:r>
      <w:r w:rsidR="009B4E54" w:rsidRPr="00CB10DF">
        <w:rPr>
          <w:rFonts w:ascii="Times New Roman" w:eastAsia="Times New Roman" w:hAnsi="Times New Roman" w:cs="Times New Roman"/>
          <w:color w:val="000000" w:themeColor="text1"/>
        </w:rPr>
        <w:t xml:space="preserve"> Zygoptera flying late in the season tend to be smaller than those of the same species flying early in the season. </w:t>
      </w:r>
      <w:r w:rsidR="000D52BD" w:rsidRPr="00CB10DF">
        <w:rPr>
          <w:rFonts w:ascii="Times New Roman" w:hAnsi="Times New Roman" w:cs="Times New Roman"/>
          <w:color w:val="000000" w:themeColor="text1"/>
        </w:rPr>
        <w:t>Taken together our results and these recent studies support the idea that there is no universal temperature-size response for insects and that results will depend upon multiple factors.</w:t>
      </w:r>
    </w:p>
    <w:bookmarkEnd w:id="6"/>
    <w:p w14:paraId="6D3DD3C5" w14:textId="012FF77E" w:rsidR="00FE384D" w:rsidRPr="00CB10DF" w:rsidRDefault="00FE384D" w:rsidP="00B06F38">
      <w:pPr>
        <w:spacing w:before="240" w:after="240" w:line="480" w:lineRule="auto"/>
        <w:jc w:val="both"/>
        <w:rPr>
          <w:rFonts w:ascii="Times New Roman" w:eastAsia="Times New Roman" w:hAnsi="Times New Roman" w:cs="Times New Roman"/>
          <w:color w:val="000000" w:themeColor="text1"/>
        </w:rPr>
      </w:pPr>
      <w:r w:rsidRPr="00CB10DF">
        <w:rPr>
          <w:rFonts w:ascii="Times New Roman" w:eastAsia="Times New Roman" w:hAnsi="Times New Roman" w:cs="Times New Roman"/>
          <w:color w:val="000000" w:themeColor="text1"/>
        </w:rPr>
        <w:t xml:space="preserve">Although we find no universal body size response to warming seasonal temperature in Odonata, adult Zygoptera tend to be smaller in years that have warm seasonal temperatures during larval development. We presume that this is because warmer temperature accelerates the developmental rate of damselfly larvae at the cost of smaller adult body size. </w:t>
      </w:r>
      <w:r w:rsidR="005E1E8F" w:rsidRPr="00CB10DF">
        <w:rPr>
          <w:rFonts w:ascii="Times New Roman" w:hAnsi="Times New Roman" w:cs="Times New Roman"/>
          <w:color w:val="000000" w:themeColor="text1"/>
          <w:szCs w:val="22"/>
          <w:shd w:val="clear" w:color="auto" w:fill="FFFFFF"/>
        </w:rPr>
        <w:t xml:space="preserve">Future studies should further examine whether temperature size responses in insects vary </w:t>
      </w:r>
      <w:r w:rsidR="005E1E8F" w:rsidRPr="00CB10DF">
        <w:rPr>
          <w:rFonts w:ascii="Times New Roman" w:hAnsi="Times New Roman" w:cs="Times New Roman"/>
          <w:color w:val="000000" w:themeColor="text1"/>
          <w:szCs w:val="22"/>
          <w:shd w:val="clear" w:color="auto" w:fill="FFFFFF"/>
        </w:rPr>
        <w:lastRenderedPageBreak/>
        <w:t>between various taxonomic categories (i.e. at the order and sub-order levels) and whether other morphological features, such as wing shape are also affected by temperature. </w:t>
      </w:r>
      <w:r w:rsidR="005E1E8F" w:rsidRPr="00CB10DF">
        <w:rPr>
          <w:rFonts w:ascii="Times New Roman" w:hAnsi="Times New Roman" w:cs="Times New Roman"/>
          <w:color w:val="000000" w:themeColor="text1"/>
          <w:szCs w:val="22"/>
          <w:bdr w:val="none" w:sz="0" w:space="0" w:color="auto" w:frame="1"/>
          <w:shd w:val="clear" w:color="auto" w:fill="FFFFFF"/>
        </w:rPr>
        <w:t>Additionally, further study to investigate whether territoriality affects wing length response in both Anisoptera and Zygoptera is needed.</w:t>
      </w:r>
    </w:p>
    <w:p w14:paraId="0D7855C9" w14:textId="1A38F4E7" w:rsidR="00D5749A" w:rsidRPr="00CB10DF" w:rsidRDefault="00D5749A" w:rsidP="00D5749A">
      <w:pPr>
        <w:spacing w:before="240" w:line="480" w:lineRule="auto"/>
        <w:jc w:val="both"/>
        <w:rPr>
          <w:rFonts w:ascii="Times New Roman" w:hAnsi="Times New Roman" w:cs="Times New Roman"/>
          <w:b/>
          <w:bCs/>
          <w:color w:val="000000" w:themeColor="text1"/>
        </w:rPr>
      </w:pPr>
      <w:r w:rsidRPr="00CB10DF">
        <w:rPr>
          <w:rFonts w:ascii="Times New Roman" w:hAnsi="Times New Roman" w:cs="Times New Roman"/>
          <w:b/>
          <w:bCs/>
          <w:color w:val="000000" w:themeColor="text1"/>
        </w:rPr>
        <w:t>Authors’ Contributions</w:t>
      </w:r>
    </w:p>
    <w:p w14:paraId="4B0EEE46" w14:textId="48D8AF17" w:rsidR="00CB10DF" w:rsidRDefault="00D5749A" w:rsidP="00CB10DF">
      <w:pPr>
        <w:spacing w:line="480" w:lineRule="auto"/>
        <w:jc w:val="both"/>
        <w:rPr>
          <w:rFonts w:ascii="Times New Roman" w:hAnsi="Times New Roman" w:cs="Times New Roman"/>
          <w:color w:val="000000" w:themeColor="text1"/>
          <w:szCs w:val="22"/>
        </w:rPr>
      </w:pPr>
      <w:r w:rsidRPr="00CB10DF">
        <w:rPr>
          <w:rFonts w:ascii="Times New Roman" w:hAnsi="Times New Roman" w:cs="Times New Roman"/>
          <w:color w:val="000000" w:themeColor="text1"/>
        </w:rPr>
        <w:t xml:space="preserve">RW collected and </w:t>
      </w:r>
      <w:proofErr w:type="spellStart"/>
      <w:r w:rsidRPr="00CB10DF">
        <w:rPr>
          <w:rFonts w:ascii="Times New Roman" w:hAnsi="Times New Roman" w:cs="Times New Roman"/>
          <w:color w:val="000000" w:themeColor="text1"/>
        </w:rPr>
        <w:t>analysed</w:t>
      </w:r>
      <w:proofErr w:type="spellEnd"/>
      <w:r w:rsidRPr="00CB10DF">
        <w:rPr>
          <w:rFonts w:ascii="Times New Roman" w:hAnsi="Times New Roman" w:cs="Times New Roman"/>
          <w:color w:val="000000" w:themeColor="text1"/>
        </w:rPr>
        <w:t xml:space="preserve"> the data and led the writing of the paper. PBF, PGL, </w:t>
      </w:r>
      <w:r w:rsidRPr="00CB10DF">
        <w:rPr>
          <w:rFonts w:ascii="Times New Roman" w:hAnsi="Times New Roman" w:cs="Times New Roman"/>
          <w:color w:val="000000" w:themeColor="text1"/>
          <w:szCs w:val="22"/>
        </w:rPr>
        <w:t>SJB and BWP helped conceive the ideas for the research and analyses and provided direction for the writing.</w:t>
      </w:r>
    </w:p>
    <w:p w14:paraId="3BC1EA36" w14:textId="4A7EADB5" w:rsidR="0085225C" w:rsidRPr="00F73F1D" w:rsidRDefault="0085225C" w:rsidP="00CB10DF">
      <w:pPr>
        <w:spacing w:line="480" w:lineRule="auto"/>
        <w:jc w:val="both"/>
        <w:rPr>
          <w:rFonts w:ascii="Times New Roman" w:hAnsi="Times New Roman" w:cs="Times New Roman"/>
          <w:b/>
          <w:bCs/>
          <w:color w:val="000000" w:themeColor="text1"/>
          <w:szCs w:val="22"/>
        </w:rPr>
      </w:pPr>
      <w:r w:rsidRPr="00F73F1D">
        <w:rPr>
          <w:rFonts w:ascii="Times New Roman" w:hAnsi="Times New Roman" w:cs="Times New Roman"/>
          <w:b/>
          <w:bCs/>
          <w:color w:val="000000" w:themeColor="text1"/>
          <w:szCs w:val="22"/>
        </w:rPr>
        <w:t>Conflict of Interest Statement</w:t>
      </w:r>
    </w:p>
    <w:p w14:paraId="4B80C5E5" w14:textId="27C8526D" w:rsidR="00CB10DF" w:rsidRPr="00CB10DF" w:rsidRDefault="00CB10DF" w:rsidP="00CB10DF">
      <w:pPr>
        <w:spacing w:line="480" w:lineRule="auto"/>
        <w:jc w:val="both"/>
        <w:rPr>
          <w:rFonts w:ascii="Times New Roman" w:hAnsi="Times New Roman" w:cs="Times New Roman"/>
          <w:color w:val="000000" w:themeColor="text1"/>
          <w:szCs w:val="22"/>
        </w:rPr>
      </w:pPr>
      <w:r w:rsidRPr="00CB10DF">
        <w:rPr>
          <w:rFonts w:ascii="Times New Roman" w:eastAsia="Times New Roman" w:hAnsi="Times New Roman" w:cs="Times New Roman"/>
          <w:szCs w:val="22"/>
          <w:lang w:val="en-GB" w:eastAsia="en-GB"/>
        </w:rPr>
        <w:t>The authors declare that there is no conflict of interest.</w:t>
      </w:r>
    </w:p>
    <w:p w14:paraId="290D6CB5" w14:textId="77777777" w:rsidR="00D5749A" w:rsidRPr="00CB10DF" w:rsidRDefault="00D5749A" w:rsidP="00D5749A">
      <w:pPr>
        <w:spacing w:before="240" w:line="480" w:lineRule="auto"/>
        <w:jc w:val="both"/>
        <w:rPr>
          <w:rFonts w:ascii="Times New Roman" w:hAnsi="Times New Roman" w:cs="Times New Roman"/>
          <w:b/>
          <w:color w:val="000000" w:themeColor="text1"/>
          <w:szCs w:val="22"/>
        </w:rPr>
      </w:pPr>
      <w:r w:rsidRPr="00CB10DF">
        <w:rPr>
          <w:rFonts w:ascii="Times New Roman" w:hAnsi="Times New Roman" w:cs="Times New Roman"/>
          <w:b/>
          <w:color w:val="000000" w:themeColor="text1"/>
          <w:szCs w:val="22"/>
        </w:rPr>
        <w:t>Data Accessibility</w:t>
      </w:r>
    </w:p>
    <w:p w14:paraId="031030A7" w14:textId="008DCF5D" w:rsidR="00D5749A" w:rsidRPr="00CB10DF" w:rsidRDefault="00D5749A" w:rsidP="00D5749A">
      <w:pPr>
        <w:spacing w:before="240" w:line="480" w:lineRule="auto"/>
        <w:jc w:val="thaiDistribute"/>
        <w:rPr>
          <w:rFonts w:ascii="Times New Roman" w:hAnsi="Times New Roman" w:cs="Times New Roman"/>
          <w:color w:val="000000" w:themeColor="text1"/>
        </w:rPr>
      </w:pPr>
      <w:r w:rsidRPr="00CB10DF">
        <w:rPr>
          <w:rFonts w:ascii="Times New Roman" w:hAnsi="Times New Roman" w:cs="Times New Roman"/>
          <w:color w:val="000000" w:themeColor="text1"/>
        </w:rPr>
        <w:t xml:space="preserve">The </w:t>
      </w:r>
      <w:r w:rsidR="00FC37CC" w:rsidRPr="00CB10DF">
        <w:rPr>
          <w:rFonts w:ascii="Times New Roman" w:hAnsi="Times New Roman" w:cs="Times New Roman"/>
          <w:color w:val="000000" w:themeColor="text1"/>
        </w:rPr>
        <w:t xml:space="preserve">R scripts used for data analyses and the </w:t>
      </w:r>
      <w:r w:rsidRPr="00CB10DF">
        <w:rPr>
          <w:rFonts w:ascii="Times New Roman" w:hAnsi="Times New Roman" w:cs="Times New Roman"/>
          <w:color w:val="000000" w:themeColor="text1"/>
        </w:rPr>
        <w:t xml:space="preserve">raw specimen data, including unique identifier, location (latitude, longitude), collecting date, wing length and corresponding temperature data are available at: </w:t>
      </w:r>
      <w:hyperlink r:id="rId11" w:history="1">
        <w:r w:rsidR="00656D95" w:rsidRPr="00CB10DF">
          <w:rPr>
            <w:rStyle w:val="Hyperlink"/>
            <w:rFonts w:ascii="Times New Roman" w:hAnsi="Times New Roman" w:cs="Times New Roman"/>
            <w:color w:val="000000" w:themeColor="text1"/>
            <w:shd w:val="clear" w:color="auto" w:fill="FFFFFF"/>
          </w:rPr>
          <w:t>https://doi.org/10.5519/0095579</w:t>
        </w:r>
      </w:hyperlink>
      <w:r w:rsidRPr="00CB10DF">
        <w:rPr>
          <w:rFonts w:ascii="Times New Roman" w:hAnsi="Times New Roman" w:cs="Times New Roman"/>
          <w:color w:val="000000" w:themeColor="text1"/>
        </w:rPr>
        <w:t xml:space="preserve">. </w:t>
      </w:r>
    </w:p>
    <w:p w14:paraId="1F27226E" w14:textId="77777777" w:rsidR="00D5749A" w:rsidRPr="00CB10DF" w:rsidRDefault="00D5749A" w:rsidP="00D5749A">
      <w:pPr>
        <w:spacing w:before="240" w:line="480" w:lineRule="auto"/>
        <w:jc w:val="both"/>
        <w:rPr>
          <w:rFonts w:ascii="Times New Roman" w:hAnsi="Times New Roman" w:cs="Times New Roman"/>
          <w:b/>
          <w:color w:val="000000" w:themeColor="text1"/>
        </w:rPr>
      </w:pPr>
      <w:r w:rsidRPr="00CB10DF">
        <w:rPr>
          <w:rFonts w:ascii="Times New Roman" w:hAnsi="Times New Roman" w:cs="Times New Roman"/>
          <w:b/>
          <w:color w:val="000000" w:themeColor="text1"/>
        </w:rPr>
        <w:t>Acknowledgements</w:t>
      </w:r>
    </w:p>
    <w:p w14:paraId="01F87132" w14:textId="3D2391EC" w:rsidR="000C4FCA" w:rsidRPr="000C4FCA" w:rsidRDefault="00D5749A" w:rsidP="000C4FCA">
      <w:pPr>
        <w:spacing w:before="240" w:after="240" w:line="480" w:lineRule="auto"/>
        <w:jc w:val="thaiDistribute"/>
        <w:rPr>
          <w:rFonts w:ascii="Times New Roman" w:hAnsi="Times New Roman" w:cs="Times New Roman"/>
          <w:color w:val="000000" w:themeColor="text1"/>
        </w:rPr>
        <w:sectPr w:rsidR="000C4FCA" w:rsidRPr="000C4FCA" w:rsidSect="00916BE0">
          <w:pgSz w:w="12240" w:h="15840"/>
          <w:pgMar w:top="1440" w:right="2880" w:bottom="1440" w:left="2880" w:header="720" w:footer="720" w:gutter="0"/>
          <w:lnNumType w:countBy="1" w:restart="continuous"/>
          <w:cols w:space="720"/>
          <w:docGrid w:linePitch="299"/>
        </w:sectPr>
      </w:pPr>
      <w:r w:rsidRPr="00CB10DF">
        <w:rPr>
          <w:rFonts w:ascii="Times New Roman" w:hAnsi="Times New Roman" w:cs="Times New Roman"/>
          <w:color w:val="000000" w:themeColor="text1"/>
        </w:rPr>
        <w:t xml:space="preserve">The authors thank to </w:t>
      </w:r>
      <w:proofErr w:type="spellStart"/>
      <w:r w:rsidRPr="00CB10DF">
        <w:rPr>
          <w:rFonts w:ascii="Times New Roman" w:hAnsi="Times New Roman" w:cs="Times New Roman"/>
          <w:color w:val="000000" w:themeColor="text1"/>
        </w:rPr>
        <w:t>Amoret</w:t>
      </w:r>
      <w:proofErr w:type="spellEnd"/>
      <w:r w:rsidRPr="00CB10DF">
        <w:rPr>
          <w:rFonts w:ascii="Times New Roman" w:hAnsi="Times New Roman" w:cs="Times New Roman"/>
          <w:color w:val="000000" w:themeColor="text1"/>
        </w:rPr>
        <w:t xml:space="preserve"> Spooner (Oxford University Museum of Natural History), Ashleigh </w:t>
      </w:r>
      <w:proofErr w:type="spellStart"/>
      <w:r w:rsidRPr="00CB10DF">
        <w:rPr>
          <w:rFonts w:ascii="Times New Roman" w:hAnsi="Times New Roman" w:cs="Times New Roman"/>
          <w:color w:val="000000" w:themeColor="text1"/>
        </w:rPr>
        <w:t>Whiffin</w:t>
      </w:r>
      <w:proofErr w:type="spellEnd"/>
      <w:r w:rsidRPr="00CB10DF">
        <w:rPr>
          <w:rFonts w:ascii="Times New Roman" w:hAnsi="Times New Roman" w:cs="Times New Roman"/>
          <w:color w:val="000000" w:themeColor="text1"/>
        </w:rPr>
        <w:t xml:space="preserve"> (National Museums Scotland) and Michael R. Wilson (National Museum of Wales) for providing access to the collections in their care. This project is funded by the Royal Thai Government.</w:t>
      </w:r>
    </w:p>
    <w:p w14:paraId="38B47060" w14:textId="3D14BBB0" w:rsidR="003A5163" w:rsidRDefault="00DC0284" w:rsidP="0090125D">
      <w:pPr>
        <w:pStyle w:val="Caption"/>
        <w:keepNext/>
        <w:spacing w:line="480" w:lineRule="auto"/>
        <w:jc w:val="thaiDistribute"/>
        <w:rPr>
          <w:rFonts w:ascii="Times New Roman" w:hAnsi="Times New Roman" w:cs="Times New Roman"/>
          <w:b/>
          <w:bCs/>
          <w:i w:val="0"/>
          <w:iCs w:val="0"/>
          <w:color w:val="000000" w:themeColor="text1"/>
          <w:sz w:val="22"/>
          <w:bdr w:val="none" w:sz="0" w:space="0" w:color="auto" w:frame="1"/>
        </w:rPr>
      </w:pPr>
      <w:r>
        <w:rPr>
          <w:rFonts w:ascii="Times New Roman" w:hAnsi="Times New Roman" w:cs="Times New Roman"/>
          <w:b/>
          <w:bCs/>
          <w:i w:val="0"/>
          <w:iCs w:val="0"/>
          <w:color w:val="000000" w:themeColor="text1"/>
          <w:sz w:val="22"/>
          <w:bdr w:val="none" w:sz="0" w:space="0" w:color="auto" w:frame="1"/>
        </w:rPr>
        <w:lastRenderedPageBreak/>
        <w:t>Figure legends</w:t>
      </w:r>
    </w:p>
    <w:p w14:paraId="5F712D0C" w14:textId="4F91CDCD" w:rsidR="00DC0284" w:rsidRPr="0090125D" w:rsidRDefault="00204F1D" w:rsidP="0090125D">
      <w:pPr>
        <w:spacing w:before="240" w:after="240" w:line="480" w:lineRule="auto"/>
        <w:jc w:val="thaiDistribute"/>
        <w:rPr>
          <w:rFonts w:ascii="Times New Roman" w:hAnsi="Times New Roman" w:cs="Times New Roman"/>
          <w:szCs w:val="22"/>
        </w:rPr>
      </w:pPr>
      <w:r w:rsidRPr="00916BE0">
        <w:rPr>
          <w:rFonts w:ascii="Times New Roman" w:hAnsi="Times New Roman" w:cs="Times New Roman"/>
          <w:b/>
          <w:bCs/>
          <w:szCs w:val="22"/>
        </w:rPr>
        <w:t>Fig 1:</w:t>
      </w:r>
      <w:r w:rsidRPr="0090125D">
        <w:rPr>
          <w:rFonts w:ascii="Times New Roman" w:hAnsi="Times New Roman" w:cs="Times New Roman"/>
          <w:szCs w:val="22"/>
        </w:rPr>
        <w:t xml:space="preserve"> </w:t>
      </w:r>
      <w:r w:rsidRPr="00DC0284">
        <w:rPr>
          <w:rFonts w:ascii="Times New Roman" w:eastAsia="Times New Roman" w:hAnsi="Times New Roman" w:cs="Times New Roman"/>
          <w:color w:val="000000"/>
          <w:szCs w:val="22"/>
          <w:lang w:val="en-GB" w:eastAsia="en-GB"/>
        </w:rPr>
        <w:t>Linear regression of log wing length of Anisoptera (a)-(d) and Zygoptera (e)-(h) vs. mean autumn (y-1) temperature. Red dots and line represent females and blue dots and lines represent males.</w:t>
      </w:r>
    </w:p>
    <w:p w14:paraId="742030D2" w14:textId="77777777" w:rsidR="0090125D" w:rsidRDefault="00204F1D" w:rsidP="0090125D">
      <w:pPr>
        <w:spacing w:before="240" w:after="240" w:line="480" w:lineRule="auto"/>
        <w:jc w:val="thaiDistribute"/>
        <w:rPr>
          <w:rFonts w:ascii="Times New Roman" w:eastAsia="Times New Roman" w:hAnsi="Times New Roman" w:cs="Times New Roman"/>
          <w:color w:val="000000"/>
          <w:szCs w:val="22"/>
          <w:lang w:val="en-GB" w:eastAsia="en-GB"/>
        </w:rPr>
      </w:pPr>
      <w:r w:rsidRPr="00DC0284">
        <w:rPr>
          <w:rFonts w:ascii="Times New Roman" w:eastAsia="Times New Roman" w:hAnsi="Times New Roman" w:cs="Times New Roman"/>
          <w:b/>
          <w:bCs/>
          <w:color w:val="000000"/>
          <w:szCs w:val="22"/>
          <w:lang w:val="en-GB" w:eastAsia="en-GB"/>
        </w:rPr>
        <w:t>Fig 2:</w:t>
      </w:r>
      <w:r w:rsidRPr="00DC0284">
        <w:rPr>
          <w:rFonts w:ascii="Times New Roman" w:eastAsia="Times New Roman" w:hAnsi="Times New Roman" w:cs="Times New Roman"/>
          <w:color w:val="000000"/>
          <w:szCs w:val="22"/>
          <w:lang w:val="en-GB" w:eastAsia="en-GB"/>
        </w:rPr>
        <w:t xml:space="preserve">  Linear regression of log wing length of Anisoptera (a)-(d) and Zygoptera (e)-(h) vs. mean spring (y0) temperature. Red dots and line represent females and blue dots and lines represent males.</w:t>
      </w:r>
      <w:r w:rsidR="0090125D" w:rsidRPr="00DC0284">
        <w:rPr>
          <w:rFonts w:ascii="Times New Roman" w:eastAsia="Times New Roman" w:hAnsi="Times New Roman" w:cs="Times New Roman"/>
          <w:color w:val="000000"/>
          <w:szCs w:val="22"/>
          <w:lang w:val="en-GB" w:eastAsia="en-GB"/>
        </w:rPr>
        <w:t xml:space="preserve"> </w:t>
      </w:r>
    </w:p>
    <w:p w14:paraId="068C2052" w14:textId="77777777" w:rsidR="0090125D" w:rsidRDefault="00204F1D" w:rsidP="0090125D">
      <w:pPr>
        <w:spacing w:before="240" w:after="240" w:line="480" w:lineRule="auto"/>
        <w:jc w:val="thaiDistribute"/>
        <w:rPr>
          <w:rFonts w:ascii="Times New Roman" w:eastAsia="Times New Roman" w:hAnsi="Times New Roman" w:cs="Times New Roman"/>
          <w:color w:val="000000"/>
          <w:szCs w:val="22"/>
          <w:lang w:val="en-GB" w:eastAsia="en-GB"/>
        </w:rPr>
      </w:pPr>
      <w:r w:rsidRPr="00DC0284">
        <w:rPr>
          <w:rFonts w:ascii="Times New Roman" w:eastAsia="Times New Roman" w:hAnsi="Times New Roman" w:cs="Times New Roman"/>
          <w:b/>
          <w:bCs/>
          <w:color w:val="000000"/>
          <w:szCs w:val="22"/>
          <w:lang w:val="en-GB" w:eastAsia="en-GB"/>
        </w:rPr>
        <w:t>Fig 3:</w:t>
      </w:r>
      <w:r w:rsidRPr="00DC0284">
        <w:rPr>
          <w:rFonts w:ascii="Times New Roman" w:eastAsia="Times New Roman" w:hAnsi="Times New Roman" w:cs="Times New Roman"/>
          <w:color w:val="000000"/>
          <w:szCs w:val="22"/>
          <w:lang w:val="en-GB" w:eastAsia="en-GB"/>
        </w:rPr>
        <w:t xml:space="preserve"> (a) Percentage change in mean wing length per °C of each species plotted against natural log wing length for mean seasonal temperature of the season that is indicated as the best variable for explaining wing length variation of each species (a stepwise regression analysis; Table2). A correlation analysis indicated significant positive correlation between percent change in wing length per degree temperature change and average wing length (as a proxy of body size) (</w:t>
      </w:r>
      <w:r w:rsidRPr="00DC0284">
        <w:rPr>
          <w:rFonts w:ascii="Times New Roman" w:eastAsia="Times New Roman" w:hAnsi="Times New Roman" w:cs="Times New Roman"/>
          <w:i/>
          <w:iCs/>
          <w:color w:val="000000"/>
          <w:szCs w:val="22"/>
          <w:lang w:val="en-GB" w:eastAsia="en-GB"/>
        </w:rPr>
        <w:t>r</w:t>
      </w:r>
      <w:r w:rsidRPr="00DC0284">
        <w:rPr>
          <w:rFonts w:ascii="Times New Roman" w:eastAsia="Times New Roman" w:hAnsi="Times New Roman" w:cs="Times New Roman"/>
          <w:color w:val="000000"/>
          <w:szCs w:val="22"/>
          <w:lang w:val="en-GB" w:eastAsia="en-GB"/>
        </w:rPr>
        <w:t>=0.60, </w:t>
      </w:r>
      <w:r w:rsidRPr="00DC0284">
        <w:rPr>
          <w:rFonts w:ascii="Times New Roman" w:eastAsia="Times New Roman" w:hAnsi="Times New Roman" w:cs="Times New Roman"/>
          <w:i/>
          <w:iCs/>
          <w:color w:val="000000"/>
          <w:szCs w:val="22"/>
          <w:lang w:val="en-GB" w:eastAsia="en-GB"/>
        </w:rPr>
        <w:t>p</w:t>
      </w:r>
      <w:r w:rsidRPr="00DC0284">
        <w:rPr>
          <w:rFonts w:ascii="Times New Roman" w:eastAsia="Times New Roman" w:hAnsi="Times New Roman" w:cs="Times New Roman"/>
          <w:color w:val="000000"/>
          <w:szCs w:val="22"/>
          <w:lang w:val="en-GB" w:eastAsia="en-GB"/>
        </w:rPr>
        <w:t>&lt;0.05). (b) Percentage change in mean wing length per °C change of Anisoptera and Zygoptera. A t-test indicated significant difference of percent change in wing length between Anisoptera (x ̅ = 0.39) and Zygoptera (x ̅ = -1.10) (</w:t>
      </w:r>
      <w:r w:rsidRPr="00DC0284">
        <w:rPr>
          <w:rFonts w:ascii="Times New Roman" w:eastAsia="Times New Roman" w:hAnsi="Times New Roman" w:cs="Times New Roman"/>
          <w:i/>
          <w:iCs/>
          <w:color w:val="000000"/>
          <w:szCs w:val="22"/>
          <w:lang w:val="en-GB" w:eastAsia="en-GB"/>
        </w:rPr>
        <w:t>p</w:t>
      </w:r>
      <w:r w:rsidRPr="00DC0284">
        <w:rPr>
          <w:rFonts w:ascii="Times New Roman" w:eastAsia="Times New Roman" w:hAnsi="Times New Roman" w:cs="Times New Roman"/>
          <w:color w:val="000000"/>
          <w:szCs w:val="22"/>
          <w:lang w:val="en-GB" w:eastAsia="en-GB"/>
        </w:rPr>
        <w:t xml:space="preserve">&lt;0.01). </w:t>
      </w:r>
    </w:p>
    <w:p w14:paraId="3F9D3D14" w14:textId="2652A98F" w:rsidR="00DC0284" w:rsidRPr="00DC0284" w:rsidRDefault="0090125D" w:rsidP="0090125D">
      <w:pPr>
        <w:spacing w:before="240" w:after="240" w:line="480" w:lineRule="auto"/>
        <w:jc w:val="thaiDistribute"/>
        <w:rPr>
          <w:rFonts w:ascii="Times New Roman" w:eastAsia="Times New Roman" w:hAnsi="Times New Roman" w:cs="Times New Roman"/>
          <w:szCs w:val="22"/>
          <w:lang w:val="en-GB" w:eastAsia="en-GB"/>
        </w:rPr>
      </w:pPr>
      <w:r w:rsidRPr="00DC0284">
        <w:rPr>
          <w:rFonts w:ascii="Times New Roman" w:eastAsia="Times New Roman" w:hAnsi="Times New Roman" w:cs="Times New Roman"/>
          <w:b/>
          <w:bCs/>
          <w:color w:val="000000"/>
          <w:szCs w:val="22"/>
          <w:lang w:val="en-GB" w:eastAsia="en-GB"/>
        </w:rPr>
        <w:t>Fig 4</w:t>
      </w:r>
      <w:r w:rsidR="00916BE0" w:rsidRPr="00916BE0">
        <w:rPr>
          <w:rFonts w:ascii="Times New Roman" w:eastAsia="Times New Roman" w:hAnsi="Times New Roman" w:cs="Times New Roman"/>
          <w:b/>
          <w:bCs/>
          <w:color w:val="000000"/>
          <w:szCs w:val="22"/>
          <w:lang w:val="en-GB" w:eastAsia="en-GB"/>
        </w:rPr>
        <w:t>:</w:t>
      </w:r>
      <w:r w:rsidRPr="00DC0284">
        <w:rPr>
          <w:rFonts w:ascii="Times New Roman" w:eastAsia="Times New Roman" w:hAnsi="Times New Roman" w:cs="Times New Roman"/>
          <w:color w:val="000000"/>
          <w:szCs w:val="22"/>
          <w:lang w:val="en-GB" w:eastAsia="en-GB"/>
        </w:rPr>
        <w:t xml:space="preserve"> Linear regressions of hindwing lengths and collecting date (as a proxy of emergence date) of (a) Anisoptera and (b) Zygoptera. Significant results indicated by *** (</w:t>
      </w:r>
      <w:r w:rsidRPr="00DC0284">
        <w:rPr>
          <w:rFonts w:ascii="Times New Roman" w:eastAsia="Times New Roman" w:hAnsi="Times New Roman" w:cs="Times New Roman"/>
          <w:i/>
          <w:iCs/>
          <w:color w:val="000000"/>
          <w:szCs w:val="22"/>
          <w:lang w:val="en-GB" w:eastAsia="en-GB"/>
        </w:rPr>
        <w:t>p</w:t>
      </w:r>
      <w:r w:rsidRPr="00DC0284">
        <w:rPr>
          <w:rFonts w:ascii="Times New Roman" w:eastAsia="Times New Roman" w:hAnsi="Times New Roman" w:cs="Times New Roman"/>
          <w:color w:val="000000"/>
          <w:szCs w:val="22"/>
          <w:lang w:val="en-GB" w:eastAsia="en-GB"/>
        </w:rPr>
        <w:t>&lt;0.001) and * (</w:t>
      </w:r>
      <w:r w:rsidRPr="00DC0284">
        <w:rPr>
          <w:rFonts w:ascii="Times New Roman" w:eastAsia="Times New Roman" w:hAnsi="Times New Roman" w:cs="Times New Roman"/>
          <w:i/>
          <w:iCs/>
          <w:color w:val="000000"/>
          <w:szCs w:val="22"/>
          <w:lang w:val="en-GB" w:eastAsia="en-GB"/>
        </w:rPr>
        <w:t>p</w:t>
      </w:r>
      <w:r w:rsidRPr="00DC0284">
        <w:rPr>
          <w:rFonts w:ascii="Times New Roman" w:eastAsia="Times New Roman" w:hAnsi="Times New Roman" w:cs="Times New Roman"/>
          <w:color w:val="000000"/>
          <w:szCs w:val="22"/>
          <w:lang w:val="en-GB" w:eastAsia="en-GB"/>
        </w:rPr>
        <w:t>&lt;0.05).</w:t>
      </w:r>
    </w:p>
    <w:p w14:paraId="0DBB83E8" w14:textId="77777777" w:rsidR="00DC0284" w:rsidRPr="00DC0284" w:rsidRDefault="00DC0284" w:rsidP="0090125D">
      <w:pPr>
        <w:spacing w:after="0" w:line="480" w:lineRule="auto"/>
        <w:jc w:val="thaiDistribute"/>
        <w:rPr>
          <w:rFonts w:ascii="Times New Roman" w:eastAsia="Times New Roman" w:hAnsi="Times New Roman" w:cs="Times New Roman"/>
          <w:szCs w:val="22"/>
          <w:lang w:val="en-GB" w:eastAsia="en-GB"/>
        </w:rPr>
      </w:pPr>
    </w:p>
    <w:p w14:paraId="57303839" w14:textId="0E2B9309" w:rsidR="00DC0284" w:rsidRPr="00DC0284" w:rsidRDefault="00DC0284" w:rsidP="00DC0284">
      <w:pPr>
        <w:rPr>
          <w:lang w:val="en-GB"/>
        </w:rPr>
        <w:sectPr w:rsidR="00DC0284" w:rsidRPr="00DC0284" w:rsidSect="00916BE0">
          <w:pgSz w:w="12240" w:h="15840"/>
          <w:pgMar w:top="1440" w:right="2880" w:bottom="1440" w:left="2880" w:header="720" w:footer="720" w:gutter="0"/>
          <w:cols w:space="720"/>
          <w:docGrid w:linePitch="360"/>
        </w:sectPr>
      </w:pPr>
    </w:p>
    <w:p w14:paraId="03E70C9C" w14:textId="65013502" w:rsidR="002B4534" w:rsidRDefault="002B4534" w:rsidP="00983E17">
      <w:pPr>
        <w:pStyle w:val="Caption"/>
        <w:keepNext/>
        <w:spacing w:line="360" w:lineRule="auto"/>
        <w:jc w:val="thaiDistribute"/>
        <w:rPr>
          <w:rFonts w:ascii="Times New Roman" w:hAnsi="Times New Roman" w:cs="Times New Roman"/>
          <w:b/>
          <w:bCs/>
          <w:i w:val="0"/>
          <w:iCs w:val="0"/>
          <w:color w:val="000000" w:themeColor="text1"/>
          <w:sz w:val="22"/>
          <w:bdr w:val="none" w:sz="0" w:space="0" w:color="auto" w:frame="1"/>
        </w:rPr>
      </w:pPr>
      <w:r>
        <w:rPr>
          <w:rFonts w:ascii="Times New Roman" w:hAnsi="Times New Roman" w:cs="Times New Roman"/>
          <w:b/>
          <w:bCs/>
          <w:i w:val="0"/>
          <w:iCs w:val="0"/>
          <w:color w:val="000000" w:themeColor="text1"/>
          <w:sz w:val="22"/>
          <w:bdr w:val="none" w:sz="0" w:space="0" w:color="auto" w:frame="1"/>
        </w:rPr>
        <w:lastRenderedPageBreak/>
        <w:t xml:space="preserve">Fig 1. </w:t>
      </w:r>
    </w:p>
    <w:p w14:paraId="7A5B69F6" w14:textId="460B275F" w:rsidR="002B4534" w:rsidRPr="002B4534" w:rsidRDefault="002B4534" w:rsidP="002B4534">
      <w:r>
        <w:rPr>
          <w:noProof/>
        </w:rPr>
        <w:drawing>
          <wp:inline distT="0" distB="0" distL="0" distR="0" wp14:anchorId="34F24FAA" wp14:editId="0CA78EA8">
            <wp:extent cx="5943600" cy="47212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721225"/>
                    </a:xfrm>
                    <a:prstGeom prst="rect">
                      <a:avLst/>
                    </a:prstGeom>
                  </pic:spPr>
                </pic:pic>
              </a:graphicData>
            </a:graphic>
          </wp:inline>
        </w:drawing>
      </w:r>
    </w:p>
    <w:p w14:paraId="2CD1E78A" w14:textId="77777777" w:rsidR="002B4534" w:rsidRDefault="002B4534">
      <w:pPr>
        <w:rPr>
          <w:rFonts w:ascii="Times New Roman" w:hAnsi="Times New Roman" w:cs="Times New Roman"/>
          <w:b/>
          <w:bCs/>
          <w:i/>
          <w:iCs/>
          <w:color w:val="000000" w:themeColor="text1"/>
          <w:bdr w:val="none" w:sz="0" w:space="0" w:color="auto" w:frame="1"/>
        </w:rPr>
      </w:pPr>
    </w:p>
    <w:p w14:paraId="6D234169" w14:textId="77777777" w:rsidR="002B4534" w:rsidRDefault="002B4534">
      <w:pPr>
        <w:rPr>
          <w:rFonts w:ascii="Times New Roman" w:hAnsi="Times New Roman" w:cs="Times New Roman"/>
          <w:b/>
          <w:bCs/>
          <w:i/>
          <w:iCs/>
          <w:color w:val="000000" w:themeColor="text1"/>
          <w:bdr w:val="none" w:sz="0" w:space="0" w:color="auto" w:frame="1"/>
        </w:rPr>
      </w:pPr>
    </w:p>
    <w:p w14:paraId="2E92C798" w14:textId="77777777" w:rsidR="002B4534" w:rsidRDefault="002B4534">
      <w:pPr>
        <w:rPr>
          <w:rFonts w:ascii="Times New Roman" w:hAnsi="Times New Roman" w:cs="Times New Roman"/>
          <w:b/>
          <w:bCs/>
          <w:iCs/>
          <w:color w:val="000000" w:themeColor="text1"/>
          <w:bdr w:val="none" w:sz="0" w:space="0" w:color="auto" w:frame="1"/>
        </w:rPr>
      </w:pPr>
    </w:p>
    <w:p w14:paraId="261E837F" w14:textId="77777777" w:rsidR="002B4534" w:rsidRDefault="002B4534">
      <w:pPr>
        <w:rPr>
          <w:rFonts w:ascii="Times New Roman" w:hAnsi="Times New Roman" w:cs="Times New Roman"/>
          <w:b/>
          <w:bCs/>
          <w:iCs/>
          <w:color w:val="000000" w:themeColor="text1"/>
          <w:bdr w:val="none" w:sz="0" w:space="0" w:color="auto" w:frame="1"/>
        </w:rPr>
      </w:pPr>
    </w:p>
    <w:p w14:paraId="60635CD0" w14:textId="77777777" w:rsidR="002B4534" w:rsidRDefault="002B4534">
      <w:pPr>
        <w:rPr>
          <w:rFonts w:ascii="Times New Roman" w:hAnsi="Times New Roman" w:cs="Times New Roman"/>
          <w:b/>
          <w:bCs/>
          <w:iCs/>
          <w:color w:val="000000" w:themeColor="text1"/>
          <w:bdr w:val="none" w:sz="0" w:space="0" w:color="auto" w:frame="1"/>
        </w:rPr>
      </w:pPr>
    </w:p>
    <w:p w14:paraId="32BE2BF3" w14:textId="77777777" w:rsidR="002B4534" w:rsidRDefault="002B4534">
      <w:pPr>
        <w:rPr>
          <w:rFonts w:ascii="Times New Roman" w:hAnsi="Times New Roman" w:cs="Times New Roman"/>
          <w:b/>
          <w:bCs/>
          <w:iCs/>
          <w:color w:val="000000" w:themeColor="text1"/>
          <w:bdr w:val="none" w:sz="0" w:space="0" w:color="auto" w:frame="1"/>
        </w:rPr>
      </w:pPr>
    </w:p>
    <w:p w14:paraId="1BFBA025" w14:textId="77777777" w:rsidR="002B4534" w:rsidRDefault="002B4534">
      <w:pPr>
        <w:rPr>
          <w:rFonts w:ascii="Times New Roman" w:hAnsi="Times New Roman" w:cs="Times New Roman"/>
          <w:b/>
          <w:bCs/>
          <w:iCs/>
          <w:color w:val="000000" w:themeColor="text1"/>
          <w:bdr w:val="none" w:sz="0" w:space="0" w:color="auto" w:frame="1"/>
        </w:rPr>
      </w:pPr>
    </w:p>
    <w:p w14:paraId="45FF94A9" w14:textId="77777777" w:rsidR="002B4534" w:rsidRDefault="002B4534">
      <w:pPr>
        <w:rPr>
          <w:rFonts w:ascii="Times New Roman" w:hAnsi="Times New Roman" w:cs="Times New Roman"/>
          <w:b/>
          <w:bCs/>
          <w:iCs/>
          <w:color w:val="000000" w:themeColor="text1"/>
          <w:bdr w:val="none" w:sz="0" w:space="0" w:color="auto" w:frame="1"/>
        </w:rPr>
      </w:pPr>
    </w:p>
    <w:p w14:paraId="34FE978E" w14:textId="77777777" w:rsidR="002B4534" w:rsidRDefault="002B4534">
      <w:pPr>
        <w:rPr>
          <w:rFonts w:ascii="Times New Roman" w:hAnsi="Times New Roman" w:cs="Times New Roman"/>
          <w:b/>
          <w:bCs/>
          <w:iCs/>
          <w:color w:val="000000" w:themeColor="text1"/>
          <w:bdr w:val="none" w:sz="0" w:space="0" w:color="auto" w:frame="1"/>
        </w:rPr>
      </w:pPr>
    </w:p>
    <w:p w14:paraId="413EB97A" w14:textId="77777777" w:rsidR="002B4534" w:rsidRDefault="002B4534">
      <w:pPr>
        <w:rPr>
          <w:rFonts w:ascii="Times New Roman" w:hAnsi="Times New Roman" w:cs="Times New Roman"/>
          <w:b/>
          <w:bCs/>
          <w:iCs/>
          <w:color w:val="000000" w:themeColor="text1"/>
          <w:bdr w:val="none" w:sz="0" w:space="0" w:color="auto" w:frame="1"/>
        </w:rPr>
      </w:pPr>
    </w:p>
    <w:p w14:paraId="25174800" w14:textId="77777777" w:rsidR="002B4534" w:rsidRDefault="002B4534">
      <w:pPr>
        <w:rPr>
          <w:rFonts w:ascii="Times New Roman" w:hAnsi="Times New Roman" w:cs="Times New Roman"/>
          <w:b/>
          <w:bCs/>
          <w:iCs/>
          <w:color w:val="000000" w:themeColor="text1"/>
          <w:bdr w:val="none" w:sz="0" w:space="0" w:color="auto" w:frame="1"/>
        </w:rPr>
      </w:pPr>
    </w:p>
    <w:p w14:paraId="02E3C0E0" w14:textId="41A345E7" w:rsidR="002B4534" w:rsidRDefault="002B4534">
      <w:pPr>
        <w:rPr>
          <w:rFonts w:ascii="Times New Roman" w:hAnsi="Times New Roman" w:cs="Times New Roman"/>
          <w:b/>
          <w:bCs/>
          <w:iCs/>
          <w:color w:val="000000" w:themeColor="text1"/>
          <w:bdr w:val="none" w:sz="0" w:space="0" w:color="auto" w:frame="1"/>
        </w:rPr>
      </w:pPr>
      <w:r>
        <w:rPr>
          <w:rFonts w:ascii="Times New Roman" w:hAnsi="Times New Roman" w:cs="Times New Roman"/>
          <w:b/>
          <w:bCs/>
          <w:iCs/>
          <w:color w:val="000000" w:themeColor="text1"/>
          <w:bdr w:val="none" w:sz="0" w:space="0" w:color="auto" w:frame="1"/>
        </w:rPr>
        <w:lastRenderedPageBreak/>
        <w:t>Fig 2.</w:t>
      </w:r>
    </w:p>
    <w:p w14:paraId="5722190A" w14:textId="77777777" w:rsidR="002B4534" w:rsidRDefault="002B4534">
      <w:pPr>
        <w:rPr>
          <w:rFonts w:ascii="Times New Roman" w:hAnsi="Times New Roman" w:cs="Times New Roman"/>
          <w:b/>
          <w:bCs/>
          <w:i/>
          <w:iCs/>
          <w:color w:val="000000" w:themeColor="text1"/>
          <w:bdr w:val="none" w:sz="0" w:space="0" w:color="auto" w:frame="1"/>
        </w:rPr>
      </w:pPr>
      <w:r>
        <w:rPr>
          <w:rFonts w:ascii="Times New Roman" w:hAnsi="Times New Roman" w:cs="Times New Roman"/>
          <w:b/>
          <w:bCs/>
          <w:i/>
          <w:iCs/>
          <w:noProof/>
          <w:color w:val="000000" w:themeColor="text1"/>
          <w:bdr w:val="none" w:sz="0" w:space="0" w:color="auto" w:frame="1"/>
        </w:rPr>
        <w:drawing>
          <wp:inline distT="0" distB="0" distL="0" distR="0" wp14:anchorId="491A37B5" wp14:editId="3EE81FF8">
            <wp:extent cx="5943600" cy="46520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652010"/>
                    </a:xfrm>
                    <a:prstGeom prst="rect">
                      <a:avLst/>
                    </a:prstGeom>
                  </pic:spPr>
                </pic:pic>
              </a:graphicData>
            </a:graphic>
          </wp:inline>
        </w:drawing>
      </w:r>
    </w:p>
    <w:p w14:paraId="4C9AF714" w14:textId="77777777" w:rsidR="002B4534" w:rsidRDefault="002B4534">
      <w:pPr>
        <w:rPr>
          <w:rFonts w:ascii="Times New Roman" w:hAnsi="Times New Roman" w:cs="Times New Roman"/>
          <w:b/>
          <w:bCs/>
          <w:i/>
          <w:iCs/>
          <w:color w:val="000000" w:themeColor="text1"/>
          <w:bdr w:val="none" w:sz="0" w:space="0" w:color="auto" w:frame="1"/>
        </w:rPr>
      </w:pPr>
    </w:p>
    <w:p w14:paraId="21FB56E1" w14:textId="77777777" w:rsidR="002B4534" w:rsidRDefault="002B4534">
      <w:pPr>
        <w:rPr>
          <w:rFonts w:ascii="Times New Roman" w:hAnsi="Times New Roman" w:cs="Times New Roman"/>
          <w:b/>
          <w:bCs/>
          <w:i/>
          <w:iCs/>
          <w:color w:val="000000" w:themeColor="text1"/>
          <w:bdr w:val="none" w:sz="0" w:space="0" w:color="auto" w:frame="1"/>
        </w:rPr>
      </w:pPr>
    </w:p>
    <w:p w14:paraId="46B0E8C1" w14:textId="77777777" w:rsidR="002B4534" w:rsidRDefault="002B4534">
      <w:pPr>
        <w:rPr>
          <w:rFonts w:ascii="Times New Roman" w:hAnsi="Times New Roman" w:cs="Times New Roman"/>
          <w:b/>
          <w:bCs/>
          <w:i/>
          <w:iCs/>
          <w:color w:val="000000" w:themeColor="text1"/>
          <w:bdr w:val="none" w:sz="0" w:space="0" w:color="auto" w:frame="1"/>
        </w:rPr>
      </w:pPr>
    </w:p>
    <w:p w14:paraId="21285342" w14:textId="77777777" w:rsidR="002B4534" w:rsidRDefault="002B4534">
      <w:pPr>
        <w:rPr>
          <w:rFonts w:ascii="Times New Roman" w:hAnsi="Times New Roman" w:cs="Times New Roman"/>
          <w:b/>
          <w:bCs/>
          <w:iCs/>
          <w:color w:val="000000" w:themeColor="text1"/>
          <w:bdr w:val="none" w:sz="0" w:space="0" w:color="auto" w:frame="1"/>
        </w:rPr>
      </w:pPr>
    </w:p>
    <w:p w14:paraId="084B52B4" w14:textId="77777777" w:rsidR="002B4534" w:rsidRDefault="002B4534">
      <w:pPr>
        <w:rPr>
          <w:rFonts w:ascii="Times New Roman" w:hAnsi="Times New Roman" w:cs="Times New Roman"/>
          <w:b/>
          <w:bCs/>
          <w:iCs/>
          <w:color w:val="000000" w:themeColor="text1"/>
          <w:bdr w:val="none" w:sz="0" w:space="0" w:color="auto" w:frame="1"/>
        </w:rPr>
      </w:pPr>
    </w:p>
    <w:p w14:paraId="2942CF05" w14:textId="77777777" w:rsidR="002B4534" w:rsidRDefault="002B4534">
      <w:pPr>
        <w:rPr>
          <w:rFonts w:ascii="Times New Roman" w:hAnsi="Times New Roman" w:cs="Times New Roman"/>
          <w:b/>
          <w:bCs/>
          <w:iCs/>
          <w:color w:val="000000" w:themeColor="text1"/>
          <w:bdr w:val="none" w:sz="0" w:space="0" w:color="auto" w:frame="1"/>
        </w:rPr>
      </w:pPr>
    </w:p>
    <w:p w14:paraId="1AAFD641" w14:textId="77777777" w:rsidR="002B4534" w:rsidRDefault="002B4534">
      <w:pPr>
        <w:rPr>
          <w:rFonts w:ascii="Times New Roman" w:hAnsi="Times New Roman" w:cs="Times New Roman"/>
          <w:b/>
          <w:bCs/>
          <w:iCs/>
          <w:color w:val="000000" w:themeColor="text1"/>
          <w:bdr w:val="none" w:sz="0" w:space="0" w:color="auto" w:frame="1"/>
        </w:rPr>
      </w:pPr>
    </w:p>
    <w:p w14:paraId="3549D6B2" w14:textId="77777777" w:rsidR="002B4534" w:rsidRDefault="002B4534">
      <w:pPr>
        <w:rPr>
          <w:rFonts w:ascii="Times New Roman" w:hAnsi="Times New Roman" w:cs="Times New Roman"/>
          <w:b/>
          <w:bCs/>
          <w:iCs/>
          <w:color w:val="000000" w:themeColor="text1"/>
          <w:bdr w:val="none" w:sz="0" w:space="0" w:color="auto" w:frame="1"/>
        </w:rPr>
      </w:pPr>
    </w:p>
    <w:p w14:paraId="5A0C1DE5" w14:textId="77777777" w:rsidR="002B4534" w:rsidRDefault="002B4534">
      <w:pPr>
        <w:rPr>
          <w:rFonts w:ascii="Times New Roman" w:hAnsi="Times New Roman" w:cs="Times New Roman"/>
          <w:b/>
          <w:bCs/>
          <w:iCs/>
          <w:color w:val="000000" w:themeColor="text1"/>
          <w:bdr w:val="none" w:sz="0" w:space="0" w:color="auto" w:frame="1"/>
        </w:rPr>
      </w:pPr>
    </w:p>
    <w:p w14:paraId="47FC34D9" w14:textId="77777777" w:rsidR="002B4534" w:rsidRDefault="002B4534">
      <w:pPr>
        <w:rPr>
          <w:rFonts w:ascii="Times New Roman" w:hAnsi="Times New Roman" w:cs="Times New Roman"/>
          <w:b/>
          <w:bCs/>
          <w:iCs/>
          <w:color w:val="000000" w:themeColor="text1"/>
          <w:bdr w:val="none" w:sz="0" w:space="0" w:color="auto" w:frame="1"/>
        </w:rPr>
      </w:pPr>
    </w:p>
    <w:p w14:paraId="3A1B50DD" w14:textId="77777777" w:rsidR="002B4534" w:rsidRDefault="002B4534">
      <w:pPr>
        <w:rPr>
          <w:rFonts w:ascii="Times New Roman" w:hAnsi="Times New Roman" w:cs="Times New Roman"/>
          <w:b/>
          <w:bCs/>
          <w:iCs/>
          <w:color w:val="000000" w:themeColor="text1"/>
          <w:bdr w:val="none" w:sz="0" w:space="0" w:color="auto" w:frame="1"/>
        </w:rPr>
      </w:pPr>
    </w:p>
    <w:p w14:paraId="46980AFD" w14:textId="77777777" w:rsidR="002B4534" w:rsidRDefault="002B4534">
      <w:pPr>
        <w:rPr>
          <w:rFonts w:ascii="Times New Roman" w:hAnsi="Times New Roman" w:cs="Times New Roman"/>
          <w:b/>
          <w:bCs/>
          <w:iCs/>
          <w:color w:val="000000" w:themeColor="text1"/>
          <w:bdr w:val="none" w:sz="0" w:space="0" w:color="auto" w:frame="1"/>
        </w:rPr>
      </w:pPr>
    </w:p>
    <w:p w14:paraId="120C907E" w14:textId="44FA04D4" w:rsidR="002B4534" w:rsidRDefault="002B4534">
      <w:pPr>
        <w:rPr>
          <w:rFonts w:ascii="Times New Roman" w:hAnsi="Times New Roman" w:cs="Times New Roman"/>
          <w:b/>
          <w:bCs/>
          <w:iCs/>
          <w:color w:val="000000" w:themeColor="text1"/>
          <w:bdr w:val="none" w:sz="0" w:space="0" w:color="auto" w:frame="1"/>
        </w:rPr>
      </w:pPr>
      <w:r>
        <w:rPr>
          <w:rFonts w:ascii="Times New Roman" w:hAnsi="Times New Roman" w:cs="Times New Roman"/>
          <w:b/>
          <w:bCs/>
          <w:iCs/>
          <w:color w:val="000000" w:themeColor="text1"/>
          <w:bdr w:val="none" w:sz="0" w:space="0" w:color="auto" w:frame="1"/>
        </w:rPr>
        <w:lastRenderedPageBreak/>
        <w:t xml:space="preserve">Fig 3. </w:t>
      </w:r>
    </w:p>
    <w:p w14:paraId="7DDE97E5" w14:textId="4E6FD9D0" w:rsidR="002B4534" w:rsidRPr="002B4534" w:rsidRDefault="002B4534">
      <w:pPr>
        <w:rPr>
          <w:rFonts w:ascii="Times New Roman" w:hAnsi="Times New Roman" w:cs="Times New Roman"/>
          <w:bCs/>
          <w:iCs/>
          <w:color w:val="000000" w:themeColor="text1"/>
          <w:bdr w:val="none" w:sz="0" w:space="0" w:color="auto" w:frame="1"/>
        </w:rPr>
      </w:pPr>
      <w:r>
        <w:rPr>
          <w:rFonts w:ascii="Times New Roman" w:hAnsi="Times New Roman" w:cs="Times New Roman"/>
          <w:bCs/>
          <w:iCs/>
          <w:noProof/>
          <w:color w:val="000000" w:themeColor="text1"/>
          <w:bdr w:val="none" w:sz="0" w:space="0" w:color="auto" w:frame="1"/>
        </w:rPr>
        <w:drawing>
          <wp:inline distT="0" distB="0" distL="0" distR="0" wp14:anchorId="3403D5AF" wp14:editId="63FE3AD6">
            <wp:extent cx="5943600" cy="27825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782570"/>
                    </a:xfrm>
                    <a:prstGeom prst="rect">
                      <a:avLst/>
                    </a:prstGeom>
                  </pic:spPr>
                </pic:pic>
              </a:graphicData>
            </a:graphic>
          </wp:inline>
        </w:drawing>
      </w:r>
    </w:p>
    <w:p w14:paraId="507B73ED" w14:textId="77777777" w:rsidR="002B4534" w:rsidRDefault="002B4534">
      <w:pPr>
        <w:rPr>
          <w:rFonts w:ascii="Times New Roman" w:hAnsi="Times New Roman" w:cs="Times New Roman"/>
          <w:b/>
          <w:bCs/>
          <w:i/>
          <w:iCs/>
          <w:color w:val="000000" w:themeColor="text1"/>
          <w:bdr w:val="none" w:sz="0" w:space="0" w:color="auto" w:frame="1"/>
        </w:rPr>
      </w:pPr>
    </w:p>
    <w:p w14:paraId="3C895434" w14:textId="77777777" w:rsidR="002B4534" w:rsidRDefault="002B4534">
      <w:pPr>
        <w:rPr>
          <w:rFonts w:ascii="Times New Roman" w:hAnsi="Times New Roman" w:cs="Times New Roman"/>
          <w:b/>
          <w:bCs/>
          <w:iCs/>
          <w:color w:val="000000" w:themeColor="text1"/>
          <w:bdr w:val="none" w:sz="0" w:space="0" w:color="auto" w:frame="1"/>
        </w:rPr>
      </w:pPr>
      <w:r>
        <w:rPr>
          <w:rFonts w:ascii="Times New Roman" w:hAnsi="Times New Roman" w:cs="Times New Roman"/>
          <w:b/>
          <w:bCs/>
          <w:iCs/>
          <w:color w:val="000000" w:themeColor="text1"/>
          <w:bdr w:val="none" w:sz="0" w:space="0" w:color="auto" w:frame="1"/>
        </w:rPr>
        <w:t xml:space="preserve">Fig 4. </w:t>
      </w:r>
    </w:p>
    <w:p w14:paraId="18A3A1F0" w14:textId="150449E3" w:rsidR="002B4534" w:rsidRPr="002B4534" w:rsidRDefault="002B4534">
      <w:pPr>
        <w:rPr>
          <w:rFonts w:ascii="Times New Roman" w:hAnsi="Times New Roman" w:cs="Times New Roman"/>
          <w:bCs/>
          <w:iCs/>
          <w:color w:val="000000" w:themeColor="text1"/>
          <w:bdr w:val="none" w:sz="0" w:space="0" w:color="auto" w:frame="1"/>
        </w:rPr>
      </w:pPr>
      <w:r>
        <w:rPr>
          <w:rFonts w:ascii="Times New Roman" w:hAnsi="Times New Roman" w:cs="Times New Roman"/>
          <w:bCs/>
          <w:iCs/>
          <w:noProof/>
          <w:color w:val="000000" w:themeColor="text1"/>
          <w:bdr w:val="none" w:sz="0" w:space="0" w:color="auto" w:frame="1"/>
        </w:rPr>
        <w:drawing>
          <wp:inline distT="0" distB="0" distL="0" distR="0" wp14:anchorId="60934F99" wp14:editId="7C86B6CB">
            <wp:extent cx="5943600" cy="28206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820670"/>
                    </a:xfrm>
                    <a:prstGeom prst="rect">
                      <a:avLst/>
                    </a:prstGeom>
                  </pic:spPr>
                </pic:pic>
              </a:graphicData>
            </a:graphic>
          </wp:inline>
        </w:drawing>
      </w:r>
    </w:p>
    <w:p w14:paraId="79F37B99" w14:textId="77777777" w:rsidR="002B4534" w:rsidRDefault="002B4534">
      <w:pPr>
        <w:rPr>
          <w:rFonts w:ascii="Times New Roman" w:hAnsi="Times New Roman" w:cs="Times New Roman"/>
          <w:b/>
          <w:bCs/>
          <w:i/>
          <w:iCs/>
          <w:color w:val="000000" w:themeColor="text1"/>
          <w:bdr w:val="none" w:sz="0" w:space="0" w:color="auto" w:frame="1"/>
        </w:rPr>
      </w:pPr>
    </w:p>
    <w:p w14:paraId="6BFCA15E" w14:textId="588824AA" w:rsidR="002B4534" w:rsidRDefault="002B4534">
      <w:pPr>
        <w:rPr>
          <w:rFonts w:ascii="Times New Roman" w:hAnsi="Times New Roman" w:cs="Times New Roman"/>
          <w:b/>
          <w:bCs/>
          <w:i/>
          <w:iCs/>
          <w:color w:val="000000" w:themeColor="text1"/>
          <w:bdr w:val="none" w:sz="0" w:space="0" w:color="auto" w:frame="1"/>
        </w:rPr>
      </w:pPr>
      <w:r>
        <w:rPr>
          <w:rFonts w:ascii="Times New Roman" w:hAnsi="Times New Roman" w:cs="Times New Roman"/>
          <w:b/>
          <w:bCs/>
          <w:i/>
          <w:iCs/>
          <w:color w:val="000000" w:themeColor="text1"/>
          <w:bdr w:val="none" w:sz="0" w:space="0" w:color="auto" w:frame="1"/>
        </w:rPr>
        <w:br w:type="page"/>
      </w:r>
    </w:p>
    <w:p w14:paraId="26AA9B4E" w14:textId="77777777" w:rsidR="002B4534" w:rsidRDefault="002B4534">
      <w:pPr>
        <w:rPr>
          <w:rFonts w:ascii="Times New Roman" w:hAnsi="Times New Roman" w:cs="Times New Roman"/>
          <w:b/>
          <w:bCs/>
          <w:color w:val="000000" w:themeColor="text1"/>
          <w:szCs w:val="22"/>
          <w:bdr w:val="none" w:sz="0" w:space="0" w:color="auto" w:frame="1"/>
        </w:rPr>
      </w:pPr>
    </w:p>
    <w:tbl>
      <w:tblPr>
        <w:tblStyle w:val="TableGrid"/>
        <w:tblpPr w:leftFromText="180" w:rightFromText="180" w:vertAnchor="page" w:horzAnchor="margin" w:tblpY="3312"/>
        <w:tblW w:w="9341" w:type="dxa"/>
        <w:tblInd w:w="0" w:type="dxa"/>
        <w:tblLayout w:type="fixed"/>
        <w:tblLook w:val="04A0" w:firstRow="1" w:lastRow="0" w:firstColumn="1" w:lastColumn="0" w:noHBand="0" w:noVBand="1"/>
      </w:tblPr>
      <w:tblGrid>
        <w:gridCol w:w="445"/>
        <w:gridCol w:w="2430"/>
        <w:gridCol w:w="810"/>
        <w:gridCol w:w="1696"/>
        <w:gridCol w:w="1252"/>
        <w:gridCol w:w="2708"/>
      </w:tblGrid>
      <w:tr w:rsidR="002B4534" w:rsidRPr="00CB10DF" w14:paraId="208817D8" w14:textId="77777777" w:rsidTr="002B4534">
        <w:tc>
          <w:tcPr>
            <w:tcW w:w="445" w:type="dxa"/>
            <w:tcBorders>
              <w:top w:val="single" w:sz="4" w:space="0" w:color="FFFFFF" w:themeColor="background1"/>
              <w:left w:val="single" w:sz="4" w:space="0" w:color="FFFFFF" w:themeColor="background1"/>
            </w:tcBorders>
          </w:tcPr>
          <w:p w14:paraId="7D2E81AC" w14:textId="77777777" w:rsidR="002B4534" w:rsidRPr="00CB10DF" w:rsidRDefault="002B4534" w:rsidP="002B4534">
            <w:pPr>
              <w:pStyle w:val="NoSpacing"/>
              <w:spacing w:line="360" w:lineRule="auto"/>
              <w:jc w:val="thaiDistribute"/>
              <w:rPr>
                <w:rFonts w:ascii="Times New Roman" w:hAnsi="Times New Roman" w:cs="Times New Roman"/>
                <w:color w:val="000000" w:themeColor="text1"/>
                <w:szCs w:val="22"/>
                <w:bdr w:val="none" w:sz="0" w:space="0" w:color="auto" w:frame="1"/>
              </w:rPr>
            </w:pPr>
          </w:p>
        </w:tc>
        <w:tc>
          <w:tcPr>
            <w:tcW w:w="2430" w:type="dxa"/>
            <w:vAlign w:val="center"/>
          </w:tcPr>
          <w:p w14:paraId="7C31A2B6" w14:textId="77777777" w:rsidR="002B4534" w:rsidRPr="00CB10DF" w:rsidRDefault="002B4534" w:rsidP="002B4534">
            <w:pPr>
              <w:pStyle w:val="NoSpacing"/>
              <w:spacing w:line="276" w:lineRule="auto"/>
              <w:jc w:val="center"/>
              <w:rPr>
                <w:rFonts w:ascii="Times New Roman" w:hAnsi="Times New Roman" w:cs="Times New Roman"/>
                <w:b/>
                <w:bCs/>
                <w:color w:val="000000" w:themeColor="text1"/>
                <w:szCs w:val="22"/>
                <w:bdr w:val="none" w:sz="0" w:space="0" w:color="auto" w:frame="1"/>
              </w:rPr>
            </w:pPr>
            <w:r w:rsidRPr="00CB10DF">
              <w:rPr>
                <w:rFonts w:ascii="Times New Roman" w:hAnsi="Times New Roman" w:cs="Times New Roman"/>
                <w:b/>
                <w:bCs/>
                <w:color w:val="000000" w:themeColor="text1"/>
                <w:szCs w:val="22"/>
                <w:bdr w:val="none" w:sz="0" w:space="0" w:color="auto" w:frame="1"/>
              </w:rPr>
              <w:t>Species</w:t>
            </w:r>
          </w:p>
        </w:tc>
        <w:tc>
          <w:tcPr>
            <w:tcW w:w="810" w:type="dxa"/>
            <w:vAlign w:val="center"/>
          </w:tcPr>
          <w:p w14:paraId="173C0A71" w14:textId="77777777" w:rsidR="002B4534" w:rsidRPr="00CB10DF" w:rsidRDefault="002B4534" w:rsidP="002B4534">
            <w:pPr>
              <w:pStyle w:val="NoSpacing"/>
              <w:spacing w:line="276" w:lineRule="auto"/>
              <w:jc w:val="center"/>
              <w:rPr>
                <w:rFonts w:ascii="Times New Roman" w:hAnsi="Times New Roman" w:cs="Times New Roman"/>
                <w:b/>
                <w:bCs/>
                <w:color w:val="000000" w:themeColor="text1"/>
                <w:szCs w:val="22"/>
                <w:bdr w:val="none" w:sz="0" w:space="0" w:color="auto" w:frame="1"/>
              </w:rPr>
            </w:pPr>
            <w:r w:rsidRPr="00CB10DF">
              <w:rPr>
                <w:rFonts w:ascii="Times New Roman" w:hAnsi="Times New Roman" w:cs="Times New Roman"/>
                <w:b/>
                <w:bCs/>
                <w:color w:val="000000" w:themeColor="text1"/>
                <w:szCs w:val="22"/>
                <w:bdr w:val="none" w:sz="0" w:space="0" w:color="auto" w:frame="1"/>
              </w:rPr>
              <w:t>N</w:t>
            </w:r>
          </w:p>
        </w:tc>
        <w:tc>
          <w:tcPr>
            <w:tcW w:w="1696" w:type="dxa"/>
            <w:vAlign w:val="center"/>
          </w:tcPr>
          <w:p w14:paraId="7569614C" w14:textId="77777777" w:rsidR="002B4534" w:rsidRPr="00CB10DF" w:rsidRDefault="002B4534" w:rsidP="002B4534">
            <w:pPr>
              <w:pStyle w:val="NoSpacing"/>
              <w:spacing w:line="276" w:lineRule="auto"/>
              <w:jc w:val="center"/>
              <w:rPr>
                <w:rFonts w:ascii="Times New Roman" w:hAnsi="Times New Roman" w:cs="Times New Roman"/>
                <w:b/>
                <w:bCs/>
                <w:color w:val="000000" w:themeColor="text1"/>
                <w:szCs w:val="22"/>
                <w:bdr w:val="none" w:sz="0" w:space="0" w:color="auto" w:frame="1"/>
              </w:rPr>
            </w:pPr>
            <w:r w:rsidRPr="00CB10DF">
              <w:rPr>
                <w:rFonts w:ascii="Times New Roman" w:hAnsi="Times New Roman" w:cs="Times New Roman"/>
                <w:b/>
                <w:bCs/>
                <w:color w:val="000000" w:themeColor="text1"/>
                <w:szCs w:val="22"/>
                <w:bdr w:val="none" w:sz="0" w:space="0" w:color="auto" w:frame="1"/>
              </w:rPr>
              <w:t>Corbet’s type</w:t>
            </w:r>
          </w:p>
        </w:tc>
        <w:tc>
          <w:tcPr>
            <w:tcW w:w="1252" w:type="dxa"/>
            <w:vAlign w:val="center"/>
          </w:tcPr>
          <w:p w14:paraId="66C68F0D" w14:textId="77777777" w:rsidR="002B4534" w:rsidRPr="00CB10DF" w:rsidRDefault="002B4534" w:rsidP="002B4534">
            <w:pPr>
              <w:pStyle w:val="NoSpacing"/>
              <w:spacing w:line="276" w:lineRule="auto"/>
              <w:jc w:val="center"/>
              <w:rPr>
                <w:rFonts w:ascii="Times New Roman" w:hAnsi="Times New Roman" w:cs="Times New Roman"/>
                <w:b/>
                <w:bCs/>
                <w:color w:val="000000" w:themeColor="text1"/>
                <w:szCs w:val="22"/>
                <w:bdr w:val="none" w:sz="0" w:space="0" w:color="auto" w:frame="1"/>
              </w:rPr>
            </w:pPr>
            <w:r w:rsidRPr="00CB10DF">
              <w:rPr>
                <w:rFonts w:ascii="Times New Roman" w:hAnsi="Times New Roman" w:cs="Times New Roman"/>
                <w:b/>
                <w:bCs/>
                <w:color w:val="000000" w:themeColor="text1"/>
                <w:szCs w:val="22"/>
                <w:bdr w:val="none" w:sz="0" w:space="0" w:color="auto" w:frame="1"/>
              </w:rPr>
              <w:t>Voltinism type</w:t>
            </w:r>
          </w:p>
        </w:tc>
        <w:tc>
          <w:tcPr>
            <w:tcW w:w="2708" w:type="dxa"/>
            <w:vAlign w:val="center"/>
          </w:tcPr>
          <w:p w14:paraId="6A6ADC08" w14:textId="77777777" w:rsidR="002B4534" w:rsidRPr="00CB10DF" w:rsidRDefault="002B4534" w:rsidP="002B4534">
            <w:pPr>
              <w:pStyle w:val="NoSpacing"/>
              <w:spacing w:line="276" w:lineRule="auto"/>
              <w:jc w:val="center"/>
              <w:rPr>
                <w:rFonts w:ascii="Times New Roman" w:hAnsi="Times New Roman" w:cs="Times New Roman"/>
                <w:b/>
                <w:bCs/>
                <w:color w:val="000000" w:themeColor="text1"/>
                <w:szCs w:val="22"/>
                <w:bdr w:val="none" w:sz="0" w:space="0" w:color="auto" w:frame="1"/>
              </w:rPr>
            </w:pPr>
            <w:r w:rsidRPr="00CB10DF">
              <w:rPr>
                <w:rFonts w:ascii="Times New Roman" w:hAnsi="Times New Roman" w:cs="Times New Roman"/>
                <w:b/>
                <w:bCs/>
                <w:color w:val="000000" w:themeColor="text1"/>
                <w:szCs w:val="22"/>
                <w:bdr w:val="none" w:sz="0" w:space="0" w:color="auto" w:frame="1"/>
              </w:rPr>
              <w:t xml:space="preserve">Environmental variables </w:t>
            </w:r>
          </w:p>
        </w:tc>
      </w:tr>
      <w:tr w:rsidR="002B4534" w:rsidRPr="00CB10DF" w14:paraId="1FC3F02B" w14:textId="77777777" w:rsidTr="002B4534">
        <w:tc>
          <w:tcPr>
            <w:tcW w:w="445" w:type="dxa"/>
            <w:vMerge w:val="restart"/>
            <w:textDirection w:val="btLr"/>
            <w:vAlign w:val="center"/>
          </w:tcPr>
          <w:p w14:paraId="20077364" w14:textId="77777777" w:rsidR="002B4534" w:rsidRPr="00CB10DF" w:rsidRDefault="002B4534" w:rsidP="002B4534">
            <w:pPr>
              <w:pStyle w:val="NoSpacing"/>
              <w:spacing w:line="276" w:lineRule="auto"/>
              <w:ind w:left="113" w:right="113"/>
              <w:jc w:val="center"/>
              <w:rPr>
                <w:rFonts w:ascii="Times New Roman" w:hAnsi="Times New Roman" w:cs="Times New Roman"/>
                <w:color w:val="000000" w:themeColor="text1"/>
                <w:szCs w:val="22"/>
                <w:bdr w:val="none" w:sz="0" w:space="0" w:color="auto" w:frame="1"/>
              </w:rPr>
            </w:pPr>
            <w:r w:rsidRPr="00CB10DF">
              <w:rPr>
                <w:rFonts w:ascii="Times New Roman" w:hAnsi="Times New Roman" w:cs="Times New Roman"/>
                <w:color w:val="000000" w:themeColor="text1"/>
                <w:szCs w:val="22"/>
                <w:bdr w:val="none" w:sz="0" w:space="0" w:color="auto" w:frame="1"/>
              </w:rPr>
              <w:t>Anisoptera</w:t>
            </w:r>
          </w:p>
        </w:tc>
        <w:tc>
          <w:tcPr>
            <w:tcW w:w="2430" w:type="dxa"/>
          </w:tcPr>
          <w:p w14:paraId="58E28676" w14:textId="77777777" w:rsidR="002B4534" w:rsidRPr="00CB10DF" w:rsidRDefault="002B4534" w:rsidP="002B4534">
            <w:pPr>
              <w:pStyle w:val="NoSpacing"/>
              <w:spacing w:line="360" w:lineRule="auto"/>
              <w:jc w:val="thaiDistribute"/>
              <w:rPr>
                <w:rFonts w:ascii="Times New Roman" w:hAnsi="Times New Roman" w:cs="Times New Roman"/>
                <w:i/>
                <w:iCs/>
                <w:color w:val="000000" w:themeColor="text1"/>
                <w:szCs w:val="22"/>
                <w:bdr w:val="none" w:sz="0" w:space="0" w:color="auto" w:frame="1"/>
              </w:rPr>
            </w:pPr>
            <w:proofErr w:type="spellStart"/>
            <w:r w:rsidRPr="00CB10DF">
              <w:rPr>
                <w:rFonts w:ascii="Times New Roman" w:hAnsi="Times New Roman" w:cs="Times New Roman"/>
                <w:i/>
                <w:iCs/>
                <w:color w:val="000000" w:themeColor="text1"/>
                <w:szCs w:val="22"/>
                <w:bdr w:val="none" w:sz="0" w:space="0" w:color="auto" w:frame="1"/>
              </w:rPr>
              <w:t>Aeshna</w:t>
            </w:r>
            <w:proofErr w:type="spellEnd"/>
            <w:r w:rsidRPr="00CB10DF">
              <w:rPr>
                <w:rFonts w:ascii="Times New Roman" w:hAnsi="Times New Roman" w:cs="Times New Roman"/>
                <w:i/>
                <w:iCs/>
                <w:color w:val="000000" w:themeColor="text1"/>
                <w:szCs w:val="22"/>
                <w:bdr w:val="none" w:sz="0" w:space="0" w:color="auto" w:frame="1"/>
              </w:rPr>
              <w:t xml:space="preserve"> </w:t>
            </w:r>
            <w:proofErr w:type="spellStart"/>
            <w:r w:rsidRPr="00CB10DF">
              <w:rPr>
                <w:rFonts w:ascii="Times New Roman" w:hAnsi="Times New Roman" w:cs="Times New Roman"/>
                <w:i/>
                <w:iCs/>
                <w:color w:val="000000" w:themeColor="text1"/>
                <w:szCs w:val="22"/>
                <w:bdr w:val="none" w:sz="0" w:space="0" w:color="auto" w:frame="1"/>
              </w:rPr>
              <w:t>cyanea</w:t>
            </w:r>
            <w:proofErr w:type="spellEnd"/>
          </w:p>
        </w:tc>
        <w:tc>
          <w:tcPr>
            <w:tcW w:w="810" w:type="dxa"/>
            <w:vAlign w:val="center"/>
          </w:tcPr>
          <w:p w14:paraId="054D537C" w14:textId="77777777" w:rsidR="002B4534" w:rsidRPr="00CB10DF" w:rsidRDefault="002B4534" w:rsidP="002B4534">
            <w:pPr>
              <w:tabs>
                <w:tab w:val="left" w:pos="440"/>
              </w:tabs>
              <w:autoSpaceDE w:val="0"/>
              <w:autoSpaceDN w:val="0"/>
              <w:adjustRightInd w:val="0"/>
              <w:spacing w:line="360" w:lineRule="auto"/>
              <w:jc w:val="center"/>
              <w:rPr>
                <w:rFonts w:ascii="Times New Roman" w:hAnsi="Times New Roman" w:cs="Times New Roman"/>
                <w:color w:val="000000" w:themeColor="text1"/>
                <w:szCs w:val="22"/>
              </w:rPr>
            </w:pPr>
            <w:r w:rsidRPr="00CB10DF">
              <w:rPr>
                <w:rFonts w:ascii="Times New Roman" w:hAnsi="Times New Roman" w:cs="Times New Roman"/>
                <w:color w:val="000000" w:themeColor="text1"/>
                <w:szCs w:val="22"/>
              </w:rPr>
              <w:t>179</w:t>
            </w:r>
          </w:p>
        </w:tc>
        <w:tc>
          <w:tcPr>
            <w:tcW w:w="1696" w:type="dxa"/>
          </w:tcPr>
          <w:p w14:paraId="02885DC5" w14:textId="77777777" w:rsidR="002B4534" w:rsidRPr="00CB10DF" w:rsidRDefault="002B4534" w:rsidP="002B4534">
            <w:pPr>
              <w:autoSpaceDE w:val="0"/>
              <w:autoSpaceDN w:val="0"/>
              <w:adjustRightInd w:val="0"/>
              <w:spacing w:line="360" w:lineRule="auto"/>
              <w:jc w:val="thaiDistribute"/>
              <w:rPr>
                <w:rFonts w:ascii="Times New Roman" w:hAnsi="Times New Roman" w:cs="Times New Roman"/>
                <w:color w:val="000000" w:themeColor="text1"/>
                <w:szCs w:val="22"/>
              </w:rPr>
            </w:pPr>
            <w:r w:rsidRPr="00CB10DF">
              <w:rPr>
                <w:rFonts w:ascii="Times New Roman" w:hAnsi="Times New Roman" w:cs="Times New Roman"/>
                <w:color w:val="000000" w:themeColor="text1"/>
                <w:szCs w:val="22"/>
              </w:rPr>
              <w:t>spring species</w:t>
            </w:r>
          </w:p>
        </w:tc>
        <w:tc>
          <w:tcPr>
            <w:tcW w:w="1252" w:type="dxa"/>
          </w:tcPr>
          <w:p w14:paraId="4481F800" w14:textId="77777777" w:rsidR="002B4534" w:rsidRPr="00CB10DF" w:rsidRDefault="002B4534" w:rsidP="002B4534">
            <w:pPr>
              <w:pStyle w:val="NoSpacing"/>
              <w:spacing w:line="360" w:lineRule="auto"/>
              <w:jc w:val="thaiDistribute"/>
              <w:rPr>
                <w:rFonts w:ascii="Times New Roman" w:hAnsi="Times New Roman" w:cs="Times New Roman"/>
                <w:color w:val="000000" w:themeColor="text1"/>
                <w:szCs w:val="22"/>
                <w:bdr w:val="none" w:sz="0" w:space="0" w:color="auto" w:frame="1"/>
              </w:rPr>
            </w:pPr>
            <w:r w:rsidRPr="00CB10DF">
              <w:rPr>
                <w:rFonts w:ascii="Times New Roman" w:hAnsi="Times New Roman" w:cs="Times New Roman"/>
                <w:color w:val="000000" w:themeColor="text1"/>
                <w:szCs w:val="22"/>
                <w:bdr w:val="none" w:sz="0" w:space="0" w:color="auto" w:frame="1"/>
              </w:rPr>
              <w:t>semivoltine</w:t>
            </w:r>
          </w:p>
        </w:tc>
        <w:tc>
          <w:tcPr>
            <w:tcW w:w="2708" w:type="dxa"/>
          </w:tcPr>
          <w:p w14:paraId="49140300" w14:textId="77777777" w:rsidR="002B4534" w:rsidRPr="00CB10DF" w:rsidRDefault="002B4534" w:rsidP="002B4534">
            <w:pPr>
              <w:pStyle w:val="NoSpacing"/>
              <w:spacing w:line="360" w:lineRule="auto"/>
              <w:jc w:val="thaiDistribute"/>
              <w:rPr>
                <w:rFonts w:ascii="Times New Roman" w:hAnsi="Times New Roman" w:cs="Times New Roman"/>
                <w:color w:val="000000" w:themeColor="text1"/>
                <w:szCs w:val="22"/>
                <w:bdr w:val="none" w:sz="0" w:space="0" w:color="auto" w:frame="1"/>
              </w:rPr>
            </w:pPr>
            <w:r w:rsidRPr="00CB10DF">
              <w:rPr>
                <w:rFonts w:ascii="Times New Roman" w:hAnsi="Times New Roman" w:cs="Times New Roman"/>
                <w:color w:val="000000" w:themeColor="text1"/>
                <w:szCs w:val="22"/>
              </w:rPr>
              <w:t>spring (y-1) to spring (y0)</w:t>
            </w:r>
          </w:p>
        </w:tc>
      </w:tr>
      <w:tr w:rsidR="002B4534" w:rsidRPr="00CB10DF" w14:paraId="284C5027" w14:textId="77777777" w:rsidTr="002B4534">
        <w:tc>
          <w:tcPr>
            <w:tcW w:w="445" w:type="dxa"/>
            <w:vMerge/>
          </w:tcPr>
          <w:p w14:paraId="3AE15AF1" w14:textId="77777777" w:rsidR="002B4534" w:rsidRPr="00CB10DF" w:rsidRDefault="002B4534" w:rsidP="002B4534">
            <w:pPr>
              <w:pStyle w:val="NoSpacing"/>
              <w:spacing w:line="276" w:lineRule="auto"/>
              <w:jc w:val="thaiDistribute"/>
              <w:rPr>
                <w:rFonts w:ascii="Times New Roman" w:hAnsi="Times New Roman" w:cs="Times New Roman"/>
                <w:color w:val="000000" w:themeColor="text1"/>
                <w:szCs w:val="22"/>
                <w:bdr w:val="none" w:sz="0" w:space="0" w:color="auto" w:frame="1"/>
              </w:rPr>
            </w:pPr>
          </w:p>
        </w:tc>
        <w:tc>
          <w:tcPr>
            <w:tcW w:w="2430" w:type="dxa"/>
          </w:tcPr>
          <w:p w14:paraId="726AA7AA" w14:textId="77777777" w:rsidR="002B4534" w:rsidRPr="00CB10DF" w:rsidRDefault="002B4534" w:rsidP="002B4534">
            <w:pPr>
              <w:pStyle w:val="NoSpacing"/>
              <w:spacing w:line="360" w:lineRule="auto"/>
              <w:jc w:val="thaiDistribute"/>
              <w:rPr>
                <w:rFonts w:ascii="Times New Roman" w:hAnsi="Times New Roman" w:cs="Times New Roman"/>
                <w:i/>
                <w:iCs/>
                <w:color w:val="000000" w:themeColor="text1"/>
                <w:szCs w:val="22"/>
                <w:bdr w:val="none" w:sz="0" w:space="0" w:color="auto" w:frame="1"/>
              </w:rPr>
            </w:pPr>
            <w:proofErr w:type="spellStart"/>
            <w:r w:rsidRPr="00CB10DF">
              <w:rPr>
                <w:rFonts w:ascii="Times New Roman" w:hAnsi="Times New Roman" w:cs="Times New Roman"/>
                <w:i/>
                <w:iCs/>
                <w:color w:val="000000" w:themeColor="text1"/>
                <w:szCs w:val="22"/>
                <w:bdr w:val="none" w:sz="0" w:space="0" w:color="auto" w:frame="1"/>
              </w:rPr>
              <w:t>Aeshna</w:t>
            </w:r>
            <w:proofErr w:type="spellEnd"/>
            <w:r w:rsidRPr="00CB10DF">
              <w:rPr>
                <w:rFonts w:ascii="Times New Roman" w:hAnsi="Times New Roman" w:cs="Times New Roman"/>
                <w:i/>
                <w:iCs/>
                <w:color w:val="000000" w:themeColor="text1"/>
                <w:szCs w:val="22"/>
                <w:bdr w:val="none" w:sz="0" w:space="0" w:color="auto" w:frame="1"/>
              </w:rPr>
              <w:t xml:space="preserve"> </w:t>
            </w:r>
            <w:proofErr w:type="spellStart"/>
            <w:r w:rsidRPr="00CB10DF">
              <w:rPr>
                <w:rFonts w:ascii="Times New Roman" w:hAnsi="Times New Roman" w:cs="Times New Roman"/>
                <w:i/>
                <w:iCs/>
                <w:color w:val="000000" w:themeColor="text1"/>
                <w:szCs w:val="22"/>
                <w:bdr w:val="none" w:sz="0" w:space="0" w:color="auto" w:frame="1"/>
              </w:rPr>
              <w:t>grandis</w:t>
            </w:r>
            <w:proofErr w:type="spellEnd"/>
          </w:p>
        </w:tc>
        <w:tc>
          <w:tcPr>
            <w:tcW w:w="810" w:type="dxa"/>
            <w:vAlign w:val="center"/>
          </w:tcPr>
          <w:p w14:paraId="00AF15FB" w14:textId="77777777" w:rsidR="002B4534" w:rsidRPr="00CB10DF" w:rsidRDefault="002B4534" w:rsidP="002B4534">
            <w:pPr>
              <w:autoSpaceDE w:val="0"/>
              <w:autoSpaceDN w:val="0"/>
              <w:adjustRightInd w:val="0"/>
              <w:spacing w:line="360" w:lineRule="auto"/>
              <w:jc w:val="center"/>
              <w:rPr>
                <w:rFonts w:ascii="Times New Roman" w:hAnsi="Times New Roman" w:cs="Times New Roman"/>
                <w:color w:val="000000" w:themeColor="text1"/>
                <w:szCs w:val="22"/>
              </w:rPr>
            </w:pPr>
            <w:r w:rsidRPr="00CB10DF">
              <w:rPr>
                <w:rFonts w:ascii="Times New Roman" w:hAnsi="Times New Roman" w:cs="Times New Roman"/>
                <w:color w:val="000000" w:themeColor="text1"/>
                <w:szCs w:val="22"/>
              </w:rPr>
              <w:t>53</w:t>
            </w:r>
          </w:p>
        </w:tc>
        <w:tc>
          <w:tcPr>
            <w:tcW w:w="1696" w:type="dxa"/>
          </w:tcPr>
          <w:p w14:paraId="57EADCFA" w14:textId="77777777" w:rsidR="002B4534" w:rsidRPr="00CB10DF" w:rsidRDefault="002B4534" w:rsidP="002B4534">
            <w:pPr>
              <w:autoSpaceDE w:val="0"/>
              <w:autoSpaceDN w:val="0"/>
              <w:adjustRightInd w:val="0"/>
              <w:spacing w:line="360" w:lineRule="auto"/>
              <w:jc w:val="thaiDistribute"/>
              <w:rPr>
                <w:rFonts w:ascii="Times New Roman" w:hAnsi="Times New Roman" w:cs="Times New Roman"/>
                <w:color w:val="000000" w:themeColor="text1"/>
                <w:szCs w:val="22"/>
              </w:rPr>
            </w:pPr>
            <w:r w:rsidRPr="00CB10DF">
              <w:rPr>
                <w:rFonts w:ascii="Times New Roman" w:hAnsi="Times New Roman" w:cs="Times New Roman"/>
                <w:color w:val="000000" w:themeColor="text1"/>
                <w:szCs w:val="22"/>
              </w:rPr>
              <w:t>spring species</w:t>
            </w:r>
          </w:p>
        </w:tc>
        <w:tc>
          <w:tcPr>
            <w:tcW w:w="1252" w:type="dxa"/>
          </w:tcPr>
          <w:p w14:paraId="682C55C2" w14:textId="77777777" w:rsidR="002B4534" w:rsidRPr="00CB10DF" w:rsidRDefault="002B4534" w:rsidP="002B4534">
            <w:pPr>
              <w:pStyle w:val="NoSpacing"/>
              <w:spacing w:line="360" w:lineRule="auto"/>
              <w:jc w:val="thaiDistribute"/>
              <w:rPr>
                <w:rFonts w:ascii="Times New Roman" w:hAnsi="Times New Roman" w:cs="Times New Roman"/>
                <w:color w:val="000000" w:themeColor="text1"/>
                <w:szCs w:val="22"/>
                <w:bdr w:val="none" w:sz="0" w:space="0" w:color="auto" w:frame="1"/>
              </w:rPr>
            </w:pPr>
            <w:r w:rsidRPr="00CB10DF">
              <w:rPr>
                <w:rFonts w:ascii="Times New Roman" w:hAnsi="Times New Roman" w:cs="Times New Roman"/>
                <w:color w:val="000000" w:themeColor="text1"/>
                <w:szCs w:val="22"/>
                <w:bdr w:val="none" w:sz="0" w:space="0" w:color="auto" w:frame="1"/>
              </w:rPr>
              <w:t>semivoltine</w:t>
            </w:r>
          </w:p>
        </w:tc>
        <w:tc>
          <w:tcPr>
            <w:tcW w:w="2708" w:type="dxa"/>
          </w:tcPr>
          <w:p w14:paraId="07E2F136" w14:textId="77777777" w:rsidR="002B4534" w:rsidRPr="00CB10DF" w:rsidRDefault="002B4534" w:rsidP="002B4534">
            <w:pPr>
              <w:pStyle w:val="NoSpacing"/>
              <w:spacing w:line="360" w:lineRule="auto"/>
              <w:jc w:val="thaiDistribute"/>
              <w:rPr>
                <w:rFonts w:ascii="Times New Roman" w:hAnsi="Times New Roman" w:cs="Times New Roman"/>
                <w:color w:val="000000" w:themeColor="text1"/>
                <w:szCs w:val="22"/>
                <w:bdr w:val="none" w:sz="0" w:space="0" w:color="auto" w:frame="1"/>
              </w:rPr>
            </w:pPr>
            <w:r w:rsidRPr="00CB10DF">
              <w:rPr>
                <w:rFonts w:ascii="Times New Roman" w:hAnsi="Times New Roman" w:cs="Times New Roman"/>
                <w:color w:val="000000" w:themeColor="text1"/>
                <w:szCs w:val="22"/>
              </w:rPr>
              <w:t>spring (y-1) to spring (y0)</w:t>
            </w:r>
          </w:p>
        </w:tc>
      </w:tr>
      <w:tr w:rsidR="002B4534" w:rsidRPr="00CB10DF" w14:paraId="06E53588" w14:textId="77777777" w:rsidTr="002B4534">
        <w:tc>
          <w:tcPr>
            <w:tcW w:w="445" w:type="dxa"/>
            <w:vMerge/>
          </w:tcPr>
          <w:p w14:paraId="12ABB01A" w14:textId="77777777" w:rsidR="002B4534" w:rsidRPr="00CB10DF" w:rsidRDefault="002B4534" w:rsidP="002B4534">
            <w:pPr>
              <w:pStyle w:val="NoSpacing"/>
              <w:spacing w:line="276" w:lineRule="auto"/>
              <w:jc w:val="thaiDistribute"/>
              <w:rPr>
                <w:rFonts w:ascii="Times New Roman" w:hAnsi="Times New Roman" w:cs="Times New Roman"/>
                <w:color w:val="000000" w:themeColor="text1"/>
                <w:szCs w:val="22"/>
                <w:bdr w:val="none" w:sz="0" w:space="0" w:color="auto" w:frame="1"/>
              </w:rPr>
            </w:pPr>
          </w:p>
        </w:tc>
        <w:tc>
          <w:tcPr>
            <w:tcW w:w="2430" w:type="dxa"/>
          </w:tcPr>
          <w:p w14:paraId="5F8F974E" w14:textId="77777777" w:rsidR="002B4534" w:rsidRPr="00CB10DF" w:rsidRDefault="002B4534" w:rsidP="002B4534">
            <w:pPr>
              <w:pStyle w:val="NoSpacing"/>
              <w:spacing w:line="360" w:lineRule="auto"/>
              <w:jc w:val="thaiDistribute"/>
              <w:rPr>
                <w:rFonts w:ascii="Times New Roman" w:hAnsi="Times New Roman" w:cs="Times New Roman"/>
                <w:i/>
                <w:iCs/>
                <w:color w:val="000000" w:themeColor="text1"/>
                <w:szCs w:val="22"/>
                <w:bdr w:val="none" w:sz="0" w:space="0" w:color="auto" w:frame="1"/>
              </w:rPr>
            </w:pPr>
            <w:proofErr w:type="spellStart"/>
            <w:r w:rsidRPr="00CB10DF">
              <w:rPr>
                <w:rFonts w:ascii="Times New Roman" w:hAnsi="Times New Roman" w:cs="Times New Roman"/>
                <w:i/>
                <w:iCs/>
                <w:color w:val="000000" w:themeColor="text1"/>
                <w:szCs w:val="22"/>
                <w:bdr w:val="none" w:sz="0" w:space="0" w:color="auto" w:frame="1"/>
              </w:rPr>
              <w:t>Aeshna</w:t>
            </w:r>
            <w:proofErr w:type="spellEnd"/>
            <w:r w:rsidRPr="00CB10DF">
              <w:rPr>
                <w:rFonts w:ascii="Times New Roman" w:hAnsi="Times New Roman" w:cs="Times New Roman"/>
                <w:i/>
                <w:iCs/>
                <w:color w:val="000000" w:themeColor="text1"/>
                <w:szCs w:val="22"/>
                <w:bdr w:val="none" w:sz="0" w:space="0" w:color="auto" w:frame="1"/>
              </w:rPr>
              <w:t xml:space="preserve"> </w:t>
            </w:r>
            <w:proofErr w:type="spellStart"/>
            <w:r w:rsidRPr="00CB10DF">
              <w:rPr>
                <w:rFonts w:ascii="Times New Roman" w:hAnsi="Times New Roman" w:cs="Times New Roman"/>
                <w:i/>
                <w:iCs/>
                <w:color w:val="000000" w:themeColor="text1"/>
                <w:szCs w:val="22"/>
                <w:bdr w:val="none" w:sz="0" w:space="0" w:color="auto" w:frame="1"/>
              </w:rPr>
              <w:t>mixta</w:t>
            </w:r>
            <w:proofErr w:type="spellEnd"/>
          </w:p>
        </w:tc>
        <w:tc>
          <w:tcPr>
            <w:tcW w:w="810" w:type="dxa"/>
            <w:vAlign w:val="center"/>
          </w:tcPr>
          <w:p w14:paraId="22AC7E94" w14:textId="77777777" w:rsidR="002B4534" w:rsidRPr="00CB10DF" w:rsidRDefault="002B4534" w:rsidP="002B4534">
            <w:pPr>
              <w:autoSpaceDE w:val="0"/>
              <w:autoSpaceDN w:val="0"/>
              <w:adjustRightInd w:val="0"/>
              <w:spacing w:line="360" w:lineRule="auto"/>
              <w:jc w:val="center"/>
              <w:rPr>
                <w:rFonts w:ascii="Times New Roman" w:hAnsi="Times New Roman" w:cs="Times New Roman"/>
                <w:color w:val="000000" w:themeColor="text1"/>
                <w:szCs w:val="22"/>
              </w:rPr>
            </w:pPr>
            <w:r w:rsidRPr="00CB10DF">
              <w:rPr>
                <w:rFonts w:ascii="Times New Roman" w:hAnsi="Times New Roman" w:cs="Times New Roman"/>
                <w:color w:val="000000" w:themeColor="text1"/>
                <w:szCs w:val="22"/>
              </w:rPr>
              <w:t>151</w:t>
            </w:r>
          </w:p>
        </w:tc>
        <w:tc>
          <w:tcPr>
            <w:tcW w:w="1696" w:type="dxa"/>
          </w:tcPr>
          <w:p w14:paraId="4E80B52D" w14:textId="77777777" w:rsidR="002B4534" w:rsidRPr="00CB10DF" w:rsidRDefault="002B4534" w:rsidP="002B4534">
            <w:pPr>
              <w:autoSpaceDE w:val="0"/>
              <w:autoSpaceDN w:val="0"/>
              <w:adjustRightInd w:val="0"/>
              <w:spacing w:line="360" w:lineRule="auto"/>
              <w:jc w:val="thaiDistribute"/>
              <w:rPr>
                <w:rFonts w:ascii="Times New Roman" w:hAnsi="Times New Roman" w:cs="Times New Roman"/>
                <w:color w:val="000000" w:themeColor="text1"/>
                <w:szCs w:val="22"/>
              </w:rPr>
            </w:pPr>
            <w:r w:rsidRPr="00CB10DF">
              <w:rPr>
                <w:rFonts w:ascii="Times New Roman" w:hAnsi="Times New Roman" w:cs="Times New Roman"/>
                <w:color w:val="000000" w:themeColor="text1"/>
                <w:szCs w:val="22"/>
              </w:rPr>
              <w:t>summer species</w:t>
            </w:r>
          </w:p>
        </w:tc>
        <w:tc>
          <w:tcPr>
            <w:tcW w:w="1252" w:type="dxa"/>
          </w:tcPr>
          <w:p w14:paraId="3AB36F24" w14:textId="77777777" w:rsidR="002B4534" w:rsidRPr="00CB10DF" w:rsidRDefault="002B4534" w:rsidP="002B4534">
            <w:pPr>
              <w:pStyle w:val="NoSpacing"/>
              <w:spacing w:line="360" w:lineRule="auto"/>
              <w:jc w:val="thaiDistribute"/>
              <w:rPr>
                <w:rFonts w:ascii="Times New Roman" w:hAnsi="Times New Roman" w:cs="Times New Roman"/>
                <w:color w:val="000000" w:themeColor="text1"/>
                <w:szCs w:val="22"/>
                <w:bdr w:val="none" w:sz="0" w:space="0" w:color="auto" w:frame="1"/>
              </w:rPr>
            </w:pPr>
            <w:proofErr w:type="spellStart"/>
            <w:r w:rsidRPr="00CB10DF">
              <w:rPr>
                <w:rFonts w:ascii="Times New Roman" w:hAnsi="Times New Roman" w:cs="Times New Roman"/>
                <w:color w:val="000000" w:themeColor="text1"/>
                <w:szCs w:val="22"/>
                <w:bdr w:val="none" w:sz="0" w:space="0" w:color="auto" w:frame="1"/>
              </w:rPr>
              <w:t>Univoltine</w:t>
            </w:r>
            <w:proofErr w:type="spellEnd"/>
          </w:p>
        </w:tc>
        <w:tc>
          <w:tcPr>
            <w:tcW w:w="2708" w:type="dxa"/>
          </w:tcPr>
          <w:p w14:paraId="10BB9238" w14:textId="77777777" w:rsidR="002B4534" w:rsidRPr="00CB10DF" w:rsidRDefault="002B4534" w:rsidP="002B4534">
            <w:pPr>
              <w:pStyle w:val="NoSpacing"/>
              <w:spacing w:line="360" w:lineRule="auto"/>
              <w:jc w:val="thaiDistribute"/>
              <w:rPr>
                <w:rFonts w:ascii="Times New Roman" w:hAnsi="Times New Roman" w:cs="Times New Roman"/>
                <w:color w:val="000000" w:themeColor="text1"/>
                <w:szCs w:val="22"/>
                <w:bdr w:val="none" w:sz="0" w:space="0" w:color="auto" w:frame="1"/>
              </w:rPr>
            </w:pPr>
            <w:r w:rsidRPr="00CB10DF">
              <w:rPr>
                <w:rFonts w:ascii="Times New Roman" w:hAnsi="Times New Roman" w:cs="Times New Roman"/>
                <w:color w:val="000000" w:themeColor="text1"/>
                <w:szCs w:val="22"/>
              </w:rPr>
              <w:t>spring (y0)</w:t>
            </w:r>
          </w:p>
        </w:tc>
      </w:tr>
      <w:tr w:rsidR="002B4534" w:rsidRPr="00CB10DF" w14:paraId="48466869" w14:textId="77777777" w:rsidTr="002B4534">
        <w:tc>
          <w:tcPr>
            <w:tcW w:w="445" w:type="dxa"/>
            <w:vMerge/>
          </w:tcPr>
          <w:p w14:paraId="224344F3" w14:textId="77777777" w:rsidR="002B4534" w:rsidRPr="00CB10DF" w:rsidRDefault="002B4534" w:rsidP="002B4534">
            <w:pPr>
              <w:pStyle w:val="NoSpacing"/>
              <w:spacing w:line="276" w:lineRule="auto"/>
              <w:jc w:val="thaiDistribute"/>
              <w:rPr>
                <w:rFonts w:ascii="Times New Roman" w:hAnsi="Times New Roman" w:cs="Times New Roman"/>
                <w:color w:val="000000" w:themeColor="text1"/>
                <w:szCs w:val="22"/>
                <w:bdr w:val="none" w:sz="0" w:space="0" w:color="auto" w:frame="1"/>
              </w:rPr>
            </w:pPr>
          </w:p>
        </w:tc>
        <w:tc>
          <w:tcPr>
            <w:tcW w:w="2430" w:type="dxa"/>
          </w:tcPr>
          <w:p w14:paraId="09B8EE01" w14:textId="77777777" w:rsidR="002B4534" w:rsidRPr="00CB10DF" w:rsidRDefault="002B4534" w:rsidP="002B4534">
            <w:pPr>
              <w:pStyle w:val="NoSpacing"/>
              <w:spacing w:line="360" w:lineRule="auto"/>
              <w:jc w:val="thaiDistribute"/>
              <w:rPr>
                <w:rFonts w:ascii="Times New Roman" w:hAnsi="Times New Roman" w:cs="Times New Roman"/>
                <w:i/>
                <w:iCs/>
                <w:color w:val="000000" w:themeColor="text1"/>
                <w:szCs w:val="22"/>
                <w:bdr w:val="none" w:sz="0" w:space="0" w:color="auto" w:frame="1"/>
              </w:rPr>
            </w:pPr>
            <w:proofErr w:type="spellStart"/>
            <w:r w:rsidRPr="00CB10DF">
              <w:rPr>
                <w:rFonts w:ascii="Times New Roman" w:hAnsi="Times New Roman" w:cs="Times New Roman"/>
                <w:i/>
                <w:iCs/>
                <w:color w:val="000000" w:themeColor="text1"/>
                <w:szCs w:val="22"/>
                <w:bdr w:val="none" w:sz="0" w:space="0" w:color="auto" w:frame="1"/>
              </w:rPr>
              <w:t>Anax</w:t>
            </w:r>
            <w:proofErr w:type="spellEnd"/>
            <w:r w:rsidRPr="00CB10DF">
              <w:rPr>
                <w:rFonts w:ascii="Times New Roman" w:hAnsi="Times New Roman" w:cs="Times New Roman"/>
                <w:i/>
                <w:iCs/>
                <w:color w:val="000000" w:themeColor="text1"/>
                <w:szCs w:val="22"/>
                <w:bdr w:val="none" w:sz="0" w:space="0" w:color="auto" w:frame="1"/>
              </w:rPr>
              <w:t xml:space="preserve"> imperator</w:t>
            </w:r>
          </w:p>
        </w:tc>
        <w:tc>
          <w:tcPr>
            <w:tcW w:w="810" w:type="dxa"/>
            <w:vAlign w:val="center"/>
          </w:tcPr>
          <w:p w14:paraId="168F5A08" w14:textId="77777777" w:rsidR="002B4534" w:rsidRPr="00CB10DF" w:rsidRDefault="002B4534" w:rsidP="002B4534">
            <w:pPr>
              <w:autoSpaceDE w:val="0"/>
              <w:autoSpaceDN w:val="0"/>
              <w:adjustRightInd w:val="0"/>
              <w:spacing w:line="360" w:lineRule="auto"/>
              <w:jc w:val="center"/>
              <w:rPr>
                <w:rFonts w:ascii="Times New Roman" w:hAnsi="Times New Roman" w:cs="Times New Roman"/>
                <w:color w:val="000000" w:themeColor="text1"/>
                <w:szCs w:val="22"/>
              </w:rPr>
            </w:pPr>
            <w:r w:rsidRPr="00CB10DF">
              <w:rPr>
                <w:rFonts w:ascii="Times New Roman" w:hAnsi="Times New Roman" w:cs="Times New Roman"/>
                <w:color w:val="000000" w:themeColor="text1"/>
                <w:szCs w:val="22"/>
              </w:rPr>
              <w:t>68</w:t>
            </w:r>
          </w:p>
        </w:tc>
        <w:tc>
          <w:tcPr>
            <w:tcW w:w="1696" w:type="dxa"/>
          </w:tcPr>
          <w:p w14:paraId="147DAB31" w14:textId="77777777" w:rsidR="002B4534" w:rsidRPr="00CB10DF" w:rsidRDefault="002B4534" w:rsidP="002B4534">
            <w:pPr>
              <w:autoSpaceDE w:val="0"/>
              <w:autoSpaceDN w:val="0"/>
              <w:adjustRightInd w:val="0"/>
              <w:spacing w:line="360" w:lineRule="auto"/>
              <w:jc w:val="thaiDistribute"/>
              <w:rPr>
                <w:rFonts w:ascii="Times New Roman" w:hAnsi="Times New Roman" w:cs="Times New Roman"/>
                <w:color w:val="000000" w:themeColor="text1"/>
                <w:szCs w:val="22"/>
              </w:rPr>
            </w:pPr>
            <w:r w:rsidRPr="00CB10DF">
              <w:rPr>
                <w:rFonts w:ascii="Times New Roman" w:hAnsi="Times New Roman" w:cs="Times New Roman"/>
                <w:color w:val="000000" w:themeColor="text1"/>
                <w:szCs w:val="22"/>
              </w:rPr>
              <w:t>spring species</w:t>
            </w:r>
          </w:p>
        </w:tc>
        <w:tc>
          <w:tcPr>
            <w:tcW w:w="1252" w:type="dxa"/>
          </w:tcPr>
          <w:p w14:paraId="341D38D0" w14:textId="77777777" w:rsidR="002B4534" w:rsidRPr="00CB10DF" w:rsidRDefault="002B4534" w:rsidP="002B4534">
            <w:pPr>
              <w:pStyle w:val="NoSpacing"/>
              <w:spacing w:line="360" w:lineRule="auto"/>
              <w:jc w:val="thaiDistribute"/>
              <w:rPr>
                <w:rFonts w:ascii="Times New Roman" w:hAnsi="Times New Roman" w:cs="Times New Roman"/>
                <w:color w:val="000000" w:themeColor="text1"/>
                <w:szCs w:val="22"/>
                <w:bdr w:val="none" w:sz="0" w:space="0" w:color="auto" w:frame="1"/>
              </w:rPr>
            </w:pPr>
            <w:r w:rsidRPr="00CB10DF">
              <w:rPr>
                <w:rFonts w:ascii="Times New Roman" w:hAnsi="Times New Roman" w:cs="Times New Roman"/>
                <w:color w:val="000000" w:themeColor="text1"/>
                <w:szCs w:val="22"/>
                <w:bdr w:val="none" w:sz="0" w:space="0" w:color="auto" w:frame="1"/>
              </w:rPr>
              <w:t>semivoltine</w:t>
            </w:r>
          </w:p>
        </w:tc>
        <w:tc>
          <w:tcPr>
            <w:tcW w:w="2708" w:type="dxa"/>
          </w:tcPr>
          <w:p w14:paraId="60195E60" w14:textId="77777777" w:rsidR="002B4534" w:rsidRPr="00CB10DF" w:rsidRDefault="002B4534" w:rsidP="002B4534">
            <w:pPr>
              <w:spacing w:line="360" w:lineRule="auto"/>
              <w:ind w:left="-24" w:right="-110"/>
              <w:rPr>
                <w:rFonts w:ascii="Times New Roman" w:hAnsi="Times New Roman" w:cs="Times New Roman"/>
                <w:color w:val="000000" w:themeColor="text1"/>
                <w:szCs w:val="22"/>
              </w:rPr>
            </w:pPr>
            <w:r w:rsidRPr="00CB10DF">
              <w:rPr>
                <w:rFonts w:ascii="Times New Roman" w:hAnsi="Times New Roman" w:cs="Times New Roman"/>
                <w:color w:val="000000" w:themeColor="text1"/>
                <w:szCs w:val="22"/>
              </w:rPr>
              <w:t>spring (y-2) to winter (y0)</w:t>
            </w:r>
          </w:p>
        </w:tc>
      </w:tr>
      <w:tr w:rsidR="002B4534" w:rsidRPr="00CB10DF" w14:paraId="31C51202" w14:textId="77777777" w:rsidTr="002B4534">
        <w:tc>
          <w:tcPr>
            <w:tcW w:w="445" w:type="dxa"/>
            <w:vMerge/>
          </w:tcPr>
          <w:p w14:paraId="50204E53" w14:textId="77777777" w:rsidR="002B4534" w:rsidRPr="00CB10DF" w:rsidRDefault="002B4534" w:rsidP="002B4534">
            <w:pPr>
              <w:pStyle w:val="NoSpacing"/>
              <w:spacing w:line="276" w:lineRule="auto"/>
              <w:jc w:val="thaiDistribute"/>
              <w:rPr>
                <w:rFonts w:ascii="Times New Roman" w:hAnsi="Times New Roman" w:cs="Times New Roman"/>
                <w:color w:val="000000" w:themeColor="text1"/>
                <w:szCs w:val="22"/>
                <w:bdr w:val="none" w:sz="0" w:space="0" w:color="auto" w:frame="1"/>
              </w:rPr>
            </w:pPr>
          </w:p>
        </w:tc>
        <w:tc>
          <w:tcPr>
            <w:tcW w:w="2430" w:type="dxa"/>
          </w:tcPr>
          <w:p w14:paraId="02699940" w14:textId="77777777" w:rsidR="002B4534" w:rsidRPr="00CB10DF" w:rsidRDefault="002B4534" w:rsidP="002B4534">
            <w:pPr>
              <w:pStyle w:val="NoSpacing"/>
              <w:spacing w:line="360" w:lineRule="auto"/>
              <w:jc w:val="thaiDistribute"/>
              <w:rPr>
                <w:rFonts w:ascii="Times New Roman" w:hAnsi="Times New Roman" w:cs="Times New Roman"/>
                <w:i/>
                <w:iCs/>
                <w:color w:val="000000" w:themeColor="text1"/>
                <w:szCs w:val="22"/>
                <w:bdr w:val="none" w:sz="0" w:space="0" w:color="auto" w:frame="1"/>
              </w:rPr>
            </w:pPr>
            <w:proofErr w:type="spellStart"/>
            <w:r w:rsidRPr="00CB10DF">
              <w:rPr>
                <w:rFonts w:ascii="Times New Roman" w:hAnsi="Times New Roman" w:cs="Times New Roman"/>
                <w:i/>
                <w:iCs/>
                <w:color w:val="000000" w:themeColor="text1"/>
                <w:szCs w:val="22"/>
                <w:bdr w:val="none" w:sz="0" w:space="0" w:color="auto" w:frame="1"/>
              </w:rPr>
              <w:t>Brachytron</w:t>
            </w:r>
            <w:proofErr w:type="spellEnd"/>
            <w:r w:rsidRPr="00CB10DF">
              <w:rPr>
                <w:rFonts w:ascii="Times New Roman" w:hAnsi="Times New Roman" w:cs="Times New Roman"/>
                <w:i/>
                <w:iCs/>
                <w:color w:val="000000" w:themeColor="text1"/>
                <w:szCs w:val="22"/>
                <w:bdr w:val="none" w:sz="0" w:space="0" w:color="auto" w:frame="1"/>
              </w:rPr>
              <w:t xml:space="preserve"> </w:t>
            </w:r>
            <w:proofErr w:type="spellStart"/>
            <w:r w:rsidRPr="00CB10DF">
              <w:rPr>
                <w:rFonts w:ascii="Times New Roman" w:hAnsi="Times New Roman" w:cs="Times New Roman"/>
                <w:i/>
                <w:iCs/>
                <w:color w:val="000000" w:themeColor="text1"/>
                <w:szCs w:val="22"/>
                <w:bdr w:val="none" w:sz="0" w:space="0" w:color="auto" w:frame="1"/>
              </w:rPr>
              <w:t>pratense</w:t>
            </w:r>
            <w:proofErr w:type="spellEnd"/>
          </w:p>
        </w:tc>
        <w:tc>
          <w:tcPr>
            <w:tcW w:w="810" w:type="dxa"/>
            <w:vAlign w:val="center"/>
          </w:tcPr>
          <w:p w14:paraId="2828F096" w14:textId="77777777" w:rsidR="002B4534" w:rsidRPr="00CB10DF" w:rsidRDefault="002B4534" w:rsidP="002B4534">
            <w:pPr>
              <w:autoSpaceDE w:val="0"/>
              <w:autoSpaceDN w:val="0"/>
              <w:adjustRightInd w:val="0"/>
              <w:spacing w:line="360" w:lineRule="auto"/>
              <w:jc w:val="center"/>
              <w:rPr>
                <w:rFonts w:ascii="Times New Roman" w:hAnsi="Times New Roman" w:cs="Times New Roman"/>
                <w:color w:val="000000" w:themeColor="text1"/>
                <w:szCs w:val="22"/>
              </w:rPr>
            </w:pPr>
            <w:r w:rsidRPr="00CB10DF">
              <w:rPr>
                <w:rFonts w:ascii="Times New Roman" w:hAnsi="Times New Roman" w:cs="Times New Roman"/>
                <w:color w:val="000000" w:themeColor="text1"/>
                <w:szCs w:val="22"/>
              </w:rPr>
              <w:t>194</w:t>
            </w:r>
          </w:p>
        </w:tc>
        <w:tc>
          <w:tcPr>
            <w:tcW w:w="1696" w:type="dxa"/>
          </w:tcPr>
          <w:p w14:paraId="45A27725" w14:textId="77777777" w:rsidR="002B4534" w:rsidRPr="00CB10DF" w:rsidRDefault="002B4534" w:rsidP="002B4534">
            <w:pPr>
              <w:autoSpaceDE w:val="0"/>
              <w:autoSpaceDN w:val="0"/>
              <w:adjustRightInd w:val="0"/>
              <w:spacing w:line="360" w:lineRule="auto"/>
              <w:jc w:val="thaiDistribute"/>
              <w:rPr>
                <w:rFonts w:ascii="Times New Roman" w:hAnsi="Times New Roman" w:cs="Times New Roman"/>
                <w:color w:val="000000" w:themeColor="text1"/>
                <w:szCs w:val="22"/>
              </w:rPr>
            </w:pPr>
            <w:r w:rsidRPr="00CB10DF">
              <w:rPr>
                <w:rFonts w:ascii="Times New Roman" w:hAnsi="Times New Roman" w:cs="Times New Roman"/>
                <w:color w:val="000000" w:themeColor="text1"/>
                <w:szCs w:val="22"/>
              </w:rPr>
              <w:t>spring species</w:t>
            </w:r>
          </w:p>
        </w:tc>
        <w:tc>
          <w:tcPr>
            <w:tcW w:w="1252" w:type="dxa"/>
          </w:tcPr>
          <w:p w14:paraId="04C1B052" w14:textId="77777777" w:rsidR="002B4534" w:rsidRPr="00CB10DF" w:rsidRDefault="002B4534" w:rsidP="002B4534">
            <w:pPr>
              <w:pStyle w:val="NoSpacing"/>
              <w:spacing w:line="360" w:lineRule="auto"/>
              <w:jc w:val="thaiDistribute"/>
              <w:rPr>
                <w:rFonts w:ascii="Times New Roman" w:hAnsi="Times New Roman" w:cs="Times New Roman"/>
                <w:color w:val="000000" w:themeColor="text1"/>
                <w:szCs w:val="22"/>
                <w:bdr w:val="none" w:sz="0" w:space="0" w:color="auto" w:frame="1"/>
              </w:rPr>
            </w:pPr>
            <w:r w:rsidRPr="00CB10DF">
              <w:rPr>
                <w:rFonts w:ascii="Times New Roman" w:hAnsi="Times New Roman" w:cs="Times New Roman"/>
                <w:color w:val="000000" w:themeColor="text1"/>
                <w:szCs w:val="22"/>
                <w:bdr w:val="none" w:sz="0" w:space="0" w:color="auto" w:frame="1"/>
              </w:rPr>
              <w:t>semivoltine</w:t>
            </w:r>
          </w:p>
        </w:tc>
        <w:tc>
          <w:tcPr>
            <w:tcW w:w="2708" w:type="dxa"/>
          </w:tcPr>
          <w:p w14:paraId="1595E028" w14:textId="77777777" w:rsidR="002B4534" w:rsidRPr="00CB10DF" w:rsidRDefault="002B4534" w:rsidP="002B4534">
            <w:pPr>
              <w:pStyle w:val="NoSpacing"/>
              <w:spacing w:line="360" w:lineRule="auto"/>
              <w:jc w:val="thaiDistribute"/>
              <w:rPr>
                <w:rFonts w:ascii="Times New Roman" w:hAnsi="Times New Roman" w:cs="Times New Roman"/>
                <w:color w:val="000000" w:themeColor="text1"/>
                <w:szCs w:val="22"/>
                <w:bdr w:val="none" w:sz="0" w:space="0" w:color="auto" w:frame="1"/>
              </w:rPr>
            </w:pPr>
            <w:r w:rsidRPr="00CB10DF">
              <w:rPr>
                <w:rFonts w:ascii="Times New Roman" w:hAnsi="Times New Roman" w:cs="Times New Roman"/>
                <w:color w:val="000000" w:themeColor="text1"/>
                <w:szCs w:val="22"/>
              </w:rPr>
              <w:t>spring (y-2) to winter (y0)</w:t>
            </w:r>
          </w:p>
        </w:tc>
      </w:tr>
      <w:tr w:rsidR="002B4534" w:rsidRPr="00CB10DF" w14:paraId="194CFCD0" w14:textId="77777777" w:rsidTr="002B4534">
        <w:tc>
          <w:tcPr>
            <w:tcW w:w="445" w:type="dxa"/>
            <w:vMerge/>
          </w:tcPr>
          <w:p w14:paraId="7050A865" w14:textId="77777777" w:rsidR="002B4534" w:rsidRPr="00CB10DF" w:rsidRDefault="002B4534" w:rsidP="002B4534">
            <w:pPr>
              <w:pStyle w:val="NoSpacing"/>
              <w:spacing w:line="276" w:lineRule="auto"/>
              <w:jc w:val="thaiDistribute"/>
              <w:rPr>
                <w:rFonts w:ascii="Times New Roman" w:hAnsi="Times New Roman" w:cs="Times New Roman"/>
                <w:color w:val="000000" w:themeColor="text1"/>
                <w:szCs w:val="22"/>
                <w:bdr w:val="none" w:sz="0" w:space="0" w:color="auto" w:frame="1"/>
              </w:rPr>
            </w:pPr>
          </w:p>
        </w:tc>
        <w:tc>
          <w:tcPr>
            <w:tcW w:w="2430" w:type="dxa"/>
          </w:tcPr>
          <w:p w14:paraId="61592A71" w14:textId="77777777" w:rsidR="002B4534" w:rsidRPr="00CB10DF" w:rsidRDefault="002B4534" w:rsidP="002B4534">
            <w:pPr>
              <w:pStyle w:val="NoSpacing"/>
              <w:spacing w:line="360" w:lineRule="auto"/>
              <w:ind w:right="-110"/>
              <w:jc w:val="thaiDistribute"/>
              <w:rPr>
                <w:rFonts w:ascii="Times New Roman" w:hAnsi="Times New Roman" w:cs="Times New Roman"/>
                <w:i/>
                <w:iCs/>
                <w:color w:val="000000" w:themeColor="text1"/>
                <w:szCs w:val="22"/>
                <w:bdr w:val="none" w:sz="0" w:space="0" w:color="auto" w:frame="1"/>
              </w:rPr>
            </w:pPr>
            <w:proofErr w:type="spellStart"/>
            <w:r w:rsidRPr="00CB10DF">
              <w:rPr>
                <w:rFonts w:ascii="Times New Roman" w:hAnsi="Times New Roman" w:cs="Times New Roman"/>
                <w:i/>
                <w:iCs/>
                <w:color w:val="000000" w:themeColor="text1"/>
                <w:szCs w:val="22"/>
                <w:bdr w:val="none" w:sz="0" w:space="0" w:color="auto" w:frame="1"/>
              </w:rPr>
              <w:t>Libellula</w:t>
            </w:r>
            <w:proofErr w:type="spellEnd"/>
            <w:r w:rsidRPr="00CB10DF">
              <w:rPr>
                <w:rFonts w:ascii="Times New Roman" w:hAnsi="Times New Roman" w:cs="Times New Roman"/>
                <w:i/>
                <w:iCs/>
                <w:color w:val="000000" w:themeColor="text1"/>
                <w:szCs w:val="22"/>
                <w:bdr w:val="none" w:sz="0" w:space="0" w:color="auto" w:frame="1"/>
              </w:rPr>
              <w:t xml:space="preserve"> </w:t>
            </w:r>
            <w:proofErr w:type="spellStart"/>
            <w:r w:rsidRPr="00CB10DF">
              <w:rPr>
                <w:rFonts w:ascii="Times New Roman" w:hAnsi="Times New Roman" w:cs="Times New Roman"/>
                <w:i/>
                <w:iCs/>
                <w:color w:val="000000" w:themeColor="text1"/>
                <w:szCs w:val="22"/>
                <w:bdr w:val="none" w:sz="0" w:space="0" w:color="auto" w:frame="1"/>
              </w:rPr>
              <w:t>quadrimaculata</w:t>
            </w:r>
            <w:proofErr w:type="spellEnd"/>
          </w:p>
        </w:tc>
        <w:tc>
          <w:tcPr>
            <w:tcW w:w="810" w:type="dxa"/>
            <w:vAlign w:val="center"/>
          </w:tcPr>
          <w:p w14:paraId="34BE25B7" w14:textId="77777777" w:rsidR="002B4534" w:rsidRPr="00CB10DF" w:rsidRDefault="002B4534" w:rsidP="002B4534">
            <w:pPr>
              <w:autoSpaceDE w:val="0"/>
              <w:autoSpaceDN w:val="0"/>
              <w:adjustRightInd w:val="0"/>
              <w:spacing w:line="360" w:lineRule="auto"/>
              <w:jc w:val="center"/>
              <w:rPr>
                <w:rFonts w:ascii="Times New Roman" w:hAnsi="Times New Roman" w:cs="Times New Roman"/>
                <w:color w:val="000000" w:themeColor="text1"/>
                <w:szCs w:val="22"/>
              </w:rPr>
            </w:pPr>
            <w:r w:rsidRPr="00CB10DF">
              <w:rPr>
                <w:rFonts w:ascii="Times New Roman" w:hAnsi="Times New Roman" w:cs="Times New Roman"/>
                <w:color w:val="000000" w:themeColor="text1"/>
                <w:szCs w:val="22"/>
              </w:rPr>
              <w:t>235</w:t>
            </w:r>
          </w:p>
        </w:tc>
        <w:tc>
          <w:tcPr>
            <w:tcW w:w="1696" w:type="dxa"/>
          </w:tcPr>
          <w:p w14:paraId="7DB9B033" w14:textId="77777777" w:rsidR="002B4534" w:rsidRPr="00CB10DF" w:rsidRDefault="002B4534" w:rsidP="002B4534">
            <w:pPr>
              <w:autoSpaceDE w:val="0"/>
              <w:autoSpaceDN w:val="0"/>
              <w:adjustRightInd w:val="0"/>
              <w:spacing w:line="360" w:lineRule="auto"/>
              <w:jc w:val="thaiDistribute"/>
              <w:rPr>
                <w:rFonts w:ascii="Times New Roman" w:hAnsi="Times New Roman" w:cs="Times New Roman"/>
                <w:color w:val="000000" w:themeColor="text1"/>
                <w:szCs w:val="22"/>
              </w:rPr>
            </w:pPr>
            <w:r w:rsidRPr="00CB10DF">
              <w:rPr>
                <w:rFonts w:ascii="Times New Roman" w:hAnsi="Times New Roman" w:cs="Times New Roman"/>
                <w:color w:val="000000" w:themeColor="text1"/>
                <w:szCs w:val="22"/>
              </w:rPr>
              <w:t>spring species</w:t>
            </w:r>
          </w:p>
        </w:tc>
        <w:tc>
          <w:tcPr>
            <w:tcW w:w="1252" w:type="dxa"/>
          </w:tcPr>
          <w:p w14:paraId="57A982BF" w14:textId="77777777" w:rsidR="002B4534" w:rsidRPr="00CB10DF" w:rsidRDefault="002B4534" w:rsidP="002B4534">
            <w:pPr>
              <w:pStyle w:val="NoSpacing"/>
              <w:spacing w:line="360" w:lineRule="auto"/>
              <w:jc w:val="thaiDistribute"/>
              <w:rPr>
                <w:rFonts w:ascii="Times New Roman" w:hAnsi="Times New Roman" w:cs="Times New Roman"/>
                <w:color w:val="000000" w:themeColor="text1"/>
                <w:szCs w:val="22"/>
                <w:bdr w:val="none" w:sz="0" w:space="0" w:color="auto" w:frame="1"/>
              </w:rPr>
            </w:pPr>
            <w:r w:rsidRPr="00CB10DF">
              <w:rPr>
                <w:rFonts w:ascii="Times New Roman" w:hAnsi="Times New Roman" w:cs="Times New Roman"/>
                <w:color w:val="000000" w:themeColor="text1"/>
                <w:szCs w:val="22"/>
                <w:bdr w:val="none" w:sz="0" w:space="0" w:color="auto" w:frame="1"/>
              </w:rPr>
              <w:t>semivoltine</w:t>
            </w:r>
          </w:p>
        </w:tc>
        <w:tc>
          <w:tcPr>
            <w:tcW w:w="2708" w:type="dxa"/>
          </w:tcPr>
          <w:p w14:paraId="1D09BAB9" w14:textId="77777777" w:rsidR="002B4534" w:rsidRPr="00CB10DF" w:rsidRDefault="002B4534" w:rsidP="002B4534">
            <w:pPr>
              <w:pStyle w:val="NoSpacing"/>
              <w:spacing w:line="360" w:lineRule="auto"/>
              <w:jc w:val="thaiDistribute"/>
              <w:rPr>
                <w:rFonts w:ascii="Times New Roman" w:hAnsi="Times New Roman" w:cs="Times New Roman"/>
                <w:color w:val="000000" w:themeColor="text1"/>
                <w:szCs w:val="22"/>
                <w:bdr w:val="none" w:sz="0" w:space="0" w:color="auto" w:frame="1"/>
              </w:rPr>
            </w:pPr>
            <w:r w:rsidRPr="00CB10DF">
              <w:rPr>
                <w:rFonts w:ascii="Times New Roman" w:hAnsi="Times New Roman" w:cs="Times New Roman"/>
                <w:color w:val="000000" w:themeColor="text1"/>
                <w:szCs w:val="22"/>
              </w:rPr>
              <w:t>spring (y-2) to winter (y0)</w:t>
            </w:r>
          </w:p>
        </w:tc>
      </w:tr>
      <w:tr w:rsidR="002B4534" w:rsidRPr="00CB10DF" w14:paraId="39D12FAF" w14:textId="77777777" w:rsidTr="002B4534">
        <w:tc>
          <w:tcPr>
            <w:tcW w:w="445" w:type="dxa"/>
            <w:vMerge/>
          </w:tcPr>
          <w:p w14:paraId="398B747B" w14:textId="77777777" w:rsidR="002B4534" w:rsidRPr="00CB10DF" w:rsidRDefault="002B4534" w:rsidP="002B4534">
            <w:pPr>
              <w:pStyle w:val="NoSpacing"/>
              <w:spacing w:line="276" w:lineRule="auto"/>
              <w:jc w:val="thaiDistribute"/>
              <w:rPr>
                <w:rFonts w:ascii="Times New Roman" w:hAnsi="Times New Roman" w:cs="Times New Roman"/>
                <w:color w:val="000000" w:themeColor="text1"/>
                <w:szCs w:val="22"/>
                <w:bdr w:val="none" w:sz="0" w:space="0" w:color="auto" w:frame="1"/>
              </w:rPr>
            </w:pPr>
          </w:p>
        </w:tc>
        <w:tc>
          <w:tcPr>
            <w:tcW w:w="2430" w:type="dxa"/>
          </w:tcPr>
          <w:p w14:paraId="36006003" w14:textId="77777777" w:rsidR="002B4534" w:rsidRPr="00CB10DF" w:rsidRDefault="002B4534" w:rsidP="002B4534">
            <w:pPr>
              <w:pStyle w:val="NoSpacing"/>
              <w:spacing w:line="360" w:lineRule="auto"/>
              <w:jc w:val="thaiDistribute"/>
              <w:rPr>
                <w:rFonts w:ascii="Times New Roman" w:hAnsi="Times New Roman" w:cs="Times New Roman"/>
                <w:i/>
                <w:iCs/>
                <w:color w:val="000000" w:themeColor="text1"/>
                <w:szCs w:val="22"/>
                <w:bdr w:val="none" w:sz="0" w:space="0" w:color="auto" w:frame="1"/>
              </w:rPr>
            </w:pPr>
            <w:proofErr w:type="spellStart"/>
            <w:r w:rsidRPr="00CB10DF">
              <w:rPr>
                <w:rFonts w:ascii="Times New Roman" w:hAnsi="Times New Roman" w:cs="Times New Roman"/>
                <w:i/>
                <w:iCs/>
                <w:color w:val="000000" w:themeColor="text1"/>
                <w:szCs w:val="22"/>
                <w:bdr w:val="none" w:sz="0" w:space="0" w:color="auto" w:frame="1"/>
              </w:rPr>
              <w:t>Somatochlora</w:t>
            </w:r>
            <w:proofErr w:type="spellEnd"/>
            <w:r w:rsidRPr="00CB10DF">
              <w:rPr>
                <w:rFonts w:ascii="Times New Roman" w:hAnsi="Times New Roman" w:cs="Times New Roman"/>
                <w:i/>
                <w:iCs/>
                <w:color w:val="000000" w:themeColor="text1"/>
                <w:szCs w:val="22"/>
                <w:bdr w:val="none" w:sz="0" w:space="0" w:color="auto" w:frame="1"/>
              </w:rPr>
              <w:t xml:space="preserve"> </w:t>
            </w:r>
            <w:proofErr w:type="spellStart"/>
            <w:r w:rsidRPr="00CB10DF">
              <w:rPr>
                <w:rFonts w:ascii="Times New Roman" w:hAnsi="Times New Roman" w:cs="Times New Roman"/>
                <w:i/>
                <w:iCs/>
                <w:color w:val="000000" w:themeColor="text1"/>
                <w:szCs w:val="22"/>
                <w:bdr w:val="none" w:sz="0" w:space="0" w:color="auto" w:frame="1"/>
              </w:rPr>
              <w:t>metallica</w:t>
            </w:r>
            <w:proofErr w:type="spellEnd"/>
          </w:p>
        </w:tc>
        <w:tc>
          <w:tcPr>
            <w:tcW w:w="810" w:type="dxa"/>
            <w:vAlign w:val="center"/>
          </w:tcPr>
          <w:p w14:paraId="477017F3" w14:textId="77777777" w:rsidR="002B4534" w:rsidRPr="00CB10DF" w:rsidRDefault="002B4534" w:rsidP="002B4534">
            <w:pPr>
              <w:autoSpaceDE w:val="0"/>
              <w:autoSpaceDN w:val="0"/>
              <w:adjustRightInd w:val="0"/>
              <w:spacing w:line="360" w:lineRule="auto"/>
              <w:jc w:val="center"/>
              <w:rPr>
                <w:rFonts w:ascii="Times New Roman" w:hAnsi="Times New Roman" w:cs="Times New Roman"/>
                <w:color w:val="000000" w:themeColor="text1"/>
                <w:szCs w:val="22"/>
              </w:rPr>
            </w:pPr>
            <w:r w:rsidRPr="00CB10DF">
              <w:rPr>
                <w:rFonts w:ascii="Times New Roman" w:hAnsi="Times New Roman" w:cs="Times New Roman"/>
                <w:color w:val="000000" w:themeColor="text1"/>
                <w:szCs w:val="22"/>
              </w:rPr>
              <w:t>64</w:t>
            </w:r>
          </w:p>
        </w:tc>
        <w:tc>
          <w:tcPr>
            <w:tcW w:w="1696" w:type="dxa"/>
          </w:tcPr>
          <w:p w14:paraId="32539C58" w14:textId="77777777" w:rsidR="002B4534" w:rsidRPr="00CB10DF" w:rsidRDefault="002B4534" w:rsidP="002B4534">
            <w:pPr>
              <w:autoSpaceDE w:val="0"/>
              <w:autoSpaceDN w:val="0"/>
              <w:adjustRightInd w:val="0"/>
              <w:spacing w:line="360" w:lineRule="auto"/>
              <w:jc w:val="thaiDistribute"/>
              <w:rPr>
                <w:rFonts w:ascii="Times New Roman" w:hAnsi="Times New Roman" w:cs="Times New Roman"/>
                <w:color w:val="000000" w:themeColor="text1"/>
                <w:szCs w:val="22"/>
              </w:rPr>
            </w:pPr>
            <w:r w:rsidRPr="00CB10DF">
              <w:rPr>
                <w:rFonts w:ascii="Times New Roman" w:hAnsi="Times New Roman" w:cs="Times New Roman"/>
                <w:color w:val="000000" w:themeColor="text1"/>
                <w:szCs w:val="22"/>
              </w:rPr>
              <w:t>summer species</w:t>
            </w:r>
          </w:p>
        </w:tc>
        <w:tc>
          <w:tcPr>
            <w:tcW w:w="1252" w:type="dxa"/>
          </w:tcPr>
          <w:p w14:paraId="4CA1B85B" w14:textId="77777777" w:rsidR="002B4534" w:rsidRPr="00CB10DF" w:rsidRDefault="002B4534" w:rsidP="002B4534">
            <w:pPr>
              <w:pStyle w:val="NoSpacing"/>
              <w:spacing w:line="360" w:lineRule="auto"/>
              <w:jc w:val="thaiDistribute"/>
              <w:rPr>
                <w:rFonts w:ascii="Times New Roman" w:hAnsi="Times New Roman" w:cs="Times New Roman"/>
                <w:color w:val="000000" w:themeColor="text1"/>
                <w:szCs w:val="22"/>
                <w:bdr w:val="none" w:sz="0" w:space="0" w:color="auto" w:frame="1"/>
              </w:rPr>
            </w:pPr>
            <w:r w:rsidRPr="00CB10DF">
              <w:rPr>
                <w:rFonts w:ascii="Times New Roman" w:hAnsi="Times New Roman" w:cs="Times New Roman"/>
                <w:color w:val="000000" w:themeColor="text1"/>
                <w:szCs w:val="22"/>
                <w:bdr w:val="none" w:sz="0" w:space="0" w:color="auto" w:frame="1"/>
              </w:rPr>
              <w:t>semivoltine</w:t>
            </w:r>
          </w:p>
        </w:tc>
        <w:tc>
          <w:tcPr>
            <w:tcW w:w="2708" w:type="dxa"/>
          </w:tcPr>
          <w:p w14:paraId="732A5379" w14:textId="77777777" w:rsidR="002B4534" w:rsidRPr="00CB10DF" w:rsidRDefault="002B4534" w:rsidP="002B4534">
            <w:pPr>
              <w:pStyle w:val="NoSpacing"/>
              <w:spacing w:line="360" w:lineRule="auto"/>
              <w:jc w:val="thaiDistribute"/>
              <w:rPr>
                <w:rFonts w:ascii="Times New Roman" w:hAnsi="Times New Roman" w:cs="Times New Roman"/>
                <w:b/>
                <w:bCs/>
                <w:color w:val="000000" w:themeColor="text1"/>
                <w:szCs w:val="22"/>
                <w:bdr w:val="none" w:sz="0" w:space="0" w:color="auto" w:frame="1"/>
              </w:rPr>
            </w:pPr>
            <w:r w:rsidRPr="00CB10DF">
              <w:rPr>
                <w:rFonts w:ascii="Times New Roman" w:hAnsi="Times New Roman" w:cs="Times New Roman"/>
                <w:color w:val="000000" w:themeColor="text1"/>
                <w:szCs w:val="22"/>
              </w:rPr>
              <w:t>summer (y-2) to spring (y0)</w:t>
            </w:r>
          </w:p>
        </w:tc>
      </w:tr>
      <w:tr w:rsidR="002B4534" w:rsidRPr="00CB10DF" w14:paraId="1D71EB12" w14:textId="77777777" w:rsidTr="002B4534">
        <w:tc>
          <w:tcPr>
            <w:tcW w:w="445" w:type="dxa"/>
            <w:vMerge/>
          </w:tcPr>
          <w:p w14:paraId="291F279D" w14:textId="77777777" w:rsidR="002B4534" w:rsidRPr="00CB10DF" w:rsidRDefault="002B4534" w:rsidP="002B4534">
            <w:pPr>
              <w:pStyle w:val="NoSpacing"/>
              <w:spacing w:line="276" w:lineRule="auto"/>
              <w:jc w:val="thaiDistribute"/>
              <w:rPr>
                <w:rFonts w:ascii="Times New Roman" w:hAnsi="Times New Roman" w:cs="Times New Roman"/>
                <w:color w:val="000000" w:themeColor="text1"/>
                <w:szCs w:val="22"/>
                <w:bdr w:val="none" w:sz="0" w:space="0" w:color="auto" w:frame="1"/>
              </w:rPr>
            </w:pPr>
          </w:p>
        </w:tc>
        <w:tc>
          <w:tcPr>
            <w:tcW w:w="2430" w:type="dxa"/>
          </w:tcPr>
          <w:p w14:paraId="2B3F801D" w14:textId="77777777" w:rsidR="002B4534" w:rsidRPr="00CB10DF" w:rsidRDefault="002B4534" w:rsidP="002B4534">
            <w:pPr>
              <w:pStyle w:val="NoSpacing"/>
              <w:spacing w:line="360" w:lineRule="auto"/>
              <w:jc w:val="thaiDistribute"/>
              <w:rPr>
                <w:rFonts w:ascii="Times New Roman" w:hAnsi="Times New Roman" w:cs="Times New Roman"/>
                <w:i/>
                <w:iCs/>
                <w:color w:val="000000" w:themeColor="text1"/>
                <w:szCs w:val="22"/>
                <w:bdr w:val="none" w:sz="0" w:space="0" w:color="auto" w:frame="1"/>
              </w:rPr>
            </w:pPr>
            <w:r w:rsidRPr="00CB10DF">
              <w:rPr>
                <w:rFonts w:ascii="Times New Roman" w:hAnsi="Times New Roman" w:cs="Times New Roman"/>
                <w:i/>
                <w:iCs/>
                <w:color w:val="000000" w:themeColor="text1"/>
                <w:szCs w:val="22"/>
                <w:bdr w:val="none" w:sz="0" w:space="0" w:color="auto" w:frame="1"/>
              </w:rPr>
              <w:t xml:space="preserve">Sympetrum </w:t>
            </w:r>
            <w:proofErr w:type="spellStart"/>
            <w:r w:rsidRPr="00CB10DF">
              <w:rPr>
                <w:rFonts w:ascii="Times New Roman" w:hAnsi="Times New Roman" w:cs="Times New Roman"/>
                <w:i/>
                <w:iCs/>
                <w:color w:val="000000" w:themeColor="text1"/>
                <w:szCs w:val="22"/>
                <w:bdr w:val="none" w:sz="0" w:space="0" w:color="auto" w:frame="1"/>
              </w:rPr>
              <w:t>striolatum</w:t>
            </w:r>
            <w:proofErr w:type="spellEnd"/>
          </w:p>
        </w:tc>
        <w:tc>
          <w:tcPr>
            <w:tcW w:w="810" w:type="dxa"/>
            <w:vAlign w:val="center"/>
          </w:tcPr>
          <w:p w14:paraId="3E22965A" w14:textId="77777777" w:rsidR="002B4534" w:rsidRPr="00CB10DF" w:rsidRDefault="002B4534" w:rsidP="002B4534">
            <w:pPr>
              <w:autoSpaceDE w:val="0"/>
              <w:autoSpaceDN w:val="0"/>
              <w:adjustRightInd w:val="0"/>
              <w:spacing w:line="360" w:lineRule="auto"/>
              <w:jc w:val="center"/>
              <w:rPr>
                <w:rFonts w:ascii="Times New Roman" w:hAnsi="Times New Roman" w:cs="Times New Roman"/>
                <w:color w:val="000000" w:themeColor="text1"/>
                <w:szCs w:val="22"/>
              </w:rPr>
            </w:pPr>
            <w:r w:rsidRPr="00CB10DF">
              <w:rPr>
                <w:rFonts w:ascii="Times New Roman" w:hAnsi="Times New Roman" w:cs="Times New Roman"/>
                <w:color w:val="000000" w:themeColor="text1"/>
                <w:szCs w:val="22"/>
              </w:rPr>
              <w:t>482</w:t>
            </w:r>
          </w:p>
        </w:tc>
        <w:tc>
          <w:tcPr>
            <w:tcW w:w="1696" w:type="dxa"/>
          </w:tcPr>
          <w:p w14:paraId="4FEECEEA" w14:textId="77777777" w:rsidR="002B4534" w:rsidRPr="00CB10DF" w:rsidRDefault="002B4534" w:rsidP="002B4534">
            <w:pPr>
              <w:autoSpaceDE w:val="0"/>
              <w:autoSpaceDN w:val="0"/>
              <w:adjustRightInd w:val="0"/>
              <w:spacing w:line="360" w:lineRule="auto"/>
              <w:jc w:val="thaiDistribute"/>
              <w:rPr>
                <w:rFonts w:ascii="Times New Roman" w:hAnsi="Times New Roman" w:cs="Times New Roman"/>
                <w:color w:val="000000" w:themeColor="text1"/>
                <w:szCs w:val="22"/>
              </w:rPr>
            </w:pPr>
            <w:r w:rsidRPr="00CB10DF">
              <w:rPr>
                <w:rFonts w:ascii="Times New Roman" w:hAnsi="Times New Roman" w:cs="Times New Roman"/>
                <w:color w:val="000000" w:themeColor="text1"/>
                <w:szCs w:val="22"/>
              </w:rPr>
              <w:t>summer species</w:t>
            </w:r>
          </w:p>
        </w:tc>
        <w:tc>
          <w:tcPr>
            <w:tcW w:w="1252" w:type="dxa"/>
          </w:tcPr>
          <w:p w14:paraId="1784C725" w14:textId="77777777" w:rsidR="002B4534" w:rsidRPr="00CB10DF" w:rsidRDefault="002B4534" w:rsidP="002B4534">
            <w:pPr>
              <w:pStyle w:val="NoSpacing"/>
              <w:spacing w:line="360" w:lineRule="auto"/>
              <w:jc w:val="thaiDistribute"/>
              <w:rPr>
                <w:rFonts w:ascii="Times New Roman" w:hAnsi="Times New Roman" w:cs="Times New Roman"/>
                <w:color w:val="000000" w:themeColor="text1"/>
                <w:szCs w:val="22"/>
                <w:bdr w:val="none" w:sz="0" w:space="0" w:color="auto" w:frame="1"/>
              </w:rPr>
            </w:pPr>
            <w:proofErr w:type="spellStart"/>
            <w:r w:rsidRPr="00CB10DF">
              <w:rPr>
                <w:rFonts w:ascii="Times New Roman" w:hAnsi="Times New Roman" w:cs="Times New Roman"/>
                <w:color w:val="000000" w:themeColor="text1"/>
                <w:szCs w:val="22"/>
                <w:bdr w:val="none" w:sz="0" w:space="0" w:color="auto" w:frame="1"/>
              </w:rPr>
              <w:t>Univoltine</w:t>
            </w:r>
            <w:proofErr w:type="spellEnd"/>
          </w:p>
        </w:tc>
        <w:tc>
          <w:tcPr>
            <w:tcW w:w="2708" w:type="dxa"/>
          </w:tcPr>
          <w:p w14:paraId="5BD88BA4" w14:textId="77777777" w:rsidR="002B4534" w:rsidRPr="00CB10DF" w:rsidRDefault="002B4534" w:rsidP="002B4534">
            <w:pPr>
              <w:pStyle w:val="NoSpacing"/>
              <w:spacing w:line="360" w:lineRule="auto"/>
              <w:jc w:val="thaiDistribute"/>
              <w:rPr>
                <w:rFonts w:ascii="Times New Roman" w:hAnsi="Times New Roman" w:cs="Times New Roman"/>
                <w:color w:val="000000" w:themeColor="text1"/>
                <w:szCs w:val="22"/>
                <w:bdr w:val="none" w:sz="0" w:space="0" w:color="auto" w:frame="1"/>
              </w:rPr>
            </w:pPr>
            <w:r w:rsidRPr="00CB10DF">
              <w:rPr>
                <w:rFonts w:ascii="Times New Roman" w:hAnsi="Times New Roman" w:cs="Times New Roman"/>
                <w:color w:val="000000" w:themeColor="text1"/>
                <w:szCs w:val="22"/>
              </w:rPr>
              <w:t>spring (y0)</w:t>
            </w:r>
          </w:p>
        </w:tc>
      </w:tr>
      <w:tr w:rsidR="002B4534" w:rsidRPr="00CB10DF" w14:paraId="7DA36E90" w14:textId="77777777" w:rsidTr="002B4534">
        <w:tc>
          <w:tcPr>
            <w:tcW w:w="445" w:type="dxa"/>
            <w:vMerge w:val="restart"/>
            <w:textDirection w:val="btLr"/>
            <w:vAlign w:val="center"/>
          </w:tcPr>
          <w:p w14:paraId="3653D8DF" w14:textId="77777777" w:rsidR="002B4534" w:rsidRPr="00CB10DF" w:rsidRDefault="002B4534" w:rsidP="002B4534">
            <w:pPr>
              <w:pStyle w:val="NoSpacing"/>
              <w:spacing w:line="276" w:lineRule="auto"/>
              <w:ind w:left="113" w:right="113"/>
              <w:jc w:val="center"/>
              <w:rPr>
                <w:rFonts w:ascii="Times New Roman" w:hAnsi="Times New Roman" w:cs="Times New Roman"/>
                <w:color w:val="000000" w:themeColor="text1"/>
                <w:szCs w:val="22"/>
                <w:bdr w:val="none" w:sz="0" w:space="0" w:color="auto" w:frame="1"/>
              </w:rPr>
            </w:pPr>
            <w:r w:rsidRPr="00CB10DF">
              <w:rPr>
                <w:rFonts w:ascii="Times New Roman" w:hAnsi="Times New Roman" w:cs="Times New Roman"/>
                <w:color w:val="000000" w:themeColor="text1"/>
                <w:szCs w:val="22"/>
                <w:bdr w:val="none" w:sz="0" w:space="0" w:color="auto" w:frame="1"/>
              </w:rPr>
              <w:t>Zygoptera</w:t>
            </w:r>
          </w:p>
        </w:tc>
        <w:tc>
          <w:tcPr>
            <w:tcW w:w="2430" w:type="dxa"/>
          </w:tcPr>
          <w:p w14:paraId="49B3B9DA" w14:textId="77777777" w:rsidR="002B4534" w:rsidRPr="00CB10DF" w:rsidRDefault="002B4534" w:rsidP="002B4534">
            <w:pPr>
              <w:pStyle w:val="NoSpacing"/>
              <w:spacing w:line="360" w:lineRule="auto"/>
              <w:jc w:val="thaiDistribute"/>
              <w:rPr>
                <w:rFonts w:ascii="Times New Roman" w:hAnsi="Times New Roman" w:cs="Times New Roman"/>
                <w:i/>
                <w:iCs/>
                <w:color w:val="000000" w:themeColor="text1"/>
                <w:szCs w:val="22"/>
                <w:bdr w:val="none" w:sz="0" w:space="0" w:color="auto" w:frame="1"/>
              </w:rPr>
            </w:pPr>
            <w:r w:rsidRPr="00CB10DF">
              <w:rPr>
                <w:rFonts w:ascii="Times New Roman" w:hAnsi="Times New Roman" w:cs="Times New Roman"/>
                <w:i/>
                <w:iCs/>
                <w:color w:val="000000" w:themeColor="text1"/>
                <w:szCs w:val="22"/>
                <w:bdr w:val="none" w:sz="0" w:space="0" w:color="auto" w:frame="1"/>
              </w:rPr>
              <w:t xml:space="preserve">Calopteryx </w:t>
            </w:r>
            <w:proofErr w:type="spellStart"/>
            <w:r w:rsidRPr="00CB10DF">
              <w:rPr>
                <w:rFonts w:ascii="Times New Roman" w:hAnsi="Times New Roman" w:cs="Times New Roman"/>
                <w:i/>
                <w:iCs/>
                <w:color w:val="000000" w:themeColor="text1"/>
                <w:szCs w:val="22"/>
                <w:bdr w:val="none" w:sz="0" w:space="0" w:color="auto" w:frame="1"/>
              </w:rPr>
              <w:t>splendens</w:t>
            </w:r>
            <w:proofErr w:type="spellEnd"/>
          </w:p>
        </w:tc>
        <w:tc>
          <w:tcPr>
            <w:tcW w:w="810" w:type="dxa"/>
            <w:vAlign w:val="center"/>
          </w:tcPr>
          <w:p w14:paraId="0EEDCE0B" w14:textId="77777777" w:rsidR="002B4534" w:rsidRPr="00CB10DF" w:rsidRDefault="002B4534" w:rsidP="002B4534">
            <w:pPr>
              <w:autoSpaceDE w:val="0"/>
              <w:autoSpaceDN w:val="0"/>
              <w:adjustRightInd w:val="0"/>
              <w:spacing w:line="360" w:lineRule="auto"/>
              <w:jc w:val="center"/>
              <w:rPr>
                <w:rFonts w:ascii="Times New Roman" w:hAnsi="Times New Roman" w:cs="Times New Roman"/>
                <w:color w:val="000000" w:themeColor="text1"/>
                <w:szCs w:val="22"/>
              </w:rPr>
            </w:pPr>
            <w:r w:rsidRPr="00CB10DF">
              <w:rPr>
                <w:rFonts w:ascii="Times New Roman" w:hAnsi="Times New Roman" w:cs="Times New Roman"/>
                <w:color w:val="000000" w:themeColor="text1"/>
                <w:szCs w:val="22"/>
              </w:rPr>
              <w:t>684</w:t>
            </w:r>
          </w:p>
        </w:tc>
        <w:tc>
          <w:tcPr>
            <w:tcW w:w="1696" w:type="dxa"/>
          </w:tcPr>
          <w:p w14:paraId="54063A69" w14:textId="77777777" w:rsidR="002B4534" w:rsidRPr="00CB10DF" w:rsidRDefault="002B4534" w:rsidP="002B4534">
            <w:pPr>
              <w:autoSpaceDE w:val="0"/>
              <w:autoSpaceDN w:val="0"/>
              <w:adjustRightInd w:val="0"/>
              <w:spacing w:line="360" w:lineRule="auto"/>
              <w:jc w:val="thaiDistribute"/>
              <w:rPr>
                <w:rFonts w:ascii="Times New Roman" w:hAnsi="Times New Roman" w:cs="Times New Roman"/>
                <w:color w:val="000000" w:themeColor="text1"/>
                <w:szCs w:val="22"/>
              </w:rPr>
            </w:pPr>
            <w:r w:rsidRPr="00CB10DF">
              <w:rPr>
                <w:rFonts w:ascii="Times New Roman" w:hAnsi="Times New Roman" w:cs="Times New Roman"/>
                <w:color w:val="000000" w:themeColor="text1"/>
                <w:szCs w:val="22"/>
              </w:rPr>
              <w:t>summer species</w:t>
            </w:r>
          </w:p>
        </w:tc>
        <w:tc>
          <w:tcPr>
            <w:tcW w:w="1252" w:type="dxa"/>
          </w:tcPr>
          <w:p w14:paraId="0DFBB3C0" w14:textId="77777777" w:rsidR="002B4534" w:rsidRPr="00CB10DF" w:rsidRDefault="002B4534" w:rsidP="002B4534">
            <w:pPr>
              <w:pStyle w:val="NoSpacing"/>
              <w:spacing w:line="360" w:lineRule="auto"/>
              <w:jc w:val="thaiDistribute"/>
              <w:rPr>
                <w:rFonts w:ascii="Times New Roman" w:hAnsi="Times New Roman" w:cs="Times New Roman"/>
                <w:color w:val="000000" w:themeColor="text1"/>
                <w:szCs w:val="22"/>
                <w:bdr w:val="none" w:sz="0" w:space="0" w:color="auto" w:frame="1"/>
              </w:rPr>
            </w:pPr>
            <w:r w:rsidRPr="00CB10DF">
              <w:rPr>
                <w:rFonts w:ascii="Times New Roman" w:hAnsi="Times New Roman" w:cs="Times New Roman"/>
                <w:color w:val="000000" w:themeColor="text1"/>
                <w:szCs w:val="22"/>
                <w:bdr w:val="none" w:sz="0" w:space="0" w:color="auto" w:frame="1"/>
              </w:rPr>
              <w:t>semivoltine</w:t>
            </w:r>
          </w:p>
        </w:tc>
        <w:tc>
          <w:tcPr>
            <w:tcW w:w="2708" w:type="dxa"/>
          </w:tcPr>
          <w:p w14:paraId="0C2B8BEB" w14:textId="77777777" w:rsidR="002B4534" w:rsidRPr="00CB10DF" w:rsidRDefault="002B4534" w:rsidP="002B4534">
            <w:pPr>
              <w:pStyle w:val="NoSpacing"/>
              <w:spacing w:line="360" w:lineRule="auto"/>
              <w:jc w:val="thaiDistribute"/>
              <w:rPr>
                <w:rFonts w:ascii="Times New Roman" w:hAnsi="Times New Roman" w:cs="Times New Roman"/>
                <w:color w:val="000000" w:themeColor="text1"/>
                <w:szCs w:val="22"/>
                <w:bdr w:val="none" w:sz="0" w:space="0" w:color="auto" w:frame="1"/>
              </w:rPr>
            </w:pPr>
            <w:r w:rsidRPr="00CB10DF">
              <w:rPr>
                <w:rFonts w:ascii="Times New Roman" w:hAnsi="Times New Roman" w:cs="Times New Roman"/>
                <w:color w:val="000000" w:themeColor="text1"/>
                <w:szCs w:val="22"/>
              </w:rPr>
              <w:t>summer (y-2) to spring (y0)</w:t>
            </w:r>
          </w:p>
        </w:tc>
      </w:tr>
      <w:tr w:rsidR="002B4534" w:rsidRPr="00CB10DF" w14:paraId="7C9439B8" w14:textId="77777777" w:rsidTr="002B4534">
        <w:tc>
          <w:tcPr>
            <w:tcW w:w="445" w:type="dxa"/>
            <w:vMerge/>
          </w:tcPr>
          <w:p w14:paraId="01D5935C" w14:textId="77777777" w:rsidR="002B4534" w:rsidRPr="00CB10DF" w:rsidRDefault="002B4534" w:rsidP="002B4534">
            <w:pPr>
              <w:pStyle w:val="NoSpacing"/>
              <w:spacing w:line="276" w:lineRule="auto"/>
              <w:jc w:val="thaiDistribute"/>
              <w:rPr>
                <w:rFonts w:ascii="Times New Roman" w:hAnsi="Times New Roman" w:cs="Times New Roman"/>
                <w:color w:val="000000" w:themeColor="text1"/>
                <w:szCs w:val="22"/>
                <w:bdr w:val="none" w:sz="0" w:space="0" w:color="auto" w:frame="1"/>
              </w:rPr>
            </w:pPr>
          </w:p>
        </w:tc>
        <w:tc>
          <w:tcPr>
            <w:tcW w:w="2430" w:type="dxa"/>
          </w:tcPr>
          <w:p w14:paraId="7982EC70" w14:textId="77777777" w:rsidR="002B4534" w:rsidRPr="00CB10DF" w:rsidRDefault="002B4534" w:rsidP="002B4534">
            <w:pPr>
              <w:pStyle w:val="NoSpacing"/>
              <w:spacing w:line="360" w:lineRule="auto"/>
              <w:jc w:val="thaiDistribute"/>
              <w:rPr>
                <w:rFonts w:ascii="Times New Roman" w:hAnsi="Times New Roman" w:cs="Times New Roman"/>
                <w:i/>
                <w:iCs/>
                <w:color w:val="000000" w:themeColor="text1"/>
                <w:szCs w:val="22"/>
                <w:bdr w:val="none" w:sz="0" w:space="0" w:color="auto" w:frame="1"/>
              </w:rPr>
            </w:pPr>
            <w:r w:rsidRPr="00CB10DF">
              <w:rPr>
                <w:rFonts w:ascii="Times New Roman" w:hAnsi="Times New Roman" w:cs="Times New Roman"/>
                <w:i/>
                <w:iCs/>
                <w:color w:val="000000" w:themeColor="text1"/>
                <w:szCs w:val="22"/>
                <w:bdr w:val="none" w:sz="0" w:space="0" w:color="auto" w:frame="1"/>
              </w:rPr>
              <w:t xml:space="preserve">Calopteryx </w:t>
            </w:r>
            <w:proofErr w:type="spellStart"/>
            <w:r w:rsidRPr="00CB10DF">
              <w:rPr>
                <w:rFonts w:ascii="Times New Roman" w:hAnsi="Times New Roman" w:cs="Times New Roman"/>
                <w:i/>
                <w:iCs/>
                <w:color w:val="000000" w:themeColor="text1"/>
                <w:szCs w:val="22"/>
                <w:bdr w:val="none" w:sz="0" w:space="0" w:color="auto" w:frame="1"/>
              </w:rPr>
              <w:t>virgo</w:t>
            </w:r>
            <w:proofErr w:type="spellEnd"/>
          </w:p>
        </w:tc>
        <w:tc>
          <w:tcPr>
            <w:tcW w:w="810" w:type="dxa"/>
            <w:vAlign w:val="center"/>
          </w:tcPr>
          <w:p w14:paraId="2EB5717D" w14:textId="77777777" w:rsidR="002B4534" w:rsidRPr="00CB10DF" w:rsidRDefault="002B4534" w:rsidP="002B4534">
            <w:pPr>
              <w:autoSpaceDE w:val="0"/>
              <w:autoSpaceDN w:val="0"/>
              <w:adjustRightInd w:val="0"/>
              <w:spacing w:line="360" w:lineRule="auto"/>
              <w:jc w:val="center"/>
              <w:rPr>
                <w:rFonts w:ascii="Times New Roman" w:hAnsi="Times New Roman" w:cs="Times New Roman"/>
                <w:color w:val="000000" w:themeColor="text1"/>
                <w:szCs w:val="22"/>
              </w:rPr>
            </w:pPr>
            <w:r w:rsidRPr="00CB10DF">
              <w:rPr>
                <w:rFonts w:ascii="Times New Roman" w:hAnsi="Times New Roman" w:cs="Times New Roman"/>
                <w:color w:val="000000" w:themeColor="text1"/>
                <w:szCs w:val="22"/>
              </w:rPr>
              <w:t>838</w:t>
            </w:r>
          </w:p>
        </w:tc>
        <w:tc>
          <w:tcPr>
            <w:tcW w:w="1696" w:type="dxa"/>
          </w:tcPr>
          <w:p w14:paraId="01CF8914" w14:textId="77777777" w:rsidR="002B4534" w:rsidRPr="00CB10DF" w:rsidRDefault="002B4534" w:rsidP="002B4534">
            <w:pPr>
              <w:autoSpaceDE w:val="0"/>
              <w:autoSpaceDN w:val="0"/>
              <w:adjustRightInd w:val="0"/>
              <w:spacing w:line="360" w:lineRule="auto"/>
              <w:jc w:val="thaiDistribute"/>
              <w:rPr>
                <w:rFonts w:ascii="Times New Roman" w:hAnsi="Times New Roman" w:cs="Times New Roman"/>
                <w:color w:val="000000" w:themeColor="text1"/>
                <w:szCs w:val="22"/>
              </w:rPr>
            </w:pPr>
            <w:r w:rsidRPr="00CB10DF">
              <w:rPr>
                <w:rFonts w:ascii="Times New Roman" w:hAnsi="Times New Roman" w:cs="Times New Roman"/>
                <w:color w:val="000000" w:themeColor="text1"/>
                <w:szCs w:val="22"/>
              </w:rPr>
              <w:t>summer species</w:t>
            </w:r>
          </w:p>
        </w:tc>
        <w:tc>
          <w:tcPr>
            <w:tcW w:w="1252" w:type="dxa"/>
          </w:tcPr>
          <w:p w14:paraId="11CA6E61" w14:textId="77777777" w:rsidR="002B4534" w:rsidRPr="00CB10DF" w:rsidRDefault="002B4534" w:rsidP="002B4534">
            <w:pPr>
              <w:pStyle w:val="NoSpacing"/>
              <w:spacing w:line="360" w:lineRule="auto"/>
              <w:jc w:val="thaiDistribute"/>
              <w:rPr>
                <w:rFonts w:ascii="Times New Roman" w:hAnsi="Times New Roman" w:cs="Times New Roman"/>
                <w:color w:val="000000" w:themeColor="text1"/>
                <w:szCs w:val="22"/>
                <w:bdr w:val="none" w:sz="0" w:space="0" w:color="auto" w:frame="1"/>
              </w:rPr>
            </w:pPr>
            <w:r w:rsidRPr="00CB10DF">
              <w:rPr>
                <w:rFonts w:ascii="Times New Roman" w:hAnsi="Times New Roman" w:cs="Times New Roman"/>
                <w:color w:val="000000" w:themeColor="text1"/>
                <w:szCs w:val="22"/>
                <w:bdr w:val="none" w:sz="0" w:space="0" w:color="auto" w:frame="1"/>
              </w:rPr>
              <w:t>semivoltine</w:t>
            </w:r>
          </w:p>
        </w:tc>
        <w:tc>
          <w:tcPr>
            <w:tcW w:w="2708" w:type="dxa"/>
          </w:tcPr>
          <w:p w14:paraId="1DF935DE" w14:textId="77777777" w:rsidR="002B4534" w:rsidRPr="00CB10DF" w:rsidRDefault="002B4534" w:rsidP="002B4534">
            <w:pPr>
              <w:pStyle w:val="NoSpacing"/>
              <w:spacing w:line="360" w:lineRule="auto"/>
              <w:jc w:val="thaiDistribute"/>
              <w:rPr>
                <w:rFonts w:ascii="Times New Roman" w:hAnsi="Times New Roman" w:cs="Times New Roman"/>
                <w:color w:val="000000" w:themeColor="text1"/>
                <w:szCs w:val="22"/>
                <w:bdr w:val="none" w:sz="0" w:space="0" w:color="auto" w:frame="1"/>
              </w:rPr>
            </w:pPr>
            <w:r w:rsidRPr="00CB10DF">
              <w:rPr>
                <w:rFonts w:ascii="Times New Roman" w:hAnsi="Times New Roman" w:cs="Times New Roman"/>
                <w:color w:val="000000" w:themeColor="text1"/>
                <w:szCs w:val="22"/>
              </w:rPr>
              <w:t>summer (y-2) to spring (y0)</w:t>
            </w:r>
          </w:p>
        </w:tc>
      </w:tr>
      <w:tr w:rsidR="002B4534" w:rsidRPr="00CB10DF" w14:paraId="6903AA3A" w14:textId="77777777" w:rsidTr="002B4534">
        <w:tc>
          <w:tcPr>
            <w:tcW w:w="445" w:type="dxa"/>
            <w:vMerge/>
          </w:tcPr>
          <w:p w14:paraId="5D775143" w14:textId="77777777" w:rsidR="002B4534" w:rsidRPr="00CB10DF" w:rsidRDefault="002B4534" w:rsidP="002B4534">
            <w:pPr>
              <w:pStyle w:val="NoSpacing"/>
              <w:spacing w:line="276" w:lineRule="auto"/>
              <w:jc w:val="thaiDistribute"/>
              <w:rPr>
                <w:rFonts w:ascii="Times New Roman" w:hAnsi="Times New Roman" w:cs="Times New Roman"/>
                <w:color w:val="000000" w:themeColor="text1"/>
                <w:szCs w:val="22"/>
                <w:bdr w:val="none" w:sz="0" w:space="0" w:color="auto" w:frame="1"/>
              </w:rPr>
            </w:pPr>
          </w:p>
        </w:tc>
        <w:tc>
          <w:tcPr>
            <w:tcW w:w="2430" w:type="dxa"/>
          </w:tcPr>
          <w:p w14:paraId="45755646" w14:textId="77777777" w:rsidR="002B4534" w:rsidRPr="00CB10DF" w:rsidRDefault="002B4534" w:rsidP="002B4534">
            <w:pPr>
              <w:pStyle w:val="NoSpacing"/>
              <w:spacing w:line="360" w:lineRule="auto"/>
              <w:jc w:val="thaiDistribute"/>
              <w:rPr>
                <w:rFonts w:ascii="Times New Roman" w:hAnsi="Times New Roman" w:cs="Times New Roman"/>
                <w:i/>
                <w:iCs/>
                <w:color w:val="000000" w:themeColor="text1"/>
                <w:szCs w:val="22"/>
                <w:bdr w:val="none" w:sz="0" w:space="0" w:color="auto" w:frame="1"/>
              </w:rPr>
            </w:pPr>
            <w:proofErr w:type="spellStart"/>
            <w:r w:rsidRPr="00CB10DF">
              <w:rPr>
                <w:rFonts w:ascii="Times New Roman" w:hAnsi="Times New Roman" w:cs="Times New Roman"/>
                <w:i/>
                <w:iCs/>
                <w:color w:val="000000" w:themeColor="text1"/>
                <w:szCs w:val="22"/>
                <w:bdr w:val="none" w:sz="0" w:space="0" w:color="auto" w:frame="1"/>
              </w:rPr>
              <w:t>Coenagrion</w:t>
            </w:r>
            <w:proofErr w:type="spellEnd"/>
            <w:r w:rsidRPr="00CB10DF">
              <w:rPr>
                <w:rFonts w:ascii="Times New Roman" w:hAnsi="Times New Roman" w:cs="Times New Roman"/>
                <w:i/>
                <w:iCs/>
                <w:color w:val="000000" w:themeColor="text1"/>
                <w:szCs w:val="22"/>
                <w:bdr w:val="none" w:sz="0" w:space="0" w:color="auto" w:frame="1"/>
              </w:rPr>
              <w:t xml:space="preserve"> </w:t>
            </w:r>
            <w:proofErr w:type="spellStart"/>
            <w:r w:rsidRPr="00CB10DF">
              <w:rPr>
                <w:rFonts w:ascii="Times New Roman" w:hAnsi="Times New Roman" w:cs="Times New Roman"/>
                <w:i/>
                <w:iCs/>
                <w:color w:val="000000" w:themeColor="text1"/>
                <w:szCs w:val="22"/>
                <w:bdr w:val="none" w:sz="0" w:space="0" w:color="auto" w:frame="1"/>
              </w:rPr>
              <w:t>puella</w:t>
            </w:r>
            <w:proofErr w:type="spellEnd"/>
          </w:p>
        </w:tc>
        <w:tc>
          <w:tcPr>
            <w:tcW w:w="810" w:type="dxa"/>
            <w:vAlign w:val="center"/>
          </w:tcPr>
          <w:p w14:paraId="417B9A97" w14:textId="77777777" w:rsidR="002B4534" w:rsidRPr="00CB10DF" w:rsidRDefault="002B4534" w:rsidP="002B4534">
            <w:pPr>
              <w:autoSpaceDE w:val="0"/>
              <w:autoSpaceDN w:val="0"/>
              <w:adjustRightInd w:val="0"/>
              <w:spacing w:line="360" w:lineRule="auto"/>
              <w:jc w:val="center"/>
              <w:rPr>
                <w:rFonts w:ascii="Times New Roman" w:hAnsi="Times New Roman" w:cs="Times New Roman"/>
                <w:color w:val="000000" w:themeColor="text1"/>
                <w:szCs w:val="22"/>
              </w:rPr>
            </w:pPr>
            <w:r w:rsidRPr="00CB10DF">
              <w:rPr>
                <w:rFonts w:ascii="Times New Roman" w:hAnsi="Times New Roman" w:cs="Times New Roman"/>
                <w:color w:val="000000" w:themeColor="text1"/>
                <w:szCs w:val="22"/>
              </w:rPr>
              <w:t>530</w:t>
            </w:r>
          </w:p>
        </w:tc>
        <w:tc>
          <w:tcPr>
            <w:tcW w:w="1696" w:type="dxa"/>
          </w:tcPr>
          <w:p w14:paraId="3DE6608E" w14:textId="77777777" w:rsidR="002B4534" w:rsidRPr="00CB10DF" w:rsidRDefault="002B4534" w:rsidP="002B4534">
            <w:pPr>
              <w:autoSpaceDE w:val="0"/>
              <w:autoSpaceDN w:val="0"/>
              <w:adjustRightInd w:val="0"/>
              <w:spacing w:line="360" w:lineRule="auto"/>
              <w:rPr>
                <w:rFonts w:ascii="Times New Roman" w:hAnsi="Times New Roman" w:cs="Times New Roman"/>
                <w:color w:val="000000" w:themeColor="text1"/>
                <w:szCs w:val="22"/>
              </w:rPr>
            </w:pPr>
            <w:r w:rsidRPr="00CB10DF">
              <w:rPr>
                <w:rFonts w:ascii="Times New Roman" w:hAnsi="Times New Roman" w:cs="Times New Roman"/>
                <w:color w:val="000000" w:themeColor="text1"/>
                <w:szCs w:val="22"/>
              </w:rPr>
              <w:t xml:space="preserve">obligatorily </w:t>
            </w:r>
            <w:proofErr w:type="spellStart"/>
            <w:r w:rsidRPr="00CB10DF">
              <w:rPr>
                <w:rFonts w:ascii="Times New Roman" w:hAnsi="Times New Roman" w:cs="Times New Roman"/>
                <w:color w:val="000000" w:themeColor="text1"/>
                <w:szCs w:val="22"/>
              </w:rPr>
              <w:t>univoltine</w:t>
            </w:r>
            <w:proofErr w:type="spellEnd"/>
            <w:r w:rsidRPr="00CB10DF">
              <w:rPr>
                <w:rFonts w:ascii="Times New Roman" w:hAnsi="Times New Roman" w:cs="Times New Roman"/>
                <w:color w:val="000000" w:themeColor="text1"/>
                <w:szCs w:val="22"/>
              </w:rPr>
              <w:t xml:space="preserve"> </w:t>
            </w:r>
          </w:p>
        </w:tc>
        <w:tc>
          <w:tcPr>
            <w:tcW w:w="1252" w:type="dxa"/>
          </w:tcPr>
          <w:p w14:paraId="4A130F49" w14:textId="77777777" w:rsidR="002B4534" w:rsidRPr="00CB10DF" w:rsidRDefault="002B4534" w:rsidP="002B4534">
            <w:pPr>
              <w:pStyle w:val="NoSpacing"/>
              <w:spacing w:line="360" w:lineRule="auto"/>
              <w:jc w:val="thaiDistribute"/>
              <w:rPr>
                <w:rFonts w:ascii="Times New Roman" w:hAnsi="Times New Roman" w:cs="Times New Roman"/>
                <w:color w:val="000000" w:themeColor="text1"/>
                <w:szCs w:val="22"/>
                <w:bdr w:val="none" w:sz="0" w:space="0" w:color="auto" w:frame="1"/>
              </w:rPr>
            </w:pPr>
            <w:proofErr w:type="spellStart"/>
            <w:r w:rsidRPr="00CB10DF">
              <w:rPr>
                <w:rFonts w:ascii="Times New Roman" w:hAnsi="Times New Roman" w:cs="Times New Roman"/>
                <w:color w:val="000000" w:themeColor="text1"/>
                <w:szCs w:val="22"/>
                <w:bdr w:val="none" w:sz="0" w:space="0" w:color="auto" w:frame="1"/>
              </w:rPr>
              <w:t>Univoltine</w:t>
            </w:r>
            <w:proofErr w:type="spellEnd"/>
          </w:p>
        </w:tc>
        <w:tc>
          <w:tcPr>
            <w:tcW w:w="2708" w:type="dxa"/>
          </w:tcPr>
          <w:p w14:paraId="583E4C58" w14:textId="77777777" w:rsidR="002B4534" w:rsidRPr="00CB10DF" w:rsidRDefault="002B4534" w:rsidP="002B4534">
            <w:pPr>
              <w:spacing w:line="276" w:lineRule="auto"/>
              <w:ind w:left="-24" w:right="-110"/>
              <w:rPr>
                <w:rFonts w:ascii="Times New Roman" w:hAnsi="Times New Roman" w:cs="Times New Roman"/>
                <w:color w:val="000000" w:themeColor="text1"/>
                <w:szCs w:val="22"/>
              </w:rPr>
            </w:pPr>
            <w:r w:rsidRPr="00CB10DF">
              <w:rPr>
                <w:rFonts w:ascii="Times New Roman" w:hAnsi="Times New Roman" w:cs="Times New Roman"/>
                <w:color w:val="000000" w:themeColor="text1"/>
                <w:szCs w:val="22"/>
              </w:rPr>
              <w:t>summer (y-1) to spring (y0)</w:t>
            </w:r>
          </w:p>
        </w:tc>
      </w:tr>
      <w:tr w:rsidR="002B4534" w:rsidRPr="00CB10DF" w14:paraId="728482D9" w14:textId="77777777" w:rsidTr="002B4534">
        <w:tc>
          <w:tcPr>
            <w:tcW w:w="445" w:type="dxa"/>
            <w:vMerge/>
          </w:tcPr>
          <w:p w14:paraId="4CA6603E" w14:textId="77777777" w:rsidR="002B4534" w:rsidRPr="00CB10DF" w:rsidRDefault="002B4534" w:rsidP="002B4534">
            <w:pPr>
              <w:pStyle w:val="NoSpacing"/>
              <w:spacing w:line="276" w:lineRule="auto"/>
              <w:jc w:val="thaiDistribute"/>
              <w:rPr>
                <w:rFonts w:ascii="Times New Roman" w:hAnsi="Times New Roman" w:cs="Times New Roman"/>
                <w:color w:val="000000" w:themeColor="text1"/>
                <w:szCs w:val="22"/>
                <w:bdr w:val="none" w:sz="0" w:space="0" w:color="auto" w:frame="1"/>
              </w:rPr>
            </w:pPr>
          </w:p>
        </w:tc>
        <w:tc>
          <w:tcPr>
            <w:tcW w:w="2430" w:type="dxa"/>
          </w:tcPr>
          <w:p w14:paraId="25C6F6F4" w14:textId="77777777" w:rsidR="002B4534" w:rsidRPr="00CB10DF" w:rsidRDefault="002B4534" w:rsidP="002B4534">
            <w:pPr>
              <w:pStyle w:val="NoSpacing"/>
              <w:spacing w:line="360" w:lineRule="auto"/>
              <w:jc w:val="thaiDistribute"/>
              <w:rPr>
                <w:rFonts w:ascii="Times New Roman" w:hAnsi="Times New Roman" w:cs="Times New Roman"/>
                <w:i/>
                <w:iCs/>
                <w:color w:val="000000" w:themeColor="text1"/>
                <w:szCs w:val="22"/>
                <w:bdr w:val="none" w:sz="0" w:space="0" w:color="auto" w:frame="1"/>
              </w:rPr>
            </w:pPr>
            <w:proofErr w:type="spellStart"/>
            <w:r w:rsidRPr="00CB10DF">
              <w:rPr>
                <w:rFonts w:ascii="Times New Roman" w:hAnsi="Times New Roman" w:cs="Times New Roman"/>
                <w:i/>
                <w:iCs/>
                <w:color w:val="000000" w:themeColor="text1"/>
                <w:szCs w:val="22"/>
                <w:bdr w:val="none" w:sz="0" w:space="0" w:color="auto" w:frame="1"/>
              </w:rPr>
              <w:t>Ischnura</w:t>
            </w:r>
            <w:proofErr w:type="spellEnd"/>
            <w:r w:rsidRPr="00CB10DF">
              <w:rPr>
                <w:rFonts w:ascii="Times New Roman" w:hAnsi="Times New Roman" w:cs="Times New Roman"/>
                <w:i/>
                <w:iCs/>
                <w:color w:val="000000" w:themeColor="text1"/>
                <w:szCs w:val="22"/>
                <w:bdr w:val="none" w:sz="0" w:space="0" w:color="auto" w:frame="1"/>
              </w:rPr>
              <w:t xml:space="preserve"> </w:t>
            </w:r>
            <w:proofErr w:type="spellStart"/>
            <w:r w:rsidRPr="00CB10DF">
              <w:rPr>
                <w:rFonts w:ascii="Times New Roman" w:hAnsi="Times New Roman" w:cs="Times New Roman"/>
                <w:i/>
                <w:iCs/>
                <w:color w:val="000000" w:themeColor="text1"/>
                <w:szCs w:val="22"/>
                <w:bdr w:val="none" w:sz="0" w:space="0" w:color="auto" w:frame="1"/>
              </w:rPr>
              <w:t>elegans</w:t>
            </w:r>
            <w:proofErr w:type="spellEnd"/>
          </w:p>
        </w:tc>
        <w:tc>
          <w:tcPr>
            <w:tcW w:w="810" w:type="dxa"/>
            <w:vAlign w:val="center"/>
          </w:tcPr>
          <w:p w14:paraId="5CFCAC9B" w14:textId="77777777" w:rsidR="002B4534" w:rsidRPr="00CB10DF" w:rsidRDefault="002B4534" w:rsidP="002B4534">
            <w:pPr>
              <w:autoSpaceDE w:val="0"/>
              <w:autoSpaceDN w:val="0"/>
              <w:adjustRightInd w:val="0"/>
              <w:spacing w:line="360" w:lineRule="auto"/>
              <w:jc w:val="center"/>
              <w:rPr>
                <w:rFonts w:ascii="Times New Roman" w:hAnsi="Times New Roman" w:cs="Times New Roman"/>
                <w:color w:val="000000" w:themeColor="text1"/>
                <w:szCs w:val="22"/>
              </w:rPr>
            </w:pPr>
            <w:r w:rsidRPr="00CB10DF">
              <w:rPr>
                <w:rFonts w:ascii="Times New Roman" w:hAnsi="Times New Roman" w:cs="Times New Roman"/>
                <w:color w:val="000000" w:themeColor="text1"/>
                <w:szCs w:val="22"/>
              </w:rPr>
              <w:t>730</w:t>
            </w:r>
          </w:p>
        </w:tc>
        <w:tc>
          <w:tcPr>
            <w:tcW w:w="1696" w:type="dxa"/>
          </w:tcPr>
          <w:p w14:paraId="64769876" w14:textId="77777777" w:rsidR="002B4534" w:rsidRPr="00CB10DF" w:rsidRDefault="002B4534" w:rsidP="002B4534">
            <w:pPr>
              <w:autoSpaceDE w:val="0"/>
              <w:autoSpaceDN w:val="0"/>
              <w:adjustRightInd w:val="0"/>
              <w:spacing w:line="360" w:lineRule="auto"/>
              <w:rPr>
                <w:rFonts w:ascii="Times New Roman" w:hAnsi="Times New Roman" w:cs="Times New Roman"/>
                <w:color w:val="000000" w:themeColor="text1"/>
                <w:szCs w:val="22"/>
              </w:rPr>
            </w:pPr>
            <w:r w:rsidRPr="00CB10DF">
              <w:rPr>
                <w:rFonts w:ascii="Times New Roman" w:hAnsi="Times New Roman" w:cs="Times New Roman"/>
                <w:color w:val="000000" w:themeColor="text1"/>
                <w:szCs w:val="22"/>
              </w:rPr>
              <w:t xml:space="preserve">obligatorily </w:t>
            </w:r>
            <w:proofErr w:type="spellStart"/>
            <w:r w:rsidRPr="00CB10DF">
              <w:rPr>
                <w:rFonts w:ascii="Times New Roman" w:hAnsi="Times New Roman" w:cs="Times New Roman"/>
                <w:color w:val="000000" w:themeColor="text1"/>
                <w:szCs w:val="22"/>
              </w:rPr>
              <w:t>univoltine</w:t>
            </w:r>
            <w:proofErr w:type="spellEnd"/>
            <w:r w:rsidRPr="00CB10DF">
              <w:rPr>
                <w:rFonts w:ascii="Times New Roman" w:hAnsi="Times New Roman" w:cs="Times New Roman"/>
                <w:color w:val="000000" w:themeColor="text1"/>
                <w:szCs w:val="22"/>
              </w:rPr>
              <w:t xml:space="preserve"> </w:t>
            </w:r>
          </w:p>
        </w:tc>
        <w:tc>
          <w:tcPr>
            <w:tcW w:w="1252" w:type="dxa"/>
          </w:tcPr>
          <w:p w14:paraId="34C3E51F" w14:textId="77777777" w:rsidR="002B4534" w:rsidRPr="00CB10DF" w:rsidRDefault="002B4534" w:rsidP="002B4534">
            <w:pPr>
              <w:pStyle w:val="NoSpacing"/>
              <w:spacing w:line="360" w:lineRule="auto"/>
              <w:jc w:val="thaiDistribute"/>
              <w:rPr>
                <w:rFonts w:ascii="Times New Roman" w:hAnsi="Times New Roman" w:cs="Times New Roman"/>
                <w:color w:val="000000" w:themeColor="text1"/>
                <w:szCs w:val="22"/>
                <w:bdr w:val="none" w:sz="0" w:space="0" w:color="auto" w:frame="1"/>
              </w:rPr>
            </w:pPr>
            <w:proofErr w:type="spellStart"/>
            <w:r w:rsidRPr="00CB10DF">
              <w:rPr>
                <w:rFonts w:ascii="Times New Roman" w:hAnsi="Times New Roman" w:cs="Times New Roman"/>
                <w:color w:val="000000" w:themeColor="text1"/>
                <w:szCs w:val="22"/>
                <w:bdr w:val="none" w:sz="0" w:space="0" w:color="auto" w:frame="1"/>
              </w:rPr>
              <w:t>Univoltine</w:t>
            </w:r>
            <w:proofErr w:type="spellEnd"/>
          </w:p>
        </w:tc>
        <w:tc>
          <w:tcPr>
            <w:tcW w:w="2708" w:type="dxa"/>
          </w:tcPr>
          <w:p w14:paraId="5A39B292" w14:textId="77777777" w:rsidR="002B4534" w:rsidRPr="00CB10DF" w:rsidRDefault="002B4534" w:rsidP="002B4534">
            <w:pPr>
              <w:spacing w:line="276" w:lineRule="auto"/>
              <w:ind w:left="-24" w:right="-110"/>
              <w:rPr>
                <w:rFonts w:ascii="Times New Roman" w:hAnsi="Times New Roman" w:cs="Times New Roman"/>
                <w:color w:val="000000" w:themeColor="text1"/>
                <w:szCs w:val="22"/>
              </w:rPr>
            </w:pPr>
            <w:r w:rsidRPr="00CB10DF">
              <w:rPr>
                <w:rFonts w:ascii="Times New Roman" w:hAnsi="Times New Roman" w:cs="Times New Roman"/>
                <w:color w:val="000000" w:themeColor="text1"/>
                <w:szCs w:val="22"/>
              </w:rPr>
              <w:t>summer (y-1) to spring (y0)</w:t>
            </w:r>
          </w:p>
        </w:tc>
      </w:tr>
      <w:tr w:rsidR="002B4534" w:rsidRPr="00CB10DF" w14:paraId="73513A65" w14:textId="77777777" w:rsidTr="002B4534">
        <w:tc>
          <w:tcPr>
            <w:tcW w:w="445" w:type="dxa"/>
            <w:vMerge/>
          </w:tcPr>
          <w:p w14:paraId="609CA9AE" w14:textId="77777777" w:rsidR="002B4534" w:rsidRPr="00CB10DF" w:rsidRDefault="002B4534" w:rsidP="002B4534">
            <w:pPr>
              <w:pStyle w:val="NoSpacing"/>
              <w:spacing w:line="276" w:lineRule="auto"/>
              <w:jc w:val="thaiDistribute"/>
              <w:rPr>
                <w:rFonts w:ascii="Times New Roman" w:hAnsi="Times New Roman" w:cs="Times New Roman"/>
                <w:color w:val="000000" w:themeColor="text1"/>
                <w:szCs w:val="22"/>
                <w:bdr w:val="none" w:sz="0" w:space="0" w:color="auto" w:frame="1"/>
              </w:rPr>
            </w:pPr>
          </w:p>
        </w:tc>
        <w:tc>
          <w:tcPr>
            <w:tcW w:w="2430" w:type="dxa"/>
          </w:tcPr>
          <w:p w14:paraId="752652F2" w14:textId="77777777" w:rsidR="002B4534" w:rsidRPr="00CB10DF" w:rsidRDefault="002B4534" w:rsidP="002B4534">
            <w:pPr>
              <w:pStyle w:val="NoSpacing"/>
              <w:spacing w:line="360" w:lineRule="auto"/>
              <w:jc w:val="thaiDistribute"/>
              <w:rPr>
                <w:rFonts w:ascii="Times New Roman" w:hAnsi="Times New Roman" w:cs="Times New Roman"/>
                <w:i/>
                <w:iCs/>
                <w:color w:val="000000" w:themeColor="text1"/>
                <w:szCs w:val="22"/>
                <w:bdr w:val="none" w:sz="0" w:space="0" w:color="auto" w:frame="1"/>
              </w:rPr>
            </w:pPr>
            <w:proofErr w:type="spellStart"/>
            <w:r w:rsidRPr="00CB10DF">
              <w:rPr>
                <w:rFonts w:ascii="Times New Roman" w:hAnsi="Times New Roman" w:cs="Times New Roman"/>
                <w:i/>
                <w:iCs/>
                <w:color w:val="000000" w:themeColor="text1"/>
                <w:szCs w:val="22"/>
                <w:bdr w:val="none" w:sz="0" w:space="0" w:color="auto" w:frame="1"/>
              </w:rPr>
              <w:t>Lestes</w:t>
            </w:r>
            <w:proofErr w:type="spellEnd"/>
            <w:r w:rsidRPr="00CB10DF">
              <w:rPr>
                <w:rFonts w:ascii="Times New Roman" w:hAnsi="Times New Roman" w:cs="Times New Roman"/>
                <w:i/>
                <w:iCs/>
                <w:color w:val="000000" w:themeColor="text1"/>
                <w:szCs w:val="22"/>
                <w:bdr w:val="none" w:sz="0" w:space="0" w:color="auto" w:frame="1"/>
              </w:rPr>
              <w:t xml:space="preserve"> </w:t>
            </w:r>
            <w:proofErr w:type="spellStart"/>
            <w:r w:rsidRPr="00CB10DF">
              <w:rPr>
                <w:rFonts w:ascii="Times New Roman" w:hAnsi="Times New Roman" w:cs="Times New Roman"/>
                <w:i/>
                <w:iCs/>
                <w:color w:val="000000" w:themeColor="text1"/>
                <w:szCs w:val="22"/>
                <w:bdr w:val="none" w:sz="0" w:space="0" w:color="auto" w:frame="1"/>
              </w:rPr>
              <w:t>sponsa</w:t>
            </w:r>
            <w:proofErr w:type="spellEnd"/>
          </w:p>
        </w:tc>
        <w:tc>
          <w:tcPr>
            <w:tcW w:w="810" w:type="dxa"/>
            <w:vAlign w:val="center"/>
          </w:tcPr>
          <w:p w14:paraId="5A490CD7" w14:textId="77777777" w:rsidR="002B4534" w:rsidRPr="00CB10DF" w:rsidRDefault="002B4534" w:rsidP="002B4534">
            <w:pPr>
              <w:autoSpaceDE w:val="0"/>
              <w:autoSpaceDN w:val="0"/>
              <w:adjustRightInd w:val="0"/>
              <w:spacing w:line="360" w:lineRule="auto"/>
              <w:jc w:val="center"/>
              <w:rPr>
                <w:rFonts w:ascii="Times New Roman" w:hAnsi="Times New Roman" w:cs="Times New Roman"/>
                <w:color w:val="000000" w:themeColor="text1"/>
                <w:szCs w:val="22"/>
              </w:rPr>
            </w:pPr>
            <w:r w:rsidRPr="00CB10DF">
              <w:rPr>
                <w:rFonts w:ascii="Times New Roman" w:hAnsi="Times New Roman" w:cs="Times New Roman"/>
                <w:color w:val="000000" w:themeColor="text1"/>
                <w:szCs w:val="22"/>
              </w:rPr>
              <w:t>581</w:t>
            </w:r>
          </w:p>
        </w:tc>
        <w:tc>
          <w:tcPr>
            <w:tcW w:w="1696" w:type="dxa"/>
          </w:tcPr>
          <w:p w14:paraId="3F7E88EB" w14:textId="77777777" w:rsidR="002B4534" w:rsidRPr="00CB10DF" w:rsidRDefault="002B4534" w:rsidP="002B4534">
            <w:pPr>
              <w:autoSpaceDE w:val="0"/>
              <w:autoSpaceDN w:val="0"/>
              <w:adjustRightInd w:val="0"/>
              <w:spacing w:line="360" w:lineRule="auto"/>
              <w:jc w:val="thaiDistribute"/>
              <w:rPr>
                <w:rFonts w:ascii="Times New Roman" w:hAnsi="Times New Roman" w:cs="Times New Roman"/>
                <w:color w:val="000000" w:themeColor="text1"/>
                <w:szCs w:val="22"/>
              </w:rPr>
            </w:pPr>
            <w:r w:rsidRPr="00CB10DF">
              <w:rPr>
                <w:rFonts w:ascii="Times New Roman" w:hAnsi="Times New Roman" w:cs="Times New Roman"/>
                <w:color w:val="000000" w:themeColor="text1"/>
                <w:szCs w:val="22"/>
              </w:rPr>
              <w:t>summer species</w:t>
            </w:r>
          </w:p>
        </w:tc>
        <w:tc>
          <w:tcPr>
            <w:tcW w:w="1252" w:type="dxa"/>
          </w:tcPr>
          <w:p w14:paraId="74578007" w14:textId="77777777" w:rsidR="002B4534" w:rsidRPr="00CB10DF" w:rsidRDefault="002B4534" w:rsidP="002B4534">
            <w:pPr>
              <w:pStyle w:val="NoSpacing"/>
              <w:spacing w:line="360" w:lineRule="auto"/>
              <w:jc w:val="thaiDistribute"/>
              <w:rPr>
                <w:rFonts w:ascii="Times New Roman" w:hAnsi="Times New Roman" w:cs="Times New Roman"/>
                <w:color w:val="000000" w:themeColor="text1"/>
                <w:szCs w:val="22"/>
                <w:bdr w:val="none" w:sz="0" w:space="0" w:color="auto" w:frame="1"/>
              </w:rPr>
            </w:pPr>
            <w:proofErr w:type="spellStart"/>
            <w:r w:rsidRPr="00CB10DF">
              <w:rPr>
                <w:rFonts w:ascii="Times New Roman" w:hAnsi="Times New Roman" w:cs="Times New Roman"/>
                <w:color w:val="000000" w:themeColor="text1"/>
                <w:szCs w:val="22"/>
                <w:bdr w:val="none" w:sz="0" w:space="0" w:color="auto" w:frame="1"/>
              </w:rPr>
              <w:t>Univoltine</w:t>
            </w:r>
            <w:proofErr w:type="spellEnd"/>
          </w:p>
        </w:tc>
        <w:tc>
          <w:tcPr>
            <w:tcW w:w="2708" w:type="dxa"/>
          </w:tcPr>
          <w:p w14:paraId="5BD77285" w14:textId="77777777" w:rsidR="002B4534" w:rsidRPr="00CB10DF" w:rsidRDefault="002B4534" w:rsidP="002B4534">
            <w:pPr>
              <w:pStyle w:val="NoSpacing"/>
              <w:spacing w:line="360" w:lineRule="auto"/>
              <w:jc w:val="thaiDistribute"/>
              <w:rPr>
                <w:rFonts w:ascii="Times New Roman" w:hAnsi="Times New Roman" w:cs="Times New Roman"/>
                <w:color w:val="000000" w:themeColor="text1"/>
                <w:szCs w:val="22"/>
                <w:bdr w:val="none" w:sz="0" w:space="0" w:color="auto" w:frame="1"/>
              </w:rPr>
            </w:pPr>
            <w:r w:rsidRPr="00CB10DF">
              <w:rPr>
                <w:rFonts w:ascii="Times New Roman" w:hAnsi="Times New Roman" w:cs="Times New Roman"/>
                <w:color w:val="000000" w:themeColor="text1"/>
                <w:szCs w:val="22"/>
              </w:rPr>
              <w:t>spring (y0)</w:t>
            </w:r>
          </w:p>
        </w:tc>
      </w:tr>
      <w:tr w:rsidR="002B4534" w:rsidRPr="00CB10DF" w14:paraId="1ACFF03B" w14:textId="77777777" w:rsidTr="002B4534">
        <w:tc>
          <w:tcPr>
            <w:tcW w:w="445" w:type="dxa"/>
            <w:vMerge/>
          </w:tcPr>
          <w:p w14:paraId="0E3A2BFB" w14:textId="77777777" w:rsidR="002B4534" w:rsidRPr="00CB10DF" w:rsidRDefault="002B4534" w:rsidP="002B4534">
            <w:pPr>
              <w:pStyle w:val="NoSpacing"/>
              <w:spacing w:line="276" w:lineRule="auto"/>
              <w:jc w:val="thaiDistribute"/>
              <w:rPr>
                <w:rFonts w:ascii="Times New Roman" w:hAnsi="Times New Roman" w:cs="Times New Roman"/>
                <w:color w:val="000000" w:themeColor="text1"/>
                <w:szCs w:val="22"/>
                <w:bdr w:val="none" w:sz="0" w:space="0" w:color="auto" w:frame="1"/>
              </w:rPr>
            </w:pPr>
          </w:p>
        </w:tc>
        <w:tc>
          <w:tcPr>
            <w:tcW w:w="2430" w:type="dxa"/>
          </w:tcPr>
          <w:p w14:paraId="68B5F640" w14:textId="77777777" w:rsidR="002B4534" w:rsidRPr="00CB10DF" w:rsidRDefault="002B4534" w:rsidP="002B4534">
            <w:pPr>
              <w:pStyle w:val="NoSpacing"/>
              <w:spacing w:line="360" w:lineRule="auto"/>
              <w:jc w:val="thaiDistribute"/>
              <w:rPr>
                <w:rFonts w:ascii="Times New Roman" w:hAnsi="Times New Roman" w:cs="Times New Roman"/>
                <w:i/>
                <w:iCs/>
                <w:color w:val="000000" w:themeColor="text1"/>
                <w:szCs w:val="22"/>
                <w:bdr w:val="none" w:sz="0" w:space="0" w:color="auto" w:frame="1"/>
              </w:rPr>
            </w:pPr>
            <w:proofErr w:type="spellStart"/>
            <w:r w:rsidRPr="00CB10DF">
              <w:rPr>
                <w:rFonts w:ascii="Times New Roman" w:hAnsi="Times New Roman" w:cs="Times New Roman"/>
                <w:i/>
                <w:iCs/>
                <w:color w:val="000000" w:themeColor="text1"/>
                <w:szCs w:val="22"/>
                <w:bdr w:val="none" w:sz="0" w:space="0" w:color="auto" w:frame="1"/>
              </w:rPr>
              <w:t>Pyrrhosoma</w:t>
            </w:r>
            <w:proofErr w:type="spellEnd"/>
            <w:r w:rsidRPr="00CB10DF">
              <w:rPr>
                <w:rFonts w:ascii="Times New Roman" w:hAnsi="Times New Roman" w:cs="Times New Roman"/>
                <w:i/>
                <w:iCs/>
                <w:color w:val="000000" w:themeColor="text1"/>
                <w:szCs w:val="22"/>
                <w:bdr w:val="none" w:sz="0" w:space="0" w:color="auto" w:frame="1"/>
              </w:rPr>
              <w:t xml:space="preserve"> </w:t>
            </w:r>
            <w:proofErr w:type="spellStart"/>
            <w:r w:rsidRPr="00CB10DF">
              <w:rPr>
                <w:rFonts w:ascii="Times New Roman" w:hAnsi="Times New Roman" w:cs="Times New Roman"/>
                <w:i/>
                <w:iCs/>
                <w:color w:val="000000" w:themeColor="text1"/>
                <w:szCs w:val="22"/>
                <w:bdr w:val="none" w:sz="0" w:space="0" w:color="auto" w:frame="1"/>
              </w:rPr>
              <w:t>nymphula</w:t>
            </w:r>
            <w:proofErr w:type="spellEnd"/>
          </w:p>
        </w:tc>
        <w:tc>
          <w:tcPr>
            <w:tcW w:w="810" w:type="dxa"/>
            <w:vAlign w:val="center"/>
          </w:tcPr>
          <w:p w14:paraId="27B4ECB0" w14:textId="77777777" w:rsidR="002B4534" w:rsidRPr="00CB10DF" w:rsidRDefault="002B4534" w:rsidP="002B4534">
            <w:pPr>
              <w:autoSpaceDE w:val="0"/>
              <w:autoSpaceDN w:val="0"/>
              <w:adjustRightInd w:val="0"/>
              <w:spacing w:line="360" w:lineRule="auto"/>
              <w:jc w:val="center"/>
              <w:rPr>
                <w:rFonts w:ascii="Times New Roman" w:hAnsi="Times New Roman" w:cs="Times New Roman"/>
                <w:color w:val="000000" w:themeColor="text1"/>
                <w:szCs w:val="22"/>
              </w:rPr>
            </w:pPr>
            <w:r w:rsidRPr="00CB10DF">
              <w:rPr>
                <w:rFonts w:ascii="Times New Roman" w:hAnsi="Times New Roman" w:cs="Times New Roman"/>
                <w:color w:val="000000" w:themeColor="text1"/>
                <w:szCs w:val="22"/>
              </w:rPr>
              <w:t>542</w:t>
            </w:r>
          </w:p>
        </w:tc>
        <w:tc>
          <w:tcPr>
            <w:tcW w:w="1696" w:type="dxa"/>
          </w:tcPr>
          <w:p w14:paraId="62E8E3F1" w14:textId="77777777" w:rsidR="002B4534" w:rsidRPr="00CB10DF" w:rsidRDefault="002B4534" w:rsidP="002B4534">
            <w:pPr>
              <w:autoSpaceDE w:val="0"/>
              <w:autoSpaceDN w:val="0"/>
              <w:adjustRightInd w:val="0"/>
              <w:spacing w:line="360" w:lineRule="auto"/>
              <w:jc w:val="thaiDistribute"/>
              <w:rPr>
                <w:rFonts w:ascii="Times New Roman" w:hAnsi="Times New Roman" w:cs="Times New Roman"/>
                <w:color w:val="000000" w:themeColor="text1"/>
                <w:szCs w:val="22"/>
              </w:rPr>
            </w:pPr>
            <w:r w:rsidRPr="00CB10DF">
              <w:rPr>
                <w:rFonts w:ascii="Times New Roman" w:hAnsi="Times New Roman" w:cs="Times New Roman"/>
                <w:color w:val="000000" w:themeColor="text1"/>
                <w:szCs w:val="22"/>
              </w:rPr>
              <w:t>spring species</w:t>
            </w:r>
          </w:p>
        </w:tc>
        <w:tc>
          <w:tcPr>
            <w:tcW w:w="1252" w:type="dxa"/>
          </w:tcPr>
          <w:p w14:paraId="1B7D83BF" w14:textId="77777777" w:rsidR="002B4534" w:rsidRPr="00CB10DF" w:rsidRDefault="002B4534" w:rsidP="002B4534">
            <w:pPr>
              <w:pStyle w:val="NoSpacing"/>
              <w:spacing w:line="360" w:lineRule="auto"/>
              <w:jc w:val="thaiDistribute"/>
              <w:rPr>
                <w:rFonts w:ascii="Times New Roman" w:hAnsi="Times New Roman" w:cs="Times New Roman"/>
                <w:color w:val="000000" w:themeColor="text1"/>
                <w:szCs w:val="22"/>
                <w:bdr w:val="none" w:sz="0" w:space="0" w:color="auto" w:frame="1"/>
              </w:rPr>
            </w:pPr>
            <w:r w:rsidRPr="00CB10DF">
              <w:rPr>
                <w:rFonts w:ascii="Times New Roman" w:hAnsi="Times New Roman" w:cs="Times New Roman"/>
                <w:color w:val="000000" w:themeColor="text1"/>
                <w:szCs w:val="22"/>
                <w:bdr w:val="none" w:sz="0" w:space="0" w:color="auto" w:frame="1"/>
              </w:rPr>
              <w:t>semivoltine</w:t>
            </w:r>
          </w:p>
        </w:tc>
        <w:tc>
          <w:tcPr>
            <w:tcW w:w="2708" w:type="dxa"/>
          </w:tcPr>
          <w:p w14:paraId="3933FF25" w14:textId="77777777" w:rsidR="002B4534" w:rsidRPr="00CB10DF" w:rsidRDefault="002B4534" w:rsidP="002B4534">
            <w:pPr>
              <w:pStyle w:val="NoSpacing"/>
              <w:spacing w:line="360" w:lineRule="auto"/>
              <w:jc w:val="thaiDistribute"/>
              <w:rPr>
                <w:rFonts w:ascii="Times New Roman" w:hAnsi="Times New Roman" w:cs="Times New Roman"/>
                <w:color w:val="000000" w:themeColor="text1"/>
                <w:szCs w:val="22"/>
                <w:bdr w:val="none" w:sz="0" w:space="0" w:color="auto" w:frame="1"/>
              </w:rPr>
            </w:pPr>
            <w:r w:rsidRPr="00CB10DF">
              <w:rPr>
                <w:rFonts w:ascii="Times New Roman" w:hAnsi="Times New Roman" w:cs="Times New Roman"/>
                <w:color w:val="000000" w:themeColor="text1"/>
                <w:szCs w:val="22"/>
              </w:rPr>
              <w:t>spring (y-2) to winter (y0)</w:t>
            </w:r>
          </w:p>
        </w:tc>
      </w:tr>
    </w:tbl>
    <w:p w14:paraId="39975C76" w14:textId="51DB7AA3" w:rsidR="00983E17" w:rsidRPr="00CB10DF" w:rsidRDefault="00983E17" w:rsidP="00983E17">
      <w:pPr>
        <w:pStyle w:val="Caption"/>
        <w:keepNext/>
        <w:spacing w:line="360" w:lineRule="auto"/>
        <w:jc w:val="thaiDistribute"/>
        <w:rPr>
          <w:rFonts w:ascii="Times New Roman" w:hAnsi="Times New Roman" w:cs="Times New Roman"/>
          <w:i w:val="0"/>
          <w:iCs w:val="0"/>
          <w:color w:val="000000" w:themeColor="text1"/>
          <w:sz w:val="22"/>
        </w:rPr>
      </w:pPr>
      <w:bookmarkStart w:id="7" w:name="_GoBack"/>
      <w:bookmarkEnd w:id="7"/>
      <w:r w:rsidRPr="00CB10DF">
        <w:rPr>
          <w:rFonts w:ascii="Times New Roman" w:hAnsi="Times New Roman" w:cs="Times New Roman"/>
          <w:b/>
          <w:bCs/>
          <w:i w:val="0"/>
          <w:iCs w:val="0"/>
          <w:color w:val="000000" w:themeColor="text1"/>
          <w:sz w:val="22"/>
          <w:bdr w:val="none" w:sz="0" w:space="0" w:color="auto" w:frame="1"/>
        </w:rPr>
        <w:t>Table</w:t>
      </w:r>
      <w:r w:rsidR="00A67F99" w:rsidRPr="00CB10DF">
        <w:rPr>
          <w:rFonts w:ascii="Times New Roman" w:hAnsi="Times New Roman" w:cs="Times New Roman"/>
          <w:b/>
          <w:bCs/>
          <w:i w:val="0"/>
          <w:iCs w:val="0"/>
          <w:color w:val="000000" w:themeColor="text1"/>
          <w:sz w:val="22"/>
          <w:bdr w:val="none" w:sz="0" w:space="0" w:color="auto" w:frame="1"/>
        </w:rPr>
        <w:t xml:space="preserve"> </w:t>
      </w:r>
      <w:r w:rsidRPr="00CB10DF">
        <w:rPr>
          <w:rFonts w:ascii="Times New Roman" w:hAnsi="Times New Roman" w:cs="Times New Roman"/>
          <w:b/>
          <w:bCs/>
          <w:i w:val="0"/>
          <w:iCs w:val="0"/>
          <w:color w:val="000000" w:themeColor="text1"/>
          <w:sz w:val="22"/>
          <w:bdr w:val="none" w:sz="0" w:space="0" w:color="auto" w:frame="1"/>
        </w:rPr>
        <w:t>1:</w:t>
      </w:r>
      <w:r w:rsidRPr="00CB10DF">
        <w:rPr>
          <w:rFonts w:ascii="Times New Roman" w:hAnsi="Times New Roman" w:cs="Times New Roman"/>
          <w:color w:val="000000" w:themeColor="text1"/>
          <w:sz w:val="22"/>
          <w:bdr w:val="none" w:sz="0" w:space="0" w:color="auto" w:frame="1"/>
        </w:rPr>
        <w:t xml:space="preserve">  </w:t>
      </w:r>
      <w:r w:rsidRPr="00CB10DF">
        <w:rPr>
          <w:rFonts w:ascii="Times New Roman" w:hAnsi="Times New Roman" w:cs="Times New Roman"/>
          <w:i w:val="0"/>
          <w:iCs w:val="0"/>
          <w:color w:val="000000" w:themeColor="text1"/>
          <w:sz w:val="22"/>
        </w:rPr>
        <w:t xml:space="preserve">The 14 Odonata species used in this study and their voltinism type </w:t>
      </w:r>
      <w:r w:rsidRPr="00CB10DF">
        <w:rPr>
          <w:rFonts w:ascii="Times New Roman" w:hAnsi="Times New Roman" w:cs="Times New Roman"/>
          <w:i w:val="0"/>
          <w:iCs w:val="0"/>
          <w:color w:val="000000" w:themeColor="text1"/>
          <w:sz w:val="22"/>
        </w:rPr>
        <w:fldChar w:fldCharType="begin" w:fldLock="1"/>
      </w:r>
      <w:r w:rsidR="00181017" w:rsidRPr="00CB10DF">
        <w:rPr>
          <w:rFonts w:ascii="Times New Roman" w:hAnsi="Times New Roman" w:cs="Times New Roman"/>
          <w:i w:val="0"/>
          <w:iCs w:val="0"/>
          <w:color w:val="000000" w:themeColor="text1"/>
          <w:sz w:val="22"/>
        </w:rPr>
        <w:instrText>ADDIN CSL_CITATION {"citationItems":[{"id":"ITEM-1","itemData":{"ISBN":"978-0-00-715169-1","author":[{"dropping-particle":"","family":"Philip Corbet","given":"Stephen Brooks","non-dropping-particle":"","parse-names":false,"suffix":""}],"id":"ITEM-1","issued":{"date-parts":[["2008"]]},"number-of-pages":"454","title":"Dragonflies (Collins New Naturalist Library, Book 106)","type":"book"},"uris":["http://www.mendeley.com/documents/?uuid=8bc474a3-418d-4db6-9798-116c087a3176","http://www.mendeley.com/documents/?uuid=a1673b3c-ae3c-4b3c-8b99-5b3b1e097a68"]}],"mendeley":{"formattedCitation":"(Philip Corbet, 2008)","manualFormatting":"(Corbet &amp; Brooks, 2008)","plainTextFormattedCitation":"(Philip Corbet, 2008)","previouslyFormattedCitation":"(Philip Corbet, 2008)"},"properties":{"noteIndex":0},"schema":"https://github.com/citation-style-language/schema/raw/master/csl-citation.json"}</w:instrText>
      </w:r>
      <w:r w:rsidRPr="00CB10DF">
        <w:rPr>
          <w:rFonts w:ascii="Times New Roman" w:hAnsi="Times New Roman" w:cs="Times New Roman"/>
          <w:i w:val="0"/>
          <w:iCs w:val="0"/>
          <w:color w:val="000000" w:themeColor="text1"/>
          <w:sz w:val="22"/>
        </w:rPr>
        <w:fldChar w:fldCharType="separate"/>
      </w:r>
      <w:r w:rsidRPr="00CB10DF">
        <w:rPr>
          <w:rFonts w:ascii="Times New Roman" w:hAnsi="Times New Roman" w:cs="Times New Roman"/>
          <w:i w:val="0"/>
          <w:iCs w:val="0"/>
          <w:noProof/>
          <w:color w:val="000000" w:themeColor="text1"/>
          <w:sz w:val="22"/>
        </w:rPr>
        <w:t>(Corbet &amp; Brooks, 2008)</w:t>
      </w:r>
      <w:r w:rsidRPr="00CB10DF">
        <w:rPr>
          <w:rFonts w:ascii="Times New Roman" w:hAnsi="Times New Roman" w:cs="Times New Roman"/>
          <w:i w:val="0"/>
          <w:iCs w:val="0"/>
          <w:color w:val="000000" w:themeColor="text1"/>
          <w:sz w:val="22"/>
        </w:rPr>
        <w:fldChar w:fldCharType="end"/>
      </w:r>
      <w:r w:rsidRPr="00CB10DF">
        <w:rPr>
          <w:rFonts w:ascii="Times New Roman" w:hAnsi="Times New Roman" w:cs="Times New Roman"/>
          <w:i w:val="0"/>
          <w:iCs w:val="0"/>
          <w:color w:val="000000" w:themeColor="text1"/>
          <w:sz w:val="22"/>
        </w:rPr>
        <w:t>. Environmental variables for each characteristic type are calculated from the regional UK mean monthly temperature series. For each variable y-2 is two years before the collecting year, y-1 is a year before the collecting year, and y0 is the collecting year.</w:t>
      </w:r>
    </w:p>
    <w:p w14:paraId="7EC2EB69" w14:textId="77777777" w:rsidR="00210A80" w:rsidRPr="00CB10DF" w:rsidRDefault="00210A80" w:rsidP="00D8361C">
      <w:pPr>
        <w:pStyle w:val="NoSpacing"/>
        <w:spacing w:before="240" w:line="360" w:lineRule="auto"/>
        <w:jc w:val="thaiDistribute"/>
        <w:rPr>
          <w:rFonts w:ascii="Times New Roman" w:hAnsi="Times New Roman" w:cs="Times New Roman"/>
          <w:color w:val="000000" w:themeColor="text1"/>
          <w:szCs w:val="22"/>
          <w:bdr w:val="none" w:sz="0" w:space="0" w:color="auto" w:frame="1"/>
        </w:rPr>
        <w:sectPr w:rsidR="00210A80" w:rsidRPr="00CB10DF">
          <w:pgSz w:w="12240" w:h="15840"/>
          <w:pgMar w:top="1440" w:right="1440" w:bottom="1440" w:left="1440" w:header="720" w:footer="720" w:gutter="0"/>
          <w:cols w:space="720"/>
          <w:docGrid w:linePitch="360"/>
        </w:sectPr>
      </w:pPr>
    </w:p>
    <w:p w14:paraId="7A12A7C8" w14:textId="06AC3967" w:rsidR="00CA482A" w:rsidRPr="00CB10DF" w:rsidRDefault="00CA482A" w:rsidP="00CA4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rPr>
          <w:rFonts w:ascii="Times New Roman" w:eastAsia="Times New Roman" w:hAnsi="Times New Roman" w:cs="Times New Roman"/>
          <w:color w:val="000000" w:themeColor="text1"/>
          <w:szCs w:val="22"/>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Cs w:val="22"/>
          <w:bdr w:val="none" w:sz="0" w:space="0" w:color="auto" w:frame="1"/>
          <w14:textOutline w14:w="9525" w14:cap="rnd" w14:cmpd="sng" w14:algn="ctr">
            <w14:noFill/>
            <w14:prstDash w14:val="solid"/>
            <w14:bevel/>
          </w14:textOutline>
        </w:rPr>
        <w:lastRenderedPageBreak/>
        <w:t>Table 2:</w:t>
      </w:r>
      <w:r w:rsidRPr="00CB10DF">
        <w:rPr>
          <w:rFonts w:ascii="Times New Roman" w:eastAsia="Times New Roman" w:hAnsi="Times New Roman" w:cs="Times New Roman"/>
          <w:color w:val="000000" w:themeColor="text1"/>
          <w:szCs w:val="22"/>
          <w:bdr w:val="none" w:sz="0" w:space="0" w:color="auto" w:frame="1"/>
          <w14:textOutline w14:w="9525" w14:cap="rnd" w14:cmpd="sng" w14:algn="ctr">
            <w14:noFill/>
            <w14:prstDash w14:val="solid"/>
            <w14:bevel/>
          </w14:textOutline>
        </w:rPr>
        <w:t xml:space="preserve"> Coefficients of </w:t>
      </w:r>
      <w:r w:rsidR="00F32B09" w:rsidRPr="00CB10DF">
        <w:rPr>
          <w:rFonts w:ascii="Times New Roman" w:eastAsia="Times New Roman" w:hAnsi="Times New Roman" w:cs="Times New Roman"/>
          <w:color w:val="000000" w:themeColor="text1"/>
          <w:szCs w:val="22"/>
          <w:bdr w:val="none" w:sz="0" w:space="0" w:color="auto" w:frame="1"/>
          <w14:textOutline w14:w="9525" w14:cap="rnd" w14:cmpd="sng" w14:algn="ctr">
            <w14:noFill/>
            <w14:prstDash w14:val="solid"/>
            <w14:bevel/>
          </w14:textOutline>
        </w:rPr>
        <w:t xml:space="preserve">the </w:t>
      </w:r>
      <w:r w:rsidRPr="00CB10DF">
        <w:rPr>
          <w:rFonts w:ascii="Times New Roman" w:eastAsia="Times New Roman" w:hAnsi="Times New Roman" w:cs="Times New Roman"/>
          <w:color w:val="000000" w:themeColor="text1"/>
          <w:szCs w:val="22"/>
          <w:bdr w:val="none" w:sz="0" w:space="0" w:color="auto" w:frame="1"/>
          <w14:textOutline w14:w="9525" w14:cap="rnd" w14:cmpd="sng" w14:algn="ctr">
            <w14:noFill/>
            <w14:prstDash w14:val="solid"/>
            <w14:bevel/>
          </w14:textOutline>
        </w:rPr>
        <w:t>stepwise regression model for examining the effects of mean seasonal temperature, sex and day (collection date) on dragonfly wing length across studied species to investigate the effects of each variable on each species wing length.</w:t>
      </w:r>
    </w:p>
    <w:tbl>
      <w:tblPr>
        <w:tblStyle w:val="TableGrid"/>
        <w:tblpPr w:leftFromText="180" w:rightFromText="180" w:vertAnchor="page" w:horzAnchor="margin" w:tblpY="2317"/>
        <w:tblW w:w="12960" w:type="dxa"/>
        <w:tblInd w:w="0" w:type="dxa"/>
        <w:tblLook w:val="0000" w:firstRow="0" w:lastRow="0" w:firstColumn="0" w:lastColumn="0" w:noHBand="0" w:noVBand="0"/>
      </w:tblPr>
      <w:tblGrid>
        <w:gridCol w:w="444"/>
        <w:gridCol w:w="854"/>
        <w:gridCol w:w="889"/>
        <w:gridCol w:w="889"/>
        <w:gridCol w:w="634"/>
        <w:gridCol w:w="890"/>
        <w:gridCol w:w="890"/>
        <w:gridCol w:w="890"/>
        <w:gridCol w:w="890"/>
        <w:gridCol w:w="890"/>
        <w:gridCol w:w="800"/>
        <w:gridCol w:w="800"/>
        <w:gridCol w:w="800"/>
        <w:gridCol w:w="800"/>
        <w:gridCol w:w="800"/>
        <w:gridCol w:w="800"/>
      </w:tblGrid>
      <w:tr w:rsidR="00CB10DF" w:rsidRPr="00CB10DF" w14:paraId="5D83666D" w14:textId="77777777" w:rsidTr="008B17C2">
        <w:trPr>
          <w:gridBefore w:val="2"/>
          <w:wBefore w:w="1304" w:type="dxa"/>
          <w:trHeight w:val="210"/>
        </w:trPr>
        <w:tc>
          <w:tcPr>
            <w:tcW w:w="6862" w:type="dxa"/>
            <w:gridSpan w:val="8"/>
            <w:tcBorders>
              <w:left w:val="nil"/>
            </w:tcBorders>
          </w:tcPr>
          <w:p w14:paraId="68BD107B" w14:textId="77777777" w:rsidR="008B17C2" w:rsidRPr="00CB10DF" w:rsidRDefault="008B17C2" w:rsidP="008B17C2">
            <w:pPr>
              <w:jc w:val="center"/>
              <w:rPr>
                <w:rFonts w:ascii="Times New Roman" w:eastAsia="Times New Roman" w:hAnsi="Times New Roman" w:cs="Times New Roman"/>
                <w:color w:val="000000" w:themeColor="text1"/>
                <w:szCs w:val="22"/>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Cs w:val="22"/>
                <w:bdr w:val="none" w:sz="0" w:space="0" w:color="auto" w:frame="1"/>
                <w14:textOutline w14:w="9525" w14:cap="rnd" w14:cmpd="sng" w14:algn="ctr">
                  <w14:noFill/>
                  <w14:prstDash w14:val="solid"/>
                  <w14:bevel/>
                </w14:textOutline>
              </w:rPr>
              <w:t>Anisoptera</w:t>
            </w:r>
          </w:p>
        </w:tc>
        <w:tc>
          <w:tcPr>
            <w:tcW w:w="4794" w:type="dxa"/>
            <w:gridSpan w:val="6"/>
            <w:tcBorders>
              <w:right w:val="nil"/>
            </w:tcBorders>
          </w:tcPr>
          <w:p w14:paraId="382E2663" w14:textId="77777777" w:rsidR="008B17C2" w:rsidRPr="00CB10DF" w:rsidRDefault="008B17C2" w:rsidP="008B17C2">
            <w:pPr>
              <w:jc w:val="center"/>
              <w:rPr>
                <w:rFonts w:ascii="Times New Roman" w:eastAsia="Times New Roman" w:hAnsi="Times New Roman" w:cs="Times New Roman"/>
                <w:color w:val="000000" w:themeColor="text1"/>
                <w:szCs w:val="22"/>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Cs w:val="22"/>
                <w:bdr w:val="none" w:sz="0" w:space="0" w:color="auto" w:frame="1"/>
                <w14:textOutline w14:w="9525" w14:cap="rnd" w14:cmpd="sng" w14:algn="ctr">
                  <w14:noFill/>
                  <w14:prstDash w14:val="solid"/>
                  <w14:bevel/>
                </w14:textOutline>
              </w:rPr>
              <w:t>Zygoptera</w:t>
            </w:r>
          </w:p>
        </w:tc>
      </w:tr>
      <w:tr w:rsidR="00CB10DF" w:rsidRPr="00CB10DF" w14:paraId="0AA382BF" w14:textId="77777777" w:rsidTr="008B17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Height w:val="1427"/>
        </w:trPr>
        <w:tc>
          <w:tcPr>
            <w:tcW w:w="451" w:type="dxa"/>
            <w:tcBorders>
              <w:bottom w:val="single" w:sz="4" w:space="0" w:color="000000" w:themeColor="text1"/>
            </w:tcBorders>
          </w:tcPr>
          <w:p w14:paraId="14FD41DC" w14:textId="77777777" w:rsidR="008B17C2" w:rsidRPr="00CB10DF" w:rsidRDefault="008B17C2" w:rsidP="008B17C2">
            <w:pPr>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p>
        </w:tc>
        <w:tc>
          <w:tcPr>
            <w:tcW w:w="853" w:type="dxa"/>
            <w:tcBorders>
              <w:bottom w:val="single" w:sz="4" w:space="0" w:color="000000" w:themeColor="text1"/>
              <w:right w:val="single" w:sz="4" w:space="0" w:color="000000" w:themeColor="text1"/>
            </w:tcBorders>
            <w:vAlign w:val="center"/>
            <w:hideMark/>
          </w:tcPr>
          <w:p w14:paraId="52D45BBA" w14:textId="77777777" w:rsidR="008B17C2" w:rsidRPr="00CB10DF" w:rsidRDefault="008B17C2" w:rsidP="008B17C2">
            <w:pPr>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p>
        </w:tc>
        <w:tc>
          <w:tcPr>
            <w:tcW w:w="888" w:type="dxa"/>
            <w:tcBorders>
              <w:top w:val="single" w:sz="4" w:space="0" w:color="auto"/>
              <w:left w:val="single" w:sz="4" w:space="0" w:color="000000" w:themeColor="text1"/>
              <w:bottom w:val="single" w:sz="4" w:space="0" w:color="000000" w:themeColor="text1"/>
              <w:right w:val="nil"/>
            </w:tcBorders>
            <w:shd w:val="clear" w:color="auto" w:fill="D0CECE" w:themeFill="background2" w:themeFillShade="E6"/>
            <w:textDirection w:val="btLr"/>
            <w:vAlign w:val="center"/>
            <w:hideMark/>
          </w:tcPr>
          <w:p w14:paraId="37CFE15C"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70" w:lineRule="atLeast"/>
              <w:ind w:left="-34" w:right="-83"/>
              <w:jc w:val="center"/>
              <w:rPr>
                <w:rFonts w:ascii="Times New Roman" w:eastAsia="Times New Roman" w:hAnsi="Times New Roman" w:cs="Times New Roman"/>
                <w:b/>
                <w:bCs/>
                <w:i/>
                <w:iCs/>
                <w:color w:val="000000" w:themeColor="text1"/>
                <w:sz w:val="18"/>
                <w:szCs w:val="18"/>
                <w:bdr w:val="none" w:sz="0" w:space="0" w:color="auto" w:frame="1"/>
                <w14:textOutline w14:w="9525" w14:cap="rnd" w14:cmpd="sng" w14:algn="ctr">
                  <w14:noFill/>
                  <w14:prstDash w14:val="solid"/>
                  <w14:bevel/>
                </w14:textOutline>
              </w:rPr>
            </w:pPr>
            <w:proofErr w:type="spellStart"/>
            <w:r w:rsidRPr="00CB10DF">
              <w:rPr>
                <w:rFonts w:ascii="Times New Roman" w:eastAsia="Times New Roman" w:hAnsi="Times New Roman" w:cs="Times New Roman"/>
                <w:b/>
                <w:bCs/>
                <w:i/>
                <w:iCs/>
                <w:color w:val="000000" w:themeColor="text1"/>
                <w:sz w:val="18"/>
                <w:szCs w:val="18"/>
                <w:bdr w:val="none" w:sz="0" w:space="0" w:color="auto" w:frame="1"/>
                <w14:textOutline w14:w="9525" w14:cap="rnd" w14:cmpd="sng" w14:algn="ctr">
                  <w14:noFill/>
                  <w14:prstDash w14:val="solid"/>
                  <w14:bevel/>
                </w14:textOutline>
              </w:rPr>
              <w:t>Aeshna</w:t>
            </w:r>
            <w:proofErr w:type="spellEnd"/>
            <w:r w:rsidRPr="00CB10DF">
              <w:rPr>
                <w:rFonts w:ascii="Times New Roman" w:eastAsia="Times New Roman" w:hAnsi="Times New Roman" w:cs="Times New Roman"/>
                <w:b/>
                <w:bCs/>
                <w:i/>
                <w:iCs/>
                <w:color w:val="000000" w:themeColor="text1"/>
                <w:sz w:val="18"/>
                <w:szCs w:val="18"/>
                <w:bdr w:val="none" w:sz="0" w:space="0" w:color="auto" w:frame="1"/>
                <w14:textOutline w14:w="9525" w14:cap="rnd" w14:cmpd="sng" w14:algn="ctr">
                  <w14:noFill/>
                  <w14:prstDash w14:val="solid"/>
                  <w14:bevel/>
                </w14:textOutline>
              </w:rPr>
              <w:br/>
            </w:r>
            <w:proofErr w:type="spellStart"/>
            <w:r w:rsidRPr="00CB10DF">
              <w:rPr>
                <w:rFonts w:ascii="Times New Roman" w:eastAsia="Times New Roman" w:hAnsi="Times New Roman" w:cs="Times New Roman"/>
                <w:b/>
                <w:bCs/>
                <w:i/>
                <w:iCs/>
                <w:color w:val="000000" w:themeColor="text1"/>
                <w:sz w:val="18"/>
                <w:szCs w:val="18"/>
                <w:bdr w:val="none" w:sz="0" w:space="0" w:color="auto" w:frame="1"/>
                <w14:textOutline w14:w="9525" w14:cap="rnd" w14:cmpd="sng" w14:algn="ctr">
                  <w14:noFill/>
                  <w14:prstDash w14:val="solid"/>
                  <w14:bevel/>
                </w14:textOutline>
              </w:rPr>
              <w:t>cyanea</w:t>
            </w:r>
            <w:proofErr w:type="spellEnd"/>
          </w:p>
        </w:tc>
        <w:tc>
          <w:tcPr>
            <w:tcW w:w="888" w:type="dxa"/>
            <w:tcBorders>
              <w:top w:val="single" w:sz="4" w:space="0" w:color="auto"/>
              <w:left w:val="nil"/>
              <w:bottom w:val="single" w:sz="4" w:space="0" w:color="000000" w:themeColor="text1"/>
              <w:right w:val="nil"/>
            </w:tcBorders>
            <w:shd w:val="clear" w:color="auto" w:fill="D0CECE" w:themeFill="background2" w:themeFillShade="E6"/>
            <w:textDirection w:val="btLr"/>
            <w:vAlign w:val="center"/>
            <w:hideMark/>
          </w:tcPr>
          <w:p w14:paraId="3D056AC0"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70" w:lineRule="atLeast"/>
              <w:ind w:left="113" w:right="113"/>
              <w:jc w:val="center"/>
              <w:rPr>
                <w:rFonts w:ascii="Times New Roman" w:eastAsia="Times New Roman" w:hAnsi="Times New Roman" w:cs="Times New Roman"/>
                <w:i/>
                <w:iCs/>
                <w:color w:val="000000" w:themeColor="text1"/>
                <w:sz w:val="18"/>
                <w:szCs w:val="18"/>
                <w:bdr w:val="none" w:sz="0" w:space="0" w:color="auto" w:frame="1"/>
                <w14:textOutline w14:w="9525" w14:cap="rnd" w14:cmpd="sng" w14:algn="ctr">
                  <w14:noFill/>
                  <w14:prstDash w14:val="solid"/>
                  <w14:bevel/>
                </w14:textOutline>
              </w:rPr>
            </w:pPr>
            <w:proofErr w:type="spellStart"/>
            <w:r w:rsidRPr="00CB10DF">
              <w:rPr>
                <w:rFonts w:ascii="Times New Roman" w:eastAsia="Times New Roman" w:hAnsi="Times New Roman" w:cs="Times New Roman"/>
                <w:i/>
                <w:iCs/>
                <w:color w:val="000000" w:themeColor="text1"/>
                <w:sz w:val="18"/>
                <w:szCs w:val="18"/>
                <w:bdr w:val="none" w:sz="0" w:space="0" w:color="auto" w:frame="1"/>
                <w14:textOutline w14:w="9525" w14:cap="rnd" w14:cmpd="sng" w14:algn="ctr">
                  <w14:noFill/>
                  <w14:prstDash w14:val="solid"/>
                  <w14:bevel/>
                </w14:textOutline>
              </w:rPr>
              <w:t>Aeshna</w:t>
            </w:r>
            <w:proofErr w:type="spellEnd"/>
            <w:r w:rsidRPr="00CB10DF">
              <w:rPr>
                <w:rFonts w:ascii="Times New Roman" w:eastAsia="Times New Roman" w:hAnsi="Times New Roman" w:cs="Times New Roman"/>
                <w:i/>
                <w:iCs/>
                <w:color w:val="000000" w:themeColor="text1"/>
                <w:sz w:val="18"/>
                <w:szCs w:val="18"/>
                <w:bdr w:val="none" w:sz="0" w:space="0" w:color="auto" w:frame="1"/>
                <w14:textOutline w14:w="9525" w14:cap="rnd" w14:cmpd="sng" w14:algn="ctr">
                  <w14:noFill/>
                  <w14:prstDash w14:val="solid"/>
                  <w14:bevel/>
                </w14:textOutline>
              </w:rPr>
              <w:br/>
            </w:r>
            <w:proofErr w:type="spellStart"/>
            <w:r w:rsidRPr="00CB10DF">
              <w:rPr>
                <w:rFonts w:ascii="Times New Roman" w:eastAsia="Times New Roman" w:hAnsi="Times New Roman" w:cs="Times New Roman"/>
                <w:i/>
                <w:iCs/>
                <w:color w:val="000000" w:themeColor="text1"/>
                <w:sz w:val="18"/>
                <w:szCs w:val="18"/>
                <w:bdr w:val="none" w:sz="0" w:space="0" w:color="auto" w:frame="1"/>
                <w14:textOutline w14:w="9525" w14:cap="rnd" w14:cmpd="sng" w14:algn="ctr">
                  <w14:noFill/>
                  <w14:prstDash w14:val="solid"/>
                  <w14:bevel/>
                </w14:textOutline>
              </w:rPr>
              <w:t>grandis</w:t>
            </w:r>
            <w:proofErr w:type="spellEnd"/>
          </w:p>
        </w:tc>
        <w:tc>
          <w:tcPr>
            <w:tcW w:w="646" w:type="dxa"/>
            <w:tcBorders>
              <w:top w:val="single" w:sz="4" w:space="0" w:color="auto"/>
              <w:left w:val="nil"/>
              <w:bottom w:val="single" w:sz="4" w:space="0" w:color="000000" w:themeColor="text1"/>
              <w:right w:val="nil"/>
            </w:tcBorders>
            <w:shd w:val="clear" w:color="auto" w:fill="D0CECE" w:themeFill="background2" w:themeFillShade="E6"/>
            <w:textDirection w:val="btLr"/>
            <w:vAlign w:val="center"/>
          </w:tcPr>
          <w:p w14:paraId="13DD29E9"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70" w:lineRule="atLeast"/>
              <w:ind w:left="-82" w:right="-152"/>
              <w:jc w:val="center"/>
              <w:rPr>
                <w:rFonts w:ascii="Times New Roman" w:eastAsia="Times New Roman" w:hAnsi="Times New Roman" w:cs="Times New Roman"/>
                <w:i/>
                <w:iCs/>
                <w:color w:val="000000" w:themeColor="text1"/>
                <w:sz w:val="18"/>
                <w:szCs w:val="18"/>
                <w:bdr w:val="none" w:sz="0" w:space="0" w:color="auto" w:frame="1"/>
                <w14:textOutline w14:w="9525" w14:cap="rnd" w14:cmpd="sng" w14:algn="ctr">
                  <w14:noFill/>
                  <w14:prstDash w14:val="solid"/>
                  <w14:bevel/>
                </w14:textOutline>
              </w:rPr>
            </w:pPr>
            <w:proofErr w:type="spellStart"/>
            <w:r w:rsidRPr="00CB10DF">
              <w:rPr>
                <w:rFonts w:ascii="Times New Roman" w:eastAsia="Times New Roman" w:hAnsi="Times New Roman" w:cs="Times New Roman"/>
                <w:i/>
                <w:iCs/>
                <w:color w:val="000000" w:themeColor="text1"/>
                <w:sz w:val="18"/>
                <w:szCs w:val="18"/>
                <w:bdr w:val="none" w:sz="0" w:space="0" w:color="auto" w:frame="1"/>
                <w14:textOutline w14:w="9525" w14:cap="rnd" w14:cmpd="sng" w14:algn="ctr">
                  <w14:noFill/>
                  <w14:prstDash w14:val="solid"/>
                  <w14:bevel/>
                </w14:textOutline>
              </w:rPr>
              <w:t>Aeshna</w:t>
            </w:r>
            <w:proofErr w:type="spellEnd"/>
          </w:p>
          <w:p w14:paraId="269D812D"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70" w:lineRule="atLeast"/>
              <w:ind w:left="-82" w:right="-152"/>
              <w:jc w:val="center"/>
              <w:rPr>
                <w:rFonts w:ascii="Times New Roman" w:eastAsia="Times New Roman" w:hAnsi="Times New Roman" w:cs="Times New Roman"/>
                <w:i/>
                <w:iCs/>
                <w:color w:val="000000" w:themeColor="text1"/>
                <w:sz w:val="18"/>
                <w:szCs w:val="18"/>
                <w:bdr w:val="none" w:sz="0" w:space="0" w:color="auto" w:frame="1"/>
                <w14:textOutline w14:w="9525" w14:cap="rnd" w14:cmpd="sng" w14:algn="ctr">
                  <w14:noFill/>
                  <w14:prstDash w14:val="solid"/>
                  <w14:bevel/>
                </w14:textOutline>
              </w:rPr>
            </w:pPr>
            <w:proofErr w:type="spellStart"/>
            <w:r w:rsidRPr="00CB10DF">
              <w:rPr>
                <w:rFonts w:ascii="Times New Roman" w:eastAsia="Times New Roman" w:hAnsi="Times New Roman" w:cs="Times New Roman"/>
                <w:i/>
                <w:iCs/>
                <w:color w:val="000000" w:themeColor="text1"/>
                <w:sz w:val="18"/>
                <w:szCs w:val="18"/>
                <w:bdr w:val="none" w:sz="0" w:space="0" w:color="auto" w:frame="1"/>
                <w14:textOutline w14:w="9525" w14:cap="rnd" w14:cmpd="sng" w14:algn="ctr">
                  <w14:noFill/>
                  <w14:prstDash w14:val="solid"/>
                  <w14:bevel/>
                </w14:textOutline>
              </w:rPr>
              <w:t>mixta</w:t>
            </w:r>
            <w:proofErr w:type="spellEnd"/>
          </w:p>
        </w:tc>
        <w:tc>
          <w:tcPr>
            <w:tcW w:w="888" w:type="dxa"/>
            <w:tcBorders>
              <w:top w:val="single" w:sz="4" w:space="0" w:color="auto"/>
              <w:left w:val="nil"/>
              <w:bottom w:val="single" w:sz="4" w:space="0" w:color="000000" w:themeColor="text1"/>
              <w:right w:val="nil"/>
            </w:tcBorders>
            <w:shd w:val="clear" w:color="auto" w:fill="D0CECE" w:themeFill="background2" w:themeFillShade="E6"/>
            <w:textDirection w:val="btLr"/>
            <w:vAlign w:val="center"/>
            <w:hideMark/>
          </w:tcPr>
          <w:p w14:paraId="0371514D"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70" w:lineRule="atLeast"/>
              <w:ind w:left="113" w:right="-110"/>
              <w:jc w:val="center"/>
              <w:rPr>
                <w:rFonts w:ascii="Times New Roman" w:eastAsia="Times New Roman" w:hAnsi="Times New Roman" w:cs="Times New Roman"/>
                <w:i/>
                <w:iCs/>
                <w:color w:val="000000" w:themeColor="text1"/>
                <w:sz w:val="18"/>
                <w:szCs w:val="18"/>
                <w:bdr w:val="none" w:sz="0" w:space="0" w:color="auto" w:frame="1"/>
                <w14:textOutline w14:w="9525" w14:cap="rnd" w14:cmpd="sng" w14:algn="ctr">
                  <w14:noFill/>
                  <w14:prstDash w14:val="solid"/>
                  <w14:bevel/>
                </w14:textOutline>
              </w:rPr>
            </w:pPr>
            <w:proofErr w:type="spellStart"/>
            <w:r w:rsidRPr="00CB10DF">
              <w:rPr>
                <w:rFonts w:ascii="Times New Roman" w:eastAsia="Times New Roman" w:hAnsi="Times New Roman" w:cs="Times New Roman"/>
                <w:i/>
                <w:iCs/>
                <w:color w:val="000000" w:themeColor="text1"/>
                <w:sz w:val="18"/>
                <w:szCs w:val="18"/>
                <w:bdr w:val="none" w:sz="0" w:space="0" w:color="auto" w:frame="1"/>
                <w14:textOutline w14:w="9525" w14:cap="rnd" w14:cmpd="sng" w14:algn="ctr">
                  <w14:noFill/>
                  <w14:prstDash w14:val="solid"/>
                  <w14:bevel/>
                </w14:textOutline>
              </w:rPr>
              <w:t>Anax</w:t>
            </w:r>
            <w:proofErr w:type="spellEnd"/>
            <w:r w:rsidRPr="00CB10DF">
              <w:rPr>
                <w:rFonts w:ascii="Times New Roman" w:eastAsia="Times New Roman" w:hAnsi="Times New Roman" w:cs="Times New Roman"/>
                <w:i/>
                <w:iCs/>
                <w:color w:val="000000" w:themeColor="text1"/>
                <w:sz w:val="18"/>
                <w:szCs w:val="18"/>
                <w:bdr w:val="none" w:sz="0" w:space="0" w:color="auto" w:frame="1"/>
                <w14:textOutline w14:w="9525" w14:cap="rnd" w14:cmpd="sng" w14:algn="ctr">
                  <w14:noFill/>
                  <w14:prstDash w14:val="solid"/>
                  <w14:bevel/>
                </w14:textOutline>
              </w:rPr>
              <w:br/>
              <w:t>imperator</w:t>
            </w:r>
          </w:p>
        </w:tc>
        <w:tc>
          <w:tcPr>
            <w:tcW w:w="888" w:type="dxa"/>
            <w:tcBorders>
              <w:top w:val="single" w:sz="4" w:space="0" w:color="auto"/>
              <w:left w:val="nil"/>
              <w:bottom w:val="single" w:sz="4" w:space="0" w:color="000000" w:themeColor="text1"/>
              <w:right w:val="nil"/>
            </w:tcBorders>
            <w:shd w:val="clear" w:color="auto" w:fill="D0CECE" w:themeFill="background2" w:themeFillShade="E6"/>
            <w:textDirection w:val="btLr"/>
            <w:vAlign w:val="center"/>
            <w:hideMark/>
          </w:tcPr>
          <w:p w14:paraId="2D48A20F"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70" w:lineRule="atLeast"/>
              <w:ind w:left="-60" w:right="-120"/>
              <w:jc w:val="center"/>
              <w:rPr>
                <w:rFonts w:ascii="Times New Roman" w:eastAsia="Times New Roman" w:hAnsi="Times New Roman" w:cs="Times New Roman"/>
                <w:b/>
                <w:bCs/>
                <w:i/>
                <w:iCs/>
                <w:color w:val="000000" w:themeColor="text1"/>
                <w:sz w:val="18"/>
                <w:szCs w:val="18"/>
                <w:bdr w:val="none" w:sz="0" w:space="0" w:color="auto" w:frame="1"/>
                <w14:textOutline w14:w="9525" w14:cap="rnd" w14:cmpd="sng" w14:algn="ctr">
                  <w14:noFill/>
                  <w14:prstDash w14:val="solid"/>
                  <w14:bevel/>
                </w14:textOutline>
              </w:rPr>
            </w:pPr>
            <w:proofErr w:type="spellStart"/>
            <w:r w:rsidRPr="00CB10DF">
              <w:rPr>
                <w:rFonts w:ascii="Times New Roman" w:eastAsia="Times New Roman" w:hAnsi="Times New Roman" w:cs="Times New Roman"/>
                <w:b/>
                <w:bCs/>
                <w:i/>
                <w:iCs/>
                <w:color w:val="000000" w:themeColor="text1"/>
                <w:sz w:val="18"/>
                <w:szCs w:val="18"/>
                <w:bdr w:val="none" w:sz="0" w:space="0" w:color="auto" w:frame="1"/>
                <w14:textOutline w14:w="9525" w14:cap="rnd" w14:cmpd="sng" w14:algn="ctr">
                  <w14:noFill/>
                  <w14:prstDash w14:val="solid"/>
                  <w14:bevel/>
                </w14:textOutline>
              </w:rPr>
              <w:t>Brachytron</w:t>
            </w:r>
            <w:proofErr w:type="spellEnd"/>
            <w:r w:rsidRPr="00CB10DF">
              <w:rPr>
                <w:rFonts w:ascii="Times New Roman" w:eastAsia="Times New Roman" w:hAnsi="Times New Roman" w:cs="Times New Roman"/>
                <w:b/>
                <w:bCs/>
                <w:i/>
                <w:iCs/>
                <w:color w:val="000000" w:themeColor="text1"/>
                <w:sz w:val="18"/>
                <w:szCs w:val="18"/>
                <w:bdr w:val="none" w:sz="0" w:space="0" w:color="auto" w:frame="1"/>
                <w14:textOutline w14:w="9525" w14:cap="rnd" w14:cmpd="sng" w14:algn="ctr">
                  <w14:noFill/>
                  <w14:prstDash w14:val="solid"/>
                  <w14:bevel/>
                </w14:textOutline>
              </w:rPr>
              <w:br/>
            </w:r>
            <w:proofErr w:type="spellStart"/>
            <w:r w:rsidRPr="00CB10DF">
              <w:rPr>
                <w:rFonts w:ascii="Times New Roman" w:eastAsia="Times New Roman" w:hAnsi="Times New Roman" w:cs="Times New Roman"/>
                <w:b/>
                <w:bCs/>
                <w:i/>
                <w:iCs/>
                <w:color w:val="000000" w:themeColor="text1"/>
                <w:sz w:val="18"/>
                <w:szCs w:val="18"/>
                <w:bdr w:val="none" w:sz="0" w:space="0" w:color="auto" w:frame="1"/>
                <w14:textOutline w14:w="9525" w14:cap="rnd" w14:cmpd="sng" w14:algn="ctr">
                  <w14:noFill/>
                  <w14:prstDash w14:val="solid"/>
                  <w14:bevel/>
                </w14:textOutline>
              </w:rPr>
              <w:t>pratense</w:t>
            </w:r>
            <w:proofErr w:type="spellEnd"/>
          </w:p>
        </w:tc>
        <w:tc>
          <w:tcPr>
            <w:tcW w:w="888" w:type="dxa"/>
            <w:tcBorders>
              <w:top w:val="single" w:sz="4" w:space="0" w:color="auto"/>
              <w:left w:val="nil"/>
              <w:bottom w:val="single" w:sz="4" w:space="0" w:color="000000" w:themeColor="text1"/>
              <w:right w:val="nil"/>
            </w:tcBorders>
            <w:shd w:val="clear" w:color="auto" w:fill="D0CECE" w:themeFill="background2" w:themeFillShade="E6"/>
            <w:textDirection w:val="btLr"/>
            <w:vAlign w:val="center"/>
          </w:tcPr>
          <w:p w14:paraId="567DDDEF"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70" w:lineRule="atLeast"/>
              <w:ind w:left="-30" w:right="-105"/>
              <w:jc w:val="center"/>
              <w:rPr>
                <w:rFonts w:ascii="Times New Roman" w:eastAsia="Times New Roman" w:hAnsi="Times New Roman" w:cs="Times New Roman"/>
                <w:i/>
                <w:iCs/>
                <w:color w:val="000000" w:themeColor="text1"/>
                <w:sz w:val="18"/>
                <w:szCs w:val="18"/>
                <w:bdr w:val="none" w:sz="0" w:space="0" w:color="auto" w:frame="1"/>
                <w14:textOutline w14:w="9525" w14:cap="rnd" w14:cmpd="sng" w14:algn="ctr">
                  <w14:noFill/>
                  <w14:prstDash w14:val="solid"/>
                  <w14:bevel/>
                </w14:textOutline>
              </w:rPr>
            </w:pPr>
            <w:proofErr w:type="spellStart"/>
            <w:r w:rsidRPr="00CB10DF">
              <w:rPr>
                <w:rFonts w:ascii="Times New Roman" w:eastAsia="Times New Roman" w:hAnsi="Times New Roman" w:cs="Times New Roman"/>
                <w:i/>
                <w:iCs/>
                <w:color w:val="000000" w:themeColor="text1"/>
                <w:sz w:val="18"/>
                <w:szCs w:val="18"/>
                <w:bdr w:val="none" w:sz="0" w:space="0" w:color="auto" w:frame="1"/>
                <w14:textOutline w14:w="9525" w14:cap="rnd" w14:cmpd="sng" w14:algn="ctr">
                  <w14:noFill/>
                  <w14:prstDash w14:val="solid"/>
                  <w14:bevel/>
                </w14:textOutline>
              </w:rPr>
              <w:t>Libellula</w:t>
            </w:r>
            <w:proofErr w:type="spellEnd"/>
          </w:p>
          <w:p w14:paraId="35B7F46A"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70" w:lineRule="atLeast"/>
              <w:ind w:left="-67" w:right="113"/>
              <w:jc w:val="center"/>
              <w:rPr>
                <w:rFonts w:ascii="Times New Roman" w:eastAsia="Times New Roman" w:hAnsi="Times New Roman" w:cs="Times New Roman"/>
                <w:b/>
                <w:bCs/>
                <w:i/>
                <w:iCs/>
                <w:color w:val="000000" w:themeColor="text1"/>
                <w:sz w:val="18"/>
                <w:szCs w:val="18"/>
                <w:bdr w:val="none" w:sz="0" w:space="0" w:color="auto" w:frame="1"/>
                <w14:textOutline w14:w="9525" w14:cap="rnd" w14:cmpd="sng" w14:algn="ctr">
                  <w14:noFill/>
                  <w14:prstDash w14:val="solid"/>
                  <w14:bevel/>
                </w14:textOutline>
              </w:rPr>
            </w:pPr>
            <w:proofErr w:type="spellStart"/>
            <w:r w:rsidRPr="00CB10DF">
              <w:rPr>
                <w:rFonts w:ascii="Times New Roman" w:eastAsia="Times New Roman" w:hAnsi="Times New Roman" w:cs="Times New Roman"/>
                <w:i/>
                <w:iCs/>
                <w:color w:val="000000" w:themeColor="text1"/>
                <w:sz w:val="18"/>
                <w:szCs w:val="18"/>
                <w:bdr w:val="none" w:sz="0" w:space="0" w:color="auto" w:frame="1"/>
                <w14:textOutline w14:w="9525" w14:cap="rnd" w14:cmpd="sng" w14:algn="ctr">
                  <w14:noFill/>
                  <w14:prstDash w14:val="solid"/>
                  <w14:bevel/>
                </w14:textOutline>
              </w:rPr>
              <w:t>quadrimaculata</w:t>
            </w:r>
            <w:proofErr w:type="spellEnd"/>
          </w:p>
        </w:tc>
        <w:tc>
          <w:tcPr>
            <w:tcW w:w="888" w:type="dxa"/>
            <w:tcBorders>
              <w:top w:val="single" w:sz="4" w:space="0" w:color="auto"/>
              <w:left w:val="nil"/>
              <w:bottom w:val="single" w:sz="4" w:space="0" w:color="000000" w:themeColor="text1"/>
              <w:right w:val="nil"/>
            </w:tcBorders>
            <w:shd w:val="clear" w:color="auto" w:fill="D0CECE" w:themeFill="background2" w:themeFillShade="E6"/>
            <w:textDirection w:val="btLr"/>
            <w:vAlign w:val="center"/>
            <w:hideMark/>
          </w:tcPr>
          <w:p w14:paraId="6D285122"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70" w:lineRule="atLeast"/>
              <w:ind w:left="-67" w:right="113"/>
              <w:jc w:val="center"/>
              <w:rPr>
                <w:rFonts w:ascii="Times New Roman" w:eastAsia="Times New Roman" w:hAnsi="Times New Roman" w:cs="Times New Roman"/>
                <w:i/>
                <w:iCs/>
                <w:color w:val="000000" w:themeColor="text1"/>
                <w:sz w:val="18"/>
                <w:szCs w:val="18"/>
                <w:bdr w:val="none" w:sz="0" w:space="0" w:color="auto" w:frame="1"/>
                <w14:textOutline w14:w="9525" w14:cap="rnd" w14:cmpd="sng" w14:algn="ctr">
                  <w14:noFill/>
                  <w14:prstDash w14:val="solid"/>
                  <w14:bevel/>
                </w14:textOutline>
              </w:rPr>
            </w:pPr>
            <w:proofErr w:type="spellStart"/>
            <w:r w:rsidRPr="00CB10DF">
              <w:rPr>
                <w:rFonts w:ascii="Times New Roman" w:eastAsia="Times New Roman" w:hAnsi="Times New Roman" w:cs="Times New Roman"/>
                <w:i/>
                <w:iCs/>
                <w:color w:val="000000" w:themeColor="text1"/>
                <w:sz w:val="18"/>
                <w:szCs w:val="18"/>
                <w:bdr w:val="none" w:sz="0" w:space="0" w:color="auto" w:frame="1"/>
                <w14:textOutline w14:w="9525" w14:cap="rnd" w14:cmpd="sng" w14:algn="ctr">
                  <w14:noFill/>
                  <w14:prstDash w14:val="solid"/>
                  <w14:bevel/>
                </w14:textOutline>
              </w:rPr>
              <w:t>Somatochlora</w:t>
            </w:r>
            <w:proofErr w:type="spellEnd"/>
            <w:r w:rsidRPr="00CB10DF">
              <w:rPr>
                <w:rFonts w:ascii="Times New Roman" w:eastAsia="Times New Roman" w:hAnsi="Times New Roman" w:cs="Times New Roman"/>
                <w:i/>
                <w:iCs/>
                <w:color w:val="000000" w:themeColor="text1"/>
                <w:sz w:val="18"/>
                <w:szCs w:val="18"/>
                <w:bdr w:val="none" w:sz="0" w:space="0" w:color="auto" w:frame="1"/>
                <w14:textOutline w14:w="9525" w14:cap="rnd" w14:cmpd="sng" w14:algn="ctr">
                  <w14:noFill/>
                  <w14:prstDash w14:val="solid"/>
                  <w14:bevel/>
                </w14:textOutline>
              </w:rPr>
              <w:br/>
            </w:r>
            <w:proofErr w:type="spellStart"/>
            <w:r w:rsidRPr="00CB10DF">
              <w:rPr>
                <w:rFonts w:ascii="Times New Roman" w:eastAsia="Times New Roman" w:hAnsi="Times New Roman" w:cs="Times New Roman"/>
                <w:i/>
                <w:iCs/>
                <w:color w:val="000000" w:themeColor="text1"/>
                <w:sz w:val="18"/>
                <w:szCs w:val="18"/>
                <w:bdr w:val="none" w:sz="0" w:space="0" w:color="auto" w:frame="1"/>
                <w14:textOutline w14:w="9525" w14:cap="rnd" w14:cmpd="sng" w14:algn="ctr">
                  <w14:noFill/>
                  <w14:prstDash w14:val="solid"/>
                  <w14:bevel/>
                </w14:textOutline>
              </w:rPr>
              <w:t>metallica</w:t>
            </w:r>
            <w:proofErr w:type="spellEnd"/>
          </w:p>
        </w:tc>
        <w:tc>
          <w:tcPr>
            <w:tcW w:w="888" w:type="dxa"/>
            <w:tcBorders>
              <w:top w:val="single" w:sz="4" w:space="0" w:color="auto"/>
              <w:left w:val="nil"/>
              <w:bottom w:val="single" w:sz="4" w:space="0" w:color="000000" w:themeColor="text1"/>
              <w:right w:val="single" w:sz="4" w:space="0" w:color="auto"/>
            </w:tcBorders>
            <w:shd w:val="clear" w:color="auto" w:fill="D0CECE" w:themeFill="background2" w:themeFillShade="E6"/>
            <w:textDirection w:val="btLr"/>
            <w:vAlign w:val="center"/>
            <w:hideMark/>
          </w:tcPr>
          <w:p w14:paraId="3EBD8242"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70" w:lineRule="atLeast"/>
              <w:ind w:left="-92" w:right="-106"/>
              <w:jc w:val="center"/>
              <w:rPr>
                <w:rFonts w:ascii="Times New Roman" w:eastAsia="Times New Roman" w:hAnsi="Times New Roman" w:cs="Times New Roman"/>
                <w:i/>
                <w:i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i/>
                <w:iCs/>
                <w:color w:val="000000" w:themeColor="text1"/>
                <w:sz w:val="18"/>
                <w:szCs w:val="18"/>
                <w:bdr w:val="none" w:sz="0" w:space="0" w:color="auto" w:frame="1"/>
                <w14:textOutline w14:w="9525" w14:cap="rnd" w14:cmpd="sng" w14:algn="ctr">
                  <w14:noFill/>
                  <w14:prstDash w14:val="solid"/>
                  <w14:bevel/>
                </w14:textOutline>
              </w:rPr>
              <w:t>Sympetrum</w:t>
            </w:r>
          </w:p>
          <w:p w14:paraId="073AF007" w14:textId="77777777" w:rsidR="008B17C2" w:rsidRPr="00CB10DF" w:rsidRDefault="008B17C2" w:rsidP="008B17C2">
            <w:pPr>
              <w:tabs>
                <w:tab w:val="left" w:pos="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70" w:lineRule="atLeast"/>
              <w:ind w:left="-25" w:right="-122"/>
              <w:jc w:val="center"/>
              <w:rPr>
                <w:rFonts w:ascii="Times New Roman" w:eastAsia="Times New Roman" w:hAnsi="Times New Roman" w:cs="Times New Roman"/>
                <w:b/>
                <w:bCs/>
                <w:i/>
                <w:iCs/>
                <w:color w:val="000000" w:themeColor="text1"/>
                <w:sz w:val="18"/>
                <w:szCs w:val="18"/>
                <w:bdr w:val="none" w:sz="0" w:space="0" w:color="auto" w:frame="1"/>
                <w14:textOutline w14:w="9525" w14:cap="rnd" w14:cmpd="sng" w14:algn="ctr">
                  <w14:noFill/>
                  <w14:prstDash w14:val="solid"/>
                  <w14:bevel/>
                </w14:textOutline>
              </w:rPr>
            </w:pPr>
            <w:proofErr w:type="spellStart"/>
            <w:r w:rsidRPr="00CB10DF">
              <w:rPr>
                <w:rFonts w:ascii="Times New Roman" w:eastAsia="Times New Roman" w:hAnsi="Times New Roman" w:cs="Times New Roman"/>
                <w:i/>
                <w:iCs/>
                <w:color w:val="000000" w:themeColor="text1"/>
                <w:sz w:val="18"/>
                <w:szCs w:val="18"/>
                <w:bdr w:val="none" w:sz="0" w:space="0" w:color="auto" w:frame="1"/>
                <w14:textOutline w14:w="9525" w14:cap="rnd" w14:cmpd="sng" w14:algn="ctr">
                  <w14:noFill/>
                  <w14:prstDash w14:val="solid"/>
                  <w14:bevel/>
                </w14:textOutline>
              </w:rPr>
              <w:t>striolatum</w:t>
            </w:r>
            <w:proofErr w:type="spellEnd"/>
          </w:p>
        </w:tc>
        <w:tc>
          <w:tcPr>
            <w:tcW w:w="799" w:type="dxa"/>
            <w:tcBorders>
              <w:top w:val="single" w:sz="4" w:space="0" w:color="auto"/>
              <w:left w:val="single" w:sz="4" w:space="0" w:color="auto"/>
              <w:bottom w:val="single" w:sz="4" w:space="0" w:color="000000" w:themeColor="text1"/>
            </w:tcBorders>
            <w:shd w:val="clear" w:color="auto" w:fill="D0CECE" w:themeFill="background2" w:themeFillShade="E6"/>
            <w:textDirection w:val="btLr"/>
            <w:vAlign w:val="center"/>
          </w:tcPr>
          <w:p w14:paraId="7B16EC0B"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70" w:lineRule="atLeast"/>
              <w:ind w:left="-67" w:right="113"/>
              <w:jc w:val="center"/>
              <w:rPr>
                <w:rFonts w:ascii="Times New Roman" w:eastAsia="Times New Roman" w:hAnsi="Times New Roman" w:cs="Times New Roman"/>
                <w:b/>
                <w:bCs/>
                <w:i/>
                <w:i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i/>
                <w:iCs/>
                <w:color w:val="000000" w:themeColor="text1"/>
                <w:sz w:val="18"/>
                <w:szCs w:val="18"/>
                <w:bdr w:val="none" w:sz="0" w:space="0" w:color="auto" w:frame="1"/>
                <w14:textOutline w14:w="9525" w14:cap="rnd" w14:cmpd="sng" w14:algn="ctr">
                  <w14:noFill/>
                  <w14:prstDash w14:val="solid"/>
                  <w14:bevel/>
                </w14:textOutline>
              </w:rPr>
              <w:t>Calopteryx</w:t>
            </w:r>
          </w:p>
          <w:p w14:paraId="396A6858"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70" w:lineRule="atLeast"/>
              <w:ind w:left="-18" w:right="-169"/>
              <w:jc w:val="center"/>
              <w:rPr>
                <w:rFonts w:ascii="Times New Roman" w:eastAsia="Times New Roman" w:hAnsi="Times New Roman" w:cs="Times New Roman"/>
                <w:b/>
                <w:bCs/>
                <w:i/>
                <w:iCs/>
                <w:color w:val="000000" w:themeColor="text1"/>
                <w:sz w:val="18"/>
                <w:szCs w:val="18"/>
                <w:bdr w:val="none" w:sz="0" w:space="0" w:color="auto" w:frame="1"/>
                <w14:textOutline w14:w="9525" w14:cap="rnd" w14:cmpd="sng" w14:algn="ctr">
                  <w14:noFill/>
                  <w14:prstDash w14:val="solid"/>
                  <w14:bevel/>
                </w14:textOutline>
              </w:rPr>
            </w:pPr>
            <w:proofErr w:type="spellStart"/>
            <w:r w:rsidRPr="00CB10DF">
              <w:rPr>
                <w:rFonts w:ascii="Times New Roman" w:eastAsia="Times New Roman" w:hAnsi="Times New Roman" w:cs="Times New Roman"/>
                <w:b/>
                <w:bCs/>
                <w:i/>
                <w:iCs/>
                <w:color w:val="000000" w:themeColor="text1"/>
                <w:sz w:val="18"/>
                <w:szCs w:val="18"/>
                <w:bdr w:val="none" w:sz="0" w:space="0" w:color="auto" w:frame="1"/>
                <w14:textOutline w14:w="9525" w14:cap="rnd" w14:cmpd="sng" w14:algn="ctr">
                  <w14:noFill/>
                  <w14:prstDash w14:val="solid"/>
                  <w14:bevel/>
                </w14:textOutline>
              </w:rPr>
              <w:t>splendens</w:t>
            </w:r>
            <w:proofErr w:type="spellEnd"/>
          </w:p>
        </w:tc>
        <w:tc>
          <w:tcPr>
            <w:tcW w:w="799" w:type="dxa"/>
            <w:tcBorders>
              <w:top w:val="single" w:sz="4" w:space="0" w:color="auto"/>
              <w:bottom w:val="single" w:sz="4" w:space="0" w:color="000000" w:themeColor="text1"/>
              <w:right w:val="nil"/>
            </w:tcBorders>
            <w:shd w:val="clear" w:color="auto" w:fill="D0CECE" w:themeFill="background2" w:themeFillShade="E6"/>
            <w:textDirection w:val="btLr"/>
            <w:vAlign w:val="center"/>
          </w:tcPr>
          <w:p w14:paraId="4231C5AB" w14:textId="77777777" w:rsidR="008B17C2" w:rsidRPr="00CB10DF" w:rsidRDefault="008B17C2" w:rsidP="008B17C2">
            <w:pPr>
              <w:tabs>
                <w:tab w:val="left" w:pos="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70" w:lineRule="atLeast"/>
              <w:ind w:left="-25" w:right="-122"/>
              <w:jc w:val="center"/>
              <w:rPr>
                <w:rFonts w:ascii="Times New Roman" w:eastAsia="Times New Roman" w:hAnsi="Times New Roman" w:cs="Times New Roman"/>
                <w:b/>
                <w:bCs/>
                <w:i/>
                <w:i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i/>
                <w:iCs/>
                <w:color w:val="000000" w:themeColor="text1"/>
                <w:sz w:val="18"/>
                <w:szCs w:val="18"/>
                <w:bdr w:val="none" w:sz="0" w:space="0" w:color="auto" w:frame="1"/>
                <w14:textOutline w14:w="9525" w14:cap="rnd" w14:cmpd="sng" w14:algn="ctr">
                  <w14:noFill/>
                  <w14:prstDash w14:val="solid"/>
                  <w14:bevel/>
                </w14:textOutline>
              </w:rPr>
              <w:t>Calopteryx</w:t>
            </w:r>
          </w:p>
          <w:p w14:paraId="0A7918D3"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70" w:lineRule="atLeast"/>
              <w:ind w:left="-18" w:right="-169"/>
              <w:jc w:val="center"/>
              <w:rPr>
                <w:rFonts w:ascii="Times New Roman" w:eastAsia="Times New Roman" w:hAnsi="Times New Roman" w:cs="Times New Roman"/>
                <w:b/>
                <w:bCs/>
                <w:i/>
                <w:iCs/>
                <w:color w:val="000000" w:themeColor="text1"/>
                <w:sz w:val="18"/>
                <w:szCs w:val="18"/>
                <w:bdr w:val="none" w:sz="0" w:space="0" w:color="auto" w:frame="1"/>
                <w14:textOutline w14:w="9525" w14:cap="rnd" w14:cmpd="sng" w14:algn="ctr">
                  <w14:noFill/>
                  <w14:prstDash w14:val="solid"/>
                  <w14:bevel/>
                </w14:textOutline>
              </w:rPr>
            </w:pPr>
            <w:proofErr w:type="spellStart"/>
            <w:r w:rsidRPr="00CB10DF">
              <w:rPr>
                <w:rFonts w:ascii="Times New Roman" w:eastAsia="Times New Roman" w:hAnsi="Times New Roman" w:cs="Times New Roman"/>
                <w:b/>
                <w:bCs/>
                <w:i/>
                <w:iCs/>
                <w:color w:val="000000" w:themeColor="text1"/>
                <w:sz w:val="18"/>
                <w:szCs w:val="18"/>
                <w:bdr w:val="none" w:sz="0" w:space="0" w:color="auto" w:frame="1"/>
                <w14:textOutline w14:w="9525" w14:cap="rnd" w14:cmpd="sng" w14:algn="ctr">
                  <w14:noFill/>
                  <w14:prstDash w14:val="solid"/>
                  <w14:bevel/>
                </w14:textOutline>
              </w:rPr>
              <w:t>virgo</w:t>
            </w:r>
            <w:proofErr w:type="spellEnd"/>
          </w:p>
        </w:tc>
        <w:tc>
          <w:tcPr>
            <w:tcW w:w="799" w:type="dxa"/>
            <w:tcBorders>
              <w:top w:val="single" w:sz="4" w:space="0" w:color="auto"/>
              <w:left w:val="nil"/>
              <w:bottom w:val="single" w:sz="4" w:space="0" w:color="000000" w:themeColor="text1"/>
              <w:right w:val="nil"/>
            </w:tcBorders>
            <w:shd w:val="clear" w:color="auto" w:fill="D0CECE" w:themeFill="background2" w:themeFillShade="E6"/>
            <w:textDirection w:val="btLr"/>
            <w:vAlign w:val="center"/>
          </w:tcPr>
          <w:p w14:paraId="62BA191D"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70" w:lineRule="atLeast"/>
              <w:ind w:left="-18" w:right="-169"/>
              <w:jc w:val="center"/>
              <w:rPr>
                <w:rFonts w:ascii="Times New Roman" w:eastAsia="Times New Roman" w:hAnsi="Times New Roman" w:cs="Times New Roman"/>
                <w:b/>
                <w:bCs/>
                <w:i/>
                <w:iCs/>
                <w:color w:val="000000" w:themeColor="text1"/>
                <w:sz w:val="18"/>
                <w:szCs w:val="18"/>
                <w:bdr w:val="none" w:sz="0" w:space="0" w:color="auto" w:frame="1"/>
                <w14:textOutline w14:w="9525" w14:cap="rnd" w14:cmpd="sng" w14:algn="ctr">
                  <w14:noFill/>
                  <w14:prstDash w14:val="solid"/>
                  <w14:bevel/>
                </w14:textOutline>
              </w:rPr>
            </w:pPr>
            <w:proofErr w:type="spellStart"/>
            <w:r w:rsidRPr="00CB10DF">
              <w:rPr>
                <w:rFonts w:ascii="Times New Roman" w:eastAsia="Times New Roman" w:hAnsi="Times New Roman" w:cs="Times New Roman"/>
                <w:b/>
                <w:bCs/>
                <w:i/>
                <w:iCs/>
                <w:color w:val="000000" w:themeColor="text1"/>
                <w:sz w:val="18"/>
                <w:szCs w:val="18"/>
                <w:bdr w:val="none" w:sz="0" w:space="0" w:color="auto" w:frame="1"/>
                <w14:textOutline w14:w="9525" w14:cap="rnd" w14:cmpd="sng" w14:algn="ctr">
                  <w14:noFill/>
                  <w14:prstDash w14:val="solid"/>
                  <w14:bevel/>
                </w14:textOutline>
              </w:rPr>
              <w:t>Coenagrion</w:t>
            </w:r>
            <w:proofErr w:type="spellEnd"/>
          </w:p>
          <w:p w14:paraId="18624BCC"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70" w:lineRule="atLeast"/>
              <w:ind w:left="-49" w:right="-68"/>
              <w:jc w:val="center"/>
              <w:rPr>
                <w:rFonts w:ascii="Times New Roman" w:eastAsia="Times New Roman" w:hAnsi="Times New Roman" w:cs="Times New Roman"/>
                <w:b/>
                <w:bCs/>
                <w:i/>
                <w:iCs/>
                <w:color w:val="000000" w:themeColor="text1"/>
                <w:sz w:val="18"/>
                <w:szCs w:val="18"/>
                <w:bdr w:val="none" w:sz="0" w:space="0" w:color="auto" w:frame="1"/>
                <w14:textOutline w14:w="9525" w14:cap="rnd" w14:cmpd="sng" w14:algn="ctr">
                  <w14:noFill/>
                  <w14:prstDash w14:val="solid"/>
                  <w14:bevel/>
                </w14:textOutline>
              </w:rPr>
            </w:pPr>
            <w:proofErr w:type="spellStart"/>
            <w:r w:rsidRPr="00CB10DF">
              <w:rPr>
                <w:rFonts w:ascii="Times New Roman" w:eastAsia="Times New Roman" w:hAnsi="Times New Roman" w:cs="Times New Roman"/>
                <w:b/>
                <w:bCs/>
                <w:i/>
                <w:iCs/>
                <w:color w:val="000000" w:themeColor="text1"/>
                <w:sz w:val="18"/>
                <w:szCs w:val="18"/>
                <w:bdr w:val="none" w:sz="0" w:space="0" w:color="auto" w:frame="1"/>
                <w14:textOutline w14:w="9525" w14:cap="rnd" w14:cmpd="sng" w14:algn="ctr">
                  <w14:noFill/>
                  <w14:prstDash w14:val="solid"/>
                  <w14:bevel/>
                </w14:textOutline>
              </w:rPr>
              <w:t>puella</w:t>
            </w:r>
            <w:proofErr w:type="spellEnd"/>
          </w:p>
        </w:tc>
        <w:tc>
          <w:tcPr>
            <w:tcW w:w="799" w:type="dxa"/>
            <w:tcBorders>
              <w:top w:val="single" w:sz="4" w:space="0" w:color="auto"/>
              <w:left w:val="nil"/>
              <w:bottom w:val="single" w:sz="4" w:space="0" w:color="000000" w:themeColor="text1"/>
              <w:right w:val="nil"/>
            </w:tcBorders>
            <w:shd w:val="clear" w:color="auto" w:fill="D0CECE" w:themeFill="background2" w:themeFillShade="E6"/>
            <w:textDirection w:val="btLr"/>
            <w:vAlign w:val="center"/>
          </w:tcPr>
          <w:p w14:paraId="0E0297EC"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70" w:lineRule="atLeast"/>
              <w:ind w:left="-49" w:right="-68"/>
              <w:jc w:val="center"/>
              <w:rPr>
                <w:rFonts w:ascii="Times New Roman" w:eastAsia="Times New Roman" w:hAnsi="Times New Roman" w:cs="Times New Roman"/>
                <w:b/>
                <w:bCs/>
                <w:i/>
                <w:iCs/>
                <w:color w:val="000000" w:themeColor="text1"/>
                <w:sz w:val="18"/>
                <w:szCs w:val="18"/>
                <w:bdr w:val="none" w:sz="0" w:space="0" w:color="auto" w:frame="1"/>
                <w14:textOutline w14:w="9525" w14:cap="rnd" w14:cmpd="sng" w14:algn="ctr">
                  <w14:noFill/>
                  <w14:prstDash w14:val="solid"/>
                  <w14:bevel/>
                </w14:textOutline>
              </w:rPr>
            </w:pPr>
            <w:proofErr w:type="spellStart"/>
            <w:r w:rsidRPr="00CB10DF">
              <w:rPr>
                <w:rFonts w:ascii="Times New Roman" w:eastAsia="Times New Roman" w:hAnsi="Times New Roman" w:cs="Times New Roman"/>
                <w:b/>
                <w:bCs/>
                <w:i/>
                <w:iCs/>
                <w:color w:val="000000" w:themeColor="text1"/>
                <w:sz w:val="18"/>
                <w:szCs w:val="18"/>
                <w:bdr w:val="none" w:sz="0" w:space="0" w:color="auto" w:frame="1"/>
                <w14:textOutline w14:w="9525" w14:cap="rnd" w14:cmpd="sng" w14:algn="ctr">
                  <w14:noFill/>
                  <w14:prstDash w14:val="solid"/>
                  <w14:bevel/>
                </w14:textOutline>
              </w:rPr>
              <w:t>Ischnura</w:t>
            </w:r>
            <w:proofErr w:type="spellEnd"/>
          </w:p>
          <w:p w14:paraId="148ADECD"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70" w:lineRule="atLeast"/>
              <w:ind w:left="113" w:right="-47"/>
              <w:jc w:val="center"/>
              <w:rPr>
                <w:rFonts w:ascii="Times New Roman" w:eastAsia="Times New Roman" w:hAnsi="Times New Roman" w:cs="Times New Roman"/>
                <w:b/>
                <w:bCs/>
                <w:i/>
                <w:i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i/>
                <w:iCs/>
                <w:color w:val="000000" w:themeColor="text1"/>
                <w:sz w:val="18"/>
                <w:szCs w:val="18"/>
                <w:bdr w:val="none" w:sz="0" w:space="0" w:color="auto" w:frame="1"/>
                <w14:textOutline w14:w="9525" w14:cap="rnd" w14:cmpd="sng" w14:algn="ctr">
                  <w14:noFill/>
                  <w14:prstDash w14:val="solid"/>
                  <w14:bevel/>
                </w14:textOutline>
              </w:rPr>
              <w:t>elegans</w:t>
            </w:r>
          </w:p>
        </w:tc>
        <w:tc>
          <w:tcPr>
            <w:tcW w:w="799" w:type="dxa"/>
            <w:tcBorders>
              <w:top w:val="single" w:sz="4" w:space="0" w:color="auto"/>
              <w:left w:val="nil"/>
              <w:bottom w:val="single" w:sz="4" w:space="0" w:color="000000" w:themeColor="text1"/>
              <w:right w:val="nil"/>
            </w:tcBorders>
            <w:shd w:val="clear" w:color="auto" w:fill="D0CECE" w:themeFill="background2" w:themeFillShade="E6"/>
            <w:textDirection w:val="btLr"/>
            <w:vAlign w:val="center"/>
          </w:tcPr>
          <w:p w14:paraId="2E921C71"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70" w:lineRule="atLeast"/>
              <w:ind w:left="113" w:right="-47"/>
              <w:jc w:val="center"/>
              <w:rPr>
                <w:rFonts w:ascii="Times New Roman" w:eastAsia="Times New Roman" w:hAnsi="Times New Roman" w:cs="Times New Roman"/>
                <w:b/>
                <w:bCs/>
                <w:i/>
                <w:iCs/>
                <w:color w:val="000000" w:themeColor="text1"/>
                <w:sz w:val="18"/>
                <w:szCs w:val="18"/>
                <w:bdr w:val="none" w:sz="0" w:space="0" w:color="auto" w:frame="1"/>
                <w14:textOutline w14:w="9525" w14:cap="rnd" w14:cmpd="sng" w14:algn="ctr">
                  <w14:noFill/>
                  <w14:prstDash w14:val="solid"/>
                  <w14:bevel/>
                </w14:textOutline>
              </w:rPr>
            </w:pPr>
            <w:proofErr w:type="spellStart"/>
            <w:r w:rsidRPr="00CB10DF">
              <w:rPr>
                <w:rFonts w:ascii="Times New Roman" w:eastAsia="Times New Roman" w:hAnsi="Times New Roman" w:cs="Times New Roman"/>
                <w:b/>
                <w:bCs/>
                <w:i/>
                <w:iCs/>
                <w:color w:val="000000" w:themeColor="text1"/>
                <w:sz w:val="18"/>
                <w:szCs w:val="18"/>
                <w:bdr w:val="none" w:sz="0" w:space="0" w:color="auto" w:frame="1"/>
                <w14:textOutline w14:w="9525" w14:cap="rnd" w14:cmpd="sng" w14:algn="ctr">
                  <w14:noFill/>
                  <w14:prstDash w14:val="solid"/>
                  <w14:bevel/>
                </w14:textOutline>
              </w:rPr>
              <w:t>Lestes</w:t>
            </w:r>
            <w:proofErr w:type="spellEnd"/>
          </w:p>
          <w:p w14:paraId="3659D6D8"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70" w:lineRule="atLeast"/>
              <w:ind w:left="-92" w:right="-106"/>
              <w:jc w:val="center"/>
              <w:rPr>
                <w:rFonts w:ascii="Times New Roman" w:eastAsia="Times New Roman" w:hAnsi="Times New Roman" w:cs="Times New Roman"/>
                <w:b/>
                <w:bCs/>
                <w:i/>
                <w:iCs/>
                <w:color w:val="000000" w:themeColor="text1"/>
                <w:sz w:val="18"/>
                <w:szCs w:val="18"/>
                <w:bdr w:val="none" w:sz="0" w:space="0" w:color="auto" w:frame="1"/>
                <w14:textOutline w14:w="9525" w14:cap="rnd" w14:cmpd="sng" w14:algn="ctr">
                  <w14:noFill/>
                  <w14:prstDash w14:val="solid"/>
                  <w14:bevel/>
                </w14:textOutline>
              </w:rPr>
            </w:pPr>
            <w:proofErr w:type="spellStart"/>
            <w:r w:rsidRPr="00CB10DF">
              <w:rPr>
                <w:rFonts w:ascii="Times New Roman" w:eastAsia="Times New Roman" w:hAnsi="Times New Roman" w:cs="Times New Roman"/>
                <w:b/>
                <w:bCs/>
                <w:i/>
                <w:iCs/>
                <w:color w:val="000000" w:themeColor="text1"/>
                <w:sz w:val="18"/>
                <w:szCs w:val="18"/>
                <w:bdr w:val="none" w:sz="0" w:space="0" w:color="auto" w:frame="1"/>
                <w14:textOutline w14:w="9525" w14:cap="rnd" w14:cmpd="sng" w14:algn="ctr">
                  <w14:noFill/>
                  <w14:prstDash w14:val="solid"/>
                  <w14:bevel/>
                </w14:textOutline>
              </w:rPr>
              <w:t>sponsa</w:t>
            </w:r>
            <w:proofErr w:type="spellEnd"/>
          </w:p>
        </w:tc>
        <w:tc>
          <w:tcPr>
            <w:tcW w:w="799" w:type="dxa"/>
            <w:tcBorders>
              <w:top w:val="single" w:sz="4" w:space="0" w:color="auto"/>
              <w:left w:val="nil"/>
              <w:bottom w:val="single" w:sz="4" w:space="0" w:color="000000" w:themeColor="text1"/>
              <w:right w:val="nil"/>
            </w:tcBorders>
            <w:shd w:val="clear" w:color="auto" w:fill="D0CECE" w:themeFill="background2" w:themeFillShade="E6"/>
            <w:textDirection w:val="btLr"/>
            <w:vAlign w:val="center"/>
          </w:tcPr>
          <w:p w14:paraId="2F93F45C"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70" w:lineRule="atLeast"/>
              <w:ind w:left="-92" w:right="-106"/>
              <w:jc w:val="center"/>
              <w:rPr>
                <w:rFonts w:ascii="Times New Roman" w:eastAsia="Times New Roman" w:hAnsi="Times New Roman" w:cs="Times New Roman"/>
                <w:b/>
                <w:bCs/>
                <w:i/>
                <w:iCs/>
                <w:color w:val="000000" w:themeColor="text1"/>
                <w:sz w:val="18"/>
                <w:szCs w:val="18"/>
                <w:bdr w:val="none" w:sz="0" w:space="0" w:color="auto" w:frame="1"/>
                <w14:textOutline w14:w="9525" w14:cap="rnd" w14:cmpd="sng" w14:algn="ctr">
                  <w14:noFill/>
                  <w14:prstDash w14:val="solid"/>
                  <w14:bevel/>
                </w14:textOutline>
              </w:rPr>
            </w:pPr>
            <w:proofErr w:type="spellStart"/>
            <w:r w:rsidRPr="00CB10DF">
              <w:rPr>
                <w:rFonts w:ascii="Times New Roman" w:eastAsia="Times New Roman" w:hAnsi="Times New Roman" w:cs="Times New Roman"/>
                <w:b/>
                <w:bCs/>
                <w:i/>
                <w:iCs/>
                <w:color w:val="000000" w:themeColor="text1"/>
                <w:sz w:val="18"/>
                <w:szCs w:val="18"/>
                <w:bdr w:val="none" w:sz="0" w:space="0" w:color="auto" w:frame="1"/>
                <w14:textOutline w14:w="9525" w14:cap="rnd" w14:cmpd="sng" w14:algn="ctr">
                  <w14:noFill/>
                  <w14:prstDash w14:val="solid"/>
                  <w14:bevel/>
                </w14:textOutline>
              </w:rPr>
              <w:t>Pyrrhosoma</w:t>
            </w:r>
            <w:proofErr w:type="spellEnd"/>
            <w:r w:rsidRPr="00CB10DF">
              <w:rPr>
                <w:rFonts w:ascii="Times New Roman" w:eastAsia="Times New Roman" w:hAnsi="Times New Roman" w:cs="Times New Roman"/>
                <w:b/>
                <w:bCs/>
                <w:i/>
                <w:iCs/>
                <w:color w:val="000000" w:themeColor="text1"/>
                <w:sz w:val="18"/>
                <w:szCs w:val="18"/>
                <w:bdr w:val="none" w:sz="0" w:space="0" w:color="auto" w:frame="1"/>
                <w14:textOutline w14:w="9525" w14:cap="rnd" w14:cmpd="sng" w14:algn="ctr">
                  <w14:noFill/>
                  <w14:prstDash w14:val="solid"/>
                  <w14:bevel/>
                </w14:textOutline>
              </w:rPr>
              <w:t xml:space="preserve"> </w:t>
            </w:r>
          </w:p>
          <w:p w14:paraId="5A1249BB"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70" w:lineRule="atLeast"/>
              <w:ind w:left="-92" w:right="-106"/>
              <w:jc w:val="center"/>
              <w:rPr>
                <w:rFonts w:ascii="Times New Roman" w:eastAsia="Times New Roman" w:hAnsi="Times New Roman" w:cs="Times New Roman"/>
                <w:i/>
                <w:iCs/>
                <w:color w:val="000000" w:themeColor="text1"/>
                <w:sz w:val="18"/>
                <w:szCs w:val="18"/>
                <w:bdr w:val="none" w:sz="0" w:space="0" w:color="auto" w:frame="1"/>
                <w14:textOutline w14:w="9525" w14:cap="rnd" w14:cmpd="sng" w14:algn="ctr">
                  <w14:noFill/>
                  <w14:prstDash w14:val="solid"/>
                  <w14:bevel/>
                </w14:textOutline>
              </w:rPr>
            </w:pPr>
            <w:proofErr w:type="spellStart"/>
            <w:r w:rsidRPr="00CB10DF">
              <w:rPr>
                <w:rFonts w:ascii="Times New Roman" w:eastAsia="Times New Roman" w:hAnsi="Times New Roman" w:cs="Times New Roman"/>
                <w:b/>
                <w:bCs/>
                <w:i/>
                <w:iCs/>
                <w:color w:val="000000" w:themeColor="text1"/>
                <w:sz w:val="18"/>
                <w:szCs w:val="18"/>
                <w:bdr w:val="none" w:sz="0" w:space="0" w:color="auto" w:frame="1"/>
                <w14:textOutline w14:w="9525" w14:cap="rnd" w14:cmpd="sng" w14:algn="ctr">
                  <w14:noFill/>
                  <w14:prstDash w14:val="solid"/>
                  <w14:bevel/>
                </w14:textOutline>
              </w:rPr>
              <w:t>nymphula</w:t>
            </w:r>
            <w:proofErr w:type="spellEnd"/>
          </w:p>
        </w:tc>
      </w:tr>
      <w:tr w:rsidR="00CB10DF" w:rsidRPr="00CB10DF" w14:paraId="4439E5E4" w14:textId="77777777" w:rsidTr="008B17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2"/>
        </w:trPr>
        <w:tc>
          <w:tcPr>
            <w:tcW w:w="451" w:type="dxa"/>
            <w:tcBorders>
              <w:top w:val="single" w:sz="4" w:space="0" w:color="000000" w:themeColor="text1"/>
              <w:right w:val="single" w:sz="4" w:space="0" w:color="000000" w:themeColor="text1"/>
            </w:tcBorders>
          </w:tcPr>
          <w:p w14:paraId="3DDB9DDF"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p>
        </w:tc>
        <w:tc>
          <w:tcPr>
            <w:tcW w:w="853" w:type="dxa"/>
            <w:tcBorders>
              <w:top w:val="single" w:sz="4" w:space="0" w:color="000000" w:themeColor="text1"/>
              <w:left w:val="single" w:sz="4" w:space="0" w:color="000000" w:themeColor="text1"/>
              <w:right w:val="single" w:sz="4" w:space="0" w:color="000000" w:themeColor="text1"/>
            </w:tcBorders>
            <w:vAlign w:val="center"/>
            <w:hideMark/>
          </w:tcPr>
          <w:p w14:paraId="2D444E9A" w14:textId="77777777" w:rsidR="008B17C2" w:rsidRPr="00CB10DF" w:rsidRDefault="008B17C2" w:rsidP="00947C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right="-60"/>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Intercept</w:t>
            </w:r>
          </w:p>
        </w:tc>
        <w:tc>
          <w:tcPr>
            <w:tcW w:w="888" w:type="dxa"/>
            <w:tcBorders>
              <w:top w:val="single" w:sz="4" w:space="0" w:color="000000" w:themeColor="text1"/>
              <w:left w:val="single" w:sz="4" w:space="0" w:color="000000" w:themeColor="text1"/>
            </w:tcBorders>
            <w:vAlign w:val="center"/>
          </w:tcPr>
          <w:p w14:paraId="30883493"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right="-195"/>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52.48***</w:t>
            </w:r>
          </w:p>
        </w:tc>
        <w:tc>
          <w:tcPr>
            <w:tcW w:w="888" w:type="dxa"/>
            <w:tcBorders>
              <w:top w:val="single" w:sz="4" w:space="0" w:color="000000" w:themeColor="text1"/>
            </w:tcBorders>
            <w:vAlign w:val="center"/>
          </w:tcPr>
          <w:p w14:paraId="7455C1F1"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right="-200"/>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57.68***</w:t>
            </w:r>
          </w:p>
        </w:tc>
        <w:tc>
          <w:tcPr>
            <w:tcW w:w="646" w:type="dxa"/>
            <w:tcBorders>
              <w:top w:val="single" w:sz="4" w:space="0" w:color="000000" w:themeColor="text1"/>
            </w:tcBorders>
            <w:vAlign w:val="center"/>
          </w:tcPr>
          <w:p w14:paraId="18FE32E3"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NS</w:t>
            </w:r>
          </w:p>
        </w:tc>
        <w:tc>
          <w:tcPr>
            <w:tcW w:w="888" w:type="dxa"/>
            <w:tcBorders>
              <w:top w:val="single" w:sz="4" w:space="0" w:color="000000" w:themeColor="text1"/>
            </w:tcBorders>
            <w:vAlign w:val="center"/>
          </w:tcPr>
          <w:p w14:paraId="6AF2FD83"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right="-10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27.08***</w:t>
            </w:r>
          </w:p>
        </w:tc>
        <w:tc>
          <w:tcPr>
            <w:tcW w:w="888" w:type="dxa"/>
            <w:tcBorders>
              <w:top w:val="single" w:sz="4" w:space="0" w:color="000000" w:themeColor="text1"/>
            </w:tcBorders>
            <w:vAlign w:val="center"/>
          </w:tcPr>
          <w:p w14:paraId="06F47CA2"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right="-105"/>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33.94***</w:t>
            </w:r>
          </w:p>
        </w:tc>
        <w:tc>
          <w:tcPr>
            <w:tcW w:w="888" w:type="dxa"/>
            <w:tcBorders>
              <w:top w:val="single" w:sz="4" w:space="0" w:color="000000" w:themeColor="text1"/>
            </w:tcBorders>
            <w:vAlign w:val="center"/>
          </w:tcPr>
          <w:p w14:paraId="6C5E1802"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right="-113"/>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33.98***</w:t>
            </w:r>
          </w:p>
        </w:tc>
        <w:tc>
          <w:tcPr>
            <w:tcW w:w="888" w:type="dxa"/>
            <w:tcBorders>
              <w:top w:val="single" w:sz="4" w:space="0" w:color="000000" w:themeColor="text1"/>
            </w:tcBorders>
            <w:vAlign w:val="center"/>
          </w:tcPr>
          <w:p w14:paraId="70CBF7AA"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right="-113"/>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46.64***</w:t>
            </w:r>
          </w:p>
        </w:tc>
        <w:tc>
          <w:tcPr>
            <w:tcW w:w="888" w:type="dxa"/>
            <w:tcBorders>
              <w:top w:val="single" w:sz="4" w:space="0" w:color="000000" w:themeColor="text1"/>
              <w:right w:val="single" w:sz="4" w:space="0" w:color="auto"/>
            </w:tcBorders>
            <w:vAlign w:val="center"/>
          </w:tcPr>
          <w:p w14:paraId="5BE9272C"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right="-29"/>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27.39***</w:t>
            </w:r>
          </w:p>
        </w:tc>
        <w:tc>
          <w:tcPr>
            <w:tcW w:w="799" w:type="dxa"/>
            <w:tcBorders>
              <w:top w:val="single" w:sz="4" w:space="0" w:color="000000" w:themeColor="text1"/>
              <w:left w:val="single" w:sz="4" w:space="0" w:color="auto"/>
            </w:tcBorders>
            <w:vAlign w:val="center"/>
          </w:tcPr>
          <w:p w14:paraId="1A90AAEA"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46.43***</w:t>
            </w:r>
          </w:p>
        </w:tc>
        <w:tc>
          <w:tcPr>
            <w:tcW w:w="799" w:type="dxa"/>
            <w:tcBorders>
              <w:top w:val="single" w:sz="4" w:space="0" w:color="000000" w:themeColor="text1"/>
            </w:tcBorders>
            <w:vAlign w:val="center"/>
          </w:tcPr>
          <w:p w14:paraId="3AF98403"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41.87***</w:t>
            </w:r>
          </w:p>
        </w:tc>
        <w:tc>
          <w:tcPr>
            <w:tcW w:w="799" w:type="dxa"/>
            <w:tcBorders>
              <w:top w:val="single" w:sz="4" w:space="0" w:color="000000" w:themeColor="text1"/>
            </w:tcBorders>
            <w:vAlign w:val="center"/>
          </w:tcPr>
          <w:p w14:paraId="114A38FD"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24.81***</w:t>
            </w:r>
          </w:p>
        </w:tc>
        <w:tc>
          <w:tcPr>
            <w:tcW w:w="799" w:type="dxa"/>
            <w:tcBorders>
              <w:top w:val="single" w:sz="4" w:space="0" w:color="000000" w:themeColor="text1"/>
            </w:tcBorders>
            <w:vAlign w:val="center"/>
          </w:tcPr>
          <w:p w14:paraId="677909D7"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20.52***</w:t>
            </w:r>
          </w:p>
        </w:tc>
        <w:tc>
          <w:tcPr>
            <w:tcW w:w="799" w:type="dxa"/>
            <w:tcBorders>
              <w:top w:val="single" w:sz="4" w:space="0" w:color="000000" w:themeColor="text1"/>
            </w:tcBorders>
            <w:vAlign w:val="center"/>
          </w:tcPr>
          <w:p w14:paraId="297B6555"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25.07***</w:t>
            </w:r>
          </w:p>
        </w:tc>
        <w:tc>
          <w:tcPr>
            <w:tcW w:w="799" w:type="dxa"/>
            <w:tcBorders>
              <w:top w:val="single" w:sz="4" w:space="0" w:color="000000" w:themeColor="text1"/>
            </w:tcBorders>
            <w:vAlign w:val="center"/>
          </w:tcPr>
          <w:p w14:paraId="7DEB3AC0"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23.76***</w:t>
            </w:r>
          </w:p>
        </w:tc>
      </w:tr>
      <w:tr w:rsidR="00CB10DF" w:rsidRPr="00CB10DF" w14:paraId="19202E15" w14:textId="77777777" w:rsidTr="008B17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2"/>
        </w:trPr>
        <w:tc>
          <w:tcPr>
            <w:tcW w:w="451" w:type="dxa"/>
            <w:tcBorders>
              <w:bottom w:val="single" w:sz="4" w:space="0" w:color="000000" w:themeColor="text1"/>
              <w:right w:val="single" w:sz="4" w:space="0" w:color="000000" w:themeColor="text1"/>
            </w:tcBorders>
          </w:tcPr>
          <w:p w14:paraId="7C352554"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p>
        </w:tc>
        <w:tc>
          <w:tcPr>
            <w:tcW w:w="853" w:type="dxa"/>
            <w:tcBorders>
              <w:left w:val="single" w:sz="4" w:space="0" w:color="000000" w:themeColor="text1"/>
              <w:bottom w:val="single" w:sz="4" w:space="0" w:color="000000" w:themeColor="text1"/>
              <w:right w:val="single" w:sz="4" w:space="0" w:color="000000" w:themeColor="text1"/>
            </w:tcBorders>
            <w:vAlign w:val="center"/>
          </w:tcPr>
          <w:p w14:paraId="1DE60EFD" w14:textId="77777777" w:rsidR="008B17C2" w:rsidRPr="00CB10DF" w:rsidRDefault="008B17C2" w:rsidP="00947C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right="-60"/>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Day</w:t>
            </w:r>
          </w:p>
        </w:tc>
        <w:tc>
          <w:tcPr>
            <w:tcW w:w="888" w:type="dxa"/>
            <w:tcBorders>
              <w:left w:val="single" w:sz="4" w:space="0" w:color="000000" w:themeColor="text1"/>
              <w:bottom w:val="single" w:sz="4" w:space="0" w:color="000000" w:themeColor="text1"/>
            </w:tcBorders>
            <w:vAlign w:val="center"/>
          </w:tcPr>
          <w:p w14:paraId="1DD9C2F9"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NS</w:t>
            </w:r>
          </w:p>
        </w:tc>
        <w:tc>
          <w:tcPr>
            <w:tcW w:w="888" w:type="dxa"/>
            <w:tcBorders>
              <w:bottom w:val="single" w:sz="4" w:space="0" w:color="000000" w:themeColor="text1"/>
            </w:tcBorders>
            <w:vAlign w:val="center"/>
          </w:tcPr>
          <w:p w14:paraId="461993BD"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NS</w:t>
            </w:r>
          </w:p>
        </w:tc>
        <w:tc>
          <w:tcPr>
            <w:tcW w:w="646" w:type="dxa"/>
            <w:tcBorders>
              <w:bottom w:val="single" w:sz="4" w:space="0" w:color="000000" w:themeColor="text1"/>
            </w:tcBorders>
            <w:vAlign w:val="center"/>
          </w:tcPr>
          <w:p w14:paraId="5E4585DC"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NS</w:t>
            </w:r>
          </w:p>
        </w:tc>
        <w:tc>
          <w:tcPr>
            <w:tcW w:w="888" w:type="dxa"/>
            <w:tcBorders>
              <w:bottom w:val="single" w:sz="4" w:space="0" w:color="000000" w:themeColor="text1"/>
            </w:tcBorders>
            <w:vAlign w:val="center"/>
          </w:tcPr>
          <w:p w14:paraId="2C2D3EB6"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NS</w:t>
            </w:r>
          </w:p>
        </w:tc>
        <w:tc>
          <w:tcPr>
            <w:tcW w:w="888" w:type="dxa"/>
            <w:tcBorders>
              <w:bottom w:val="single" w:sz="4" w:space="0" w:color="000000" w:themeColor="text1"/>
            </w:tcBorders>
            <w:vAlign w:val="center"/>
          </w:tcPr>
          <w:p w14:paraId="5ECB9446"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NS</w:t>
            </w:r>
          </w:p>
        </w:tc>
        <w:tc>
          <w:tcPr>
            <w:tcW w:w="888" w:type="dxa"/>
            <w:tcBorders>
              <w:bottom w:val="single" w:sz="4" w:space="0" w:color="000000" w:themeColor="text1"/>
            </w:tcBorders>
            <w:vAlign w:val="center"/>
          </w:tcPr>
          <w:p w14:paraId="43041832"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NS</w:t>
            </w:r>
          </w:p>
        </w:tc>
        <w:tc>
          <w:tcPr>
            <w:tcW w:w="888" w:type="dxa"/>
            <w:tcBorders>
              <w:bottom w:val="single" w:sz="4" w:space="0" w:color="000000" w:themeColor="text1"/>
            </w:tcBorders>
            <w:vAlign w:val="center"/>
          </w:tcPr>
          <w:p w14:paraId="0F211D0B"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NS</w:t>
            </w:r>
          </w:p>
        </w:tc>
        <w:tc>
          <w:tcPr>
            <w:tcW w:w="888" w:type="dxa"/>
            <w:tcBorders>
              <w:bottom w:val="single" w:sz="4" w:space="0" w:color="000000" w:themeColor="text1"/>
              <w:right w:val="single" w:sz="4" w:space="0" w:color="auto"/>
            </w:tcBorders>
            <w:vAlign w:val="center"/>
          </w:tcPr>
          <w:p w14:paraId="0463F189"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NS</w:t>
            </w:r>
          </w:p>
        </w:tc>
        <w:tc>
          <w:tcPr>
            <w:tcW w:w="799" w:type="dxa"/>
            <w:tcBorders>
              <w:left w:val="single" w:sz="4" w:space="0" w:color="auto"/>
              <w:bottom w:val="single" w:sz="4" w:space="0" w:color="000000" w:themeColor="text1"/>
            </w:tcBorders>
            <w:vAlign w:val="center"/>
          </w:tcPr>
          <w:p w14:paraId="0935D3A3"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-0.01**</w:t>
            </w:r>
          </w:p>
        </w:tc>
        <w:tc>
          <w:tcPr>
            <w:tcW w:w="799" w:type="dxa"/>
            <w:tcBorders>
              <w:bottom w:val="single" w:sz="4" w:space="0" w:color="000000" w:themeColor="text1"/>
            </w:tcBorders>
            <w:vAlign w:val="center"/>
          </w:tcPr>
          <w:p w14:paraId="7104D6E6"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-0.02***</w:t>
            </w:r>
          </w:p>
        </w:tc>
        <w:tc>
          <w:tcPr>
            <w:tcW w:w="799" w:type="dxa"/>
            <w:tcBorders>
              <w:bottom w:val="single" w:sz="4" w:space="0" w:color="000000" w:themeColor="text1"/>
            </w:tcBorders>
            <w:vAlign w:val="center"/>
          </w:tcPr>
          <w:p w14:paraId="61B528B8"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-0.01***</w:t>
            </w:r>
          </w:p>
        </w:tc>
        <w:tc>
          <w:tcPr>
            <w:tcW w:w="799" w:type="dxa"/>
            <w:tcBorders>
              <w:bottom w:val="single" w:sz="4" w:space="0" w:color="000000" w:themeColor="text1"/>
            </w:tcBorders>
            <w:vAlign w:val="center"/>
          </w:tcPr>
          <w:p w14:paraId="7DE7FBB9"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-0.01***</w:t>
            </w:r>
          </w:p>
        </w:tc>
        <w:tc>
          <w:tcPr>
            <w:tcW w:w="799" w:type="dxa"/>
            <w:tcBorders>
              <w:bottom w:val="single" w:sz="4" w:space="0" w:color="000000" w:themeColor="text1"/>
            </w:tcBorders>
            <w:vAlign w:val="center"/>
          </w:tcPr>
          <w:p w14:paraId="47B0E317"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-0.01**</w:t>
            </w:r>
          </w:p>
        </w:tc>
        <w:tc>
          <w:tcPr>
            <w:tcW w:w="799" w:type="dxa"/>
            <w:tcBorders>
              <w:bottom w:val="single" w:sz="4" w:space="0" w:color="000000" w:themeColor="text1"/>
            </w:tcBorders>
            <w:vAlign w:val="center"/>
          </w:tcPr>
          <w:p w14:paraId="6804BEFF"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-0.01***</w:t>
            </w:r>
          </w:p>
        </w:tc>
      </w:tr>
      <w:tr w:rsidR="00CB10DF" w:rsidRPr="00CB10DF" w14:paraId="6D9ABA28" w14:textId="77777777" w:rsidTr="008B17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2"/>
        </w:trPr>
        <w:tc>
          <w:tcPr>
            <w:tcW w:w="451" w:type="dxa"/>
            <w:vMerge w:val="restart"/>
            <w:tcBorders>
              <w:top w:val="single" w:sz="4" w:space="0" w:color="000000" w:themeColor="text1"/>
              <w:right w:val="single" w:sz="4" w:space="0" w:color="000000" w:themeColor="text1"/>
            </w:tcBorders>
            <w:shd w:val="clear" w:color="auto" w:fill="auto"/>
            <w:textDirection w:val="btLr"/>
            <w:vAlign w:val="center"/>
          </w:tcPr>
          <w:p w14:paraId="02948F42"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113" w:right="113"/>
              <w:jc w:val="center"/>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Y-2</w:t>
            </w:r>
          </w:p>
        </w:tc>
        <w:tc>
          <w:tcPr>
            <w:tcW w:w="853" w:type="dxa"/>
            <w:tcBorders>
              <w:top w:val="single" w:sz="4" w:space="0" w:color="000000" w:themeColor="text1"/>
              <w:left w:val="single" w:sz="4" w:space="0" w:color="000000" w:themeColor="text1"/>
              <w:right w:val="single" w:sz="4" w:space="0" w:color="000000" w:themeColor="text1"/>
            </w:tcBorders>
            <w:shd w:val="clear" w:color="auto" w:fill="auto"/>
            <w:vAlign w:val="center"/>
          </w:tcPr>
          <w:p w14:paraId="18489039"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Spring</w:t>
            </w:r>
          </w:p>
        </w:tc>
        <w:tc>
          <w:tcPr>
            <w:tcW w:w="888" w:type="dxa"/>
            <w:tcBorders>
              <w:top w:val="single" w:sz="4" w:space="0" w:color="000000" w:themeColor="text1"/>
              <w:left w:val="single" w:sz="4" w:space="0" w:color="000000" w:themeColor="text1"/>
            </w:tcBorders>
            <w:shd w:val="clear" w:color="auto" w:fill="auto"/>
            <w:vAlign w:val="center"/>
          </w:tcPr>
          <w:p w14:paraId="32D1ABDC"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p>
        </w:tc>
        <w:tc>
          <w:tcPr>
            <w:tcW w:w="888" w:type="dxa"/>
            <w:tcBorders>
              <w:top w:val="single" w:sz="4" w:space="0" w:color="000000" w:themeColor="text1"/>
            </w:tcBorders>
            <w:shd w:val="clear" w:color="auto" w:fill="auto"/>
            <w:vAlign w:val="center"/>
          </w:tcPr>
          <w:p w14:paraId="30BAD68A"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p>
        </w:tc>
        <w:tc>
          <w:tcPr>
            <w:tcW w:w="646" w:type="dxa"/>
            <w:tcBorders>
              <w:top w:val="single" w:sz="4" w:space="0" w:color="000000" w:themeColor="text1"/>
            </w:tcBorders>
            <w:shd w:val="clear" w:color="auto" w:fill="auto"/>
            <w:vAlign w:val="center"/>
          </w:tcPr>
          <w:p w14:paraId="0AC527C8"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p>
        </w:tc>
        <w:tc>
          <w:tcPr>
            <w:tcW w:w="888" w:type="dxa"/>
            <w:tcBorders>
              <w:top w:val="single" w:sz="4" w:space="0" w:color="000000" w:themeColor="text1"/>
            </w:tcBorders>
            <w:shd w:val="clear" w:color="auto" w:fill="auto"/>
            <w:vAlign w:val="center"/>
          </w:tcPr>
          <w:p w14:paraId="4893C73F"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0.56**</w:t>
            </w:r>
          </w:p>
        </w:tc>
        <w:tc>
          <w:tcPr>
            <w:tcW w:w="888" w:type="dxa"/>
            <w:tcBorders>
              <w:top w:val="single" w:sz="4" w:space="0" w:color="000000" w:themeColor="text1"/>
            </w:tcBorders>
            <w:shd w:val="clear" w:color="auto" w:fill="auto"/>
            <w:vAlign w:val="center"/>
          </w:tcPr>
          <w:p w14:paraId="684FA070"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NS</w:t>
            </w:r>
          </w:p>
        </w:tc>
        <w:tc>
          <w:tcPr>
            <w:tcW w:w="888" w:type="dxa"/>
            <w:tcBorders>
              <w:top w:val="single" w:sz="4" w:space="0" w:color="000000" w:themeColor="text1"/>
            </w:tcBorders>
            <w:vAlign w:val="center"/>
          </w:tcPr>
          <w:p w14:paraId="51CADFBF"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NS</w:t>
            </w:r>
          </w:p>
        </w:tc>
        <w:tc>
          <w:tcPr>
            <w:tcW w:w="888" w:type="dxa"/>
            <w:tcBorders>
              <w:top w:val="single" w:sz="4" w:space="0" w:color="000000" w:themeColor="text1"/>
            </w:tcBorders>
            <w:shd w:val="clear" w:color="auto" w:fill="auto"/>
            <w:vAlign w:val="center"/>
          </w:tcPr>
          <w:p w14:paraId="6EF69446"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p>
        </w:tc>
        <w:tc>
          <w:tcPr>
            <w:tcW w:w="888" w:type="dxa"/>
            <w:tcBorders>
              <w:top w:val="single" w:sz="4" w:space="0" w:color="000000" w:themeColor="text1"/>
              <w:right w:val="single" w:sz="4" w:space="0" w:color="auto"/>
            </w:tcBorders>
            <w:shd w:val="clear" w:color="auto" w:fill="auto"/>
            <w:vAlign w:val="center"/>
          </w:tcPr>
          <w:p w14:paraId="04A3453C"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p>
        </w:tc>
        <w:tc>
          <w:tcPr>
            <w:tcW w:w="799" w:type="dxa"/>
            <w:tcBorders>
              <w:top w:val="single" w:sz="4" w:space="0" w:color="000000" w:themeColor="text1"/>
              <w:left w:val="single" w:sz="4" w:space="0" w:color="auto"/>
            </w:tcBorders>
            <w:vAlign w:val="center"/>
          </w:tcPr>
          <w:p w14:paraId="06A3AF65"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p>
        </w:tc>
        <w:tc>
          <w:tcPr>
            <w:tcW w:w="799" w:type="dxa"/>
            <w:tcBorders>
              <w:top w:val="single" w:sz="4" w:space="0" w:color="000000" w:themeColor="text1"/>
            </w:tcBorders>
            <w:vAlign w:val="center"/>
          </w:tcPr>
          <w:p w14:paraId="508C69B1"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p>
        </w:tc>
        <w:tc>
          <w:tcPr>
            <w:tcW w:w="799" w:type="dxa"/>
            <w:tcBorders>
              <w:top w:val="single" w:sz="4" w:space="0" w:color="000000" w:themeColor="text1"/>
            </w:tcBorders>
            <w:vAlign w:val="center"/>
          </w:tcPr>
          <w:p w14:paraId="35BF8763"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p>
        </w:tc>
        <w:tc>
          <w:tcPr>
            <w:tcW w:w="799" w:type="dxa"/>
            <w:tcBorders>
              <w:top w:val="single" w:sz="4" w:space="0" w:color="000000" w:themeColor="text1"/>
            </w:tcBorders>
            <w:vAlign w:val="center"/>
          </w:tcPr>
          <w:p w14:paraId="0FB9C3E0"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p>
        </w:tc>
        <w:tc>
          <w:tcPr>
            <w:tcW w:w="799" w:type="dxa"/>
            <w:tcBorders>
              <w:top w:val="single" w:sz="4" w:space="0" w:color="000000" w:themeColor="text1"/>
            </w:tcBorders>
            <w:vAlign w:val="center"/>
          </w:tcPr>
          <w:p w14:paraId="649C12DC"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p>
        </w:tc>
        <w:tc>
          <w:tcPr>
            <w:tcW w:w="799" w:type="dxa"/>
            <w:tcBorders>
              <w:top w:val="single" w:sz="4" w:space="0" w:color="000000" w:themeColor="text1"/>
            </w:tcBorders>
            <w:vAlign w:val="center"/>
          </w:tcPr>
          <w:p w14:paraId="528C5B63"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NS</w:t>
            </w:r>
          </w:p>
        </w:tc>
      </w:tr>
      <w:tr w:rsidR="00CB10DF" w:rsidRPr="00CB10DF" w14:paraId="52FE35F7" w14:textId="77777777" w:rsidTr="008B17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2"/>
        </w:trPr>
        <w:tc>
          <w:tcPr>
            <w:tcW w:w="451" w:type="dxa"/>
            <w:vMerge/>
            <w:tcBorders>
              <w:right w:val="single" w:sz="4" w:space="0" w:color="000000" w:themeColor="text1"/>
            </w:tcBorders>
            <w:shd w:val="clear" w:color="auto" w:fill="auto"/>
          </w:tcPr>
          <w:p w14:paraId="63E47E86"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p>
        </w:tc>
        <w:tc>
          <w:tcPr>
            <w:tcW w:w="853" w:type="dxa"/>
            <w:tcBorders>
              <w:left w:val="single" w:sz="4" w:space="0" w:color="000000" w:themeColor="text1"/>
              <w:right w:val="single" w:sz="4" w:space="0" w:color="000000" w:themeColor="text1"/>
            </w:tcBorders>
            <w:shd w:val="clear" w:color="auto" w:fill="auto"/>
            <w:vAlign w:val="center"/>
          </w:tcPr>
          <w:p w14:paraId="4FD6CD65"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Summer</w:t>
            </w:r>
          </w:p>
        </w:tc>
        <w:tc>
          <w:tcPr>
            <w:tcW w:w="888" w:type="dxa"/>
            <w:tcBorders>
              <w:left w:val="single" w:sz="4" w:space="0" w:color="000000" w:themeColor="text1"/>
            </w:tcBorders>
            <w:shd w:val="clear" w:color="auto" w:fill="auto"/>
            <w:vAlign w:val="center"/>
          </w:tcPr>
          <w:p w14:paraId="7E92790C"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p>
        </w:tc>
        <w:tc>
          <w:tcPr>
            <w:tcW w:w="888" w:type="dxa"/>
            <w:shd w:val="clear" w:color="auto" w:fill="auto"/>
            <w:vAlign w:val="center"/>
          </w:tcPr>
          <w:p w14:paraId="543ACE00"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p>
        </w:tc>
        <w:tc>
          <w:tcPr>
            <w:tcW w:w="646" w:type="dxa"/>
            <w:shd w:val="clear" w:color="auto" w:fill="auto"/>
            <w:vAlign w:val="center"/>
          </w:tcPr>
          <w:p w14:paraId="6EFDAD97"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p>
        </w:tc>
        <w:tc>
          <w:tcPr>
            <w:tcW w:w="888" w:type="dxa"/>
            <w:shd w:val="clear" w:color="auto" w:fill="auto"/>
            <w:vAlign w:val="center"/>
          </w:tcPr>
          <w:p w14:paraId="14F960A9"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NS</w:t>
            </w:r>
          </w:p>
        </w:tc>
        <w:tc>
          <w:tcPr>
            <w:tcW w:w="888" w:type="dxa"/>
            <w:shd w:val="clear" w:color="auto" w:fill="auto"/>
            <w:vAlign w:val="center"/>
          </w:tcPr>
          <w:p w14:paraId="3DFDEEF7"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NS</w:t>
            </w:r>
          </w:p>
        </w:tc>
        <w:tc>
          <w:tcPr>
            <w:tcW w:w="888" w:type="dxa"/>
            <w:vAlign w:val="center"/>
          </w:tcPr>
          <w:p w14:paraId="51C53CB7"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NS</w:t>
            </w:r>
          </w:p>
        </w:tc>
        <w:tc>
          <w:tcPr>
            <w:tcW w:w="888" w:type="dxa"/>
            <w:shd w:val="clear" w:color="auto" w:fill="auto"/>
            <w:vAlign w:val="center"/>
          </w:tcPr>
          <w:p w14:paraId="16B72128"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NS</w:t>
            </w:r>
          </w:p>
        </w:tc>
        <w:tc>
          <w:tcPr>
            <w:tcW w:w="888" w:type="dxa"/>
            <w:tcBorders>
              <w:right w:val="single" w:sz="4" w:space="0" w:color="auto"/>
            </w:tcBorders>
            <w:shd w:val="clear" w:color="auto" w:fill="auto"/>
            <w:vAlign w:val="center"/>
          </w:tcPr>
          <w:p w14:paraId="0A7FCBDC"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p>
        </w:tc>
        <w:tc>
          <w:tcPr>
            <w:tcW w:w="799" w:type="dxa"/>
            <w:tcBorders>
              <w:left w:val="single" w:sz="4" w:space="0" w:color="auto"/>
            </w:tcBorders>
            <w:vAlign w:val="center"/>
          </w:tcPr>
          <w:p w14:paraId="63BC5F9B"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NS</w:t>
            </w:r>
          </w:p>
        </w:tc>
        <w:tc>
          <w:tcPr>
            <w:tcW w:w="799" w:type="dxa"/>
            <w:vAlign w:val="center"/>
          </w:tcPr>
          <w:p w14:paraId="4CACAF59"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NS</w:t>
            </w:r>
          </w:p>
        </w:tc>
        <w:tc>
          <w:tcPr>
            <w:tcW w:w="799" w:type="dxa"/>
            <w:vAlign w:val="center"/>
          </w:tcPr>
          <w:p w14:paraId="17CFD4B5"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p>
        </w:tc>
        <w:tc>
          <w:tcPr>
            <w:tcW w:w="799" w:type="dxa"/>
            <w:vAlign w:val="center"/>
          </w:tcPr>
          <w:p w14:paraId="1B1FE266"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p>
        </w:tc>
        <w:tc>
          <w:tcPr>
            <w:tcW w:w="799" w:type="dxa"/>
            <w:vAlign w:val="center"/>
          </w:tcPr>
          <w:p w14:paraId="313D10D6"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p>
        </w:tc>
        <w:tc>
          <w:tcPr>
            <w:tcW w:w="799" w:type="dxa"/>
            <w:vAlign w:val="center"/>
          </w:tcPr>
          <w:p w14:paraId="0EBBBAE9"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NS</w:t>
            </w:r>
          </w:p>
        </w:tc>
      </w:tr>
      <w:tr w:rsidR="00CB10DF" w:rsidRPr="00CB10DF" w14:paraId="148C09AA" w14:textId="77777777" w:rsidTr="008B17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2"/>
        </w:trPr>
        <w:tc>
          <w:tcPr>
            <w:tcW w:w="451" w:type="dxa"/>
            <w:vMerge/>
            <w:tcBorders>
              <w:bottom w:val="single" w:sz="4" w:space="0" w:color="000000" w:themeColor="text1"/>
              <w:right w:val="single" w:sz="4" w:space="0" w:color="000000" w:themeColor="text1"/>
            </w:tcBorders>
            <w:shd w:val="clear" w:color="auto" w:fill="auto"/>
          </w:tcPr>
          <w:p w14:paraId="7D691CD8"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p>
        </w:tc>
        <w:tc>
          <w:tcPr>
            <w:tcW w:w="853" w:type="dxa"/>
            <w:tcBorders>
              <w:left w:val="single" w:sz="4" w:space="0" w:color="000000" w:themeColor="text1"/>
              <w:bottom w:val="single" w:sz="4" w:space="0" w:color="000000" w:themeColor="text1"/>
              <w:right w:val="single" w:sz="4" w:space="0" w:color="000000" w:themeColor="text1"/>
            </w:tcBorders>
            <w:shd w:val="clear" w:color="auto" w:fill="auto"/>
            <w:vAlign w:val="center"/>
          </w:tcPr>
          <w:p w14:paraId="44847BAF"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Autumn</w:t>
            </w:r>
          </w:p>
        </w:tc>
        <w:tc>
          <w:tcPr>
            <w:tcW w:w="888" w:type="dxa"/>
            <w:tcBorders>
              <w:left w:val="single" w:sz="4" w:space="0" w:color="000000" w:themeColor="text1"/>
              <w:bottom w:val="single" w:sz="4" w:space="0" w:color="000000" w:themeColor="text1"/>
            </w:tcBorders>
            <w:shd w:val="clear" w:color="auto" w:fill="auto"/>
            <w:vAlign w:val="center"/>
          </w:tcPr>
          <w:p w14:paraId="2989D419"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p>
        </w:tc>
        <w:tc>
          <w:tcPr>
            <w:tcW w:w="888" w:type="dxa"/>
            <w:tcBorders>
              <w:bottom w:val="single" w:sz="4" w:space="0" w:color="000000" w:themeColor="text1"/>
            </w:tcBorders>
            <w:shd w:val="clear" w:color="auto" w:fill="auto"/>
            <w:vAlign w:val="center"/>
          </w:tcPr>
          <w:p w14:paraId="279A8FA9"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p>
        </w:tc>
        <w:tc>
          <w:tcPr>
            <w:tcW w:w="646" w:type="dxa"/>
            <w:tcBorders>
              <w:bottom w:val="single" w:sz="4" w:space="0" w:color="000000" w:themeColor="text1"/>
            </w:tcBorders>
            <w:shd w:val="clear" w:color="auto" w:fill="auto"/>
            <w:vAlign w:val="center"/>
          </w:tcPr>
          <w:p w14:paraId="6F86124B"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p>
        </w:tc>
        <w:tc>
          <w:tcPr>
            <w:tcW w:w="888" w:type="dxa"/>
            <w:tcBorders>
              <w:bottom w:val="single" w:sz="4" w:space="0" w:color="000000" w:themeColor="text1"/>
            </w:tcBorders>
            <w:shd w:val="clear" w:color="auto" w:fill="auto"/>
            <w:vAlign w:val="center"/>
          </w:tcPr>
          <w:p w14:paraId="0578C787"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NS</w:t>
            </w:r>
          </w:p>
        </w:tc>
        <w:tc>
          <w:tcPr>
            <w:tcW w:w="888" w:type="dxa"/>
            <w:tcBorders>
              <w:bottom w:val="single" w:sz="4" w:space="0" w:color="000000" w:themeColor="text1"/>
            </w:tcBorders>
            <w:shd w:val="clear" w:color="auto" w:fill="auto"/>
            <w:vAlign w:val="center"/>
          </w:tcPr>
          <w:p w14:paraId="058B3853"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NS</w:t>
            </w:r>
          </w:p>
        </w:tc>
        <w:tc>
          <w:tcPr>
            <w:tcW w:w="888" w:type="dxa"/>
            <w:tcBorders>
              <w:bottom w:val="single" w:sz="4" w:space="0" w:color="000000" w:themeColor="text1"/>
            </w:tcBorders>
            <w:vAlign w:val="center"/>
          </w:tcPr>
          <w:p w14:paraId="48FC770F"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NS</w:t>
            </w:r>
          </w:p>
        </w:tc>
        <w:tc>
          <w:tcPr>
            <w:tcW w:w="888" w:type="dxa"/>
            <w:tcBorders>
              <w:bottom w:val="single" w:sz="4" w:space="0" w:color="000000" w:themeColor="text1"/>
            </w:tcBorders>
            <w:shd w:val="clear" w:color="auto" w:fill="auto"/>
            <w:vAlign w:val="center"/>
          </w:tcPr>
          <w:p w14:paraId="1870490D"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-0.13***</w:t>
            </w:r>
          </w:p>
        </w:tc>
        <w:tc>
          <w:tcPr>
            <w:tcW w:w="888" w:type="dxa"/>
            <w:tcBorders>
              <w:bottom w:val="single" w:sz="4" w:space="0" w:color="000000" w:themeColor="text1"/>
              <w:right w:val="single" w:sz="4" w:space="0" w:color="auto"/>
            </w:tcBorders>
            <w:shd w:val="clear" w:color="auto" w:fill="auto"/>
            <w:vAlign w:val="center"/>
          </w:tcPr>
          <w:p w14:paraId="26AF3FF5"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p>
        </w:tc>
        <w:tc>
          <w:tcPr>
            <w:tcW w:w="799" w:type="dxa"/>
            <w:tcBorders>
              <w:left w:val="single" w:sz="4" w:space="0" w:color="auto"/>
              <w:bottom w:val="single" w:sz="4" w:space="0" w:color="000000" w:themeColor="text1"/>
            </w:tcBorders>
            <w:vAlign w:val="center"/>
          </w:tcPr>
          <w:p w14:paraId="2C355161"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NS</w:t>
            </w:r>
          </w:p>
        </w:tc>
        <w:tc>
          <w:tcPr>
            <w:tcW w:w="799" w:type="dxa"/>
            <w:tcBorders>
              <w:bottom w:val="single" w:sz="4" w:space="0" w:color="000000" w:themeColor="text1"/>
            </w:tcBorders>
            <w:vAlign w:val="center"/>
          </w:tcPr>
          <w:p w14:paraId="147FB2A2"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0.39***</w:t>
            </w:r>
          </w:p>
        </w:tc>
        <w:tc>
          <w:tcPr>
            <w:tcW w:w="799" w:type="dxa"/>
            <w:tcBorders>
              <w:bottom w:val="single" w:sz="4" w:space="0" w:color="000000" w:themeColor="text1"/>
            </w:tcBorders>
            <w:vAlign w:val="center"/>
          </w:tcPr>
          <w:p w14:paraId="01F4B3C4"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p>
        </w:tc>
        <w:tc>
          <w:tcPr>
            <w:tcW w:w="799" w:type="dxa"/>
            <w:tcBorders>
              <w:bottom w:val="single" w:sz="4" w:space="0" w:color="000000" w:themeColor="text1"/>
            </w:tcBorders>
            <w:vAlign w:val="center"/>
          </w:tcPr>
          <w:p w14:paraId="23A1218C"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p>
        </w:tc>
        <w:tc>
          <w:tcPr>
            <w:tcW w:w="799" w:type="dxa"/>
            <w:tcBorders>
              <w:bottom w:val="single" w:sz="4" w:space="0" w:color="000000" w:themeColor="text1"/>
            </w:tcBorders>
            <w:vAlign w:val="center"/>
          </w:tcPr>
          <w:p w14:paraId="7790CC4E"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p>
        </w:tc>
        <w:tc>
          <w:tcPr>
            <w:tcW w:w="799" w:type="dxa"/>
            <w:tcBorders>
              <w:bottom w:val="single" w:sz="4" w:space="0" w:color="000000" w:themeColor="text1"/>
            </w:tcBorders>
            <w:vAlign w:val="center"/>
          </w:tcPr>
          <w:p w14:paraId="08FAB204"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-0.15**</w:t>
            </w:r>
          </w:p>
        </w:tc>
      </w:tr>
      <w:tr w:rsidR="00CB10DF" w:rsidRPr="00CB10DF" w14:paraId="3FD1105D" w14:textId="77777777" w:rsidTr="008B17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2"/>
        </w:trPr>
        <w:tc>
          <w:tcPr>
            <w:tcW w:w="451" w:type="dxa"/>
            <w:vMerge w:val="restart"/>
            <w:tcBorders>
              <w:top w:val="single" w:sz="4" w:space="0" w:color="000000" w:themeColor="text1"/>
              <w:right w:val="single" w:sz="4" w:space="0" w:color="000000" w:themeColor="text1"/>
            </w:tcBorders>
            <w:shd w:val="clear" w:color="auto" w:fill="auto"/>
            <w:textDirection w:val="btLr"/>
            <w:vAlign w:val="center"/>
          </w:tcPr>
          <w:p w14:paraId="5B5B79CD"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113" w:right="113"/>
              <w:jc w:val="center"/>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Y-1</w:t>
            </w:r>
          </w:p>
        </w:tc>
        <w:tc>
          <w:tcPr>
            <w:tcW w:w="853" w:type="dxa"/>
            <w:tcBorders>
              <w:top w:val="single" w:sz="4" w:space="0" w:color="000000" w:themeColor="text1"/>
              <w:left w:val="single" w:sz="4" w:space="0" w:color="000000" w:themeColor="text1"/>
              <w:right w:val="single" w:sz="4" w:space="0" w:color="000000" w:themeColor="text1"/>
            </w:tcBorders>
            <w:shd w:val="clear" w:color="auto" w:fill="auto"/>
            <w:vAlign w:val="center"/>
          </w:tcPr>
          <w:p w14:paraId="5F5C8C68"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Winter</w:t>
            </w:r>
          </w:p>
        </w:tc>
        <w:tc>
          <w:tcPr>
            <w:tcW w:w="888" w:type="dxa"/>
            <w:tcBorders>
              <w:top w:val="single" w:sz="4" w:space="0" w:color="000000" w:themeColor="text1"/>
              <w:left w:val="single" w:sz="4" w:space="0" w:color="000000" w:themeColor="text1"/>
            </w:tcBorders>
            <w:shd w:val="clear" w:color="auto" w:fill="auto"/>
            <w:vAlign w:val="center"/>
          </w:tcPr>
          <w:p w14:paraId="7C8350F0"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p>
        </w:tc>
        <w:tc>
          <w:tcPr>
            <w:tcW w:w="888" w:type="dxa"/>
            <w:tcBorders>
              <w:top w:val="single" w:sz="4" w:space="0" w:color="000000" w:themeColor="text1"/>
            </w:tcBorders>
            <w:shd w:val="clear" w:color="auto" w:fill="auto"/>
            <w:vAlign w:val="center"/>
          </w:tcPr>
          <w:p w14:paraId="54C4FB40"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p>
        </w:tc>
        <w:tc>
          <w:tcPr>
            <w:tcW w:w="646" w:type="dxa"/>
            <w:tcBorders>
              <w:top w:val="single" w:sz="4" w:space="0" w:color="000000" w:themeColor="text1"/>
            </w:tcBorders>
            <w:vAlign w:val="center"/>
          </w:tcPr>
          <w:p w14:paraId="23E7AE07"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p>
        </w:tc>
        <w:tc>
          <w:tcPr>
            <w:tcW w:w="888" w:type="dxa"/>
            <w:tcBorders>
              <w:top w:val="single" w:sz="4" w:space="0" w:color="000000" w:themeColor="text1"/>
            </w:tcBorders>
            <w:shd w:val="clear" w:color="auto" w:fill="auto"/>
            <w:vAlign w:val="center"/>
          </w:tcPr>
          <w:p w14:paraId="0A0C0BFA"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NS</w:t>
            </w:r>
          </w:p>
        </w:tc>
        <w:tc>
          <w:tcPr>
            <w:tcW w:w="888" w:type="dxa"/>
            <w:tcBorders>
              <w:top w:val="single" w:sz="4" w:space="0" w:color="000000" w:themeColor="text1"/>
            </w:tcBorders>
            <w:shd w:val="clear" w:color="auto" w:fill="auto"/>
            <w:vAlign w:val="center"/>
          </w:tcPr>
          <w:p w14:paraId="0B342999"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0.23*</w:t>
            </w:r>
          </w:p>
        </w:tc>
        <w:tc>
          <w:tcPr>
            <w:tcW w:w="888" w:type="dxa"/>
            <w:tcBorders>
              <w:top w:val="single" w:sz="4" w:space="0" w:color="000000" w:themeColor="text1"/>
            </w:tcBorders>
            <w:vAlign w:val="center"/>
          </w:tcPr>
          <w:p w14:paraId="6B2C99C3"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NS</w:t>
            </w:r>
          </w:p>
        </w:tc>
        <w:tc>
          <w:tcPr>
            <w:tcW w:w="888" w:type="dxa"/>
            <w:tcBorders>
              <w:top w:val="single" w:sz="4" w:space="0" w:color="000000" w:themeColor="text1"/>
            </w:tcBorders>
            <w:shd w:val="clear" w:color="auto" w:fill="auto"/>
            <w:vAlign w:val="center"/>
          </w:tcPr>
          <w:p w14:paraId="2913BD1C"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0.47*</w:t>
            </w:r>
          </w:p>
        </w:tc>
        <w:tc>
          <w:tcPr>
            <w:tcW w:w="888" w:type="dxa"/>
            <w:tcBorders>
              <w:top w:val="single" w:sz="4" w:space="0" w:color="000000" w:themeColor="text1"/>
              <w:right w:val="single" w:sz="4" w:space="0" w:color="auto"/>
            </w:tcBorders>
            <w:shd w:val="clear" w:color="auto" w:fill="auto"/>
            <w:vAlign w:val="center"/>
          </w:tcPr>
          <w:p w14:paraId="754AAAF8"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p>
        </w:tc>
        <w:tc>
          <w:tcPr>
            <w:tcW w:w="799" w:type="dxa"/>
            <w:tcBorders>
              <w:top w:val="single" w:sz="4" w:space="0" w:color="000000" w:themeColor="text1"/>
              <w:left w:val="single" w:sz="4" w:space="0" w:color="auto"/>
            </w:tcBorders>
            <w:vAlign w:val="center"/>
          </w:tcPr>
          <w:p w14:paraId="4C8DD717"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NS</w:t>
            </w:r>
          </w:p>
        </w:tc>
        <w:tc>
          <w:tcPr>
            <w:tcW w:w="799" w:type="dxa"/>
            <w:tcBorders>
              <w:top w:val="single" w:sz="4" w:space="0" w:color="000000" w:themeColor="text1"/>
            </w:tcBorders>
            <w:vAlign w:val="center"/>
          </w:tcPr>
          <w:p w14:paraId="788175E1"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-0.39***</w:t>
            </w:r>
          </w:p>
        </w:tc>
        <w:tc>
          <w:tcPr>
            <w:tcW w:w="799" w:type="dxa"/>
            <w:tcBorders>
              <w:top w:val="single" w:sz="4" w:space="0" w:color="000000" w:themeColor="text1"/>
            </w:tcBorders>
            <w:vAlign w:val="center"/>
          </w:tcPr>
          <w:p w14:paraId="1994217E"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p>
        </w:tc>
        <w:tc>
          <w:tcPr>
            <w:tcW w:w="799" w:type="dxa"/>
            <w:tcBorders>
              <w:top w:val="single" w:sz="4" w:space="0" w:color="000000" w:themeColor="text1"/>
            </w:tcBorders>
            <w:vAlign w:val="center"/>
          </w:tcPr>
          <w:p w14:paraId="62D58FDA"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p>
        </w:tc>
        <w:tc>
          <w:tcPr>
            <w:tcW w:w="799" w:type="dxa"/>
            <w:tcBorders>
              <w:top w:val="single" w:sz="4" w:space="0" w:color="000000" w:themeColor="text1"/>
            </w:tcBorders>
            <w:vAlign w:val="center"/>
          </w:tcPr>
          <w:p w14:paraId="35FC7710"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p>
        </w:tc>
        <w:tc>
          <w:tcPr>
            <w:tcW w:w="799" w:type="dxa"/>
            <w:tcBorders>
              <w:top w:val="single" w:sz="4" w:space="0" w:color="000000" w:themeColor="text1"/>
            </w:tcBorders>
            <w:vAlign w:val="center"/>
          </w:tcPr>
          <w:p w14:paraId="317064A0"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NS</w:t>
            </w:r>
          </w:p>
        </w:tc>
      </w:tr>
      <w:tr w:rsidR="00CB10DF" w:rsidRPr="00CB10DF" w14:paraId="7695FB2F" w14:textId="77777777" w:rsidTr="008B17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2"/>
        </w:trPr>
        <w:tc>
          <w:tcPr>
            <w:tcW w:w="451" w:type="dxa"/>
            <w:vMerge/>
            <w:tcBorders>
              <w:right w:val="single" w:sz="4" w:space="0" w:color="000000" w:themeColor="text1"/>
            </w:tcBorders>
            <w:shd w:val="clear" w:color="auto" w:fill="auto"/>
          </w:tcPr>
          <w:p w14:paraId="526D8924"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p>
        </w:tc>
        <w:tc>
          <w:tcPr>
            <w:tcW w:w="853" w:type="dxa"/>
            <w:tcBorders>
              <w:left w:val="single" w:sz="4" w:space="0" w:color="000000" w:themeColor="text1"/>
              <w:right w:val="single" w:sz="4" w:space="0" w:color="000000" w:themeColor="text1"/>
            </w:tcBorders>
            <w:shd w:val="clear" w:color="auto" w:fill="auto"/>
            <w:vAlign w:val="center"/>
          </w:tcPr>
          <w:p w14:paraId="4F32FD3F"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Spring</w:t>
            </w:r>
          </w:p>
        </w:tc>
        <w:tc>
          <w:tcPr>
            <w:tcW w:w="888" w:type="dxa"/>
            <w:tcBorders>
              <w:left w:val="single" w:sz="4" w:space="0" w:color="000000" w:themeColor="text1"/>
            </w:tcBorders>
            <w:shd w:val="clear" w:color="auto" w:fill="auto"/>
            <w:vAlign w:val="center"/>
          </w:tcPr>
          <w:p w14:paraId="722A4B8D"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0.53*</w:t>
            </w:r>
          </w:p>
        </w:tc>
        <w:tc>
          <w:tcPr>
            <w:tcW w:w="888" w:type="dxa"/>
            <w:shd w:val="clear" w:color="auto" w:fill="auto"/>
            <w:vAlign w:val="center"/>
          </w:tcPr>
          <w:p w14:paraId="5BA14F1D"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NS</w:t>
            </w:r>
          </w:p>
        </w:tc>
        <w:tc>
          <w:tcPr>
            <w:tcW w:w="646" w:type="dxa"/>
            <w:vAlign w:val="center"/>
          </w:tcPr>
          <w:p w14:paraId="56650525"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p>
        </w:tc>
        <w:tc>
          <w:tcPr>
            <w:tcW w:w="888" w:type="dxa"/>
            <w:shd w:val="clear" w:color="auto" w:fill="auto"/>
            <w:vAlign w:val="center"/>
          </w:tcPr>
          <w:p w14:paraId="7C832EB6"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NS</w:t>
            </w:r>
          </w:p>
        </w:tc>
        <w:tc>
          <w:tcPr>
            <w:tcW w:w="888" w:type="dxa"/>
            <w:shd w:val="clear" w:color="auto" w:fill="auto"/>
            <w:vAlign w:val="center"/>
          </w:tcPr>
          <w:p w14:paraId="4FA3E6E4"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-0.36*</w:t>
            </w:r>
          </w:p>
        </w:tc>
        <w:tc>
          <w:tcPr>
            <w:tcW w:w="888" w:type="dxa"/>
            <w:vAlign w:val="center"/>
          </w:tcPr>
          <w:p w14:paraId="5DDD8C86"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NS</w:t>
            </w:r>
          </w:p>
        </w:tc>
        <w:tc>
          <w:tcPr>
            <w:tcW w:w="888" w:type="dxa"/>
            <w:shd w:val="clear" w:color="auto" w:fill="auto"/>
            <w:vAlign w:val="center"/>
          </w:tcPr>
          <w:p w14:paraId="1764C667"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NS</w:t>
            </w:r>
          </w:p>
        </w:tc>
        <w:tc>
          <w:tcPr>
            <w:tcW w:w="888" w:type="dxa"/>
            <w:tcBorders>
              <w:right w:val="single" w:sz="4" w:space="0" w:color="auto"/>
            </w:tcBorders>
            <w:shd w:val="clear" w:color="auto" w:fill="auto"/>
            <w:vAlign w:val="center"/>
          </w:tcPr>
          <w:p w14:paraId="101C091B"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p>
        </w:tc>
        <w:tc>
          <w:tcPr>
            <w:tcW w:w="799" w:type="dxa"/>
            <w:tcBorders>
              <w:left w:val="single" w:sz="4" w:space="0" w:color="auto"/>
            </w:tcBorders>
            <w:vAlign w:val="center"/>
          </w:tcPr>
          <w:p w14:paraId="1E960051"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0.40***</w:t>
            </w:r>
          </w:p>
        </w:tc>
        <w:tc>
          <w:tcPr>
            <w:tcW w:w="799" w:type="dxa"/>
            <w:vAlign w:val="center"/>
          </w:tcPr>
          <w:p w14:paraId="7B96DD0B"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NS</w:t>
            </w:r>
          </w:p>
        </w:tc>
        <w:tc>
          <w:tcPr>
            <w:tcW w:w="799" w:type="dxa"/>
            <w:vAlign w:val="center"/>
          </w:tcPr>
          <w:p w14:paraId="65AAE2FC"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p>
        </w:tc>
        <w:tc>
          <w:tcPr>
            <w:tcW w:w="799" w:type="dxa"/>
            <w:vAlign w:val="center"/>
          </w:tcPr>
          <w:p w14:paraId="67D2BE47"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p>
        </w:tc>
        <w:tc>
          <w:tcPr>
            <w:tcW w:w="799" w:type="dxa"/>
            <w:vAlign w:val="center"/>
          </w:tcPr>
          <w:p w14:paraId="1ADA96BE"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p>
        </w:tc>
        <w:tc>
          <w:tcPr>
            <w:tcW w:w="799" w:type="dxa"/>
            <w:vAlign w:val="center"/>
          </w:tcPr>
          <w:p w14:paraId="4ED5AE8B"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NS</w:t>
            </w:r>
          </w:p>
        </w:tc>
      </w:tr>
      <w:tr w:rsidR="00CB10DF" w:rsidRPr="00CB10DF" w14:paraId="4DDB0D63" w14:textId="77777777" w:rsidTr="008B17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2"/>
        </w:trPr>
        <w:tc>
          <w:tcPr>
            <w:tcW w:w="451" w:type="dxa"/>
            <w:vMerge/>
            <w:tcBorders>
              <w:right w:val="single" w:sz="4" w:space="0" w:color="000000" w:themeColor="text1"/>
            </w:tcBorders>
            <w:shd w:val="clear" w:color="auto" w:fill="auto"/>
          </w:tcPr>
          <w:p w14:paraId="72D24178"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p>
        </w:tc>
        <w:tc>
          <w:tcPr>
            <w:tcW w:w="853" w:type="dxa"/>
            <w:tcBorders>
              <w:left w:val="single" w:sz="4" w:space="0" w:color="000000" w:themeColor="text1"/>
              <w:right w:val="single" w:sz="4" w:space="0" w:color="000000" w:themeColor="text1"/>
            </w:tcBorders>
            <w:shd w:val="clear" w:color="auto" w:fill="auto"/>
            <w:vAlign w:val="center"/>
          </w:tcPr>
          <w:p w14:paraId="07267B21"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Summer</w:t>
            </w:r>
          </w:p>
        </w:tc>
        <w:tc>
          <w:tcPr>
            <w:tcW w:w="888" w:type="dxa"/>
            <w:tcBorders>
              <w:left w:val="single" w:sz="4" w:space="0" w:color="000000" w:themeColor="text1"/>
            </w:tcBorders>
            <w:shd w:val="clear" w:color="auto" w:fill="auto"/>
            <w:vAlign w:val="center"/>
          </w:tcPr>
          <w:p w14:paraId="6A4E4F11"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NS</w:t>
            </w:r>
          </w:p>
        </w:tc>
        <w:tc>
          <w:tcPr>
            <w:tcW w:w="888" w:type="dxa"/>
            <w:shd w:val="clear" w:color="auto" w:fill="auto"/>
            <w:vAlign w:val="center"/>
          </w:tcPr>
          <w:p w14:paraId="593C3436"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NS</w:t>
            </w:r>
          </w:p>
        </w:tc>
        <w:tc>
          <w:tcPr>
            <w:tcW w:w="646" w:type="dxa"/>
            <w:vAlign w:val="center"/>
          </w:tcPr>
          <w:p w14:paraId="75ABF12D"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p>
        </w:tc>
        <w:tc>
          <w:tcPr>
            <w:tcW w:w="888" w:type="dxa"/>
            <w:shd w:val="clear" w:color="auto" w:fill="auto"/>
            <w:vAlign w:val="center"/>
          </w:tcPr>
          <w:p w14:paraId="60504B53"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0.83*</w:t>
            </w:r>
          </w:p>
        </w:tc>
        <w:tc>
          <w:tcPr>
            <w:tcW w:w="888" w:type="dxa"/>
            <w:shd w:val="clear" w:color="auto" w:fill="auto"/>
            <w:vAlign w:val="center"/>
          </w:tcPr>
          <w:p w14:paraId="03669249"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NS</w:t>
            </w:r>
          </w:p>
        </w:tc>
        <w:tc>
          <w:tcPr>
            <w:tcW w:w="888" w:type="dxa"/>
            <w:vAlign w:val="center"/>
          </w:tcPr>
          <w:p w14:paraId="1106B9E9"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NS</w:t>
            </w:r>
          </w:p>
        </w:tc>
        <w:tc>
          <w:tcPr>
            <w:tcW w:w="888" w:type="dxa"/>
            <w:shd w:val="clear" w:color="auto" w:fill="auto"/>
            <w:vAlign w:val="center"/>
          </w:tcPr>
          <w:p w14:paraId="4A16ECBF"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NS</w:t>
            </w:r>
          </w:p>
        </w:tc>
        <w:tc>
          <w:tcPr>
            <w:tcW w:w="888" w:type="dxa"/>
            <w:tcBorders>
              <w:right w:val="single" w:sz="4" w:space="0" w:color="auto"/>
            </w:tcBorders>
            <w:shd w:val="clear" w:color="auto" w:fill="auto"/>
            <w:vAlign w:val="center"/>
          </w:tcPr>
          <w:p w14:paraId="6C8531B4"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p>
        </w:tc>
        <w:tc>
          <w:tcPr>
            <w:tcW w:w="799" w:type="dxa"/>
            <w:tcBorders>
              <w:left w:val="single" w:sz="4" w:space="0" w:color="auto"/>
            </w:tcBorders>
            <w:vAlign w:val="center"/>
          </w:tcPr>
          <w:p w14:paraId="4CD0A9D2"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NS</w:t>
            </w:r>
          </w:p>
        </w:tc>
        <w:tc>
          <w:tcPr>
            <w:tcW w:w="799" w:type="dxa"/>
            <w:vAlign w:val="center"/>
          </w:tcPr>
          <w:p w14:paraId="7C0FB8A0"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-0.29***</w:t>
            </w:r>
          </w:p>
        </w:tc>
        <w:tc>
          <w:tcPr>
            <w:tcW w:w="799" w:type="dxa"/>
            <w:vAlign w:val="center"/>
          </w:tcPr>
          <w:p w14:paraId="022ABC14"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NS</w:t>
            </w:r>
          </w:p>
        </w:tc>
        <w:tc>
          <w:tcPr>
            <w:tcW w:w="799" w:type="dxa"/>
            <w:vAlign w:val="center"/>
          </w:tcPr>
          <w:p w14:paraId="3C7DF8BF"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0.19***</w:t>
            </w:r>
          </w:p>
        </w:tc>
        <w:tc>
          <w:tcPr>
            <w:tcW w:w="799" w:type="dxa"/>
            <w:vAlign w:val="center"/>
          </w:tcPr>
          <w:p w14:paraId="47BC9B0B"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p>
        </w:tc>
        <w:tc>
          <w:tcPr>
            <w:tcW w:w="799" w:type="dxa"/>
            <w:vAlign w:val="center"/>
          </w:tcPr>
          <w:p w14:paraId="2994D5CE"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NS</w:t>
            </w:r>
          </w:p>
        </w:tc>
      </w:tr>
      <w:tr w:rsidR="00CB10DF" w:rsidRPr="00CB10DF" w14:paraId="18D6415D" w14:textId="77777777" w:rsidTr="008B17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2"/>
        </w:trPr>
        <w:tc>
          <w:tcPr>
            <w:tcW w:w="451" w:type="dxa"/>
            <w:vMerge/>
            <w:tcBorders>
              <w:right w:val="single" w:sz="4" w:space="0" w:color="000000" w:themeColor="text1"/>
            </w:tcBorders>
            <w:shd w:val="clear" w:color="auto" w:fill="auto"/>
          </w:tcPr>
          <w:p w14:paraId="679D68BA"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p>
        </w:tc>
        <w:tc>
          <w:tcPr>
            <w:tcW w:w="853" w:type="dxa"/>
            <w:tcBorders>
              <w:left w:val="single" w:sz="4" w:space="0" w:color="000000" w:themeColor="text1"/>
              <w:right w:val="single" w:sz="4" w:space="0" w:color="000000" w:themeColor="text1"/>
            </w:tcBorders>
            <w:shd w:val="clear" w:color="auto" w:fill="auto"/>
            <w:vAlign w:val="center"/>
          </w:tcPr>
          <w:p w14:paraId="1CC798A4"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Autumn</w:t>
            </w:r>
          </w:p>
        </w:tc>
        <w:tc>
          <w:tcPr>
            <w:tcW w:w="888" w:type="dxa"/>
            <w:tcBorders>
              <w:left w:val="single" w:sz="4" w:space="0" w:color="000000" w:themeColor="text1"/>
            </w:tcBorders>
            <w:shd w:val="clear" w:color="auto" w:fill="auto"/>
            <w:vAlign w:val="center"/>
          </w:tcPr>
          <w:p w14:paraId="303782BA"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NS</w:t>
            </w:r>
          </w:p>
        </w:tc>
        <w:tc>
          <w:tcPr>
            <w:tcW w:w="888" w:type="dxa"/>
            <w:shd w:val="clear" w:color="auto" w:fill="auto"/>
            <w:vAlign w:val="center"/>
          </w:tcPr>
          <w:p w14:paraId="5C9EE76B"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NS</w:t>
            </w:r>
          </w:p>
        </w:tc>
        <w:tc>
          <w:tcPr>
            <w:tcW w:w="646" w:type="dxa"/>
            <w:vAlign w:val="center"/>
          </w:tcPr>
          <w:p w14:paraId="5720E982"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p>
        </w:tc>
        <w:tc>
          <w:tcPr>
            <w:tcW w:w="888" w:type="dxa"/>
            <w:shd w:val="clear" w:color="auto" w:fill="auto"/>
            <w:vAlign w:val="center"/>
          </w:tcPr>
          <w:p w14:paraId="24AB00D0"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NS</w:t>
            </w:r>
          </w:p>
        </w:tc>
        <w:tc>
          <w:tcPr>
            <w:tcW w:w="888" w:type="dxa"/>
            <w:shd w:val="clear" w:color="auto" w:fill="auto"/>
            <w:vAlign w:val="center"/>
          </w:tcPr>
          <w:p w14:paraId="4F4AE435"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NS</w:t>
            </w:r>
          </w:p>
        </w:tc>
        <w:tc>
          <w:tcPr>
            <w:tcW w:w="888" w:type="dxa"/>
            <w:vAlign w:val="center"/>
          </w:tcPr>
          <w:p w14:paraId="0721AB63"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right="-113"/>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0.22*</w:t>
            </w:r>
          </w:p>
        </w:tc>
        <w:tc>
          <w:tcPr>
            <w:tcW w:w="888" w:type="dxa"/>
            <w:shd w:val="clear" w:color="auto" w:fill="auto"/>
            <w:vAlign w:val="center"/>
          </w:tcPr>
          <w:p w14:paraId="31B8982F"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right="-113"/>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NS</w:t>
            </w:r>
          </w:p>
        </w:tc>
        <w:tc>
          <w:tcPr>
            <w:tcW w:w="888" w:type="dxa"/>
            <w:tcBorders>
              <w:right w:val="single" w:sz="4" w:space="0" w:color="auto"/>
            </w:tcBorders>
            <w:shd w:val="clear" w:color="auto" w:fill="auto"/>
            <w:vAlign w:val="center"/>
          </w:tcPr>
          <w:p w14:paraId="11B304CA"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p>
        </w:tc>
        <w:tc>
          <w:tcPr>
            <w:tcW w:w="799" w:type="dxa"/>
            <w:tcBorders>
              <w:left w:val="single" w:sz="4" w:space="0" w:color="auto"/>
            </w:tcBorders>
            <w:vAlign w:val="center"/>
          </w:tcPr>
          <w:p w14:paraId="1BCB7853"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-0.86***</w:t>
            </w:r>
          </w:p>
        </w:tc>
        <w:tc>
          <w:tcPr>
            <w:tcW w:w="799" w:type="dxa"/>
            <w:vAlign w:val="center"/>
          </w:tcPr>
          <w:p w14:paraId="67D3D1CE"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-0.19*</w:t>
            </w:r>
          </w:p>
        </w:tc>
        <w:tc>
          <w:tcPr>
            <w:tcW w:w="799" w:type="dxa"/>
            <w:vAlign w:val="center"/>
          </w:tcPr>
          <w:p w14:paraId="4424BAE1"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-0.14**</w:t>
            </w:r>
          </w:p>
        </w:tc>
        <w:tc>
          <w:tcPr>
            <w:tcW w:w="799" w:type="dxa"/>
            <w:vAlign w:val="center"/>
          </w:tcPr>
          <w:p w14:paraId="50222AEB"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-0.31***</w:t>
            </w:r>
          </w:p>
        </w:tc>
        <w:tc>
          <w:tcPr>
            <w:tcW w:w="799" w:type="dxa"/>
            <w:vAlign w:val="center"/>
          </w:tcPr>
          <w:p w14:paraId="49D569C3"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p>
        </w:tc>
        <w:tc>
          <w:tcPr>
            <w:tcW w:w="799" w:type="dxa"/>
            <w:vAlign w:val="center"/>
          </w:tcPr>
          <w:p w14:paraId="1B47495D"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-0.21***</w:t>
            </w:r>
          </w:p>
        </w:tc>
      </w:tr>
      <w:tr w:rsidR="00CB10DF" w:rsidRPr="00CB10DF" w14:paraId="120DC77A" w14:textId="77777777" w:rsidTr="008B17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86"/>
        </w:trPr>
        <w:tc>
          <w:tcPr>
            <w:tcW w:w="451" w:type="dxa"/>
            <w:vMerge w:val="restart"/>
            <w:tcBorders>
              <w:top w:val="single" w:sz="4" w:space="0" w:color="000000" w:themeColor="text1"/>
              <w:right w:val="single" w:sz="4" w:space="0" w:color="000000" w:themeColor="text1"/>
            </w:tcBorders>
            <w:shd w:val="clear" w:color="auto" w:fill="auto"/>
            <w:textDirection w:val="btLr"/>
            <w:vAlign w:val="center"/>
          </w:tcPr>
          <w:p w14:paraId="6E9658AF"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113" w:right="113"/>
              <w:jc w:val="center"/>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Y0</w:t>
            </w:r>
          </w:p>
        </w:tc>
        <w:tc>
          <w:tcPr>
            <w:tcW w:w="853" w:type="dxa"/>
            <w:tcBorders>
              <w:top w:val="single" w:sz="4" w:space="0" w:color="000000" w:themeColor="text1"/>
              <w:left w:val="single" w:sz="4" w:space="0" w:color="000000" w:themeColor="text1"/>
              <w:right w:val="single" w:sz="4" w:space="0" w:color="000000" w:themeColor="text1"/>
            </w:tcBorders>
            <w:shd w:val="clear" w:color="auto" w:fill="auto"/>
            <w:vAlign w:val="center"/>
          </w:tcPr>
          <w:p w14:paraId="18D531DB"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Winter</w:t>
            </w:r>
          </w:p>
        </w:tc>
        <w:tc>
          <w:tcPr>
            <w:tcW w:w="888" w:type="dxa"/>
            <w:tcBorders>
              <w:top w:val="single" w:sz="4" w:space="0" w:color="000000" w:themeColor="text1"/>
              <w:left w:val="single" w:sz="4" w:space="0" w:color="000000" w:themeColor="text1"/>
            </w:tcBorders>
            <w:shd w:val="clear" w:color="auto" w:fill="auto"/>
            <w:vAlign w:val="center"/>
          </w:tcPr>
          <w:p w14:paraId="45E650D6"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right="-94"/>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NS</w:t>
            </w:r>
          </w:p>
        </w:tc>
        <w:tc>
          <w:tcPr>
            <w:tcW w:w="888" w:type="dxa"/>
            <w:tcBorders>
              <w:top w:val="single" w:sz="4" w:space="0" w:color="000000" w:themeColor="text1"/>
            </w:tcBorders>
            <w:shd w:val="clear" w:color="auto" w:fill="auto"/>
            <w:vAlign w:val="center"/>
          </w:tcPr>
          <w:p w14:paraId="2FB7F703"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NS</w:t>
            </w:r>
          </w:p>
        </w:tc>
        <w:tc>
          <w:tcPr>
            <w:tcW w:w="646" w:type="dxa"/>
            <w:tcBorders>
              <w:top w:val="single" w:sz="4" w:space="0" w:color="000000" w:themeColor="text1"/>
            </w:tcBorders>
            <w:shd w:val="clear" w:color="auto" w:fill="auto"/>
            <w:vAlign w:val="center"/>
          </w:tcPr>
          <w:p w14:paraId="3F8BFCB1"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p>
        </w:tc>
        <w:tc>
          <w:tcPr>
            <w:tcW w:w="888" w:type="dxa"/>
            <w:tcBorders>
              <w:top w:val="single" w:sz="4" w:space="0" w:color="000000" w:themeColor="text1"/>
            </w:tcBorders>
            <w:shd w:val="clear" w:color="auto" w:fill="auto"/>
            <w:vAlign w:val="center"/>
          </w:tcPr>
          <w:p w14:paraId="7869DA87"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NS</w:t>
            </w:r>
          </w:p>
        </w:tc>
        <w:tc>
          <w:tcPr>
            <w:tcW w:w="888" w:type="dxa"/>
            <w:tcBorders>
              <w:top w:val="single" w:sz="4" w:space="0" w:color="000000" w:themeColor="text1"/>
            </w:tcBorders>
            <w:shd w:val="clear" w:color="auto" w:fill="auto"/>
            <w:vAlign w:val="center"/>
          </w:tcPr>
          <w:p w14:paraId="0FF17125"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0.21*</w:t>
            </w:r>
          </w:p>
        </w:tc>
        <w:tc>
          <w:tcPr>
            <w:tcW w:w="888" w:type="dxa"/>
            <w:tcBorders>
              <w:top w:val="single" w:sz="4" w:space="0" w:color="000000" w:themeColor="text1"/>
            </w:tcBorders>
            <w:vAlign w:val="center"/>
          </w:tcPr>
          <w:p w14:paraId="3C8E54E9"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NS</w:t>
            </w:r>
          </w:p>
        </w:tc>
        <w:tc>
          <w:tcPr>
            <w:tcW w:w="888" w:type="dxa"/>
            <w:tcBorders>
              <w:top w:val="single" w:sz="4" w:space="0" w:color="000000" w:themeColor="text1"/>
            </w:tcBorders>
            <w:shd w:val="clear" w:color="auto" w:fill="auto"/>
            <w:vAlign w:val="center"/>
          </w:tcPr>
          <w:p w14:paraId="3B5C3886"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NS</w:t>
            </w:r>
          </w:p>
        </w:tc>
        <w:tc>
          <w:tcPr>
            <w:tcW w:w="888" w:type="dxa"/>
            <w:tcBorders>
              <w:top w:val="single" w:sz="4" w:space="0" w:color="000000" w:themeColor="text1"/>
              <w:right w:val="single" w:sz="4" w:space="0" w:color="auto"/>
            </w:tcBorders>
            <w:shd w:val="clear" w:color="auto" w:fill="auto"/>
            <w:vAlign w:val="center"/>
          </w:tcPr>
          <w:p w14:paraId="5BF14A44"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p>
        </w:tc>
        <w:tc>
          <w:tcPr>
            <w:tcW w:w="799" w:type="dxa"/>
            <w:tcBorders>
              <w:top w:val="single" w:sz="4" w:space="0" w:color="000000" w:themeColor="text1"/>
              <w:left w:val="single" w:sz="4" w:space="0" w:color="auto"/>
            </w:tcBorders>
            <w:vAlign w:val="center"/>
          </w:tcPr>
          <w:p w14:paraId="52BAE785"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-0.18**</w:t>
            </w:r>
          </w:p>
        </w:tc>
        <w:tc>
          <w:tcPr>
            <w:tcW w:w="799" w:type="dxa"/>
            <w:tcBorders>
              <w:top w:val="single" w:sz="4" w:space="0" w:color="000000" w:themeColor="text1"/>
            </w:tcBorders>
            <w:vAlign w:val="center"/>
          </w:tcPr>
          <w:p w14:paraId="6750CAD5"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NS</w:t>
            </w:r>
          </w:p>
        </w:tc>
        <w:tc>
          <w:tcPr>
            <w:tcW w:w="799" w:type="dxa"/>
            <w:tcBorders>
              <w:top w:val="single" w:sz="4" w:space="0" w:color="000000" w:themeColor="text1"/>
            </w:tcBorders>
            <w:vAlign w:val="center"/>
          </w:tcPr>
          <w:p w14:paraId="21822E57"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NS</w:t>
            </w:r>
          </w:p>
        </w:tc>
        <w:tc>
          <w:tcPr>
            <w:tcW w:w="799" w:type="dxa"/>
            <w:tcBorders>
              <w:top w:val="single" w:sz="4" w:space="0" w:color="000000" w:themeColor="text1"/>
            </w:tcBorders>
            <w:vAlign w:val="center"/>
          </w:tcPr>
          <w:p w14:paraId="1A3874BB"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NS</w:t>
            </w:r>
          </w:p>
        </w:tc>
        <w:tc>
          <w:tcPr>
            <w:tcW w:w="799" w:type="dxa"/>
            <w:tcBorders>
              <w:top w:val="single" w:sz="4" w:space="0" w:color="000000" w:themeColor="text1"/>
            </w:tcBorders>
            <w:vAlign w:val="center"/>
          </w:tcPr>
          <w:p w14:paraId="02E2FB76"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p>
        </w:tc>
        <w:tc>
          <w:tcPr>
            <w:tcW w:w="799" w:type="dxa"/>
            <w:tcBorders>
              <w:top w:val="single" w:sz="4" w:space="0" w:color="000000" w:themeColor="text1"/>
            </w:tcBorders>
            <w:vAlign w:val="center"/>
          </w:tcPr>
          <w:p w14:paraId="58D582F5"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NS</w:t>
            </w:r>
          </w:p>
        </w:tc>
      </w:tr>
      <w:tr w:rsidR="00CB10DF" w:rsidRPr="00CB10DF" w14:paraId="3896FCAC" w14:textId="77777777" w:rsidTr="008B17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2"/>
        </w:trPr>
        <w:tc>
          <w:tcPr>
            <w:tcW w:w="451" w:type="dxa"/>
            <w:vMerge/>
            <w:tcBorders>
              <w:bottom w:val="single" w:sz="4" w:space="0" w:color="000000" w:themeColor="text1"/>
              <w:right w:val="single" w:sz="4" w:space="0" w:color="000000" w:themeColor="text1"/>
            </w:tcBorders>
            <w:shd w:val="clear" w:color="auto" w:fill="auto"/>
          </w:tcPr>
          <w:p w14:paraId="35AA4EF7"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p>
        </w:tc>
        <w:tc>
          <w:tcPr>
            <w:tcW w:w="853" w:type="dxa"/>
            <w:tcBorders>
              <w:left w:val="single" w:sz="4" w:space="0" w:color="000000" w:themeColor="text1"/>
              <w:bottom w:val="single" w:sz="4" w:space="0" w:color="000000" w:themeColor="text1"/>
              <w:right w:val="single" w:sz="4" w:space="0" w:color="000000" w:themeColor="text1"/>
            </w:tcBorders>
            <w:shd w:val="clear" w:color="auto" w:fill="auto"/>
            <w:vAlign w:val="center"/>
          </w:tcPr>
          <w:p w14:paraId="61A423AF"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Spring</w:t>
            </w:r>
          </w:p>
        </w:tc>
        <w:tc>
          <w:tcPr>
            <w:tcW w:w="888" w:type="dxa"/>
            <w:tcBorders>
              <w:left w:val="single" w:sz="4" w:space="0" w:color="000000" w:themeColor="text1"/>
              <w:bottom w:val="single" w:sz="4" w:space="0" w:color="000000" w:themeColor="text1"/>
            </w:tcBorders>
            <w:shd w:val="clear" w:color="auto" w:fill="auto"/>
            <w:vAlign w:val="center"/>
          </w:tcPr>
          <w:p w14:paraId="70F9D520"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right="-94"/>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NS</w:t>
            </w:r>
          </w:p>
        </w:tc>
        <w:tc>
          <w:tcPr>
            <w:tcW w:w="888" w:type="dxa"/>
            <w:tcBorders>
              <w:bottom w:val="single" w:sz="4" w:space="0" w:color="000000" w:themeColor="text1"/>
            </w:tcBorders>
            <w:shd w:val="clear" w:color="auto" w:fill="auto"/>
            <w:vAlign w:val="center"/>
          </w:tcPr>
          <w:p w14:paraId="3B7223B0"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NS</w:t>
            </w:r>
          </w:p>
        </w:tc>
        <w:tc>
          <w:tcPr>
            <w:tcW w:w="646" w:type="dxa"/>
            <w:tcBorders>
              <w:bottom w:val="single" w:sz="4" w:space="0" w:color="000000" w:themeColor="text1"/>
            </w:tcBorders>
            <w:shd w:val="clear" w:color="auto" w:fill="auto"/>
            <w:vAlign w:val="center"/>
          </w:tcPr>
          <w:p w14:paraId="24CFE28B"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NS</w:t>
            </w:r>
          </w:p>
        </w:tc>
        <w:tc>
          <w:tcPr>
            <w:tcW w:w="888" w:type="dxa"/>
            <w:tcBorders>
              <w:bottom w:val="single" w:sz="4" w:space="0" w:color="000000" w:themeColor="text1"/>
            </w:tcBorders>
            <w:shd w:val="clear" w:color="auto" w:fill="auto"/>
            <w:vAlign w:val="center"/>
          </w:tcPr>
          <w:p w14:paraId="5632AC89"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p>
        </w:tc>
        <w:tc>
          <w:tcPr>
            <w:tcW w:w="888" w:type="dxa"/>
            <w:tcBorders>
              <w:bottom w:val="single" w:sz="4" w:space="0" w:color="000000" w:themeColor="text1"/>
            </w:tcBorders>
            <w:shd w:val="clear" w:color="auto" w:fill="auto"/>
            <w:vAlign w:val="center"/>
          </w:tcPr>
          <w:p w14:paraId="7111ECE4"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p>
        </w:tc>
        <w:tc>
          <w:tcPr>
            <w:tcW w:w="888" w:type="dxa"/>
            <w:tcBorders>
              <w:bottom w:val="single" w:sz="4" w:space="0" w:color="000000" w:themeColor="text1"/>
            </w:tcBorders>
            <w:vAlign w:val="center"/>
          </w:tcPr>
          <w:p w14:paraId="57B9E0F6"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right="-113"/>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p>
        </w:tc>
        <w:tc>
          <w:tcPr>
            <w:tcW w:w="888" w:type="dxa"/>
            <w:tcBorders>
              <w:bottom w:val="single" w:sz="4" w:space="0" w:color="000000" w:themeColor="text1"/>
            </w:tcBorders>
            <w:shd w:val="clear" w:color="auto" w:fill="auto"/>
            <w:vAlign w:val="center"/>
          </w:tcPr>
          <w:p w14:paraId="10F81A35"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right="-113"/>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NS</w:t>
            </w:r>
          </w:p>
        </w:tc>
        <w:tc>
          <w:tcPr>
            <w:tcW w:w="888" w:type="dxa"/>
            <w:tcBorders>
              <w:bottom w:val="single" w:sz="4" w:space="0" w:color="000000" w:themeColor="text1"/>
              <w:right w:val="single" w:sz="4" w:space="0" w:color="auto"/>
            </w:tcBorders>
            <w:shd w:val="clear" w:color="auto" w:fill="auto"/>
            <w:vAlign w:val="center"/>
          </w:tcPr>
          <w:p w14:paraId="191218C1"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NS</w:t>
            </w:r>
          </w:p>
        </w:tc>
        <w:tc>
          <w:tcPr>
            <w:tcW w:w="799" w:type="dxa"/>
            <w:tcBorders>
              <w:left w:val="single" w:sz="4" w:space="0" w:color="auto"/>
              <w:bottom w:val="single" w:sz="4" w:space="0" w:color="000000" w:themeColor="text1"/>
            </w:tcBorders>
            <w:vAlign w:val="center"/>
          </w:tcPr>
          <w:p w14:paraId="664C721D"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-0.68***</w:t>
            </w:r>
          </w:p>
        </w:tc>
        <w:tc>
          <w:tcPr>
            <w:tcW w:w="799" w:type="dxa"/>
            <w:tcBorders>
              <w:bottom w:val="single" w:sz="4" w:space="0" w:color="000000" w:themeColor="text1"/>
            </w:tcBorders>
            <w:vAlign w:val="center"/>
          </w:tcPr>
          <w:p w14:paraId="1DC29FC0"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-0.17**</w:t>
            </w:r>
          </w:p>
        </w:tc>
        <w:tc>
          <w:tcPr>
            <w:tcW w:w="799" w:type="dxa"/>
            <w:tcBorders>
              <w:bottom w:val="single" w:sz="4" w:space="0" w:color="000000" w:themeColor="text1"/>
            </w:tcBorders>
            <w:vAlign w:val="center"/>
          </w:tcPr>
          <w:p w14:paraId="4E773ABA"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-0.29***</w:t>
            </w:r>
          </w:p>
        </w:tc>
        <w:tc>
          <w:tcPr>
            <w:tcW w:w="799" w:type="dxa"/>
            <w:tcBorders>
              <w:bottom w:val="single" w:sz="4" w:space="0" w:color="000000" w:themeColor="text1"/>
            </w:tcBorders>
            <w:vAlign w:val="center"/>
          </w:tcPr>
          <w:p w14:paraId="4F14D154"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NS</w:t>
            </w:r>
          </w:p>
        </w:tc>
        <w:tc>
          <w:tcPr>
            <w:tcW w:w="799" w:type="dxa"/>
            <w:tcBorders>
              <w:bottom w:val="single" w:sz="4" w:space="0" w:color="000000" w:themeColor="text1"/>
            </w:tcBorders>
            <w:vAlign w:val="center"/>
          </w:tcPr>
          <w:p w14:paraId="6CAF6299"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-0.29***</w:t>
            </w:r>
          </w:p>
        </w:tc>
        <w:tc>
          <w:tcPr>
            <w:tcW w:w="799" w:type="dxa"/>
            <w:tcBorders>
              <w:bottom w:val="single" w:sz="4" w:space="0" w:color="000000" w:themeColor="text1"/>
            </w:tcBorders>
            <w:vAlign w:val="center"/>
          </w:tcPr>
          <w:p w14:paraId="1F6674AE"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p>
        </w:tc>
      </w:tr>
      <w:tr w:rsidR="00CB10DF" w:rsidRPr="00CB10DF" w14:paraId="3643FC18" w14:textId="77777777" w:rsidTr="008B17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2"/>
        </w:trPr>
        <w:tc>
          <w:tcPr>
            <w:tcW w:w="451" w:type="dxa"/>
            <w:tcBorders>
              <w:top w:val="single" w:sz="4" w:space="0" w:color="000000" w:themeColor="text1"/>
              <w:bottom w:val="single" w:sz="4" w:space="0" w:color="000000" w:themeColor="text1"/>
              <w:right w:val="single" w:sz="4" w:space="0" w:color="000000" w:themeColor="text1"/>
            </w:tcBorders>
            <w:shd w:val="clear" w:color="auto" w:fill="auto"/>
          </w:tcPr>
          <w:p w14:paraId="13681493"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AEA06D3"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Sex</w:t>
            </w:r>
          </w:p>
        </w:tc>
        <w:tc>
          <w:tcPr>
            <w:tcW w:w="88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F1481B4"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NS</w:t>
            </w:r>
          </w:p>
        </w:tc>
        <w:tc>
          <w:tcPr>
            <w:tcW w:w="888" w:type="dxa"/>
            <w:tcBorders>
              <w:top w:val="single" w:sz="4" w:space="0" w:color="000000" w:themeColor="text1"/>
              <w:bottom w:val="single" w:sz="4" w:space="0" w:color="000000" w:themeColor="text1"/>
            </w:tcBorders>
            <w:shd w:val="clear" w:color="auto" w:fill="auto"/>
            <w:vAlign w:val="center"/>
          </w:tcPr>
          <w:p w14:paraId="70C0A0F1"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-1.14*</w:t>
            </w:r>
          </w:p>
        </w:tc>
        <w:tc>
          <w:tcPr>
            <w:tcW w:w="646" w:type="dxa"/>
            <w:tcBorders>
              <w:top w:val="single" w:sz="4" w:space="0" w:color="000000" w:themeColor="text1"/>
              <w:bottom w:val="single" w:sz="4" w:space="0" w:color="000000" w:themeColor="text1"/>
            </w:tcBorders>
            <w:vAlign w:val="center"/>
          </w:tcPr>
          <w:p w14:paraId="28EB337D"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NS</w:t>
            </w:r>
          </w:p>
        </w:tc>
        <w:tc>
          <w:tcPr>
            <w:tcW w:w="888" w:type="dxa"/>
            <w:tcBorders>
              <w:top w:val="single" w:sz="4" w:space="0" w:color="000000" w:themeColor="text1"/>
              <w:bottom w:val="single" w:sz="4" w:space="0" w:color="000000" w:themeColor="text1"/>
            </w:tcBorders>
            <w:shd w:val="clear" w:color="auto" w:fill="auto"/>
            <w:vAlign w:val="center"/>
          </w:tcPr>
          <w:p w14:paraId="622318A7"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1.44*</w:t>
            </w:r>
          </w:p>
        </w:tc>
        <w:tc>
          <w:tcPr>
            <w:tcW w:w="888" w:type="dxa"/>
            <w:tcBorders>
              <w:top w:val="single" w:sz="4" w:space="0" w:color="000000" w:themeColor="text1"/>
              <w:bottom w:val="single" w:sz="4" w:space="0" w:color="000000" w:themeColor="text1"/>
            </w:tcBorders>
            <w:shd w:val="clear" w:color="auto" w:fill="auto"/>
            <w:vAlign w:val="center"/>
          </w:tcPr>
          <w:p w14:paraId="77759B20"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-0.69**</w:t>
            </w:r>
          </w:p>
        </w:tc>
        <w:tc>
          <w:tcPr>
            <w:tcW w:w="888" w:type="dxa"/>
            <w:tcBorders>
              <w:top w:val="single" w:sz="4" w:space="0" w:color="000000" w:themeColor="text1"/>
              <w:bottom w:val="single" w:sz="4" w:space="0" w:color="000000" w:themeColor="text1"/>
            </w:tcBorders>
            <w:vAlign w:val="center"/>
          </w:tcPr>
          <w:p w14:paraId="75CD205E"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right="-203"/>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NS</w:t>
            </w:r>
          </w:p>
        </w:tc>
        <w:tc>
          <w:tcPr>
            <w:tcW w:w="888" w:type="dxa"/>
            <w:tcBorders>
              <w:top w:val="single" w:sz="4" w:space="0" w:color="000000" w:themeColor="text1"/>
              <w:bottom w:val="single" w:sz="4" w:space="0" w:color="000000" w:themeColor="text1"/>
            </w:tcBorders>
            <w:shd w:val="clear" w:color="auto" w:fill="auto"/>
            <w:vAlign w:val="center"/>
          </w:tcPr>
          <w:p w14:paraId="595FBF31"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right="-203"/>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NS</w:t>
            </w:r>
          </w:p>
        </w:tc>
        <w:tc>
          <w:tcPr>
            <w:tcW w:w="888" w:type="dxa"/>
            <w:tcBorders>
              <w:top w:val="single" w:sz="4" w:space="0" w:color="000000" w:themeColor="text1"/>
              <w:bottom w:val="single" w:sz="4" w:space="0" w:color="000000" w:themeColor="text1"/>
              <w:right w:val="single" w:sz="4" w:space="0" w:color="auto"/>
            </w:tcBorders>
            <w:shd w:val="clear" w:color="auto" w:fill="auto"/>
            <w:vAlign w:val="center"/>
          </w:tcPr>
          <w:p w14:paraId="49369D2E"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NS</w:t>
            </w:r>
          </w:p>
        </w:tc>
        <w:tc>
          <w:tcPr>
            <w:tcW w:w="799" w:type="dxa"/>
            <w:tcBorders>
              <w:top w:val="single" w:sz="4" w:space="0" w:color="000000" w:themeColor="text1"/>
              <w:left w:val="single" w:sz="4" w:space="0" w:color="auto"/>
              <w:bottom w:val="single" w:sz="4" w:space="0" w:color="000000" w:themeColor="text1"/>
            </w:tcBorders>
            <w:vAlign w:val="center"/>
          </w:tcPr>
          <w:p w14:paraId="4F38DA82"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-2.96***</w:t>
            </w:r>
          </w:p>
        </w:tc>
        <w:tc>
          <w:tcPr>
            <w:tcW w:w="799" w:type="dxa"/>
            <w:tcBorders>
              <w:top w:val="single" w:sz="4" w:space="0" w:color="000000" w:themeColor="text1"/>
              <w:bottom w:val="single" w:sz="4" w:space="0" w:color="000000" w:themeColor="text1"/>
            </w:tcBorders>
            <w:vAlign w:val="center"/>
          </w:tcPr>
          <w:p w14:paraId="53237D2D"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-3.11***</w:t>
            </w:r>
          </w:p>
        </w:tc>
        <w:tc>
          <w:tcPr>
            <w:tcW w:w="799" w:type="dxa"/>
            <w:tcBorders>
              <w:top w:val="single" w:sz="4" w:space="0" w:color="000000" w:themeColor="text1"/>
              <w:bottom w:val="single" w:sz="4" w:space="0" w:color="000000" w:themeColor="text1"/>
            </w:tcBorders>
            <w:vAlign w:val="center"/>
          </w:tcPr>
          <w:p w14:paraId="1385F9EC"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-1.51***</w:t>
            </w:r>
          </w:p>
        </w:tc>
        <w:tc>
          <w:tcPr>
            <w:tcW w:w="799" w:type="dxa"/>
            <w:tcBorders>
              <w:top w:val="single" w:sz="4" w:space="0" w:color="000000" w:themeColor="text1"/>
              <w:bottom w:val="single" w:sz="4" w:space="0" w:color="000000" w:themeColor="text1"/>
            </w:tcBorders>
            <w:vAlign w:val="center"/>
          </w:tcPr>
          <w:p w14:paraId="15D18CA8"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-1.63***</w:t>
            </w:r>
          </w:p>
        </w:tc>
        <w:tc>
          <w:tcPr>
            <w:tcW w:w="799" w:type="dxa"/>
            <w:tcBorders>
              <w:top w:val="single" w:sz="4" w:space="0" w:color="000000" w:themeColor="text1"/>
              <w:bottom w:val="single" w:sz="4" w:space="0" w:color="000000" w:themeColor="text1"/>
            </w:tcBorders>
            <w:vAlign w:val="center"/>
          </w:tcPr>
          <w:p w14:paraId="230DCC2B"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-1.30***</w:t>
            </w:r>
          </w:p>
        </w:tc>
        <w:tc>
          <w:tcPr>
            <w:tcW w:w="799" w:type="dxa"/>
            <w:tcBorders>
              <w:top w:val="single" w:sz="4" w:space="0" w:color="000000" w:themeColor="text1"/>
              <w:bottom w:val="single" w:sz="4" w:space="0" w:color="000000" w:themeColor="text1"/>
            </w:tcBorders>
            <w:vAlign w:val="center"/>
          </w:tcPr>
          <w:p w14:paraId="635E5DDE"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ight="-300"/>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-1.30***</w:t>
            </w:r>
          </w:p>
        </w:tc>
      </w:tr>
      <w:tr w:rsidR="00CB10DF" w:rsidRPr="00CB10DF" w14:paraId="63BBA031" w14:textId="77777777" w:rsidTr="008B17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2"/>
        </w:trPr>
        <w:tc>
          <w:tcPr>
            <w:tcW w:w="451" w:type="dxa"/>
            <w:tcBorders>
              <w:top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692AF484"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vAlign w:val="center"/>
            <w:hideMark/>
          </w:tcPr>
          <w:p w14:paraId="2FF356F4" w14:textId="77777777" w:rsidR="008B17C2" w:rsidRPr="00CB10DF" w:rsidRDefault="008B17C2" w:rsidP="008B17C2">
            <w:pPr>
              <w:tabs>
                <w:tab w:val="left" w:pos="34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15" w:right="-110"/>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Adjusted R</w:t>
            </w:r>
            <w:r w:rsidRPr="00CB10DF">
              <w:rPr>
                <w:rFonts w:ascii="Times New Roman" w:eastAsia="Times New Roman" w:hAnsi="Times New Roman" w:cs="Times New Roman"/>
                <w:color w:val="000000" w:themeColor="text1"/>
                <w:sz w:val="18"/>
                <w:szCs w:val="18"/>
                <w:bdr w:val="none" w:sz="0" w:space="0" w:color="auto" w:frame="1"/>
                <w:vertAlign w:val="superscript"/>
                <w14:textOutline w14:w="9525" w14:cap="rnd" w14:cmpd="sng" w14:algn="ctr">
                  <w14:noFill/>
                  <w14:prstDash w14:val="solid"/>
                  <w14:bevel/>
                </w14:textOutline>
              </w:rPr>
              <w:t>2</w:t>
            </w:r>
          </w:p>
        </w:tc>
        <w:tc>
          <w:tcPr>
            <w:tcW w:w="888" w:type="dxa"/>
            <w:tcBorders>
              <w:top w:val="single" w:sz="4" w:space="0" w:color="000000" w:themeColor="text1"/>
              <w:left w:val="single" w:sz="4" w:space="0" w:color="000000" w:themeColor="text1"/>
              <w:bottom w:val="single" w:sz="4" w:space="0" w:color="000000" w:themeColor="text1"/>
            </w:tcBorders>
            <w:shd w:val="clear" w:color="auto" w:fill="D0CECE" w:themeFill="background2" w:themeFillShade="E6"/>
            <w:vAlign w:val="center"/>
          </w:tcPr>
          <w:p w14:paraId="255B90CE"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0.18***</w:t>
            </w:r>
          </w:p>
        </w:tc>
        <w:tc>
          <w:tcPr>
            <w:tcW w:w="888" w:type="dxa"/>
            <w:tcBorders>
              <w:top w:val="single" w:sz="4" w:space="0" w:color="000000" w:themeColor="text1"/>
              <w:bottom w:val="single" w:sz="4" w:space="0" w:color="000000" w:themeColor="text1"/>
            </w:tcBorders>
            <w:shd w:val="clear" w:color="auto" w:fill="D0CECE" w:themeFill="background2" w:themeFillShade="E6"/>
            <w:vAlign w:val="center"/>
          </w:tcPr>
          <w:p w14:paraId="44CEF139"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NS</w:t>
            </w:r>
          </w:p>
        </w:tc>
        <w:tc>
          <w:tcPr>
            <w:tcW w:w="646" w:type="dxa"/>
            <w:tcBorders>
              <w:top w:val="single" w:sz="4" w:space="0" w:color="000000" w:themeColor="text1"/>
              <w:bottom w:val="single" w:sz="4" w:space="0" w:color="000000" w:themeColor="text1"/>
            </w:tcBorders>
            <w:shd w:val="clear" w:color="auto" w:fill="D0CECE" w:themeFill="background2" w:themeFillShade="E6"/>
            <w:vAlign w:val="center"/>
          </w:tcPr>
          <w:p w14:paraId="5208EEFF"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NS</w:t>
            </w:r>
          </w:p>
        </w:tc>
        <w:tc>
          <w:tcPr>
            <w:tcW w:w="888" w:type="dxa"/>
            <w:tcBorders>
              <w:top w:val="single" w:sz="4" w:space="0" w:color="000000" w:themeColor="text1"/>
              <w:bottom w:val="single" w:sz="4" w:space="0" w:color="000000" w:themeColor="text1"/>
            </w:tcBorders>
            <w:shd w:val="clear" w:color="auto" w:fill="D0CECE" w:themeFill="background2" w:themeFillShade="E6"/>
            <w:vAlign w:val="center"/>
          </w:tcPr>
          <w:p w14:paraId="3BC59DEE" w14:textId="5F6F48B8" w:rsidR="008B17C2" w:rsidRPr="00CB10DF" w:rsidRDefault="006053E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NS</w:t>
            </w:r>
          </w:p>
        </w:tc>
        <w:tc>
          <w:tcPr>
            <w:tcW w:w="888" w:type="dxa"/>
            <w:tcBorders>
              <w:top w:val="single" w:sz="4" w:space="0" w:color="000000" w:themeColor="text1"/>
              <w:bottom w:val="single" w:sz="4" w:space="0" w:color="000000" w:themeColor="text1"/>
            </w:tcBorders>
            <w:shd w:val="clear" w:color="auto" w:fill="D0CECE" w:themeFill="background2" w:themeFillShade="E6"/>
            <w:vAlign w:val="center"/>
          </w:tcPr>
          <w:p w14:paraId="27487F84" w14:textId="4B45AB3C"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0.08*</w:t>
            </w:r>
          </w:p>
        </w:tc>
        <w:tc>
          <w:tcPr>
            <w:tcW w:w="888" w:type="dxa"/>
            <w:tcBorders>
              <w:top w:val="single" w:sz="4" w:space="0" w:color="000000" w:themeColor="text1"/>
              <w:bottom w:val="single" w:sz="4" w:space="0" w:color="000000" w:themeColor="text1"/>
            </w:tcBorders>
            <w:shd w:val="clear" w:color="auto" w:fill="D0CECE" w:themeFill="background2" w:themeFillShade="E6"/>
            <w:vAlign w:val="center"/>
          </w:tcPr>
          <w:p w14:paraId="2350AC71"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NS</w:t>
            </w:r>
          </w:p>
        </w:tc>
        <w:tc>
          <w:tcPr>
            <w:tcW w:w="888" w:type="dxa"/>
            <w:tcBorders>
              <w:top w:val="single" w:sz="4" w:space="0" w:color="000000" w:themeColor="text1"/>
              <w:bottom w:val="single" w:sz="4" w:space="0" w:color="000000" w:themeColor="text1"/>
            </w:tcBorders>
            <w:shd w:val="clear" w:color="auto" w:fill="D0CECE" w:themeFill="background2" w:themeFillShade="E6"/>
            <w:vAlign w:val="center"/>
          </w:tcPr>
          <w:p w14:paraId="68F43B72"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NS</w:t>
            </w:r>
          </w:p>
        </w:tc>
        <w:tc>
          <w:tcPr>
            <w:tcW w:w="888" w:type="dxa"/>
            <w:tcBorders>
              <w:top w:val="single" w:sz="4" w:space="0" w:color="000000" w:themeColor="text1"/>
              <w:bottom w:val="single" w:sz="4" w:space="0" w:color="000000" w:themeColor="text1"/>
              <w:right w:val="single" w:sz="4" w:space="0" w:color="auto"/>
            </w:tcBorders>
            <w:shd w:val="clear" w:color="auto" w:fill="D0CECE" w:themeFill="background2" w:themeFillShade="E6"/>
            <w:vAlign w:val="center"/>
          </w:tcPr>
          <w:p w14:paraId="7C9980CB"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NS</w:t>
            </w:r>
          </w:p>
        </w:tc>
        <w:tc>
          <w:tcPr>
            <w:tcW w:w="799" w:type="dxa"/>
            <w:tcBorders>
              <w:top w:val="single" w:sz="4" w:space="0" w:color="000000" w:themeColor="text1"/>
              <w:left w:val="single" w:sz="4" w:space="0" w:color="auto"/>
              <w:bottom w:val="single" w:sz="4" w:space="0" w:color="000000" w:themeColor="text1"/>
            </w:tcBorders>
            <w:shd w:val="clear" w:color="auto" w:fill="D0CECE" w:themeFill="background2" w:themeFillShade="E6"/>
            <w:vAlign w:val="center"/>
          </w:tcPr>
          <w:p w14:paraId="27EED9AB"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0.47***</w:t>
            </w:r>
          </w:p>
        </w:tc>
        <w:tc>
          <w:tcPr>
            <w:tcW w:w="799" w:type="dxa"/>
            <w:tcBorders>
              <w:top w:val="single" w:sz="4" w:space="0" w:color="000000" w:themeColor="text1"/>
              <w:bottom w:val="single" w:sz="4" w:space="0" w:color="000000" w:themeColor="text1"/>
            </w:tcBorders>
            <w:shd w:val="clear" w:color="auto" w:fill="D0CECE" w:themeFill="background2" w:themeFillShade="E6"/>
            <w:vAlign w:val="center"/>
          </w:tcPr>
          <w:p w14:paraId="11213A95"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0.60***</w:t>
            </w:r>
          </w:p>
        </w:tc>
        <w:tc>
          <w:tcPr>
            <w:tcW w:w="799" w:type="dxa"/>
            <w:tcBorders>
              <w:top w:val="single" w:sz="4" w:space="0" w:color="000000" w:themeColor="text1"/>
              <w:bottom w:val="single" w:sz="4" w:space="0" w:color="000000" w:themeColor="text1"/>
            </w:tcBorders>
            <w:shd w:val="clear" w:color="auto" w:fill="D0CECE" w:themeFill="background2" w:themeFillShade="E6"/>
            <w:vAlign w:val="center"/>
          </w:tcPr>
          <w:p w14:paraId="42D12837"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0.45***</w:t>
            </w:r>
          </w:p>
        </w:tc>
        <w:tc>
          <w:tcPr>
            <w:tcW w:w="799" w:type="dxa"/>
            <w:tcBorders>
              <w:top w:val="single" w:sz="4" w:space="0" w:color="000000" w:themeColor="text1"/>
              <w:bottom w:val="single" w:sz="4" w:space="0" w:color="000000" w:themeColor="text1"/>
            </w:tcBorders>
            <w:shd w:val="clear" w:color="auto" w:fill="D0CECE" w:themeFill="background2" w:themeFillShade="E6"/>
            <w:vAlign w:val="center"/>
          </w:tcPr>
          <w:p w14:paraId="6D00A7C2"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0.53***</w:t>
            </w:r>
          </w:p>
        </w:tc>
        <w:tc>
          <w:tcPr>
            <w:tcW w:w="799" w:type="dxa"/>
            <w:tcBorders>
              <w:top w:val="single" w:sz="4" w:space="0" w:color="000000" w:themeColor="text1"/>
              <w:bottom w:val="single" w:sz="4" w:space="0" w:color="000000" w:themeColor="text1"/>
            </w:tcBorders>
            <w:shd w:val="clear" w:color="auto" w:fill="D0CECE" w:themeFill="background2" w:themeFillShade="E6"/>
            <w:vAlign w:val="center"/>
          </w:tcPr>
          <w:p w14:paraId="4D30BF40"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0.30***</w:t>
            </w:r>
          </w:p>
        </w:tc>
        <w:tc>
          <w:tcPr>
            <w:tcW w:w="799" w:type="dxa"/>
            <w:tcBorders>
              <w:top w:val="single" w:sz="4" w:space="0" w:color="000000" w:themeColor="text1"/>
              <w:bottom w:val="single" w:sz="4" w:space="0" w:color="000000" w:themeColor="text1"/>
            </w:tcBorders>
            <w:shd w:val="clear" w:color="auto" w:fill="D0CECE" w:themeFill="background2" w:themeFillShade="E6"/>
            <w:vAlign w:val="center"/>
          </w:tcPr>
          <w:p w14:paraId="6225EB2A" w14:textId="77777777" w:rsidR="008B17C2" w:rsidRPr="00CB10DF" w:rsidRDefault="008B17C2" w:rsidP="008B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ind w:left="-90"/>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 w:val="18"/>
                <w:szCs w:val="18"/>
                <w:bdr w:val="none" w:sz="0" w:space="0" w:color="auto" w:frame="1"/>
                <w14:textOutline w14:w="9525" w14:cap="rnd" w14:cmpd="sng" w14:algn="ctr">
                  <w14:noFill/>
                  <w14:prstDash w14:val="solid"/>
                  <w14:bevel/>
                </w14:textOutline>
              </w:rPr>
              <w:t>0.33***</w:t>
            </w:r>
          </w:p>
        </w:tc>
      </w:tr>
    </w:tbl>
    <w:p w14:paraId="665ECD7E" w14:textId="77777777" w:rsidR="00D80049" w:rsidRPr="00CB10DF" w:rsidRDefault="00CA482A" w:rsidP="00231F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thaiDistribute"/>
        <w:rPr>
          <w:rFonts w:ascii="Times New Roman" w:hAnsi="Times New Roman" w:cs="Times New Roman"/>
          <w:color w:val="000000" w:themeColor="text1"/>
          <w:sz w:val="24"/>
          <w:szCs w:val="24"/>
        </w:rPr>
        <w:sectPr w:rsidR="00D80049" w:rsidRPr="00CB10DF">
          <w:pgSz w:w="15840" w:h="12240" w:orient="landscape"/>
          <w:pgMar w:top="1440" w:right="1440" w:bottom="1440" w:left="1440" w:header="720" w:footer="720" w:gutter="0"/>
          <w:cols w:space="720"/>
        </w:sectPr>
      </w:pPr>
      <w:r w:rsidRPr="00CB10DF">
        <w:rPr>
          <w:rFonts w:ascii="Times New Roman" w:hAnsi="Times New Roman" w:cs="Times New Roman"/>
          <w:color w:val="000000" w:themeColor="text1"/>
          <w:sz w:val="18"/>
          <w:szCs w:val="18"/>
          <w14:textOutline w14:w="9525" w14:cap="rnd" w14:cmpd="sng" w14:algn="ctr">
            <w14:noFill/>
            <w14:prstDash w14:val="solid"/>
            <w14:bevel/>
          </w14:textOutline>
        </w:rPr>
        <w:t xml:space="preserve">A negative symbol shows a negative relationship between wing length and the variables. Significant levels are indicated as *, **, *** for </w:t>
      </w:r>
      <w:r w:rsidRPr="00CB10DF">
        <w:rPr>
          <w:rFonts w:ascii="Times New Roman" w:hAnsi="Times New Roman" w:cs="Times New Roman"/>
          <w:i/>
          <w:iCs/>
          <w:color w:val="000000" w:themeColor="text1"/>
          <w:sz w:val="18"/>
          <w:szCs w:val="18"/>
          <w14:textOutline w14:w="9525" w14:cap="rnd" w14:cmpd="sng" w14:algn="ctr">
            <w14:noFill/>
            <w14:prstDash w14:val="solid"/>
            <w14:bevel/>
          </w14:textOutline>
        </w:rPr>
        <w:t>p</w:t>
      </w:r>
      <w:r w:rsidRPr="00CB10DF">
        <w:rPr>
          <w:rFonts w:ascii="Times New Roman" w:hAnsi="Times New Roman" w:cs="Times New Roman"/>
          <w:color w:val="000000" w:themeColor="text1"/>
          <w:sz w:val="18"/>
          <w:szCs w:val="18"/>
          <w14:textOutline w14:w="9525" w14:cap="rnd" w14:cmpd="sng" w14:algn="ctr">
            <w14:noFill/>
            <w14:prstDash w14:val="solid"/>
            <w14:bevel/>
          </w14:textOutline>
        </w:rPr>
        <w:t>&lt;0.05, 0.01 and 0.001, respectively.</w:t>
      </w:r>
      <w:r w:rsidRPr="00CB10DF">
        <w:rPr>
          <w:rFonts w:ascii="Times New Roman" w:hAnsi="Times New Roman" w:cs="Times New Roman"/>
          <w:color w:val="000000" w:themeColor="text1"/>
          <w:sz w:val="18"/>
          <w:szCs w:val="18"/>
          <w14:textOutline w14:w="9525" w14:cap="rnd" w14:cmpd="sng" w14:algn="ctr">
            <w14:noFill/>
            <w14:prstDash w14:val="solid"/>
            <w14:bevel/>
          </w14:textOutline>
        </w:rPr>
        <w:br/>
        <w:t>Blank cells are variables that were not included in a species analysis. NS is non-significant variable.</w:t>
      </w:r>
      <w:r w:rsidRPr="00CB10DF">
        <w:rPr>
          <w:rFonts w:ascii="Times New Roman" w:hAnsi="Times New Roman" w:cs="Times New Roman"/>
          <w:color w:val="000000" w:themeColor="text1"/>
          <w:sz w:val="24"/>
          <w:szCs w:val="24"/>
        </w:rPr>
        <w:t xml:space="preserve"> </w:t>
      </w:r>
    </w:p>
    <w:p w14:paraId="777EA659" w14:textId="4D339705" w:rsidR="00D80049" w:rsidRPr="00CB10DF" w:rsidRDefault="00D80049" w:rsidP="00D80049">
      <w:pPr>
        <w:spacing w:line="360" w:lineRule="auto"/>
        <w:jc w:val="thaiDistribute"/>
        <w:rPr>
          <w:rFonts w:ascii="Times New Roman" w:eastAsia="Times New Roman" w:hAnsi="Times New Roman" w:cs="Times New Roman"/>
          <w:color w:val="000000" w:themeColor="text1"/>
          <w:szCs w:val="22"/>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b/>
          <w:bCs/>
          <w:color w:val="000000" w:themeColor="text1"/>
          <w:szCs w:val="22"/>
          <w:bdr w:val="none" w:sz="0" w:space="0" w:color="auto" w:frame="1"/>
          <w14:textOutline w14:w="9525" w14:cap="rnd" w14:cmpd="sng" w14:algn="ctr">
            <w14:noFill/>
            <w14:prstDash w14:val="solid"/>
            <w14:bevel/>
          </w14:textOutline>
        </w:rPr>
        <w:lastRenderedPageBreak/>
        <w:t xml:space="preserve">Table </w:t>
      </w:r>
      <w:r w:rsidR="00D62918" w:rsidRPr="00CB10DF">
        <w:rPr>
          <w:rFonts w:ascii="Times New Roman" w:eastAsia="Times New Roman" w:hAnsi="Times New Roman" w:cs="Times New Roman"/>
          <w:b/>
          <w:bCs/>
          <w:color w:val="000000" w:themeColor="text1"/>
          <w:szCs w:val="22"/>
          <w:bdr w:val="none" w:sz="0" w:space="0" w:color="auto" w:frame="1"/>
          <w14:textOutline w14:w="9525" w14:cap="rnd" w14:cmpd="sng" w14:algn="ctr">
            <w14:noFill/>
            <w14:prstDash w14:val="solid"/>
            <w14:bevel/>
          </w14:textOutline>
        </w:rPr>
        <w:t>3</w:t>
      </w:r>
      <w:r w:rsidRPr="00CB10DF">
        <w:rPr>
          <w:rFonts w:ascii="Times New Roman" w:eastAsia="Times New Roman" w:hAnsi="Times New Roman" w:cs="Times New Roman"/>
          <w:b/>
          <w:bCs/>
          <w:color w:val="000000" w:themeColor="text1"/>
          <w:szCs w:val="22"/>
          <w:bdr w:val="none" w:sz="0" w:space="0" w:color="auto" w:frame="1"/>
          <w14:textOutline w14:w="9525" w14:cap="rnd" w14:cmpd="sng" w14:algn="ctr">
            <w14:noFill/>
            <w14:prstDash w14:val="solid"/>
            <w14:bevel/>
          </w14:textOutline>
        </w:rPr>
        <w:t>:</w:t>
      </w:r>
      <w:r w:rsidRPr="00CB10DF">
        <w:rPr>
          <w:rFonts w:ascii="Times New Roman" w:eastAsia="Times New Roman" w:hAnsi="Times New Roman" w:cs="Times New Roman"/>
          <w:color w:val="000000" w:themeColor="text1"/>
          <w:szCs w:val="22"/>
          <w:bdr w:val="none" w:sz="0" w:space="0" w:color="auto" w:frame="1"/>
          <w14:textOutline w14:w="9525" w14:cap="rnd" w14:cmpd="sng" w14:algn="ctr">
            <w14:noFill/>
            <w14:prstDash w14:val="solid"/>
            <w14:bevel/>
          </w14:textOutline>
        </w:rPr>
        <w:t xml:space="preserve"> Coefficients of the linear mixed effects model for examining the significant effects of mean seasonal temperature on dragonfly wing length across studied species. </w:t>
      </w:r>
      <w:r w:rsidRPr="00CB10DF">
        <w:rPr>
          <w:rFonts w:ascii="Times New Roman" w:hAnsi="Times New Roman" w:cs="Times New Roman"/>
          <w:color w:val="000000" w:themeColor="text1"/>
          <w:szCs w:val="22"/>
          <w14:textOutline w14:w="9525" w14:cap="rnd" w14:cmpd="sng" w14:algn="ctr">
            <w14:noFill/>
            <w14:prstDash w14:val="solid"/>
            <w14:bevel/>
          </w14:textOutline>
        </w:rPr>
        <w:t xml:space="preserve">A negative symbol shows a negative relationship between wing length and the variables. Significant levels are indicated as *, **, *** for </w:t>
      </w:r>
      <w:r w:rsidRPr="00CB10DF">
        <w:rPr>
          <w:rFonts w:ascii="Times New Roman" w:hAnsi="Times New Roman" w:cs="Times New Roman"/>
          <w:i/>
          <w:iCs/>
          <w:color w:val="000000" w:themeColor="text1"/>
          <w:szCs w:val="22"/>
          <w14:textOutline w14:w="9525" w14:cap="rnd" w14:cmpd="sng" w14:algn="ctr">
            <w14:noFill/>
            <w14:prstDash w14:val="solid"/>
            <w14:bevel/>
          </w14:textOutline>
        </w:rPr>
        <w:t>p</w:t>
      </w:r>
      <w:r w:rsidRPr="00CB10DF">
        <w:rPr>
          <w:rFonts w:ascii="Times New Roman" w:hAnsi="Times New Roman" w:cs="Times New Roman"/>
          <w:color w:val="000000" w:themeColor="text1"/>
          <w:szCs w:val="22"/>
          <w14:textOutline w14:w="9525" w14:cap="rnd" w14:cmpd="sng" w14:algn="ctr">
            <w14:noFill/>
            <w14:prstDash w14:val="solid"/>
            <w14:bevel/>
          </w14:textOutline>
        </w:rPr>
        <w:t xml:space="preserve">&lt;0.05, 0.01 and 0.001, respectively. </w:t>
      </w:r>
      <w:r w:rsidRPr="00CB10DF">
        <w:rPr>
          <w:rFonts w:ascii="Times New Roman" w:eastAsia="Times New Roman" w:hAnsi="Times New Roman" w:cs="Times New Roman"/>
          <w:color w:val="000000" w:themeColor="text1"/>
          <w:szCs w:val="22"/>
          <w:bdr w:val="none" w:sz="0" w:space="0" w:color="auto" w:frame="1"/>
          <w:vertAlign w:val="superscript"/>
          <w14:textOutline w14:w="9525" w14:cap="rnd" w14:cmpd="sng" w14:algn="ctr">
            <w14:noFill/>
            <w14:prstDash w14:val="solid"/>
            <w14:bevel/>
          </w14:textOutline>
        </w:rPr>
        <w:t>Ɨ</w:t>
      </w:r>
      <w:r w:rsidRPr="00CB10DF">
        <w:rPr>
          <w:rFonts w:ascii="Times New Roman" w:eastAsia="Times New Roman" w:hAnsi="Times New Roman" w:cs="Times New Roman"/>
          <w:color w:val="000000" w:themeColor="text1"/>
          <w:szCs w:val="22"/>
          <w:bdr w:val="none" w:sz="0" w:space="0" w:color="auto" w:frame="1"/>
          <w14:textOutline w14:w="9525" w14:cap="rnd" w14:cmpd="sng" w14:algn="ctr">
            <w14:noFill/>
            <w14:prstDash w14:val="solid"/>
            <w14:bevel/>
          </w14:textOutline>
        </w:rPr>
        <w:t xml:space="preserve"> is variance </w:t>
      </w:r>
      <m:oMath>
        <m:r>
          <w:rPr>
            <w:rFonts w:ascii="Cambria Math" w:eastAsia="Times New Roman" w:hAnsi="Cambria Math" w:cs="Times New Roman"/>
            <w:color w:val="000000" w:themeColor="text1"/>
            <w:szCs w:val="22"/>
            <w:bdr w:val="none" w:sz="0" w:space="0" w:color="auto" w:frame="1"/>
            <w14:textOutline w14:w="9525" w14:cap="rnd" w14:cmpd="sng" w14:algn="ctr">
              <w14:noFill/>
              <w14:prstDash w14:val="solid"/>
              <w14:bevel/>
            </w14:textOutline>
          </w:rPr>
          <m:t>±</m:t>
        </m:r>
      </m:oMath>
      <w:r w:rsidRPr="00CB10DF">
        <w:rPr>
          <w:rFonts w:ascii="Times New Roman" w:eastAsia="Times New Roman" w:hAnsi="Times New Roman" w:cs="Times New Roman"/>
          <w:color w:val="000000" w:themeColor="text1"/>
          <w:szCs w:val="22"/>
          <w:bdr w:val="none" w:sz="0" w:space="0" w:color="auto" w:frame="1"/>
          <w14:textOutline w14:w="9525" w14:cap="rnd" w14:cmpd="sng" w14:algn="ctr">
            <w14:noFill/>
            <w14:prstDash w14:val="solid"/>
            <w14:bevel/>
          </w14:textOutline>
        </w:rPr>
        <w:t xml:space="preserve"> standard deviation of random variables.</w:t>
      </w:r>
    </w:p>
    <w:tbl>
      <w:tblPr>
        <w:tblStyle w:val="TableGrid"/>
        <w:tblpPr w:leftFromText="180" w:rightFromText="180" w:vertAnchor="page" w:horzAnchor="margin" w:tblpY="3140"/>
        <w:tblW w:w="1278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1498"/>
        <w:gridCol w:w="1530"/>
        <w:gridCol w:w="1652"/>
        <w:gridCol w:w="1350"/>
        <w:gridCol w:w="1260"/>
        <w:gridCol w:w="1260"/>
        <w:gridCol w:w="1350"/>
        <w:gridCol w:w="1440"/>
      </w:tblGrid>
      <w:tr w:rsidR="00CB10DF" w:rsidRPr="00CB10DF" w14:paraId="76BEE580" w14:textId="77777777" w:rsidTr="00541753">
        <w:trPr>
          <w:trHeight w:val="342"/>
        </w:trPr>
        <w:tc>
          <w:tcPr>
            <w:tcW w:w="1440" w:type="dxa"/>
            <w:vMerge w:val="restart"/>
            <w:tcBorders>
              <w:right w:val="single" w:sz="4" w:space="0" w:color="auto"/>
            </w:tcBorders>
            <w:shd w:val="clear" w:color="auto" w:fill="D0CECE" w:themeFill="background2" w:themeFillShade="E6"/>
            <w:vAlign w:val="center"/>
          </w:tcPr>
          <w:p w14:paraId="7F0903DA" w14:textId="77777777" w:rsidR="00032F4D" w:rsidRPr="00CB10DF" w:rsidRDefault="00032F4D" w:rsidP="00D80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70" w:lineRule="atLeast"/>
              <w:ind w:left="-200" w:right="-166"/>
              <w:jc w:val="center"/>
              <w:rPr>
                <w:rFonts w:ascii="Times New Roman" w:eastAsia="Times New Roman" w:hAnsi="Times New Roman" w:cs="Times New Roman"/>
                <w:color w:val="000000" w:themeColor="text1"/>
                <w:szCs w:val="22"/>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Cs w:val="22"/>
                <w:bdr w:val="none" w:sz="0" w:space="0" w:color="auto" w:frame="1"/>
                <w14:textOutline w14:w="9525" w14:cap="rnd" w14:cmpd="sng" w14:algn="ctr">
                  <w14:noFill/>
                  <w14:prstDash w14:val="solid"/>
                  <w14:bevel/>
                </w14:textOutline>
              </w:rPr>
              <w:t>Variables</w:t>
            </w:r>
          </w:p>
        </w:tc>
        <w:tc>
          <w:tcPr>
            <w:tcW w:w="4680" w:type="dxa"/>
            <w:gridSpan w:val="3"/>
            <w:tcBorders>
              <w:left w:val="single" w:sz="4" w:space="0" w:color="auto"/>
              <w:bottom w:val="single" w:sz="4" w:space="0" w:color="auto"/>
              <w:right w:val="single" w:sz="4" w:space="0" w:color="auto"/>
            </w:tcBorders>
            <w:shd w:val="clear" w:color="auto" w:fill="D0CECE" w:themeFill="background2" w:themeFillShade="E6"/>
            <w:vAlign w:val="center"/>
          </w:tcPr>
          <w:p w14:paraId="04C0FC88" w14:textId="34566382" w:rsidR="00032F4D" w:rsidRPr="00CB10DF" w:rsidRDefault="00032F4D" w:rsidP="00D8004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70" w:lineRule="atLeast"/>
              <w:ind w:left="-107" w:right="-106"/>
              <w:jc w:val="center"/>
              <w:rPr>
                <w:rFonts w:ascii="Times New Roman" w:eastAsia="Times New Roman" w:hAnsi="Times New Roman" w:cs="Times New Roman"/>
                <w:color w:val="000000" w:themeColor="text1"/>
                <w:szCs w:val="22"/>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Cs w:val="22"/>
                <w:bdr w:val="none" w:sz="0" w:space="0" w:color="auto" w:frame="1"/>
                <w14:textOutline w14:w="9525" w14:cap="rnd" w14:cmpd="sng" w14:algn="ctr">
                  <w14:noFill/>
                  <w14:prstDash w14:val="solid"/>
                  <w14:bevel/>
                </w14:textOutline>
              </w:rPr>
              <w:t>Random effects</w:t>
            </w:r>
          </w:p>
        </w:tc>
        <w:tc>
          <w:tcPr>
            <w:tcW w:w="1350" w:type="dxa"/>
            <w:vMerge w:val="restart"/>
            <w:tcBorders>
              <w:left w:val="single" w:sz="4" w:space="0" w:color="auto"/>
              <w:right w:val="single" w:sz="4" w:space="0" w:color="auto"/>
            </w:tcBorders>
            <w:shd w:val="clear" w:color="auto" w:fill="D0CECE" w:themeFill="background2" w:themeFillShade="E6"/>
            <w:vAlign w:val="center"/>
          </w:tcPr>
          <w:p w14:paraId="62D2E6A6" w14:textId="28920470" w:rsidR="00032F4D" w:rsidRPr="00CB10DF" w:rsidRDefault="00032F4D" w:rsidP="00D8004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70" w:lineRule="atLeast"/>
              <w:ind w:left="-107" w:right="-106"/>
              <w:jc w:val="center"/>
              <w:rPr>
                <w:rFonts w:ascii="Times New Roman" w:eastAsia="Times New Roman" w:hAnsi="Times New Roman" w:cs="Times New Roman"/>
                <w:color w:val="000000" w:themeColor="text1"/>
                <w:sz w:val="20"/>
                <w:szCs w:val="20"/>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20"/>
                <w:szCs w:val="20"/>
                <w:bdr w:val="none" w:sz="0" w:space="0" w:color="auto" w:frame="1"/>
                <w14:textOutline w14:w="9525" w14:cap="rnd" w14:cmpd="sng" w14:algn="ctr">
                  <w14:noFill/>
                  <w14:prstDash w14:val="solid"/>
                  <w14:bevel/>
                </w14:textOutline>
              </w:rPr>
              <w:t>Intercept</w:t>
            </w:r>
          </w:p>
        </w:tc>
        <w:tc>
          <w:tcPr>
            <w:tcW w:w="5310" w:type="dxa"/>
            <w:gridSpan w:val="4"/>
            <w:tcBorders>
              <w:left w:val="single" w:sz="4" w:space="0" w:color="auto"/>
              <w:bottom w:val="single" w:sz="4" w:space="0" w:color="auto"/>
            </w:tcBorders>
            <w:shd w:val="clear" w:color="auto" w:fill="D0CECE" w:themeFill="background2" w:themeFillShade="E6"/>
            <w:vAlign w:val="center"/>
          </w:tcPr>
          <w:p w14:paraId="4FE747EB" w14:textId="77777777" w:rsidR="00032F4D" w:rsidRPr="00CB10DF" w:rsidRDefault="00032F4D" w:rsidP="00D8004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70" w:lineRule="atLeast"/>
              <w:ind w:left="-107" w:right="-106"/>
              <w:jc w:val="center"/>
              <w:rPr>
                <w:rFonts w:ascii="Times New Roman" w:eastAsia="Times New Roman" w:hAnsi="Times New Roman" w:cs="Times New Roman"/>
                <w:color w:val="000000" w:themeColor="text1"/>
                <w:szCs w:val="22"/>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Cs w:val="22"/>
                <w:bdr w:val="none" w:sz="0" w:space="0" w:color="auto" w:frame="1"/>
                <w14:textOutline w14:w="9525" w14:cap="rnd" w14:cmpd="sng" w14:algn="ctr">
                  <w14:noFill/>
                  <w14:prstDash w14:val="solid"/>
                  <w14:bevel/>
                </w14:textOutline>
              </w:rPr>
              <w:t>Mean seasonal temperature</w:t>
            </w:r>
          </w:p>
        </w:tc>
      </w:tr>
      <w:tr w:rsidR="00CB10DF" w:rsidRPr="00CB10DF" w14:paraId="54288403" w14:textId="77777777" w:rsidTr="00541753">
        <w:trPr>
          <w:trHeight w:val="278"/>
        </w:trPr>
        <w:tc>
          <w:tcPr>
            <w:tcW w:w="1440" w:type="dxa"/>
            <w:vMerge/>
            <w:tcBorders>
              <w:bottom w:val="single" w:sz="4" w:space="0" w:color="auto"/>
              <w:right w:val="single" w:sz="4" w:space="0" w:color="auto"/>
            </w:tcBorders>
            <w:shd w:val="clear" w:color="auto" w:fill="D0CECE" w:themeFill="background2" w:themeFillShade="E6"/>
            <w:vAlign w:val="center"/>
          </w:tcPr>
          <w:p w14:paraId="14774541" w14:textId="77777777" w:rsidR="00032F4D" w:rsidRPr="00CB10DF" w:rsidRDefault="00032F4D" w:rsidP="00D80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70" w:lineRule="atLeast"/>
              <w:jc w:val="center"/>
              <w:rPr>
                <w:rFonts w:ascii="Times New Roman" w:eastAsia="Times New Roman" w:hAnsi="Times New Roman" w:cs="Times New Roman"/>
                <w:color w:val="000000" w:themeColor="text1"/>
                <w:szCs w:val="22"/>
                <w:bdr w:val="none" w:sz="0" w:space="0" w:color="auto" w:frame="1"/>
                <w14:textOutline w14:w="9525" w14:cap="rnd" w14:cmpd="sng" w14:algn="ctr">
                  <w14:noFill/>
                  <w14:prstDash w14:val="solid"/>
                  <w14:bevel/>
                </w14:textOutline>
              </w:rPr>
            </w:pPr>
          </w:p>
        </w:tc>
        <w:tc>
          <w:tcPr>
            <w:tcW w:w="1498" w:type="dxa"/>
            <w:tcBorders>
              <w:top w:val="single" w:sz="4" w:space="0" w:color="auto"/>
              <w:left w:val="single" w:sz="4" w:space="0" w:color="auto"/>
              <w:bottom w:val="single" w:sz="4" w:space="0" w:color="auto"/>
            </w:tcBorders>
            <w:shd w:val="clear" w:color="auto" w:fill="D0CECE" w:themeFill="background2" w:themeFillShade="E6"/>
            <w:vAlign w:val="center"/>
          </w:tcPr>
          <w:p w14:paraId="6570518A" w14:textId="77777777" w:rsidR="00032F4D" w:rsidRPr="00CB10DF" w:rsidRDefault="00032F4D" w:rsidP="00D8004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70" w:lineRule="atLeast"/>
              <w:ind w:left="-107" w:right="-106"/>
              <w:jc w:val="center"/>
              <w:rPr>
                <w:rFonts w:ascii="Times New Roman" w:eastAsia="Times New Roman" w:hAnsi="Times New Roman" w:cs="Times New Roman"/>
                <w:color w:val="000000" w:themeColor="text1"/>
                <w:sz w:val="20"/>
                <w:szCs w:val="20"/>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20"/>
                <w:szCs w:val="20"/>
                <w:bdr w:val="none" w:sz="0" w:space="0" w:color="auto" w:frame="1"/>
                <w14:textOutline w14:w="9525" w14:cap="rnd" w14:cmpd="sng" w14:algn="ctr">
                  <w14:noFill/>
                  <w14:prstDash w14:val="solid"/>
                  <w14:bevel/>
                </w14:textOutline>
              </w:rPr>
              <w:t>Suborder</w:t>
            </w:r>
          </w:p>
        </w:tc>
        <w:tc>
          <w:tcPr>
            <w:tcW w:w="15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0F4F653" w14:textId="5632DF8C" w:rsidR="00032F4D" w:rsidRPr="00CB10DF" w:rsidRDefault="00BB0E35" w:rsidP="00D8004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70" w:lineRule="atLeast"/>
              <w:ind w:left="-107" w:right="-106"/>
              <w:jc w:val="center"/>
              <w:rPr>
                <w:rFonts w:ascii="Times New Roman" w:eastAsia="Times New Roman" w:hAnsi="Times New Roman" w:cs="Times New Roman"/>
                <w:color w:val="000000" w:themeColor="text1"/>
                <w:sz w:val="20"/>
                <w:szCs w:val="20"/>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Species</w:t>
            </w:r>
          </w:p>
        </w:tc>
        <w:tc>
          <w:tcPr>
            <w:tcW w:w="165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09A83CC" w14:textId="77777777" w:rsidR="00032F4D" w:rsidRPr="00CB10DF" w:rsidRDefault="00032F4D" w:rsidP="00D8004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70" w:lineRule="atLeast"/>
              <w:ind w:left="-107" w:right="-106"/>
              <w:jc w:val="center"/>
              <w:rPr>
                <w:rFonts w:ascii="Times New Roman" w:eastAsia="Times New Roman" w:hAnsi="Times New Roman" w:cs="Times New Roman"/>
                <w:color w:val="000000" w:themeColor="text1"/>
                <w:sz w:val="20"/>
                <w:szCs w:val="20"/>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20"/>
                <w:szCs w:val="20"/>
                <w:bdr w:val="none" w:sz="0" w:space="0" w:color="auto" w:frame="1"/>
                <w14:textOutline w14:w="9525" w14:cap="rnd" w14:cmpd="sng" w14:algn="ctr">
                  <w14:noFill/>
                  <w14:prstDash w14:val="solid"/>
                  <w14:bevel/>
                </w14:textOutline>
              </w:rPr>
              <w:t>Sex</w:t>
            </w:r>
          </w:p>
        </w:tc>
        <w:tc>
          <w:tcPr>
            <w:tcW w:w="1350" w:type="dxa"/>
            <w:vMerge/>
            <w:tcBorders>
              <w:left w:val="single" w:sz="4" w:space="0" w:color="auto"/>
              <w:bottom w:val="single" w:sz="4" w:space="0" w:color="auto"/>
              <w:right w:val="single" w:sz="4" w:space="0" w:color="auto"/>
            </w:tcBorders>
            <w:shd w:val="clear" w:color="auto" w:fill="D0CECE" w:themeFill="background2" w:themeFillShade="E6"/>
            <w:vAlign w:val="center"/>
          </w:tcPr>
          <w:p w14:paraId="72BF2B68" w14:textId="77777777" w:rsidR="00032F4D" w:rsidRPr="00CB10DF" w:rsidRDefault="00032F4D" w:rsidP="00D8004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70" w:lineRule="atLeast"/>
              <w:ind w:left="-107" w:right="-106"/>
              <w:jc w:val="center"/>
              <w:rPr>
                <w:rFonts w:ascii="Times New Roman" w:eastAsia="Times New Roman" w:hAnsi="Times New Roman" w:cs="Times New Roman"/>
                <w:color w:val="000000" w:themeColor="text1"/>
                <w:sz w:val="20"/>
                <w:szCs w:val="20"/>
                <w:bdr w:val="none" w:sz="0" w:space="0" w:color="auto" w:frame="1"/>
                <w14:textOutline w14:w="9525" w14:cap="rnd" w14:cmpd="sng" w14:algn="ctr">
                  <w14:noFill/>
                  <w14:prstDash w14:val="solid"/>
                  <w14:bevel/>
                </w14:textOutline>
              </w:rPr>
            </w:pPr>
          </w:p>
        </w:tc>
        <w:tc>
          <w:tcPr>
            <w:tcW w:w="1260" w:type="dxa"/>
            <w:tcBorders>
              <w:top w:val="single" w:sz="4" w:space="0" w:color="auto"/>
              <w:left w:val="single" w:sz="4" w:space="0" w:color="auto"/>
              <w:bottom w:val="single" w:sz="4" w:space="0" w:color="auto"/>
            </w:tcBorders>
            <w:shd w:val="clear" w:color="auto" w:fill="D0CECE" w:themeFill="background2" w:themeFillShade="E6"/>
            <w:vAlign w:val="center"/>
          </w:tcPr>
          <w:p w14:paraId="2AF13031" w14:textId="77777777" w:rsidR="00032F4D" w:rsidRPr="00CB10DF" w:rsidRDefault="00032F4D" w:rsidP="00D8004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70" w:lineRule="atLeast"/>
              <w:ind w:left="-107" w:right="-106"/>
              <w:jc w:val="center"/>
              <w:rPr>
                <w:rFonts w:ascii="Times New Roman" w:eastAsia="Times New Roman" w:hAnsi="Times New Roman" w:cs="Times New Roman"/>
                <w:color w:val="000000" w:themeColor="text1"/>
                <w:sz w:val="20"/>
                <w:szCs w:val="20"/>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20"/>
                <w:szCs w:val="20"/>
                <w:bdr w:val="none" w:sz="0" w:space="0" w:color="auto" w:frame="1"/>
                <w14:textOutline w14:w="9525" w14:cap="rnd" w14:cmpd="sng" w14:algn="ctr">
                  <w14:noFill/>
                  <w14:prstDash w14:val="solid"/>
                  <w14:bevel/>
                </w14:textOutline>
              </w:rPr>
              <w:t>Summer</w:t>
            </w:r>
          </w:p>
        </w:tc>
        <w:tc>
          <w:tcPr>
            <w:tcW w:w="1260" w:type="dxa"/>
            <w:tcBorders>
              <w:top w:val="single" w:sz="4" w:space="0" w:color="auto"/>
              <w:bottom w:val="single" w:sz="4" w:space="0" w:color="auto"/>
            </w:tcBorders>
            <w:shd w:val="clear" w:color="auto" w:fill="D0CECE" w:themeFill="background2" w:themeFillShade="E6"/>
            <w:vAlign w:val="center"/>
          </w:tcPr>
          <w:p w14:paraId="01D28193" w14:textId="77777777" w:rsidR="00032F4D" w:rsidRPr="00CB10DF" w:rsidRDefault="00032F4D" w:rsidP="00D8004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70" w:lineRule="atLeast"/>
              <w:ind w:left="-107" w:right="-106"/>
              <w:jc w:val="center"/>
              <w:rPr>
                <w:rFonts w:ascii="Times New Roman" w:eastAsia="Times New Roman" w:hAnsi="Times New Roman" w:cs="Times New Roman"/>
                <w:color w:val="000000" w:themeColor="text1"/>
                <w:sz w:val="20"/>
                <w:szCs w:val="20"/>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20"/>
                <w:szCs w:val="20"/>
                <w:bdr w:val="none" w:sz="0" w:space="0" w:color="auto" w:frame="1"/>
                <w14:textOutline w14:w="9525" w14:cap="rnd" w14:cmpd="sng" w14:algn="ctr">
                  <w14:noFill/>
                  <w14:prstDash w14:val="solid"/>
                  <w14:bevel/>
                </w14:textOutline>
              </w:rPr>
              <w:t>Autumn</w:t>
            </w:r>
          </w:p>
        </w:tc>
        <w:tc>
          <w:tcPr>
            <w:tcW w:w="1350" w:type="dxa"/>
            <w:tcBorders>
              <w:top w:val="single" w:sz="4" w:space="0" w:color="auto"/>
              <w:bottom w:val="single" w:sz="4" w:space="0" w:color="auto"/>
            </w:tcBorders>
            <w:shd w:val="clear" w:color="auto" w:fill="D0CECE" w:themeFill="background2" w:themeFillShade="E6"/>
            <w:vAlign w:val="center"/>
          </w:tcPr>
          <w:p w14:paraId="03C1999B" w14:textId="77777777" w:rsidR="00032F4D" w:rsidRPr="00CB10DF" w:rsidRDefault="00032F4D" w:rsidP="00D8004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70" w:lineRule="atLeast"/>
              <w:ind w:left="-107" w:right="-106"/>
              <w:jc w:val="center"/>
              <w:rPr>
                <w:rFonts w:ascii="Times New Roman" w:eastAsia="Times New Roman" w:hAnsi="Times New Roman" w:cs="Times New Roman"/>
                <w:color w:val="000000" w:themeColor="text1"/>
                <w:sz w:val="20"/>
                <w:szCs w:val="20"/>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20"/>
                <w:szCs w:val="20"/>
                <w:bdr w:val="none" w:sz="0" w:space="0" w:color="auto" w:frame="1"/>
                <w14:textOutline w14:w="9525" w14:cap="rnd" w14:cmpd="sng" w14:algn="ctr">
                  <w14:noFill/>
                  <w14:prstDash w14:val="solid"/>
                  <w14:bevel/>
                </w14:textOutline>
              </w:rPr>
              <w:t>Winter</w:t>
            </w:r>
          </w:p>
        </w:tc>
        <w:tc>
          <w:tcPr>
            <w:tcW w:w="1440" w:type="dxa"/>
            <w:tcBorders>
              <w:top w:val="single" w:sz="4" w:space="0" w:color="auto"/>
              <w:bottom w:val="single" w:sz="4" w:space="0" w:color="auto"/>
            </w:tcBorders>
            <w:shd w:val="clear" w:color="auto" w:fill="D0CECE" w:themeFill="background2" w:themeFillShade="E6"/>
            <w:vAlign w:val="center"/>
          </w:tcPr>
          <w:p w14:paraId="352E8170" w14:textId="77777777" w:rsidR="00032F4D" w:rsidRPr="00CB10DF" w:rsidRDefault="00032F4D" w:rsidP="00D8004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70" w:lineRule="atLeast"/>
              <w:ind w:left="-107" w:right="-106"/>
              <w:jc w:val="center"/>
              <w:rPr>
                <w:rFonts w:ascii="Times New Roman" w:eastAsia="Times New Roman" w:hAnsi="Times New Roman" w:cs="Times New Roman"/>
                <w:color w:val="000000" w:themeColor="text1"/>
                <w:sz w:val="20"/>
                <w:szCs w:val="20"/>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20"/>
                <w:szCs w:val="20"/>
                <w:bdr w:val="none" w:sz="0" w:space="0" w:color="auto" w:frame="1"/>
                <w14:textOutline w14:w="9525" w14:cap="rnd" w14:cmpd="sng" w14:algn="ctr">
                  <w14:noFill/>
                  <w14:prstDash w14:val="solid"/>
                  <w14:bevel/>
                </w14:textOutline>
              </w:rPr>
              <w:t>Spring</w:t>
            </w:r>
          </w:p>
        </w:tc>
      </w:tr>
      <w:tr w:rsidR="00CB10DF" w:rsidRPr="00CB10DF" w14:paraId="37DB650B" w14:textId="77777777" w:rsidTr="00541753">
        <w:trPr>
          <w:trHeight w:val="432"/>
        </w:trPr>
        <w:tc>
          <w:tcPr>
            <w:tcW w:w="1440" w:type="dxa"/>
            <w:tcBorders>
              <w:top w:val="single" w:sz="4" w:space="0" w:color="auto"/>
              <w:bottom w:val="single" w:sz="4" w:space="0" w:color="auto"/>
              <w:right w:val="single" w:sz="4" w:space="0" w:color="auto"/>
            </w:tcBorders>
            <w:vAlign w:val="center"/>
          </w:tcPr>
          <w:p w14:paraId="315D4BFB" w14:textId="77777777" w:rsidR="00032F4D" w:rsidRPr="00CB10DF" w:rsidRDefault="00032F4D" w:rsidP="00D80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jc w:val="center"/>
              <w:rPr>
                <w:rFonts w:ascii="Times New Roman" w:eastAsia="Times New Roman" w:hAnsi="Times New Roman" w:cs="Times New Roman"/>
                <w:color w:val="000000" w:themeColor="text1"/>
                <w:szCs w:val="22"/>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Cs w:val="22"/>
                <w:bdr w:val="none" w:sz="0" w:space="0" w:color="auto" w:frame="1"/>
                <w14:textOutline w14:w="9525" w14:cap="rnd" w14:cmpd="sng" w14:algn="ctr">
                  <w14:noFill/>
                  <w14:prstDash w14:val="solid"/>
                  <w14:bevel/>
                </w14:textOutline>
              </w:rPr>
              <w:t>Coefficients</w:t>
            </w:r>
          </w:p>
        </w:tc>
        <w:tc>
          <w:tcPr>
            <w:tcW w:w="1498" w:type="dxa"/>
            <w:tcBorders>
              <w:top w:val="single" w:sz="4" w:space="0" w:color="auto"/>
              <w:left w:val="single" w:sz="4" w:space="0" w:color="auto"/>
              <w:bottom w:val="single" w:sz="4" w:space="0" w:color="auto"/>
            </w:tcBorders>
            <w:vAlign w:val="center"/>
          </w:tcPr>
          <w:p w14:paraId="1221B08D" w14:textId="77777777" w:rsidR="00032F4D" w:rsidRPr="00CB10DF" w:rsidRDefault="00032F4D" w:rsidP="00D80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jc w:val="center"/>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0.099</w:t>
            </w:r>
            <m:oMath>
              <m:r>
                <w:rPr>
                  <w:rFonts w:ascii="Cambria Math" w:eastAsia="Times New Roman" w:hAnsi="Cambria Math" w:cs="Times New Roman"/>
                  <w:color w:val="000000" w:themeColor="text1"/>
                  <w:sz w:val="18"/>
                  <w:szCs w:val="18"/>
                  <w:bdr w:val="none" w:sz="0" w:space="0" w:color="auto" w:frame="1"/>
                  <w14:textOutline w14:w="9525" w14:cap="rnd" w14:cmpd="sng" w14:algn="ctr">
                    <w14:noFill/>
                    <w14:prstDash w14:val="solid"/>
                    <w14:bevel/>
                  </w14:textOutline>
                </w:rPr>
                <m:t>±</m:t>
              </m:r>
            </m:oMath>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0.31</w:t>
            </w:r>
            <w:r w:rsidRPr="00CB10DF">
              <w:rPr>
                <w:rFonts w:ascii="Times New Roman" w:eastAsia="Times New Roman" w:hAnsi="Times New Roman" w:cs="Times New Roman"/>
                <w:color w:val="000000" w:themeColor="text1"/>
                <w:sz w:val="18"/>
                <w:szCs w:val="18"/>
                <w:bdr w:val="none" w:sz="0" w:space="0" w:color="auto" w:frame="1"/>
                <w:vertAlign w:val="superscript"/>
                <w14:textOutline w14:w="9525" w14:cap="rnd" w14:cmpd="sng" w14:algn="ctr">
                  <w14:noFill/>
                  <w14:prstDash w14:val="solid"/>
                  <w14:bevel/>
                </w14:textOutline>
              </w:rPr>
              <w:t xml:space="preserve"> Ɨ</w:t>
            </w:r>
          </w:p>
        </w:tc>
        <w:tc>
          <w:tcPr>
            <w:tcW w:w="1530" w:type="dxa"/>
            <w:tcBorders>
              <w:top w:val="single" w:sz="4" w:space="0" w:color="auto"/>
              <w:left w:val="single" w:sz="4" w:space="0" w:color="auto"/>
              <w:bottom w:val="single" w:sz="4" w:space="0" w:color="auto"/>
              <w:right w:val="single" w:sz="4" w:space="0" w:color="auto"/>
            </w:tcBorders>
            <w:vAlign w:val="center"/>
          </w:tcPr>
          <w:p w14:paraId="317EDB1A" w14:textId="3C6EC6E7" w:rsidR="00032F4D" w:rsidRPr="00CB10DF" w:rsidRDefault="00032F4D" w:rsidP="00D80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jc w:val="center"/>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0.</w:t>
            </w:r>
            <w:r w:rsidR="00BB0E35"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048</w:t>
            </w:r>
            <m:oMath>
              <m:r>
                <w:rPr>
                  <w:rFonts w:ascii="Cambria Math" w:eastAsia="Times New Roman" w:hAnsi="Cambria Math" w:cs="Times New Roman"/>
                  <w:color w:val="000000" w:themeColor="text1"/>
                  <w:sz w:val="18"/>
                  <w:szCs w:val="18"/>
                  <w:bdr w:val="none" w:sz="0" w:space="0" w:color="auto" w:frame="1"/>
                  <w14:textOutline w14:w="9525" w14:cap="rnd" w14:cmpd="sng" w14:algn="ctr">
                    <w14:noFill/>
                    <w14:prstDash w14:val="solid"/>
                    <w14:bevel/>
                  </w14:textOutline>
                </w:rPr>
                <m:t>±</m:t>
              </m:r>
            </m:oMath>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0.</w:t>
            </w:r>
            <w:r w:rsidR="00BB0E35"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220</w:t>
            </w:r>
            <w:r w:rsidRPr="00CB10DF">
              <w:rPr>
                <w:rFonts w:ascii="Times New Roman" w:eastAsia="Times New Roman" w:hAnsi="Times New Roman" w:cs="Times New Roman"/>
                <w:color w:val="000000" w:themeColor="text1"/>
                <w:sz w:val="18"/>
                <w:szCs w:val="18"/>
                <w:bdr w:val="none" w:sz="0" w:space="0" w:color="auto" w:frame="1"/>
                <w:vertAlign w:val="superscript"/>
                <w14:textOutline w14:w="9525" w14:cap="rnd" w14:cmpd="sng" w14:algn="ctr">
                  <w14:noFill/>
                  <w14:prstDash w14:val="solid"/>
                  <w14:bevel/>
                </w14:textOutline>
              </w:rPr>
              <w:t xml:space="preserve"> Ɨ</w:t>
            </w:r>
          </w:p>
        </w:tc>
        <w:tc>
          <w:tcPr>
            <w:tcW w:w="1652" w:type="dxa"/>
            <w:tcBorders>
              <w:top w:val="single" w:sz="4" w:space="0" w:color="auto"/>
              <w:left w:val="single" w:sz="4" w:space="0" w:color="auto"/>
              <w:bottom w:val="single" w:sz="4" w:space="0" w:color="auto"/>
              <w:right w:val="single" w:sz="4" w:space="0" w:color="auto"/>
            </w:tcBorders>
            <w:vAlign w:val="center"/>
          </w:tcPr>
          <w:p w14:paraId="6AA85207" w14:textId="77777777" w:rsidR="00032F4D" w:rsidRPr="00CB10DF" w:rsidRDefault="00032F4D" w:rsidP="00D80049">
            <w:pPr>
              <w:pStyle w:val="NoSpacing"/>
              <w:jc w:val="center"/>
              <w:rPr>
                <w:rFonts w:ascii="Times New Roman" w:hAnsi="Times New Roman" w:cs="Times New Roman"/>
                <w:color w:val="000000" w:themeColor="text1"/>
                <w:sz w:val="18"/>
                <w:szCs w:val="18"/>
                <w:bdr w:val="none" w:sz="0" w:space="0" w:color="auto" w:frame="1"/>
              </w:rPr>
            </w:pPr>
            <w:r w:rsidRPr="00CB10DF">
              <w:rPr>
                <w:rFonts w:ascii="Times New Roman" w:hAnsi="Times New Roman" w:cs="Times New Roman"/>
                <w:color w:val="000000" w:themeColor="text1"/>
                <w:sz w:val="18"/>
                <w:szCs w:val="18"/>
                <w:bdr w:val="none" w:sz="0" w:space="0" w:color="auto" w:frame="1"/>
              </w:rPr>
              <w:t>0.003</w:t>
            </w:r>
            <m:oMath>
              <m:r>
                <w:rPr>
                  <w:rFonts w:ascii="Cambria Math" w:hAnsi="Cambria Math" w:cs="Times New Roman"/>
                  <w:color w:val="000000" w:themeColor="text1"/>
                  <w:sz w:val="18"/>
                  <w:szCs w:val="18"/>
                  <w:bdr w:val="none" w:sz="0" w:space="0" w:color="auto" w:frame="1"/>
                </w:rPr>
                <m:t xml:space="preserve"> ±</m:t>
              </m:r>
            </m:oMath>
            <w:r w:rsidRPr="00CB10DF">
              <w:rPr>
                <w:rFonts w:ascii="Times New Roman" w:hAnsi="Times New Roman" w:cs="Times New Roman"/>
                <w:color w:val="000000" w:themeColor="text1"/>
                <w:sz w:val="18"/>
                <w:szCs w:val="18"/>
                <w:bdr w:val="none" w:sz="0" w:space="0" w:color="auto" w:frame="1"/>
              </w:rPr>
              <w:t>0.054</w:t>
            </w:r>
            <w:r w:rsidRPr="00CB10DF">
              <w:rPr>
                <w:rFonts w:ascii="Times New Roman" w:hAnsi="Times New Roman" w:cs="Times New Roman"/>
                <w:color w:val="000000" w:themeColor="text1"/>
                <w:sz w:val="18"/>
                <w:szCs w:val="18"/>
                <w:bdr w:val="none" w:sz="0" w:space="0" w:color="auto" w:frame="1"/>
                <w:vertAlign w:val="superscript"/>
              </w:rPr>
              <w:t>Ɨ</w:t>
            </w:r>
          </w:p>
        </w:tc>
        <w:tc>
          <w:tcPr>
            <w:tcW w:w="1350" w:type="dxa"/>
            <w:tcBorders>
              <w:top w:val="single" w:sz="4" w:space="0" w:color="auto"/>
              <w:left w:val="single" w:sz="4" w:space="0" w:color="auto"/>
              <w:bottom w:val="single" w:sz="4" w:space="0" w:color="auto"/>
              <w:right w:val="single" w:sz="4" w:space="0" w:color="auto"/>
            </w:tcBorders>
            <w:vAlign w:val="center"/>
          </w:tcPr>
          <w:p w14:paraId="565FD1B9" w14:textId="77777777" w:rsidR="00032F4D" w:rsidRPr="00CB10DF" w:rsidRDefault="00032F4D" w:rsidP="00D80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jc w:val="center"/>
              <w:rPr>
                <w:rFonts w:ascii="Times New Roman" w:eastAsia="Times New Roman" w:hAnsi="Times New Roman" w:cs="Times New Roman"/>
                <w:color w:val="000000" w:themeColor="text1"/>
                <w:szCs w:val="22"/>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Cs w:val="22"/>
                <w:bdr w:val="none" w:sz="0" w:space="0" w:color="auto" w:frame="1"/>
                <w14:textOutline w14:w="9525" w14:cap="rnd" w14:cmpd="sng" w14:algn="ctr">
                  <w14:noFill/>
                  <w14:prstDash w14:val="solid"/>
                  <w14:bevel/>
                </w14:textOutline>
              </w:rPr>
              <w:t>3.487</w:t>
            </w:r>
          </w:p>
        </w:tc>
        <w:tc>
          <w:tcPr>
            <w:tcW w:w="1260" w:type="dxa"/>
            <w:tcBorders>
              <w:top w:val="single" w:sz="4" w:space="0" w:color="auto"/>
              <w:left w:val="single" w:sz="4" w:space="0" w:color="auto"/>
              <w:bottom w:val="single" w:sz="4" w:space="0" w:color="auto"/>
            </w:tcBorders>
            <w:vAlign w:val="center"/>
          </w:tcPr>
          <w:p w14:paraId="34FD97B9" w14:textId="77777777" w:rsidR="00032F4D" w:rsidRPr="00CB10DF" w:rsidRDefault="00032F4D" w:rsidP="00D80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jc w:val="center"/>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0.004***</w:t>
            </w:r>
          </w:p>
        </w:tc>
        <w:tc>
          <w:tcPr>
            <w:tcW w:w="1260" w:type="dxa"/>
            <w:tcBorders>
              <w:top w:val="single" w:sz="4" w:space="0" w:color="auto"/>
              <w:bottom w:val="single" w:sz="4" w:space="0" w:color="auto"/>
            </w:tcBorders>
            <w:vAlign w:val="center"/>
          </w:tcPr>
          <w:p w14:paraId="7FB27529" w14:textId="77777777" w:rsidR="00032F4D" w:rsidRPr="00CB10DF" w:rsidRDefault="00032F4D" w:rsidP="00D80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jc w:val="center"/>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-0.009***</w:t>
            </w:r>
          </w:p>
        </w:tc>
        <w:tc>
          <w:tcPr>
            <w:tcW w:w="1350" w:type="dxa"/>
            <w:tcBorders>
              <w:top w:val="single" w:sz="4" w:space="0" w:color="auto"/>
              <w:bottom w:val="single" w:sz="4" w:space="0" w:color="auto"/>
            </w:tcBorders>
            <w:vAlign w:val="center"/>
          </w:tcPr>
          <w:p w14:paraId="7C45A7BE" w14:textId="77777777" w:rsidR="00032F4D" w:rsidRPr="00CB10DF" w:rsidRDefault="00032F4D" w:rsidP="00D80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jc w:val="center"/>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-0.004***</w:t>
            </w:r>
          </w:p>
        </w:tc>
        <w:tc>
          <w:tcPr>
            <w:tcW w:w="1440" w:type="dxa"/>
            <w:tcBorders>
              <w:top w:val="single" w:sz="4" w:space="0" w:color="auto"/>
              <w:bottom w:val="single" w:sz="4" w:space="0" w:color="auto"/>
            </w:tcBorders>
            <w:vAlign w:val="center"/>
          </w:tcPr>
          <w:p w14:paraId="17411BFD" w14:textId="77777777" w:rsidR="00032F4D" w:rsidRPr="00CB10DF" w:rsidRDefault="00032F4D" w:rsidP="00D80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after="8"/>
              <w:jc w:val="center"/>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pPr>
            <w:r w:rsidRPr="00CB10DF">
              <w:rPr>
                <w:rFonts w:ascii="Times New Roman" w:eastAsia="Times New Roman" w:hAnsi="Times New Roman" w:cs="Times New Roman"/>
                <w:color w:val="000000" w:themeColor="text1"/>
                <w:sz w:val="18"/>
                <w:szCs w:val="18"/>
                <w:bdr w:val="none" w:sz="0" w:space="0" w:color="auto" w:frame="1"/>
                <w14:textOutline w14:w="9525" w14:cap="rnd" w14:cmpd="sng" w14:algn="ctr">
                  <w14:noFill/>
                  <w14:prstDash w14:val="solid"/>
                  <w14:bevel/>
                </w14:textOutline>
              </w:rPr>
              <w:t>0.002</w:t>
            </w:r>
          </w:p>
        </w:tc>
      </w:tr>
    </w:tbl>
    <w:p w14:paraId="50C0A3DC" w14:textId="77777777" w:rsidR="00D80049" w:rsidRPr="00CB10DF" w:rsidRDefault="00D80049" w:rsidP="00D80049">
      <w:pPr>
        <w:spacing w:line="360" w:lineRule="auto"/>
        <w:jc w:val="thaiDistribute"/>
        <w:rPr>
          <w:rFonts w:ascii="Times New Roman" w:eastAsia="Times New Roman" w:hAnsi="Times New Roman" w:cs="Times New Roman"/>
          <w:color w:val="000000" w:themeColor="text1"/>
          <w:sz w:val="24"/>
          <w:szCs w:val="24"/>
          <w:bdr w:val="none" w:sz="0" w:space="0" w:color="auto" w:frame="1"/>
          <w14:textOutline w14:w="9525" w14:cap="rnd" w14:cmpd="sng" w14:algn="ctr">
            <w14:noFill/>
            <w14:prstDash w14:val="solid"/>
            <w14:bevel/>
          </w14:textOutline>
        </w:rPr>
      </w:pPr>
    </w:p>
    <w:p w14:paraId="541FFF60" w14:textId="3A1F85DA" w:rsidR="00CA482A" w:rsidRPr="00CB10DF" w:rsidRDefault="00CA482A" w:rsidP="00231F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thaiDistribute"/>
        <w:rPr>
          <w:rFonts w:ascii="Times New Roman" w:hAnsi="Times New Roman" w:cs="Times New Roman"/>
          <w:color w:val="000000" w:themeColor="text1"/>
          <w:sz w:val="24"/>
          <w:szCs w:val="24"/>
        </w:rPr>
        <w:sectPr w:rsidR="00CA482A" w:rsidRPr="00CB10DF">
          <w:pgSz w:w="15840" w:h="12240" w:orient="landscape"/>
          <w:pgMar w:top="1440" w:right="1440" w:bottom="1440" w:left="1440" w:header="720" w:footer="720" w:gutter="0"/>
          <w:cols w:space="720"/>
        </w:sectPr>
      </w:pPr>
    </w:p>
    <w:p w14:paraId="30A6D730" w14:textId="19D8787A" w:rsidR="007C6EA5" w:rsidRPr="007C6EA5" w:rsidRDefault="00903C3A" w:rsidP="007C6EA5">
      <w:pPr>
        <w:autoSpaceDE w:val="0"/>
        <w:autoSpaceDN w:val="0"/>
        <w:adjustRightInd w:val="0"/>
        <w:spacing w:before="240" w:after="240" w:line="480" w:lineRule="auto"/>
        <w:jc w:val="thaiDistribute"/>
        <w:rPr>
          <w:rFonts w:ascii="Times New Roman" w:hAnsi="Times New Roman" w:cs="Times New Roman"/>
          <w:b/>
          <w:bCs/>
          <w:color w:val="000000" w:themeColor="text1"/>
          <w:szCs w:val="22"/>
        </w:rPr>
      </w:pPr>
      <w:r>
        <w:rPr>
          <w:rFonts w:ascii="Times New Roman" w:hAnsi="Times New Roman" w:cs="Times New Roman"/>
          <w:b/>
          <w:bCs/>
          <w:color w:val="000000" w:themeColor="text1"/>
          <w:szCs w:val="22"/>
        </w:rPr>
        <w:lastRenderedPageBreak/>
        <w:t xml:space="preserve">A List of </w:t>
      </w:r>
      <w:proofErr w:type="gramStart"/>
      <w:r>
        <w:rPr>
          <w:rFonts w:ascii="Times New Roman" w:hAnsi="Times New Roman" w:cs="Times New Roman"/>
          <w:b/>
          <w:bCs/>
          <w:color w:val="000000" w:themeColor="text1"/>
          <w:szCs w:val="22"/>
        </w:rPr>
        <w:t>S</w:t>
      </w:r>
      <w:r w:rsidR="007C6EA5" w:rsidRPr="007C6EA5">
        <w:rPr>
          <w:rFonts w:ascii="Times New Roman" w:hAnsi="Times New Roman" w:cs="Times New Roman"/>
          <w:b/>
          <w:bCs/>
          <w:color w:val="000000" w:themeColor="text1"/>
          <w:szCs w:val="22"/>
        </w:rPr>
        <w:t>upporting  Information</w:t>
      </w:r>
      <w:proofErr w:type="gramEnd"/>
      <w:r w:rsidR="007C6EA5" w:rsidRPr="007C6EA5">
        <w:rPr>
          <w:rFonts w:ascii="Times New Roman" w:hAnsi="Times New Roman" w:cs="Times New Roman"/>
          <w:b/>
          <w:bCs/>
          <w:color w:val="000000" w:themeColor="text1"/>
          <w:szCs w:val="22"/>
        </w:rPr>
        <w:t xml:space="preserve"> Legends</w:t>
      </w:r>
    </w:p>
    <w:p w14:paraId="13EC61D5" w14:textId="0D6BD968" w:rsidR="007C6EA5" w:rsidRPr="00436B30" w:rsidRDefault="007C6EA5" w:rsidP="00436B30">
      <w:pPr>
        <w:spacing w:before="240" w:after="240" w:line="480" w:lineRule="auto"/>
        <w:rPr>
          <w:rFonts w:ascii="Times New Roman" w:eastAsia="Times New Roman" w:hAnsi="Times New Roman" w:cs="Times New Roman"/>
          <w:szCs w:val="22"/>
          <w:lang w:val="en-GB" w:eastAsia="en-GB"/>
        </w:rPr>
      </w:pPr>
      <w:r w:rsidRPr="007C6EA5">
        <w:rPr>
          <w:rFonts w:ascii="Times New Roman" w:eastAsia="Times New Roman" w:hAnsi="Times New Roman" w:cs="Times New Roman"/>
          <w:b/>
          <w:bCs/>
          <w:szCs w:val="22"/>
          <w:lang w:val="en-GB" w:eastAsia="en-GB"/>
        </w:rPr>
        <w:t>Fig</w:t>
      </w:r>
      <w:r w:rsidR="00436B30">
        <w:rPr>
          <w:rFonts w:ascii="Times New Roman" w:eastAsia="Times New Roman" w:hAnsi="Times New Roman" w:cs="Times New Roman"/>
          <w:b/>
          <w:bCs/>
          <w:szCs w:val="22"/>
          <w:lang w:val="en-GB" w:eastAsia="en-GB"/>
        </w:rPr>
        <w:t xml:space="preserve"> </w:t>
      </w:r>
      <w:r w:rsidRPr="007C6EA5">
        <w:rPr>
          <w:rFonts w:ascii="Times New Roman" w:eastAsia="Times New Roman" w:hAnsi="Times New Roman" w:cs="Times New Roman"/>
          <w:b/>
          <w:bCs/>
          <w:szCs w:val="22"/>
          <w:lang w:val="en-GB" w:eastAsia="en-GB"/>
        </w:rPr>
        <w:t>S1</w:t>
      </w:r>
      <w:r w:rsidR="00436B30">
        <w:rPr>
          <w:rFonts w:ascii="Times New Roman" w:eastAsia="Times New Roman" w:hAnsi="Times New Roman" w:cs="Times New Roman"/>
          <w:b/>
          <w:bCs/>
          <w:szCs w:val="22"/>
          <w:lang w:val="en-GB" w:eastAsia="en-GB"/>
        </w:rPr>
        <w:t>:</w:t>
      </w:r>
      <w:r w:rsidRPr="007C6EA5">
        <w:rPr>
          <w:rFonts w:ascii="Times New Roman" w:eastAsia="Times New Roman" w:hAnsi="Times New Roman" w:cs="Times New Roman"/>
          <w:szCs w:val="22"/>
          <w:lang w:val="en-GB" w:eastAsia="en-GB"/>
        </w:rPr>
        <w:t xml:space="preserve"> (a) Image of a pinned specimen with labels indicating collector, location and collecting date, specimen barcode, a </w:t>
      </w:r>
      <w:proofErr w:type="spellStart"/>
      <w:r w:rsidRPr="007C6EA5">
        <w:rPr>
          <w:rFonts w:ascii="Times New Roman" w:eastAsia="Times New Roman" w:hAnsi="Times New Roman" w:cs="Times New Roman"/>
          <w:szCs w:val="22"/>
          <w:lang w:val="en-GB" w:eastAsia="en-GB"/>
        </w:rPr>
        <w:t>color</w:t>
      </w:r>
      <w:proofErr w:type="spellEnd"/>
      <w:r w:rsidRPr="007C6EA5">
        <w:rPr>
          <w:rFonts w:ascii="Times New Roman" w:eastAsia="Times New Roman" w:hAnsi="Times New Roman" w:cs="Times New Roman"/>
          <w:szCs w:val="22"/>
          <w:lang w:val="en-GB" w:eastAsia="en-GB"/>
        </w:rPr>
        <w:t xml:space="preserve"> checker and a scale bar. (b) Wing length measurement of Odonata wing between the base of the leading edge of the wing and the distal end of the first radial anterior vein (R1).</w:t>
      </w:r>
    </w:p>
    <w:p w14:paraId="58EFEF7C" w14:textId="0CB5B3BE" w:rsidR="00436B30" w:rsidRPr="00436B30" w:rsidRDefault="00436B30" w:rsidP="00436B30">
      <w:pPr>
        <w:spacing w:before="240" w:after="240" w:line="480" w:lineRule="auto"/>
        <w:rPr>
          <w:rFonts w:ascii="Times New Roman" w:eastAsia="Times New Roman" w:hAnsi="Times New Roman" w:cs="Times New Roman"/>
          <w:szCs w:val="22"/>
          <w:lang w:val="en-GB" w:eastAsia="en-GB"/>
        </w:rPr>
      </w:pPr>
      <w:r w:rsidRPr="00436B30">
        <w:rPr>
          <w:rFonts w:ascii="Times New Roman" w:eastAsia="Times New Roman" w:hAnsi="Times New Roman" w:cs="Times New Roman"/>
          <w:b/>
          <w:bCs/>
          <w:szCs w:val="22"/>
          <w:lang w:val="en-GB" w:eastAsia="en-GB"/>
        </w:rPr>
        <w:t>Fig S2:</w:t>
      </w:r>
      <w:r w:rsidRPr="00436B30">
        <w:rPr>
          <w:rFonts w:ascii="Times New Roman" w:eastAsia="Times New Roman" w:hAnsi="Times New Roman" w:cs="Times New Roman"/>
          <w:szCs w:val="22"/>
          <w:lang w:val="en-GB" w:eastAsia="en-GB"/>
        </w:rPr>
        <w:t xml:space="preserve"> Box plots of females and </w:t>
      </w:r>
      <w:proofErr w:type="gramStart"/>
      <w:r w:rsidRPr="00436B30">
        <w:rPr>
          <w:rFonts w:ascii="Times New Roman" w:eastAsia="Times New Roman" w:hAnsi="Times New Roman" w:cs="Times New Roman"/>
          <w:szCs w:val="22"/>
          <w:lang w:val="en-GB" w:eastAsia="en-GB"/>
        </w:rPr>
        <w:t>males</w:t>
      </w:r>
      <w:proofErr w:type="gramEnd"/>
      <w:r w:rsidRPr="00436B30">
        <w:rPr>
          <w:rFonts w:ascii="Times New Roman" w:eastAsia="Times New Roman" w:hAnsi="Times New Roman" w:cs="Times New Roman"/>
          <w:szCs w:val="22"/>
          <w:lang w:val="en-GB" w:eastAsia="en-GB"/>
        </w:rPr>
        <w:t xml:space="preserve"> hindwing length for (a) eight species in suborder Anisoptera and (b) six species in suborder Zygoptera. Significant results indicated by *** (p&lt;0.05).</w:t>
      </w:r>
    </w:p>
    <w:p w14:paraId="52D8711C" w14:textId="7F11CBB2" w:rsidR="00436B30" w:rsidRPr="00436B30" w:rsidRDefault="00436B30" w:rsidP="00436B30">
      <w:pPr>
        <w:spacing w:before="240" w:after="240" w:line="480" w:lineRule="auto"/>
        <w:rPr>
          <w:rFonts w:ascii="Times New Roman" w:eastAsia="Times New Roman" w:hAnsi="Times New Roman" w:cs="Times New Roman"/>
          <w:szCs w:val="22"/>
          <w:lang w:val="en-GB" w:eastAsia="en-GB"/>
        </w:rPr>
      </w:pPr>
      <w:r w:rsidRPr="00436B30">
        <w:rPr>
          <w:rFonts w:ascii="Times New Roman" w:eastAsia="Times New Roman" w:hAnsi="Times New Roman" w:cs="Times New Roman"/>
          <w:b/>
          <w:bCs/>
          <w:szCs w:val="22"/>
          <w:lang w:val="en-GB" w:eastAsia="en-GB"/>
        </w:rPr>
        <w:t>Fig S3:</w:t>
      </w:r>
      <w:r w:rsidRPr="00436B30">
        <w:rPr>
          <w:rFonts w:ascii="Times New Roman" w:eastAsia="Times New Roman" w:hAnsi="Times New Roman" w:cs="Times New Roman"/>
          <w:szCs w:val="22"/>
          <w:lang w:val="en-GB" w:eastAsia="en-GB"/>
        </w:rPr>
        <w:t xml:space="preserve"> Regression analysis between the average temperature of larval period and collecting date which is a proxy of emergence date.</w:t>
      </w:r>
    </w:p>
    <w:p w14:paraId="0FE349E1" w14:textId="14574DFC" w:rsidR="00436B30" w:rsidRPr="00436B30" w:rsidRDefault="00436B30" w:rsidP="00436B30">
      <w:pPr>
        <w:spacing w:before="240" w:after="240" w:line="480" w:lineRule="auto"/>
        <w:rPr>
          <w:rFonts w:ascii="Times New Roman" w:eastAsia="Times New Roman" w:hAnsi="Times New Roman" w:cs="Times New Roman"/>
          <w:szCs w:val="22"/>
          <w:lang w:val="en-GB" w:eastAsia="en-GB"/>
        </w:rPr>
      </w:pPr>
      <w:r w:rsidRPr="00436B30">
        <w:rPr>
          <w:rFonts w:ascii="Times New Roman" w:eastAsia="Times New Roman" w:hAnsi="Times New Roman" w:cs="Times New Roman"/>
          <w:b/>
          <w:bCs/>
          <w:szCs w:val="22"/>
          <w:lang w:val="en-GB" w:eastAsia="en-GB"/>
        </w:rPr>
        <w:t>Table S1:</w:t>
      </w:r>
      <w:r w:rsidRPr="00436B30">
        <w:rPr>
          <w:rFonts w:ascii="Times New Roman" w:eastAsia="Times New Roman" w:hAnsi="Times New Roman" w:cs="Times New Roman"/>
          <w:szCs w:val="22"/>
          <w:lang w:val="en-GB" w:eastAsia="en-GB"/>
        </w:rPr>
        <w:t xml:space="preserve"> Number of specimens of 14 British Odonatan species from museum collections in the UK and number of specimens.</w:t>
      </w:r>
    </w:p>
    <w:p w14:paraId="4784CC25" w14:textId="68C06CC4" w:rsidR="00436B30" w:rsidRPr="00436B30" w:rsidRDefault="00436B30" w:rsidP="00436B30">
      <w:pPr>
        <w:spacing w:before="240" w:after="240" w:line="480" w:lineRule="auto"/>
        <w:rPr>
          <w:rFonts w:ascii="Times New Roman" w:eastAsia="Times New Roman" w:hAnsi="Times New Roman" w:cs="Times New Roman"/>
          <w:szCs w:val="22"/>
          <w:lang w:val="en-GB" w:eastAsia="en-GB"/>
        </w:rPr>
      </w:pPr>
      <w:r w:rsidRPr="00436B30">
        <w:rPr>
          <w:rFonts w:ascii="Times New Roman" w:eastAsia="Times New Roman" w:hAnsi="Times New Roman" w:cs="Times New Roman"/>
          <w:b/>
          <w:bCs/>
          <w:szCs w:val="22"/>
          <w:lang w:val="en-GB" w:eastAsia="en-GB"/>
        </w:rPr>
        <w:t>Table S2</w:t>
      </w:r>
      <w:r>
        <w:rPr>
          <w:rFonts w:ascii="Times New Roman" w:eastAsia="Times New Roman" w:hAnsi="Times New Roman" w:cs="Times New Roman"/>
          <w:b/>
          <w:bCs/>
          <w:szCs w:val="22"/>
          <w:lang w:val="en-GB" w:eastAsia="en-GB"/>
        </w:rPr>
        <w:t>:</w:t>
      </w:r>
      <w:r w:rsidRPr="00436B30">
        <w:rPr>
          <w:rFonts w:ascii="Times New Roman" w:eastAsia="Times New Roman" w:hAnsi="Times New Roman" w:cs="Times New Roman"/>
          <w:szCs w:val="22"/>
          <w:lang w:val="en-GB" w:eastAsia="en-GB"/>
        </w:rPr>
        <w:t xml:space="preserve"> Number of specimens of 14 British Odonatan species from each decade.</w:t>
      </w:r>
    </w:p>
    <w:p w14:paraId="4184740D" w14:textId="77777777" w:rsidR="00436B30" w:rsidRPr="00436B30" w:rsidRDefault="00436B30" w:rsidP="00436B30">
      <w:pPr>
        <w:spacing w:before="240" w:after="240" w:line="480" w:lineRule="auto"/>
        <w:rPr>
          <w:rFonts w:ascii="Times New Roman" w:eastAsia="Times New Roman" w:hAnsi="Times New Roman" w:cs="Times New Roman"/>
          <w:szCs w:val="22"/>
          <w:lang w:val="en-GB" w:eastAsia="en-GB"/>
        </w:rPr>
      </w:pPr>
      <w:r w:rsidRPr="00436B30">
        <w:rPr>
          <w:rFonts w:ascii="Times New Roman" w:eastAsia="Times New Roman" w:hAnsi="Times New Roman" w:cs="Times New Roman"/>
          <w:b/>
          <w:bCs/>
          <w:szCs w:val="22"/>
          <w:lang w:val="en-GB" w:eastAsia="en-GB"/>
        </w:rPr>
        <w:t>Table S3:</w:t>
      </w:r>
      <w:r w:rsidRPr="00436B30">
        <w:rPr>
          <w:rFonts w:ascii="Times New Roman" w:eastAsia="Times New Roman" w:hAnsi="Times New Roman" w:cs="Times New Roman"/>
          <w:szCs w:val="22"/>
          <w:lang w:val="en-GB" w:eastAsia="en-GB"/>
        </w:rPr>
        <w:t xml:space="preserve"> AIC approach to compare linear-mixed effects models contained different sets of random effects variables.</w:t>
      </w:r>
    </w:p>
    <w:p w14:paraId="463AEFFD" w14:textId="77777777" w:rsidR="00436B30" w:rsidRPr="00436B30" w:rsidRDefault="00436B30" w:rsidP="00436B30">
      <w:pPr>
        <w:spacing w:before="240" w:after="240" w:line="480" w:lineRule="auto"/>
        <w:rPr>
          <w:rFonts w:ascii="Times New Roman" w:eastAsia="Times New Roman" w:hAnsi="Times New Roman" w:cs="Times New Roman"/>
          <w:szCs w:val="22"/>
          <w:lang w:val="en-GB" w:eastAsia="en-GB"/>
        </w:rPr>
      </w:pPr>
      <w:r w:rsidRPr="00436B30">
        <w:rPr>
          <w:rFonts w:ascii="Times New Roman" w:eastAsia="Times New Roman" w:hAnsi="Times New Roman" w:cs="Times New Roman"/>
          <w:b/>
          <w:bCs/>
          <w:szCs w:val="22"/>
          <w:lang w:val="en-GB" w:eastAsia="en-GB"/>
        </w:rPr>
        <w:t>Table S4:</w:t>
      </w:r>
      <w:r w:rsidRPr="00436B30">
        <w:rPr>
          <w:rFonts w:ascii="Times New Roman" w:eastAsia="Times New Roman" w:hAnsi="Times New Roman" w:cs="Times New Roman"/>
          <w:szCs w:val="22"/>
          <w:lang w:val="en-GB" w:eastAsia="en-GB"/>
        </w:rPr>
        <w:t xml:space="preserve"> Correlation coefficients and significant values (p-value) between collection date (original collection date and simulation data) and wing length of each Anisoptera species.</w:t>
      </w:r>
    </w:p>
    <w:p w14:paraId="6EE3D5B1" w14:textId="14F6BE51" w:rsidR="00436B30" w:rsidRPr="007C6EA5" w:rsidRDefault="00436B30" w:rsidP="00C37A4B">
      <w:pPr>
        <w:autoSpaceDE w:val="0"/>
        <w:autoSpaceDN w:val="0"/>
        <w:adjustRightInd w:val="0"/>
        <w:spacing w:before="240" w:after="240" w:line="480" w:lineRule="auto"/>
        <w:jc w:val="thaiDistribute"/>
        <w:rPr>
          <w:rFonts w:ascii="Times New Roman" w:hAnsi="Times New Roman" w:cs="Times New Roman"/>
          <w:color w:val="000000" w:themeColor="text1"/>
          <w:szCs w:val="22"/>
          <w:lang w:val="en-GB"/>
        </w:rPr>
        <w:sectPr w:rsidR="00436B30" w:rsidRPr="007C6EA5" w:rsidSect="007C6EA5">
          <w:pgSz w:w="12240" w:h="15840"/>
          <w:pgMar w:top="1440" w:right="2880" w:bottom="1440" w:left="2880" w:header="720" w:footer="720" w:gutter="0"/>
          <w:cols w:space="720"/>
          <w:docGrid w:linePitch="360"/>
        </w:sectPr>
      </w:pPr>
    </w:p>
    <w:p w14:paraId="202820E6" w14:textId="1E92556C" w:rsidR="004B31AB" w:rsidRPr="00CB10DF" w:rsidRDefault="000B5D29" w:rsidP="00C37A4B">
      <w:pPr>
        <w:autoSpaceDE w:val="0"/>
        <w:autoSpaceDN w:val="0"/>
        <w:adjustRightInd w:val="0"/>
        <w:spacing w:before="240" w:after="240" w:line="480" w:lineRule="auto"/>
        <w:jc w:val="thaiDistribute"/>
        <w:rPr>
          <w:rFonts w:ascii="Times New Roman" w:hAnsi="Times New Roman" w:cs="Times New Roman"/>
          <w:b/>
          <w:bCs/>
          <w:color w:val="000000" w:themeColor="text1"/>
          <w:szCs w:val="22"/>
        </w:rPr>
      </w:pPr>
      <w:r w:rsidRPr="00CB10DF">
        <w:rPr>
          <w:rFonts w:ascii="Times New Roman" w:hAnsi="Times New Roman" w:cs="Times New Roman"/>
          <w:b/>
          <w:bCs/>
          <w:color w:val="000000" w:themeColor="text1"/>
          <w:szCs w:val="22"/>
        </w:rPr>
        <w:lastRenderedPageBreak/>
        <w:t>References:</w:t>
      </w:r>
    </w:p>
    <w:p w14:paraId="26D7C630" w14:textId="659909E8" w:rsidR="00117D84" w:rsidRPr="00CB10DF" w:rsidRDefault="000B5D29"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color w:val="000000" w:themeColor="text1"/>
          <w:szCs w:val="22"/>
        </w:rPr>
        <w:fldChar w:fldCharType="begin" w:fldLock="1"/>
      </w:r>
      <w:r w:rsidRPr="00CB10DF">
        <w:rPr>
          <w:rFonts w:ascii="Times New Roman" w:hAnsi="Times New Roman" w:cs="Times New Roman"/>
          <w:color w:val="000000" w:themeColor="text1"/>
          <w:szCs w:val="22"/>
        </w:rPr>
        <w:instrText xml:space="preserve">ADDIN Mendeley Bibliography CSL_BIBLIOGRAPHY </w:instrText>
      </w:r>
      <w:r w:rsidRPr="00CB10DF">
        <w:rPr>
          <w:rFonts w:ascii="Times New Roman" w:hAnsi="Times New Roman" w:cs="Times New Roman"/>
          <w:color w:val="000000" w:themeColor="text1"/>
          <w:szCs w:val="22"/>
        </w:rPr>
        <w:fldChar w:fldCharType="separate"/>
      </w:r>
      <w:r w:rsidR="00117D84" w:rsidRPr="00CB10DF">
        <w:rPr>
          <w:rFonts w:ascii="Times New Roman" w:hAnsi="Times New Roman" w:cs="Times New Roman"/>
          <w:noProof/>
          <w:color w:val="000000" w:themeColor="text1"/>
          <w:szCs w:val="24"/>
        </w:rPr>
        <w:t xml:space="preserve">Angilletta, M. J. (2004). Temperature, Growth Rate, and Body Size in Ectotherms: Fitting Pieces of a Life-History Puzzle. </w:t>
      </w:r>
      <w:r w:rsidR="00117D84" w:rsidRPr="00CB10DF">
        <w:rPr>
          <w:rFonts w:ascii="Times New Roman" w:hAnsi="Times New Roman" w:cs="Times New Roman"/>
          <w:i/>
          <w:iCs/>
          <w:noProof/>
          <w:color w:val="000000" w:themeColor="text1"/>
          <w:szCs w:val="24"/>
        </w:rPr>
        <w:t>Integrative and Comparative Biology</w:t>
      </w:r>
      <w:r w:rsidR="00117D84" w:rsidRPr="00CB10DF">
        <w:rPr>
          <w:rFonts w:ascii="Times New Roman" w:hAnsi="Times New Roman" w:cs="Times New Roman"/>
          <w:noProof/>
          <w:color w:val="000000" w:themeColor="text1"/>
          <w:szCs w:val="24"/>
        </w:rPr>
        <w:t xml:space="preserve">, </w:t>
      </w:r>
      <w:r w:rsidR="00117D84" w:rsidRPr="00CB10DF">
        <w:rPr>
          <w:rFonts w:ascii="Times New Roman" w:hAnsi="Times New Roman" w:cs="Times New Roman"/>
          <w:i/>
          <w:iCs/>
          <w:noProof/>
          <w:color w:val="000000" w:themeColor="text1"/>
          <w:szCs w:val="24"/>
        </w:rPr>
        <w:t>44</w:t>
      </w:r>
      <w:r w:rsidR="00117D84" w:rsidRPr="00CB10DF">
        <w:rPr>
          <w:rFonts w:ascii="Times New Roman" w:hAnsi="Times New Roman" w:cs="Times New Roman"/>
          <w:noProof/>
          <w:color w:val="000000" w:themeColor="text1"/>
          <w:szCs w:val="24"/>
        </w:rPr>
        <w:t>(6), 498–509. https://doi.org/10.1093/icb/44.6.498</w:t>
      </w:r>
    </w:p>
    <w:p w14:paraId="3EDAF53B"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Angilletta, Michael J, Steury, T. D., &amp; Sears, M. W. (2004). Temperature, growth rate, and body size in ectotherms: fitting pieces of a life-history puzzle. </w:t>
      </w:r>
      <w:r w:rsidRPr="00CB10DF">
        <w:rPr>
          <w:rFonts w:ascii="Times New Roman" w:hAnsi="Times New Roman" w:cs="Times New Roman"/>
          <w:i/>
          <w:iCs/>
          <w:noProof/>
          <w:color w:val="000000" w:themeColor="text1"/>
          <w:szCs w:val="24"/>
        </w:rPr>
        <w:t>Integrative and Comparative Biology</w:t>
      </w:r>
      <w:r w:rsidRPr="00CB10DF">
        <w:rPr>
          <w:rFonts w:ascii="Times New Roman" w:hAnsi="Times New Roman" w:cs="Times New Roman"/>
          <w:noProof/>
          <w:color w:val="000000" w:themeColor="text1"/>
          <w:szCs w:val="24"/>
        </w:rPr>
        <w:t xml:space="preserve">, </w:t>
      </w:r>
      <w:r w:rsidRPr="00CB10DF">
        <w:rPr>
          <w:rFonts w:ascii="Times New Roman" w:hAnsi="Times New Roman" w:cs="Times New Roman"/>
          <w:i/>
          <w:iCs/>
          <w:noProof/>
          <w:color w:val="000000" w:themeColor="text1"/>
          <w:szCs w:val="24"/>
        </w:rPr>
        <w:t>44</w:t>
      </w:r>
      <w:r w:rsidRPr="00CB10DF">
        <w:rPr>
          <w:rFonts w:ascii="Times New Roman" w:hAnsi="Times New Roman" w:cs="Times New Roman"/>
          <w:noProof/>
          <w:color w:val="000000" w:themeColor="text1"/>
          <w:szCs w:val="24"/>
        </w:rPr>
        <w:t>(6), 498–509. https://doi.org/10.1093/icb/44.6.498</w:t>
      </w:r>
    </w:p>
    <w:p w14:paraId="70FEB172"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Atkinson, D. (1994a). Temperature and Organism Size-A biological Law for Ectotherms? In </w:t>
      </w:r>
      <w:r w:rsidRPr="00CB10DF">
        <w:rPr>
          <w:rFonts w:ascii="Times New Roman" w:hAnsi="Times New Roman" w:cs="Times New Roman"/>
          <w:i/>
          <w:iCs/>
          <w:noProof/>
          <w:color w:val="000000" w:themeColor="text1"/>
          <w:szCs w:val="24"/>
        </w:rPr>
        <w:t>Advances in ecological research</w:t>
      </w:r>
      <w:r w:rsidRPr="00CB10DF">
        <w:rPr>
          <w:rFonts w:ascii="Times New Roman" w:hAnsi="Times New Roman" w:cs="Times New Roman"/>
          <w:noProof/>
          <w:color w:val="000000" w:themeColor="text1"/>
          <w:szCs w:val="24"/>
        </w:rPr>
        <w:t xml:space="preserve"> (Issue June, pp. 1–58). https://doi.org/10.1016/S0065-2504(08)60212-3</w:t>
      </w:r>
    </w:p>
    <w:p w14:paraId="75EA5A85"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Atkinson, D. (1994b). Temperature and Organism Size—A Biological Law for Ectotherms? </w:t>
      </w:r>
      <w:r w:rsidRPr="00CB10DF">
        <w:rPr>
          <w:rFonts w:ascii="Times New Roman" w:hAnsi="Times New Roman" w:cs="Times New Roman"/>
          <w:i/>
          <w:iCs/>
          <w:noProof/>
          <w:color w:val="000000" w:themeColor="text1"/>
          <w:szCs w:val="24"/>
        </w:rPr>
        <w:t>Advances in Ecological Research</w:t>
      </w:r>
      <w:r w:rsidRPr="00CB10DF">
        <w:rPr>
          <w:rFonts w:ascii="Times New Roman" w:hAnsi="Times New Roman" w:cs="Times New Roman"/>
          <w:noProof/>
          <w:color w:val="000000" w:themeColor="text1"/>
          <w:szCs w:val="24"/>
        </w:rPr>
        <w:t xml:space="preserve">, </w:t>
      </w:r>
      <w:r w:rsidRPr="00CB10DF">
        <w:rPr>
          <w:rFonts w:ascii="Times New Roman" w:hAnsi="Times New Roman" w:cs="Times New Roman"/>
          <w:i/>
          <w:iCs/>
          <w:noProof/>
          <w:color w:val="000000" w:themeColor="text1"/>
          <w:szCs w:val="24"/>
        </w:rPr>
        <w:t>25</w:t>
      </w:r>
      <w:r w:rsidRPr="00CB10DF">
        <w:rPr>
          <w:rFonts w:ascii="Times New Roman" w:hAnsi="Times New Roman" w:cs="Times New Roman"/>
          <w:noProof/>
          <w:color w:val="000000" w:themeColor="text1"/>
          <w:szCs w:val="24"/>
        </w:rPr>
        <w:t>(C), 1–58. https://doi.org/10.1016/S0065-2504(08)60212-3</w:t>
      </w:r>
    </w:p>
    <w:p w14:paraId="3A9FA71D"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Bai, Y., Dong, J. J., Guan, D. L., Xie, J. Y., &amp; Xu, S. Q. (2016). Geographic variation in wing size and shape of the grasshopper </w:t>
      </w:r>
      <w:r w:rsidRPr="00CB10DF">
        <w:rPr>
          <w:rFonts w:ascii="Times New Roman" w:hAnsi="Times New Roman" w:cs="Times New Roman"/>
          <w:i/>
          <w:iCs/>
          <w:noProof/>
          <w:color w:val="000000" w:themeColor="text1"/>
          <w:szCs w:val="24"/>
        </w:rPr>
        <w:t>Trilophidia annulata</w:t>
      </w:r>
      <w:r w:rsidRPr="00CB10DF">
        <w:rPr>
          <w:rFonts w:ascii="Times New Roman" w:hAnsi="Times New Roman" w:cs="Times New Roman"/>
          <w:noProof/>
          <w:color w:val="000000" w:themeColor="text1"/>
          <w:szCs w:val="24"/>
        </w:rPr>
        <w:t xml:space="preserve"> (Orthoptera: Oedipodidae): Morphological trait variations follow an ecogeographical rule. </w:t>
      </w:r>
      <w:r w:rsidRPr="00CB10DF">
        <w:rPr>
          <w:rFonts w:ascii="Times New Roman" w:hAnsi="Times New Roman" w:cs="Times New Roman"/>
          <w:i/>
          <w:iCs/>
          <w:noProof/>
          <w:color w:val="000000" w:themeColor="text1"/>
          <w:szCs w:val="24"/>
        </w:rPr>
        <w:t>Scientific Reports</w:t>
      </w:r>
      <w:r w:rsidRPr="00CB10DF">
        <w:rPr>
          <w:rFonts w:ascii="Times New Roman" w:hAnsi="Times New Roman" w:cs="Times New Roman"/>
          <w:noProof/>
          <w:color w:val="000000" w:themeColor="text1"/>
          <w:szCs w:val="24"/>
        </w:rPr>
        <w:t>. https://doi.org/10.1038/srep32680</w:t>
      </w:r>
    </w:p>
    <w:p w14:paraId="19DAD4AF"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Banks, M. J., &amp; Thompson, D. J. (1985). Lifetime mating success in the damselfly </w:t>
      </w:r>
      <w:r w:rsidRPr="00CB10DF">
        <w:rPr>
          <w:rFonts w:ascii="Times New Roman" w:hAnsi="Times New Roman" w:cs="Times New Roman"/>
          <w:i/>
          <w:iCs/>
          <w:noProof/>
          <w:color w:val="000000" w:themeColor="text1"/>
          <w:szCs w:val="24"/>
        </w:rPr>
        <w:t>Coenagrion puella</w:t>
      </w:r>
      <w:r w:rsidRPr="00CB10DF">
        <w:rPr>
          <w:rFonts w:ascii="Times New Roman" w:hAnsi="Times New Roman" w:cs="Times New Roman"/>
          <w:noProof/>
          <w:color w:val="000000" w:themeColor="text1"/>
          <w:szCs w:val="24"/>
        </w:rPr>
        <w:t xml:space="preserve">. </w:t>
      </w:r>
      <w:r w:rsidRPr="00CB10DF">
        <w:rPr>
          <w:rFonts w:ascii="Times New Roman" w:hAnsi="Times New Roman" w:cs="Times New Roman"/>
          <w:i/>
          <w:iCs/>
          <w:noProof/>
          <w:color w:val="000000" w:themeColor="text1"/>
          <w:szCs w:val="24"/>
        </w:rPr>
        <w:t>Animal Behaviour</w:t>
      </w:r>
      <w:r w:rsidRPr="00CB10DF">
        <w:rPr>
          <w:rFonts w:ascii="Times New Roman" w:hAnsi="Times New Roman" w:cs="Times New Roman"/>
          <w:noProof/>
          <w:color w:val="000000" w:themeColor="text1"/>
          <w:szCs w:val="24"/>
        </w:rPr>
        <w:t>. https://doi.org/10.1016/S0003-3472(85)80178-0</w:t>
      </w:r>
    </w:p>
    <w:p w14:paraId="7B1E0C8C"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Bates, D., Maechler, M., Bolker, B., Walker, S., Christensen, R. H. B., Singmann, H., Dai, B., &amp; Eigen, C. (2017). lme4: Fitting linear mixed-effects models using lme4. </w:t>
      </w:r>
      <w:r w:rsidRPr="00CB10DF">
        <w:rPr>
          <w:rFonts w:ascii="Times New Roman" w:hAnsi="Times New Roman" w:cs="Times New Roman"/>
          <w:i/>
          <w:iCs/>
          <w:noProof/>
          <w:color w:val="000000" w:themeColor="text1"/>
          <w:szCs w:val="24"/>
        </w:rPr>
        <w:t>Journal of Statistical Software</w:t>
      </w:r>
      <w:r w:rsidRPr="00CB10DF">
        <w:rPr>
          <w:rFonts w:ascii="Times New Roman" w:hAnsi="Times New Roman" w:cs="Times New Roman"/>
          <w:noProof/>
          <w:color w:val="000000" w:themeColor="text1"/>
          <w:szCs w:val="24"/>
        </w:rPr>
        <w:t>. https://doi.org/10.18637/jss.v067.i01</w:t>
      </w:r>
    </w:p>
    <w:p w14:paraId="4AD441EE"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Beasley, D. E., Bonisoli-Alquati, A., Welch, S. M., Møller, A. P., &amp; Mousseau, T. A. (2012). Effects of parental radiation exposure on developmental instability in grasshoppers. </w:t>
      </w:r>
      <w:r w:rsidRPr="00CB10DF">
        <w:rPr>
          <w:rFonts w:ascii="Times New Roman" w:hAnsi="Times New Roman" w:cs="Times New Roman"/>
          <w:i/>
          <w:iCs/>
          <w:noProof/>
          <w:color w:val="000000" w:themeColor="text1"/>
          <w:szCs w:val="24"/>
        </w:rPr>
        <w:t>Journal of Evolutionary Biology</w:t>
      </w:r>
      <w:r w:rsidRPr="00CB10DF">
        <w:rPr>
          <w:rFonts w:ascii="Times New Roman" w:hAnsi="Times New Roman" w:cs="Times New Roman"/>
          <w:noProof/>
          <w:color w:val="000000" w:themeColor="text1"/>
          <w:szCs w:val="24"/>
        </w:rPr>
        <w:t>. https://doi.org/10.1111/j.1420-9101.2012.02502.x</w:t>
      </w:r>
    </w:p>
    <w:p w14:paraId="4BF23707"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lastRenderedPageBreak/>
        <w:t xml:space="preserve">Blanckenhorn, W. U. (2004). Bergmann and Converse Bergmann Latitudinal Clines in Arthropods: Two Ends of a Continuum? </w:t>
      </w:r>
      <w:r w:rsidRPr="00CB10DF">
        <w:rPr>
          <w:rFonts w:ascii="Times New Roman" w:hAnsi="Times New Roman" w:cs="Times New Roman"/>
          <w:i/>
          <w:iCs/>
          <w:noProof/>
          <w:color w:val="000000" w:themeColor="text1"/>
          <w:szCs w:val="24"/>
        </w:rPr>
        <w:t>Integrative and Comparative Biology</w:t>
      </w:r>
      <w:r w:rsidRPr="00CB10DF">
        <w:rPr>
          <w:rFonts w:ascii="Times New Roman" w:hAnsi="Times New Roman" w:cs="Times New Roman"/>
          <w:noProof/>
          <w:color w:val="000000" w:themeColor="text1"/>
          <w:szCs w:val="24"/>
        </w:rPr>
        <w:t xml:space="preserve">, </w:t>
      </w:r>
      <w:r w:rsidRPr="00CB10DF">
        <w:rPr>
          <w:rFonts w:ascii="Times New Roman" w:hAnsi="Times New Roman" w:cs="Times New Roman"/>
          <w:i/>
          <w:iCs/>
          <w:noProof/>
          <w:color w:val="000000" w:themeColor="text1"/>
          <w:szCs w:val="24"/>
        </w:rPr>
        <w:t>44</w:t>
      </w:r>
      <w:r w:rsidRPr="00CB10DF">
        <w:rPr>
          <w:rFonts w:ascii="Times New Roman" w:hAnsi="Times New Roman" w:cs="Times New Roman"/>
          <w:noProof/>
          <w:color w:val="000000" w:themeColor="text1"/>
          <w:szCs w:val="24"/>
        </w:rPr>
        <w:t>(6), 413–424. https://doi.org/10.1093/icb/44.6.413</w:t>
      </w:r>
    </w:p>
    <w:p w14:paraId="2635F324"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Bried, J. T. (2009). Location and seasonal differences in adult dragonfly size and mass in northern Mississippi, USA (Odonata: Libellulidae). </w:t>
      </w:r>
      <w:r w:rsidRPr="00CB10DF">
        <w:rPr>
          <w:rFonts w:ascii="Times New Roman" w:hAnsi="Times New Roman" w:cs="Times New Roman"/>
          <w:i/>
          <w:iCs/>
          <w:noProof/>
          <w:color w:val="000000" w:themeColor="text1"/>
          <w:szCs w:val="24"/>
        </w:rPr>
        <w:t>International Journal of Odonatology</w:t>
      </w:r>
      <w:r w:rsidRPr="00CB10DF">
        <w:rPr>
          <w:rFonts w:ascii="Times New Roman" w:hAnsi="Times New Roman" w:cs="Times New Roman"/>
          <w:noProof/>
          <w:color w:val="000000" w:themeColor="text1"/>
          <w:szCs w:val="24"/>
        </w:rPr>
        <w:t>. https://doi.org/10.1080/13887890.2009.9748332</w:t>
      </w:r>
    </w:p>
    <w:p w14:paraId="7EBD7F9F"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Clapham, M. E., &amp; Karr, J. A. (2012). Environmental and biotic controls on the evolutionary history of insect body size. </w:t>
      </w:r>
      <w:r w:rsidRPr="00CB10DF">
        <w:rPr>
          <w:rFonts w:ascii="Times New Roman" w:hAnsi="Times New Roman" w:cs="Times New Roman"/>
          <w:i/>
          <w:iCs/>
          <w:noProof/>
          <w:color w:val="000000" w:themeColor="text1"/>
          <w:szCs w:val="24"/>
        </w:rPr>
        <w:t>Proceedings of the National Academy of Sciences of the United States of America</w:t>
      </w:r>
      <w:r w:rsidRPr="00CB10DF">
        <w:rPr>
          <w:rFonts w:ascii="Times New Roman" w:hAnsi="Times New Roman" w:cs="Times New Roman"/>
          <w:noProof/>
          <w:color w:val="000000" w:themeColor="text1"/>
          <w:szCs w:val="24"/>
        </w:rPr>
        <w:t>. https://doi.org/10.1073/pnas.1204026109</w:t>
      </w:r>
    </w:p>
    <w:p w14:paraId="46D5E4E8"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Corbet, P. S. (1999). Dragonflies: Behavior and ecology of Odonata. </w:t>
      </w:r>
      <w:r w:rsidRPr="00CB10DF">
        <w:rPr>
          <w:rFonts w:ascii="Times New Roman" w:hAnsi="Times New Roman" w:cs="Times New Roman"/>
          <w:i/>
          <w:iCs/>
          <w:noProof/>
          <w:color w:val="000000" w:themeColor="text1"/>
          <w:szCs w:val="24"/>
        </w:rPr>
        <w:t>Dragonflies: Behavior and Ecology of Odonata</w:t>
      </w:r>
      <w:r w:rsidRPr="00CB10DF">
        <w:rPr>
          <w:rFonts w:ascii="Times New Roman" w:hAnsi="Times New Roman" w:cs="Times New Roman"/>
          <w:noProof/>
          <w:color w:val="000000" w:themeColor="text1"/>
          <w:szCs w:val="24"/>
        </w:rPr>
        <w:t xml:space="preserve">, </w:t>
      </w:r>
      <w:r w:rsidRPr="00CB10DF">
        <w:rPr>
          <w:rFonts w:ascii="Times New Roman" w:hAnsi="Times New Roman" w:cs="Times New Roman"/>
          <w:i/>
          <w:iCs/>
          <w:noProof/>
          <w:color w:val="000000" w:themeColor="text1"/>
          <w:szCs w:val="24"/>
        </w:rPr>
        <w:t>31</w:t>
      </w:r>
      <w:r w:rsidRPr="00CB10DF">
        <w:rPr>
          <w:rFonts w:ascii="Times New Roman" w:hAnsi="Times New Roman" w:cs="Times New Roman"/>
          <w:noProof/>
          <w:color w:val="000000" w:themeColor="text1"/>
          <w:szCs w:val="24"/>
        </w:rPr>
        <w:t>(January), xxxiv+829p. https://doi.org/10.1111/j.1365-2427.2001.00664.x</w:t>
      </w:r>
    </w:p>
    <w:p w14:paraId="16BB72B9"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Corbet, P. S., Suhling, F., &amp; Soendgerath, D. (2006). Voltinism of odonata: A review. </w:t>
      </w:r>
      <w:r w:rsidRPr="00CB10DF">
        <w:rPr>
          <w:rFonts w:ascii="Times New Roman" w:hAnsi="Times New Roman" w:cs="Times New Roman"/>
          <w:i/>
          <w:iCs/>
          <w:noProof/>
          <w:color w:val="000000" w:themeColor="text1"/>
          <w:szCs w:val="24"/>
        </w:rPr>
        <w:t>International Journal of Odonatology</w:t>
      </w:r>
      <w:r w:rsidRPr="00CB10DF">
        <w:rPr>
          <w:rFonts w:ascii="Times New Roman" w:hAnsi="Times New Roman" w:cs="Times New Roman"/>
          <w:noProof/>
          <w:color w:val="000000" w:themeColor="text1"/>
          <w:szCs w:val="24"/>
        </w:rPr>
        <w:t xml:space="preserve">, </w:t>
      </w:r>
      <w:r w:rsidRPr="00CB10DF">
        <w:rPr>
          <w:rFonts w:ascii="Times New Roman" w:hAnsi="Times New Roman" w:cs="Times New Roman"/>
          <w:i/>
          <w:iCs/>
          <w:noProof/>
          <w:color w:val="000000" w:themeColor="text1"/>
          <w:szCs w:val="24"/>
        </w:rPr>
        <w:t>9</w:t>
      </w:r>
      <w:r w:rsidRPr="00CB10DF">
        <w:rPr>
          <w:rFonts w:ascii="Times New Roman" w:hAnsi="Times New Roman" w:cs="Times New Roman"/>
          <w:noProof/>
          <w:color w:val="000000" w:themeColor="text1"/>
          <w:szCs w:val="24"/>
        </w:rPr>
        <w:t>(1), 1–44. https://doi.org/10.1080/13887890.2006.9748261</w:t>
      </w:r>
    </w:p>
    <w:p w14:paraId="302CDFE6"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Córdoba-Aguilar, A. (2002). Wing pigmentation in territorial male damselflies, </w:t>
      </w:r>
      <w:r w:rsidRPr="00CB10DF">
        <w:rPr>
          <w:rFonts w:ascii="Times New Roman" w:hAnsi="Times New Roman" w:cs="Times New Roman"/>
          <w:i/>
          <w:iCs/>
          <w:noProof/>
          <w:color w:val="000000" w:themeColor="text1"/>
          <w:szCs w:val="24"/>
        </w:rPr>
        <w:t>Calopteryx haemorrhoidalis</w:t>
      </w:r>
      <w:r w:rsidRPr="00CB10DF">
        <w:rPr>
          <w:rFonts w:ascii="Times New Roman" w:hAnsi="Times New Roman" w:cs="Times New Roman"/>
          <w:noProof/>
          <w:color w:val="000000" w:themeColor="text1"/>
          <w:szCs w:val="24"/>
        </w:rPr>
        <w:t xml:space="preserve">: A possible relation to sexual selection. </w:t>
      </w:r>
      <w:r w:rsidRPr="00CB10DF">
        <w:rPr>
          <w:rFonts w:ascii="Times New Roman" w:hAnsi="Times New Roman" w:cs="Times New Roman"/>
          <w:i/>
          <w:iCs/>
          <w:noProof/>
          <w:color w:val="000000" w:themeColor="text1"/>
          <w:szCs w:val="24"/>
        </w:rPr>
        <w:t>Animal Behaviour</w:t>
      </w:r>
      <w:r w:rsidRPr="00CB10DF">
        <w:rPr>
          <w:rFonts w:ascii="Times New Roman" w:hAnsi="Times New Roman" w:cs="Times New Roman"/>
          <w:noProof/>
          <w:color w:val="000000" w:themeColor="text1"/>
          <w:szCs w:val="24"/>
        </w:rPr>
        <w:t>. https://doi.org/10.1006/anbe.2001.1974</w:t>
      </w:r>
    </w:p>
    <w:p w14:paraId="44965957"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Córdoba-Aguilar, Alejandro, &amp; Cordero-Rivera, A. (2005). Evolution and ecology of Calopterygidae (Zygoptera: Odonata): status of knowledge and research perspectives. </w:t>
      </w:r>
      <w:r w:rsidRPr="00CB10DF">
        <w:rPr>
          <w:rFonts w:ascii="Times New Roman" w:hAnsi="Times New Roman" w:cs="Times New Roman"/>
          <w:i/>
          <w:iCs/>
          <w:noProof/>
          <w:color w:val="000000" w:themeColor="text1"/>
          <w:szCs w:val="24"/>
        </w:rPr>
        <w:t>Neotropical Entomology</w:t>
      </w:r>
      <w:r w:rsidRPr="00CB10DF">
        <w:rPr>
          <w:rFonts w:ascii="Times New Roman" w:hAnsi="Times New Roman" w:cs="Times New Roman"/>
          <w:noProof/>
          <w:color w:val="000000" w:themeColor="text1"/>
          <w:szCs w:val="24"/>
        </w:rPr>
        <w:t>. https://doi.org/10.1590/s1519-566x2005000600001</w:t>
      </w:r>
    </w:p>
    <w:p w14:paraId="56EE2FD4"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Córdoba-Aguilar, Alex. (2008). Dragonflies and Damselflies: Model Organisms for Ecological and Evolutionary Research. In </w:t>
      </w:r>
      <w:r w:rsidRPr="00CB10DF">
        <w:rPr>
          <w:rFonts w:ascii="Times New Roman" w:hAnsi="Times New Roman" w:cs="Times New Roman"/>
          <w:i/>
          <w:iCs/>
          <w:noProof/>
          <w:color w:val="000000" w:themeColor="text1"/>
          <w:szCs w:val="24"/>
        </w:rPr>
        <w:t>Dragonflies and Damselflies: Model Organisms for Ecological and Evolutionary Research</w:t>
      </w:r>
      <w:r w:rsidRPr="00CB10DF">
        <w:rPr>
          <w:rFonts w:ascii="Times New Roman" w:hAnsi="Times New Roman" w:cs="Times New Roman"/>
          <w:noProof/>
          <w:color w:val="000000" w:themeColor="text1"/>
          <w:szCs w:val="24"/>
        </w:rPr>
        <w:t>. https://doi.org/10.1093/acprof:oso/9780199230693.001.0001</w:t>
      </w:r>
    </w:p>
    <w:p w14:paraId="0AADADF6"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lastRenderedPageBreak/>
        <w:t xml:space="preserve">Cothran, M. L., &amp; Thorp, J. H. (2006). Emergence Patterns and Size Variation of Odonata in a Thermal Reservoir. </w:t>
      </w:r>
      <w:r w:rsidRPr="00CB10DF">
        <w:rPr>
          <w:rFonts w:ascii="Times New Roman" w:hAnsi="Times New Roman" w:cs="Times New Roman"/>
          <w:i/>
          <w:iCs/>
          <w:noProof/>
          <w:color w:val="000000" w:themeColor="text1"/>
          <w:szCs w:val="24"/>
        </w:rPr>
        <w:t>Freshwater Invertebrate Biology</w:t>
      </w:r>
      <w:r w:rsidRPr="00CB10DF">
        <w:rPr>
          <w:rFonts w:ascii="Times New Roman" w:hAnsi="Times New Roman" w:cs="Times New Roman"/>
          <w:noProof/>
          <w:color w:val="000000" w:themeColor="text1"/>
          <w:szCs w:val="24"/>
        </w:rPr>
        <w:t>. https://doi.org/10.2307/1467139</w:t>
      </w:r>
    </w:p>
    <w:p w14:paraId="43F776F5"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Cressa, C., Maldonado, V., Segnini, S., &amp; Chacón, M. M. (2008). Size variation with elevation in adults and larvae of some Venezuelan stoneflies (Insecta: Plecoptera: Perlidae). </w:t>
      </w:r>
      <w:r w:rsidRPr="00CB10DF">
        <w:rPr>
          <w:rFonts w:ascii="Times New Roman" w:hAnsi="Times New Roman" w:cs="Times New Roman"/>
          <w:i/>
          <w:iCs/>
          <w:noProof/>
          <w:color w:val="000000" w:themeColor="text1"/>
          <w:szCs w:val="24"/>
        </w:rPr>
        <w:t>Aquatic Insects</w:t>
      </w:r>
      <w:r w:rsidRPr="00CB10DF">
        <w:rPr>
          <w:rFonts w:ascii="Times New Roman" w:hAnsi="Times New Roman" w:cs="Times New Roman"/>
          <w:noProof/>
          <w:color w:val="000000" w:themeColor="text1"/>
          <w:szCs w:val="24"/>
        </w:rPr>
        <w:t xml:space="preserve">, </w:t>
      </w:r>
      <w:r w:rsidRPr="00CB10DF">
        <w:rPr>
          <w:rFonts w:ascii="Times New Roman" w:hAnsi="Times New Roman" w:cs="Times New Roman"/>
          <w:i/>
          <w:iCs/>
          <w:noProof/>
          <w:color w:val="000000" w:themeColor="text1"/>
          <w:szCs w:val="24"/>
        </w:rPr>
        <w:t>30</w:t>
      </w:r>
      <w:r w:rsidRPr="00CB10DF">
        <w:rPr>
          <w:rFonts w:ascii="Times New Roman" w:hAnsi="Times New Roman" w:cs="Times New Roman"/>
          <w:noProof/>
          <w:color w:val="000000" w:themeColor="text1"/>
          <w:szCs w:val="24"/>
        </w:rPr>
        <w:t>(2), 127–134. https://doi.org/10.1080/01650420701858764</w:t>
      </w:r>
    </w:p>
    <w:p w14:paraId="079B5E83"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de Queiroz, A., &amp; Ashton, K. G. (2004). The phylogeny of a species-level tendency: species heritability and possible deep origins of Bergmann’s rule in Tetrapods. </w:t>
      </w:r>
      <w:r w:rsidRPr="00CB10DF">
        <w:rPr>
          <w:rFonts w:ascii="Times New Roman" w:hAnsi="Times New Roman" w:cs="Times New Roman"/>
          <w:i/>
          <w:iCs/>
          <w:noProof/>
          <w:color w:val="000000" w:themeColor="text1"/>
          <w:szCs w:val="24"/>
        </w:rPr>
        <w:t>Evolution</w:t>
      </w:r>
      <w:r w:rsidRPr="00CB10DF">
        <w:rPr>
          <w:rFonts w:ascii="Times New Roman" w:hAnsi="Times New Roman" w:cs="Times New Roman"/>
          <w:noProof/>
          <w:color w:val="000000" w:themeColor="text1"/>
          <w:szCs w:val="24"/>
        </w:rPr>
        <w:t xml:space="preserve">, </w:t>
      </w:r>
      <w:r w:rsidRPr="00CB10DF">
        <w:rPr>
          <w:rFonts w:ascii="Times New Roman" w:hAnsi="Times New Roman" w:cs="Times New Roman"/>
          <w:i/>
          <w:iCs/>
          <w:noProof/>
          <w:color w:val="000000" w:themeColor="text1"/>
          <w:szCs w:val="24"/>
        </w:rPr>
        <w:t>58</w:t>
      </w:r>
      <w:r w:rsidRPr="00CB10DF">
        <w:rPr>
          <w:rFonts w:ascii="Times New Roman" w:hAnsi="Times New Roman" w:cs="Times New Roman"/>
          <w:noProof/>
          <w:color w:val="000000" w:themeColor="text1"/>
          <w:szCs w:val="24"/>
        </w:rPr>
        <w:t>(8), 1674. https://doi.org/10.1554/03-596</w:t>
      </w:r>
    </w:p>
    <w:p w14:paraId="6E858255"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Dudley, R. (2000). The Biomechanics of Insect Flight: Form, Function, Evolution. </w:t>
      </w:r>
      <w:r w:rsidRPr="00CB10DF">
        <w:rPr>
          <w:rFonts w:ascii="Times New Roman" w:hAnsi="Times New Roman" w:cs="Times New Roman"/>
          <w:i/>
          <w:iCs/>
          <w:noProof/>
          <w:color w:val="000000" w:themeColor="text1"/>
          <w:szCs w:val="24"/>
        </w:rPr>
        <w:t>Annals of the Entomological Society of America</w:t>
      </w:r>
      <w:r w:rsidRPr="00CB10DF">
        <w:rPr>
          <w:rFonts w:ascii="Times New Roman" w:hAnsi="Times New Roman" w:cs="Times New Roman"/>
          <w:noProof/>
          <w:color w:val="000000" w:themeColor="text1"/>
          <w:szCs w:val="24"/>
        </w:rPr>
        <w:t>. https://doi.org/10.1093/aesa/93.5.1195f</w:t>
      </w:r>
    </w:p>
    <w:p w14:paraId="12E5E04E"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Erickson, T. R., &amp; Stefan, H. G. (2000). Linear air/water temperature correlations for streams during open water periods. </w:t>
      </w:r>
      <w:r w:rsidRPr="00CB10DF">
        <w:rPr>
          <w:rFonts w:ascii="Times New Roman" w:hAnsi="Times New Roman" w:cs="Times New Roman"/>
          <w:i/>
          <w:iCs/>
          <w:noProof/>
          <w:color w:val="000000" w:themeColor="text1"/>
          <w:szCs w:val="24"/>
        </w:rPr>
        <w:t>Journal of Hydrologic Engineering</w:t>
      </w:r>
      <w:r w:rsidRPr="00CB10DF">
        <w:rPr>
          <w:rFonts w:ascii="Times New Roman" w:hAnsi="Times New Roman" w:cs="Times New Roman"/>
          <w:noProof/>
          <w:color w:val="000000" w:themeColor="text1"/>
          <w:szCs w:val="24"/>
        </w:rPr>
        <w:t>. https://doi.org/10.1061/(ASCE)1084-0699(2000)5:3(317)</w:t>
      </w:r>
    </w:p>
    <w:p w14:paraId="17DAD9B2"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Fenberg, P. B., Self, A., Stewart, J. R., Wilson, R. J., &amp; Brooks, S. J. (2016). Exploring the universal ecological responses to climate change in a univoltine butterfly. </w:t>
      </w:r>
      <w:r w:rsidRPr="00CB10DF">
        <w:rPr>
          <w:rFonts w:ascii="Times New Roman" w:hAnsi="Times New Roman" w:cs="Times New Roman"/>
          <w:i/>
          <w:iCs/>
          <w:noProof/>
          <w:color w:val="000000" w:themeColor="text1"/>
          <w:szCs w:val="24"/>
        </w:rPr>
        <w:t>Journal of Animal Ecology</w:t>
      </w:r>
      <w:r w:rsidRPr="00CB10DF">
        <w:rPr>
          <w:rFonts w:ascii="Times New Roman" w:hAnsi="Times New Roman" w:cs="Times New Roman"/>
          <w:noProof/>
          <w:color w:val="000000" w:themeColor="text1"/>
          <w:szCs w:val="24"/>
        </w:rPr>
        <w:t xml:space="preserve">, </w:t>
      </w:r>
      <w:r w:rsidRPr="00CB10DF">
        <w:rPr>
          <w:rFonts w:ascii="Times New Roman" w:hAnsi="Times New Roman" w:cs="Times New Roman"/>
          <w:i/>
          <w:iCs/>
          <w:noProof/>
          <w:color w:val="000000" w:themeColor="text1"/>
          <w:szCs w:val="24"/>
        </w:rPr>
        <w:t>85</w:t>
      </w:r>
      <w:r w:rsidRPr="00CB10DF">
        <w:rPr>
          <w:rFonts w:ascii="Times New Roman" w:hAnsi="Times New Roman" w:cs="Times New Roman"/>
          <w:noProof/>
          <w:color w:val="000000" w:themeColor="text1"/>
          <w:szCs w:val="24"/>
        </w:rPr>
        <w:t>(3), 739–748. https://doi.org/10.1111/1365-2656.12492</w:t>
      </w:r>
    </w:p>
    <w:p w14:paraId="41DE2E79"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Forster, J., Hirst, A. G., &amp; Atkinson, D. (2012). Warming-induced reductions in body size are greater in aquatic than terrestrial species. </w:t>
      </w:r>
      <w:r w:rsidRPr="00CB10DF">
        <w:rPr>
          <w:rFonts w:ascii="Times New Roman" w:hAnsi="Times New Roman" w:cs="Times New Roman"/>
          <w:i/>
          <w:iCs/>
          <w:noProof/>
          <w:color w:val="000000" w:themeColor="text1"/>
          <w:szCs w:val="24"/>
        </w:rPr>
        <w:t>Proceedings of the National Academy of Sciences</w:t>
      </w:r>
      <w:r w:rsidRPr="00CB10DF">
        <w:rPr>
          <w:rFonts w:ascii="Times New Roman" w:hAnsi="Times New Roman" w:cs="Times New Roman"/>
          <w:noProof/>
          <w:color w:val="000000" w:themeColor="text1"/>
          <w:szCs w:val="24"/>
        </w:rPr>
        <w:t>. https://doi.org/10.1073/pnas.1210460109</w:t>
      </w:r>
    </w:p>
    <w:p w14:paraId="03A9A344" w14:textId="5211F1E6"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Fuselier, L., Decker, P., Lunski, J., Mastel, T., &amp; Skolness, S. (2007). Sex differences and size at emergence are not linked to biased sex ratios in the common green darner, </w:t>
      </w:r>
      <w:r w:rsidR="00FD4295" w:rsidRPr="00CB10DF">
        <w:rPr>
          <w:rFonts w:ascii="Times New Roman" w:hAnsi="Times New Roman" w:cs="Times New Roman"/>
          <w:i/>
          <w:iCs/>
          <w:noProof/>
          <w:color w:val="000000" w:themeColor="text1"/>
          <w:szCs w:val="24"/>
        </w:rPr>
        <w:t>A</w:t>
      </w:r>
      <w:r w:rsidRPr="00CB10DF">
        <w:rPr>
          <w:rFonts w:ascii="Times New Roman" w:hAnsi="Times New Roman" w:cs="Times New Roman"/>
          <w:i/>
          <w:iCs/>
          <w:noProof/>
          <w:color w:val="000000" w:themeColor="text1"/>
          <w:szCs w:val="24"/>
        </w:rPr>
        <w:t>nax junius</w:t>
      </w:r>
      <w:r w:rsidRPr="00CB10DF">
        <w:rPr>
          <w:rFonts w:ascii="Times New Roman" w:hAnsi="Times New Roman" w:cs="Times New Roman"/>
          <w:noProof/>
          <w:color w:val="000000" w:themeColor="text1"/>
          <w:szCs w:val="24"/>
        </w:rPr>
        <w:t xml:space="preserve"> (odonata: Aeshnidae). </w:t>
      </w:r>
      <w:r w:rsidRPr="00CB10DF">
        <w:rPr>
          <w:rFonts w:ascii="Times New Roman" w:hAnsi="Times New Roman" w:cs="Times New Roman"/>
          <w:i/>
          <w:iCs/>
          <w:noProof/>
          <w:color w:val="000000" w:themeColor="text1"/>
          <w:szCs w:val="24"/>
        </w:rPr>
        <w:t>Journal of Freshwater Ecology</w:t>
      </w:r>
      <w:r w:rsidRPr="00CB10DF">
        <w:rPr>
          <w:rFonts w:ascii="Times New Roman" w:hAnsi="Times New Roman" w:cs="Times New Roman"/>
          <w:noProof/>
          <w:color w:val="000000" w:themeColor="text1"/>
          <w:szCs w:val="24"/>
        </w:rPr>
        <w:t xml:space="preserve">, </w:t>
      </w:r>
      <w:r w:rsidRPr="00CB10DF">
        <w:rPr>
          <w:rFonts w:ascii="Times New Roman" w:hAnsi="Times New Roman" w:cs="Times New Roman"/>
          <w:i/>
          <w:iCs/>
          <w:noProof/>
          <w:color w:val="000000" w:themeColor="text1"/>
          <w:szCs w:val="24"/>
        </w:rPr>
        <w:t>22</w:t>
      </w:r>
      <w:r w:rsidRPr="00CB10DF">
        <w:rPr>
          <w:rFonts w:ascii="Times New Roman" w:hAnsi="Times New Roman" w:cs="Times New Roman"/>
          <w:noProof/>
          <w:color w:val="000000" w:themeColor="text1"/>
          <w:szCs w:val="24"/>
        </w:rPr>
        <w:t xml:space="preserve">(1), 107–117. </w:t>
      </w:r>
      <w:r w:rsidRPr="00CB10DF">
        <w:rPr>
          <w:rFonts w:ascii="Times New Roman" w:hAnsi="Times New Roman" w:cs="Times New Roman"/>
          <w:noProof/>
          <w:color w:val="000000" w:themeColor="text1"/>
          <w:szCs w:val="24"/>
        </w:rPr>
        <w:lastRenderedPageBreak/>
        <w:t>https://doi.org/10.1080/02705060.2007.9664151</w:t>
      </w:r>
    </w:p>
    <w:p w14:paraId="1DE909DF"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Gardner, J. L., Peters, A., Kearney, M. R., Joseph, L., &amp; Heinsohn, R. (2011). Declining body size: A third universal response to warming? In </w:t>
      </w:r>
      <w:r w:rsidRPr="00CB10DF">
        <w:rPr>
          <w:rFonts w:ascii="Times New Roman" w:hAnsi="Times New Roman" w:cs="Times New Roman"/>
          <w:i/>
          <w:iCs/>
          <w:noProof/>
          <w:color w:val="000000" w:themeColor="text1"/>
          <w:szCs w:val="24"/>
        </w:rPr>
        <w:t>Trends in Ecology and Evolution</w:t>
      </w:r>
      <w:r w:rsidRPr="00CB10DF">
        <w:rPr>
          <w:rFonts w:ascii="Times New Roman" w:hAnsi="Times New Roman" w:cs="Times New Roman"/>
          <w:noProof/>
          <w:color w:val="000000" w:themeColor="text1"/>
          <w:szCs w:val="24"/>
        </w:rPr>
        <w:t xml:space="preserve"> (Vol. 26, Issue 6, pp. 285–291). https://doi.org/10.1016/j.tree.2011.03.005</w:t>
      </w:r>
    </w:p>
    <w:p w14:paraId="102C8343"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Ghosh, S. M., Testa, N. D., &amp; Shingleton, A. W. (2013). Temperature-size rule is mediated by thermal plasticity of critical size in </w:t>
      </w:r>
      <w:r w:rsidRPr="00CB10DF">
        <w:rPr>
          <w:rFonts w:ascii="Times New Roman" w:hAnsi="Times New Roman" w:cs="Times New Roman"/>
          <w:i/>
          <w:iCs/>
          <w:noProof/>
          <w:color w:val="000000" w:themeColor="text1"/>
          <w:szCs w:val="24"/>
        </w:rPr>
        <w:t>Drosophila melanogaster</w:t>
      </w:r>
      <w:r w:rsidRPr="00CB10DF">
        <w:rPr>
          <w:rFonts w:ascii="Times New Roman" w:hAnsi="Times New Roman" w:cs="Times New Roman"/>
          <w:noProof/>
          <w:color w:val="000000" w:themeColor="text1"/>
          <w:szCs w:val="24"/>
        </w:rPr>
        <w:t xml:space="preserve">. In </w:t>
      </w:r>
      <w:r w:rsidRPr="00CB10DF">
        <w:rPr>
          <w:rFonts w:ascii="Times New Roman" w:hAnsi="Times New Roman" w:cs="Times New Roman"/>
          <w:i/>
          <w:iCs/>
          <w:noProof/>
          <w:color w:val="000000" w:themeColor="text1"/>
          <w:szCs w:val="24"/>
        </w:rPr>
        <w:t>Proceedings of the Royal Society B: Biological Sciences</w:t>
      </w:r>
      <w:r w:rsidRPr="00CB10DF">
        <w:rPr>
          <w:rFonts w:ascii="Times New Roman" w:hAnsi="Times New Roman" w:cs="Times New Roman"/>
          <w:noProof/>
          <w:color w:val="000000" w:themeColor="text1"/>
          <w:szCs w:val="24"/>
        </w:rPr>
        <w:t>. https://doi.org/10.1098/rspb.2013.0174</w:t>
      </w:r>
    </w:p>
    <w:p w14:paraId="16B44D40"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Gibert, J. P., &amp; DeLong, J. P. (2014). Temperature alters food web body-size structure. </w:t>
      </w:r>
      <w:r w:rsidRPr="00CB10DF">
        <w:rPr>
          <w:rFonts w:ascii="Times New Roman" w:hAnsi="Times New Roman" w:cs="Times New Roman"/>
          <w:i/>
          <w:iCs/>
          <w:noProof/>
          <w:color w:val="000000" w:themeColor="text1"/>
          <w:szCs w:val="24"/>
        </w:rPr>
        <w:t>Biology Letters</w:t>
      </w:r>
      <w:r w:rsidRPr="00CB10DF">
        <w:rPr>
          <w:rFonts w:ascii="Times New Roman" w:hAnsi="Times New Roman" w:cs="Times New Roman"/>
          <w:noProof/>
          <w:color w:val="000000" w:themeColor="text1"/>
          <w:szCs w:val="24"/>
        </w:rPr>
        <w:t xml:space="preserve">, </w:t>
      </w:r>
      <w:r w:rsidRPr="00CB10DF">
        <w:rPr>
          <w:rFonts w:ascii="Times New Roman" w:hAnsi="Times New Roman" w:cs="Times New Roman"/>
          <w:i/>
          <w:iCs/>
          <w:noProof/>
          <w:color w:val="000000" w:themeColor="text1"/>
          <w:szCs w:val="24"/>
        </w:rPr>
        <w:t>10</w:t>
      </w:r>
      <w:r w:rsidRPr="00CB10DF">
        <w:rPr>
          <w:rFonts w:ascii="Times New Roman" w:hAnsi="Times New Roman" w:cs="Times New Roman"/>
          <w:noProof/>
          <w:color w:val="000000" w:themeColor="text1"/>
          <w:szCs w:val="24"/>
        </w:rPr>
        <w:t>(8), 20140473–20140473. https://doi.org/10.1098/rsbl.2014.0473</w:t>
      </w:r>
    </w:p>
    <w:p w14:paraId="1E0454A9"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Gilbert, J. D. J. (2011). Insect Dry Weight: Shortcut to a Difficult Quantity using Museum Specimens. </w:t>
      </w:r>
      <w:r w:rsidRPr="00CB10DF">
        <w:rPr>
          <w:rFonts w:ascii="Times New Roman" w:hAnsi="Times New Roman" w:cs="Times New Roman"/>
          <w:i/>
          <w:iCs/>
          <w:noProof/>
          <w:color w:val="000000" w:themeColor="text1"/>
          <w:szCs w:val="24"/>
        </w:rPr>
        <w:t>Florida Entomologist</w:t>
      </w:r>
      <w:r w:rsidRPr="00CB10DF">
        <w:rPr>
          <w:rFonts w:ascii="Times New Roman" w:hAnsi="Times New Roman" w:cs="Times New Roman"/>
          <w:noProof/>
          <w:color w:val="000000" w:themeColor="text1"/>
          <w:szCs w:val="24"/>
        </w:rPr>
        <w:t>. https://doi.org/10.1653/024.094.0433</w:t>
      </w:r>
    </w:p>
    <w:p w14:paraId="2730AB04"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Haas, H. L., &amp; Tolley, K. A. (1998). Geographic variation of wing morphology in three Eurasian populations of the fruit fly, </w:t>
      </w:r>
      <w:r w:rsidRPr="00CB10DF">
        <w:rPr>
          <w:rFonts w:ascii="Times New Roman" w:hAnsi="Times New Roman" w:cs="Times New Roman"/>
          <w:i/>
          <w:iCs/>
          <w:noProof/>
          <w:color w:val="000000" w:themeColor="text1"/>
          <w:szCs w:val="24"/>
        </w:rPr>
        <w:t>Drosophila lummei</w:t>
      </w:r>
      <w:r w:rsidRPr="00CB10DF">
        <w:rPr>
          <w:rFonts w:ascii="Times New Roman" w:hAnsi="Times New Roman" w:cs="Times New Roman"/>
          <w:noProof/>
          <w:color w:val="000000" w:themeColor="text1"/>
          <w:szCs w:val="24"/>
        </w:rPr>
        <w:t xml:space="preserve">. </w:t>
      </w:r>
      <w:r w:rsidRPr="00CB10DF">
        <w:rPr>
          <w:rFonts w:ascii="Times New Roman" w:hAnsi="Times New Roman" w:cs="Times New Roman"/>
          <w:i/>
          <w:iCs/>
          <w:noProof/>
          <w:color w:val="000000" w:themeColor="text1"/>
          <w:szCs w:val="24"/>
        </w:rPr>
        <w:t>Journal of Zoology</w:t>
      </w:r>
      <w:r w:rsidRPr="00CB10DF">
        <w:rPr>
          <w:rFonts w:ascii="Times New Roman" w:hAnsi="Times New Roman" w:cs="Times New Roman"/>
          <w:noProof/>
          <w:color w:val="000000" w:themeColor="text1"/>
          <w:szCs w:val="24"/>
        </w:rPr>
        <w:t xml:space="preserve">, </w:t>
      </w:r>
      <w:r w:rsidRPr="00CB10DF">
        <w:rPr>
          <w:rFonts w:ascii="Times New Roman" w:hAnsi="Times New Roman" w:cs="Times New Roman"/>
          <w:i/>
          <w:iCs/>
          <w:noProof/>
          <w:color w:val="000000" w:themeColor="text1"/>
          <w:szCs w:val="24"/>
        </w:rPr>
        <w:t>245</w:t>
      </w:r>
      <w:r w:rsidRPr="00CB10DF">
        <w:rPr>
          <w:rFonts w:ascii="Times New Roman" w:hAnsi="Times New Roman" w:cs="Times New Roman"/>
          <w:noProof/>
          <w:color w:val="000000" w:themeColor="text1"/>
          <w:szCs w:val="24"/>
        </w:rPr>
        <w:t>(April 2001), 197–203. https://doi.org/10.1017/S0952836998006074</w:t>
      </w:r>
    </w:p>
    <w:p w14:paraId="111D8735"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Hassall, Chirstopher, Thompson, D. J., French, G. C., &amp; Harvey, I. F. (2007). Historical changes in the phenology of British Odonata are related to climate. In </w:t>
      </w:r>
      <w:r w:rsidRPr="00CB10DF">
        <w:rPr>
          <w:rFonts w:ascii="Times New Roman" w:hAnsi="Times New Roman" w:cs="Times New Roman"/>
          <w:i/>
          <w:iCs/>
          <w:noProof/>
          <w:color w:val="000000" w:themeColor="text1"/>
          <w:szCs w:val="24"/>
        </w:rPr>
        <w:t>Global Change Biology</w:t>
      </w:r>
      <w:r w:rsidRPr="00CB10DF">
        <w:rPr>
          <w:rFonts w:ascii="Times New Roman" w:hAnsi="Times New Roman" w:cs="Times New Roman"/>
          <w:noProof/>
          <w:color w:val="000000" w:themeColor="text1"/>
          <w:szCs w:val="24"/>
        </w:rPr>
        <w:t xml:space="preserve"> (Vol. 13, Issue 5, pp. 933–941). https://doi.org/10.1111/j.1365-2486.2007.01318.x</w:t>
      </w:r>
    </w:p>
    <w:p w14:paraId="34D8AC0F"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Hassall, Christopher. (2015). Strong geographical variation in wing aspect ratio of a damselfly, </w:t>
      </w:r>
      <w:r w:rsidRPr="00CB10DF">
        <w:rPr>
          <w:rFonts w:ascii="Times New Roman" w:hAnsi="Times New Roman" w:cs="Times New Roman"/>
          <w:i/>
          <w:iCs/>
          <w:noProof/>
          <w:color w:val="000000" w:themeColor="text1"/>
          <w:szCs w:val="24"/>
        </w:rPr>
        <w:t>Calopteryx maculata</w:t>
      </w:r>
      <w:r w:rsidRPr="00CB10DF">
        <w:rPr>
          <w:rFonts w:ascii="Times New Roman" w:hAnsi="Times New Roman" w:cs="Times New Roman"/>
          <w:noProof/>
          <w:color w:val="000000" w:themeColor="text1"/>
          <w:szCs w:val="24"/>
        </w:rPr>
        <w:t xml:space="preserve"> (Odonata: Zygoptera). </w:t>
      </w:r>
      <w:r w:rsidRPr="00CB10DF">
        <w:rPr>
          <w:rFonts w:ascii="Times New Roman" w:hAnsi="Times New Roman" w:cs="Times New Roman"/>
          <w:i/>
          <w:iCs/>
          <w:noProof/>
          <w:color w:val="000000" w:themeColor="text1"/>
          <w:szCs w:val="24"/>
        </w:rPr>
        <w:t>PeerJ</w:t>
      </w:r>
      <w:r w:rsidRPr="00CB10DF">
        <w:rPr>
          <w:rFonts w:ascii="Times New Roman" w:hAnsi="Times New Roman" w:cs="Times New Roman"/>
          <w:noProof/>
          <w:color w:val="000000" w:themeColor="text1"/>
          <w:szCs w:val="24"/>
        </w:rPr>
        <w:t>. https://doi.org/10.7717/peerj.1219</w:t>
      </w:r>
    </w:p>
    <w:p w14:paraId="774D90F0"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Hassall, Christopher, &amp; Thompson, D. J. (2008). The effects of environmental warming on odonata: A review. </w:t>
      </w:r>
      <w:r w:rsidRPr="00CB10DF">
        <w:rPr>
          <w:rFonts w:ascii="Times New Roman" w:hAnsi="Times New Roman" w:cs="Times New Roman"/>
          <w:i/>
          <w:iCs/>
          <w:noProof/>
          <w:color w:val="000000" w:themeColor="text1"/>
          <w:szCs w:val="24"/>
        </w:rPr>
        <w:t>International Journal of Odonatology</w:t>
      </w:r>
      <w:r w:rsidRPr="00CB10DF">
        <w:rPr>
          <w:rFonts w:ascii="Times New Roman" w:hAnsi="Times New Roman" w:cs="Times New Roman"/>
          <w:noProof/>
          <w:color w:val="000000" w:themeColor="text1"/>
          <w:szCs w:val="24"/>
        </w:rPr>
        <w:t xml:space="preserve">, </w:t>
      </w:r>
      <w:r w:rsidRPr="00CB10DF">
        <w:rPr>
          <w:rFonts w:ascii="Times New Roman" w:hAnsi="Times New Roman" w:cs="Times New Roman"/>
          <w:i/>
          <w:iCs/>
          <w:noProof/>
          <w:color w:val="000000" w:themeColor="text1"/>
          <w:szCs w:val="24"/>
        </w:rPr>
        <w:t>11</w:t>
      </w:r>
      <w:r w:rsidRPr="00CB10DF">
        <w:rPr>
          <w:rFonts w:ascii="Times New Roman" w:hAnsi="Times New Roman" w:cs="Times New Roman"/>
          <w:noProof/>
          <w:color w:val="000000" w:themeColor="text1"/>
          <w:szCs w:val="24"/>
        </w:rPr>
        <w:t>(2), 131–153. https://doi.org/10.1080/13887890.2008.9748319</w:t>
      </w:r>
    </w:p>
    <w:p w14:paraId="75BE510D"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lastRenderedPageBreak/>
        <w:t xml:space="preserve">Horne, C. R., Hirst, A. G., &amp; Atkinson, D. (2015). Temperature-size responses match latitudinal-size clines in arthropods, revealing critical differences between aquatic and terrestrial species. </w:t>
      </w:r>
      <w:r w:rsidRPr="00CB10DF">
        <w:rPr>
          <w:rFonts w:ascii="Times New Roman" w:hAnsi="Times New Roman" w:cs="Times New Roman"/>
          <w:i/>
          <w:iCs/>
          <w:noProof/>
          <w:color w:val="000000" w:themeColor="text1"/>
          <w:szCs w:val="24"/>
        </w:rPr>
        <w:t>Ecology Letters</w:t>
      </w:r>
      <w:r w:rsidRPr="00CB10DF">
        <w:rPr>
          <w:rFonts w:ascii="Times New Roman" w:hAnsi="Times New Roman" w:cs="Times New Roman"/>
          <w:noProof/>
          <w:color w:val="000000" w:themeColor="text1"/>
          <w:szCs w:val="24"/>
        </w:rPr>
        <w:t xml:space="preserve">, </w:t>
      </w:r>
      <w:r w:rsidRPr="00CB10DF">
        <w:rPr>
          <w:rFonts w:ascii="Times New Roman" w:hAnsi="Times New Roman" w:cs="Times New Roman"/>
          <w:i/>
          <w:iCs/>
          <w:noProof/>
          <w:color w:val="000000" w:themeColor="text1"/>
          <w:szCs w:val="24"/>
        </w:rPr>
        <w:t>18</w:t>
      </w:r>
      <w:r w:rsidRPr="00CB10DF">
        <w:rPr>
          <w:rFonts w:ascii="Times New Roman" w:hAnsi="Times New Roman" w:cs="Times New Roman"/>
          <w:noProof/>
          <w:color w:val="000000" w:themeColor="text1"/>
          <w:szCs w:val="24"/>
        </w:rPr>
        <w:t>(4), 327–335. https://doi.org/10.1111/ele.12413</w:t>
      </w:r>
    </w:p>
    <w:p w14:paraId="21386852"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Horne, C. R., Hirst, A. G., Atkinson, D., Neves, A., &amp; Kiørboe, T. (2016). A global synthesis of seasonal temperature–size responses in copepods. </w:t>
      </w:r>
      <w:r w:rsidRPr="00CB10DF">
        <w:rPr>
          <w:rFonts w:ascii="Times New Roman" w:hAnsi="Times New Roman" w:cs="Times New Roman"/>
          <w:i/>
          <w:iCs/>
          <w:noProof/>
          <w:color w:val="000000" w:themeColor="text1"/>
          <w:szCs w:val="24"/>
        </w:rPr>
        <w:t>Global Ecology and Biogeography</w:t>
      </w:r>
      <w:r w:rsidRPr="00CB10DF">
        <w:rPr>
          <w:rFonts w:ascii="Times New Roman" w:hAnsi="Times New Roman" w:cs="Times New Roman"/>
          <w:noProof/>
          <w:color w:val="000000" w:themeColor="text1"/>
          <w:szCs w:val="24"/>
        </w:rPr>
        <w:t xml:space="preserve">, </w:t>
      </w:r>
      <w:r w:rsidRPr="00CB10DF">
        <w:rPr>
          <w:rFonts w:ascii="Times New Roman" w:hAnsi="Times New Roman" w:cs="Times New Roman"/>
          <w:i/>
          <w:iCs/>
          <w:noProof/>
          <w:color w:val="000000" w:themeColor="text1"/>
          <w:szCs w:val="24"/>
        </w:rPr>
        <w:t>25</w:t>
      </w:r>
      <w:r w:rsidRPr="00CB10DF">
        <w:rPr>
          <w:rFonts w:ascii="Times New Roman" w:hAnsi="Times New Roman" w:cs="Times New Roman"/>
          <w:noProof/>
          <w:color w:val="000000" w:themeColor="text1"/>
          <w:szCs w:val="24"/>
        </w:rPr>
        <w:t>(8), 988–999. https://doi.org/10.1111/geb.12460</w:t>
      </w:r>
    </w:p>
    <w:p w14:paraId="0C06CA5D"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Johansson, F., &amp; Rowe, L. (1999). Life history and behavioral responses to time constraints in a damselfly. </w:t>
      </w:r>
      <w:r w:rsidRPr="00CB10DF">
        <w:rPr>
          <w:rFonts w:ascii="Times New Roman" w:hAnsi="Times New Roman" w:cs="Times New Roman"/>
          <w:i/>
          <w:iCs/>
          <w:noProof/>
          <w:color w:val="000000" w:themeColor="text1"/>
          <w:szCs w:val="24"/>
        </w:rPr>
        <w:t>Ecology</w:t>
      </w:r>
      <w:r w:rsidRPr="00CB10DF">
        <w:rPr>
          <w:rFonts w:ascii="Times New Roman" w:hAnsi="Times New Roman" w:cs="Times New Roman"/>
          <w:noProof/>
          <w:color w:val="000000" w:themeColor="text1"/>
          <w:szCs w:val="24"/>
        </w:rPr>
        <w:t xml:space="preserve">, </w:t>
      </w:r>
      <w:r w:rsidRPr="00CB10DF">
        <w:rPr>
          <w:rFonts w:ascii="Times New Roman" w:hAnsi="Times New Roman" w:cs="Times New Roman"/>
          <w:i/>
          <w:iCs/>
          <w:noProof/>
          <w:color w:val="000000" w:themeColor="text1"/>
          <w:szCs w:val="24"/>
        </w:rPr>
        <w:t>80</w:t>
      </w:r>
      <w:r w:rsidRPr="00CB10DF">
        <w:rPr>
          <w:rFonts w:ascii="Times New Roman" w:hAnsi="Times New Roman" w:cs="Times New Roman"/>
          <w:noProof/>
          <w:color w:val="000000" w:themeColor="text1"/>
          <w:szCs w:val="24"/>
        </w:rPr>
        <w:t>(4), 1242–1252. https://doi.org/10.1890/0012-9658(1999)080[1242:LHABRT]2.0.CO;2</w:t>
      </w:r>
    </w:p>
    <w:p w14:paraId="7B8E0A94"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Kingsolver, J. G., &amp; Huey, R. B. (2008). Size, temperature, and fitness: Three rules. </w:t>
      </w:r>
      <w:r w:rsidRPr="00CB10DF">
        <w:rPr>
          <w:rFonts w:ascii="Times New Roman" w:hAnsi="Times New Roman" w:cs="Times New Roman"/>
          <w:i/>
          <w:iCs/>
          <w:noProof/>
          <w:color w:val="000000" w:themeColor="text1"/>
          <w:szCs w:val="24"/>
        </w:rPr>
        <w:t>Evolutionary Ecology Research</w:t>
      </w:r>
      <w:r w:rsidRPr="00CB10DF">
        <w:rPr>
          <w:rFonts w:ascii="Times New Roman" w:hAnsi="Times New Roman" w:cs="Times New Roman"/>
          <w:noProof/>
          <w:color w:val="000000" w:themeColor="text1"/>
          <w:szCs w:val="24"/>
        </w:rPr>
        <w:t xml:space="preserve">, </w:t>
      </w:r>
      <w:r w:rsidRPr="00CB10DF">
        <w:rPr>
          <w:rFonts w:ascii="Times New Roman" w:hAnsi="Times New Roman" w:cs="Times New Roman"/>
          <w:i/>
          <w:iCs/>
          <w:noProof/>
          <w:color w:val="000000" w:themeColor="text1"/>
          <w:szCs w:val="24"/>
        </w:rPr>
        <w:t>10</w:t>
      </w:r>
      <w:r w:rsidRPr="00CB10DF">
        <w:rPr>
          <w:rFonts w:ascii="Times New Roman" w:hAnsi="Times New Roman" w:cs="Times New Roman"/>
          <w:noProof/>
          <w:color w:val="000000" w:themeColor="text1"/>
          <w:szCs w:val="24"/>
        </w:rPr>
        <w:t>(2), 251–268.</w:t>
      </w:r>
    </w:p>
    <w:p w14:paraId="1338C3D5" w14:textId="5C97EF34"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Koskim??ki, J., Rantala, M. J., &amp; Suhonen, I. (2009). Wandering males are smaller than territorial males in the damselfly </w:t>
      </w:r>
      <w:r w:rsidR="00264CF7" w:rsidRPr="00CB10DF">
        <w:rPr>
          <w:rFonts w:ascii="Times New Roman" w:hAnsi="Times New Roman" w:cs="Times New Roman"/>
          <w:i/>
          <w:iCs/>
          <w:noProof/>
          <w:color w:val="000000" w:themeColor="text1"/>
          <w:szCs w:val="24"/>
        </w:rPr>
        <w:t>C</w:t>
      </w:r>
      <w:r w:rsidRPr="00CB10DF">
        <w:rPr>
          <w:rFonts w:ascii="Times New Roman" w:hAnsi="Times New Roman" w:cs="Times New Roman"/>
          <w:i/>
          <w:iCs/>
          <w:noProof/>
          <w:color w:val="000000" w:themeColor="text1"/>
          <w:szCs w:val="24"/>
        </w:rPr>
        <w:t xml:space="preserve">alopteryx virgo </w:t>
      </w:r>
      <w:r w:rsidRPr="00CB10DF">
        <w:rPr>
          <w:rFonts w:ascii="Times New Roman" w:hAnsi="Times New Roman" w:cs="Times New Roman"/>
          <w:noProof/>
          <w:color w:val="000000" w:themeColor="text1"/>
          <w:szCs w:val="24"/>
        </w:rPr>
        <w:t xml:space="preserve">(L.) (zygoptera: calopterygidae). </w:t>
      </w:r>
      <w:r w:rsidRPr="00CB10DF">
        <w:rPr>
          <w:rFonts w:ascii="Times New Roman" w:hAnsi="Times New Roman" w:cs="Times New Roman"/>
          <w:i/>
          <w:iCs/>
          <w:noProof/>
          <w:color w:val="000000" w:themeColor="text1"/>
          <w:szCs w:val="24"/>
        </w:rPr>
        <w:t>Odonatologica</w:t>
      </w:r>
      <w:r w:rsidRPr="00CB10DF">
        <w:rPr>
          <w:rFonts w:ascii="Times New Roman" w:hAnsi="Times New Roman" w:cs="Times New Roman"/>
          <w:noProof/>
          <w:color w:val="000000" w:themeColor="text1"/>
          <w:szCs w:val="24"/>
        </w:rPr>
        <w:t>.</w:t>
      </w:r>
    </w:p>
    <w:p w14:paraId="03BD83CC"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Krogmann, L., &amp; Holstein, J. (2010). Preserving and Specimen Handling : Insects and other Invertebrates. </w:t>
      </w:r>
      <w:r w:rsidRPr="00CB10DF">
        <w:rPr>
          <w:rFonts w:ascii="Times New Roman" w:hAnsi="Times New Roman" w:cs="Times New Roman"/>
          <w:i/>
          <w:iCs/>
          <w:noProof/>
          <w:color w:val="000000" w:themeColor="text1"/>
          <w:szCs w:val="24"/>
        </w:rPr>
        <w:t>Manual on Field Recording Techniques and Protocols for All Taxa Biodiversity Inventories</w:t>
      </w:r>
      <w:r w:rsidRPr="00CB10DF">
        <w:rPr>
          <w:rFonts w:ascii="Times New Roman" w:hAnsi="Times New Roman" w:cs="Times New Roman"/>
          <w:noProof/>
          <w:color w:val="000000" w:themeColor="text1"/>
          <w:szCs w:val="24"/>
        </w:rPr>
        <w:t>. https://doi.org/volumes/volume-8-manual-atbi/volumes/volume-8-manual-atbi/chpater-18/Chapter_18.pdf</w:t>
      </w:r>
    </w:p>
    <w:p w14:paraId="1875CC2E"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Livingstone, D. M., &amp; Lotter, A. F. (1998). The relationship between air and water temperatures in lakes of the Swiss Plateau: A case study with palaeolimnological implications. </w:t>
      </w:r>
      <w:r w:rsidRPr="00CB10DF">
        <w:rPr>
          <w:rFonts w:ascii="Times New Roman" w:hAnsi="Times New Roman" w:cs="Times New Roman"/>
          <w:i/>
          <w:iCs/>
          <w:noProof/>
          <w:color w:val="000000" w:themeColor="text1"/>
          <w:szCs w:val="24"/>
        </w:rPr>
        <w:t>Journal of Paleolimnology</w:t>
      </w:r>
      <w:r w:rsidRPr="00CB10DF">
        <w:rPr>
          <w:rFonts w:ascii="Times New Roman" w:hAnsi="Times New Roman" w:cs="Times New Roman"/>
          <w:noProof/>
          <w:color w:val="000000" w:themeColor="text1"/>
          <w:szCs w:val="24"/>
        </w:rPr>
        <w:t>. https://doi.org/10.1023/A:1007904817619</w:t>
      </w:r>
    </w:p>
    <w:p w14:paraId="7A26B47C"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Loh, R., David, J. R., Debat, V., &amp; Bitner-Mathé, B. C. (2008). Adaptation to different climates results in divergent phenotypic plasticity of wing size and shape in an invasive drosophilid. </w:t>
      </w:r>
      <w:r w:rsidRPr="00CB10DF">
        <w:rPr>
          <w:rFonts w:ascii="Times New Roman" w:hAnsi="Times New Roman" w:cs="Times New Roman"/>
          <w:i/>
          <w:iCs/>
          <w:noProof/>
          <w:color w:val="000000" w:themeColor="text1"/>
          <w:szCs w:val="24"/>
        </w:rPr>
        <w:t xml:space="preserve">Journal of </w:t>
      </w:r>
      <w:r w:rsidRPr="00CB10DF">
        <w:rPr>
          <w:rFonts w:ascii="Times New Roman" w:hAnsi="Times New Roman" w:cs="Times New Roman"/>
          <w:i/>
          <w:iCs/>
          <w:noProof/>
          <w:color w:val="000000" w:themeColor="text1"/>
          <w:szCs w:val="24"/>
        </w:rPr>
        <w:lastRenderedPageBreak/>
        <w:t>Genetics</w:t>
      </w:r>
      <w:r w:rsidRPr="00CB10DF">
        <w:rPr>
          <w:rFonts w:ascii="Times New Roman" w:hAnsi="Times New Roman" w:cs="Times New Roman"/>
          <w:noProof/>
          <w:color w:val="000000" w:themeColor="text1"/>
          <w:szCs w:val="24"/>
        </w:rPr>
        <w:t>. https://doi.org/10.1007/s12041-008-0034-2</w:t>
      </w:r>
    </w:p>
    <w:p w14:paraId="39E6E698"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Lowe, C. D., Harvey, I. F., Watts, P. C., &amp; Thompson, D. J. (2009). Reproductive timing and patterns of development for the damselfly </w:t>
      </w:r>
      <w:r w:rsidRPr="00CB10DF">
        <w:rPr>
          <w:rFonts w:ascii="Times New Roman" w:hAnsi="Times New Roman" w:cs="Times New Roman"/>
          <w:i/>
          <w:iCs/>
          <w:noProof/>
          <w:color w:val="000000" w:themeColor="text1"/>
          <w:szCs w:val="24"/>
        </w:rPr>
        <w:t>Coenagrion puella</w:t>
      </w:r>
      <w:r w:rsidRPr="00CB10DF">
        <w:rPr>
          <w:rFonts w:ascii="Times New Roman" w:hAnsi="Times New Roman" w:cs="Times New Roman"/>
          <w:noProof/>
          <w:color w:val="000000" w:themeColor="text1"/>
          <w:szCs w:val="24"/>
        </w:rPr>
        <w:t xml:space="preserve"> in the field. </w:t>
      </w:r>
      <w:r w:rsidRPr="00CB10DF">
        <w:rPr>
          <w:rFonts w:ascii="Times New Roman" w:hAnsi="Times New Roman" w:cs="Times New Roman"/>
          <w:i/>
          <w:iCs/>
          <w:noProof/>
          <w:color w:val="000000" w:themeColor="text1"/>
          <w:szCs w:val="24"/>
        </w:rPr>
        <w:t>Ecology</w:t>
      </w:r>
      <w:r w:rsidRPr="00CB10DF">
        <w:rPr>
          <w:rFonts w:ascii="Times New Roman" w:hAnsi="Times New Roman" w:cs="Times New Roman"/>
          <w:noProof/>
          <w:color w:val="000000" w:themeColor="text1"/>
          <w:szCs w:val="24"/>
        </w:rPr>
        <w:t xml:space="preserve">, </w:t>
      </w:r>
      <w:r w:rsidRPr="00CB10DF">
        <w:rPr>
          <w:rFonts w:ascii="Times New Roman" w:hAnsi="Times New Roman" w:cs="Times New Roman"/>
          <w:i/>
          <w:iCs/>
          <w:noProof/>
          <w:color w:val="000000" w:themeColor="text1"/>
          <w:szCs w:val="24"/>
        </w:rPr>
        <w:t>90</w:t>
      </w:r>
      <w:r w:rsidRPr="00CB10DF">
        <w:rPr>
          <w:rFonts w:ascii="Times New Roman" w:hAnsi="Times New Roman" w:cs="Times New Roman"/>
          <w:noProof/>
          <w:color w:val="000000" w:themeColor="text1"/>
          <w:szCs w:val="24"/>
        </w:rPr>
        <w:t>(8), 2202–2212. https://doi.org/10.1890/08-1780.1</w:t>
      </w:r>
    </w:p>
    <w:p w14:paraId="6A291E46"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Mahdjoub, H., Khelifa, R., Zebsa, R., Bouslama, Z., &amp; Houhamdi, M. (2015). Bivoltinism in </w:t>
      </w:r>
      <w:r w:rsidRPr="00CB10DF">
        <w:rPr>
          <w:rFonts w:ascii="Times New Roman" w:hAnsi="Times New Roman" w:cs="Times New Roman"/>
          <w:i/>
          <w:iCs/>
          <w:noProof/>
          <w:color w:val="000000" w:themeColor="text1"/>
          <w:szCs w:val="24"/>
        </w:rPr>
        <w:t>Coenagrion mercuriale</w:t>
      </w:r>
      <w:r w:rsidRPr="00CB10DF">
        <w:rPr>
          <w:rFonts w:ascii="Times New Roman" w:hAnsi="Times New Roman" w:cs="Times New Roman"/>
          <w:noProof/>
          <w:color w:val="000000" w:themeColor="text1"/>
          <w:szCs w:val="24"/>
        </w:rPr>
        <w:t xml:space="preserve"> (Zygoptera: Odonata) in the southern margin of its distribution range: emergence pattern and larval growth. </w:t>
      </w:r>
      <w:r w:rsidRPr="00CB10DF">
        <w:rPr>
          <w:rFonts w:ascii="Times New Roman" w:hAnsi="Times New Roman" w:cs="Times New Roman"/>
          <w:i/>
          <w:iCs/>
          <w:noProof/>
          <w:color w:val="000000" w:themeColor="text1"/>
          <w:szCs w:val="24"/>
        </w:rPr>
        <w:t>African Entomology</w:t>
      </w:r>
      <w:r w:rsidRPr="00CB10DF">
        <w:rPr>
          <w:rFonts w:ascii="Times New Roman" w:hAnsi="Times New Roman" w:cs="Times New Roman"/>
          <w:noProof/>
          <w:color w:val="000000" w:themeColor="text1"/>
          <w:szCs w:val="24"/>
        </w:rPr>
        <w:t xml:space="preserve">, </w:t>
      </w:r>
      <w:r w:rsidRPr="00CB10DF">
        <w:rPr>
          <w:rFonts w:ascii="Times New Roman" w:hAnsi="Times New Roman" w:cs="Times New Roman"/>
          <w:i/>
          <w:iCs/>
          <w:noProof/>
          <w:color w:val="000000" w:themeColor="text1"/>
          <w:szCs w:val="24"/>
        </w:rPr>
        <w:t>23</w:t>
      </w:r>
      <w:r w:rsidRPr="00CB10DF">
        <w:rPr>
          <w:rFonts w:ascii="Times New Roman" w:hAnsi="Times New Roman" w:cs="Times New Roman"/>
          <w:noProof/>
          <w:color w:val="000000" w:themeColor="text1"/>
          <w:szCs w:val="24"/>
        </w:rPr>
        <w:t>(1), 59–67. https://doi.org/10.4001/003.023.0120</w:t>
      </w:r>
    </w:p>
    <w:p w14:paraId="467B4117"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Michiels, N. K., &amp; Dhondt, A. A. (1989). Effects of emergence characteristics on longevity and maturation in the dragonfly </w:t>
      </w:r>
      <w:r w:rsidRPr="00CB10DF">
        <w:rPr>
          <w:rFonts w:ascii="Times New Roman" w:hAnsi="Times New Roman" w:cs="Times New Roman"/>
          <w:i/>
          <w:iCs/>
          <w:noProof/>
          <w:color w:val="000000" w:themeColor="text1"/>
          <w:szCs w:val="24"/>
        </w:rPr>
        <w:t xml:space="preserve">Sympetrum danae </w:t>
      </w:r>
      <w:r w:rsidRPr="00CB10DF">
        <w:rPr>
          <w:rFonts w:ascii="Times New Roman" w:hAnsi="Times New Roman" w:cs="Times New Roman"/>
          <w:noProof/>
          <w:color w:val="000000" w:themeColor="text1"/>
          <w:szCs w:val="24"/>
        </w:rPr>
        <w:t xml:space="preserve">(Anisoptera : Libellulidae). </w:t>
      </w:r>
      <w:r w:rsidRPr="00CB10DF">
        <w:rPr>
          <w:rFonts w:ascii="Times New Roman" w:hAnsi="Times New Roman" w:cs="Times New Roman"/>
          <w:i/>
          <w:iCs/>
          <w:noProof/>
          <w:color w:val="000000" w:themeColor="text1"/>
          <w:szCs w:val="24"/>
        </w:rPr>
        <w:t>Hydrobiologia</w:t>
      </w:r>
      <w:r w:rsidRPr="00CB10DF">
        <w:rPr>
          <w:rFonts w:ascii="Times New Roman" w:hAnsi="Times New Roman" w:cs="Times New Roman"/>
          <w:noProof/>
          <w:color w:val="000000" w:themeColor="text1"/>
          <w:szCs w:val="24"/>
        </w:rPr>
        <w:t xml:space="preserve">, </w:t>
      </w:r>
      <w:r w:rsidRPr="00CB10DF">
        <w:rPr>
          <w:rFonts w:ascii="Times New Roman" w:hAnsi="Times New Roman" w:cs="Times New Roman"/>
          <w:i/>
          <w:iCs/>
          <w:noProof/>
          <w:color w:val="000000" w:themeColor="text1"/>
          <w:szCs w:val="24"/>
        </w:rPr>
        <w:t>171</w:t>
      </w:r>
      <w:r w:rsidRPr="00CB10DF">
        <w:rPr>
          <w:rFonts w:ascii="Times New Roman" w:hAnsi="Times New Roman" w:cs="Times New Roman"/>
          <w:noProof/>
          <w:color w:val="000000" w:themeColor="text1"/>
          <w:szCs w:val="24"/>
        </w:rPr>
        <w:t>(2), 149–158. https://doi.org/10.1007/BF00008175</w:t>
      </w:r>
    </w:p>
    <w:p w14:paraId="017CEB26"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Ohlberger, J. (2013). Climate warming and ectotherm body size - from individual physiology to community ecology. In </w:t>
      </w:r>
      <w:r w:rsidRPr="00CB10DF">
        <w:rPr>
          <w:rFonts w:ascii="Times New Roman" w:hAnsi="Times New Roman" w:cs="Times New Roman"/>
          <w:i/>
          <w:iCs/>
          <w:noProof/>
          <w:color w:val="000000" w:themeColor="text1"/>
          <w:szCs w:val="24"/>
        </w:rPr>
        <w:t>Functional Ecology</w:t>
      </w:r>
      <w:r w:rsidRPr="00CB10DF">
        <w:rPr>
          <w:rFonts w:ascii="Times New Roman" w:hAnsi="Times New Roman" w:cs="Times New Roman"/>
          <w:noProof/>
          <w:color w:val="000000" w:themeColor="text1"/>
          <w:szCs w:val="24"/>
        </w:rPr>
        <w:t xml:space="preserve"> (Vol. 27, Issue 4, pp. 991–1001). https://doi.org/10.1111/1365-2435.12098</w:t>
      </w:r>
    </w:p>
    <w:p w14:paraId="3055B17A"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Ozgul, A., Childs, D. Z., Oli, M. K., Armitage, K. B., Blumstein, D. T., Olson, L. E., Tuljapurkar, S., &amp; Coulson, T. (2010). Coupled dynamics of body mass and population growth in response to environmental change. </w:t>
      </w:r>
      <w:r w:rsidRPr="00CB10DF">
        <w:rPr>
          <w:rFonts w:ascii="Times New Roman" w:hAnsi="Times New Roman" w:cs="Times New Roman"/>
          <w:i/>
          <w:iCs/>
          <w:noProof/>
          <w:color w:val="000000" w:themeColor="text1"/>
          <w:szCs w:val="24"/>
        </w:rPr>
        <w:t>Nature</w:t>
      </w:r>
      <w:r w:rsidRPr="00CB10DF">
        <w:rPr>
          <w:rFonts w:ascii="Times New Roman" w:hAnsi="Times New Roman" w:cs="Times New Roman"/>
          <w:noProof/>
          <w:color w:val="000000" w:themeColor="text1"/>
          <w:szCs w:val="24"/>
        </w:rPr>
        <w:t>. https://doi.org/10.1038/nature09210</w:t>
      </w:r>
    </w:p>
    <w:p w14:paraId="6286504A"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Ozgul, A., Tuljapurkar, S., Benton, T. G., Pemberton, J. M., Clutton-Brock, T. H., &amp; Coulson, T. (2009). The dynamics of phenotypic change and the shrinking sheep of St. kilda. </w:t>
      </w:r>
      <w:r w:rsidRPr="00CB10DF">
        <w:rPr>
          <w:rFonts w:ascii="Times New Roman" w:hAnsi="Times New Roman" w:cs="Times New Roman"/>
          <w:i/>
          <w:iCs/>
          <w:noProof/>
          <w:color w:val="000000" w:themeColor="text1"/>
          <w:szCs w:val="24"/>
        </w:rPr>
        <w:t>Science</w:t>
      </w:r>
      <w:r w:rsidRPr="00CB10DF">
        <w:rPr>
          <w:rFonts w:ascii="Times New Roman" w:hAnsi="Times New Roman" w:cs="Times New Roman"/>
          <w:noProof/>
          <w:color w:val="000000" w:themeColor="text1"/>
          <w:szCs w:val="24"/>
        </w:rPr>
        <w:t>. https://doi.org/10.1126/science.1173668</w:t>
      </w:r>
    </w:p>
    <w:p w14:paraId="55C30A59" w14:textId="33CC1AF1"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Penn, G. H. (2015). Seasonal Variation in the Adult Size of </w:t>
      </w:r>
      <w:r w:rsidRPr="00CB10DF">
        <w:rPr>
          <w:rFonts w:ascii="Times New Roman" w:hAnsi="Times New Roman" w:cs="Times New Roman"/>
          <w:i/>
          <w:iCs/>
          <w:noProof/>
          <w:color w:val="000000" w:themeColor="text1"/>
          <w:szCs w:val="24"/>
        </w:rPr>
        <w:t xml:space="preserve">Pachydiplax </w:t>
      </w:r>
      <w:r w:rsidR="00264CF7" w:rsidRPr="00CB10DF">
        <w:rPr>
          <w:rFonts w:ascii="Times New Roman" w:hAnsi="Times New Roman" w:cs="Times New Roman"/>
          <w:i/>
          <w:iCs/>
          <w:noProof/>
          <w:color w:val="000000" w:themeColor="text1"/>
          <w:szCs w:val="24"/>
        </w:rPr>
        <w:t>l</w:t>
      </w:r>
      <w:r w:rsidRPr="00CB10DF">
        <w:rPr>
          <w:rFonts w:ascii="Times New Roman" w:hAnsi="Times New Roman" w:cs="Times New Roman"/>
          <w:i/>
          <w:iCs/>
          <w:noProof/>
          <w:color w:val="000000" w:themeColor="text1"/>
          <w:szCs w:val="24"/>
        </w:rPr>
        <w:t>ongipennis</w:t>
      </w:r>
      <w:r w:rsidRPr="00CB10DF">
        <w:rPr>
          <w:rFonts w:ascii="Times New Roman" w:hAnsi="Times New Roman" w:cs="Times New Roman"/>
          <w:noProof/>
          <w:color w:val="000000" w:themeColor="text1"/>
          <w:szCs w:val="24"/>
        </w:rPr>
        <w:t xml:space="preserve"> (Burmeister) (Odonata, Libellulidae)1. </w:t>
      </w:r>
      <w:r w:rsidRPr="00CB10DF">
        <w:rPr>
          <w:rFonts w:ascii="Times New Roman" w:hAnsi="Times New Roman" w:cs="Times New Roman"/>
          <w:i/>
          <w:iCs/>
          <w:noProof/>
          <w:color w:val="000000" w:themeColor="text1"/>
          <w:szCs w:val="24"/>
        </w:rPr>
        <w:t>Annals of the Entomological Society of America</w:t>
      </w:r>
      <w:r w:rsidRPr="00CB10DF">
        <w:rPr>
          <w:rFonts w:ascii="Times New Roman" w:hAnsi="Times New Roman" w:cs="Times New Roman"/>
          <w:noProof/>
          <w:color w:val="000000" w:themeColor="text1"/>
          <w:szCs w:val="24"/>
        </w:rPr>
        <w:t>. https://doi.org/10.1093/aesa/44.2.193</w:t>
      </w:r>
    </w:p>
    <w:p w14:paraId="3670EA39"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lastRenderedPageBreak/>
        <w:t xml:space="preserve">Philip Corbet, S. B. (2008). </w:t>
      </w:r>
      <w:r w:rsidRPr="00CB10DF">
        <w:rPr>
          <w:rFonts w:ascii="Times New Roman" w:hAnsi="Times New Roman" w:cs="Times New Roman"/>
          <w:i/>
          <w:iCs/>
          <w:noProof/>
          <w:color w:val="000000" w:themeColor="text1"/>
          <w:szCs w:val="24"/>
        </w:rPr>
        <w:t>Dragonflies (Collins New Naturalist Library, Book 106)</w:t>
      </w:r>
      <w:r w:rsidRPr="00CB10DF">
        <w:rPr>
          <w:rFonts w:ascii="Times New Roman" w:hAnsi="Times New Roman" w:cs="Times New Roman"/>
          <w:noProof/>
          <w:color w:val="000000" w:themeColor="text1"/>
          <w:szCs w:val="24"/>
        </w:rPr>
        <w:t>.</w:t>
      </w:r>
    </w:p>
    <w:p w14:paraId="24D66A25"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Purse, B. V., &amp; Thompson, D. J. (2003). Emergence of the damselflies,</w:t>
      </w:r>
      <w:r w:rsidRPr="00CB10DF">
        <w:rPr>
          <w:rFonts w:ascii="Times New Roman" w:hAnsi="Times New Roman" w:cs="Times New Roman"/>
          <w:i/>
          <w:iCs/>
          <w:noProof/>
          <w:color w:val="000000" w:themeColor="text1"/>
          <w:szCs w:val="24"/>
        </w:rPr>
        <w:t xml:space="preserve"> Coenagrion mercuriale</w:t>
      </w:r>
      <w:r w:rsidRPr="00CB10DF">
        <w:rPr>
          <w:rFonts w:ascii="Times New Roman" w:hAnsi="Times New Roman" w:cs="Times New Roman"/>
          <w:noProof/>
          <w:color w:val="000000" w:themeColor="text1"/>
          <w:szCs w:val="24"/>
        </w:rPr>
        <w:t xml:space="preserve"> and </w:t>
      </w:r>
      <w:r w:rsidRPr="00CB10DF">
        <w:rPr>
          <w:rFonts w:ascii="Times New Roman" w:hAnsi="Times New Roman" w:cs="Times New Roman"/>
          <w:i/>
          <w:iCs/>
          <w:noProof/>
          <w:color w:val="000000" w:themeColor="text1"/>
          <w:szCs w:val="24"/>
        </w:rPr>
        <w:t>Ceriagrion tenellum</w:t>
      </w:r>
      <w:r w:rsidRPr="00CB10DF">
        <w:rPr>
          <w:rFonts w:ascii="Times New Roman" w:hAnsi="Times New Roman" w:cs="Times New Roman"/>
          <w:noProof/>
          <w:color w:val="000000" w:themeColor="text1"/>
          <w:szCs w:val="24"/>
        </w:rPr>
        <w:t xml:space="preserve"> (Odonata: Coenagrionidae), at their northern range margins, in Britain. </w:t>
      </w:r>
      <w:r w:rsidRPr="00CB10DF">
        <w:rPr>
          <w:rFonts w:ascii="Times New Roman" w:hAnsi="Times New Roman" w:cs="Times New Roman"/>
          <w:i/>
          <w:iCs/>
          <w:noProof/>
          <w:color w:val="000000" w:themeColor="text1"/>
          <w:szCs w:val="24"/>
        </w:rPr>
        <w:t>European Journal of Entomology</w:t>
      </w:r>
      <w:r w:rsidRPr="00CB10DF">
        <w:rPr>
          <w:rFonts w:ascii="Times New Roman" w:hAnsi="Times New Roman" w:cs="Times New Roman"/>
          <w:noProof/>
          <w:color w:val="000000" w:themeColor="text1"/>
          <w:szCs w:val="24"/>
        </w:rPr>
        <w:t xml:space="preserve">, </w:t>
      </w:r>
      <w:r w:rsidRPr="00CB10DF">
        <w:rPr>
          <w:rFonts w:ascii="Times New Roman" w:hAnsi="Times New Roman" w:cs="Times New Roman"/>
          <w:i/>
          <w:iCs/>
          <w:noProof/>
          <w:color w:val="000000" w:themeColor="text1"/>
          <w:szCs w:val="24"/>
        </w:rPr>
        <w:t>100</w:t>
      </w:r>
      <w:r w:rsidRPr="00CB10DF">
        <w:rPr>
          <w:rFonts w:ascii="Times New Roman" w:hAnsi="Times New Roman" w:cs="Times New Roman"/>
          <w:noProof/>
          <w:color w:val="000000" w:themeColor="text1"/>
          <w:szCs w:val="24"/>
        </w:rPr>
        <w:t>(1), 93–99.</w:t>
      </w:r>
    </w:p>
    <w:p w14:paraId="50B2D453"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Puzzle, L. (2004). Temperature , Growth Rate , and Body Size in Ectotherms : Fitting Pieces of a. </w:t>
      </w:r>
      <w:r w:rsidRPr="00CB10DF">
        <w:rPr>
          <w:rFonts w:ascii="Times New Roman" w:hAnsi="Times New Roman" w:cs="Times New Roman"/>
          <w:i/>
          <w:iCs/>
          <w:noProof/>
          <w:color w:val="000000" w:themeColor="text1"/>
          <w:szCs w:val="24"/>
        </w:rPr>
        <w:t>Current</w:t>
      </w:r>
      <w:r w:rsidRPr="00CB10DF">
        <w:rPr>
          <w:rFonts w:ascii="Times New Roman" w:hAnsi="Times New Roman" w:cs="Times New Roman"/>
          <w:noProof/>
          <w:color w:val="000000" w:themeColor="text1"/>
          <w:szCs w:val="24"/>
        </w:rPr>
        <w:t xml:space="preserve">, </w:t>
      </w:r>
      <w:r w:rsidRPr="00CB10DF">
        <w:rPr>
          <w:rFonts w:ascii="Times New Roman" w:hAnsi="Times New Roman" w:cs="Times New Roman"/>
          <w:i/>
          <w:iCs/>
          <w:noProof/>
          <w:color w:val="000000" w:themeColor="text1"/>
          <w:szCs w:val="24"/>
        </w:rPr>
        <w:t>509</w:t>
      </w:r>
      <w:r w:rsidRPr="00CB10DF">
        <w:rPr>
          <w:rFonts w:ascii="Times New Roman" w:hAnsi="Times New Roman" w:cs="Times New Roman"/>
          <w:noProof/>
          <w:color w:val="000000" w:themeColor="text1"/>
          <w:szCs w:val="24"/>
        </w:rPr>
        <w:t>(6), 498–509. https://doi.org/10.1039/C8CC00158H</w:t>
      </w:r>
    </w:p>
    <w:p w14:paraId="7788478B"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Rowe, L., &amp; Ludwig, D. (1991). Size and timing of metamorphosis in complex life cycles: time constraints and variation. </w:t>
      </w:r>
      <w:r w:rsidRPr="00CB10DF">
        <w:rPr>
          <w:rFonts w:ascii="Times New Roman" w:hAnsi="Times New Roman" w:cs="Times New Roman"/>
          <w:i/>
          <w:iCs/>
          <w:noProof/>
          <w:color w:val="000000" w:themeColor="text1"/>
          <w:szCs w:val="24"/>
        </w:rPr>
        <w:t>Ecology</w:t>
      </w:r>
      <w:r w:rsidRPr="00CB10DF">
        <w:rPr>
          <w:rFonts w:ascii="Times New Roman" w:hAnsi="Times New Roman" w:cs="Times New Roman"/>
          <w:noProof/>
          <w:color w:val="000000" w:themeColor="text1"/>
          <w:szCs w:val="24"/>
        </w:rPr>
        <w:t xml:space="preserve">, </w:t>
      </w:r>
      <w:r w:rsidRPr="00CB10DF">
        <w:rPr>
          <w:rFonts w:ascii="Times New Roman" w:hAnsi="Times New Roman" w:cs="Times New Roman"/>
          <w:i/>
          <w:iCs/>
          <w:noProof/>
          <w:color w:val="000000" w:themeColor="text1"/>
          <w:szCs w:val="24"/>
        </w:rPr>
        <w:t>72</w:t>
      </w:r>
      <w:r w:rsidRPr="00CB10DF">
        <w:rPr>
          <w:rFonts w:ascii="Times New Roman" w:hAnsi="Times New Roman" w:cs="Times New Roman"/>
          <w:noProof/>
          <w:color w:val="000000" w:themeColor="text1"/>
          <w:szCs w:val="24"/>
        </w:rPr>
        <w:t>(2), 413–427. https://doi.org/10.2307/2937184</w:t>
      </w:r>
    </w:p>
    <w:p w14:paraId="422DA611"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Schutze, M. K., &amp; Clarke, A. R. (2008). Converse bergmann cline in a Eucalyptus herbivore, </w:t>
      </w:r>
      <w:r w:rsidRPr="00CB10DF">
        <w:rPr>
          <w:rFonts w:ascii="Times New Roman" w:hAnsi="Times New Roman" w:cs="Times New Roman"/>
          <w:i/>
          <w:iCs/>
          <w:noProof/>
          <w:color w:val="000000" w:themeColor="text1"/>
          <w:szCs w:val="24"/>
        </w:rPr>
        <w:t>Paropsis atomaria Olivier</w:t>
      </w:r>
      <w:r w:rsidRPr="00CB10DF">
        <w:rPr>
          <w:rFonts w:ascii="Times New Roman" w:hAnsi="Times New Roman" w:cs="Times New Roman"/>
          <w:noProof/>
          <w:color w:val="000000" w:themeColor="text1"/>
          <w:szCs w:val="24"/>
        </w:rPr>
        <w:t xml:space="preserve"> (Coleoptera: Chrysomelidae): Phenotypic plasticity or local adaptation? </w:t>
      </w:r>
      <w:r w:rsidRPr="00CB10DF">
        <w:rPr>
          <w:rFonts w:ascii="Times New Roman" w:hAnsi="Times New Roman" w:cs="Times New Roman"/>
          <w:i/>
          <w:iCs/>
          <w:noProof/>
          <w:color w:val="000000" w:themeColor="text1"/>
          <w:szCs w:val="24"/>
        </w:rPr>
        <w:t>Global Ecology and Biogeography</w:t>
      </w:r>
      <w:r w:rsidRPr="00CB10DF">
        <w:rPr>
          <w:rFonts w:ascii="Times New Roman" w:hAnsi="Times New Roman" w:cs="Times New Roman"/>
          <w:noProof/>
          <w:color w:val="000000" w:themeColor="text1"/>
          <w:szCs w:val="24"/>
        </w:rPr>
        <w:t xml:space="preserve">, </w:t>
      </w:r>
      <w:r w:rsidRPr="00CB10DF">
        <w:rPr>
          <w:rFonts w:ascii="Times New Roman" w:hAnsi="Times New Roman" w:cs="Times New Roman"/>
          <w:i/>
          <w:iCs/>
          <w:noProof/>
          <w:color w:val="000000" w:themeColor="text1"/>
          <w:szCs w:val="24"/>
        </w:rPr>
        <w:t>17</w:t>
      </w:r>
      <w:r w:rsidRPr="00CB10DF">
        <w:rPr>
          <w:rFonts w:ascii="Times New Roman" w:hAnsi="Times New Roman" w:cs="Times New Roman"/>
          <w:noProof/>
          <w:color w:val="000000" w:themeColor="text1"/>
          <w:szCs w:val="24"/>
        </w:rPr>
        <w:t>(3), 424–431. https://doi.org/10.1111/j.1466-8238.2007.00374.x</w:t>
      </w:r>
    </w:p>
    <w:p w14:paraId="6C48BCB4"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Serrano-Meneses, M. A., Córdoba-Aguilar, A., Azpilicueta-Amorín, M., González-Soriano, E., &amp; Székely, T. (2008). Sexual selection, sexual size dimorphism and Rensch’s rule in Odonata. </w:t>
      </w:r>
      <w:r w:rsidRPr="00CB10DF">
        <w:rPr>
          <w:rFonts w:ascii="Times New Roman" w:hAnsi="Times New Roman" w:cs="Times New Roman"/>
          <w:i/>
          <w:iCs/>
          <w:noProof/>
          <w:color w:val="000000" w:themeColor="text1"/>
          <w:szCs w:val="24"/>
        </w:rPr>
        <w:t>Journal of Evolutionary Biology</w:t>
      </w:r>
      <w:r w:rsidRPr="00CB10DF">
        <w:rPr>
          <w:rFonts w:ascii="Times New Roman" w:hAnsi="Times New Roman" w:cs="Times New Roman"/>
          <w:noProof/>
          <w:color w:val="000000" w:themeColor="text1"/>
          <w:szCs w:val="24"/>
        </w:rPr>
        <w:t xml:space="preserve">, </w:t>
      </w:r>
      <w:r w:rsidRPr="00CB10DF">
        <w:rPr>
          <w:rFonts w:ascii="Times New Roman" w:hAnsi="Times New Roman" w:cs="Times New Roman"/>
          <w:i/>
          <w:iCs/>
          <w:noProof/>
          <w:color w:val="000000" w:themeColor="text1"/>
          <w:szCs w:val="24"/>
        </w:rPr>
        <w:t>21</w:t>
      </w:r>
      <w:r w:rsidRPr="00CB10DF">
        <w:rPr>
          <w:rFonts w:ascii="Times New Roman" w:hAnsi="Times New Roman" w:cs="Times New Roman"/>
          <w:noProof/>
          <w:color w:val="000000" w:themeColor="text1"/>
          <w:szCs w:val="24"/>
        </w:rPr>
        <w:t>(5), 1259–1273. https://doi.org/10.1111/j.1420-9101.2008.01567.x</w:t>
      </w:r>
    </w:p>
    <w:p w14:paraId="3D7C4020"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Sheridan, J. a., &amp; Bickford, D. (2011). Shrinking body size as an ecological response to climate change. </w:t>
      </w:r>
      <w:r w:rsidRPr="00CB10DF">
        <w:rPr>
          <w:rFonts w:ascii="Times New Roman" w:hAnsi="Times New Roman" w:cs="Times New Roman"/>
          <w:i/>
          <w:iCs/>
          <w:noProof/>
          <w:color w:val="000000" w:themeColor="text1"/>
          <w:szCs w:val="24"/>
        </w:rPr>
        <w:t>Nature Climate Change</w:t>
      </w:r>
      <w:r w:rsidRPr="00CB10DF">
        <w:rPr>
          <w:rFonts w:ascii="Times New Roman" w:hAnsi="Times New Roman" w:cs="Times New Roman"/>
          <w:noProof/>
          <w:color w:val="000000" w:themeColor="text1"/>
          <w:szCs w:val="24"/>
        </w:rPr>
        <w:t xml:space="preserve">, </w:t>
      </w:r>
      <w:r w:rsidRPr="00CB10DF">
        <w:rPr>
          <w:rFonts w:ascii="Times New Roman" w:hAnsi="Times New Roman" w:cs="Times New Roman"/>
          <w:i/>
          <w:iCs/>
          <w:noProof/>
          <w:color w:val="000000" w:themeColor="text1"/>
          <w:szCs w:val="24"/>
        </w:rPr>
        <w:t>1</w:t>
      </w:r>
      <w:r w:rsidRPr="00CB10DF">
        <w:rPr>
          <w:rFonts w:ascii="Times New Roman" w:hAnsi="Times New Roman" w:cs="Times New Roman"/>
          <w:noProof/>
          <w:color w:val="000000" w:themeColor="text1"/>
          <w:szCs w:val="24"/>
        </w:rPr>
        <w:t>(8), 401–406. https://doi.org/10.1038/nclimate1259</w:t>
      </w:r>
    </w:p>
    <w:p w14:paraId="62B4D37B"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Sokolovska, N., Rowe, L., &amp; Johansson, F. (2000). Fitness and body size in mature odonates. </w:t>
      </w:r>
      <w:r w:rsidRPr="00CB10DF">
        <w:rPr>
          <w:rFonts w:ascii="Times New Roman" w:hAnsi="Times New Roman" w:cs="Times New Roman"/>
          <w:i/>
          <w:iCs/>
          <w:noProof/>
          <w:color w:val="000000" w:themeColor="text1"/>
          <w:szCs w:val="24"/>
        </w:rPr>
        <w:t>Ecological Entomology</w:t>
      </w:r>
      <w:r w:rsidRPr="00CB10DF">
        <w:rPr>
          <w:rFonts w:ascii="Times New Roman" w:hAnsi="Times New Roman" w:cs="Times New Roman"/>
          <w:noProof/>
          <w:color w:val="000000" w:themeColor="text1"/>
          <w:szCs w:val="24"/>
        </w:rPr>
        <w:t xml:space="preserve">, </w:t>
      </w:r>
      <w:r w:rsidRPr="00CB10DF">
        <w:rPr>
          <w:rFonts w:ascii="Times New Roman" w:hAnsi="Times New Roman" w:cs="Times New Roman"/>
          <w:i/>
          <w:iCs/>
          <w:noProof/>
          <w:color w:val="000000" w:themeColor="text1"/>
          <w:szCs w:val="24"/>
        </w:rPr>
        <w:t>25</w:t>
      </w:r>
      <w:r w:rsidRPr="00CB10DF">
        <w:rPr>
          <w:rFonts w:ascii="Times New Roman" w:hAnsi="Times New Roman" w:cs="Times New Roman"/>
          <w:noProof/>
          <w:color w:val="000000" w:themeColor="text1"/>
          <w:szCs w:val="24"/>
        </w:rPr>
        <w:t>(2), 239–248. https://doi.org/10.1046/j.1365-2311.2000.00251.x</w:t>
      </w:r>
    </w:p>
    <w:p w14:paraId="4E21F6F1"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Sota, T., Takami, Y., Kubota, K., &amp; Ishikawa, R. (2002). Geographic variation in body size of carabid beetles: patterns resulting from climatic adaptation and interspecific interaction. In </w:t>
      </w:r>
      <w:r w:rsidRPr="00CB10DF">
        <w:rPr>
          <w:rFonts w:ascii="Times New Roman" w:hAnsi="Times New Roman" w:cs="Times New Roman"/>
          <w:i/>
          <w:iCs/>
          <w:noProof/>
          <w:color w:val="000000" w:themeColor="text1"/>
          <w:szCs w:val="24"/>
        </w:rPr>
        <w:t>Japanese Journal of Entomology New Series</w:t>
      </w:r>
      <w:r w:rsidRPr="00CB10DF">
        <w:rPr>
          <w:rFonts w:ascii="Times New Roman" w:hAnsi="Times New Roman" w:cs="Times New Roman"/>
          <w:noProof/>
          <w:color w:val="000000" w:themeColor="text1"/>
          <w:szCs w:val="24"/>
        </w:rPr>
        <w:t xml:space="preserve"> (Vol. 5, Issue 3, pp. 88–97).</w:t>
      </w:r>
    </w:p>
    <w:p w14:paraId="080B4C8D"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lastRenderedPageBreak/>
        <w:t xml:space="preserve">Stewart, S. S., &amp; Vodopich, D. S. (2018). Environmental effects on wing shape and wing size of </w:t>
      </w:r>
      <w:r w:rsidRPr="00CB10DF">
        <w:rPr>
          <w:rFonts w:ascii="Times New Roman" w:hAnsi="Times New Roman" w:cs="Times New Roman"/>
          <w:i/>
          <w:iCs/>
          <w:noProof/>
          <w:color w:val="000000" w:themeColor="text1"/>
          <w:szCs w:val="24"/>
        </w:rPr>
        <w:t>Argia sedula</w:t>
      </w:r>
      <w:r w:rsidRPr="00CB10DF">
        <w:rPr>
          <w:rFonts w:ascii="Times New Roman" w:hAnsi="Times New Roman" w:cs="Times New Roman"/>
          <w:noProof/>
          <w:color w:val="000000" w:themeColor="text1"/>
          <w:szCs w:val="24"/>
        </w:rPr>
        <w:t xml:space="preserve"> (Odonata: Coenagrionidae). </w:t>
      </w:r>
      <w:r w:rsidRPr="00CB10DF">
        <w:rPr>
          <w:rFonts w:ascii="Times New Roman" w:hAnsi="Times New Roman" w:cs="Times New Roman"/>
          <w:i/>
          <w:iCs/>
          <w:noProof/>
          <w:color w:val="000000" w:themeColor="text1"/>
          <w:szCs w:val="24"/>
        </w:rPr>
        <w:t>International Journal of Odonatology</w:t>
      </w:r>
      <w:r w:rsidRPr="00CB10DF">
        <w:rPr>
          <w:rFonts w:ascii="Times New Roman" w:hAnsi="Times New Roman" w:cs="Times New Roman"/>
          <w:noProof/>
          <w:color w:val="000000" w:themeColor="text1"/>
          <w:szCs w:val="24"/>
        </w:rPr>
        <w:t>. https://doi.org/10.1080/13887890.2018.1523752</w:t>
      </w:r>
    </w:p>
    <w:p w14:paraId="34847E43"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Stoks, R., &amp; Córdoba-Aguilar, A. (2012). Evolutionary Ecology of Odonata: A Complex Life Cycle Perspective. </w:t>
      </w:r>
      <w:r w:rsidRPr="00CB10DF">
        <w:rPr>
          <w:rFonts w:ascii="Times New Roman" w:hAnsi="Times New Roman" w:cs="Times New Roman"/>
          <w:i/>
          <w:iCs/>
          <w:noProof/>
          <w:color w:val="000000" w:themeColor="text1"/>
          <w:szCs w:val="24"/>
        </w:rPr>
        <w:t>Annual Review of Entomology</w:t>
      </w:r>
      <w:r w:rsidRPr="00CB10DF">
        <w:rPr>
          <w:rFonts w:ascii="Times New Roman" w:hAnsi="Times New Roman" w:cs="Times New Roman"/>
          <w:noProof/>
          <w:color w:val="000000" w:themeColor="text1"/>
          <w:szCs w:val="24"/>
        </w:rPr>
        <w:t xml:space="preserve">, </w:t>
      </w:r>
      <w:r w:rsidRPr="00CB10DF">
        <w:rPr>
          <w:rFonts w:ascii="Times New Roman" w:hAnsi="Times New Roman" w:cs="Times New Roman"/>
          <w:i/>
          <w:iCs/>
          <w:noProof/>
          <w:color w:val="000000" w:themeColor="text1"/>
          <w:szCs w:val="24"/>
        </w:rPr>
        <w:t>57</w:t>
      </w:r>
      <w:r w:rsidRPr="00CB10DF">
        <w:rPr>
          <w:rFonts w:ascii="Times New Roman" w:hAnsi="Times New Roman" w:cs="Times New Roman"/>
          <w:noProof/>
          <w:color w:val="000000" w:themeColor="text1"/>
          <w:szCs w:val="24"/>
        </w:rPr>
        <w:t>(1), 249–265. https://doi.org/10.1146/annurev-ento-120710-100557</w:t>
      </w:r>
    </w:p>
    <w:p w14:paraId="59EC9D4A"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Tseng, M., Kaur, K. M., Soleimani Pari, S., Sarai, K., Chan, D., Yao, C. H., Porto, P., Toor, A., Toor, H. S., &amp; Fograscher, K. (2018). Decreases in beetle body size linked to climate change and warming temperatures. </w:t>
      </w:r>
      <w:r w:rsidRPr="00CB10DF">
        <w:rPr>
          <w:rFonts w:ascii="Times New Roman" w:hAnsi="Times New Roman" w:cs="Times New Roman"/>
          <w:i/>
          <w:iCs/>
          <w:noProof/>
          <w:color w:val="000000" w:themeColor="text1"/>
          <w:szCs w:val="24"/>
        </w:rPr>
        <w:t>Journal of Animal Ecology</w:t>
      </w:r>
      <w:r w:rsidRPr="00CB10DF">
        <w:rPr>
          <w:rFonts w:ascii="Times New Roman" w:hAnsi="Times New Roman" w:cs="Times New Roman"/>
          <w:noProof/>
          <w:color w:val="000000" w:themeColor="text1"/>
          <w:szCs w:val="24"/>
        </w:rPr>
        <w:t>. https://doi.org/10.1111/1365-2656.12789</w:t>
      </w:r>
    </w:p>
    <w:p w14:paraId="655B0EA0"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Van Buskirk, J. (1987). Influence of size and date of emergence on male survival and mating success in a dragonfly, </w:t>
      </w:r>
      <w:r w:rsidRPr="00CB10DF">
        <w:rPr>
          <w:rFonts w:ascii="Times New Roman" w:hAnsi="Times New Roman" w:cs="Times New Roman"/>
          <w:i/>
          <w:iCs/>
          <w:noProof/>
          <w:color w:val="000000" w:themeColor="text1"/>
          <w:szCs w:val="24"/>
        </w:rPr>
        <w:t>Sympetrum rubicundulum</w:t>
      </w:r>
      <w:r w:rsidRPr="00CB10DF">
        <w:rPr>
          <w:rFonts w:ascii="Times New Roman" w:hAnsi="Times New Roman" w:cs="Times New Roman"/>
          <w:noProof/>
          <w:color w:val="000000" w:themeColor="text1"/>
          <w:szCs w:val="24"/>
        </w:rPr>
        <w:t xml:space="preserve">. </w:t>
      </w:r>
      <w:r w:rsidRPr="00CB10DF">
        <w:rPr>
          <w:rFonts w:ascii="Times New Roman" w:hAnsi="Times New Roman" w:cs="Times New Roman"/>
          <w:i/>
          <w:iCs/>
          <w:noProof/>
          <w:color w:val="000000" w:themeColor="text1"/>
          <w:szCs w:val="24"/>
        </w:rPr>
        <w:t>American Midland Naturalist</w:t>
      </w:r>
      <w:r w:rsidRPr="00CB10DF">
        <w:rPr>
          <w:rFonts w:ascii="Times New Roman" w:hAnsi="Times New Roman" w:cs="Times New Roman"/>
          <w:noProof/>
          <w:color w:val="000000" w:themeColor="text1"/>
          <w:szCs w:val="24"/>
        </w:rPr>
        <w:t xml:space="preserve">, </w:t>
      </w:r>
      <w:r w:rsidRPr="00CB10DF">
        <w:rPr>
          <w:rFonts w:ascii="Times New Roman" w:hAnsi="Times New Roman" w:cs="Times New Roman"/>
          <w:i/>
          <w:iCs/>
          <w:noProof/>
          <w:color w:val="000000" w:themeColor="text1"/>
          <w:szCs w:val="24"/>
        </w:rPr>
        <w:t>118</w:t>
      </w:r>
      <w:r w:rsidRPr="00CB10DF">
        <w:rPr>
          <w:rFonts w:ascii="Times New Roman" w:hAnsi="Times New Roman" w:cs="Times New Roman"/>
          <w:noProof/>
          <w:color w:val="000000" w:themeColor="text1"/>
          <w:szCs w:val="24"/>
        </w:rPr>
        <w:t>(1), 169–176.</w:t>
      </w:r>
    </w:p>
    <w:p w14:paraId="714CFBCB"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Venables, W. N., &amp; Ripley, B. D. (2002). Modern Applied Statistics with S Fourth edition by. In </w:t>
      </w:r>
      <w:r w:rsidRPr="00CB10DF">
        <w:rPr>
          <w:rFonts w:ascii="Times New Roman" w:hAnsi="Times New Roman" w:cs="Times New Roman"/>
          <w:i/>
          <w:iCs/>
          <w:noProof/>
          <w:color w:val="000000" w:themeColor="text1"/>
          <w:szCs w:val="24"/>
        </w:rPr>
        <w:t>World</w:t>
      </w:r>
      <w:r w:rsidRPr="00CB10DF">
        <w:rPr>
          <w:rFonts w:ascii="Times New Roman" w:hAnsi="Times New Roman" w:cs="Times New Roman"/>
          <w:noProof/>
          <w:color w:val="000000" w:themeColor="text1"/>
          <w:szCs w:val="24"/>
        </w:rPr>
        <w:t xml:space="preserve"> (Vol. 53, Issue March). https://doi.org/10.2307/2685660</w:t>
      </w:r>
    </w:p>
    <w:p w14:paraId="31649BA0"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Verberk, W. C. E. P., Siepel, H., &amp; Esselink, H. (2008). Life-history strategies in freshwater macroinvertebrates. In </w:t>
      </w:r>
      <w:r w:rsidRPr="00CB10DF">
        <w:rPr>
          <w:rFonts w:ascii="Times New Roman" w:hAnsi="Times New Roman" w:cs="Times New Roman"/>
          <w:i/>
          <w:iCs/>
          <w:noProof/>
          <w:color w:val="000000" w:themeColor="text1"/>
          <w:szCs w:val="24"/>
        </w:rPr>
        <w:t>Freshwater Biology</w:t>
      </w:r>
      <w:r w:rsidRPr="00CB10DF">
        <w:rPr>
          <w:rFonts w:ascii="Times New Roman" w:hAnsi="Times New Roman" w:cs="Times New Roman"/>
          <w:noProof/>
          <w:color w:val="000000" w:themeColor="text1"/>
          <w:szCs w:val="24"/>
        </w:rPr>
        <w:t xml:space="preserve"> (Vol. 53, Issue 9, pp. 1722–1738). https://doi.org/10.1111/j.1365-2427.2008.02035.x</w:t>
      </w:r>
    </w:p>
    <w:p w14:paraId="7BB30CC8"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Wilson, R. J., Brooks, S. J., &amp; Fenberg, P. B. (2019). The influence of ecological and life history factors on ectothermic temperature–size responses: Analysis of three Lycaenidae butterflies (Lepidoptera). </w:t>
      </w:r>
      <w:r w:rsidRPr="00CB10DF">
        <w:rPr>
          <w:rFonts w:ascii="Times New Roman" w:hAnsi="Times New Roman" w:cs="Times New Roman"/>
          <w:i/>
          <w:iCs/>
          <w:noProof/>
          <w:color w:val="000000" w:themeColor="text1"/>
          <w:szCs w:val="24"/>
        </w:rPr>
        <w:t>Ecology and Evolution</w:t>
      </w:r>
      <w:r w:rsidRPr="00CB10DF">
        <w:rPr>
          <w:rFonts w:ascii="Times New Roman" w:hAnsi="Times New Roman" w:cs="Times New Roman"/>
          <w:noProof/>
          <w:color w:val="000000" w:themeColor="text1"/>
          <w:szCs w:val="24"/>
        </w:rPr>
        <w:t xml:space="preserve">, </w:t>
      </w:r>
      <w:r w:rsidRPr="00CB10DF">
        <w:rPr>
          <w:rFonts w:ascii="Times New Roman" w:hAnsi="Times New Roman" w:cs="Times New Roman"/>
          <w:i/>
          <w:iCs/>
          <w:noProof/>
          <w:color w:val="000000" w:themeColor="text1"/>
          <w:szCs w:val="24"/>
        </w:rPr>
        <w:t>9</w:t>
      </w:r>
      <w:r w:rsidRPr="00CB10DF">
        <w:rPr>
          <w:rFonts w:ascii="Times New Roman" w:hAnsi="Times New Roman" w:cs="Times New Roman"/>
          <w:noProof/>
          <w:color w:val="000000" w:themeColor="text1"/>
          <w:szCs w:val="24"/>
        </w:rPr>
        <w:t>(18), 10305–10316. https://doi.org/10.1002/ece3.5550</w:t>
      </w:r>
    </w:p>
    <w:p w14:paraId="1EFE55AF"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szCs w:val="24"/>
        </w:rPr>
      </w:pPr>
      <w:r w:rsidRPr="00CB10DF">
        <w:rPr>
          <w:rFonts w:ascii="Times New Roman" w:hAnsi="Times New Roman" w:cs="Times New Roman"/>
          <w:noProof/>
          <w:color w:val="000000" w:themeColor="text1"/>
          <w:szCs w:val="24"/>
        </w:rPr>
        <w:t xml:space="preserve">Worthen, W. B., &amp; Jones, C. M. (2006). Relationships between body size, wing morphology, and perch height selection in a guild of Libellulidae species (Odonata). </w:t>
      </w:r>
      <w:r w:rsidRPr="00CB10DF">
        <w:rPr>
          <w:rFonts w:ascii="Times New Roman" w:hAnsi="Times New Roman" w:cs="Times New Roman"/>
          <w:i/>
          <w:iCs/>
          <w:noProof/>
          <w:color w:val="000000" w:themeColor="text1"/>
          <w:szCs w:val="24"/>
        </w:rPr>
        <w:t>International Journal of Odonatology</w:t>
      </w:r>
      <w:r w:rsidRPr="00CB10DF">
        <w:rPr>
          <w:rFonts w:ascii="Times New Roman" w:hAnsi="Times New Roman" w:cs="Times New Roman"/>
          <w:noProof/>
          <w:color w:val="000000" w:themeColor="text1"/>
          <w:szCs w:val="24"/>
        </w:rPr>
        <w:t>. https://doi.org/10.1080/13887890.2006.9748281</w:t>
      </w:r>
    </w:p>
    <w:p w14:paraId="1E29EC53" w14:textId="77777777" w:rsidR="00117D84" w:rsidRPr="00CB10DF" w:rsidRDefault="00117D84" w:rsidP="00117D84">
      <w:pPr>
        <w:widowControl w:val="0"/>
        <w:autoSpaceDE w:val="0"/>
        <w:autoSpaceDN w:val="0"/>
        <w:adjustRightInd w:val="0"/>
        <w:spacing w:before="240" w:after="240" w:line="480" w:lineRule="auto"/>
        <w:ind w:left="480" w:hanging="480"/>
        <w:rPr>
          <w:rFonts w:ascii="Times New Roman" w:hAnsi="Times New Roman" w:cs="Times New Roman"/>
          <w:noProof/>
          <w:color w:val="000000" w:themeColor="text1"/>
        </w:rPr>
      </w:pPr>
      <w:r w:rsidRPr="00CB10DF">
        <w:rPr>
          <w:rFonts w:ascii="Times New Roman" w:hAnsi="Times New Roman" w:cs="Times New Roman"/>
          <w:noProof/>
          <w:color w:val="000000" w:themeColor="text1"/>
          <w:szCs w:val="24"/>
        </w:rPr>
        <w:lastRenderedPageBreak/>
        <w:t xml:space="preserve">Zuo, W., Moses, M. E., West, G. B., Hou, C., &amp; Brown, J. H. (2012). A general model for effects of temperature on ectotherm ontogenetic growth and development. </w:t>
      </w:r>
      <w:r w:rsidRPr="00CB10DF">
        <w:rPr>
          <w:rFonts w:ascii="Times New Roman" w:hAnsi="Times New Roman" w:cs="Times New Roman"/>
          <w:i/>
          <w:iCs/>
          <w:noProof/>
          <w:color w:val="000000" w:themeColor="text1"/>
          <w:szCs w:val="24"/>
        </w:rPr>
        <w:t>Proceedings of the Royal Society B: Biological Sciences</w:t>
      </w:r>
      <w:r w:rsidRPr="00CB10DF">
        <w:rPr>
          <w:rFonts w:ascii="Times New Roman" w:hAnsi="Times New Roman" w:cs="Times New Roman"/>
          <w:noProof/>
          <w:color w:val="000000" w:themeColor="text1"/>
          <w:szCs w:val="24"/>
        </w:rPr>
        <w:t>. https://doi.org/10.1098/rspb.2011.2000</w:t>
      </w:r>
    </w:p>
    <w:p w14:paraId="16199B43" w14:textId="495BE626" w:rsidR="004B31AB" w:rsidRPr="00CB10DF" w:rsidRDefault="000B5D29" w:rsidP="00117D84">
      <w:pPr>
        <w:widowControl w:val="0"/>
        <w:autoSpaceDE w:val="0"/>
        <w:autoSpaceDN w:val="0"/>
        <w:adjustRightInd w:val="0"/>
        <w:spacing w:before="240" w:after="240" w:line="480" w:lineRule="auto"/>
        <w:ind w:left="480" w:hanging="480"/>
        <w:rPr>
          <w:rFonts w:ascii="Times New Roman" w:hAnsi="Times New Roman" w:cs="Times New Roman"/>
          <w:color w:val="000000" w:themeColor="text1"/>
          <w:szCs w:val="22"/>
        </w:rPr>
      </w:pPr>
      <w:r w:rsidRPr="00CB10DF">
        <w:rPr>
          <w:rFonts w:ascii="Times New Roman" w:hAnsi="Times New Roman" w:cs="Times New Roman"/>
          <w:color w:val="000000" w:themeColor="text1"/>
          <w:szCs w:val="22"/>
        </w:rPr>
        <w:fldChar w:fldCharType="end"/>
      </w:r>
    </w:p>
    <w:sectPr w:rsidR="004B31AB" w:rsidRPr="00CB10DF" w:rsidSect="00B722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925AC2" w14:textId="77777777" w:rsidR="00F81BAF" w:rsidRDefault="00F81BAF" w:rsidP="009A362E">
      <w:pPr>
        <w:spacing w:after="0" w:line="240" w:lineRule="auto"/>
      </w:pPr>
      <w:r>
        <w:separator/>
      </w:r>
    </w:p>
  </w:endnote>
  <w:endnote w:type="continuationSeparator" w:id="0">
    <w:p w14:paraId="1ACAFCBA" w14:textId="77777777" w:rsidR="00F81BAF" w:rsidRDefault="00F81BAF" w:rsidP="009A36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Segoe UI">
    <w:altName w:val="Arial"/>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2696300"/>
      <w:docPartObj>
        <w:docPartGallery w:val="Page Numbers (Bottom of Page)"/>
        <w:docPartUnique/>
      </w:docPartObj>
    </w:sdtPr>
    <w:sdtEndPr>
      <w:rPr>
        <w:noProof/>
      </w:rPr>
    </w:sdtEndPr>
    <w:sdtContent>
      <w:p w14:paraId="38184EA6" w14:textId="3DB28846" w:rsidR="003A5163" w:rsidRDefault="003A5163">
        <w:pPr>
          <w:pStyle w:val="Footer"/>
          <w:jc w:val="center"/>
        </w:pPr>
        <w:r>
          <w:fldChar w:fldCharType="begin"/>
        </w:r>
        <w:r>
          <w:instrText xml:space="preserve"> PAGE   \* MERGEFORMAT </w:instrText>
        </w:r>
        <w:r>
          <w:fldChar w:fldCharType="separate"/>
        </w:r>
        <w:r>
          <w:rPr>
            <w:noProof/>
          </w:rPr>
          <w:t>23</w:t>
        </w:r>
        <w:r>
          <w:rPr>
            <w:noProof/>
          </w:rPr>
          <w:fldChar w:fldCharType="end"/>
        </w:r>
      </w:p>
    </w:sdtContent>
  </w:sdt>
  <w:p w14:paraId="15A88D91" w14:textId="77777777" w:rsidR="003A5163" w:rsidRDefault="003A51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38117A" w14:textId="77777777" w:rsidR="00F81BAF" w:rsidRDefault="00F81BAF" w:rsidP="009A362E">
      <w:pPr>
        <w:spacing w:after="0" w:line="240" w:lineRule="auto"/>
      </w:pPr>
      <w:r>
        <w:separator/>
      </w:r>
    </w:p>
  </w:footnote>
  <w:footnote w:type="continuationSeparator" w:id="0">
    <w:p w14:paraId="29A1A253" w14:textId="77777777" w:rsidR="00F81BAF" w:rsidRDefault="00F81BAF" w:rsidP="009A36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D666E"/>
    <w:multiLevelType w:val="hybridMultilevel"/>
    <w:tmpl w:val="120E1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A4B"/>
    <w:rsid w:val="00000440"/>
    <w:rsid w:val="0000076D"/>
    <w:rsid w:val="00000AFA"/>
    <w:rsid w:val="00002339"/>
    <w:rsid w:val="00002778"/>
    <w:rsid w:val="00004714"/>
    <w:rsid w:val="000062DF"/>
    <w:rsid w:val="00007751"/>
    <w:rsid w:val="00012E07"/>
    <w:rsid w:val="0001390C"/>
    <w:rsid w:val="000159E3"/>
    <w:rsid w:val="00017BE4"/>
    <w:rsid w:val="00020106"/>
    <w:rsid w:val="000220C7"/>
    <w:rsid w:val="00023572"/>
    <w:rsid w:val="00025D30"/>
    <w:rsid w:val="00026967"/>
    <w:rsid w:val="00027A35"/>
    <w:rsid w:val="00031483"/>
    <w:rsid w:val="00032333"/>
    <w:rsid w:val="00032F4D"/>
    <w:rsid w:val="0003332B"/>
    <w:rsid w:val="000335B4"/>
    <w:rsid w:val="00033A58"/>
    <w:rsid w:val="00033E4B"/>
    <w:rsid w:val="00035D7A"/>
    <w:rsid w:val="0003661E"/>
    <w:rsid w:val="0004096A"/>
    <w:rsid w:val="00042655"/>
    <w:rsid w:val="000426B0"/>
    <w:rsid w:val="00043DA7"/>
    <w:rsid w:val="00044DC8"/>
    <w:rsid w:val="000455A5"/>
    <w:rsid w:val="00045AD7"/>
    <w:rsid w:val="000473B4"/>
    <w:rsid w:val="000512C3"/>
    <w:rsid w:val="000563FC"/>
    <w:rsid w:val="00056A42"/>
    <w:rsid w:val="00056E9B"/>
    <w:rsid w:val="00060BF2"/>
    <w:rsid w:val="00061940"/>
    <w:rsid w:val="00061E7F"/>
    <w:rsid w:val="000629BE"/>
    <w:rsid w:val="00063FA8"/>
    <w:rsid w:val="00064F5F"/>
    <w:rsid w:val="00065783"/>
    <w:rsid w:val="00066594"/>
    <w:rsid w:val="0006783B"/>
    <w:rsid w:val="000715FC"/>
    <w:rsid w:val="00072418"/>
    <w:rsid w:val="00074B2D"/>
    <w:rsid w:val="000756A5"/>
    <w:rsid w:val="00081E70"/>
    <w:rsid w:val="0008241B"/>
    <w:rsid w:val="00082A5E"/>
    <w:rsid w:val="000855B6"/>
    <w:rsid w:val="00085A1D"/>
    <w:rsid w:val="00087547"/>
    <w:rsid w:val="000878AB"/>
    <w:rsid w:val="00092B11"/>
    <w:rsid w:val="00097E44"/>
    <w:rsid w:val="000A0B2E"/>
    <w:rsid w:val="000A1CC6"/>
    <w:rsid w:val="000A237C"/>
    <w:rsid w:val="000A28CB"/>
    <w:rsid w:val="000A32BB"/>
    <w:rsid w:val="000A40B9"/>
    <w:rsid w:val="000A5464"/>
    <w:rsid w:val="000A56DC"/>
    <w:rsid w:val="000A6DED"/>
    <w:rsid w:val="000B5D29"/>
    <w:rsid w:val="000C1A7C"/>
    <w:rsid w:val="000C435C"/>
    <w:rsid w:val="000C4FCA"/>
    <w:rsid w:val="000C50D9"/>
    <w:rsid w:val="000C65AC"/>
    <w:rsid w:val="000C67B4"/>
    <w:rsid w:val="000D40F9"/>
    <w:rsid w:val="000D52BD"/>
    <w:rsid w:val="000D564A"/>
    <w:rsid w:val="000D5BB9"/>
    <w:rsid w:val="000D5C97"/>
    <w:rsid w:val="000D7E34"/>
    <w:rsid w:val="000E0439"/>
    <w:rsid w:val="000E0864"/>
    <w:rsid w:val="000E218C"/>
    <w:rsid w:val="000E28B3"/>
    <w:rsid w:val="000E29BB"/>
    <w:rsid w:val="000E4051"/>
    <w:rsid w:val="000E4EB3"/>
    <w:rsid w:val="000E5656"/>
    <w:rsid w:val="000E7F80"/>
    <w:rsid w:val="000F28D8"/>
    <w:rsid w:val="000F4176"/>
    <w:rsid w:val="000F4B58"/>
    <w:rsid w:val="000F7D1A"/>
    <w:rsid w:val="00100D5D"/>
    <w:rsid w:val="00100E82"/>
    <w:rsid w:val="0010733A"/>
    <w:rsid w:val="001115F8"/>
    <w:rsid w:val="00113B75"/>
    <w:rsid w:val="00113E56"/>
    <w:rsid w:val="00114236"/>
    <w:rsid w:val="00115839"/>
    <w:rsid w:val="00117D84"/>
    <w:rsid w:val="00117FEC"/>
    <w:rsid w:val="001245E7"/>
    <w:rsid w:val="00125D3E"/>
    <w:rsid w:val="00125DF1"/>
    <w:rsid w:val="00130B71"/>
    <w:rsid w:val="00132E53"/>
    <w:rsid w:val="00133DCF"/>
    <w:rsid w:val="001347A0"/>
    <w:rsid w:val="00135DE6"/>
    <w:rsid w:val="00136531"/>
    <w:rsid w:val="001379BC"/>
    <w:rsid w:val="00140AE3"/>
    <w:rsid w:val="00141102"/>
    <w:rsid w:val="00141A04"/>
    <w:rsid w:val="001435C0"/>
    <w:rsid w:val="00150AC8"/>
    <w:rsid w:val="00156624"/>
    <w:rsid w:val="001608E9"/>
    <w:rsid w:val="0016118F"/>
    <w:rsid w:val="001616DF"/>
    <w:rsid w:val="001620BC"/>
    <w:rsid w:val="00162282"/>
    <w:rsid w:val="00164A64"/>
    <w:rsid w:val="001674E3"/>
    <w:rsid w:val="00171452"/>
    <w:rsid w:val="00171D47"/>
    <w:rsid w:val="00172A8F"/>
    <w:rsid w:val="0017534D"/>
    <w:rsid w:val="0017624B"/>
    <w:rsid w:val="001768C5"/>
    <w:rsid w:val="00176DBA"/>
    <w:rsid w:val="00181017"/>
    <w:rsid w:val="00181C01"/>
    <w:rsid w:val="00183894"/>
    <w:rsid w:val="00186F56"/>
    <w:rsid w:val="00196CFE"/>
    <w:rsid w:val="001A0AE6"/>
    <w:rsid w:val="001A2275"/>
    <w:rsid w:val="001A2D05"/>
    <w:rsid w:val="001A33B7"/>
    <w:rsid w:val="001A5500"/>
    <w:rsid w:val="001A5D8B"/>
    <w:rsid w:val="001A5D9A"/>
    <w:rsid w:val="001B0AC2"/>
    <w:rsid w:val="001B3547"/>
    <w:rsid w:val="001B5427"/>
    <w:rsid w:val="001B563D"/>
    <w:rsid w:val="001B61E6"/>
    <w:rsid w:val="001C07D5"/>
    <w:rsid w:val="001C3122"/>
    <w:rsid w:val="001C3934"/>
    <w:rsid w:val="001D0571"/>
    <w:rsid w:val="001D11EC"/>
    <w:rsid w:val="001D132F"/>
    <w:rsid w:val="001D14D2"/>
    <w:rsid w:val="001D5CAD"/>
    <w:rsid w:val="001D5FA0"/>
    <w:rsid w:val="001D658A"/>
    <w:rsid w:val="001D6879"/>
    <w:rsid w:val="001D730A"/>
    <w:rsid w:val="001D7D3C"/>
    <w:rsid w:val="001E0C6F"/>
    <w:rsid w:val="001E50AC"/>
    <w:rsid w:val="001F17EC"/>
    <w:rsid w:val="001F3DCF"/>
    <w:rsid w:val="001F3FA8"/>
    <w:rsid w:val="001F4C24"/>
    <w:rsid w:val="001F4F9F"/>
    <w:rsid w:val="00203412"/>
    <w:rsid w:val="00203A12"/>
    <w:rsid w:val="00204F1D"/>
    <w:rsid w:val="00206BCF"/>
    <w:rsid w:val="00210A80"/>
    <w:rsid w:val="00211E92"/>
    <w:rsid w:val="00212C29"/>
    <w:rsid w:val="00217610"/>
    <w:rsid w:val="00217FAC"/>
    <w:rsid w:val="002201FF"/>
    <w:rsid w:val="002204E3"/>
    <w:rsid w:val="002207BB"/>
    <w:rsid w:val="00220986"/>
    <w:rsid w:val="00224D47"/>
    <w:rsid w:val="002262D2"/>
    <w:rsid w:val="002300A8"/>
    <w:rsid w:val="00230C3F"/>
    <w:rsid w:val="00231FCA"/>
    <w:rsid w:val="00233555"/>
    <w:rsid w:val="00234B42"/>
    <w:rsid w:val="00234B46"/>
    <w:rsid w:val="0023530D"/>
    <w:rsid w:val="00237259"/>
    <w:rsid w:val="0024447F"/>
    <w:rsid w:val="00245076"/>
    <w:rsid w:val="002466A0"/>
    <w:rsid w:val="00251B23"/>
    <w:rsid w:val="00255633"/>
    <w:rsid w:val="002558C0"/>
    <w:rsid w:val="00255FAD"/>
    <w:rsid w:val="00257D89"/>
    <w:rsid w:val="0026094E"/>
    <w:rsid w:val="002610A4"/>
    <w:rsid w:val="002612AF"/>
    <w:rsid w:val="00262C43"/>
    <w:rsid w:val="00264CF7"/>
    <w:rsid w:val="002669D5"/>
    <w:rsid w:val="00267AA3"/>
    <w:rsid w:val="00270C78"/>
    <w:rsid w:val="00271444"/>
    <w:rsid w:val="00271AAB"/>
    <w:rsid w:val="002723E8"/>
    <w:rsid w:val="00272960"/>
    <w:rsid w:val="00272C99"/>
    <w:rsid w:val="00274869"/>
    <w:rsid w:val="00284B45"/>
    <w:rsid w:val="00284E4C"/>
    <w:rsid w:val="00284F28"/>
    <w:rsid w:val="00285BF7"/>
    <w:rsid w:val="00291B57"/>
    <w:rsid w:val="00292815"/>
    <w:rsid w:val="002941AD"/>
    <w:rsid w:val="002961CD"/>
    <w:rsid w:val="00296A3F"/>
    <w:rsid w:val="002A0768"/>
    <w:rsid w:val="002A2560"/>
    <w:rsid w:val="002A275D"/>
    <w:rsid w:val="002A368F"/>
    <w:rsid w:val="002A71C8"/>
    <w:rsid w:val="002B4534"/>
    <w:rsid w:val="002B5D2B"/>
    <w:rsid w:val="002B5F82"/>
    <w:rsid w:val="002B74E1"/>
    <w:rsid w:val="002B7AC8"/>
    <w:rsid w:val="002C4087"/>
    <w:rsid w:val="002C66E9"/>
    <w:rsid w:val="002D0BB0"/>
    <w:rsid w:val="002D0C6B"/>
    <w:rsid w:val="002D15EA"/>
    <w:rsid w:val="002D51E3"/>
    <w:rsid w:val="002D55E1"/>
    <w:rsid w:val="002D64F3"/>
    <w:rsid w:val="002D7C3D"/>
    <w:rsid w:val="002E5EA0"/>
    <w:rsid w:val="002F0F53"/>
    <w:rsid w:val="002F133B"/>
    <w:rsid w:val="002F16C2"/>
    <w:rsid w:val="002F38E6"/>
    <w:rsid w:val="002F75DE"/>
    <w:rsid w:val="003008CC"/>
    <w:rsid w:val="00301926"/>
    <w:rsid w:val="0030289B"/>
    <w:rsid w:val="0030638C"/>
    <w:rsid w:val="003068B0"/>
    <w:rsid w:val="00306E74"/>
    <w:rsid w:val="00311274"/>
    <w:rsid w:val="003129C9"/>
    <w:rsid w:val="00313BCD"/>
    <w:rsid w:val="00314F68"/>
    <w:rsid w:val="00315867"/>
    <w:rsid w:val="00316147"/>
    <w:rsid w:val="003172AE"/>
    <w:rsid w:val="00322291"/>
    <w:rsid w:val="00322B78"/>
    <w:rsid w:val="0032780A"/>
    <w:rsid w:val="00327D30"/>
    <w:rsid w:val="0033268F"/>
    <w:rsid w:val="0033356B"/>
    <w:rsid w:val="00341968"/>
    <w:rsid w:val="003423A2"/>
    <w:rsid w:val="003466D7"/>
    <w:rsid w:val="00347F02"/>
    <w:rsid w:val="0035239E"/>
    <w:rsid w:val="003571E5"/>
    <w:rsid w:val="00357850"/>
    <w:rsid w:val="00357B28"/>
    <w:rsid w:val="00361B95"/>
    <w:rsid w:val="003630AD"/>
    <w:rsid w:val="003630B9"/>
    <w:rsid w:val="00365FDA"/>
    <w:rsid w:val="0036765C"/>
    <w:rsid w:val="00367DFC"/>
    <w:rsid w:val="00370A03"/>
    <w:rsid w:val="003715F3"/>
    <w:rsid w:val="0037396F"/>
    <w:rsid w:val="00373EB6"/>
    <w:rsid w:val="00374895"/>
    <w:rsid w:val="00375E67"/>
    <w:rsid w:val="00376C6D"/>
    <w:rsid w:val="003809CA"/>
    <w:rsid w:val="00380A57"/>
    <w:rsid w:val="00381E1E"/>
    <w:rsid w:val="003838FD"/>
    <w:rsid w:val="00383FE3"/>
    <w:rsid w:val="00384F85"/>
    <w:rsid w:val="00385088"/>
    <w:rsid w:val="00387EB0"/>
    <w:rsid w:val="00390CBE"/>
    <w:rsid w:val="00393189"/>
    <w:rsid w:val="0039509E"/>
    <w:rsid w:val="0039677C"/>
    <w:rsid w:val="003A1DD4"/>
    <w:rsid w:val="003A24C4"/>
    <w:rsid w:val="003A3CF1"/>
    <w:rsid w:val="003A4652"/>
    <w:rsid w:val="003A5163"/>
    <w:rsid w:val="003A5D71"/>
    <w:rsid w:val="003A65EF"/>
    <w:rsid w:val="003A6E02"/>
    <w:rsid w:val="003B27C3"/>
    <w:rsid w:val="003B45FE"/>
    <w:rsid w:val="003B6CE7"/>
    <w:rsid w:val="003C1642"/>
    <w:rsid w:val="003C2FFB"/>
    <w:rsid w:val="003C56FE"/>
    <w:rsid w:val="003C5BB0"/>
    <w:rsid w:val="003C5E01"/>
    <w:rsid w:val="003C6056"/>
    <w:rsid w:val="003C6534"/>
    <w:rsid w:val="003C6C06"/>
    <w:rsid w:val="003C6D13"/>
    <w:rsid w:val="003D14AB"/>
    <w:rsid w:val="003D3069"/>
    <w:rsid w:val="003D57A0"/>
    <w:rsid w:val="003D5B39"/>
    <w:rsid w:val="003D686C"/>
    <w:rsid w:val="003D6C33"/>
    <w:rsid w:val="003E053C"/>
    <w:rsid w:val="003E40D8"/>
    <w:rsid w:val="003E4A8D"/>
    <w:rsid w:val="003E7524"/>
    <w:rsid w:val="003F10AB"/>
    <w:rsid w:val="003F272D"/>
    <w:rsid w:val="003F3A75"/>
    <w:rsid w:val="003F7699"/>
    <w:rsid w:val="00400AB9"/>
    <w:rsid w:val="004026B6"/>
    <w:rsid w:val="00402B17"/>
    <w:rsid w:val="0040436A"/>
    <w:rsid w:val="00405C79"/>
    <w:rsid w:val="0041077C"/>
    <w:rsid w:val="00411A55"/>
    <w:rsid w:val="00411DA2"/>
    <w:rsid w:val="00412859"/>
    <w:rsid w:val="00413614"/>
    <w:rsid w:val="004167CD"/>
    <w:rsid w:val="00416AE6"/>
    <w:rsid w:val="0041701F"/>
    <w:rsid w:val="00423ABA"/>
    <w:rsid w:val="0042669E"/>
    <w:rsid w:val="00434229"/>
    <w:rsid w:val="00434EE1"/>
    <w:rsid w:val="00436B30"/>
    <w:rsid w:val="0043758F"/>
    <w:rsid w:val="00437EC6"/>
    <w:rsid w:val="00442A79"/>
    <w:rsid w:val="00443578"/>
    <w:rsid w:val="00444AFB"/>
    <w:rsid w:val="004457D6"/>
    <w:rsid w:val="00450136"/>
    <w:rsid w:val="00450F84"/>
    <w:rsid w:val="00457878"/>
    <w:rsid w:val="004578D8"/>
    <w:rsid w:val="0046038C"/>
    <w:rsid w:val="00460EAA"/>
    <w:rsid w:val="00461052"/>
    <w:rsid w:val="00463CE4"/>
    <w:rsid w:val="004664D9"/>
    <w:rsid w:val="0046662B"/>
    <w:rsid w:val="00471152"/>
    <w:rsid w:val="00472335"/>
    <w:rsid w:val="00472962"/>
    <w:rsid w:val="00476F7E"/>
    <w:rsid w:val="00477232"/>
    <w:rsid w:val="00480218"/>
    <w:rsid w:val="0048529E"/>
    <w:rsid w:val="00490279"/>
    <w:rsid w:val="00491DFC"/>
    <w:rsid w:val="00496400"/>
    <w:rsid w:val="0049698D"/>
    <w:rsid w:val="00497A5B"/>
    <w:rsid w:val="004A0183"/>
    <w:rsid w:val="004A4109"/>
    <w:rsid w:val="004A5A26"/>
    <w:rsid w:val="004A61F3"/>
    <w:rsid w:val="004B0718"/>
    <w:rsid w:val="004B0ACE"/>
    <w:rsid w:val="004B0B60"/>
    <w:rsid w:val="004B0F89"/>
    <w:rsid w:val="004B1267"/>
    <w:rsid w:val="004B1333"/>
    <w:rsid w:val="004B2812"/>
    <w:rsid w:val="004B31AB"/>
    <w:rsid w:val="004B3CD5"/>
    <w:rsid w:val="004B4379"/>
    <w:rsid w:val="004B5104"/>
    <w:rsid w:val="004B5E1F"/>
    <w:rsid w:val="004C2EC3"/>
    <w:rsid w:val="004C33FB"/>
    <w:rsid w:val="004C403D"/>
    <w:rsid w:val="004C4B47"/>
    <w:rsid w:val="004C5AAD"/>
    <w:rsid w:val="004D0D40"/>
    <w:rsid w:val="004D1AD3"/>
    <w:rsid w:val="004D31AA"/>
    <w:rsid w:val="004D3F0C"/>
    <w:rsid w:val="004D45A5"/>
    <w:rsid w:val="004D6D2B"/>
    <w:rsid w:val="004E0243"/>
    <w:rsid w:val="004E09E5"/>
    <w:rsid w:val="004E5041"/>
    <w:rsid w:val="004E6C0B"/>
    <w:rsid w:val="004F2358"/>
    <w:rsid w:val="004F34B5"/>
    <w:rsid w:val="004F5E03"/>
    <w:rsid w:val="004F7131"/>
    <w:rsid w:val="004F7261"/>
    <w:rsid w:val="004F77D9"/>
    <w:rsid w:val="00500541"/>
    <w:rsid w:val="00500A83"/>
    <w:rsid w:val="005016FD"/>
    <w:rsid w:val="00501AD1"/>
    <w:rsid w:val="00501EF5"/>
    <w:rsid w:val="005028F6"/>
    <w:rsid w:val="005034CC"/>
    <w:rsid w:val="00503500"/>
    <w:rsid w:val="00505F17"/>
    <w:rsid w:val="005074E6"/>
    <w:rsid w:val="0050799B"/>
    <w:rsid w:val="00507D81"/>
    <w:rsid w:val="005110B3"/>
    <w:rsid w:val="005128AF"/>
    <w:rsid w:val="00515C46"/>
    <w:rsid w:val="005163F6"/>
    <w:rsid w:val="0051744C"/>
    <w:rsid w:val="00524DD8"/>
    <w:rsid w:val="00527091"/>
    <w:rsid w:val="005312C2"/>
    <w:rsid w:val="00541753"/>
    <w:rsid w:val="005424C0"/>
    <w:rsid w:val="00542EBC"/>
    <w:rsid w:val="00543197"/>
    <w:rsid w:val="00547683"/>
    <w:rsid w:val="00550287"/>
    <w:rsid w:val="005522BE"/>
    <w:rsid w:val="00553311"/>
    <w:rsid w:val="00553539"/>
    <w:rsid w:val="005542B9"/>
    <w:rsid w:val="005573EE"/>
    <w:rsid w:val="00560D97"/>
    <w:rsid w:val="00561152"/>
    <w:rsid w:val="0056134D"/>
    <w:rsid w:val="00562860"/>
    <w:rsid w:val="005629E3"/>
    <w:rsid w:val="00563D02"/>
    <w:rsid w:val="00563DF6"/>
    <w:rsid w:val="005659A4"/>
    <w:rsid w:val="005679A9"/>
    <w:rsid w:val="00567D66"/>
    <w:rsid w:val="00580B43"/>
    <w:rsid w:val="005828A5"/>
    <w:rsid w:val="00583436"/>
    <w:rsid w:val="005855C0"/>
    <w:rsid w:val="005865A3"/>
    <w:rsid w:val="00592D4C"/>
    <w:rsid w:val="00593C38"/>
    <w:rsid w:val="00595BEB"/>
    <w:rsid w:val="00596D29"/>
    <w:rsid w:val="005A0E44"/>
    <w:rsid w:val="005A2E6F"/>
    <w:rsid w:val="005A4214"/>
    <w:rsid w:val="005A46EB"/>
    <w:rsid w:val="005A5C19"/>
    <w:rsid w:val="005A752D"/>
    <w:rsid w:val="005A7A2A"/>
    <w:rsid w:val="005B00F5"/>
    <w:rsid w:val="005B02F4"/>
    <w:rsid w:val="005B0931"/>
    <w:rsid w:val="005B2DD7"/>
    <w:rsid w:val="005B4427"/>
    <w:rsid w:val="005B5E84"/>
    <w:rsid w:val="005B671E"/>
    <w:rsid w:val="005C02E0"/>
    <w:rsid w:val="005C04F6"/>
    <w:rsid w:val="005C1C81"/>
    <w:rsid w:val="005C3169"/>
    <w:rsid w:val="005C5EC8"/>
    <w:rsid w:val="005C735C"/>
    <w:rsid w:val="005C763B"/>
    <w:rsid w:val="005D074A"/>
    <w:rsid w:val="005D261E"/>
    <w:rsid w:val="005D4989"/>
    <w:rsid w:val="005D6254"/>
    <w:rsid w:val="005D660F"/>
    <w:rsid w:val="005E05D2"/>
    <w:rsid w:val="005E08FC"/>
    <w:rsid w:val="005E1E8F"/>
    <w:rsid w:val="005E4753"/>
    <w:rsid w:val="005E72DB"/>
    <w:rsid w:val="005F04A4"/>
    <w:rsid w:val="005F08AA"/>
    <w:rsid w:val="005F28CD"/>
    <w:rsid w:val="005F3745"/>
    <w:rsid w:val="005F3CA8"/>
    <w:rsid w:val="005F43EB"/>
    <w:rsid w:val="005F44EE"/>
    <w:rsid w:val="005F6537"/>
    <w:rsid w:val="005F6A27"/>
    <w:rsid w:val="00601A8E"/>
    <w:rsid w:val="00602354"/>
    <w:rsid w:val="00604772"/>
    <w:rsid w:val="0060483F"/>
    <w:rsid w:val="006053E2"/>
    <w:rsid w:val="0060676D"/>
    <w:rsid w:val="00606EFF"/>
    <w:rsid w:val="0060724F"/>
    <w:rsid w:val="006072D7"/>
    <w:rsid w:val="00607C3D"/>
    <w:rsid w:val="00611289"/>
    <w:rsid w:val="006150C6"/>
    <w:rsid w:val="00616579"/>
    <w:rsid w:val="00616962"/>
    <w:rsid w:val="00616C0E"/>
    <w:rsid w:val="00617104"/>
    <w:rsid w:val="00620478"/>
    <w:rsid w:val="006206F7"/>
    <w:rsid w:val="0062257B"/>
    <w:rsid w:val="006233C3"/>
    <w:rsid w:val="00623C25"/>
    <w:rsid w:val="00623EAA"/>
    <w:rsid w:val="00625943"/>
    <w:rsid w:val="006265E1"/>
    <w:rsid w:val="00632CAE"/>
    <w:rsid w:val="00632F8A"/>
    <w:rsid w:val="00634408"/>
    <w:rsid w:val="00635135"/>
    <w:rsid w:val="006354F8"/>
    <w:rsid w:val="00637BE0"/>
    <w:rsid w:val="006408DC"/>
    <w:rsid w:val="0064215B"/>
    <w:rsid w:val="00642605"/>
    <w:rsid w:val="00643810"/>
    <w:rsid w:val="00643A7B"/>
    <w:rsid w:val="00644D41"/>
    <w:rsid w:val="006515C3"/>
    <w:rsid w:val="00651B04"/>
    <w:rsid w:val="00651FF5"/>
    <w:rsid w:val="0065516F"/>
    <w:rsid w:val="0065529B"/>
    <w:rsid w:val="006567AE"/>
    <w:rsid w:val="00656D95"/>
    <w:rsid w:val="00660524"/>
    <w:rsid w:val="00664FE3"/>
    <w:rsid w:val="0066535B"/>
    <w:rsid w:val="00675591"/>
    <w:rsid w:val="00675E05"/>
    <w:rsid w:val="006765CF"/>
    <w:rsid w:val="00677AC8"/>
    <w:rsid w:val="00677C01"/>
    <w:rsid w:val="0068199E"/>
    <w:rsid w:val="006820BA"/>
    <w:rsid w:val="0068707E"/>
    <w:rsid w:val="00691AD6"/>
    <w:rsid w:val="006936AD"/>
    <w:rsid w:val="006947AC"/>
    <w:rsid w:val="006976A7"/>
    <w:rsid w:val="006A0204"/>
    <w:rsid w:val="006A1323"/>
    <w:rsid w:val="006A4566"/>
    <w:rsid w:val="006A5084"/>
    <w:rsid w:val="006B0741"/>
    <w:rsid w:val="006B1CF1"/>
    <w:rsid w:val="006B296C"/>
    <w:rsid w:val="006B6D85"/>
    <w:rsid w:val="006B6E8B"/>
    <w:rsid w:val="006C3BDD"/>
    <w:rsid w:val="006C4E36"/>
    <w:rsid w:val="006C7958"/>
    <w:rsid w:val="006D0A9E"/>
    <w:rsid w:val="006D14C6"/>
    <w:rsid w:val="006D1A41"/>
    <w:rsid w:val="006D2227"/>
    <w:rsid w:val="006D4452"/>
    <w:rsid w:val="006D575C"/>
    <w:rsid w:val="006D6179"/>
    <w:rsid w:val="006E1099"/>
    <w:rsid w:val="006E11E0"/>
    <w:rsid w:val="006E246A"/>
    <w:rsid w:val="006E26AA"/>
    <w:rsid w:val="006E321A"/>
    <w:rsid w:val="006E539C"/>
    <w:rsid w:val="006E693D"/>
    <w:rsid w:val="006E72A5"/>
    <w:rsid w:val="006F6856"/>
    <w:rsid w:val="006F6AE2"/>
    <w:rsid w:val="00701772"/>
    <w:rsid w:val="00703117"/>
    <w:rsid w:val="007036C5"/>
    <w:rsid w:val="00706613"/>
    <w:rsid w:val="00706EF8"/>
    <w:rsid w:val="00712909"/>
    <w:rsid w:val="00716D7A"/>
    <w:rsid w:val="00717821"/>
    <w:rsid w:val="0072074E"/>
    <w:rsid w:val="007211C2"/>
    <w:rsid w:val="00723029"/>
    <w:rsid w:val="0072434C"/>
    <w:rsid w:val="007323BA"/>
    <w:rsid w:val="0073246A"/>
    <w:rsid w:val="0073304B"/>
    <w:rsid w:val="00733C07"/>
    <w:rsid w:val="007348DC"/>
    <w:rsid w:val="00735616"/>
    <w:rsid w:val="007379D6"/>
    <w:rsid w:val="00740C88"/>
    <w:rsid w:val="0074586E"/>
    <w:rsid w:val="00746140"/>
    <w:rsid w:val="007463AF"/>
    <w:rsid w:val="00747154"/>
    <w:rsid w:val="00750A46"/>
    <w:rsid w:val="007516A0"/>
    <w:rsid w:val="00755B99"/>
    <w:rsid w:val="00756043"/>
    <w:rsid w:val="00756214"/>
    <w:rsid w:val="00760483"/>
    <w:rsid w:val="007624BB"/>
    <w:rsid w:val="00763D8A"/>
    <w:rsid w:val="0076448C"/>
    <w:rsid w:val="00766228"/>
    <w:rsid w:val="00766AAC"/>
    <w:rsid w:val="007674EB"/>
    <w:rsid w:val="00767F6D"/>
    <w:rsid w:val="00777A14"/>
    <w:rsid w:val="00780509"/>
    <w:rsid w:val="00784DA3"/>
    <w:rsid w:val="00785896"/>
    <w:rsid w:val="00791232"/>
    <w:rsid w:val="00791693"/>
    <w:rsid w:val="00794C05"/>
    <w:rsid w:val="00795EBE"/>
    <w:rsid w:val="0079602B"/>
    <w:rsid w:val="007A443A"/>
    <w:rsid w:val="007A48B2"/>
    <w:rsid w:val="007A63E2"/>
    <w:rsid w:val="007B0CEC"/>
    <w:rsid w:val="007B1CEB"/>
    <w:rsid w:val="007B5E32"/>
    <w:rsid w:val="007C009B"/>
    <w:rsid w:val="007C0B05"/>
    <w:rsid w:val="007C0E1E"/>
    <w:rsid w:val="007C21F2"/>
    <w:rsid w:val="007C2FBF"/>
    <w:rsid w:val="007C36C4"/>
    <w:rsid w:val="007C6DC9"/>
    <w:rsid w:val="007C6EA5"/>
    <w:rsid w:val="007D0BA9"/>
    <w:rsid w:val="007D2358"/>
    <w:rsid w:val="007D2DB8"/>
    <w:rsid w:val="007D42F6"/>
    <w:rsid w:val="007E2AD6"/>
    <w:rsid w:val="007E3344"/>
    <w:rsid w:val="007E7A40"/>
    <w:rsid w:val="007F4A46"/>
    <w:rsid w:val="007F61EF"/>
    <w:rsid w:val="0080142C"/>
    <w:rsid w:val="00802296"/>
    <w:rsid w:val="00806B6F"/>
    <w:rsid w:val="008071D3"/>
    <w:rsid w:val="00807721"/>
    <w:rsid w:val="00807A4C"/>
    <w:rsid w:val="00814222"/>
    <w:rsid w:val="00816BD7"/>
    <w:rsid w:val="00817345"/>
    <w:rsid w:val="00817EE0"/>
    <w:rsid w:val="00824045"/>
    <w:rsid w:val="008244D4"/>
    <w:rsid w:val="00827ECA"/>
    <w:rsid w:val="00831931"/>
    <w:rsid w:val="00834B03"/>
    <w:rsid w:val="00834CF8"/>
    <w:rsid w:val="00836B42"/>
    <w:rsid w:val="008372A2"/>
    <w:rsid w:val="00841359"/>
    <w:rsid w:val="008444A3"/>
    <w:rsid w:val="00844913"/>
    <w:rsid w:val="008451F9"/>
    <w:rsid w:val="00850123"/>
    <w:rsid w:val="0085225C"/>
    <w:rsid w:val="00852AD4"/>
    <w:rsid w:val="00852FDC"/>
    <w:rsid w:val="00854146"/>
    <w:rsid w:val="00855190"/>
    <w:rsid w:val="008556CB"/>
    <w:rsid w:val="00863090"/>
    <w:rsid w:val="008633F1"/>
    <w:rsid w:val="00864A58"/>
    <w:rsid w:val="00864BAB"/>
    <w:rsid w:val="00866C58"/>
    <w:rsid w:val="00870EEF"/>
    <w:rsid w:val="00872DDC"/>
    <w:rsid w:val="008740D2"/>
    <w:rsid w:val="00877C17"/>
    <w:rsid w:val="00877F31"/>
    <w:rsid w:val="00880428"/>
    <w:rsid w:val="00881EB0"/>
    <w:rsid w:val="008832DA"/>
    <w:rsid w:val="008835D6"/>
    <w:rsid w:val="008847B7"/>
    <w:rsid w:val="008866D8"/>
    <w:rsid w:val="00893153"/>
    <w:rsid w:val="008949D1"/>
    <w:rsid w:val="008A0620"/>
    <w:rsid w:val="008A1336"/>
    <w:rsid w:val="008A2F42"/>
    <w:rsid w:val="008A316D"/>
    <w:rsid w:val="008A51CB"/>
    <w:rsid w:val="008A7DCB"/>
    <w:rsid w:val="008B17C2"/>
    <w:rsid w:val="008B3FFA"/>
    <w:rsid w:val="008B4A67"/>
    <w:rsid w:val="008C5C35"/>
    <w:rsid w:val="008C687E"/>
    <w:rsid w:val="008C73C9"/>
    <w:rsid w:val="008C74AA"/>
    <w:rsid w:val="008C79EF"/>
    <w:rsid w:val="008D061E"/>
    <w:rsid w:val="008D5A52"/>
    <w:rsid w:val="008D5E21"/>
    <w:rsid w:val="008D7DB6"/>
    <w:rsid w:val="008E299D"/>
    <w:rsid w:val="008E3D1F"/>
    <w:rsid w:val="008E410A"/>
    <w:rsid w:val="008E6516"/>
    <w:rsid w:val="008E6DC9"/>
    <w:rsid w:val="008E706E"/>
    <w:rsid w:val="008E797D"/>
    <w:rsid w:val="008F0A83"/>
    <w:rsid w:val="008F167E"/>
    <w:rsid w:val="008F20CD"/>
    <w:rsid w:val="008F48B4"/>
    <w:rsid w:val="0090125D"/>
    <w:rsid w:val="009028F7"/>
    <w:rsid w:val="00902F35"/>
    <w:rsid w:val="0090374B"/>
    <w:rsid w:val="00903C3A"/>
    <w:rsid w:val="009052A6"/>
    <w:rsid w:val="009076A4"/>
    <w:rsid w:val="009120A3"/>
    <w:rsid w:val="00913E45"/>
    <w:rsid w:val="00915355"/>
    <w:rsid w:val="0091593F"/>
    <w:rsid w:val="00916BE0"/>
    <w:rsid w:val="00920423"/>
    <w:rsid w:val="0092434B"/>
    <w:rsid w:val="00924A4E"/>
    <w:rsid w:val="00927092"/>
    <w:rsid w:val="0092720C"/>
    <w:rsid w:val="009277E8"/>
    <w:rsid w:val="00933135"/>
    <w:rsid w:val="00934451"/>
    <w:rsid w:val="009364FC"/>
    <w:rsid w:val="00936517"/>
    <w:rsid w:val="00940270"/>
    <w:rsid w:val="00941F6F"/>
    <w:rsid w:val="009440DB"/>
    <w:rsid w:val="00946146"/>
    <w:rsid w:val="00947C1A"/>
    <w:rsid w:val="009518B7"/>
    <w:rsid w:val="00953127"/>
    <w:rsid w:val="009553B7"/>
    <w:rsid w:val="009570B3"/>
    <w:rsid w:val="009607B9"/>
    <w:rsid w:val="00962D66"/>
    <w:rsid w:val="00963AE2"/>
    <w:rsid w:val="009736AC"/>
    <w:rsid w:val="009776C6"/>
    <w:rsid w:val="0098107D"/>
    <w:rsid w:val="00981F1A"/>
    <w:rsid w:val="009832F1"/>
    <w:rsid w:val="00983D3D"/>
    <w:rsid w:val="00983E17"/>
    <w:rsid w:val="00984150"/>
    <w:rsid w:val="00987659"/>
    <w:rsid w:val="00991FAD"/>
    <w:rsid w:val="009929FE"/>
    <w:rsid w:val="00993766"/>
    <w:rsid w:val="00994FB7"/>
    <w:rsid w:val="009952B1"/>
    <w:rsid w:val="009A005A"/>
    <w:rsid w:val="009A286E"/>
    <w:rsid w:val="009A362E"/>
    <w:rsid w:val="009A38EA"/>
    <w:rsid w:val="009A3AE8"/>
    <w:rsid w:val="009A6435"/>
    <w:rsid w:val="009A732A"/>
    <w:rsid w:val="009A7621"/>
    <w:rsid w:val="009A7FA0"/>
    <w:rsid w:val="009B1BB2"/>
    <w:rsid w:val="009B1D88"/>
    <w:rsid w:val="009B4E54"/>
    <w:rsid w:val="009B574D"/>
    <w:rsid w:val="009B5F58"/>
    <w:rsid w:val="009B6D2A"/>
    <w:rsid w:val="009C1032"/>
    <w:rsid w:val="009C18AA"/>
    <w:rsid w:val="009C1977"/>
    <w:rsid w:val="009C1C11"/>
    <w:rsid w:val="009C2111"/>
    <w:rsid w:val="009C2FA1"/>
    <w:rsid w:val="009C60F8"/>
    <w:rsid w:val="009C79D2"/>
    <w:rsid w:val="009D0178"/>
    <w:rsid w:val="009D05E9"/>
    <w:rsid w:val="009D0F14"/>
    <w:rsid w:val="009D5996"/>
    <w:rsid w:val="009E017E"/>
    <w:rsid w:val="009E1EAD"/>
    <w:rsid w:val="009E3091"/>
    <w:rsid w:val="009E3ADA"/>
    <w:rsid w:val="009E6C43"/>
    <w:rsid w:val="009E763F"/>
    <w:rsid w:val="009F164B"/>
    <w:rsid w:val="009F4E47"/>
    <w:rsid w:val="009F64E0"/>
    <w:rsid w:val="00A0234E"/>
    <w:rsid w:val="00A03D52"/>
    <w:rsid w:val="00A051B9"/>
    <w:rsid w:val="00A07731"/>
    <w:rsid w:val="00A12593"/>
    <w:rsid w:val="00A14734"/>
    <w:rsid w:val="00A14763"/>
    <w:rsid w:val="00A200E6"/>
    <w:rsid w:val="00A20C7D"/>
    <w:rsid w:val="00A22E4F"/>
    <w:rsid w:val="00A2419D"/>
    <w:rsid w:val="00A25D18"/>
    <w:rsid w:val="00A26146"/>
    <w:rsid w:val="00A315A9"/>
    <w:rsid w:val="00A33B33"/>
    <w:rsid w:val="00A33E36"/>
    <w:rsid w:val="00A40B28"/>
    <w:rsid w:val="00A41C88"/>
    <w:rsid w:val="00A4504B"/>
    <w:rsid w:val="00A47477"/>
    <w:rsid w:val="00A507C2"/>
    <w:rsid w:val="00A51489"/>
    <w:rsid w:val="00A52CF9"/>
    <w:rsid w:val="00A53FA3"/>
    <w:rsid w:val="00A54297"/>
    <w:rsid w:val="00A54C8F"/>
    <w:rsid w:val="00A55EAA"/>
    <w:rsid w:val="00A5665A"/>
    <w:rsid w:val="00A6035B"/>
    <w:rsid w:val="00A61BE2"/>
    <w:rsid w:val="00A623D5"/>
    <w:rsid w:val="00A62684"/>
    <w:rsid w:val="00A634F4"/>
    <w:rsid w:val="00A64998"/>
    <w:rsid w:val="00A64D5A"/>
    <w:rsid w:val="00A67F99"/>
    <w:rsid w:val="00A7159A"/>
    <w:rsid w:val="00A71753"/>
    <w:rsid w:val="00A71B10"/>
    <w:rsid w:val="00A738E5"/>
    <w:rsid w:val="00A75016"/>
    <w:rsid w:val="00A75184"/>
    <w:rsid w:val="00A7651C"/>
    <w:rsid w:val="00A76DF0"/>
    <w:rsid w:val="00A80961"/>
    <w:rsid w:val="00A8123C"/>
    <w:rsid w:val="00A826D4"/>
    <w:rsid w:val="00A83B1E"/>
    <w:rsid w:val="00A847E5"/>
    <w:rsid w:val="00A84BCF"/>
    <w:rsid w:val="00A9147D"/>
    <w:rsid w:val="00A914F7"/>
    <w:rsid w:val="00A922E7"/>
    <w:rsid w:val="00A97DA4"/>
    <w:rsid w:val="00AA098B"/>
    <w:rsid w:val="00AA4B96"/>
    <w:rsid w:val="00AA573B"/>
    <w:rsid w:val="00AB2727"/>
    <w:rsid w:val="00AC4E95"/>
    <w:rsid w:val="00AC5CF2"/>
    <w:rsid w:val="00AC7B29"/>
    <w:rsid w:val="00AC7CFC"/>
    <w:rsid w:val="00AC7E3B"/>
    <w:rsid w:val="00AD02D0"/>
    <w:rsid w:val="00AD3A8D"/>
    <w:rsid w:val="00AD429A"/>
    <w:rsid w:val="00AD6211"/>
    <w:rsid w:val="00AE2F41"/>
    <w:rsid w:val="00AE35C4"/>
    <w:rsid w:val="00AE4849"/>
    <w:rsid w:val="00AF121D"/>
    <w:rsid w:val="00AF3C05"/>
    <w:rsid w:val="00AF3E65"/>
    <w:rsid w:val="00AF4A13"/>
    <w:rsid w:val="00AF64A8"/>
    <w:rsid w:val="00AF6D0B"/>
    <w:rsid w:val="00B000B1"/>
    <w:rsid w:val="00B00B5E"/>
    <w:rsid w:val="00B02252"/>
    <w:rsid w:val="00B05591"/>
    <w:rsid w:val="00B06BD3"/>
    <w:rsid w:val="00B06F38"/>
    <w:rsid w:val="00B0732A"/>
    <w:rsid w:val="00B0757D"/>
    <w:rsid w:val="00B10558"/>
    <w:rsid w:val="00B117D2"/>
    <w:rsid w:val="00B12FBB"/>
    <w:rsid w:val="00B1502E"/>
    <w:rsid w:val="00B16F9C"/>
    <w:rsid w:val="00B22E25"/>
    <w:rsid w:val="00B24A77"/>
    <w:rsid w:val="00B25AFF"/>
    <w:rsid w:val="00B26A31"/>
    <w:rsid w:val="00B26A50"/>
    <w:rsid w:val="00B3208B"/>
    <w:rsid w:val="00B33510"/>
    <w:rsid w:val="00B35109"/>
    <w:rsid w:val="00B35C6F"/>
    <w:rsid w:val="00B3652A"/>
    <w:rsid w:val="00B42322"/>
    <w:rsid w:val="00B430EC"/>
    <w:rsid w:val="00B44164"/>
    <w:rsid w:val="00B45FE2"/>
    <w:rsid w:val="00B500F4"/>
    <w:rsid w:val="00B515EA"/>
    <w:rsid w:val="00B52C46"/>
    <w:rsid w:val="00B52D45"/>
    <w:rsid w:val="00B5493F"/>
    <w:rsid w:val="00B56899"/>
    <w:rsid w:val="00B62D6E"/>
    <w:rsid w:val="00B63067"/>
    <w:rsid w:val="00B63182"/>
    <w:rsid w:val="00B64B8F"/>
    <w:rsid w:val="00B656F2"/>
    <w:rsid w:val="00B65D1C"/>
    <w:rsid w:val="00B65EEB"/>
    <w:rsid w:val="00B71955"/>
    <w:rsid w:val="00B71BF3"/>
    <w:rsid w:val="00B72298"/>
    <w:rsid w:val="00B738E9"/>
    <w:rsid w:val="00B73CEE"/>
    <w:rsid w:val="00B770CC"/>
    <w:rsid w:val="00B775E4"/>
    <w:rsid w:val="00B77AED"/>
    <w:rsid w:val="00B81EF6"/>
    <w:rsid w:val="00B840F9"/>
    <w:rsid w:val="00B85357"/>
    <w:rsid w:val="00B9242A"/>
    <w:rsid w:val="00B92D9E"/>
    <w:rsid w:val="00B9611B"/>
    <w:rsid w:val="00B96676"/>
    <w:rsid w:val="00BA1E7A"/>
    <w:rsid w:val="00BA517F"/>
    <w:rsid w:val="00BB0382"/>
    <w:rsid w:val="00BB0E35"/>
    <w:rsid w:val="00BB4198"/>
    <w:rsid w:val="00BB4E83"/>
    <w:rsid w:val="00BB675E"/>
    <w:rsid w:val="00BB72AB"/>
    <w:rsid w:val="00BC0BB2"/>
    <w:rsid w:val="00BC0F7C"/>
    <w:rsid w:val="00BC1DB3"/>
    <w:rsid w:val="00BC3EFD"/>
    <w:rsid w:val="00BC6CB5"/>
    <w:rsid w:val="00BC75A0"/>
    <w:rsid w:val="00BC75CA"/>
    <w:rsid w:val="00BD0893"/>
    <w:rsid w:val="00BD24AD"/>
    <w:rsid w:val="00BD76E3"/>
    <w:rsid w:val="00BE2C4E"/>
    <w:rsid w:val="00BE4A84"/>
    <w:rsid w:val="00BE5419"/>
    <w:rsid w:val="00BF03AE"/>
    <w:rsid w:val="00BF54FD"/>
    <w:rsid w:val="00BF6371"/>
    <w:rsid w:val="00BF68CC"/>
    <w:rsid w:val="00BF74C6"/>
    <w:rsid w:val="00C0045B"/>
    <w:rsid w:val="00C063FB"/>
    <w:rsid w:val="00C06D89"/>
    <w:rsid w:val="00C07E17"/>
    <w:rsid w:val="00C1001F"/>
    <w:rsid w:val="00C113AB"/>
    <w:rsid w:val="00C13375"/>
    <w:rsid w:val="00C13662"/>
    <w:rsid w:val="00C141A1"/>
    <w:rsid w:val="00C15304"/>
    <w:rsid w:val="00C15CDE"/>
    <w:rsid w:val="00C22658"/>
    <w:rsid w:val="00C24B97"/>
    <w:rsid w:val="00C25301"/>
    <w:rsid w:val="00C2579D"/>
    <w:rsid w:val="00C261FA"/>
    <w:rsid w:val="00C26DC2"/>
    <w:rsid w:val="00C300B5"/>
    <w:rsid w:val="00C35B9B"/>
    <w:rsid w:val="00C3754A"/>
    <w:rsid w:val="00C37A4B"/>
    <w:rsid w:val="00C37FBF"/>
    <w:rsid w:val="00C42303"/>
    <w:rsid w:val="00C44DBD"/>
    <w:rsid w:val="00C453EA"/>
    <w:rsid w:val="00C454AD"/>
    <w:rsid w:val="00C465B4"/>
    <w:rsid w:val="00C50377"/>
    <w:rsid w:val="00C51B21"/>
    <w:rsid w:val="00C55A31"/>
    <w:rsid w:val="00C62A12"/>
    <w:rsid w:val="00C635B7"/>
    <w:rsid w:val="00C63E5A"/>
    <w:rsid w:val="00C6469D"/>
    <w:rsid w:val="00C667C3"/>
    <w:rsid w:val="00C73242"/>
    <w:rsid w:val="00C7347E"/>
    <w:rsid w:val="00C73E7C"/>
    <w:rsid w:val="00C7413B"/>
    <w:rsid w:val="00C74993"/>
    <w:rsid w:val="00C77311"/>
    <w:rsid w:val="00C77638"/>
    <w:rsid w:val="00C7789A"/>
    <w:rsid w:val="00C77E59"/>
    <w:rsid w:val="00C8216A"/>
    <w:rsid w:val="00C8234C"/>
    <w:rsid w:val="00C83B36"/>
    <w:rsid w:val="00C93543"/>
    <w:rsid w:val="00C939EE"/>
    <w:rsid w:val="00C93C30"/>
    <w:rsid w:val="00C961F1"/>
    <w:rsid w:val="00CA18C0"/>
    <w:rsid w:val="00CA482A"/>
    <w:rsid w:val="00CA4972"/>
    <w:rsid w:val="00CA6469"/>
    <w:rsid w:val="00CA6D90"/>
    <w:rsid w:val="00CB10DF"/>
    <w:rsid w:val="00CB1799"/>
    <w:rsid w:val="00CB24D3"/>
    <w:rsid w:val="00CB352F"/>
    <w:rsid w:val="00CB555B"/>
    <w:rsid w:val="00CB62BD"/>
    <w:rsid w:val="00CC07DD"/>
    <w:rsid w:val="00CC13C1"/>
    <w:rsid w:val="00CC1F38"/>
    <w:rsid w:val="00CC3966"/>
    <w:rsid w:val="00CC3D57"/>
    <w:rsid w:val="00CC5023"/>
    <w:rsid w:val="00CC615D"/>
    <w:rsid w:val="00CC63A1"/>
    <w:rsid w:val="00CC6F6F"/>
    <w:rsid w:val="00CC7A6A"/>
    <w:rsid w:val="00CD26CA"/>
    <w:rsid w:val="00CD5A92"/>
    <w:rsid w:val="00CE0093"/>
    <w:rsid w:val="00CE05C8"/>
    <w:rsid w:val="00CE0E71"/>
    <w:rsid w:val="00CE4F1A"/>
    <w:rsid w:val="00CF1AD9"/>
    <w:rsid w:val="00CF22A8"/>
    <w:rsid w:val="00CF4205"/>
    <w:rsid w:val="00CF77B2"/>
    <w:rsid w:val="00D00C73"/>
    <w:rsid w:val="00D0164E"/>
    <w:rsid w:val="00D0354B"/>
    <w:rsid w:val="00D10CED"/>
    <w:rsid w:val="00D1291B"/>
    <w:rsid w:val="00D1330A"/>
    <w:rsid w:val="00D147D4"/>
    <w:rsid w:val="00D14EE6"/>
    <w:rsid w:val="00D14F95"/>
    <w:rsid w:val="00D174EB"/>
    <w:rsid w:val="00D22437"/>
    <w:rsid w:val="00D24F3F"/>
    <w:rsid w:val="00D2520F"/>
    <w:rsid w:val="00D2561C"/>
    <w:rsid w:val="00D26080"/>
    <w:rsid w:val="00D268C7"/>
    <w:rsid w:val="00D27125"/>
    <w:rsid w:val="00D3020E"/>
    <w:rsid w:val="00D3614E"/>
    <w:rsid w:val="00D41E90"/>
    <w:rsid w:val="00D42386"/>
    <w:rsid w:val="00D423B8"/>
    <w:rsid w:val="00D4326B"/>
    <w:rsid w:val="00D4431D"/>
    <w:rsid w:val="00D456F5"/>
    <w:rsid w:val="00D45DD6"/>
    <w:rsid w:val="00D472A1"/>
    <w:rsid w:val="00D4756A"/>
    <w:rsid w:val="00D47639"/>
    <w:rsid w:val="00D5122B"/>
    <w:rsid w:val="00D53EFD"/>
    <w:rsid w:val="00D5493D"/>
    <w:rsid w:val="00D5558C"/>
    <w:rsid w:val="00D56A35"/>
    <w:rsid w:val="00D5749A"/>
    <w:rsid w:val="00D6238B"/>
    <w:rsid w:val="00D62711"/>
    <w:rsid w:val="00D62918"/>
    <w:rsid w:val="00D658F1"/>
    <w:rsid w:val="00D66B1B"/>
    <w:rsid w:val="00D67574"/>
    <w:rsid w:val="00D73BD6"/>
    <w:rsid w:val="00D80049"/>
    <w:rsid w:val="00D82735"/>
    <w:rsid w:val="00D8361C"/>
    <w:rsid w:val="00D8384D"/>
    <w:rsid w:val="00D83AA0"/>
    <w:rsid w:val="00D8579C"/>
    <w:rsid w:val="00D85C66"/>
    <w:rsid w:val="00D86E11"/>
    <w:rsid w:val="00D87C2C"/>
    <w:rsid w:val="00D90479"/>
    <w:rsid w:val="00D90C33"/>
    <w:rsid w:val="00D93DC2"/>
    <w:rsid w:val="00D95C1F"/>
    <w:rsid w:val="00D97E37"/>
    <w:rsid w:val="00DA17AB"/>
    <w:rsid w:val="00DA1864"/>
    <w:rsid w:val="00DA2AF5"/>
    <w:rsid w:val="00DA32A8"/>
    <w:rsid w:val="00DA55C2"/>
    <w:rsid w:val="00DA67E2"/>
    <w:rsid w:val="00DA7A90"/>
    <w:rsid w:val="00DB4FE4"/>
    <w:rsid w:val="00DB6F69"/>
    <w:rsid w:val="00DC0284"/>
    <w:rsid w:val="00DC225D"/>
    <w:rsid w:val="00DC40A7"/>
    <w:rsid w:val="00DC5488"/>
    <w:rsid w:val="00DC58B6"/>
    <w:rsid w:val="00DC5BB2"/>
    <w:rsid w:val="00DC61D3"/>
    <w:rsid w:val="00DC6C08"/>
    <w:rsid w:val="00DC70A0"/>
    <w:rsid w:val="00DC7B01"/>
    <w:rsid w:val="00DD1ECC"/>
    <w:rsid w:val="00DD6BA1"/>
    <w:rsid w:val="00DD6E16"/>
    <w:rsid w:val="00DE0250"/>
    <w:rsid w:val="00DE22D5"/>
    <w:rsid w:val="00DE39A1"/>
    <w:rsid w:val="00DE705E"/>
    <w:rsid w:val="00DE7D2D"/>
    <w:rsid w:val="00DF2981"/>
    <w:rsid w:val="00DF29E2"/>
    <w:rsid w:val="00DF2D77"/>
    <w:rsid w:val="00DF3481"/>
    <w:rsid w:val="00DF4669"/>
    <w:rsid w:val="00DF5F41"/>
    <w:rsid w:val="00DF616D"/>
    <w:rsid w:val="00DF7212"/>
    <w:rsid w:val="00E01442"/>
    <w:rsid w:val="00E019E4"/>
    <w:rsid w:val="00E01BED"/>
    <w:rsid w:val="00E02D9B"/>
    <w:rsid w:val="00E04D56"/>
    <w:rsid w:val="00E05AE0"/>
    <w:rsid w:val="00E076FB"/>
    <w:rsid w:val="00E07787"/>
    <w:rsid w:val="00E102A9"/>
    <w:rsid w:val="00E13235"/>
    <w:rsid w:val="00E14480"/>
    <w:rsid w:val="00E16CA2"/>
    <w:rsid w:val="00E177A1"/>
    <w:rsid w:val="00E21287"/>
    <w:rsid w:val="00E2378C"/>
    <w:rsid w:val="00E23B88"/>
    <w:rsid w:val="00E25961"/>
    <w:rsid w:val="00E26183"/>
    <w:rsid w:val="00E318B6"/>
    <w:rsid w:val="00E32703"/>
    <w:rsid w:val="00E3550F"/>
    <w:rsid w:val="00E5289B"/>
    <w:rsid w:val="00E54137"/>
    <w:rsid w:val="00E55792"/>
    <w:rsid w:val="00E57077"/>
    <w:rsid w:val="00E64B88"/>
    <w:rsid w:val="00E72039"/>
    <w:rsid w:val="00E72923"/>
    <w:rsid w:val="00E7434D"/>
    <w:rsid w:val="00E774FF"/>
    <w:rsid w:val="00E80267"/>
    <w:rsid w:val="00E81488"/>
    <w:rsid w:val="00E8216E"/>
    <w:rsid w:val="00E824D9"/>
    <w:rsid w:val="00E8313D"/>
    <w:rsid w:val="00E8327B"/>
    <w:rsid w:val="00E83BB4"/>
    <w:rsid w:val="00E87427"/>
    <w:rsid w:val="00E923C4"/>
    <w:rsid w:val="00E94281"/>
    <w:rsid w:val="00EA0D31"/>
    <w:rsid w:val="00EA0E7F"/>
    <w:rsid w:val="00EA4A48"/>
    <w:rsid w:val="00EA4AD3"/>
    <w:rsid w:val="00EA5771"/>
    <w:rsid w:val="00EA61D0"/>
    <w:rsid w:val="00EA65DF"/>
    <w:rsid w:val="00EA7D2A"/>
    <w:rsid w:val="00EA7DF7"/>
    <w:rsid w:val="00EB00E4"/>
    <w:rsid w:val="00EB055A"/>
    <w:rsid w:val="00EB0E04"/>
    <w:rsid w:val="00EB11E8"/>
    <w:rsid w:val="00EB36DD"/>
    <w:rsid w:val="00EB485A"/>
    <w:rsid w:val="00EB5D9D"/>
    <w:rsid w:val="00EB6FEC"/>
    <w:rsid w:val="00EB775C"/>
    <w:rsid w:val="00EC10E7"/>
    <w:rsid w:val="00EC217B"/>
    <w:rsid w:val="00EC3412"/>
    <w:rsid w:val="00EC3552"/>
    <w:rsid w:val="00EC45A6"/>
    <w:rsid w:val="00ED1034"/>
    <w:rsid w:val="00ED1C53"/>
    <w:rsid w:val="00ED4A69"/>
    <w:rsid w:val="00ED6A8C"/>
    <w:rsid w:val="00ED758D"/>
    <w:rsid w:val="00ED7707"/>
    <w:rsid w:val="00ED7FC1"/>
    <w:rsid w:val="00EE1503"/>
    <w:rsid w:val="00EE527D"/>
    <w:rsid w:val="00EE68DF"/>
    <w:rsid w:val="00EE7E44"/>
    <w:rsid w:val="00EF0F1F"/>
    <w:rsid w:val="00EF2945"/>
    <w:rsid w:val="00EF4390"/>
    <w:rsid w:val="00EF5A96"/>
    <w:rsid w:val="00EF650A"/>
    <w:rsid w:val="00F0098D"/>
    <w:rsid w:val="00F03716"/>
    <w:rsid w:val="00F045F7"/>
    <w:rsid w:val="00F076C0"/>
    <w:rsid w:val="00F14736"/>
    <w:rsid w:val="00F14A3C"/>
    <w:rsid w:val="00F15A43"/>
    <w:rsid w:val="00F15CEF"/>
    <w:rsid w:val="00F2370C"/>
    <w:rsid w:val="00F2439D"/>
    <w:rsid w:val="00F262BF"/>
    <w:rsid w:val="00F26DAE"/>
    <w:rsid w:val="00F26E4C"/>
    <w:rsid w:val="00F2758F"/>
    <w:rsid w:val="00F32B09"/>
    <w:rsid w:val="00F32C08"/>
    <w:rsid w:val="00F40E38"/>
    <w:rsid w:val="00F437FA"/>
    <w:rsid w:val="00F518F4"/>
    <w:rsid w:val="00F51BF0"/>
    <w:rsid w:val="00F5581C"/>
    <w:rsid w:val="00F62391"/>
    <w:rsid w:val="00F62888"/>
    <w:rsid w:val="00F6310E"/>
    <w:rsid w:val="00F66F4F"/>
    <w:rsid w:val="00F67C4A"/>
    <w:rsid w:val="00F7388B"/>
    <w:rsid w:val="00F73F1D"/>
    <w:rsid w:val="00F76FAE"/>
    <w:rsid w:val="00F77625"/>
    <w:rsid w:val="00F81BAF"/>
    <w:rsid w:val="00F81D06"/>
    <w:rsid w:val="00F8283F"/>
    <w:rsid w:val="00F85A26"/>
    <w:rsid w:val="00F90A61"/>
    <w:rsid w:val="00F941A4"/>
    <w:rsid w:val="00F953F9"/>
    <w:rsid w:val="00FA0B1D"/>
    <w:rsid w:val="00FA0E9F"/>
    <w:rsid w:val="00FA1C06"/>
    <w:rsid w:val="00FA1F01"/>
    <w:rsid w:val="00FA3057"/>
    <w:rsid w:val="00FA3F5B"/>
    <w:rsid w:val="00FA41C7"/>
    <w:rsid w:val="00FA4848"/>
    <w:rsid w:val="00FA6D6C"/>
    <w:rsid w:val="00FA79E9"/>
    <w:rsid w:val="00FB1816"/>
    <w:rsid w:val="00FB1C70"/>
    <w:rsid w:val="00FB2184"/>
    <w:rsid w:val="00FB319D"/>
    <w:rsid w:val="00FB4B0F"/>
    <w:rsid w:val="00FB54A7"/>
    <w:rsid w:val="00FB617E"/>
    <w:rsid w:val="00FC1A52"/>
    <w:rsid w:val="00FC1E5B"/>
    <w:rsid w:val="00FC3368"/>
    <w:rsid w:val="00FC37CC"/>
    <w:rsid w:val="00FC3928"/>
    <w:rsid w:val="00FC4714"/>
    <w:rsid w:val="00FC757B"/>
    <w:rsid w:val="00FD0606"/>
    <w:rsid w:val="00FD4295"/>
    <w:rsid w:val="00FD6E84"/>
    <w:rsid w:val="00FD6F8E"/>
    <w:rsid w:val="00FE33FA"/>
    <w:rsid w:val="00FE384D"/>
    <w:rsid w:val="00FE4490"/>
    <w:rsid w:val="00FE489E"/>
    <w:rsid w:val="00FE4EB8"/>
    <w:rsid w:val="00FE6970"/>
    <w:rsid w:val="00FF268C"/>
    <w:rsid w:val="00FF3D85"/>
    <w:rsid w:val="00FF538D"/>
    <w:rsid w:val="00FF5589"/>
    <w:rsid w:val="00FF5AAE"/>
    <w:rsid w:val="00FF5D3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991C4B"/>
  <w15:docId w15:val="{A43AC2A8-708D-45DA-A78B-0D2157307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7A4B"/>
  </w:style>
  <w:style w:type="paragraph" w:styleId="Heading3">
    <w:name w:val="heading 3"/>
    <w:basedOn w:val="Normal"/>
    <w:next w:val="Normal"/>
    <w:link w:val="Heading3Char"/>
    <w:uiPriority w:val="9"/>
    <w:unhideWhenUsed/>
    <w:qFormat/>
    <w:rsid w:val="00C37A4B"/>
    <w:pPr>
      <w:keepNext/>
      <w:keepLines/>
      <w:spacing w:before="40" w:after="0"/>
      <w:outlineLvl w:val="2"/>
    </w:pPr>
    <w:rPr>
      <w:rFonts w:asciiTheme="majorHAnsi" w:eastAsiaTheme="majorEastAsia" w:hAnsiTheme="majorHAnsi" w:cstheme="majorBidi"/>
      <w:color w:val="1F3763" w:themeColor="accent1" w:themeShade="7F"/>
      <w:sz w:val="24"/>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37A4B"/>
    <w:rPr>
      <w:rFonts w:asciiTheme="majorHAnsi" w:eastAsiaTheme="majorEastAsia" w:hAnsiTheme="majorHAnsi" w:cstheme="majorBidi"/>
      <w:color w:val="1F3763" w:themeColor="accent1" w:themeShade="7F"/>
      <w:sz w:val="24"/>
      <w:szCs w:val="30"/>
    </w:rPr>
  </w:style>
  <w:style w:type="character" w:styleId="Hyperlink">
    <w:name w:val="Hyperlink"/>
    <w:basedOn w:val="DefaultParagraphFont"/>
    <w:uiPriority w:val="99"/>
    <w:unhideWhenUsed/>
    <w:rsid w:val="00C37A4B"/>
    <w:rPr>
      <w:color w:val="0563C1" w:themeColor="hyperlink"/>
      <w:u w:val="single"/>
    </w:rPr>
  </w:style>
  <w:style w:type="paragraph" w:styleId="NoSpacing">
    <w:name w:val="No Spacing"/>
    <w:uiPriority w:val="1"/>
    <w:qFormat/>
    <w:rsid w:val="00632F8A"/>
    <w:pPr>
      <w:spacing w:after="0" w:line="240" w:lineRule="auto"/>
    </w:pPr>
  </w:style>
  <w:style w:type="table" w:styleId="TableGrid">
    <w:name w:val="Table Grid"/>
    <w:basedOn w:val="TableNormal"/>
    <w:uiPriority w:val="39"/>
    <w:rsid w:val="00B7229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A36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362E"/>
  </w:style>
  <w:style w:type="paragraph" w:styleId="Footer">
    <w:name w:val="footer"/>
    <w:basedOn w:val="Normal"/>
    <w:link w:val="FooterChar"/>
    <w:uiPriority w:val="99"/>
    <w:unhideWhenUsed/>
    <w:rsid w:val="009A36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362E"/>
  </w:style>
  <w:style w:type="paragraph" w:styleId="Caption">
    <w:name w:val="caption"/>
    <w:basedOn w:val="Normal"/>
    <w:next w:val="Normal"/>
    <w:uiPriority w:val="35"/>
    <w:unhideWhenUsed/>
    <w:qFormat/>
    <w:rsid w:val="00983E17"/>
    <w:pPr>
      <w:spacing w:after="200" w:line="240" w:lineRule="auto"/>
    </w:pPr>
    <w:rPr>
      <w:i/>
      <w:iCs/>
      <w:color w:val="44546A" w:themeColor="text2"/>
      <w:sz w:val="18"/>
      <w:szCs w:val="22"/>
    </w:rPr>
  </w:style>
  <w:style w:type="character" w:styleId="LineNumber">
    <w:name w:val="line number"/>
    <w:basedOn w:val="DefaultParagraphFont"/>
    <w:uiPriority w:val="99"/>
    <w:semiHidden/>
    <w:unhideWhenUsed/>
    <w:rsid w:val="005828A5"/>
  </w:style>
  <w:style w:type="character" w:styleId="CommentReference">
    <w:name w:val="annotation reference"/>
    <w:basedOn w:val="DefaultParagraphFont"/>
    <w:uiPriority w:val="99"/>
    <w:semiHidden/>
    <w:unhideWhenUsed/>
    <w:rsid w:val="0062257B"/>
    <w:rPr>
      <w:sz w:val="16"/>
      <w:szCs w:val="16"/>
    </w:rPr>
  </w:style>
  <w:style w:type="paragraph" w:styleId="CommentText">
    <w:name w:val="annotation text"/>
    <w:basedOn w:val="Normal"/>
    <w:link w:val="CommentTextChar"/>
    <w:uiPriority w:val="99"/>
    <w:semiHidden/>
    <w:unhideWhenUsed/>
    <w:rsid w:val="0062257B"/>
    <w:pPr>
      <w:spacing w:line="240" w:lineRule="auto"/>
    </w:pPr>
    <w:rPr>
      <w:sz w:val="20"/>
      <w:szCs w:val="25"/>
    </w:rPr>
  </w:style>
  <w:style w:type="character" w:customStyle="1" w:styleId="CommentTextChar">
    <w:name w:val="Comment Text Char"/>
    <w:basedOn w:val="DefaultParagraphFont"/>
    <w:link w:val="CommentText"/>
    <w:uiPriority w:val="99"/>
    <w:semiHidden/>
    <w:rsid w:val="0062257B"/>
    <w:rPr>
      <w:sz w:val="20"/>
      <w:szCs w:val="25"/>
    </w:rPr>
  </w:style>
  <w:style w:type="paragraph" w:styleId="CommentSubject">
    <w:name w:val="annotation subject"/>
    <w:basedOn w:val="CommentText"/>
    <w:next w:val="CommentText"/>
    <w:link w:val="CommentSubjectChar"/>
    <w:uiPriority w:val="99"/>
    <w:semiHidden/>
    <w:unhideWhenUsed/>
    <w:rsid w:val="0062257B"/>
    <w:rPr>
      <w:b/>
      <w:bCs/>
    </w:rPr>
  </w:style>
  <w:style w:type="character" w:customStyle="1" w:styleId="CommentSubjectChar">
    <w:name w:val="Comment Subject Char"/>
    <w:basedOn w:val="CommentTextChar"/>
    <w:link w:val="CommentSubject"/>
    <w:uiPriority w:val="99"/>
    <w:semiHidden/>
    <w:rsid w:val="0062257B"/>
    <w:rPr>
      <w:b/>
      <w:bCs/>
      <w:sz w:val="20"/>
      <w:szCs w:val="25"/>
    </w:rPr>
  </w:style>
  <w:style w:type="paragraph" w:styleId="BalloonText">
    <w:name w:val="Balloon Text"/>
    <w:basedOn w:val="Normal"/>
    <w:link w:val="BalloonTextChar"/>
    <w:uiPriority w:val="99"/>
    <w:semiHidden/>
    <w:unhideWhenUsed/>
    <w:rsid w:val="0062257B"/>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62257B"/>
    <w:rPr>
      <w:rFonts w:ascii="Segoe UI" w:hAnsi="Segoe UI" w:cs="Angsana New"/>
      <w:sz w:val="18"/>
      <w:szCs w:val="22"/>
    </w:rPr>
  </w:style>
  <w:style w:type="character" w:styleId="Strong">
    <w:name w:val="Strong"/>
    <w:basedOn w:val="DefaultParagraphFont"/>
    <w:qFormat/>
    <w:rsid w:val="001435C0"/>
    <w:rPr>
      <w:b/>
      <w:bCs/>
    </w:rPr>
  </w:style>
  <w:style w:type="character" w:styleId="FollowedHyperlink">
    <w:name w:val="FollowedHyperlink"/>
    <w:basedOn w:val="DefaultParagraphFont"/>
    <w:uiPriority w:val="99"/>
    <w:semiHidden/>
    <w:unhideWhenUsed/>
    <w:rsid w:val="007E3344"/>
    <w:rPr>
      <w:color w:val="954F72" w:themeColor="followedHyperlink"/>
      <w:u w:val="single"/>
    </w:rPr>
  </w:style>
  <w:style w:type="character" w:customStyle="1" w:styleId="UnresolvedMention1">
    <w:name w:val="Unresolved Mention1"/>
    <w:basedOn w:val="DefaultParagraphFont"/>
    <w:uiPriority w:val="99"/>
    <w:semiHidden/>
    <w:unhideWhenUsed/>
    <w:rsid w:val="007E3344"/>
    <w:rPr>
      <w:color w:val="605E5C"/>
      <w:shd w:val="clear" w:color="auto" w:fill="E1DFDD"/>
    </w:rPr>
  </w:style>
  <w:style w:type="character" w:customStyle="1" w:styleId="UnresolvedMention2">
    <w:name w:val="Unresolved Mention2"/>
    <w:basedOn w:val="DefaultParagraphFont"/>
    <w:uiPriority w:val="99"/>
    <w:semiHidden/>
    <w:unhideWhenUsed/>
    <w:rsid w:val="00C635B7"/>
    <w:rPr>
      <w:color w:val="605E5C"/>
      <w:shd w:val="clear" w:color="auto" w:fill="E1DFDD"/>
    </w:rPr>
  </w:style>
  <w:style w:type="character" w:styleId="PlaceholderText">
    <w:name w:val="Placeholder Text"/>
    <w:basedOn w:val="DefaultParagraphFont"/>
    <w:uiPriority w:val="99"/>
    <w:semiHidden/>
    <w:rsid w:val="003A6E02"/>
    <w:rPr>
      <w:color w:val="808080"/>
    </w:rPr>
  </w:style>
  <w:style w:type="paragraph" w:styleId="ListParagraph">
    <w:name w:val="List Paragraph"/>
    <w:basedOn w:val="Normal"/>
    <w:uiPriority w:val="34"/>
    <w:qFormat/>
    <w:rsid w:val="00A26146"/>
    <w:pPr>
      <w:ind w:left="720"/>
      <w:contextualSpacing/>
    </w:pPr>
  </w:style>
  <w:style w:type="paragraph" w:customStyle="1" w:styleId="pagecontents">
    <w:name w:val="pagecontents"/>
    <w:basedOn w:val="Normal"/>
    <w:rsid w:val="00DC028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UnresolvedMention">
    <w:name w:val="Unresolved Mention"/>
    <w:basedOn w:val="DefaultParagraphFont"/>
    <w:uiPriority w:val="99"/>
    <w:semiHidden/>
    <w:unhideWhenUsed/>
    <w:rsid w:val="001D5F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635506">
      <w:bodyDiv w:val="1"/>
      <w:marLeft w:val="0"/>
      <w:marRight w:val="0"/>
      <w:marTop w:val="0"/>
      <w:marBottom w:val="0"/>
      <w:divBdr>
        <w:top w:val="none" w:sz="0" w:space="0" w:color="auto"/>
        <w:left w:val="none" w:sz="0" w:space="0" w:color="auto"/>
        <w:bottom w:val="none" w:sz="0" w:space="0" w:color="auto"/>
        <w:right w:val="none" w:sz="0" w:space="0" w:color="auto"/>
      </w:divBdr>
    </w:div>
    <w:div w:id="118650164">
      <w:bodyDiv w:val="1"/>
      <w:marLeft w:val="0"/>
      <w:marRight w:val="0"/>
      <w:marTop w:val="0"/>
      <w:marBottom w:val="0"/>
      <w:divBdr>
        <w:top w:val="none" w:sz="0" w:space="0" w:color="auto"/>
        <w:left w:val="none" w:sz="0" w:space="0" w:color="auto"/>
        <w:bottom w:val="none" w:sz="0" w:space="0" w:color="auto"/>
        <w:right w:val="none" w:sz="0" w:space="0" w:color="auto"/>
      </w:divBdr>
    </w:div>
    <w:div w:id="156073442">
      <w:bodyDiv w:val="1"/>
      <w:marLeft w:val="0"/>
      <w:marRight w:val="0"/>
      <w:marTop w:val="0"/>
      <w:marBottom w:val="0"/>
      <w:divBdr>
        <w:top w:val="none" w:sz="0" w:space="0" w:color="auto"/>
        <w:left w:val="none" w:sz="0" w:space="0" w:color="auto"/>
        <w:bottom w:val="none" w:sz="0" w:space="0" w:color="auto"/>
        <w:right w:val="none" w:sz="0" w:space="0" w:color="auto"/>
      </w:divBdr>
    </w:div>
    <w:div w:id="180248046">
      <w:bodyDiv w:val="1"/>
      <w:marLeft w:val="0"/>
      <w:marRight w:val="0"/>
      <w:marTop w:val="0"/>
      <w:marBottom w:val="0"/>
      <w:divBdr>
        <w:top w:val="none" w:sz="0" w:space="0" w:color="auto"/>
        <w:left w:val="none" w:sz="0" w:space="0" w:color="auto"/>
        <w:bottom w:val="none" w:sz="0" w:space="0" w:color="auto"/>
        <w:right w:val="none" w:sz="0" w:space="0" w:color="auto"/>
      </w:divBdr>
    </w:div>
    <w:div w:id="226844901">
      <w:bodyDiv w:val="1"/>
      <w:marLeft w:val="0"/>
      <w:marRight w:val="0"/>
      <w:marTop w:val="0"/>
      <w:marBottom w:val="0"/>
      <w:divBdr>
        <w:top w:val="none" w:sz="0" w:space="0" w:color="auto"/>
        <w:left w:val="none" w:sz="0" w:space="0" w:color="auto"/>
        <w:bottom w:val="none" w:sz="0" w:space="0" w:color="auto"/>
        <w:right w:val="none" w:sz="0" w:space="0" w:color="auto"/>
      </w:divBdr>
    </w:div>
    <w:div w:id="264462905">
      <w:bodyDiv w:val="1"/>
      <w:marLeft w:val="0"/>
      <w:marRight w:val="0"/>
      <w:marTop w:val="0"/>
      <w:marBottom w:val="0"/>
      <w:divBdr>
        <w:top w:val="none" w:sz="0" w:space="0" w:color="auto"/>
        <w:left w:val="none" w:sz="0" w:space="0" w:color="auto"/>
        <w:bottom w:val="none" w:sz="0" w:space="0" w:color="auto"/>
        <w:right w:val="none" w:sz="0" w:space="0" w:color="auto"/>
      </w:divBdr>
    </w:div>
    <w:div w:id="388725580">
      <w:bodyDiv w:val="1"/>
      <w:marLeft w:val="0"/>
      <w:marRight w:val="0"/>
      <w:marTop w:val="0"/>
      <w:marBottom w:val="0"/>
      <w:divBdr>
        <w:top w:val="none" w:sz="0" w:space="0" w:color="auto"/>
        <w:left w:val="none" w:sz="0" w:space="0" w:color="auto"/>
        <w:bottom w:val="none" w:sz="0" w:space="0" w:color="auto"/>
        <w:right w:val="none" w:sz="0" w:space="0" w:color="auto"/>
      </w:divBdr>
    </w:div>
    <w:div w:id="432357248">
      <w:bodyDiv w:val="1"/>
      <w:marLeft w:val="0"/>
      <w:marRight w:val="0"/>
      <w:marTop w:val="0"/>
      <w:marBottom w:val="0"/>
      <w:divBdr>
        <w:top w:val="none" w:sz="0" w:space="0" w:color="auto"/>
        <w:left w:val="none" w:sz="0" w:space="0" w:color="auto"/>
        <w:bottom w:val="none" w:sz="0" w:space="0" w:color="auto"/>
        <w:right w:val="none" w:sz="0" w:space="0" w:color="auto"/>
      </w:divBdr>
    </w:div>
    <w:div w:id="446051479">
      <w:bodyDiv w:val="1"/>
      <w:marLeft w:val="0"/>
      <w:marRight w:val="0"/>
      <w:marTop w:val="0"/>
      <w:marBottom w:val="0"/>
      <w:divBdr>
        <w:top w:val="none" w:sz="0" w:space="0" w:color="auto"/>
        <w:left w:val="none" w:sz="0" w:space="0" w:color="auto"/>
        <w:bottom w:val="none" w:sz="0" w:space="0" w:color="auto"/>
        <w:right w:val="none" w:sz="0" w:space="0" w:color="auto"/>
      </w:divBdr>
    </w:div>
    <w:div w:id="544682485">
      <w:bodyDiv w:val="1"/>
      <w:marLeft w:val="0"/>
      <w:marRight w:val="0"/>
      <w:marTop w:val="0"/>
      <w:marBottom w:val="0"/>
      <w:divBdr>
        <w:top w:val="none" w:sz="0" w:space="0" w:color="auto"/>
        <w:left w:val="none" w:sz="0" w:space="0" w:color="auto"/>
        <w:bottom w:val="none" w:sz="0" w:space="0" w:color="auto"/>
        <w:right w:val="none" w:sz="0" w:space="0" w:color="auto"/>
      </w:divBdr>
    </w:div>
    <w:div w:id="605817954">
      <w:bodyDiv w:val="1"/>
      <w:marLeft w:val="0"/>
      <w:marRight w:val="0"/>
      <w:marTop w:val="0"/>
      <w:marBottom w:val="0"/>
      <w:divBdr>
        <w:top w:val="none" w:sz="0" w:space="0" w:color="auto"/>
        <w:left w:val="none" w:sz="0" w:space="0" w:color="auto"/>
        <w:bottom w:val="none" w:sz="0" w:space="0" w:color="auto"/>
        <w:right w:val="none" w:sz="0" w:space="0" w:color="auto"/>
      </w:divBdr>
    </w:div>
    <w:div w:id="617227677">
      <w:bodyDiv w:val="1"/>
      <w:marLeft w:val="0"/>
      <w:marRight w:val="0"/>
      <w:marTop w:val="0"/>
      <w:marBottom w:val="0"/>
      <w:divBdr>
        <w:top w:val="none" w:sz="0" w:space="0" w:color="auto"/>
        <w:left w:val="none" w:sz="0" w:space="0" w:color="auto"/>
        <w:bottom w:val="none" w:sz="0" w:space="0" w:color="auto"/>
        <w:right w:val="none" w:sz="0" w:space="0" w:color="auto"/>
      </w:divBdr>
    </w:div>
    <w:div w:id="778598680">
      <w:bodyDiv w:val="1"/>
      <w:marLeft w:val="0"/>
      <w:marRight w:val="0"/>
      <w:marTop w:val="0"/>
      <w:marBottom w:val="0"/>
      <w:divBdr>
        <w:top w:val="none" w:sz="0" w:space="0" w:color="auto"/>
        <w:left w:val="none" w:sz="0" w:space="0" w:color="auto"/>
        <w:bottom w:val="none" w:sz="0" w:space="0" w:color="auto"/>
        <w:right w:val="none" w:sz="0" w:space="0" w:color="auto"/>
      </w:divBdr>
    </w:div>
    <w:div w:id="902640970">
      <w:bodyDiv w:val="1"/>
      <w:marLeft w:val="0"/>
      <w:marRight w:val="0"/>
      <w:marTop w:val="0"/>
      <w:marBottom w:val="0"/>
      <w:divBdr>
        <w:top w:val="none" w:sz="0" w:space="0" w:color="auto"/>
        <w:left w:val="none" w:sz="0" w:space="0" w:color="auto"/>
        <w:bottom w:val="none" w:sz="0" w:space="0" w:color="auto"/>
        <w:right w:val="none" w:sz="0" w:space="0" w:color="auto"/>
      </w:divBdr>
    </w:div>
    <w:div w:id="932058111">
      <w:bodyDiv w:val="1"/>
      <w:marLeft w:val="0"/>
      <w:marRight w:val="0"/>
      <w:marTop w:val="0"/>
      <w:marBottom w:val="0"/>
      <w:divBdr>
        <w:top w:val="none" w:sz="0" w:space="0" w:color="auto"/>
        <w:left w:val="none" w:sz="0" w:space="0" w:color="auto"/>
        <w:bottom w:val="none" w:sz="0" w:space="0" w:color="auto"/>
        <w:right w:val="none" w:sz="0" w:space="0" w:color="auto"/>
      </w:divBdr>
    </w:div>
    <w:div w:id="934896034">
      <w:bodyDiv w:val="1"/>
      <w:marLeft w:val="0"/>
      <w:marRight w:val="0"/>
      <w:marTop w:val="0"/>
      <w:marBottom w:val="0"/>
      <w:divBdr>
        <w:top w:val="none" w:sz="0" w:space="0" w:color="auto"/>
        <w:left w:val="none" w:sz="0" w:space="0" w:color="auto"/>
        <w:bottom w:val="none" w:sz="0" w:space="0" w:color="auto"/>
        <w:right w:val="none" w:sz="0" w:space="0" w:color="auto"/>
      </w:divBdr>
    </w:div>
    <w:div w:id="1046367419">
      <w:bodyDiv w:val="1"/>
      <w:marLeft w:val="0"/>
      <w:marRight w:val="0"/>
      <w:marTop w:val="0"/>
      <w:marBottom w:val="0"/>
      <w:divBdr>
        <w:top w:val="none" w:sz="0" w:space="0" w:color="auto"/>
        <w:left w:val="none" w:sz="0" w:space="0" w:color="auto"/>
        <w:bottom w:val="none" w:sz="0" w:space="0" w:color="auto"/>
        <w:right w:val="none" w:sz="0" w:space="0" w:color="auto"/>
      </w:divBdr>
    </w:div>
    <w:div w:id="1096439715">
      <w:bodyDiv w:val="1"/>
      <w:marLeft w:val="0"/>
      <w:marRight w:val="0"/>
      <w:marTop w:val="0"/>
      <w:marBottom w:val="0"/>
      <w:divBdr>
        <w:top w:val="none" w:sz="0" w:space="0" w:color="auto"/>
        <w:left w:val="none" w:sz="0" w:space="0" w:color="auto"/>
        <w:bottom w:val="none" w:sz="0" w:space="0" w:color="auto"/>
        <w:right w:val="none" w:sz="0" w:space="0" w:color="auto"/>
      </w:divBdr>
    </w:div>
    <w:div w:id="1108886988">
      <w:bodyDiv w:val="1"/>
      <w:marLeft w:val="0"/>
      <w:marRight w:val="0"/>
      <w:marTop w:val="0"/>
      <w:marBottom w:val="0"/>
      <w:divBdr>
        <w:top w:val="none" w:sz="0" w:space="0" w:color="auto"/>
        <w:left w:val="none" w:sz="0" w:space="0" w:color="auto"/>
        <w:bottom w:val="none" w:sz="0" w:space="0" w:color="auto"/>
        <w:right w:val="none" w:sz="0" w:space="0" w:color="auto"/>
      </w:divBdr>
    </w:div>
    <w:div w:id="1247685127">
      <w:bodyDiv w:val="1"/>
      <w:marLeft w:val="0"/>
      <w:marRight w:val="0"/>
      <w:marTop w:val="0"/>
      <w:marBottom w:val="0"/>
      <w:divBdr>
        <w:top w:val="none" w:sz="0" w:space="0" w:color="auto"/>
        <w:left w:val="none" w:sz="0" w:space="0" w:color="auto"/>
        <w:bottom w:val="none" w:sz="0" w:space="0" w:color="auto"/>
        <w:right w:val="none" w:sz="0" w:space="0" w:color="auto"/>
      </w:divBdr>
    </w:div>
    <w:div w:id="1382753970">
      <w:bodyDiv w:val="1"/>
      <w:marLeft w:val="0"/>
      <w:marRight w:val="0"/>
      <w:marTop w:val="0"/>
      <w:marBottom w:val="0"/>
      <w:divBdr>
        <w:top w:val="none" w:sz="0" w:space="0" w:color="auto"/>
        <w:left w:val="none" w:sz="0" w:space="0" w:color="auto"/>
        <w:bottom w:val="none" w:sz="0" w:space="0" w:color="auto"/>
        <w:right w:val="none" w:sz="0" w:space="0" w:color="auto"/>
      </w:divBdr>
    </w:div>
    <w:div w:id="1421676240">
      <w:bodyDiv w:val="1"/>
      <w:marLeft w:val="0"/>
      <w:marRight w:val="0"/>
      <w:marTop w:val="0"/>
      <w:marBottom w:val="0"/>
      <w:divBdr>
        <w:top w:val="none" w:sz="0" w:space="0" w:color="auto"/>
        <w:left w:val="none" w:sz="0" w:space="0" w:color="auto"/>
        <w:bottom w:val="none" w:sz="0" w:space="0" w:color="auto"/>
        <w:right w:val="none" w:sz="0" w:space="0" w:color="auto"/>
      </w:divBdr>
    </w:div>
    <w:div w:id="1605920773">
      <w:bodyDiv w:val="1"/>
      <w:marLeft w:val="0"/>
      <w:marRight w:val="0"/>
      <w:marTop w:val="0"/>
      <w:marBottom w:val="0"/>
      <w:divBdr>
        <w:top w:val="none" w:sz="0" w:space="0" w:color="auto"/>
        <w:left w:val="none" w:sz="0" w:space="0" w:color="auto"/>
        <w:bottom w:val="none" w:sz="0" w:space="0" w:color="auto"/>
        <w:right w:val="none" w:sz="0" w:space="0" w:color="auto"/>
      </w:divBdr>
    </w:div>
    <w:div w:id="1803768674">
      <w:bodyDiv w:val="1"/>
      <w:marLeft w:val="0"/>
      <w:marRight w:val="0"/>
      <w:marTop w:val="0"/>
      <w:marBottom w:val="0"/>
      <w:divBdr>
        <w:top w:val="none" w:sz="0" w:space="0" w:color="auto"/>
        <w:left w:val="none" w:sz="0" w:space="0" w:color="auto"/>
        <w:bottom w:val="none" w:sz="0" w:space="0" w:color="auto"/>
        <w:right w:val="none" w:sz="0" w:space="0" w:color="auto"/>
      </w:divBdr>
    </w:div>
    <w:div w:id="1842354368">
      <w:bodyDiv w:val="1"/>
      <w:marLeft w:val="0"/>
      <w:marRight w:val="0"/>
      <w:marTop w:val="0"/>
      <w:marBottom w:val="0"/>
      <w:divBdr>
        <w:top w:val="none" w:sz="0" w:space="0" w:color="auto"/>
        <w:left w:val="none" w:sz="0" w:space="0" w:color="auto"/>
        <w:bottom w:val="none" w:sz="0" w:space="0" w:color="auto"/>
        <w:right w:val="none" w:sz="0" w:space="0" w:color="auto"/>
      </w:divBdr>
    </w:div>
    <w:div w:id="1880359842">
      <w:bodyDiv w:val="1"/>
      <w:marLeft w:val="0"/>
      <w:marRight w:val="0"/>
      <w:marTop w:val="0"/>
      <w:marBottom w:val="0"/>
      <w:divBdr>
        <w:top w:val="none" w:sz="0" w:space="0" w:color="auto"/>
        <w:left w:val="none" w:sz="0" w:space="0" w:color="auto"/>
        <w:bottom w:val="none" w:sz="0" w:space="0" w:color="auto"/>
        <w:right w:val="none" w:sz="0" w:space="0" w:color="auto"/>
      </w:divBdr>
    </w:div>
    <w:div w:id="2103064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wonglersak@soton.ac.uk"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5519/0095579"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metoffice.gov.uk/climate/u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587BF67-5D7D-4A51-B6B0-3232F4E0BDB9}">
  <we:reference id="wa104382081" version="1.4.0.0" store="en-US" storeType="OMEX"/>
  <we:alternateReferences>
    <we:reference id="wa104382081" version="1.4.0.0" store="WA104382081"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09DCD-A3CF-E345-BDBF-46D83C235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37</Pages>
  <Words>44500</Words>
  <Characters>253650</Characters>
  <Application>Microsoft Office Word</Application>
  <DocSecurity>0</DocSecurity>
  <Lines>2113</Lines>
  <Paragraphs>595</Paragraphs>
  <ScaleCrop>false</ScaleCrop>
  <HeadingPairs>
    <vt:vector size="2" baseType="variant">
      <vt:variant>
        <vt:lpstr>Title</vt:lpstr>
      </vt:variant>
      <vt:variant>
        <vt:i4>1</vt:i4>
      </vt:variant>
    </vt:vector>
  </HeadingPairs>
  <TitlesOfParts>
    <vt:vector size="1" baseType="lpstr">
      <vt:lpstr/>
    </vt:vector>
  </TitlesOfParts>
  <Company>The Natural History Museum</Company>
  <LinksUpToDate>false</LinksUpToDate>
  <CharactersWithSpaces>297555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Rungtip Wong</dc:creator>
  <cp:lastModifiedBy>Langdon P.G.</cp:lastModifiedBy>
  <cp:revision>3</cp:revision>
  <cp:lastPrinted>2019-12-12T15:05:00Z</cp:lastPrinted>
  <dcterms:created xsi:type="dcterms:W3CDTF">2020-02-10T08:39:00Z</dcterms:created>
  <dcterms:modified xsi:type="dcterms:W3CDTF">2020-02-10T08:42:00Z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e57b092c-29aa-36f8-aa88-7887cd43a27a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