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0EC02" w14:textId="77777777" w:rsidR="00874D8C" w:rsidRPr="00874D8C" w:rsidRDefault="00874D8C" w:rsidP="0024172D">
      <w:pPr>
        <w:spacing w:after="0" w:line="480" w:lineRule="auto"/>
        <w:rPr>
          <w:rFonts w:ascii="Times New Roman" w:hAnsi="Times New Roman" w:cs="Times New Roman"/>
          <w:b/>
          <w:sz w:val="24"/>
          <w:szCs w:val="24"/>
          <w:u w:val="single"/>
        </w:rPr>
      </w:pPr>
      <w:r w:rsidRPr="00874D8C">
        <w:rPr>
          <w:rFonts w:ascii="Times New Roman" w:hAnsi="Times New Roman" w:cs="Times New Roman"/>
          <w:b/>
          <w:sz w:val="24"/>
          <w:szCs w:val="24"/>
          <w:u w:val="single"/>
        </w:rPr>
        <w:t>Manuscript Title</w:t>
      </w:r>
    </w:p>
    <w:p w14:paraId="178AF3F4" w14:textId="0AB9EA68" w:rsidR="00C0348D" w:rsidRDefault="0024172D" w:rsidP="0024172D">
      <w:pPr>
        <w:spacing w:after="0" w:line="480" w:lineRule="auto"/>
        <w:rPr>
          <w:rFonts w:ascii="Times New Roman" w:hAnsi="Times New Roman" w:cs="Times New Roman"/>
          <w:sz w:val="24"/>
          <w:szCs w:val="24"/>
        </w:rPr>
      </w:pPr>
      <w:r w:rsidRPr="00874D8C">
        <w:rPr>
          <w:rFonts w:ascii="Times New Roman" w:hAnsi="Times New Roman" w:cs="Times New Roman"/>
          <w:sz w:val="24"/>
          <w:szCs w:val="24"/>
        </w:rPr>
        <w:t>Prevention and management of osteoporotic fractures by non-physician health professionals: A systematic literature review to inform European League Against Rheumatism (EULAR) po</w:t>
      </w:r>
      <w:r w:rsidR="007562D8" w:rsidRPr="00874D8C">
        <w:rPr>
          <w:rFonts w:ascii="Times New Roman" w:hAnsi="Times New Roman" w:cs="Times New Roman"/>
          <w:sz w:val="24"/>
          <w:szCs w:val="24"/>
        </w:rPr>
        <w:t>ints to consider</w:t>
      </w:r>
      <w:r w:rsidRPr="00874D8C">
        <w:rPr>
          <w:rFonts w:ascii="Times New Roman" w:hAnsi="Times New Roman" w:cs="Times New Roman"/>
          <w:sz w:val="24"/>
          <w:szCs w:val="24"/>
        </w:rPr>
        <w:t>.</w:t>
      </w:r>
      <w:r w:rsidR="008B435D">
        <w:rPr>
          <w:rFonts w:ascii="Times New Roman" w:hAnsi="Times New Roman" w:cs="Times New Roman"/>
          <w:sz w:val="24"/>
          <w:szCs w:val="24"/>
        </w:rPr>
        <w:t xml:space="preserve"> </w:t>
      </w:r>
    </w:p>
    <w:p w14:paraId="48BD886B" w14:textId="77777777" w:rsidR="00874D8C" w:rsidRPr="00874D8C" w:rsidRDefault="00874D8C" w:rsidP="0024172D">
      <w:pPr>
        <w:spacing w:after="0" w:line="480" w:lineRule="auto"/>
        <w:rPr>
          <w:rFonts w:ascii="Times New Roman" w:hAnsi="Times New Roman" w:cs="Times New Roman"/>
          <w:sz w:val="24"/>
          <w:szCs w:val="24"/>
        </w:rPr>
      </w:pPr>
    </w:p>
    <w:p w14:paraId="2A27543A" w14:textId="77777777" w:rsidR="00874D8C" w:rsidRPr="00874D8C" w:rsidRDefault="00874D8C" w:rsidP="0024172D">
      <w:pPr>
        <w:spacing w:after="0" w:line="480" w:lineRule="auto"/>
        <w:rPr>
          <w:rFonts w:ascii="Times New Roman" w:hAnsi="Times New Roman" w:cs="Times New Roman"/>
          <w:b/>
          <w:sz w:val="24"/>
          <w:szCs w:val="24"/>
          <w:u w:val="single"/>
        </w:rPr>
      </w:pPr>
      <w:r w:rsidRPr="00874D8C">
        <w:rPr>
          <w:rFonts w:ascii="Times New Roman" w:hAnsi="Times New Roman" w:cs="Times New Roman"/>
          <w:b/>
          <w:sz w:val="24"/>
          <w:szCs w:val="24"/>
          <w:u w:val="single"/>
        </w:rPr>
        <w:t>Authors</w:t>
      </w:r>
    </w:p>
    <w:p w14:paraId="41D7095D" w14:textId="77777777" w:rsidR="0024172D" w:rsidRPr="00C33A5F" w:rsidRDefault="0024172D" w:rsidP="0024172D">
      <w:pPr>
        <w:spacing w:after="0" w:line="480" w:lineRule="auto"/>
        <w:rPr>
          <w:rFonts w:ascii="Times New Roman" w:hAnsi="Times New Roman" w:cs="Times New Roman"/>
          <w:i/>
          <w:sz w:val="24"/>
          <w:szCs w:val="24"/>
          <w:vertAlign w:val="superscript"/>
        </w:rPr>
      </w:pPr>
      <w:r w:rsidRPr="00C33A5F">
        <w:rPr>
          <w:rFonts w:ascii="Times New Roman" w:hAnsi="Times New Roman" w:cs="Times New Roman"/>
          <w:i/>
          <w:sz w:val="24"/>
          <w:szCs w:val="24"/>
        </w:rPr>
        <w:t>Wilson N</w:t>
      </w:r>
      <w:r w:rsidRPr="00C33A5F">
        <w:rPr>
          <w:rFonts w:ascii="Times New Roman" w:hAnsi="Times New Roman" w:cs="Times New Roman"/>
          <w:i/>
          <w:sz w:val="24"/>
          <w:szCs w:val="24"/>
          <w:vertAlign w:val="superscript"/>
        </w:rPr>
        <w:t>1</w:t>
      </w:r>
      <w:r w:rsidR="007863E6">
        <w:rPr>
          <w:rFonts w:ascii="Times New Roman" w:hAnsi="Times New Roman" w:cs="Times New Roman"/>
          <w:i/>
          <w:sz w:val="24"/>
          <w:szCs w:val="24"/>
          <w:vertAlign w:val="superscript"/>
        </w:rPr>
        <w:t>*</w:t>
      </w:r>
      <w:r w:rsidRPr="00C33A5F">
        <w:rPr>
          <w:rFonts w:ascii="Times New Roman" w:hAnsi="Times New Roman" w:cs="Times New Roman"/>
          <w:i/>
          <w:sz w:val="24"/>
          <w:szCs w:val="24"/>
        </w:rPr>
        <w:t xml:space="preserve">, </w:t>
      </w:r>
      <w:proofErr w:type="spellStart"/>
      <w:r w:rsidRPr="00C33A5F">
        <w:rPr>
          <w:rFonts w:ascii="Times New Roman" w:hAnsi="Times New Roman" w:cs="Times New Roman"/>
          <w:i/>
          <w:sz w:val="24"/>
          <w:szCs w:val="24"/>
        </w:rPr>
        <w:t>Hurkmans</w:t>
      </w:r>
      <w:proofErr w:type="spellEnd"/>
      <w:r w:rsidRPr="00C33A5F">
        <w:rPr>
          <w:rFonts w:ascii="Times New Roman" w:hAnsi="Times New Roman" w:cs="Times New Roman"/>
          <w:i/>
          <w:sz w:val="24"/>
          <w:szCs w:val="24"/>
        </w:rPr>
        <w:t xml:space="preserve"> EJ</w:t>
      </w:r>
      <w:r w:rsidRPr="00C33A5F">
        <w:rPr>
          <w:rFonts w:ascii="Times New Roman" w:hAnsi="Times New Roman" w:cs="Times New Roman"/>
          <w:i/>
          <w:sz w:val="24"/>
          <w:szCs w:val="24"/>
          <w:vertAlign w:val="superscript"/>
        </w:rPr>
        <w:t>2</w:t>
      </w:r>
      <w:r w:rsidR="007863E6">
        <w:rPr>
          <w:rFonts w:ascii="Times New Roman" w:hAnsi="Times New Roman" w:cs="Times New Roman"/>
          <w:i/>
          <w:sz w:val="24"/>
          <w:szCs w:val="24"/>
          <w:vertAlign w:val="superscript"/>
        </w:rPr>
        <w:t>*</w:t>
      </w:r>
      <w:r w:rsidRPr="00C33A5F">
        <w:rPr>
          <w:rFonts w:ascii="Times New Roman" w:hAnsi="Times New Roman" w:cs="Times New Roman"/>
          <w:i/>
          <w:sz w:val="24"/>
          <w:szCs w:val="24"/>
        </w:rPr>
        <w:t>, Adams J</w:t>
      </w:r>
      <w:r w:rsidRPr="00C33A5F">
        <w:rPr>
          <w:rFonts w:ascii="Times New Roman" w:hAnsi="Times New Roman" w:cs="Times New Roman"/>
          <w:i/>
          <w:sz w:val="24"/>
          <w:szCs w:val="24"/>
          <w:vertAlign w:val="superscript"/>
        </w:rPr>
        <w:t>1</w:t>
      </w:r>
      <w:r w:rsidRPr="00C33A5F">
        <w:rPr>
          <w:rFonts w:ascii="Times New Roman" w:hAnsi="Times New Roman" w:cs="Times New Roman"/>
          <w:i/>
          <w:sz w:val="24"/>
          <w:szCs w:val="24"/>
        </w:rPr>
        <w:t xml:space="preserve">, </w:t>
      </w:r>
      <w:proofErr w:type="spellStart"/>
      <w:r w:rsidRPr="00C33A5F">
        <w:rPr>
          <w:rFonts w:ascii="Times New Roman" w:eastAsia="Calibri" w:hAnsi="Times New Roman" w:cs="Times New Roman"/>
          <w:i/>
          <w:sz w:val="24"/>
          <w:szCs w:val="24"/>
        </w:rPr>
        <w:t>Bakker</w:t>
      </w:r>
      <w:r w:rsidR="004B24E1" w:rsidRPr="00C33A5F">
        <w:rPr>
          <w:rFonts w:ascii="Times New Roman" w:eastAsia="Calibri" w:hAnsi="Times New Roman" w:cs="Times New Roman"/>
          <w:i/>
          <w:sz w:val="24"/>
          <w:szCs w:val="24"/>
        </w:rPr>
        <w:t>s</w:t>
      </w:r>
      <w:proofErr w:type="spellEnd"/>
      <w:r w:rsidRPr="00C33A5F">
        <w:rPr>
          <w:rFonts w:ascii="Times New Roman" w:eastAsia="Calibri" w:hAnsi="Times New Roman" w:cs="Times New Roman"/>
          <w:i/>
          <w:sz w:val="24"/>
          <w:szCs w:val="24"/>
        </w:rPr>
        <w:t xml:space="preserve"> M</w:t>
      </w:r>
      <w:r w:rsidR="000A040C" w:rsidRPr="00C33A5F">
        <w:rPr>
          <w:rFonts w:ascii="Times New Roman" w:eastAsia="Calibri" w:hAnsi="Times New Roman" w:cs="Times New Roman"/>
          <w:i/>
          <w:sz w:val="24"/>
          <w:szCs w:val="24"/>
          <w:vertAlign w:val="superscript"/>
        </w:rPr>
        <w:t>3</w:t>
      </w:r>
      <w:r w:rsidRPr="00C33A5F">
        <w:rPr>
          <w:rFonts w:ascii="Times New Roman" w:eastAsia="Calibri" w:hAnsi="Times New Roman" w:cs="Times New Roman"/>
          <w:i/>
          <w:sz w:val="24"/>
          <w:szCs w:val="24"/>
        </w:rPr>
        <w:t xml:space="preserve">, </w:t>
      </w:r>
      <w:proofErr w:type="spellStart"/>
      <w:r w:rsidRPr="00C33A5F">
        <w:rPr>
          <w:rFonts w:ascii="Times New Roman" w:eastAsia="Calibri" w:hAnsi="Times New Roman" w:cs="Times New Roman"/>
          <w:i/>
          <w:sz w:val="24"/>
          <w:szCs w:val="24"/>
        </w:rPr>
        <w:t>Bal</w:t>
      </w:r>
      <w:r w:rsidR="007562D8" w:rsidRPr="00C33A5F">
        <w:rPr>
          <w:rFonts w:ascii="Times New Roman" w:eastAsia="Calibri" w:hAnsi="Times New Roman" w:cs="Times New Roman"/>
          <w:i/>
          <w:sz w:val="24"/>
          <w:szCs w:val="24"/>
        </w:rPr>
        <w:t>áž</w:t>
      </w:r>
      <w:r w:rsidRPr="00C33A5F">
        <w:rPr>
          <w:rFonts w:ascii="Times New Roman" w:eastAsia="Calibri" w:hAnsi="Times New Roman" w:cs="Times New Roman"/>
          <w:i/>
          <w:sz w:val="24"/>
          <w:szCs w:val="24"/>
        </w:rPr>
        <w:t>ov</w:t>
      </w:r>
      <w:r w:rsidR="007562D8" w:rsidRPr="00C33A5F">
        <w:rPr>
          <w:rFonts w:ascii="Times New Roman" w:eastAsia="Calibri" w:hAnsi="Times New Roman" w:cs="Times New Roman"/>
          <w:i/>
          <w:sz w:val="24"/>
          <w:szCs w:val="24"/>
        </w:rPr>
        <w:t>á</w:t>
      </w:r>
      <w:proofErr w:type="spellEnd"/>
      <w:r w:rsidRPr="00C33A5F">
        <w:rPr>
          <w:rFonts w:ascii="Times New Roman" w:eastAsia="Calibri" w:hAnsi="Times New Roman" w:cs="Times New Roman"/>
          <w:i/>
          <w:sz w:val="24"/>
          <w:szCs w:val="24"/>
        </w:rPr>
        <w:t xml:space="preserve"> P</w:t>
      </w:r>
      <w:r w:rsidR="000A040C" w:rsidRPr="00C33A5F">
        <w:rPr>
          <w:rFonts w:ascii="Times New Roman" w:eastAsia="Calibri" w:hAnsi="Times New Roman" w:cs="Times New Roman"/>
          <w:i/>
          <w:sz w:val="24"/>
          <w:szCs w:val="24"/>
          <w:vertAlign w:val="superscript"/>
        </w:rPr>
        <w:t>4</w:t>
      </w:r>
      <w:r w:rsidRPr="00C33A5F">
        <w:rPr>
          <w:rFonts w:ascii="Times New Roman" w:eastAsia="Calibri" w:hAnsi="Times New Roman" w:cs="Times New Roman"/>
          <w:i/>
          <w:sz w:val="24"/>
          <w:szCs w:val="24"/>
        </w:rPr>
        <w:t>, Baxter M</w:t>
      </w:r>
      <w:r w:rsidR="000A040C" w:rsidRPr="00C33A5F">
        <w:rPr>
          <w:rFonts w:ascii="Times New Roman" w:eastAsia="Calibri" w:hAnsi="Times New Roman" w:cs="Times New Roman"/>
          <w:i/>
          <w:sz w:val="24"/>
          <w:szCs w:val="24"/>
          <w:vertAlign w:val="superscript"/>
        </w:rPr>
        <w:t>5</w:t>
      </w:r>
      <w:r w:rsidRPr="00C33A5F">
        <w:rPr>
          <w:rFonts w:ascii="Times New Roman" w:eastAsia="Calibri" w:hAnsi="Times New Roman" w:cs="Times New Roman"/>
          <w:i/>
          <w:sz w:val="24"/>
          <w:szCs w:val="24"/>
        </w:rPr>
        <w:t xml:space="preserve">, </w:t>
      </w:r>
      <w:proofErr w:type="spellStart"/>
      <w:r w:rsidRPr="00C33A5F">
        <w:rPr>
          <w:rFonts w:ascii="Times New Roman" w:eastAsia="Calibri" w:hAnsi="Times New Roman" w:cs="Times New Roman"/>
          <w:i/>
          <w:sz w:val="24"/>
          <w:szCs w:val="24"/>
        </w:rPr>
        <w:t>Blavnsfeldt</w:t>
      </w:r>
      <w:proofErr w:type="spellEnd"/>
      <w:r w:rsidRPr="00C33A5F">
        <w:rPr>
          <w:rFonts w:ascii="Times New Roman" w:eastAsia="Calibri" w:hAnsi="Times New Roman" w:cs="Times New Roman"/>
          <w:i/>
          <w:sz w:val="24"/>
          <w:szCs w:val="24"/>
        </w:rPr>
        <w:t xml:space="preserve"> A</w:t>
      </w:r>
      <w:r w:rsidR="000A040C" w:rsidRPr="00C33A5F">
        <w:rPr>
          <w:rFonts w:ascii="Times New Roman" w:eastAsia="Calibri" w:hAnsi="Times New Roman" w:cs="Times New Roman"/>
          <w:i/>
          <w:sz w:val="24"/>
          <w:szCs w:val="24"/>
          <w:vertAlign w:val="superscript"/>
        </w:rPr>
        <w:t>6</w:t>
      </w:r>
      <w:r w:rsidRPr="00C33A5F">
        <w:rPr>
          <w:rFonts w:ascii="Times New Roman" w:eastAsia="Calibri" w:hAnsi="Times New Roman" w:cs="Times New Roman"/>
          <w:i/>
          <w:sz w:val="24"/>
          <w:szCs w:val="24"/>
        </w:rPr>
        <w:t xml:space="preserve">, </w:t>
      </w:r>
      <w:proofErr w:type="spellStart"/>
      <w:r w:rsidRPr="00C33A5F">
        <w:rPr>
          <w:rFonts w:ascii="Times New Roman" w:eastAsia="Calibri" w:hAnsi="Times New Roman" w:cs="Times New Roman"/>
          <w:i/>
          <w:sz w:val="24"/>
          <w:szCs w:val="24"/>
        </w:rPr>
        <w:t>Briot</w:t>
      </w:r>
      <w:proofErr w:type="spellEnd"/>
      <w:r w:rsidRPr="00C33A5F">
        <w:rPr>
          <w:rFonts w:ascii="Times New Roman" w:eastAsia="Calibri" w:hAnsi="Times New Roman" w:cs="Times New Roman"/>
          <w:i/>
          <w:sz w:val="24"/>
          <w:szCs w:val="24"/>
        </w:rPr>
        <w:t xml:space="preserve"> K</w:t>
      </w:r>
      <w:r w:rsidR="000A040C" w:rsidRPr="00C33A5F">
        <w:rPr>
          <w:rFonts w:ascii="Times New Roman" w:eastAsia="Calibri" w:hAnsi="Times New Roman" w:cs="Times New Roman"/>
          <w:i/>
          <w:sz w:val="24"/>
          <w:szCs w:val="24"/>
          <w:vertAlign w:val="superscript"/>
        </w:rPr>
        <w:t>7</w:t>
      </w:r>
      <w:r w:rsidRPr="00C33A5F">
        <w:rPr>
          <w:rFonts w:ascii="Times New Roman" w:eastAsia="Calibri" w:hAnsi="Times New Roman" w:cs="Times New Roman"/>
          <w:i/>
          <w:sz w:val="24"/>
          <w:szCs w:val="24"/>
        </w:rPr>
        <w:t>, Chiari C</w:t>
      </w:r>
      <w:r w:rsidR="000A040C" w:rsidRPr="00C33A5F">
        <w:rPr>
          <w:rFonts w:ascii="Times New Roman" w:eastAsia="Calibri" w:hAnsi="Times New Roman" w:cs="Times New Roman"/>
          <w:i/>
          <w:sz w:val="24"/>
          <w:szCs w:val="24"/>
          <w:vertAlign w:val="superscript"/>
        </w:rPr>
        <w:t>8</w:t>
      </w:r>
      <w:r w:rsidRPr="00C33A5F">
        <w:rPr>
          <w:rFonts w:ascii="Times New Roman" w:eastAsia="Calibri" w:hAnsi="Times New Roman" w:cs="Times New Roman"/>
          <w:i/>
          <w:sz w:val="24"/>
          <w:szCs w:val="24"/>
        </w:rPr>
        <w:t xml:space="preserve">, </w:t>
      </w:r>
      <w:r w:rsidR="005C6A6F" w:rsidRPr="00C33A5F">
        <w:rPr>
          <w:rFonts w:ascii="Times New Roman" w:eastAsia="Calibri" w:hAnsi="Times New Roman" w:cs="Times New Roman"/>
          <w:i/>
          <w:sz w:val="24"/>
          <w:szCs w:val="24"/>
        </w:rPr>
        <w:t>Cooper C</w:t>
      </w:r>
      <w:r w:rsidR="000A040C" w:rsidRPr="00C33A5F">
        <w:rPr>
          <w:rFonts w:ascii="Times New Roman" w:eastAsia="Calibri" w:hAnsi="Times New Roman" w:cs="Times New Roman"/>
          <w:i/>
          <w:sz w:val="24"/>
          <w:szCs w:val="24"/>
          <w:vertAlign w:val="superscript"/>
        </w:rPr>
        <w:t>9</w:t>
      </w:r>
      <w:r w:rsidR="005C6A6F" w:rsidRPr="00C33A5F">
        <w:rPr>
          <w:rFonts w:ascii="Times New Roman" w:eastAsia="Calibri" w:hAnsi="Times New Roman" w:cs="Times New Roman"/>
          <w:i/>
          <w:sz w:val="24"/>
          <w:szCs w:val="24"/>
        </w:rPr>
        <w:t xml:space="preserve">, </w:t>
      </w:r>
      <w:proofErr w:type="spellStart"/>
      <w:r w:rsidRPr="00C33A5F">
        <w:rPr>
          <w:rFonts w:ascii="Times New Roman" w:eastAsia="Calibri" w:hAnsi="Times New Roman" w:cs="Times New Roman"/>
          <w:i/>
          <w:sz w:val="24"/>
          <w:szCs w:val="24"/>
        </w:rPr>
        <w:t>Dragoi</w:t>
      </w:r>
      <w:proofErr w:type="spellEnd"/>
      <w:r w:rsidRPr="00C33A5F">
        <w:rPr>
          <w:rFonts w:ascii="Times New Roman" w:eastAsia="Calibri" w:hAnsi="Times New Roman" w:cs="Times New Roman"/>
          <w:i/>
          <w:sz w:val="24"/>
          <w:szCs w:val="24"/>
        </w:rPr>
        <w:t xml:space="preserve"> R</w:t>
      </w:r>
      <w:r w:rsidR="00EB6699" w:rsidRPr="00C33A5F">
        <w:rPr>
          <w:rFonts w:ascii="Times New Roman" w:eastAsia="Calibri" w:hAnsi="Times New Roman" w:cs="Times New Roman"/>
          <w:i/>
          <w:sz w:val="24"/>
          <w:szCs w:val="24"/>
        </w:rPr>
        <w:t>G</w:t>
      </w:r>
      <w:r w:rsidR="000A040C" w:rsidRPr="00C33A5F">
        <w:rPr>
          <w:rFonts w:ascii="Times New Roman" w:eastAsia="Calibri" w:hAnsi="Times New Roman" w:cs="Times New Roman"/>
          <w:i/>
          <w:sz w:val="24"/>
          <w:szCs w:val="24"/>
          <w:vertAlign w:val="superscript"/>
        </w:rPr>
        <w:t>10</w:t>
      </w:r>
      <w:r w:rsidRPr="00C33A5F">
        <w:rPr>
          <w:rFonts w:ascii="Times New Roman" w:eastAsia="Calibri" w:hAnsi="Times New Roman" w:cs="Times New Roman"/>
          <w:i/>
          <w:sz w:val="24"/>
          <w:szCs w:val="24"/>
        </w:rPr>
        <w:t xml:space="preserve">, </w:t>
      </w:r>
      <w:proofErr w:type="spellStart"/>
      <w:r w:rsidRPr="00C33A5F">
        <w:rPr>
          <w:rFonts w:ascii="Times New Roman" w:eastAsia="Calibri" w:hAnsi="Times New Roman" w:cs="Times New Roman"/>
          <w:i/>
          <w:sz w:val="24"/>
          <w:szCs w:val="24"/>
        </w:rPr>
        <w:t>G</w:t>
      </w:r>
      <w:r w:rsidR="003A2197" w:rsidRPr="00C33A5F">
        <w:rPr>
          <w:rFonts w:ascii="Times New Roman" w:eastAsia="Calibri" w:hAnsi="Times New Roman" w:cs="Times New Roman"/>
          <w:i/>
          <w:sz w:val="24"/>
          <w:szCs w:val="24"/>
        </w:rPr>
        <w:t>ä</w:t>
      </w:r>
      <w:r w:rsidRPr="00C33A5F">
        <w:rPr>
          <w:rFonts w:ascii="Times New Roman" w:eastAsia="Calibri" w:hAnsi="Times New Roman" w:cs="Times New Roman"/>
          <w:i/>
          <w:sz w:val="24"/>
          <w:szCs w:val="24"/>
        </w:rPr>
        <w:t>bler</w:t>
      </w:r>
      <w:proofErr w:type="spellEnd"/>
      <w:r w:rsidRPr="00C33A5F">
        <w:rPr>
          <w:rFonts w:ascii="Times New Roman" w:eastAsia="Calibri" w:hAnsi="Times New Roman" w:cs="Times New Roman"/>
          <w:i/>
          <w:sz w:val="24"/>
          <w:szCs w:val="24"/>
        </w:rPr>
        <w:t xml:space="preserve"> G</w:t>
      </w:r>
      <w:r w:rsidR="000A040C" w:rsidRPr="00C33A5F">
        <w:rPr>
          <w:rFonts w:ascii="Times New Roman" w:eastAsia="Calibri" w:hAnsi="Times New Roman" w:cs="Times New Roman"/>
          <w:i/>
          <w:sz w:val="24"/>
          <w:szCs w:val="24"/>
          <w:vertAlign w:val="superscript"/>
        </w:rPr>
        <w:t>11</w:t>
      </w:r>
      <w:r w:rsidRPr="00C33A5F">
        <w:rPr>
          <w:rFonts w:ascii="Times New Roman" w:eastAsia="Calibri" w:hAnsi="Times New Roman" w:cs="Times New Roman"/>
          <w:i/>
          <w:sz w:val="24"/>
          <w:szCs w:val="24"/>
        </w:rPr>
        <w:t xml:space="preserve">, </w:t>
      </w:r>
      <w:proofErr w:type="spellStart"/>
      <w:r w:rsidR="00F06823" w:rsidRPr="00C33A5F">
        <w:rPr>
          <w:rFonts w:ascii="Times New Roman" w:eastAsia="Calibri" w:hAnsi="Times New Roman" w:cs="Times New Roman"/>
          <w:i/>
          <w:sz w:val="24"/>
          <w:szCs w:val="24"/>
        </w:rPr>
        <w:t>Lems</w:t>
      </w:r>
      <w:proofErr w:type="spellEnd"/>
      <w:r w:rsidR="00F06823" w:rsidRPr="00C33A5F">
        <w:rPr>
          <w:rFonts w:ascii="Times New Roman" w:eastAsia="Calibri" w:hAnsi="Times New Roman" w:cs="Times New Roman"/>
          <w:i/>
          <w:sz w:val="24"/>
          <w:szCs w:val="24"/>
        </w:rPr>
        <w:t xml:space="preserve"> W</w:t>
      </w:r>
      <w:r w:rsidR="007562D8" w:rsidRPr="00C33A5F">
        <w:rPr>
          <w:rFonts w:ascii="Times New Roman" w:eastAsia="Calibri" w:hAnsi="Times New Roman" w:cs="Times New Roman"/>
          <w:i/>
          <w:sz w:val="24"/>
          <w:szCs w:val="24"/>
        </w:rPr>
        <w:t>F</w:t>
      </w:r>
      <w:r w:rsidR="000A040C" w:rsidRPr="00C33A5F">
        <w:rPr>
          <w:rFonts w:ascii="Times New Roman" w:eastAsia="Calibri" w:hAnsi="Times New Roman" w:cs="Times New Roman"/>
          <w:i/>
          <w:sz w:val="24"/>
          <w:szCs w:val="24"/>
          <w:vertAlign w:val="superscript"/>
        </w:rPr>
        <w:t>12</w:t>
      </w:r>
      <w:r w:rsidR="00F06823" w:rsidRPr="00C33A5F">
        <w:rPr>
          <w:rFonts w:ascii="Times New Roman" w:eastAsia="Calibri" w:hAnsi="Times New Roman" w:cs="Times New Roman"/>
          <w:i/>
          <w:sz w:val="24"/>
          <w:szCs w:val="24"/>
        </w:rPr>
        <w:t xml:space="preserve">, </w:t>
      </w:r>
      <w:proofErr w:type="spellStart"/>
      <w:r w:rsidR="00F06823" w:rsidRPr="00C33A5F">
        <w:rPr>
          <w:rFonts w:ascii="Times New Roman" w:eastAsia="Calibri" w:hAnsi="Times New Roman" w:cs="Times New Roman"/>
          <w:i/>
          <w:sz w:val="24"/>
          <w:szCs w:val="24"/>
        </w:rPr>
        <w:t>Mosor</w:t>
      </w:r>
      <w:proofErr w:type="spellEnd"/>
      <w:r w:rsidR="00F06823" w:rsidRPr="00C33A5F">
        <w:rPr>
          <w:rFonts w:ascii="Times New Roman" w:eastAsia="Calibri" w:hAnsi="Times New Roman" w:cs="Times New Roman"/>
          <w:i/>
          <w:sz w:val="24"/>
          <w:szCs w:val="24"/>
        </w:rPr>
        <w:t xml:space="preserve"> E</w:t>
      </w:r>
      <w:r w:rsidR="000A040C" w:rsidRPr="00C33A5F">
        <w:rPr>
          <w:rFonts w:ascii="Times New Roman" w:eastAsia="Calibri" w:hAnsi="Times New Roman" w:cs="Times New Roman"/>
          <w:i/>
          <w:sz w:val="24"/>
          <w:szCs w:val="24"/>
          <w:vertAlign w:val="superscript"/>
        </w:rPr>
        <w:t>11</w:t>
      </w:r>
      <w:r w:rsidR="00F06823" w:rsidRPr="00C33A5F">
        <w:rPr>
          <w:rFonts w:ascii="Times New Roman" w:eastAsia="Calibri" w:hAnsi="Times New Roman" w:cs="Times New Roman"/>
          <w:i/>
          <w:sz w:val="24"/>
          <w:szCs w:val="24"/>
        </w:rPr>
        <w:t xml:space="preserve">, </w:t>
      </w:r>
      <w:proofErr w:type="spellStart"/>
      <w:r w:rsidR="00F06823" w:rsidRPr="00C33A5F">
        <w:rPr>
          <w:rFonts w:ascii="Times New Roman" w:eastAsia="Calibri" w:hAnsi="Times New Roman" w:cs="Times New Roman"/>
          <w:i/>
          <w:sz w:val="24"/>
          <w:szCs w:val="24"/>
        </w:rPr>
        <w:t>Pais</w:t>
      </w:r>
      <w:proofErr w:type="spellEnd"/>
      <w:r w:rsidR="00F06823" w:rsidRPr="00C33A5F">
        <w:rPr>
          <w:rFonts w:ascii="Times New Roman" w:eastAsia="Calibri" w:hAnsi="Times New Roman" w:cs="Times New Roman"/>
          <w:i/>
          <w:sz w:val="24"/>
          <w:szCs w:val="24"/>
        </w:rPr>
        <w:t xml:space="preserve"> S</w:t>
      </w:r>
      <w:r w:rsidR="000A040C" w:rsidRPr="00C33A5F">
        <w:rPr>
          <w:rFonts w:ascii="Times New Roman" w:eastAsia="Calibri" w:hAnsi="Times New Roman" w:cs="Times New Roman"/>
          <w:i/>
          <w:sz w:val="24"/>
          <w:szCs w:val="24"/>
          <w:vertAlign w:val="superscript"/>
        </w:rPr>
        <w:t>13</w:t>
      </w:r>
      <w:r w:rsidR="00F06823" w:rsidRPr="00C33A5F">
        <w:rPr>
          <w:rFonts w:ascii="Times New Roman" w:eastAsia="Calibri" w:hAnsi="Times New Roman" w:cs="Times New Roman"/>
          <w:i/>
          <w:sz w:val="24"/>
          <w:szCs w:val="24"/>
        </w:rPr>
        <w:t>, Simon C</w:t>
      </w:r>
      <w:r w:rsidR="000A040C" w:rsidRPr="00C33A5F">
        <w:rPr>
          <w:rFonts w:ascii="Times New Roman" w:eastAsia="Calibri" w:hAnsi="Times New Roman" w:cs="Times New Roman"/>
          <w:i/>
          <w:sz w:val="24"/>
          <w:szCs w:val="24"/>
          <w:vertAlign w:val="superscript"/>
        </w:rPr>
        <w:t>14</w:t>
      </w:r>
      <w:r w:rsidRPr="00C33A5F">
        <w:rPr>
          <w:rFonts w:ascii="Times New Roman" w:eastAsia="Calibri" w:hAnsi="Times New Roman" w:cs="Times New Roman"/>
          <w:i/>
          <w:sz w:val="24"/>
          <w:szCs w:val="24"/>
        </w:rPr>
        <w:t xml:space="preserve">, </w:t>
      </w:r>
      <w:proofErr w:type="spellStart"/>
      <w:r w:rsidRPr="00C33A5F">
        <w:rPr>
          <w:rFonts w:ascii="Times New Roman" w:eastAsia="Calibri" w:hAnsi="Times New Roman" w:cs="Times New Roman"/>
          <w:i/>
          <w:sz w:val="24"/>
          <w:szCs w:val="24"/>
        </w:rPr>
        <w:t>Studenic</w:t>
      </w:r>
      <w:proofErr w:type="spellEnd"/>
      <w:r w:rsidRPr="00C33A5F">
        <w:rPr>
          <w:rFonts w:ascii="Times New Roman" w:eastAsia="Calibri" w:hAnsi="Times New Roman" w:cs="Times New Roman"/>
          <w:i/>
          <w:sz w:val="24"/>
          <w:szCs w:val="24"/>
        </w:rPr>
        <w:t xml:space="preserve"> P</w:t>
      </w:r>
      <w:r w:rsidR="000A040C" w:rsidRPr="00C33A5F">
        <w:rPr>
          <w:rFonts w:ascii="Times New Roman" w:eastAsia="Calibri" w:hAnsi="Times New Roman" w:cs="Times New Roman"/>
          <w:i/>
          <w:sz w:val="24"/>
          <w:szCs w:val="24"/>
          <w:vertAlign w:val="superscript"/>
        </w:rPr>
        <w:t>15</w:t>
      </w:r>
      <w:r w:rsidRPr="00C33A5F">
        <w:rPr>
          <w:rFonts w:ascii="Times New Roman" w:eastAsia="Calibri" w:hAnsi="Times New Roman" w:cs="Times New Roman"/>
          <w:i/>
          <w:sz w:val="24"/>
          <w:szCs w:val="24"/>
        </w:rPr>
        <w:t>, Tilley S</w:t>
      </w:r>
      <w:r w:rsidR="00A019FF" w:rsidRPr="00C33A5F">
        <w:rPr>
          <w:rFonts w:ascii="Times New Roman" w:eastAsia="Calibri" w:hAnsi="Times New Roman" w:cs="Times New Roman"/>
          <w:i/>
          <w:sz w:val="24"/>
          <w:szCs w:val="24"/>
          <w:vertAlign w:val="superscript"/>
        </w:rPr>
        <w:t>5</w:t>
      </w:r>
      <w:r w:rsidRPr="00C33A5F">
        <w:rPr>
          <w:rFonts w:ascii="Times New Roman" w:eastAsia="Calibri" w:hAnsi="Times New Roman" w:cs="Times New Roman"/>
          <w:i/>
          <w:sz w:val="24"/>
          <w:szCs w:val="24"/>
        </w:rPr>
        <w:t>, de la Torre J</w:t>
      </w:r>
      <w:r w:rsidR="00A019FF" w:rsidRPr="00C33A5F">
        <w:rPr>
          <w:rFonts w:ascii="Times New Roman" w:eastAsia="Calibri" w:hAnsi="Times New Roman" w:cs="Times New Roman"/>
          <w:i/>
          <w:sz w:val="24"/>
          <w:szCs w:val="24"/>
          <w:vertAlign w:val="superscript"/>
        </w:rPr>
        <w:t>16</w:t>
      </w:r>
      <w:r w:rsidRPr="00C33A5F">
        <w:rPr>
          <w:rFonts w:ascii="Times New Roman" w:eastAsia="Calibri" w:hAnsi="Times New Roman" w:cs="Times New Roman"/>
          <w:i/>
          <w:sz w:val="24"/>
          <w:szCs w:val="24"/>
        </w:rPr>
        <w:t>,</w:t>
      </w:r>
      <w:r w:rsidRPr="00C33A5F">
        <w:rPr>
          <w:rFonts w:ascii="Times New Roman" w:hAnsi="Times New Roman" w:cs="Times New Roman"/>
          <w:i/>
          <w:sz w:val="24"/>
          <w:szCs w:val="24"/>
        </w:rPr>
        <w:t xml:space="preserve"> </w:t>
      </w:r>
      <w:proofErr w:type="spellStart"/>
      <w:r w:rsidRPr="00C33A5F">
        <w:rPr>
          <w:rFonts w:ascii="Times New Roman" w:hAnsi="Times New Roman" w:cs="Times New Roman"/>
          <w:i/>
          <w:sz w:val="24"/>
          <w:szCs w:val="24"/>
        </w:rPr>
        <w:t>Stamm</w:t>
      </w:r>
      <w:proofErr w:type="spellEnd"/>
      <w:r w:rsidRPr="00C33A5F">
        <w:rPr>
          <w:rFonts w:ascii="Times New Roman" w:hAnsi="Times New Roman" w:cs="Times New Roman"/>
          <w:i/>
          <w:sz w:val="24"/>
          <w:szCs w:val="24"/>
        </w:rPr>
        <w:t xml:space="preserve"> T</w:t>
      </w:r>
      <w:r w:rsidR="000A040C" w:rsidRPr="00C33A5F">
        <w:rPr>
          <w:rFonts w:ascii="Times New Roman" w:hAnsi="Times New Roman" w:cs="Times New Roman"/>
          <w:i/>
          <w:sz w:val="24"/>
          <w:szCs w:val="24"/>
          <w:vertAlign w:val="superscript"/>
        </w:rPr>
        <w:t>11</w:t>
      </w:r>
    </w:p>
    <w:p w14:paraId="718F1BE2" w14:textId="77777777" w:rsidR="0024172D" w:rsidRPr="007863E6" w:rsidRDefault="007863E6" w:rsidP="00466241">
      <w:pPr>
        <w:pStyle w:val="Heading2"/>
        <w:spacing w:before="0" w:line="480" w:lineRule="auto"/>
        <w:rPr>
          <w:rFonts w:ascii="Times New Roman" w:hAnsi="Times New Roman" w:cs="Times New Roman"/>
          <w:color w:val="auto"/>
          <w:sz w:val="24"/>
          <w:szCs w:val="24"/>
          <w:lang w:val="en-GB"/>
        </w:rPr>
      </w:pPr>
      <w:r w:rsidRPr="007863E6">
        <w:rPr>
          <w:rFonts w:ascii="Times New Roman" w:hAnsi="Times New Roman" w:cs="Times New Roman"/>
          <w:color w:val="auto"/>
          <w:sz w:val="24"/>
          <w:szCs w:val="24"/>
          <w:lang w:val="en-GB"/>
        </w:rPr>
        <w:t xml:space="preserve">*NW and EH </w:t>
      </w:r>
      <w:r>
        <w:rPr>
          <w:rFonts w:ascii="Times New Roman" w:hAnsi="Times New Roman" w:cs="Times New Roman"/>
          <w:color w:val="auto"/>
          <w:sz w:val="24"/>
          <w:szCs w:val="24"/>
          <w:lang w:val="en-GB"/>
        </w:rPr>
        <w:t xml:space="preserve">are joint first authors </w:t>
      </w:r>
      <w:r w:rsidR="00590088">
        <w:rPr>
          <w:rFonts w:ascii="Times New Roman" w:hAnsi="Times New Roman" w:cs="Times New Roman"/>
          <w:color w:val="auto"/>
          <w:sz w:val="24"/>
          <w:szCs w:val="24"/>
          <w:lang w:val="en-GB"/>
        </w:rPr>
        <w:t>of</w:t>
      </w:r>
      <w:r>
        <w:rPr>
          <w:rFonts w:ascii="Times New Roman" w:hAnsi="Times New Roman" w:cs="Times New Roman"/>
          <w:color w:val="auto"/>
          <w:sz w:val="24"/>
          <w:szCs w:val="24"/>
          <w:lang w:val="en-GB"/>
        </w:rPr>
        <w:t xml:space="preserve"> this manuscript</w:t>
      </w:r>
    </w:p>
    <w:p w14:paraId="1A2DAAE9" w14:textId="77777777" w:rsidR="007562D8" w:rsidRPr="007863E6" w:rsidRDefault="007562D8" w:rsidP="007562D8">
      <w:pPr>
        <w:spacing w:after="0" w:line="360" w:lineRule="auto"/>
        <w:jc w:val="both"/>
        <w:rPr>
          <w:rFonts w:ascii="Times New Roman" w:eastAsia="Calibri" w:hAnsi="Times New Roman" w:cs="Times New Roman"/>
          <w:sz w:val="20"/>
          <w:szCs w:val="20"/>
        </w:rPr>
      </w:pPr>
      <w:r w:rsidRPr="00C33A5F">
        <w:rPr>
          <w:rFonts w:ascii="Times New Roman" w:eastAsia="Calibri" w:hAnsi="Times New Roman" w:cs="Times New Roman"/>
          <w:sz w:val="20"/>
          <w:szCs w:val="20"/>
          <w:vertAlign w:val="superscript"/>
        </w:rPr>
        <w:t>1</w:t>
      </w:r>
      <w:r w:rsidRPr="00C33A5F">
        <w:rPr>
          <w:rFonts w:ascii="Times New Roman" w:eastAsia="Calibri" w:hAnsi="Times New Roman" w:cs="Times New Roman"/>
          <w:sz w:val="20"/>
          <w:szCs w:val="20"/>
        </w:rPr>
        <w:t>Sc</w:t>
      </w:r>
      <w:r w:rsidRPr="007863E6">
        <w:rPr>
          <w:rFonts w:ascii="Times New Roman" w:eastAsia="Calibri" w:hAnsi="Times New Roman" w:cs="Times New Roman"/>
          <w:sz w:val="20"/>
          <w:szCs w:val="20"/>
        </w:rPr>
        <w:t>hool of Health Sciences, University of Southampton, Southampton, UK</w:t>
      </w:r>
    </w:p>
    <w:p w14:paraId="65025F38" w14:textId="77777777" w:rsidR="007562D8" w:rsidRPr="00C33A5F" w:rsidRDefault="007562D8" w:rsidP="007562D8">
      <w:pPr>
        <w:spacing w:after="0" w:line="360" w:lineRule="auto"/>
        <w:jc w:val="both"/>
        <w:rPr>
          <w:rFonts w:ascii="Times New Roman" w:hAnsi="Times New Roman" w:cs="Times New Roman"/>
          <w:sz w:val="20"/>
          <w:szCs w:val="20"/>
        </w:rPr>
      </w:pPr>
      <w:r w:rsidRPr="007863E6">
        <w:rPr>
          <w:rFonts w:ascii="Times New Roman" w:eastAsia="Calibri" w:hAnsi="Times New Roman" w:cs="Times New Roman"/>
          <w:sz w:val="20"/>
          <w:szCs w:val="20"/>
          <w:vertAlign w:val="superscript"/>
        </w:rPr>
        <w:t>2</w:t>
      </w:r>
      <w:r w:rsidRPr="007863E6">
        <w:rPr>
          <w:rFonts w:ascii="Times New Roman" w:hAnsi="Times New Roman" w:cs="Times New Roman"/>
          <w:sz w:val="20"/>
          <w:szCs w:val="20"/>
        </w:rPr>
        <w:t xml:space="preserve">Social Affairs and Health, </w:t>
      </w:r>
      <w:proofErr w:type="spellStart"/>
      <w:r w:rsidRPr="007863E6">
        <w:rPr>
          <w:rFonts w:ascii="Times New Roman" w:hAnsi="Times New Roman" w:cs="Times New Roman"/>
          <w:sz w:val="20"/>
          <w:szCs w:val="20"/>
        </w:rPr>
        <w:t>Ec</w:t>
      </w:r>
      <w:r w:rsidRPr="00C33A5F">
        <w:rPr>
          <w:rFonts w:ascii="Times New Roman" w:hAnsi="Times New Roman" w:cs="Times New Roman"/>
          <w:sz w:val="20"/>
          <w:szCs w:val="20"/>
        </w:rPr>
        <w:t>orys</w:t>
      </w:r>
      <w:proofErr w:type="spellEnd"/>
      <w:r w:rsidRPr="00C33A5F">
        <w:rPr>
          <w:rFonts w:ascii="Times New Roman" w:hAnsi="Times New Roman" w:cs="Times New Roman"/>
          <w:sz w:val="20"/>
          <w:szCs w:val="20"/>
        </w:rPr>
        <w:t xml:space="preserve">, Rotterdam, The Netherlands </w:t>
      </w:r>
    </w:p>
    <w:p w14:paraId="270BD87D" w14:textId="77777777" w:rsidR="007562D8" w:rsidRPr="00C33A5F" w:rsidRDefault="007562D8" w:rsidP="007562D8">
      <w:pPr>
        <w:spacing w:after="0" w:line="360" w:lineRule="auto"/>
        <w:rPr>
          <w:rFonts w:ascii="Times New Roman" w:hAnsi="Times New Roman" w:cs="Times New Roman"/>
          <w:sz w:val="20"/>
          <w:szCs w:val="20"/>
        </w:rPr>
      </w:pPr>
      <w:r w:rsidRPr="00C33A5F">
        <w:rPr>
          <w:rFonts w:ascii="Times New Roman" w:eastAsia="Calibri" w:hAnsi="Times New Roman" w:cs="Times New Roman"/>
          <w:sz w:val="20"/>
          <w:szCs w:val="20"/>
          <w:vertAlign w:val="superscript"/>
        </w:rPr>
        <w:t>3</w:t>
      </w:r>
      <w:r w:rsidRPr="00C33A5F">
        <w:rPr>
          <w:rFonts w:ascii="Times New Roman" w:hAnsi="Times New Roman" w:cs="Times New Roman"/>
          <w:sz w:val="20"/>
          <w:szCs w:val="20"/>
        </w:rPr>
        <w:t>EULAR Standing Committee of People with Arthritis/Rheumatism in Europe (PARE), Zurich, Switzerland</w:t>
      </w:r>
    </w:p>
    <w:p w14:paraId="0C7CF187" w14:textId="77777777" w:rsidR="007562D8" w:rsidRPr="00C33A5F" w:rsidRDefault="007562D8" w:rsidP="007562D8">
      <w:pPr>
        <w:spacing w:after="0" w:line="360" w:lineRule="auto"/>
        <w:rPr>
          <w:rFonts w:ascii="Times New Roman" w:hAnsi="Times New Roman" w:cs="Times New Roman"/>
          <w:sz w:val="20"/>
          <w:szCs w:val="20"/>
          <w:vertAlign w:val="superscript"/>
        </w:rPr>
      </w:pPr>
      <w:r w:rsidRPr="00C33A5F">
        <w:rPr>
          <w:rFonts w:ascii="Times New Roman" w:eastAsia="Calibri" w:hAnsi="Times New Roman" w:cs="Times New Roman"/>
          <w:sz w:val="20"/>
          <w:szCs w:val="20"/>
          <w:vertAlign w:val="superscript"/>
        </w:rPr>
        <w:t>4</w:t>
      </w:r>
      <w:r w:rsidRPr="00C33A5F">
        <w:rPr>
          <w:rFonts w:ascii="Times New Roman" w:hAnsi="Times New Roman" w:cs="Times New Roman"/>
          <w:sz w:val="20"/>
          <w:szCs w:val="20"/>
        </w:rPr>
        <w:t xml:space="preserve"> EULAR Standing Committee of Young People with Arthritis/Rheumatism in Europe (Young PARE), Zurich, Switzerland</w:t>
      </w:r>
    </w:p>
    <w:p w14:paraId="304A91C6" w14:textId="77777777" w:rsidR="007562D8" w:rsidRPr="00C33A5F" w:rsidRDefault="007562D8" w:rsidP="007562D8">
      <w:pPr>
        <w:spacing w:after="0" w:line="360" w:lineRule="auto"/>
        <w:jc w:val="both"/>
        <w:rPr>
          <w:rFonts w:ascii="Times New Roman" w:eastAsia="Calibri" w:hAnsi="Times New Roman" w:cs="Times New Roman"/>
          <w:sz w:val="20"/>
          <w:szCs w:val="20"/>
        </w:rPr>
      </w:pPr>
      <w:r w:rsidRPr="00C33A5F">
        <w:rPr>
          <w:rFonts w:ascii="Times New Roman" w:eastAsia="Calibri" w:hAnsi="Times New Roman" w:cs="Times New Roman"/>
          <w:sz w:val="20"/>
          <w:szCs w:val="20"/>
          <w:vertAlign w:val="superscript"/>
        </w:rPr>
        <w:t>5</w:t>
      </w:r>
      <w:r w:rsidRPr="00C33A5F">
        <w:rPr>
          <w:rFonts w:ascii="Times New Roman" w:hAnsi="Times New Roman" w:cs="Times New Roman"/>
          <w:sz w:val="20"/>
          <w:szCs w:val="20"/>
        </w:rPr>
        <w:t>University Hospital Southampton NHS Foundation Trust, Southampton General Hospital, Southampton, UK</w:t>
      </w:r>
    </w:p>
    <w:p w14:paraId="37C72894" w14:textId="77777777" w:rsidR="007562D8" w:rsidRPr="00C33A5F" w:rsidRDefault="007562D8" w:rsidP="007562D8">
      <w:pPr>
        <w:spacing w:after="0" w:line="360" w:lineRule="auto"/>
        <w:rPr>
          <w:rFonts w:ascii="Times New Roman" w:hAnsi="Times New Roman" w:cs="Times New Roman"/>
          <w:sz w:val="20"/>
          <w:szCs w:val="20"/>
        </w:rPr>
      </w:pPr>
      <w:r w:rsidRPr="00C33A5F">
        <w:rPr>
          <w:rFonts w:ascii="Times New Roman" w:eastAsia="Calibri" w:hAnsi="Times New Roman" w:cs="Times New Roman"/>
          <w:sz w:val="20"/>
          <w:szCs w:val="20"/>
          <w:vertAlign w:val="superscript"/>
        </w:rPr>
        <w:t>6</w:t>
      </w:r>
      <w:r w:rsidRPr="00C33A5F">
        <w:rPr>
          <w:rFonts w:ascii="Times New Roman" w:eastAsia="Calibri" w:hAnsi="Times New Roman" w:cs="Times New Roman"/>
          <w:sz w:val="20"/>
          <w:szCs w:val="20"/>
        </w:rPr>
        <w:t xml:space="preserve"> </w:t>
      </w:r>
      <w:r w:rsidRPr="00C33A5F">
        <w:rPr>
          <w:rFonts w:ascii="Times New Roman" w:hAnsi="Times New Roman" w:cs="Times New Roman"/>
          <w:sz w:val="20"/>
          <w:szCs w:val="20"/>
        </w:rPr>
        <w:t>Department of Rheumatology, Aarhus University Hospital, Aarhus, Denmark and Department of Clinical Medicine, Aarhus University, Denmark</w:t>
      </w:r>
    </w:p>
    <w:p w14:paraId="6E6C92D3" w14:textId="77777777" w:rsidR="007562D8" w:rsidRPr="00C33A5F" w:rsidRDefault="007562D8" w:rsidP="007562D8">
      <w:pPr>
        <w:spacing w:after="0" w:line="360" w:lineRule="auto"/>
        <w:jc w:val="both"/>
        <w:rPr>
          <w:rFonts w:ascii="Times New Roman" w:eastAsia="Calibri" w:hAnsi="Times New Roman" w:cs="Times New Roman"/>
          <w:sz w:val="20"/>
          <w:szCs w:val="20"/>
        </w:rPr>
      </w:pPr>
      <w:r w:rsidRPr="00C33A5F">
        <w:rPr>
          <w:rFonts w:ascii="Times New Roman" w:eastAsia="Calibri" w:hAnsi="Times New Roman" w:cs="Times New Roman"/>
          <w:sz w:val="20"/>
          <w:szCs w:val="20"/>
          <w:vertAlign w:val="superscript"/>
        </w:rPr>
        <w:t>7</w:t>
      </w:r>
      <w:r w:rsidRPr="00C33A5F">
        <w:rPr>
          <w:rFonts w:ascii="Times New Roman" w:eastAsia="Calibri" w:hAnsi="Times New Roman" w:cs="Times New Roman"/>
          <w:sz w:val="20"/>
          <w:szCs w:val="20"/>
        </w:rPr>
        <w:t>Cochin Hospital, Rheumatology Department, INSERM U1153, Paris, France</w:t>
      </w:r>
    </w:p>
    <w:p w14:paraId="5649996B" w14:textId="77777777" w:rsidR="007562D8" w:rsidRPr="00C33A5F" w:rsidRDefault="007562D8" w:rsidP="007562D8">
      <w:pPr>
        <w:spacing w:after="0" w:line="360" w:lineRule="auto"/>
        <w:jc w:val="both"/>
        <w:rPr>
          <w:rFonts w:ascii="Times New Roman" w:eastAsia="Calibri" w:hAnsi="Times New Roman" w:cs="Times New Roman"/>
          <w:sz w:val="20"/>
          <w:szCs w:val="20"/>
        </w:rPr>
      </w:pPr>
      <w:r w:rsidRPr="00C33A5F">
        <w:rPr>
          <w:rFonts w:ascii="Times New Roman" w:eastAsia="Calibri" w:hAnsi="Times New Roman" w:cs="Times New Roman"/>
          <w:sz w:val="20"/>
          <w:szCs w:val="20"/>
          <w:vertAlign w:val="superscript"/>
        </w:rPr>
        <w:t>8</w:t>
      </w:r>
      <w:r w:rsidRPr="00C33A5F">
        <w:rPr>
          <w:rFonts w:ascii="Times New Roman" w:eastAsia="Calibri" w:hAnsi="Times New Roman" w:cs="Times New Roman"/>
          <w:sz w:val="20"/>
          <w:szCs w:val="20"/>
        </w:rPr>
        <w:t xml:space="preserve">Medical University of Vienna, Department of Orthopaedics and Traumatology, </w:t>
      </w:r>
      <w:proofErr w:type="spellStart"/>
      <w:r w:rsidRPr="00C33A5F">
        <w:rPr>
          <w:rFonts w:ascii="Times New Roman" w:eastAsia="Calibri" w:hAnsi="Times New Roman" w:cs="Times New Roman"/>
          <w:sz w:val="20"/>
          <w:szCs w:val="20"/>
        </w:rPr>
        <w:t>Waehringer</w:t>
      </w:r>
      <w:proofErr w:type="spellEnd"/>
      <w:r w:rsidRPr="00C33A5F">
        <w:rPr>
          <w:rFonts w:ascii="Times New Roman" w:eastAsia="Calibri" w:hAnsi="Times New Roman" w:cs="Times New Roman"/>
          <w:sz w:val="20"/>
          <w:szCs w:val="20"/>
        </w:rPr>
        <w:t xml:space="preserve"> </w:t>
      </w:r>
      <w:proofErr w:type="spellStart"/>
      <w:r w:rsidRPr="00C33A5F">
        <w:rPr>
          <w:rFonts w:ascii="Times New Roman" w:eastAsia="Calibri" w:hAnsi="Times New Roman" w:cs="Times New Roman"/>
          <w:sz w:val="20"/>
          <w:szCs w:val="20"/>
        </w:rPr>
        <w:t>Guertel</w:t>
      </w:r>
      <w:proofErr w:type="spellEnd"/>
      <w:r w:rsidRPr="00C33A5F">
        <w:rPr>
          <w:rFonts w:ascii="Times New Roman" w:eastAsia="Calibri" w:hAnsi="Times New Roman" w:cs="Times New Roman"/>
          <w:sz w:val="20"/>
          <w:szCs w:val="20"/>
        </w:rPr>
        <w:t xml:space="preserve"> 18-20, 1180 Vienna, Austria</w:t>
      </w:r>
    </w:p>
    <w:p w14:paraId="608F85F2" w14:textId="77777777" w:rsidR="007562D8" w:rsidRPr="00C33A5F" w:rsidRDefault="007562D8" w:rsidP="007562D8">
      <w:pPr>
        <w:spacing w:after="0" w:line="360" w:lineRule="auto"/>
        <w:rPr>
          <w:rFonts w:ascii="Times New Roman" w:hAnsi="Times New Roman" w:cs="Times New Roman"/>
          <w:sz w:val="20"/>
          <w:szCs w:val="20"/>
          <w:vertAlign w:val="superscript"/>
        </w:rPr>
      </w:pPr>
      <w:r w:rsidRPr="00C33A5F">
        <w:rPr>
          <w:rFonts w:ascii="Times New Roman" w:hAnsi="Times New Roman" w:cs="Times New Roman"/>
          <w:sz w:val="20"/>
          <w:szCs w:val="20"/>
          <w:vertAlign w:val="superscript"/>
        </w:rPr>
        <w:t>9</w:t>
      </w:r>
      <w:r w:rsidRPr="00C33A5F">
        <w:rPr>
          <w:rFonts w:ascii="Times New Roman" w:hAnsi="Times New Roman" w:cs="Times New Roman"/>
          <w:sz w:val="20"/>
          <w:szCs w:val="20"/>
        </w:rPr>
        <w:t xml:space="preserve"> MRC </w:t>
      </w:r>
      <w:proofErr w:type="spellStart"/>
      <w:r w:rsidRPr="00C33A5F">
        <w:rPr>
          <w:rFonts w:ascii="Times New Roman" w:hAnsi="Times New Roman" w:cs="Times New Roman"/>
          <w:sz w:val="20"/>
          <w:szCs w:val="20"/>
        </w:rPr>
        <w:t>Lifecourse</w:t>
      </w:r>
      <w:proofErr w:type="spellEnd"/>
      <w:r w:rsidRPr="00C33A5F">
        <w:rPr>
          <w:rFonts w:ascii="Times New Roman" w:hAnsi="Times New Roman" w:cs="Times New Roman"/>
          <w:sz w:val="20"/>
          <w:szCs w:val="20"/>
        </w:rPr>
        <w:t xml:space="preserve"> Epidemiology Unit, (University of Southampton), Southampton General Hospital, Southampton, UK</w:t>
      </w:r>
    </w:p>
    <w:p w14:paraId="7D127A37" w14:textId="77777777" w:rsidR="007562D8" w:rsidRPr="00C33A5F" w:rsidRDefault="007562D8" w:rsidP="007562D8">
      <w:pPr>
        <w:spacing w:after="0" w:line="360" w:lineRule="auto"/>
        <w:rPr>
          <w:rFonts w:ascii="Times New Roman" w:hAnsi="Times New Roman" w:cs="Times New Roman"/>
          <w:sz w:val="20"/>
          <w:szCs w:val="20"/>
          <w:vertAlign w:val="superscript"/>
        </w:rPr>
      </w:pPr>
      <w:r w:rsidRPr="00C33A5F">
        <w:rPr>
          <w:rFonts w:ascii="Times New Roman" w:hAnsi="Times New Roman" w:cs="Times New Roman"/>
          <w:sz w:val="20"/>
          <w:szCs w:val="20"/>
          <w:vertAlign w:val="superscript"/>
        </w:rPr>
        <w:t>10</w:t>
      </w:r>
      <w:r w:rsidRPr="00C33A5F">
        <w:rPr>
          <w:rFonts w:ascii="Times New Roman" w:hAnsi="Times New Roman" w:cs="Times New Roman"/>
          <w:sz w:val="20"/>
          <w:szCs w:val="20"/>
        </w:rPr>
        <w:t xml:space="preserve"> Department of Balneology, Rehabilitation and Rheumatology, “Victor Babes” University of Medicine and Pharmacy, Timisoara, Romania</w:t>
      </w:r>
    </w:p>
    <w:p w14:paraId="48E78000" w14:textId="77777777" w:rsidR="007562D8" w:rsidRPr="00C33A5F" w:rsidRDefault="007562D8" w:rsidP="007562D8">
      <w:pPr>
        <w:spacing w:after="0" w:line="360" w:lineRule="auto"/>
        <w:rPr>
          <w:rFonts w:ascii="Times New Roman" w:hAnsi="Times New Roman" w:cs="Times New Roman"/>
          <w:sz w:val="20"/>
          <w:szCs w:val="20"/>
          <w:vertAlign w:val="superscript"/>
        </w:rPr>
      </w:pPr>
      <w:r w:rsidRPr="00C33A5F">
        <w:rPr>
          <w:rFonts w:ascii="Times New Roman" w:hAnsi="Times New Roman" w:cs="Times New Roman"/>
          <w:sz w:val="20"/>
          <w:szCs w:val="20"/>
          <w:vertAlign w:val="superscript"/>
        </w:rPr>
        <w:t>11</w:t>
      </w:r>
      <w:r w:rsidRPr="00C33A5F">
        <w:rPr>
          <w:rFonts w:ascii="Times New Roman" w:hAnsi="Times New Roman" w:cs="Times New Roman"/>
          <w:sz w:val="20"/>
          <w:szCs w:val="20"/>
        </w:rPr>
        <w:t xml:space="preserve">Section for Outcomes Research, </w:t>
      </w:r>
      <w:proofErr w:type="spellStart"/>
      <w:r w:rsidRPr="00C33A5F">
        <w:rPr>
          <w:rFonts w:ascii="Times New Roman" w:hAnsi="Times New Roman" w:cs="Times New Roman"/>
          <w:sz w:val="20"/>
          <w:szCs w:val="20"/>
        </w:rPr>
        <w:t>Center</w:t>
      </w:r>
      <w:proofErr w:type="spellEnd"/>
      <w:r w:rsidRPr="00C33A5F">
        <w:rPr>
          <w:rFonts w:ascii="Times New Roman" w:hAnsi="Times New Roman" w:cs="Times New Roman"/>
          <w:sz w:val="20"/>
          <w:szCs w:val="20"/>
        </w:rPr>
        <w:t xml:space="preserve"> for Medical Statistics, Informatics and Intelligent Systems, Medical University of Vienna, </w:t>
      </w:r>
      <w:r w:rsidR="00733A6C" w:rsidRPr="00C33A5F">
        <w:rPr>
          <w:rFonts w:ascii="Times New Roman" w:hAnsi="Times New Roman" w:cs="Times New Roman"/>
          <w:sz w:val="20"/>
          <w:szCs w:val="20"/>
        </w:rPr>
        <w:t xml:space="preserve">Vienna, </w:t>
      </w:r>
      <w:r w:rsidRPr="00C33A5F">
        <w:rPr>
          <w:rFonts w:ascii="Times New Roman" w:hAnsi="Times New Roman" w:cs="Times New Roman"/>
          <w:sz w:val="20"/>
          <w:szCs w:val="20"/>
        </w:rPr>
        <w:t>Austria</w:t>
      </w:r>
    </w:p>
    <w:p w14:paraId="742648C1" w14:textId="77777777" w:rsidR="007562D8" w:rsidRPr="00C33A5F" w:rsidRDefault="007562D8" w:rsidP="007562D8">
      <w:pPr>
        <w:spacing w:after="0" w:line="360" w:lineRule="auto"/>
        <w:rPr>
          <w:rFonts w:ascii="Times New Roman" w:hAnsi="Times New Roman" w:cs="Times New Roman"/>
          <w:sz w:val="20"/>
          <w:szCs w:val="20"/>
          <w:vertAlign w:val="superscript"/>
        </w:rPr>
      </w:pPr>
      <w:r w:rsidRPr="00C33A5F">
        <w:rPr>
          <w:rFonts w:ascii="Times New Roman" w:hAnsi="Times New Roman" w:cs="Times New Roman"/>
          <w:sz w:val="20"/>
          <w:szCs w:val="20"/>
          <w:vertAlign w:val="superscript"/>
        </w:rPr>
        <w:t xml:space="preserve">12 </w:t>
      </w:r>
      <w:r w:rsidRPr="00C33A5F">
        <w:rPr>
          <w:rFonts w:ascii="Times New Roman" w:hAnsi="Times New Roman" w:cs="Times New Roman"/>
          <w:sz w:val="20"/>
          <w:szCs w:val="20"/>
        </w:rPr>
        <w:t>Department of Rheumatology, Amsterdam Rheumatology and Immunology Centre, VU University Medical Centre, Amsterdam, The Netherlands</w:t>
      </w:r>
    </w:p>
    <w:p w14:paraId="7BC1FC43" w14:textId="77777777" w:rsidR="007562D8" w:rsidRPr="00C33A5F" w:rsidRDefault="007562D8" w:rsidP="007562D8">
      <w:pPr>
        <w:spacing w:after="0" w:line="360" w:lineRule="auto"/>
        <w:rPr>
          <w:rFonts w:ascii="Times New Roman" w:hAnsi="Times New Roman" w:cs="Times New Roman"/>
          <w:sz w:val="20"/>
          <w:szCs w:val="20"/>
          <w:vertAlign w:val="superscript"/>
        </w:rPr>
      </w:pPr>
      <w:r w:rsidRPr="00C33A5F">
        <w:rPr>
          <w:rFonts w:ascii="Times New Roman" w:hAnsi="Times New Roman" w:cs="Times New Roman"/>
          <w:sz w:val="20"/>
          <w:szCs w:val="20"/>
          <w:vertAlign w:val="superscript"/>
        </w:rPr>
        <w:t xml:space="preserve">13 </w:t>
      </w:r>
      <w:r w:rsidRPr="00C33A5F">
        <w:rPr>
          <w:rFonts w:ascii="Times New Roman" w:hAnsi="Times New Roman" w:cs="Times New Roman"/>
          <w:sz w:val="20"/>
          <w:szCs w:val="20"/>
        </w:rPr>
        <w:t>Centre for Biomedical Research, Department of Biomedical Sciences and Medicine, University of Algarve, Faro, Portugal</w:t>
      </w:r>
    </w:p>
    <w:p w14:paraId="5BF782C2" w14:textId="77777777" w:rsidR="007562D8" w:rsidRPr="00C33A5F" w:rsidRDefault="007562D8" w:rsidP="007562D8">
      <w:pPr>
        <w:spacing w:after="0" w:line="360" w:lineRule="auto"/>
        <w:rPr>
          <w:rFonts w:ascii="Times New Roman" w:hAnsi="Times New Roman" w:cs="Times New Roman"/>
          <w:sz w:val="20"/>
          <w:szCs w:val="20"/>
        </w:rPr>
      </w:pPr>
      <w:r w:rsidRPr="00C33A5F">
        <w:rPr>
          <w:rFonts w:ascii="Times New Roman" w:hAnsi="Times New Roman" w:cs="Times New Roman"/>
          <w:sz w:val="20"/>
          <w:szCs w:val="20"/>
          <w:vertAlign w:val="superscript"/>
        </w:rPr>
        <w:t xml:space="preserve">14 </w:t>
      </w:r>
      <w:r w:rsidRPr="00C33A5F">
        <w:rPr>
          <w:rFonts w:ascii="Times New Roman" w:hAnsi="Times New Roman" w:cs="Times New Roman"/>
          <w:sz w:val="20"/>
          <w:szCs w:val="20"/>
        </w:rPr>
        <w:t>Physiotherapy Department, City Emergency Hospital of Timisoara, Romania</w:t>
      </w:r>
    </w:p>
    <w:p w14:paraId="41604663" w14:textId="77777777" w:rsidR="007562D8" w:rsidRPr="00C33A5F" w:rsidRDefault="007562D8" w:rsidP="007562D8">
      <w:pPr>
        <w:spacing w:after="0" w:line="360" w:lineRule="auto"/>
        <w:rPr>
          <w:rFonts w:ascii="Times New Roman" w:hAnsi="Times New Roman" w:cs="Times New Roman"/>
          <w:sz w:val="20"/>
          <w:szCs w:val="20"/>
        </w:rPr>
      </w:pPr>
      <w:r w:rsidRPr="00C33A5F">
        <w:rPr>
          <w:rFonts w:ascii="Times New Roman" w:hAnsi="Times New Roman" w:cs="Times New Roman"/>
          <w:sz w:val="20"/>
          <w:szCs w:val="20"/>
          <w:vertAlign w:val="superscript"/>
        </w:rPr>
        <w:t xml:space="preserve">15 </w:t>
      </w:r>
      <w:r w:rsidRPr="00C33A5F">
        <w:rPr>
          <w:rFonts w:ascii="Times New Roman" w:hAnsi="Times New Roman" w:cs="Times New Roman"/>
          <w:sz w:val="20"/>
          <w:szCs w:val="20"/>
        </w:rPr>
        <w:t>Division of Rheumatology, Department of Internal Medicine 3; Medical University of Vienna, Vienna, Austria</w:t>
      </w:r>
    </w:p>
    <w:p w14:paraId="25790BC0" w14:textId="77777777" w:rsidR="007562D8" w:rsidRPr="00C33A5F" w:rsidRDefault="007562D8" w:rsidP="007562D8">
      <w:pPr>
        <w:spacing w:after="0" w:line="360" w:lineRule="auto"/>
        <w:rPr>
          <w:rFonts w:ascii="Times New Roman" w:hAnsi="Times New Roman" w:cs="Times New Roman"/>
          <w:sz w:val="20"/>
          <w:szCs w:val="20"/>
          <w:vertAlign w:val="superscript"/>
        </w:rPr>
      </w:pPr>
      <w:r w:rsidRPr="00C33A5F">
        <w:rPr>
          <w:rFonts w:ascii="Times New Roman" w:hAnsi="Times New Roman" w:cs="Times New Roman"/>
          <w:sz w:val="20"/>
          <w:szCs w:val="20"/>
          <w:vertAlign w:val="superscript"/>
        </w:rPr>
        <w:t>16</w:t>
      </w:r>
      <w:r w:rsidRPr="00C33A5F">
        <w:rPr>
          <w:rFonts w:ascii="Times New Roman" w:hAnsi="Times New Roman" w:cs="Times New Roman"/>
          <w:sz w:val="20"/>
          <w:szCs w:val="20"/>
        </w:rPr>
        <w:t xml:space="preserve"> Day Hospital Department. Alicante General and University Hospital. Alicante. Spain.</w:t>
      </w:r>
    </w:p>
    <w:p w14:paraId="2FC478AD" w14:textId="77777777" w:rsidR="005E5DC9" w:rsidRPr="008A3214" w:rsidRDefault="00874D8C" w:rsidP="007562D8">
      <w:pPr>
        <w:shd w:val="clear" w:color="auto" w:fill="FFFFFF"/>
        <w:spacing w:before="100" w:beforeAutospacing="1" w:after="100" w:afterAutospacing="1" w:line="390" w:lineRule="atLeast"/>
        <w:rPr>
          <w:rFonts w:ascii="Times New Roman" w:eastAsia="Times New Roman" w:hAnsi="Times New Roman" w:cs="Times New Roman"/>
          <w:b/>
          <w:sz w:val="24"/>
          <w:szCs w:val="24"/>
          <w:lang w:eastAsia="en-GB"/>
        </w:rPr>
      </w:pPr>
      <w:r w:rsidRPr="008A3214">
        <w:rPr>
          <w:rFonts w:ascii="Times New Roman" w:eastAsia="Times New Roman" w:hAnsi="Times New Roman" w:cs="Times New Roman"/>
          <w:b/>
          <w:sz w:val="24"/>
          <w:szCs w:val="24"/>
          <w:lang w:eastAsia="en-GB"/>
        </w:rPr>
        <w:lastRenderedPageBreak/>
        <w:t>Corresponding author</w:t>
      </w:r>
    </w:p>
    <w:p w14:paraId="1F5659F8" w14:textId="77777777" w:rsidR="00874D8C" w:rsidRDefault="008A3214" w:rsidP="008A3214">
      <w:pPr>
        <w:shd w:val="clear" w:color="auto" w:fill="FFFFFF"/>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Univ.-Prof. </w:t>
      </w:r>
      <w:proofErr w:type="spellStart"/>
      <w:r>
        <w:rPr>
          <w:rFonts w:ascii="Times New Roman" w:eastAsia="Times New Roman" w:hAnsi="Times New Roman" w:cs="Times New Roman"/>
          <w:sz w:val="24"/>
          <w:szCs w:val="24"/>
          <w:lang w:eastAsia="en-GB"/>
        </w:rPr>
        <w:t>Dr.</w:t>
      </w:r>
      <w:proofErr w:type="spellEnd"/>
      <w:r>
        <w:rPr>
          <w:rFonts w:ascii="Times New Roman" w:eastAsia="Times New Roman" w:hAnsi="Times New Roman" w:cs="Times New Roman"/>
          <w:sz w:val="24"/>
          <w:szCs w:val="24"/>
          <w:lang w:eastAsia="en-GB"/>
        </w:rPr>
        <w:t xml:space="preserve"> </w:t>
      </w:r>
      <w:r w:rsidR="00874D8C" w:rsidRPr="00874D8C">
        <w:rPr>
          <w:rFonts w:ascii="Times New Roman" w:eastAsia="Times New Roman" w:hAnsi="Times New Roman" w:cs="Times New Roman"/>
          <w:sz w:val="24"/>
          <w:szCs w:val="24"/>
          <w:lang w:eastAsia="en-GB"/>
        </w:rPr>
        <w:t xml:space="preserve">Tanja </w:t>
      </w:r>
      <w:proofErr w:type="spellStart"/>
      <w:r w:rsidR="00874D8C" w:rsidRPr="00874D8C">
        <w:rPr>
          <w:rFonts w:ascii="Times New Roman" w:eastAsia="Times New Roman" w:hAnsi="Times New Roman" w:cs="Times New Roman"/>
          <w:sz w:val="24"/>
          <w:szCs w:val="24"/>
          <w:lang w:eastAsia="en-GB"/>
        </w:rPr>
        <w:t>Stamm</w:t>
      </w:r>
      <w:proofErr w:type="spellEnd"/>
      <w:r>
        <w:rPr>
          <w:rFonts w:ascii="Times New Roman" w:eastAsia="Times New Roman" w:hAnsi="Times New Roman" w:cs="Times New Roman"/>
          <w:sz w:val="24"/>
          <w:szCs w:val="24"/>
          <w:lang w:eastAsia="en-GB"/>
        </w:rPr>
        <w:t>, PhD</w:t>
      </w:r>
    </w:p>
    <w:p w14:paraId="4EC63FC2" w14:textId="77777777" w:rsidR="00874D8C" w:rsidRDefault="000408BB" w:rsidP="008A3214">
      <w:pPr>
        <w:shd w:val="clear" w:color="auto" w:fill="FFFFFF"/>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Section of</w:t>
      </w:r>
      <w:r w:rsidR="00874D8C">
        <w:rPr>
          <w:rFonts w:ascii="Times New Roman" w:eastAsia="Times New Roman" w:hAnsi="Times New Roman" w:cs="Times New Roman"/>
          <w:sz w:val="24"/>
          <w:szCs w:val="24"/>
          <w:lang w:eastAsia="en-GB"/>
        </w:rPr>
        <w:t xml:space="preserve"> Outcomes Research</w:t>
      </w:r>
    </w:p>
    <w:p w14:paraId="2688C5F4" w14:textId="77777777" w:rsidR="00874D8C" w:rsidRDefault="00874D8C" w:rsidP="008A3214">
      <w:pPr>
        <w:shd w:val="clear" w:color="auto" w:fill="FFFFFF"/>
        <w:spacing w:after="0" w:line="36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Center</w:t>
      </w:r>
      <w:proofErr w:type="spellEnd"/>
      <w:r>
        <w:rPr>
          <w:rFonts w:ascii="Times New Roman" w:eastAsia="Times New Roman" w:hAnsi="Times New Roman" w:cs="Times New Roman"/>
          <w:sz w:val="24"/>
          <w:szCs w:val="24"/>
          <w:lang w:eastAsia="en-GB"/>
        </w:rPr>
        <w:t xml:space="preserve"> for Medical Statistics, Informatics and Intelligent Systems</w:t>
      </w:r>
    </w:p>
    <w:p w14:paraId="681ED843" w14:textId="77777777" w:rsidR="00874D8C" w:rsidRDefault="008A3214" w:rsidP="008A3214">
      <w:pPr>
        <w:shd w:val="clear" w:color="auto" w:fill="FFFFFF"/>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Medical Un</w:t>
      </w:r>
      <w:r w:rsidR="00874D8C">
        <w:rPr>
          <w:rFonts w:ascii="Times New Roman" w:eastAsia="Times New Roman" w:hAnsi="Times New Roman" w:cs="Times New Roman"/>
          <w:sz w:val="24"/>
          <w:szCs w:val="24"/>
          <w:lang w:eastAsia="en-GB"/>
        </w:rPr>
        <w:t>iversity of Vienna</w:t>
      </w:r>
    </w:p>
    <w:p w14:paraId="025B6C25" w14:textId="77777777" w:rsidR="00874D8C" w:rsidRDefault="00874D8C" w:rsidP="008A3214">
      <w:pPr>
        <w:shd w:val="clear" w:color="auto" w:fill="FFFFFF"/>
        <w:spacing w:after="0" w:line="36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Spitalgasse</w:t>
      </w:r>
      <w:proofErr w:type="spellEnd"/>
      <w:r>
        <w:rPr>
          <w:rFonts w:ascii="Times New Roman" w:eastAsia="Times New Roman" w:hAnsi="Times New Roman" w:cs="Times New Roman"/>
          <w:sz w:val="24"/>
          <w:szCs w:val="24"/>
          <w:lang w:eastAsia="en-GB"/>
        </w:rPr>
        <w:t xml:space="preserve"> 23</w:t>
      </w:r>
    </w:p>
    <w:p w14:paraId="085066D7" w14:textId="77777777" w:rsidR="00874D8C" w:rsidRDefault="008A3214" w:rsidP="008A3214">
      <w:pPr>
        <w:shd w:val="clear" w:color="auto" w:fill="FFFFFF"/>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A-1090 Vienna</w:t>
      </w:r>
    </w:p>
    <w:p w14:paraId="0F85FDB5" w14:textId="77777777" w:rsidR="008A3214" w:rsidRPr="00B5746C" w:rsidRDefault="008A3214" w:rsidP="008A3214">
      <w:pPr>
        <w:shd w:val="clear" w:color="auto" w:fill="FFFFFF"/>
        <w:spacing w:after="0" w:line="360" w:lineRule="auto"/>
        <w:rPr>
          <w:rFonts w:ascii="Times New Roman" w:eastAsia="Times New Roman" w:hAnsi="Times New Roman" w:cs="Times New Roman"/>
          <w:sz w:val="24"/>
          <w:szCs w:val="24"/>
          <w:lang w:eastAsia="en-GB"/>
        </w:rPr>
      </w:pPr>
      <w:r w:rsidRPr="00B5746C">
        <w:rPr>
          <w:rFonts w:ascii="Times New Roman" w:eastAsia="Times New Roman" w:hAnsi="Times New Roman" w:cs="Times New Roman"/>
          <w:sz w:val="24"/>
          <w:szCs w:val="24"/>
          <w:lang w:eastAsia="en-GB"/>
        </w:rPr>
        <w:t>Austria</w:t>
      </w:r>
    </w:p>
    <w:p w14:paraId="2262CAAF" w14:textId="77777777" w:rsidR="008A3214" w:rsidRPr="00B5746C" w:rsidRDefault="008A3214" w:rsidP="008A3214">
      <w:pPr>
        <w:shd w:val="clear" w:color="auto" w:fill="FFFFFF"/>
        <w:spacing w:after="0" w:line="360" w:lineRule="auto"/>
        <w:rPr>
          <w:rFonts w:ascii="Times New Roman" w:eastAsia="Times New Roman" w:hAnsi="Times New Roman" w:cs="Times New Roman"/>
          <w:sz w:val="24"/>
          <w:szCs w:val="24"/>
          <w:lang w:eastAsia="en-GB"/>
        </w:rPr>
      </w:pPr>
      <w:r w:rsidRPr="00B5746C">
        <w:rPr>
          <w:rFonts w:ascii="Times New Roman" w:eastAsia="Times New Roman" w:hAnsi="Times New Roman" w:cs="Times New Roman"/>
          <w:sz w:val="24"/>
          <w:szCs w:val="24"/>
          <w:lang w:eastAsia="en-GB"/>
        </w:rPr>
        <w:t>T: +43-1-40400-16370</w:t>
      </w:r>
    </w:p>
    <w:p w14:paraId="4306602C" w14:textId="77777777" w:rsidR="008A3214" w:rsidRPr="00B5746C" w:rsidRDefault="008A3214" w:rsidP="008A3214">
      <w:pPr>
        <w:shd w:val="clear" w:color="auto" w:fill="FFFFFF"/>
        <w:spacing w:after="0" w:line="360" w:lineRule="auto"/>
        <w:rPr>
          <w:rFonts w:ascii="Times New Roman" w:eastAsia="Times New Roman" w:hAnsi="Times New Roman" w:cs="Times New Roman"/>
          <w:sz w:val="24"/>
          <w:szCs w:val="24"/>
          <w:lang w:eastAsia="en-GB"/>
        </w:rPr>
      </w:pPr>
      <w:r w:rsidRPr="00B5746C">
        <w:rPr>
          <w:rFonts w:ascii="Times New Roman" w:eastAsia="Times New Roman" w:hAnsi="Times New Roman" w:cs="Times New Roman"/>
          <w:sz w:val="24"/>
          <w:szCs w:val="24"/>
          <w:lang w:eastAsia="en-GB"/>
        </w:rPr>
        <w:t xml:space="preserve">E: </w:t>
      </w:r>
      <w:hyperlink r:id="rId8" w:history="1">
        <w:r w:rsidRPr="00B5746C">
          <w:rPr>
            <w:rStyle w:val="Hyperlink"/>
            <w:rFonts w:ascii="Times New Roman" w:eastAsia="Times New Roman" w:hAnsi="Times New Roman" w:cs="Times New Roman"/>
            <w:sz w:val="24"/>
            <w:szCs w:val="24"/>
            <w:lang w:eastAsia="en-GB"/>
          </w:rPr>
          <w:t>tanja.stamm@meduniwien.ac.at</w:t>
        </w:r>
      </w:hyperlink>
    </w:p>
    <w:p w14:paraId="47B1BB22" w14:textId="0D832CD8" w:rsidR="008A3214" w:rsidRPr="00B5746C" w:rsidRDefault="008A3214" w:rsidP="008A3214">
      <w:pPr>
        <w:shd w:val="clear" w:color="auto" w:fill="FFFFFF"/>
        <w:spacing w:after="0" w:line="360" w:lineRule="auto"/>
        <w:rPr>
          <w:rFonts w:ascii="Times New Roman" w:eastAsia="Times New Roman" w:hAnsi="Times New Roman" w:cs="Times New Roman"/>
          <w:b/>
          <w:sz w:val="24"/>
          <w:szCs w:val="24"/>
          <w:lang w:eastAsia="en-GB"/>
        </w:rPr>
      </w:pPr>
    </w:p>
    <w:p w14:paraId="0864F520" w14:textId="77777777" w:rsidR="008A3214" w:rsidRPr="00B5746C" w:rsidRDefault="008A3214" w:rsidP="008A3214">
      <w:pPr>
        <w:shd w:val="clear" w:color="auto" w:fill="FFFFFF"/>
        <w:spacing w:after="0" w:line="360" w:lineRule="auto"/>
        <w:rPr>
          <w:rFonts w:ascii="Times New Roman" w:eastAsia="Times New Roman" w:hAnsi="Times New Roman" w:cs="Times New Roman"/>
          <w:b/>
          <w:sz w:val="24"/>
          <w:szCs w:val="24"/>
          <w:lang w:eastAsia="en-GB"/>
        </w:rPr>
      </w:pPr>
    </w:p>
    <w:p w14:paraId="241C8413" w14:textId="77777777" w:rsidR="008A3214" w:rsidRDefault="008A3214" w:rsidP="008A3214">
      <w:pPr>
        <w:shd w:val="clear" w:color="auto" w:fill="FFFFFF"/>
        <w:spacing w:after="0" w:line="360" w:lineRule="auto"/>
        <w:rPr>
          <w:rFonts w:ascii="Times New Roman" w:eastAsia="Times New Roman" w:hAnsi="Times New Roman" w:cs="Times New Roman"/>
          <w:b/>
          <w:sz w:val="24"/>
          <w:szCs w:val="24"/>
          <w:lang w:eastAsia="en-GB"/>
        </w:rPr>
      </w:pPr>
      <w:r w:rsidRPr="008A3214">
        <w:rPr>
          <w:rFonts w:ascii="Times New Roman" w:eastAsia="Times New Roman" w:hAnsi="Times New Roman" w:cs="Times New Roman"/>
          <w:b/>
          <w:sz w:val="24"/>
          <w:szCs w:val="24"/>
          <w:lang w:eastAsia="en-GB"/>
        </w:rPr>
        <w:t>Keywords</w:t>
      </w:r>
    </w:p>
    <w:p w14:paraId="75039043" w14:textId="0B98EE7B" w:rsidR="00C8505C" w:rsidRDefault="008A3214" w:rsidP="008A3214">
      <w:pPr>
        <w:autoSpaceDE w:val="0"/>
        <w:autoSpaceDN w:val="0"/>
        <w:adjustRightInd w:val="0"/>
        <w:spacing w:after="0" w:line="480" w:lineRule="auto"/>
        <w:jc w:val="both"/>
        <w:rPr>
          <w:rFonts w:ascii="Times New Roman" w:hAnsi="Times New Roman" w:cs="Times New Roman"/>
          <w:sz w:val="24"/>
          <w:szCs w:val="24"/>
        </w:rPr>
      </w:pPr>
      <w:r w:rsidRPr="00C33A5F">
        <w:rPr>
          <w:rFonts w:ascii="Times New Roman" w:hAnsi="Times New Roman" w:cs="Times New Roman"/>
          <w:sz w:val="24"/>
          <w:szCs w:val="24"/>
        </w:rPr>
        <w:t>Osteoporosis; fracture; non-pharmacological treatment; Health professional</w:t>
      </w:r>
    </w:p>
    <w:p w14:paraId="05018967" w14:textId="77777777" w:rsidR="00C8505C" w:rsidRDefault="00C8505C">
      <w:pPr>
        <w:rPr>
          <w:rFonts w:ascii="Times New Roman" w:hAnsi="Times New Roman" w:cs="Times New Roman"/>
          <w:sz w:val="24"/>
          <w:szCs w:val="24"/>
        </w:rPr>
      </w:pPr>
      <w:r>
        <w:rPr>
          <w:rFonts w:ascii="Times New Roman" w:hAnsi="Times New Roman" w:cs="Times New Roman"/>
          <w:sz w:val="24"/>
          <w:szCs w:val="24"/>
        </w:rPr>
        <w:br w:type="page"/>
      </w:r>
    </w:p>
    <w:p w14:paraId="192FFF39" w14:textId="77777777" w:rsidR="00C8505C" w:rsidRPr="00CB240A" w:rsidRDefault="00C8505C" w:rsidP="00C8505C">
      <w:pPr>
        <w:rPr>
          <w:rFonts w:ascii="Times New Roman" w:hAnsi="Times New Roman" w:cs="Times New Roman"/>
          <w:b/>
          <w:sz w:val="24"/>
          <w:szCs w:val="24"/>
          <w:u w:val="single"/>
        </w:rPr>
      </w:pPr>
      <w:r w:rsidRPr="00CB240A">
        <w:rPr>
          <w:rFonts w:ascii="Times New Roman" w:hAnsi="Times New Roman" w:cs="Times New Roman"/>
          <w:b/>
          <w:sz w:val="24"/>
          <w:szCs w:val="24"/>
          <w:u w:val="single"/>
        </w:rPr>
        <w:lastRenderedPageBreak/>
        <w:t>Key messages</w:t>
      </w:r>
    </w:p>
    <w:p w14:paraId="615EEA19" w14:textId="77777777" w:rsidR="00C8505C" w:rsidRPr="00291AB6" w:rsidRDefault="00C8505C" w:rsidP="00C8505C">
      <w:pPr>
        <w:rPr>
          <w:rFonts w:ascii="Times New Roman" w:hAnsi="Times New Roman" w:cs="Times New Roman"/>
          <w:b/>
          <w:sz w:val="24"/>
          <w:szCs w:val="24"/>
        </w:rPr>
      </w:pPr>
    </w:p>
    <w:p w14:paraId="1147AA5C" w14:textId="77777777" w:rsidR="00C8505C" w:rsidRPr="00C8505C" w:rsidRDefault="00C8505C" w:rsidP="00C8505C">
      <w:pPr>
        <w:rPr>
          <w:rFonts w:ascii="Times New Roman" w:hAnsi="Times New Roman" w:cs="Times New Roman"/>
          <w:b/>
          <w:sz w:val="24"/>
          <w:szCs w:val="24"/>
        </w:rPr>
      </w:pPr>
      <w:r w:rsidRPr="00C8505C">
        <w:rPr>
          <w:rFonts w:ascii="Times New Roman" w:hAnsi="Times New Roman" w:cs="Times New Roman"/>
          <w:b/>
          <w:sz w:val="24"/>
          <w:szCs w:val="24"/>
        </w:rPr>
        <w:t>What is already known about this subject?</w:t>
      </w:r>
    </w:p>
    <w:p w14:paraId="055F46C5" w14:textId="77777777" w:rsidR="00C8505C" w:rsidRPr="00C8505C" w:rsidRDefault="00C8505C" w:rsidP="00C8505C">
      <w:pPr>
        <w:rPr>
          <w:rFonts w:ascii="Times New Roman" w:hAnsi="Times New Roman" w:cs="Times New Roman"/>
          <w:sz w:val="24"/>
          <w:szCs w:val="24"/>
        </w:rPr>
      </w:pPr>
      <w:r w:rsidRPr="00C8505C">
        <w:rPr>
          <w:rFonts w:ascii="Times New Roman" w:hAnsi="Times New Roman" w:cs="Times New Roman"/>
          <w:sz w:val="24"/>
          <w:szCs w:val="24"/>
        </w:rPr>
        <w:t>Non-pharmacological interventions delivered by non-physician health professionals to prevent and manage osteoporotic fractures are increasingly important.</w:t>
      </w:r>
    </w:p>
    <w:p w14:paraId="332AA1A6" w14:textId="77777777" w:rsidR="00C8505C" w:rsidRPr="00C8505C" w:rsidRDefault="00C8505C" w:rsidP="00C8505C">
      <w:pPr>
        <w:rPr>
          <w:rFonts w:ascii="Times New Roman" w:hAnsi="Times New Roman" w:cs="Times New Roman"/>
          <w:b/>
          <w:sz w:val="24"/>
          <w:szCs w:val="24"/>
        </w:rPr>
      </w:pPr>
      <w:r w:rsidRPr="00C8505C">
        <w:rPr>
          <w:rFonts w:ascii="Times New Roman" w:hAnsi="Times New Roman" w:cs="Times New Roman"/>
          <w:b/>
          <w:sz w:val="24"/>
          <w:szCs w:val="24"/>
        </w:rPr>
        <w:t>What does this study add?</w:t>
      </w:r>
    </w:p>
    <w:p w14:paraId="05882BFC" w14:textId="77777777" w:rsidR="00C8505C" w:rsidRPr="00C8505C" w:rsidRDefault="00C8505C" w:rsidP="00C8505C">
      <w:pPr>
        <w:rPr>
          <w:rFonts w:ascii="Times New Roman" w:hAnsi="Times New Roman" w:cs="Times New Roman"/>
          <w:sz w:val="24"/>
          <w:szCs w:val="24"/>
        </w:rPr>
      </w:pPr>
      <w:r w:rsidRPr="00C8505C">
        <w:rPr>
          <w:rFonts w:ascii="Times New Roman" w:hAnsi="Times New Roman" w:cs="Times New Roman"/>
          <w:sz w:val="24"/>
          <w:szCs w:val="24"/>
        </w:rPr>
        <w:t>The literature about common non-pharmacological interventions delivered by non-physician health professionals to prevent and manage osteoporotic fractures in adults 50 years or older is synthesised and presented.</w:t>
      </w:r>
    </w:p>
    <w:p w14:paraId="540C0B62" w14:textId="77777777" w:rsidR="00C8505C" w:rsidRPr="00C8505C" w:rsidRDefault="00C8505C" w:rsidP="00C8505C">
      <w:pPr>
        <w:rPr>
          <w:rFonts w:ascii="Times New Roman" w:hAnsi="Times New Roman" w:cs="Times New Roman"/>
          <w:sz w:val="24"/>
          <w:szCs w:val="24"/>
        </w:rPr>
      </w:pPr>
      <w:r w:rsidRPr="00C8505C">
        <w:rPr>
          <w:rFonts w:ascii="Times New Roman" w:hAnsi="Times New Roman" w:cs="Times New Roman"/>
          <w:sz w:val="24"/>
          <w:szCs w:val="24"/>
        </w:rPr>
        <w:t xml:space="preserve">Evidence about the effect of many non-pharmacological interventions delivered by non-physician health professionals to reduce fragility fractures remains limited. </w:t>
      </w:r>
    </w:p>
    <w:p w14:paraId="6D1D8837" w14:textId="77777777" w:rsidR="00C8505C" w:rsidRPr="00C8505C" w:rsidRDefault="00C8505C" w:rsidP="00C8505C">
      <w:pPr>
        <w:rPr>
          <w:rFonts w:ascii="Times New Roman" w:hAnsi="Times New Roman" w:cs="Times New Roman"/>
          <w:b/>
          <w:sz w:val="24"/>
          <w:szCs w:val="24"/>
        </w:rPr>
      </w:pPr>
      <w:r w:rsidRPr="00C8505C">
        <w:rPr>
          <w:rFonts w:ascii="Times New Roman" w:hAnsi="Times New Roman" w:cs="Times New Roman"/>
          <w:b/>
          <w:sz w:val="24"/>
          <w:szCs w:val="24"/>
        </w:rPr>
        <w:t>How might this impact on clinical practice?</w:t>
      </w:r>
    </w:p>
    <w:p w14:paraId="20FF891D" w14:textId="77777777" w:rsidR="00C8505C" w:rsidRPr="00C8505C" w:rsidRDefault="00C8505C" w:rsidP="00C8505C">
      <w:pPr>
        <w:rPr>
          <w:rFonts w:ascii="Times New Roman" w:hAnsi="Times New Roman" w:cs="Times New Roman"/>
          <w:sz w:val="24"/>
          <w:szCs w:val="24"/>
        </w:rPr>
      </w:pPr>
      <w:r w:rsidRPr="00C8505C">
        <w:rPr>
          <w:rFonts w:ascii="Times New Roman" w:hAnsi="Times New Roman" w:cs="Times New Roman"/>
          <w:sz w:val="24"/>
          <w:szCs w:val="24"/>
        </w:rPr>
        <w:t xml:space="preserve">This systematic literature review informed the taskforce for the EULAR points to consider for non-physicians to prevent and manage fragility fractures in adults 50 years or older </w:t>
      </w:r>
    </w:p>
    <w:p w14:paraId="09B8A4DA" w14:textId="21E581DD" w:rsidR="008A3214" w:rsidRDefault="008A3214" w:rsidP="008A3214">
      <w:pPr>
        <w:autoSpaceDE w:val="0"/>
        <w:autoSpaceDN w:val="0"/>
        <w:adjustRightInd w:val="0"/>
        <w:spacing w:after="0" w:line="480" w:lineRule="auto"/>
        <w:jc w:val="both"/>
        <w:rPr>
          <w:rFonts w:ascii="Times New Roman" w:hAnsi="Times New Roman" w:cs="Times New Roman"/>
          <w:sz w:val="24"/>
          <w:szCs w:val="24"/>
        </w:rPr>
      </w:pPr>
    </w:p>
    <w:p w14:paraId="3A03DD6F" w14:textId="06664342" w:rsidR="00C8505C" w:rsidRPr="00CB240A" w:rsidRDefault="00C8505C" w:rsidP="00C8505C">
      <w:pPr>
        <w:rPr>
          <w:rFonts w:ascii="Times New Roman" w:hAnsi="Times New Roman" w:cs="Times New Roman"/>
          <w:b/>
          <w:sz w:val="24"/>
          <w:szCs w:val="24"/>
          <w:u w:val="single"/>
        </w:rPr>
      </w:pPr>
      <w:r>
        <w:rPr>
          <w:rFonts w:ascii="Times New Roman" w:hAnsi="Times New Roman" w:cs="Times New Roman"/>
          <w:b/>
          <w:sz w:val="24"/>
          <w:szCs w:val="24"/>
          <w:u w:val="single"/>
        </w:rPr>
        <w:t>Author contributions</w:t>
      </w:r>
    </w:p>
    <w:p w14:paraId="726BD5BF" w14:textId="397EE92C" w:rsidR="00C8505C" w:rsidRDefault="00C8505C" w:rsidP="008A3214">
      <w:pPr>
        <w:autoSpaceDE w:val="0"/>
        <w:autoSpaceDN w:val="0"/>
        <w:adjustRightInd w:val="0"/>
        <w:spacing w:after="0" w:line="480" w:lineRule="auto"/>
        <w:jc w:val="both"/>
        <w:rPr>
          <w:rFonts w:ascii="Times New Roman" w:hAnsi="Times New Roman" w:cs="Times New Roman"/>
          <w:sz w:val="24"/>
          <w:szCs w:val="24"/>
        </w:rPr>
      </w:pPr>
      <w:r w:rsidRPr="00C8505C">
        <w:rPr>
          <w:rFonts w:ascii="Times New Roman" w:hAnsi="Times New Roman" w:cs="Times New Roman"/>
          <w:sz w:val="24"/>
          <w:szCs w:val="24"/>
        </w:rPr>
        <w:t>NW, JA, EH</w:t>
      </w:r>
      <w:r>
        <w:rPr>
          <w:rFonts w:ascii="Times New Roman" w:hAnsi="Times New Roman" w:cs="Times New Roman"/>
          <w:sz w:val="24"/>
          <w:szCs w:val="24"/>
        </w:rPr>
        <w:t xml:space="preserve">, MB, PB, MB, AB, KB, </w:t>
      </w:r>
      <w:proofErr w:type="spellStart"/>
      <w:r>
        <w:rPr>
          <w:rFonts w:ascii="Times New Roman" w:hAnsi="Times New Roman" w:cs="Times New Roman"/>
          <w:sz w:val="24"/>
          <w:szCs w:val="24"/>
        </w:rPr>
        <w:t>CCh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CCo</w:t>
      </w:r>
      <w:proofErr w:type="spellEnd"/>
      <w:r>
        <w:rPr>
          <w:rFonts w:ascii="Times New Roman" w:hAnsi="Times New Roman" w:cs="Times New Roman"/>
          <w:sz w:val="24"/>
          <w:szCs w:val="24"/>
        </w:rPr>
        <w:t>, RD, GG, WL, EM, SP, CS, PS, ST, JT and TS</w:t>
      </w:r>
      <w:r w:rsidRPr="00C8505C">
        <w:rPr>
          <w:rFonts w:ascii="Times New Roman" w:hAnsi="Times New Roman" w:cs="Times New Roman"/>
          <w:sz w:val="24"/>
          <w:szCs w:val="24"/>
        </w:rPr>
        <w:t xml:space="preserve"> authors discussed and formulated the clinical questions and interpreted the results. NW, JA, EH and TS collected the data, performed the analysis and wrote the manuscript. All authors read and critically reviewed the manuscript prior to submission.</w:t>
      </w:r>
    </w:p>
    <w:p w14:paraId="5DBF6D23" w14:textId="77777777" w:rsidR="00C8505C" w:rsidRDefault="00C8505C" w:rsidP="008A3214">
      <w:pPr>
        <w:autoSpaceDE w:val="0"/>
        <w:autoSpaceDN w:val="0"/>
        <w:adjustRightInd w:val="0"/>
        <w:spacing w:after="0" w:line="480" w:lineRule="auto"/>
        <w:jc w:val="both"/>
        <w:rPr>
          <w:rFonts w:ascii="Times New Roman" w:hAnsi="Times New Roman" w:cs="Times New Roman"/>
          <w:sz w:val="24"/>
          <w:szCs w:val="24"/>
        </w:rPr>
      </w:pPr>
    </w:p>
    <w:p w14:paraId="24C23F7F" w14:textId="77777777" w:rsidR="008A3214" w:rsidRPr="008A3214" w:rsidRDefault="008A3214" w:rsidP="008A3214">
      <w:pPr>
        <w:shd w:val="clear" w:color="auto" w:fill="FFFFFF"/>
        <w:spacing w:after="0" w:line="360" w:lineRule="auto"/>
        <w:rPr>
          <w:rFonts w:ascii="Times New Roman" w:eastAsia="Times New Roman" w:hAnsi="Times New Roman" w:cs="Times New Roman"/>
          <w:b/>
          <w:sz w:val="24"/>
          <w:szCs w:val="24"/>
          <w:lang w:eastAsia="en-GB"/>
        </w:rPr>
      </w:pPr>
    </w:p>
    <w:p w14:paraId="4B0AA701" w14:textId="77777777" w:rsidR="00874D8C" w:rsidRDefault="00874D8C" w:rsidP="007562D8">
      <w:pPr>
        <w:shd w:val="clear" w:color="auto" w:fill="FFFFFF"/>
        <w:spacing w:before="100" w:beforeAutospacing="1" w:after="100" w:afterAutospacing="1" w:line="390" w:lineRule="atLeast"/>
        <w:rPr>
          <w:rFonts w:ascii="Times New Roman" w:eastAsia="Times New Roman" w:hAnsi="Times New Roman" w:cs="Times New Roman"/>
          <w:color w:val="666666"/>
          <w:sz w:val="24"/>
          <w:szCs w:val="24"/>
          <w:lang w:eastAsia="en-GB"/>
        </w:rPr>
      </w:pPr>
    </w:p>
    <w:p w14:paraId="72B5B038" w14:textId="77777777" w:rsidR="00874D8C" w:rsidRDefault="00874D8C" w:rsidP="007562D8">
      <w:pPr>
        <w:shd w:val="clear" w:color="auto" w:fill="FFFFFF"/>
        <w:spacing w:before="100" w:beforeAutospacing="1" w:after="100" w:afterAutospacing="1" w:line="390" w:lineRule="atLeast"/>
        <w:rPr>
          <w:rFonts w:ascii="Times New Roman" w:eastAsia="Times New Roman" w:hAnsi="Times New Roman" w:cs="Times New Roman"/>
          <w:color w:val="666666"/>
          <w:sz w:val="24"/>
          <w:szCs w:val="24"/>
          <w:lang w:eastAsia="en-GB"/>
        </w:rPr>
      </w:pPr>
    </w:p>
    <w:p w14:paraId="3F3652E6" w14:textId="77777777" w:rsidR="00874D8C" w:rsidRDefault="00874D8C" w:rsidP="007562D8">
      <w:pPr>
        <w:shd w:val="clear" w:color="auto" w:fill="FFFFFF"/>
        <w:spacing w:before="100" w:beforeAutospacing="1" w:after="100" w:afterAutospacing="1" w:line="390" w:lineRule="atLeast"/>
        <w:rPr>
          <w:rFonts w:ascii="Times New Roman" w:eastAsia="Times New Roman" w:hAnsi="Times New Roman" w:cs="Times New Roman"/>
          <w:color w:val="666666"/>
          <w:sz w:val="24"/>
          <w:szCs w:val="24"/>
          <w:lang w:eastAsia="en-GB"/>
        </w:rPr>
      </w:pPr>
    </w:p>
    <w:p w14:paraId="22171374" w14:textId="77777777" w:rsidR="00874D8C" w:rsidRDefault="00874D8C" w:rsidP="007562D8">
      <w:pPr>
        <w:shd w:val="clear" w:color="auto" w:fill="FFFFFF"/>
        <w:spacing w:before="100" w:beforeAutospacing="1" w:after="100" w:afterAutospacing="1" w:line="390" w:lineRule="atLeast"/>
        <w:rPr>
          <w:rFonts w:ascii="Times New Roman" w:eastAsia="Times New Roman" w:hAnsi="Times New Roman" w:cs="Times New Roman"/>
          <w:color w:val="666666"/>
          <w:sz w:val="24"/>
          <w:szCs w:val="24"/>
          <w:lang w:eastAsia="en-GB"/>
        </w:rPr>
      </w:pPr>
    </w:p>
    <w:p w14:paraId="6A521112" w14:textId="77777777" w:rsidR="00874D8C" w:rsidRDefault="00874D8C" w:rsidP="007562D8">
      <w:pPr>
        <w:shd w:val="clear" w:color="auto" w:fill="FFFFFF"/>
        <w:spacing w:before="100" w:beforeAutospacing="1" w:after="100" w:afterAutospacing="1" w:line="390" w:lineRule="atLeast"/>
        <w:rPr>
          <w:rFonts w:ascii="Times New Roman" w:eastAsia="Times New Roman" w:hAnsi="Times New Roman" w:cs="Times New Roman"/>
          <w:color w:val="666666"/>
          <w:sz w:val="24"/>
          <w:szCs w:val="24"/>
          <w:lang w:eastAsia="en-GB"/>
        </w:rPr>
      </w:pPr>
    </w:p>
    <w:p w14:paraId="6965C7C3" w14:textId="77777777" w:rsidR="00874D8C" w:rsidRDefault="00874D8C" w:rsidP="007562D8">
      <w:pPr>
        <w:shd w:val="clear" w:color="auto" w:fill="FFFFFF"/>
        <w:spacing w:before="100" w:beforeAutospacing="1" w:after="100" w:afterAutospacing="1" w:line="390" w:lineRule="atLeast"/>
        <w:rPr>
          <w:rFonts w:ascii="Times New Roman" w:eastAsia="Times New Roman" w:hAnsi="Times New Roman" w:cs="Times New Roman"/>
          <w:color w:val="666666"/>
          <w:sz w:val="24"/>
          <w:szCs w:val="24"/>
          <w:lang w:eastAsia="en-GB"/>
        </w:rPr>
      </w:pPr>
    </w:p>
    <w:p w14:paraId="140539FE" w14:textId="5ECCF480" w:rsidR="00C4149E" w:rsidRPr="00C33A5F" w:rsidRDefault="00A15716" w:rsidP="007562D8">
      <w:pPr>
        <w:shd w:val="clear" w:color="auto" w:fill="FFFFFF"/>
        <w:spacing w:before="100" w:beforeAutospacing="1" w:after="100" w:afterAutospacing="1" w:line="390" w:lineRule="atLeast"/>
        <w:rPr>
          <w:rFonts w:ascii="Times New Roman" w:eastAsia="Times New Roman" w:hAnsi="Times New Roman" w:cs="Times New Roman"/>
          <w:color w:val="666666"/>
          <w:sz w:val="24"/>
          <w:szCs w:val="24"/>
          <w:lang w:eastAsia="en-GB"/>
        </w:rPr>
      </w:pPr>
      <w:r>
        <w:rPr>
          <w:rFonts w:ascii="Times New Roman" w:hAnsi="Times New Roman" w:cs="Times New Roman"/>
          <w:b/>
          <w:sz w:val="24"/>
          <w:szCs w:val="24"/>
        </w:rPr>
        <w:lastRenderedPageBreak/>
        <w:t>ABSTRACT</w:t>
      </w:r>
      <w:r w:rsidR="00C671DB" w:rsidRPr="00C33A5F">
        <w:rPr>
          <w:rFonts w:ascii="Times New Roman" w:hAnsi="Times New Roman" w:cs="Times New Roman"/>
          <w:b/>
          <w:sz w:val="24"/>
          <w:szCs w:val="24"/>
        </w:rPr>
        <w:t xml:space="preserve"> </w:t>
      </w:r>
    </w:p>
    <w:p w14:paraId="278E8E98" w14:textId="77777777" w:rsidR="00C4149E" w:rsidRPr="00C33A5F" w:rsidRDefault="00C4149E" w:rsidP="000957C3">
      <w:pPr>
        <w:autoSpaceDE w:val="0"/>
        <w:autoSpaceDN w:val="0"/>
        <w:adjustRightInd w:val="0"/>
        <w:spacing w:after="0" w:line="480" w:lineRule="auto"/>
        <w:jc w:val="both"/>
        <w:rPr>
          <w:rFonts w:ascii="Times New Roman" w:hAnsi="Times New Roman" w:cs="Times New Roman"/>
          <w:sz w:val="24"/>
          <w:szCs w:val="24"/>
        </w:rPr>
      </w:pPr>
      <w:r w:rsidRPr="00C33A5F">
        <w:rPr>
          <w:rFonts w:ascii="Times New Roman" w:hAnsi="Times New Roman" w:cs="Times New Roman"/>
          <w:b/>
          <w:sz w:val="24"/>
          <w:szCs w:val="24"/>
        </w:rPr>
        <w:t xml:space="preserve">Objective: </w:t>
      </w:r>
      <w:r w:rsidRPr="00C33A5F">
        <w:rPr>
          <w:rFonts w:ascii="Times New Roman" w:hAnsi="Times New Roman" w:cs="Times New Roman"/>
          <w:sz w:val="24"/>
          <w:szCs w:val="24"/>
        </w:rPr>
        <w:t xml:space="preserve">To perform a </w:t>
      </w:r>
      <w:r w:rsidRPr="00FA7A0E">
        <w:rPr>
          <w:rFonts w:ascii="Times New Roman" w:hAnsi="Times New Roman" w:cs="Times New Roman"/>
          <w:sz w:val="24"/>
          <w:szCs w:val="24"/>
        </w:rPr>
        <w:t>sy</w:t>
      </w:r>
      <w:r w:rsidR="003A2197" w:rsidRPr="00FA7A0E">
        <w:rPr>
          <w:rFonts w:ascii="Times New Roman" w:hAnsi="Times New Roman" w:cs="Times New Roman"/>
          <w:sz w:val="24"/>
          <w:szCs w:val="24"/>
        </w:rPr>
        <w:t>stematic</w:t>
      </w:r>
      <w:r w:rsidR="003A2197" w:rsidRPr="00C33A5F">
        <w:rPr>
          <w:rFonts w:ascii="Times New Roman" w:hAnsi="Times New Roman" w:cs="Times New Roman"/>
          <w:sz w:val="24"/>
          <w:szCs w:val="24"/>
        </w:rPr>
        <w:t xml:space="preserve"> literature review (SLR)</w:t>
      </w:r>
      <w:r w:rsidR="00944663">
        <w:rPr>
          <w:rFonts w:ascii="Times New Roman" w:hAnsi="Times New Roman" w:cs="Times New Roman"/>
          <w:sz w:val="24"/>
          <w:szCs w:val="24"/>
        </w:rPr>
        <w:t xml:space="preserve"> </w:t>
      </w:r>
      <w:r w:rsidRPr="00C33A5F">
        <w:rPr>
          <w:rFonts w:ascii="Times New Roman" w:hAnsi="Times New Roman" w:cs="Times New Roman"/>
          <w:sz w:val="24"/>
          <w:szCs w:val="24"/>
        </w:rPr>
        <w:t xml:space="preserve">about the effect of non-pharmacological interventions </w:t>
      </w:r>
      <w:r w:rsidR="00790D09" w:rsidRPr="00C33A5F">
        <w:rPr>
          <w:rFonts w:ascii="Times New Roman" w:hAnsi="Times New Roman" w:cs="Times New Roman"/>
          <w:sz w:val="24"/>
          <w:szCs w:val="24"/>
        </w:rPr>
        <w:t xml:space="preserve">delivered by non-physician health professionals </w:t>
      </w:r>
      <w:r w:rsidR="00A61210" w:rsidRPr="00C33A5F">
        <w:rPr>
          <w:rFonts w:ascii="Times New Roman" w:hAnsi="Times New Roman" w:cs="Times New Roman"/>
          <w:sz w:val="24"/>
          <w:szCs w:val="24"/>
        </w:rPr>
        <w:t>to prevent and manage</w:t>
      </w:r>
      <w:r w:rsidR="00320599" w:rsidRPr="00C33A5F">
        <w:rPr>
          <w:rFonts w:ascii="Times New Roman" w:hAnsi="Times New Roman" w:cs="Times New Roman"/>
          <w:sz w:val="24"/>
          <w:szCs w:val="24"/>
        </w:rPr>
        <w:t xml:space="preserve"> osteoporotic fractures.</w:t>
      </w:r>
    </w:p>
    <w:p w14:paraId="230119BA" w14:textId="2E2DE3ED" w:rsidR="00C4149E" w:rsidRPr="00C33A5F" w:rsidRDefault="00C4149E" w:rsidP="000957C3">
      <w:pPr>
        <w:autoSpaceDE w:val="0"/>
        <w:autoSpaceDN w:val="0"/>
        <w:adjustRightInd w:val="0"/>
        <w:spacing w:after="0" w:line="480" w:lineRule="auto"/>
        <w:jc w:val="both"/>
        <w:rPr>
          <w:rFonts w:ascii="Times New Roman" w:hAnsi="Times New Roman" w:cs="Times New Roman"/>
          <w:sz w:val="24"/>
          <w:szCs w:val="24"/>
        </w:rPr>
      </w:pPr>
      <w:r w:rsidRPr="00C33A5F">
        <w:rPr>
          <w:rFonts w:ascii="Times New Roman" w:hAnsi="Times New Roman" w:cs="Times New Roman"/>
          <w:b/>
          <w:sz w:val="24"/>
          <w:szCs w:val="24"/>
        </w:rPr>
        <w:t>Methods:</w:t>
      </w:r>
      <w:r w:rsidRPr="00C33A5F">
        <w:rPr>
          <w:rFonts w:ascii="Times New Roman" w:hAnsi="Times New Roman" w:cs="Times New Roman"/>
          <w:sz w:val="24"/>
          <w:szCs w:val="24"/>
        </w:rPr>
        <w:t xml:space="preserve"> Eight clinical questions based on two </w:t>
      </w:r>
      <w:r w:rsidR="00185C33">
        <w:rPr>
          <w:rFonts w:ascii="Times New Roman" w:hAnsi="Times New Roman" w:cs="Times New Roman"/>
          <w:sz w:val="24"/>
          <w:szCs w:val="24"/>
        </w:rPr>
        <w:t>criteria</w:t>
      </w:r>
      <w:r w:rsidRPr="00C33A5F">
        <w:rPr>
          <w:rFonts w:ascii="Times New Roman" w:hAnsi="Times New Roman" w:cs="Times New Roman"/>
          <w:sz w:val="24"/>
          <w:szCs w:val="24"/>
        </w:rPr>
        <w:t xml:space="preserve"> guided the SLR: </w:t>
      </w:r>
      <w:r w:rsidRPr="00C33A5F">
        <w:rPr>
          <w:rFonts w:ascii="Times New Roman" w:eastAsia="TimesNewRomanPSMT" w:hAnsi="Times New Roman" w:cs="Times New Roman"/>
          <w:sz w:val="24"/>
          <w:szCs w:val="24"/>
        </w:rPr>
        <w:t>(</w:t>
      </w:r>
      <w:proofErr w:type="spellStart"/>
      <w:r w:rsidRPr="00C33A5F">
        <w:rPr>
          <w:rFonts w:ascii="Times New Roman" w:eastAsia="TimesNewRomanPSMT" w:hAnsi="Times New Roman" w:cs="Times New Roman"/>
          <w:sz w:val="24"/>
          <w:szCs w:val="24"/>
        </w:rPr>
        <w:t>i</w:t>
      </w:r>
      <w:proofErr w:type="spellEnd"/>
      <w:r w:rsidRPr="00C33A5F">
        <w:rPr>
          <w:rFonts w:ascii="Times New Roman" w:eastAsia="TimesNewRomanPSMT" w:hAnsi="Times New Roman" w:cs="Times New Roman"/>
          <w:sz w:val="24"/>
          <w:szCs w:val="24"/>
        </w:rPr>
        <w:t>) adults ≥ 50 years at high-risk</w:t>
      </w:r>
      <w:r w:rsidRPr="00C33A5F">
        <w:rPr>
          <w:rFonts w:ascii="Times New Roman" w:hAnsi="Times New Roman" w:cs="Times New Roman"/>
          <w:sz w:val="24"/>
          <w:szCs w:val="24"/>
        </w:rPr>
        <w:t xml:space="preserve"> </w:t>
      </w:r>
      <w:r w:rsidRPr="00C33A5F">
        <w:rPr>
          <w:rFonts w:ascii="Times New Roman" w:eastAsia="TimesNewRomanPSMT" w:hAnsi="Times New Roman" w:cs="Times New Roman"/>
          <w:sz w:val="24"/>
          <w:szCs w:val="24"/>
        </w:rPr>
        <w:t>of osteoporotic fracture and (ii) interventions delivered by non-physician h</w:t>
      </w:r>
      <w:r w:rsidR="00FF1698">
        <w:rPr>
          <w:rFonts w:ascii="Times New Roman" w:eastAsia="TimesNewRomanPSMT" w:hAnsi="Times New Roman" w:cs="Times New Roman"/>
          <w:sz w:val="24"/>
          <w:szCs w:val="24"/>
        </w:rPr>
        <w:t xml:space="preserve">ealth professionals to prevent </w:t>
      </w:r>
      <w:r w:rsidRPr="00C33A5F">
        <w:rPr>
          <w:rFonts w:ascii="Times New Roman" w:eastAsia="TimesNewRomanPSMT" w:hAnsi="Times New Roman" w:cs="Times New Roman"/>
          <w:sz w:val="24"/>
          <w:szCs w:val="24"/>
        </w:rPr>
        <w:t xml:space="preserve">and manage osteoporotic fractures. </w:t>
      </w:r>
      <w:r w:rsidR="00E625DD" w:rsidRPr="00944663">
        <w:rPr>
          <w:rFonts w:ascii="Times New Roman" w:eastAsia="TimesNewRomanPSMT" w:hAnsi="Times New Roman" w:cs="Times New Roman"/>
          <w:sz w:val="24"/>
          <w:szCs w:val="24"/>
        </w:rPr>
        <w:t xml:space="preserve">Interventions </w:t>
      </w:r>
      <w:r w:rsidR="007D072E" w:rsidRPr="00944663">
        <w:rPr>
          <w:rFonts w:ascii="Times New Roman" w:eastAsia="TimesNewRomanPSMT" w:hAnsi="Times New Roman" w:cs="Times New Roman"/>
          <w:sz w:val="24"/>
          <w:szCs w:val="24"/>
        </w:rPr>
        <w:t>focussed on</w:t>
      </w:r>
      <w:r w:rsidR="00E625DD" w:rsidRPr="00944663">
        <w:rPr>
          <w:rFonts w:ascii="Times New Roman" w:eastAsia="TimesNewRomanPSMT" w:hAnsi="Times New Roman" w:cs="Times New Roman"/>
          <w:sz w:val="24"/>
          <w:szCs w:val="24"/>
        </w:rPr>
        <w:t xml:space="preserve"> diagnostic procedures to identify </w:t>
      </w:r>
      <w:r w:rsidR="005E5DC9" w:rsidRPr="00944663">
        <w:rPr>
          <w:rFonts w:ascii="Times New Roman" w:eastAsia="TimesNewRomanPSMT" w:hAnsi="Times New Roman" w:cs="Times New Roman"/>
          <w:sz w:val="24"/>
          <w:szCs w:val="24"/>
        </w:rPr>
        <w:t>risk of falling</w:t>
      </w:r>
      <w:r w:rsidR="00E625DD" w:rsidRPr="00944663">
        <w:rPr>
          <w:rFonts w:ascii="Times New Roman" w:eastAsia="TimesNewRomanPSMT" w:hAnsi="Times New Roman" w:cs="Times New Roman"/>
          <w:sz w:val="24"/>
          <w:szCs w:val="24"/>
        </w:rPr>
        <w:t>, therapeutic approaches</w:t>
      </w:r>
      <w:r w:rsidR="00CF6D05" w:rsidRPr="00944663">
        <w:rPr>
          <w:rFonts w:ascii="Times New Roman" w:eastAsia="TimesNewRomanPSMT" w:hAnsi="Times New Roman" w:cs="Times New Roman"/>
          <w:sz w:val="24"/>
          <w:szCs w:val="24"/>
        </w:rPr>
        <w:t xml:space="preserve"> </w:t>
      </w:r>
      <w:r w:rsidR="00E625DD" w:rsidRPr="00944663">
        <w:rPr>
          <w:rFonts w:ascii="Times New Roman" w:eastAsia="TimesNewRomanPSMT" w:hAnsi="Times New Roman" w:cs="Times New Roman"/>
          <w:sz w:val="24"/>
          <w:szCs w:val="24"/>
        </w:rPr>
        <w:t>and implementation strategies.</w:t>
      </w:r>
      <w:r w:rsidR="00E625DD">
        <w:rPr>
          <w:rFonts w:ascii="Times New Roman" w:eastAsia="TimesNewRomanPSMT" w:hAnsi="Times New Roman" w:cs="Times New Roman"/>
          <w:sz w:val="24"/>
          <w:szCs w:val="24"/>
        </w:rPr>
        <w:t xml:space="preserve"> </w:t>
      </w:r>
      <w:r w:rsidR="00944663">
        <w:rPr>
          <w:rFonts w:ascii="Times New Roman" w:eastAsia="TimesNewRomanPSMT" w:hAnsi="Times New Roman" w:cs="Times New Roman"/>
          <w:sz w:val="24"/>
          <w:szCs w:val="24"/>
        </w:rPr>
        <w:t xml:space="preserve">Outcomes </w:t>
      </w:r>
      <w:r w:rsidRPr="00C33A5F">
        <w:rPr>
          <w:rFonts w:ascii="Times New Roman" w:eastAsia="TimesNewRomanPSMT" w:hAnsi="Times New Roman" w:cs="Times New Roman"/>
          <w:sz w:val="24"/>
          <w:szCs w:val="24"/>
        </w:rPr>
        <w:t xml:space="preserve">included fractures, falls, risk of falling and change in bone mineral density. </w:t>
      </w:r>
      <w:r w:rsidR="00185C33">
        <w:rPr>
          <w:rFonts w:ascii="Times New Roman" w:eastAsia="TimesNewRomanPSMT" w:hAnsi="Times New Roman" w:cs="Times New Roman"/>
          <w:sz w:val="24"/>
          <w:szCs w:val="24"/>
        </w:rPr>
        <w:t>S</w:t>
      </w:r>
      <w:r w:rsidRPr="00C33A5F">
        <w:rPr>
          <w:rFonts w:ascii="Times New Roman" w:hAnsi="Times New Roman" w:cs="Times New Roman"/>
          <w:sz w:val="24"/>
          <w:szCs w:val="24"/>
        </w:rPr>
        <w:t>ystematic reviews and rand</w:t>
      </w:r>
      <w:r w:rsidR="003D2AA3" w:rsidRPr="00C33A5F">
        <w:rPr>
          <w:rFonts w:ascii="Times New Roman" w:hAnsi="Times New Roman" w:cs="Times New Roman"/>
          <w:sz w:val="24"/>
          <w:szCs w:val="24"/>
        </w:rPr>
        <w:t xml:space="preserve">omised controlled trials </w:t>
      </w:r>
      <w:r w:rsidRPr="00C33A5F">
        <w:rPr>
          <w:rFonts w:ascii="Times New Roman" w:hAnsi="Times New Roman" w:cs="Times New Roman"/>
          <w:sz w:val="24"/>
          <w:szCs w:val="24"/>
        </w:rPr>
        <w:t>were preferentially selected</w:t>
      </w:r>
      <w:r w:rsidR="00FB0BF8">
        <w:rPr>
          <w:rFonts w:ascii="Times New Roman" w:eastAsia="Calibri" w:hAnsi="Times New Roman" w:cs="Times New Roman"/>
          <w:sz w:val="24"/>
          <w:szCs w:val="24"/>
        </w:rPr>
        <w:t>.</w:t>
      </w:r>
      <w:r w:rsidRPr="00C33A5F">
        <w:rPr>
          <w:rFonts w:ascii="Times New Roman" w:hAnsi="Times New Roman" w:cs="Times New Roman"/>
          <w:sz w:val="24"/>
          <w:szCs w:val="24"/>
        </w:rPr>
        <w:t xml:space="preserve"> Data </w:t>
      </w:r>
      <w:r w:rsidR="00B16F6E">
        <w:rPr>
          <w:rFonts w:ascii="Times New Roman" w:hAnsi="Times New Roman" w:cs="Times New Roman"/>
          <w:sz w:val="24"/>
          <w:szCs w:val="24"/>
        </w:rPr>
        <w:t>were</w:t>
      </w:r>
      <w:r w:rsidRPr="00C33A5F">
        <w:rPr>
          <w:rFonts w:ascii="Times New Roman" w:hAnsi="Times New Roman" w:cs="Times New Roman"/>
          <w:sz w:val="24"/>
          <w:szCs w:val="24"/>
        </w:rPr>
        <w:t xml:space="preserve"> synthesised using a qualitative descriptive approach.</w:t>
      </w:r>
    </w:p>
    <w:p w14:paraId="7C44AEC0" w14:textId="47FABBA8" w:rsidR="00C4149E" w:rsidRPr="00C33A5F" w:rsidRDefault="00C4149E" w:rsidP="000957C3">
      <w:pPr>
        <w:spacing w:after="0" w:line="480" w:lineRule="auto"/>
        <w:jc w:val="both"/>
        <w:rPr>
          <w:rFonts w:ascii="Times New Roman" w:eastAsia="Calibri" w:hAnsi="Times New Roman" w:cs="Times New Roman"/>
          <w:sz w:val="24"/>
          <w:szCs w:val="24"/>
        </w:rPr>
      </w:pPr>
      <w:r w:rsidRPr="00C33A5F">
        <w:rPr>
          <w:rFonts w:ascii="Times New Roman" w:hAnsi="Times New Roman" w:cs="Times New Roman"/>
          <w:b/>
          <w:sz w:val="24"/>
          <w:szCs w:val="24"/>
        </w:rPr>
        <w:t>Results:</w:t>
      </w:r>
      <w:r w:rsidRPr="00C33A5F">
        <w:rPr>
          <w:rFonts w:ascii="Times New Roman" w:hAnsi="Times New Roman" w:cs="Times New Roman"/>
          <w:sz w:val="24"/>
          <w:szCs w:val="24"/>
        </w:rPr>
        <w:t xml:space="preserve"> </w:t>
      </w:r>
      <w:r w:rsidR="003D2AA3" w:rsidRPr="00C33A5F">
        <w:rPr>
          <w:rFonts w:ascii="Times New Roman" w:hAnsi="Times New Roman" w:cs="Times New Roman"/>
          <w:sz w:val="24"/>
          <w:szCs w:val="24"/>
        </w:rPr>
        <w:t>Of 15,917 records, 43</w:t>
      </w:r>
      <w:r w:rsidRPr="00C33A5F">
        <w:rPr>
          <w:rFonts w:ascii="Times New Roman" w:hAnsi="Times New Roman" w:cs="Times New Roman"/>
          <w:sz w:val="24"/>
          <w:szCs w:val="24"/>
        </w:rPr>
        <w:t xml:space="preserve"> articles were included.</w:t>
      </w:r>
      <w:r w:rsidR="0052132B">
        <w:rPr>
          <w:rFonts w:ascii="Times New Roman" w:hAnsi="Times New Roman" w:cs="Times New Roman"/>
          <w:sz w:val="24"/>
          <w:szCs w:val="24"/>
        </w:rPr>
        <w:t xml:space="preserve"> </w:t>
      </w:r>
      <w:r w:rsidR="0052132B" w:rsidRPr="00944663">
        <w:rPr>
          <w:rFonts w:ascii="Times New Roman" w:hAnsi="Times New Roman" w:cs="Times New Roman"/>
          <w:sz w:val="24"/>
          <w:szCs w:val="24"/>
        </w:rPr>
        <w:t xml:space="preserve">Studies were </w:t>
      </w:r>
      <w:r w:rsidR="00005882" w:rsidRPr="00944663">
        <w:rPr>
          <w:rFonts w:ascii="Times New Roman" w:hAnsi="Times New Roman" w:cs="Times New Roman"/>
          <w:sz w:val="24"/>
          <w:szCs w:val="24"/>
        </w:rPr>
        <w:t>clinical</w:t>
      </w:r>
      <w:r w:rsidR="000D2271" w:rsidRPr="00944663">
        <w:rPr>
          <w:rFonts w:ascii="Times New Roman" w:hAnsi="Times New Roman" w:cs="Times New Roman"/>
          <w:sz w:val="24"/>
          <w:szCs w:val="24"/>
        </w:rPr>
        <w:t>ly</w:t>
      </w:r>
      <w:r w:rsidR="00005882" w:rsidRPr="00944663">
        <w:rPr>
          <w:rFonts w:ascii="Times New Roman" w:hAnsi="Times New Roman" w:cs="Times New Roman"/>
          <w:sz w:val="24"/>
          <w:szCs w:val="24"/>
        </w:rPr>
        <w:t xml:space="preserve"> and methodological</w:t>
      </w:r>
      <w:r w:rsidR="000D2271" w:rsidRPr="00944663">
        <w:rPr>
          <w:rFonts w:ascii="Times New Roman" w:hAnsi="Times New Roman" w:cs="Times New Roman"/>
          <w:sz w:val="24"/>
          <w:szCs w:val="24"/>
        </w:rPr>
        <w:t xml:space="preserve">ly </w:t>
      </w:r>
      <w:r w:rsidR="009B19E3" w:rsidRPr="00944663">
        <w:rPr>
          <w:rFonts w:ascii="Times New Roman" w:hAnsi="Times New Roman" w:cs="Times New Roman"/>
          <w:sz w:val="24"/>
          <w:szCs w:val="24"/>
        </w:rPr>
        <w:t>diverse</w:t>
      </w:r>
      <w:r w:rsidR="00005882" w:rsidRPr="00944663">
        <w:rPr>
          <w:rFonts w:ascii="Times New Roman" w:hAnsi="Times New Roman" w:cs="Times New Roman"/>
          <w:sz w:val="24"/>
          <w:szCs w:val="24"/>
        </w:rPr>
        <w:t>.</w:t>
      </w:r>
      <w:r w:rsidR="00005882">
        <w:rPr>
          <w:rFonts w:ascii="Times New Roman" w:hAnsi="Times New Roman" w:cs="Times New Roman"/>
          <w:sz w:val="24"/>
          <w:szCs w:val="24"/>
        </w:rPr>
        <w:t xml:space="preserve"> </w:t>
      </w:r>
      <w:r w:rsidRPr="00C33A5F">
        <w:rPr>
          <w:rFonts w:ascii="Times New Roman" w:eastAsia="Calibri" w:hAnsi="Times New Roman" w:cs="Times New Roman"/>
          <w:sz w:val="24"/>
          <w:szCs w:val="24"/>
        </w:rPr>
        <w:t xml:space="preserve">We identified </w:t>
      </w:r>
      <w:proofErr w:type="gramStart"/>
      <w:r w:rsidRPr="00C33A5F">
        <w:rPr>
          <w:rFonts w:ascii="Times New Roman" w:eastAsia="Calibri" w:hAnsi="Times New Roman" w:cs="Times New Roman"/>
          <w:sz w:val="24"/>
          <w:szCs w:val="24"/>
        </w:rPr>
        <w:t>sufficient</w:t>
      </w:r>
      <w:proofErr w:type="gramEnd"/>
      <w:r w:rsidRPr="00C33A5F">
        <w:rPr>
          <w:rFonts w:ascii="Times New Roman" w:eastAsia="Calibri" w:hAnsi="Times New Roman" w:cs="Times New Roman"/>
          <w:sz w:val="24"/>
          <w:szCs w:val="24"/>
        </w:rPr>
        <w:t xml:space="preserve"> evidence that structured exercise, incorporating progressive resistance training delivered to people who had undergone hip fracture surgery, and multicomponent exercise, delivered to people at risk of primary fracture</w:t>
      </w:r>
      <w:r w:rsidR="00B16F6E">
        <w:rPr>
          <w:rFonts w:ascii="Times New Roman" w:eastAsia="Calibri" w:hAnsi="Times New Roman" w:cs="Times New Roman"/>
          <w:sz w:val="24"/>
          <w:szCs w:val="24"/>
        </w:rPr>
        <w:t xml:space="preserve">, reduced risk of falling. </w:t>
      </w:r>
      <w:r w:rsidR="005316B9" w:rsidRPr="00944663">
        <w:rPr>
          <w:rFonts w:ascii="Times New Roman" w:eastAsia="Calibri" w:hAnsi="Times New Roman" w:cs="Times New Roman"/>
          <w:sz w:val="24"/>
          <w:szCs w:val="24"/>
        </w:rPr>
        <w:t>The e</w:t>
      </w:r>
      <w:r w:rsidRPr="00944663">
        <w:rPr>
          <w:rFonts w:ascii="Times New Roman" w:eastAsia="Calibri" w:hAnsi="Times New Roman" w:cs="Times New Roman"/>
          <w:sz w:val="24"/>
          <w:szCs w:val="24"/>
        </w:rPr>
        <w:t xml:space="preserve">ffectiveness of multidisciplinary fracture liaison services </w:t>
      </w:r>
      <w:r w:rsidR="005316B9" w:rsidRPr="00944663">
        <w:rPr>
          <w:rFonts w:ascii="Times New Roman" w:eastAsia="Calibri" w:hAnsi="Times New Roman" w:cs="Times New Roman"/>
          <w:sz w:val="24"/>
          <w:szCs w:val="24"/>
        </w:rPr>
        <w:t xml:space="preserve">in reducing re-fracture rate </w:t>
      </w:r>
      <w:r w:rsidRPr="00944663">
        <w:rPr>
          <w:rFonts w:ascii="Times New Roman" w:eastAsia="Calibri" w:hAnsi="Times New Roman" w:cs="Times New Roman"/>
          <w:sz w:val="24"/>
          <w:szCs w:val="24"/>
        </w:rPr>
        <w:t>was confirmed.</w:t>
      </w:r>
      <w:r w:rsidR="003C546E">
        <w:rPr>
          <w:rFonts w:ascii="Times New Roman" w:eastAsia="Calibri" w:hAnsi="Times New Roman" w:cs="Times New Roman"/>
          <w:sz w:val="24"/>
          <w:szCs w:val="24"/>
        </w:rPr>
        <w:t xml:space="preserve"> There was insufficient evidence found to support the effectiveness of nutriments and falls</w:t>
      </w:r>
      <w:r w:rsidR="00B41AD0">
        <w:rPr>
          <w:rFonts w:ascii="Times New Roman" w:eastAsia="Calibri" w:hAnsi="Times New Roman" w:cs="Times New Roman"/>
          <w:sz w:val="24"/>
          <w:szCs w:val="24"/>
        </w:rPr>
        <w:t xml:space="preserve"> prevention</w:t>
      </w:r>
      <w:r w:rsidR="003C546E">
        <w:rPr>
          <w:rFonts w:ascii="Times New Roman" w:eastAsia="Calibri" w:hAnsi="Times New Roman" w:cs="Times New Roman"/>
          <w:sz w:val="24"/>
          <w:szCs w:val="24"/>
        </w:rPr>
        <w:t xml:space="preserve"> programmes in this patient population.  </w:t>
      </w:r>
      <w:r w:rsidRPr="00944663">
        <w:rPr>
          <w:rFonts w:ascii="Times New Roman" w:eastAsia="Calibri" w:hAnsi="Times New Roman" w:cs="Times New Roman"/>
          <w:sz w:val="24"/>
          <w:szCs w:val="24"/>
        </w:rPr>
        <w:t xml:space="preserve"> </w:t>
      </w:r>
    </w:p>
    <w:p w14:paraId="71F0EA74" w14:textId="3A49A353" w:rsidR="00B52C59" w:rsidRDefault="00C4149E" w:rsidP="00B52C59">
      <w:pPr>
        <w:autoSpaceDE w:val="0"/>
        <w:autoSpaceDN w:val="0"/>
        <w:adjustRightInd w:val="0"/>
        <w:spacing w:after="0" w:line="480" w:lineRule="auto"/>
        <w:jc w:val="both"/>
        <w:rPr>
          <w:rFonts w:ascii="Times New Roman" w:hAnsi="Times New Roman" w:cs="Times New Roman"/>
          <w:sz w:val="24"/>
          <w:szCs w:val="24"/>
        </w:rPr>
      </w:pPr>
      <w:r w:rsidRPr="00C33A5F">
        <w:rPr>
          <w:rFonts w:ascii="Times New Roman" w:hAnsi="Times New Roman" w:cs="Times New Roman"/>
          <w:b/>
          <w:sz w:val="24"/>
          <w:szCs w:val="24"/>
        </w:rPr>
        <w:t xml:space="preserve">Conclusion: </w:t>
      </w:r>
      <w:r w:rsidR="00B41AD0" w:rsidRPr="00B41AD0">
        <w:rPr>
          <w:rFonts w:ascii="Times New Roman" w:hAnsi="Times New Roman" w:cs="Times New Roman"/>
          <w:sz w:val="24"/>
          <w:szCs w:val="24"/>
        </w:rPr>
        <w:t>Despite study heterogeneity, our SLR showed positive effects of some interventions delivered by non-physician health professionals and the positive impact of multidisciplinary team working and patient educational approaches to prevent and manage osteoporotic fractures. These results informed a EULAR taskforce that developed points to consider for non-physician health professionals to prevent and manage osteoporotic fractures.</w:t>
      </w:r>
    </w:p>
    <w:p w14:paraId="07A97A0E" w14:textId="55E585F4" w:rsidR="009941D4" w:rsidRDefault="009941D4" w:rsidP="00B52C59">
      <w:pPr>
        <w:autoSpaceDE w:val="0"/>
        <w:autoSpaceDN w:val="0"/>
        <w:adjustRightInd w:val="0"/>
        <w:spacing w:after="0" w:line="480" w:lineRule="auto"/>
        <w:jc w:val="both"/>
        <w:rPr>
          <w:rFonts w:ascii="Times New Roman" w:hAnsi="Times New Roman" w:cs="Times New Roman"/>
          <w:sz w:val="24"/>
          <w:szCs w:val="24"/>
        </w:rPr>
      </w:pPr>
    </w:p>
    <w:p w14:paraId="425F5F8C" w14:textId="77777777" w:rsidR="00A31ECE" w:rsidRPr="00C33A5F" w:rsidRDefault="00A15716" w:rsidP="00466241">
      <w:pPr>
        <w:pStyle w:val="Heading2"/>
        <w:spacing w:before="0" w:line="480" w:lineRule="auto"/>
        <w:rPr>
          <w:rFonts w:ascii="Times New Roman" w:hAnsi="Times New Roman" w:cs="Times New Roman"/>
          <w:b/>
          <w:sz w:val="24"/>
          <w:szCs w:val="24"/>
          <w:lang w:val="en-GB"/>
        </w:rPr>
      </w:pPr>
      <w:r>
        <w:rPr>
          <w:rFonts w:ascii="Times New Roman" w:hAnsi="Times New Roman" w:cs="Times New Roman"/>
          <w:b/>
          <w:color w:val="auto"/>
          <w:sz w:val="24"/>
          <w:szCs w:val="24"/>
          <w:lang w:val="en-GB"/>
        </w:rPr>
        <w:lastRenderedPageBreak/>
        <w:t>INTRODUCTION</w:t>
      </w:r>
    </w:p>
    <w:p w14:paraId="5FE15DFE" w14:textId="77777777" w:rsidR="00F97F61" w:rsidRPr="00C33A5F" w:rsidRDefault="00D54789" w:rsidP="000957C3">
      <w:pPr>
        <w:spacing w:after="0" w:line="480" w:lineRule="auto"/>
        <w:jc w:val="both"/>
        <w:rPr>
          <w:rFonts w:ascii="Times New Roman" w:hAnsi="Times New Roman" w:cs="Times New Roman"/>
          <w:sz w:val="24"/>
          <w:szCs w:val="24"/>
        </w:rPr>
      </w:pPr>
      <w:r w:rsidRPr="00C33A5F">
        <w:rPr>
          <w:rFonts w:ascii="Times New Roman" w:hAnsi="Times New Roman" w:cs="Times New Roman"/>
          <w:sz w:val="24"/>
          <w:szCs w:val="24"/>
        </w:rPr>
        <w:t>By 2040</w:t>
      </w:r>
      <w:r w:rsidR="006115D2" w:rsidRPr="00C33A5F">
        <w:rPr>
          <w:rFonts w:ascii="Times New Roman" w:hAnsi="Times New Roman" w:cs="Times New Roman"/>
          <w:sz w:val="24"/>
          <w:szCs w:val="24"/>
        </w:rPr>
        <w:t>,</w:t>
      </w:r>
      <w:r w:rsidRPr="00C33A5F">
        <w:rPr>
          <w:rFonts w:ascii="Times New Roman" w:hAnsi="Times New Roman" w:cs="Times New Roman"/>
          <w:sz w:val="24"/>
          <w:szCs w:val="24"/>
        </w:rPr>
        <w:t xml:space="preserve"> </w:t>
      </w:r>
      <w:r w:rsidR="007C1EF1" w:rsidRPr="00C33A5F">
        <w:rPr>
          <w:rFonts w:ascii="Times New Roman" w:hAnsi="Times New Roman" w:cs="Times New Roman"/>
          <w:sz w:val="24"/>
          <w:szCs w:val="24"/>
        </w:rPr>
        <w:t>an</w:t>
      </w:r>
      <w:r w:rsidRPr="00C33A5F">
        <w:rPr>
          <w:rFonts w:ascii="Times New Roman" w:hAnsi="Times New Roman" w:cs="Times New Roman"/>
          <w:sz w:val="24"/>
          <w:szCs w:val="24"/>
        </w:rPr>
        <w:t xml:space="preserve"> </w:t>
      </w:r>
      <w:r w:rsidR="006A3492" w:rsidRPr="00C33A5F">
        <w:rPr>
          <w:rFonts w:ascii="Times New Roman" w:hAnsi="Times New Roman" w:cs="Times New Roman"/>
          <w:sz w:val="24"/>
          <w:szCs w:val="24"/>
        </w:rPr>
        <w:t>estimated</w:t>
      </w:r>
      <w:r w:rsidR="005F6964" w:rsidRPr="00C33A5F">
        <w:rPr>
          <w:rFonts w:ascii="Times New Roman" w:hAnsi="Times New Roman" w:cs="Times New Roman"/>
          <w:sz w:val="24"/>
          <w:szCs w:val="24"/>
        </w:rPr>
        <w:t xml:space="preserve"> </w:t>
      </w:r>
      <w:r w:rsidR="00396A00" w:rsidRPr="00C33A5F">
        <w:rPr>
          <w:rFonts w:ascii="Times New Roman" w:hAnsi="Times New Roman" w:cs="Times New Roman"/>
          <w:sz w:val="24"/>
          <w:szCs w:val="24"/>
        </w:rPr>
        <w:t>319</w:t>
      </w:r>
      <w:r w:rsidR="006A3492" w:rsidRPr="00C33A5F">
        <w:rPr>
          <w:rFonts w:ascii="Times New Roman" w:hAnsi="Times New Roman" w:cs="Times New Roman"/>
          <w:sz w:val="24"/>
          <w:szCs w:val="24"/>
        </w:rPr>
        <w:t xml:space="preserve"> </w:t>
      </w:r>
      <w:r w:rsidR="005F6964" w:rsidRPr="00C33A5F">
        <w:rPr>
          <w:rFonts w:ascii="Times New Roman" w:hAnsi="Times New Roman" w:cs="Times New Roman"/>
          <w:sz w:val="24"/>
          <w:szCs w:val="24"/>
        </w:rPr>
        <w:t xml:space="preserve">million </w:t>
      </w:r>
      <w:r w:rsidR="00146E5A" w:rsidRPr="00C33A5F">
        <w:rPr>
          <w:rFonts w:ascii="Times New Roman" w:hAnsi="Times New Roman" w:cs="Times New Roman"/>
          <w:sz w:val="24"/>
          <w:szCs w:val="24"/>
        </w:rPr>
        <w:t>adults</w:t>
      </w:r>
      <w:r w:rsidR="005F6964" w:rsidRPr="00C33A5F">
        <w:rPr>
          <w:rFonts w:ascii="Times New Roman" w:hAnsi="Times New Roman" w:cs="Times New Roman"/>
          <w:sz w:val="24"/>
          <w:szCs w:val="24"/>
        </w:rPr>
        <w:t xml:space="preserve"> aged 50 years or more</w:t>
      </w:r>
      <w:r w:rsidR="00D3347B" w:rsidRPr="00C33A5F">
        <w:rPr>
          <w:rFonts w:ascii="Times New Roman" w:hAnsi="Times New Roman" w:cs="Times New Roman"/>
          <w:sz w:val="24"/>
          <w:szCs w:val="24"/>
        </w:rPr>
        <w:t xml:space="preserve"> </w:t>
      </w:r>
      <w:r w:rsidRPr="00C33A5F">
        <w:rPr>
          <w:rFonts w:ascii="Times New Roman" w:hAnsi="Times New Roman" w:cs="Times New Roman"/>
          <w:sz w:val="24"/>
          <w:szCs w:val="24"/>
        </w:rPr>
        <w:t>worldwide will be</w:t>
      </w:r>
      <w:r w:rsidR="005F6964" w:rsidRPr="00C33A5F">
        <w:rPr>
          <w:rFonts w:ascii="Times New Roman" w:hAnsi="Times New Roman" w:cs="Times New Roman"/>
          <w:sz w:val="24"/>
          <w:szCs w:val="24"/>
        </w:rPr>
        <w:t xml:space="preserve"> </w:t>
      </w:r>
      <w:r w:rsidR="00D3347B" w:rsidRPr="00C33A5F">
        <w:rPr>
          <w:rFonts w:ascii="Times New Roman" w:hAnsi="Times New Roman" w:cs="Times New Roman"/>
          <w:sz w:val="24"/>
          <w:szCs w:val="24"/>
        </w:rPr>
        <w:t>at hig</w:t>
      </w:r>
      <w:r w:rsidR="005F6964" w:rsidRPr="00C33A5F">
        <w:rPr>
          <w:rFonts w:ascii="Times New Roman" w:hAnsi="Times New Roman" w:cs="Times New Roman"/>
          <w:sz w:val="24"/>
          <w:szCs w:val="24"/>
        </w:rPr>
        <w:t>h</w:t>
      </w:r>
      <w:r w:rsidR="00A63797" w:rsidRPr="00C33A5F">
        <w:rPr>
          <w:rFonts w:ascii="Times New Roman" w:hAnsi="Times New Roman" w:cs="Times New Roman"/>
          <w:sz w:val="24"/>
          <w:szCs w:val="24"/>
        </w:rPr>
        <w:t>-</w:t>
      </w:r>
      <w:r w:rsidRPr="00C33A5F">
        <w:rPr>
          <w:rFonts w:ascii="Times New Roman" w:hAnsi="Times New Roman" w:cs="Times New Roman"/>
          <w:sz w:val="24"/>
          <w:szCs w:val="24"/>
        </w:rPr>
        <w:t xml:space="preserve">risk of osteoporotic </w:t>
      </w:r>
      <w:proofErr w:type="gramStart"/>
      <w:r w:rsidRPr="00C33A5F">
        <w:rPr>
          <w:rFonts w:ascii="Times New Roman" w:hAnsi="Times New Roman" w:cs="Times New Roman"/>
          <w:sz w:val="24"/>
          <w:szCs w:val="24"/>
        </w:rPr>
        <w:t>fracture</w:t>
      </w:r>
      <w:r w:rsidR="00DB0393">
        <w:rPr>
          <w:rFonts w:ascii="Times New Roman" w:eastAsia="Calibri" w:hAnsi="Times New Roman" w:cs="Times New Roman"/>
          <w:sz w:val="24"/>
          <w:szCs w:val="24"/>
        </w:rPr>
        <w:t>[</w:t>
      </w:r>
      <w:proofErr w:type="gramEnd"/>
      <w:r w:rsidR="00DB0393">
        <w:rPr>
          <w:rFonts w:ascii="Times New Roman" w:eastAsia="Calibri" w:hAnsi="Times New Roman" w:cs="Times New Roman"/>
          <w:sz w:val="24"/>
          <w:szCs w:val="24"/>
        </w:rPr>
        <w:t>1].</w:t>
      </w:r>
      <w:r w:rsidR="00A915C4" w:rsidRPr="00C33A5F">
        <w:rPr>
          <w:rFonts w:ascii="Times New Roman" w:hAnsi="Times New Roman" w:cs="Times New Roman"/>
          <w:sz w:val="24"/>
          <w:szCs w:val="24"/>
        </w:rPr>
        <w:t xml:space="preserve"> </w:t>
      </w:r>
      <w:r w:rsidR="00956E8F" w:rsidRPr="00C33A5F">
        <w:rPr>
          <w:rFonts w:ascii="Times New Roman" w:hAnsi="Times New Roman" w:cs="Times New Roman"/>
          <w:sz w:val="24"/>
          <w:szCs w:val="24"/>
        </w:rPr>
        <w:t xml:space="preserve">While </w:t>
      </w:r>
      <w:r w:rsidR="00D4315B" w:rsidRPr="00C33A5F">
        <w:rPr>
          <w:rFonts w:ascii="Times New Roman" w:hAnsi="Times New Roman" w:cs="Times New Roman"/>
          <w:sz w:val="24"/>
          <w:szCs w:val="24"/>
        </w:rPr>
        <w:t>Asia</w:t>
      </w:r>
      <w:r w:rsidR="005D74C8" w:rsidRPr="00C33A5F">
        <w:rPr>
          <w:rFonts w:ascii="Times New Roman" w:hAnsi="Times New Roman" w:cs="Times New Roman"/>
          <w:sz w:val="24"/>
          <w:szCs w:val="24"/>
        </w:rPr>
        <w:t xml:space="preserve">n populations </w:t>
      </w:r>
      <w:r w:rsidR="00D241D6" w:rsidRPr="00C33A5F">
        <w:rPr>
          <w:rFonts w:ascii="Times New Roman" w:hAnsi="Times New Roman" w:cs="Times New Roman"/>
          <w:sz w:val="24"/>
          <w:szCs w:val="24"/>
        </w:rPr>
        <w:t>will</w:t>
      </w:r>
      <w:r w:rsidRPr="00C33A5F">
        <w:rPr>
          <w:rFonts w:ascii="Times New Roman" w:hAnsi="Times New Roman" w:cs="Times New Roman"/>
          <w:sz w:val="24"/>
          <w:szCs w:val="24"/>
        </w:rPr>
        <w:t xml:space="preserve"> carry much</w:t>
      </w:r>
      <w:r w:rsidR="00D4315B" w:rsidRPr="00C33A5F">
        <w:rPr>
          <w:rFonts w:ascii="Times New Roman" w:hAnsi="Times New Roman" w:cs="Times New Roman"/>
          <w:sz w:val="24"/>
          <w:szCs w:val="24"/>
        </w:rPr>
        <w:t xml:space="preserve"> of this burden</w:t>
      </w:r>
      <w:r w:rsidR="007E7DB0" w:rsidRPr="00C33A5F">
        <w:rPr>
          <w:rFonts w:ascii="Times New Roman" w:hAnsi="Times New Roman" w:cs="Times New Roman"/>
          <w:sz w:val="24"/>
          <w:szCs w:val="24"/>
        </w:rPr>
        <w:t>,</w:t>
      </w:r>
      <w:r w:rsidR="00D4315B" w:rsidRPr="00C33A5F">
        <w:rPr>
          <w:rFonts w:ascii="Times New Roman" w:hAnsi="Times New Roman" w:cs="Times New Roman"/>
          <w:sz w:val="24"/>
          <w:szCs w:val="24"/>
        </w:rPr>
        <w:t xml:space="preserve"> </w:t>
      </w:r>
      <w:r w:rsidR="00956E8F" w:rsidRPr="00C33A5F">
        <w:rPr>
          <w:rFonts w:ascii="Times New Roman" w:hAnsi="Times New Roman" w:cs="Times New Roman"/>
          <w:sz w:val="24"/>
          <w:szCs w:val="24"/>
        </w:rPr>
        <w:t xml:space="preserve">other </w:t>
      </w:r>
      <w:r w:rsidR="006115D2" w:rsidRPr="00C33A5F">
        <w:rPr>
          <w:rFonts w:ascii="Times New Roman" w:hAnsi="Times New Roman" w:cs="Times New Roman"/>
          <w:sz w:val="24"/>
          <w:szCs w:val="24"/>
        </w:rPr>
        <w:t>nationalities</w:t>
      </w:r>
      <w:r w:rsidR="00956E8F" w:rsidRPr="00C33A5F">
        <w:rPr>
          <w:rFonts w:ascii="Times New Roman" w:hAnsi="Times New Roman" w:cs="Times New Roman"/>
          <w:sz w:val="24"/>
          <w:szCs w:val="24"/>
        </w:rPr>
        <w:t>, including Europe</w:t>
      </w:r>
      <w:r w:rsidR="005D74C8" w:rsidRPr="00C33A5F">
        <w:rPr>
          <w:rFonts w:ascii="Times New Roman" w:hAnsi="Times New Roman" w:cs="Times New Roman"/>
          <w:sz w:val="24"/>
          <w:szCs w:val="24"/>
        </w:rPr>
        <w:t>an</w:t>
      </w:r>
      <w:r w:rsidR="00B44249" w:rsidRPr="00C33A5F">
        <w:rPr>
          <w:rFonts w:ascii="Times New Roman" w:hAnsi="Times New Roman" w:cs="Times New Roman"/>
          <w:sz w:val="24"/>
          <w:szCs w:val="24"/>
        </w:rPr>
        <w:t>,</w:t>
      </w:r>
      <w:r w:rsidR="005D74C8" w:rsidRPr="00C33A5F">
        <w:rPr>
          <w:rFonts w:ascii="Times New Roman" w:hAnsi="Times New Roman" w:cs="Times New Roman"/>
          <w:sz w:val="24"/>
          <w:szCs w:val="24"/>
        </w:rPr>
        <w:t xml:space="preserve"> will see risk rise</w:t>
      </w:r>
      <w:r w:rsidR="00D4315B" w:rsidRPr="00C33A5F">
        <w:rPr>
          <w:rFonts w:ascii="Times New Roman" w:hAnsi="Times New Roman" w:cs="Times New Roman"/>
          <w:sz w:val="24"/>
          <w:szCs w:val="24"/>
        </w:rPr>
        <w:t xml:space="preserve">. </w:t>
      </w:r>
      <w:r w:rsidR="00A915C4" w:rsidRPr="00C33A5F">
        <w:rPr>
          <w:rFonts w:ascii="Times New Roman" w:hAnsi="Times New Roman" w:cs="Times New Roman"/>
          <w:sz w:val="24"/>
          <w:szCs w:val="24"/>
        </w:rPr>
        <w:t>The</w:t>
      </w:r>
      <w:r w:rsidR="006F6986" w:rsidRPr="00C33A5F">
        <w:rPr>
          <w:rFonts w:ascii="Times New Roman" w:hAnsi="Times New Roman" w:cs="Times New Roman"/>
          <w:sz w:val="24"/>
          <w:szCs w:val="24"/>
        </w:rPr>
        <w:t xml:space="preserve"> morbidity</w:t>
      </w:r>
      <w:r w:rsidR="004F4AEC">
        <w:rPr>
          <w:rFonts w:ascii="Times New Roman" w:hAnsi="Times New Roman" w:cs="Times New Roman"/>
          <w:sz w:val="24"/>
          <w:szCs w:val="24"/>
        </w:rPr>
        <w:t>,</w:t>
      </w:r>
      <w:r w:rsidR="006F6986" w:rsidRPr="00C33A5F">
        <w:rPr>
          <w:rFonts w:ascii="Times New Roman" w:hAnsi="Times New Roman" w:cs="Times New Roman"/>
          <w:sz w:val="24"/>
          <w:szCs w:val="24"/>
        </w:rPr>
        <w:t xml:space="preserve"> </w:t>
      </w:r>
      <w:r w:rsidR="004F4AEC" w:rsidRPr="00C33A5F">
        <w:rPr>
          <w:rFonts w:ascii="Times New Roman" w:hAnsi="Times New Roman" w:cs="Times New Roman"/>
          <w:sz w:val="24"/>
          <w:szCs w:val="24"/>
        </w:rPr>
        <w:t xml:space="preserve">mortality </w:t>
      </w:r>
      <w:r w:rsidR="006F6986" w:rsidRPr="00C33A5F">
        <w:rPr>
          <w:rFonts w:ascii="Times New Roman" w:hAnsi="Times New Roman" w:cs="Times New Roman"/>
          <w:sz w:val="24"/>
          <w:szCs w:val="24"/>
        </w:rPr>
        <w:t xml:space="preserve">and </w:t>
      </w:r>
      <w:r w:rsidR="00C93E3B" w:rsidRPr="00C33A5F">
        <w:rPr>
          <w:rFonts w:ascii="Times New Roman" w:hAnsi="Times New Roman" w:cs="Times New Roman"/>
          <w:sz w:val="24"/>
          <w:szCs w:val="24"/>
        </w:rPr>
        <w:t>cost</w:t>
      </w:r>
      <w:r w:rsidR="006F6986" w:rsidRPr="00C33A5F">
        <w:rPr>
          <w:rFonts w:ascii="Times New Roman" w:hAnsi="Times New Roman" w:cs="Times New Roman"/>
          <w:sz w:val="24"/>
          <w:szCs w:val="24"/>
        </w:rPr>
        <w:t xml:space="preserve"> associated with osteoporotic fracture</w:t>
      </w:r>
      <w:r w:rsidR="00956E8F" w:rsidRPr="00C33A5F">
        <w:rPr>
          <w:rFonts w:ascii="Times New Roman" w:hAnsi="Times New Roman" w:cs="Times New Roman"/>
          <w:sz w:val="24"/>
          <w:szCs w:val="24"/>
        </w:rPr>
        <w:t>s</w:t>
      </w:r>
      <w:r w:rsidR="00C93E3B" w:rsidRPr="00C33A5F">
        <w:rPr>
          <w:rFonts w:ascii="Times New Roman" w:hAnsi="Times New Roman" w:cs="Times New Roman"/>
          <w:sz w:val="24"/>
          <w:szCs w:val="24"/>
        </w:rPr>
        <w:t>,</w:t>
      </w:r>
      <w:r w:rsidR="006F6986" w:rsidRPr="00C33A5F">
        <w:rPr>
          <w:rFonts w:ascii="Times New Roman" w:hAnsi="Times New Roman" w:cs="Times New Roman"/>
          <w:sz w:val="24"/>
          <w:szCs w:val="24"/>
        </w:rPr>
        <w:t xml:space="preserve"> and the availability of effective pharmacological treatments for </w:t>
      </w:r>
      <w:r w:rsidR="00CA5972" w:rsidRPr="00C33A5F">
        <w:rPr>
          <w:rFonts w:ascii="Times New Roman" w:hAnsi="Times New Roman" w:cs="Times New Roman"/>
          <w:sz w:val="24"/>
          <w:szCs w:val="24"/>
        </w:rPr>
        <w:t xml:space="preserve">prevention and </w:t>
      </w:r>
      <w:proofErr w:type="gramStart"/>
      <w:r w:rsidR="00CA5972" w:rsidRPr="00C33A5F">
        <w:rPr>
          <w:rFonts w:ascii="Times New Roman" w:hAnsi="Times New Roman" w:cs="Times New Roman"/>
          <w:sz w:val="24"/>
          <w:szCs w:val="24"/>
        </w:rPr>
        <w:t>management</w:t>
      </w:r>
      <w:r w:rsidR="00DB0393">
        <w:rPr>
          <w:rFonts w:ascii="Times New Roman" w:hAnsi="Times New Roman" w:cs="Times New Roman"/>
          <w:sz w:val="24"/>
          <w:szCs w:val="24"/>
        </w:rPr>
        <w:t>[</w:t>
      </w:r>
      <w:proofErr w:type="gramEnd"/>
      <w:r w:rsidR="00DB0393">
        <w:rPr>
          <w:rFonts w:ascii="Times New Roman" w:hAnsi="Times New Roman" w:cs="Times New Roman"/>
          <w:sz w:val="24"/>
          <w:szCs w:val="24"/>
        </w:rPr>
        <w:t>2-4]</w:t>
      </w:r>
      <w:r w:rsidR="00DB0393">
        <w:rPr>
          <w:rFonts w:ascii="Times New Roman" w:hAnsi="Times New Roman" w:cs="Times New Roman"/>
          <w:sz w:val="24"/>
          <w:szCs w:val="24"/>
          <w:vertAlign w:val="superscript"/>
        </w:rPr>
        <w:t xml:space="preserve"> </w:t>
      </w:r>
      <w:r w:rsidR="0054305F" w:rsidRPr="00C33A5F">
        <w:rPr>
          <w:rFonts w:ascii="Times New Roman" w:hAnsi="Times New Roman" w:cs="Times New Roman"/>
          <w:sz w:val="24"/>
          <w:szCs w:val="24"/>
        </w:rPr>
        <w:t>highlights</w:t>
      </w:r>
      <w:r w:rsidR="00A915C4" w:rsidRPr="00C33A5F">
        <w:rPr>
          <w:rFonts w:ascii="Times New Roman" w:hAnsi="Times New Roman" w:cs="Times New Roman"/>
          <w:sz w:val="24"/>
          <w:szCs w:val="24"/>
        </w:rPr>
        <w:t xml:space="preserve"> the importance of identification and treatm</w:t>
      </w:r>
      <w:r w:rsidR="007D2FCE" w:rsidRPr="00C33A5F">
        <w:rPr>
          <w:rFonts w:ascii="Times New Roman" w:hAnsi="Times New Roman" w:cs="Times New Roman"/>
          <w:sz w:val="24"/>
          <w:szCs w:val="24"/>
        </w:rPr>
        <w:t>ent of ‘</w:t>
      </w:r>
      <w:r w:rsidR="0054305F" w:rsidRPr="00C33A5F">
        <w:rPr>
          <w:rFonts w:ascii="Times New Roman" w:hAnsi="Times New Roman" w:cs="Times New Roman"/>
          <w:sz w:val="24"/>
          <w:szCs w:val="24"/>
        </w:rPr>
        <w:t>high-</w:t>
      </w:r>
      <w:r w:rsidR="00AB52F2" w:rsidRPr="00C33A5F">
        <w:rPr>
          <w:rFonts w:ascii="Times New Roman" w:hAnsi="Times New Roman" w:cs="Times New Roman"/>
          <w:sz w:val="24"/>
          <w:szCs w:val="24"/>
        </w:rPr>
        <w:t>risk</w:t>
      </w:r>
      <w:r w:rsidR="007D2FCE" w:rsidRPr="00C33A5F">
        <w:rPr>
          <w:rFonts w:ascii="Times New Roman" w:hAnsi="Times New Roman" w:cs="Times New Roman"/>
          <w:sz w:val="24"/>
          <w:szCs w:val="24"/>
        </w:rPr>
        <w:t>’ individuals</w:t>
      </w:r>
      <w:r w:rsidR="00AB52F2" w:rsidRPr="00C33A5F">
        <w:rPr>
          <w:rFonts w:ascii="Times New Roman" w:hAnsi="Times New Roman" w:cs="Times New Roman"/>
          <w:sz w:val="24"/>
          <w:szCs w:val="24"/>
        </w:rPr>
        <w:t xml:space="preserve">. </w:t>
      </w:r>
      <w:r w:rsidR="00457C14" w:rsidRPr="00C33A5F">
        <w:rPr>
          <w:rFonts w:ascii="Times New Roman" w:hAnsi="Times New Roman" w:cs="Times New Roman"/>
          <w:sz w:val="24"/>
          <w:szCs w:val="24"/>
        </w:rPr>
        <w:t>Yet</w:t>
      </w:r>
      <w:r w:rsidR="00515D43" w:rsidRPr="00C33A5F">
        <w:rPr>
          <w:rFonts w:ascii="Times New Roman" w:hAnsi="Times New Roman" w:cs="Times New Roman"/>
          <w:sz w:val="24"/>
          <w:szCs w:val="24"/>
        </w:rPr>
        <w:t>,</w:t>
      </w:r>
      <w:r w:rsidR="00AB52F2" w:rsidRPr="00C33A5F">
        <w:rPr>
          <w:rFonts w:ascii="Times New Roman" w:hAnsi="Times New Roman" w:cs="Times New Roman"/>
          <w:sz w:val="24"/>
          <w:szCs w:val="24"/>
        </w:rPr>
        <w:t xml:space="preserve"> </w:t>
      </w:r>
      <w:r w:rsidR="00D40338" w:rsidRPr="00C33A5F">
        <w:rPr>
          <w:rFonts w:ascii="Times New Roman" w:hAnsi="Times New Roman" w:cs="Times New Roman"/>
          <w:sz w:val="24"/>
          <w:szCs w:val="24"/>
        </w:rPr>
        <w:t>c</w:t>
      </w:r>
      <w:r w:rsidR="007D2FCE" w:rsidRPr="00C33A5F">
        <w:rPr>
          <w:rFonts w:ascii="Times New Roman" w:hAnsi="Times New Roman" w:cs="Times New Roman"/>
          <w:sz w:val="24"/>
          <w:szCs w:val="24"/>
        </w:rPr>
        <w:t xml:space="preserve">urrent </w:t>
      </w:r>
      <w:r w:rsidR="00A63797" w:rsidRPr="00C33A5F">
        <w:rPr>
          <w:rFonts w:ascii="Times New Roman" w:hAnsi="Times New Roman" w:cs="Times New Roman"/>
          <w:sz w:val="24"/>
          <w:szCs w:val="24"/>
        </w:rPr>
        <w:t xml:space="preserve">healthcare </w:t>
      </w:r>
      <w:r w:rsidR="00C74FA8" w:rsidRPr="00C33A5F">
        <w:rPr>
          <w:rFonts w:ascii="Times New Roman" w:hAnsi="Times New Roman" w:cs="Times New Roman"/>
          <w:sz w:val="24"/>
          <w:szCs w:val="24"/>
        </w:rPr>
        <w:t>provision</w:t>
      </w:r>
      <w:r w:rsidR="008C0D21" w:rsidRPr="00C33A5F">
        <w:rPr>
          <w:rFonts w:ascii="Times New Roman" w:hAnsi="Times New Roman" w:cs="Times New Roman"/>
          <w:sz w:val="24"/>
          <w:szCs w:val="24"/>
        </w:rPr>
        <w:t xml:space="preserve"> </w:t>
      </w:r>
      <w:r w:rsidR="00DA4B9B" w:rsidRPr="00C33A5F">
        <w:rPr>
          <w:rFonts w:ascii="Times New Roman" w:hAnsi="Times New Roman" w:cs="Times New Roman"/>
          <w:sz w:val="24"/>
          <w:szCs w:val="24"/>
        </w:rPr>
        <w:t>is</w:t>
      </w:r>
      <w:r w:rsidR="008C0D21" w:rsidRPr="00C33A5F">
        <w:rPr>
          <w:rFonts w:ascii="Times New Roman" w:hAnsi="Times New Roman" w:cs="Times New Roman"/>
          <w:sz w:val="24"/>
          <w:szCs w:val="24"/>
        </w:rPr>
        <w:t xml:space="preserve"> </w:t>
      </w:r>
      <w:r w:rsidR="00F15FBB" w:rsidRPr="00C33A5F">
        <w:rPr>
          <w:rFonts w:ascii="Times New Roman" w:hAnsi="Times New Roman" w:cs="Times New Roman"/>
          <w:sz w:val="24"/>
          <w:szCs w:val="24"/>
        </w:rPr>
        <w:t xml:space="preserve">insufficient </w:t>
      </w:r>
      <w:r w:rsidR="00AB52F2" w:rsidRPr="00C33A5F">
        <w:rPr>
          <w:rFonts w:ascii="Times New Roman" w:hAnsi="Times New Roman" w:cs="Times New Roman"/>
          <w:sz w:val="24"/>
          <w:szCs w:val="24"/>
        </w:rPr>
        <w:t>and m</w:t>
      </w:r>
      <w:r w:rsidR="00E60265" w:rsidRPr="00C33A5F">
        <w:rPr>
          <w:rFonts w:ascii="Times New Roman" w:hAnsi="Times New Roman" w:cs="Times New Roman"/>
          <w:sz w:val="24"/>
          <w:szCs w:val="24"/>
        </w:rPr>
        <w:t xml:space="preserve">any people </w:t>
      </w:r>
      <w:r w:rsidR="00A63797" w:rsidRPr="00C33A5F">
        <w:rPr>
          <w:rFonts w:ascii="Times New Roman" w:hAnsi="Times New Roman" w:cs="Times New Roman"/>
          <w:sz w:val="24"/>
          <w:szCs w:val="24"/>
        </w:rPr>
        <w:t>at high-</w:t>
      </w:r>
      <w:r w:rsidR="00A915C4" w:rsidRPr="00C33A5F">
        <w:rPr>
          <w:rFonts w:ascii="Times New Roman" w:hAnsi="Times New Roman" w:cs="Times New Roman"/>
          <w:sz w:val="24"/>
          <w:szCs w:val="24"/>
        </w:rPr>
        <w:t xml:space="preserve">risk of </w:t>
      </w:r>
      <w:r w:rsidR="00396A00" w:rsidRPr="00C33A5F">
        <w:rPr>
          <w:rFonts w:ascii="Times New Roman" w:hAnsi="Times New Roman" w:cs="Times New Roman"/>
          <w:sz w:val="24"/>
          <w:szCs w:val="24"/>
        </w:rPr>
        <w:t xml:space="preserve">osteoporotic </w:t>
      </w:r>
      <w:r w:rsidR="00A915C4" w:rsidRPr="00C33A5F">
        <w:rPr>
          <w:rFonts w:ascii="Times New Roman" w:hAnsi="Times New Roman" w:cs="Times New Roman"/>
          <w:sz w:val="24"/>
          <w:szCs w:val="24"/>
        </w:rPr>
        <w:t xml:space="preserve">fracture are </w:t>
      </w:r>
      <w:r w:rsidR="007D2FCE" w:rsidRPr="00C33A5F">
        <w:rPr>
          <w:rFonts w:ascii="Times New Roman" w:hAnsi="Times New Roman" w:cs="Times New Roman"/>
          <w:sz w:val="24"/>
          <w:szCs w:val="24"/>
        </w:rPr>
        <w:t>neither</w:t>
      </w:r>
      <w:r w:rsidR="003B3249" w:rsidRPr="00C33A5F">
        <w:rPr>
          <w:rFonts w:ascii="Times New Roman" w:hAnsi="Times New Roman" w:cs="Times New Roman"/>
          <w:sz w:val="24"/>
          <w:szCs w:val="24"/>
        </w:rPr>
        <w:t xml:space="preserve"> </w:t>
      </w:r>
      <w:r w:rsidR="00A915C4" w:rsidRPr="00C33A5F">
        <w:rPr>
          <w:rFonts w:ascii="Times New Roman" w:hAnsi="Times New Roman" w:cs="Times New Roman"/>
          <w:sz w:val="24"/>
          <w:szCs w:val="24"/>
        </w:rPr>
        <w:t xml:space="preserve">identified </w:t>
      </w:r>
      <w:r w:rsidR="00B75EAF" w:rsidRPr="00C33A5F">
        <w:rPr>
          <w:rFonts w:ascii="Times New Roman" w:hAnsi="Times New Roman" w:cs="Times New Roman"/>
          <w:sz w:val="24"/>
          <w:szCs w:val="24"/>
        </w:rPr>
        <w:t>n</w:t>
      </w:r>
      <w:r w:rsidR="007D2FCE" w:rsidRPr="00C33A5F">
        <w:rPr>
          <w:rFonts w:ascii="Times New Roman" w:hAnsi="Times New Roman" w:cs="Times New Roman"/>
          <w:sz w:val="24"/>
          <w:szCs w:val="24"/>
        </w:rPr>
        <w:t>or</w:t>
      </w:r>
      <w:r w:rsidR="002C7508" w:rsidRPr="00C33A5F">
        <w:rPr>
          <w:rFonts w:ascii="Times New Roman" w:hAnsi="Times New Roman" w:cs="Times New Roman"/>
          <w:sz w:val="24"/>
          <w:szCs w:val="24"/>
        </w:rPr>
        <w:t xml:space="preserve"> </w:t>
      </w:r>
      <w:r w:rsidR="00BB459D" w:rsidRPr="00C33A5F">
        <w:rPr>
          <w:rFonts w:ascii="Times New Roman" w:hAnsi="Times New Roman" w:cs="Times New Roman"/>
          <w:sz w:val="24"/>
          <w:szCs w:val="24"/>
        </w:rPr>
        <w:t>receive</w:t>
      </w:r>
      <w:r w:rsidR="00CF387C" w:rsidRPr="00C33A5F">
        <w:rPr>
          <w:rFonts w:ascii="Times New Roman" w:hAnsi="Times New Roman" w:cs="Times New Roman"/>
          <w:sz w:val="24"/>
          <w:szCs w:val="24"/>
        </w:rPr>
        <w:t xml:space="preserve"> </w:t>
      </w:r>
      <w:proofErr w:type="gramStart"/>
      <w:r w:rsidR="00CF387C" w:rsidRPr="00C33A5F">
        <w:rPr>
          <w:rFonts w:ascii="Times New Roman" w:hAnsi="Times New Roman" w:cs="Times New Roman"/>
          <w:sz w:val="24"/>
          <w:szCs w:val="24"/>
        </w:rPr>
        <w:t>treatment</w:t>
      </w:r>
      <w:r w:rsidR="00DB0393">
        <w:rPr>
          <w:rFonts w:ascii="Times New Roman" w:hAnsi="Times New Roman" w:cs="Times New Roman"/>
          <w:sz w:val="24"/>
          <w:szCs w:val="24"/>
        </w:rPr>
        <w:t>[</w:t>
      </w:r>
      <w:proofErr w:type="gramEnd"/>
      <w:r w:rsidR="00DB0393">
        <w:rPr>
          <w:rFonts w:ascii="Times New Roman" w:hAnsi="Times New Roman" w:cs="Times New Roman"/>
          <w:sz w:val="24"/>
          <w:szCs w:val="24"/>
        </w:rPr>
        <w:t>5-7]</w:t>
      </w:r>
      <w:r w:rsidR="00F97F61" w:rsidRPr="00C33A5F">
        <w:rPr>
          <w:rFonts w:ascii="Times New Roman" w:hAnsi="Times New Roman" w:cs="Times New Roman"/>
          <w:sz w:val="24"/>
          <w:szCs w:val="24"/>
        </w:rPr>
        <w:t xml:space="preserve">. </w:t>
      </w:r>
    </w:p>
    <w:p w14:paraId="63DFB4D5" w14:textId="77777777" w:rsidR="00F97F61" w:rsidRPr="00C33A5F" w:rsidRDefault="00F97F61" w:rsidP="000957C3">
      <w:pPr>
        <w:spacing w:after="0" w:line="480" w:lineRule="auto"/>
        <w:jc w:val="both"/>
        <w:rPr>
          <w:rFonts w:ascii="Times New Roman" w:hAnsi="Times New Roman" w:cs="Times New Roman"/>
          <w:sz w:val="24"/>
          <w:szCs w:val="24"/>
        </w:rPr>
      </w:pPr>
    </w:p>
    <w:p w14:paraId="18294E3C" w14:textId="77777777" w:rsidR="00C401CB" w:rsidRPr="00C33A5F" w:rsidRDefault="00C92E47" w:rsidP="000957C3">
      <w:pPr>
        <w:spacing w:after="0" w:line="480" w:lineRule="auto"/>
        <w:jc w:val="both"/>
        <w:rPr>
          <w:rFonts w:ascii="Times New Roman" w:hAnsi="Times New Roman" w:cs="Times New Roman"/>
          <w:sz w:val="24"/>
          <w:szCs w:val="24"/>
        </w:rPr>
      </w:pPr>
      <w:r w:rsidRPr="00C33A5F">
        <w:rPr>
          <w:rFonts w:ascii="Times New Roman" w:hAnsi="Times New Roman" w:cs="Times New Roman"/>
          <w:sz w:val="24"/>
          <w:szCs w:val="24"/>
        </w:rPr>
        <w:t>Alongside</w:t>
      </w:r>
      <w:r w:rsidR="00E60265" w:rsidRPr="00C33A5F">
        <w:rPr>
          <w:rFonts w:ascii="Times New Roman" w:hAnsi="Times New Roman" w:cs="Times New Roman"/>
          <w:sz w:val="24"/>
          <w:szCs w:val="24"/>
        </w:rPr>
        <w:t xml:space="preserve"> </w:t>
      </w:r>
      <w:r w:rsidR="00EC7D99" w:rsidRPr="00C33A5F">
        <w:rPr>
          <w:rFonts w:ascii="Times New Roman" w:hAnsi="Times New Roman" w:cs="Times New Roman"/>
          <w:sz w:val="24"/>
          <w:szCs w:val="24"/>
        </w:rPr>
        <w:t>pharmacologic agent</w:t>
      </w:r>
      <w:r w:rsidR="00273D1D" w:rsidRPr="00C33A5F">
        <w:rPr>
          <w:rFonts w:ascii="Times New Roman" w:hAnsi="Times New Roman" w:cs="Times New Roman"/>
          <w:sz w:val="24"/>
          <w:szCs w:val="24"/>
        </w:rPr>
        <w:t>s</w:t>
      </w:r>
      <w:r w:rsidRPr="00C33A5F">
        <w:rPr>
          <w:rFonts w:ascii="Times New Roman" w:hAnsi="Times New Roman" w:cs="Times New Roman"/>
          <w:sz w:val="24"/>
          <w:szCs w:val="24"/>
        </w:rPr>
        <w:t>, non</w:t>
      </w:r>
      <w:r w:rsidR="005407D6" w:rsidRPr="00C33A5F">
        <w:rPr>
          <w:rFonts w:ascii="Times New Roman" w:hAnsi="Times New Roman" w:cs="Times New Roman"/>
          <w:sz w:val="24"/>
          <w:szCs w:val="24"/>
        </w:rPr>
        <w:t xml:space="preserve">-pharmacological </w:t>
      </w:r>
      <w:r w:rsidR="00A407B2" w:rsidRPr="00C33A5F">
        <w:rPr>
          <w:rFonts w:ascii="Times New Roman" w:hAnsi="Times New Roman" w:cs="Times New Roman"/>
          <w:sz w:val="24"/>
          <w:szCs w:val="24"/>
        </w:rPr>
        <w:t xml:space="preserve">interventions, such as exercise, </w:t>
      </w:r>
      <w:r w:rsidR="00702B69" w:rsidRPr="00C33A5F">
        <w:rPr>
          <w:rFonts w:ascii="Times New Roman" w:hAnsi="Times New Roman" w:cs="Times New Roman"/>
          <w:sz w:val="24"/>
          <w:szCs w:val="24"/>
        </w:rPr>
        <w:t>fall prevention measures</w:t>
      </w:r>
      <w:r w:rsidR="00955180" w:rsidRPr="00C33A5F">
        <w:rPr>
          <w:rFonts w:ascii="Times New Roman" w:hAnsi="Times New Roman" w:cs="Times New Roman"/>
          <w:sz w:val="24"/>
          <w:szCs w:val="24"/>
        </w:rPr>
        <w:t xml:space="preserve"> </w:t>
      </w:r>
      <w:r w:rsidR="004D0A1E" w:rsidRPr="00C33A5F">
        <w:rPr>
          <w:rFonts w:ascii="Times New Roman" w:hAnsi="Times New Roman" w:cs="Times New Roman"/>
          <w:sz w:val="24"/>
          <w:szCs w:val="24"/>
        </w:rPr>
        <w:t xml:space="preserve">and adequate </w:t>
      </w:r>
      <w:r w:rsidR="00A25312" w:rsidRPr="00C33A5F">
        <w:rPr>
          <w:rFonts w:ascii="Times New Roman" w:hAnsi="Times New Roman" w:cs="Times New Roman"/>
          <w:sz w:val="24"/>
          <w:szCs w:val="24"/>
        </w:rPr>
        <w:t>intake of key</w:t>
      </w:r>
      <w:r w:rsidR="004D0A1E" w:rsidRPr="00C33A5F">
        <w:rPr>
          <w:rFonts w:ascii="Times New Roman" w:hAnsi="Times New Roman" w:cs="Times New Roman"/>
          <w:sz w:val="24"/>
          <w:szCs w:val="24"/>
        </w:rPr>
        <w:t xml:space="preserve"> nu</w:t>
      </w:r>
      <w:r w:rsidR="00A25312" w:rsidRPr="00C33A5F">
        <w:rPr>
          <w:rFonts w:ascii="Times New Roman" w:hAnsi="Times New Roman" w:cs="Times New Roman"/>
          <w:sz w:val="24"/>
          <w:szCs w:val="24"/>
        </w:rPr>
        <w:t>tri</w:t>
      </w:r>
      <w:r w:rsidR="004D0A1E" w:rsidRPr="00C33A5F">
        <w:rPr>
          <w:rFonts w:ascii="Times New Roman" w:hAnsi="Times New Roman" w:cs="Times New Roman"/>
          <w:sz w:val="24"/>
          <w:szCs w:val="24"/>
        </w:rPr>
        <w:t xml:space="preserve">ents </w:t>
      </w:r>
      <w:r w:rsidR="003A2197" w:rsidRPr="00C33A5F">
        <w:rPr>
          <w:rFonts w:ascii="Times New Roman" w:hAnsi="Times New Roman" w:cs="Times New Roman"/>
          <w:sz w:val="24"/>
          <w:szCs w:val="24"/>
        </w:rPr>
        <w:t>are important</w:t>
      </w:r>
      <w:r w:rsidR="00E5342D" w:rsidRPr="00C33A5F">
        <w:rPr>
          <w:rFonts w:ascii="Times New Roman" w:hAnsi="Times New Roman" w:cs="Times New Roman"/>
          <w:sz w:val="24"/>
          <w:szCs w:val="24"/>
        </w:rPr>
        <w:t xml:space="preserve"> in the prevention and management of </w:t>
      </w:r>
      <w:proofErr w:type="gramStart"/>
      <w:r w:rsidR="005F4690" w:rsidRPr="00C33A5F">
        <w:rPr>
          <w:rFonts w:ascii="Times New Roman" w:hAnsi="Times New Roman" w:cs="Times New Roman"/>
          <w:sz w:val="24"/>
          <w:szCs w:val="24"/>
        </w:rPr>
        <w:t>osteoporosis</w:t>
      </w:r>
      <w:r w:rsidR="00DB0393">
        <w:rPr>
          <w:rFonts w:ascii="Times New Roman" w:hAnsi="Times New Roman" w:cs="Times New Roman"/>
          <w:sz w:val="24"/>
          <w:szCs w:val="24"/>
        </w:rPr>
        <w:t>[</w:t>
      </w:r>
      <w:proofErr w:type="gramEnd"/>
      <w:r w:rsidR="00DB0393">
        <w:rPr>
          <w:rFonts w:ascii="Times New Roman" w:hAnsi="Times New Roman" w:cs="Times New Roman"/>
          <w:sz w:val="24"/>
          <w:szCs w:val="24"/>
        </w:rPr>
        <w:t>8-10]</w:t>
      </w:r>
      <w:r w:rsidR="004B1128" w:rsidRPr="00C33A5F">
        <w:rPr>
          <w:rFonts w:ascii="Times New Roman" w:hAnsi="Times New Roman" w:cs="Times New Roman"/>
          <w:sz w:val="24"/>
          <w:szCs w:val="24"/>
        </w:rPr>
        <w:t>.</w:t>
      </w:r>
      <w:r w:rsidR="00E36CA1">
        <w:rPr>
          <w:rFonts w:ascii="Times New Roman" w:eastAsia="Calibri" w:hAnsi="Times New Roman" w:cs="Times New Roman"/>
          <w:sz w:val="24"/>
          <w:szCs w:val="24"/>
        </w:rPr>
        <w:t xml:space="preserve"> Two previous</w:t>
      </w:r>
      <w:r w:rsidR="004B1128" w:rsidRPr="00C33A5F">
        <w:rPr>
          <w:rFonts w:ascii="Times New Roman" w:eastAsia="Calibri" w:hAnsi="Times New Roman" w:cs="Times New Roman"/>
          <w:sz w:val="24"/>
          <w:szCs w:val="24"/>
        </w:rPr>
        <w:t xml:space="preserve"> systematic reviews reported some evidence that </w:t>
      </w:r>
      <w:r w:rsidR="008A6EF4" w:rsidRPr="00C33A5F">
        <w:rPr>
          <w:rFonts w:ascii="Times New Roman" w:eastAsia="Calibri" w:hAnsi="Times New Roman" w:cs="Times New Roman"/>
          <w:sz w:val="24"/>
          <w:szCs w:val="24"/>
        </w:rPr>
        <w:t xml:space="preserve">interventions delivered by </w:t>
      </w:r>
      <w:r w:rsidR="004B1128" w:rsidRPr="00C33A5F">
        <w:rPr>
          <w:rFonts w:ascii="Times New Roman" w:eastAsia="Calibri" w:hAnsi="Times New Roman" w:cs="Times New Roman"/>
          <w:sz w:val="24"/>
          <w:szCs w:val="24"/>
        </w:rPr>
        <w:t>dietitians, nurses, physiotherapists and pharmacists, working alone or in multidisciplinary teams, can positively influence</w:t>
      </w:r>
      <w:r w:rsidR="00864818" w:rsidRPr="00C33A5F">
        <w:rPr>
          <w:rFonts w:ascii="Times New Roman" w:eastAsia="Calibri" w:hAnsi="Times New Roman" w:cs="Times New Roman"/>
          <w:sz w:val="24"/>
          <w:szCs w:val="24"/>
        </w:rPr>
        <w:t xml:space="preserve"> health-</w:t>
      </w:r>
      <w:r w:rsidR="004B1128" w:rsidRPr="00C33A5F">
        <w:rPr>
          <w:rFonts w:ascii="Times New Roman" w:eastAsia="Calibri" w:hAnsi="Times New Roman" w:cs="Times New Roman"/>
          <w:sz w:val="24"/>
          <w:szCs w:val="24"/>
        </w:rPr>
        <w:t>related outcomes for people with</w:t>
      </w:r>
      <w:r w:rsidR="005F4690" w:rsidRPr="00C33A5F">
        <w:rPr>
          <w:rFonts w:ascii="Times New Roman" w:eastAsia="Calibri" w:hAnsi="Times New Roman" w:cs="Times New Roman"/>
          <w:sz w:val="24"/>
          <w:szCs w:val="24"/>
        </w:rPr>
        <w:t>,</w:t>
      </w:r>
      <w:r w:rsidR="004B1128" w:rsidRPr="00C33A5F">
        <w:rPr>
          <w:rFonts w:ascii="Times New Roman" w:eastAsia="Calibri" w:hAnsi="Times New Roman" w:cs="Times New Roman"/>
          <w:sz w:val="24"/>
          <w:szCs w:val="24"/>
        </w:rPr>
        <w:t xml:space="preserve"> or at risk of osteoporosis, including quality of life</w:t>
      </w:r>
      <w:r w:rsidR="009F4759" w:rsidRPr="00C33A5F">
        <w:rPr>
          <w:rFonts w:ascii="Times New Roman" w:eastAsia="Calibri" w:hAnsi="Times New Roman" w:cs="Times New Roman"/>
          <w:sz w:val="24"/>
          <w:szCs w:val="24"/>
        </w:rPr>
        <w:t xml:space="preserve"> (QoL)</w:t>
      </w:r>
      <w:r w:rsidR="004B1128" w:rsidRPr="00C33A5F">
        <w:rPr>
          <w:rFonts w:ascii="Times New Roman" w:eastAsia="Calibri" w:hAnsi="Times New Roman" w:cs="Times New Roman"/>
          <w:sz w:val="24"/>
          <w:szCs w:val="24"/>
        </w:rPr>
        <w:t>, calcium intake, medica</w:t>
      </w:r>
      <w:r w:rsidR="00400373" w:rsidRPr="00C33A5F">
        <w:rPr>
          <w:rFonts w:ascii="Times New Roman" w:eastAsia="Calibri" w:hAnsi="Times New Roman" w:cs="Times New Roman"/>
          <w:sz w:val="24"/>
          <w:szCs w:val="24"/>
        </w:rPr>
        <w:t xml:space="preserve">tion </w:t>
      </w:r>
      <w:r w:rsidR="00682FB8" w:rsidRPr="00C33A5F">
        <w:rPr>
          <w:rFonts w:ascii="Times New Roman" w:eastAsia="Calibri" w:hAnsi="Times New Roman" w:cs="Times New Roman"/>
          <w:sz w:val="24"/>
          <w:szCs w:val="24"/>
        </w:rPr>
        <w:t>compliance</w:t>
      </w:r>
      <w:r w:rsidR="00400373" w:rsidRPr="00C33A5F">
        <w:rPr>
          <w:rFonts w:ascii="Times New Roman" w:eastAsia="Calibri" w:hAnsi="Times New Roman" w:cs="Times New Roman"/>
          <w:sz w:val="24"/>
          <w:szCs w:val="24"/>
        </w:rPr>
        <w:t xml:space="preserve"> and </w:t>
      </w:r>
      <w:r w:rsidR="00434164" w:rsidRPr="00C33A5F">
        <w:rPr>
          <w:rFonts w:ascii="Times New Roman" w:eastAsia="Calibri" w:hAnsi="Times New Roman" w:cs="Times New Roman"/>
          <w:sz w:val="24"/>
          <w:szCs w:val="24"/>
        </w:rPr>
        <w:t>bone mineral density (</w:t>
      </w:r>
      <w:r w:rsidR="00400373" w:rsidRPr="00C33A5F">
        <w:rPr>
          <w:rFonts w:ascii="Times New Roman" w:eastAsia="Calibri" w:hAnsi="Times New Roman" w:cs="Times New Roman"/>
          <w:sz w:val="24"/>
          <w:szCs w:val="24"/>
        </w:rPr>
        <w:t>BMD</w:t>
      </w:r>
      <w:r w:rsidR="00434164" w:rsidRPr="00C33A5F">
        <w:rPr>
          <w:rFonts w:ascii="Times New Roman" w:eastAsia="Calibri" w:hAnsi="Times New Roman" w:cs="Times New Roman"/>
          <w:sz w:val="24"/>
          <w:szCs w:val="24"/>
        </w:rPr>
        <w:t>)</w:t>
      </w:r>
      <w:r w:rsidR="00CF387C" w:rsidRPr="00C33A5F">
        <w:rPr>
          <w:rFonts w:ascii="Times New Roman" w:eastAsia="Calibri" w:hAnsi="Times New Roman" w:cs="Times New Roman"/>
          <w:sz w:val="24"/>
          <w:szCs w:val="24"/>
        </w:rPr>
        <w:t xml:space="preserve"> testing</w:t>
      </w:r>
      <w:r w:rsidR="00DB0393">
        <w:rPr>
          <w:rFonts w:ascii="Times New Roman" w:eastAsia="Calibri" w:hAnsi="Times New Roman" w:cs="Times New Roman"/>
          <w:sz w:val="24"/>
          <w:szCs w:val="24"/>
        </w:rPr>
        <w:t>[11,12]</w:t>
      </w:r>
      <w:r w:rsidR="00C401CB" w:rsidRPr="00C33A5F">
        <w:rPr>
          <w:rFonts w:ascii="Times New Roman" w:hAnsi="Times New Roman" w:cs="Times New Roman"/>
          <w:sz w:val="24"/>
          <w:szCs w:val="24"/>
        </w:rPr>
        <w:t xml:space="preserve">. </w:t>
      </w:r>
    </w:p>
    <w:p w14:paraId="03AB1B22" w14:textId="77777777" w:rsidR="00C401CB" w:rsidRPr="00C33A5F" w:rsidRDefault="00C401CB" w:rsidP="000957C3">
      <w:pPr>
        <w:spacing w:after="0" w:line="480" w:lineRule="auto"/>
        <w:jc w:val="both"/>
        <w:rPr>
          <w:rFonts w:ascii="Times New Roman" w:hAnsi="Times New Roman" w:cs="Times New Roman"/>
          <w:sz w:val="24"/>
          <w:szCs w:val="24"/>
        </w:rPr>
      </w:pPr>
    </w:p>
    <w:p w14:paraId="563C97D4" w14:textId="77777777" w:rsidR="00E46FBE" w:rsidRPr="00C33A5F" w:rsidRDefault="0054305F" w:rsidP="000957C3">
      <w:pPr>
        <w:spacing w:after="0" w:line="480" w:lineRule="auto"/>
        <w:jc w:val="both"/>
        <w:rPr>
          <w:rFonts w:ascii="Times New Roman" w:hAnsi="Times New Roman" w:cs="Times New Roman"/>
          <w:sz w:val="24"/>
          <w:szCs w:val="24"/>
        </w:rPr>
      </w:pPr>
      <w:r w:rsidRPr="00C33A5F">
        <w:rPr>
          <w:rFonts w:ascii="Times New Roman" w:eastAsia="Calibri" w:hAnsi="Times New Roman" w:cs="Times New Roman"/>
          <w:sz w:val="24"/>
          <w:szCs w:val="24"/>
        </w:rPr>
        <w:t>Yet</w:t>
      </w:r>
      <w:r w:rsidR="004715E5" w:rsidRPr="00C33A5F">
        <w:rPr>
          <w:rFonts w:ascii="Times New Roman" w:eastAsia="Calibri" w:hAnsi="Times New Roman" w:cs="Times New Roman"/>
          <w:sz w:val="24"/>
          <w:szCs w:val="24"/>
        </w:rPr>
        <w:t>,</w:t>
      </w:r>
      <w:r w:rsidRPr="00C33A5F">
        <w:rPr>
          <w:rFonts w:ascii="Times New Roman" w:eastAsia="Calibri" w:hAnsi="Times New Roman" w:cs="Times New Roman"/>
          <w:sz w:val="24"/>
          <w:szCs w:val="24"/>
        </w:rPr>
        <w:t xml:space="preserve"> d</w:t>
      </w:r>
      <w:r w:rsidR="00702B69" w:rsidRPr="00C33A5F">
        <w:rPr>
          <w:rFonts w:ascii="Times New Roman" w:eastAsia="Calibri" w:hAnsi="Times New Roman" w:cs="Times New Roman"/>
          <w:sz w:val="24"/>
          <w:szCs w:val="24"/>
        </w:rPr>
        <w:t>espite</w:t>
      </w:r>
      <w:r w:rsidR="0024172D" w:rsidRPr="00C33A5F">
        <w:rPr>
          <w:rFonts w:ascii="Times New Roman" w:eastAsia="Calibri" w:hAnsi="Times New Roman" w:cs="Times New Roman"/>
          <w:sz w:val="24"/>
          <w:szCs w:val="24"/>
        </w:rPr>
        <w:t xml:space="preserve"> </w:t>
      </w:r>
      <w:r w:rsidR="00BB459D" w:rsidRPr="00C33A5F">
        <w:rPr>
          <w:rFonts w:ascii="Times New Roman" w:eastAsia="Calibri" w:hAnsi="Times New Roman" w:cs="Times New Roman"/>
          <w:sz w:val="24"/>
          <w:szCs w:val="24"/>
        </w:rPr>
        <w:t>e</w:t>
      </w:r>
      <w:r w:rsidR="00C401CB" w:rsidRPr="00C33A5F">
        <w:rPr>
          <w:rFonts w:ascii="Times New Roman" w:eastAsia="Calibri" w:hAnsi="Times New Roman" w:cs="Times New Roman"/>
          <w:sz w:val="24"/>
          <w:szCs w:val="24"/>
        </w:rPr>
        <w:t>vidence</w:t>
      </w:r>
      <w:r w:rsidR="00E46FBE" w:rsidRPr="00C33A5F">
        <w:rPr>
          <w:rFonts w:ascii="Times New Roman" w:eastAsia="Calibri" w:hAnsi="Times New Roman" w:cs="Times New Roman"/>
          <w:sz w:val="24"/>
          <w:szCs w:val="24"/>
        </w:rPr>
        <w:t xml:space="preserve"> for the effectiveness of interventions provided by </w:t>
      </w:r>
      <w:r w:rsidR="0024172D" w:rsidRPr="00C33A5F">
        <w:rPr>
          <w:rFonts w:ascii="Times New Roman" w:eastAsia="Calibri" w:hAnsi="Times New Roman" w:cs="Times New Roman"/>
          <w:sz w:val="24"/>
          <w:szCs w:val="24"/>
        </w:rPr>
        <w:t xml:space="preserve">non-physician </w:t>
      </w:r>
      <w:r w:rsidR="00E46FBE" w:rsidRPr="00C33A5F">
        <w:rPr>
          <w:rFonts w:ascii="Times New Roman" w:eastAsia="Calibri" w:hAnsi="Times New Roman" w:cs="Times New Roman"/>
          <w:sz w:val="24"/>
          <w:szCs w:val="24"/>
        </w:rPr>
        <w:t>health professionals</w:t>
      </w:r>
      <w:r w:rsidR="00D12C1B" w:rsidRPr="00C33A5F">
        <w:rPr>
          <w:rFonts w:ascii="Times New Roman" w:eastAsia="Calibri" w:hAnsi="Times New Roman" w:cs="Times New Roman"/>
          <w:sz w:val="24"/>
          <w:szCs w:val="24"/>
        </w:rPr>
        <w:t xml:space="preserve"> (HP</w:t>
      </w:r>
      <w:r w:rsidR="00D241D6" w:rsidRPr="00C33A5F">
        <w:rPr>
          <w:rFonts w:ascii="Times New Roman" w:eastAsia="Calibri" w:hAnsi="Times New Roman" w:cs="Times New Roman"/>
          <w:sz w:val="24"/>
          <w:szCs w:val="24"/>
        </w:rPr>
        <w:t>s)</w:t>
      </w:r>
      <w:r w:rsidR="00E46FBE" w:rsidRPr="00C33A5F">
        <w:rPr>
          <w:rFonts w:ascii="Times New Roman" w:eastAsia="Calibri" w:hAnsi="Times New Roman" w:cs="Times New Roman"/>
          <w:sz w:val="24"/>
          <w:szCs w:val="24"/>
        </w:rPr>
        <w:t xml:space="preserve">, </w:t>
      </w:r>
      <w:r w:rsidR="00E46FBE" w:rsidRPr="00C33A5F">
        <w:rPr>
          <w:rFonts w:ascii="Times New Roman" w:hAnsi="Times New Roman" w:cs="Times New Roman"/>
          <w:sz w:val="24"/>
          <w:szCs w:val="24"/>
        </w:rPr>
        <w:t xml:space="preserve">implementation may be </w:t>
      </w:r>
      <w:r w:rsidR="00F15FBB" w:rsidRPr="00C33A5F">
        <w:rPr>
          <w:rFonts w:ascii="Times New Roman" w:hAnsi="Times New Roman" w:cs="Times New Roman"/>
          <w:sz w:val="24"/>
          <w:szCs w:val="24"/>
        </w:rPr>
        <w:t>suboptimal</w:t>
      </w:r>
      <w:r w:rsidR="00E46FBE" w:rsidRPr="00C33A5F">
        <w:rPr>
          <w:rFonts w:ascii="Times New Roman" w:hAnsi="Times New Roman" w:cs="Times New Roman"/>
          <w:sz w:val="24"/>
          <w:szCs w:val="24"/>
        </w:rPr>
        <w:t xml:space="preserve"> in many countries. Arguably, there is scope for greater involvement of </w:t>
      </w:r>
      <w:r w:rsidR="00D12C1B" w:rsidRPr="00C33A5F">
        <w:rPr>
          <w:rFonts w:ascii="Times New Roman" w:hAnsi="Times New Roman" w:cs="Times New Roman"/>
          <w:sz w:val="24"/>
          <w:szCs w:val="24"/>
        </w:rPr>
        <w:t>HP</w:t>
      </w:r>
      <w:r w:rsidR="00D241D6" w:rsidRPr="00C33A5F">
        <w:rPr>
          <w:rFonts w:ascii="Times New Roman" w:hAnsi="Times New Roman" w:cs="Times New Roman"/>
          <w:sz w:val="24"/>
          <w:szCs w:val="24"/>
        </w:rPr>
        <w:t>s</w:t>
      </w:r>
      <w:r w:rsidR="00E46FBE" w:rsidRPr="00C33A5F">
        <w:rPr>
          <w:rFonts w:ascii="Times New Roman" w:hAnsi="Times New Roman" w:cs="Times New Roman"/>
          <w:sz w:val="24"/>
          <w:szCs w:val="24"/>
        </w:rPr>
        <w:t xml:space="preserve"> in primary and secondary fracture prevention. </w:t>
      </w:r>
      <w:r w:rsidR="00C17BA9">
        <w:rPr>
          <w:rFonts w:ascii="Times New Roman" w:hAnsi="Times New Roman" w:cs="Times New Roman"/>
          <w:sz w:val="24"/>
          <w:szCs w:val="24"/>
        </w:rPr>
        <w:t>Recent</w:t>
      </w:r>
      <w:r w:rsidRPr="00C33A5F">
        <w:rPr>
          <w:rFonts w:ascii="Times New Roman" w:hAnsi="Times New Roman" w:cs="Times New Roman"/>
          <w:sz w:val="24"/>
          <w:szCs w:val="24"/>
        </w:rPr>
        <w:t xml:space="preserve"> recommendations by</w:t>
      </w:r>
      <w:r w:rsidR="000247B1" w:rsidRPr="00C33A5F">
        <w:rPr>
          <w:rFonts w:ascii="Times New Roman" w:hAnsi="Times New Roman" w:cs="Times New Roman"/>
          <w:sz w:val="24"/>
          <w:szCs w:val="24"/>
        </w:rPr>
        <w:t xml:space="preserve"> </w:t>
      </w:r>
      <w:r w:rsidRPr="00C33A5F">
        <w:rPr>
          <w:rFonts w:ascii="Times New Roman" w:hAnsi="Times New Roman" w:cs="Times New Roman"/>
          <w:sz w:val="24"/>
          <w:szCs w:val="24"/>
        </w:rPr>
        <w:t xml:space="preserve">the </w:t>
      </w:r>
      <w:r w:rsidRPr="00C33A5F">
        <w:rPr>
          <w:rFonts w:ascii="Times New Roman" w:eastAsia="Calibri" w:hAnsi="Times New Roman" w:cs="Times New Roman"/>
          <w:sz w:val="24"/>
          <w:szCs w:val="24"/>
        </w:rPr>
        <w:t xml:space="preserve">European League Against Rheumatism </w:t>
      </w:r>
      <w:r w:rsidRPr="00C33A5F">
        <w:rPr>
          <w:rFonts w:ascii="Times New Roman" w:hAnsi="Times New Roman" w:cs="Times New Roman"/>
          <w:sz w:val="24"/>
          <w:szCs w:val="24"/>
        </w:rPr>
        <w:t xml:space="preserve">and </w:t>
      </w:r>
      <w:r w:rsidR="00536D3A" w:rsidRPr="00C33A5F">
        <w:rPr>
          <w:rFonts w:ascii="Times New Roman" w:hAnsi="Times New Roman" w:cs="Times New Roman"/>
          <w:sz w:val="24"/>
          <w:szCs w:val="24"/>
        </w:rPr>
        <w:t xml:space="preserve">the European Federation of National Associations of Orthopaedics and Traumatology </w:t>
      </w:r>
      <w:r w:rsidR="00536D3A" w:rsidRPr="00C33A5F">
        <w:rPr>
          <w:rFonts w:ascii="Times New Roman" w:eastAsia="Calibri" w:hAnsi="Times New Roman" w:cs="Times New Roman"/>
          <w:sz w:val="24"/>
          <w:szCs w:val="24"/>
        </w:rPr>
        <w:t>(EULAR/</w:t>
      </w:r>
      <w:r w:rsidR="00536D3A" w:rsidRPr="00C33A5F">
        <w:rPr>
          <w:rFonts w:ascii="Times New Roman" w:hAnsi="Times New Roman" w:cs="Times New Roman"/>
          <w:sz w:val="24"/>
          <w:szCs w:val="24"/>
        </w:rPr>
        <w:t>EFORT</w:t>
      </w:r>
      <w:r w:rsidRPr="00C33A5F">
        <w:rPr>
          <w:rFonts w:ascii="Times New Roman" w:hAnsi="Times New Roman" w:cs="Times New Roman"/>
          <w:sz w:val="24"/>
          <w:szCs w:val="24"/>
        </w:rPr>
        <w:t>)</w:t>
      </w:r>
      <w:r w:rsidR="006A33D0" w:rsidRPr="00C33A5F">
        <w:rPr>
          <w:rFonts w:ascii="Times New Roman" w:hAnsi="Times New Roman" w:cs="Times New Roman"/>
          <w:sz w:val="24"/>
          <w:szCs w:val="24"/>
        </w:rPr>
        <w:t xml:space="preserve"> </w:t>
      </w:r>
      <w:r w:rsidRPr="00C33A5F">
        <w:rPr>
          <w:rFonts w:ascii="Times New Roman" w:hAnsi="Times New Roman" w:cs="Times New Roman"/>
          <w:sz w:val="24"/>
          <w:szCs w:val="24"/>
        </w:rPr>
        <w:t xml:space="preserve">are available </w:t>
      </w:r>
      <w:r w:rsidR="000247B1" w:rsidRPr="00C33A5F">
        <w:rPr>
          <w:rFonts w:ascii="Times New Roman" w:hAnsi="Times New Roman" w:cs="Times New Roman"/>
          <w:sz w:val="24"/>
          <w:szCs w:val="24"/>
        </w:rPr>
        <w:t xml:space="preserve">to guide physicians in the management </w:t>
      </w:r>
      <w:r w:rsidR="00396A00" w:rsidRPr="00C33A5F">
        <w:rPr>
          <w:rFonts w:ascii="Times New Roman" w:hAnsi="Times New Roman" w:cs="Times New Roman"/>
          <w:sz w:val="24"/>
          <w:szCs w:val="24"/>
        </w:rPr>
        <w:t xml:space="preserve">of patients 50 years and older with </w:t>
      </w:r>
      <w:r w:rsidR="001318E4" w:rsidRPr="00C33A5F">
        <w:rPr>
          <w:rFonts w:ascii="Times New Roman" w:hAnsi="Times New Roman" w:cs="Times New Roman"/>
          <w:sz w:val="24"/>
          <w:szCs w:val="24"/>
        </w:rPr>
        <w:t xml:space="preserve">a recent fragility fracture </w:t>
      </w:r>
      <w:r w:rsidR="000247B1" w:rsidRPr="00C33A5F">
        <w:rPr>
          <w:rFonts w:ascii="Times New Roman" w:hAnsi="Times New Roman" w:cs="Times New Roman"/>
          <w:sz w:val="24"/>
          <w:szCs w:val="24"/>
        </w:rPr>
        <w:t xml:space="preserve">and prevention of </w:t>
      </w:r>
      <w:r w:rsidR="001318E4" w:rsidRPr="00C33A5F">
        <w:rPr>
          <w:rFonts w:ascii="Times New Roman" w:hAnsi="Times New Roman" w:cs="Times New Roman"/>
          <w:sz w:val="24"/>
          <w:szCs w:val="24"/>
        </w:rPr>
        <w:t>subsequent</w:t>
      </w:r>
      <w:r w:rsidR="000247B1" w:rsidRPr="00C33A5F">
        <w:rPr>
          <w:rFonts w:ascii="Times New Roman" w:hAnsi="Times New Roman" w:cs="Times New Roman"/>
          <w:sz w:val="24"/>
          <w:szCs w:val="24"/>
        </w:rPr>
        <w:t xml:space="preserve"> fractures</w:t>
      </w:r>
      <w:r w:rsidR="00DB0393">
        <w:rPr>
          <w:rFonts w:ascii="Times New Roman" w:hAnsi="Times New Roman" w:cs="Times New Roman"/>
          <w:sz w:val="24"/>
          <w:szCs w:val="24"/>
        </w:rPr>
        <w:t>[13]</w:t>
      </w:r>
      <w:r w:rsidR="003D5C6E">
        <w:rPr>
          <w:rFonts w:ascii="Times New Roman" w:hAnsi="Times New Roman" w:cs="Times New Roman"/>
          <w:sz w:val="24"/>
          <w:szCs w:val="24"/>
        </w:rPr>
        <w:t>,</w:t>
      </w:r>
      <w:r w:rsidR="00913798" w:rsidRPr="00C33A5F">
        <w:rPr>
          <w:rFonts w:ascii="Times New Roman" w:hAnsi="Times New Roman" w:cs="Times New Roman"/>
          <w:sz w:val="24"/>
          <w:szCs w:val="24"/>
        </w:rPr>
        <w:t xml:space="preserve"> </w:t>
      </w:r>
      <w:r w:rsidR="00D00915" w:rsidRPr="00C33A5F">
        <w:rPr>
          <w:rFonts w:ascii="Times New Roman" w:hAnsi="Times New Roman" w:cs="Times New Roman"/>
          <w:sz w:val="24"/>
          <w:szCs w:val="24"/>
        </w:rPr>
        <w:t xml:space="preserve">and </w:t>
      </w:r>
      <w:r w:rsidR="00913798" w:rsidRPr="00C33A5F">
        <w:rPr>
          <w:rFonts w:ascii="Times New Roman" w:hAnsi="Times New Roman" w:cs="Times New Roman"/>
          <w:sz w:val="24"/>
          <w:szCs w:val="24"/>
        </w:rPr>
        <w:t>updated</w:t>
      </w:r>
      <w:r w:rsidR="00D00915" w:rsidRPr="00C33A5F">
        <w:rPr>
          <w:rFonts w:ascii="Times New Roman" w:hAnsi="Times New Roman" w:cs="Times New Roman"/>
          <w:sz w:val="24"/>
          <w:szCs w:val="24"/>
        </w:rPr>
        <w:t xml:space="preserve"> </w:t>
      </w:r>
      <w:r w:rsidR="00B813F0" w:rsidRPr="00C33A5F">
        <w:rPr>
          <w:rFonts w:ascii="Times New Roman" w:hAnsi="Times New Roman" w:cs="Times New Roman"/>
          <w:sz w:val="24"/>
          <w:szCs w:val="24"/>
        </w:rPr>
        <w:t xml:space="preserve">European </w:t>
      </w:r>
      <w:r w:rsidR="00536D3A" w:rsidRPr="00C33A5F">
        <w:rPr>
          <w:rFonts w:ascii="Times New Roman" w:hAnsi="Times New Roman" w:cs="Times New Roman"/>
          <w:sz w:val="24"/>
          <w:szCs w:val="24"/>
        </w:rPr>
        <w:t xml:space="preserve">guidance </w:t>
      </w:r>
      <w:r w:rsidR="00913798" w:rsidRPr="00C33A5F">
        <w:rPr>
          <w:rFonts w:ascii="Times New Roman" w:hAnsi="Times New Roman" w:cs="Times New Roman"/>
          <w:sz w:val="24"/>
          <w:szCs w:val="24"/>
        </w:rPr>
        <w:t>exists</w:t>
      </w:r>
      <w:r w:rsidRPr="00C33A5F">
        <w:rPr>
          <w:rFonts w:ascii="Times New Roman" w:hAnsi="Times New Roman" w:cs="Times New Roman"/>
          <w:sz w:val="24"/>
          <w:szCs w:val="24"/>
        </w:rPr>
        <w:t xml:space="preserve"> </w:t>
      </w:r>
      <w:r w:rsidR="00E46FBE" w:rsidRPr="00C33A5F">
        <w:rPr>
          <w:rFonts w:ascii="Times New Roman" w:hAnsi="Times New Roman" w:cs="Times New Roman"/>
          <w:sz w:val="24"/>
          <w:szCs w:val="24"/>
        </w:rPr>
        <w:t xml:space="preserve">to </w:t>
      </w:r>
      <w:r w:rsidR="00E46FBE" w:rsidRPr="00C33A5F">
        <w:rPr>
          <w:rFonts w:ascii="Times New Roman" w:hAnsi="Times New Roman" w:cs="Times New Roman"/>
          <w:sz w:val="24"/>
          <w:szCs w:val="24"/>
        </w:rPr>
        <w:lastRenderedPageBreak/>
        <w:t xml:space="preserve">streamline </w:t>
      </w:r>
      <w:r w:rsidR="00434164" w:rsidRPr="00C33A5F">
        <w:rPr>
          <w:rFonts w:ascii="Times New Roman" w:hAnsi="Times New Roman" w:cs="Times New Roman"/>
          <w:sz w:val="24"/>
          <w:szCs w:val="24"/>
        </w:rPr>
        <w:t>health</w:t>
      </w:r>
      <w:r w:rsidR="008A6EF4" w:rsidRPr="00C33A5F">
        <w:rPr>
          <w:rFonts w:ascii="Times New Roman" w:hAnsi="Times New Roman" w:cs="Times New Roman"/>
          <w:sz w:val="24"/>
          <w:szCs w:val="24"/>
        </w:rPr>
        <w:t xml:space="preserve">care </w:t>
      </w:r>
      <w:r w:rsidR="00913798" w:rsidRPr="00C33A5F">
        <w:rPr>
          <w:rFonts w:ascii="Times New Roman" w:hAnsi="Times New Roman" w:cs="Times New Roman"/>
          <w:sz w:val="24"/>
          <w:szCs w:val="24"/>
        </w:rPr>
        <w:t>for</w:t>
      </w:r>
      <w:r w:rsidR="00B813F0" w:rsidRPr="00C33A5F">
        <w:rPr>
          <w:rFonts w:ascii="Times New Roman" w:hAnsi="Times New Roman" w:cs="Times New Roman"/>
          <w:sz w:val="24"/>
          <w:szCs w:val="24"/>
        </w:rPr>
        <w:t xml:space="preserve"> diagnosis and management of</w:t>
      </w:r>
      <w:r w:rsidR="00E46FBE" w:rsidRPr="00C33A5F">
        <w:rPr>
          <w:rFonts w:ascii="Times New Roman" w:hAnsi="Times New Roman" w:cs="Times New Roman"/>
          <w:sz w:val="24"/>
          <w:szCs w:val="24"/>
        </w:rPr>
        <w:t xml:space="preserve"> </w:t>
      </w:r>
      <w:r w:rsidR="00913798" w:rsidRPr="00C33A5F">
        <w:rPr>
          <w:rFonts w:ascii="Times New Roman" w:hAnsi="Times New Roman" w:cs="Times New Roman"/>
          <w:sz w:val="24"/>
          <w:szCs w:val="24"/>
        </w:rPr>
        <w:t>osteoporosis in postmenopausal women</w:t>
      </w:r>
      <w:r w:rsidR="003D5C6E">
        <w:rPr>
          <w:rFonts w:ascii="Times New Roman" w:hAnsi="Times New Roman" w:cs="Times New Roman"/>
          <w:sz w:val="24"/>
          <w:szCs w:val="24"/>
        </w:rPr>
        <w:t>[14]</w:t>
      </w:r>
      <w:r w:rsidR="00B61326" w:rsidRPr="00C33A5F">
        <w:rPr>
          <w:rFonts w:ascii="Times New Roman" w:hAnsi="Times New Roman" w:cs="Times New Roman"/>
          <w:sz w:val="24"/>
          <w:szCs w:val="24"/>
        </w:rPr>
        <w:t xml:space="preserve">. </w:t>
      </w:r>
      <w:r w:rsidR="00024D37" w:rsidRPr="00C33A5F">
        <w:rPr>
          <w:rFonts w:ascii="Times New Roman" w:hAnsi="Times New Roman" w:cs="Times New Roman"/>
          <w:sz w:val="24"/>
          <w:szCs w:val="24"/>
        </w:rPr>
        <w:t xml:space="preserve">However, </w:t>
      </w:r>
      <w:r w:rsidR="00E46FBE" w:rsidRPr="00C33A5F">
        <w:rPr>
          <w:rFonts w:ascii="Times New Roman" w:hAnsi="Times New Roman" w:cs="Times New Roman"/>
          <w:sz w:val="24"/>
          <w:szCs w:val="24"/>
        </w:rPr>
        <w:t xml:space="preserve">international </w:t>
      </w:r>
      <w:r w:rsidR="00913798" w:rsidRPr="00C33A5F">
        <w:rPr>
          <w:rFonts w:ascii="Times New Roman" w:hAnsi="Times New Roman" w:cs="Times New Roman"/>
          <w:sz w:val="24"/>
          <w:szCs w:val="24"/>
        </w:rPr>
        <w:t>recommendations</w:t>
      </w:r>
      <w:r w:rsidR="00E46FBE" w:rsidRPr="00C33A5F">
        <w:rPr>
          <w:rFonts w:ascii="Times New Roman" w:hAnsi="Times New Roman" w:cs="Times New Roman"/>
          <w:sz w:val="24"/>
          <w:szCs w:val="24"/>
        </w:rPr>
        <w:t xml:space="preserve"> </w:t>
      </w:r>
      <w:r w:rsidR="00434164" w:rsidRPr="00C33A5F">
        <w:rPr>
          <w:rFonts w:ascii="Times New Roman" w:hAnsi="Times New Roman" w:cs="Times New Roman"/>
          <w:sz w:val="24"/>
          <w:szCs w:val="24"/>
        </w:rPr>
        <w:t xml:space="preserve">for </w:t>
      </w:r>
      <w:r w:rsidR="00D12C1B" w:rsidRPr="00C33A5F">
        <w:rPr>
          <w:rFonts w:ascii="Times New Roman" w:hAnsi="Times New Roman" w:cs="Times New Roman"/>
          <w:sz w:val="24"/>
          <w:szCs w:val="24"/>
        </w:rPr>
        <w:t>HP</w:t>
      </w:r>
      <w:r w:rsidR="00D241D6" w:rsidRPr="00C33A5F">
        <w:rPr>
          <w:rFonts w:ascii="Times New Roman" w:hAnsi="Times New Roman" w:cs="Times New Roman"/>
          <w:sz w:val="24"/>
          <w:szCs w:val="24"/>
        </w:rPr>
        <w:t>s</w:t>
      </w:r>
      <w:r w:rsidR="00434164" w:rsidRPr="00C33A5F">
        <w:rPr>
          <w:rFonts w:ascii="Times New Roman" w:hAnsi="Times New Roman" w:cs="Times New Roman"/>
          <w:sz w:val="24"/>
          <w:szCs w:val="24"/>
        </w:rPr>
        <w:t xml:space="preserve"> </w:t>
      </w:r>
      <w:r w:rsidR="00E46FBE" w:rsidRPr="00C33A5F">
        <w:rPr>
          <w:rFonts w:ascii="Times New Roman" w:hAnsi="Times New Roman" w:cs="Times New Roman"/>
          <w:sz w:val="24"/>
          <w:szCs w:val="24"/>
        </w:rPr>
        <w:t xml:space="preserve">are </w:t>
      </w:r>
      <w:r w:rsidR="003C5B37" w:rsidRPr="00C33A5F">
        <w:rPr>
          <w:rFonts w:ascii="Times New Roman" w:hAnsi="Times New Roman" w:cs="Times New Roman"/>
          <w:sz w:val="24"/>
          <w:szCs w:val="24"/>
        </w:rPr>
        <w:t>lacking.</w:t>
      </w:r>
    </w:p>
    <w:p w14:paraId="21AC7D4B" w14:textId="24213731" w:rsidR="002D32A8" w:rsidRPr="00841FF1" w:rsidRDefault="00A407B2" w:rsidP="008B435D">
      <w:pPr>
        <w:spacing w:after="0" w:line="480" w:lineRule="auto"/>
        <w:jc w:val="both"/>
        <w:rPr>
          <w:i/>
          <w:u w:val="single"/>
        </w:rPr>
      </w:pPr>
      <w:r w:rsidRPr="00C33A5F">
        <w:rPr>
          <w:rFonts w:ascii="Times New Roman" w:eastAsia="Calibri" w:hAnsi="Times New Roman" w:cs="Times New Roman"/>
          <w:color w:val="000000"/>
          <w:sz w:val="24"/>
          <w:szCs w:val="24"/>
        </w:rPr>
        <w:t>To address this</w:t>
      </w:r>
      <w:r w:rsidR="008D332B" w:rsidRPr="00C33A5F">
        <w:rPr>
          <w:rFonts w:ascii="Times New Roman" w:eastAsia="Calibri" w:hAnsi="Times New Roman" w:cs="Times New Roman"/>
          <w:color w:val="000000"/>
          <w:sz w:val="24"/>
          <w:szCs w:val="24"/>
        </w:rPr>
        <w:t xml:space="preserve"> gap</w:t>
      </w:r>
      <w:r w:rsidRPr="00C33A5F">
        <w:rPr>
          <w:rFonts w:ascii="Times New Roman" w:eastAsia="Calibri" w:hAnsi="Times New Roman" w:cs="Times New Roman"/>
          <w:color w:val="000000"/>
          <w:sz w:val="24"/>
          <w:szCs w:val="24"/>
        </w:rPr>
        <w:t xml:space="preserve">, a commissioned task force </w:t>
      </w:r>
      <w:r w:rsidR="00B045B9" w:rsidRPr="00C33A5F">
        <w:rPr>
          <w:rFonts w:ascii="Times New Roman" w:eastAsia="Calibri" w:hAnsi="Times New Roman" w:cs="Times New Roman"/>
          <w:color w:val="000000"/>
          <w:sz w:val="24"/>
          <w:szCs w:val="24"/>
        </w:rPr>
        <w:t>has developed</w:t>
      </w:r>
      <w:r w:rsidRPr="00C33A5F">
        <w:rPr>
          <w:rFonts w:ascii="Times New Roman" w:eastAsia="Calibri" w:hAnsi="Times New Roman" w:cs="Times New Roman"/>
          <w:color w:val="000000"/>
          <w:sz w:val="24"/>
          <w:szCs w:val="24"/>
        </w:rPr>
        <w:t xml:space="preserve"> </w:t>
      </w:r>
      <w:r w:rsidRPr="00C33A5F">
        <w:rPr>
          <w:rFonts w:ascii="Times New Roman" w:eastAsia="Calibri" w:hAnsi="Times New Roman" w:cs="Times New Roman"/>
          <w:sz w:val="24"/>
          <w:szCs w:val="24"/>
        </w:rPr>
        <w:t xml:space="preserve">the first </w:t>
      </w:r>
      <w:r w:rsidR="00273D1D" w:rsidRPr="00C33A5F">
        <w:rPr>
          <w:rFonts w:ascii="Times New Roman" w:eastAsia="Calibri" w:hAnsi="Times New Roman" w:cs="Times New Roman"/>
          <w:sz w:val="24"/>
          <w:szCs w:val="24"/>
        </w:rPr>
        <w:t>EU</w:t>
      </w:r>
      <w:r w:rsidR="006E197B" w:rsidRPr="00C33A5F">
        <w:rPr>
          <w:rFonts w:ascii="Times New Roman" w:eastAsia="Calibri" w:hAnsi="Times New Roman" w:cs="Times New Roman"/>
          <w:sz w:val="24"/>
          <w:szCs w:val="24"/>
        </w:rPr>
        <w:t>LAR points to consider</w:t>
      </w:r>
      <w:r w:rsidRPr="00C33A5F">
        <w:rPr>
          <w:rFonts w:ascii="Times New Roman" w:eastAsia="Calibri" w:hAnsi="Times New Roman" w:cs="Times New Roman"/>
          <w:sz w:val="24"/>
          <w:szCs w:val="24"/>
        </w:rPr>
        <w:t xml:space="preserve"> for </w:t>
      </w:r>
      <w:r w:rsidR="00D12C1B" w:rsidRPr="00C33A5F">
        <w:rPr>
          <w:rFonts w:ascii="Times New Roman" w:eastAsia="Calibri" w:hAnsi="Times New Roman" w:cs="Times New Roman"/>
          <w:sz w:val="24"/>
          <w:szCs w:val="24"/>
        </w:rPr>
        <w:t>HP</w:t>
      </w:r>
      <w:r w:rsidR="00D241D6" w:rsidRPr="00C33A5F">
        <w:rPr>
          <w:rFonts w:ascii="Times New Roman" w:eastAsia="Calibri" w:hAnsi="Times New Roman" w:cs="Times New Roman"/>
          <w:sz w:val="24"/>
          <w:szCs w:val="24"/>
        </w:rPr>
        <w:t>s</w:t>
      </w:r>
      <w:r w:rsidRPr="00C33A5F">
        <w:rPr>
          <w:rFonts w:ascii="Times New Roman" w:eastAsia="Calibri" w:hAnsi="Times New Roman" w:cs="Times New Roman"/>
          <w:sz w:val="24"/>
          <w:szCs w:val="24"/>
        </w:rPr>
        <w:t xml:space="preserve"> in the prevention and manag</w:t>
      </w:r>
      <w:r w:rsidR="00536D3A" w:rsidRPr="00C33A5F">
        <w:rPr>
          <w:rFonts w:ascii="Times New Roman" w:eastAsia="Calibri" w:hAnsi="Times New Roman" w:cs="Times New Roman"/>
          <w:sz w:val="24"/>
          <w:szCs w:val="24"/>
        </w:rPr>
        <w:t xml:space="preserve">ement of </w:t>
      </w:r>
      <w:r w:rsidR="00C17BA9" w:rsidRPr="00DD4BE8">
        <w:rPr>
          <w:rFonts w:ascii="Times New Roman" w:eastAsia="Calibri" w:hAnsi="Times New Roman" w:cs="Times New Roman"/>
          <w:sz w:val="24"/>
          <w:szCs w:val="24"/>
        </w:rPr>
        <w:t xml:space="preserve">fragility </w:t>
      </w:r>
      <w:r w:rsidR="00536D3A" w:rsidRPr="00DD4BE8">
        <w:rPr>
          <w:rFonts w:ascii="Times New Roman" w:eastAsia="Calibri" w:hAnsi="Times New Roman" w:cs="Times New Roman"/>
          <w:sz w:val="24"/>
          <w:szCs w:val="24"/>
        </w:rPr>
        <w:t>fracture</w:t>
      </w:r>
      <w:r w:rsidR="00C17BA9" w:rsidRPr="00DD4BE8">
        <w:rPr>
          <w:rFonts w:ascii="Times New Roman" w:eastAsia="Calibri" w:hAnsi="Times New Roman" w:cs="Times New Roman"/>
          <w:sz w:val="24"/>
          <w:szCs w:val="24"/>
        </w:rPr>
        <w:t>s in adults 50 years or older</w:t>
      </w:r>
      <w:r w:rsidR="00E149FD" w:rsidRPr="00DD4BE8">
        <w:rPr>
          <w:rFonts w:ascii="Times New Roman" w:eastAsia="Calibri" w:hAnsi="Times New Roman" w:cs="Times New Roman"/>
          <w:sz w:val="24"/>
          <w:szCs w:val="24"/>
        </w:rPr>
        <w:t>.</w:t>
      </w:r>
      <w:r w:rsidRPr="00DD4BE8">
        <w:rPr>
          <w:rFonts w:ascii="Times New Roman" w:eastAsia="Calibri" w:hAnsi="Times New Roman" w:cs="Times New Roman"/>
          <w:sz w:val="24"/>
          <w:szCs w:val="24"/>
        </w:rPr>
        <w:t xml:space="preserve"> </w:t>
      </w:r>
      <w:r w:rsidR="00C17BA9">
        <w:rPr>
          <w:rFonts w:ascii="Times New Roman" w:hAnsi="Times New Roman" w:cs="Times New Roman"/>
          <w:sz w:val="24"/>
          <w:szCs w:val="24"/>
        </w:rPr>
        <w:t>A</w:t>
      </w:r>
      <w:r w:rsidR="00D836FF" w:rsidRPr="00C33A5F">
        <w:rPr>
          <w:rFonts w:ascii="Times New Roman" w:hAnsi="Times New Roman" w:cs="Times New Roman"/>
          <w:sz w:val="24"/>
          <w:szCs w:val="24"/>
        </w:rPr>
        <w:t xml:space="preserve"> sy</w:t>
      </w:r>
      <w:r w:rsidR="00400373" w:rsidRPr="00C33A5F">
        <w:rPr>
          <w:rFonts w:ascii="Times New Roman" w:hAnsi="Times New Roman" w:cs="Times New Roman"/>
          <w:sz w:val="24"/>
          <w:szCs w:val="24"/>
        </w:rPr>
        <w:t>stematic literature review</w:t>
      </w:r>
      <w:r w:rsidR="00EB6B28" w:rsidRPr="00C33A5F">
        <w:rPr>
          <w:rFonts w:ascii="Times New Roman" w:hAnsi="Times New Roman" w:cs="Times New Roman"/>
          <w:sz w:val="24"/>
          <w:szCs w:val="24"/>
        </w:rPr>
        <w:t xml:space="preserve"> (SLR)</w:t>
      </w:r>
      <w:r w:rsidR="00D836FF" w:rsidRPr="00C33A5F">
        <w:rPr>
          <w:rFonts w:ascii="Times New Roman" w:hAnsi="Times New Roman" w:cs="Times New Roman"/>
          <w:sz w:val="24"/>
          <w:szCs w:val="24"/>
        </w:rPr>
        <w:t xml:space="preserve"> </w:t>
      </w:r>
      <w:r w:rsidR="00C17BA9" w:rsidRPr="00DD4BE8">
        <w:rPr>
          <w:rFonts w:ascii="Times New Roman" w:hAnsi="Times New Roman" w:cs="Times New Roman"/>
          <w:sz w:val="24"/>
          <w:szCs w:val="24"/>
        </w:rPr>
        <w:t xml:space="preserve">was undertaken </w:t>
      </w:r>
      <w:r w:rsidR="00D836FF" w:rsidRPr="00C33A5F">
        <w:rPr>
          <w:rFonts w:ascii="Times New Roman" w:hAnsi="Times New Roman" w:cs="Times New Roman"/>
          <w:sz w:val="24"/>
          <w:szCs w:val="24"/>
        </w:rPr>
        <w:t xml:space="preserve">to inform the development of </w:t>
      </w:r>
      <w:r w:rsidR="00DA4B9B" w:rsidRPr="00C33A5F">
        <w:rPr>
          <w:rFonts w:ascii="Times New Roman" w:hAnsi="Times New Roman" w:cs="Times New Roman"/>
          <w:sz w:val="24"/>
          <w:szCs w:val="24"/>
        </w:rPr>
        <w:t>the</w:t>
      </w:r>
      <w:r w:rsidR="00486806" w:rsidRPr="00C33A5F">
        <w:rPr>
          <w:rFonts w:ascii="Times New Roman" w:hAnsi="Times New Roman" w:cs="Times New Roman"/>
          <w:sz w:val="24"/>
          <w:szCs w:val="24"/>
        </w:rPr>
        <w:t>se</w:t>
      </w:r>
      <w:r w:rsidR="00DA4B9B" w:rsidRPr="00C33A5F">
        <w:rPr>
          <w:rFonts w:ascii="Times New Roman" w:hAnsi="Times New Roman" w:cs="Times New Roman"/>
          <w:sz w:val="24"/>
          <w:szCs w:val="24"/>
        </w:rPr>
        <w:t xml:space="preserve"> </w:t>
      </w:r>
      <w:r w:rsidR="00D57467" w:rsidRPr="00C33A5F">
        <w:rPr>
          <w:rFonts w:ascii="Times New Roman" w:hAnsi="Times New Roman" w:cs="Times New Roman"/>
          <w:sz w:val="24"/>
          <w:szCs w:val="24"/>
        </w:rPr>
        <w:t xml:space="preserve">points to </w:t>
      </w:r>
      <w:r w:rsidR="006E197B" w:rsidRPr="00C33A5F">
        <w:rPr>
          <w:rFonts w:ascii="Times New Roman" w:hAnsi="Times New Roman" w:cs="Times New Roman"/>
          <w:sz w:val="24"/>
          <w:szCs w:val="24"/>
        </w:rPr>
        <w:t>consider</w:t>
      </w:r>
      <w:r w:rsidR="00DA4B9B" w:rsidRPr="00C33A5F">
        <w:rPr>
          <w:rFonts w:ascii="Times New Roman" w:hAnsi="Times New Roman" w:cs="Times New Roman"/>
          <w:sz w:val="24"/>
          <w:szCs w:val="24"/>
        </w:rPr>
        <w:t xml:space="preserve">. </w:t>
      </w:r>
    </w:p>
    <w:p w14:paraId="714F5932" w14:textId="77777777" w:rsidR="002D32A8" w:rsidRPr="00C33A5F" w:rsidRDefault="002D32A8" w:rsidP="00A407B2">
      <w:pPr>
        <w:spacing w:after="0" w:line="360" w:lineRule="auto"/>
        <w:rPr>
          <w:rFonts w:ascii="Times New Roman" w:hAnsi="Times New Roman" w:cs="Times New Roman"/>
          <w:sz w:val="24"/>
          <w:szCs w:val="24"/>
        </w:rPr>
      </w:pPr>
    </w:p>
    <w:p w14:paraId="0C1DC0CA" w14:textId="77777777" w:rsidR="00786FAD" w:rsidRPr="00C33A5F" w:rsidRDefault="00A15716" w:rsidP="003F7A03">
      <w:pPr>
        <w:pStyle w:val="Heading2"/>
        <w:spacing w:before="0" w:line="480" w:lineRule="auto"/>
        <w:rPr>
          <w:rFonts w:ascii="Times New Roman" w:hAnsi="Times New Roman" w:cs="Times New Roman"/>
          <w:b/>
          <w:color w:val="auto"/>
          <w:sz w:val="24"/>
          <w:szCs w:val="24"/>
          <w:lang w:val="en-GB"/>
        </w:rPr>
      </w:pPr>
      <w:r>
        <w:rPr>
          <w:rFonts w:ascii="Times New Roman" w:hAnsi="Times New Roman" w:cs="Times New Roman"/>
          <w:b/>
          <w:color w:val="auto"/>
          <w:sz w:val="24"/>
          <w:szCs w:val="24"/>
          <w:lang w:val="en-GB"/>
        </w:rPr>
        <w:t>METHODS</w:t>
      </w:r>
    </w:p>
    <w:p w14:paraId="6C79AEF7" w14:textId="38143663" w:rsidR="00DD7FAD" w:rsidRPr="008B435D" w:rsidRDefault="00DD7FAD" w:rsidP="008B435D">
      <w:pPr>
        <w:spacing w:after="0" w:line="480" w:lineRule="auto"/>
        <w:jc w:val="both"/>
        <w:rPr>
          <w:rFonts w:ascii="Times New Roman" w:hAnsi="Times New Roman" w:cs="Times New Roman"/>
          <w:sz w:val="24"/>
          <w:szCs w:val="24"/>
        </w:rPr>
      </w:pPr>
      <w:r w:rsidRPr="008B435D">
        <w:rPr>
          <w:rFonts w:ascii="Times New Roman" w:hAnsi="Times New Roman" w:cs="Times New Roman"/>
          <w:sz w:val="24"/>
          <w:szCs w:val="24"/>
        </w:rPr>
        <w:t xml:space="preserve">We aimed to </w:t>
      </w:r>
      <w:r w:rsidRPr="008B435D">
        <w:rPr>
          <w:rFonts w:ascii="Times New Roman" w:eastAsia="Calibri" w:hAnsi="Times New Roman" w:cs="Times New Roman"/>
          <w:sz w:val="24"/>
          <w:szCs w:val="24"/>
        </w:rPr>
        <w:t>identify and appraise the up-to date scientific literature about</w:t>
      </w:r>
      <w:r w:rsidRPr="008B435D">
        <w:rPr>
          <w:rFonts w:ascii="Times New Roman" w:hAnsi="Times New Roman" w:cs="Times New Roman"/>
          <w:sz w:val="24"/>
          <w:szCs w:val="24"/>
        </w:rPr>
        <w:t xml:space="preserve"> the effect of non-pharmacological</w:t>
      </w:r>
      <w:r w:rsidRPr="008B435D">
        <w:rPr>
          <w:rFonts w:ascii="Times New Roman" w:hAnsi="Times New Roman" w:cs="Times New Roman"/>
          <w:color w:val="FF0000"/>
          <w:sz w:val="24"/>
          <w:szCs w:val="24"/>
        </w:rPr>
        <w:t xml:space="preserve"> </w:t>
      </w:r>
      <w:r w:rsidRPr="008B435D">
        <w:rPr>
          <w:rFonts w:ascii="Times New Roman" w:hAnsi="Times New Roman" w:cs="Times New Roman"/>
          <w:sz w:val="24"/>
          <w:szCs w:val="24"/>
        </w:rPr>
        <w:t>interventions delivered by HPs to prevent and manage osteoporotic fracture in high-risk adults, age 50 years</w:t>
      </w:r>
      <w:r w:rsidR="00CE47FF">
        <w:rPr>
          <w:rFonts w:ascii="Times New Roman" w:hAnsi="Times New Roman" w:cs="Times New Roman"/>
          <w:sz w:val="24"/>
          <w:szCs w:val="24"/>
        </w:rPr>
        <w:t xml:space="preserve"> or more</w:t>
      </w:r>
      <w:r w:rsidRPr="008B435D">
        <w:rPr>
          <w:rFonts w:ascii="Times New Roman" w:hAnsi="Times New Roman" w:cs="Times New Roman"/>
          <w:sz w:val="24"/>
          <w:szCs w:val="24"/>
        </w:rPr>
        <w:t xml:space="preserve">.  High-risk of osteoporotic fracture was categorised using BMD values for low bone mass (osteopenia) and osteoporosis specified by the World Health </w:t>
      </w:r>
      <w:proofErr w:type="gramStart"/>
      <w:r w:rsidRPr="008B435D">
        <w:rPr>
          <w:rFonts w:ascii="Times New Roman" w:hAnsi="Times New Roman" w:cs="Times New Roman"/>
          <w:sz w:val="24"/>
          <w:szCs w:val="24"/>
        </w:rPr>
        <w:t>Organisation[</w:t>
      </w:r>
      <w:proofErr w:type="gramEnd"/>
      <w:r w:rsidRPr="008B435D">
        <w:rPr>
          <w:rFonts w:ascii="Times New Roman" w:hAnsi="Times New Roman" w:cs="Times New Roman"/>
          <w:sz w:val="24"/>
          <w:szCs w:val="24"/>
        </w:rPr>
        <w:t xml:space="preserve">15], and/or short-term probability of fracture.  </w:t>
      </w:r>
      <w:r w:rsidR="00306C66">
        <w:rPr>
          <w:rFonts w:ascii="Times New Roman" w:hAnsi="Times New Roman" w:cs="Times New Roman"/>
          <w:sz w:val="24"/>
          <w:szCs w:val="24"/>
        </w:rPr>
        <w:t>The definition we used for high-</w:t>
      </w:r>
      <w:r w:rsidRPr="008B435D">
        <w:rPr>
          <w:rFonts w:ascii="Times New Roman" w:hAnsi="Times New Roman" w:cs="Times New Roman"/>
          <w:sz w:val="24"/>
          <w:szCs w:val="24"/>
        </w:rPr>
        <w:t>risk adults is detailed in Table 1</w:t>
      </w:r>
      <w:r w:rsidR="00B034B1">
        <w:rPr>
          <w:rFonts w:ascii="Times New Roman" w:hAnsi="Times New Roman" w:cs="Times New Roman"/>
          <w:sz w:val="24"/>
          <w:szCs w:val="24"/>
        </w:rPr>
        <w:t>.</w:t>
      </w:r>
      <w:r w:rsidRPr="008B435D">
        <w:rPr>
          <w:rFonts w:ascii="Times New Roman" w:hAnsi="Times New Roman" w:cs="Times New Roman"/>
          <w:sz w:val="24"/>
          <w:szCs w:val="24"/>
        </w:rPr>
        <w:t xml:space="preserve"> </w:t>
      </w:r>
    </w:p>
    <w:p w14:paraId="133A32AB" w14:textId="77777777" w:rsidR="00DD7FAD" w:rsidRPr="000C6C72" w:rsidRDefault="00DD7FAD" w:rsidP="00DD7FAD">
      <w:pPr>
        <w:spacing w:after="0" w:line="360" w:lineRule="auto"/>
        <w:rPr>
          <w:rFonts w:ascii="Times New Roman" w:hAnsi="Times New Roman" w:cs="Times New Roman"/>
          <w:sz w:val="24"/>
          <w:szCs w:val="24"/>
        </w:rPr>
      </w:pPr>
    </w:p>
    <w:p w14:paraId="3AB68431" w14:textId="77777777" w:rsidR="00DD7FAD" w:rsidRPr="001D64AD" w:rsidRDefault="00DD7FAD" w:rsidP="008B435D">
      <w:pPr>
        <w:spacing w:after="0" w:line="360" w:lineRule="auto"/>
        <w:rPr>
          <w:rFonts w:ascii="Times New Roman" w:hAnsi="Times New Roman" w:cs="Times New Roman"/>
          <w:b/>
          <w:sz w:val="24"/>
          <w:szCs w:val="24"/>
        </w:rPr>
      </w:pPr>
      <w:r w:rsidRPr="001D64AD">
        <w:rPr>
          <w:rFonts w:ascii="Times New Roman" w:hAnsi="Times New Roman" w:cs="Times New Roman"/>
          <w:b/>
          <w:sz w:val="24"/>
          <w:szCs w:val="24"/>
        </w:rPr>
        <w:t>Table 1. Definitions used by the task force to identify studies that included individuals at high-risk of osteoporotic fracture</w:t>
      </w:r>
    </w:p>
    <w:p w14:paraId="06FA1CE1" w14:textId="77777777" w:rsidR="00DD7FAD" w:rsidRPr="000C6C72" w:rsidRDefault="00DD7FAD" w:rsidP="00DD7FAD">
      <w:pPr>
        <w:spacing w:after="0" w:line="240" w:lineRule="auto"/>
        <w:rPr>
          <w:rFonts w:ascii="Times New Roman" w:hAnsi="Times New Roman" w:cs="Times New Roman"/>
          <w:b/>
          <w:sz w:val="24"/>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091"/>
        <w:gridCol w:w="2925"/>
      </w:tblGrid>
      <w:tr w:rsidR="00DD7FAD" w:rsidRPr="000C6C72" w14:paraId="1AC37015" w14:textId="77777777" w:rsidTr="00F84154">
        <w:tc>
          <w:tcPr>
            <w:tcW w:w="6091" w:type="dxa"/>
          </w:tcPr>
          <w:p w14:paraId="44328562" w14:textId="77777777" w:rsidR="00DD7FAD" w:rsidRPr="000C6C72" w:rsidRDefault="00DD7FAD" w:rsidP="00F84154">
            <w:pPr>
              <w:spacing w:line="360" w:lineRule="auto"/>
              <w:rPr>
                <w:rFonts w:ascii="Times New Roman" w:hAnsi="Times New Roman" w:cs="Times New Roman"/>
              </w:rPr>
            </w:pPr>
            <w:r w:rsidRPr="000C6C72">
              <w:rPr>
                <w:rFonts w:ascii="Times New Roman" w:hAnsi="Times New Roman" w:cs="Times New Roman"/>
              </w:rPr>
              <w:t xml:space="preserve">Osteopenia </w:t>
            </w:r>
          </w:p>
        </w:tc>
        <w:tc>
          <w:tcPr>
            <w:tcW w:w="2925" w:type="dxa"/>
          </w:tcPr>
          <w:p w14:paraId="6133C96E" w14:textId="77777777" w:rsidR="00DD7FAD" w:rsidRPr="000C6C72" w:rsidRDefault="00DD7FAD" w:rsidP="00F84154">
            <w:pPr>
              <w:spacing w:line="360" w:lineRule="auto"/>
              <w:rPr>
                <w:rFonts w:ascii="Times New Roman" w:hAnsi="Times New Roman" w:cs="Times New Roman"/>
              </w:rPr>
            </w:pPr>
            <w:r w:rsidRPr="000C6C72">
              <w:rPr>
                <w:rFonts w:ascii="Times New Roman" w:hAnsi="Times New Roman" w:cs="Times New Roman"/>
              </w:rPr>
              <w:t xml:space="preserve">T score = &lt;-1.0 to -2.5 SD </w:t>
            </w:r>
          </w:p>
        </w:tc>
      </w:tr>
      <w:tr w:rsidR="00DD7FAD" w:rsidRPr="000C6C72" w14:paraId="168E2331" w14:textId="77777777" w:rsidTr="00F84154">
        <w:tc>
          <w:tcPr>
            <w:tcW w:w="6091" w:type="dxa"/>
          </w:tcPr>
          <w:p w14:paraId="56AF976A" w14:textId="77777777" w:rsidR="00DD7FAD" w:rsidRPr="000C6C72" w:rsidRDefault="00DD7FAD" w:rsidP="00F84154">
            <w:pPr>
              <w:spacing w:line="360" w:lineRule="auto"/>
              <w:rPr>
                <w:rFonts w:ascii="Times New Roman" w:hAnsi="Times New Roman" w:cs="Times New Roman"/>
              </w:rPr>
            </w:pPr>
            <w:r w:rsidRPr="000C6C72">
              <w:rPr>
                <w:rFonts w:ascii="Times New Roman" w:hAnsi="Times New Roman" w:cs="Times New Roman"/>
              </w:rPr>
              <w:t>Osteoporosis</w:t>
            </w:r>
          </w:p>
        </w:tc>
        <w:tc>
          <w:tcPr>
            <w:tcW w:w="2925" w:type="dxa"/>
          </w:tcPr>
          <w:p w14:paraId="2950A9C8" w14:textId="77777777" w:rsidR="00DD7FAD" w:rsidRPr="000C6C72" w:rsidRDefault="00DD7FAD" w:rsidP="00F84154">
            <w:pPr>
              <w:spacing w:line="360" w:lineRule="auto"/>
              <w:rPr>
                <w:rFonts w:ascii="Times New Roman" w:hAnsi="Times New Roman" w:cs="Times New Roman"/>
              </w:rPr>
            </w:pPr>
            <w:r w:rsidRPr="000C6C72">
              <w:rPr>
                <w:rFonts w:ascii="Times New Roman" w:hAnsi="Times New Roman" w:cs="Times New Roman"/>
              </w:rPr>
              <w:t>T score = ≤-2.5 SD</w:t>
            </w:r>
          </w:p>
        </w:tc>
      </w:tr>
      <w:tr w:rsidR="00DD7FAD" w:rsidRPr="000C6C72" w14:paraId="1633A222" w14:textId="77777777" w:rsidTr="00F84154">
        <w:tc>
          <w:tcPr>
            <w:tcW w:w="6091" w:type="dxa"/>
          </w:tcPr>
          <w:p w14:paraId="65E8D7DB" w14:textId="77777777" w:rsidR="00DD7FAD" w:rsidRPr="000C6C72" w:rsidRDefault="00DD7FAD" w:rsidP="00F84154">
            <w:pPr>
              <w:spacing w:line="360" w:lineRule="auto"/>
              <w:rPr>
                <w:rFonts w:ascii="Times New Roman" w:hAnsi="Times New Roman" w:cs="Times New Roman"/>
              </w:rPr>
            </w:pPr>
            <w:r w:rsidRPr="000C6C72">
              <w:rPr>
                <w:rFonts w:ascii="Times New Roman" w:hAnsi="Times New Roman" w:cs="Times New Roman"/>
              </w:rPr>
              <w:t>FRAX</w:t>
            </w:r>
            <w:r w:rsidRPr="000C6C72">
              <w:rPr>
                <w:rFonts w:ascii="Times New Roman" w:hAnsi="Times New Roman" w:cs="Times New Roman"/>
                <w:vertAlign w:val="superscript"/>
              </w:rPr>
              <w:t>®</w:t>
            </w:r>
            <w:r w:rsidRPr="000C6C72">
              <w:rPr>
                <w:rFonts w:ascii="Times New Roman" w:hAnsi="Times New Roman" w:cs="Times New Roman"/>
              </w:rPr>
              <w:t xml:space="preserve"> 10-year probability of a major* osteoporotic fracture </w:t>
            </w:r>
          </w:p>
        </w:tc>
        <w:tc>
          <w:tcPr>
            <w:tcW w:w="2925" w:type="dxa"/>
          </w:tcPr>
          <w:p w14:paraId="30ADCA38" w14:textId="77777777" w:rsidR="00DD7FAD" w:rsidRPr="000C6C72" w:rsidRDefault="00DD7FAD" w:rsidP="00F84154">
            <w:pPr>
              <w:spacing w:line="360" w:lineRule="auto"/>
              <w:rPr>
                <w:rFonts w:ascii="Times New Roman" w:hAnsi="Times New Roman" w:cs="Times New Roman"/>
              </w:rPr>
            </w:pPr>
            <w:r w:rsidRPr="000C6C72">
              <w:rPr>
                <w:rFonts w:ascii="Times New Roman" w:hAnsi="Times New Roman" w:cs="Times New Roman"/>
              </w:rPr>
              <w:t>≥20% (age independent)</w:t>
            </w:r>
          </w:p>
        </w:tc>
      </w:tr>
      <w:tr w:rsidR="00DD7FAD" w:rsidRPr="000C6C72" w14:paraId="2AD139CB" w14:textId="77777777" w:rsidTr="00F84154">
        <w:tc>
          <w:tcPr>
            <w:tcW w:w="6091" w:type="dxa"/>
          </w:tcPr>
          <w:p w14:paraId="55DFB962" w14:textId="77777777" w:rsidR="00DD7FAD" w:rsidRPr="000C6C72" w:rsidRDefault="00DD7FAD" w:rsidP="00F84154">
            <w:pPr>
              <w:spacing w:line="360" w:lineRule="auto"/>
              <w:rPr>
                <w:rFonts w:ascii="Times New Roman" w:hAnsi="Times New Roman" w:cs="Times New Roman"/>
              </w:rPr>
            </w:pPr>
            <w:r w:rsidRPr="000C6C72">
              <w:rPr>
                <w:rFonts w:ascii="Times New Roman" w:hAnsi="Times New Roman" w:cs="Times New Roman"/>
              </w:rPr>
              <w:t>FRAX</w:t>
            </w:r>
            <w:r w:rsidRPr="000C6C72">
              <w:rPr>
                <w:rFonts w:ascii="Times New Roman" w:hAnsi="Times New Roman" w:cs="Times New Roman"/>
                <w:vertAlign w:val="superscript"/>
              </w:rPr>
              <w:t>®</w:t>
            </w:r>
            <w:r w:rsidRPr="000C6C72">
              <w:rPr>
                <w:rFonts w:ascii="Times New Roman" w:hAnsi="Times New Roman" w:cs="Times New Roman"/>
              </w:rPr>
              <w:t xml:space="preserve"> 10-year probability of hip fracture  </w:t>
            </w:r>
          </w:p>
        </w:tc>
        <w:tc>
          <w:tcPr>
            <w:tcW w:w="2925" w:type="dxa"/>
          </w:tcPr>
          <w:p w14:paraId="02D7C5F0" w14:textId="77777777" w:rsidR="00DD7FAD" w:rsidRPr="000C6C72" w:rsidRDefault="00DD7FAD" w:rsidP="00F84154">
            <w:pPr>
              <w:spacing w:line="360" w:lineRule="auto"/>
              <w:rPr>
                <w:rFonts w:ascii="Times New Roman" w:hAnsi="Times New Roman" w:cs="Times New Roman"/>
              </w:rPr>
            </w:pPr>
            <w:r w:rsidRPr="000C6C72">
              <w:rPr>
                <w:rFonts w:ascii="Times New Roman" w:hAnsi="Times New Roman" w:cs="Times New Roman"/>
              </w:rPr>
              <w:t>≥3% (age independent)</w:t>
            </w:r>
          </w:p>
        </w:tc>
      </w:tr>
      <w:tr w:rsidR="00DD7FAD" w:rsidRPr="000C6C72" w14:paraId="78FCD925" w14:textId="77777777" w:rsidTr="00F84154">
        <w:tc>
          <w:tcPr>
            <w:tcW w:w="6091" w:type="dxa"/>
          </w:tcPr>
          <w:p w14:paraId="37A2DDAA" w14:textId="77777777" w:rsidR="00DD7FAD" w:rsidRPr="000C6C72" w:rsidRDefault="00DD7FAD" w:rsidP="00F84154">
            <w:pPr>
              <w:spacing w:line="360" w:lineRule="auto"/>
              <w:rPr>
                <w:rFonts w:ascii="Times New Roman" w:hAnsi="Times New Roman" w:cs="Times New Roman"/>
              </w:rPr>
            </w:pPr>
            <w:r w:rsidRPr="000C6C72">
              <w:rPr>
                <w:rFonts w:ascii="Times New Roman" w:hAnsi="Times New Roman" w:cs="Times New Roman"/>
              </w:rPr>
              <w:t>FRAX</w:t>
            </w:r>
            <w:r w:rsidRPr="000C6C72">
              <w:rPr>
                <w:rFonts w:ascii="Times New Roman" w:hAnsi="Times New Roman" w:cs="Times New Roman"/>
                <w:vertAlign w:val="superscript"/>
              </w:rPr>
              <w:t>®</w:t>
            </w:r>
            <w:r w:rsidRPr="000C6C72">
              <w:rPr>
                <w:rFonts w:ascii="Times New Roman" w:hAnsi="Times New Roman" w:cs="Times New Roman"/>
              </w:rPr>
              <w:t xml:space="preserve"> NOGG threshold</w:t>
            </w:r>
          </w:p>
        </w:tc>
        <w:tc>
          <w:tcPr>
            <w:tcW w:w="2925" w:type="dxa"/>
          </w:tcPr>
          <w:p w14:paraId="7E1EA715" w14:textId="77777777" w:rsidR="00DD7FAD" w:rsidRPr="000C6C72" w:rsidRDefault="00DD7FAD" w:rsidP="00F84154">
            <w:pPr>
              <w:spacing w:line="360" w:lineRule="auto"/>
              <w:rPr>
                <w:rFonts w:ascii="Times New Roman" w:hAnsi="Times New Roman" w:cs="Times New Roman"/>
              </w:rPr>
            </w:pPr>
            <w:r w:rsidRPr="000C6C72">
              <w:rPr>
                <w:rFonts w:ascii="Times New Roman" w:hAnsi="Times New Roman" w:cs="Times New Roman"/>
              </w:rPr>
              <w:t>40 to 90 years (age dependent)</w:t>
            </w:r>
          </w:p>
        </w:tc>
      </w:tr>
    </w:tbl>
    <w:p w14:paraId="17235ED9" w14:textId="77777777" w:rsidR="00DD7FAD" w:rsidRPr="000C6C72" w:rsidRDefault="00DD7FAD" w:rsidP="00DD7FAD">
      <w:pPr>
        <w:spacing w:after="0" w:line="240" w:lineRule="auto"/>
        <w:rPr>
          <w:rFonts w:ascii="Times New Roman" w:hAnsi="Times New Roman" w:cs="Times New Roman"/>
          <w:sz w:val="18"/>
          <w:szCs w:val="18"/>
        </w:rPr>
      </w:pPr>
      <w:r w:rsidRPr="008B435D">
        <w:rPr>
          <w:rFonts w:ascii="Times New Roman" w:hAnsi="Times New Roman" w:cs="Times New Roman"/>
          <w:sz w:val="18"/>
          <w:szCs w:val="18"/>
        </w:rPr>
        <w:t>Note.</w:t>
      </w:r>
      <w:r w:rsidRPr="000C6C72">
        <w:rPr>
          <w:rFonts w:ascii="Times New Roman" w:hAnsi="Times New Roman" w:cs="Times New Roman"/>
          <w:sz w:val="18"/>
          <w:szCs w:val="18"/>
        </w:rPr>
        <w:t xml:space="preserve"> T score, unit of standard deviation from the mean for bone mineral density compared to healthy persons; SD, Standard deviation; FRAX, Fracture Risk Assessment Tool; NOGG, National Osteoporosis Guideline Group</w:t>
      </w:r>
    </w:p>
    <w:p w14:paraId="42FA6ECB" w14:textId="77777777" w:rsidR="00DD7FAD" w:rsidRPr="000C6C72" w:rsidRDefault="00DD7FAD" w:rsidP="00DD7FAD">
      <w:pPr>
        <w:spacing w:after="0" w:line="240" w:lineRule="auto"/>
        <w:rPr>
          <w:rFonts w:ascii="Times New Roman" w:hAnsi="Times New Roman" w:cs="Times New Roman"/>
          <w:sz w:val="18"/>
          <w:szCs w:val="18"/>
        </w:rPr>
      </w:pPr>
      <w:r w:rsidRPr="000C6C72">
        <w:rPr>
          <w:rFonts w:ascii="Times New Roman" w:hAnsi="Times New Roman" w:cs="Times New Roman"/>
          <w:sz w:val="18"/>
          <w:szCs w:val="18"/>
        </w:rPr>
        <w:t>FRAX</w:t>
      </w:r>
      <w:r w:rsidRPr="000C6C72">
        <w:rPr>
          <w:rFonts w:ascii="Times New Roman" w:hAnsi="Times New Roman" w:cs="Times New Roman"/>
          <w:sz w:val="18"/>
          <w:szCs w:val="18"/>
          <w:vertAlign w:val="superscript"/>
        </w:rPr>
        <w:t xml:space="preserve">® </w:t>
      </w:r>
      <w:r w:rsidRPr="000C6C72">
        <w:rPr>
          <w:rFonts w:ascii="Times New Roman" w:hAnsi="Times New Roman" w:cs="Times New Roman"/>
          <w:sz w:val="18"/>
          <w:szCs w:val="18"/>
        </w:rPr>
        <w:t>intervention thresholds vary between countries</w:t>
      </w:r>
    </w:p>
    <w:p w14:paraId="1C7931EC" w14:textId="77777777" w:rsidR="00DD7FAD" w:rsidRPr="000C6C72" w:rsidRDefault="00DD7FAD" w:rsidP="00DD7FAD">
      <w:pPr>
        <w:spacing w:after="0" w:line="360" w:lineRule="auto"/>
        <w:rPr>
          <w:rFonts w:ascii="Times New Roman" w:hAnsi="Times New Roman" w:cs="Times New Roman"/>
          <w:sz w:val="18"/>
          <w:szCs w:val="18"/>
        </w:rPr>
      </w:pPr>
      <w:r w:rsidRPr="000C6C72">
        <w:rPr>
          <w:rFonts w:ascii="Times New Roman" w:hAnsi="Times New Roman" w:cs="Times New Roman"/>
          <w:sz w:val="18"/>
          <w:szCs w:val="18"/>
        </w:rPr>
        <w:t xml:space="preserve">*A clinical spine, hip, forearm or </w:t>
      </w:r>
      <w:proofErr w:type="spellStart"/>
      <w:r w:rsidRPr="000C6C72">
        <w:rPr>
          <w:rFonts w:ascii="Times New Roman" w:hAnsi="Times New Roman" w:cs="Times New Roman"/>
          <w:sz w:val="18"/>
          <w:szCs w:val="18"/>
        </w:rPr>
        <w:t>humerus</w:t>
      </w:r>
      <w:proofErr w:type="spellEnd"/>
      <w:r w:rsidRPr="000C6C72">
        <w:rPr>
          <w:rFonts w:ascii="Times New Roman" w:hAnsi="Times New Roman" w:cs="Times New Roman"/>
          <w:sz w:val="18"/>
          <w:szCs w:val="18"/>
        </w:rPr>
        <w:t xml:space="preserve"> fracture</w:t>
      </w:r>
    </w:p>
    <w:p w14:paraId="707CEBD8" w14:textId="77777777" w:rsidR="00DD7FAD" w:rsidRPr="000C6C72" w:rsidRDefault="00DD7FAD" w:rsidP="00DD7FAD">
      <w:pPr>
        <w:spacing w:after="0" w:line="360" w:lineRule="auto"/>
        <w:rPr>
          <w:rFonts w:ascii="Times New Roman" w:hAnsi="Times New Roman" w:cs="Times New Roman"/>
          <w:sz w:val="24"/>
          <w:szCs w:val="24"/>
        </w:rPr>
      </w:pPr>
    </w:p>
    <w:p w14:paraId="0370B7C1" w14:textId="0289F07D" w:rsidR="00DD7FAD" w:rsidRPr="008B435D" w:rsidRDefault="00306C66" w:rsidP="008B435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DD7FAD" w:rsidRPr="008B435D">
        <w:rPr>
          <w:rFonts w:ascii="Times New Roman" w:hAnsi="Times New Roman" w:cs="Times New Roman"/>
          <w:sz w:val="24"/>
          <w:szCs w:val="24"/>
        </w:rPr>
        <w:t xml:space="preserve">he aim of this SLR was to inform an international EULAR task force on a broad range of </w:t>
      </w:r>
      <w:r>
        <w:rPr>
          <w:rFonts w:ascii="Times New Roman" w:hAnsi="Times New Roman" w:cs="Times New Roman"/>
          <w:sz w:val="24"/>
          <w:szCs w:val="24"/>
        </w:rPr>
        <w:t>issues related to non-physician health professionals’</w:t>
      </w:r>
      <w:r w:rsidR="00DD7FAD" w:rsidRPr="008B435D">
        <w:rPr>
          <w:rFonts w:ascii="Times New Roman" w:hAnsi="Times New Roman" w:cs="Times New Roman"/>
          <w:sz w:val="24"/>
          <w:szCs w:val="24"/>
        </w:rPr>
        <w:t xml:space="preserve"> interventions. Non-physician health professionals deliver different interventions in different countries. Therefore, we foc</w:t>
      </w:r>
      <w:r>
        <w:rPr>
          <w:rFonts w:ascii="Times New Roman" w:hAnsi="Times New Roman" w:cs="Times New Roman"/>
          <w:sz w:val="24"/>
          <w:szCs w:val="24"/>
        </w:rPr>
        <w:t>used our</w:t>
      </w:r>
      <w:r w:rsidR="00DD7FAD" w:rsidRPr="008B435D">
        <w:rPr>
          <w:rFonts w:ascii="Times New Roman" w:hAnsi="Times New Roman" w:cs="Times New Roman"/>
          <w:sz w:val="24"/>
          <w:szCs w:val="24"/>
        </w:rPr>
        <w:t xml:space="preserve"> </w:t>
      </w:r>
      <w:r w:rsidR="00DD7FAD" w:rsidRPr="008B435D">
        <w:rPr>
          <w:rFonts w:ascii="Times New Roman" w:hAnsi="Times New Roman" w:cs="Times New Roman"/>
          <w:sz w:val="24"/>
          <w:szCs w:val="24"/>
        </w:rPr>
        <w:lastRenderedPageBreak/>
        <w:t xml:space="preserve">review on interventions which could potentially be delivered by non-physician health professionals independent of </w:t>
      </w:r>
      <w:r w:rsidR="00B41AD0">
        <w:rPr>
          <w:rFonts w:ascii="Times New Roman" w:hAnsi="Times New Roman" w:cs="Times New Roman"/>
          <w:sz w:val="24"/>
          <w:szCs w:val="24"/>
        </w:rPr>
        <w:t>whether</w:t>
      </w:r>
      <w:r w:rsidR="00DD7FAD" w:rsidRPr="008B435D">
        <w:rPr>
          <w:rFonts w:ascii="Times New Roman" w:hAnsi="Times New Roman" w:cs="Times New Roman"/>
          <w:sz w:val="24"/>
          <w:szCs w:val="24"/>
        </w:rPr>
        <w:t xml:space="preserve"> a study was led by a health professional or not.</w:t>
      </w:r>
    </w:p>
    <w:p w14:paraId="16462B60" w14:textId="77777777" w:rsidR="00DD7FAD" w:rsidRPr="000C6C72" w:rsidRDefault="00DD7FAD" w:rsidP="00DD7FAD">
      <w:pPr>
        <w:spacing w:after="0" w:line="360" w:lineRule="auto"/>
        <w:rPr>
          <w:rFonts w:ascii="Times New Roman" w:hAnsi="Times New Roman" w:cs="Times New Roman"/>
          <w:sz w:val="24"/>
          <w:szCs w:val="24"/>
        </w:rPr>
      </w:pPr>
    </w:p>
    <w:p w14:paraId="1CFAC790" w14:textId="022DF7CE" w:rsidR="00122122" w:rsidRPr="00C33A5F" w:rsidRDefault="00992759" w:rsidP="000957C3">
      <w:pPr>
        <w:spacing w:after="0" w:line="480" w:lineRule="auto"/>
        <w:jc w:val="both"/>
        <w:rPr>
          <w:rFonts w:ascii="Times New Roman" w:eastAsia="Calibri" w:hAnsi="Times New Roman" w:cs="Times New Roman"/>
          <w:sz w:val="24"/>
          <w:szCs w:val="24"/>
        </w:rPr>
      </w:pPr>
      <w:r w:rsidRPr="00C33A5F">
        <w:rPr>
          <w:rFonts w:ascii="Times New Roman" w:eastAsia="Calibri" w:hAnsi="Times New Roman" w:cs="Times New Roman"/>
          <w:sz w:val="24"/>
          <w:szCs w:val="24"/>
        </w:rPr>
        <w:t xml:space="preserve">A </w:t>
      </w:r>
      <w:r w:rsidR="00EB6B28" w:rsidRPr="00C33A5F">
        <w:rPr>
          <w:rFonts w:ascii="Times New Roman" w:eastAsia="Calibri" w:hAnsi="Times New Roman" w:cs="Times New Roman"/>
          <w:sz w:val="24"/>
          <w:szCs w:val="24"/>
        </w:rPr>
        <w:t>SLR</w:t>
      </w:r>
      <w:r w:rsidR="000528C8" w:rsidRPr="00C33A5F">
        <w:rPr>
          <w:rFonts w:ascii="Times New Roman" w:eastAsia="Calibri" w:hAnsi="Times New Roman" w:cs="Times New Roman"/>
          <w:sz w:val="24"/>
          <w:szCs w:val="24"/>
        </w:rPr>
        <w:t xml:space="preserve"> </w:t>
      </w:r>
      <w:r w:rsidR="00554634" w:rsidRPr="00C33A5F">
        <w:rPr>
          <w:rFonts w:ascii="Times New Roman" w:eastAsia="Calibri" w:hAnsi="Times New Roman" w:cs="Times New Roman"/>
          <w:sz w:val="24"/>
          <w:szCs w:val="24"/>
        </w:rPr>
        <w:t>for each of eight clinical questions</w:t>
      </w:r>
      <w:r w:rsidR="00C93E3B" w:rsidRPr="00C33A5F">
        <w:rPr>
          <w:rFonts w:ascii="Times New Roman" w:eastAsia="Calibri" w:hAnsi="Times New Roman" w:cs="Times New Roman"/>
          <w:sz w:val="24"/>
          <w:szCs w:val="24"/>
        </w:rPr>
        <w:t xml:space="preserve"> (</w:t>
      </w:r>
      <w:r w:rsidR="006A05CF" w:rsidRPr="00C33A5F">
        <w:rPr>
          <w:rFonts w:ascii="Times New Roman" w:eastAsia="Calibri" w:hAnsi="Times New Roman" w:cs="Times New Roman"/>
          <w:sz w:val="24"/>
          <w:szCs w:val="24"/>
        </w:rPr>
        <w:t>Table 2</w:t>
      </w:r>
      <w:r w:rsidR="00C93E3B" w:rsidRPr="00C33A5F">
        <w:rPr>
          <w:rFonts w:ascii="Times New Roman" w:eastAsia="Calibri" w:hAnsi="Times New Roman" w:cs="Times New Roman"/>
          <w:sz w:val="24"/>
          <w:szCs w:val="24"/>
        </w:rPr>
        <w:t>),</w:t>
      </w:r>
      <w:r w:rsidR="00E02F3D" w:rsidRPr="00C33A5F">
        <w:rPr>
          <w:rFonts w:ascii="Times New Roman" w:eastAsia="Calibri" w:hAnsi="Times New Roman" w:cs="Times New Roman"/>
          <w:sz w:val="24"/>
          <w:szCs w:val="24"/>
        </w:rPr>
        <w:t xml:space="preserve"> </w:t>
      </w:r>
      <w:r w:rsidR="002B566F" w:rsidRPr="00C33A5F">
        <w:rPr>
          <w:rFonts w:ascii="Times New Roman" w:eastAsia="Calibri" w:hAnsi="Times New Roman" w:cs="Times New Roman"/>
          <w:sz w:val="24"/>
          <w:szCs w:val="24"/>
        </w:rPr>
        <w:t xml:space="preserve">formulated and consensually agreed by </w:t>
      </w:r>
      <w:r w:rsidR="0071731F" w:rsidRPr="00C33A5F">
        <w:rPr>
          <w:rFonts w:ascii="Times New Roman" w:eastAsia="Calibri" w:hAnsi="Times New Roman" w:cs="Times New Roman"/>
          <w:sz w:val="24"/>
          <w:szCs w:val="24"/>
        </w:rPr>
        <w:t>the</w:t>
      </w:r>
      <w:r w:rsidR="003B16D3" w:rsidRPr="00C33A5F">
        <w:rPr>
          <w:rFonts w:ascii="Times New Roman" w:eastAsia="Calibri" w:hAnsi="Times New Roman" w:cs="Times New Roman"/>
          <w:sz w:val="24"/>
          <w:szCs w:val="24"/>
        </w:rPr>
        <w:t xml:space="preserve"> </w:t>
      </w:r>
      <w:r w:rsidR="002B566F" w:rsidRPr="00C33A5F">
        <w:rPr>
          <w:rFonts w:ascii="Times New Roman" w:eastAsia="Calibri" w:hAnsi="Times New Roman" w:cs="Times New Roman"/>
          <w:sz w:val="24"/>
          <w:szCs w:val="24"/>
        </w:rPr>
        <w:t>task</w:t>
      </w:r>
      <w:r w:rsidR="008307EC" w:rsidRPr="00C33A5F">
        <w:rPr>
          <w:rFonts w:ascii="Times New Roman" w:eastAsia="Calibri" w:hAnsi="Times New Roman" w:cs="Times New Roman"/>
          <w:sz w:val="24"/>
          <w:szCs w:val="24"/>
        </w:rPr>
        <w:t xml:space="preserve"> </w:t>
      </w:r>
      <w:r w:rsidR="002B566F" w:rsidRPr="00C33A5F">
        <w:rPr>
          <w:rFonts w:ascii="Times New Roman" w:eastAsia="Calibri" w:hAnsi="Times New Roman" w:cs="Times New Roman"/>
          <w:sz w:val="24"/>
          <w:szCs w:val="24"/>
        </w:rPr>
        <w:t>force</w:t>
      </w:r>
      <w:r w:rsidR="00452C84" w:rsidRPr="00C33A5F">
        <w:rPr>
          <w:rFonts w:ascii="Times New Roman" w:eastAsia="Calibri" w:hAnsi="Times New Roman" w:cs="Times New Roman"/>
          <w:sz w:val="24"/>
          <w:szCs w:val="24"/>
        </w:rPr>
        <w:t>,</w:t>
      </w:r>
      <w:r w:rsidR="002B566F" w:rsidRPr="00C33A5F">
        <w:rPr>
          <w:rFonts w:ascii="Times New Roman" w:eastAsia="Calibri" w:hAnsi="Times New Roman" w:cs="Times New Roman"/>
          <w:sz w:val="24"/>
          <w:szCs w:val="24"/>
        </w:rPr>
        <w:t xml:space="preserve"> </w:t>
      </w:r>
      <w:r w:rsidR="000528C8" w:rsidRPr="00C33A5F">
        <w:rPr>
          <w:rFonts w:ascii="Times New Roman" w:eastAsia="Calibri" w:hAnsi="Times New Roman" w:cs="Times New Roman"/>
          <w:sz w:val="24"/>
          <w:szCs w:val="24"/>
        </w:rPr>
        <w:t xml:space="preserve">was </w:t>
      </w:r>
      <w:r w:rsidR="004B5118" w:rsidRPr="00C33A5F">
        <w:rPr>
          <w:rFonts w:ascii="Times New Roman" w:eastAsia="Calibri" w:hAnsi="Times New Roman" w:cs="Times New Roman"/>
          <w:sz w:val="24"/>
          <w:szCs w:val="24"/>
        </w:rPr>
        <w:t xml:space="preserve">undertaken </w:t>
      </w:r>
      <w:r w:rsidR="00161765" w:rsidRPr="00C33A5F">
        <w:rPr>
          <w:rFonts w:ascii="Times New Roman" w:eastAsia="Calibri" w:hAnsi="Times New Roman" w:cs="Times New Roman"/>
          <w:sz w:val="24"/>
          <w:szCs w:val="24"/>
        </w:rPr>
        <w:t xml:space="preserve">by a research fellow (NW) </w:t>
      </w:r>
      <w:r w:rsidR="004B5118" w:rsidRPr="00C33A5F">
        <w:rPr>
          <w:rFonts w:ascii="Times New Roman" w:eastAsia="Calibri" w:hAnsi="Times New Roman" w:cs="Times New Roman"/>
          <w:sz w:val="24"/>
          <w:szCs w:val="24"/>
        </w:rPr>
        <w:t xml:space="preserve">with guidance from the task </w:t>
      </w:r>
      <w:r w:rsidR="008E2F7A" w:rsidRPr="00C33A5F">
        <w:rPr>
          <w:rFonts w:ascii="Times New Roman" w:eastAsia="Calibri" w:hAnsi="Times New Roman" w:cs="Times New Roman"/>
          <w:sz w:val="24"/>
          <w:szCs w:val="24"/>
        </w:rPr>
        <w:t>force convenors</w:t>
      </w:r>
      <w:r w:rsidR="00C32086" w:rsidRPr="00C33A5F">
        <w:rPr>
          <w:rFonts w:ascii="Times New Roman" w:eastAsia="Calibri" w:hAnsi="Times New Roman" w:cs="Times New Roman"/>
          <w:sz w:val="24"/>
          <w:szCs w:val="24"/>
        </w:rPr>
        <w:t xml:space="preserve"> (EH, JA)</w:t>
      </w:r>
      <w:r w:rsidR="008D12B1" w:rsidRPr="00C33A5F">
        <w:rPr>
          <w:rFonts w:ascii="Times New Roman" w:eastAsia="Calibri" w:hAnsi="Times New Roman" w:cs="Times New Roman"/>
          <w:sz w:val="24"/>
          <w:szCs w:val="24"/>
        </w:rPr>
        <w:t xml:space="preserve"> and </w:t>
      </w:r>
      <w:r w:rsidR="00E02F3D" w:rsidRPr="00C33A5F">
        <w:rPr>
          <w:rFonts w:ascii="Times New Roman" w:eastAsia="Calibri" w:hAnsi="Times New Roman" w:cs="Times New Roman"/>
          <w:sz w:val="24"/>
          <w:szCs w:val="24"/>
        </w:rPr>
        <w:t xml:space="preserve">a </w:t>
      </w:r>
      <w:r w:rsidR="008D12B1" w:rsidRPr="00C33A5F">
        <w:rPr>
          <w:rFonts w:ascii="Times New Roman" w:eastAsia="Calibri" w:hAnsi="Times New Roman" w:cs="Times New Roman"/>
          <w:sz w:val="24"/>
          <w:szCs w:val="24"/>
        </w:rPr>
        <w:t>methodologist</w:t>
      </w:r>
      <w:r w:rsidR="00C32086" w:rsidRPr="00C33A5F">
        <w:rPr>
          <w:rFonts w:ascii="Times New Roman" w:eastAsia="Calibri" w:hAnsi="Times New Roman" w:cs="Times New Roman"/>
          <w:sz w:val="24"/>
          <w:szCs w:val="24"/>
        </w:rPr>
        <w:t xml:space="preserve"> (TS)</w:t>
      </w:r>
      <w:r w:rsidRPr="00C33A5F">
        <w:rPr>
          <w:rFonts w:ascii="Times New Roman" w:eastAsia="Calibri" w:hAnsi="Times New Roman" w:cs="Times New Roman"/>
          <w:sz w:val="24"/>
          <w:szCs w:val="24"/>
        </w:rPr>
        <w:t>.</w:t>
      </w:r>
      <w:r w:rsidR="000C7CF3" w:rsidRPr="00C33A5F">
        <w:rPr>
          <w:rFonts w:ascii="Times New Roman" w:eastAsia="Calibri" w:hAnsi="Times New Roman" w:cs="Times New Roman"/>
          <w:sz w:val="24"/>
          <w:szCs w:val="24"/>
        </w:rPr>
        <w:t xml:space="preserve"> </w:t>
      </w:r>
      <w:r w:rsidR="00897994" w:rsidRPr="00C33A5F">
        <w:rPr>
          <w:rFonts w:ascii="Times New Roman" w:eastAsia="Calibri" w:hAnsi="Times New Roman" w:cs="Times New Roman"/>
          <w:sz w:val="24"/>
          <w:szCs w:val="24"/>
        </w:rPr>
        <w:t xml:space="preserve">The methods for </w:t>
      </w:r>
      <w:r w:rsidR="00417718" w:rsidRPr="00DD4BE8">
        <w:rPr>
          <w:rFonts w:ascii="Times New Roman" w:eastAsia="Calibri" w:hAnsi="Times New Roman" w:cs="Times New Roman"/>
          <w:sz w:val="24"/>
          <w:szCs w:val="24"/>
        </w:rPr>
        <w:t>each</w:t>
      </w:r>
      <w:r w:rsidR="00897994" w:rsidRPr="00C33A5F">
        <w:rPr>
          <w:rFonts w:ascii="Times New Roman" w:eastAsia="Calibri" w:hAnsi="Times New Roman" w:cs="Times New Roman"/>
          <w:sz w:val="24"/>
          <w:szCs w:val="24"/>
        </w:rPr>
        <w:t xml:space="preserve"> SLR</w:t>
      </w:r>
      <w:r w:rsidR="00A25312" w:rsidRPr="00C33A5F">
        <w:rPr>
          <w:rFonts w:ascii="Times New Roman" w:eastAsia="Calibri" w:hAnsi="Times New Roman" w:cs="Times New Roman"/>
          <w:sz w:val="24"/>
          <w:szCs w:val="24"/>
        </w:rPr>
        <w:t>,</w:t>
      </w:r>
      <w:r w:rsidR="00897994" w:rsidRPr="00C33A5F">
        <w:rPr>
          <w:rFonts w:ascii="Times New Roman" w:eastAsia="Calibri" w:hAnsi="Times New Roman" w:cs="Times New Roman"/>
          <w:sz w:val="24"/>
          <w:szCs w:val="24"/>
        </w:rPr>
        <w:t xml:space="preserve"> </w:t>
      </w:r>
      <w:r w:rsidR="00417718">
        <w:rPr>
          <w:rFonts w:ascii="Times New Roman" w:eastAsia="Calibri" w:hAnsi="Times New Roman" w:cs="Times New Roman"/>
          <w:sz w:val="24"/>
          <w:szCs w:val="24"/>
        </w:rPr>
        <w:t>including the research question</w:t>
      </w:r>
      <w:r w:rsidR="00897994" w:rsidRPr="00C33A5F">
        <w:rPr>
          <w:rFonts w:ascii="Times New Roman" w:eastAsia="Calibri" w:hAnsi="Times New Roman" w:cs="Times New Roman"/>
          <w:sz w:val="24"/>
          <w:szCs w:val="24"/>
        </w:rPr>
        <w:t xml:space="preserve"> and inclusion/exclusion criteria</w:t>
      </w:r>
      <w:r w:rsidR="00A25312" w:rsidRPr="00C33A5F">
        <w:rPr>
          <w:rFonts w:ascii="Times New Roman" w:eastAsia="Calibri" w:hAnsi="Times New Roman" w:cs="Times New Roman"/>
          <w:sz w:val="24"/>
          <w:szCs w:val="24"/>
        </w:rPr>
        <w:t>,</w:t>
      </w:r>
      <w:r w:rsidR="00897994" w:rsidRPr="00C33A5F">
        <w:rPr>
          <w:rFonts w:ascii="Times New Roman" w:eastAsia="Calibri" w:hAnsi="Times New Roman" w:cs="Times New Roman"/>
          <w:sz w:val="24"/>
          <w:szCs w:val="24"/>
        </w:rPr>
        <w:t xml:space="preserve"> were</w:t>
      </w:r>
      <w:r w:rsidR="00050E99">
        <w:rPr>
          <w:rFonts w:ascii="Times New Roman" w:eastAsia="Calibri" w:hAnsi="Times New Roman" w:cs="Times New Roman"/>
          <w:sz w:val="24"/>
          <w:szCs w:val="24"/>
        </w:rPr>
        <w:t xml:space="preserve"> agreed upon and documented within a joint task force meeting</w:t>
      </w:r>
      <w:r w:rsidR="00897994" w:rsidRPr="00C33A5F">
        <w:rPr>
          <w:rFonts w:ascii="Times New Roman" w:eastAsia="Calibri" w:hAnsi="Times New Roman" w:cs="Times New Roman"/>
          <w:sz w:val="24"/>
          <w:szCs w:val="24"/>
        </w:rPr>
        <w:t xml:space="preserve">. </w:t>
      </w:r>
      <w:r w:rsidR="00C32086" w:rsidRPr="00C33A5F">
        <w:rPr>
          <w:rFonts w:ascii="Times New Roman" w:eastAsia="Calibri" w:hAnsi="Times New Roman" w:cs="Times New Roman"/>
          <w:sz w:val="24"/>
          <w:szCs w:val="24"/>
        </w:rPr>
        <w:t xml:space="preserve">The task force comprised </w:t>
      </w:r>
      <w:r w:rsidR="005C6A6F" w:rsidRPr="00C33A5F">
        <w:rPr>
          <w:rFonts w:ascii="Times New Roman" w:eastAsia="Calibri" w:hAnsi="Times New Roman" w:cs="Times New Roman"/>
          <w:sz w:val="24"/>
          <w:szCs w:val="24"/>
        </w:rPr>
        <w:t xml:space="preserve">two patient </w:t>
      </w:r>
      <w:r w:rsidR="00897994" w:rsidRPr="00C33A5F">
        <w:rPr>
          <w:rFonts w:ascii="Times New Roman" w:eastAsia="Calibri" w:hAnsi="Times New Roman" w:cs="Times New Roman"/>
          <w:sz w:val="24"/>
          <w:szCs w:val="24"/>
        </w:rPr>
        <w:t xml:space="preserve">research </w:t>
      </w:r>
      <w:r w:rsidR="005C6A6F" w:rsidRPr="00C33A5F">
        <w:rPr>
          <w:rFonts w:ascii="Times New Roman" w:eastAsia="Calibri" w:hAnsi="Times New Roman" w:cs="Times New Roman"/>
          <w:sz w:val="24"/>
          <w:szCs w:val="24"/>
        </w:rPr>
        <w:t>partners, one dietitian, one geriatrician and one nurse, three occupational therapists, two orthopaedic surgeons, four physiotherapists</w:t>
      </w:r>
      <w:r w:rsidR="00DC008A">
        <w:rPr>
          <w:rFonts w:ascii="Times New Roman" w:eastAsia="Calibri" w:hAnsi="Times New Roman" w:cs="Times New Roman"/>
          <w:sz w:val="24"/>
          <w:szCs w:val="24"/>
        </w:rPr>
        <w:t>, one specialist in physical medicine and rehabilitation</w:t>
      </w:r>
      <w:r w:rsidR="005C6A6F" w:rsidRPr="00C33A5F">
        <w:rPr>
          <w:rFonts w:ascii="Times New Roman" w:eastAsia="Calibri" w:hAnsi="Times New Roman" w:cs="Times New Roman"/>
          <w:sz w:val="24"/>
          <w:szCs w:val="24"/>
        </w:rPr>
        <w:t xml:space="preserve"> and </w:t>
      </w:r>
      <w:r w:rsidR="00DC008A">
        <w:rPr>
          <w:rFonts w:ascii="Times New Roman" w:eastAsia="Calibri" w:hAnsi="Times New Roman" w:cs="Times New Roman"/>
          <w:sz w:val="24"/>
          <w:szCs w:val="24"/>
        </w:rPr>
        <w:t>f</w:t>
      </w:r>
      <w:r w:rsidR="009A7223">
        <w:rPr>
          <w:rFonts w:ascii="Times New Roman" w:eastAsia="Calibri" w:hAnsi="Times New Roman" w:cs="Times New Roman"/>
          <w:sz w:val="24"/>
          <w:szCs w:val="24"/>
        </w:rPr>
        <w:t>ive</w:t>
      </w:r>
      <w:r w:rsidR="00DC008A">
        <w:rPr>
          <w:rFonts w:ascii="Times New Roman" w:eastAsia="Calibri" w:hAnsi="Times New Roman" w:cs="Times New Roman"/>
          <w:sz w:val="24"/>
          <w:szCs w:val="24"/>
        </w:rPr>
        <w:t xml:space="preserve"> </w:t>
      </w:r>
      <w:r w:rsidR="005C6A6F" w:rsidRPr="00C33A5F">
        <w:rPr>
          <w:rFonts w:ascii="Times New Roman" w:eastAsia="Calibri" w:hAnsi="Times New Roman" w:cs="Times New Roman"/>
          <w:sz w:val="24"/>
          <w:szCs w:val="24"/>
        </w:rPr>
        <w:t>rheumatologists</w:t>
      </w:r>
      <w:r w:rsidR="0073734C" w:rsidRPr="00C33A5F">
        <w:rPr>
          <w:rFonts w:ascii="Times New Roman" w:eastAsia="Calibri" w:hAnsi="Times New Roman" w:cs="Times New Roman"/>
          <w:sz w:val="24"/>
          <w:szCs w:val="24"/>
        </w:rPr>
        <w:t>,</w:t>
      </w:r>
      <w:r w:rsidR="005C6A6F" w:rsidRPr="00C33A5F">
        <w:rPr>
          <w:rFonts w:ascii="Times New Roman" w:eastAsia="Calibri" w:hAnsi="Times New Roman" w:cs="Times New Roman"/>
          <w:sz w:val="24"/>
          <w:szCs w:val="24"/>
        </w:rPr>
        <w:t xml:space="preserve"> drawn</w:t>
      </w:r>
      <w:r w:rsidR="00C32086" w:rsidRPr="00C33A5F">
        <w:rPr>
          <w:rFonts w:ascii="Times New Roman" w:eastAsia="Calibri" w:hAnsi="Times New Roman" w:cs="Times New Roman"/>
          <w:sz w:val="24"/>
          <w:szCs w:val="24"/>
        </w:rPr>
        <w:t xml:space="preserve"> fro</w:t>
      </w:r>
      <w:r w:rsidR="007C1EF1" w:rsidRPr="00C33A5F">
        <w:rPr>
          <w:rFonts w:ascii="Times New Roman" w:eastAsia="Calibri" w:hAnsi="Times New Roman" w:cs="Times New Roman"/>
          <w:sz w:val="24"/>
          <w:szCs w:val="24"/>
        </w:rPr>
        <w:t xml:space="preserve">m ten European countries. </w:t>
      </w:r>
    </w:p>
    <w:p w14:paraId="5BC68FF1" w14:textId="77777777" w:rsidR="005C6CC3" w:rsidRPr="00C33A5F" w:rsidRDefault="005C6CC3" w:rsidP="00201E8F">
      <w:pPr>
        <w:spacing w:after="0" w:line="480" w:lineRule="auto"/>
        <w:rPr>
          <w:rFonts w:ascii="Times New Roman" w:eastAsia="Calibri" w:hAnsi="Times New Roman" w:cs="Times New Roman"/>
          <w:sz w:val="24"/>
          <w:szCs w:val="24"/>
        </w:rPr>
      </w:pPr>
    </w:p>
    <w:p w14:paraId="6B8CE5F7" w14:textId="77777777" w:rsidR="00201E8F" w:rsidRPr="00C33A5F" w:rsidRDefault="00201E8F" w:rsidP="00201E8F">
      <w:pPr>
        <w:spacing w:after="0"/>
        <w:rPr>
          <w:rFonts w:ascii="Times New Roman" w:hAnsi="Times New Roman" w:cs="Times New Roman"/>
          <w:b/>
          <w:sz w:val="24"/>
          <w:szCs w:val="24"/>
        </w:rPr>
      </w:pPr>
      <w:r w:rsidRPr="00C33A5F">
        <w:rPr>
          <w:rFonts w:ascii="Times New Roman" w:hAnsi="Times New Roman" w:cs="Times New Roman"/>
          <w:b/>
          <w:sz w:val="24"/>
          <w:szCs w:val="24"/>
        </w:rPr>
        <w:t>Table 2</w:t>
      </w:r>
      <w:r w:rsidR="00C15653" w:rsidRPr="00C33A5F">
        <w:rPr>
          <w:rFonts w:ascii="Times New Roman" w:hAnsi="Times New Roman" w:cs="Times New Roman"/>
          <w:b/>
          <w:sz w:val="24"/>
          <w:szCs w:val="24"/>
        </w:rPr>
        <w:t>.</w:t>
      </w:r>
      <w:r w:rsidRPr="00C33A5F">
        <w:rPr>
          <w:rFonts w:ascii="Times New Roman" w:hAnsi="Times New Roman" w:cs="Times New Roman"/>
          <w:b/>
          <w:sz w:val="24"/>
          <w:szCs w:val="24"/>
        </w:rPr>
        <w:t xml:space="preserve"> Clinical questions</w:t>
      </w:r>
    </w:p>
    <w:tbl>
      <w:tblPr>
        <w:tblStyle w:val="TableGrid"/>
        <w:tblpPr w:leftFromText="181" w:rightFromText="181" w:vertAnchor="text" w:horzAnchor="margin" w:tblpY="1"/>
        <w:tblOverlap w:val="nev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20"/>
        <w:gridCol w:w="8596"/>
      </w:tblGrid>
      <w:tr w:rsidR="00C4149E" w:rsidRPr="00C33A5F" w14:paraId="24E45376" w14:textId="77777777" w:rsidTr="008A1476">
        <w:tc>
          <w:tcPr>
            <w:tcW w:w="420" w:type="dxa"/>
            <w:tcMar>
              <w:top w:w="57" w:type="dxa"/>
              <w:bottom w:w="57" w:type="dxa"/>
            </w:tcMar>
          </w:tcPr>
          <w:p w14:paraId="175F37A2" w14:textId="77777777" w:rsidR="00C4149E" w:rsidRPr="00C33A5F" w:rsidRDefault="00C4149E" w:rsidP="00483AA9">
            <w:pPr>
              <w:jc w:val="center"/>
              <w:rPr>
                <w:rFonts w:ascii="Times New Roman" w:eastAsia="Calibri" w:hAnsi="Times New Roman" w:cs="Times New Roman"/>
                <w:sz w:val="24"/>
                <w:szCs w:val="24"/>
              </w:rPr>
            </w:pPr>
            <w:r w:rsidRPr="00C33A5F">
              <w:rPr>
                <w:rFonts w:ascii="Times New Roman" w:eastAsia="Calibri" w:hAnsi="Times New Roman" w:cs="Times New Roman"/>
                <w:sz w:val="24"/>
                <w:szCs w:val="24"/>
              </w:rPr>
              <w:t>1</w:t>
            </w:r>
          </w:p>
        </w:tc>
        <w:tc>
          <w:tcPr>
            <w:tcW w:w="8596" w:type="dxa"/>
            <w:tcMar>
              <w:top w:w="57" w:type="dxa"/>
              <w:bottom w:w="57" w:type="dxa"/>
            </w:tcMar>
          </w:tcPr>
          <w:p w14:paraId="3AE601EA" w14:textId="77777777" w:rsidR="00C4149E" w:rsidRPr="00C33A5F" w:rsidRDefault="00C4149E" w:rsidP="00483AA9">
            <w:pPr>
              <w:rPr>
                <w:rFonts w:ascii="Times New Roman" w:eastAsia="Calibri" w:hAnsi="Times New Roman" w:cs="Times New Roman"/>
                <w:sz w:val="24"/>
                <w:szCs w:val="24"/>
              </w:rPr>
            </w:pPr>
            <w:r w:rsidRPr="00C33A5F">
              <w:rPr>
                <w:rFonts w:ascii="Times New Roman" w:eastAsia="Calibri" w:hAnsi="Times New Roman" w:cs="Times New Roman"/>
                <w:sz w:val="24"/>
                <w:szCs w:val="24"/>
              </w:rPr>
              <w:t>Which diagnostic procedures, undertaken by non-physician health professionals</w:t>
            </w:r>
            <w:r w:rsidR="00417718">
              <w:rPr>
                <w:rFonts w:ascii="Times New Roman" w:eastAsia="Calibri" w:hAnsi="Times New Roman" w:cs="Times New Roman"/>
                <w:sz w:val="24"/>
                <w:szCs w:val="24"/>
              </w:rPr>
              <w:t xml:space="preserve"> (HPs)</w:t>
            </w:r>
            <w:r w:rsidRPr="00C33A5F">
              <w:rPr>
                <w:rFonts w:ascii="Times New Roman" w:eastAsia="Calibri" w:hAnsi="Times New Roman" w:cs="Times New Roman"/>
                <w:sz w:val="24"/>
                <w:szCs w:val="24"/>
              </w:rPr>
              <w:t>, are recommended in the assessment of ri</w:t>
            </w:r>
            <w:r w:rsidR="00DD4BE8">
              <w:rPr>
                <w:rFonts w:ascii="Times New Roman" w:eastAsia="Calibri" w:hAnsi="Times New Roman" w:cs="Times New Roman"/>
                <w:sz w:val="24"/>
                <w:szCs w:val="24"/>
              </w:rPr>
              <w:t>sk of falling in adults at high-</w:t>
            </w:r>
            <w:r w:rsidRPr="00C33A5F">
              <w:rPr>
                <w:rFonts w:ascii="Times New Roman" w:eastAsia="Calibri" w:hAnsi="Times New Roman" w:cs="Times New Roman"/>
                <w:sz w:val="24"/>
                <w:szCs w:val="24"/>
              </w:rPr>
              <w:t xml:space="preserve">risk of primary or secondary osteoporotic fracture? </w:t>
            </w:r>
          </w:p>
        </w:tc>
      </w:tr>
      <w:tr w:rsidR="00C4149E" w:rsidRPr="00C33A5F" w14:paraId="49D3BA44" w14:textId="77777777" w:rsidTr="008A1476">
        <w:tc>
          <w:tcPr>
            <w:tcW w:w="420" w:type="dxa"/>
            <w:tcMar>
              <w:top w:w="57" w:type="dxa"/>
              <w:bottom w:w="57" w:type="dxa"/>
            </w:tcMar>
          </w:tcPr>
          <w:p w14:paraId="6662AD75" w14:textId="77777777" w:rsidR="00C4149E" w:rsidRPr="00C33A5F" w:rsidRDefault="00C4149E" w:rsidP="00483AA9">
            <w:pPr>
              <w:jc w:val="center"/>
              <w:rPr>
                <w:rFonts w:ascii="Times New Roman" w:eastAsia="Calibri" w:hAnsi="Times New Roman" w:cs="Times New Roman"/>
                <w:sz w:val="24"/>
                <w:szCs w:val="24"/>
              </w:rPr>
            </w:pPr>
            <w:r w:rsidRPr="00C33A5F">
              <w:rPr>
                <w:rFonts w:ascii="Times New Roman" w:eastAsia="Calibri" w:hAnsi="Times New Roman" w:cs="Times New Roman"/>
                <w:sz w:val="24"/>
                <w:szCs w:val="24"/>
              </w:rPr>
              <w:t>2</w:t>
            </w:r>
          </w:p>
        </w:tc>
        <w:tc>
          <w:tcPr>
            <w:tcW w:w="8596" w:type="dxa"/>
            <w:tcMar>
              <w:top w:w="57" w:type="dxa"/>
              <w:bottom w:w="57" w:type="dxa"/>
            </w:tcMar>
          </w:tcPr>
          <w:p w14:paraId="72A5484E" w14:textId="77777777" w:rsidR="00C4149E" w:rsidRPr="00C33A5F" w:rsidRDefault="00C4149E" w:rsidP="00417718">
            <w:pPr>
              <w:rPr>
                <w:rFonts w:ascii="Times New Roman" w:eastAsia="Calibri" w:hAnsi="Times New Roman" w:cs="Times New Roman"/>
                <w:sz w:val="24"/>
                <w:szCs w:val="24"/>
              </w:rPr>
            </w:pPr>
            <w:r w:rsidRPr="00C33A5F">
              <w:rPr>
                <w:rFonts w:ascii="Times New Roman" w:eastAsia="Calibri" w:hAnsi="Times New Roman" w:cs="Times New Roman"/>
                <w:sz w:val="24"/>
                <w:szCs w:val="24"/>
              </w:rPr>
              <w:t>Wha</w:t>
            </w:r>
            <w:r w:rsidR="00DC47F6">
              <w:rPr>
                <w:rFonts w:ascii="Times New Roman" w:eastAsia="Calibri" w:hAnsi="Times New Roman" w:cs="Times New Roman"/>
                <w:sz w:val="24"/>
                <w:szCs w:val="24"/>
              </w:rPr>
              <w:t>t is the effect (including cost-</w:t>
            </w:r>
            <w:r w:rsidRPr="00C33A5F">
              <w:rPr>
                <w:rFonts w:ascii="Times New Roman" w:eastAsia="Calibri" w:hAnsi="Times New Roman" w:cs="Times New Roman"/>
                <w:sz w:val="24"/>
                <w:szCs w:val="24"/>
              </w:rPr>
              <w:t xml:space="preserve">effectiveness and safety) of non-pharmacological treatments provided by </w:t>
            </w:r>
            <w:r w:rsidR="00417718" w:rsidRPr="00DD4BE8">
              <w:rPr>
                <w:rFonts w:ascii="Times New Roman" w:eastAsia="Calibri" w:hAnsi="Times New Roman" w:cs="Times New Roman"/>
                <w:sz w:val="24"/>
                <w:szCs w:val="24"/>
              </w:rPr>
              <w:t>HPs</w:t>
            </w:r>
            <w:r w:rsidRPr="00DD4BE8">
              <w:rPr>
                <w:rFonts w:ascii="Times New Roman" w:eastAsia="Calibri" w:hAnsi="Times New Roman" w:cs="Times New Roman"/>
                <w:sz w:val="24"/>
                <w:szCs w:val="24"/>
              </w:rPr>
              <w:t xml:space="preserve"> </w:t>
            </w:r>
            <w:r w:rsidRPr="00C33A5F">
              <w:rPr>
                <w:rFonts w:ascii="Times New Roman" w:eastAsia="Calibri" w:hAnsi="Times New Roman" w:cs="Times New Roman"/>
                <w:sz w:val="24"/>
                <w:szCs w:val="24"/>
              </w:rPr>
              <w:t xml:space="preserve">after osteoporotic fracture? </w:t>
            </w:r>
          </w:p>
        </w:tc>
      </w:tr>
      <w:tr w:rsidR="00C4149E" w:rsidRPr="00C33A5F" w14:paraId="74121E44" w14:textId="77777777" w:rsidTr="008A1476">
        <w:tc>
          <w:tcPr>
            <w:tcW w:w="420" w:type="dxa"/>
            <w:tcMar>
              <w:top w:w="57" w:type="dxa"/>
              <w:bottom w:w="57" w:type="dxa"/>
            </w:tcMar>
          </w:tcPr>
          <w:p w14:paraId="5A9DAC20" w14:textId="77777777" w:rsidR="00C4149E" w:rsidRPr="00C33A5F" w:rsidRDefault="00C4149E" w:rsidP="00483AA9">
            <w:pPr>
              <w:jc w:val="center"/>
              <w:rPr>
                <w:rFonts w:ascii="Times New Roman" w:eastAsia="Calibri" w:hAnsi="Times New Roman" w:cs="Times New Roman"/>
                <w:sz w:val="24"/>
                <w:szCs w:val="24"/>
              </w:rPr>
            </w:pPr>
            <w:r w:rsidRPr="00C33A5F">
              <w:rPr>
                <w:rFonts w:ascii="Times New Roman" w:eastAsia="Calibri" w:hAnsi="Times New Roman" w:cs="Times New Roman"/>
                <w:sz w:val="24"/>
                <w:szCs w:val="24"/>
              </w:rPr>
              <w:t>3</w:t>
            </w:r>
          </w:p>
        </w:tc>
        <w:tc>
          <w:tcPr>
            <w:tcW w:w="8596" w:type="dxa"/>
            <w:tcMar>
              <w:top w:w="57" w:type="dxa"/>
              <w:bottom w:w="57" w:type="dxa"/>
            </w:tcMar>
          </w:tcPr>
          <w:p w14:paraId="6DE13744" w14:textId="77777777" w:rsidR="00C4149E" w:rsidRPr="00C33A5F" w:rsidRDefault="00C4149E" w:rsidP="00417718">
            <w:pPr>
              <w:rPr>
                <w:rFonts w:ascii="Times New Roman" w:eastAsia="Calibri" w:hAnsi="Times New Roman" w:cs="Times New Roman"/>
                <w:sz w:val="24"/>
                <w:szCs w:val="24"/>
              </w:rPr>
            </w:pPr>
            <w:r w:rsidRPr="00C33A5F">
              <w:rPr>
                <w:rFonts w:ascii="Times New Roman" w:eastAsia="Calibri" w:hAnsi="Times New Roman" w:cs="Times New Roman"/>
                <w:sz w:val="24"/>
                <w:szCs w:val="24"/>
              </w:rPr>
              <w:t>Wha</w:t>
            </w:r>
            <w:r w:rsidR="00DC47F6">
              <w:rPr>
                <w:rFonts w:ascii="Times New Roman" w:eastAsia="Calibri" w:hAnsi="Times New Roman" w:cs="Times New Roman"/>
                <w:sz w:val="24"/>
                <w:szCs w:val="24"/>
              </w:rPr>
              <w:t>t is the effect (including cost-</w:t>
            </w:r>
            <w:r w:rsidRPr="00C33A5F">
              <w:rPr>
                <w:rFonts w:ascii="Times New Roman" w:eastAsia="Calibri" w:hAnsi="Times New Roman" w:cs="Times New Roman"/>
                <w:sz w:val="24"/>
                <w:szCs w:val="24"/>
              </w:rPr>
              <w:t xml:space="preserve">effectiveness and safety) of non-pharmacological treatments provided by </w:t>
            </w:r>
            <w:r w:rsidR="00417718" w:rsidRPr="00DD4BE8">
              <w:rPr>
                <w:rFonts w:ascii="Times New Roman" w:eastAsia="Calibri" w:hAnsi="Times New Roman" w:cs="Times New Roman"/>
                <w:sz w:val="24"/>
                <w:szCs w:val="24"/>
              </w:rPr>
              <w:t>HPs</w:t>
            </w:r>
            <w:r w:rsidR="00DD4BE8">
              <w:rPr>
                <w:rFonts w:ascii="Times New Roman" w:eastAsia="Calibri" w:hAnsi="Times New Roman" w:cs="Times New Roman"/>
                <w:sz w:val="24"/>
                <w:szCs w:val="24"/>
              </w:rPr>
              <w:t xml:space="preserve"> in adults at high-</w:t>
            </w:r>
            <w:r w:rsidRPr="00C33A5F">
              <w:rPr>
                <w:rFonts w:ascii="Times New Roman" w:eastAsia="Calibri" w:hAnsi="Times New Roman" w:cs="Times New Roman"/>
                <w:sz w:val="24"/>
                <w:szCs w:val="24"/>
              </w:rPr>
              <w:t xml:space="preserve">risk of primary osteoporotic fracture? </w:t>
            </w:r>
          </w:p>
        </w:tc>
      </w:tr>
      <w:tr w:rsidR="00C4149E" w:rsidRPr="00C33A5F" w14:paraId="73159C10" w14:textId="77777777" w:rsidTr="008A1476">
        <w:tc>
          <w:tcPr>
            <w:tcW w:w="420" w:type="dxa"/>
            <w:tcMar>
              <w:top w:w="57" w:type="dxa"/>
              <w:bottom w:w="57" w:type="dxa"/>
            </w:tcMar>
          </w:tcPr>
          <w:p w14:paraId="76200C90" w14:textId="77777777" w:rsidR="00C4149E" w:rsidRPr="00C33A5F" w:rsidRDefault="00C4149E" w:rsidP="00483AA9">
            <w:pPr>
              <w:jc w:val="center"/>
              <w:rPr>
                <w:rFonts w:ascii="Times New Roman" w:eastAsia="Calibri" w:hAnsi="Times New Roman" w:cs="Times New Roman"/>
                <w:sz w:val="24"/>
                <w:szCs w:val="24"/>
              </w:rPr>
            </w:pPr>
            <w:r w:rsidRPr="00C33A5F">
              <w:rPr>
                <w:rFonts w:ascii="Times New Roman" w:eastAsia="Calibri" w:hAnsi="Times New Roman" w:cs="Times New Roman"/>
                <w:sz w:val="24"/>
                <w:szCs w:val="24"/>
              </w:rPr>
              <w:t>4</w:t>
            </w:r>
          </w:p>
        </w:tc>
        <w:tc>
          <w:tcPr>
            <w:tcW w:w="8596" w:type="dxa"/>
            <w:tcMar>
              <w:top w:w="57" w:type="dxa"/>
              <w:bottom w:w="57" w:type="dxa"/>
            </w:tcMar>
          </w:tcPr>
          <w:p w14:paraId="468EE5E0" w14:textId="77777777" w:rsidR="00C4149E" w:rsidRPr="00C33A5F" w:rsidRDefault="00C4149E" w:rsidP="00417718">
            <w:pPr>
              <w:rPr>
                <w:rFonts w:ascii="Times New Roman" w:eastAsia="Calibri" w:hAnsi="Times New Roman" w:cs="Times New Roman"/>
                <w:sz w:val="24"/>
                <w:szCs w:val="24"/>
              </w:rPr>
            </w:pPr>
            <w:r w:rsidRPr="00C33A5F">
              <w:rPr>
                <w:rFonts w:ascii="Times New Roman" w:eastAsia="Calibri" w:hAnsi="Times New Roman" w:cs="Times New Roman"/>
                <w:sz w:val="24"/>
                <w:szCs w:val="24"/>
              </w:rPr>
              <w:t xml:space="preserve">What is the effect of strategies undertaken by </w:t>
            </w:r>
            <w:r w:rsidR="00417718" w:rsidRPr="00DD4BE8">
              <w:rPr>
                <w:rFonts w:ascii="Times New Roman" w:eastAsia="Calibri" w:hAnsi="Times New Roman" w:cs="Times New Roman"/>
                <w:sz w:val="24"/>
                <w:szCs w:val="24"/>
              </w:rPr>
              <w:t>HP</w:t>
            </w:r>
            <w:r w:rsidR="00417718">
              <w:rPr>
                <w:rFonts w:ascii="Times New Roman" w:eastAsia="Calibri" w:hAnsi="Times New Roman" w:cs="Times New Roman"/>
                <w:sz w:val="24"/>
                <w:szCs w:val="24"/>
              </w:rPr>
              <w:t>s</w:t>
            </w:r>
            <w:r w:rsidRPr="00C33A5F">
              <w:rPr>
                <w:rFonts w:ascii="Times New Roman" w:eastAsia="Calibri" w:hAnsi="Times New Roman" w:cs="Times New Roman"/>
                <w:sz w:val="24"/>
                <w:szCs w:val="24"/>
              </w:rPr>
              <w:t xml:space="preserve"> to implement recommendations for the prevention and management of osteoporotic fracture by potential stakeholders?</w:t>
            </w:r>
          </w:p>
        </w:tc>
      </w:tr>
      <w:tr w:rsidR="00C4149E" w:rsidRPr="00C33A5F" w14:paraId="4660A045" w14:textId="77777777" w:rsidTr="008A1476">
        <w:tc>
          <w:tcPr>
            <w:tcW w:w="420" w:type="dxa"/>
            <w:tcMar>
              <w:top w:w="57" w:type="dxa"/>
              <w:bottom w:w="57" w:type="dxa"/>
            </w:tcMar>
          </w:tcPr>
          <w:p w14:paraId="1F10FBEA" w14:textId="77777777" w:rsidR="00C4149E" w:rsidRPr="00C33A5F" w:rsidRDefault="00C4149E" w:rsidP="00483AA9">
            <w:pPr>
              <w:jc w:val="center"/>
              <w:rPr>
                <w:rFonts w:ascii="Times New Roman" w:eastAsia="Calibri" w:hAnsi="Times New Roman" w:cs="Times New Roman"/>
                <w:sz w:val="24"/>
                <w:szCs w:val="24"/>
              </w:rPr>
            </w:pPr>
            <w:r w:rsidRPr="00C33A5F">
              <w:rPr>
                <w:rFonts w:ascii="Times New Roman" w:eastAsia="Calibri" w:hAnsi="Times New Roman" w:cs="Times New Roman"/>
                <w:sz w:val="24"/>
                <w:szCs w:val="24"/>
              </w:rPr>
              <w:t>5</w:t>
            </w:r>
          </w:p>
        </w:tc>
        <w:tc>
          <w:tcPr>
            <w:tcW w:w="8596" w:type="dxa"/>
            <w:tcMar>
              <w:top w:w="57" w:type="dxa"/>
              <w:bottom w:w="57" w:type="dxa"/>
            </w:tcMar>
          </w:tcPr>
          <w:p w14:paraId="699CFB46" w14:textId="77777777" w:rsidR="00C4149E" w:rsidRPr="00C33A5F" w:rsidRDefault="00C4149E" w:rsidP="00483AA9">
            <w:pPr>
              <w:rPr>
                <w:rFonts w:ascii="Times New Roman" w:eastAsia="Calibri" w:hAnsi="Times New Roman" w:cs="Times New Roman"/>
                <w:sz w:val="24"/>
                <w:szCs w:val="24"/>
              </w:rPr>
            </w:pPr>
            <w:r w:rsidRPr="00C33A5F">
              <w:rPr>
                <w:rFonts w:ascii="Times New Roman" w:eastAsia="Calibri" w:hAnsi="Times New Roman" w:cs="Times New Roman"/>
                <w:sz w:val="24"/>
                <w:szCs w:val="24"/>
              </w:rPr>
              <w:t xml:space="preserve">What is the effect of multi-disciplinary team care on health outcomes for persons at high-risk of primary or secondary osteoporotic fracture? </w:t>
            </w:r>
          </w:p>
        </w:tc>
      </w:tr>
      <w:tr w:rsidR="00C4149E" w:rsidRPr="00C33A5F" w14:paraId="7E45794E" w14:textId="77777777" w:rsidTr="008A1476">
        <w:tc>
          <w:tcPr>
            <w:tcW w:w="420" w:type="dxa"/>
            <w:tcMar>
              <w:top w:w="57" w:type="dxa"/>
              <w:bottom w:w="57" w:type="dxa"/>
            </w:tcMar>
          </w:tcPr>
          <w:p w14:paraId="03F149DE" w14:textId="77777777" w:rsidR="00C4149E" w:rsidRPr="00C33A5F" w:rsidRDefault="00C4149E" w:rsidP="00483AA9">
            <w:pPr>
              <w:jc w:val="center"/>
              <w:rPr>
                <w:rFonts w:ascii="Times New Roman" w:eastAsia="Calibri" w:hAnsi="Times New Roman" w:cs="Times New Roman"/>
                <w:sz w:val="24"/>
                <w:szCs w:val="24"/>
              </w:rPr>
            </w:pPr>
            <w:r w:rsidRPr="00C33A5F">
              <w:rPr>
                <w:rFonts w:ascii="Times New Roman" w:eastAsia="Calibri" w:hAnsi="Times New Roman" w:cs="Times New Roman"/>
                <w:sz w:val="24"/>
                <w:szCs w:val="24"/>
              </w:rPr>
              <w:t>6</w:t>
            </w:r>
          </w:p>
        </w:tc>
        <w:tc>
          <w:tcPr>
            <w:tcW w:w="8596" w:type="dxa"/>
            <w:tcMar>
              <w:top w:w="57" w:type="dxa"/>
              <w:bottom w:w="57" w:type="dxa"/>
            </w:tcMar>
          </w:tcPr>
          <w:p w14:paraId="5AAB721C" w14:textId="77777777" w:rsidR="00C4149E" w:rsidRPr="00C33A5F" w:rsidRDefault="00C4149E" w:rsidP="00417718">
            <w:pPr>
              <w:rPr>
                <w:rFonts w:ascii="Times New Roman" w:eastAsia="Calibri" w:hAnsi="Times New Roman" w:cs="Times New Roman"/>
                <w:sz w:val="24"/>
                <w:szCs w:val="24"/>
              </w:rPr>
            </w:pPr>
            <w:r w:rsidRPr="00C33A5F">
              <w:rPr>
                <w:rFonts w:ascii="Times New Roman" w:eastAsia="Calibri" w:hAnsi="Times New Roman" w:cs="Times New Roman"/>
                <w:sz w:val="24"/>
                <w:szCs w:val="24"/>
              </w:rPr>
              <w:t xml:space="preserve">What is the effect of interventions provided by </w:t>
            </w:r>
            <w:r w:rsidR="00417718" w:rsidRPr="00DD4BE8">
              <w:rPr>
                <w:rFonts w:ascii="Times New Roman" w:eastAsia="Calibri" w:hAnsi="Times New Roman" w:cs="Times New Roman"/>
                <w:sz w:val="24"/>
                <w:szCs w:val="24"/>
              </w:rPr>
              <w:t>HPs</w:t>
            </w:r>
            <w:r w:rsidRPr="00C33A5F">
              <w:rPr>
                <w:rFonts w:ascii="Times New Roman" w:eastAsia="Calibri" w:hAnsi="Times New Roman" w:cs="Times New Roman"/>
                <w:sz w:val="24"/>
                <w:szCs w:val="24"/>
              </w:rPr>
              <w:t xml:space="preserve"> to enhance adherence to anti-osteoporosis medicines in adults at high-risk of primary or secondary osteoporotic fracture?</w:t>
            </w:r>
          </w:p>
        </w:tc>
      </w:tr>
    </w:tbl>
    <w:p w14:paraId="190C0716" w14:textId="77777777" w:rsidR="00D57467" w:rsidRPr="00C33A5F" w:rsidRDefault="00D57467" w:rsidP="003F7A03">
      <w:pPr>
        <w:spacing w:after="0" w:line="480" w:lineRule="auto"/>
        <w:rPr>
          <w:rFonts w:ascii="Times New Roman" w:eastAsia="Calibri" w:hAnsi="Times New Roman" w:cs="Times New Roman"/>
          <w:b/>
          <w:sz w:val="24"/>
          <w:szCs w:val="24"/>
        </w:rPr>
      </w:pPr>
    </w:p>
    <w:p w14:paraId="7D7883B9" w14:textId="38884362" w:rsidR="0054785B" w:rsidRPr="00C33A5F" w:rsidRDefault="0059467B" w:rsidP="00C15B2F">
      <w:pPr>
        <w:spacing w:after="0" w:line="480" w:lineRule="auto"/>
        <w:jc w:val="both"/>
        <w:rPr>
          <w:rFonts w:ascii="Times New Roman" w:eastAsia="Calibri" w:hAnsi="Times New Roman" w:cs="Times New Roman"/>
          <w:sz w:val="24"/>
          <w:szCs w:val="24"/>
        </w:rPr>
      </w:pPr>
      <w:r w:rsidRPr="00C33A5F">
        <w:rPr>
          <w:rFonts w:ascii="Times New Roman" w:eastAsia="Calibri" w:hAnsi="Times New Roman" w:cs="Times New Roman"/>
          <w:sz w:val="24"/>
          <w:szCs w:val="24"/>
        </w:rPr>
        <w:t>The conduct of the</w:t>
      </w:r>
      <w:r w:rsidR="0046479B" w:rsidRPr="00C33A5F">
        <w:rPr>
          <w:rFonts w:ascii="Times New Roman" w:eastAsia="Calibri" w:hAnsi="Times New Roman" w:cs="Times New Roman"/>
          <w:sz w:val="24"/>
          <w:szCs w:val="24"/>
        </w:rPr>
        <w:t xml:space="preserve"> review was informed by</w:t>
      </w:r>
      <w:r w:rsidRPr="00C33A5F">
        <w:rPr>
          <w:rFonts w:ascii="Times New Roman" w:eastAsia="Calibri" w:hAnsi="Times New Roman" w:cs="Times New Roman"/>
          <w:sz w:val="24"/>
          <w:szCs w:val="24"/>
        </w:rPr>
        <w:t xml:space="preserve"> Cochrane </w:t>
      </w:r>
      <w:proofErr w:type="gramStart"/>
      <w:r w:rsidRPr="00C33A5F">
        <w:rPr>
          <w:rFonts w:ascii="Times New Roman" w:eastAsia="Calibri" w:hAnsi="Times New Roman" w:cs="Times New Roman"/>
          <w:sz w:val="24"/>
          <w:szCs w:val="24"/>
        </w:rPr>
        <w:t>principles</w:t>
      </w:r>
      <w:r w:rsidR="003D5C6E">
        <w:rPr>
          <w:rFonts w:ascii="Times New Roman" w:eastAsia="Calibri" w:hAnsi="Times New Roman" w:cs="Times New Roman"/>
          <w:sz w:val="24"/>
          <w:szCs w:val="24"/>
        </w:rPr>
        <w:t>[</w:t>
      </w:r>
      <w:proofErr w:type="gramEnd"/>
      <w:r w:rsidR="003D5C6E">
        <w:rPr>
          <w:rFonts w:ascii="Times New Roman" w:eastAsia="Calibri" w:hAnsi="Times New Roman" w:cs="Times New Roman"/>
          <w:sz w:val="24"/>
          <w:szCs w:val="24"/>
        </w:rPr>
        <w:t>16]</w:t>
      </w:r>
      <w:r w:rsidR="00EF6AE7" w:rsidRPr="00C33A5F">
        <w:rPr>
          <w:rFonts w:ascii="Times New Roman" w:eastAsia="Calibri" w:hAnsi="Times New Roman" w:cs="Times New Roman"/>
          <w:sz w:val="24"/>
          <w:szCs w:val="24"/>
        </w:rPr>
        <w:t>.</w:t>
      </w:r>
      <w:r w:rsidR="00612D02" w:rsidRPr="00C33A5F">
        <w:rPr>
          <w:rFonts w:ascii="Times New Roman" w:eastAsia="Calibri" w:hAnsi="Times New Roman" w:cs="Times New Roman"/>
          <w:sz w:val="24"/>
          <w:szCs w:val="24"/>
        </w:rPr>
        <w:t xml:space="preserve"> </w:t>
      </w:r>
      <w:r w:rsidR="001F5D90" w:rsidRPr="00C33A5F">
        <w:rPr>
          <w:rFonts w:ascii="Times New Roman" w:eastAsia="Calibri" w:hAnsi="Times New Roman" w:cs="Times New Roman"/>
          <w:sz w:val="24"/>
          <w:szCs w:val="24"/>
        </w:rPr>
        <w:t>A</w:t>
      </w:r>
      <w:r w:rsidR="00CC74EE" w:rsidRPr="00C33A5F">
        <w:rPr>
          <w:rFonts w:ascii="Times New Roman" w:eastAsia="Calibri" w:hAnsi="Times New Roman" w:cs="Times New Roman"/>
          <w:sz w:val="24"/>
          <w:szCs w:val="24"/>
        </w:rPr>
        <w:t xml:space="preserve"> PICOS (Participants, Interventions, Compari</w:t>
      </w:r>
      <w:r w:rsidR="001F5D90" w:rsidRPr="00C33A5F">
        <w:rPr>
          <w:rFonts w:ascii="Times New Roman" w:eastAsia="Calibri" w:hAnsi="Times New Roman" w:cs="Times New Roman"/>
          <w:sz w:val="24"/>
          <w:szCs w:val="24"/>
        </w:rPr>
        <w:t>sons, Outcomes and Study design)</w:t>
      </w:r>
      <w:r w:rsidR="00CC74EE" w:rsidRPr="00C33A5F">
        <w:rPr>
          <w:rFonts w:ascii="Times New Roman" w:eastAsia="Calibri" w:hAnsi="Times New Roman" w:cs="Times New Roman"/>
          <w:sz w:val="24"/>
          <w:szCs w:val="24"/>
        </w:rPr>
        <w:t xml:space="preserve"> </w:t>
      </w:r>
      <w:proofErr w:type="gramStart"/>
      <w:r w:rsidR="00CC74EE" w:rsidRPr="00C33A5F">
        <w:rPr>
          <w:rFonts w:ascii="Times New Roman" w:eastAsia="Calibri" w:hAnsi="Times New Roman" w:cs="Times New Roman"/>
          <w:sz w:val="24"/>
          <w:szCs w:val="24"/>
        </w:rPr>
        <w:t>approac</w:t>
      </w:r>
      <w:r w:rsidR="00E02F3D" w:rsidRPr="00C33A5F">
        <w:rPr>
          <w:rFonts w:ascii="Times New Roman" w:eastAsia="Calibri" w:hAnsi="Times New Roman" w:cs="Times New Roman"/>
          <w:sz w:val="24"/>
          <w:szCs w:val="24"/>
        </w:rPr>
        <w:t>h</w:t>
      </w:r>
      <w:r w:rsidR="003D5C6E">
        <w:rPr>
          <w:rFonts w:ascii="Times New Roman" w:eastAsia="Calibri" w:hAnsi="Times New Roman" w:cs="Times New Roman"/>
          <w:sz w:val="24"/>
          <w:szCs w:val="24"/>
        </w:rPr>
        <w:t>[</w:t>
      </w:r>
      <w:proofErr w:type="gramEnd"/>
      <w:r w:rsidR="003D5C6E">
        <w:rPr>
          <w:rFonts w:ascii="Times New Roman" w:eastAsia="Calibri" w:hAnsi="Times New Roman" w:cs="Times New Roman"/>
          <w:sz w:val="24"/>
          <w:szCs w:val="24"/>
        </w:rPr>
        <w:t>17]</w:t>
      </w:r>
      <w:r w:rsidR="007C1EF1" w:rsidRPr="00C33A5F">
        <w:rPr>
          <w:rFonts w:ascii="Times New Roman" w:eastAsia="Calibri" w:hAnsi="Times New Roman" w:cs="Times New Roman"/>
          <w:sz w:val="24"/>
          <w:szCs w:val="24"/>
        </w:rPr>
        <w:t xml:space="preserve"> was adopted for each question</w:t>
      </w:r>
      <w:r w:rsidR="00E02F3D" w:rsidRPr="00C33A5F">
        <w:rPr>
          <w:rFonts w:ascii="Times New Roman" w:eastAsia="Calibri" w:hAnsi="Times New Roman" w:cs="Times New Roman"/>
          <w:sz w:val="24"/>
          <w:szCs w:val="24"/>
        </w:rPr>
        <w:t xml:space="preserve"> </w:t>
      </w:r>
      <w:r w:rsidR="00CC74EE" w:rsidRPr="00C33A5F">
        <w:rPr>
          <w:rFonts w:ascii="Times New Roman" w:eastAsia="Calibri" w:hAnsi="Times New Roman" w:cs="Times New Roman"/>
          <w:sz w:val="24"/>
          <w:szCs w:val="24"/>
        </w:rPr>
        <w:t>followed by</w:t>
      </w:r>
      <w:r w:rsidRPr="00C33A5F">
        <w:rPr>
          <w:rFonts w:ascii="Times New Roman" w:eastAsia="Calibri" w:hAnsi="Times New Roman" w:cs="Times New Roman"/>
          <w:sz w:val="24"/>
          <w:szCs w:val="24"/>
        </w:rPr>
        <w:t xml:space="preserve"> a systematic </w:t>
      </w:r>
      <w:r w:rsidR="006046AD" w:rsidRPr="00C33A5F">
        <w:rPr>
          <w:rFonts w:ascii="Times New Roman" w:eastAsia="Calibri" w:hAnsi="Times New Roman" w:cs="Times New Roman"/>
          <w:sz w:val="24"/>
          <w:szCs w:val="24"/>
        </w:rPr>
        <w:t xml:space="preserve">search </w:t>
      </w:r>
      <w:r w:rsidR="00DA4B9B" w:rsidRPr="00C33A5F">
        <w:rPr>
          <w:rFonts w:ascii="Times New Roman" w:eastAsia="Calibri" w:hAnsi="Times New Roman" w:cs="Times New Roman"/>
          <w:sz w:val="24"/>
          <w:szCs w:val="24"/>
        </w:rPr>
        <w:t xml:space="preserve">across </w:t>
      </w:r>
      <w:r w:rsidR="005C5C2E" w:rsidRPr="00DD4BE8">
        <w:rPr>
          <w:rFonts w:ascii="Times New Roman" w:eastAsia="Calibri" w:hAnsi="Times New Roman" w:cs="Times New Roman"/>
          <w:sz w:val="24"/>
          <w:szCs w:val="24"/>
        </w:rPr>
        <w:t>international</w:t>
      </w:r>
      <w:r w:rsidR="00E748C3" w:rsidRPr="00C33A5F">
        <w:rPr>
          <w:rFonts w:ascii="Times New Roman" w:eastAsia="Calibri" w:hAnsi="Times New Roman" w:cs="Times New Roman"/>
          <w:sz w:val="24"/>
          <w:szCs w:val="24"/>
        </w:rPr>
        <w:t xml:space="preserve"> electronic databases (</w:t>
      </w:r>
      <w:r w:rsidR="00E748C3" w:rsidRPr="00DD4BE8">
        <w:rPr>
          <w:rFonts w:ascii="Times New Roman" w:eastAsia="Calibri" w:hAnsi="Times New Roman" w:cs="Times New Roman"/>
          <w:sz w:val="24"/>
          <w:szCs w:val="24"/>
        </w:rPr>
        <w:t>MEDLINE</w:t>
      </w:r>
      <w:r w:rsidR="005C5C2E" w:rsidRPr="00DD4BE8">
        <w:rPr>
          <w:rFonts w:ascii="Times New Roman" w:eastAsia="Calibri" w:hAnsi="Times New Roman" w:cs="Times New Roman"/>
          <w:sz w:val="24"/>
          <w:szCs w:val="24"/>
        </w:rPr>
        <w:t>/PubMed,</w:t>
      </w:r>
      <w:r w:rsidR="005C5C2E">
        <w:rPr>
          <w:rFonts w:ascii="Times New Roman" w:eastAsia="Calibri" w:hAnsi="Times New Roman" w:cs="Times New Roman"/>
          <w:sz w:val="24"/>
          <w:szCs w:val="24"/>
        </w:rPr>
        <w:t xml:space="preserve"> </w:t>
      </w:r>
      <w:proofErr w:type="spellStart"/>
      <w:r w:rsidR="005C5C2E">
        <w:rPr>
          <w:rFonts w:ascii="Times New Roman" w:eastAsia="Calibri" w:hAnsi="Times New Roman" w:cs="Times New Roman"/>
          <w:sz w:val="24"/>
          <w:szCs w:val="24"/>
        </w:rPr>
        <w:t>Embase</w:t>
      </w:r>
      <w:proofErr w:type="spellEnd"/>
      <w:r w:rsidR="005C5C2E">
        <w:rPr>
          <w:rFonts w:ascii="Times New Roman" w:eastAsia="Calibri" w:hAnsi="Times New Roman" w:cs="Times New Roman"/>
          <w:sz w:val="24"/>
          <w:szCs w:val="24"/>
        </w:rPr>
        <w:t xml:space="preserve"> and</w:t>
      </w:r>
      <w:r w:rsidR="00E748C3" w:rsidRPr="00C33A5F">
        <w:rPr>
          <w:rFonts w:ascii="Times New Roman" w:eastAsia="Calibri" w:hAnsi="Times New Roman" w:cs="Times New Roman"/>
          <w:sz w:val="24"/>
          <w:szCs w:val="24"/>
        </w:rPr>
        <w:t xml:space="preserve"> CINAHL</w:t>
      </w:r>
      <w:r w:rsidR="00DA4B9B" w:rsidRPr="00C33A5F">
        <w:rPr>
          <w:rFonts w:ascii="Times New Roman" w:eastAsia="Calibri" w:hAnsi="Times New Roman" w:cs="Times New Roman"/>
          <w:sz w:val="24"/>
          <w:szCs w:val="24"/>
        </w:rPr>
        <w:t xml:space="preserve">) </w:t>
      </w:r>
      <w:r w:rsidR="00452C84" w:rsidRPr="00C33A5F">
        <w:rPr>
          <w:rFonts w:ascii="Times New Roman" w:eastAsia="Calibri" w:hAnsi="Times New Roman" w:cs="Times New Roman"/>
          <w:sz w:val="24"/>
          <w:szCs w:val="24"/>
        </w:rPr>
        <w:t xml:space="preserve">for relevant literature published between January </w:t>
      </w:r>
      <w:r w:rsidR="00452C84" w:rsidRPr="00C33A5F">
        <w:rPr>
          <w:rFonts w:ascii="Times New Roman" w:eastAsia="Calibri" w:hAnsi="Times New Roman" w:cs="Times New Roman"/>
          <w:sz w:val="24"/>
          <w:szCs w:val="24"/>
        </w:rPr>
        <w:lastRenderedPageBreak/>
        <w:t xml:space="preserve">2007 and October 2017 </w:t>
      </w:r>
      <w:r w:rsidR="008E2F7A" w:rsidRPr="00C33A5F">
        <w:rPr>
          <w:rFonts w:ascii="Times New Roman" w:eastAsia="Calibri" w:hAnsi="Times New Roman" w:cs="Times New Roman"/>
          <w:sz w:val="24"/>
          <w:szCs w:val="24"/>
        </w:rPr>
        <w:t>(</w:t>
      </w:r>
      <w:r w:rsidR="00D12C1B" w:rsidRPr="00C33A5F">
        <w:rPr>
          <w:rFonts w:ascii="Times New Roman" w:eastAsia="Calibri" w:hAnsi="Times New Roman" w:cs="Times New Roman"/>
          <w:sz w:val="24"/>
          <w:szCs w:val="24"/>
        </w:rPr>
        <w:t>S</w:t>
      </w:r>
      <w:r w:rsidR="009F45A9">
        <w:rPr>
          <w:rFonts w:ascii="Times New Roman" w:eastAsia="Calibri" w:hAnsi="Times New Roman" w:cs="Times New Roman"/>
          <w:sz w:val="24"/>
          <w:szCs w:val="24"/>
        </w:rPr>
        <w:t>upplementary F</w:t>
      </w:r>
      <w:r w:rsidR="006A05CF" w:rsidRPr="00C33A5F">
        <w:rPr>
          <w:rFonts w:ascii="Times New Roman" w:eastAsia="Calibri" w:hAnsi="Times New Roman" w:cs="Times New Roman"/>
          <w:sz w:val="24"/>
          <w:szCs w:val="24"/>
        </w:rPr>
        <w:t>ile</w:t>
      </w:r>
      <w:r w:rsidR="00D12C1B" w:rsidRPr="00C33A5F">
        <w:rPr>
          <w:rFonts w:ascii="Times New Roman" w:eastAsia="Calibri" w:hAnsi="Times New Roman" w:cs="Times New Roman"/>
          <w:sz w:val="24"/>
          <w:szCs w:val="24"/>
        </w:rPr>
        <w:t xml:space="preserve"> 1</w:t>
      </w:r>
      <w:r w:rsidR="00563D55" w:rsidRPr="00C33A5F">
        <w:rPr>
          <w:rFonts w:ascii="Times New Roman" w:eastAsia="Calibri" w:hAnsi="Times New Roman" w:cs="Times New Roman"/>
          <w:sz w:val="24"/>
          <w:szCs w:val="24"/>
        </w:rPr>
        <w:t>)</w:t>
      </w:r>
      <w:r w:rsidR="00CC74EE" w:rsidRPr="00C33A5F">
        <w:rPr>
          <w:rFonts w:ascii="Times New Roman" w:eastAsia="Calibri" w:hAnsi="Times New Roman" w:cs="Times New Roman"/>
          <w:sz w:val="24"/>
          <w:szCs w:val="24"/>
        </w:rPr>
        <w:t>.</w:t>
      </w:r>
      <w:r w:rsidR="00345442" w:rsidRPr="00C33A5F">
        <w:rPr>
          <w:rFonts w:ascii="Times New Roman" w:eastAsia="Calibri" w:hAnsi="Times New Roman" w:cs="Times New Roman"/>
          <w:sz w:val="24"/>
          <w:szCs w:val="24"/>
        </w:rPr>
        <w:t xml:space="preserve"> </w:t>
      </w:r>
      <w:r w:rsidR="00CA787D" w:rsidRPr="00C33A5F">
        <w:rPr>
          <w:rFonts w:ascii="Times New Roman" w:eastAsia="Calibri" w:hAnsi="Times New Roman" w:cs="Times New Roman"/>
          <w:sz w:val="24"/>
          <w:szCs w:val="24"/>
        </w:rPr>
        <w:t>S</w:t>
      </w:r>
      <w:r w:rsidR="0054785B" w:rsidRPr="00C33A5F">
        <w:rPr>
          <w:rFonts w:ascii="Times New Roman" w:eastAsia="Calibri" w:hAnsi="Times New Roman" w:cs="Times New Roman"/>
          <w:sz w:val="24"/>
          <w:szCs w:val="24"/>
        </w:rPr>
        <w:t>earch</w:t>
      </w:r>
      <w:r w:rsidR="003037A5" w:rsidRPr="00C33A5F">
        <w:rPr>
          <w:rFonts w:ascii="Times New Roman" w:eastAsia="Calibri" w:hAnsi="Times New Roman" w:cs="Times New Roman"/>
          <w:sz w:val="24"/>
          <w:szCs w:val="24"/>
        </w:rPr>
        <w:t xml:space="preserve">es were </w:t>
      </w:r>
      <w:r w:rsidR="0054785B" w:rsidRPr="00C33A5F">
        <w:rPr>
          <w:rFonts w:ascii="Times New Roman" w:eastAsia="Calibri" w:hAnsi="Times New Roman" w:cs="Times New Roman"/>
          <w:sz w:val="24"/>
          <w:szCs w:val="24"/>
        </w:rPr>
        <w:t xml:space="preserve">based on two </w:t>
      </w:r>
      <w:proofErr w:type="spellStart"/>
      <w:r w:rsidR="00AC0B23">
        <w:rPr>
          <w:rFonts w:ascii="Times New Roman" w:eastAsia="Calibri" w:hAnsi="Times New Roman" w:cs="Times New Roman"/>
          <w:sz w:val="24"/>
          <w:szCs w:val="24"/>
        </w:rPr>
        <w:t>critieria</w:t>
      </w:r>
      <w:proofErr w:type="spellEnd"/>
      <w:r w:rsidR="0054785B" w:rsidRPr="00C33A5F">
        <w:rPr>
          <w:rFonts w:ascii="Times New Roman" w:eastAsia="Calibri" w:hAnsi="Times New Roman" w:cs="Times New Roman"/>
          <w:sz w:val="24"/>
          <w:szCs w:val="24"/>
        </w:rPr>
        <w:t>: (</w:t>
      </w:r>
      <w:proofErr w:type="spellStart"/>
      <w:r w:rsidR="0054785B" w:rsidRPr="00C33A5F">
        <w:rPr>
          <w:rFonts w:ascii="Times New Roman" w:eastAsia="Calibri" w:hAnsi="Times New Roman" w:cs="Times New Roman"/>
          <w:sz w:val="24"/>
          <w:szCs w:val="24"/>
        </w:rPr>
        <w:t>i</w:t>
      </w:r>
      <w:proofErr w:type="spellEnd"/>
      <w:r w:rsidR="0054785B" w:rsidRPr="00C33A5F">
        <w:rPr>
          <w:rFonts w:ascii="Times New Roman" w:eastAsia="Calibri" w:hAnsi="Times New Roman" w:cs="Times New Roman"/>
          <w:sz w:val="24"/>
          <w:szCs w:val="24"/>
        </w:rPr>
        <w:t>) a</w:t>
      </w:r>
      <w:r w:rsidR="006A05CF" w:rsidRPr="00C33A5F">
        <w:rPr>
          <w:rFonts w:ascii="Times New Roman" w:eastAsia="Calibri" w:hAnsi="Times New Roman" w:cs="Times New Roman"/>
          <w:sz w:val="24"/>
          <w:szCs w:val="24"/>
        </w:rPr>
        <w:t>dults ≥ 50 years of age at high-</w:t>
      </w:r>
      <w:r w:rsidR="0054785B" w:rsidRPr="00C33A5F">
        <w:rPr>
          <w:rFonts w:ascii="Times New Roman" w:eastAsia="Calibri" w:hAnsi="Times New Roman" w:cs="Times New Roman"/>
          <w:sz w:val="24"/>
          <w:szCs w:val="24"/>
        </w:rPr>
        <w:t xml:space="preserve">risk of primary or secondary osteoporotic fracture and (ii) interventions delivered by </w:t>
      </w:r>
      <w:r w:rsidR="00D12C1B" w:rsidRPr="00C33A5F">
        <w:rPr>
          <w:rFonts w:ascii="Times New Roman" w:eastAsia="Calibri" w:hAnsi="Times New Roman" w:cs="Times New Roman"/>
          <w:sz w:val="24"/>
          <w:szCs w:val="24"/>
        </w:rPr>
        <w:t>HP</w:t>
      </w:r>
      <w:r w:rsidR="0073734C" w:rsidRPr="00C33A5F">
        <w:rPr>
          <w:rFonts w:ascii="Times New Roman" w:eastAsia="Calibri" w:hAnsi="Times New Roman" w:cs="Times New Roman"/>
          <w:sz w:val="24"/>
          <w:szCs w:val="24"/>
        </w:rPr>
        <w:t>s</w:t>
      </w:r>
      <w:r w:rsidR="00AB6537">
        <w:rPr>
          <w:rFonts w:ascii="Times New Roman" w:eastAsia="Calibri" w:hAnsi="Times New Roman" w:cs="Times New Roman"/>
          <w:sz w:val="24"/>
          <w:szCs w:val="24"/>
        </w:rPr>
        <w:t xml:space="preserve"> to prevent </w:t>
      </w:r>
      <w:r w:rsidR="0054785B" w:rsidRPr="00C33A5F">
        <w:rPr>
          <w:rFonts w:ascii="Times New Roman" w:eastAsia="Calibri" w:hAnsi="Times New Roman" w:cs="Times New Roman"/>
          <w:sz w:val="24"/>
          <w:szCs w:val="24"/>
        </w:rPr>
        <w:t>and manage osteoporotic fractures.</w:t>
      </w:r>
      <w:r w:rsidR="00D706ED" w:rsidRPr="00C33A5F">
        <w:rPr>
          <w:rFonts w:ascii="Times New Roman" w:eastAsia="Calibri" w:hAnsi="Times New Roman" w:cs="Times New Roman"/>
          <w:sz w:val="24"/>
          <w:szCs w:val="24"/>
        </w:rPr>
        <w:t xml:space="preserve"> </w:t>
      </w:r>
      <w:r w:rsidR="00CC5266" w:rsidRPr="00DD4BE8">
        <w:rPr>
          <w:rFonts w:ascii="Times New Roman" w:eastAsia="TimesNewRomanPSMT" w:hAnsi="Times New Roman" w:cs="Times New Roman"/>
          <w:sz w:val="24"/>
          <w:szCs w:val="24"/>
        </w:rPr>
        <w:t xml:space="preserve">Interventions included diagnostic procedures to identify risk of falling, therapeutic approaches, </w:t>
      </w:r>
      <w:r w:rsidR="00AB6537" w:rsidRPr="00DD4BE8">
        <w:rPr>
          <w:rFonts w:ascii="Times New Roman" w:eastAsia="TimesNewRomanPSMT" w:hAnsi="Times New Roman" w:cs="Times New Roman"/>
          <w:sz w:val="24"/>
          <w:szCs w:val="24"/>
        </w:rPr>
        <w:t xml:space="preserve">(e.g. structured exercise, </w:t>
      </w:r>
      <w:r w:rsidR="00CC5266" w:rsidRPr="00DD4BE8">
        <w:rPr>
          <w:rFonts w:ascii="Times New Roman" w:eastAsia="TimesNewRomanPSMT" w:hAnsi="Times New Roman" w:cs="Times New Roman"/>
          <w:sz w:val="24"/>
          <w:szCs w:val="24"/>
        </w:rPr>
        <w:t>education,</w:t>
      </w:r>
      <w:r w:rsidR="00AB6537" w:rsidRPr="00DD4BE8">
        <w:rPr>
          <w:rFonts w:ascii="Times New Roman" w:eastAsia="TimesNewRomanPSMT" w:hAnsi="Times New Roman" w:cs="Times New Roman"/>
          <w:sz w:val="24"/>
          <w:szCs w:val="24"/>
        </w:rPr>
        <w:t xml:space="preserve"> falls prevention programmes)</w:t>
      </w:r>
      <w:r w:rsidR="00CC5266" w:rsidRPr="00DD4BE8">
        <w:rPr>
          <w:rFonts w:ascii="Times New Roman" w:eastAsia="TimesNewRomanPSMT" w:hAnsi="Times New Roman" w:cs="Times New Roman"/>
          <w:sz w:val="24"/>
          <w:szCs w:val="24"/>
        </w:rPr>
        <w:t xml:space="preserve"> and implementation strategies.</w:t>
      </w:r>
      <w:r w:rsidR="00CC5266">
        <w:rPr>
          <w:rFonts w:ascii="Times New Roman" w:eastAsia="TimesNewRomanPSMT" w:hAnsi="Times New Roman" w:cs="Times New Roman"/>
          <w:sz w:val="24"/>
          <w:szCs w:val="24"/>
        </w:rPr>
        <w:t xml:space="preserve"> </w:t>
      </w:r>
      <w:r w:rsidR="00D706ED" w:rsidRPr="00C33A5F">
        <w:rPr>
          <w:rFonts w:ascii="Times New Roman" w:eastAsia="Calibri" w:hAnsi="Times New Roman" w:cs="Times New Roman"/>
          <w:sz w:val="24"/>
          <w:szCs w:val="24"/>
        </w:rPr>
        <w:t>Key o</w:t>
      </w:r>
      <w:r w:rsidR="009F6B89" w:rsidRPr="00C33A5F">
        <w:rPr>
          <w:rFonts w:ascii="Times New Roman" w:eastAsia="Calibri" w:hAnsi="Times New Roman" w:cs="Times New Roman"/>
          <w:sz w:val="24"/>
          <w:szCs w:val="24"/>
        </w:rPr>
        <w:t>utcomes</w:t>
      </w:r>
      <w:r w:rsidR="00DD4BE8">
        <w:rPr>
          <w:rFonts w:ascii="Times New Roman" w:eastAsia="Calibri" w:hAnsi="Times New Roman" w:cs="Times New Roman"/>
          <w:sz w:val="24"/>
          <w:szCs w:val="24"/>
        </w:rPr>
        <w:t xml:space="preserve"> </w:t>
      </w:r>
      <w:r w:rsidR="00A727B9" w:rsidRPr="00C33A5F">
        <w:rPr>
          <w:rFonts w:ascii="Times New Roman" w:eastAsia="Calibri" w:hAnsi="Times New Roman" w:cs="Times New Roman"/>
          <w:sz w:val="24"/>
          <w:szCs w:val="24"/>
        </w:rPr>
        <w:t>were</w:t>
      </w:r>
      <w:r w:rsidR="0073734C" w:rsidRPr="00C33A5F">
        <w:rPr>
          <w:rFonts w:ascii="Times New Roman" w:eastAsia="Calibri" w:hAnsi="Times New Roman" w:cs="Times New Roman"/>
          <w:sz w:val="24"/>
          <w:szCs w:val="24"/>
        </w:rPr>
        <w:t xml:space="preserve"> fractures and </w:t>
      </w:r>
      <w:r w:rsidR="009F6B89" w:rsidRPr="00C33A5F">
        <w:rPr>
          <w:rFonts w:ascii="Times New Roman" w:eastAsia="Calibri" w:hAnsi="Times New Roman" w:cs="Times New Roman"/>
          <w:sz w:val="24"/>
          <w:szCs w:val="24"/>
        </w:rPr>
        <w:t xml:space="preserve">falls </w:t>
      </w:r>
      <w:r w:rsidR="003052F8" w:rsidRPr="00C33A5F">
        <w:rPr>
          <w:rFonts w:ascii="Times New Roman" w:eastAsia="Calibri" w:hAnsi="Times New Roman" w:cs="Times New Roman"/>
          <w:sz w:val="24"/>
          <w:szCs w:val="24"/>
        </w:rPr>
        <w:t>(</w:t>
      </w:r>
      <w:r w:rsidR="009F6B89" w:rsidRPr="00C33A5F">
        <w:rPr>
          <w:rFonts w:ascii="Times New Roman" w:eastAsia="Calibri" w:hAnsi="Times New Roman" w:cs="Times New Roman"/>
          <w:sz w:val="24"/>
          <w:szCs w:val="24"/>
        </w:rPr>
        <w:t xml:space="preserve">where </w:t>
      </w:r>
      <w:r w:rsidR="00564229" w:rsidRPr="00C33A5F">
        <w:rPr>
          <w:rFonts w:ascii="Times New Roman" w:eastAsia="Calibri" w:hAnsi="Times New Roman" w:cs="Times New Roman"/>
          <w:sz w:val="24"/>
          <w:szCs w:val="24"/>
        </w:rPr>
        <w:t>the accepted definition of a fall was an</w:t>
      </w:r>
      <w:r w:rsidR="00C8057F" w:rsidRPr="00C33A5F">
        <w:rPr>
          <w:rFonts w:ascii="Times New Roman" w:eastAsia="Calibri" w:hAnsi="Times New Roman" w:cs="Times New Roman"/>
          <w:sz w:val="24"/>
          <w:szCs w:val="24"/>
        </w:rPr>
        <w:t xml:space="preserve"> unexpected event in which the participants come to rest on the ground, floor, o</w:t>
      </w:r>
      <w:r w:rsidR="00824615" w:rsidRPr="00C33A5F">
        <w:rPr>
          <w:rFonts w:ascii="Times New Roman" w:eastAsia="Calibri" w:hAnsi="Times New Roman" w:cs="Times New Roman"/>
          <w:sz w:val="24"/>
          <w:szCs w:val="24"/>
        </w:rPr>
        <w:t xml:space="preserve">r lower </w:t>
      </w:r>
      <w:proofErr w:type="gramStart"/>
      <w:r w:rsidR="00824615" w:rsidRPr="00C33A5F">
        <w:rPr>
          <w:rFonts w:ascii="Times New Roman" w:eastAsia="Calibri" w:hAnsi="Times New Roman" w:cs="Times New Roman"/>
          <w:sz w:val="24"/>
          <w:szCs w:val="24"/>
        </w:rPr>
        <w:t>level</w:t>
      </w:r>
      <w:r w:rsidR="003D5C6E">
        <w:rPr>
          <w:rFonts w:ascii="Times New Roman" w:eastAsia="Calibri" w:hAnsi="Times New Roman" w:cs="Times New Roman"/>
          <w:sz w:val="24"/>
          <w:szCs w:val="24"/>
        </w:rPr>
        <w:t>[</w:t>
      </w:r>
      <w:proofErr w:type="gramEnd"/>
      <w:r w:rsidR="003D5C6E">
        <w:rPr>
          <w:rFonts w:ascii="Times New Roman" w:eastAsia="Calibri" w:hAnsi="Times New Roman" w:cs="Times New Roman"/>
          <w:sz w:val="24"/>
          <w:szCs w:val="24"/>
        </w:rPr>
        <w:t>18]</w:t>
      </w:r>
      <w:r w:rsidR="00A727B9" w:rsidRPr="00C33A5F">
        <w:rPr>
          <w:rFonts w:ascii="Times New Roman" w:eastAsia="Calibri" w:hAnsi="Times New Roman" w:cs="Times New Roman"/>
          <w:sz w:val="24"/>
          <w:szCs w:val="24"/>
        </w:rPr>
        <w:t>).</w:t>
      </w:r>
      <w:r w:rsidR="003052F8" w:rsidRPr="00C33A5F">
        <w:rPr>
          <w:rFonts w:ascii="Times New Roman" w:eastAsia="Calibri" w:hAnsi="Times New Roman" w:cs="Times New Roman"/>
          <w:sz w:val="24"/>
          <w:szCs w:val="24"/>
        </w:rPr>
        <w:t xml:space="preserve"> </w:t>
      </w:r>
      <w:r w:rsidR="00A727B9" w:rsidRPr="00C33A5F">
        <w:rPr>
          <w:rFonts w:ascii="Times New Roman" w:eastAsia="Calibri" w:hAnsi="Times New Roman" w:cs="Times New Roman"/>
          <w:sz w:val="24"/>
          <w:szCs w:val="24"/>
        </w:rPr>
        <w:t>High risk of falling</w:t>
      </w:r>
      <w:r w:rsidR="009F6B89" w:rsidRPr="00C33A5F">
        <w:rPr>
          <w:rFonts w:ascii="Times New Roman" w:eastAsia="Calibri" w:hAnsi="Times New Roman" w:cs="Times New Roman"/>
          <w:sz w:val="24"/>
          <w:szCs w:val="24"/>
        </w:rPr>
        <w:t xml:space="preserve"> and bone mineral density</w:t>
      </w:r>
      <w:r w:rsidR="006A05CF" w:rsidRPr="00C33A5F">
        <w:rPr>
          <w:rFonts w:ascii="Times New Roman" w:eastAsia="Calibri" w:hAnsi="Times New Roman" w:cs="Times New Roman"/>
          <w:sz w:val="24"/>
          <w:szCs w:val="24"/>
        </w:rPr>
        <w:t xml:space="preserve"> (BMD)</w:t>
      </w:r>
      <w:r w:rsidR="0073734C" w:rsidRPr="00C33A5F">
        <w:rPr>
          <w:rFonts w:ascii="Times New Roman" w:eastAsia="Calibri" w:hAnsi="Times New Roman" w:cs="Times New Roman"/>
          <w:sz w:val="24"/>
          <w:szCs w:val="24"/>
        </w:rPr>
        <w:t xml:space="preserve"> </w:t>
      </w:r>
      <w:r w:rsidR="00A727B9" w:rsidRPr="00C33A5F">
        <w:rPr>
          <w:rFonts w:ascii="Times New Roman" w:eastAsia="Calibri" w:hAnsi="Times New Roman" w:cs="Times New Roman"/>
          <w:sz w:val="24"/>
          <w:szCs w:val="24"/>
        </w:rPr>
        <w:t xml:space="preserve">were </w:t>
      </w:r>
      <w:r w:rsidR="0073734C" w:rsidRPr="00C33A5F">
        <w:rPr>
          <w:rFonts w:ascii="Times New Roman" w:eastAsia="Calibri" w:hAnsi="Times New Roman" w:cs="Times New Roman"/>
          <w:sz w:val="24"/>
          <w:szCs w:val="24"/>
        </w:rPr>
        <w:t>included</w:t>
      </w:r>
      <w:r w:rsidR="00A727B9" w:rsidRPr="00C33A5F">
        <w:rPr>
          <w:rFonts w:ascii="Times New Roman" w:eastAsia="Calibri" w:hAnsi="Times New Roman" w:cs="Times New Roman"/>
          <w:sz w:val="24"/>
          <w:szCs w:val="24"/>
        </w:rPr>
        <w:t xml:space="preserve"> as surrogate end points</w:t>
      </w:r>
      <w:r w:rsidR="009F6B89" w:rsidRPr="00C33A5F">
        <w:rPr>
          <w:rFonts w:ascii="Times New Roman" w:eastAsia="Calibri" w:hAnsi="Times New Roman" w:cs="Times New Roman"/>
          <w:sz w:val="24"/>
          <w:szCs w:val="24"/>
        </w:rPr>
        <w:t>.</w:t>
      </w:r>
      <w:r w:rsidR="00452C84" w:rsidRPr="00C33A5F">
        <w:rPr>
          <w:rFonts w:ascii="Times New Roman" w:eastAsia="Calibri" w:hAnsi="Times New Roman" w:cs="Times New Roman"/>
          <w:sz w:val="24"/>
          <w:szCs w:val="24"/>
        </w:rPr>
        <w:t xml:space="preserve"> </w:t>
      </w:r>
      <w:r w:rsidR="00515D43" w:rsidRPr="00C33A5F">
        <w:rPr>
          <w:rFonts w:ascii="Times New Roman" w:eastAsia="Calibri" w:hAnsi="Times New Roman" w:cs="Times New Roman"/>
          <w:sz w:val="24"/>
          <w:szCs w:val="24"/>
        </w:rPr>
        <w:t>F</w:t>
      </w:r>
      <w:r w:rsidR="00452C84" w:rsidRPr="00C33A5F">
        <w:rPr>
          <w:rFonts w:ascii="Times New Roman" w:eastAsia="Calibri" w:hAnsi="Times New Roman" w:cs="Times New Roman"/>
          <w:sz w:val="24"/>
          <w:szCs w:val="24"/>
        </w:rPr>
        <w:t xml:space="preserve">ractures </w:t>
      </w:r>
      <w:r w:rsidR="00515D43" w:rsidRPr="00C33A5F">
        <w:rPr>
          <w:rFonts w:ascii="Times New Roman" w:eastAsia="Calibri" w:hAnsi="Times New Roman" w:cs="Times New Roman"/>
          <w:sz w:val="24"/>
          <w:szCs w:val="24"/>
        </w:rPr>
        <w:t xml:space="preserve">in adults age ≥ 50 years </w:t>
      </w:r>
      <w:r w:rsidR="00452C84" w:rsidRPr="00C33A5F">
        <w:rPr>
          <w:rFonts w:ascii="Times New Roman" w:eastAsia="Calibri" w:hAnsi="Times New Roman" w:cs="Times New Roman"/>
          <w:sz w:val="24"/>
          <w:szCs w:val="24"/>
        </w:rPr>
        <w:t xml:space="preserve">were assumed </w:t>
      </w:r>
      <w:r w:rsidR="00515D43" w:rsidRPr="00C33A5F">
        <w:rPr>
          <w:rFonts w:ascii="Times New Roman" w:eastAsia="Calibri" w:hAnsi="Times New Roman" w:cs="Times New Roman"/>
          <w:sz w:val="24"/>
          <w:szCs w:val="24"/>
        </w:rPr>
        <w:t xml:space="preserve">to be fragility fractures </w:t>
      </w:r>
      <w:r w:rsidR="00452C84" w:rsidRPr="00C33A5F">
        <w:rPr>
          <w:rFonts w:ascii="Times New Roman" w:eastAsia="Calibri" w:hAnsi="Times New Roman" w:cs="Times New Roman"/>
          <w:sz w:val="24"/>
          <w:szCs w:val="24"/>
        </w:rPr>
        <w:t xml:space="preserve">unless at the ankle, hands and feet, skull and </w:t>
      </w:r>
      <w:proofErr w:type="gramStart"/>
      <w:r w:rsidR="00452C84" w:rsidRPr="00C33A5F">
        <w:rPr>
          <w:rFonts w:ascii="Times New Roman" w:eastAsia="Calibri" w:hAnsi="Times New Roman" w:cs="Times New Roman"/>
          <w:sz w:val="24"/>
          <w:szCs w:val="24"/>
        </w:rPr>
        <w:t>face</w:t>
      </w:r>
      <w:r w:rsidR="003D5C6E">
        <w:rPr>
          <w:rFonts w:ascii="Times New Roman" w:eastAsia="Calibri" w:hAnsi="Times New Roman" w:cs="Times New Roman"/>
          <w:sz w:val="24"/>
          <w:szCs w:val="24"/>
        </w:rPr>
        <w:t>[</w:t>
      </w:r>
      <w:proofErr w:type="gramEnd"/>
      <w:r w:rsidR="003D5C6E">
        <w:rPr>
          <w:rFonts w:ascii="Times New Roman" w:eastAsia="Calibri" w:hAnsi="Times New Roman" w:cs="Times New Roman"/>
          <w:sz w:val="24"/>
          <w:szCs w:val="24"/>
        </w:rPr>
        <w:t>19]</w:t>
      </w:r>
      <w:r w:rsidR="00DD4BE8">
        <w:rPr>
          <w:rFonts w:ascii="Times New Roman" w:eastAsia="Calibri" w:hAnsi="Times New Roman" w:cs="Times New Roman"/>
          <w:sz w:val="24"/>
          <w:szCs w:val="24"/>
          <w:vertAlign w:val="subscript"/>
        </w:rPr>
        <w:t xml:space="preserve">, </w:t>
      </w:r>
      <w:r w:rsidR="00DD4BE8">
        <w:rPr>
          <w:rFonts w:ascii="Times New Roman" w:eastAsia="Calibri" w:hAnsi="Times New Roman" w:cs="Times New Roman"/>
          <w:sz w:val="24"/>
          <w:szCs w:val="24"/>
        </w:rPr>
        <w:t>or</w:t>
      </w:r>
      <w:r w:rsidR="00452C84" w:rsidRPr="00C33A5F">
        <w:rPr>
          <w:rFonts w:ascii="Times New Roman" w:eastAsia="Calibri" w:hAnsi="Times New Roman" w:cs="Times New Roman"/>
          <w:sz w:val="24"/>
          <w:szCs w:val="24"/>
        </w:rPr>
        <w:t xml:space="preserve"> as a result of high intensity trauma.</w:t>
      </w:r>
    </w:p>
    <w:p w14:paraId="13623AE8" w14:textId="77777777" w:rsidR="00CA787D" w:rsidRPr="00C33A5F" w:rsidRDefault="00CA787D" w:rsidP="00CA787D">
      <w:pPr>
        <w:spacing w:after="0" w:line="360" w:lineRule="auto"/>
        <w:rPr>
          <w:rFonts w:ascii="Times New Roman" w:eastAsia="Calibri" w:hAnsi="Times New Roman" w:cs="Times New Roman"/>
          <w:b/>
          <w:i/>
          <w:sz w:val="24"/>
          <w:szCs w:val="24"/>
        </w:rPr>
      </w:pPr>
    </w:p>
    <w:p w14:paraId="3A7AA2EF" w14:textId="77777777" w:rsidR="00CA787D" w:rsidRPr="00C33A5F" w:rsidRDefault="00CA787D" w:rsidP="00466241">
      <w:pPr>
        <w:pStyle w:val="Heading3"/>
        <w:spacing w:before="0" w:line="480" w:lineRule="auto"/>
        <w:rPr>
          <w:rFonts w:ascii="Times New Roman" w:hAnsi="Times New Roman" w:cs="Times New Roman"/>
          <w:b/>
          <w:color w:val="000000" w:themeColor="text1"/>
        </w:rPr>
      </w:pPr>
      <w:r w:rsidRPr="00C33A5F">
        <w:rPr>
          <w:rFonts w:ascii="Times New Roman" w:hAnsi="Times New Roman" w:cs="Times New Roman"/>
          <w:b/>
          <w:color w:val="000000" w:themeColor="text1"/>
        </w:rPr>
        <w:t>Study selection</w:t>
      </w:r>
    </w:p>
    <w:p w14:paraId="0DC97DB3" w14:textId="2289FB54" w:rsidR="008446E7" w:rsidRPr="003D5C6E" w:rsidRDefault="00987F35" w:rsidP="00C15B2F">
      <w:pPr>
        <w:spacing w:after="0" w:line="480" w:lineRule="auto"/>
        <w:jc w:val="both"/>
        <w:rPr>
          <w:rFonts w:ascii="Times New Roman" w:eastAsia="Calibri" w:hAnsi="Times New Roman" w:cs="Times New Roman"/>
          <w:sz w:val="24"/>
          <w:szCs w:val="24"/>
        </w:rPr>
      </w:pPr>
      <w:r w:rsidRPr="00C33A5F">
        <w:rPr>
          <w:rFonts w:ascii="Times New Roman" w:eastAsia="Calibri" w:hAnsi="Times New Roman" w:cs="Times New Roman"/>
          <w:sz w:val="24"/>
          <w:szCs w:val="24"/>
        </w:rPr>
        <w:t>Following removal of duplicates, t</w:t>
      </w:r>
      <w:r w:rsidR="00EF6AE7" w:rsidRPr="00C33A5F">
        <w:rPr>
          <w:rFonts w:ascii="Times New Roman" w:eastAsia="Calibri" w:hAnsi="Times New Roman" w:cs="Times New Roman"/>
          <w:sz w:val="24"/>
          <w:szCs w:val="24"/>
        </w:rPr>
        <w:t xml:space="preserve">wo review authors (NW and EH) independently </w:t>
      </w:r>
      <w:r w:rsidR="004F32D9" w:rsidRPr="00C33A5F">
        <w:rPr>
          <w:rFonts w:ascii="Times New Roman" w:eastAsia="Calibri" w:hAnsi="Times New Roman" w:cs="Times New Roman"/>
          <w:sz w:val="24"/>
          <w:szCs w:val="24"/>
        </w:rPr>
        <w:t xml:space="preserve">selected </w:t>
      </w:r>
      <w:r w:rsidR="00CC3E36" w:rsidRPr="00C33A5F">
        <w:rPr>
          <w:rFonts w:ascii="Times New Roman" w:eastAsia="Calibri" w:hAnsi="Times New Roman" w:cs="Times New Roman"/>
          <w:sz w:val="24"/>
          <w:szCs w:val="24"/>
        </w:rPr>
        <w:t xml:space="preserve">eligible studies and achieved consensus on which </w:t>
      </w:r>
      <w:r w:rsidR="00CC5266" w:rsidRPr="0058053C">
        <w:rPr>
          <w:rFonts w:ascii="Times New Roman" w:eastAsia="Calibri" w:hAnsi="Times New Roman" w:cs="Times New Roman"/>
          <w:sz w:val="24"/>
          <w:szCs w:val="24"/>
        </w:rPr>
        <w:t>articles</w:t>
      </w:r>
      <w:r w:rsidR="00CC3E36" w:rsidRPr="00C33A5F">
        <w:rPr>
          <w:rFonts w:ascii="Times New Roman" w:eastAsia="Calibri" w:hAnsi="Times New Roman" w:cs="Times New Roman"/>
          <w:sz w:val="24"/>
          <w:szCs w:val="24"/>
        </w:rPr>
        <w:t xml:space="preserve"> to include.</w:t>
      </w:r>
      <w:r w:rsidR="00452C84" w:rsidRPr="00C33A5F">
        <w:rPr>
          <w:rFonts w:ascii="Times New Roman" w:eastAsia="Calibri" w:hAnsi="Times New Roman" w:cs="Times New Roman"/>
          <w:sz w:val="24"/>
          <w:szCs w:val="24"/>
        </w:rPr>
        <w:t xml:space="preserve"> </w:t>
      </w:r>
      <w:r w:rsidR="00AE0DB1" w:rsidRPr="0058053C">
        <w:rPr>
          <w:rFonts w:ascii="Times New Roman" w:eastAsia="Calibri" w:hAnsi="Times New Roman" w:cs="Times New Roman"/>
          <w:sz w:val="24"/>
          <w:szCs w:val="24"/>
        </w:rPr>
        <w:t xml:space="preserve">Publications </w:t>
      </w:r>
      <w:r w:rsidR="00F33875" w:rsidRPr="0058053C">
        <w:rPr>
          <w:rFonts w:ascii="Times New Roman" w:eastAsia="Calibri" w:hAnsi="Times New Roman" w:cs="Times New Roman"/>
          <w:sz w:val="24"/>
          <w:szCs w:val="24"/>
        </w:rPr>
        <w:t>investigating interventions</w:t>
      </w:r>
      <w:r w:rsidR="00AE0DB1" w:rsidRPr="0058053C">
        <w:rPr>
          <w:rFonts w:ascii="Times New Roman" w:eastAsia="Calibri" w:hAnsi="Times New Roman" w:cs="Times New Roman"/>
          <w:sz w:val="24"/>
          <w:szCs w:val="24"/>
        </w:rPr>
        <w:t xml:space="preserve"> commonly undertaken by </w:t>
      </w:r>
      <w:r w:rsidR="00D12C1B" w:rsidRPr="0058053C">
        <w:rPr>
          <w:rFonts w:ascii="Times New Roman" w:eastAsia="Calibri" w:hAnsi="Times New Roman" w:cs="Times New Roman"/>
          <w:sz w:val="24"/>
          <w:szCs w:val="24"/>
        </w:rPr>
        <w:t>HP</w:t>
      </w:r>
      <w:r w:rsidR="008B0B4B" w:rsidRPr="0058053C">
        <w:rPr>
          <w:rFonts w:ascii="Times New Roman" w:eastAsia="Calibri" w:hAnsi="Times New Roman" w:cs="Times New Roman"/>
          <w:sz w:val="24"/>
          <w:szCs w:val="24"/>
        </w:rPr>
        <w:t>s</w:t>
      </w:r>
      <w:r w:rsidR="00CC5266" w:rsidRPr="0058053C">
        <w:rPr>
          <w:rFonts w:ascii="Times New Roman" w:eastAsia="Calibri" w:hAnsi="Times New Roman" w:cs="Times New Roman"/>
          <w:sz w:val="24"/>
          <w:szCs w:val="24"/>
        </w:rPr>
        <w:t xml:space="preserve"> </w:t>
      </w:r>
      <w:r w:rsidR="00C62FA4" w:rsidRPr="0058053C">
        <w:rPr>
          <w:rFonts w:ascii="Times New Roman" w:eastAsia="Calibri" w:hAnsi="Times New Roman" w:cs="Times New Roman"/>
          <w:sz w:val="24"/>
          <w:szCs w:val="24"/>
        </w:rPr>
        <w:t xml:space="preserve">were included even if </w:t>
      </w:r>
      <w:r w:rsidR="00AE0DB1" w:rsidRPr="0058053C">
        <w:rPr>
          <w:rFonts w:ascii="Times New Roman" w:eastAsia="Calibri" w:hAnsi="Times New Roman" w:cs="Times New Roman"/>
          <w:sz w:val="24"/>
          <w:szCs w:val="24"/>
        </w:rPr>
        <w:t xml:space="preserve">the professional group delivering the intervention was not </w:t>
      </w:r>
      <w:r w:rsidR="00094BDA" w:rsidRPr="0058053C">
        <w:rPr>
          <w:rFonts w:ascii="Times New Roman" w:eastAsia="Calibri" w:hAnsi="Times New Roman" w:cs="Times New Roman"/>
          <w:sz w:val="24"/>
          <w:szCs w:val="24"/>
        </w:rPr>
        <w:t xml:space="preserve">specifically </w:t>
      </w:r>
      <w:r w:rsidR="00AE0DB1" w:rsidRPr="0058053C">
        <w:rPr>
          <w:rFonts w:ascii="Times New Roman" w:eastAsia="Calibri" w:hAnsi="Times New Roman" w:cs="Times New Roman"/>
          <w:sz w:val="24"/>
          <w:szCs w:val="24"/>
        </w:rPr>
        <w:t>stated</w:t>
      </w:r>
      <w:r w:rsidR="00CC5266" w:rsidRPr="0058053C">
        <w:rPr>
          <w:rFonts w:ascii="Times New Roman" w:eastAsia="Calibri" w:hAnsi="Times New Roman" w:cs="Times New Roman"/>
          <w:sz w:val="24"/>
          <w:szCs w:val="24"/>
        </w:rPr>
        <w:t xml:space="preserve"> or </w:t>
      </w:r>
      <w:r w:rsidR="00B60244" w:rsidRPr="0058053C">
        <w:rPr>
          <w:rFonts w:ascii="Times New Roman" w:eastAsia="Calibri" w:hAnsi="Times New Roman" w:cs="Times New Roman"/>
          <w:sz w:val="24"/>
          <w:szCs w:val="24"/>
        </w:rPr>
        <w:t>HPs were not sole providers</w:t>
      </w:r>
      <w:r w:rsidR="00AE0DB1" w:rsidRPr="0058053C">
        <w:rPr>
          <w:rFonts w:ascii="Times New Roman" w:eastAsia="Calibri" w:hAnsi="Times New Roman" w:cs="Times New Roman"/>
          <w:sz w:val="24"/>
          <w:szCs w:val="24"/>
        </w:rPr>
        <w:t>.</w:t>
      </w:r>
      <w:r w:rsidR="00AE0DB1" w:rsidRPr="00C33A5F">
        <w:rPr>
          <w:rFonts w:ascii="Times New Roman" w:eastAsia="Calibri" w:hAnsi="Times New Roman" w:cs="Times New Roman"/>
          <w:sz w:val="24"/>
          <w:szCs w:val="24"/>
        </w:rPr>
        <w:t xml:space="preserve"> </w:t>
      </w:r>
      <w:r w:rsidR="005D1E38" w:rsidRPr="00C33A5F">
        <w:rPr>
          <w:rFonts w:ascii="Times New Roman" w:eastAsia="Calibri" w:hAnsi="Times New Roman" w:cs="Times New Roman"/>
          <w:sz w:val="24"/>
          <w:szCs w:val="24"/>
        </w:rPr>
        <w:t>Articles</w:t>
      </w:r>
      <w:r w:rsidR="00D43C75" w:rsidRPr="00C33A5F">
        <w:rPr>
          <w:rFonts w:ascii="Times New Roman" w:eastAsia="Calibri" w:hAnsi="Times New Roman" w:cs="Times New Roman"/>
          <w:sz w:val="24"/>
          <w:szCs w:val="24"/>
        </w:rPr>
        <w:t xml:space="preserve"> were </w:t>
      </w:r>
      <w:r w:rsidR="008446E7" w:rsidRPr="00C33A5F">
        <w:rPr>
          <w:rFonts w:ascii="Times New Roman" w:eastAsia="Calibri" w:hAnsi="Times New Roman" w:cs="Times New Roman"/>
          <w:sz w:val="24"/>
          <w:szCs w:val="24"/>
        </w:rPr>
        <w:t xml:space="preserve">excluded </w:t>
      </w:r>
      <w:r w:rsidR="00D43C75" w:rsidRPr="00C33A5F">
        <w:rPr>
          <w:rFonts w:ascii="Times New Roman" w:eastAsia="Calibri" w:hAnsi="Times New Roman" w:cs="Times New Roman"/>
          <w:sz w:val="24"/>
          <w:szCs w:val="24"/>
        </w:rPr>
        <w:t xml:space="preserve">if published in languages </w:t>
      </w:r>
      <w:r w:rsidR="00813F9B" w:rsidRPr="00C33A5F">
        <w:rPr>
          <w:rFonts w:ascii="Times New Roman" w:eastAsia="Calibri" w:hAnsi="Times New Roman" w:cs="Times New Roman"/>
          <w:sz w:val="24"/>
          <w:szCs w:val="24"/>
        </w:rPr>
        <w:t xml:space="preserve">other </w:t>
      </w:r>
      <w:r w:rsidR="00D43C75" w:rsidRPr="00C33A5F">
        <w:rPr>
          <w:rFonts w:ascii="Times New Roman" w:eastAsia="Calibri" w:hAnsi="Times New Roman" w:cs="Times New Roman"/>
          <w:sz w:val="24"/>
          <w:szCs w:val="24"/>
        </w:rPr>
        <w:t>than English.</w:t>
      </w:r>
      <w:r w:rsidR="00A124E9" w:rsidRPr="00C33A5F">
        <w:rPr>
          <w:rFonts w:ascii="Times New Roman" w:eastAsia="Calibri" w:hAnsi="Times New Roman" w:cs="Times New Roman"/>
          <w:sz w:val="24"/>
          <w:szCs w:val="24"/>
        </w:rPr>
        <w:t xml:space="preserve"> </w:t>
      </w:r>
      <w:r w:rsidR="00EB23BC" w:rsidRPr="00C33A5F">
        <w:rPr>
          <w:rFonts w:ascii="Times New Roman" w:eastAsia="Calibri" w:hAnsi="Times New Roman" w:cs="Times New Roman"/>
          <w:sz w:val="24"/>
          <w:szCs w:val="24"/>
        </w:rPr>
        <w:t>S</w:t>
      </w:r>
      <w:r w:rsidR="00A124E9" w:rsidRPr="00C33A5F">
        <w:rPr>
          <w:rFonts w:ascii="Times New Roman" w:eastAsia="Calibri" w:hAnsi="Times New Roman" w:cs="Times New Roman"/>
          <w:sz w:val="24"/>
          <w:szCs w:val="24"/>
        </w:rPr>
        <w:t xml:space="preserve">ystematic reviews </w:t>
      </w:r>
      <w:r w:rsidR="0044213D" w:rsidRPr="00C33A5F">
        <w:rPr>
          <w:rFonts w:ascii="Times New Roman" w:eastAsia="Calibri" w:hAnsi="Times New Roman" w:cs="Times New Roman"/>
          <w:sz w:val="24"/>
          <w:szCs w:val="24"/>
        </w:rPr>
        <w:t>and ra</w:t>
      </w:r>
      <w:r w:rsidR="005D1E38" w:rsidRPr="00C33A5F">
        <w:rPr>
          <w:rFonts w:ascii="Times New Roman" w:eastAsia="Calibri" w:hAnsi="Times New Roman" w:cs="Times New Roman"/>
          <w:sz w:val="24"/>
          <w:szCs w:val="24"/>
        </w:rPr>
        <w:t>ndomised controlled trials (RCTs</w:t>
      </w:r>
      <w:r w:rsidR="0044213D" w:rsidRPr="00C33A5F">
        <w:rPr>
          <w:rFonts w:ascii="Times New Roman" w:eastAsia="Calibri" w:hAnsi="Times New Roman" w:cs="Times New Roman"/>
          <w:sz w:val="24"/>
          <w:szCs w:val="24"/>
        </w:rPr>
        <w:t xml:space="preserve">) </w:t>
      </w:r>
      <w:r w:rsidR="00966239" w:rsidRPr="00C33A5F">
        <w:rPr>
          <w:rFonts w:ascii="Times New Roman" w:eastAsia="Calibri" w:hAnsi="Times New Roman" w:cs="Times New Roman"/>
          <w:sz w:val="24"/>
          <w:szCs w:val="24"/>
        </w:rPr>
        <w:t>were preferentially selected</w:t>
      </w:r>
      <w:r w:rsidR="0044213D" w:rsidRPr="00C33A5F">
        <w:rPr>
          <w:rFonts w:ascii="Times New Roman" w:eastAsia="Calibri" w:hAnsi="Times New Roman" w:cs="Times New Roman"/>
          <w:sz w:val="24"/>
          <w:szCs w:val="24"/>
        </w:rPr>
        <w:t xml:space="preserve">, although </w:t>
      </w:r>
      <w:r w:rsidR="0037130B" w:rsidRPr="00C33A5F">
        <w:rPr>
          <w:rFonts w:ascii="Times New Roman" w:eastAsia="Calibri" w:hAnsi="Times New Roman" w:cs="Times New Roman"/>
          <w:sz w:val="24"/>
          <w:szCs w:val="24"/>
        </w:rPr>
        <w:t>(quasi)</w:t>
      </w:r>
      <w:r w:rsidR="0044213D" w:rsidRPr="00C33A5F">
        <w:rPr>
          <w:rFonts w:ascii="Times New Roman" w:eastAsia="Calibri" w:hAnsi="Times New Roman" w:cs="Times New Roman"/>
          <w:sz w:val="24"/>
          <w:szCs w:val="24"/>
        </w:rPr>
        <w:t xml:space="preserve"> </w:t>
      </w:r>
      <w:r w:rsidR="00966239" w:rsidRPr="00C33A5F">
        <w:rPr>
          <w:rFonts w:ascii="Times New Roman" w:eastAsia="Calibri" w:hAnsi="Times New Roman" w:cs="Times New Roman"/>
          <w:sz w:val="24"/>
          <w:szCs w:val="24"/>
        </w:rPr>
        <w:t xml:space="preserve">randomised and </w:t>
      </w:r>
      <w:r w:rsidR="00AC2A8C" w:rsidRPr="00C33A5F">
        <w:rPr>
          <w:rFonts w:ascii="Times New Roman" w:eastAsia="Calibri" w:hAnsi="Times New Roman" w:cs="Times New Roman"/>
          <w:sz w:val="24"/>
          <w:szCs w:val="24"/>
        </w:rPr>
        <w:t>non-randomised</w:t>
      </w:r>
      <w:r w:rsidR="00966239" w:rsidRPr="00C33A5F">
        <w:rPr>
          <w:rFonts w:ascii="Times New Roman" w:eastAsia="Calibri" w:hAnsi="Times New Roman" w:cs="Times New Roman"/>
          <w:sz w:val="24"/>
          <w:szCs w:val="24"/>
        </w:rPr>
        <w:t xml:space="preserve"> studies were included</w:t>
      </w:r>
      <w:r w:rsidR="00B60244">
        <w:rPr>
          <w:rFonts w:ascii="Times New Roman" w:eastAsia="Calibri" w:hAnsi="Times New Roman" w:cs="Times New Roman"/>
          <w:sz w:val="24"/>
          <w:szCs w:val="24"/>
        </w:rPr>
        <w:t>.</w:t>
      </w:r>
      <w:r w:rsidR="00F668CA" w:rsidRPr="00C33A5F">
        <w:rPr>
          <w:rFonts w:ascii="Times New Roman" w:eastAsia="Calibri" w:hAnsi="Times New Roman" w:cs="Times New Roman"/>
          <w:sz w:val="24"/>
          <w:szCs w:val="24"/>
        </w:rPr>
        <w:t xml:space="preserve"> </w:t>
      </w:r>
      <w:r w:rsidR="00F32F8B" w:rsidRPr="00F32F8B">
        <w:rPr>
          <w:rFonts w:ascii="Times New Roman" w:eastAsia="Calibri" w:hAnsi="Times New Roman" w:cs="Times New Roman"/>
          <w:sz w:val="24"/>
          <w:szCs w:val="24"/>
        </w:rPr>
        <w:t xml:space="preserve">Systematic reviews with </w:t>
      </w:r>
      <w:proofErr w:type="gramStart"/>
      <w:r w:rsidR="00F32F8B" w:rsidRPr="00F32F8B">
        <w:rPr>
          <w:rFonts w:ascii="Times New Roman" w:eastAsia="Calibri" w:hAnsi="Times New Roman" w:cs="Times New Roman"/>
          <w:sz w:val="24"/>
          <w:szCs w:val="24"/>
        </w:rPr>
        <w:t>sufficient</w:t>
      </w:r>
      <w:proofErr w:type="gramEnd"/>
      <w:r w:rsidR="00F32F8B" w:rsidRPr="00F32F8B">
        <w:rPr>
          <w:rFonts w:ascii="Times New Roman" w:eastAsia="Calibri" w:hAnsi="Times New Roman" w:cs="Times New Roman"/>
          <w:sz w:val="24"/>
          <w:szCs w:val="24"/>
        </w:rPr>
        <w:t xml:space="preserve"> quality were considered to cover the time until their search ended.</w:t>
      </w:r>
      <w:r w:rsidR="00F32F8B">
        <w:rPr>
          <w:rFonts w:ascii="Times New Roman" w:eastAsia="Calibri" w:hAnsi="Times New Roman" w:cs="Times New Roman"/>
          <w:sz w:val="24"/>
          <w:szCs w:val="24"/>
        </w:rPr>
        <w:t xml:space="preserve"> </w:t>
      </w:r>
      <w:r w:rsidR="0037130B" w:rsidRPr="00C33A5F">
        <w:rPr>
          <w:rFonts w:ascii="Times New Roman" w:eastAsia="Calibri" w:hAnsi="Times New Roman" w:cs="Times New Roman"/>
          <w:sz w:val="24"/>
          <w:szCs w:val="24"/>
        </w:rPr>
        <w:t>Studies with</w:t>
      </w:r>
      <w:r w:rsidR="00670627" w:rsidRPr="00C33A5F">
        <w:rPr>
          <w:rFonts w:ascii="Times New Roman" w:eastAsia="Calibri" w:hAnsi="Times New Roman" w:cs="Times New Roman"/>
          <w:sz w:val="24"/>
          <w:szCs w:val="24"/>
        </w:rPr>
        <w:t xml:space="preserve"> small sample sizes (&lt; 50 participants) were excluded.</w:t>
      </w:r>
    </w:p>
    <w:p w14:paraId="05E7EB76" w14:textId="77777777" w:rsidR="00AC2A8C" w:rsidRPr="00C33A5F" w:rsidRDefault="00AC2A8C" w:rsidP="00466241">
      <w:pPr>
        <w:spacing w:after="0" w:line="480" w:lineRule="auto"/>
        <w:rPr>
          <w:rFonts w:ascii="Times New Roman" w:eastAsia="Calibri" w:hAnsi="Times New Roman" w:cs="Times New Roman"/>
          <w:sz w:val="24"/>
          <w:szCs w:val="24"/>
        </w:rPr>
      </w:pPr>
    </w:p>
    <w:p w14:paraId="2D40C085" w14:textId="77777777" w:rsidR="004924AA" w:rsidRPr="00C33A5F" w:rsidRDefault="008446E7" w:rsidP="00466241">
      <w:pPr>
        <w:pStyle w:val="Heading3"/>
        <w:spacing w:before="0" w:line="480" w:lineRule="auto"/>
        <w:rPr>
          <w:rFonts w:ascii="Times New Roman" w:hAnsi="Times New Roman" w:cs="Times New Roman"/>
          <w:b/>
          <w:color w:val="000000" w:themeColor="text1"/>
        </w:rPr>
      </w:pPr>
      <w:r w:rsidRPr="00C33A5F">
        <w:rPr>
          <w:rFonts w:ascii="Times New Roman" w:hAnsi="Times New Roman" w:cs="Times New Roman"/>
          <w:b/>
          <w:color w:val="000000" w:themeColor="text1"/>
        </w:rPr>
        <w:t>Data extraction and quality assessment</w:t>
      </w:r>
    </w:p>
    <w:p w14:paraId="28268011" w14:textId="77777777" w:rsidR="003A175A" w:rsidRPr="00C33A5F" w:rsidRDefault="00157BA7" w:rsidP="00C15B2F">
      <w:pPr>
        <w:spacing w:after="0" w:line="480" w:lineRule="auto"/>
        <w:jc w:val="both"/>
        <w:rPr>
          <w:rFonts w:ascii="Times New Roman" w:eastAsia="Calibri" w:hAnsi="Times New Roman" w:cs="Times New Roman"/>
          <w:sz w:val="24"/>
          <w:szCs w:val="24"/>
        </w:rPr>
      </w:pPr>
      <w:r w:rsidRPr="00C33A5F">
        <w:rPr>
          <w:rFonts w:ascii="Times New Roman" w:eastAsia="Calibri" w:hAnsi="Times New Roman" w:cs="Times New Roman"/>
          <w:sz w:val="24"/>
          <w:szCs w:val="24"/>
        </w:rPr>
        <w:t>Data</w:t>
      </w:r>
      <w:r w:rsidR="00DE27B5" w:rsidRPr="00C33A5F">
        <w:rPr>
          <w:rFonts w:ascii="Times New Roman" w:eastAsia="Calibri" w:hAnsi="Times New Roman" w:cs="Times New Roman"/>
          <w:sz w:val="24"/>
          <w:szCs w:val="24"/>
        </w:rPr>
        <w:t>,</w:t>
      </w:r>
      <w:r w:rsidRPr="00C33A5F">
        <w:rPr>
          <w:rFonts w:ascii="Times New Roman" w:eastAsia="Calibri" w:hAnsi="Times New Roman" w:cs="Times New Roman"/>
          <w:sz w:val="24"/>
          <w:szCs w:val="24"/>
        </w:rPr>
        <w:t xml:space="preserve"> </w:t>
      </w:r>
      <w:r w:rsidR="00660275" w:rsidRPr="0058053C">
        <w:rPr>
          <w:rFonts w:ascii="Times New Roman" w:eastAsia="Calibri" w:hAnsi="Times New Roman" w:cs="Times New Roman"/>
          <w:sz w:val="24"/>
          <w:szCs w:val="24"/>
        </w:rPr>
        <w:t>including</w:t>
      </w:r>
      <w:r w:rsidRPr="00C33A5F">
        <w:rPr>
          <w:rFonts w:ascii="Times New Roman" w:eastAsia="Calibri" w:hAnsi="Times New Roman" w:cs="Times New Roman"/>
          <w:sz w:val="24"/>
          <w:szCs w:val="24"/>
        </w:rPr>
        <w:t xml:space="preserve"> </w:t>
      </w:r>
      <w:r w:rsidR="00197BCC" w:rsidRPr="00C33A5F">
        <w:rPr>
          <w:rFonts w:ascii="Times New Roman" w:eastAsia="Calibri" w:hAnsi="Times New Roman" w:cs="Times New Roman"/>
          <w:sz w:val="24"/>
          <w:szCs w:val="24"/>
        </w:rPr>
        <w:t>research</w:t>
      </w:r>
      <w:r w:rsidRPr="00C33A5F">
        <w:rPr>
          <w:rFonts w:ascii="Times New Roman" w:eastAsia="Calibri" w:hAnsi="Times New Roman" w:cs="Times New Roman"/>
          <w:sz w:val="24"/>
          <w:szCs w:val="24"/>
        </w:rPr>
        <w:t xml:space="preserve"> design, </w:t>
      </w:r>
      <w:r w:rsidR="002A62B9" w:rsidRPr="00C33A5F">
        <w:rPr>
          <w:rFonts w:ascii="Times New Roman" w:eastAsia="Calibri" w:hAnsi="Times New Roman" w:cs="Times New Roman"/>
          <w:sz w:val="24"/>
          <w:szCs w:val="24"/>
        </w:rPr>
        <w:t xml:space="preserve">population </w:t>
      </w:r>
      <w:r w:rsidR="008446E7" w:rsidRPr="00C33A5F">
        <w:rPr>
          <w:rFonts w:ascii="Times New Roman" w:eastAsia="Calibri" w:hAnsi="Times New Roman" w:cs="Times New Roman"/>
          <w:sz w:val="24"/>
          <w:szCs w:val="24"/>
        </w:rPr>
        <w:t>characteristics</w:t>
      </w:r>
      <w:r w:rsidR="002A62B9" w:rsidRPr="00C33A5F">
        <w:rPr>
          <w:rFonts w:ascii="Times New Roman" w:eastAsia="Calibri" w:hAnsi="Times New Roman" w:cs="Times New Roman"/>
          <w:sz w:val="24"/>
          <w:szCs w:val="24"/>
        </w:rPr>
        <w:t>, interventions</w:t>
      </w:r>
      <w:r w:rsidRPr="00C33A5F">
        <w:rPr>
          <w:rFonts w:ascii="Times New Roman" w:eastAsia="Calibri" w:hAnsi="Times New Roman" w:cs="Times New Roman"/>
          <w:sz w:val="24"/>
          <w:szCs w:val="24"/>
        </w:rPr>
        <w:t xml:space="preserve"> and outcomes</w:t>
      </w:r>
      <w:r w:rsidR="00FB66C9" w:rsidRPr="00C33A5F">
        <w:rPr>
          <w:rFonts w:ascii="Times New Roman" w:eastAsia="Calibri" w:hAnsi="Times New Roman" w:cs="Times New Roman"/>
          <w:sz w:val="24"/>
          <w:szCs w:val="24"/>
        </w:rPr>
        <w:t xml:space="preserve"> </w:t>
      </w:r>
      <w:r w:rsidR="00226370" w:rsidRPr="00C33A5F">
        <w:rPr>
          <w:rFonts w:ascii="Times New Roman" w:eastAsia="Calibri" w:hAnsi="Times New Roman" w:cs="Times New Roman"/>
          <w:sz w:val="24"/>
          <w:szCs w:val="24"/>
        </w:rPr>
        <w:t xml:space="preserve">were </w:t>
      </w:r>
      <w:r w:rsidRPr="00C33A5F">
        <w:rPr>
          <w:rFonts w:ascii="Times New Roman" w:eastAsia="Calibri" w:hAnsi="Times New Roman" w:cs="Times New Roman"/>
          <w:sz w:val="24"/>
          <w:szCs w:val="24"/>
        </w:rPr>
        <w:t xml:space="preserve">extracted </w:t>
      </w:r>
      <w:r w:rsidR="006F7919" w:rsidRPr="00C33A5F">
        <w:rPr>
          <w:rFonts w:ascii="Times New Roman" w:eastAsia="Calibri" w:hAnsi="Times New Roman" w:cs="Times New Roman"/>
          <w:sz w:val="24"/>
          <w:szCs w:val="24"/>
        </w:rPr>
        <w:t xml:space="preserve">by the research fellow </w:t>
      </w:r>
      <w:r w:rsidRPr="00C33A5F">
        <w:rPr>
          <w:rFonts w:ascii="Times New Roman" w:eastAsia="Calibri" w:hAnsi="Times New Roman" w:cs="Times New Roman"/>
          <w:sz w:val="24"/>
          <w:szCs w:val="24"/>
        </w:rPr>
        <w:t xml:space="preserve">from </w:t>
      </w:r>
      <w:r w:rsidR="006F7919">
        <w:rPr>
          <w:rFonts w:ascii="Times New Roman" w:eastAsia="Calibri" w:hAnsi="Times New Roman" w:cs="Times New Roman"/>
          <w:sz w:val="24"/>
          <w:szCs w:val="24"/>
        </w:rPr>
        <w:t xml:space="preserve">all </w:t>
      </w:r>
      <w:r w:rsidRPr="00C33A5F">
        <w:rPr>
          <w:rFonts w:ascii="Times New Roman" w:eastAsia="Calibri" w:hAnsi="Times New Roman" w:cs="Times New Roman"/>
          <w:sz w:val="24"/>
          <w:szCs w:val="24"/>
        </w:rPr>
        <w:t xml:space="preserve">selected </w:t>
      </w:r>
      <w:r w:rsidR="006F7919" w:rsidRPr="0058053C">
        <w:rPr>
          <w:rFonts w:ascii="Times New Roman" w:eastAsia="Calibri" w:hAnsi="Times New Roman" w:cs="Times New Roman"/>
          <w:sz w:val="24"/>
          <w:szCs w:val="24"/>
        </w:rPr>
        <w:t>articles</w:t>
      </w:r>
      <w:r w:rsidRPr="0058053C">
        <w:rPr>
          <w:rFonts w:ascii="Times New Roman" w:eastAsia="Calibri" w:hAnsi="Times New Roman" w:cs="Times New Roman"/>
          <w:sz w:val="24"/>
          <w:szCs w:val="24"/>
        </w:rPr>
        <w:t xml:space="preserve"> </w:t>
      </w:r>
      <w:r w:rsidR="006F7919" w:rsidRPr="0058053C">
        <w:rPr>
          <w:rFonts w:ascii="Times New Roman" w:eastAsia="Calibri" w:hAnsi="Times New Roman" w:cs="Times New Roman"/>
          <w:sz w:val="24"/>
          <w:szCs w:val="24"/>
        </w:rPr>
        <w:t>describing diagnostic procedures, therapeutic approaches and implementation strategies</w:t>
      </w:r>
      <w:r w:rsidR="008446E7" w:rsidRPr="0058053C">
        <w:rPr>
          <w:rFonts w:ascii="Times New Roman" w:eastAsia="Calibri" w:hAnsi="Times New Roman" w:cs="Times New Roman"/>
          <w:sz w:val="24"/>
          <w:szCs w:val="24"/>
        </w:rPr>
        <w:t>.</w:t>
      </w:r>
      <w:r w:rsidR="008446E7" w:rsidRPr="00C33A5F">
        <w:rPr>
          <w:rFonts w:ascii="Times New Roman" w:eastAsia="Calibri" w:hAnsi="Times New Roman" w:cs="Times New Roman"/>
          <w:sz w:val="24"/>
          <w:szCs w:val="24"/>
        </w:rPr>
        <w:t xml:space="preserve"> </w:t>
      </w:r>
      <w:r w:rsidR="00266DBC" w:rsidRPr="00C33A5F">
        <w:rPr>
          <w:rFonts w:ascii="Times New Roman" w:eastAsia="Calibri" w:hAnsi="Times New Roman" w:cs="Times New Roman"/>
          <w:sz w:val="24"/>
          <w:szCs w:val="24"/>
        </w:rPr>
        <w:t>Systematic reviews</w:t>
      </w:r>
      <w:r w:rsidR="008446E7" w:rsidRPr="00C33A5F">
        <w:rPr>
          <w:rFonts w:ascii="Times New Roman" w:eastAsia="Calibri" w:hAnsi="Times New Roman" w:cs="Times New Roman"/>
          <w:sz w:val="24"/>
          <w:szCs w:val="24"/>
        </w:rPr>
        <w:t xml:space="preserve"> were</w:t>
      </w:r>
      <w:r w:rsidR="0059467B" w:rsidRPr="00C33A5F">
        <w:rPr>
          <w:rFonts w:ascii="Times New Roman" w:eastAsia="Calibri" w:hAnsi="Times New Roman" w:cs="Times New Roman"/>
          <w:sz w:val="24"/>
          <w:szCs w:val="24"/>
        </w:rPr>
        <w:t xml:space="preserve"> </w:t>
      </w:r>
      <w:r w:rsidR="00FB66C9" w:rsidRPr="00C33A5F">
        <w:rPr>
          <w:rFonts w:ascii="Times New Roman" w:eastAsia="Calibri" w:hAnsi="Times New Roman" w:cs="Times New Roman"/>
          <w:sz w:val="24"/>
          <w:szCs w:val="24"/>
        </w:rPr>
        <w:t>evaluated</w:t>
      </w:r>
      <w:r w:rsidR="002A62B9" w:rsidRPr="00C33A5F">
        <w:rPr>
          <w:rFonts w:ascii="Times New Roman" w:eastAsia="Calibri" w:hAnsi="Times New Roman" w:cs="Times New Roman"/>
          <w:sz w:val="24"/>
          <w:szCs w:val="24"/>
        </w:rPr>
        <w:t xml:space="preserve"> </w:t>
      </w:r>
      <w:r w:rsidR="002A62B9" w:rsidRPr="00C33A5F">
        <w:rPr>
          <w:rFonts w:ascii="Times New Roman" w:eastAsia="Calibri" w:hAnsi="Times New Roman" w:cs="Times New Roman"/>
          <w:sz w:val="24"/>
          <w:szCs w:val="24"/>
        </w:rPr>
        <w:lastRenderedPageBreak/>
        <w:t xml:space="preserve">using AMSTAR 2 - </w:t>
      </w:r>
      <w:r w:rsidR="00482303" w:rsidRPr="00C33A5F">
        <w:rPr>
          <w:rFonts w:ascii="Times New Roman" w:eastAsia="Calibri" w:hAnsi="Times New Roman" w:cs="Times New Roman"/>
          <w:sz w:val="24"/>
          <w:szCs w:val="24"/>
        </w:rPr>
        <w:t xml:space="preserve">A </w:t>
      </w:r>
      <w:proofErr w:type="spellStart"/>
      <w:r w:rsidR="00482303" w:rsidRPr="00C33A5F">
        <w:rPr>
          <w:rFonts w:ascii="Times New Roman" w:eastAsia="Calibri" w:hAnsi="Times New Roman" w:cs="Times New Roman"/>
          <w:sz w:val="24"/>
          <w:szCs w:val="24"/>
        </w:rPr>
        <w:t>MeaS</w:t>
      </w:r>
      <w:r w:rsidR="00CC74EE" w:rsidRPr="00C33A5F">
        <w:rPr>
          <w:rFonts w:ascii="Times New Roman" w:eastAsia="Calibri" w:hAnsi="Times New Roman" w:cs="Times New Roman"/>
          <w:sz w:val="24"/>
          <w:szCs w:val="24"/>
        </w:rPr>
        <w:t>urement</w:t>
      </w:r>
      <w:proofErr w:type="spellEnd"/>
      <w:r w:rsidR="00CC74EE" w:rsidRPr="00C33A5F">
        <w:rPr>
          <w:rFonts w:ascii="Times New Roman" w:eastAsia="Calibri" w:hAnsi="Times New Roman" w:cs="Times New Roman"/>
          <w:sz w:val="24"/>
          <w:szCs w:val="24"/>
        </w:rPr>
        <w:t xml:space="preserve"> Too</w:t>
      </w:r>
      <w:r w:rsidR="00482303" w:rsidRPr="00C33A5F">
        <w:rPr>
          <w:rFonts w:ascii="Times New Roman" w:eastAsia="Calibri" w:hAnsi="Times New Roman" w:cs="Times New Roman"/>
          <w:sz w:val="24"/>
          <w:szCs w:val="24"/>
        </w:rPr>
        <w:t>l to Assess s</w:t>
      </w:r>
      <w:r w:rsidR="00161765" w:rsidRPr="00C33A5F">
        <w:rPr>
          <w:rFonts w:ascii="Times New Roman" w:eastAsia="Calibri" w:hAnsi="Times New Roman" w:cs="Times New Roman"/>
          <w:sz w:val="24"/>
          <w:szCs w:val="24"/>
        </w:rPr>
        <w:t xml:space="preserve">ystematic </w:t>
      </w:r>
      <w:proofErr w:type="gramStart"/>
      <w:r w:rsidR="00161765" w:rsidRPr="00C33A5F">
        <w:rPr>
          <w:rFonts w:ascii="Times New Roman" w:eastAsia="Calibri" w:hAnsi="Times New Roman" w:cs="Times New Roman"/>
          <w:sz w:val="24"/>
          <w:szCs w:val="24"/>
        </w:rPr>
        <w:t>Reviews</w:t>
      </w:r>
      <w:r w:rsidR="003D5C6E">
        <w:rPr>
          <w:rFonts w:ascii="Times New Roman" w:eastAsia="Calibri" w:hAnsi="Times New Roman" w:cs="Times New Roman"/>
          <w:sz w:val="24"/>
          <w:szCs w:val="24"/>
        </w:rPr>
        <w:t>[</w:t>
      </w:r>
      <w:proofErr w:type="gramEnd"/>
      <w:r w:rsidR="003D5C6E">
        <w:rPr>
          <w:rFonts w:ascii="Times New Roman" w:eastAsia="Calibri" w:hAnsi="Times New Roman" w:cs="Times New Roman"/>
          <w:sz w:val="24"/>
          <w:szCs w:val="24"/>
        </w:rPr>
        <w:t>20]</w:t>
      </w:r>
      <w:r w:rsidR="00C04134" w:rsidRPr="00C33A5F">
        <w:rPr>
          <w:rFonts w:ascii="Times New Roman" w:eastAsia="Calibri" w:hAnsi="Times New Roman" w:cs="Times New Roman"/>
          <w:sz w:val="24"/>
          <w:szCs w:val="24"/>
        </w:rPr>
        <w:t>,</w:t>
      </w:r>
      <w:r w:rsidR="00CD766F" w:rsidRPr="00C33A5F">
        <w:rPr>
          <w:rFonts w:ascii="Times New Roman" w:eastAsia="Calibri" w:hAnsi="Times New Roman" w:cs="Times New Roman"/>
          <w:sz w:val="24"/>
          <w:szCs w:val="24"/>
        </w:rPr>
        <w:t xml:space="preserve"> </w:t>
      </w:r>
      <w:r w:rsidR="008446E7" w:rsidRPr="00C33A5F">
        <w:rPr>
          <w:rFonts w:ascii="Times New Roman" w:eastAsia="Calibri" w:hAnsi="Times New Roman" w:cs="Times New Roman"/>
          <w:sz w:val="24"/>
          <w:szCs w:val="24"/>
        </w:rPr>
        <w:t>while</w:t>
      </w:r>
      <w:r w:rsidR="00CD766F" w:rsidRPr="00C33A5F">
        <w:rPr>
          <w:rFonts w:ascii="Times New Roman" w:eastAsia="Calibri" w:hAnsi="Times New Roman" w:cs="Times New Roman"/>
          <w:sz w:val="24"/>
          <w:szCs w:val="24"/>
        </w:rPr>
        <w:t xml:space="preserve"> </w:t>
      </w:r>
      <w:r w:rsidR="00B84A77" w:rsidRPr="00C33A5F">
        <w:rPr>
          <w:rFonts w:ascii="Times New Roman" w:eastAsia="Calibri" w:hAnsi="Times New Roman" w:cs="Times New Roman"/>
          <w:sz w:val="24"/>
          <w:szCs w:val="24"/>
        </w:rPr>
        <w:t>risk of bias</w:t>
      </w:r>
      <w:r w:rsidR="009C402B" w:rsidRPr="00C33A5F">
        <w:rPr>
          <w:rFonts w:ascii="Times New Roman" w:eastAsia="Calibri" w:hAnsi="Times New Roman" w:cs="Times New Roman"/>
          <w:sz w:val="24"/>
          <w:szCs w:val="24"/>
        </w:rPr>
        <w:t xml:space="preserve"> (</w:t>
      </w:r>
      <w:proofErr w:type="spellStart"/>
      <w:r w:rsidR="009C402B" w:rsidRPr="00C33A5F">
        <w:rPr>
          <w:rFonts w:ascii="Times New Roman" w:eastAsia="Calibri" w:hAnsi="Times New Roman" w:cs="Times New Roman"/>
          <w:sz w:val="24"/>
          <w:szCs w:val="24"/>
        </w:rPr>
        <w:t>RoB</w:t>
      </w:r>
      <w:proofErr w:type="spellEnd"/>
      <w:r w:rsidR="009C402B" w:rsidRPr="00C33A5F">
        <w:rPr>
          <w:rFonts w:ascii="Times New Roman" w:eastAsia="Calibri" w:hAnsi="Times New Roman" w:cs="Times New Roman"/>
          <w:sz w:val="24"/>
          <w:szCs w:val="24"/>
        </w:rPr>
        <w:t>)</w:t>
      </w:r>
      <w:r w:rsidRPr="00C33A5F">
        <w:rPr>
          <w:rFonts w:ascii="Times New Roman" w:eastAsia="Calibri" w:hAnsi="Times New Roman" w:cs="Times New Roman"/>
          <w:sz w:val="24"/>
          <w:szCs w:val="24"/>
        </w:rPr>
        <w:t xml:space="preserve"> judgements about </w:t>
      </w:r>
      <w:r w:rsidR="00197BCC" w:rsidRPr="00C33A5F">
        <w:rPr>
          <w:rFonts w:ascii="Times New Roman" w:eastAsia="Calibri" w:hAnsi="Times New Roman" w:cs="Times New Roman"/>
          <w:sz w:val="24"/>
          <w:szCs w:val="24"/>
        </w:rPr>
        <w:t xml:space="preserve">primary </w:t>
      </w:r>
      <w:r w:rsidR="008446E7" w:rsidRPr="00C33A5F">
        <w:rPr>
          <w:rFonts w:ascii="Times New Roman" w:eastAsia="Calibri" w:hAnsi="Times New Roman" w:cs="Times New Roman"/>
          <w:sz w:val="24"/>
          <w:szCs w:val="24"/>
        </w:rPr>
        <w:t xml:space="preserve">studies </w:t>
      </w:r>
      <w:r w:rsidR="00DE27B5" w:rsidRPr="00C33A5F">
        <w:rPr>
          <w:rFonts w:ascii="Times New Roman" w:eastAsia="Calibri" w:hAnsi="Times New Roman" w:cs="Times New Roman"/>
          <w:sz w:val="24"/>
          <w:szCs w:val="24"/>
        </w:rPr>
        <w:t>followed a domain-based assessment as recommended by the</w:t>
      </w:r>
      <w:r w:rsidR="008446E7" w:rsidRPr="00C33A5F">
        <w:rPr>
          <w:rFonts w:ascii="Times New Roman" w:eastAsia="Calibri" w:hAnsi="Times New Roman" w:cs="Times New Roman"/>
          <w:sz w:val="24"/>
          <w:szCs w:val="24"/>
        </w:rPr>
        <w:t xml:space="preserve"> </w:t>
      </w:r>
      <w:r w:rsidR="00824615" w:rsidRPr="00C33A5F">
        <w:rPr>
          <w:rFonts w:ascii="Times New Roman" w:eastAsia="Calibri" w:hAnsi="Times New Roman" w:cs="Times New Roman"/>
          <w:sz w:val="24"/>
          <w:szCs w:val="24"/>
        </w:rPr>
        <w:t>Cochrane Collaboration</w:t>
      </w:r>
      <w:r w:rsidR="003D5C6E">
        <w:rPr>
          <w:rFonts w:ascii="Times New Roman" w:eastAsia="Calibri" w:hAnsi="Times New Roman" w:cs="Times New Roman"/>
          <w:sz w:val="24"/>
          <w:szCs w:val="24"/>
        </w:rPr>
        <w:t>[21]</w:t>
      </w:r>
      <w:r w:rsidR="00A124E9" w:rsidRPr="00C33A5F">
        <w:rPr>
          <w:rFonts w:ascii="Times New Roman" w:eastAsia="Calibri" w:hAnsi="Times New Roman" w:cs="Times New Roman"/>
          <w:sz w:val="24"/>
          <w:szCs w:val="24"/>
        </w:rPr>
        <w:t>.</w:t>
      </w:r>
      <w:r w:rsidR="009C6EF4" w:rsidRPr="00C33A5F">
        <w:rPr>
          <w:rFonts w:ascii="Times New Roman" w:eastAsia="Calibri" w:hAnsi="Times New Roman" w:cs="Times New Roman"/>
          <w:sz w:val="24"/>
          <w:szCs w:val="24"/>
        </w:rPr>
        <w:t xml:space="preserve"> </w:t>
      </w:r>
      <w:r w:rsidR="00487304" w:rsidRPr="00C33A5F">
        <w:rPr>
          <w:rFonts w:ascii="Times New Roman" w:eastAsia="Calibri" w:hAnsi="Times New Roman" w:cs="Times New Roman"/>
          <w:sz w:val="24"/>
          <w:szCs w:val="24"/>
        </w:rPr>
        <w:t>We characterised a</w:t>
      </w:r>
      <w:r w:rsidR="00C277CE" w:rsidRPr="00C33A5F">
        <w:rPr>
          <w:rFonts w:ascii="Times New Roman" w:eastAsia="Calibri" w:hAnsi="Times New Roman" w:cs="Times New Roman"/>
          <w:sz w:val="24"/>
          <w:szCs w:val="24"/>
        </w:rPr>
        <w:t xml:space="preserve"> ‘partial Yes’ response in a critical domain </w:t>
      </w:r>
      <w:r w:rsidR="00E55E4C" w:rsidRPr="00C33A5F">
        <w:rPr>
          <w:rFonts w:ascii="Times New Roman" w:eastAsia="Calibri" w:hAnsi="Times New Roman" w:cs="Times New Roman"/>
          <w:sz w:val="24"/>
          <w:szCs w:val="24"/>
        </w:rPr>
        <w:t>of</w:t>
      </w:r>
      <w:r w:rsidR="00C277CE" w:rsidRPr="00C33A5F">
        <w:rPr>
          <w:rFonts w:ascii="Times New Roman" w:eastAsia="Calibri" w:hAnsi="Times New Roman" w:cs="Times New Roman"/>
          <w:sz w:val="24"/>
          <w:szCs w:val="24"/>
        </w:rPr>
        <w:t xml:space="preserve"> AMSTAR 2 </w:t>
      </w:r>
      <w:r w:rsidR="00487304" w:rsidRPr="00C33A5F">
        <w:rPr>
          <w:rFonts w:ascii="Times New Roman" w:eastAsia="Calibri" w:hAnsi="Times New Roman" w:cs="Times New Roman"/>
          <w:sz w:val="24"/>
          <w:szCs w:val="24"/>
        </w:rPr>
        <w:t>as a non-critical weakness.</w:t>
      </w:r>
      <w:r w:rsidR="00C277CE" w:rsidRPr="00C33A5F">
        <w:rPr>
          <w:rFonts w:ascii="Times New Roman" w:eastAsia="Calibri" w:hAnsi="Times New Roman" w:cs="Times New Roman"/>
          <w:sz w:val="24"/>
          <w:szCs w:val="24"/>
        </w:rPr>
        <w:t xml:space="preserve"> </w:t>
      </w:r>
      <w:r w:rsidR="007846B9" w:rsidRPr="00C33A5F">
        <w:rPr>
          <w:rFonts w:ascii="Times New Roman" w:eastAsia="Calibri" w:hAnsi="Times New Roman" w:cs="Times New Roman"/>
          <w:sz w:val="24"/>
          <w:szCs w:val="24"/>
        </w:rPr>
        <w:t>Risk of performance bias was considered unclear in s</w:t>
      </w:r>
      <w:r w:rsidR="00DE27B5" w:rsidRPr="00C33A5F">
        <w:rPr>
          <w:rFonts w:ascii="Times New Roman" w:eastAsia="Calibri" w:hAnsi="Times New Roman" w:cs="Times New Roman"/>
          <w:sz w:val="24"/>
          <w:szCs w:val="24"/>
        </w:rPr>
        <w:t>tudies</w:t>
      </w:r>
      <w:r w:rsidR="0010306F" w:rsidRPr="00C33A5F">
        <w:rPr>
          <w:rFonts w:ascii="Times New Roman" w:eastAsia="Calibri" w:hAnsi="Times New Roman" w:cs="Times New Roman"/>
          <w:sz w:val="24"/>
          <w:szCs w:val="24"/>
        </w:rPr>
        <w:t xml:space="preserve"> </w:t>
      </w:r>
      <w:r w:rsidR="00DE27B5" w:rsidRPr="00C33A5F">
        <w:rPr>
          <w:rFonts w:ascii="Times New Roman" w:eastAsia="Calibri" w:hAnsi="Times New Roman" w:cs="Times New Roman"/>
          <w:sz w:val="24"/>
          <w:szCs w:val="24"/>
        </w:rPr>
        <w:t xml:space="preserve">in which </w:t>
      </w:r>
      <w:r w:rsidR="00226370" w:rsidRPr="00C33A5F">
        <w:rPr>
          <w:rFonts w:ascii="Times New Roman" w:eastAsia="Calibri" w:hAnsi="Times New Roman" w:cs="Times New Roman"/>
          <w:sz w:val="24"/>
          <w:szCs w:val="24"/>
        </w:rPr>
        <w:t xml:space="preserve">blinding of </w:t>
      </w:r>
      <w:r w:rsidR="0010306F" w:rsidRPr="00C33A5F">
        <w:rPr>
          <w:rFonts w:ascii="Times New Roman" w:eastAsia="Calibri" w:hAnsi="Times New Roman" w:cs="Times New Roman"/>
          <w:sz w:val="24"/>
          <w:szCs w:val="24"/>
        </w:rPr>
        <w:t xml:space="preserve">participants </w:t>
      </w:r>
      <w:r w:rsidR="00266DBC" w:rsidRPr="00C33A5F">
        <w:rPr>
          <w:rFonts w:ascii="Times New Roman" w:eastAsia="Calibri" w:hAnsi="Times New Roman" w:cs="Times New Roman"/>
          <w:sz w:val="24"/>
          <w:szCs w:val="24"/>
        </w:rPr>
        <w:t>and/</w:t>
      </w:r>
      <w:r w:rsidR="00DE27B5" w:rsidRPr="00C33A5F">
        <w:rPr>
          <w:rFonts w:ascii="Times New Roman" w:eastAsia="Calibri" w:hAnsi="Times New Roman" w:cs="Times New Roman"/>
          <w:sz w:val="24"/>
          <w:szCs w:val="24"/>
        </w:rPr>
        <w:t xml:space="preserve">or personnel </w:t>
      </w:r>
      <w:r w:rsidR="00226370" w:rsidRPr="00C33A5F">
        <w:rPr>
          <w:rFonts w:ascii="Times New Roman" w:eastAsia="Calibri" w:hAnsi="Times New Roman" w:cs="Times New Roman"/>
          <w:sz w:val="24"/>
          <w:szCs w:val="24"/>
        </w:rPr>
        <w:t>was not feasible.</w:t>
      </w:r>
      <w:r w:rsidR="0010306F" w:rsidRPr="00C33A5F">
        <w:rPr>
          <w:rFonts w:ascii="Times New Roman" w:eastAsia="Calibri" w:hAnsi="Times New Roman" w:cs="Times New Roman"/>
          <w:sz w:val="24"/>
          <w:szCs w:val="24"/>
        </w:rPr>
        <w:t xml:space="preserve"> </w:t>
      </w:r>
      <w:r w:rsidR="00197BCC" w:rsidRPr="00C33A5F">
        <w:rPr>
          <w:rFonts w:ascii="Times New Roman" w:eastAsia="Calibri" w:hAnsi="Times New Roman" w:cs="Times New Roman"/>
          <w:sz w:val="24"/>
          <w:szCs w:val="24"/>
        </w:rPr>
        <w:t xml:space="preserve">Evidence was classified in accordance with the Oxford Centre for Evidence-based-Medicine 2011 Levels of </w:t>
      </w:r>
      <w:proofErr w:type="gramStart"/>
      <w:r w:rsidR="00197BCC" w:rsidRPr="00C33A5F">
        <w:rPr>
          <w:rFonts w:ascii="Times New Roman" w:eastAsia="Calibri" w:hAnsi="Times New Roman" w:cs="Times New Roman"/>
          <w:sz w:val="24"/>
          <w:szCs w:val="24"/>
        </w:rPr>
        <w:t>Evidence</w:t>
      </w:r>
      <w:r w:rsidR="003D5C6E">
        <w:rPr>
          <w:rFonts w:ascii="Times New Roman" w:eastAsia="Calibri" w:hAnsi="Times New Roman" w:cs="Times New Roman"/>
          <w:sz w:val="24"/>
          <w:szCs w:val="24"/>
        </w:rPr>
        <w:t>[</w:t>
      </w:r>
      <w:proofErr w:type="gramEnd"/>
      <w:r w:rsidR="003D5C6E">
        <w:rPr>
          <w:rFonts w:ascii="Times New Roman" w:eastAsia="Calibri" w:hAnsi="Times New Roman" w:cs="Times New Roman"/>
          <w:sz w:val="24"/>
          <w:szCs w:val="24"/>
        </w:rPr>
        <w:t>22]</w:t>
      </w:r>
      <w:r w:rsidR="00E55E4C" w:rsidRPr="00C33A5F">
        <w:rPr>
          <w:rFonts w:ascii="Times New Roman" w:eastAsia="Calibri" w:hAnsi="Times New Roman" w:cs="Times New Roman"/>
          <w:sz w:val="24"/>
          <w:szCs w:val="24"/>
        </w:rPr>
        <w:t xml:space="preserve">, </w:t>
      </w:r>
      <w:r w:rsidR="0028662B" w:rsidRPr="00C33A5F">
        <w:rPr>
          <w:rFonts w:ascii="Times New Roman" w:eastAsia="Calibri" w:hAnsi="Times New Roman" w:cs="Times New Roman"/>
          <w:sz w:val="24"/>
          <w:szCs w:val="24"/>
        </w:rPr>
        <w:t>but</w:t>
      </w:r>
      <w:r w:rsidR="00581F04" w:rsidRPr="00C33A5F">
        <w:rPr>
          <w:rFonts w:ascii="Times New Roman" w:eastAsia="Calibri" w:hAnsi="Times New Roman" w:cs="Times New Roman"/>
          <w:sz w:val="24"/>
          <w:szCs w:val="24"/>
        </w:rPr>
        <w:t xml:space="preserve"> up or down-</w:t>
      </w:r>
      <w:r w:rsidR="00F47DCA" w:rsidRPr="00C33A5F">
        <w:rPr>
          <w:rFonts w:ascii="Times New Roman" w:eastAsia="Calibri" w:hAnsi="Times New Roman" w:cs="Times New Roman"/>
          <w:sz w:val="24"/>
          <w:szCs w:val="24"/>
        </w:rPr>
        <w:t xml:space="preserve">graded </w:t>
      </w:r>
      <w:r w:rsidR="00487304" w:rsidRPr="00C33A5F">
        <w:rPr>
          <w:rFonts w:ascii="Times New Roman" w:eastAsia="Calibri" w:hAnsi="Times New Roman" w:cs="Times New Roman"/>
          <w:sz w:val="24"/>
          <w:szCs w:val="24"/>
        </w:rPr>
        <w:t xml:space="preserve">in response to </w:t>
      </w:r>
      <w:r w:rsidR="00994F98" w:rsidRPr="00C33A5F">
        <w:rPr>
          <w:rFonts w:ascii="Times New Roman" w:eastAsia="Calibri" w:hAnsi="Times New Roman" w:cs="Times New Roman"/>
          <w:sz w:val="24"/>
          <w:szCs w:val="24"/>
        </w:rPr>
        <w:t xml:space="preserve">methodological </w:t>
      </w:r>
      <w:r w:rsidR="00F47DCA" w:rsidRPr="00C33A5F">
        <w:rPr>
          <w:rFonts w:ascii="Times New Roman" w:eastAsia="Calibri" w:hAnsi="Times New Roman" w:cs="Times New Roman"/>
          <w:sz w:val="24"/>
          <w:szCs w:val="24"/>
        </w:rPr>
        <w:t>strengths and weaknesses.</w:t>
      </w:r>
    </w:p>
    <w:p w14:paraId="680BC62B" w14:textId="77777777" w:rsidR="00947DCF" w:rsidRPr="00C33A5F" w:rsidRDefault="00947DCF" w:rsidP="004B5118">
      <w:pPr>
        <w:spacing w:after="0" w:line="360" w:lineRule="auto"/>
        <w:rPr>
          <w:rFonts w:ascii="Times New Roman" w:eastAsia="Calibri" w:hAnsi="Times New Roman" w:cs="Times New Roman"/>
          <w:sz w:val="24"/>
          <w:szCs w:val="24"/>
        </w:rPr>
      </w:pPr>
    </w:p>
    <w:p w14:paraId="26BE5017" w14:textId="77777777" w:rsidR="00254462" w:rsidRPr="00C33A5F" w:rsidRDefault="00792495" w:rsidP="00EC6903">
      <w:pPr>
        <w:pStyle w:val="Heading3"/>
        <w:spacing w:before="0" w:line="480" w:lineRule="auto"/>
        <w:rPr>
          <w:rFonts w:ascii="Times New Roman" w:hAnsi="Times New Roman" w:cs="Times New Roman"/>
          <w:b/>
          <w:color w:val="000000" w:themeColor="text1"/>
        </w:rPr>
      </w:pPr>
      <w:r w:rsidRPr="00C33A5F">
        <w:rPr>
          <w:rFonts w:ascii="Times New Roman" w:hAnsi="Times New Roman" w:cs="Times New Roman"/>
          <w:b/>
          <w:color w:val="000000" w:themeColor="text1"/>
        </w:rPr>
        <w:t>Data synthesis</w:t>
      </w:r>
    </w:p>
    <w:p w14:paraId="6E134E7B" w14:textId="77777777" w:rsidR="0019002A" w:rsidRDefault="004600CC" w:rsidP="008969CF">
      <w:pPr>
        <w:spacing w:after="0" w:line="480" w:lineRule="auto"/>
        <w:jc w:val="both"/>
        <w:rPr>
          <w:rFonts w:ascii="Times New Roman" w:eastAsia="Calibri" w:hAnsi="Times New Roman" w:cs="Times New Roman"/>
          <w:sz w:val="24"/>
          <w:szCs w:val="24"/>
        </w:rPr>
      </w:pPr>
      <w:r w:rsidRPr="00C33A5F">
        <w:rPr>
          <w:rFonts w:ascii="Times New Roman" w:eastAsia="Calibri" w:hAnsi="Times New Roman" w:cs="Times New Roman"/>
          <w:sz w:val="24"/>
          <w:szCs w:val="24"/>
        </w:rPr>
        <w:t>Evidence about the effect of interventions was synthesised descriptively and rated using four categories: sufficient; some; insufficient; and insufficient evidence to determine, as described by Ryan et al. (</w:t>
      </w:r>
      <w:proofErr w:type="gramStart"/>
      <w:r w:rsidRPr="00C33A5F">
        <w:rPr>
          <w:rFonts w:ascii="Times New Roman" w:eastAsia="Calibri" w:hAnsi="Times New Roman" w:cs="Times New Roman"/>
          <w:sz w:val="24"/>
          <w:szCs w:val="24"/>
        </w:rPr>
        <w:t>2014)</w:t>
      </w:r>
      <w:r w:rsidR="003D5C6E">
        <w:rPr>
          <w:rFonts w:ascii="Times New Roman" w:eastAsia="Calibri" w:hAnsi="Times New Roman" w:cs="Times New Roman"/>
          <w:sz w:val="24"/>
          <w:szCs w:val="24"/>
        </w:rPr>
        <w:t>[</w:t>
      </w:r>
      <w:proofErr w:type="gramEnd"/>
      <w:r w:rsidR="003D5C6E">
        <w:rPr>
          <w:rFonts w:ascii="Times New Roman" w:eastAsia="Calibri" w:hAnsi="Times New Roman" w:cs="Times New Roman"/>
          <w:sz w:val="24"/>
          <w:szCs w:val="24"/>
        </w:rPr>
        <w:t>23]</w:t>
      </w:r>
      <w:r w:rsidRPr="00C33A5F">
        <w:rPr>
          <w:rFonts w:ascii="Times New Roman" w:eastAsia="Calibri" w:hAnsi="Times New Roman" w:cs="Times New Roman"/>
          <w:sz w:val="24"/>
          <w:szCs w:val="24"/>
        </w:rPr>
        <w:t xml:space="preserve"> (see </w:t>
      </w:r>
      <w:r w:rsidR="00D00416">
        <w:rPr>
          <w:rFonts w:ascii="Times New Roman" w:eastAsia="Calibri" w:hAnsi="Times New Roman" w:cs="Times New Roman"/>
          <w:sz w:val="24"/>
          <w:szCs w:val="24"/>
        </w:rPr>
        <w:t>Supplementary File 1, Table 1</w:t>
      </w:r>
      <w:r w:rsidRPr="00C33A5F">
        <w:rPr>
          <w:rFonts w:ascii="Times New Roman" w:eastAsia="Calibri" w:hAnsi="Times New Roman" w:cs="Times New Roman"/>
          <w:sz w:val="24"/>
          <w:szCs w:val="24"/>
        </w:rPr>
        <w:t>).</w:t>
      </w:r>
      <w:r w:rsidR="00060D6F" w:rsidRPr="00C33A5F">
        <w:rPr>
          <w:rFonts w:ascii="Times New Roman" w:eastAsia="Calibri" w:hAnsi="Times New Roman" w:cs="Times New Roman"/>
          <w:sz w:val="24"/>
          <w:szCs w:val="24"/>
        </w:rPr>
        <w:t xml:space="preserve"> </w:t>
      </w:r>
      <w:r w:rsidR="00D706ED" w:rsidRPr="00C33A5F">
        <w:rPr>
          <w:rFonts w:ascii="Times New Roman" w:eastAsia="Calibri" w:hAnsi="Times New Roman" w:cs="Times New Roman"/>
          <w:sz w:val="24"/>
          <w:szCs w:val="24"/>
        </w:rPr>
        <w:t>S</w:t>
      </w:r>
      <w:r w:rsidR="00197BCC" w:rsidRPr="00C33A5F">
        <w:rPr>
          <w:rFonts w:ascii="Times New Roman" w:eastAsia="Calibri" w:hAnsi="Times New Roman" w:cs="Times New Roman"/>
          <w:sz w:val="24"/>
          <w:szCs w:val="24"/>
        </w:rPr>
        <w:t>tudies describing</w:t>
      </w:r>
      <w:r w:rsidR="00C93E3B" w:rsidRPr="00C33A5F">
        <w:rPr>
          <w:rFonts w:ascii="Times New Roman" w:eastAsia="Calibri" w:hAnsi="Times New Roman" w:cs="Times New Roman"/>
          <w:sz w:val="24"/>
          <w:szCs w:val="24"/>
        </w:rPr>
        <w:t xml:space="preserve"> mixed </w:t>
      </w:r>
      <w:r w:rsidR="00EB23BC" w:rsidRPr="00C33A5F">
        <w:rPr>
          <w:rFonts w:ascii="Times New Roman" w:eastAsia="Calibri" w:hAnsi="Times New Roman" w:cs="Times New Roman"/>
          <w:sz w:val="24"/>
          <w:szCs w:val="24"/>
        </w:rPr>
        <w:t>populations</w:t>
      </w:r>
      <w:r w:rsidR="00C93E3B" w:rsidRPr="00C33A5F">
        <w:rPr>
          <w:rFonts w:ascii="Times New Roman" w:eastAsia="Calibri" w:hAnsi="Times New Roman" w:cs="Times New Roman"/>
          <w:sz w:val="24"/>
          <w:szCs w:val="24"/>
        </w:rPr>
        <w:t xml:space="preserve"> (participants with and without osteoporotic</w:t>
      </w:r>
      <w:r w:rsidR="00D05FF7" w:rsidRPr="00C33A5F">
        <w:rPr>
          <w:rFonts w:ascii="Times New Roman" w:eastAsia="Calibri" w:hAnsi="Times New Roman" w:cs="Times New Roman"/>
          <w:sz w:val="24"/>
          <w:szCs w:val="24"/>
        </w:rPr>
        <w:t xml:space="preserve"> fracture) were allocated based on the proportion of participants with fracture, i.e. </w:t>
      </w:r>
      <w:r w:rsidR="00197BCC" w:rsidRPr="00C33A5F">
        <w:rPr>
          <w:rFonts w:ascii="Times New Roman" w:eastAsia="Calibri" w:hAnsi="Times New Roman" w:cs="Times New Roman"/>
          <w:sz w:val="24"/>
          <w:szCs w:val="24"/>
        </w:rPr>
        <w:t xml:space="preserve">if </w:t>
      </w:r>
      <w:r w:rsidR="00D05FF7" w:rsidRPr="00C33A5F">
        <w:rPr>
          <w:rFonts w:ascii="Times New Roman" w:eastAsia="Calibri" w:hAnsi="Times New Roman" w:cs="Times New Roman"/>
          <w:sz w:val="24"/>
          <w:szCs w:val="24"/>
        </w:rPr>
        <w:t xml:space="preserve">&gt; 50% of the </w:t>
      </w:r>
      <w:r w:rsidR="00197BCC" w:rsidRPr="00C33A5F">
        <w:rPr>
          <w:rFonts w:ascii="Times New Roman" w:eastAsia="Calibri" w:hAnsi="Times New Roman" w:cs="Times New Roman"/>
          <w:sz w:val="24"/>
          <w:szCs w:val="24"/>
        </w:rPr>
        <w:t>population had</w:t>
      </w:r>
      <w:r w:rsidR="00D05FF7" w:rsidRPr="00C33A5F">
        <w:rPr>
          <w:rFonts w:ascii="Times New Roman" w:eastAsia="Calibri" w:hAnsi="Times New Roman" w:cs="Times New Roman"/>
          <w:sz w:val="24"/>
          <w:szCs w:val="24"/>
        </w:rPr>
        <w:t xml:space="preserve"> at least one fragility fracture</w:t>
      </w:r>
      <w:r w:rsidR="00197BCC" w:rsidRPr="00C33A5F">
        <w:rPr>
          <w:rFonts w:ascii="Times New Roman" w:eastAsia="Calibri" w:hAnsi="Times New Roman" w:cs="Times New Roman"/>
          <w:sz w:val="24"/>
          <w:szCs w:val="24"/>
        </w:rPr>
        <w:t>,</w:t>
      </w:r>
      <w:r w:rsidR="00D05FF7" w:rsidRPr="00C33A5F">
        <w:rPr>
          <w:rFonts w:ascii="Times New Roman" w:eastAsia="Calibri" w:hAnsi="Times New Roman" w:cs="Times New Roman"/>
          <w:sz w:val="24"/>
          <w:szCs w:val="24"/>
        </w:rPr>
        <w:t xml:space="preserve"> the study was allocated to question 2; if ≤</w:t>
      </w:r>
      <w:r w:rsidR="00E748C3" w:rsidRPr="00C33A5F">
        <w:rPr>
          <w:rFonts w:ascii="Times New Roman" w:eastAsia="Calibri" w:hAnsi="Times New Roman" w:cs="Times New Roman"/>
          <w:sz w:val="24"/>
          <w:szCs w:val="24"/>
        </w:rPr>
        <w:t xml:space="preserve"> </w:t>
      </w:r>
      <w:r w:rsidR="00D05FF7" w:rsidRPr="00C33A5F">
        <w:rPr>
          <w:rFonts w:ascii="Times New Roman" w:eastAsia="Calibri" w:hAnsi="Times New Roman" w:cs="Times New Roman"/>
          <w:sz w:val="24"/>
          <w:szCs w:val="24"/>
        </w:rPr>
        <w:t>50%,</w:t>
      </w:r>
      <w:r w:rsidR="00C93E3B" w:rsidRPr="00C33A5F">
        <w:rPr>
          <w:rFonts w:ascii="Times New Roman" w:eastAsia="Calibri" w:hAnsi="Times New Roman" w:cs="Times New Roman"/>
          <w:sz w:val="24"/>
          <w:szCs w:val="24"/>
        </w:rPr>
        <w:t xml:space="preserve"> </w:t>
      </w:r>
      <w:r w:rsidR="00EB23BC" w:rsidRPr="00C33A5F">
        <w:rPr>
          <w:rFonts w:ascii="Times New Roman" w:eastAsia="Calibri" w:hAnsi="Times New Roman" w:cs="Times New Roman"/>
          <w:sz w:val="24"/>
          <w:szCs w:val="24"/>
        </w:rPr>
        <w:t xml:space="preserve">the </w:t>
      </w:r>
      <w:r w:rsidR="00197BCC" w:rsidRPr="00C33A5F">
        <w:rPr>
          <w:rFonts w:ascii="Times New Roman" w:eastAsia="Calibri" w:hAnsi="Times New Roman" w:cs="Times New Roman"/>
          <w:sz w:val="24"/>
          <w:szCs w:val="24"/>
        </w:rPr>
        <w:t>study</w:t>
      </w:r>
      <w:r w:rsidR="00D05FF7" w:rsidRPr="00C33A5F">
        <w:rPr>
          <w:rFonts w:ascii="Times New Roman" w:eastAsia="Calibri" w:hAnsi="Times New Roman" w:cs="Times New Roman"/>
          <w:sz w:val="24"/>
          <w:szCs w:val="24"/>
        </w:rPr>
        <w:t xml:space="preserve"> was </w:t>
      </w:r>
      <w:r w:rsidR="009F776D" w:rsidRPr="00C33A5F">
        <w:rPr>
          <w:rFonts w:ascii="Times New Roman" w:eastAsia="Calibri" w:hAnsi="Times New Roman" w:cs="Times New Roman"/>
          <w:sz w:val="24"/>
          <w:szCs w:val="24"/>
        </w:rPr>
        <w:t xml:space="preserve">allocated </w:t>
      </w:r>
      <w:r w:rsidR="00D05FF7" w:rsidRPr="00C33A5F">
        <w:rPr>
          <w:rFonts w:ascii="Times New Roman" w:eastAsia="Calibri" w:hAnsi="Times New Roman" w:cs="Times New Roman"/>
          <w:sz w:val="24"/>
          <w:szCs w:val="24"/>
        </w:rPr>
        <w:t xml:space="preserve">to question 3. If </w:t>
      </w:r>
      <w:r w:rsidR="004D28AD" w:rsidRPr="00C33A5F">
        <w:rPr>
          <w:rFonts w:ascii="Times New Roman" w:eastAsia="Calibri" w:hAnsi="Times New Roman" w:cs="Times New Roman"/>
          <w:sz w:val="24"/>
          <w:szCs w:val="24"/>
        </w:rPr>
        <w:t>more than one published</w:t>
      </w:r>
      <w:r w:rsidR="00D05FF7" w:rsidRPr="00C33A5F">
        <w:rPr>
          <w:rFonts w:ascii="Times New Roman" w:eastAsia="Calibri" w:hAnsi="Times New Roman" w:cs="Times New Roman"/>
          <w:sz w:val="24"/>
          <w:szCs w:val="24"/>
        </w:rPr>
        <w:t xml:space="preserve"> </w:t>
      </w:r>
      <w:r w:rsidR="004D28AD" w:rsidRPr="00C33A5F">
        <w:rPr>
          <w:rFonts w:ascii="Times New Roman" w:eastAsia="Calibri" w:hAnsi="Times New Roman" w:cs="Times New Roman"/>
          <w:sz w:val="24"/>
          <w:szCs w:val="24"/>
        </w:rPr>
        <w:t>article</w:t>
      </w:r>
      <w:r w:rsidR="00D05FF7" w:rsidRPr="00C33A5F">
        <w:rPr>
          <w:rFonts w:ascii="Times New Roman" w:eastAsia="Calibri" w:hAnsi="Times New Roman" w:cs="Times New Roman"/>
          <w:sz w:val="24"/>
          <w:szCs w:val="24"/>
        </w:rPr>
        <w:t xml:space="preserve"> reported </w:t>
      </w:r>
      <w:r w:rsidR="002A62B9" w:rsidRPr="00C33A5F">
        <w:rPr>
          <w:rFonts w:ascii="Times New Roman" w:eastAsia="Calibri" w:hAnsi="Times New Roman" w:cs="Times New Roman"/>
          <w:sz w:val="24"/>
          <w:szCs w:val="24"/>
        </w:rPr>
        <w:t xml:space="preserve">data from </w:t>
      </w:r>
      <w:r w:rsidR="00D05FF7" w:rsidRPr="00C33A5F">
        <w:rPr>
          <w:rFonts w:ascii="Times New Roman" w:eastAsia="Calibri" w:hAnsi="Times New Roman" w:cs="Times New Roman"/>
          <w:sz w:val="24"/>
          <w:szCs w:val="24"/>
        </w:rPr>
        <w:t xml:space="preserve">a single </w:t>
      </w:r>
      <w:r w:rsidR="004D28AD" w:rsidRPr="00C33A5F">
        <w:rPr>
          <w:rFonts w:ascii="Times New Roman" w:eastAsia="Calibri" w:hAnsi="Times New Roman" w:cs="Times New Roman"/>
          <w:sz w:val="24"/>
          <w:szCs w:val="24"/>
        </w:rPr>
        <w:t>cohort</w:t>
      </w:r>
      <w:r w:rsidR="00D05FF7" w:rsidRPr="00C33A5F">
        <w:rPr>
          <w:rFonts w:ascii="Times New Roman" w:eastAsia="Calibri" w:hAnsi="Times New Roman" w:cs="Times New Roman"/>
          <w:sz w:val="24"/>
          <w:szCs w:val="24"/>
        </w:rPr>
        <w:t xml:space="preserve">, the most up-to-date </w:t>
      </w:r>
      <w:r w:rsidR="00E13114" w:rsidRPr="00C33A5F">
        <w:rPr>
          <w:rFonts w:ascii="Times New Roman" w:eastAsia="Calibri" w:hAnsi="Times New Roman" w:cs="Times New Roman"/>
          <w:sz w:val="24"/>
          <w:szCs w:val="24"/>
        </w:rPr>
        <w:t xml:space="preserve">publication </w:t>
      </w:r>
      <w:r w:rsidR="00D05FF7" w:rsidRPr="00C33A5F">
        <w:rPr>
          <w:rFonts w:ascii="Times New Roman" w:eastAsia="Calibri" w:hAnsi="Times New Roman" w:cs="Times New Roman"/>
          <w:sz w:val="24"/>
          <w:szCs w:val="24"/>
        </w:rPr>
        <w:t>was included in the analysis.</w:t>
      </w:r>
      <w:r w:rsidR="00E13114" w:rsidRPr="00C33A5F">
        <w:rPr>
          <w:rFonts w:ascii="Times New Roman" w:eastAsia="Calibri" w:hAnsi="Times New Roman" w:cs="Times New Roman"/>
          <w:sz w:val="24"/>
          <w:szCs w:val="24"/>
        </w:rPr>
        <w:t xml:space="preserve"> </w:t>
      </w:r>
    </w:p>
    <w:p w14:paraId="75B6B380" w14:textId="77777777" w:rsidR="00C15653" w:rsidRPr="00C33A5F" w:rsidRDefault="00C15653" w:rsidP="00B82ADC">
      <w:pPr>
        <w:spacing w:after="0" w:line="360" w:lineRule="auto"/>
        <w:rPr>
          <w:rFonts w:ascii="Times New Roman" w:eastAsia="Calibri" w:hAnsi="Times New Roman" w:cs="Times New Roman"/>
          <w:b/>
          <w:sz w:val="24"/>
          <w:szCs w:val="24"/>
        </w:rPr>
      </w:pPr>
    </w:p>
    <w:p w14:paraId="7D112836" w14:textId="77777777" w:rsidR="00796761" w:rsidRPr="00C33A5F" w:rsidRDefault="00A15716" w:rsidP="00AD3162">
      <w:pPr>
        <w:pStyle w:val="Heading2"/>
        <w:spacing w:before="0" w:line="480" w:lineRule="auto"/>
        <w:rPr>
          <w:rFonts w:ascii="Times New Roman" w:hAnsi="Times New Roman" w:cs="Times New Roman"/>
          <w:b/>
          <w:color w:val="auto"/>
          <w:sz w:val="24"/>
          <w:szCs w:val="24"/>
          <w:lang w:val="en-GB"/>
        </w:rPr>
      </w:pPr>
      <w:r>
        <w:rPr>
          <w:rFonts w:ascii="Times New Roman" w:hAnsi="Times New Roman" w:cs="Times New Roman"/>
          <w:b/>
          <w:color w:val="auto"/>
          <w:sz w:val="24"/>
          <w:szCs w:val="24"/>
          <w:lang w:val="en-GB"/>
        </w:rPr>
        <w:t>RESULTS</w:t>
      </w:r>
    </w:p>
    <w:p w14:paraId="1640A36B" w14:textId="77777777" w:rsidR="00976B31" w:rsidRDefault="00966239" w:rsidP="008969CF">
      <w:pPr>
        <w:spacing w:after="0" w:line="480" w:lineRule="auto"/>
        <w:jc w:val="both"/>
        <w:rPr>
          <w:rFonts w:ascii="Times New Roman" w:eastAsia="Calibri" w:hAnsi="Times New Roman" w:cs="Times New Roman"/>
          <w:sz w:val="24"/>
          <w:szCs w:val="24"/>
        </w:rPr>
      </w:pPr>
      <w:r w:rsidRPr="00C33A5F">
        <w:rPr>
          <w:rFonts w:ascii="Times New Roman" w:eastAsia="Calibri" w:hAnsi="Times New Roman" w:cs="Times New Roman"/>
          <w:sz w:val="24"/>
          <w:szCs w:val="24"/>
        </w:rPr>
        <w:t>The</w:t>
      </w:r>
      <w:r w:rsidR="002F6C3A" w:rsidRPr="00C33A5F">
        <w:rPr>
          <w:rFonts w:ascii="Times New Roman" w:eastAsia="Calibri" w:hAnsi="Times New Roman" w:cs="Times New Roman"/>
          <w:sz w:val="24"/>
          <w:szCs w:val="24"/>
        </w:rPr>
        <w:t xml:space="preserve"> database searches</w:t>
      </w:r>
      <w:r w:rsidRPr="00C33A5F">
        <w:rPr>
          <w:rFonts w:ascii="Times New Roman" w:eastAsia="Calibri" w:hAnsi="Times New Roman" w:cs="Times New Roman"/>
          <w:sz w:val="24"/>
          <w:szCs w:val="24"/>
        </w:rPr>
        <w:t xml:space="preserve"> yielded </w:t>
      </w:r>
      <w:r w:rsidR="001C6E85" w:rsidRPr="00C33A5F">
        <w:rPr>
          <w:rFonts w:ascii="Times New Roman" w:eastAsia="Calibri" w:hAnsi="Times New Roman" w:cs="Times New Roman"/>
          <w:sz w:val="24"/>
          <w:szCs w:val="24"/>
        </w:rPr>
        <w:t>15,917</w:t>
      </w:r>
      <w:r w:rsidRPr="00C33A5F">
        <w:rPr>
          <w:rFonts w:ascii="Times New Roman" w:eastAsia="Calibri" w:hAnsi="Times New Roman" w:cs="Times New Roman"/>
          <w:sz w:val="24"/>
          <w:szCs w:val="24"/>
        </w:rPr>
        <w:t xml:space="preserve"> citations</w:t>
      </w:r>
      <w:r w:rsidR="002F6C3A" w:rsidRPr="00C33A5F">
        <w:rPr>
          <w:rFonts w:ascii="Times New Roman" w:eastAsia="Calibri" w:hAnsi="Times New Roman" w:cs="Times New Roman"/>
          <w:sz w:val="24"/>
          <w:szCs w:val="24"/>
        </w:rPr>
        <w:t>. Following</w:t>
      </w:r>
      <w:r w:rsidR="00183A24" w:rsidRPr="00C33A5F">
        <w:rPr>
          <w:rFonts w:ascii="Times New Roman" w:eastAsia="Calibri" w:hAnsi="Times New Roman" w:cs="Times New Roman"/>
          <w:sz w:val="24"/>
          <w:szCs w:val="24"/>
        </w:rPr>
        <w:t xml:space="preserve"> removal of </w:t>
      </w:r>
      <w:r w:rsidR="003822A1" w:rsidRPr="00C33A5F">
        <w:rPr>
          <w:rFonts w:ascii="Times New Roman" w:eastAsia="Calibri" w:hAnsi="Times New Roman" w:cs="Times New Roman"/>
          <w:sz w:val="24"/>
          <w:szCs w:val="24"/>
        </w:rPr>
        <w:t>duplicates</w:t>
      </w:r>
      <w:r w:rsidR="001C6E85" w:rsidRPr="00C33A5F">
        <w:rPr>
          <w:rFonts w:ascii="Times New Roman" w:eastAsia="Calibri" w:hAnsi="Times New Roman" w:cs="Times New Roman"/>
          <w:sz w:val="24"/>
          <w:szCs w:val="24"/>
        </w:rPr>
        <w:t>,</w:t>
      </w:r>
      <w:r w:rsidR="00D47233" w:rsidRPr="00C33A5F">
        <w:rPr>
          <w:rFonts w:ascii="Times New Roman" w:eastAsia="Calibri" w:hAnsi="Times New Roman" w:cs="Times New Roman"/>
          <w:sz w:val="24"/>
          <w:szCs w:val="24"/>
        </w:rPr>
        <w:t xml:space="preserve"> we screened </w:t>
      </w:r>
      <w:r w:rsidR="001C6E85" w:rsidRPr="00C33A5F">
        <w:rPr>
          <w:rFonts w:ascii="Times New Roman" w:eastAsia="Calibri" w:hAnsi="Times New Roman" w:cs="Times New Roman"/>
          <w:sz w:val="24"/>
          <w:szCs w:val="24"/>
        </w:rPr>
        <w:t>11,195</w:t>
      </w:r>
      <w:r w:rsidR="00D47233" w:rsidRPr="00C33A5F">
        <w:rPr>
          <w:rFonts w:ascii="Times New Roman" w:eastAsia="Calibri" w:hAnsi="Times New Roman" w:cs="Times New Roman"/>
          <w:sz w:val="24"/>
          <w:szCs w:val="24"/>
        </w:rPr>
        <w:t xml:space="preserve"> titles and </w:t>
      </w:r>
      <w:r w:rsidR="00F33875" w:rsidRPr="00C33A5F">
        <w:rPr>
          <w:rFonts w:ascii="Times New Roman" w:eastAsia="Calibri" w:hAnsi="Times New Roman" w:cs="Times New Roman"/>
          <w:sz w:val="24"/>
          <w:szCs w:val="24"/>
        </w:rPr>
        <w:t xml:space="preserve">or </w:t>
      </w:r>
      <w:r w:rsidR="00D47233" w:rsidRPr="00C33A5F">
        <w:rPr>
          <w:rFonts w:ascii="Times New Roman" w:eastAsia="Calibri" w:hAnsi="Times New Roman" w:cs="Times New Roman"/>
          <w:sz w:val="24"/>
          <w:szCs w:val="24"/>
        </w:rPr>
        <w:t>abstracts.</w:t>
      </w:r>
      <w:r w:rsidR="00021A4C" w:rsidRPr="00C33A5F">
        <w:rPr>
          <w:rFonts w:ascii="Times New Roman" w:eastAsia="Calibri" w:hAnsi="Times New Roman" w:cs="Times New Roman"/>
          <w:sz w:val="24"/>
          <w:szCs w:val="24"/>
        </w:rPr>
        <w:t xml:space="preserve"> </w:t>
      </w:r>
      <w:r w:rsidR="00F33875" w:rsidRPr="00C33A5F">
        <w:rPr>
          <w:rFonts w:ascii="Times New Roman" w:eastAsia="Calibri" w:hAnsi="Times New Roman" w:cs="Times New Roman"/>
          <w:sz w:val="24"/>
          <w:szCs w:val="24"/>
        </w:rPr>
        <w:t>Two</w:t>
      </w:r>
      <w:r w:rsidR="00305A3A" w:rsidRPr="00C33A5F">
        <w:rPr>
          <w:rFonts w:ascii="Times New Roman" w:eastAsia="Calibri" w:hAnsi="Times New Roman" w:cs="Times New Roman"/>
          <w:sz w:val="24"/>
          <w:szCs w:val="24"/>
        </w:rPr>
        <w:t xml:space="preserve"> hundred </w:t>
      </w:r>
      <w:r w:rsidR="00963CD7" w:rsidRPr="00C33A5F">
        <w:rPr>
          <w:rFonts w:ascii="Times New Roman" w:eastAsia="Calibri" w:hAnsi="Times New Roman" w:cs="Times New Roman"/>
          <w:sz w:val="24"/>
          <w:szCs w:val="24"/>
        </w:rPr>
        <w:t xml:space="preserve">and </w:t>
      </w:r>
      <w:r w:rsidR="001A5AC9" w:rsidRPr="00C33A5F">
        <w:rPr>
          <w:rFonts w:ascii="Times New Roman" w:eastAsia="Calibri" w:hAnsi="Times New Roman" w:cs="Times New Roman"/>
          <w:sz w:val="24"/>
          <w:szCs w:val="24"/>
        </w:rPr>
        <w:t>eighteen</w:t>
      </w:r>
      <w:r w:rsidR="00183A24" w:rsidRPr="00C33A5F">
        <w:rPr>
          <w:rFonts w:ascii="Times New Roman" w:eastAsia="Calibri" w:hAnsi="Times New Roman" w:cs="Times New Roman"/>
          <w:sz w:val="24"/>
          <w:szCs w:val="24"/>
        </w:rPr>
        <w:t xml:space="preserve"> </w:t>
      </w:r>
      <w:r w:rsidR="00FD6188" w:rsidRPr="00C33A5F">
        <w:rPr>
          <w:rFonts w:ascii="Times New Roman" w:eastAsia="Calibri" w:hAnsi="Times New Roman" w:cs="Times New Roman"/>
          <w:sz w:val="24"/>
          <w:szCs w:val="24"/>
        </w:rPr>
        <w:t>full-</w:t>
      </w:r>
      <w:r w:rsidRPr="00C33A5F">
        <w:rPr>
          <w:rFonts w:ascii="Times New Roman" w:eastAsia="Calibri" w:hAnsi="Times New Roman" w:cs="Times New Roman"/>
          <w:sz w:val="24"/>
          <w:szCs w:val="24"/>
        </w:rPr>
        <w:t xml:space="preserve">text </w:t>
      </w:r>
      <w:r w:rsidR="00183A24" w:rsidRPr="00C33A5F">
        <w:rPr>
          <w:rFonts w:ascii="Times New Roman" w:eastAsia="Calibri" w:hAnsi="Times New Roman" w:cs="Times New Roman"/>
          <w:sz w:val="24"/>
          <w:szCs w:val="24"/>
        </w:rPr>
        <w:t>articles wer</w:t>
      </w:r>
      <w:r w:rsidR="002F6C3A" w:rsidRPr="00C33A5F">
        <w:rPr>
          <w:rFonts w:ascii="Times New Roman" w:eastAsia="Calibri" w:hAnsi="Times New Roman" w:cs="Times New Roman"/>
          <w:sz w:val="24"/>
          <w:szCs w:val="24"/>
        </w:rPr>
        <w:t xml:space="preserve">e </w:t>
      </w:r>
      <w:r w:rsidR="00D47233" w:rsidRPr="00C33A5F">
        <w:rPr>
          <w:rFonts w:ascii="Times New Roman" w:eastAsia="Calibri" w:hAnsi="Times New Roman" w:cs="Times New Roman"/>
          <w:sz w:val="24"/>
          <w:szCs w:val="24"/>
        </w:rPr>
        <w:t xml:space="preserve">selected for review, of which </w:t>
      </w:r>
      <w:r w:rsidR="00EC6903" w:rsidRPr="00C33A5F">
        <w:rPr>
          <w:rFonts w:ascii="Times New Roman" w:eastAsia="Calibri" w:hAnsi="Times New Roman" w:cs="Times New Roman"/>
          <w:sz w:val="24"/>
          <w:szCs w:val="24"/>
        </w:rPr>
        <w:t>1</w:t>
      </w:r>
      <w:r w:rsidR="007E19BD">
        <w:rPr>
          <w:rFonts w:ascii="Times New Roman" w:eastAsia="Calibri" w:hAnsi="Times New Roman" w:cs="Times New Roman"/>
          <w:sz w:val="24"/>
          <w:szCs w:val="24"/>
        </w:rPr>
        <w:t>82</w:t>
      </w:r>
      <w:r w:rsidR="00963CD7" w:rsidRPr="00C33A5F">
        <w:rPr>
          <w:rFonts w:ascii="Times New Roman" w:eastAsia="Calibri" w:hAnsi="Times New Roman" w:cs="Times New Roman"/>
          <w:sz w:val="24"/>
          <w:szCs w:val="24"/>
        </w:rPr>
        <w:t xml:space="preserve"> </w:t>
      </w:r>
      <w:r w:rsidR="002F6C3A" w:rsidRPr="00C33A5F">
        <w:rPr>
          <w:rFonts w:ascii="Times New Roman" w:eastAsia="Calibri" w:hAnsi="Times New Roman" w:cs="Times New Roman"/>
          <w:sz w:val="24"/>
          <w:szCs w:val="24"/>
        </w:rPr>
        <w:t>were rejected</w:t>
      </w:r>
      <w:r w:rsidR="00D47233" w:rsidRPr="00C33A5F">
        <w:rPr>
          <w:rFonts w:ascii="Times New Roman" w:eastAsia="Calibri" w:hAnsi="Times New Roman" w:cs="Times New Roman"/>
          <w:sz w:val="24"/>
          <w:szCs w:val="24"/>
        </w:rPr>
        <w:t xml:space="preserve">. </w:t>
      </w:r>
      <w:r w:rsidR="00EC6903" w:rsidRPr="00C33A5F">
        <w:rPr>
          <w:rFonts w:ascii="Times New Roman" w:eastAsia="Calibri" w:hAnsi="Times New Roman" w:cs="Times New Roman"/>
          <w:sz w:val="24"/>
          <w:szCs w:val="24"/>
        </w:rPr>
        <w:t>Seven</w:t>
      </w:r>
      <w:r w:rsidR="00185BE7" w:rsidRPr="00C33A5F">
        <w:rPr>
          <w:rFonts w:ascii="Times New Roman" w:eastAsia="Calibri" w:hAnsi="Times New Roman" w:cs="Times New Roman"/>
          <w:sz w:val="24"/>
          <w:szCs w:val="24"/>
        </w:rPr>
        <w:t xml:space="preserve"> additional </w:t>
      </w:r>
      <w:r w:rsidR="00F33875" w:rsidRPr="00C33A5F">
        <w:rPr>
          <w:rFonts w:ascii="Times New Roman" w:eastAsia="Calibri" w:hAnsi="Times New Roman" w:cs="Times New Roman"/>
          <w:sz w:val="24"/>
          <w:szCs w:val="24"/>
        </w:rPr>
        <w:t>studies</w:t>
      </w:r>
      <w:r w:rsidR="00185BE7" w:rsidRPr="00C33A5F">
        <w:rPr>
          <w:rFonts w:ascii="Times New Roman" w:eastAsia="Calibri" w:hAnsi="Times New Roman" w:cs="Times New Roman"/>
          <w:sz w:val="24"/>
          <w:szCs w:val="24"/>
        </w:rPr>
        <w:t xml:space="preserve"> were identified </w:t>
      </w:r>
      <w:r w:rsidR="005C6062" w:rsidRPr="00C33A5F">
        <w:rPr>
          <w:rFonts w:ascii="Times New Roman" w:eastAsia="Calibri" w:hAnsi="Times New Roman" w:cs="Times New Roman"/>
          <w:sz w:val="24"/>
          <w:szCs w:val="24"/>
        </w:rPr>
        <w:t xml:space="preserve">from other sources, for </w:t>
      </w:r>
      <w:r w:rsidR="00F33875" w:rsidRPr="00C33A5F">
        <w:rPr>
          <w:rFonts w:ascii="Times New Roman" w:eastAsia="Calibri" w:hAnsi="Times New Roman" w:cs="Times New Roman"/>
          <w:sz w:val="24"/>
          <w:szCs w:val="24"/>
        </w:rPr>
        <w:t>example,</w:t>
      </w:r>
      <w:r w:rsidR="005C6062" w:rsidRPr="00C33A5F">
        <w:rPr>
          <w:rFonts w:ascii="Times New Roman" w:eastAsia="Calibri" w:hAnsi="Times New Roman" w:cs="Times New Roman"/>
          <w:sz w:val="24"/>
          <w:szCs w:val="24"/>
        </w:rPr>
        <w:t xml:space="preserve"> </w:t>
      </w:r>
      <w:r w:rsidR="00305A3A" w:rsidRPr="00C33A5F">
        <w:rPr>
          <w:rFonts w:ascii="Times New Roman" w:eastAsia="Calibri" w:hAnsi="Times New Roman" w:cs="Times New Roman"/>
          <w:sz w:val="24"/>
          <w:szCs w:val="24"/>
        </w:rPr>
        <w:t xml:space="preserve">the </w:t>
      </w:r>
      <w:r w:rsidR="005C6062" w:rsidRPr="00C33A5F">
        <w:rPr>
          <w:rFonts w:ascii="Times New Roman" w:eastAsia="Calibri" w:hAnsi="Times New Roman" w:cs="Times New Roman"/>
          <w:sz w:val="24"/>
          <w:szCs w:val="24"/>
        </w:rPr>
        <w:t xml:space="preserve">reference lists of selected </w:t>
      </w:r>
      <w:r w:rsidR="00305A3A" w:rsidRPr="00C33A5F">
        <w:rPr>
          <w:rFonts w:ascii="Times New Roman" w:eastAsia="Calibri" w:hAnsi="Times New Roman" w:cs="Times New Roman"/>
          <w:sz w:val="24"/>
          <w:szCs w:val="24"/>
        </w:rPr>
        <w:t>publications</w:t>
      </w:r>
      <w:r w:rsidR="00B44249" w:rsidRPr="00C33A5F">
        <w:rPr>
          <w:rFonts w:ascii="Times New Roman" w:eastAsia="Calibri" w:hAnsi="Times New Roman" w:cs="Times New Roman"/>
          <w:sz w:val="24"/>
          <w:szCs w:val="24"/>
        </w:rPr>
        <w:t xml:space="preserve">. </w:t>
      </w:r>
      <w:r w:rsidR="00944E74" w:rsidRPr="00C33A5F">
        <w:rPr>
          <w:rFonts w:ascii="Times New Roman" w:eastAsia="Calibri" w:hAnsi="Times New Roman" w:cs="Times New Roman"/>
          <w:sz w:val="24"/>
          <w:szCs w:val="24"/>
        </w:rPr>
        <w:t xml:space="preserve">No articles were </w:t>
      </w:r>
      <w:r w:rsidR="00A9451D">
        <w:rPr>
          <w:rFonts w:ascii="Times New Roman" w:eastAsia="Calibri" w:hAnsi="Times New Roman" w:cs="Times New Roman"/>
          <w:sz w:val="24"/>
          <w:szCs w:val="24"/>
        </w:rPr>
        <w:t>found</w:t>
      </w:r>
      <w:r w:rsidR="00944E74" w:rsidRPr="00C33A5F">
        <w:rPr>
          <w:rFonts w:ascii="Times New Roman" w:eastAsia="Calibri" w:hAnsi="Times New Roman" w:cs="Times New Roman"/>
          <w:sz w:val="24"/>
          <w:szCs w:val="24"/>
        </w:rPr>
        <w:t xml:space="preserve"> </w:t>
      </w:r>
      <w:r w:rsidR="0058053C">
        <w:rPr>
          <w:rFonts w:ascii="Times New Roman" w:eastAsia="Calibri" w:hAnsi="Times New Roman" w:cs="Times New Roman"/>
          <w:sz w:val="24"/>
          <w:szCs w:val="24"/>
        </w:rPr>
        <w:t>to answer</w:t>
      </w:r>
      <w:r w:rsidR="00A9451D">
        <w:rPr>
          <w:rFonts w:ascii="Times New Roman" w:eastAsia="Calibri" w:hAnsi="Times New Roman" w:cs="Times New Roman"/>
          <w:sz w:val="24"/>
          <w:szCs w:val="24"/>
        </w:rPr>
        <w:t xml:space="preserve"> </w:t>
      </w:r>
      <w:r w:rsidR="00AC7FBA" w:rsidRPr="00C33A5F">
        <w:rPr>
          <w:rFonts w:ascii="Times New Roman" w:eastAsia="Calibri" w:hAnsi="Times New Roman" w:cs="Times New Roman"/>
          <w:sz w:val="24"/>
          <w:szCs w:val="24"/>
        </w:rPr>
        <w:t>questions 7 and 8. S</w:t>
      </w:r>
      <w:r w:rsidR="00D03252" w:rsidRPr="00C33A5F">
        <w:rPr>
          <w:rFonts w:ascii="Times New Roman" w:eastAsia="Calibri" w:hAnsi="Times New Roman" w:cs="Times New Roman"/>
          <w:sz w:val="24"/>
          <w:szCs w:val="24"/>
        </w:rPr>
        <w:t xml:space="preserve">ubsequently, </w:t>
      </w:r>
      <w:r w:rsidR="00E748C3" w:rsidRPr="00C33A5F">
        <w:rPr>
          <w:rFonts w:ascii="Times New Roman" w:eastAsia="Calibri" w:hAnsi="Times New Roman" w:cs="Times New Roman"/>
          <w:sz w:val="24"/>
          <w:szCs w:val="24"/>
        </w:rPr>
        <w:t>43</w:t>
      </w:r>
      <w:r w:rsidR="001A5AC9" w:rsidRPr="00C33A5F">
        <w:rPr>
          <w:rFonts w:ascii="Times New Roman" w:eastAsia="Calibri" w:hAnsi="Times New Roman" w:cs="Times New Roman"/>
          <w:sz w:val="24"/>
          <w:szCs w:val="24"/>
        </w:rPr>
        <w:t xml:space="preserve"> </w:t>
      </w:r>
      <w:r w:rsidR="00305A3A" w:rsidRPr="00C33A5F">
        <w:rPr>
          <w:rFonts w:ascii="Times New Roman" w:eastAsia="Calibri" w:hAnsi="Times New Roman" w:cs="Times New Roman"/>
          <w:sz w:val="24"/>
          <w:szCs w:val="24"/>
        </w:rPr>
        <w:t>articles</w:t>
      </w:r>
      <w:r w:rsidR="00D47233" w:rsidRPr="00C33A5F">
        <w:rPr>
          <w:rFonts w:ascii="Times New Roman" w:eastAsia="Calibri" w:hAnsi="Times New Roman" w:cs="Times New Roman"/>
          <w:sz w:val="24"/>
          <w:szCs w:val="24"/>
        </w:rPr>
        <w:t xml:space="preserve"> </w:t>
      </w:r>
      <w:r w:rsidR="004873F4" w:rsidRPr="00C33A5F">
        <w:rPr>
          <w:rFonts w:ascii="Times New Roman" w:eastAsia="Calibri" w:hAnsi="Times New Roman" w:cs="Times New Roman"/>
          <w:sz w:val="24"/>
          <w:szCs w:val="24"/>
        </w:rPr>
        <w:t>were included</w:t>
      </w:r>
      <w:r w:rsidR="00B44249" w:rsidRPr="00C33A5F">
        <w:rPr>
          <w:rFonts w:ascii="Times New Roman" w:eastAsia="Calibri" w:hAnsi="Times New Roman" w:cs="Times New Roman"/>
          <w:sz w:val="24"/>
          <w:szCs w:val="24"/>
        </w:rPr>
        <w:t xml:space="preserve"> </w:t>
      </w:r>
      <w:r w:rsidR="00BD7643" w:rsidRPr="00C33A5F">
        <w:rPr>
          <w:rFonts w:ascii="Times New Roman" w:eastAsia="Calibri" w:hAnsi="Times New Roman" w:cs="Times New Roman"/>
          <w:sz w:val="24"/>
          <w:szCs w:val="24"/>
        </w:rPr>
        <w:t>in</w:t>
      </w:r>
      <w:r w:rsidR="00D47233" w:rsidRPr="00C33A5F">
        <w:rPr>
          <w:rFonts w:ascii="Times New Roman" w:eastAsia="Calibri" w:hAnsi="Times New Roman" w:cs="Times New Roman"/>
          <w:sz w:val="24"/>
          <w:szCs w:val="24"/>
        </w:rPr>
        <w:t xml:space="preserve"> data </w:t>
      </w:r>
      <w:r w:rsidR="001C6E85" w:rsidRPr="00C33A5F">
        <w:rPr>
          <w:rFonts w:ascii="Times New Roman" w:eastAsia="Calibri" w:hAnsi="Times New Roman" w:cs="Times New Roman"/>
          <w:sz w:val="24"/>
          <w:szCs w:val="24"/>
        </w:rPr>
        <w:t xml:space="preserve">analysis and </w:t>
      </w:r>
      <w:r w:rsidR="00AC4AF8" w:rsidRPr="00C33A5F">
        <w:rPr>
          <w:rFonts w:ascii="Times New Roman" w:eastAsia="Calibri" w:hAnsi="Times New Roman" w:cs="Times New Roman"/>
          <w:sz w:val="24"/>
          <w:szCs w:val="24"/>
        </w:rPr>
        <w:t xml:space="preserve">synthesis </w:t>
      </w:r>
      <w:r w:rsidR="008969CF">
        <w:rPr>
          <w:rFonts w:ascii="Times New Roman" w:eastAsia="Calibri" w:hAnsi="Times New Roman" w:cs="Times New Roman"/>
          <w:sz w:val="24"/>
          <w:szCs w:val="24"/>
        </w:rPr>
        <w:t>(Figure </w:t>
      </w:r>
      <w:r w:rsidR="00976B31">
        <w:rPr>
          <w:rFonts w:ascii="Times New Roman" w:eastAsia="Calibri" w:hAnsi="Times New Roman" w:cs="Times New Roman"/>
          <w:sz w:val="24"/>
          <w:szCs w:val="24"/>
        </w:rPr>
        <w:t>1</w:t>
      </w:r>
      <w:r w:rsidR="00AC4AF8" w:rsidRPr="00C33A5F">
        <w:rPr>
          <w:rFonts w:ascii="Times New Roman" w:eastAsia="Calibri" w:hAnsi="Times New Roman" w:cs="Times New Roman"/>
          <w:sz w:val="24"/>
          <w:szCs w:val="24"/>
        </w:rPr>
        <w:t>).</w:t>
      </w:r>
    </w:p>
    <w:p w14:paraId="4B5FFFF2" w14:textId="500356EF" w:rsidR="00B747D0" w:rsidRDefault="00B747D0" w:rsidP="00B747D0">
      <w:r>
        <w:rPr>
          <w:noProof/>
        </w:rPr>
        <w:lastRenderedPageBreak/>
        <mc:AlternateContent>
          <mc:Choice Requires="wpg">
            <w:drawing>
              <wp:anchor distT="0" distB="0" distL="114300" distR="114300" simplePos="0" relativeHeight="251659264" behindDoc="0" locked="0" layoutInCell="1" allowOverlap="1" wp14:anchorId="1C795B68" wp14:editId="2017E6F0">
                <wp:simplePos x="0" y="0"/>
                <wp:positionH relativeFrom="column">
                  <wp:posOffset>66040</wp:posOffset>
                </wp:positionH>
                <wp:positionV relativeFrom="paragraph">
                  <wp:posOffset>753745</wp:posOffset>
                </wp:positionV>
                <wp:extent cx="5085715" cy="6257925"/>
                <wp:effectExtent l="0" t="0" r="19685" b="9525"/>
                <wp:wrapNone/>
                <wp:docPr id="1" name="Group 1"/>
                <wp:cNvGraphicFramePr/>
                <a:graphic xmlns:a="http://schemas.openxmlformats.org/drawingml/2006/main">
                  <a:graphicData uri="http://schemas.microsoft.com/office/word/2010/wordprocessingGroup">
                    <wpg:wgp>
                      <wpg:cNvGrpSpPr/>
                      <wpg:grpSpPr>
                        <a:xfrm>
                          <a:off x="0" y="0"/>
                          <a:ext cx="5085715" cy="6257925"/>
                          <a:chOff x="0" y="0"/>
                          <a:chExt cx="5100532" cy="4953092"/>
                        </a:xfrm>
                      </wpg:grpSpPr>
                      <wps:wsp>
                        <wps:cNvPr id="16" name="Rounded Rectangle 33"/>
                        <wps:cNvSpPr/>
                        <wps:spPr>
                          <a:xfrm>
                            <a:off x="1440075" y="0"/>
                            <a:ext cx="1466709" cy="90793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B4581B" w14:textId="77777777" w:rsidR="00B747D0" w:rsidRDefault="00B747D0" w:rsidP="00B747D0">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Records identified through database searches (MEDLINE/PubMed, </w:t>
                              </w:r>
                              <w:proofErr w:type="spellStart"/>
                              <w:r>
                                <w:rPr>
                                  <w:rFonts w:ascii="Times New Roman" w:hAnsi="Times New Roman" w:cs="Times New Roman"/>
                                  <w:color w:val="000000" w:themeColor="text1"/>
                                </w:rPr>
                                <w:t>Embase</w:t>
                              </w:r>
                              <w:proofErr w:type="spellEnd"/>
                              <w:r>
                                <w:rPr>
                                  <w:rFonts w:ascii="Times New Roman" w:hAnsi="Times New Roman" w:cs="Times New Roman"/>
                                  <w:color w:val="000000" w:themeColor="text1"/>
                                </w:rPr>
                                <w:t>, CINAHL)</w:t>
                              </w:r>
                            </w:p>
                            <w:p w14:paraId="7FA4EDE7" w14:textId="77777777" w:rsidR="00B747D0" w:rsidRDefault="00B747D0" w:rsidP="00B747D0">
                              <w:pPr>
                                <w:jc w:val="center"/>
                                <w:rPr>
                                  <w:rFonts w:ascii="Times New Roman" w:hAnsi="Times New Roman" w:cs="Times New Roman"/>
                                  <w:color w:val="000000" w:themeColor="text1"/>
                                </w:rPr>
                              </w:pPr>
                              <w:r>
                                <w:rPr>
                                  <w:rFonts w:ascii="Times New Roman" w:hAnsi="Times New Roman" w:cs="Times New Roman"/>
                                  <w:color w:val="000000" w:themeColor="text1"/>
                                </w:rPr>
                                <w:t>(n= 15,917)</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7" name="Rounded Rectangle 34"/>
                        <wps:cNvSpPr/>
                        <wps:spPr>
                          <a:xfrm>
                            <a:off x="1440073" y="1437567"/>
                            <a:ext cx="1466710" cy="722978"/>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47BEE9" w14:textId="77777777" w:rsidR="00B747D0" w:rsidRDefault="00B747D0" w:rsidP="00B747D0">
                              <w:pPr>
                                <w:jc w:val="center"/>
                                <w:rPr>
                                  <w:rFonts w:ascii="Times New Roman" w:hAnsi="Times New Roman" w:cs="Times New Roman"/>
                                  <w:color w:val="000000" w:themeColor="text1"/>
                                </w:rPr>
                              </w:pPr>
                              <w:r>
                                <w:rPr>
                                  <w:rFonts w:ascii="Times New Roman" w:hAnsi="Times New Roman" w:cs="Times New Roman"/>
                                  <w:color w:val="000000" w:themeColor="text1"/>
                                </w:rPr>
                                <w:t>Records screened via title and abstract</w:t>
                              </w:r>
                            </w:p>
                            <w:p w14:paraId="5C73E48F" w14:textId="77777777" w:rsidR="00B747D0" w:rsidRDefault="00B747D0" w:rsidP="00B747D0">
                              <w:pPr>
                                <w:jc w:val="center"/>
                                <w:rPr>
                                  <w:rFonts w:ascii="Times New Roman" w:hAnsi="Times New Roman" w:cs="Times New Roman"/>
                                  <w:color w:val="000000" w:themeColor="text1"/>
                                </w:rPr>
                              </w:pPr>
                              <w:r>
                                <w:rPr>
                                  <w:rFonts w:ascii="Times New Roman" w:hAnsi="Times New Roman" w:cs="Times New Roman"/>
                                  <w:color w:val="000000" w:themeColor="text1"/>
                                </w:rPr>
                                <w:t>(n= 11,195)</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8" name="Rounded Rectangle 35"/>
                        <wps:cNvSpPr/>
                        <wps:spPr>
                          <a:xfrm>
                            <a:off x="3241708" y="914277"/>
                            <a:ext cx="1622137" cy="52329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41BC9" w14:textId="77777777" w:rsidR="00B747D0" w:rsidRDefault="00B747D0" w:rsidP="00B747D0">
                              <w:pPr>
                                <w:jc w:val="center"/>
                                <w:rPr>
                                  <w:rFonts w:ascii="Times New Roman" w:hAnsi="Times New Roman" w:cs="Times New Roman"/>
                                  <w:color w:val="000000" w:themeColor="text1"/>
                                </w:rPr>
                              </w:pPr>
                              <w:r>
                                <w:rPr>
                                  <w:rFonts w:ascii="Times New Roman" w:hAnsi="Times New Roman" w:cs="Times New Roman"/>
                                  <w:color w:val="000000" w:themeColor="text1"/>
                                </w:rPr>
                                <w:t>Duplicates removed</w:t>
                              </w:r>
                            </w:p>
                            <w:p w14:paraId="4F7AE60E" w14:textId="77777777" w:rsidR="00B747D0" w:rsidRDefault="00B747D0" w:rsidP="00B747D0">
                              <w:pPr>
                                <w:jc w:val="center"/>
                                <w:rPr>
                                  <w:rFonts w:ascii="Times New Roman" w:hAnsi="Times New Roman" w:cs="Times New Roman"/>
                                  <w:color w:val="000000" w:themeColor="text1"/>
                                </w:rPr>
                              </w:pPr>
                              <w:r>
                                <w:rPr>
                                  <w:rFonts w:ascii="Times New Roman" w:hAnsi="Times New Roman" w:cs="Times New Roman"/>
                                  <w:color w:val="000000" w:themeColor="text1"/>
                                </w:rPr>
                                <w:t>(n= 4722)</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9" name="Straight Arrow Connector 19"/>
                        <wps:cNvCnPr/>
                        <wps:spPr>
                          <a:xfrm>
                            <a:off x="2213008" y="908059"/>
                            <a:ext cx="0" cy="52950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a:endCxn id="18" idx="1"/>
                        </wps:cNvCnPr>
                        <wps:spPr>
                          <a:xfrm>
                            <a:off x="2213008" y="1175810"/>
                            <a:ext cx="1028700" cy="11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Rounded Rectangle 38"/>
                        <wps:cNvSpPr/>
                        <wps:spPr>
                          <a:xfrm>
                            <a:off x="1440081" y="2581859"/>
                            <a:ext cx="1466702" cy="65647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8807A" w14:textId="77777777" w:rsidR="00B747D0" w:rsidRDefault="00B747D0" w:rsidP="00B747D0">
                              <w:pPr>
                                <w:jc w:val="center"/>
                                <w:rPr>
                                  <w:rFonts w:ascii="Times New Roman" w:hAnsi="Times New Roman" w:cs="Times New Roman"/>
                                  <w:color w:val="000000" w:themeColor="text1"/>
                                </w:rPr>
                              </w:pPr>
                              <w:r>
                                <w:rPr>
                                  <w:rFonts w:ascii="Times New Roman" w:hAnsi="Times New Roman" w:cs="Times New Roman"/>
                                  <w:color w:val="000000" w:themeColor="text1"/>
                                </w:rPr>
                                <w:t>Full text articles assessed for eligibility</w:t>
                              </w:r>
                            </w:p>
                            <w:p w14:paraId="64C5968B" w14:textId="77777777" w:rsidR="00B747D0" w:rsidRDefault="00B747D0" w:rsidP="00B747D0">
                              <w:pPr>
                                <w:jc w:val="center"/>
                                <w:rPr>
                                  <w:rFonts w:ascii="Times New Roman" w:hAnsi="Times New Roman" w:cs="Times New Roman"/>
                                  <w:color w:val="000000" w:themeColor="text1"/>
                                </w:rPr>
                              </w:pPr>
                              <w:r>
                                <w:rPr>
                                  <w:rFonts w:ascii="Times New Roman" w:hAnsi="Times New Roman" w:cs="Times New Roman"/>
                                  <w:color w:val="000000" w:themeColor="text1"/>
                                </w:rPr>
                                <w:t>(n= 218)</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2" name="Straight Arrow Connector 22"/>
                        <wps:cNvCnPr/>
                        <wps:spPr>
                          <a:xfrm>
                            <a:off x="2213008" y="2160452"/>
                            <a:ext cx="0" cy="4213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Rounded Rectangle 40"/>
                        <wps:cNvSpPr/>
                        <wps:spPr>
                          <a:xfrm>
                            <a:off x="3241599" y="1984965"/>
                            <a:ext cx="1858933" cy="2968127"/>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2D449E" w14:textId="77777777" w:rsidR="00B747D0" w:rsidRDefault="00B747D0" w:rsidP="00B747D0">
                              <w:pPr>
                                <w:jc w:val="center"/>
                                <w:rPr>
                                  <w:rFonts w:ascii="Times New Roman" w:hAnsi="Times New Roman" w:cs="Times New Roman"/>
                                  <w:color w:val="000000" w:themeColor="text1"/>
                                </w:rPr>
                              </w:pPr>
                              <w:r>
                                <w:rPr>
                                  <w:rFonts w:ascii="Times New Roman" w:hAnsi="Times New Roman" w:cs="Times New Roman"/>
                                  <w:color w:val="000000" w:themeColor="text1"/>
                                </w:rPr>
                                <w:t>Excluded articles with reasons (n= 182)</w:t>
                              </w:r>
                            </w:p>
                            <w:p w14:paraId="62AE0703" w14:textId="77777777" w:rsidR="00B747D0" w:rsidRDefault="00B747D0" w:rsidP="00B747D0">
                              <w:pPr>
                                <w:rPr>
                                  <w:rFonts w:ascii="Times New Roman" w:hAnsi="Times New Roman" w:cs="Times New Roman"/>
                                  <w:color w:val="000000" w:themeColor="text1"/>
                                </w:rPr>
                              </w:pPr>
                              <w:r>
                                <w:rPr>
                                  <w:rFonts w:ascii="Times New Roman" w:hAnsi="Times New Roman" w:cs="Times New Roman"/>
                                  <w:color w:val="000000" w:themeColor="text1"/>
                                </w:rPr>
                                <w:t>Not meeting PICOS (n=119)</w:t>
                              </w:r>
                            </w:p>
                            <w:p w14:paraId="494FDEF9" w14:textId="77777777" w:rsidR="00B747D0" w:rsidRDefault="00B747D0" w:rsidP="00B747D0">
                              <w:pPr>
                                <w:rPr>
                                  <w:rFonts w:ascii="Times New Roman" w:hAnsi="Times New Roman" w:cs="Times New Roman"/>
                                  <w:color w:val="000000" w:themeColor="text1"/>
                                </w:rPr>
                              </w:pPr>
                              <w:r>
                                <w:rPr>
                                  <w:rFonts w:ascii="Times New Roman" w:hAnsi="Times New Roman" w:cs="Times New Roman"/>
                                  <w:color w:val="000000" w:themeColor="text1"/>
                                </w:rPr>
                                <w:t>Only abstract available (n=3)</w:t>
                              </w:r>
                            </w:p>
                            <w:p w14:paraId="1829CAFB" w14:textId="77777777" w:rsidR="00B747D0" w:rsidRDefault="00B747D0" w:rsidP="00B747D0">
                              <w:pPr>
                                <w:rPr>
                                  <w:rFonts w:ascii="Times New Roman" w:hAnsi="Times New Roman" w:cs="Times New Roman"/>
                                  <w:color w:val="000000" w:themeColor="text1"/>
                                </w:rPr>
                              </w:pPr>
                              <w:r>
                                <w:rPr>
                                  <w:rFonts w:ascii="Times New Roman" w:hAnsi="Times New Roman" w:cs="Times New Roman"/>
                                  <w:color w:val="000000" w:themeColor="text1"/>
                                </w:rPr>
                                <w:t>Letter (n=1)</w:t>
                              </w:r>
                            </w:p>
                            <w:p w14:paraId="165CAE77" w14:textId="77777777" w:rsidR="00B747D0" w:rsidRDefault="00B747D0" w:rsidP="00B747D0">
                              <w:pPr>
                                <w:rPr>
                                  <w:rFonts w:ascii="Times New Roman" w:hAnsi="Times New Roman" w:cs="Times New Roman"/>
                                  <w:color w:val="000000" w:themeColor="text1"/>
                                </w:rPr>
                              </w:pPr>
                              <w:r>
                                <w:rPr>
                                  <w:rFonts w:ascii="Times New Roman" w:hAnsi="Times New Roman" w:cs="Times New Roman"/>
                                  <w:color w:val="000000" w:themeColor="text1"/>
                                </w:rPr>
                                <w:t xml:space="preserve">Superseded by more up-to-date or comprehensive systematic review (n=48) </w:t>
                              </w:r>
                            </w:p>
                            <w:p w14:paraId="7C9DD64E" w14:textId="77777777" w:rsidR="00B747D0" w:rsidRDefault="00B747D0" w:rsidP="00B747D0">
                              <w:pPr>
                                <w:rPr>
                                  <w:rFonts w:ascii="Times New Roman" w:hAnsi="Times New Roman" w:cs="Times New Roman"/>
                                  <w:color w:val="000000" w:themeColor="text1"/>
                                </w:rPr>
                              </w:pPr>
                              <w:r>
                                <w:rPr>
                                  <w:rFonts w:ascii="Times New Roman" w:hAnsi="Times New Roman" w:cs="Times New Roman"/>
                                  <w:color w:val="000000" w:themeColor="text1"/>
                                </w:rPr>
                                <w:t>Non-English (n=3)</w:t>
                              </w:r>
                            </w:p>
                            <w:p w14:paraId="4E336EB0" w14:textId="77777777" w:rsidR="00B747D0" w:rsidRDefault="00B747D0" w:rsidP="00B747D0">
                              <w:pPr>
                                <w:rPr>
                                  <w:rFonts w:ascii="Times New Roman" w:hAnsi="Times New Roman" w:cs="Times New Roman"/>
                                  <w:color w:val="000000" w:themeColor="text1"/>
                                </w:rPr>
                              </w:pPr>
                              <w:r>
                                <w:rPr>
                                  <w:rFonts w:ascii="Times New Roman" w:hAnsi="Times New Roman" w:cs="Times New Roman"/>
                                  <w:color w:val="000000" w:themeColor="text1"/>
                                </w:rPr>
                                <w:t>Full text not available (n=8)</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4" name="Rounded Rectangle 41"/>
                        <wps:cNvSpPr/>
                        <wps:spPr>
                          <a:xfrm>
                            <a:off x="0" y="3238270"/>
                            <a:ext cx="1440074" cy="707856"/>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2A359F" w14:textId="77777777" w:rsidR="00B747D0" w:rsidRDefault="00B747D0" w:rsidP="00B747D0">
                              <w:pPr>
                                <w:jc w:val="center"/>
                                <w:rPr>
                                  <w:rFonts w:ascii="Times New Roman" w:hAnsi="Times New Roman" w:cs="Times New Roman"/>
                                  <w:color w:val="000000" w:themeColor="text1"/>
                                </w:rPr>
                              </w:pPr>
                              <w:r>
                                <w:rPr>
                                  <w:rFonts w:ascii="Times New Roman" w:hAnsi="Times New Roman" w:cs="Times New Roman"/>
                                  <w:color w:val="000000" w:themeColor="text1"/>
                                </w:rPr>
                                <w:t>Additional articles identified</w:t>
                              </w:r>
                            </w:p>
                            <w:p w14:paraId="3C57ECE1" w14:textId="77777777" w:rsidR="00B747D0" w:rsidRDefault="00B747D0" w:rsidP="00B747D0">
                              <w:pPr>
                                <w:jc w:val="center"/>
                                <w:rPr>
                                  <w:rFonts w:ascii="Times New Roman" w:hAnsi="Times New Roman" w:cs="Times New Roman"/>
                                  <w:color w:val="000000" w:themeColor="text1"/>
                                </w:rPr>
                              </w:pPr>
                              <w:r>
                                <w:rPr>
                                  <w:rFonts w:ascii="Times New Roman" w:hAnsi="Times New Roman" w:cs="Times New Roman"/>
                                  <w:color w:val="000000" w:themeColor="text1"/>
                                </w:rPr>
                                <w:t>(n= 7)</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5" name="Rounded Rectangle 42"/>
                        <wps:cNvSpPr/>
                        <wps:spPr>
                          <a:xfrm>
                            <a:off x="1465495" y="3946205"/>
                            <a:ext cx="1441289" cy="537287"/>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273E98" w14:textId="77777777" w:rsidR="00B747D0" w:rsidRDefault="00B747D0" w:rsidP="00B747D0">
                              <w:pPr>
                                <w:jc w:val="center"/>
                                <w:rPr>
                                  <w:rFonts w:ascii="Times New Roman" w:hAnsi="Times New Roman" w:cs="Times New Roman"/>
                                  <w:color w:val="000000" w:themeColor="text1"/>
                                </w:rPr>
                              </w:pPr>
                              <w:r>
                                <w:rPr>
                                  <w:rFonts w:ascii="Times New Roman" w:hAnsi="Times New Roman" w:cs="Times New Roman"/>
                                  <w:color w:val="000000" w:themeColor="text1"/>
                                </w:rPr>
                                <w:t>Articles included</w:t>
                              </w:r>
                            </w:p>
                            <w:p w14:paraId="4099124E" w14:textId="77777777" w:rsidR="00B747D0" w:rsidRDefault="00B747D0" w:rsidP="00B747D0">
                              <w:pPr>
                                <w:jc w:val="center"/>
                                <w:rPr>
                                  <w:rFonts w:ascii="Times New Roman" w:hAnsi="Times New Roman" w:cs="Times New Roman"/>
                                  <w:color w:val="000000" w:themeColor="text1"/>
                                </w:rPr>
                              </w:pPr>
                              <w:r>
                                <w:rPr>
                                  <w:rFonts w:ascii="Times New Roman" w:hAnsi="Times New Roman" w:cs="Times New Roman"/>
                                  <w:color w:val="000000" w:themeColor="text1"/>
                                </w:rPr>
                                <w:t>(n= 43)</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6" name="Straight Arrow Connector 26"/>
                        <wps:cNvCnPr/>
                        <wps:spPr>
                          <a:xfrm flipH="1">
                            <a:off x="2189351" y="3238197"/>
                            <a:ext cx="8626" cy="70195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2213008" y="3519564"/>
                            <a:ext cx="10287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1449606" y="3523749"/>
                            <a:ext cx="76340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795B68" id="Group 1" o:spid="_x0000_s1026" style="position:absolute;margin-left:5.2pt;margin-top:59.35pt;width:400.45pt;height:492.75pt;z-index:251659264;mso-width-relative:margin;mso-height-relative:margin" coordsize="51005,4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xKENAYAANIuAAAOAAAAZHJzL2Uyb0RvYy54bWzsWltv2zYUfh+w/0DofbFEiboYdYogvWxA&#10;0RVNhz4zEmULkEiNYmJnv36HF8muYsVplhVtoTw4osTr4XfO+c4hX7zcNTW6ZbKrBF95wZnvIcZz&#10;UVR8vfL++vTmt9RDnaK8oLXgbOXdsc57ef7rLy+27ZJhsRF1wSSCTni33LYrb6NUu1wsunzDGtqd&#10;iZZx+FgK2VAFRbleFJJuofemXmDfjxdbIYtWipx1Hbx9ZT9656b/smS5+rMsO6ZQvfJgbsr8SvN7&#10;rX8X5y/oci1pu6lyNw36hFk0tOIw6NDVK6ooupHVva6aKpeiE6U6y0WzEGVZ5cysAVYT+KPVvJXi&#10;pjVrWS+363YQE4h2JKcnd5u/v/0gUVXA3nmI0wa2yIyKAi2abbteQo23sr1qP0j3Ym1LerW7Ujb6&#10;P6wD7YxQ7wahsp1CObwkfkqSgHgoh28xJkmGiRV7voG9udcu37zuWwa+T0JsW0YZCf0M65aLfuCF&#10;nt8wnW0LEOr2Uur+m5SuNrRlRvidlkEvpbgX00dxwwtWoI+AMcrXNUNhaGVm6g8C65YdyO6ItIIo&#10;8v0EBHNfZkEUx4mf2ZVnfpKFBqnDwumylZ16y0SD9MPKA6DwQs/EgJDevuuUFVRfT4/PxZuqruE9&#10;XdYcbWHLSQrj63In6qrQX01BKx+7rCW6paA2amewAIMf1IJSzWErtNDt+syTuquZ7f8jKwFWsP/Y&#10;DvBlnzTPGVeB/bShBbNDER/+3BYbE6BnYTa85tCh7rmESQ59uw6O920F4OrrpszYg6Gx/9DEbOOh&#10;hRlZcDU0biou5LEOaliVG9nW74VkRaOlpHbXO6iiH69FcQfIksIapq7N31Swoe9opz5QCZYIbBZY&#10;V/i6EfIfD23BUq287u8bKpmH6j84gDyMtdCQOizIw8L1YYHfNJcCdhXUHUYzj9BYqrp/LKVoPoNR&#10;vdCjwifKcxh75eVK9oVLZS0omOWcXVyYamDOWqre8as2151rgWnsfdp9prJ1KFVgE96LXrHocoRT&#10;W1e35OLiRomyMiDey8mJEpTcSu//1/bkAW2PnqDtodH2IAoTEie6PaDSWTuj8wEIXNvJBOMsSR2Q&#10;eivb6/Ks82CKfkCdd252Vn1A/fev+kBcLR864ugNgdF2CYjBaUcf4ihIfOgPFDsLIpyMNT/GOAjB&#10;1GjNJzjEWe8DZ83/Oby90XzDXffObHb6BwThu3L6wLut5l8pSav1RqELKcUWXQrOgWILiYLswPdf&#10;chca9Uy4D0+GuEirt98bAD/1iWm+d/3O6ROcESD9lj1OqH7npjTMxVKtkTnVkYEWqaboX9D2e47z&#10;KLmnS0Wr+jUvkLprISJUsjIRjpvaI4n/I8j5cVb/CGL+rVn9XkzlFKu3VF5vntbxb8dRMaDnBFyh&#10;iiMd4K80XA3v5MXljltOAr7JxGo2dHGOzVbUhYkA9hDWQZCQFNgrjLPHdeDjNNGxiXZsQfBl8H4v&#10;hp2hbSLdGdpDsgUPOakjHMxERw6qpzmYSbak0B8gEQNS07ENtikXl2yKSRxBZuRBSzynXPYpoj6d&#10;YwX2rRH8yJSLMXVDiu7ZMy9g5o5kXbRxnjMux5LbfRrIqbDLr2LQwFPebCDSzps53/YIL4WD2I+I&#10;ab/3Us4/RUDSYgOP6TTr7KJmFzXCK2T0ptIE0SHtOu2idJqAZBB8aLKUpVEWu3OSIUOYkjSDQwZD&#10;p3AWpwE2mYRpvM4+6kf0UUNi+dl9lDsqOOKn3JfZVxVf4auiB3TfnZ8+MkUIPgi0PsRhipNxEGWO&#10;CWEocy7gJymJZ2L6U50FGmI6pJSfXelnYnr2VdcjJogpHNRPOvpDRnra0UOoSeA6g1X5LIqxP3b0&#10;URTg1B3/kzCBLMqs8j+fyhs7runks6v87OeHG2TPofrDnZ/JAwE87OV0TIrKump/7y9HuCtTOABK&#10;T2xeSrv/IBsdDqYx9O18f5CRE3cC5gB1DlBHAepwhWUavAZyrtnXnWYBdDPIlT6Q9jdsdjpCnQE7&#10;A3YE2OHixTRgD3P/pwELuf8s9sGK6hCL4DCJRuevSRxGPthgHWHNeAURmFPj7+mG1dPOX839YLg4&#10;bVTMXfLWN7MPy/B8eBX9/F8AAAD//wMAUEsDBBQABgAIAAAAIQDd550T4AAAAAsBAAAPAAAAZHJz&#10;L2Rvd25yZXYueG1sTI9BS8NAEIXvgv9hGcGb3d22aojZlFLUUxFsBfG2TaZJaHY2ZLdJ+u+dnvQ0&#10;vJnHm+9lq8m1YsA+NJ4M6JkCgVT4sqHKwNf+7SEBEaKl0rae0MAFA6zy25vMpqUf6ROHXawEh1BI&#10;rYE6xi6VMhQ1OhtmvkPi29H3zkaWfSXL3o4c7lo5V+pJOtsQf6hth5sai9Pu7Ay8j3ZcL/TrsD0d&#10;N5ef/ePH91ajMfd30/oFRMQp/pnhis/okDPTwZ+pDKJlrZbs5KmTZxBsSLRegDhcN2o5B5ln8n+H&#10;/BcAAP//AwBQSwECLQAUAAYACAAAACEAtoM4kv4AAADhAQAAEwAAAAAAAAAAAAAAAAAAAAAAW0Nv&#10;bnRlbnRfVHlwZXNdLnhtbFBLAQItABQABgAIAAAAIQA4/SH/1gAAAJQBAAALAAAAAAAAAAAAAAAA&#10;AC8BAABfcmVscy8ucmVsc1BLAQItABQABgAIAAAAIQD8txKENAYAANIuAAAOAAAAAAAAAAAAAAAA&#10;AC4CAABkcnMvZTJvRG9jLnhtbFBLAQItABQABgAIAAAAIQDd550T4AAAAAsBAAAPAAAAAAAAAAAA&#10;AAAAAI4IAABkcnMvZG93bnJldi54bWxQSwUGAAAAAAQABADzAAAAmwkAAAAA&#10;">
                <v:roundrect id="Rounded Rectangle 33" o:spid="_x0000_s1027" style="position:absolute;left:14400;width:14667;height:9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F2MwgAAANsAAAAPAAAAZHJzL2Rvd25yZXYueG1sRE9Na8JA&#10;EL0L/odlhN7MxoJBUlcpxWp7KKjpweOQnWyC2dmQXU3677uFgrd5vM9Zb0fbijv1vnGsYJGkIIhL&#10;pxs2Cr6L9/kKhA/IGlvHpOCHPGw308kac+0GPtH9HIyIIexzVFCH0OVS+rImiz5xHXHkKtdbDBH2&#10;RuoehxhuW/mcppm02HBsqLGjt5rK6/lmFZTyenFF1Vy+dsdqxebwudybTqmn2fj6AiLQGB7if/eH&#10;jvMz+PslHiA3vwAAAP//AwBQSwECLQAUAAYACAAAACEA2+H2y+4AAACFAQAAEwAAAAAAAAAAAAAA&#10;AAAAAAAAW0NvbnRlbnRfVHlwZXNdLnhtbFBLAQItABQABgAIAAAAIQBa9CxbvwAAABUBAAALAAAA&#10;AAAAAAAAAAAAAB8BAABfcmVscy8ucmVsc1BLAQItABQABgAIAAAAIQCArF2MwgAAANsAAAAPAAAA&#10;AAAAAAAAAAAAAAcCAABkcnMvZG93bnJldi54bWxQSwUGAAAAAAMAAwC3AAAA9gIAAAAA&#10;" filled="f" strokecolor="black [3213]" strokeweight="1.25pt">
                  <v:stroke joinstyle="miter"/>
                  <v:textbox inset="1mm,1mm,1mm,1mm">
                    <w:txbxContent>
                      <w:p w14:paraId="76B4581B" w14:textId="77777777" w:rsidR="00B747D0" w:rsidRDefault="00B747D0" w:rsidP="00B747D0">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Records identified through database searches (MEDLINE/PubMed, </w:t>
                        </w:r>
                        <w:proofErr w:type="spellStart"/>
                        <w:r>
                          <w:rPr>
                            <w:rFonts w:ascii="Times New Roman" w:hAnsi="Times New Roman" w:cs="Times New Roman"/>
                            <w:color w:val="000000" w:themeColor="text1"/>
                          </w:rPr>
                          <w:t>Embase</w:t>
                        </w:r>
                        <w:proofErr w:type="spellEnd"/>
                        <w:r>
                          <w:rPr>
                            <w:rFonts w:ascii="Times New Roman" w:hAnsi="Times New Roman" w:cs="Times New Roman"/>
                            <w:color w:val="000000" w:themeColor="text1"/>
                          </w:rPr>
                          <w:t>, CINAHL)</w:t>
                        </w:r>
                      </w:p>
                      <w:p w14:paraId="7FA4EDE7" w14:textId="77777777" w:rsidR="00B747D0" w:rsidRDefault="00B747D0" w:rsidP="00B747D0">
                        <w:pPr>
                          <w:jc w:val="center"/>
                          <w:rPr>
                            <w:rFonts w:ascii="Times New Roman" w:hAnsi="Times New Roman" w:cs="Times New Roman"/>
                            <w:color w:val="000000" w:themeColor="text1"/>
                          </w:rPr>
                        </w:pPr>
                        <w:r>
                          <w:rPr>
                            <w:rFonts w:ascii="Times New Roman" w:hAnsi="Times New Roman" w:cs="Times New Roman"/>
                            <w:color w:val="000000" w:themeColor="text1"/>
                          </w:rPr>
                          <w:t>(n= 15,917)</w:t>
                        </w:r>
                      </w:p>
                    </w:txbxContent>
                  </v:textbox>
                </v:roundrect>
                <v:roundrect id="Rounded Rectangle 34" o:spid="_x0000_s1028" style="position:absolute;left:14400;top:14375;width:14667;height:72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PgXwQAAANsAAAAPAAAAZHJzL2Rvd25yZXYueG1sRE9Li8Iw&#10;EL4L/ocwwt40dWFdqUYRcX0cFnwdPA7NNC02k9JErf/eLCx4m4/vOdN5aytxp8aXjhUMBwkI4szp&#10;ko2C8+mnPwbhA7LGyjEpeJKH+azbmWKq3YMPdD8GI2II+xQVFCHUqZQ+K8iiH7iaOHK5ayyGCBsj&#10;dYOPGG4r+ZkkI2mx5NhQYE3LgrLr8WYVZPJ6cae8vPyu9vmYzWb3tTa1Uh+9djEBEagNb/G/e6vj&#10;/G/4+yUeIGcvAAAA//8DAFBLAQItABQABgAIAAAAIQDb4fbL7gAAAIUBAAATAAAAAAAAAAAAAAAA&#10;AAAAAABbQ29udGVudF9UeXBlc10ueG1sUEsBAi0AFAAGAAgAAAAhAFr0LFu/AAAAFQEAAAsAAAAA&#10;AAAAAAAAAAAAHwEAAF9yZWxzLy5yZWxzUEsBAi0AFAAGAAgAAAAhAO/g+BfBAAAA2wAAAA8AAAAA&#10;AAAAAAAAAAAABwIAAGRycy9kb3ducmV2LnhtbFBLBQYAAAAAAwADALcAAAD1AgAAAAA=&#10;" filled="f" strokecolor="black [3213]" strokeweight="1.25pt">
                  <v:stroke joinstyle="miter"/>
                  <v:textbox inset="1mm,1mm,1mm,1mm">
                    <w:txbxContent>
                      <w:p w14:paraId="7547BEE9" w14:textId="77777777" w:rsidR="00B747D0" w:rsidRDefault="00B747D0" w:rsidP="00B747D0">
                        <w:pPr>
                          <w:jc w:val="center"/>
                          <w:rPr>
                            <w:rFonts w:ascii="Times New Roman" w:hAnsi="Times New Roman" w:cs="Times New Roman"/>
                            <w:color w:val="000000" w:themeColor="text1"/>
                          </w:rPr>
                        </w:pPr>
                        <w:r>
                          <w:rPr>
                            <w:rFonts w:ascii="Times New Roman" w:hAnsi="Times New Roman" w:cs="Times New Roman"/>
                            <w:color w:val="000000" w:themeColor="text1"/>
                          </w:rPr>
                          <w:t>Records screened via title and abstract</w:t>
                        </w:r>
                      </w:p>
                      <w:p w14:paraId="5C73E48F" w14:textId="77777777" w:rsidR="00B747D0" w:rsidRDefault="00B747D0" w:rsidP="00B747D0">
                        <w:pPr>
                          <w:jc w:val="center"/>
                          <w:rPr>
                            <w:rFonts w:ascii="Times New Roman" w:hAnsi="Times New Roman" w:cs="Times New Roman"/>
                            <w:color w:val="000000" w:themeColor="text1"/>
                          </w:rPr>
                        </w:pPr>
                        <w:r>
                          <w:rPr>
                            <w:rFonts w:ascii="Times New Roman" w:hAnsi="Times New Roman" w:cs="Times New Roman"/>
                            <w:color w:val="000000" w:themeColor="text1"/>
                          </w:rPr>
                          <w:t>(n= 11,195)</w:t>
                        </w:r>
                      </w:p>
                    </w:txbxContent>
                  </v:textbox>
                </v:roundrect>
                <v:roundrect id="Rounded Rectangle 35" o:spid="_x0000_s1029" style="position:absolute;left:32417;top:9142;width:16221;height:52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2xlxAAAANsAAAAPAAAAZHJzL2Rvd25yZXYueG1sRI9Pa8JA&#10;EMXvBb/DMkJvdWPBItFVRGxtDwX/HTwO2ckmmJ0N2a3Gb+8cCt5meG/e+8182ftGXamLdWAD41EG&#10;irgItmZn4HT8fJuCignZYhOYDNwpwnIxeJljbsON93Q9JKckhGOOBqqU2lzrWFTkMY5CSyxaGTqP&#10;SdbOadvhTcJ9o9+z7EN7rFkaKmxpXVFxOfx5A4W+nMOxrM+/m105Zbf9mXy51pjXYb+agUrUp6f5&#10;//rbCr7Ayi8ygF48AAAA//8DAFBLAQItABQABgAIAAAAIQDb4fbL7gAAAIUBAAATAAAAAAAAAAAA&#10;AAAAAAAAAABbQ29udGVudF9UeXBlc10ueG1sUEsBAi0AFAAGAAgAAAAhAFr0LFu/AAAAFQEAAAsA&#10;AAAAAAAAAAAAAAAAHwEAAF9yZWxzLy5yZWxzUEsBAi0AFAAGAAgAAAAhAJ5/bGXEAAAA2wAAAA8A&#10;AAAAAAAAAAAAAAAABwIAAGRycy9kb3ducmV2LnhtbFBLBQYAAAAAAwADALcAAAD4AgAAAAA=&#10;" filled="f" strokecolor="black [3213]" strokeweight="1.25pt">
                  <v:stroke joinstyle="miter"/>
                  <v:textbox inset="1mm,1mm,1mm,1mm">
                    <w:txbxContent>
                      <w:p w14:paraId="65141BC9" w14:textId="77777777" w:rsidR="00B747D0" w:rsidRDefault="00B747D0" w:rsidP="00B747D0">
                        <w:pPr>
                          <w:jc w:val="center"/>
                          <w:rPr>
                            <w:rFonts w:ascii="Times New Roman" w:hAnsi="Times New Roman" w:cs="Times New Roman"/>
                            <w:color w:val="000000" w:themeColor="text1"/>
                          </w:rPr>
                        </w:pPr>
                        <w:r>
                          <w:rPr>
                            <w:rFonts w:ascii="Times New Roman" w:hAnsi="Times New Roman" w:cs="Times New Roman"/>
                            <w:color w:val="000000" w:themeColor="text1"/>
                          </w:rPr>
                          <w:t>Duplicates removed</w:t>
                        </w:r>
                      </w:p>
                      <w:p w14:paraId="4F7AE60E" w14:textId="77777777" w:rsidR="00B747D0" w:rsidRDefault="00B747D0" w:rsidP="00B747D0">
                        <w:pPr>
                          <w:jc w:val="center"/>
                          <w:rPr>
                            <w:rFonts w:ascii="Times New Roman" w:hAnsi="Times New Roman" w:cs="Times New Roman"/>
                            <w:color w:val="000000" w:themeColor="text1"/>
                          </w:rPr>
                        </w:pPr>
                        <w:r>
                          <w:rPr>
                            <w:rFonts w:ascii="Times New Roman" w:hAnsi="Times New Roman" w:cs="Times New Roman"/>
                            <w:color w:val="000000" w:themeColor="text1"/>
                          </w:rPr>
                          <w:t>(n= 4722)</w:t>
                        </w:r>
                      </w:p>
                    </w:txbxContent>
                  </v:textbox>
                </v:roundrect>
                <v:shapetype id="_x0000_t32" coordsize="21600,21600" o:spt="32" o:oned="t" path="m,l21600,21600e" filled="f">
                  <v:path arrowok="t" fillok="f" o:connecttype="none"/>
                  <o:lock v:ext="edit" shapetype="t"/>
                </v:shapetype>
                <v:shape id="Straight Arrow Connector 19" o:spid="_x0000_s1030" type="#_x0000_t32" style="position:absolute;left:22130;top:9080;width:0;height:52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dgwwAAANsAAAAPAAAAZHJzL2Rvd25yZXYueG1sRE9Na8JA&#10;EL0L/Q/LFHrTTRW0SV1FBGnFi6bS6m3ITpOl2dmQ3Zr033cFwds83ufMl72txYVabxwreB4lIIgL&#10;pw2XCo4fm+ELCB+QNdaOScEfeVguHgZzzLTr+ECXPJQihrDPUEEVQpNJ6YuKLPqRa4gj9+1aiyHC&#10;tpS6xS6G21qOk2QqLRqODRU2tK6o+Ml/rYLiePpKaW8+dTcxs7dmd95N8q1ST4/96hVEoD7cxTf3&#10;u47zU7j+Eg+Qi38AAAD//wMAUEsBAi0AFAAGAAgAAAAhANvh9svuAAAAhQEAABMAAAAAAAAAAAAA&#10;AAAAAAAAAFtDb250ZW50X1R5cGVzXS54bWxQSwECLQAUAAYACAAAACEAWvQsW78AAAAVAQAACwAA&#10;AAAAAAAAAAAAAAAfAQAAX3JlbHMvLnJlbHNQSwECLQAUAAYACAAAACEAnQBHYMMAAADbAAAADwAA&#10;AAAAAAAAAAAAAAAHAgAAZHJzL2Rvd25yZXYueG1sUEsFBgAAAAADAAMAtwAAAPcCAAAAAA==&#10;" strokecolor="black [3213]" strokeweight=".5pt">
                  <v:stroke endarrow="block" joinstyle="miter"/>
                </v:shape>
                <v:shape id="Straight Arrow Connector 20" o:spid="_x0000_s1031" type="#_x0000_t32" style="position:absolute;left:22130;top:11758;width:1028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RAwgAAANsAAAAPAAAAZHJzL2Rvd25yZXYueG1sRE/Pa8Iw&#10;FL4L+x/CG3ibqQpudk1lDIaKl9mJutujebZhzUtpou3+++Uw8Pjx/c5Wg23EjTpvHCuYThIQxKXT&#10;hisFh6+PpxcQPiBrbByTgl/ysMofRhmm2vW8p1sRKhFD2KeooA6hTaX0ZU0W/cS1xJG7uM5iiLCr&#10;pO6wj+G2kbMkWUiLhmNDjS2911T+FFeroDycT0v6NEfdz83zut197+bFVqnx4/D2CiLQEO7if/dG&#10;K5jF9fFL/AEy/wMAAP//AwBQSwECLQAUAAYACAAAACEA2+H2y+4AAACFAQAAEwAAAAAAAAAAAAAA&#10;AAAAAAAAW0NvbnRlbnRfVHlwZXNdLnhtbFBLAQItABQABgAIAAAAIQBa9CxbvwAAABUBAAALAAAA&#10;AAAAAAAAAAAAAB8BAABfcmVscy8ucmVsc1BLAQItABQABgAIAAAAIQDCViRAwgAAANsAAAAPAAAA&#10;AAAAAAAAAAAAAAcCAABkcnMvZG93bnJldi54bWxQSwUGAAAAAAMAAwC3AAAA9gIAAAAA&#10;" strokecolor="black [3213]" strokeweight=".5pt">
                  <v:stroke endarrow="block" joinstyle="miter"/>
                </v:shape>
                <v:roundrect id="Rounded Rectangle 38" o:spid="_x0000_s1032" style="position:absolute;left:14400;top:25818;width:14667;height:65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x1gxQAAANsAAAAPAAAAZHJzL2Rvd25yZXYueG1sRI9BS8NA&#10;FITvgv9heYIXaTcNVCR2W0QQ7MFoaw/t7bH7TEKzb0P2NU3/vSsIPQ4z8w2zWI2+VQP1sQlsYDbN&#10;QBHb4BquDOy+3yZPoKIgO2wDk4ELRVgtb28WWLhw5g0NW6lUgnAs0EAt0hVaR1uTxzgNHXHyfkLv&#10;UZLsK+16PCe4b3WeZY/aY8NpocaOXmuyx+3JG7Drr+On+5jvZTiUthP/kG/K0pj7u/HlGZTQKNfw&#10;f/vdGchn8Pcl/QC9/AUAAP//AwBQSwECLQAUAAYACAAAACEA2+H2y+4AAACFAQAAEwAAAAAAAAAA&#10;AAAAAAAAAAAAW0NvbnRlbnRfVHlwZXNdLnhtbFBLAQItABQABgAIAAAAIQBa9CxbvwAAABUBAAAL&#10;AAAAAAAAAAAAAAAAAB8BAABfcmVscy8ucmVsc1BLAQItABQABgAIAAAAIQCiTx1gxQAAANsAAAAP&#10;AAAAAAAAAAAAAAAAAAcCAABkcnMvZG93bnJldi54bWxQSwUGAAAAAAMAAwC3AAAA+QIAAAAA&#10;" filled="f" strokecolor="black [3213]" strokeweight="1.25pt">
                  <v:stroke joinstyle="miter"/>
                  <v:textbox inset="1mm,0,1mm,0">
                    <w:txbxContent>
                      <w:p w14:paraId="38D8807A" w14:textId="77777777" w:rsidR="00B747D0" w:rsidRDefault="00B747D0" w:rsidP="00B747D0">
                        <w:pPr>
                          <w:jc w:val="center"/>
                          <w:rPr>
                            <w:rFonts w:ascii="Times New Roman" w:hAnsi="Times New Roman" w:cs="Times New Roman"/>
                            <w:color w:val="000000" w:themeColor="text1"/>
                          </w:rPr>
                        </w:pPr>
                        <w:r>
                          <w:rPr>
                            <w:rFonts w:ascii="Times New Roman" w:hAnsi="Times New Roman" w:cs="Times New Roman"/>
                            <w:color w:val="000000" w:themeColor="text1"/>
                          </w:rPr>
                          <w:t>Full text articles assessed for eligibility</w:t>
                        </w:r>
                      </w:p>
                      <w:p w14:paraId="64C5968B" w14:textId="77777777" w:rsidR="00B747D0" w:rsidRDefault="00B747D0" w:rsidP="00B747D0">
                        <w:pPr>
                          <w:jc w:val="center"/>
                          <w:rPr>
                            <w:rFonts w:ascii="Times New Roman" w:hAnsi="Times New Roman" w:cs="Times New Roman"/>
                            <w:color w:val="000000" w:themeColor="text1"/>
                          </w:rPr>
                        </w:pPr>
                        <w:r>
                          <w:rPr>
                            <w:rFonts w:ascii="Times New Roman" w:hAnsi="Times New Roman" w:cs="Times New Roman"/>
                            <w:color w:val="000000" w:themeColor="text1"/>
                          </w:rPr>
                          <w:t>(n= 218)</w:t>
                        </w:r>
                      </w:p>
                    </w:txbxContent>
                  </v:textbox>
                </v:roundrect>
                <v:shape id="Straight Arrow Connector 22" o:spid="_x0000_s1033" type="#_x0000_t32" style="position:absolute;left:22130;top:21604;width:0;height:4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B+sxQAAANsAAAAPAAAAZHJzL2Rvd25yZXYueG1sRI9Ba8JA&#10;FITvQv/D8gq96cYI1kZXkUKp4qVGaevtkX0mi9m3Ibua9N93CwWPw8x8wyxWva3FjVpvHCsYjxIQ&#10;xIXThksFx8PbcAbCB2SNtWNS8EMeVsuHwQIz7Tre0y0PpYgQ9hkqqEJoMil9UZFFP3INcfTOrrUY&#10;omxLqVvsItzWMk2SqbRoOC5U2NBrRcUlv1oFxfH764U+zKfuJub5vdmddpN8q9TTY7+egwjUh3v4&#10;v73RCtIU/r7EHyCXvwAAAP//AwBQSwECLQAUAAYACAAAACEA2+H2y+4AAACFAQAAEwAAAAAAAAAA&#10;AAAAAAAAAAAAW0NvbnRlbnRfVHlwZXNdLnhtbFBLAQItABQABgAIAAAAIQBa9CxbvwAAABUBAAAL&#10;AAAAAAAAAAAAAAAAAB8BAABfcmVscy8ucmVsc1BLAQItABQABgAIAAAAIQBdyB+sxQAAANsAAAAP&#10;AAAAAAAAAAAAAAAAAAcCAABkcnMvZG93bnJldi54bWxQSwUGAAAAAAMAAwC3AAAA+QIAAAAA&#10;" strokecolor="black [3213]" strokeweight=".5pt">
                  <v:stroke endarrow="block" joinstyle="miter"/>
                </v:shape>
                <v:roundrect id="Rounded Rectangle 40" o:spid="_x0000_s1034" style="position:absolute;left:32415;top:19849;width:18590;height:296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zSpxQAAANsAAAAPAAAAZHJzL2Rvd25yZXYueG1sRI/NasMw&#10;EITvhb6D2EJujVyHluBEMaG0SXMoND+HHBdrLRtbK2MpjvP2UaHQ4zAz3zDLfLStGKj3tWMFL9ME&#10;BHHhdM1Gwen4+TwH4QOyxtYxKbiRh3z1+LDETLsr72k4BCMihH2GCqoQukxKX1Rk0U9dRxy90vUW&#10;Q5S9kbrHa4TbVqZJ8iYt1hwXKuzovaKiOVysgkI2Z3cs6/P3x085Z7PdvW5Mp9TkaVwvQAQaw3/4&#10;r/2lFaQz+P0Sf4Bc3QEAAP//AwBQSwECLQAUAAYACAAAACEA2+H2y+4AAACFAQAAEwAAAAAAAAAA&#10;AAAAAAAAAAAAW0NvbnRlbnRfVHlwZXNdLnhtbFBLAQItABQABgAIAAAAIQBa9CxbvwAAABUBAAAL&#10;AAAAAAAAAAAAAAAAAB8BAABfcmVscy8ucmVsc1BLAQItABQABgAIAAAAIQBetzSpxQAAANsAAAAP&#10;AAAAAAAAAAAAAAAAAAcCAABkcnMvZG93bnJldi54bWxQSwUGAAAAAAMAAwC3AAAA+QIAAAAA&#10;" filled="f" strokecolor="black [3213]" strokeweight="1.25pt">
                  <v:stroke joinstyle="miter"/>
                  <v:textbox inset="1mm,1mm,1mm,1mm">
                    <w:txbxContent>
                      <w:p w14:paraId="0B2D449E" w14:textId="77777777" w:rsidR="00B747D0" w:rsidRDefault="00B747D0" w:rsidP="00B747D0">
                        <w:pPr>
                          <w:jc w:val="center"/>
                          <w:rPr>
                            <w:rFonts w:ascii="Times New Roman" w:hAnsi="Times New Roman" w:cs="Times New Roman"/>
                            <w:color w:val="000000" w:themeColor="text1"/>
                          </w:rPr>
                        </w:pPr>
                        <w:r>
                          <w:rPr>
                            <w:rFonts w:ascii="Times New Roman" w:hAnsi="Times New Roman" w:cs="Times New Roman"/>
                            <w:color w:val="000000" w:themeColor="text1"/>
                          </w:rPr>
                          <w:t>Excluded articles with reasons (n= 182)</w:t>
                        </w:r>
                      </w:p>
                      <w:p w14:paraId="62AE0703" w14:textId="77777777" w:rsidR="00B747D0" w:rsidRDefault="00B747D0" w:rsidP="00B747D0">
                        <w:pPr>
                          <w:rPr>
                            <w:rFonts w:ascii="Times New Roman" w:hAnsi="Times New Roman" w:cs="Times New Roman"/>
                            <w:color w:val="000000" w:themeColor="text1"/>
                          </w:rPr>
                        </w:pPr>
                        <w:r>
                          <w:rPr>
                            <w:rFonts w:ascii="Times New Roman" w:hAnsi="Times New Roman" w:cs="Times New Roman"/>
                            <w:color w:val="000000" w:themeColor="text1"/>
                          </w:rPr>
                          <w:t>Not meeting PICOS (n=119)</w:t>
                        </w:r>
                      </w:p>
                      <w:p w14:paraId="494FDEF9" w14:textId="77777777" w:rsidR="00B747D0" w:rsidRDefault="00B747D0" w:rsidP="00B747D0">
                        <w:pPr>
                          <w:rPr>
                            <w:rFonts w:ascii="Times New Roman" w:hAnsi="Times New Roman" w:cs="Times New Roman"/>
                            <w:color w:val="000000" w:themeColor="text1"/>
                          </w:rPr>
                        </w:pPr>
                        <w:r>
                          <w:rPr>
                            <w:rFonts w:ascii="Times New Roman" w:hAnsi="Times New Roman" w:cs="Times New Roman"/>
                            <w:color w:val="000000" w:themeColor="text1"/>
                          </w:rPr>
                          <w:t>Only abstract available (n=3)</w:t>
                        </w:r>
                      </w:p>
                      <w:p w14:paraId="1829CAFB" w14:textId="77777777" w:rsidR="00B747D0" w:rsidRDefault="00B747D0" w:rsidP="00B747D0">
                        <w:pPr>
                          <w:rPr>
                            <w:rFonts w:ascii="Times New Roman" w:hAnsi="Times New Roman" w:cs="Times New Roman"/>
                            <w:color w:val="000000" w:themeColor="text1"/>
                          </w:rPr>
                        </w:pPr>
                        <w:r>
                          <w:rPr>
                            <w:rFonts w:ascii="Times New Roman" w:hAnsi="Times New Roman" w:cs="Times New Roman"/>
                            <w:color w:val="000000" w:themeColor="text1"/>
                          </w:rPr>
                          <w:t>Letter (n=1)</w:t>
                        </w:r>
                      </w:p>
                      <w:p w14:paraId="165CAE77" w14:textId="77777777" w:rsidR="00B747D0" w:rsidRDefault="00B747D0" w:rsidP="00B747D0">
                        <w:pPr>
                          <w:rPr>
                            <w:rFonts w:ascii="Times New Roman" w:hAnsi="Times New Roman" w:cs="Times New Roman"/>
                            <w:color w:val="000000" w:themeColor="text1"/>
                          </w:rPr>
                        </w:pPr>
                        <w:r>
                          <w:rPr>
                            <w:rFonts w:ascii="Times New Roman" w:hAnsi="Times New Roman" w:cs="Times New Roman"/>
                            <w:color w:val="000000" w:themeColor="text1"/>
                          </w:rPr>
                          <w:t xml:space="preserve">Superseded by more up-to-date or comprehensive systematic review (n=48) </w:t>
                        </w:r>
                      </w:p>
                      <w:p w14:paraId="7C9DD64E" w14:textId="77777777" w:rsidR="00B747D0" w:rsidRDefault="00B747D0" w:rsidP="00B747D0">
                        <w:pPr>
                          <w:rPr>
                            <w:rFonts w:ascii="Times New Roman" w:hAnsi="Times New Roman" w:cs="Times New Roman"/>
                            <w:color w:val="000000" w:themeColor="text1"/>
                          </w:rPr>
                        </w:pPr>
                        <w:r>
                          <w:rPr>
                            <w:rFonts w:ascii="Times New Roman" w:hAnsi="Times New Roman" w:cs="Times New Roman"/>
                            <w:color w:val="000000" w:themeColor="text1"/>
                          </w:rPr>
                          <w:t>Non-English (n=3)</w:t>
                        </w:r>
                      </w:p>
                      <w:p w14:paraId="4E336EB0" w14:textId="77777777" w:rsidR="00B747D0" w:rsidRDefault="00B747D0" w:rsidP="00B747D0">
                        <w:pPr>
                          <w:rPr>
                            <w:rFonts w:ascii="Times New Roman" w:hAnsi="Times New Roman" w:cs="Times New Roman"/>
                            <w:color w:val="000000" w:themeColor="text1"/>
                          </w:rPr>
                        </w:pPr>
                        <w:r>
                          <w:rPr>
                            <w:rFonts w:ascii="Times New Roman" w:hAnsi="Times New Roman" w:cs="Times New Roman"/>
                            <w:color w:val="000000" w:themeColor="text1"/>
                          </w:rPr>
                          <w:t>Full text not available (n=8)</w:t>
                        </w:r>
                      </w:p>
                    </w:txbxContent>
                  </v:textbox>
                </v:roundrect>
                <v:roundrect id="Rounded Rectangle 41" o:spid="_x0000_s1035" style="position:absolute;top:32382;width:14400;height:7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74xQAAANsAAAAPAAAAZHJzL2Rvd25yZXYueG1sRI9BS8NA&#10;FITvgv9heUIvxW4MVSR2W0Qo1IOxrR709th9JqHZtyH7mqb/3hUKHoeZ+YZZrEbfqoH62AQ2cDfL&#10;QBHb4BquDHx+rG8fQUVBdtgGJgNnirBaXl8tsHDhxDsa9lKpBOFYoIFapCu0jrYmj3EWOuLk/YTe&#10;oyTZV9r1eEpw3+o8yx60x4bTQo0dvdRkD/ujN2Bft4d393b/JcN3aTvx03xXlsZMbsbnJ1BCo/yH&#10;L+2NM5DP4e9L+gF6+QsAAP//AwBQSwECLQAUAAYACAAAACEA2+H2y+4AAACFAQAAEwAAAAAAAAAA&#10;AAAAAAAAAAAAW0NvbnRlbnRfVHlwZXNdLnhtbFBLAQItABQABgAIAAAAIQBa9CxbvwAAABUBAAAL&#10;AAAAAAAAAAAAAAAAAB8BAABfcmVscy8ucmVsc1BLAQItABQABgAIAAAAIQCyOL74xQAAANsAAAAP&#10;AAAAAAAAAAAAAAAAAAcCAABkcnMvZG93bnJldi54bWxQSwUGAAAAAAMAAwC3AAAA+QIAAAAA&#10;" filled="f" strokecolor="black [3213]" strokeweight="1.25pt">
                  <v:stroke joinstyle="miter"/>
                  <v:textbox inset="1mm,0,1mm,0">
                    <w:txbxContent>
                      <w:p w14:paraId="262A359F" w14:textId="77777777" w:rsidR="00B747D0" w:rsidRDefault="00B747D0" w:rsidP="00B747D0">
                        <w:pPr>
                          <w:jc w:val="center"/>
                          <w:rPr>
                            <w:rFonts w:ascii="Times New Roman" w:hAnsi="Times New Roman" w:cs="Times New Roman"/>
                            <w:color w:val="000000" w:themeColor="text1"/>
                          </w:rPr>
                        </w:pPr>
                        <w:r>
                          <w:rPr>
                            <w:rFonts w:ascii="Times New Roman" w:hAnsi="Times New Roman" w:cs="Times New Roman"/>
                            <w:color w:val="000000" w:themeColor="text1"/>
                          </w:rPr>
                          <w:t>Additional articles identified</w:t>
                        </w:r>
                      </w:p>
                      <w:p w14:paraId="3C57ECE1" w14:textId="77777777" w:rsidR="00B747D0" w:rsidRDefault="00B747D0" w:rsidP="00B747D0">
                        <w:pPr>
                          <w:jc w:val="center"/>
                          <w:rPr>
                            <w:rFonts w:ascii="Times New Roman" w:hAnsi="Times New Roman" w:cs="Times New Roman"/>
                            <w:color w:val="000000" w:themeColor="text1"/>
                          </w:rPr>
                        </w:pPr>
                        <w:r>
                          <w:rPr>
                            <w:rFonts w:ascii="Times New Roman" w:hAnsi="Times New Roman" w:cs="Times New Roman"/>
                            <w:color w:val="000000" w:themeColor="text1"/>
                          </w:rPr>
                          <w:t>(n= 7)</w:t>
                        </w:r>
                      </w:p>
                    </w:txbxContent>
                  </v:textbox>
                </v:roundrect>
                <v:roundrect id="Rounded Rectangle 42" o:spid="_x0000_s1036" style="position:absolute;left:14654;top:39462;width:14413;height:53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lGwgAAANsAAAAPAAAAZHJzL2Rvd25yZXYueG1sRI9Pi8Iw&#10;FMTvgt8hPMGbpgqKVKOI+G8Pwq7uweOjeU2LzUtpotZvvxGEPQ4z8xtmsWptJR7U+NKxgtEwAUGc&#10;OV2yUfB72Q1mIHxA1lg5JgUv8rBadjsLTLV78g89zsGICGGfooIihDqV0mcFWfRDVxNHL3eNxRBl&#10;Y6Ru8BnhtpLjJJlKiyXHhQJr2hSU3c53qyCTt6u75OX1tP3OZ2wOX5O9qZXq99r1HESgNvyHP+2j&#10;VjCewPtL/AFy+QcAAP//AwBQSwECLQAUAAYACAAAACEA2+H2y+4AAACFAQAAEwAAAAAAAAAAAAAA&#10;AAAAAAAAW0NvbnRlbnRfVHlwZXNdLnhtbFBLAQItABQABgAIAAAAIQBa9CxbvwAAABUBAAALAAAA&#10;AAAAAAAAAAAAAB8BAABfcmVscy8ucmVsc1BLAQItABQABgAIAAAAIQC+EglGwgAAANsAAAAPAAAA&#10;AAAAAAAAAAAAAAcCAABkcnMvZG93bnJldi54bWxQSwUGAAAAAAMAAwC3AAAA9gIAAAAA&#10;" filled="f" strokecolor="black [3213]" strokeweight="1.25pt">
                  <v:stroke joinstyle="miter"/>
                  <v:textbox inset="1mm,1mm,1mm,1mm">
                    <w:txbxContent>
                      <w:p w14:paraId="14273E98" w14:textId="77777777" w:rsidR="00B747D0" w:rsidRDefault="00B747D0" w:rsidP="00B747D0">
                        <w:pPr>
                          <w:jc w:val="center"/>
                          <w:rPr>
                            <w:rFonts w:ascii="Times New Roman" w:hAnsi="Times New Roman" w:cs="Times New Roman"/>
                            <w:color w:val="000000" w:themeColor="text1"/>
                          </w:rPr>
                        </w:pPr>
                        <w:r>
                          <w:rPr>
                            <w:rFonts w:ascii="Times New Roman" w:hAnsi="Times New Roman" w:cs="Times New Roman"/>
                            <w:color w:val="000000" w:themeColor="text1"/>
                          </w:rPr>
                          <w:t>Articles included</w:t>
                        </w:r>
                      </w:p>
                      <w:p w14:paraId="4099124E" w14:textId="77777777" w:rsidR="00B747D0" w:rsidRDefault="00B747D0" w:rsidP="00B747D0">
                        <w:pPr>
                          <w:jc w:val="center"/>
                          <w:rPr>
                            <w:rFonts w:ascii="Times New Roman" w:hAnsi="Times New Roman" w:cs="Times New Roman"/>
                            <w:color w:val="000000" w:themeColor="text1"/>
                          </w:rPr>
                        </w:pPr>
                        <w:r>
                          <w:rPr>
                            <w:rFonts w:ascii="Times New Roman" w:hAnsi="Times New Roman" w:cs="Times New Roman"/>
                            <w:color w:val="000000" w:themeColor="text1"/>
                          </w:rPr>
                          <w:t>(n= 43)</w:t>
                        </w:r>
                      </w:p>
                    </w:txbxContent>
                  </v:textbox>
                </v:roundrect>
                <v:shape id="Straight Arrow Connector 26" o:spid="_x0000_s1037" type="#_x0000_t32" style="position:absolute;left:21893;top:32381;width:86;height:70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fOtwwAAANsAAAAPAAAAZHJzL2Rvd25yZXYueG1sRI/RisIw&#10;FETfBf8hXMEXWZP1QZeuUUTcRREF637Apbm2xeamNlmtf28EwcdhZs4w03lrK3GlxpeONXwOFQji&#10;zJmScw1/x5+PLxA+IBusHJOGO3mYz7qdKSbG3fhA1zTkIkLYJ6ihCKFOpPRZQRb90NXE0Tu5xmKI&#10;ssmlafAW4baSI6XG0mLJcaHAmpYFZef032qwq9/1pB3cdwNbXY5m69VmH5TW/V67+AYRqA3v8Ku9&#10;NhpGY3h+iT9Azh4AAAD//wMAUEsBAi0AFAAGAAgAAAAhANvh9svuAAAAhQEAABMAAAAAAAAAAAAA&#10;AAAAAAAAAFtDb250ZW50X1R5cGVzXS54bWxQSwECLQAUAAYACAAAACEAWvQsW78AAAAVAQAACwAA&#10;AAAAAAAAAAAAAAAfAQAAX3JlbHMvLnJlbHNQSwECLQAUAAYACAAAACEA3QHzrcMAAADbAAAADwAA&#10;AAAAAAAAAAAAAAAHAgAAZHJzL2Rvd25yZXYueG1sUEsFBgAAAAADAAMAtwAAAPcCAAAAAA==&#10;" strokecolor="black [3213]" strokeweight=".5pt">
                  <v:stroke endarrow="block" joinstyle="miter"/>
                </v:shape>
                <v:shape id="Straight Arrow Connector 27" o:spid="_x0000_s1038" type="#_x0000_t32" style="position:absolute;left:22130;top:35195;width:102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w0xQAAANsAAAAPAAAAZHJzL2Rvd25yZXYueG1sRI9Ba8JA&#10;FITvQv/D8gq9mU0VtKauIkKp4qVG0fb2yL4mS7NvQ3Zr4r93hUKPw8x8w8yXva3FhVpvHCt4TlIQ&#10;xIXThksFx8Pb8AWED8gaa8ek4EoelouHwRwz7Tre0yUPpYgQ9hkqqEJoMil9UZFFn7iGOHrfrrUY&#10;omxLqVvsItzWcpSmE2nRcFyosKF1RcVP/msVFMfP84w+zEl3YzN9b3Zfu3G+VerpsV+9ggjUh//w&#10;X3ujFYymcP8Sf4Bc3AAAAP//AwBQSwECLQAUAAYACAAAACEA2+H2y+4AAACFAQAAEwAAAAAAAAAA&#10;AAAAAAAAAAAAW0NvbnRlbnRfVHlwZXNdLnhtbFBLAQItABQABgAIAAAAIQBa9CxbvwAAABUBAAAL&#10;AAAAAAAAAAAAAAAAAB8BAABfcmVscy8ucmVsc1BLAQItABQABgAIAAAAIQBNv7w0xQAAANsAAAAP&#10;AAAAAAAAAAAAAAAAAAcCAABkcnMvZG93bnJldi54bWxQSwUGAAAAAAMAAwC3AAAA+QIAAAAA&#10;" strokecolor="black [3213]" strokeweight=".5pt">
                  <v:stroke endarrow="block" joinstyle="miter"/>
                </v:shape>
                <v:shape id="Straight Arrow Connector 28" o:spid="_x0000_s1039" type="#_x0000_t32" style="position:absolute;left:14496;top:35237;width:76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ChGwgAAANsAAAAPAAAAZHJzL2Rvd25yZXYueG1sRE/Pa8Iw&#10;FL4L+x/CG3ibqQpudk1lDIaKl9mJutujebZhzUtpou3+++Uw8Pjx/c5Wg23EjTpvHCuYThIQxKXT&#10;hisFh6+PpxcQPiBrbByTgl/ysMofRhmm2vW8p1sRKhFD2KeooA6hTaX0ZU0W/cS1xJG7uM5iiLCr&#10;pO6wj+G2kbMkWUiLhmNDjS2911T+FFeroDycT0v6NEfdz83zut197+bFVqnx4/D2CiLQEO7if/dG&#10;K5jFsfFL/AEy/wMAAP//AwBQSwECLQAUAAYACAAAACEA2+H2y+4AAACFAQAAEwAAAAAAAAAAAAAA&#10;AAAAAAAAW0NvbnRlbnRfVHlwZXNdLnhtbFBLAQItABQABgAIAAAAIQBa9CxbvwAAABUBAAALAAAA&#10;AAAAAAAAAAAAAB8BAABfcmVscy8ucmVsc1BLAQItABQABgAIAAAAIQA8IChGwgAAANsAAAAPAAAA&#10;AAAAAAAAAAAAAAcCAABkcnMvZG93bnJldi54bWxQSwUGAAAAAAMAAwC3AAAA9gIAAAAA&#10;" strokecolor="black [3213]" strokeweight=".5pt">
                  <v:stroke endarrow="block" joinstyle="miter"/>
                </v:shape>
              </v:group>
            </w:pict>
          </mc:Fallback>
        </mc:AlternateContent>
      </w:r>
      <w:r>
        <w:t>Figure 1</w:t>
      </w:r>
    </w:p>
    <w:p w14:paraId="5E0AA0AD" w14:textId="77777777" w:rsidR="008B435D" w:rsidRDefault="008B435D" w:rsidP="00976B31">
      <w:pPr>
        <w:rPr>
          <w:rFonts w:ascii="Times New Roman" w:eastAsia="Calibri" w:hAnsi="Times New Roman" w:cs="Times New Roman"/>
          <w:sz w:val="24"/>
          <w:szCs w:val="24"/>
        </w:rPr>
      </w:pPr>
    </w:p>
    <w:p w14:paraId="60F7DE53" w14:textId="77777777" w:rsidR="004F382D" w:rsidRPr="00C33A5F" w:rsidRDefault="004F382D" w:rsidP="00AD3162">
      <w:pPr>
        <w:spacing w:after="0" w:line="480" w:lineRule="auto"/>
        <w:rPr>
          <w:rFonts w:ascii="Times New Roman" w:eastAsia="Calibri" w:hAnsi="Times New Roman" w:cs="Times New Roman"/>
          <w:sz w:val="24"/>
          <w:szCs w:val="24"/>
        </w:rPr>
      </w:pPr>
    </w:p>
    <w:p w14:paraId="7DEBA214" w14:textId="77777777" w:rsidR="00B747D0" w:rsidRDefault="00B747D0" w:rsidP="00F84A79">
      <w:pPr>
        <w:spacing w:after="0" w:line="480" w:lineRule="auto"/>
        <w:jc w:val="both"/>
        <w:rPr>
          <w:rFonts w:ascii="Times New Roman" w:eastAsia="Calibri" w:hAnsi="Times New Roman" w:cs="Times New Roman"/>
          <w:sz w:val="24"/>
          <w:szCs w:val="24"/>
        </w:rPr>
      </w:pPr>
    </w:p>
    <w:p w14:paraId="7ED84B34" w14:textId="77777777" w:rsidR="00B747D0" w:rsidRDefault="00B747D0" w:rsidP="00F84A79">
      <w:pPr>
        <w:spacing w:after="0" w:line="480" w:lineRule="auto"/>
        <w:jc w:val="both"/>
        <w:rPr>
          <w:rFonts w:ascii="Times New Roman" w:eastAsia="Calibri" w:hAnsi="Times New Roman" w:cs="Times New Roman"/>
          <w:sz w:val="24"/>
          <w:szCs w:val="24"/>
        </w:rPr>
      </w:pPr>
    </w:p>
    <w:p w14:paraId="449BA4E9" w14:textId="77777777" w:rsidR="00B747D0" w:rsidRDefault="00B747D0" w:rsidP="00F84A79">
      <w:pPr>
        <w:spacing w:after="0" w:line="480" w:lineRule="auto"/>
        <w:jc w:val="both"/>
        <w:rPr>
          <w:rFonts w:ascii="Times New Roman" w:eastAsia="Calibri" w:hAnsi="Times New Roman" w:cs="Times New Roman"/>
          <w:sz w:val="24"/>
          <w:szCs w:val="24"/>
        </w:rPr>
      </w:pPr>
    </w:p>
    <w:p w14:paraId="34ED7DD0" w14:textId="77777777" w:rsidR="00B747D0" w:rsidRDefault="00B747D0" w:rsidP="00F84A79">
      <w:pPr>
        <w:spacing w:after="0" w:line="480" w:lineRule="auto"/>
        <w:jc w:val="both"/>
        <w:rPr>
          <w:rFonts w:ascii="Times New Roman" w:eastAsia="Calibri" w:hAnsi="Times New Roman" w:cs="Times New Roman"/>
          <w:sz w:val="24"/>
          <w:szCs w:val="24"/>
        </w:rPr>
      </w:pPr>
    </w:p>
    <w:p w14:paraId="2AF40771" w14:textId="77777777" w:rsidR="00B747D0" w:rsidRDefault="00B747D0" w:rsidP="00F84A79">
      <w:pPr>
        <w:spacing w:after="0" w:line="480" w:lineRule="auto"/>
        <w:jc w:val="both"/>
        <w:rPr>
          <w:rFonts w:ascii="Times New Roman" w:eastAsia="Calibri" w:hAnsi="Times New Roman" w:cs="Times New Roman"/>
          <w:sz w:val="24"/>
          <w:szCs w:val="24"/>
        </w:rPr>
      </w:pPr>
    </w:p>
    <w:p w14:paraId="7C66C425" w14:textId="77777777" w:rsidR="00B747D0" w:rsidRDefault="00B747D0" w:rsidP="00F84A79">
      <w:pPr>
        <w:spacing w:after="0" w:line="480" w:lineRule="auto"/>
        <w:jc w:val="both"/>
        <w:rPr>
          <w:rFonts w:ascii="Times New Roman" w:eastAsia="Calibri" w:hAnsi="Times New Roman" w:cs="Times New Roman"/>
          <w:sz w:val="24"/>
          <w:szCs w:val="24"/>
        </w:rPr>
      </w:pPr>
    </w:p>
    <w:p w14:paraId="76304DFB" w14:textId="77777777" w:rsidR="00B747D0" w:rsidRDefault="00B747D0" w:rsidP="00F84A79">
      <w:pPr>
        <w:spacing w:after="0" w:line="480" w:lineRule="auto"/>
        <w:jc w:val="both"/>
        <w:rPr>
          <w:rFonts w:ascii="Times New Roman" w:eastAsia="Calibri" w:hAnsi="Times New Roman" w:cs="Times New Roman"/>
          <w:sz w:val="24"/>
          <w:szCs w:val="24"/>
        </w:rPr>
      </w:pPr>
    </w:p>
    <w:p w14:paraId="68867AA4" w14:textId="77777777" w:rsidR="00B747D0" w:rsidRDefault="00B747D0" w:rsidP="00F84A79">
      <w:pPr>
        <w:spacing w:after="0" w:line="480" w:lineRule="auto"/>
        <w:jc w:val="both"/>
        <w:rPr>
          <w:rFonts w:ascii="Times New Roman" w:eastAsia="Calibri" w:hAnsi="Times New Roman" w:cs="Times New Roman"/>
          <w:sz w:val="24"/>
          <w:szCs w:val="24"/>
        </w:rPr>
      </w:pPr>
    </w:p>
    <w:p w14:paraId="6A7924C4" w14:textId="77777777" w:rsidR="00B747D0" w:rsidRDefault="00B747D0" w:rsidP="00F84A79">
      <w:pPr>
        <w:spacing w:after="0" w:line="480" w:lineRule="auto"/>
        <w:jc w:val="both"/>
        <w:rPr>
          <w:rFonts w:ascii="Times New Roman" w:eastAsia="Calibri" w:hAnsi="Times New Roman" w:cs="Times New Roman"/>
          <w:sz w:val="24"/>
          <w:szCs w:val="24"/>
        </w:rPr>
      </w:pPr>
    </w:p>
    <w:p w14:paraId="275219B5" w14:textId="77777777" w:rsidR="00B747D0" w:rsidRDefault="00B747D0" w:rsidP="00F84A79">
      <w:pPr>
        <w:spacing w:after="0" w:line="480" w:lineRule="auto"/>
        <w:jc w:val="both"/>
        <w:rPr>
          <w:rFonts w:ascii="Times New Roman" w:eastAsia="Calibri" w:hAnsi="Times New Roman" w:cs="Times New Roman"/>
          <w:sz w:val="24"/>
          <w:szCs w:val="24"/>
        </w:rPr>
      </w:pPr>
    </w:p>
    <w:p w14:paraId="06B57AFF" w14:textId="77777777" w:rsidR="00B747D0" w:rsidRDefault="00B747D0" w:rsidP="00F84A79">
      <w:pPr>
        <w:spacing w:after="0" w:line="480" w:lineRule="auto"/>
        <w:jc w:val="both"/>
        <w:rPr>
          <w:rFonts w:ascii="Times New Roman" w:eastAsia="Calibri" w:hAnsi="Times New Roman" w:cs="Times New Roman"/>
          <w:sz w:val="24"/>
          <w:szCs w:val="24"/>
        </w:rPr>
      </w:pPr>
    </w:p>
    <w:p w14:paraId="4EAA6F6D" w14:textId="77777777" w:rsidR="00B747D0" w:rsidRDefault="00B747D0" w:rsidP="00F84A79">
      <w:pPr>
        <w:spacing w:after="0" w:line="480" w:lineRule="auto"/>
        <w:jc w:val="both"/>
        <w:rPr>
          <w:rFonts w:ascii="Times New Roman" w:eastAsia="Calibri" w:hAnsi="Times New Roman" w:cs="Times New Roman"/>
          <w:sz w:val="24"/>
          <w:szCs w:val="24"/>
        </w:rPr>
      </w:pPr>
    </w:p>
    <w:p w14:paraId="3219D880" w14:textId="77777777" w:rsidR="00B747D0" w:rsidRDefault="00B747D0" w:rsidP="00F84A79">
      <w:pPr>
        <w:spacing w:after="0" w:line="480" w:lineRule="auto"/>
        <w:jc w:val="both"/>
        <w:rPr>
          <w:rFonts w:ascii="Times New Roman" w:eastAsia="Calibri" w:hAnsi="Times New Roman" w:cs="Times New Roman"/>
          <w:sz w:val="24"/>
          <w:szCs w:val="24"/>
        </w:rPr>
      </w:pPr>
    </w:p>
    <w:p w14:paraId="4668010A" w14:textId="77777777" w:rsidR="00B747D0" w:rsidRDefault="00B747D0" w:rsidP="00F84A79">
      <w:pPr>
        <w:spacing w:after="0" w:line="480" w:lineRule="auto"/>
        <w:jc w:val="both"/>
        <w:rPr>
          <w:rFonts w:ascii="Times New Roman" w:eastAsia="Calibri" w:hAnsi="Times New Roman" w:cs="Times New Roman"/>
          <w:sz w:val="24"/>
          <w:szCs w:val="24"/>
        </w:rPr>
      </w:pPr>
    </w:p>
    <w:p w14:paraId="61FC3A17" w14:textId="77777777" w:rsidR="00B747D0" w:rsidRDefault="00B747D0" w:rsidP="00F84A79">
      <w:pPr>
        <w:spacing w:after="0" w:line="480" w:lineRule="auto"/>
        <w:jc w:val="both"/>
        <w:rPr>
          <w:rFonts w:ascii="Times New Roman" w:eastAsia="Calibri" w:hAnsi="Times New Roman" w:cs="Times New Roman"/>
          <w:sz w:val="24"/>
          <w:szCs w:val="24"/>
        </w:rPr>
      </w:pPr>
    </w:p>
    <w:p w14:paraId="49A758DE" w14:textId="77777777" w:rsidR="00B747D0" w:rsidRDefault="00B747D0" w:rsidP="00F84A79">
      <w:pPr>
        <w:spacing w:after="0" w:line="480" w:lineRule="auto"/>
        <w:jc w:val="both"/>
        <w:rPr>
          <w:rFonts w:ascii="Times New Roman" w:eastAsia="Calibri" w:hAnsi="Times New Roman" w:cs="Times New Roman"/>
          <w:sz w:val="24"/>
          <w:szCs w:val="24"/>
        </w:rPr>
      </w:pPr>
    </w:p>
    <w:p w14:paraId="5B434FFF" w14:textId="77777777" w:rsidR="00B747D0" w:rsidRDefault="00B747D0" w:rsidP="00F84A79">
      <w:pPr>
        <w:spacing w:after="0" w:line="480" w:lineRule="auto"/>
        <w:jc w:val="both"/>
        <w:rPr>
          <w:rFonts w:ascii="Times New Roman" w:eastAsia="Calibri" w:hAnsi="Times New Roman" w:cs="Times New Roman"/>
          <w:sz w:val="24"/>
          <w:szCs w:val="24"/>
        </w:rPr>
      </w:pPr>
    </w:p>
    <w:p w14:paraId="5B9F6C56" w14:textId="77777777" w:rsidR="00B747D0" w:rsidRDefault="00B747D0" w:rsidP="00F84A79">
      <w:pPr>
        <w:spacing w:after="0" w:line="480" w:lineRule="auto"/>
        <w:jc w:val="both"/>
        <w:rPr>
          <w:rFonts w:ascii="Times New Roman" w:eastAsia="Calibri" w:hAnsi="Times New Roman" w:cs="Times New Roman"/>
          <w:sz w:val="24"/>
          <w:szCs w:val="24"/>
        </w:rPr>
      </w:pPr>
    </w:p>
    <w:p w14:paraId="7D11A447" w14:textId="77777777" w:rsidR="00B747D0" w:rsidRDefault="00B747D0" w:rsidP="00F84A79">
      <w:pPr>
        <w:spacing w:after="0" w:line="480" w:lineRule="auto"/>
        <w:jc w:val="both"/>
        <w:rPr>
          <w:rFonts w:ascii="Times New Roman" w:eastAsia="Calibri" w:hAnsi="Times New Roman" w:cs="Times New Roman"/>
          <w:sz w:val="24"/>
          <w:szCs w:val="24"/>
        </w:rPr>
      </w:pPr>
    </w:p>
    <w:p w14:paraId="0BCBEDA9" w14:textId="77777777" w:rsidR="00B747D0" w:rsidRDefault="00B747D0" w:rsidP="00F84A79">
      <w:pPr>
        <w:spacing w:after="0" w:line="480" w:lineRule="auto"/>
        <w:jc w:val="both"/>
        <w:rPr>
          <w:rFonts w:ascii="Times New Roman" w:eastAsia="Calibri" w:hAnsi="Times New Roman" w:cs="Times New Roman"/>
          <w:sz w:val="24"/>
          <w:szCs w:val="24"/>
        </w:rPr>
      </w:pPr>
    </w:p>
    <w:p w14:paraId="41AD9789" w14:textId="77777777" w:rsidR="00B747D0" w:rsidRDefault="00B747D0" w:rsidP="00F84A79">
      <w:pPr>
        <w:spacing w:after="0" w:line="480" w:lineRule="auto"/>
        <w:jc w:val="both"/>
        <w:rPr>
          <w:rFonts w:ascii="Times New Roman" w:eastAsia="Calibri" w:hAnsi="Times New Roman" w:cs="Times New Roman"/>
          <w:sz w:val="24"/>
          <w:szCs w:val="24"/>
        </w:rPr>
      </w:pPr>
    </w:p>
    <w:p w14:paraId="4EB5CFBB" w14:textId="77777777" w:rsidR="00B747D0" w:rsidRDefault="00B747D0" w:rsidP="00F84A79">
      <w:pPr>
        <w:spacing w:after="0" w:line="480" w:lineRule="auto"/>
        <w:jc w:val="both"/>
        <w:rPr>
          <w:rFonts w:ascii="Times New Roman" w:eastAsia="Calibri" w:hAnsi="Times New Roman" w:cs="Times New Roman"/>
          <w:sz w:val="24"/>
          <w:szCs w:val="24"/>
        </w:rPr>
      </w:pPr>
    </w:p>
    <w:p w14:paraId="00D2B190" w14:textId="77777777" w:rsidR="00B747D0" w:rsidRDefault="00B747D0" w:rsidP="00F84A79">
      <w:pPr>
        <w:spacing w:after="0" w:line="480" w:lineRule="auto"/>
        <w:jc w:val="both"/>
        <w:rPr>
          <w:rFonts w:ascii="Times New Roman" w:eastAsia="Calibri" w:hAnsi="Times New Roman" w:cs="Times New Roman"/>
          <w:sz w:val="24"/>
          <w:szCs w:val="24"/>
        </w:rPr>
      </w:pPr>
    </w:p>
    <w:p w14:paraId="3794443F" w14:textId="2FEF0D01" w:rsidR="002F6C3A" w:rsidRPr="00C33A5F" w:rsidRDefault="00266DBC" w:rsidP="00F84A79">
      <w:pPr>
        <w:spacing w:after="0" w:line="480" w:lineRule="auto"/>
        <w:jc w:val="both"/>
        <w:rPr>
          <w:rFonts w:ascii="Times New Roman" w:eastAsia="Calibri" w:hAnsi="Times New Roman" w:cs="Times New Roman"/>
          <w:sz w:val="24"/>
          <w:szCs w:val="24"/>
        </w:rPr>
      </w:pPr>
      <w:r w:rsidRPr="00C33A5F">
        <w:rPr>
          <w:rFonts w:ascii="Times New Roman" w:eastAsia="Calibri" w:hAnsi="Times New Roman" w:cs="Times New Roman"/>
          <w:sz w:val="24"/>
          <w:szCs w:val="24"/>
        </w:rPr>
        <w:lastRenderedPageBreak/>
        <w:t>Data</w:t>
      </w:r>
      <w:r w:rsidR="00987F35" w:rsidRPr="00C33A5F">
        <w:rPr>
          <w:rFonts w:ascii="Times New Roman" w:eastAsia="Calibri" w:hAnsi="Times New Roman" w:cs="Times New Roman"/>
          <w:sz w:val="24"/>
          <w:szCs w:val="24"/>
        </w:rPr>
        <w:t xml:space="preserve"> </w:t>
      </w:r>
      <w:r w:rsidR="004600CC" w:rsidRPr="00C33A5F">
        <w:rPr>
          <w:rFonts w:ascii="Times New Roman" w:eastAsia="Calibri" w:hAnsi="Times New Roman" w:cs="Times New Roman"/>
          <w:sz w:val="24"/>
          <w:szCs w:val="24"/>
        </w:rPr>
        <w:t>were</w:t>
      </w:r>
      <w:r w:rsidR="00987F35" w:rsidRPr="00C33A5F">
        <w:rPr>
          <w:rFonts w:ascii="Times New Roman" w:eastAsia="Calibri" w:hAnsi="Times New Roman" w:cs="Times New Roman"/>
          <w:sz w:val="24"/>
          <w:szCs w:val="24"/>
        </w:rPr>
        <w:t xml:space="preserve"> extracted from one </w:t>
      </w:r>
      <w:r w:rsidR="00634668" w:rsidRPr="00C33A5F">
        <w:rPr>
          <w:rFonts w:ascii="Times New Roman" w:eastAsia="Calibri" w:hAnsi="Times New Roman" w:cs="Times New Roman"/>
          <w:sz w:val="24"/>
          <w:szCs w:val="24"/>
        </w:rPr>
        <w:t xml:space="preserve">review of </w:t>
      </w:r>
      <w:r w:rsidR="00987F35" w:rsidRPr="00C33A5F">
        <w:rPr>
          <w:rFonts w:ascii="Times New Roman" w:eastAsia="Calibri" w:hAnsi="Times New Roman" w:cs="Times New Roman"/>
          <w:sz w:val="24"/>
          <w:szCs w:val="24"/>
        </w:rPr>
        <w:t xml:space="preserve">systematic reviews, </w:t>
      </w:r>
      <w:r w:rsidR="00FE5BCE" w:rsidRPr="00C33A5F">
        <w:rPr>
          <w:rFonts w:ascii="Times New Roman" w:eastAsia="Calibri" w:hAnsi="Times New Roman" w:cs="Times New Roman"/>
          <w:sz w:val="24"/>
          <w:szCs w:val="24"/>
        </w:rPr>
        <w:t>17</w:t>
      </w:r>
      <w:r w:rsidR="00EC463C" w:rsidRPr="00C33A5F">
        <w:rPr>
          <w:rFonts w:ascii="Times New Roman" w:eastAsia="Calibri" w:hAnsi="Times New Roman" w:cs="Times New Roman"/>
          <w:sz w:val="24"/>
          <w:szCs w:val="24"/>
        </w:rPr>
        <w:t xml:space="preserve"> </w:t>
      </w:r>
      <w:r w:rsidR="00D74A5F" w:rsidRPr="00C33A5F">
        <w:rPr>
          <w:rFonts w:ascii="Times New Roman" w:eastAsia="Calibri" w:hAnsi="Times New Roman" w:cs="Times New Roman"/>
          <w:sz w:val="24"/>
          <w:szCs w:val="24"/>
        </w:rPr>
        <w:t>systematic reviews</w:t>
      </w:r>
      <w:r w:rsidR="00EC463C" w:rsidRPr="00C33A5F">
        <w:rPr>
          <w:rFonts w:ascii="Times New Roman" w:eastAsia="Calibri" w:hAnsi="Times New Roman" w:cs="Times New Roman"/>
          <w:sz w:val="24"/>
          <w:szCs w:val="24"/>
        </w:rPr>
        <w:t xml:space="preserve">, </w:t>
      </w:r>
      <w:r w:rsidR="00535107" w:rsidRPr="00C33A5F">
        <w:rPr>
          <w:rFonts w:ascii="Times New Roman" w:eastAsia="Calibri" w:hAnsi="Times New Roman" w:cs="Times New Roman"/>
          <w:sz w:val="24"/>
          <w:szCs w:val="24"/>
        </w:rPr>
        <w:t xml:space="preserve">one narrative review, </w:t>
      </w:r>
      <w:r w:rsidR="00FE5BCE" w:rsidRPr="00C33A5F">
        <w:rPr>
          <w:rFonts w:ascii="Times New Roman" w:eastAsia="Calibri" w:hAnsi="Times New Roman" w:cs="Times New Roman"/>
          <w:sz w:val="24"/>
          <w:szCs w:val="24"/>
        </w:rPr>
        <w:t>20</w:t>
      </w:r>
      <w:r w:rsidR="0044213D" w:rsidRPr="00C33A5F">
        <w:rPr>
          <w:rFonts w:ascii="Times New Roman" w:eastAsia="Calibri" w:hAnsi="Times New Roman" w:cs="Times New Roman"/>
          <w:sz w:val="24"/>
          <w:szCs w:val="24"/>
        </w:rPr>
        <w:t xml:space="preserve"> </w:t>
      </w:r>
      <w:r w:rsidR="009C402B" w:rsidRPr="00C33A5F">
        <w:rPr>
          <w:rFonts w:ascii="Times New Roman" w:eastAsia="Calibri" w:hAnsi="Times New Roman" w:cs="Times New Roman"/>
          <w:sz w:val="24"/>
          <w:szCs w:val="24"/>
        </w:rPr>
        <w:t>RCTs</w:t>
      </w:r>
      <w:r w:rsidR="00D74A5F" w:rsidRPr="00C33A5F">
        <w:rPr>
          <w:rFonts w:ascii="Times New Roman" w:eastAsia="Calibri" w:hAnsi="Times New Roman" w:cs="Times New Roman"/>
          <w:sz w:val="24"/>
          <w:szCs w:val="24"/>
        </w:rPr>
        <w:t>,</w:t>
      </w:r>
      <w:r w:rsidR="0044213D" w:rsidRPr="00C33A5F">
        <w:rPr>
          <w:rFonts w:ascii="Times New Roman" w:eastAsia="Calibri" w:hAnsi="Times New Roman" w:cs="Times New Roman"/>
          <w:sz w:val="24"/>
          <w:szCs w:val="24"/>
        </w:rPr>
        <w:t xml:space="preserve"> one quasi RCT</w:t>
      </w:r>
      <w:r w:rsidR="00DE2652" w:rsidRPr="00C33A5F">
        <w:rPr>
          <w:rFonts w:ascii="Times New Roman" w:eastAsia="Calibri" w:hAnsi="Times New Roman" w:cs="Times New Roman"/>
          <w:sz w:val="24"/>
          <w:szCs w:val="24"/>
        </w:rPr>
        <w:t xml:space="preserve"> </w:t>
      </w:r>
      <w:r w:rsidR="00EC463C" w:rsidRPr="00C33A5F">
        <w:rPr>
          <w:rFonts w:ascii="Times New Roman" w:eastAsia="Calibri" w:hAnsi="Times New Roman" w:cs="Times New Roman"/>
          <w:sz w:val="24"/>
          <w:szCs w:val="24"/>
        </w:rPr>
        <w:t xml:space="preserve">and </w:t>
      </w:r>
      <w:r w:rsidR="006C158F" w:rsidRPr="00C33A5F">
        <w:rPr>
          <w:rFonts w:ascii="Times New Roman" w:eastAsia="Calibri" w:hAnsi="Times New Roman" w:cs="Times New Roman"/>
          <w:sz w:val="24"/>
          <w:szCs w:val="24"/>
        </w:rPr>
        <w:t>three</w:t>
      </w:r>
      <w:r w:rsidR="00EC463C" w:rsidRPr="00C33A5F">
        <w:rPr>
          <w:rFonts w:ascii="Times New Roman" w:eastAsia="Calibri" w:hAnsi="Times New Roman" w:cs="Times New Roman"/>
          <w:sz w:val="24"/>
          <w:szCs w:val="24"/>
        </w:rPr>
        <w:t xml:space="preserve"> </w:t>
      </w:r>
      <w:r w:rsidR="00D47233" w:rsidRPr="00C33A5F">
        <w:rPr>
          <w:rFonts w:ascii="Times New Roman" w:eastAsia="Calibri" w:hAnsi="Times New Roman" w:cs="Times New Roman"/>
          <w:sz w:val="24"/>
          <w:szCs w:val="24"/>
        </w:rPr>
        <w:t>non-randomised</w:t>
      </w:r>
      <w:r w:rsidR="00EC463C" w:rsidRPr="00C33A5F">
        <w:rPr>
          <w:rFonts w:ascii="Times New Roman" w:eastAsia="Calibri" w:hAnsi="Times New Roman" w:cs="Times New Roman"/>
          <w:sz w:val="24"/>
          <w:szCs w:val="24"/>
        </w:rPr>
        <w:t xml:space="preserve"> studies</w:t>
      </w:r>
      <w:r w:rsidR="00535107" w:rsidRPr="00C33A5F">
        <w:rPr>
          <w:rFonts w:ascii="Times New Roman" w:eastAsia="Calibri" w:hAnsi="Times New Roman" w:cs="Times New Roman"/>
          <w:sz w:val="24"/>
          <w:szCs w:val="24"/>
        </w:rPr>
        <w:t xml:space="preserve">. </w:t>
      </w:r>
      <w:r w:rsidR="00E44105" w:rsidRPr="008B435D">
        <w:rPr>
          <w:rFonts w:ascii="Times New Roman" w:eastAsia="Calibri" w:hAnsi="Times New Roman" w:cs="Times New Roman"/>
          <w:sz w:val="24"/>
          <w:szCs w:val="24"/>
        </w:rPr>
        <w:t>Meta-analyses for outcomes of interest were available in nine papers</w:t>
      </w:r>
      <w:r w:rsidR="00221EB1" w:rsidRPr="008B435D">
        <w:rPr>
          <w:rFonts w:ascii="Times New Roman" w:eastAsia="Calibri" w:hAnsi="Times New Roman" w:cs="Times New Roman"/>
          <w:sz w:val="24"/>
          <w:szCs w:val="24"/>
        </w:rPr>
        <w:t xml:space="preserve"> </w:t>
      </w:r>
      <w:r w:rsidR="00F84154" w:rsidRPr="008B435D">
        <w:rPr>
          <w:rFonts w:ascii="Times New Roman" w:eastAsia="Calibri" w:hAnsi="Times New Roman" w:cs="Times New Roman"/>
          <w:sz w:val="24"/>
          <w:szCs w:val="24"/>
        </w:rPr>
        <w:t>[</w:t>
      </w:r>
      <w:r w:rsidR="005D700F" w:rsidRPr="008B435D">
        <w:rPr>
          <w:rFonts w:ascii="Times New Roman" w:eastAsia="Calibri" w:hAnsi="Times New Roman" w:cs="Times New Roman"/>
          <w:sz w:val="24"/>
          <w:szCs w:val="24"/>
        </w:rPr>
        <w:t>24,25,31,37,39,40,51,52,6</w:t>
      </w:r>
      <w:r w:rsidR="00A42EF1" w:rsidRPr="008B435D">
        <w:rPr>
          <w:rFonts w:ascii="Times New Roman" w:eastAsia="Calibri" w:hAnsi="Times New Roman" w:cs="Times New Roman"/>
          <w:sz w:val="24"/>
          <w:szCs w:val="24"/>
        </w:rPr>
        <w:t>6</w:t>
      </w:r>
      <w:r w:rsidR="00306C66">
        <w:rPr>
          <w:rFonts w:ascii="Times New Roman" w:eastAsia="Calibri" w:hAnsi="Times New Roman" w:cs="Times New Roman"/>
          <w:sz w:val="24"/>
          <w:szCs w:val="24"/>
        </w:rPr>
        <w:t>],</w:t>
      </w:r>
      <w:r w:rsidR="00E44105" w:rsidRPr="008B435D">
        <w:rPr>
          <w:rFonts w:ascii="Times New Roman" w:eastAsia="Calibri" w:hAnsi="Times New Roman" w:cs="Times New Roman"/>
          <w:sz w:val="24"/>
          <w:szCs w:val="24"/>
        </w:rPr>
        <w:t xml:space="preserve"> </w:t>
      </w:r>
      <w:r w:rsidR="00673C1D" w:rsidRPr="00C33A5F">
        <w:rPr>
          <w:rFonts w:ascii="Times New Roman" w:eastAsia="Calibri" w:hAnsi="Times New Roman" w:cs="Times New Roman"/>
          <w:sz w:val="24"/>
          <w:szCs w:val="24"/>
        </w:rPr>
        <w:t>with par</w:t>
      </w:r>
      <w:r w:rsidR="00725B3A" w:rsidRPr="00C33A5F">
        <w:rPr>
          <w:rFonts w:ascii="Times New Roman" w:eastAsia="Calibri" w:hAnsi="Times New Roman" w:cs="Times New Roman"/>
          <w:sz w:val="24"/>
          <w:szCs w:val="24"/>
        </w:rPr>
        <w:t>ticipant numbers from 116</w:t>
      </w:r>
      <w:r w:rsidR="003D5C6E">
        <w:rPr>
          <w:rFonts w:ascii="Times New Roman" w:eastAsia="Calibri" w:hAnsi="Times New Roman" w:cs="Times New Roman"/>
          <w:sz w:val="24"/>
          <w:szCs w:val="24"/>
        </w:rPr>
        <w:t>[24]</w:t>
      </w:r>
      <w:r w:rsidR="00EB2C1E">
        <w:rPr>
          <w:rFonts w:ascii="Times New Roman" w:eastAsia="Calibri" w:hAnsi="Times New Roman" w:cs="Times New Roman"/>
          <w:sz w:val="24"/>
          <w:szCs w:val="24"/>
        </w:rPr>
        <w:t xml:space="preserve"> to 19,</w:t>
      </w:r>
      <w:r w:rsidR="00824615" w:rsidRPr="00C33A5F">
        <w:rPr>
          <w:rFonts w:ascii="Times New Roman" w:eastAsia="Calibri" w:hAnsi="Times New Roman" w:cs="Times New Roman"/>
          <w:sz w:val="24"/>
          <w:szCs w:val="24"/>
        </w:rPr>
        <w:t>519</w:t>
      </w:r>
      <w:r w:rsidR="003D5C6E">
        <w:rPr>
          <w:rFonts w:ascii="Times New Roman" w:eastAsia="Calibri" w:hAnsi="Times New Roman" w:cs="Times New Roman"/>
          <w:sz w:val="24"/>
          <w:szCs w:val="24"/>
        </w:rPr>
        <w:t>[25]</w:t>
      </w:r>
      <w:r w:rsidR="00673C1D" w:rsidRPr="00C33A5F">
        <w:rPr>
          <w:rFonts w:ascii="Times New Roman" w:eastAsia="Calibri" w:hAnsi="Times New Roman" w:cs="Times New Roman"/>
          <w:sz w:val="24"/>
          <w:szCs w:val="24"/>
        </w:rPr>
        <w:t xml:space="preserve">. </w:t>
      </w:r>
      <w:r w:rsidR="0044213D" w:rsidRPr="00C33A5F">
        <w:rPr>
          <w:rFonts w:ascii="Times New Roman" w:eastAsia="Calibri" w:hAnsi="Times New Roman" w:cs="Times New Roman"/>
          <w:sz w:val="24"/>
          <w:szCs w:val="24"/>
        </w:rPr>
        <w:t>S</w:t>
      </w:r>
      <w:r w:rsidR="005D74C8" w:rsidRPr="00C33A5F">
        <w:rPr>
          <w:rFonts w:ascii="Times New Roman" w:eastAsia="Calibri" w:hAnsi="Times New Roman" w:cs="Times New Roman"/>
          <w:sz w:val="24"/>
          <w:szCs w:val="24"/>
        </w:rPr>
        <w:t xml:space="preserve">ample size </w:t>
      </w:r>
      <w:r w:rsidR="00516B75" w:rsidRPr="00C33A5F">
        <w:rPr>
          <w:rFonts w:ascii="Times New Roman" w:eastAsia="Calibri" w:hAnsi="Times New Roman" w:cs="Times New Roman"/>
          <w:sz w:val="24"/>
          <w:szCs w:val="24"/>
        </w:rPr>
        <w:t>of primary studies varied</w:t>
      </w:r>
      <w:r w:rsidR="00201190" w:rsidRPr="00C33A5F">
        <w:rPr>
          <w:rFonts w:ascii="Times New Roman" w:eastAsia="Calibri" w:hAnsi="Times New Roman" w:cs="Times New Roman"/>
          <w:sz w:val="24"/>
          <w:szCs w:val="24"/>
        </w:rPr>
        <w:t xml:space="preserve"> from 6229</w:t>
      </w:r>
      <w:r w:rsidR="00433BD3">
        <w:rPr>
          <w:rFonts w:ascii="Times New Roman" w:eastAsia="Calibri" w:hAnsi="Times New Roman" w:cs="Times New Roman"/>
          <w:sz w:val="24"/>
          <w:szCs w:val="24"/>
        </w:rPr>
        <w:t xml:space="preserve"> </w:t>
      </w:r>
      <w:proofErr w:type="gramStart"/>
      <w:r w:rsidR="00433BD3">
        <w:rPr>
          <w:rFonts w:ascii="Times New Roman" w:eastAsia="Calibri" w:hAnsi="Times New Roman" w:cs="Times New Roman"/>
          <w:sz w:val="24"/>
          <w:szCs w:val="24"/>
        </w:rPr>
        <w:t>participants</w:t>
      </w:r>
      <w:r w:rsidR="003D5C6E">
        <w:rPr>
          <w:rFonts w:ascii="Times New Roman" w:eastAsia="Calibri" w:hAnsi="Times New Roman" w:cs="Times New Roman"/>
          <w:sz w:val="24"/>
          <w:szCs w:val="24"/>
        </w:rPr>
        <w:t>[</w:t>
      </w:r>
      <w:proofErr w:type="gramEnd"/>
      <w:r w:rsidR="003D5C6E">
        <w:rPr>
          <w:rFonts w:ascii="Times New Roman" w:eastAsia="Calibri" w:hAnsi="Times New Roman" w:cs="Times New Roman"/>
          <w:sz w:val="24"/>
          <w:szCs w:val="24"/>
        </w:rPr>
        <w:t>26]</w:t>
      </w:r>
      <w:r w:rsidR="00201190" w:rsidRPr="00C33A5F">
        <w:rPr>
          <w:rFonts w:ascii="Times New Roman" w:eastAsia="Calibri" w:hAnsi="Times New Roman" w:cs="Times New Roman"/>
          <w:sz w:val="24"/>
          <w:szCs w:val="24"/>
        </w:rPr>
        <w:t xml:space="preserve"> to</w:t>
      </w:r>
      <w:r w:rsidR="00977831" w:rsidRPr="00C33A5F">
        <w:rPr>
          <w:rFonts w:ascii="Times New Roman" w:eastAsia="Calibri" w:hAnsi="Times New Roman" w:cs="Times New Roman"/>
          <w:sz w:val="24"/>
          <w:szCs w:val="24"/>
        </w:rPr>
        <w:t xml:space="preserve"> </w:t>
      </w:r>
      <w:r w:rsidR="00433BD3">
        <w:rPr>
          <w:rFonts w:ascii="Times New Roman" w:eastAsia="Calibri" w:hAnsi="Times New Roman" w:cs="Times New Roman"/>
          <w:sz w:val="24"/>
          <w:szCs w:val="24"/>
        </w:rPr>
        <w:t>70 participants</w:t>
      </w:r>
      <w:r w:rsidR="003D5C6E">
        <w:rPr>
          <w:rFonts w:ascii="Times New Roman" w:eastAsia="Calibri" w:hAnsi="Times New Roman" w:cs="Times New Roman"/>
          <w:sz w:val="24"/>
          <w:szCs w:val="24"/>
        </w:rPr>
        <w:t>[27]</w:t>
      </w:r>
      <w:r w:rsidR="0044213D" w:rsidRPr="00C33A5F">
        <w:rPr>
          <w:rFonts w:ascii="Times New Roman" w:eastAsia="Calibri" w:hAnsi="Times New Roman" w:cs="Times New Roman"/>
          <w:sz w:val="24"/>
          <w:szCs w:val="24"/>
        </w:rPr>
        <w:t xml:space="preserve">. Four </w:t>
      </w:r>
      <w:r w:rsidR="00B05B87" w:rsidRPr="00C33A5F">
        <w:rPr>
          <w:rFonts w:ascii="Times New Roman" w:eastAsia="Calibri" w:hAnsi="Times New Roman" w:cs="Times New Roman"/>
          <w:sz w:val="24"/>
          <w:szCs w:val="24"/>
        </w:rPr>
        <w:t xml:space="preserve">studies had a sample size of fewer than 100 </w:t>
      </w:r>
      <w:proofErr w:type="gramStart"/>
      <w:r w:rsidR="00B05B87" w:rsidRPr="00C33A5F">
        <w:rPr>
          <w:rFonts w:ascii="Times New Roman" w:eastAsia="Calibri" w:hAnsi="Times New Roman" w:cs="Times New Roman"/>
          <w:sz w:val="24"/>
          <w:szCs w:val="24"/>
        </w:rPr>
        <w:t>participants</w:t>
      </w:r>
      <w:r w:rsidR="003D5C6E">
        <w:rPr>
          <w:rFonts w:ascii="Times New Roman" w:eastAsia="Calibri" w:hAnsi="Times New Roman" w:cs="Times New Roman"/>
          <w:sz w:val="24"/>
          <w:szCs w:val="24"/>
        </w:rPr>
        <w:t>[</w:t>
      </w:r>
      <w:proofErr w:type="gramEnd"/>
      <w:r w:rsidR="003D5C6E">
        <w:rPr>
          <w:rFonts w:ascii="Times New Roman" w:eastAsia="Calibri" w:hAnsi="Times New Roman" w:cs="Times New Roman"/>
          <w:sz w:val="24"/>
          <w:szCs w:val="24"/>
        </w:rPr>
        <w:t>27-30]</w:t>
      </w:r>
      <w:r w:rsidR="00B05B87" w:rsidRPr="00C33A5F">
        <w:rPr>
          <w:rFonts w:ascii="Times New Roman" w:eastAsia="Calibri" w:hAnsi="Times New Roman" w:cs="Times New Roman"/>
          <w:sz w:val="24"/>
          <w:szCs w:val="24"/>
        </w:rPr>
        <w:t xml:space="preserve">. </w:t>
      </w:r>
    </w:p>
    <w:p w14:paraId="4E0AFA74" w14:textId="77777777" w:rsidR="008F24F1" w:rsidRPr="00C33A5F" w:rsidRDefault="008F24F1" w:rsidP="00AD3162">
      <w:pPr>
        <w:spacing w:after="0" w:line="480" w:lineRule="auto"/>
        <w:rPr>
          <w:rFonts w:ascii="Times New Roman" w:eastAsia="Calibri" w:hAnsi="Times New Roman" w:cs="Times New Roman"/>
          <w:sz w:val="24"/>
          <w:szCs w:val="24"/>
        </w:rPr>
      </w:pPr>
    </w:p>
    <w:p w14:paraId="16371E9E" w14:textId="77777777" w:rsidR="001B794A" w:rsidRPr="00C33A5F" w:rsidRDefault="006E6A0C" w:rsidP="00F84A79">
      <w:pPr>
        <w:spacing w:after="0" w:line="480" w:lineRule="auto"/>
        <w:jc w:val="both"/>
        <w:rPr>
          <w:rFonts w:ascii="Times New Roman" w:eastAsia="Calibri" w:hAnsi="Times New Roman" w:cs="Times New Roman"/>
          <w:sz w:val="24"/>
          <w:szCs w:val="24"/>
        </w:rPr>
      </w:pPr>
      <w:r w:rsidRPr="00C33A5F">
        <w:rPr>
          <w:rFonts w:ascii="Times New Roman" w:eastAsia="Calibri" w:hAnsi="Times New Roman" w:cs="Times New Roman"/>
          <w:sz w:val="24"/>
          <w:szCs w:val="24"/>
        </w:rPr>
        <w:t xml:space="preserve">Overall confidence in </w:t>
      </w:r>
      <w:r w:rsidR="00D74A5F" w:rsidRPr="00C33A5F">
        <w:rPr>
          <w:rFonts w:ascii="Times New Roman" w:eastAsia="Calibri" w:hAnsi="Times New Roman" w:cs="Times New Roman"/>
          <w:sz w:val="24"/>
          <w:szCs w:val="24"/>
        </w:rPr>
        <w:t>systematic review</w:t>
      </w:r>
      <w:r w:rsidRPr="00C33A5F">
        <w:rPr>
          <w:rFonts w:ascii="Times New Roman" w:eastAsia="Calibri" w:hAnsi="Times New Roman" w:cs="Times New Roman"/>
          <w:sz w:val="24"/>
          <w:szCs w:val="24"/>
        </w:rPr>
        <w:t xml:space="preserve"> findings was high </w:t>
      </w:r>
      <w:r w:rsidR="0028662B" w:rsidRPr="00C33A5F">
        <w:rPr>
          <w:rFonts w:ascii="Times New Roman" w:eastAsia="Calibri" w:hAnsi="Times New Roman" w:cs="Times New Roman"/>
          <w:sz w:val="24"/>
          <w:szCs w:val="24"/>
        </w:rPr>
        <w:t xml:space="preserve">in two </w:t>
      </w:r>
      <w:proofErr w:type="gramStart"/>
      <w:r w:rsidR="0028662B" w:rsidRPr="00C33A5F">
        <w:rPr>
          <w:rFonts w:ascii="Times New Roman" w:eastAsia="Calibri" w:hAnsi="Times New Roman" w:cs="Times New Roman"/>
          <w:sz w:val="24"/>
          <w:szCs w:val="24"/>
        </w:rPr>
        <w:t>reviews</w:t>
      </w:r>
      <w:r w:rsidR="003D5C6E">
        <w:rPr>
          <w:rFonts w:ascii="Times New Roman" w:eastAsia="Calibri" w:hAnsi="Times New Roman" w:cs="Times New Roman"/>
          <w:sz w:val="24"/>
          <w:szCs w:val="24"/>
        </w:rPr>
        <w:t>[</w:t>
      </w:r>
      <w:proofErr w:type="gramEnd"/>
      <w:r w:rsidR="003D5C6E">
        <w:rPr>
          <w:rFonts w:ascii="Times New Roman" w:eastAsia="Calibri" w:hAnsi="Times New Roman" w:cs="Times New Roman"/>
          <w:sz w:val="24"/>
          <w:szCs w:val="24"/>
        </w:rPr>
        <w:t>31,32]</w:t>
      </w:r>
      <w:r w:rsidRPr="00C33A5F">
        <w:rPr>
          <w:rFonts w:ascii="Times New Roman" w:eastAsia="Calibri" w:hAnsi="Times New Roman" w:cs="Times New Roman"/>
          <w:sz w:val="24"/>
          <w:szCs w:val="24"/>
        </w:rPr>
        <w:t xml:space="preserve">, </w:t>
      </w:r>
      <w:r w:rsidR="001A5AC9" w:rsidRPr="00C33A5F">
        <w:rPr>
          <w:rFonts w:ascii="Times New Roman" w:eastAsia="Calibri" w:hAnsi="Times New Roman" w:cs="Times New Roman"/>
          <w:sz w:val="24"/>
          <w:szCs w:val="24"/>
        </w:rPr>
        <w:t xml:space="preserve">but low </w:t>
      </w:r>
      <w:r w:rsidR="00401EBA" w:rsidRPr="00C33A5F">
        <w:rPr>
          <w:rFonts w:ascii="Times New Roman" w:eastAsia="Calibri" w:hAnsi="Times New Roman" w:cs="Times New Roman"/>
          <w:sz w:val="24"/>
          <w:szCs w:val="24"/>
        </w:rPr>
        <w:t>or</w:t>
      </w:r>
      <w:r w:rsidR="00EB23BC" w:rsidRPr="00C33A5F">
        <w:rPr>
          <w:rFonts w:ascii="Times New Roman" w:eastAsia="Calibri" w:hAnsi="Times New Roman" w:cs="Times New Roman"/>
          <w:sz w:val="24"/>
          <w:szCs w:val="24"/>
        </w:rPr>
        <w:t xml:space="preserve"> </w:t>
      </w:r>
      <w:r w:rsidR="00A12E15" w:rsidRPr="00C33A5F">
        <w:rPr>
          <w:rFonts w:ascii="Times New Roman" w:eastAsia="Calibri" w:hAnsi="Times New Roman" w:cs="Times New Roman"/>
          <w:sz w:val="24"/>
          <w:szCs w:val="24"/>
        </w:rPr>
        <w:t xml:space="preserve">critically </w:t>
      </w:r>
      <w:r w:rsidR="00EB23BC" w:rsidRPr="00C33A5F">
        <w:rPr>
          <w:rFonts w:ascii="Times New Roman" w:eastAsia="Calibri" w:hAnsi="Times New Roman" w:cs="Times New Roman"/>
          <w:sz w:val="24"/>
          <w:szCs w:val="24"/>
        </w:rPr>
        <w:t>low</w:t>
      </w:r>
      <w:r w:rsidR="000D2811" w:rsidRPr="00C33A5F">
        <w:rPr>
          <w:rFonts w:ascii="Times New Roman" w:eastAsia="Calibri" w:hAnsi="Times New Roman" w:cs="Times New Roman"/>
          <w:sz w:val="24"/>
          <w:szCs w:val="24"/>
        </w:rPr>
        <w:t xml:space="preserve"> in the remainder</w:t>
      </w:r>
      <w:r w:rsidR="00322F43" w:rsidRPr="00C33A5F">
        <w:rPr>
          <w:rFonts w:ascii="Times New Roman" w:eastAsia="Calibri" w:hAnsi="Times New Roman" w:cs="Times New Roman"/>
          <w:sz w:val="24"/>
          <w:szCs w:val="24"/>
        </w:rPr>
        <w:t xml:space="preserve"> (S</w:t>
      </w:r>
      <w:r w:rsidR="00E8447B" w:rsidRPr="00C33A5F">
        <w:rPr>
          <w:rFonts w:ascii="Times New Roman" w:eastAsia="Calibri" w:hAnsi="Times New Roman" w:cs="Times New Roman"/>
          <w:sz w:val="24"/>
          <w:szCs w:val="24"/>
        </w:rPr>
        <w:t>upplementary file</w:t>
      </w:r>
      <w:r w:rsidR="00322F43" w:rsidRPr="00C33A5F">
        <w:rPr>
          <w:rFonts w:ascii="Times New Roman" w:eastAsia="Calibri" w:hAnsi="Times New Roman" w:cs="Times New Roman"/>
          <w:sz w:val="24"/>
          <w:szCs w:val="24"/>
        </w:rPr>
        <w:t xml:space="preserve"> 1</w:t>
      </w:r>
      <w:r w:rsidR="003D3705" w:rsidRPr="00C33A5F">
        <w:rPr>
          <w:rFonts w:ascii="Times New Roman" w:eastAsia="Calibri" w:hAnsi="Times New Roman" w:cs="Times New Roman"/>
          <w:sz w:val="24"/>
          <w:szCs w:val="24"/>
        </w:rPr>
        <w:t xml:space="preserve">, </w:t>
      </w:r>
      <w:r w:rsidR="00641378">
        <w:rPr>
          <w:rFonts w:ascii="Times New Roman" w:eastAsia="Calibri" w:hAnsi="Times New Roman" w:cs="Times New Roman"/>
          <w:sz w:val="24"/>
          <w:szCs w:val="24"/>
        </w:rPr>
        <w:t>Table 2</w:t>
      </w:r>
      <w:r w:rsidR="008F24F1" w:rsidRPr="00C33A5F">
        <w:rPr>
          <w:rFonts w:ascii="Times New Roman" w:eastAsia="Calibri" w:hAnsi="Times New Roman" w:cs="Times New Roman"/>
          <w:sz w:val="24"/>
          <w:szCs w:val="24"/>
        </w:rPr>
        <w:t>)</w:t>
      </w:r>
      <w:r w:rsidR="001B794A" w:rsidRPr="00C33A5F">
        <w:rPr>
          <w:rFonts w:ascii="Times New Roman" w:eastAsia="Calibri" w:hAnsi="Times New Roman" w:cs="Times New Roman"/>
          <w:sz w:val="24"/>
          <w:szCs w:val="24"/>
        </w:rPr>
        <w:t xml:space="preserve">. </w:t>
      </w:r>
      <w:r w:rsidR="00516B75" w:rsidRPr="00C33A5F">
        <w:rPr>
          <w:rFonts w:ascii="Times New Roman" w:eastAsia="Calibri" w:hAnsi="Times New Roman" w:cs="Times New Roman"/>
          <w:sz w:val="24"/>
          <w:szCs w:val="24"/>
        </w:rPr>
        <w:t xml:space="preserve">Assessment of </w:t>
      </w:r>
      <w:proofErr w:type="spellStart"/>
      <w:r w:rsidR="009C402B" w:rsidRPr="00C33A5F">
        <w:rPr>
          <w:rFonts w:ascii="Times New Roman" w:eastAsia="Calibri" w:hAnsi="Times New Roman" w:cs="Times New Roman"/>
          <w:sz w:val="24"/>
          <w:szCs w:val="24"/>
        </w:rPr>
        <w:t>RoB</w:t>
      </w:r>
      <w:proofErr w:type="spellEnd"/>
      <w:r w:rsidR="00516B75" w:rsidRPr="00C33A5F">
        <w:rPr>
          <w:rFonts w:ascii="Times New Roman" w:eastAsia="Calibri" w:hAnsi="Times New Roman" w:cs="Times New Roman"/>
          <w:sz w:val="24"/>
          <w:szCs w:val="24"/>
        </w:rPr>
        <w:t xml:space="preserve"> of </w:t>
      </w:r>
      <w:r w:rsidRPr="00C33A5F">
        <w:rPr>
          <w:rFonts w:ascii="Times New Roman" w:eastAsia="Calibri" w:hAnsi="Times New Roman" w:cs="Times New Roman"/>
          <w:sz w:val="24"/>
          <w:szCs w:val="24"/>
        </w:rPr>
        <w:t xml:space="preserve">primary </w:t>
      </w:r>
      <w:r w:rsidR="00DE3644" w:rsidRPr="00C33A5F">
        <w:rPr>
          <w:rFonts w:ascii="Times New Roman" w:eastAsia="Calibri" w:hAnsi="Times New Roman" w:cs="Times New Roman"/>
          <w:sz w:val="24"/>
          <w:szCs w:val="24"/>
        </w:rPr>
        <w:t>randomised studies</w:t>
      </w:r>
      <w:r w:rsidRPr="00C33A5F">
        <w:rPr>
          <w:rFonts w:ascii="Times New Roman" w:eastAsia="Calibri" w:hAnsi="Times New Roman" w:cs="Times New Roman"/>
          <w:sz w:val="24"/>
          <w:szCs w:val="24"/>
        </w:rPr>
        <w:t xml:space="preserve"> </w:t>
      </w:r>
      <w:r w:rsidR="00E269F5" w:rsidRPr="00C33A5F">
        <w:rPr>
          <w:rFonts w:ascii="Times New Roman" w:eastAsia="Calibri" w:hAnsi="Times New Roman" w:cs="Times New Roman"/>
          <w:sz w:val="24"/>
          <w:szCs w:val="24"/>
        </w:rPr>
        <w:t xml:space="preserve">showed </w:t>
      </w:r>
      <w:r w:rsidR="00917EDD" w:rsidRPr="00C33A5F">
        <w:rPr>
          <w:rFonts w:ascii="Times New Roman" w:eastAsia="Calibri" w:hAnsi="Times New Roman" w:cs="Times New Roman"/>
          <w:sz w:val="24"/>
          <w:szCs w:val="24"/>
        </w:rPr>
        <w:t>eight</w:t>
      </w:r>
      <w:r w:rsidR="00535107" w:rsidRPr="00C33A5F">
        <w:rPr>
          <w:rFonts w:ascii="Times New Roman" w:eastAsia="Calibri" w:hAnsi="Times New Roman" w:cs="Times New Roman"/>
          <w:sz w:val="24"/>
          <w:szCs w:val="24"/>
        </w:rPr>
        <w:t xml:space="preserve"> were </w:t>
      </w:r>
      <w:r w:rsidR="00A20A55" w:rsidRPr="00C33A5F">
        <w:rPr>
          <w:rFonts w:ascii="Times New Roman" w:eastAsia="Calibri" w:hAnsi="Times New Roman" w:cs="Times New Roman"/>
          <w:sz w:val="24"/>
          <w:szCs w:val="24"/>
        </w:rPr>
        <w:t xml:space="preserve">at unclear risk of </w:t>
      </w:r>
      <w:r w:rsidR="00315434" w:rsidRPr="00C33A5F">
        <w:rPr>
          <w:rFonts w:ascii="Times New Roman" w:eastAsia="Calibri" w:hAnsi="Times New Roman" w:cs="Times New Roman"/>
          <w:sz w:val="24"/>
          <w:szCs w:val="24"/>
        </w:rPr>
        <w:t>bias</w:t>
      </w:r>
      <w:r w:rsidR="00E13352" w:rsidRPr="00C33A5F">
        <w:rPr>
          <w:rFonts w:ascii="Times New Roman" w:eastAsia="Calibri" w:hAnsi="Times New Roman" w:cs="Times New Roman"/>
          <w:sz w:val="24"/>
          <w:szCs w:val="24"/>
        </w:rPr>
        <w:t xml:space="preserve"> due to issues affecting methods of randomisation</w:t>
      </w:r>
      <w:r w:rsidR="00315434" w:rsidRPr="00C33A5F">
        <w:rPr>
          <w:rFonts w:ascii="Times New Roman" w:eastAsia="Calibri" w:hAnsi="Times New Roman" w:cs="Times New Roman"/>
          <w:sz w:val="24"/>
          <w:szCs w:val="24"/>
        </w:rPr>
        <w:t>,</w:t>
      </w:r>
      <w:r w:rsidR="00916C03" w:rsidRPr="00C33A5F">
        <w:rPr>
          <w:rFonts w:ascii="Times New Roman" w:eastAsia="Calibri" w:hAnsi="Times New Roman" w:cs="Times New Roman"/>
          <w:sz w:val="24"/>
          <w:szCs w:val="24"/>
        </w:rPr>
        <w:t xml:space="preserve"> while allocation concealment was unclear in over half of the studies.</w:t>
      </w:r>
      <w:r w:rsidR="00315434" w:rsidRPr="00C33A5F">
        <w:rPr>
          <w:rFonts w:ascii="Times New Roman" w:eastAsia="Calibri" w:hAnsi="Times New Roman" w:cs="Times New Roman"/>
          <w:sz w:val="24"/>
          <w:szCs w:val="24"/>
        </w:rPr>
        <w:t xml:space="preserve"> </w:t>
      </w:r>
      <w:r w:rsidR="00D32F45" w:rsidRPr="00C33A5F">
        <w:rPr>
          <w:rFonts w:ascii="Times New Roman" w:eastAsia="Calibri" w:hAnsi="Times New Roman" w:cs="Times New Roman"/>
          <w:sz w:val="24"/>
          <w:szCs w:val="24"/>
        </w:rPr>
        <w:t>Nearly</w:t>
      </w:r>
      <w:r w:rsidR="00CF12A8" w:rsidRPr="00C33A5F">
        <w:rPr>
          <w:rFonts w:ascii="Times New Roman" w:eastAsia="Calibri" w:hAnsi="Times New Roman" w:cs="Times New Roman"/>
          <w:sz w:val="24"/>
          <w:szCs w:val="24"/>
        </w:rPr>
        <w:t xml:space="preserve"> 5</w:t>
      </w:r>
      <w:r w:rsidR="00916C03" w:rsidRPr="00C33A5F">
        <w:rPr>
          <w:rFonts w:ascii="Times New Roman" w:eastAsia="Calibri" w:hAnsi="Times New Roman" w:cs="Times New Roman"/>
          <w:sz w:val="24"/>
          <w:szCs w:val="24"/>
        </w:rPr>
        <w:t xml:space="preserve">0% of </w:t>
      </w:r>
      <w:r w:rsidR="0021369A" w:rsidRPr="00C33A5F">
        <w:rPr>
          <w:rFonts w:ascii="Times New Roman" w:eastAsia="Calibri" w:hAnsi="Times New Roman" w:cs="Times New Roman"/>
          <w:sz w:val="24"/>
          <w:szCs w:val="24"/>
        </w:rPr>
        <w:t xml:space="preserve">the </w:t>
      </w:r>
      <w:r w:rsidR="00E269F5" w:rsidRPr="00C33A5F">
        <w:rPr>
          <w:rFonts w:ascii="Times New Roman" w:eastAsia="Calibri" w:hAnsi="Times New Roman" w:cs="Times New Roman"/>
          <w:sz w:val="24"/>
          <w:szCs w:val="24"/>
        </w:rPr>
        <w:t xml:space="preserve">included </w:t>
      </w:r>
      <w:r w:rsidR="00916C03" w:rsidRPr="00C33A5F">
        <w:rPr>
          <w:rFonts w:ascii="Times New Roman" w:eastAsia="Calibri" w:hAnsi="Times New Roman" w:cs="Times New Roman"/>
          <w:sz w:val="24"/>
          <w:szCs w:val="24"/>
        </w:rPr>
        <w:t xml:space="preserve">studies were at high or unclear risk of detection </w:t>
      </w:r>
      <w:r w:rsidR="00D32F45" w:rsidRPr="00C33A5F">
        <w:rPr>
          <w:rFonts w:ascii="Times New Roman" w:eastAsia="Calibri" w:hAnsi="Times New Roman" w:cs="Times New Roman"/>
          <w:sz w:val="24"/>
          <w:szCs w:val="24"/>
        </w:rPr>
        <w:t xml:space="preserve">bias while </w:t>
      </w:r>
      <w:r w:rsidR="003D3AF1" w:rsidRPr="00C33A5F">
        <w:rPr>
          <w:rFonts w:ascii="Times New Roman" w:eastAsia="Calibri" w:hAnsi="Times New Roman" w:cs="Times New Roman"/>
          <w:sz w:val="24"/>
          <w:szCs w:val="24"/>
        </w:rPr>
        <w:t>seven</w:t>
      </w:r>
      <w:r w:rsidR="00D32F45" w:rsidRPr="00C33A5F">
        <w:rPr>
          <w:rFonts w:ascii="Times New Roman" w:eastAsia="Calibri" w:hAnsi="Times New Roman" w:cs="Times New Roman"/>
          <w:sz w:val="24"/>
          <w:szCs w:val="24"/>
        </w:rPr>
        <w:t xml:space="preserve"> studies were </w:t>
      </w:r>
      <w:r w:rsidR="00047C77" w:rsidRPr="00C33A5F">
        <w:rPr>
          <w:rFonts w:ascii="Times New Roman" w:eastAsia="Calibri" w:hAnsi="Times New Roman" w:cs="Times New Roman"/>
          <w:sz w:val="24"/>
          <w:szCs w:val="24"/>
        </w:rPr>
        <w:t>considered</w:t>
      </w:r>
      <w:r w:rsidR="00D32F45" w:rsidRPr="00C33A5F">
        <w:rPr>
          <w:rFonts w:ascii="Times New Roman" w:eastAsia="Calibri" w:hAnsi="Times New Roman" w:cs="Times New Roman"/>
          <w:sz w:val="24"/>
          <w:szCs w:val="24"/>
        </w:rPr>
        <w:t xml:space="preserve"> at risk of </w:t>
      </w:r>
      <w:r w:rsidR="00E269F5" w:rsidRPr="00C33A5F">
        <w:rPr>
          <w:rFonts w:ascii="Times New Roman" w:eastAsia="Calibri" w:hAnsi="Times New Roman" w:cs="Times New Roman"/>
          <w:sz w:val="24"/>
          <w:szCs w:val="24"/>
        </w:rPr>
        <w:t xml:space="preserve">attrition bias. </w:t>
      </w:r>
      <w:r w:rsidR="004600CC" w:rsidRPr="00C33A5F">
        <w:rPr>
          <w:rFonts w:ascii="Times New Roman" w:eastAsia="Calibri" w:hAnsi="Times New Roman" w:cs="Times New Roman"/>
          <w:sz w:val="24"/>
          <w:szCs w:val="24"/>
        </w:rPr>
        <w:t xml:space="preserve">Recruitment and allocation concealment were assessed as unclear in the non-randomised studies. Analysis was via intention to treat in 60% of the RCTs included in this SLR, although this was interpreted differently across studies. Eleven RCTs were adequately powered for the outcome of interest. </w:t>
      </w:r>
    </w:p>
    <w:p w14:paraId="5B9E4B25" w14:textId="77777777" w:rsidR="00E7096C" w:rsidRPr="00C33A5F" w:rsidRDefault="00E7096C" w:rsidP="00E7096C">
      <w:pPr>
        <w:spacing w:after="0" w:line="240" w:lineRule="auto"/>
        <w:rPr>
          <w:rFonts w:ascii="Times New Roman" w:eastAsia="Calibri" w:hAnsi="Times New Roman" w:cs="Times New Roman"/>
          <w:sz w:val="24"/>
          <w:szCs w:val="24"/>
        </w:rPr>
      </w:pPr>
    </w:p>
    <w:p w14:paraId="62B5A9AC" w14:textId="2926A82E" w:rsidR="00F65CC2" w:rsidRDefault="00F65CC2" w:rsidP="00B747D0">
      <w:pPr>
        <w:rPr>
          <w:rFonts w:ascii="Times New Roman" w:eastAsia="Calibri" w:hAnsi="Times New Roman" w:cs="Times New Roman"/>
          <w:b/>
          <w:sz w:val="24"/>
          <w:szCs w:val="24"/>
        </w:rPr>
      </w:pPr>
      <w:r>
        <w:rPr>
          <w:rFonts w:ascii="Times New Roman" w:eastAsia="Calibri" w:hAnsi="Times New Roman" w:cs="Times New Roman"/>
          <w:b/>
          <w:sz w:val="24"/>
          <w:szCs w:val="24"/>
        </w:rPr>
        <w:t>Clinical questions</w:t>
      </w:r>
    </w:p>
    <w:p w14:paraId="6E3B2684" w14:textId="749EC3A8" w:rsidR="00E7096C" w:rsidRPr="00DD6A30" w:rsidRDefault="00F65CC2" w:rsidP="008B435D">
      <w:pPr>
        <w:spacing w:after="0" w:line="480" w:lineRule="auto"/>
        <w:jc w:val="both"/>
        <w:rPr>
          <w:rFonts w:ascii="Times New Roman" w:eastAsia="Calibri" w:hAnsi="Times New Roman" w:cs="Times New Roman"/>
          <w:b/>
          <w:sz w:val="24"/>
          <w:szCs w:val="24"/>
        </w:rPr>
      </w:pPr>
      <w:proofErr w:type="gramStart"/>
      <w:r w:rsidRPr="00F65CC2">
        <w:rPr>
          <w:rFonts w:ascii="Times New Roman" w:eastAsia="Calibri" w:hAnsi="Times New Roman" w:cs="Times New Roman"/>
          <w:b/>
          <w:sz w:val="24"/>
          <w:szCs w:val="24"/>
        </w:rPr>
        <w:t xml:space="preserve">1  </w:t>
      </w:r>
      <w:r w:rsidRPr="008B435D">
        <w:rPr>
          <w:rFonts w:ascii="Times New Roman" w:eastAsia="Calibri" w:hAnsi="Times New Roman" w:cs="Times New Roman"/>
          <w:b/>
          <w:sz w:val="24"/>
          <w:szCs w:val="24"/>
        </w:rPr>
        <w:t>Which</w:t>
      </w:r>
      <w:proofErr w:type="gramEnd"/>
      <w:r w:rsidRPr="008B435D">
        <w:rPr>
          <w:rFonts w:ascii="Times New Roman" w:eastAsia="Calibri" w:hAnsi="Times New Roman" w:cs="Times New Roman"/>
          <w:b/>
          <w:sz w:val="24"/>
          <w:szCs w:val="24"/>
        </w:rPr>
        <w:t xml:space="preserve"> diagnostic procedures, undertaken by non-physician health professionals (HPs), are recommended in the assessment of risk of falling in adults at high-risk of primary or secondary osteoporotic fracture?</w:t>
      </w:r>
    </w:p>
    <w:p w14:paraId="6E417988" w14:textId="77777777" w:rsidR="00E7096C" w:rsidRPr="00C33A5F" w:rsidRDefault="00E7096C" w:rsidP="00E7096C">
      <w:pPr>
        <w:spacing w:after="0" w:line="240" w:lineRule="auto"/>
        <w:rPr>
          <w:rFonts w:ascii="Times New Roman" w:hAnsi="Times New Roman" w:cs="Times New Roman"/>
          <w:b/>
          <w:sz w:val="24"/>
          <w:szCs w:val="24"/>
        </w:rPr>
      </w:pPr>
    </w:p>
    <w:p w14:paraId="60E03FAE" w14:textId="77777777" w:rsidR="006B6CEC" w:rsidRPr="00C33A5F" w:rsidRDefault="008D24CF" w:rsidP="00F84A79">
      <w:pPr>
        <w:spacing w:after="0" w:line="480" w:lineRule="auto"/>
        <w:jc w:val="both"/>
        <w:rPr>
          <w:rFonts w:ascii="Times New Roman" w:hAnsi="Times New Roman" w:cs="Times New Roman"/>
          <w:sz w:val="24"/>
          <w:szCs w:val="24"/>
          <w:lang w:eastAsia="nl-NL"/>
        </w:rPr>
      </w:pPr>
      <w:r w:rsidRPr="00C33A5F">
        <w:rPr>
          <w:rFonts w:ascii="Times New Roman" w:eastAsia="Calibri" w:hAnsi="Times New Roman" w:cs="Times New Roman"/>
          <w:sz w:val="24"/>
          <w:szCs w:val="24"/>
        </w:rPr>
        <w:t>Evidence about diagnostic procedures to assess risk of falls was extr</w:t>
      </w:r>
      <w:r w:rsidR="00DE33DF" w:rsidRPr="00C33A5F">
        <w:rPr>
          <w:rFonts w:ascii="Times New Roman" w:eastAsia="Calibri" w:hAnsi="Times New Roman" w:cs="Times New Roman"/>
          <w:sz w:val="24"/>
          <w:szCs w:val="24"/>
        </w:rPr>
        <w:t xml:space="preserve">acted from one narrative </w:t>
      </w:r>
      <w:proofErr w:type="gramStart"/>
      <w:r w:rsidR="00DE33DF" w:rsidRPr="00C33A5F">
        <w:rPr>
          <w:rFonts w:ascii="Times New Roman" w:eastAsia="Calibri" w:hAnsi="Times New Roman" w:cs="Times New Roman"/>
          <w:sz w:val="24"/>
          <w:szCs w:val="24"/>
        </w:rPr>
        <w:t>review</w:t>
      </w:r>
      <w:r w:rsidR="003D5C6E">
        <w:rPr>
          <w:rFonts w:ascii="Times New Roman" w:eastAsia="Calibri" w:hAnsi="Times New Roman" w:cs="Times New Roman"/>
          <w:sz w:val="24"/>
          <w:szCs w:val="24"/>
        </w:rPr>
        <w:t>[</w:t>
      </w:r>
      <w:proofErr w:type="gramEnd"/>
      <w:r w:rsidR="003D5C6E">
        <w:rPr>
          <w:rFonts w:ascii="Times New Roman" w:eastAsia="Calibri" w:hAnsi="Times New Roman" w:cs="Times New Roman"/>
          <w:sz w:val="24"/>
          <w:szCs w:val="24"/>
        </w:rPr>
        <w:t>33]</w:t>
      </w:r>
      <w:r w:rsidRPr="00C33A5F">
        <w:rPr>
          <w:rFonts w:ascii="Times New Roman" w:eastAsia="Calibri" w:hAnsi="Times New Roman" w:cs="Times New Roman"/>
          <w:sz w:val="24"/>
          <w:szCs w:val="24"/>
        </w:rPr>
        <w:t>. The</w:t>
      </w:r>
      <w:r w:rsidRPr="00C33A5F">
        <w:rPr>
          <w:rFonts w:ascii="Times New Roman" w:hAnsi="Times New Roman" w:cs="Times New Roman"/>
          <w:sz w:val="24"/>
          <w:szCs w:val="24"/>
          <w:lang w:eastAsia="nl-NL"/>
        </w:rPr>
        <w:t xml:space="preserve"> STEADI (Stopping Elderly Accidents, Deaths and Injuries) algorithm incorporates a stepped approach to falls risk-screening, assessment and intervention, and is recommended for use. Key initial screening questions help to identify people who have fallen in the past year, feel unsteady, or are fearful of falling. Responses guide further assessment. </w:t>
      </w:r>
      <w:r w:rsidRPr="00C33A5F">
        <w:rPr>
          <w:rFonts w:ascii="Times New Roman" w:hAnsi="Times New Roman" w:cs="Times New Roman"/>
          <w:sz w:val="24"/>
          <w:szCs w:val="24"/>
          <w:lang w:eastAsia="nl-NL"/>
        </w:rPr>
        <w:lastRenderedPageBreak/>
        <w:t xml:space="preserve">Subsequent screening, if required, includes the Timed Up and Go </w:t>
      </w:r>
      <w:proofErr w:type="gramStart"/>
      <w:r w:rsidRPr="00C33A5F">
        <w:rPr>
          <w:rFonts w:ascii="Times New Roman" w:hAnsi="Times New Roman" w:cs="Times New Roman"/>
          <w:sz w:val="24"/>
          <w:szCs w:val="24"/>
          <w:lang w:eastAsia="nl-NL"/>
        </w:rPr>
        <w:t>Test</w:t>
      </w:r>
      <w:r w:rsidR="003D5C6E">
        <w:rPr>
          <w:rFonts w:ascii="Times New Roman" w:hAnsi="Times New Roman" w:cs="Times New Roman"/>
          <w:sz w:val="24"/>
          <w:szCs w:val="24"/>
          <w:lang w:eastAsia="nl-NL"/>
        </w:rPr>
        <w:t>[</w:t>
      </w:r>
      <w:proofErr w:type="gramEnd"/>
      <w:r w:rsidR="003D5C6E">
        <w:rPr>
          <w:rFonts w:ascii="Times New Roman" w:hAnsi="Times New Roman" w:cs="Times New Roman"/>
          <w:sz w:val="24"/>
          <w:szCs w:val="24"/>
          <w:lang w:eastAsia="nl-NL"/>
        </w:rPr>
        <w:t>34]</w:t>
      </w:r>
      <w:r w:rsidRPr="00C33A5F">
        <w:rPr>
          <w:rFonts w:ascii="Times New Roman" w:hAnsi="Times New Roman" w:cs="Times New Roman"/>
          <w:sz w:val="24"/>
          <w:szCs w:val="24"/>
          <w:lang w:eastAsia="nl-NL"/>
        </w:rPr>
        <w:t>, with the Four-Stage Balance Test</w:t>
      </w:r>
      <w:r w:rsidR="003D5C6E">
        <w:rPr>
          <w:rFonts w:ascii="Times New Roman" w:hAnsi="Times New Roman" w:cs="Times New Roman"/>
          <w:sz w:val="24"/>
          <w:szCs w:val="24"/>
          <w:lang w:eastAsia="nl-NL"/>
        </w:rPr>
        <w:t>[35]</w:t>
      </w:r>
      <w:r w:rsidRPr="00C33A5F">
        <w:rPr>
          <w:rFonts w:ascii="Times New Roman" w:hAnsi="Times New Roman" w:cs="Times New Roman"/>
          <w:sz w:val="24"/>
          <w:szCs w:val="24"/>
          <w:lang w:eastAsia="nl-NL"/>
        </w:rPr>
        <w:t>, the Five-Times Sit-to-Stand Test</w:t>
      </w:r>
      <w:r w:rsidR="003D5C6E">
        <w:rPr>
          <w:rFonts w:ascii="Times New Roman" w:hAnsi="Times New Roman" w:cs="Times New Roman"/>
          <w:sz w:val="24"/>
          <w:szCs w:val="24"/>
          <w:lang w:eastAsia="nl-NL"/>
        </w:rPr>
        <w:t>[36]</w:t>
      </w:r>
      <w:r w:rsidRPr="00C33A5F">
        <w:rPr>
          <w:rFonts w:ascii="Times New Roman" w:hAnsi="Times New Roman" w:cs="Times New Roman"/>
          <w:sz w:val="24"/>
          <w:szCs w:val="24"/>
          <w:lang w:eastAsia="nl-NL"/>
        </w:rPr>
        <w:t xml:space="preserve"> and other components of a </w:t>
      </w:r>
      <w:r w:rsidRPr="00C33A5F">
        <w:rPr>
          <w:rFonts w:ascii="Times New Roman" w:eastAsia="Calibri" w:hAnsi="Times New Roman" w:cs="Times New Roman"/>
          <w:sz w:val="24"/>
          <w:szCs w:val="24"/>
        </w:rPr>
        <w:t>multifactorial risk assessment if indicated</w:t>
      </w:r>
      <w:r w:rsidRPr="00C33A5F">
        <w:rPr>
          <w:rFonts w:ascii="Times New Roman" w:hAnsi="Times New Roman" w:cs="Times New Roman"/>
          <w:sz w:val="24"/>
          <w:szCs w:val="24"/>
          <w:lang w:eastAsia="nl-NL"/>
        </w:rPr>
        <w:t xml:space="preserve">. Recommended components </w:t>
      </w:r>
      <w:r w:rsidRPr="00C33A5F">
        <w:rPr>
          <w:rFonts w:ascii="Times New Roman" w:eastAsia="Calibri" w:hAnsi="Times New Roman" w:cs="Times New Roman"/>
          <w:sz w:val="24"/>
          <w:szCs w:val="24"/>
        </w:rPr>
        <w:t>include:</w:t>
      </w:r>
      <w:r w:rsidRPr="00C33A5F">
        <w:rPr>
          <w:rFonts w:ascii="Times New Roman" w:hAnsi="Times New Roman" w:cs="Times New Roman"/>
          <w:sz w:val="24"/>
          <w:szCs w:val="24"/>
          <w:lang w:eastAsia="nl-NL"/>
        </w:rPr>
        <w:t xml:space="preserve"> a detailed falls history; medicines consumption and environmental and social factors associated with risk of falling; footwear and home hazards; evaluation of bodily systems, for example via blood pressure monitoring</w:t>
      </w:r>
      <w:r w:rsidR="006D5927">
        <w:rPr>
          <w:rFonts w:ascii="Times New Roman" w:hAnsi="Times New Roman" w:cs="Times New Roman"/>
          <w:sz w:val="24"/>
          <w:szCs w:val="24"/>
          <w:lang w:eastAsia="nl-NL"/>
        </w:rPr>
        <w:t xml:space="preserve">; </w:t>
      </w:r>
      <w:r w:rsidR="00E36CA1" w:rsidRPr="0058053C">
        <w:rPr>
          <w:rFonts w:ascii="Times New Roman" w:hAnsi="Times New Roman" w:cs="Times New Roman"/>
          <w:sz w:val="24"/>
          <w:szCs w:val="24"/>
          <w:lang w:eastAsia="nl-NL"/>
        </w:rPr>
        <w:t>Fracture Risk Assessment Tool</w:t>
      </w:r>
      <w:r w:rsidR="006D5927" w:rsidRPr="0058053C">
        <w:rPr>
          <w:rFonts w:ascii="Times New Roman" w:hAnsi="Times New Roman" w:cs="Times New Roman"/>
          <w:sz w:val="24"/>
          <w:szCs w:val="24"/>
          <w:lang w:eastAsia="nl-NL"/>
        </w:rPr>
        <w:t xml:space="preserve"> (FRAX</w:t>
      </w:r>
      <w:r w:rsidR="006D5927" w:rsidRPr="0058053C">
        <w:rPr>
          <w:rFonts w:ascii="Times New Roman" w:hAnsi="Times New Roman" w:cs="Times New Roman"/>
          <w:vertAlign w:val="superscript"/>
        </w:rPr>
        <w:t>®</w:t>
      </w:r>
      <w:r w:rsidR="00E36CA1">
        <w:rPr>
          <w:rFonts w:ascii="Times New Roman" w:hAnsi="Times New Roman" w:cs="Times New Roman"/>
          <w:sz w:val="24"/>
          <w:szCs w:val="24"/>
          <w:lang w:eastAsia="nl-NL"/>
        </w:rPr>
        <w:t>)</w:t>
      </w:r>
      <w:r w:rsidRPr="00C33A5F">
        <w:rPr>
          <w:rFonts w:ascii="Times New Roman" w:hAnsi="Times New Roman" w:cs="Times New Roman"/>
          <w:sz w:val="24"/>
          <w:szCs w:val="24"/>
          <w:lang w:eastAsia="nl-NL"/>
        </w:rPr>
        <w:t>; and assessment of cognition and mental health. Although multiple tools are available to support the assessment of constituent factors associated with risk of falls, no specific tool is recommended, thereby reflecting the need for an individually tailored assessment.</w:t>
      </w:r>
    </w:p>
    <w:p w14:paraId="15F7D7FF" w14:textId="77777777" w:rsidR="009C402B" w:rsidRPr="00C33A5F" w:rsidRDefault="009C402B" w:rsidP="002E6F24">
      <w:pPr>
        <w:spacing w:after="0" w:line="480" w:lineRule="auto"/>
        <w:rPr>
          <w:rFonts w:ascii="Times New Roman" w:eastAsia="Calibri" w:hAnsi="Times New Roman" w:cs="Times New Roman"/>
          <w:sz w:val="24"/>
          <w:szCs w:val="24"/>
        </w:rPr>
      </w:pPr>
    </w:p>
    <w:p w14:paraId="602606AF" w14:textId="15DADB10" w:rsidR="00CE1B9A" w:rsidRPr="00F65CC2" w:rsidRDefault="00F65CC2" w:rsidP="008B435D">
      <w:pPr>
        <w:spacing w:after="0" w:line="480" w:lineRule="auto"/>
        <w:jc w:val="both"/>
        <w:rPr>
          <w:rFonts w:ascii="Times New Roman" w:eastAsia="Calibri" w:hAnsi="Times New Roman" w:cs="Times New Roman"/>
          <w:b/>
          <w:sz w:val="24"/>
          <w:szCs w:val="24"/>
        </w:rPr>
      </w:pPr>
      <w:proofErr w:type="gramStart"/>
      <w:r w:rsidRPr="00F65CC2">
        <w:rPr>
          <w:rFonts w:ascii="Times New Roman" w:eastAsia="Calibri" w:hAnsi="Times New Roman" w:cs="Times New Roman"/>
          <w:b/>
          <w:sz w:val="24"/>
          <w:szCs w:val="24"/>
        </w:rPr>
        <w:t xml:space="preserve">2  </w:t>
      </w:r>
      <w:r w:rsidRPr="008B435D">
        <w:rPr>
          <w:rFonts w:ascii="Times New Roman" w:eastAsia="Calibri" w:hAnsi="Times New Roman" w:cs="Times New Roman"/>
          <w:b/>
          <w:sz w:val="24"/>
          <w:szCs w:val="24"/>
        </w:rPr>
        <w:t>What</w:t>
      </w:r>
      <w:proofErr w:type="gramEnd"/>
      <w:r w:rsidRPr="008B435D">
        <w:rPr>
          <w:rFonts w:ascii="Times New Roman" w:eastAsia="Calibri" w:hAnsi="Times New Roman" w:cs="Times New Roman"/>
          <w:b/>
          <w:sz w:val="24"/>
          <w:szCs w:val="24"/>
        </w:rPr>
        <w:t xml:space="preserve"> is the effect (including cost-effectiveness and safety) of non-pharmacological treatments provided by HPs after osteoporotic fracture? </w:t>
      </w:r>
    </w:p>
    <w:p w14:paraId="2DDB587E" w14:textId="77777777" w:rsidR="00CE1B9A" w:rsidRPr="00C33A5F" w:rsidRDefault="00CE1B9A" w:rsidP="00CE1B9A">
      <w:pPr>
        <w:spacing w:after="0" w:line="240" w:lineRule="auto"/>
        <w:rPr>
          <w:rFonts w:ascii="Times New Roman" w:eastAsia="Calibri" w:hAnsi="Times New Roman" w:cs="Times New Roman"/>
          <w:b/>
          <w:sz w:val="24"/>
          <w:szCs w:val="24"/>
        </w:rPr>
      </w:pPr>
    </w:p>
    <w:p w14:paraId="52DEA959" w14:textId="34D173BC" w:rsidR="00201E8F" w:rsidRPr="00C33A5F" w:rsidRDefault="000F03BC" w:rsidP="00F84A79">
      <w:pPr>
        <w:spacing w:after="0" w:line="480" w:lineRule="auto"/>
        <w:jc w:val="both"/>
        <w:rPr>
          <w:rFonts w:ascii="Times New Roman" w:eastAsia="Calibri" w:hAnsi="Times New Roman" w:cs="Times New Roman"/>
          <w:sz w:val="24"/>
          <w:szCs w:val="24"/>
        </w:rPr>
        <w:sectPr w:rsidR="00201E8F" w:rsidRPr="00C33A5F">
          <w:footerReference w:type="default" r:id="rId9"/>
          <w:pgSz w:w="11906" w:h="16838"/>
          <w:pgMar w:top="1417" w:right="1417" w:bottom="1417" w:left="1417" w:header="708" w:footer="708" w:gutter="0"/>
          <w:cols w:space="708"/>
          <w:docGrid w:linePitch="360"/>
        </w:sectPr>
      </w:pPr>
      <w:r w:rsidRPr="00C33A5F">
        <w:rPr>
          <w:rFonts w:ascii="Times New Roman" w:eastAsia="Calibri" w:hAnsi="Times New Roman" w:cs="Times New Roman"/>
          <w:sz w:val="24"/>
          <w:szCs w:val="24"/>
        </w:rPr>
        <w:t>The e</w:t>
      </w:r>
      <w:r w:rsidR="004924AA" w:rsidRPr="00C33A5F">
        <w:rPr>
          <w:rFonts w:ascii="Times New Roman" w:eastAsia="Calibri" w:hAnsi="Times New Roman" w:cs="Times New Roman"/>
          <w:sz w:val="24"/>
          <w:szCs w:val="24"/>
        </w:rPr>
        <w:t xml:space="preserve">vidence </w:t>
      </w:r>
      <w:r w:rsidRPr="00C33A5F">
        <w:rPr>
          <w:rFonts w:ascii="Times New Roman" w:eastAsia="Calibri" w:hAnsi="Times New Roman" w:cs="Times New Roman"/>
          <w:sz w:val="24"/>
          <w:szCs w:val="24"/>
        </w:rPr>
        <w:t xml:space="preserve">for this question </w:t>
      </w:r>
      <w:r w:rsidR="00553968" w:rsidRPr="00C33A5F">
        <w:rPr>
          <w:rFonts w:ascii="Times New Roman" w:eastAsia="Calibri" w:hAnsi="Times New Roman" w:cs="Times New Roman"/>
          <w:sz w:val="24"/>
          <w:szCs w:val="24"/>
        </w:rPr>
        <w:t>clustered around</w:t>
      </w:r>
      <w:r w:rsidR="00535107" w:rsidRPr="00C33A5F">
        <w:rPr>
          <w:rFonts w:ascii="Times New Roman" w:eastAsia="Calibri" w:hAnsi="Times New Roman" w:cs="Times New Roman"/>
          <w:sz w:val="24"/>
          <w:szCs w:val="24"/>
        </w:rPr>
        <w:t xml:space="preserve"> </w:t>
      </w:r>
      <w:proofErr w:type="spellStart"/>
      <w:r w:rsidR="00F65CC2">
        <w:rPr>
          <w:rFonts w:ascii="Times New Roman" w:eastAsia="Calibri" w:hAnsi="Times New Roman" w:cs="Times New Roman"/>
          <w:sz w:val="24"/>
          <w:szCs w:val="24"/>
        </w:rPr>
        <w:t>i</w:t>
      </w:r>
      <w:proofErr w:type="spellEnd"/>
      <w:r w:rsidR="00F65CC2">
        <w:rPr>
          <w:rFonts w:ascii="Times New Roman" w:eastAsia="Calibri" w:hAnsi="Times New Roman" w:cs="Times New Roman"/>
          <w:sz w:val="24"/>
          <w:szCs w:val="24"/>
        </w:rPr>
        <w:t xml:space="preserve">) </w:t>
      </w:r>
      <w:r w:rsidR="00535107" w:rsidRPr="00C33A5F">
        <w:rPr>
          <w:rFonts w:ascii="Times New Roman" w:eastAsia="Calibri" w:hAnsi="Times New Roman" w:cs="Times New Roman"/>
          <w:sz w:val="24"/>
          <w:szCs w:val="24"/>
        </w:rPr>
        <w:t>exercise</w:t>
      </w:r>
      <w:r w:rsidR="00DB4CCD" w:rsidRPr="00C33A5F">
        <w:rPr>
          <w:rFonts w:ascii="Times New Roman" w:eastAsia="Calibri" w:hAnsi="Times New Roman" w:cs="Times New Roman"/>
          <w:sz w:val="24"/>
          <w:szCs w:val="24"/>
        </w:rPr>
        <w:t xml:space="preserve">, </w:t>
      </w:r>
      <w:r w:rsidR="00306C66">
        <w:rPr>
          <w:rFonts w:ascii="Times New Roman" w:eastAsia="Calibri" w:hAnsi="Times New Roman" w:cs="Times New Roman"/>
          <w:sz w:val="24"/>
          <w:szCs w:val="24"/>
        </w:rPr>
        <w:t>ii) n</w:t>
      </w:r>
      <w:r w:rsidR="00F65CC2">
        <w:rPr>
          <w:rFonts w:ascii="Times New Roman" w:eastAsia="Calibri" w:hAnsi="Times New Roman" w:cs="Times New Roman"/>
          <w:sz w:val="24"/>
          <w:szCs w:val="24"/>
        </w:rPr>
        <w:t xml:space="preserve">utrition including </w:t>
      </w:r>
      <w:r w:rsidR="00306C66">
        <w:rPr>
          <w:rFonts w:ascii="Times New Roman" w:eastAsia="Calibri" w:hAnsi="Times New Roman" w:cs="Times New Roman"/>
          <w:sz w:val="24"/>
          <w:szCs w:val="24"/>
        </w:rPr>
        <w:t>Vitamin D plus Calcium and</w:t>
      </w:r>
      <w:r w:rsidR="00E8447B" w:rsidRPr="00C33A5F">
        <w:rPr>
          <w:rFonts w:ascii="Times New Roman" w:eastAsia="Calibri" w:hAnsi="Times New Roman" w:cs="Times New Roman"/>
          <w:sz w:val="24"/>
          <w:szCs w:val="24"/>
        </w:rPr>
        <w:t xml:space="preserve"> oral nutritional supplements,</w:t>
      </w:r>
      <w:r w:rsidR="00114593" w:rsidRPr="00C33A5F">
        <w:rPr>
          <w:rFonts w:ascii="Times New Roman" w:eastAsia="Calibri" w:hAnsi="Times New Roman" w:cs="Times New Roman"/>
          <w:sz w:val="24"/>
          <w:szCs w:val="24"/>
        </w:rPr>
        <w:t xml:space="preserve"> </w:t>
      </w:r>
      <w:r w:rsidR="00F65CC2">
        <w:rPr>
          <w:rFonts w:ascii="Times New Roman" w:eastAsia="Calibri" w:hAnsi="Times New Roman" w:cs="Times New Roman"/>
          <w:sz w:val="24"/>
          <w:szCs w:val="24"/>
        </w:rPr>
        <w:t xml:space="preserve">iii) </w:t>
      </w:r>
      <w:r w:rsidR="00F65CC2" w:rsidRPr="00C33A5F">
        <w:rPr>
          <w:rFonts w:ascii="Times New Roman" w:eastAsia="Calibri" w:hAnsi="Times New Roman" w:cs="Times New Roman"/>
          <w:sz w:val="24"/>
          <w:szCs w:val="24"/>
        </w:rPr>
        <w:t>orthoses</w:t>
      </w:r>
      <w:r w:rsidR="00F65CC2" w:rsidRPr="00C33A5F" w:rsidDel="00F65CC2">
        <w:rPr>
          <w:rFonts w:ascii="Times New Roman" w:eastAsia="Calibri" w:hAnsi="Times New Roman" w:cs="Times New Roman"/>
          <w:sz w:val="24"/>
          <w:szCs w:val="24"/>
        </w:rPr>
        <w:t xml:space="preserve"> </w:t>
      </w:r>
      <w:r w:rsidR="00E376B4" w:rsidRPr="00C33A5F">
        <w:rPr>
          <w:rFonts w:ascii="Times New Roman" w:eastAsia="Calibri" w:hAnsi="Times New Roman" w:cs="Times New Roman"/>
          <w:sz w:val="24"/>
          <w:szCs w:val="24"/>
        </w:rPr>
        <w:t>an</w:t>
      </w:r>
      <w:r w:rsidR="00E13FFE" w:rsidRPr="00C33A5F">
        <w:rPr>
          <w:rFonts w:ascii="Times New Roman" w:eastAsia="Calibri" w:hAnsi="Times New Roman" w:cs="Times New Roman"/>
          <w:sz w:val="24"/>
          <w:szCs w:val="24"/>
        </w:rPr>
        <w:t xml:space="preserve">d </w:t>
      </w:r>
      <w:r w:rsidR="00F65CC2">
        <w:rPr>
          <w:rFonts w:ascii="Times New Roman" w:eastAsia="Calibri" w:hAnsi="Times New Roman" w:cs="Times New Roman"/>
          <w:sz w:val="24"/>
          <w:szCs w:val="24"/>
        </w:rPr>
        <w:t xml:space="preserve">iv) </w:t>
      </w:r>
      <w:r w:rsidR="00F65CC2" w:rsidRPr="00C33A5F">
        <w:rPr>
          <w:rFonts w:ascii="Times New Roman" w:eastAsia="Calibri" w:hAnsi="Times New Roman" w:cs="Times New Roman"/>
          <w:sz w:val="24"/>
          <w:szCs w:val="24"/>
        </w:rPr>
        <w:t xml:space="preserve">fall prevention </w:t>
      </w:r>
      <w:r w:rsidR="00F65CC2">
        <w:rPr>
          <w:rFonts w:ascii="Times New Roman" w:eastAsia="Calibri" w:hAnsi="Times New Roman" w:cs="Times New Roman"/>
          <w:sz w:val="24"/>
          <w:szCs w:val="24"/>
        </w:rPr>
        <w:t xml:space="preserve">programmes </w:t>
      </w:r>
      <w:r w:rsidR="00641378">
        <w:rPr>
          <w:rFonts w:ascii="Times New Roman" w:eastAsia="Calibri" w:hAnsi="Times New Roman" w:cs="Times New Roman"/>
          <w:sz w:val="24"/>
          <w:szCs w:val="24"/>
        </w:rPr>
        <w:t>(Table 3</w:t>
      </w:r>
      <w:r w:rsidR="001F244E" w:rsidRPr="00C33A5F">
        <w:rPr>
          <w:rFonts w:ascii="Times New Roman" w:eastAsia="Calibri" w:hAnsi="Times New Roman" w:cs="Times New Roman"/>
          <w:sz w:val="24"/>
          <w:szCs w:val="24"/>
        </w:rPr>
        <w:t>)</w:t>
      </w:r>
      <w:r w:rsidR="00DB4CCD" w:rsidRPr="00C33A5F">
        <w:rPr>
          <w:rFonts w:ascii="Times New Roman" w:eastAsia="Calibri" w:hAnsi="Times New Roman" w:cs="Times New Roman"/>
          <w:sz w:val="24"/>
          <w:szCs w:val="24"/>
        </w:rPr>
        <w:t>.</w:t>
      </w:r>
      <w:r w:rsidR="00535107" w:rsidRPr="00C33A5F">
        <w:rPr>
          <w:rFonts w:ascii="Times New Roman" w:eastAsia="Calibri" w:hAnsi="Times New Roman" w:cs="Times New Roman"/>
          <w:sz w:val="24"/>
          <w:szCs w:val="24"/>
        </w:rPr>
        <w:t xml:space="preserve"> </w:t>
      </w:r>
    </w:p>
    <w:p w14:paraId="4313916D" w14:textId="77777777" w:rsidR="00201E8F" w:rsidRPr="00C33A5F" w:rsidRDefault="00641378" w:rsidP="00201E8F">
      <w:pPr>
        <w:spacing w:after="0"/>
        <w:rPr>
          <w:rFonts w:ascii="Times New Roman" w:hAnsi="Times New Roman" w:cs="Times New Roman"/>
          <w:b/>
          <w:sz w:val="24"/>
          <w:szCs w:val="24"/>
        </w:rPr>
      </w:pPr>
      <w:r>
        <w:rPr>
          <w:rFonts w:ascii="Times New Roman" w:hAnsi="Times New Roman" w:cs="Times New Roman"/>
          <w:b/>
          <w:sz w:val="24"/>
          <w:szCs w:val="24"/>
        </w:rPr>
        <w:lastRenderedPageBreak/>
        <w:t>Table 3</w:t>
      </w:r>
      <w:r w:rsidR="00C15653" w:rsidRPr="00C33A5F">
        <w:rPr>
          <w:rFonts w:ascii="Times New Roman" w:hAnsi="Times New Roman" w:cs="Times New Roman"/>
          <w:b/>
          <w:sz w:val="24"/>
          <w:szCs w:val="24"/>
        </w:rPr>
        <w:t>.</w:t>
      </w:r>
      <w:r w:rsidR="00201E8F" w:rsidRPr="00C33A5F">
        <w:rPr>
          <w:rFonts w:ascii="Times New Roman" w:hAnsi="Times New Roman" w:cs="Times New Roman"/>
          <w:b/>
          <w:sz w:val="24"/>
          <w:szCs w:val="24"/>
        </w:rPr>
        <w:t xml:space="preserve"> Characte</w:t>
      </w:r>
      <w:r w:rsidR="001D37C5" w:rsidRPr="00C33A5F">
        <w:rPr>
          <w:rFonts w:ascii="Times New Roman" w:hAnsi="Times New Roman" w:cs="Times New Roman"/>
          <w:b/>
          <w:sz w:val="24"/>
          <w:szCs w:val="24"/>
        </w:rPr>
        <w:t xml:space="preserve">ristics of intervention studies </w:t>
      </w:r>
      <w:r w:rsidR="00201E8F" w:rsidRPr="00C33A5F">
        <w:rPr>
          <w:rFonts w:ascii="Times New Roman" w:hAnsi="Times New Roman" w:cs="Times New Roman"/>
          <w:b/>
          <w:sz w:val="24"/>
          <w:szCs w:val="24"/>
        </w:rPr>
        <w:t>and their main findings</w:t>
      </w:r>
      <w:r w:rsidR="00F84A79">
        <w:rPr>
          <w:rFonts w:ascii="Times New Roman" w:hAnsi="Times New Roman" w:cs="Times New Roman"/>
          <w:b/>
          <w:sz w:val="24"/>
          <w:szCs w:val="24"/>
        </w:rPr>
        <w:t>: non-pharmacological treatments provided after osteoporotic fracture</w:t>
      </w:r>
    </w:p>
    <w:tbl>
      <w:tblPr>
        <w:tblStyle w:val="TableGrid"/>
        <w:tblW w:w="14690" w:type="dxa"/>
        <w:tblLayout w:type="fixed"/>
        <w:tblLook w:val="04A0" w:firstRow="1" w:lastRow="0" w:firstColumn="1" w:lastColumn="0" w:noHBand="0" w:noVBand="1"/>
      </w:tblPr>
      <w:tblGrid>
        <w:gridCol w:w="1970"/>
        <w:gridCol w:w="709"/>
        <w:gridCol w:w="3118"/>
        <w:gridCol w:w="3827"/>
        <w:gridCol w:w="4536"/>
        <w:gridCol w:w="530"/>
      </w:tblGrid>
      <w:tr w:rsidR="00201E8F" w:rsidRPr="00C33A5F" w14:paraId="5E8437DC" w14:textId="77777777" w:rsidTr="00956011">
        <w:trPr>
          <w:trHeight w:val="363"/>
          <w:tblHeader/>
        </w:trPr>
        <w:tc>
          <w:tcPr>
            <w:tcW w:w="1970" w:type="dxa"/>
            <w:tcBorders>
              <w:top w:val="single" w:sz="12" w:space="0" w:color="auto"/>
              <w:left w:val="nil"/>
              <w:bottom w:val="single" w:sz="12" w:space="0" w:color="auto"/>
              <w:right w:val="nil"/>
            </w:tcBorders>
            <w:tcMar>
              <w:top w:w="28" w:type="dxa"/>
              <w:bottom w:w="28" w:type="dxa"/>
            </w:tcMar>
            <w:vAlign w:val="center"/>
          </w:tcPr>
          <w:p w14:paraId="60BED11F" w14:textId="77777777" w:rsidR="00201E8F" w:rsidRPr="00C33A5F" w:rsidRDefault="00201E8F" w:rsidP="00201E8F">
            <w:pPr>
              <w:rPr>
                <w:rFonts w:ascii="Times New Roman" w:eastAsia="Calibri" w:hAnsi="Times New Roman" w:cs="Times New Roman"/>
                <w:b/>
                <w:sz w:val="16"/>
                <w:szCs w:val="16"/>
              </w:rPr>
            </w:pPr>
            <w:r w:rsidRPr="00C33A5F">
              <w:rPr>
                <w:rFonts w:ascii="Times New Roman" w:hAnsi="Times New Roman" w:cs="Times New Roman"/>
                <w:b/>
                <w:sz w:val="16"/>
                <w:szCs w:val="16"/>
              </w:rPr>
              <w:t xml:space="preserve">Authors, Country, </w:t>
            </w:r>
            <w:proofErr w:type="gramStart"/>
            <w:r w:rsidRPr="00C33A5F">
              <w:rPr>
                <w:rFonts w:ascii="Times New Roman" w:hAnsi="Times New Roman" w:cs="Times New Roman"/>
                <w:b/>
                <w:sz w:val="16"/>
                <w:szCs w:val="16"/>
              </w:rPr>
              <w:t>Setting</w:t>
            </w:r>
            <w:proofErr w:type="gramEnd"/>
            <w:r w:rsidRPr="00C33A5F">
              <w:rPr>
                <w:rFonts w:ascii="Times New Roman" w:hAnsi="Times New Roman" w:cs="Times New Roman"/>
                <w:b/>
                <w:sz w:val="16"/>
                <w:szCs w:val="16"/>
              </w:rPr>
              <w:t xml:space="preserve"> if stated</w:t>
            </w:r>
          </w:p>
        </w:tc>
        <w:tc>
          <w:tcPr>
            <w:tcW w:w="709" w:type="dxa"/>
            <w:tcBorders>
              <w:top w:val="single" w:sz="12" w:space="0" w:color="auto"/>
              <w:left w:val="nil"/>
              <w:bottom w:val="single" w:sz="12" w:space="0" w:color="auto"/>
              <w:right w:val="nil"/>
            </w:tcBorders>
            <w:tcMar>
              <w:top w:w="28" w:type="dxa"/>
              <w:bottom w:w="28" w:type="dxa"/>
            </w:tcMar>
            <w:vAlign w:val="center"/>
          </w:tcPr>
          <w:p w14:paraId="136979E4" w14:textId="77777777" w:rsidR="00201E8F" w:rsidRPr="00C33A5F" w:rsidRDefault="001D37C5" w:rsidP="00201E8F">
            <w:pPr>
              <w:rPr>
                <w:rFonts w:ascii="Times New Roman" w:hAnsi="Times New Roman" w:cs="Times New Roman"/>
                <w:b/>
                <w:sz w:val="16"/>
                <w:szCs w:val="16"/>
              </w:rPr>
            </w:pPr>
            <w:r w:rsidRPr="00C33A5F">
              <w:rPr>
                <w:rFonts w:ascii="Times New Roman" w:hAnsi="Times New Roman" w:cs="Times New Roman"/>
                <w:b/>
                <w:sz w:val="16"/>
                <w:szCs w:val="16"/>
              </w:rPr>
              <w:t>Study d</w:t>
            </w:r>
            <w:r w:rsidR="00201E8F" w:rsidRPr="00C33A5F">
              <w:rPr>
                <w:rFonts w:ascii="Times New Roman" w:hAnsi="Times New Roman" w:cs="Times New Roman"/>
                <w:b/>
                <w:sz w:val="16"/>
                <w:szCs w:val="16"/>
              </w:rPr>
              <w:t>esign</w:t>
            </w:r>
          </w:p>
        </w:tc>
        <w:tc>
          <w:tcPr>
            <w:tcW w:w="3118" w:type="dxa"/>
            <w:tcBorders>
              <w:top w:val="single" w:sz="12" w:space="0" w:color="auto"/>
              <w:left w:val="nil"/>
              <w:bottom w:val="single" w:sz="12" w:space="0" w:color="auto"/>
              <w:right w:val="nil"/>
            </w:tcBorders>
            <w:tcMar>
              <w:top w:w="28" w:type="dxa"/>
              <w:bottom w:w="28" w:type="dxa"/>
            </w:tcMar>
            <w:vAlign w:val="center"/>
          </w:tcPr>
          <w:p w14:paraId="5075DB52" w14:textId="77777777" w:rsidR="00201E8F" w:rsidRPr="00C33A5F" w:rsidRDefault="00607249" w:rsidP="00201E8F">
            <w:pPr>
              <w:rPr>
                <w:rFonts w:ascii="Times New Roman" w:eastAsia="Calibri" w:hAnsi="Times New Roman" w:cs="Times New Roman"/>
                <w:b/>
                <w:sz w:val="16"/>
                <w:szCs w:val="16"/>
              </w:rPr>
            </w:pPr>
            <w:r>
              <w:rPr>
                <w:rFonts w:ascii="Times New Roman" w:hAnsi="Times New Roman" w:cs="Times New Roman"/>
                <w:b/>
                <w:sz w:val="16"/>
                <w:szCs w:val="16"/>
              </w:rPr>
              <w:t xml:space="preserve">Population characteristics; </w:t>
            </w:r>
            <w:r w:rsidR="00201E8F" w:rsidRPr="00C33A5F">
              <w:rPr>
                <w:rFonts w:ascii="Times New Roman" w:hAnsi="Times New Roman" w:cs="Times New Roman"/>
                <w:b/>
                <w:sz w:val="16"/>
                <w:szCs w:val="16"/>
              </w:rPr>
              <w:t>No of participants for outcomes of interest</w:t>
            </w:r>
          </w:p>
        </w:tc>
        <w:tc>
          <w:tcPr>
            <w:tcW w:w="3827" w:type="dxa"/>
            <w:tcBorders>
              <w:top w:val="single" w:sz="12" w:space="0" w:color="auto"/>
              <w:left w:val="nil"/>
              <w:bottom w:val="single" w:sz="12" w:space="0" w:color="auto"/>
              <w:right w:val="nil"/>
            </w:tcBorders>
            <w:tcMar>
              <w:top w:w="28" w:type="dxa"/>
              <w:bottom w:w="28" w:type="dxa"/>
            </w:tcMar>
            <w:vAlign w:val="center"/>
          </w:tcPr>
          <w:p w14:paraId="546BBB2B" w14:textId="77777777" w:rsidR="00201E8F" w:rsidRPr="00C33A5F" w:rsidRDefault="00F84A79" w:rsidP="00201E8F">
            <w:pPr>
              <w:rPr>
                <w:rFonts w:ascii="Times New Roman" w:eastAsia="Calibri" w:hAnsi="Times New Roman" w:cs="Times New Roman"/>
                <w:b/>
                <w:sz w:val="16"/>
                <w:szCs w:val="16"/>
              </w:rPr>
            </w:pPr>
            <w:r>
              <w:rPr>
                <w:rFonts w:ascii="Times New Roman" w:hAnsi="Times New Roman" w:cs="Times New Roman"/>
                <w:b/>
                <w:sz w:val="16"/>
                <w:szCs w:val="16"/>
              </w:rPr>
              <w:t>Intervention; h</w:t>
            </w:r>
            <w:r w:rsidR="00201E8F" w:rsidRPr="00C33A5F">
              <w:rPr>
                <w:rFonts w:ascii="Times New Roman" w:hAnsi="Times New Roman" w:cs="Times New Roman"/>
                <w:b/>
                <w:sz w:val="16"/>
                <w:szCs w:val="16"/>
              </w:rPr>
              <w:t>ealth care professional if stated</w:t>
            </w:r>
          </w:p>
        </w:tc>
        <w:tc>
          <w:tcPr>
            <w:tcW w:w="4536" w:type="dxa"/>
            <w:tcBorders>
              <w:top w:val="single" w:sz="12" w:space="0" w:color="auto"/>
              <w:left w:val="nil"/>
              <w:bottom w:val="single" w:sz="12" w:space="0" w:color="auto"/>
              <w:right w:val="nil"/>
            </w:tcBorders>
            <w:tcMar>
              <w:top w:w="28" w:type="dxa"/>
              <w:bottom w:w="28" w:type="dxa"/>
            </w:tcMar>
            <w:vAlign w:val="center"/>
          </w:tcPr>
          <w:p w14:paraId="43F84D6B" w14:textId="77777777" w:rsidR="00201E8F" w:rsidRPr="00C33A5F" w:rsidRDefault="00201E8F" w:rsidP="00201E8F">
            <w:pPr>
              <w:spacing w:line="480" w:lineRule="auto"/>
              <w:rPr>
                <w:rFonts w:ascii="Times New Roman" w:eastAsia="Calibri" w:hAnsi="Times New Roman" w:cs="Times New Roman"/>
                <w:b/>
                <w:sz w:val="16"/>
                <w:szCs w:val="16"/>
              </w:rPr>
            </w:pPr>
            <w:r w:rsidRPr="00C33A5F">
              <w:rPr>
                <w:rFonts w:ascii="Times New Roman" w:eastAsia="Calibri" w:hAnsi="Times New Roman" w:cs="Times New Roman"/>
                <w:b/>
                <w:sz w:val="16"/>
                <w:szCs w:val="16"/>
              </w:rPr>
              <w:t xml:space="preserve">Main findings </w:t>
            </w:r>
          </w:p>
        </w:tc>
        <w:tc>
          <w:tcPr>
            <w:tcW w:w="530" w:type="dxa"/>
            <w:tcBorders>
              <w:top w:val="single" w:sz="12" w:space="0" w:color="auto"/>
              <w:left w:val="nil"/>
              <w:bottom w:val="single" w:sz="12" w:space="0" w:color="auto"/>
              <w:right w:val="nil"/>
            </w:tcBorders>
            <w:tcMar>
              <w:top w:w="28" w:type="dxa"/>
              <w:bottom w:w="28" w:type="dxa"/>
            </w:tcMar>
            <w:vAlign w:val="center"/>
          </w:tcPr>
          <w:p w14:paraId="27BED1D2" w14:textId="77777777" w:rsidR="00201E8F" w:rsidRPr="00C33A5F" w:rsidRDefault="00201E8F" w:rsidP="00201E8F">
            <w:pPr>
              <w:spacing w:line="480" w:lineRule="auto"/>
              <w:rPr>
                <w:rFonts w:ascii="Times New Roman" w:eastAsia="Calibri" w:hAnsi="Times New Roman" w:cs="Times New Roman"/>
                <w:b/>
                <w:sz w:val="16"/>
                <w:szCs w:val="16"/>
              </w:rPr>
            </w:pPr>
            <w:proofErr w:type="spellStart"/>
            <w:r w:rsidRPr="00C33A5F">
              <w:rPr>
                <w:rFonts w:ascii="Times New Roman" w:hAnsi="Times New Roman" w:cs="Times New Roman"/>
                <w:b/>
                <w:sz w:val="16"/>
                <w:szCs w:val="16"/>
              </w:rPr>
              <w:t>LoE</w:t>
            </w:r>
            <w:proofErr w:type="spellEnd"/>
          </w:p>
        </w:tc>
      </w:tr>
      <w:tr w:rsidR="00201E8F" w:rsidRPr="00C33A5F" w14:paraId="24365B64" w14:textId="77777777" w:rsidTr="00956011">
        <w:trPr>
          <w:trHeight w:val="96"/>
        </w:trPr>
        <w:tc>
          <w:tcPr>
            <w:tcW w:w="14690" w:type="dxa"/>
            <w:gridSpan w:val="6"/>
            <w:tcBorders>
              <w:top w:val="single" w:sz="12" w:space="0" w:color="auto"/>
              <w:left w:val="nil"/>
              <w:bottom w:val="single" w:sz="12" w:space="0" w:color="auto"/>
              <w:right w:val="nil"/>
            </w:tcBorders>
            <w:shd w:val="clear" w:color="auto" w:fill="D9D9D9" w:themeFill="background1" w:themeFillShade="D9"/>
            <w:tcMar>
              <w:top w:w="28" w:type="dxa"/>
              <w:bottom w:w="28" w:type="dxa"/>
            </w:tcMar>
            <w:vAlign w:val="center"/>
          </w:tcPr>
          <w:p w14:paraId="115FD335" w14:textId="77777777" w:rsidR="00201E8F" w:rsidRPr="008B435D" w:rsidRDefault="00F65CC2" w:rsidP="00F65CC2">
            <w:pPr>
              <w:rPr>
                <w:rFonts w:ascii="Times New Roman" w:eastAsia="Calibri" w:hAnsi="Times New Roman" w:cs="Times New Roman"/>
                <w:b/>
                <w:sz w:val="16"/>
                <w:szCs w:val="16"/>
              </w:rPr>
            </w:pPr>
            <w:proofErr w:type="spellStart"/>
            <w:r>
              <w:rPr>
                <w:rFonts w:ascii="Times New Roman" w:eastAsia="Calibri" w:hAnsi="Times New Roman" w:cs="Times New Roman"/>
                <w:b/>
                <w:sz w:val="16"/>
                <w:szCs w:val="16"/>
              </w:rPr>
              <w:t>i</w:t>
            </w:r>
            <w:proofErr w:type="spellEnd"/>
            <w:r>
              <w:rPr>
                <w:rFonts w:ascii="Times New Roman" w:eastAsia="Calibri" w:hAnsi="Times New Roman" w:cs="Times New Roman"/>
                <w:b/>
                <w:sz w:val="16"/>
                <w:szCs w:val="16"/>
              </w:rPr>
              <w:t>)</w:t>
            </w:r>
            <w:r w:rsidR="00201E8F" w:rsidRPr="008B435D">
              <w:rPr>
                <w:rFonts w:ascii="Times New Roman" w:eastAsia="Calibri" w:hAnsi="Times New Roman" w:cs="Times New Roman"/>
                <w:b/>
                <w:sz w:val="16"/>
                <w:szCs w:val="16"/>
              </w:rPr>
              <w:t>Exercise</w:t>
            </w:r>
          </w:p>
        </w:tc>
      </w:tr>
      <w:tr w:rsidR="00201E8F" w:rsidRPr="00C33A5F" w14:paraId="10534659" w14:textId="77777777" w:rsidTr="00956011">
        <w:trPr>
          <w:trHeight w:val="221"/>
        </w:trPr>
        <w:tc>
          <w:tcPr>
            <w:tcW w:w="1970" w:type="dxa"/>
            <w:tcBorders>
              <w:top w:val="single" w:sz="12" w:space="0" w:color="auto"/>
              <w:left w:val="nil"/>
              <w:right w:val="nil"/>
            </w:tcBorders>
            <w:tcMar>
              <w:top w:w="28" w:type="dxa"/>
              <w:bottom w:w="28" w:type="dxa"/>
            </w:tcMar>
            <w:vAlign w:val="center"/>
          </w:tcPr>
          <w:p w14:paraId="545CDB93" w14:textId="77777777" w:rsidR="00201E8F" w:rsidRPr="00C33A5F" w:rsidRDefault="004169A5" w:rsidP="00201E8F">
            <w:pPr>
              <w:rPr>
                <w:rFonts w:ascii="Times New Roman" w:eastAsia="Times New Roman" w:hAnsi="Times New Roman" w:cs="Times New Roman"/>
                <w:color w:val="000000"/>
                <w:sz w:val="16"/>
                <w:szCs w:val="16"/>
                <w:lang w:eastAsia="en-GB"/>
              </w:rPr>
            </w:pPr>
            <w:proofErr w:type="spellStart"/>
            <w:r>
              <w:rPr>
                <w:rFonts w:ascii="Times New Roman" w:eastAsia="Times New Roman" w:hAnsi="Times New Roman" w:cs="Times New Roman"/>
                <w:color w:val="000000"/>
                <w:sz w:val="16"/>
                <w:szCs w:val="16"/>
                <w:lang w:eastAsia="en-GB"/>
              </w:rPr>
              <w:t>Diong</w:t>
            </w:r>
            <w:proofErr w:type="spellEnd"/>
            <w:r>
              <w:rPr>
                <w:rFonts w:ascii="Times New Roman" w:eastAsia="Times New Roman" w:hAnsi="Times New Roman" w:cs="Times New Roman"/>
                <w:color w:val="000000"/>
                <w:sz w:val="16"/>
                <w:szCs w:val="16"/>
                <w:lang w:eastAsia="en-GB"/>
              </w:rPr>
              <w:t xml:space="preserve"> </w:t>
            </w:r>
            <w:proofErr w:type="gramStart"/>
            <w:r>
              <w:rPr>
                <w:rFonts w:ascii="Times New Roman" w:eastAsia="Times New Roman" w:hAnsi="Times New Roman" w:cs="Times New Roman"/>
                <w:color w:val="000000"/>
                <w:sz w:val="16"/>
                <w:szCs w:val="16"/>
                <w:lang w:eastAsia="en-GB"/>
              </w:rPr>
              <w:t>et al.[</w:t>
            </w:r>
            <w:proofErr w:type="gramEnd"/>
            <w:r>
              <w:rPr>
                <w:rFonts w:ascii="Times New Roman" w:eastAsia="Times New Roman" w:hAnsi="Times New Roman" w:cs="Times New Roman"/>
                <w:color w:val="000000"/>
                <w:sz w:val="16"/>
                <w:szCs w:val="16"/>
                <w:lang w:eastAsia="en-GB"/>
              </w:rPr>
              <w:t>39]</w:t>
            </w:r>
            <w:r w:rsidR="00201E8F" w:rsidRPr="00C33A5F">
              <w:rPr>
                <w:rFonts w:ascii="Times New Roman" w:eastAsia="Times New Roman" w:hAnsi="Times New Roman" w:cs="Times New Roman"/>
                <w:color w:val="000000"/>
                <w:sz w:val="16"/>
                <w:szCs w:val="16"/>
                <w:lang w:eastAsia="en-GB"/>
              </w:rPr>
              <w:t xml:space="preserve">, </w:t>
            </w:r>
          </w:p>
          <w:p w14:paraId="096084DA" w14:textId="77777777" w:rsidR="00201E8F" w:rsidRPr="00C33A5F" w:rsidRDefault="00201E8F" w:rsidP="00201E8F">
            <w:pPr>
              <w:rPr>
                <w:rFonts w:ascii="Times New Roman" w:eastAsia="Times New Roman" w:hAnsi="Times New Roman" w:cs="Times New Roman"/>
                <w:color w:val="000000"/>
                <w:sz w:val="16"/>
                <w:szCs w:val="16"/>
                <w:lang w:eastAsia="en-GB"/>
              </w:rPr>
            </w:pPr>
            <w:r w:rsidRPr="00C33A5F">
              <w:rPr>
                <w:rFonts w:ascii="Times New Roman" w:eastAsia="Times New Roman" w:hAnsi="Times New Roman" w:cs="Times New Roman"/>
                <w:color w:val="000000"/>
                <w:sz w:val="16"/>
                <w:szCs w:val="16"/>
                <w:lang w:eastAsia="en-GB"/>
              </w:rPr>
              <w:t>hospital &amp; community</w:t>
            </w:r>
          </w:p>
        </w:tc>
        <w:tc>
          <w:tcPr>
            <w:tcW w:w="709" w:type="dxa"/>
            <w:tcBorders>
              <w:top w:val="single" w:sz="12" w:space="0" w:color="auto"/>
              <w:left w:val="nil"/>
              <w:right w:val="nil"/>
            </w:tcBorders>
            <w:tcMar>
              <w:top w:w="28" w:type="dxa"/>
              <w:bottom w:w="28" w:type="dxa"/>
            </w:tcMar>
            <w:vAlign w:val="center"/>
          </w:tcPr>
          <w:p w14:paraId="56D548A1"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MA</w:t>
            </w:r>
          </w:p>
        </w:tc>
        <w:tc>
          <w:tcPr>
            <w:tcW w:w="3118" w:type="dxa"/>
            <w:tcBorders>
              <w:top w:val="single" w:sz="12" w:space="0" w:color="auto"/>
              <w:left w:val="nil"/>
              <w:right w:val="nil"/>
            </w:tcBorders>
            <w:tcMar>
              <w:top w:w="28" w:type="dxa"/>
              <w:bottom w:w="28" w:type="dxa"/>
            </w:tcMar>
            <w:vAlign w:val="center"/>
          </w:tcPr>
          <w:p w14:paraId="4F50337C"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 xml:space="preserve">Patients after HF surgery;  </w:t>
            </w:r>
          </w:p>
          <w:p w14:paraId="52D40492"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13 studies (N=1903)</w:t>
            </w:r>
          </w:p>
        </w:tc>
        <w:tc>
          <w:tcPr>
            <w:tcW w:w="3827" w:type="dxa"/>
            <w:tcBorders>
              <w:top w:val="single" w:sz="12" w:space="0" w:color="auto"/>
              <w:left w:val="nil"/>
              <w:right w:val="nil"/>
            </w:tcBorders>
            <w:tcMar>
              <w:top w:w="28" w:type="dxa"/>
              <w:bottom w:w="28" w:type="dxa"/>
            </w:tcMar>
            <w:vAlign w:val="center"/>
          </w:tcPr>
          <w:p w14:paraId="2AC03DCA"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 xml:space="preserve">Structured exercise, mean (SD) dose 37 (31) hr </w:t>
            </w:r>
          </w:p>
        </w:tc>
        <w:tc>
          <w:tcPr>
            <w:tcW w:w="4536" w:type="dxa"/>
            <w:tcBorders>
              <w:top w:val="single" w:sz="12" w:space="0" w:color="auto"/>
              <w:left w:val="nil"/>
              <w:right w:val="nil"/>
            </w:tcBorders>
            <w:tcMar>
              <w:top w:w="28" w:type="dxa"/>
              <w:bottom w:w="28" w:type="dxa"/>
            </w:tcMar>
            <w:vAlign w:val="center"/>
          </w:tcPr>
          <w:p w14:paraId="2C0F45AD"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 xml:space="preserve">Overall mobility was significantly better in the IG vs CG at 12 (6) </w:t>
            </w:r>
            <w:proofErr w:type="spellStart"/>
            <w:r w:rsidRPr="00C33A5F">
              <w:rPr>
                <w:rFonts w:ascii="Times New Roman" w:eastAsia="Calibri" w:hAnsi="Times New Roman" w:cs="Times New Roman"/>
                <w:sz w:val="16"/>
                <w:szCs w:val="16"/>
              </w:rPr>
              <w:t>wks</w:t>
            </w:r>
            <w:proofErr w:type="spellEnd"/>
            <w:r w:rsidRPr="00C33A5F">
              <w:rPr>
                <w:rFonts w:ascii="Times New Roman" w:eastAsia="Calibri" w:hAnsi="Times New Roman" w:cs="Times New Roman"/>
                <w:sz w:val="16"/>
                <w:szCs w:val="16"/>
              </w:rPr>
              <w:t xml:space="preserve"> (SMD=</w:t>
            </w:r>
            <w:r w:rsidRPr="00C33A5F">
              <w:rPr>
                <w:rFonts w:ascii="Times New Roman" w:hAnsi="Times New Roman" w:cs="Times New Roman"/>
                <w:sz w:val="16"/>
                <w:szCs w:val="16"/>
              </w:rPr>
              <w:t>0.35; 95%CI 0.12 to 0.58). Larger effects with PRE</w:t>
            </w:r>
          </w:p>
        </w:tc>
        <w:tc>
          <w:tcPr>
            <w:tcW w:w="530" w:type="dxa"/>
            <w:tcBorders>
              <w:top w:val="single" w:sz="12" w:space="0" w:color="auto"/>
              <w:left w:val="nil"/>
              <w:right w:val="nil"/>
            </w:tcBorders>
            <w:tcMar>
              <w:top w:w="28" w:type="dxa"/>
              <w:bottom w:w="28" w:type="dxa"/>
            </w:tcMar>
            <w:vAlign w:val="center"/>
          </w:tcPr>
          <w:p w14:paraId="60F0C8C6" w14:textId="77777777" w:rsidR="00201E8F" w:rsidRPr="00C33A5F" w:rsidRDefault="00201E8F" w:rsidP="00201E8F">
            <w:pPr>
              <w:jc w:val="center"/>
              <w:rPr>
                <w:rFonts w:ascii="Times New Roman" w:eastAsia="Calibri" w:hAnsi="Times New Roman" w:cs="Times New Roman"/>
                <w:sz w:val="16"/>
                <w:szCs w:val="16"/>
              </w:rPr>
            </w:pPr>
            <w:r w:rsidRPr="00C33A5F">
              <w:rPr>
                <w:rFonts w:ascii="Times New Roman" w:eastAsia="Calibri" w:hAnsi="Times New Roman" w:cs="Times New Roman"/>
                <w:sz w:val="16"/>
                <w:szCs w:val="16"/>
              </w:rPr>
              <w:t>1</w:t>
            </w:r>
          </w:p>
        </w:tc>
      </w:tr>
      <w:tr w:rsidR="00201E8F" w:rsidRPr="00C33A5F" w14:paraId="390BE6A9" w14:textId="77777777" w:rsidTr="00956011">
        <w:trPr>
          <w:trHeight w:val="388"/>
        </w:trPr>
        <w:tc>
          <w:tcPr>
            <w:tcW w:w="1970" w:type="dxa"/>
            <w:tcBorders>
              <w:left w:val="nil"/>
              <w:right w:val="nil"/>
            </w:tcBorders>
            <w:tcMar>
              <w:top w:w="28" w:type="dxa"/>
              <w:bottom w:w="28" w:type="dxa"/>
            </w:tcMar>
            <w:vAlign w:val="center"/>
          </w:tcPr>
          <w:p w14:paraId="65BE85D1" w14:textId="77777777" w:rsidR="00201E8F" w:rsidRPr="00C33A5F" w:rsidRDefault="00201E8F" w:rsidP="00201E8F">
            <w:pPr>
              <w:rPr>
                <w:rFonts w:ascii="Times New Roman" w:eastAsia="Times New Roman" w:hAnsi="Times New Roman" w:cs="Times New Roman"/>
                <w:color w:val="000000"/>
                <w:sz w:val="16"/>
                <w:szCs w:val="16"/>
                <w:lang w:eastAsia="en-GB"/>
              </w:rPr>
            </w:pPr>
            <w:r w:rsidRPr="00C33A5F">
              <w:rPr>
                <w:rFonts w:ascii="Times New Roman" w:eastAsia="Times New Roman" w:hAnsi="Times New Roman" w:cs="Times New Roman"/>
                <w:color w:val="000000"/>
                <w:sz w:val="16"/>
                <w:szCs w:val="16"/>
                <w:lang w:eastAsia="en-GB"/>
              </w:rPr>
              <w:t xml:space="preserve">Lee </w:t>
            </w:r>
            <w:proofErr w:type="gramStart"/>
            <w:r w:rsidRPr="00C33A5F">
              <w:rPr>
                <w:rFonts w:ascii="Times New Roman" w:eastAsia="Times New Roman" w:hAnsi="Times New Roman" w:cs="Times New Roman"/>
                <w:color w:val="000000"/>
                <w:sz w:val="16"/>
                <w:szCs w:val="16"/>
                <w:lang w:eastAsia="en-GB"/>
              </w:rPr>
              <w:t>et al.</w:t>
            </w:r>
            <w:r w:rsidR="004169A5">
              <w:rPr>
                <w:rFonts w:ascii="Times New Roman" w:eastAsia="Times New Roman" w:hAnsi="Times New Roman" w:cs="Times New Roman"/>
                <w:color w:val="000000"/>
                <w:sz w:val="16"/>
                <w:szCs w:val="16"/>
                <w:lang w:eastAsia="en-GB"/>
              </w:rPr>
              <w:t>[</w:t>
            </w:r>
            <w:proofErr w:type="gramEnd"/>
            <w:r w:rsidR="004169A5">
              <w:rPr>
                <w:rFonts w:ascii="Times New Roman" w:eastAsia="Times New Roman" w:hAnsi="Times New Roman" w:cs="Times New Roman"/>
                <w:color w:val="000000"/>
                <w:sz w:val="16"/>
                <w:szCs w:val="16"/>
                <w:lang w:eastAsia="en-GB"/>
              </w:rPr>
              <w:t>40]</w:t>
            </w:r>
            <w:r w:rsidRPr="00C33A5F">
              <w:rPr>
                <w:rFonts w:ascii="Times New Roman" w:eastAsia="Times New Roman" w:hAnsi="Times New Roman" w:cs="Times New Roman"/>
                <w:color w:val="000000"/>
                <w:sz w:val="16"/>
                <w:szCs w:val="16"/>
                <w:lang w:eastAsia="en-GB"/>
              </w:rPr>
              <w:t>, hospital &amp; community</w:t>
            </w:r>
          </w:p>
        </w:tc>
        <w:tc>
          <w:tcPr>
            <w:tcW w:w="709" w:type="dxa"/>
            <w:tcBorders>
              <w:left w:val="nil"/>
              <w:right w:val="nil"/>
            </w:tcBorders>
            <w:tcMar>
              <w:top w:w="28" w:type="dxa"/>
              <w:bottom w:w="28" w:type="dxa"/>
            </w:tcMar>
            <w:vAlign w:val="center"/>
          </w:tcPr>
          <w:p w14:paraId="592099B0"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MA</w:t>
            </w:r>
          </w:p>
        </w:tc>
        <w:tc>
          <w:tcPr>
            <w:tcW w:w="3118" w:type="dxa"/>
            <w:tcBorders>
              <w:left w:val="nil"/>
              <w:right w:val="nil"/>
            </w:tcBorders>
            <w:tcMar>
              <w:top w:w="28" w:type="dxa"/>
              <w:bottom w:w="28" w:type="dxa"/>
            </w:tcMar>
            <w:vAlign w:val="center"/>
          </w:tcPr>
          <w:p w14:paraId="52B4CAF4"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 xml:space="preserve">Patients after HF surgery;  </w:t>
            </w:r>
          </w:p>
          <w:p w14:paraId="7CDAE08F"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6 studies (N=420)</w:t>
            </w:r>
          </w:p>
        </w:tc>
        <w:tc>
          <w:tcPr>
            <w:tcW w:w="3827" w:type="dxa"/>
            <w:tcBorders>
              <w:left w:val="nil"/>
              <w:right w:val="nil"/>
            </w:tcBorders>
            <w:tcMar>
              <w:top w:w="28" w:type="dxa"/>
              <w:bottom w:w="28" w:type="dxa"/>
            </w:tcMar>
            <w:vAlign w:val="center"/>
          </w:tcPr>
          <w:p w14:paraId="73E5B9B1"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Progressive resistive exercise</w:t>
            </w:r>
          </w:p>
        </w:tc>
        <w:tc>
          <w:tcPr>
            <w:tcW w:w="4536" w:type="dxa"/>
            <w:tcBorders>
              <w:left w:val="nil"/>
              <w:right w:val="nil"/>
            </w:tcBorders>
            <w:tcMar>
              <w:top w:w="28" w:type="dxa"/>
              <w:bottom w:w="28" w:type="dxa"/>
            </w:tcMar>
            <w:vAlign w:val="center"/>
          </w:tcPr>
          <w:p w14:paraId="4F11C34C"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 xml:space="preserve">Significant improvement in overall mobility in IG compared to CG </w:t>
            </w:r>
            <w:r w:rsidRPr="00C33A5F">
              <w:rPr>
                <w:rFonts w:ascii="Times New Roman" w:hAnsi="Times New Roman" w:cs="Times New Roman"/>
                <w:sz w:val="16"/>
                <w:szCs w:val="16"/>
              </w:rPr>
              <w:t>(SMD=0.501; 95%CI 0.297-0.705; p &lt; .001)</w:t>
            </w:r>
          </w:p>
        </w:tc>
        <w:tc>
          <w:tcPr>
            <w:tcW w:w="530" w:type="dxa"/>
            <w:tcBorders>
              <w:left w:val="nil"/>
              <w:right w:val="nil"/>
            </w:tcBorders>
            <w:tcMar>
              <w:top w:w="28" w:type="dxa"/>
              <w:bottom w:w="28" w:type="dxa"/>
            </w:tcMar>
            <w:vAlign w:val="center"/>
          </w:tcPr>
          <w:p w14:paraId="777E0828" w14:textId="77777777" w:rsidR="00201E8F" w:rsidRPr="00C33A5F" w:rsidRDefault="00201E8F" w:rsidP="00201E8F">
            <w:pPr>
              <w:jc w:val="center"/>
              <w:rPr>
                <w:rFonts w:ascii="Times New Roman" w:eastAsia="Calibri" w:hAnsi="Times New Roman" w:cs="Times New Roman"/>
                <w:sz w:val="16"/>
                <w:szCs w:val="16"/>
              </w:rPr>
            </w:pPr>
            <w:r w:rsidRPr="00C33A5F">
              <w:rPr>
                <w:rFonts w:ascii="Times New Roman" w:eastAsia="Calibri" w:hAnsi="Times New Roman" w:cs="Times New Roman"/>
                <w:sz w:val="16"/>
                <w:szCs w:val="16"/>
              </w:rPr>
              <w:t>1</w:t>
            </w:r>
          </w:p>
        </w:tc>
      </w:tr>
      <w:tr w:rsidR="00201E8F" w:rsidRPr="00C33A5F" w14:paraId="12ADA1E5" w14:textId="77777777" w:rsidTr="00956011">
        <w:trPr>
          <w:trHeight w:val="388"/>
        </w:trPr>
        <w:tc>
          <w:tcPr>
            <w:tcW w:w="1970" w:type="dxa"/>
            <w:tcBorders>
              <w:left w:val="nil"/>
              <w:right w:val="nil"/>
            </w:tcBorders>
            <w:tcMar>
              <w:top w:w="28" w:type="dxa"/>
              <w:bottom w:w="28" w:type="dxa"/>
            </w:tcMar>
            <w:vAlign w:val="center"/>
          </w:tcPr>
          <w:p w14:paraId="189CAC40" w14:textId="77777777" w:rsidR="00201E8F" w:rsidRPr="008B435D" w:rsidRDefault="00201E8F" w:rsidP="00201E8F">
            <w:pPr>
              <w:rPr>
                <w:rFonts w:ascii="Times New Roman" w:eastAsia="Times New Roman" w:hAnsi="Times New Roman" w:cs="Times New Roman"/>
                <w:color w:val="000000"/>
                <w:sz w:val="16"/>
                <w:szCs w:val="16"/>
                <w:lang w:val="de-AT" w:eastAsia="en-GB"/>
              </w:rPr>
            </w:pPr>
            <w:r w:rsidRPr="008B435D">
              <w:rPr>
                <w:rFonts w:ascii="Times New Roman" w:hAnsi="Times New Roman" w:cs="Times New Roman"/>
                <w:sz w:val="16"/>
                <w:szCs w:val="16"/>
                <w:lang w:val="de-AT"/>
              </w:rPr>
              <w:t>Kronborg et al.</w:t>
            </w:r>
            <w:r w:rsidR="004169A5" w:rsidRPr="008B435D">
              <w:rPr>
                <w:rFonts w:ascii="Times New Roman" w:hAnsi="Times New Roman" w:cs="Times New Roman"/>
                <w:sz w:val="16"/>
                <w:szCs w:val="16"/>
                <w:lang w:val="de-AT"/>
              </w:rPr>
              <w:t>[28]</w:t>
            </w:r>
            <w:r w:rsidRPr="008B435D">
              <w:rPr>
                <w:rFonts w:ascii="Times New Roman" w:hAnsi="Times New Roman" w:cs="Times New Roman"/>
                <w:sz w:val="16"/>
                <w:szCs w:val="16"/>
                <w:lang w:val="de-AT"/>
              </w:rPr>
              <w:t>, Denmark, inpatients</w:t>
            </w:r>
          </w:p>
        </w:tc>
        <w:tc>
          <w:tcPr>
            <w:tcW w:w="709" w:type="dxa"/>
            <w:tcBorders>
              <w:left w:val="nil"/>
              <w:right w:val="nil"/>
            </w:tcBorders>
            <w:tcMar>
              <w:top w:w="28" w:type="dxa"/>
              <w:bottom w:w="28" w:type="dxa"/>
            </w:tcMar>
            <w:vAlign w:val="center"/>
          </w:tcPr>
          <w:p w14:paraId="4D88D855"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RCT</w:t>
            </w:r>
          </w:p>
        </w:tc>
        <w:tc>
          <w:tcPr>
            <w:tcW w:w="3118" w:type="dxa"/>
            <w:tcBorders>
              <w:left w:val="nil"/>
              <w:right w:val="nil"/>
            </w:tcBorders>
            <w:tcMar>
              <w:top w:w="28" w:type="dxa"/>
              <w:bottom w:w="28" w:type="dxa"/>
            </w:tcMar>
            <w:vAlign w:val="center"/>
          </w:tcPr>
          <w:p w14:paraId="15E020DA"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 xml:space="preserve">Patients after HF surgery </w:t>
            </w:r>
          </w:p>
          <w:p w14:paraId="52591B38" w14:textId="77777777" w:rsidR="00201E8F" w:rsidRPr="00C33A5F" w:rsidRDefault="00201E8F" w:rsidP="00F01BD8">
            <w:pPr>
              <w:tabs>
                <w:tab w:val="left" w:pos="1755"/>
              </w:tabs>
              <w:rPr>
                <w:rFonts w:ascii="Times New Roman" w:eastAsia="Calibri" w:hAnsi="Times New Roman" w:cs="Times New Roman"/>
                <w:sz w:val="16"/>
                <w:szCs w:val="16"/>
              </w:rPr>
            </w:pPr>
            <w:r w:rsidRPr="00C33A5F">
              <w:rPr>
                <w:rFonts w:ascii="Times New Roman" w:eastAsia="Calibri" w:hAnsi="Times New Roman" w:cs="Times New Roman"/>
                <w:sz w:val="16"/>
                <w:szCs w:val="16"/>
              </w:rPr>
              <w:t>1.</w:t>
            </w:r>
            <w:r w:rsidR="00A277FF" w:rsidRPr="00C33A5F">
              <w:rPr>
                <w:rFonts w:ascii="Times New Roman" w:eastAsia="Calibri" w:hAnsi="Times New Roman" w:cs="Times New Roman"/>
                <w:sz w:val="16"/>
                <w:szCs w:val="16"/>
              </w:rPr>
              <w:t xml:space="preserve"> </w:t>
            </w:r>
            <w:r w:rsidR="00F01BD8">
              <w:rPr>
                <w:rFonts w:ascii="Times New Roman" w:eastAsia="Calibri" w:hAnsi="Times New Roman" w:cs="Times New Roman"/>
                <w:sz w:val="16"/>
                <w:szCs w:val="16"/>
              </w:rPr>
              <w:t xml:space="preserve">Group 1 (N= 45); </w:t>
            </w:r>
            <w:r w:rsidRPr="00C33A5F">
              <w:rPr>
                <w:rFonts w:ascii="Times New Roman" w:eastAsia="Calibri" w:hAnsi="Times New Roman" w:cs="Times New Roman"/>
                <w:sz w:val="16"/>
                <w:szCs w:val="16"/>
              </w:rPr>
              <w:t>2.</w:t>
            </w:r>
            <w:r w:rsidR="00A277FF" w:rsidRPr="00C33A5F">
              <w:rPr>
                <w:rFonts w:ascii="Times New Roman" w:eastAsia="Calibri" w:hAnsi="Times New Roman" w:cs="Times New Roman"/>
                <w:sz w:val="16"/>
                <w:szCs w:val="16"/>
              </w:rPr>
              <w:t xml:space="preserve"> </w:t>
            </w:r>
            <w:r w:rsidRPr="00C33A5F">
              <w:rPr>
                <w:rFonts w:ascii="Times New Roman" w:eastAsia="Calibri" w:hAnsi="Times New Roman" w:cs="Times New Roman"/>
                <w:sz w:val="16"/>
                <w:szCs w:val="16"/>
              </w:rPr>
              <w:t>Group 2 (N=45)</w:t>
            </w:r>
          </w:p>
        </w:tc>
        <w:tc>
          <w:tcPr>
            <w:tcW w:w="3827" w:type="dxa"/>
            <w:tcBorders>
              <w:left w:val="nil"/>
              <w:right w:val="nil"/>
            </w:tcBorders>
            <w:tcMar>
              <w:top w:w="28" w:type="dxa"/>
              <w:bottom w:w="28" w:type="dxa"/>
            </w:tcMar>
            <w:vAlign w:val="center"/>
          </w:tcPr>
          <w:p w14:paraId="3F760CE2"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1.</w:t>
            </w:r>
            <w:r w:rsidR="00A277FF" w:rsidRPr="00C33A5F">
              <w:rPr>
                <w:rFonts w:ascii="Times New Roman" w:eastAsia="Calibri" w:hAnsi="Times New Roman" w:cs="Times New Roman"/>
                <w:sz w:val="16"/>
                <w:szCs w:val="16"/>
              </w:rPr>
              <w:t xml:space="preserve"> </w:t>
            </w:r>
            <w:r w:rsidRPr="00C33A5F">
              <w:rPr>
                <w:rFonts w:ascii="Times New Roman" w:eastAsia="Calibri" w:hAnsi="Times New Roman" w:cs="Times New Roman"/>
                <w:sz w:val="16"/>
                <w:szCs w:val="16"/>
              </w:rPr>
              <w:t>PRE + routine physiotherapy</w:t>
            </w:r>
          </w:p>
          <w:p w14:paraId="2ED91644" w14:textId="77777777" w:rsidR="00F01BD8" w:rsidRDefault="00201E8F" w:rsidP="00F01BD8">
            <w:pPr>
              <w:rPr>
                <w:rFonts w:ascii="Times New Roman" w:eastAsia="Calibri" w:hAnsi="Times New Roman" w:cs="Times New Roman"/>
                <w:sz w:val="16"/>
                <w:szCs w:val="16"/>
              </w:rPr>
            </w:pPr>
            <w:r w:rsidRPr="00C33A5F">
              <w:rPr>
                <w:rFonts w:ascii="Times New Roman" w:eastAsia="Calibri" w:hAnsi="Times New Roman" w:cs="Times New Roman"/>
                <w:sz w:val="16"/>
                <w:szCs w:val="16"/>
              </w:rPr>
              <w:t>2. Routine physiotherapy</w:t>
            </w:r>
            <w:r w:rsidR="00F01BD8">
              <w:rPr>
                <w:rFonts w:ascii="Times New Roman" w:eastAsia="Calibri" w:hAnsi="Times New Roman" w:cs="Times New Roman"/>
                <w:sz w:val="16"/>
                <w:szCs w:val="16"/>
              </w:rPr>
              <w:t xml:space="preserve"> </w:t>
            </w:r>
          </w:p>
          <w:p w14:paraId="5937F236" w14:textId="77777777" w:rsidR="00201E8F" w:rsidRPr="00C33A5F" w:rsidRDefault="00201E8F" w:rsidP="00F01BD8">
            <w:pPr>
              <w:rPr>
                <w:rFonts w:ascii="Times New Roman" w:eastAsia="Calibri" w:hAnsi="Times New Roman" w:cs="Times New Roman"/>
                <w:sz w:val="16"/>
                <w:szCs w:val="16"/>
              </w:rPr>
            </w:pPr>
            <w:r w:rsidRPr="00C33A5F">
              <w:rPr>
                <w:rFonts w:ascii="Times New Roman" w:eastAsia="Calibri" w:hAnsi="Times New Roman" w:cs="Times New Roman"/>
                <w:sz w:val="16"/>
                <w:szCs w:val="16"/>
              </w:rPr>
              <w:t>Physiotherapists</w:t>
            </w:r>
          </w:p>
        </w:tc>
        <w:tc>
          <w:tcPr>
            <w:tcW w:w="4536" w:type="dxa"/>
            <w:tcBorders>
              <w:left w:val="nil"/>
              <w:right w:val="nil"/>
            </w:tcBorders>
            <w:tcMar>
              <w:top w:w="28" w:type="dxa"/>
              <w:bottom w:w="28" w:type="dxa"/>
            </w:tcMar>
            <w:vAlign w:val="center"/>
          </w:tcPr>
          <w:p w14:paraId="5253F4B5" w14:textId="77777777" w:rsidR="00201E8F" w:rsidRPr="00C33A5F" w:rsidRDefault="00201E8F" w:rsidP="00201E8F">
            <w:pPr>
              <w:rPr>
                <w:rFonts w:ascii="Times New Roman" w:eastAsia="Times New Roman" w:hAnsi="Times New Roman" w:cs="Times New Roman"/>
                <w:sz w:val="16"/>
                <w:szCs w:val="16"/>
                <w:lang w:eastAsia="en-GB"/>
              </w:rPr>
            </w:pPr>
            <w:r w:rsidRPr="00C33A5F">
              <w:rPr>
                <w:rFonts w:ascii="Times New Roman" w:eastAsia="Times New Roman" w:hAnsi="Times New Roman" w:cs="Times New Roman"/>
                <w:sz w:val="16"/>
                <w:szCs w:val="16"/>
                <w:lang w:eastAsia="en-GB"/>
              </w:rPr>
              <w:t>No significant between group difference in max. isometric knee-extension strength in the fractured limb in % of the non-fractured limb at d/c or postoperative day 10</w:t>
            </w:r>
          </w:p>
        </w:tc>
        <w:tc>
          <w:tcPr>
            <w:tcW w:w="530" w:type="dxa"/>
            <w:tcBorders>
              <w:left w:val="nil"/>
              <w:right w:val="nil"/>
            </w:tcBorders>
            <w:tcMar>
              <w:top w:w="28" w:type="dxa"/>
              <w:bottom w:w="28" w:type="dxa"/>
            </w:tcMar>
            <w:vAlign w:val="center"/>
          </w:tcPr>
          <w:p w14:paraId="79DF9D97" w14:textId="77777777" w:rsidR="00201E8F" w:rsidRPr="00C33A5F" w:rsidRDefault="00201E8F" w:rsidP="00201E8F">
            <w:pPr>
              <w:jc w:val="center"/>
              <w:rPr>
                <w:rFonts w:ascii="Times New Roman" w:eastAsia="Calibri" w:hAnsi="Times New Roman" w:cs="Times New Roman"/>
                <w:sz w:val="16"/>
                <w:szCs w:val="16"/>
              </w:rPr>
            </w:pPr>
            <w:r w:rsidRPr="00C33A5F">
              <w:rPr>
                <w:rFonts w:ascii="Times New Roman" w:eastAsia="Calibri" w:hAnsi="Times New Roman" w:cs="Times New Roman"/>
                <w:sz w:val="16"/>
                <w:szCs w:val="16"/>
              </w:rPr>
              <w:t>2</w:t>
            </w:r>
          </w:p>
        </w:tc>
      </w:tr>
      <w:tr w:rsidR="00201E8F" w:rsidRPr="00C33A5F" w14:paraId="6BF2F187" w14:textId="77777777" w:rsidTr="00956011">
        <w:trPr>
          <w:trHeight w:val="286"/>
        </w:trPr>
        <w:tc>
          <w:tcPr>
            <w:tcW w:w="1970" w:type="dxa"/>
            <w:tcBorders>
              <w:left w:val="nil"/>
              <w:right w:val="nil"/>
            </w:tcBorders>
            <w:tcMar>
              <w:top w:w="28" w:type="dxa"/>
              <w:bottom w:w="28" w:type="dxa"/>
            </w:tcMar>
            <w:vAlign w:val="center"/>
          </w:tcPr>
          <w:p w14:paraId="2A28815E" w14:textId="77777777" w:rsidR="00201E8F" w:rsidRPr="00C33A5F" w:rsidRDefault="00201E8F" w:rsidP="00201E8F">
            <w:pPr>
              <w:rPr>
                <w:rFonts w:ascii="Times New Roman" w:eastAsia="Times New Roman" w:hAnsi="Times New Roman" w:cs="Times New Roman"/>
                <w:color w:val="000000"/>
                <w:sz w:val="16"/>
                <w:szCs w:val="16"/>
                <w:lang w:eastAsia="en-GB"/>
              </w:rPr>
            </w:pPr>
            <w:r w:rsidRPr="00C33A5F">
              <w:rPr>
                <w:rFonts w:ascii="Times New Roman" w:eastAsia="Times New Roman" w:hAnsi="Times New Roman" w:cs="Times New Roman"/>
                <w:color w:val="000000"/>
                <w:sz w:val="16"/>
                <w:szCs w:val="16"/>
                <w:lang w:eastAsia="en-GB"/>
              </w:rPr>
              <w:t xml:space="preserve">Liu </w:t>
            </w:r>
            <w:proofErr w:type="gramStart"/>
            <w:r w:rsidRPr="00C33A5F">
              <w:rPr>
                <w:rFonts w:ascii="Times New Roman" w:eastAsia="Times New Roman" w:hAnsi="Times New Roman" w:cs="Times New Roman"/>
                <w:color w:val="000000"/>
                <w:sz w:val="16"/>
                <w:szCs w:val="16"/>
                <w:lang w:eastAsia="en-GB"/>
              </w:rPr>
              <w:t>et al.</w:t>
            </w:r>
            <w:r w:rsidR="004169A5">
              <w:rPr>
                <w:rFonts w:ascii="Times New Roman" w:eastAsia="Times New Roman" w:hAnsi="Times New Roman" w:cs="Times New Roman"/>
                <w:color w:val="000000"/>
                <w:sz w:val="16"/>
                <w:szCs w:val="16"/>
                <w:lang w:eastAsia="en-GB"/>
              </w:rPr>
              <w:t>[</w:t>
            </w:r>
            <w:proofErr w:type="gramEnd"/>
            <w:r w:rsidR="004169A5">
              <w:rPr>
                <w:rFonts w:ascii="Times New Roman" w:eastAsia="Times New Roman" w:hAnsi="Times New Roman" w:cs="Times New Roman"/>
                <w:color w:val="000000"/>
                <w:sz w:val="16"/>
                <w:szCs w:val="16"/>
                <w:lang w:eastAsia="en-GB"/>
              </w:rPr>
              <w:t>37]</w:t>
            </w:r>
          </w:p>
        </w:tc>
        <w:tc>
          <w:tcPr>
            <w:tcW w:w="709" w:type="dxa"/>
            <w:tcBorders>
              <w:left w:val="nil"/>
              <w:right w:val="nil"/>
            </w:tcBorders>
            <w:tcMar>
              <w:top w:w="28" w:type="dxa"/>
              <w:bottom w:w="28" w:type="dxa"/>
            </w:tcMar>
            <w:vAlign w:val="center"/>
          </w:tcPr>
          <w:p w14:paraId="6EF7CF4F"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MA</w:t>
            </w:r>
          </w:p>
        </w:tc>
        <w:tc>
          <w:tcPr>
            <w:tcW w:w="3118" w:type="dxa"/>
            <w:tcBorders>
              <w:left w:val="nil"/>
              <w:right w:val="nil"/>
            </w:tcBorders>
            <w:tcMar>
              <w:top w:w="28" w:type="dxa"/>
              <w:bottom w:w="28" w:type="dxa"/>
            </w:tcMar>
            <w:vAlign w:val="center"/>
          </w:tcPr>
          <w:p w14:paraId="33D8F393"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Patients with OVF; 3 studies (N=128)</w:t>
            </w:r>
          </w:p>
        </w:tc>
        <w:tc>
          <w:tcPr>
            <w:tcW w:w="3827" w:type="dxa"/>
            <w:tcBorders>
              <w:left w:val="nil"/>
              <w:right w:val="nil"/>
            </w:tcBorders>
            <w:tcMar>
              <w:top w:w="28" w:type="dxa"/>
              <w:bottom w:w="28" w:type="dxa"/>
            </w:tcMar>
            <w:vAlign w:val="center"/>
          </w:tcPr>
          <w:p w14:paraId="25051B35"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Exercise programmes</w:t>
            </w:r>
          </w:p>
        </w:tc>
        <w:tc>
          <w:tcPr>
            <w:tcW w:w="4536" w:type="dxa"/>
            <w:tcBorders>
              <w:left w:val="nil"/>
              <w:right w:val="nil"/>
            </w:tcBorders>
            <w:tcMar>
              <w:top w:w="28" w:type="dxa"/>
              <w:bottom w:w="28" w:type="dxa"/>
            </w:tcMar>
            <w:vAlign w:val="center"/>
          </w:tcPr>
          <w:p w14:paraId="4FF17AB3" w14:textId="77777777" w:rsidR="00201E8F" w:rsidRPr="00C33A5F" w:rsidRDefault="00201E8F" w:rsidP="00201E8F">
            <w:pPr>
              <w:rPr>
                <w:rFonts w:ascii="Times New Roman" w:eastAsia="Calibri" w:hAnsi="Times New Roman" w:cs="Times New Roman"/>
                <w:sz w:val="16"/>
                <w:szCs w:val="16"/>
              </w:rPr>
            </w:pPr>
            <w:r w:rsidRPr="00C33A5F">
              <w:rPr>
                <w:rFonts w:ascii="Times New Roman" w:hAnsi="Times New Roman" w:cs="Times New Roman"/>
                <w:sz w:val="16"/>
                <w:szCs w:val="16"/>
              </w:rPr>
              <w:t>No influence on TUG (SMD=-0.36, 95%CI -0.96 to 0.24; p=0.24)</w:t>
            </w:r>
          </w:p>
        </w:tc>
        <w:tc>
          <w:tcPr>
            <w:tcW w:w="530" w:type="dxa"/>
            <w:tcBorders>
              <w:left w:val="nil"/>
              <w:right w:val="nil"/>
            </w:tcBorders>
            <w:tcMar>
              <w:top w:w="28" w:type="dxa"/>
              <w:bottom w:w="28" w:type="dxa"/>
            </w:tcMar>
            <w:vAlign w:val="center"/>
          </w:tcPr>
          <w:p w14:paraId="7DFCF293" w14:textId="77777777" w:rsidR="00201E8F" w:rsidRPr="00C33A5F" w:rsidRDefault="00201E8F" w:rsidP="00201E8F">
            <w:pPr>
              <w:jc w:val="center"/>
              <w:rPr>
                <w:rFonts w:ascii="Times New Roman" w:eastAsia="Calibri" w:hAnsi="Times New Roman" w:cs="Times New Roman"/>
                <w:sz w:val="16"/>
                <w:szCs w:val="16"/>
              </w:rPr>
            </w:pPr>
            <w:r w:rsidRPr="00C33A5F">
              <w:rPr>
                <w:rFonts w:ascii="Times New Roman" w:eastAsia="Calibri" w:hAnsi="Times New Roman" w:cs="Times New Roman"/>
                <w:sz w:val="16"/>
                <w:szCs w:val="16"/>
              </w:rPr>
              <w:t>2</w:t>
            </w:r>
          </w:p>
        </w:tc>
      </w:tr>
      <w:tr w:rsidR="00201E8F" w:rsidRPr="00C33A5F" w14:paraId="0B183FBB" w14:textId="77777777" w:rsidTr="00956011">
        <w:trPr>
          <w:trHeight w:val="170"/>
        </w:trPr>
        <w:tc>
          <w:tcPr>
            <w:tcW w:w="1970" w:type="dxa"/>
            <w:tcBorders>
              <w:left w:val="nil"/>
              <w:bottom w:val="single" w:sz="12" w:space="0" w:color="auto"/>
              <w:right w:val="nil"/>
            </w:tcBorders>
            <w:tcMar>
              <w:top w:w="28" w:type="dxa"/>
              <w:bottom w:w="28" w:type="dxa"/>
            </w:tcMar>
            <w:vAlign w:val="center"/>
          </w:tcPr>
          <w:p w14:paraId="6228B942" w14:textId="77777777" w:rsidR="00201E8F" w:rsidRPr="00C33A5F" w:rsidRDefault="00201E8F" w:rsidP="00201E8F">
            <w:pPr>
              <w:rPr>
                <w:rFonts w:ascii="Times New Roman" w:eastAsia="Times New Roman" w:hAnsi="Times New Roman" w:cs="Times New Roman"/>
                <w:color w:val="000000"/>
                <w:sz w:val="16"/>
                <w:szCs w:val="16"/>
                <w:lang w:eastAsia="en-GB"/>
              </w:rPr>
            </w:pPr>
            <w:proofErr w:type="spellStart"/>
            <w:r w:rsidRPr="00C33A5F">
              <w:rPr>
                <w:rFonts w:ascii="Times New Roman" w:hAnsi="Times New Roman" w:cs="Times New Roman"/>
                <w:bCs/>
                <w:sz w:val="16"/>
                <w:szCs w:val="16"/>
              </w:rPr>
              <w:t>Mikó</w:t>
            </w:r>
            <w:proofErr w:type="spellEnd"/>
            <w:r w:rsidRPr="00C33A5F">
              <w:rPr>
                <w:rFonts w:ascii="Times New Roman" w:hAnsi="Times New Roman" w:cs="Times New Roman"/>
                <w:sz w:val="16"/>
                <w:szCs w:val="16"/>
              </w:rPr>
              <w:t xml:space="preserve"> </w:t>
            </w:r>
            <w:proofErr w:type="gramStart"/>
            <w:r w:rsidRPr="00C33A5F">
              <w:rPr>
                <w:rFonts w:ascii="Times New Roman" w:hAnsi="Times New Roman" w:cs="Times New Roman"/>
                <w:sz w:val="16"/>
                <w:szCs w:val="16"/>
              </w:rPr>
              <w:t>et al.</w:t>
            </w:r>
            <w:r w:rsidR="004169A5">
              <w:rPr>
                <w:rFonts w:ascii="Times New Roman" w:hAnsi="Times New Roman" w:cs="Times New Roman"/>
                <w:sz w:val="16"/>
                <w:szCs w:val="16"/>
              </w:rPr>
              <w:t>[</w:t>
            </w:r>
            <w:proofErr w:type="gramEnd"/>
            <w:r w:rsidR="004169A5">
              <w:rPr>
                <w:rFonts w:ascii="Times New Roman" w:hAnsi="Times New Roman" w:cs="Times New Roman"/>
                <w:sz w:val="16"/>
                <w:szCs w:val="16"/>
              </w:rPr>
              <w:t>38]</w:t>
            </w:r>
            <w:r w:rsidRPr="00C33A5F">
              <w:rPr>
                <w:rFonts w:ascii="Times New Roman" w:hAnsi="Times New Roman" w:cs="Times New Roman"/>
                <w:sz w:val="16"/>
                <w:szCs w:val="16"/>
              </w:rPr>
              <w:t>, Hungary, community</w:t>
            </w:r>
          </w:p>
        </w:tc>
        <w:tc>
          <w:tcPr>
            <w:tcW w:w="709" w:type="dxa"/>
            <w:tcBorders>
              <w:left w:val="nil"/>
              <w:bottom w:val="single" w:sz="12" w:space="0" w:color="auto"/>
              <w:right w:val="nil"/>
            </w:tcBorders>
            <w:tcMar>
              <w:top w:w="28" w:type="dxa"/>
              <w:bottom w:w="28" w:type="dxa"/>
            </w:tcMar>
            <w:vAlign w:val="center"/>
          </w:tcPr>
          <w:p w14:paraId="4F580480"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RCT</w:t>
            </w:r>
          </w:p>
        </w:tc>
        <w:tc>
          <w:tcPr>
            <w:tcW w:w="3118" w:type="dxa"/>
            <w:tcBorders>
              <w:left w:val="nil"/>
              <w:bottom w:val="single" w:sz="12" w:space="0" w:color="auto"/>
              <w:right w:val="nil"/>
            </w:tcBorders>
            <w:tcMar>
              <w:top w:w="28" w:type="dxa"/>
              <w:bottom w:w="28" w:type="dxa"/>
            </w:tcMar>
            <w:vAlign w:val="center"/>
          </w:tcPr>
          <w:p w14:paraId="7EB16F13"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Women with OP fracture</w:t>
            </w:r>
          </w:p>
          <w:p w14:paraId="77FF1E2A" w14:textId="77777777" w:rsidR="00A277FF" w:rsidRPr="00C33A5F" w:rsidRDefault="00201E8F" w:rsidP="0064137F">
            <w:pPr>
              <w:tabs>
                <w:tab w:val="left" w:pos="1710"/>
              </w:tabs>
              <w:rPr>
                <w:rFonts w:ascii="Times New Roman" w:eastAsia="Calibri" w:hAnsi="Times New Roman" w:cs="Times New Roman"/>
                <w:sz w:val="16"/>
                <w:szCs w:val="16"/>
              </w:rPr>
            </w:pPr>
            <w:r w:rsidRPr="00C33A5F">
              <w:rPr>
                <w:rFonts w:ascii="Times New Roman" w:eastAsia="Calibri" w:hAnsi="Times New Roman" w:cs="Times New Roman"/>
                <w:sz w:val="16"/>
                <w:szCs w:val="16"/>
              </w:rPr>
              <w:t>1.</w:t>
            </w:r>
            <w:r w:rsidR="00A277FF" w:rsidRPr="00C33A5F">
              <w:rPr>
                <w:rFonts w:ascii="Times New Roman" w:eastAsia="Calibri" w:hAnsi="Times New Roman" w:cs="Times New Roman"/>
                <w:sz w:val="16"/>
                <w:szCs w:val="16"/>
              </w:rPr>
              <w:t xml:space="preserve"> Group 1 (N=49)</w:t>
            </w:r>
            <w:r w:rsidR="0064137F">
              <w:rPr>
                <w:rFonts w:ascii="Times New Roman" w:eastAsia="Calibri" w:hAnsi="Times New Roman" w:cs="Times New Roman"/>
                <w:sz w:val="16"/>
                <w:szCs w:val="16"/>
              </w:rPr>
              <w:tab/>
            </w:r>
          </w:p>
          <w:p w14:paraId="1135319D" w14:textId="77777777" w:rsidR="00201E8F" w:rsidRPr="00AC1B72" w:rsidRDefault="00201E8F" w:rsidP="00AC1B72">
            <w:pPr>
              <w:rPr>
                <w:rFonts w:ascii="Times New Roman" w:eastAsia="Calibri" w:hAnsi="Times New Roman" w:cs="Times New Roman"/>
                <w:sz w:val="16"/>
                <w:szCs w:val="16"/>
              </w:rPr>
            </w:pPr>
            <w:r w:rsidRPr="00C33A5F">
              <w:rPr>
                <w:rFonts w:ascii="Times New Roman" w:eastAsia="Calibri" w:hAnsi="Times New Roman" w:cs="Times New Roman"/>
                <w:sz w:val="16"/>
                <w:szCs w:val="16"/>
              </w:rPr>
              <w:t>2.</w:t>
            </w:r>
            <w:r w:rsidR="00A277FF" w:rsidRPr="00C33A5F">
              <w:rPr>
                <w:rFonts w:ascii="Times New Roman" w:eastAsia="Calibri" w:hAnsi="Times New Roman" w:cs="Times New Roman"/>
                <w:sz w:val="16"/>
                <w:szCs w:val="16"/>
              </w:rPr>
              <w:t xml:space="preserve"> </w:t>
            </w:r>
            <w:r w:rsidRPr="00C33A5F">
              <w:rPr>
                <w:rFonts w:ascii="Times New Roman" w:eastAsia="Calibri" w:hAnsi="Times New Roman" w:cs="Times New Roman"/>
                <w:sz w:val="16"/>
                <w:szCs w:val="16"/>
              </w:rPr>
              <w:t>Group</w:t>
            </w:r>
            <w:r w:rsidR="00A277FF" w:rsidRPr="00C33A5F">
              <w:rPr>
                <w:rFonts w:ascii="Times New Roman" w:eastAsia="Calibri" w:hAnsi="Times New Roman" w:cs="Times New Roman"/>
                <w:sz w:val="16"/>
                <w:szCs w:val="16"/>
              </w:rPr>
              <w:t xml:space="preserve"> </w:t>
            </w:r>
            <w:r w:rsidR="00AC1B72">
              <w:rPr>
                <w:rFonts w:ascii="Times New Roman" w:eastAsia="Calibri" w:hAnsi="Times New Roman" w:cs="Times New Roman"/>
                <w:sz w:val="16"/>
                <w:szCs w:val="16"/>
              </w:rPr>
              <w:t>2 (N=48)</w:t>
            </w:r>
          </w:p>
        </w:tc>
        <w:tc>
          <w:tcPr>
            <w:tcW w:w="3827" w:type="dxa"/>
            <w:tcBorders>
              <w:left w:val="nil"/>
              <w:bottom w:val="single" w:sz="12" w:space="0" w:color="auto"/>
              <w:right w:val="nil"/>
            </w:tcBorders>
            <w:tcMar>
              <w:top w:w="28" w:type="dxa"/>
              <w:bottom w:w="28" w:type="dxa"/>
            </w:tcMar>
            <w:vAlign w:val="center"/>
          </w:tcPr>
          <w:p w14:paraId="40BD0D5B"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1.</w:t>
            </w:r>
            <w:r w:rsidR="00A277FF" w:rsidRPr="00C33A5F">
              <w:rPr>
                <w:rFonts w:ascii="Times New Roman" w:eastAsia="Calibri" w:hAnsi="Times New Roman" w:cs="Times New Roman"/>
                <w:sz w:val="16"/>
                <w:szCs w:val="16"/>
              </w:rPr>
              <w:t xml:space="preserve"> </w:t>
            </w:r>
            <w:r w:rsidRPr="00C33A5F">
              <w:rPr>
                <w:rFonts w:ascii="Times New Roman" w:eastAsia="Calibri" w:hAnsi="Times New Roman" w:cs="Times New Roman"/>
                <w:sz w:val="16"/>
                <w:szCs w:val="16"/>
              </w:rPr>
              <w:t>Balance training</w:t>
            </w:r>
          </w:p>
          <w:p w14:paraId="2FB6342D"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 xml:space="preserve">2. Usual care </w:t>
            </w:r>
          </w:p>
          <w:p w14:paraId="7BFC6D33"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Physiotherapists</w:t>
            </w:r>
          </w:p>
        </w:tc>
        <w:tc>
          <w:tcPr>
            <w:tcW w:w="4536" w:type="dxa"/>
            <w:tcBorders>
              <w:left w:val="nil"/>
              <w:bottom w:val="single" w:sz="12" w:space="0" w:color="auto"/>
              <w:right w:val="nil"/>
            </w:tcBorders>
            <w:tcMar>
              <w:top w:w="28" w:type="dxa"/>
              <w:bottom w:w="28" w:type="dxa"/>
            </w:tcMar>
            <w:vAlign w:val="center"/>
          </w:tcPr>
          <w:p w14:paraId="1DF628FA"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Significantly greater improvement in balance and fewer falls at 12mo in the balance training group</w:t>
            </w:r>
          </w:p>
        </w:tc>
        <w:tc>
          <w:tcPr>
            <w:tcW w:w="530" w:type="dxa"/>
            <w:tcBorders>
              <w:left w:val="nil"/>
              <w:bottom w:val="single" w:sz="12" w:space="0" w:color="auto"/>
              <w:right w:val="nil"/>
            </w:tcBorders>
            <w:tcMar>
              <w:top w:w="28" w:type="dxa"/>
              <w:bottom w:w="28" w:type="dxa"/>
            </w:tcMar>
            <w:vAlign w:val="center"/>
          </w:tcPr>
          <w:p w14:paraId="078EC495" w14:textId="77777777" w:rsidR="00201E8F" w:rsidRPr="00C33A5F" w:rsidRDefault="00201E8F" w:rsidP="00201E8F">
            <w:pPr>
              <w:jc w:val="center"/>
              <w:rPr>
                <w:rFonts w:ascii="Times New Roman" w:eastAsia="Calibri" w:hAnsi="Times New Roman" w:cs="Times New Roman"/>
                <w:sz w:val="16"/>
                <w:szCs w:val="16"/>
              </w:rPr>
            </w:pPr>
            <w:r w:rsidRPr="00C33A5F">
              <w:rPr>
                <w:rFonts w:ascii="Times New Roman" w:eastAsia="Calibri" w:hAnsi="Times New Roman" w:cs="Times New Roman"/>
                <w:sz w:val="16"/>
                <w:szCs w:val="16"/>
              </w:rPr>
              <w:t>2</w:t>
            </w:r>
          </w:p>
        </w:tc>
      </w:tr>
      <w:tr w:rsidR="00201E8F" w:rsidRPr="00C33A5F" w14:paraId="20A28890" w14:textId="77777777" w:rsidTr="00956011">
        <w:trPr>
          <w:trHeight w:val="96"/>
        </w:trPr>
        <w:tc>
          <w:tcPr>
            <w:tcW w:w="14690" w:type="dxa"/>
            <w:gridSpan w:val="6"/>
            <w:tcBorders>
              <w:top w:val="single" w:sz="12" w:space="0" w:color="auto"/>
              <w:left w:val="nil"/>
              <w:bottom w:val="single" w:sz="12" w:space="0" w:color="auto"/>
              <w:right w:val="nil"/>
            </w:tcBorders>
            <w:shd w:val="clear" w:color="auto" w:fill="D9D9D9" w:themeFill="background1" w:themeFillShade="D9"/>
            <w:tcMar>
              <w:top w:w="28" w:type="dxa"/>
              <w:bottom w:w="28" w:type="dxa"/>
            </w:tcMar>
            <w:vAlign w:val="center"/>
          </w:tcPr>
          <w:p w14:paraId="3C5193DE" w14:textId="595DB578" w:rsidR="00201E8F" w:rsidRPr="00C33A5F" w:rsidRDefault="00F65CC2" w:rsidP="00201E8F">
            <w:pPr>
              <w:rPr>
                <w:rFonts w:ascii="Times New Roman" w:eastAsia="Calibri" w:hAnsi="Times New Roman" w:cs="Times New Roman"/>
                <w:b/>
                <w:sz w:val="16"/>
                <w:szCs w:val="16"/>
              </w:rPr>
            </w:pPr>
            <w:r>
              <w:rPr>
                <w:rFonts w:ascii="Times New Roman" w:eastAsia="Calibri" w:hAnsi="Times New Roman" w:cs="Times New Roman"/>
                <w:b/>
                <w:sz w:val="16"/>
                <w:szCs w:val="16"/>
              </w:rPr>
              <w:t>ii)</w:t>
            </w:r>
            <w:r w:rsidR="00201E8F" w:rsidRPr="00C33A5F">
              <w:rPr>
                <w:rFonts w:ascii="Times New Roman" w:eastAsia="Calibri" w:hAnsi="Times New Roman" w:cs="Times New Roman"/>
                <w:b/>
                <w:sz w:val="16"/>
                <w:szCs w:val="16"/>
              </w:rPr>
              <w:t>Nutri</w:t>
            </w:r>
            <w:r w:rsidR="00DD6A30">
              <w:rPr>
                <w:rFonts w:ascii="Times New Roman" w:eastAsia="Calibri" w:hAnsi="Times New Roman" w:cs="Times New Roman"/>
                <w:b/>
                <w:sz w:val="16"/>
                <w:szCs w:val="16"/>
              </w:rPr>
              <w:t>ments</w:t>
            </w:r>
            <w:r w:rsidR="00306C66">
              <w:rPr>
                <w:rFonts w:ascii="Times New Roman" w:eastAsia="Calibri" w:hAnsi="Times New Roman" w:cs="Times New Roman"/>
                <w:b/>
                <w:sz w:val="16"/>
                <w:szCs w:val="16"/>
              </w:rPr>
              <w:t xml:space="preserve"> </w:t>
            </w:r>
            <w:r w:rsidR="00306C66" w:rsidRPr="00306C66">
              <w:rPr>
                <w:rFonts w:ascii="Times New Roman" w:eastAsia="Calibri" w:hAnsi="Times New Roman" w:cs="Times New Roman"/>
                <w:b/>
                <w:sz w:val="16"/>
                <w:szCs w:val="16"/>
              </w:rPr>
              <w:t>including Vitamin D plus Calcium and oral nutritional supplements</w:t>
            </w:r>
          </w:p>
        </w:tc>
      </w:tr>
      <w:tr w:rsidR="00201E8F" w:rsidRPr="00C33A5F" w14:paraId="669B4E22" w14:textId="77777777" w:rsidTr="00956011">
        <w:trPr>
          <w:trHeight w:val="388"/>
        </w:trPr>
        <w:tc>
          <w:tcPr>
            <w:tcW w:w="1970" w:type="dxa"/>
            <w:tcBorders>
              <w:top w:val="single" w:sz="12" w:space="0" w:color="auto"/>
              <w:left w:val="nil"/>
              <w:right w:val="nil"/>
            </w:tcBorders>
            <w:tcMar>
              <w:top w:w="28" w:type="dxa"/>
              <w:bottom w:w="28" w:type="dxa"/>
            </w:tcMar>
            <w:vAlign w:val="center"/>
          </w:tcPr>
          <w:p w14:paraId="165DB8C8" w14:textId="77777777" w:rsidR="00201E8F" w:rsidRPr="00C33A5F" w:rsidRDefault="00201E8F" w:rsidP="00201E8F">
            <w:pPr>
              <w:rPr>
                <w:rFonts w:ascii="Times New Roman" w:eastAsia="Times New Roman" w:hAnsi="Times New Roman" w:cs="Times New Roman"/>
                <w:color w:val="000000"/>
                <w:sz w:val="16"/>
                <w:szCs w:val="16"/>
                <w:lang w:eastAsia="en-GB"/>
              </w:rPr>
            </w:pPr>
            <w:proofErr w:type="spellStart"/>
            <w:r w:rsidRPr="00C33A5F">
              <w:rPr>
                <w:rFonts w:ascii="Times New Roman" w:eastAsia="Times New Roman" w:hAnsi="Times New Roman" w:cs="Times New Roman"/>
                <w:color w:val="000000"/>
                <w:sz w:val="16"/>
                <w:szCs w:val="16"/>
                <w:lang w:eastAsia="en-GB"/>
              </w:rPr>
              <w:t>Avenell</w:t>
            </w:r>
            <w:proofErr w:type="spellEnd"/>
            <w:r w:rsidRPr="00C33A5F">
              <w:rPr>
                <w:rFonts w:ascii="Times New Roman" w:eastAsia="Times New Roman" w:hAnsi="Times New Roman" w:cs="Times New Roman"/>
                <w:color w:val="000000"/>
                <w:sz w:val="16"/>
                <w:szCs w:val="16"/>
                <w:lang w:eastAsia="en-GB"/>
              </w:rPr>
              <w:t xml:space="preserve"> </w:t>
            </w:r>
            <w:proofErr w:type="gramStart"/>
            <w:r w:rsidRPr="00C33A5F">
              <w:rPr>
                <w:rFonts w:ascii="Times New Roman" w:eastAsia="Times New Roman" w:hAnsi="Times New Roman" w:cs="Times New Roman"/>
                <w:color w:val="000000"/>
                <w:sz w:val="16"/>
                <w:szCs w:val="16"/>
                <w:lang w:eastAsia="en-GB"/>
              </w:rPr>
              <w:t>et al.</w:t>
            </w:r>
            <w:r w:rsidR="004169A5">
              <w:rPr>
                <w:rFonts w:ascii="Times New Roman" w:eastAsia="Times New Roman" w:hAnsi="Times New Roman" w:cs="Times New Roman"/>
                <w:color w:val="000000"/>
                <w:sz w:val="16"/>
                <w:szCs w:val="16"/>
                <w:lang w:eastAsia="en-GB"/>
              </w:rPr>
              <w:t>[</w:t>
            </w:r>
            <w:proofErr w:type="gramEnd"/>
            <w:r w:rsidR="004169A5">
              <w:rPr>
                <w:rFonts w:ascii="Times New Roman" w:eastAsia="Times New Roman" w:hAnsi="Times New Roman" w:cs="Times New Roman"/>
                <w:color w:val="000000"/>
                <w:sz w:val="16"/>
                <w:szCs w:val="16"/>
                <w:lang w:eastAsia="en-GB"/>
              </w:rPr>
              <w:t>31]</w:t>
            </w:r>
            <w:r w:rsidRPr="00C33A5F">
              <w:rPr>
                <w:rFonts w:ascii="Times New Roman" w:eastAsia="Times New Roman" w:hAnsi="Times New Roman" w:cs="Times New Roman"/>
                <w:color w:val="000000"/>
                <w:sz w:val="16"/>
                <w:szCs w:val="16"/>
                <w:lang w:eastAsia="en-GB"/>
              </w:rPr>
              <w:t>,</w:t>
            </w:r>
          </w:p>
          <w:p w14:paraId="24869A8A"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Times New Roman" w:hAnsi="Times New Roman" w:cs="Times New Roman"/>
                <w:color w:val="000000"/>
                <w:sz w:val="16"/>
                <w:szCs w:val="16"/>
                <w:lang w:eastAsia="en-GB"/>
              </w:rPr>
              <w:t>community</w:t>
            </w:r>
          </w:p>
        </w:tc>
        <w:tc>
          <w:tcPr>
            <w:tcW w:w="709" w:type="dxa"/>
            <w:tcBorders>
              <w:top w:val="single" w:sz="12" w:space="0" w:color="auto"/>
              <w:left w:val="nil"/>
              <w:right w:val="nil"/>
            </w:tcBorders>
            <w:tcMar>
              <w:top w:w="28" w:type="dxa"/>
              <w:bottom w:w="28" w:type="dxa"/>
            </w:tcMar>
            <w:vAlign w:val="center"/>
          </w:tcPr>
          <w:p w14:paraId="5AE3575B"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MA</w:t>
            </w:r>
          </w:p>
        </w:tc>
        <w:tc>
          <w:tcPr>
            <w:tcW w:w="3118" w:type="dxa"/>
            <w:tcBorders>
              <w:top w:val="single" w:sz="12" w:space="0" w:color="auto"/>
              <w:left w:val="nil"/>
              <w:right w:val="nil"/>
            </w:tcBorders>
            <w:tcMar>
              <w:top w:w="28" w:type="dxa"/>
              <w:bottom w:w="28" w:type="dxa"/>
            </w:tcMar>
            <w:vAlign w:val="center"/>
          </w:tcPr>
          <w:p w14:paraId="5E9B12E0"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 xml:space="preserve">Patients with a history of OP fracture; </w:t>
            </w:r>
          </w:p>
          <w:p w14:paraId="7E300CE3"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4 studies (N=6134)</w:t>
            </w:r>
          </w:p>
        </w:tc>
        <w:tc>
          <w:tcPr>
            <w:tcW w:w="3827" w:type="dxa"/>
            <w:tcBorders>
              <w:top w:val="single" w:sz="12" w:space="0" w:color="auto"/>
              <w:left w:val="nil"/>
              <w:right w:val="nil"/>
            </w:tcBorders>
            <w:tcMar>
              <w:top w:w="28" w:type="dxa"/>
              <w:bottom w:w="28" w:type="dxa"/>
            </w:tcMar>
            <w:vAlign w:val="center"/>
          </w:tcPr>
          <w:p w14:paraId="146B67CA"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Vitamin D (800IU) plus Calcium (1000mg) daily for a minimum of 12mo</w:t>
            </w:r>
          </w:p>
        </w:tc>
        <w:tc>
          <w:tcPr>
            <w:tcW w:w="4536" w:type="dxa"/>
            <w:tcBorders>
              <w:top w:val="single" w:sz="12" w:space="0" w:color="auto"/>
              <w:left w:val="nil"/>
              <w:right w:val="nil"/>
            </w:tcBorders>
            <w:tcMar>
              <w:top w:w="28" w:type="dxa"/>
              <w:bottom w:w="28" w:type="dxa"/>
            </w:tcMar>
            <w:vAlign w:val="center"/>
          </w:tcPr>
          <w:p w14:paraId="777965A7" w14:textId="77777777" w:rsidR="00201E8F" w:rsidRPr="00C33A5F" w:rsidRDefault="00201E8F" w:rsidP="00201E8F">
            <w:pPr>
              <w:rPr>
                <w:rFonts w:ascii="Times New Roman" w:hAnsi="Times New Roman" w:cs="Times New Roman"/>
                <w:sz w:val="16"/>
                <w:szCs w:val="16"/>
              </w:rPr>
            </w:pPr>
            <w:r w:rsidRPr="00C33A5F">
              <w:rPr>
                <w:rFonts w:ascii="Times New Roman" w:hAnsi="Times New Roman" w:cs="Times New Roman"/>
                <w:sz w:val="16"/>
                <w:szCs w:val="16"/>
              </w:rPr>
              <w:t>No significant difference between IG and CG in incidence of HF (RR=1.02, 95% CI 0.71 to 1.47) or any new fracture (</w:t>
            </w:r>
            <w:r w:rsidRPr="00C33A5F">
              <w:rPr>
                <w:rFonts w:ascii="Times New Roman" w:hAnsi="Times New Roman" w:cs="Times New Roman"/>
                <w:i/>
                <w:sz w:val="16"/>
                <w:szCs w:val="16"/>
              </w:rPr>
              <w:t>RR</w:t>
            </w:r>
            <w:r w:rsidRPr="00C33A5F">
              <w:rPr>
                <w:rFonts w:ascii="Times New Roman" w:hAnsi="Times New Roman" w:cs="Times New Roman"/>
                <w:sz w:val="16"/>
                <w:szCs w:val="16"/>
              </w:rPr>
              <w:t>=0.93, 95%CI 0.79 to 1.10).</w:t>
            </w:r>
          </w:p>
        </w:tc>
        <w:tc>
          <w:tcPr>
            <w:tcW w:w="530" w:type="dxa"/>
            <w:tcBorders>
              <w:top w:val="single" w:sz="12" w:space="0" w:color="auto"/>
              <w:left w:val="nil"/>
              <w:right w:val="nil"/>
            </w:tcBorders>
            <w:tcMar>
              <w:top w:w="28" w:type="dxa"/>
              <w:bottom w:w="28" w:type="dxa"/>
            </w:tcMar>
            <w:vAlign w:val="center"/>
          </w:tcPr>
          <w:p w14:paraId="073DBD7E" w14:textId="77777777" w:rsidR="00201E8F" w:rsidRPr="00C33A5F" w:rsidRDefault="00201E8F" w:rsidP="00201E8F">
            <w:pPr>
              <w:jc w:val="center"/>
              <w:rPr>
                <w:rFonts w:ascii="Times New Roman" w:eastAsia="Calibri" w:hAnsi="Times New Roman" w:cs="Times New Roman"/>
                <w:sz w:val="16"/>
                <w:szCs w:val="16"/>
              </w:rPr>
            </w:pPr>
            <w:r w:rsidRPr="00C33A5F">
              <w:rPr>
                <w:rFonts w:ascii="Times New Roman" w:eastAsia="Calibri" w:hAnsi="Times New Roman" w:cs="Times New Roman"/>
                <w:sz w:val="16"/>
                <w:szCs w:val="16"/>
              </w:rPr>
              <w:t>1</w:t>
            </w:r>
          </w:p>
        </w:tc>
      </w:tr>
      <w:tr w:rsidR="00201E8F" w:rsidRPr="00C33A5F" w14:paraId="45FBF550" w14:textId="77777777" w:rsidTr="00956011">
        <w:trPr>
          <w:trHeight w:val="254"/>
        </w:trPr>
        <w:tc>
          <w:tcPr>
            <w:tcW w:w="1970" w:type="dxa"/>
            <w:tcBorders>
              <w:left w:val="nil"/>
              <w:right w:val="nil"/>
            </w:tcBorders>
            <w:tcMar>
              <w:top w:w="28" w:type="dxa"/>
              <w:bottom w:w="28" w:type="dxa"/>
            </w:tcMar>
            <w:vAlign w:val="center"/>
          </w:tcPr>
          <w:p w14:paraId="6F115381" w14:textId="77777777" w:rsidR="00201E8F" w:rsidRPr="00C33A5F" w:rsidRDefault="00201E8F" w:rsidP="00201E8F">
            <w:pPr>
              <w:rPr>
                <w:rFonts w:ascii="Times New Roman" w:eastAsia="Times New Roman" w:hAnsi="Times New Roman" w:cs="Times New Roman"/>
                <w:color w:val="000000"/>
                <w:sz w:val="16"/>
                <w:szCs w:val="16"/>
                <w:lang w:eastAsia="en-GB"/>
              </w:rPr>
            </w:pPr>
            <w:proofErr w:type="spellStart"/>
            <w:r w:rsidRPr="00C33A5F">
              <w:rPr>
                <w:rFonts w:ascii="Times New Roman" w:eastAsia="Times New Roman" w:hAnsi="Times New Roman" w:cs="Times New Roman"/>
                <w:color w:val="000000"/>
                <w:sz w:val="16"/>
                <w:szCs w:val="16"/>
                <w:lang w:eastAsia="en-GB"/>
              </w:rPr>
              <w:t>Mak</w:t>
            </w:r>
            <w:proofErr w:type="spellEnd"/>
            <w:r w:rsidRPr="00C33A5F">
              <w:rPr>
                <w:rFonts w:ascii="Times New Roman" w:eastAsia="Times New Roman" w:hAnsi="Times New Roman" w:cs="Times New Roman"/>
                <w:color w:val="000000"/>
                <w:sz w:val="16"/>
                <w:szCs w:val="16"/>
                <w:lang w:eastAsia="en-GB"/>
              </w:rPr>
              <w:t xml:space="preserve"> </w:t>
            </w:r>
            <w:proofErr w:type="gramStart"/>
            <w:r w:rsidRPr="00C33A5F">
              <w:rPr>
                <w:rFonts w:ascii="Times New Roman" w:eastAsia="Times New Roman" w:hAnsi="Times New Roman" w:cs="Times New Roman"/>
                <w:color w:val="000000"/>
                <w:sz w:val="16"/>
                <w:szCs w:val="16"/>
                <w:lang w:eastAsia="en-GB"/>
              </w:rPr>
              <w:t>et al.</w:t>
            </w:r>
            <w:r w:rsidR="004169A5">
              <w:rPr>
                <w:rFonts w:ascii="Times New Roman" w:eastAsia="Times New Roman" w:hAnsi="Times New Roman" w:cs="Times New Roman"/>
                <w:color w:val="000000"/>
                <w:sz w:val="16"/>
                <w:szCs w:val="16"/>
                <w:lang w:eastAsia="en-GB"/>
              </w:rPr>
              <w:t>[</w:t>
            </w:r>
            <w:proofErr w:type="gramEnd"/>
            <w:r w:rsidR="004169A5">
              <w:rPr>
                <w:rFonts w:ascii="Times New Roman" w:eastAsia="Times New Roman" w:hAnsi="Times New Roman" w:cs="Times New Roman"/>
                <w:color w:val="000000"/>
                <w:sz w:val="16"/>
                <w:szCs w:val="16"/>
                <w:lang w:eastAsia="en-GB"/>
              </w:rPr>
              <w:t>41]</w:t>
            </w:r>
            <w:r w:rsidRPr="00C33A5F">
              <w:rPr>
                <w:rFonts w:ascii="Times New Roman" w:eastAsia="Times New Roman" w:hAnsi="Times New Roman" w:cs="Times New Roman"/>
                <w:color w:val="000000"/>
                <w:sz w:val="16"/>
                <w:szCs w:val="16"/>
                <w:lang w:eastAsia="en-GB"/>
              </w:rPr>
              <w:t>, Australia</w:t>
            </w:r>
          </w:p>
          <w:p w14:paraId="06BD5DF3" w14:textId="77777777" w:rsidR="00201E8F" w:rsidRPr="00C33A5F" w:rsidRDefault="00201E8F" w:rsidP="00201E8F">
            <w:pPr>
              <w:rPr>
                <w:rFonts w:ascii="Times New Roman" w:eastAsia="Times New Roman" w:hAnsi="Times New Roman" w:cs="Times New Roman"/>
                <w:color w:val="000000"/>
                <w:sz w:val="16"/>
                <w:szCs w:val="16"/>
                <w:lang w:eastAsia="en-GB"/>
              </w:rPr>
            </w:pPr>
            <w:r w:rsidRPr="00C33A5F">
              <w:rPr>
                <w:rFonts w:ascii="Times New Roman" w:eastAsia="Times New Roman" w:hAnsi="Times New Roman" w:cs="Times New Roman"/>
                <w:color w:val="000000"/>
                <w:sz w:val="16"/>
                <w:szCs w:val="16"/>
                <w:lang w:eastAsia="en-GB"/>
              </w:rPr>
              <w:t>inpatients</w:t>
            </w:r>
          </w:p>
        </w:tc>
        <w:tc>
          <w:tcPr>
            <w:tcW w:w="709" w:type="dxa"/>
            <w:tcBorders>
              <w:left w:val="nil"/>
              <w:right w:val="nil"/>
            </w:tcBorders>
            <w:tcMar>
              <w:top w:w="28" w:type="dxa"/>
              <w:bottom w:w="28" w:type="dxa"/>
            </w:tcMar>
            <w:vAlign w:val="center"/>
          </w:tcPr>
          <w:p w14:paraId="29C9DDEA"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RCT</w:t>
            </w:r>
          </w:p>
        </w:tc>
        <w:tc>
          <w:tcPr>
            <w:tcW w:w="3118" w:type="dxa"/>
            <w:tcBorders>
              <w:left w:val="nil"/>
              <w:right w:val="nil"/>
            </w:tcBorders>
            <w:tcMar>
              <w:top w:w="28" w:type="dxa"/>
              <w:bottom w:w="28" w:type="dxa"/>
            </w:tcMar>
            <w:vAlign w:val="center"/>
          </w:tcPr>
          <w:p w14:paraId="40531B0C"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Patients after HF surgery</w:t>
            </w:r>
          </w:p>
          <w:p w14:paraId="4F41684F" w14:textId="77777777" w:rsidR="00201E8F" w:rsidRPr="00C33A5F" w:rsidRDefault="00201E8F" w:rsidP="00F01BD8">
            <w:pPr>
              <w:rPr>
                <w:rFonts w:ascii="Times New Roman" w:eastAsia="Calibri" w:hAnsi="Times New Roman" w:cs="Times New Roman"/>
                <w:sz w:val="16"/>
                <w:szCs w:val="16"/>
              </w:rPr>
            </w:pPr>
            <w:r w:rsidRPr="00C33A5F">
              <w:rPr>
                <w:rFonts w:ascii="Times New Roman" w:eastAsia="Calibri" w:hAnsi="Times New Roman" w:cs="Times New Roman"/>
                <w:sz w:val="16"/>
                <w:szCs w:val="16"/>
              </w:rPr>
              <w:t>1.</w:t>
            </w:r>
            <w:r w:rsidR="00A277FF" w:rsidRPr="00C33A5F">
              <w:rPr>
                <w:rFonts w:ascii="Times New Roman" w:eastAsia="Calibri" w:hAnsi="Times New Roman" w:cs="Times New Roman"/>
                <w:sz w:val="16"/>
                <w:szCs w:val="16"/>
              </w:rPr>
              <w:t xml:space="preserve"> </w:t>
            </w:r>
            <w:r w:rsidRPr="00C33A5F">
              <w:rPr>
                <w:rFonts w:ascii="Times New Roman" w:eastAsia="Calibri" w:hAnsi="Times New Roman" w:cs="Times New Roman"/>
                <w:sz w:val="16"/>
                <w:szCs w:val="16"/>
              </w:rPr>
              <w:t>Group</w:t>
            </w:r>
            <w:r w:rsidR="00A277FF" w:rsidRPr="00C33A5F">
              <w:rPr>
                <w:rFonts w:ascii="Times New Roman" w:eastAsia="Calibri" w:hAnsi="Times New Roman" w:cs="Times New Roman"/>
                <w:sz w:val="16"/>
                <w:szCs w:val="16"/>
              </w:rPr>
              <w:t xml:space="preserve"> 1 (N= 106)</w:t>
            </w:r>
            <w:r w:rsidR="00F01BD8">
              <w:rPr>
                <w:rFonts w:ascii="Times New Roman" w:eastAsia="Calibri" w:hAnsi="Times New Roman" w:cs="Times New Roman"/>
                <w:sz w:val="16"/>
                <w:szCs w:val="16"/>
              </w:rPr>
              <w:t xml:space="preserve">; </w:t>
            </w:r>
            <w:r w:rsidRPr="00C33A5F">
              <w:rPr>
                <w:rFonts w:ascii="Times New Roman" w:eastAsia="Calibri" w:hAnsi="Times New Roman" w:cs="Times New Roman"/>
                <w:sz w:val="16"/>
                <w:szCs w:val="16"/>
              </w:rPr>
              <w:t>2.</w:t>
            </w:r>
            <w:r w:rsidR="00A277FF" w:rsidRPr="00C33A5F">
              <w:rPr>
                <w:rFonts w:ascii="Times New Roman" w:eastAsia="Calibri" w:hAnsi="Times New Roman" w:cs="Times New Roman"/>
                <w:sz w:val="16"/>
                <w:szCs w:val="16"/>
              </w:rPr>
              <w:t xml:space="preserve"> </w:t>
            </w:r>
            <w:r w:rsidRPr="00C33A5F">
              <w:rPr>
                <w:rFonts w:ascii="Times New Roman" w:eastAsia="Calibri" w:hAnsi="Times New Roman" w:cs="Times New Roman"/>
                <w:sz w:val="16"/>
                <w:szCs w:val="16"/>
              </w:rPr>
              <w:t>Group 2 (N=104)</w:t>
            </w:r>
          </w:p>
        </w:tc>
        <w:tc>
          <w:tcPr>
            <w:tcW w:w="3827" w:type="dxa"/>
            <w:tcBorders>
              <w:left w:val="nil"/>
              <w:right w:val="nil"/>
            </w:tcBorders>
            <w:tcMar>
              <w:top w:w="28" w:type="dxa"/>
              <w:bottom w:w="28" w:type="dxa"/>
            </w:tcMar>
            <w:vAlign w:val="center"/>
          </w:tcPr>
          <w:p w14:paraId="1B4B8D72"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1.</w:t>
            </w:r>
            <w:r w:rsidRPr="00C33A5F">
              <w:rPr>
                <w:rFonts w:ascii="Times New Roman" w:hAnsi="Times New Roman" w:cs="Times New Roman"/>
                <w:sz w:val="16"/>
                <w:szCs w:val="16"/>
              </w:rPr>
              <w:t xml:space="preserve"> Single dose of 250,000IU Vitamin D3</w:t>
            </w:r>
          </w:p>
          <w:p w14:paraId="3C7E13B9"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2. Placebo</w:t>
            </w:r>
          </w:p>
        </w:tc>
        <w:tc>
          <w:tcPr>
            <w:tcW w:w="4536" w:type="dxa"/>
            <w:tcBorders>
              <w:left w:val="nil"/>
              <w:right w:val="nil"/>
            </w:tcBorders>
            <w:tcMar>
              <w:top w:w="28" w:type="dxa"/>
              <w:bottom w:w="28" w:type="dxa"/>
            </w:tcMar>
            <w:vAlign w:val="center"/>
          </w:tcPr>
          <w:p w14:paraId="4BC77AB8" w14:textId="77777777" w:rsidR="00201E8F" w:rsidRPr="00C33A5F" w:rsidRDefault="00201E8F" w:rsidP="00F01BD8">
            <w:pPr>
              <w:rPr>
                <w:rFonts w:ascii="Times New Roman" w:eastAsia="Calibri" w:hAnsi="Times New Roman" w:cs="Times New Roman"/>
                <w:sz w:val="16"/>
                <w:szCs w:val="16"/>
              </w:rPr>
            </w:pPr>
            <w:r w:rsidRPr="00C33A5F">
              <w:rPr>
                <w:rFonts w:ascii="Times New Roman" w:eastAsia="Calibri" w:hAnsi="Times New Roman" w:cs="Times New Roman"/>
                <w:sz w:val="16"/>
                <w:szCs w:val="16"/>
              </w:rPr>
              <w:t>Statistically significant reduction in falls incidence in IG at 4 wks.</w:t>
            </w:r>
            <w:r w:rsidR="00F01BD8">
              <w:rPr>
                <w:rFonts w:ascii="Times New Roman" w:eastAsia="Calibri" w:hAnsi="Times New Roman" w:cs="Times New Roman"/>
                <w:sz w:val="16"/>
                <w:szCs w:val="16"/>
              </w:rPr>
              <w:t xml:space="preserve">  </w:t>
            </w:r>
            <w:r w:rsidRPr="00C33A5F">
              <w:rPr>
                <w:rFonts w:ascii="Times New Roman" w:eastAsia="Calibri" w:hAnsi="Times New Roman" w:cs="Times New Roman"/>
                <w:sz w:val="16"/>
                <w:szCs w:val="16"/>
              </w:rPr>
              <w:t>No significant difference in fractures between groups at 4 wks.</w:t>
            </w:r>
          </w:p>
        </w:tc>
        <w:tc>
          <w:tcPr>
            <w:tcW w:w="530" w:type="dxa"/>
            <w:tcBorders>
              <w:left w:val="nil"/>
              <w:right w:val="nil"/>
            </w:tcBorders>
            <w:tcMar>
              <w:top w:w="28" w:type="dxa"/>
              <w:bottom w:w="28" w:type="dxa"/>
            </w:tcMar>
            <w:vAlign w:val="center"/>
          </w:tcPr>
          <w:p w14:paraId="3EBBCEDE" w14:textId="77777777" w:rsidR="00201E8F" w:rsidRPr="00C33A5F" w:rsidRDefault="00612BF7" w:rsidP="00201E8F">
            <w:pPr>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r>
      <w:tr w:rsidR="00201E8F" w:rsidRPr="00C33A5F" w14:paraId="751AE38A" w14:textId="77777777" w:rsidTr="00956011">
        <w:trPr>
          <w:trHeight w:val="388"/>
        </w:trPr>
        <w:tc>
          <w:tcPr>
            <w:tcW w:w="1970" w:type="dxa"/>
            <w:tcBorders>
              <w:left w:val="nil"/>
              <w:bottom w:val="single" w:sz="12" w:space="0" w:color="auto"/>
              <w:right w:val="nil"/>
            </w:tcBorders>
            <w:tcMar>
              <w:top w:w="28" w:type="dxa"/>
              <w:bottom w:w="28" w:type="dxa"/>
            </w:tcMar>
            <w:vAlign w:val="center"/>
          </w:tcPr>
          <w:p w14:paraId="6DFECFA8" w14:textId="77777777" w:rsidR="00201E8F" w:rsidRPr="008B435D" w:rsidRDefault="00201E8F" w:rsidP="00201E8F">
            <w:pPr>
              <w:rPr>
                <w:rFonts w:ascii="Times New Roman" w:hAnsi="Times New Roman" w:cs="Times New Roman"/>
                <w:sz w:val="16"/>
                <w:szCs w:val="16"/>
                <w:lang w:val="de-AT"/>
              </w:rPr>
            </w:pPr>
            <w:r w:rsidRPr="008B435D">
              <w:rPr>
                <w:rFonts w:ascii="Times New Roman" w:hAnsi="Times New Roman" w:cs="Times New Roman"/>
                <w:sz w:val="16"/>
                <w:szCs w:val="16"/>
                <w:lang w:val="de-AT"/>
              </w:rPr>
              <w:t>Myint et al.</w:t>
            </w:r>
            <w:r w:rsidR="004169A5" w:rsidRPr="008B435D">
              <w:rPr>
                <w:rFonts w:ascii="Times New Roman" w:hAnsi="Times New Roman" w:cs="Times New Roman"/>
                <w:sz w:val="16"/>
                <w:szCs w:val="16"/>
                <w:lang w:val="de-AT"/>
              </w:rPr>
              <w:t>[42]</w:t>
            </w:r>
            <w:r w:rsidRPr="008B435D">
              <w:rPr>
                <w:rFonts w:ascii="Times New Roman" w:hAnsi="Times New Roman" w:cs="Times New Roman"/>
                <w:sz w:val="16"/>
                <w:szCs w:val="16"/>
                <w:lang w:val="de-AT"/>
              </w:rPr>
              <w:t>, Hong Kong</w:t>
            </w:r>
          </w:p>
          <w:p w14:paraId="637158D0" w14:textId="77777777" w:rsidR="00201E8F" w:rsidRPr="008B435D" w:rsidRDefault="00201E8F" w:rsidP="00201E8F">
            <w:pPr>
              <w:rPr>
                <w:rFonts w:ascii="Times New Roman" w:eastAsia="Times New Roman" w:hAnsi="Times New Roman" w:cs="Times New Roman"/>
                <w:color w:val="000000"/>
                <w:sz w:val="16"/>
                <w:szCs w:val="16"/>
                <w:lang w:val="de-AT" w:eastAsia="en-GB"/>
              </w:rPr>
            </w:pPr>
            <w:r w:rsidRPr="008B435D">
              <w:rPr>
                <w:rFonts w:ascii="Times New Roman" w:hAnsi="Times New Roman" w:cs="Times New Roman"/>
                <w:sz w:val="16"/>
                <w:szCs w:val="16"/>
                <w:lang w:val="de-AT"/>
              </w:rPr>
              <w:t xml:space="preserve">inpatient </w:t>
            </w:r>
          </w:p>
        </w:tc>
        <w:tc>
          <w:tcPr>
            <w:tcW w:w="709" w:type="dxa"/>
            <w:tcBorders>
              <w:left w:val="nil"/>
              <w:bottom w:val="single" w:sz="12" w:space="0" w:color="auto"/>
              <w:right w:val="nil"/>
            </w:tcBorders>
            <w:tcMar>
              <w:top w:w="28" w:type="dxa"/>
              <w:bottom w:w="28" w:type="dxa"/>
            </w:tcMar>
            <w:vAlign w:val="center"/>
          </w:tcPr>
          <w:p w14:paraId="0E691C46"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RCT</w:t>
            </w:r>
          </w:p>
        </w:tc>
        <w:tc>
          <w:tcPr>
            <w:tcW w:w="3118" w:type="dxa"/>
            <w:tcBorders>
              <w:left w:val="nil"/>
              <w:bottom w:val="single" w:sz="12" w:space="0" w:color="auto"/>
              <w:right w:val="nil"/>
            </w:tcBorders>
            <w:tcMar>
              <w:top w:w="28" w:type="dxa"/>
              <w:bottom w:w="28" w:type="dxa"/>
            </w:tcMar>
            <w:vAlign w:val="center"/>
          </w:tcPr>
          <w:p w14:paraId="716E74CE"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Patients after HF surgery</w:t>
            </w:r>
          </w:p>
          <w:p w14:paraId="3583F8B3" w14:textId="77777777" w:rsidR="00201E8F" w:rsidRPr="00C33A5F" w:rsidRDefault="00201E8F" w:rsidP="00F01BD8">
            <w:pPr>
              <w:rPr>
                <w:rFonts w:ascii="Times New Roman" w:eastAsia="Calibri" w:hAnsi="Times New Roman" w:cs="Times New Roman"/>
                <w:sz w:val="16"/>
                <w:szCs w:val="16"/>
              </w:rPr>
            </w:pPr>
            <w:r w:rsidRPr="00C33A5F">
              <w:rPr>
                <w:rFonts w:ascii="Times New Roman" w:eastAsia="Calibri" w:hAnsi="Times New Roman" w:cs="Times New Roman"/>
                <w:sz w:val="16"/>
                <w:szCs w:val="16"/>
              </w:rPr>
              <w:t>1.</w:t>
            </w:r>
            <w:r w:rsidR="00A277FF" w:rsidRPr="00C33A5F">
              <w:rPr>
                <w:rFonts w:ascii="Times New Roman" w:eastAsia="Calibri" w:hAnsi="Times New Roman" w:cs="Times New Roman"/>
                <w:sz w:val="16"/>
                <w:szCs w:val="16"/>
              </w:rPr>
              <w:t xml:space="preserve"> Group 1 (N=58)</w:t>
            </w:r>
            <w:r w:rsidR="00F01BD8">
              <w:rPr>
                <w:rFonts w:ascii="Times New Roman" w:eastAsia="Calibri" w:hAnsi="Times New Roman" w:cs="Times New Roman"/>
                <w:sz w:val="16"/>
                <w:szCs w:val="16"/>
              </w:rPr>
              <w:t xml:space="preserve">; </w:t>
            </w:r>
            <w:r w:rsidRPr="00C33A5F">
              <w:rPr>
                <w:rFonts w:ascii="Times New Roman" w:eastAsia="Calibri" w:hAnsi="Times New Roman" w:cs="Times New Roman"/>
                <w:sz w:val="16"/>
                <w:szCs w:val="16"/>
              </w:rPr>
              <w:t>1.</w:t>
            </w:r>
            <w:r w:rsidR="00A277FF" w:rsidRPr="00C33A5F">
              <w:rPr>
                <w:rFonts w:ascii="Times New Roman" w:eastAsia="Calibri" w:hAnsi="Times New Roman" w:cs="Times New Roman"/>
                <w:sz w:val="16"/>
                <w:szCs w:val="16"/>
              </w:rPr>
              <w:t xml:space="preserve"> </w:t>
            </w:r>
            <w:r w:rsidR="00612BF7">
              <w:rPr>
                <w:rFonts w:ascii="Times New Roman" w:eastAsia="Calibri" w:hAnsi="Times New Roman" w:cs="Times New Roman"/>
                <w:sz w:val="16"/>
                <w:szCs w:val="16"/>
              </w:rPr>
              <w:t>Group 2</w:t>
            </w:r>
            <w:r w:rsidRPr="00C33A5F">
              <w:rPr>
                <w:rFonts w:ascii="Times New Roman" w:eastAsia="Calibri" w:hAnsi="Times New Roman" w:cs="Times New Roman"/>
                <w:sz w:val="16"/>
                <w:szCs w:val="16"/>
              </w:rPr>
              <w:t xml:space="preserve"> (N=58)</w:t>
            </w:r>
          </w:p>
        </w:tc>
        <w:tc>
          <w:tcPr>
            <w:tcW w:w="3827" w:type="dxa"/>
            <w:tcBorders>
              <w:left w:val="nil"/>
              <w:bottom w:val="single" w:sz="12" w:space="0" w:color="auto"/>
              <w:right w:val="nil"/>
            </w:tcBorders>
            <w:tcMar>
              <w:top w:w="28" w:type="dxa"/>
              <w:bottom w:w="28" w:type="dxa"/>
            </w:tcMar>
            <w:vAlign w:val="center"/>
          </w:tcPr>
          <w:p w14:paraId="22E8BA3B"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1.</w:t>
            </w:r>
            <w:r w:rsidR="00A277FF" w:rsidRPr="00C33A5F">
              <w:rPr>
                <w:rFonts w:ascii="Times New Roman" w:eastAsia="Calibri" w:hAnsi="Times New Roman" w:cs="Times New Roman"/>
                <w:sz w:val="16"/>
                <w:szCs w:val="16"/>
              </w:rPr>
              <w:t xml:space="preserve"> </w:t>
            </w:r>
            <w:r w:rsidRPr="00C33A5F">
              <w:rPr>
                <w:rFonts w:ascii="Times New Roman" w:eastAsia="Calibri" w:hAnsi="Times New Roman" w:cs="Times New Roman"/>
                <w:sz w:val="16"/>
                <w:szCs w:val="16"/>
              </w:rPr>
              <w:t>Daily oral nutritional supplement for 28 days</w:t>
            </w:r>
          </w:p>
          <w:p w14:paraId="553D1CAF"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2. Usual care</w:t>
            </w:r>
          </w:p>
        </w:tc>
        <w:tc>
          <w:tcPr>
            <w:tcW w:w="4536" w:type="dxa"/>
            <w:tcBorders>
              <w:left w:val="nil"/>
              <w:bottom w:val="single" w:sz="12" w:space="0" w:color="auto"/>
              <w:right w:val="nil"/>
            </w:tcBorders>
            <w:tcMar>
              <w:top w:w="28" w:type="dxa"/>
              <w:bottom w:w="28" w:type="dxa"/>
            </w:tcMar>
            <w:vAlign w:val="center"/>
          </w:tcPr>
          <w:p w14:paraId="248248B5"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 xml:space="preserve">No significant between group difference in Elderly Mobility Scale 4 </w:t>
            </w:r>
            <w:proofErr w:type="spellStart"/>
            <w:r w:rsidRPr="00C33A5F">
              <w:rPr>
                <w:rFonts w:ascii="Times New Roman" w:eastAsia="Calibri" w:hAnsi="Times New Roman" w:cs="Times New Roman"/>
                <w:sz w:val="16"/>
                <w:szCs w:val="16"/>
              </w:rPr>
              <w:t>wks</w:t>
            </w:r>
            <w:proofErr w:type="spellEnd"/>
            <w:r w:rsidRPr="00C33A5F">
              <w:rPr>
                <w:rFonts w:ascii="Times New Roman" w:eastAsia="Calibri" w:hAnsi="Times New Roman" w:cs="Times New Roman"/>
                <w:sz w:val="16"/>
                <w:szCs w:val="16"/>
              </w:rPr>
              <w:t xml:space="preserve"> post discharge.</w:t>
            </w:r>
          </w:p>
        </w:tc>
        <w:tc>
          <w:tcPr>
            <w:tcW w:w="530" w:type="dxa"/>
            <w:tcBorders>
              <w:left w:val="nil"/>
              <w:bottom w:val="single" w:sz="12" w:space="0" w:color="auto"/>
              <w:right w:val="nil"/>
            </w:tcBorders>
            <w:tcMar>
              <w:top w:w="28" w:type="dxa"/>
              <w:bottom w:w="28" w:type="dxa"/>
            </w:tcMar>
            <w:vAlign w:val="center"/>
          </w:tcPr>
          <w:p w14:paraId="352C0725" w14:textId="77777777" w:rsidR="00201E8F" w:rsidRPr="00C33A5F" w:rsidRDefault="00201E8F" w:rsidP="00201E8F">
            <w:pPr>
              <w:jc w:val="center"/>
              <w:rPr>
                <w:rFonts w:ascii="Times New Roman" w:eastAsia="Calibri" w:hAnsi="Times New Roman" w:cs="Times New Roman"/>
                <w:sz w:val="16"/>
                <w:szCs w:val="16"/>
              </w:rPr>
            </w:pPr>
            <w:r w:rsidRPr="00C33A5F">
              <w:rPr>
                <w:rFonts w:ascii="Times New Roman" w:eastAsia="Calibri" w:hAnsi="Times New Roman" w:cs="Times New Roman"/>
                <w:sz w:val="16"/>
                <w:szCs w:val="16"/>
              </w:rPr>
              <w:t>2</w:t>
            </w:r>
          </w:p>
        </w:tc>
      </w:tr>
      <w:tr w:rsidR="00201E8F" w:rsidRPr="00C33A5F" w14:paraId="1E560BFF" w14:textId="77777777" w:rsidTr="00956011">
        <w:trPr>
          <w:trHeight w:val="96"/>
        </w:trPr>
        <w:tc>
          <w:tcPr>
            <w:tcW w:w="14690" w:type="dxa"/>
            <w:gridSpan w:val="6"/>
            <w:tcBorders>
              <w:top w:val="single" w:sz="12" w:space="0" w:color="auto"/>
              <w:left w:val="nil"/>
              <w:bottom w:val="single" w:sz="12" w:space="0" w:color="auto"/>
              <w:right w:val="nil"/>
            </w:tcBorders>
            <w:shd w:val="clear" w:color="auto" w:fill="D9D9D9" w:themeFill="background1" w:themeFillShade="D9"/>
            <w:tcMar>
              <w:top w:w="28" w:type="dxa"/>
              <w:bottom w:w="28" w:type="dxa"/>
            </w:tcMar>
            <w:vAlign w:val="center"/>
          </w:tcPr>
          <w:p w14:paraId="239821D1" w14:textId="77777777" w:rsidR="00201E8F" w:rsidRPr="00C33A5F" w:rsidRDefault="00F65CC2" w:rsidP="00201E8F">
            <w:pPr>
              <w:rPr>
                <w:rFonts w:ascii="Times New Roman" w:eastAsia="Calibri" w:hAnsi="Times New Roman" w:cs="Times New Roman"/>
                <w:b/>
                <w:sz w:val="16"/>
                <w:szCs w:val="16"/>
              </w:rPr>
            </w:pPr>
            <w:r>
              <w:rPr>
                <w:rFonts w:ascii="Times New Roman" w:eastAsia="Calibri" w:hAnsi="Times New Roman" w:cs="Times New Roman"/>
                <w:b/>
                <w:sz w:val="16"/>
                <w:szCs w:val="16"/>
              </w:rPr>
              <w:t>iii)</w:t>
            </w:r>
            <w:r w:rsidR="00201E8F" w:rsidRPr="00C33A5F">
              <w:rPr>
                <w:rFonts w:ascii="Times New Roman" w:eastAsia="Calibri" w:hAnsi="Times New Roman" w:cs="Times New Roman"/>
                <w:b/>
                <w:sz w:val="16"/>
                <w:szCs w:val="16"/>
              </w:rPr>
              <w:t>Orthoses</w:t>
            </w:r>
          </w:p>
        </w:tc>
      </w:tr>
      <w:tr w:rsidR="00201E8F" w:rsidRPr="00C33A5F" w14:paraId="1C185EC2" w14:textId="77777777" w:rsidTr="00956011">
        <w:trPr>
          <w:trHeight w:val="363"/>
        </w:trPr>
        <w:tc>
          <w:tcPr>
            <w:tcW w:w="1970" w:type="dxa"/>
            <w:tcBorders>
              <w:top w:val="single" w:sz="12" w:space="0" w:color="auto"/>
              <w:left w:val="nil"/>
              <w:right w:val="nil"/>
            </w:tcBorders>
            <w:tcMar>
              <w:top w:w="28" w:type="dxa"/>
              <w:bottom w:w="28" w:type="dxa"/>
            </w:tcMar>
            <w:vAlign w:val="center"/>
          </w:tcPr>
          <w:p w14:paraId="6616EA89" w14:textId="77777777" w:rsidR="00201E8F" w:rsidRPr="00C33A5F" w:rsidRDefault="00201E8F" w:rsidP="00201E8F">
            <w:pPr>
              <w:rPr>
                <w:rFonts w:ascii="Times New Roman" w:eastAsia="Times New Roman" w:hAnsi="Times New Roman" w:cs="Times New Roman"/>
                <w:color w:val="000000"/>
                <w:sz w:val="16"/>
                <w:szCs w:val="16"/>
                <w:lang w:eastAsia="en-GB"/>
              </w:rPr>
            </w:pPr>
            <w:r w:rsidRPr="00C33A5F">
              <w:rPr>
                <w:rFonts w:ascii="Times New Roman" w:eastAsia="Times New Roman" w:hAnsi="Times New Roman" w:cs="Times New Roman"/>
                <w:color w:val="000000"/>
                <w:sz w:val="16"/>
                <w:szCs w:val="16"/>
                <w:lang w:eastAsia="en-GB"/>
              </w:rPr>
              <w:t xml:space="preserve">Newman </w:t>
            </w:r>
            <w:proofErr w:type="gramStart"/>
            <w:r w:rsidRPr="00C33A5F">
              <w:rPr>
                <w:rFonts w:ascii="Times New Roman" w:eastAsia="Times New Roman" w:hAnsi="Times New Roman" w:cs="Times New Roman"/>
                <w:color w:val="000000"/>
                <w:sz w:val="16"/>
                <w:szCs w:val="16"/>
                <w:lang w:eastAsia="en-GB"/>
              </w:rPr>
              <w:t>et al</w:t>
            </w:r>
            <w:r w:rsidR="004169A5">
              <w:rPr>
                <w:rFonts w:ascii="Times New Roman" w:eastAsia="Times New Roman" w:hAnsi="Times New Roman" w:cs="Times New Roman"/>
                <w:color w:val="000000"/>
                <w:sz w:val="16"/>
                <w:szCs w:val="16"/>
                <w:lang w:eastAsia="en-GB"/>
              </w:rPr>
              <w:t>.[</w:t>
            </w:r>
            <w:proofErr w:type="gramEnd"/>
            <w:r w:rsidR="004169A5">
              <w:rPr>
                <w:rFonts w:ascii="Times New Roman" w:eastAsia="Times New Roman" w:hAnsi="Times New Roman" w:cs="Times New Roman"/>
                <w:color w:val="000000"/>
                <w:sz w:val="16"/>
                <w:szCs w:val="16"/>
                <w:lang w:eastAsia="en-GB"/>
              </w:rPr>
              <w:t>32]</w:t>
            </w:r>
            <w:r w:rsidRPr="00C33A5F">
              <w:rPr>
                <w:rFonts w:ascii="Times New Roman" w:eastAsia="Times New Roman" w:hAnsi="Times New Roman" w:cs="Times New Roman"/>
                <w:color w:val="000000"/>
                <w:sz w:val="16"/>
                <w:szCs w:val="16"/>
                <w:lang w:eastAsia="en-GB"/>
              </w:rPr>
              <w:t>, inpatient, outpatient &amp; community</w:t>
            </w:r>
          </w:p>
        </w:tc>
        <w:tc>
          <w:tcPr>
            <w:tcW w:w="709" w:type="dxa"/>
            <w:tcBorders>
              <w:top w:val="single" w:sz="12" w:space="0" w:color="auto"/>
              <w:left w:val="nil"/>
              <w:right w:val="nil"/>
            </w:tcBorders>
            <w:tcMar>
              <w:top w:w="28" w:type="dxa"/>
              <w:bottom w:w="28" w:type="dxa"/>
            </w:tcMar>
            <w:vAlign w:val="center"/>
          </w:tcPr>
          <w:p w14:paraId="18306CC1"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SR</w:t>
            </w:r>
          </w:p>
        </w:tc>
        <w:tc>
          <w:tcPr>
            <w:tcW w:w="3118" w:type="dxa"/>
            <w:tcBorders>
              <w:top w:val="single" w:sz="12" w:space="0" w:color="auto"/>
              <w:left w:val="nil"/>
              <w:right w:val="nil"/>
            </w:tcBorders>
            <w:tcMar>
              <w:top w:w="28" w:type="dxa"/>
              <w:bottom w:w="28" w:type="dxa"/>
            </w:tcMar>
            <w:vAlign w:val="center"/>
          </w:tcPr>
          <w:p w14:paraId="14C8D992"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Patients with OVF; 12 studies (N=626)</w:t>
            </w:r>
          </w:p>
        </w:tc>
        <w:tc>
          <w:tcPr>
            <w:tcW w:w="3827" w:type="dxa"/>
            <w:tcBorders>
              <w:top w:val="single" w:sz="12" w:space="0" w:color="auto"/>
              <w:left w:val="nil"/>
              <w:right w:val="nil"/>
            </w:tcBorders>
            <w:tcMar>
              <w:top w:w="28" w:type="dxa"/>
              <w:bottom w:w="28" w:type="dxa"/>
            </w:tcMar>
            <w:vAlign w:val="center"/>
          </w:tcPr>
          <w:p w14:paraId="784F6504"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Spinal orthoses</w:t>
            </w:r>
          </w:p>
        </w:tc>
        <w:tc>
          <w:tcPr>
            <w:tcW w:w="4536" w:type="dxa"/>
            <w:tcBorders>
              <w:top w:val="single" w:sz="12" w:space="0" w:color="auto"/>
              <w:left w:val="nil"/>
              <w:right w:val="nil"/>
            </w:tcBorders>
            <w:tcMar>
              <w:top w:w="28" w:type="dxa"/>
              <w:bottom w:w="28" w:type="dxa"/>
            </w:tcMar>
            <w:vAlign w:val="center"/>
          </w:tcPr>
          <w:p w14:paraId="18E34663"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2/12 studies showed improvements in balance with orthoses</w:t>
            </w:r>
          </w:p>
        </w:tc>
        <w:tc>
          <w:tcPr>
            <w:tcW w:w="530" w:type="dxa"/>
            <w:tcBorders>
              <w:top w:val="single" w:sz="12" w:space="0" w:color="auto"/>
              <w:left w:val="nil"/>
              <w:right w:val="nil"/>
            </w:tcBorders>
            <w:tcMar>
              <w:top w:w="28" w:type="dxa"/>
              <w:bottom w:w="28" w:type="dxa"/>
            </w:tcMar>
            <w:vAlign w:val="center"/>
          </w:tcPr>
          <w:p w14:paraId="62100839" w14:textId="77777777" w:rsidR="00201E8F" w:rsidRPr="00C33A5F" w:rsidRDefault="00201E8F" w:rsidP="00201E8F">
            <w:pPr>
              <w:jc w:val="center"/>
              <w:rPr>
                <w:rFonts w:ascii="Times New Roman" w:eastAsia="Calibri" w:hAnsi="Times New Roman" w:cs="Times New Roman"/>
                <w:sz w:val="16"/>
                <w:szCs w:val="16"/>
              </w:rPr>
            </w:pPr>
            <w:r w:rsidRPr="00C33A5F">
              <w:rPr>
                <w:rFonts w:ascii="Times New Roman" w:eastAsia="Calibri" w:hAnsi="Times New Roman" w:cs="Times New Roman"/>
                <w:sz w:val="16"/>
                <w:szCs w:val="16"/>
              </w:rPr>
              <w:t>2</w:t>
            </w:r>
          </w:p>
        </w:tc>
      </w:tr>
      <w:tr w:rsidR="00201E8F" w:rsidRPr="00C33A5F" w14:paraId="3C15EC8F" w14:textId="77777777" w:rsidTr="00956011">
        <w:trPr>
          <w:trHeight w:val="363"/>
        </w:trPr>
        <w:tc>
          <w:tcPr>
            <w:tcW w:w="1970" w:type="dxa"/>
            <w:tcBorders>
              <w:left w:val="nil"/>
              <w:bottom w:val="single" w:sz="12" w:space="0" w:color="auto"/>
              <w:right w:val="nil"/>
            </w:tcBorders>
            <w:tcMar>
              <w:top w:w="28" w:type="dxa"/>
              <w:bottom w:w="28" w:type="dxa"/>
            </w:tcMar>
            <w:vAlign w:val="center"/>
          </w:tcPr>
          <w:p w14:paraId="6DF7E91A" w14:textId="77777777" w:rsidR="00201E8F" w:rsidRPr="00C33A5F" w:rsidRDefault="00201E8F" w:rsidP="00201E8F">
            <w:pPr>
              <w:rPr>
                <w:rFonts w:ascii="Times New Roman" w:eastAsia="Times New Roman" w:hAnsi="Times New Roman" w:cs="Times New Roman"/>
                <w:color w:val="000000"/>
                <w:sz w:val="16"/>
                <w:szCs w:val="16"/>
                <w:lang w:eastAsia="en-GB"/>
              </w:rPr>
            </w:pPr>
            <w:r w:rsidRPr="00C33A5F">
              <w:rPr>
                <w:rFonts w:ascii="Times New Roman" w:hAnsi="Times New Roman" w:cs="Times New Roman"/>
                <w:sz w:val="16"/>
                <w:szCs w:val="16"/>
              </w:rPr>
              <w:t xml:space="preserve">De </w:t>
            </w:r>
            <w:proofErr w:type="spellStart"/>
            <w:r w:rsidRPr="00C33A5F">
              <w:rPr>
                <w:rFonts w:ascii="Times New Roman" w:hAnsi="Times New Roman" w:cs="Times New Roman"/>
                <w:sz w:val="16"/>
                <w:szCs w:val="16"/>
              </w:rPr>
              <w:t>Morais</w:t>
            </w:r>
            <w:proofErr w:type="spellEnd"/>
            <w:r w:rsidRPr="00C33A5F">
              <w:rPr>
                <w:rFonts w:ascii="Times New Roman" w:hAnsi="Times New Roman" w:cs="Times New Roman"/>
                <w:sz w:val="16"/>
                <w:szCs w:val="16"/>
              </w:rPr>
              <w:t xml:space="preserve"> Barbosa </w:t>
            </w:r>
            <w:proofErr w:type="gramStart"/>
            <w:r w:rsidRPr="00C33A5F">
              <w:rPr>
                <w:rFonts w:ascii="Times New Roman" w:hAnsi="Times New Roman" w:cs="Times New Roman"/>
                <w:sz w:val="16"/>
                <w:szCs w:val="16"/>
              </w:rPr>
              <w:t>et al.</w:t>
            </w:r>
            <w:r w:rsidR="004169A5">
              <w:rPr>
                <w:rFonts w:ascii="Times New Roman" w:hAnsi="Times New Roman" w:cs="Times New Roman"/>
                <w:sz w:val="16"/>
                <w:szCs w:val="16"/>
              </w:rPr>
              <w:t>[</w:t>
            </w:r>
            <w:proofErr w:type="gramEnd"/>
            <w:r w:rsidR="004169A5">
              <w:rPr>
                <w:rFonts w:ascii="Times New Roman" w:hAnsi="Times New Roman" w:cs="Times New Roman"/>
                <w:sz w:val="16"/>
                <w:szCs w:val="16"/>
              </w:rPr>
              <w:t>30]</w:t>
            </w:r>
            <w:r w:rsidRPr="00C33A5F">
              <w:rPr>
                <w:rFonts w:ascii="Times New Roman" w:hAnsi="Times New Roman" w:cs="Times New Roman"/>
                <w:sz w:val="16"/>
                <w:szCs w:val="16"/>
              </w:rPr>
              <w:t>, Brazil, community</w:t>
            </w:r>
          </w:p>
        </w:tc>
        <w:tc>
          <w:tcPr>
            <w:tcW w:w="709" w:type="dxa"/>
            <w:tcBorders>
              <w:left w:val="nil"/>
              <w:bottom w:val="single" w:sz="12" w:space="0" w:color="auto"/>
              <w:right w:val="nil"/>
            </w:tcBorders>
            <w:tcMar>
              <w:top w:w="28" w:type="dxa"/>
              <w:bottom w:w="28" w:type="dxa"/>
            </w:tcMar>
            <w:vAlign w:val="center"/>
          </w:tcPr>
          <w:p w14:paraId="5AB6863A"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RCT</w:t>
            </w:r>
          </w:p>
        </w:tc>
        <w:tc>
          <w:tcPr>
            <w:tcW w:w="3118" w:type="dxa"/>
            <w:tcBorders>
              <w:left w:val="nil"/>
              <w:bottom w:val="single" w:sz="12" w:space="0" w:color="auto"/>
              <w:right w:val="nil"/>
            </w:tcBorders>
            <w:tcMar>
              <w:top w:w="28" w:type="dxa"/>
              <w:bottom w:w="28" w:type="dxa"/>
            </w:tcMar>
            <w:vAlign w:val="center"/>
          </w:tcPr>
          <w:p w14:paraId="27483B9C"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Women with OP +/- fracture</w:t>
            </w:r>
          </w:p>
          <w:p w14:paraId="19238FAA" w14:textId="77777777" w:rsidR="00201E8F" w:rsidRPr="00C33A5F" w:rsidRDefault="00201E8F" w:rsidP="00F01BD8">
            <w:pPr>
              <w:rPr>
                <w:rFonts w:ascii="Times New Roman" w:eastAsia="Calibri" w:hAnsi="Times New Roman" w:cs="Times New Roman"/>
                <w:sz w:val="16"/>
                <w:szCs w:val="16"/>
              </w:rPr>
            </w:pPr>
            <w:r w:rsidRPr="00C33A5F">
              <w:rPr>
                <w:rFonts w:ascii="Times New Roman" w:eastAsia="Calibri" w:hAnsi="Times New Roman" w:cs="Times New Roman"/>
                <w:sz w:val="16"/>
                <w:szCs w:val="16"/>
              </w:rPr>
              <w:t>1.</w:t>
            </w:r>
            <w:r w:rsidR="00A277FF" w:rsidRPr="00C33A5F">
              <w:rPr>
                <w:rFonts w:ascii="Times New Roman" w:eastAsia="Calibri" w:hAnsi="Times New Roman" w:cs="Times New Roman"/>
                <w:sz w:val="16"/>
                <w:szCs w:val="16"/>
              </w:rPr>
              <w:t xml:space="preserve"> Group 1 (N=44)</w:t>
            </w:r>
            <w:r w:rsidR="00F01BD8">
              <w:rPr>
                <w:rFonts w:ascii="Times New Roman" w:eastAsia="Calibri" w:hAnsi="Times New Roman" w:cs="Times New Roman"/>
                <w:sz w:val="16"/>
                <w:szCs w:val="16"/>
              </w:rPr>
              <w:t xml:space="preserve">; </w:t>
            </w:r>
            <w:r w:rsidRPr="00C33A5F">
              <w:rPr>
                <w:rFonts w:ascii="Times New Roman" w:eastAsia="Calibri" w:hAnsi="Times New Roman" w:cs="Times New Roman"/>
                <w:sz w:val="16"/>
                <w:szCs w:val="16"/>
              </w:rPr>
              <w:t>2.</w:t>
            </w:r>
            <w:r w:rsidR="00A277FF" w:rsidRPr="00C33A5F">
              <w:rPr>
                <w:rFonts w:ascii="Times New Roman" w:eastAsia="Calibri" w:hAnsi="Times New Roman" w:cs="Times New Roman"/>
                <w:sz w:val="16"/>
                <w:szCs w:val="16"/>
              </w:rPr>
              <w:t xml:space="preserve"> </w:t>
            </w:r>
            <w:r w:rsidRPr="00C33A5F">
              <w:rPr>
                <w:rFonts w:ascii="Times New Roman" w:eastAsia="Calibri" w:hAnsi="Times New Roman" w:cs="Times New Roman"/>
                <w:sz w:val="16"/>
                <w:szCs w:val="16"/>
              </w:rPr>
              <w:t>Group 2 (N=45)</w:t>
            </w:r>
          </w:p>
        </w:tc>
        <w:tc>
          <w:tcPr>
            <w:tcW w:w="3827" w:type="dxa"/>
            <w:tcBorders>
              <w:left w:val="nil"/>
              <w:bottom w:val="single" w:sz="12" w:space="0" w:color="auto"/>
              <w:right w:val="nil"/>
            </w:tcBorders>
            <w:tcMar>
              <w:top w:w="28" w:type="dxa"/>
              <w:bottom w:w="28" w:type="dxa"/>
            </w:tcMar>
            <w:vAlign w:val="center"/>
          </w:tcPr>
          <w:p w14:paraId="044B24E2"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1. Custom foot orthoses</w:t>
            </w:r>
          </w:p>
          <w:p w14:paraId="51D2A773"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2. No intervention</w:t>
            </w:r>
          </w:p>
        </w:tc>
        <w:tc>
          <w:tcPr>
            <w:tcW w:w="4536" w:type="dxa"/>
            <w:tcBorders>
              <w:left w:val="nil"/>
              <w:bottom w:val="single" w:sz="12" w:space="0" w:color="auto"/>
              <w:right w:val="nil"/>
            </w:tcBorders>
            <w:tcMar>
              <w:top w:w="28" w:type="dxa"/>
              <w:bottom w:w="28" w:type="dxa"/>
            </w:tcMar>
            <w:vAlign w:val="center"/>
          </w:tcPr>
          <w:p w14:paraId="196ECD35" w14:textId="77777777" w:rsidR="00201E8F" w:rsidRPr="00C33A5F" w:rsidRDefault="00201E8F" w:rsidP="00201E8F">
            <w:pPr>
              <w:rPr>
                <w:rFonts w:ascii="Times New Roman" w:eastAsia="Calibri" w:hAnsi="Times New Roman" w:cs="Times New Roman"/>
                <w:sz w:val="16"/>
                <w:szCs w:val="16"/>
              </w:rPr>
            </w:pPr>
            <w:r w:rsidRPr="00C33A5F">
              <w:rPr>
                <w:rFonts w:ascii="Times New Roman" w:hAnsi="Times New Roman" w:cs="Times New Roman"/>
                <w:bCs/>
                <w:sz w:val="16"/>
                <w:szCs w:val="16"/>
              </w:rPr>
              <w:t xml:space="preserve">Significant between group difference in TUG (p &lt; 0.001) &amp; BBS (p &lt; 0.001) favouring orthoses at 4 </w:t>
            </w:r>
            <w:proofErr w:type="spellStart"/>
            <w:r w:rsidRPr="00C33A5F">
              <w:rPr>
                <w:rFonts w:ascii="Times New Roman" w:hAnsi="Times New Roman" w:cs="Times New Roman"/>
                <w:bCs/>
                <w:sz w:val="16"/>
                <w:szCs w:val="16"/>
              </w:rPr>
              <w:t>wks</w:t>
            </w:r>
            <w:proofErr w:type="spellEnd"/>
          </w:p>
        </w:tc>
        <w:tc>
          <w:tcPr>
            <w:tcW w:w="530" w:type="dxa"/>
            <w:tcBorders>
              <w:left w:val="nil"/>
              <w:bottom w:val="single" w:sz="12" w:space="0" w:color="auto"/>
              <w:right w:val="nil"/>
            </w:tcBorders>
            <w:tcMar>
              <w:top w:w="28" w:type="dxa"/>
              <w:bottom w:w="28" w:type="dxa"/>
            </w:tcMar>
            <w:vAlign w:val="center"/>
          </w:tcPr>
          <w:p w14:paraId="4AC32958" w14:textId="77777777" w:rsidR="00201E8F" w:rsidRPr="00C33A5F" w:rsidRDefault="00201E8F" w:rsidP="00201E8F">
            <w:pPr>
              <w:jc w:val="center"/>
              <w:rPr>
                <w:rFonts w:ascii="Times New Roman" w:eastAsia="Calibri" w:hAnsi="Times New Roman" w:cs="Times New Roman"/>
                <w:sz w:val="16"/>
                <w:szCs w:val="16"/>
              </w:rPr>
            </w:pPr>
            <w:r w:rsidRPr="00C33A5F">
              <w:rPr>
                <w:rFonts w:ascii="Times New Roman" w:eastAsia="Calibri" w:hAnsi="Times New Roman" w:cs="Times New Roman"/>
                <w:sz w:val="16"/>
                <w:szCs w:val="16"/>
              </w:rPr>
              <w:t>2</w:t>
            </w:r>
          </w:p>
        </w:tc>
      </w:tr>
      <w:tr w:rsidR="00201E8F" w:rsidRPr="00C33A5F" w14:paraId="7F8C77AD" w14:textId="77777777" w:rsidTr="00956011">
        <w:trPr>
          <w:trHeight w:val="96"/>
        </w:trPr>
        <w:tc>
          <w:tcPr>
            <w:tcW w:w="14690" w:type="dxa"/>
            <w:gridSpan w:val="6"/>
            <w:tcBorders>
              <w:top w:val="single" w:sz="12" w:space="0" w:color="auto"/>
              <w:left w:val="nil"/>
              <w:bottom w:val="single" w:sz="12" w:space="0" w:color="auto"/>
              <w:right w:val="nil"/>
            </w:tcBorders>
            <w:shd w:val="clear" w:color="auto" w:fill="D9D9D9" w:themeFill="background1" w:themeFillShade="D9"/>
            <w:tcMar>
              <w:top w:w="28" w:type="dxa"/>
              <w:bottom w:w="28" w:type="dxa"/>
            </w:tcMar>
            <w:vAlign w:val="center"/>
          </w:tcPr>
          <w:p w14:paraId="302110C1" w14:textId="77777777" w:rsidR="00201E8F" w:rsidRPr="00C33A5F" w:rsidRDefault="00F65CC2" w:rsidP="00201E8F">
            <w:pPr>
              <w:rPr>
                <w:rFonts w:ascii="Times New Roman" w:eastAsia="Calibri" w:hAnsi="Times New Roman" w:cs="Times New Roman"/>
                <w:b/>
                <w:sz w:val="16"/>
                <w:szCs w:val="16"/>
              </w:rPr>
            </w:pPr>
            <w:r>
              <w:rPr>
                <w:rFonts w:ascii="Times New Roman" w:eastAsia="Calibri" w:hAnsi="Times New Roman" w:cs="Times New Roman"/>
                <w:b/>
                <w:sz w:val="16"/>
                <w:szCs w:val="16"/>
              </w:rPr>
              <w:t>iv)</w:t>
            </w:r>
            <w:r w:rsidR="00201E8F" w:rsidRPr="00C33A5F">
              <w:rPr>
                <w:rFonts w:ascii="Times New Roman" w:eastAsia="Calibri" w:hAnsi="Times New Roman" w:cs="Times New Roman"/>
                <w:b/>
                <w:sz w:val="16"/>
                <w:szCs w:val="16"/>
              </w:rPr>
              <w:t>Falls Prevention</w:t>
            </w:r>
            <w:r>
              <w:rPr>
                <w:rFonts w:ascii="Times New Roman" w:eastAsia="Calibri" w:hAnsi="Times New Roman" w:cs="Times New Roman"/>
                <w:b/>
                <w:sz w:val="16"/>
                <w:szCs w:val="16"/>
              </w:rPr>
              <w:t xml:space="preserve"> Programmes</w:t>
            </w:r>
          </w:p>
        </w:tc>
      </w:tr>
      <w:tr w:rsidR="00201E8F" w:rsidRPr="00C33A5F" w14:paraId="78AA1D11" w14:textId="77777777" w:rsidTr="00956011">
        <w:trPr>
          <w:trHeight w:val="170"/>
        </w:trPr>
        <w:tc>
          <w:tcPr>
            <w:tcW w:w="1970" w:type="dxa"/>
            <w:tcBorders>
              <w:top w:val="single" w:sz="12" w:space="0" w:color="auto"/>
              <w:left w:val="nil"/>
              <w:bottom w:val="single" w:sz="4" w:space="0" w:color="auto"/>
              <w:right w:val="nil"/>
            </w:tcBorders>
            <w:tcMar>
              <w:top w:w="28" w:type="dxa"/>
              <w:bottom w:w="28" w:type="dxa"/>
            </w:tcMar>
            <w:vAlign w:val="center"/>
          </w:tcPr>
          <w:p w14:paraId="4AD8378F" w14:textId="77777777" w:rsidR="00201E8F" w:rsidRPr="00C33A5F" w:rsidRDefault="00201E8F" w:rsidP="00201E8F">
            <w:pPr>
              <w:rPr>
                <w:rFonts w:ascii="Times New Roman" w:hAnsi="Times New Roman" w:cs="Times New Roman"/>
                <w:sz w:val="16"/>
                <w:szCs w:val="16"/>
              </w:rPr>
            </w:pPr>
            <w:proofErr w:type="spellStart"/>
            <w:r w:rsidRPr="00C33A5F">
              <w:rPr>
                <w:rFonts w:ascii="Times New Roman" w:hAnsi="Times New Roman" w:cs="Times New Roman"/>
                <w:sz w:val="16"/>
                <w:szCs w:val="16"/>
              </w:rPr>
              <w:t>Vissche</w:t>
            </w:r>
            <w:r w:rsidR="002040F5" w:rsidRPr="00C33A5F">
              <w:rPr>
                <w:rFonts w:ascii="Times New Roman" w:hAnsi="Times New Roman" w:cs="Times New Roman"/>
                <w:sz w:val="16"/>
                <w:szCs w:val="16"/>
              </w:rPr>
              <w:t>dijk</w:t>
            </w:r>
            <w:proofErr w:type="spellEnd"/>
            <w:r w:rsidR="002040F5" w:rsidRPr="00C33A5F">
              <w:rPr>
                <w:rFonts w:ascii="Times New Roman" w:hAnsi="Times New Roman" w:cs="Times New Roman"/>
                <w:sz w:val="16"/>
                <w:szCs w:val="16"/>
              </w:rPr>
              <w:t xml:space="preserve"> </w:t>
            </w:r>
            <w:proofErr w:type="gramStart"/>
            <w:r w:rsidR="002040F5" w:rsidRPr="00C33A5F">
              <w:rPr>
                <w:rFonts w:ascii="Times New Roman" w:hAnsi="Times New Roman" w:cs="Times New Roman"/>
                <w:sz w:val="16"/>
                <w:szCs w:val="16"/>
              </w:rPr>
              <w:t>et al.</w:t>
            </w:r>
            <w:r w:rsidR="004169A5">
              <w:rPr>
                <w:rFonts w:ascii="Times New Roman" w:hAnsi="Times New Roman" w:cs="Times New Roman"/>
                <w:sz w:val="16"/>
                <w:szCs w:val="16"/>
              </w:rPr>
              <w:t>[</w:t>
            </w:r>
            <w:proofErr w:type="gramEnd"/>
            <w:r w:rsidR="004169A5">
              <w:rPr>
                <w:rFonts w:ascii="Times New Roman" w:hAnsi="Times New Roman" w:cs="Times New Roman"/>
                <w:sz w:val="16"/>
                <w:szCs w:val="16"/>
              </w:rPr>
              <w:t>43]</w:t>
            </w:r>
            <w:r w:rsidRPr="00C33A5F">
              <w:rPr>
                <w:rFonts w:ascii="Times New Roman" w:hAnsi="Times New Roman" w:cs="Times New Roman"/>
                <w:sz w:val="16"/>
                <w:szCs w:val="16"/>
              </w:rPr>
              <w:t xml:space="preserve">, </w:t>
            </w:r>
          </w:p>
          <w:p w14:paraId="63D851C6" w14:textId="77777777" w:rsidR="00201E8F" w:rsidRPr="00C33A5F" w:rsidRDefault="00201E8F" w:rsidP="00201E8F">
            <w:pPr>
              <w:rPr>
                <w:rFonts w:ascii="Times New Roman" w:hAnsi="Times New Roman" w:cs="Times New Roman"/>
                <w:sz w:val="16"/>
                <w:szCs w:val="16"/>
              </w:rPr>
            </w:pPr>
            <w:r w:rsidRPr="00C33A5F">
              <w:rPr>
                <w:rFonts w:ascii="Times New Roman" w:hAnsi="Times New Roman" w:cs="Times New Roman"/>
                <w:sz w:val="16"/>
                <w:szCs w:val="16"/>
              </w:rPr>
              <w:t>inpatient &amp; community</w:t>
            </w:r>
          </w:p>
        </w:tc>
        <w:tc>
          <w:tcPr>
            <w:tcW w:w="709" w:type="dxa"/>
            <w:tcBorders>
              <w:top w:val="single" w:sz="12" w:space="0" w:color="auto"/>
              <w:left w:val="nil"/>
              <w:bottom w:val="single" w:sz="4" w:space="0" w:color="auto"/>
              <w:right w:val="nil"/>
            </w:tcBorders>
            <w:tcMar>
              <w:top w:w="28" w:type="dxa"/>
              <w:bottom w:w="28" w:type="dxa"/>
            </w:tcMar>
            <w:vAlign w:val="center"/>
          </w:tcPr>
          <w:p w14:paraId="7CC5F730"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SR</w:t>
            </w:r>
          </w:p>
        </w:tc>
        <w:tc>
          <w:tcPr>
            <w:tcW w:w="3118" w:type="dxa"/>
            <w:tcBorders>
              <w:top w:val="single" w:sz="12" w:space="0" w:color="auto"/>
              <w:left w:val="nil"/>
              <w:bottom w:val="single" w:sz="4" w:space="0" w:color="auto"/>
              <w:right w:val="nil"/>
            </w:tcBorders>
            <w:tcMar>
              <w:top w:w="28" w:type="dxa"/>
              <w:bottom w:w="28" w:type="dxa"/>
            </w:tcMar>
            <w:vAlign w:val="center"/>
          </w:tcPr>
          <w:p w14:paraId="51A8D99B"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Patients with HF; 4 studies (N=221)</w:t>
            </w:r>
          </w:p>
        </w:tc>
        <w:tc>
          <w:tcPr>
            <w:tcW w:w="3827" w:type="dxa"/>
            <w:tcBorders>
              <w:top w:val="single" w:sz="12" w:space="0" w:color="auto"/>
              <w:left w:val="nil"/>
              <w:bottom w:val="single" w:sz="4" w:space="0" w:color="auto"/>
              <w:right w:val="nil"/>
            </w:tcBorders>
            <w:tcMar>
              <w:top w:w="28" w:type="dxa"/>
              <w:bottom w:w="28" w:type="dxa"/>
            </w:tcMar>
            <w:vAlign w:val="center"/>
          </w:tcPr>
          <w:p w14:paraId="55B1022C"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Home-based rehabilitation, community exercise programme, ambulatory training</w:t>
            </w:r>
          </w:p>
        </w:tc>
        <w:tc>
          <w:tcPr>
            <w:tcW w:w="4536" w:type="dxa"/>
            <w:tcBorders>
              <w:top w:val="single" w:sz="12" w:space="0" w:color="auto"/>
              <w:left w:val="nil"/>
              <w:bottom w:val="single" w:sz="4" w:space="0" w:color="auto"/>
              <w:right w:val="nil"/>
            </w:tcBorders>
            <w:tcMar>
              <w:top w:w="28" w:type="dxa"/>
              <w:bottom w:w="28" w:type="dxa"/>
            </w:tcMar>
            <w:vAlign w:val="center"/>
          </w:tcPr>
          <w:p w14:paraId="02AD3D49"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2/4 studies showed a statistically significant reduction in fear of falling</w:t>
            </w:r>
          </w:p>
        </w:tc>
        <w:tc>
          <w:tcPr>
            <w:tcW w:w="530" w:type="dxa"/>
            <w:tcBorders>
              <w:top w:val="single" w:sz="12" w:space="0" w:color="auto"/>
              <w:left w:val="nil"/>
              <w:bottom w:val="single" w:sz="4" w:space="0" w:color="auto"/>
              <w:right w:val="nil"/>
            </w:tcBorders>
            <w:tcMar>
              <w:top w:w="28" w:type="dxa"/>
              <w:bottom w:w="28" w:type="dxa"/>
            </w:tcMar>
            <w:vAlign w:val="center"/>
          </w:tcPr>
          <w:p w14:paraId="4B14D131" w14:textId="77777777" w:rsidR="00201E8F" w:rsidRPr="00C33A5F" w:rsidRDefault="00201E8F" w:rsidP="00201E8F">
            <w:pPr>
              <w:jc w:val="center"/>
              <w:rPr>
                <w:rFonts w:ascii="Times New Roman" w:eastAsia="Calibri" w:hAnsi="Times New Roman" w:cs="Times New Roman"/>
                <w:sz w:val="16"/>
                <w:szCs w:val="16"/>
              </w:rPr>
            </w:pPr>
            <w:r w:rsidRPr="00C33A5F">
              <w:rPr>
                <w:rFonts w:ascii="Times New Roman" w:eastAsia="Calibri" w:hAnsi="Times New Roman" w:cs="Times New Roman"/>
                <w:sz w:val="16"/>
                <w:szCs w:val="16"/>
              </w:rPr>
              <w:t>2</w:t>
            </w:r>
          </w:p>
        </w:tc>
      </w:tr>
      <w:tr w:rsidR="00201E8F" w:rsidRPr="00C33A5F" w14:paraId="67A12E0B" w14:textId="77777777" w:rsidTr="00956011">
        <w:trPr>
          <w:trHeight w:val="363"/>
        </w:trPr>
        <w:tc>
          <w:tcPr>
            <w:tcW w:w="1970" w:type="dxa"/>
            <w:tcBorders>
              <w:top w:val="single" w:sz="4" w:space="0" w:color="auto"/>
              <w:left w:val="nil"/>
              <w:right w:val="nil"/>
            </w:tcBorders>
            <w:tcMar>
              <w:top w:w="28" w:type="dxa"/>
              <w:bottom w:w="28" w:type="dxa"/>
            </w:tcMar>
            <w:vAlign w:val="center"/>
          </w:tcPr>
          <w:p w14:paraId="312A04F8" w14:textId="77777777" w:rsidR="00201E8F" w:rsidRPr="00C33A5F" w:rsidRDefault="00201E8F" w:rsidP="00201E8F">
            <w:pPr>
              <w:rPr>
                <w:rFonts w:ascii="Times New Roman" w:hAnsi="Times New Roman" w:cs="Times New Roman"/>
                <w:sz w:val="16"/>
                <w:szCs w:val="16"/>
              </w:rPr>
            </w:pPr>
            <w:r w:rsidRPr="00C33A5F">
              <w:rPr>
                <w:rFonts w:ascii="Times New Roman" w:hAnsi="Times New Roman" w:cs="Times New Roman"/>
                <w:sz w:val="16"/>
                <w:szCs w:val="16"/>
              </w:rPr>
              <w:t xml:space="preserve">van </w:t>
            </w:r>
            <w:proofErr w:type="spellStart"/>
            <w:r w:rsidRPr="00C33A5F">
              <w:rPr>
                <w:rFonts w:ascii="Times New Roman" w:hAnsi="Times New Roman" w:cs="Times New Roman"/>
                <w:sz w:val="16"/>
                <w:szCs w:val="16"/>
              </w:rPr>
              <w:t>Ooijen</w:t>
            </w:r>
            <w:proofErr w:type="spellEnd"/>
            <w:r w:rsidRPr="00C33A5F">
              <w:rPr>
                <w:rFonts w:ascii="Times New Roman" w:hAnsi="Times New Roman" w:cs="Times New Roman"/>
                <w:sz w:val="16"/>
                <w:szCs w:val="16"/>
              </w:rPr>
              <w:t xml:space="preserve"> </w:t>
            </w:r>
            <w:proofErr w:type="gramStart"/>
            <w:r w:rsidRPr="00C33A5F">
              <w:rPr>
                <w:rFonts w:ascii="Times New Roman" w:hAnsi="Times New Roman" w:cs="Times New Roman"/>
                <w:sz w:val="16"/>
                <w:szCs w:val="16"/>
              </w:rPr>
              <w:t>et al.</w:t>
            </w:r>
            <w:r w:rsidR="004169A5">
              <w:rPr>
                <w:rFonts w:ascii="Times New Roman" w:hAnsi="Times New Roman" w:cs="Times New Roman"/>
                <w:sz w:val="16"/>
                <w:szCs w:val="16"/>
              </w:rPr>
              <w:t>[</w:t>
            </w:r>
            <w:proofErr w:type="gramEnd"/>
            <w:r w:rsidR="004169A5">
              <w:rPr>
                <w:rFonts w:ascii="Times New Roman" w:hAnsi="Times New Roman" w:cs="Times New Roman"/>
                <w:sz w:val="16"/>
                <w:szCs w:val="16"/>
              </w:rPr>
              <w:t>27]</w:t>
            </w:r>
            <w:r w:rsidR="00D80B74">
              <w:rPr>
                <w:rFonts w:ascii="Times New Roman" w:hAnsi="Times New Roman" w:cs="Times New Roman"/>
                <w:sz w:val="16"/>
                <w:szCs w:val="16"/>
              </w:rPr>
              <w:t xml:space="preserve">, </w:t>
            </w:r>
            <w:r w:rsidRPr="00C33A5F">
              <w:rPr>
                <w:rFonts w:ascii="Times New Roman" w:hAnsi="Times New Roman" w:cs="Times New Roman"/>
                <w:sz w:val="16"/>
                <w:szCs w:val="16"/>
              </w:rPr>
              <w:t>The Netherlands</w:t>
            </w:r>
          </w:p>
          <w:p w14:paraId="340D783C" w14:textId="77777777" w:rsidR="00201E8F" w:rsidRPr="00C33A5F" w:rsidRDefault="00201E8F" w:rsidP="00201E8F">
            <w:pPr>
              <w:rPr>
                <w:rFonts w:ascii="Times New Roman" w:hAnsi="Times New Roman" w:cs="Times New Roman"/>
                <w:sz w:val="16"/>
                <w:szCs w:val="16"/>
              </w:rPr>
            </w:pPr>
            <w:r w:rsidRPr="00C33A5F">
              <w:rPr>
                <w:rFonts w:ascii="Times New Roman" w:hAnsi="Times New Roman" w:cs="Times New Roman"/>
                <w:sz w:val="16"/>
                <w:szCs w:val="16"/>
              </w:rPr>
              <w:t>rehabilitation centre</w:t>
            </w:r>
          </w:p>
        </w:tc>
        <w:tc>
          <w:tcPr>
            <w:tcW w:w="709" w:type="dxa"/>
            <w:tcBorders>
              <w:top w:val="single" w:sz="4" w:space="0" w:color="auto"/>
              <w:left w:val="nil"/>
              <w:right w:val="nil"/>
            </w:tcBorders>
            <w:tcMar>
              <w:top w:w="28" w:type="dxa"/>
              <w:bottom w:w="28" w:type="dxa"/>
            </w:tcMar>
            <w:vAlign w:val="center"/>
          </w:tcPr>
          <w:p w14:paraId="03CA5CFC"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RCT</w:t>
            </w:r>
          </w:p>
        </w:tc>
        <w:tc>
          <w:tcPr>
            <w:tcW w:w="3118" w:type="dxa"/>
            <w:tcBorders>
              <w:top w:val="single" w:sz="4" w:space="0" w:color="auto"/>
              <w:left w:val="nil"/>
              <w:right w:val="nil"/>
            </w:tcBorders>
            <w:tcMar>
              <w:top w:w="28" w:type="dxa"/>
              <w:bottom w:w="28" w:type="dxa"/>
            </w:tcMar>
            <w:vAlign w:val="center"/>
          </w:tcPr>
          <w:p w14:paraId="055DD218"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Patients with HF</w:t>
            </w:r>
          </w:p>
          <w:p w14:paraId="7B518C13"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1.</w:t>
            </w:r>
            <w:r w:rsidR="00A277FF" w:rsidRPr="00C33A5F">
              <w:rPr>
                <w:rFonts w:ascii="Times New Roman" w:eastAsia="Calibri" w:hAnsi="Times New Roman" w:cs="Times New Roman"/>
                <w:sz w:val="16"/>
                <w:szCs w:val="16"/>
              </w:rPr>
              <w:t xml:space="preserve"> Group 1 (N=14)</w:t>
            </w:r>
            <w:r w:rsidR="00F01BD8">
              <w:rPr>
                <w:rFonts w:ascii="Times New Roman" w:eastAsia="Calibri" w:hAnsi="Times New Roman" w:cs="Times New Roman"/>
                <w:sz w:val="16"/>
                <w:szCs w:val="16"/>
              </w:rPr>
              <w:t xml:space="preserve">; </w:t>
            </w:r>
            <w:r w:rsidRPr="00C33A5F">
              <w:rPr>
                <w:rFonts w:ascii="Times New Roman" w:eastAsia="Calibri" w:hAnsi="Times New Roman" w:cs="Times New Roman"/>
                <w:sz w:val="16"/>
                <w:szCs w:val="16"/>
              </w:rPr>
              <w:t>2.</w:t>
            </w:r>
            <w:r w:rsidR="00F01BD8">
              <w:rPr>
                <w:rFonts w:ascii="Times New Roman" w:eastAsia="Calibri" w:hAnsi="Times New Roman" w:cs="Times New Roman"/>
                <w:sz w:val="16"/>
                <w:szCs w:val="16"/>
              </w:rPr>
              <w:t xml:space="preserve"> Group 2 (N=16); </w:t>
            </w:r>
            <w:r w:rsidRPr="00C33A5F">
              <w:rPr>
                <w:rFonts w:ascii="Times New Roman" w:eastAsia="Calibri" w:hAnsi="Times New Roman" w:cs="Times New Roman"/>
                <w:sz w:val="16"/>
                <w:szCs w:val="16"/>
              </w:rPr>
              <w:t>3.</w:t>
            </w:r>
            <w:r w:rsidR="00A277FF" w:rsidRPr="00C33A5F">
              <w:rPr>
                <w:rFonts w:ascii="Times New Roman" w:eastAsia="Calibri" w:hAnsi="Times New Roman" w:cs="Times New Roman"/>
                <w:sz w:val="16"/>
                <w:szCs w:val="16"/>
              </w:rPr>
              <w:t xml:space="preserve"> </w:t>
            </w:r>
            <w:r w:rsidRPr="00C33A5F">
              <w:rPr>
                <w:rFonts w:ascii="Times New Roman" w:eastAsia="Calibri" w:hAnsi="Times New Roman" w:cs="Times New Roman"/>
                <w:sz w:val="16"/>
                <w:szCs w:val="16"/>
              </w:rPr>
              <w:t>Group 3 (N=16)</w:t>
            </w:r>
          </w:p>
        </w:tc>
        <w:tc>
          <w:tcPr>
            <w:tcW w:w="3827" w:type="dxa"/>
            <w:tcBorders>
              <w:top w:val="single" w:sz="4" w:space="0" w:color="auto"/>
              <w:left w:val="nil"/>
              <w:right w:val="nil"/>
            </w:tcBorders>
            <w:tcMar>
              <w:top w:w="28" w:type="dxa"/>
              <w:bottom w:w="28" w:type="dxa"/>
            </w:tcMar>
            <w:vAlign w:val="center"/>
          </w:tcPr>
          <w:p w14:paraId="0277BF4D"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1.</w:t>
            </w:r>
            <w:r w:rsidR="00A277FF" w:rsidRPr="00C33A5F">
              <w:rPr>
                <w:rFonts w:ascii="Times New Roman" w:eastAsia="Calibri" w:hAnsi="Times New Roman" w:cs="Times New Roman"/>
                <w:sz w:val="16"/>
                <w:szCs w:val="16"/>
              </w:rPr>
              <w:t xml:space="preserve"> </w:t>
            </w:r>
            <w:r w:rsidRPr="00C33A5F">
              <w:rPr>
                <w:rFonts w:ascii="Times New Roman" w:eastAsia="Calibri" w:hAnsi="Times New Roman" w:cs="Times New Roman"/>
                <w:sz w:val="16"/>
                <w:szCs w:val="16"/>
              </w:rPr>
              <w:t>Treadmill training with visual context</w:t>
            </w:r>
          </w:p>
          <w:p w14:paraId="46F28CF8"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2.</w:t>
            </w:r>
            <w:r w:rsidR="00A277FF" w:rsidRPr="00C33A5F">
              <w:rPr>
                <w:rFonts w:ascii="Times New Roman" w:eastAsia="Calibri" w:hAnsi="Times New Roman" w:cs="Times New Roman"/>
                <w:sz w:val="16"/>
                <w:szCs w:val="16"/>
              </w:rPr>
              <w:t xml:space="preserve"> </w:t>
            </w:r>
            <w:r w:rsidRPr="00C33A5F">
              <w:rPr>
                <w:rFonts w:ascii="Times New Roman" w:eastAsia="Calibri" w:hAnsi="Times New Roman" w:cs="Times New Roman"/>
                <w:sz w:val="16"/>
                <w:szCs w:val="16"/>
              </w:rPr>
              <w:t>Conventional treadmill training</w:t>
            </w:r>
          </w:p>
          <w:p w14:paraId="6216CF13"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3. Usual physical therapy</w:t>
            </w:r>
          </w:p>
          <w:p w14:paraId="2012F99A"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Physical therapists</w:t>
            </w:r>
          </w:p>
        </w:tc>
        <w:tc>
          <w:tcPr>
            <w:tcW w:w="4536" w:type="dxa"/>
            <w:tcBorders>
              <w:top w:val="single" w:sz="4" w:space="0" w:color="auto"/>
              <w:left w:val="nil"/>
              <w:right w:val="nil"/>
            </w:tcBorders>
            <w:tcMar>
              <w:top w:w="28" w:type="dxa"/>
              <w:bottom w:w="28" w:type="dxa"/>
            </w:tcMar>
            <w:vAlign w:val="center"/>
          </w:tcPr>
          <w:p w14:paraId="12FE396D" w14:textId="77777777" w:rsidR="00201E8F" w:rsidRPr="00C33A5F" w:rsidRDefault="00201E8F" w:rsidP="00201E8F">
            <w:pPr>
              <w:rPr>
                <w:rFonts w:ascii="Times New Roman" w:eastAsia="Calibri" w:hAnsi="Times New Roman" w:cs="Times New Roman"/>
                <w:sz w:val="16"/>
                <w:szCs w:val="16"/>
              </w:rPr>
            </w:pPr>
            <w:r w:rsidRPr="00C33A5F">
              <w:rPr>
                <w:rFonts w:ascii="Times New Roman" w:hAnsi="Times New Roman" w:cs="Times New Roman"/>
                <w:sz w:val="16"/>
                <w:szCs w:val="16"/>
              </w:rPr>
              <w:t xml:space="preserve">No significant difference in fall rate between groups at 12mo. </w:t>
            </w:r>
          </w:p>
        </w:tc>
        <w:tc>
          <w:tcPr>
            <w:tcW w:w="530" w:type="dxa"/>
            <w:tcBorders>
              <w:top w:val="single" w:sz="4" w:space="0" w:color="auto"/>
              <w:left w:val="nil"/>
              <w:right w:val="nil"/>
            </w:tcBorders>
            <w:tcMar>
              <w:top w:w="28" w:type="dxa"/>
              <w:bottom w:w="28" w:type="dxa"/>
            </w:tcMar>
            <w:vAlign w:val="center"/>
          </w:tcPr>
          <w:p w14:paraId="3DEDD214" w14:textId="77777777" w:rsidR="00201E8F" w:rsidRPr="00C33A5F" w:rsidRDefault="00201E8F" w:rsidP="00201E8F">
            <w:pPr>
              <w:jc w:val="center"/>
              <w:rPr>
                <w:rFonts w:ascii="Times New Roman" w:eastAsia="Calibri" w:hAnsi="Times New Roman" w:cs="Times New Roman"/>
                <w:sz w:val="16"/>
                <w:szCs w:val="16"/>
              </w:rPr>
            </w:pPr>
            <w:r w:rsidRPr="00C33A5F">
              <w:rPr>
                <w:rFonts w:ascii="Times New Roman" w:eastAsia="Calibri" w:hAnsi="Times New Roman" w:cs="Times New Roman"/>
                <w:sz w:val="16"/>
                <w:szCs w:val="16"/>
              </w:rPr>
              <w:t>2</w:t>
            </w:r>
          </w:p>
        </w:tc>
      </w:tr>
      <w:tr w:rsidR="00201E8F" w:rsidRPr="00C33A5F" w14:paraId="7E511792" w14:textId="77777777" w:rsidTr="00956011">
        <w:trPr>
          <w:trHeight w:val="363"/>
        </w:trPr>
        <w:tc>
          <w:tcPr>
            <w:tcW w:w="1970" w:type="dxa"/>
            <w:tcBorders>
              <w:left w:val="nil"/>
              <w:right w:val="nil"/>
            </w:tcBorders>
            <w:tcMar>
              <w:top w:w="28" w:type="dxa"/>
              <w:bottom w:w="28" w:type="dxa"/>
            </w:tcMar>
            <w:vAlign w:val="center"/>
          </w:tcPr>
          <w:p w14:paraId="2D70419A" w14:textId="77777777" w:rsidR="00201E8F" w:rsidRPr="00C33A5F" w:rsidRDefault="00201E8F" w:rsidP="00201E8F">
            <w:pPr>
              <w:rPr>
                <w:rFonts w:ascii="Times New Roman" w:eastAsia="Times New Roman" w:hAnsi="Times New Roman" w:cs="Times New Roman"/>
                <w:color w:val="000000"/>
                <w:sz w:val="16"/>
                <w:szCs w:val="16"/>
                <w:lang w:eastAsia="en-GB"/>
              </w:rPr>
            </w:pPr>
            <w:r w:rsidRPr="00C33A5F">
              <w:rPr>
                <w:rFonts w:ascii="Times New Roman" w:hAnsi="Times New Roman" w:cs="Times New Roman"/>
                <w:sz w:val="16"/>
                <w:szCs w:val="16"/>
              </w:rPr>
              <w:lastRenderedPageBreak/>
              <w:t xml:space="preserve">Di Monaco </w:t>
            </w:r>
            <w:proofErr w:type="gramStart"/>
            <w:r w:rsidRPr="00C33A5F">
              <w:rPr>
                <w:rFonts w:ascii="Times New Roman" w:hAnsi="Times New Roman" w:cs="Times New Roman"/>
                <w:sz w:val="16"/>
                <w:szCs w:val="16"/>
              </w:rPr>
              <w:t>et al.</w:t>
            </w:r>
            <w:r w:rsidR="004169A5">
              <w:rPr>
                <w:rFonts w:ascii="Times New Roman" w:hAnsi="Times New Roman" w:cs="Times New Roman"/>
                <w:sz w:val="16"/>
                <w:szCs w:val="16"/>
              </w:rPr>
              <w:t>[</w:t>
            </w:r>
            <w:proofErr w:type="gramEnd"/>
            <w:r w:rsidR="004169A5">
              <w:rPr>
                <w:rFonts w:ascii="Times New Roman" w:hAnsi="Times New Roman" w:cs="Times New Roman"/>
                <w:sz w:val="16"/>
                <w:szCs w:val="16"/>
              </w:rPr>
              <w:t>46]</w:t>
            </w:r>
            <w:r w:rsidR="00D80B74">
              <w:rPr>
                <w:rFonts w:ascii="Times New Roman" w:hAnsi="Times New Roman" w:cs="Times New Roman"/>
                <w:sz w:val="16"/>
                <w:szCs w:val="16"/>
              </w:rPr>
              <w:t xml:space="preserve">, Italy, </w:t>
            </w:r>
            <w:r w:rsidRPr="00C33A5F">
              <w:rPr>
                <w:rFonts w:ascii="Times New Roman" w:hAnsi="Times New Roman" w:cs="Times New Roman"/>
                <w:sz w:val="16"/>
                <w:szCs w:val="16"/>
              </w:rPr>
              <w:t>rehabilitation hospital &amp; community</w:t>
            </w:r>
          </w:p>
        </w:tc>
        <w:tc>
          <w:tcPr>
            <w:tcW w:w="709" w:type="dxa"/>
            <w:tcBorders>
              <w:left w:val="nil"/>
              <w:right w:val="nil"/>
            </w:tcBorders>
            <w:tcMar>
              <w:top w:w="28" w:type="dxa"/>
              <w:bottom w:w="28" w:type="dxa"/>
            </w:tcMar>
            <w:vAlign w:val="center"/>
          </w:tcPr>
          <w:p w14:paraId="4691701C"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RCT</w:t>
            </w:r>
          </w:p>
        </w:tc>
        <w:tc>
          <w:tcPr>
            <w:tcW w:w="3118" w:type="dxa"/>
            <w:tcBorders>
              <w:left w:val="nil"/>
              <w:right w:val="nil"/>
            </w:tcBorders>
            <w:tcMar>
              <w:top w:w="28" w:type="dxa"/>
              <w:bottom w:w="28" w:type="dxa"/>
            </w:tcMar>
            <w:vAlign w:val="center"/>
          </w:tcPr>
          <w:p w14:paraId="5486C0BB"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Women with HF</w:t>
            </w:r>
          </w:p>
          <w:p w14:paraId="509CA89D" w14:textId="77777777" w:rsidR="00A277F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1.</w:t>
            </w:r>
            <w:r w:rsidR="00A277FF" w:rsidRPr="00C33A5F">
              <w:rPr>
                <w:rFonts w:ascii="Times New Roman" w:eastAsia="Calibri" w:hAnsi="Times New Roman" w:cs="Times New Roman"/>
                <w:sz w:val="16"/>
                <w:szCs w:val="16"/>
              </w:rPr>
              <w:t xml:space="preserve"> Group 1 (N=78)</w:t>
            </w:r>
          </w:p>
          <w:p w14:paraId="24FD7158"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2.</w:t>
            </w:r>
            <w:r w:rsidR="00A277FF" w:rsidRPr="00C33A5F">
              <w:rPr>
                <w:rFonts w:ascii="Times New Roman" w:eastAsia="Calibri" w:hAnsi="Times New Roman" w:cs="Times New Roman"/>
                <w:sz w:val="16"/>
                <w:szCs w:val="16"/>
              </w:rPr>
              <w:t xml:space="preserve"> </w:t>
            </w:r>
            <w:r w:rsidRPr="00C33A5F">
              <w:rPr>
                <w:rFonts w:ascii="Times New Roman" w:eastAsia="Calibri" w:hAnsi="Times New Roman" w:cs="Times New Roman"/>
                <w:sz w:val="16"/>
                <w:szCs w:val="16"/>
              </w:rPr>
              <w:t>Group 2 (N=75)</w:t>
            </w:r>
          </w:p>
        </w:tc>
        <w:tc>
          <w:tcPr>
            <w:tcW w:w="3827" w:type="dxa"/>
            <w:tcBorders>
              <w:left w:val="nil"/>
              <w:right w:val="nil"/>
            </w:tcBorders>
            <w:tcMar>
              <w:top w:w="28" w:type="dxa"/>
              <w:bottom w:w="28" w:type="dxa"/>
            </w:tcMar>
            <w:vAlign w:val="center"/>
          </w:tcPr>
          <w:p w14:paraId="29F1FC6F" w14:textId="77777777" w:rsidR="00201E8F" w:rsidRPr="00C33A5F" w:rsidRDefault="00201E8F" w:rsidP="00201E8F">
            <w:pPr>
              <w:rPr>
                <w:rFonts w:ascii="Times New Roman" w:hAnsi="Times New Roman" w:cs="Times New Roman"/>
                <w:sz w:val="16"/>
                <w:szCs w:val="16"/>
              </w:rPr>
            </w:pPr>
            <w:r w:rsidRPr="00C33A5F">
              <w:rPr>
                <w:rFonts w:ascii="Times New Roman" w:hAnsi="Times New Roman" w:cs="Times New Roman"/>
                <w:sz w:val="16"/>
                <w:szCs w:val="16"/>
              </w:rPr>
              <w:t>1.</w:t>
            </w:r>
            <w:r w:rsidR="00A277FF" w:rsidRPr="00C33A5F">
              <w:rPr>
                <w:rFonts w:ascii="Times New Roman" w:hAnsi="Times New Roman" w:cs="Times New Roman"/>
                <w:sz w:val="16"/>
                <w:szCs w:val="16"/>
              </w:rPr>
              <w:t xml:space="preserve"> </w:t>
            </w:r>
            <w:r w:rsidRPr="00C33A5F">
              <w:rPr>
                <w:rFonts w:ascii="Times New Roman" w:hAnsi="Times New Roman" w:cs="Times New Roman"/>
                <w:sz w:val="16"/>
                <w:szCs w:val="16"/>
              </w:rPr>
              <w:t>MDT programme + telephone call post d/c</w:t>
            </w:r>
          </w:p>
          <w:p w14:paraId="436E0265" w14:textId="77777777" w:rsidR="00201E8F" w:rsidRPr="00C33A5F" w:rsidRDefault="00201E8F" w:rsidP="00201E8F">
            <w:pPr>
              <w:rPr>
                <w:rFonts w:ascii="Times New Roman" w:hAnsi="Times New Roman" w:cs="Times New Roman"/>
                <w:sz w:val="16"/>
                <w:szCs w:val="16"/>
              </w:rPr>
            </w:pPr>
            <w:r w:rsidRPr="00C33A5F">
              <w:rPr>
                <w:rFonts w:ascii="Times New Roman" w:hAnsi="Times New Roman" w:cs="Times New Roman"/>
                <w:sz w:val="16"/>
                <w:szCs w:val="16"/>
              </w:rPr>
              <w:t>2.</w:t>
            </w:r>
            <w:r w:rsidR="00A277FF" w:rsidRPr="00C33A5F">
              <w:rPr>
                <w:rFonts w:ascii="Times New Roman" w:hAnsi="Times New Roman" w:cs="Times New Roman"/>
                <w:sz w:val="16"/>
                <w:szCs w:val="16"/>
              </w:rPr>
              <w:t xml:space="preserve"> </w:t>
            </w:r>
            <w:r w:rsidRPr="00C33A5F">
              <w:rPr>
                <w:rFonts w:ascii="Times New Roman" w:hAnsi="Times New Roman" w:cs="Times New Roman"/>
                <w:sz w:val="16"/>
                <w:szCs w:val="16"/>
              </w:rPr>
              <w:t>MDT programme</w:t>
            </w:r>
          </w:p>
          <w:p w14:paraId="6E5EAEE3" w14:textId="77777777" w:rsidR="00201E8F" w:rsidRPr="00C33A5F" w:rsidRDefault="00201E8F" w:rsidP="00201E8F">
            <w:pPr>
              <w:rPr>
                <w:rFonts w:ascii="Times New Roman" w:eastAsia="Calibri" w:hAnsi="Times New Roman" w:cs="Times New Roman"/>
                <w:sz w:val="16"/>
                <w:szCs w:val="16"/>
              </w:rPr>
            </w:pPr>
            <w:r w:rsidRPr="00C33A5F">
              <w:rPr>
                <w:rFonts w:ascii="Times New Roman" w:hAnsi="Times New Roman" w:cs="Times New Roman"/>
                <w:sz w:val="16"/>
                <w:szCs w:val="16"/>
              </w:rPr>
              <w:t>Occupational therapist</w:t>
            </w:r>
          </w:p>
        </w:tc>
        <w:tc>
          <w:tcPr>
            <w:tcW w:w="4536" w:type="dxa"/>
            <w:tcBorders>
              <w:left w:val="nil"/>
              <w:right w:val="nil"/>
            </w:tcBorders>
            <w:tcMar>
              <w:top w:w="28" w:type="dxa"/>
              <w:bottom w:w="28" w:type="dxa"/>
            </w:tcMar>
            <w:vAlign w:val="center"/>
          </w:tcPr>
          <w:p w14:paraId="41681E45" w14:textId="77777777" w:rsidR="00201E8F" w:rsidRPr="00C33A5F" w:rsidRDefault="00201E8F" w:rsidP="00201E8F">
            <w:pPr>
              <w:rPr>
                <w:rFonts w:ascii="Times New Roman" w:eastAsia="Calibri" w:hAnsi="Times New Roman" w:cs="Times New Roman"/>
                <w:sz w:val="16"/>
                <w:szCs w:val="16"/>
              </w:rPr>
            </w:pPr>
            <w:r w:rsidRPr="00C33A5F">
              <w:rPr>
                <w:rFonts w:ascii="Times New Roman" w:hAnsi="Times New Roman" w:cs="Times New Roman"/>
                <w:sz w:val="16"/>
                <w:szCs w:val="16"/>
              </w:rPr>
              <w:t xml:space="preserve">14.1% women in the IG and 13.3% in the CG sustained at least 1 fall during 6 </w:t>
            </w:r>
            <w:proofErr w:type="spellStart"/>
            <w:r w:rsidRPr="00C33A5F">
              <w:rPr>
                <w:rFonts w:ascii="Times New Roman" w:hAnsi="Times New Roman" w:cs="Times New Roman"/>
                <w:sz w:val="16"/>
                <w:szCs w:val="16"/>
              </w:rPr>
              <w:t>mo</w:t>
            </w:r>
            <w:proofErr w:type="spellEnd"/>
            <w:r w:rsidRPr="00C33A5F">
              <w:rPr>
                <w:rFonts w:ascii="Times New Roman" w:hAnsi="Times New Roman" w:cs="Times New Roman"/>
                <w:sz w:val="16"/>
                <w:szCs w:val="16"/>
              </w:rPr>
              <w:t xml:space="preserve"> follow up (RR 1.06, 95%CI 0.48 to 2.34).</w:t>
            </w:r>
          </w:p>
        </w:tc>
        <w:tc>
          <w:tcPr>
            <w:tcW w:w="530" w:type="dxa"/>
            <w:tcBorders>
              <w:left w:val="nil"/>
              <w:right w:val="nil"/>
            </w:tcBorders>
            <w:tcMar>
              <w:top w:w="28" w:type="dxa"/>
              <w:bottom w:w="28" w:type="dxa"/>
            </w:tcMar>
            <w:vAlign w:val="center"/>
          </w:tcPr>
          <w:p w14:paraId="525E14CF" w14:textId="77777777" w:rsidR="00201E8F" w:rsidRPr="00C33A5F" w:rsidRDefault="00201E8F" w:rsidP="00201E8F">
            <w:pPr>
              <w:jc w:val="center"/>
              <w:rPr>
                <w:rFonts w:ascii="Times New Roman" w:eastAsia="Calibri" w:hAnsi="Times New Roman" w:cs="Times New Roman"/>
                <w:sz w:val="16"/>
                <w:szCs w:val="16"/>
              </w:rPr>
            </w:pPr>
            <w:r w:rsidRPr="00C33A5F">
              <w:rPr>
                <w:rFonts w:ascii="Times New Roman" w:eastAsia="Calibri" w:hAnsi="Times New Roman" w:cs="Times New Roman"/>
                <w:sz w:val="16"/>
                <w:szCs w:val="16"/>
              </w:rPr>
              <w:t>2</w:t>
            </w:r>
          </w:p>
        </w:tc>
      </w:tr>
      <w:tr w:rsidR="00201E8F" w:rsidRPr="00C33A5F" w14:paraId="37A2CC19" w14:textId="77777777" w:rsidTr="00956011">
        <w:trPr>
          <w:trHeight w:val="388"/>
        </w:trPr>
        <w:tc>
          <w:tcPr>
            <w:tcW w:w="1970" w:type="dxa"/>
            <w:tcBorders>
              <w:left w:val="nil"/>
              <w:bottom w:val="single" w:sz="4" w:space="0" w:color="auto"/>
              <w:right w:val="nil"/>
            </w:tcBorders>
            <w:tcMar>
              <w:top w:w="28" w:type="dxa"/>
              <w:bottom w:w="28" w:type="dxa"/>
            </w:tcMar>
            <w:vAlign w:val="center"/>
          </w:tcPr>
          <w:p w14:paraId="08023C18" w14:textId="77777777" w:rsidR="00201E8F" w:rsidRPr="00C33A5F" w:rsidRDefault="00201E8F" w:rsidP="00201E8F">
            <w:pPr>
              <w:rPr>
                <w:rFonts w:ascii="Times New Roman" w:eastAsia="Times New Roman" w:hAnsi="Times New Roman" w:cs="Times New Roman"/>
                <w:color w:val="000000"/>
                <w:sz w:val="16"/>
                <w:szCs w:val="16"/>
                <w:lang w:eastAsia="en-GB"/>
              </w:rPr>
            </w:pPr>
            <w:r w:rsidRPr="00C33A5F">
              <w:rPr>
                <w:rFonts w:ascii="Times New Roman" w:hAnsi="Times New Roman" w:cs="Times New Roman"/>
                <w:sz w:val="16"/>
                <w:szCs w:val="16"/>
              </w:rPr>
              <w:t xml:space="preserve">Di Monaco </w:t>
            </w:r>
            <w:proofErr w:type="gramStart"/>
            <w:r w:rsidRPr="00C33A5F">
              <w:rPr>
                <w:rFonts w:ascii="Times New Roman" w:hAnsi="Times New Roman" w:cs="Times New Roman"/>
                <w:sz w:val="16"/>
                <w:szCs w:val="16"/>
              </w:rPr>
              <w:t>et al.</w:t>
            </w:r>
            <w:r w:rsidR="004169A5">
              <w:rPr>
                <w:rFonts w:ascii="Times New Roman" w:hAnsi="Times New Roman" w:cs="Times New Roman"/>
                <w:sz w:val="16"/>
                <w:szCs w:val="16"/>
              </w:rPr>
              <w:t>[</w:t>
            </w:r>
            <w:proofErr w:type="gramEnd"/>
            <w:r w:rsidR="004169A5">
              <w:rPr>
                <w:rFonts w:ascii="Times New Roman" w:hAnsi="Times New Roman" w:cs="Times New Roman"/>
                <w:sz w:val="16"/>
                <w:szCs w:val="16"/>
              </w:rPr>
              <w:t>47]</w:t>
            </w:r>
            <w:r w:rsidRPr="00C33A5F">
              <w:rPr>
                <w:rFonts w:ascii="Times New Roman" w:hAnsi="Times New Roman" w:cs="Times New Roman"/>
                <w:sz w:val="16"/>
                <w:szCs w:val="16"/>
              </w:rPr>
              <w:t>, Italy, community</w:t>
            </w:r>
          </w:p>
        </w:tc>
        <w:tc>
          <w:tcPr>
            <w:tcW w:w="709" w:type="dxa"/>
            <w:tcBorders>
              <w:left w:val="nil"/>
              <w:bottom w:val="single" w:sz="4" w:space="0" w:color="auto"/>
              <w:right w:val="nil"/>
            </w:tcBorders>
            <w:tcMar>
              <w:top w:w="28" w:type="dxa"/>
              <w:bottom w:w="28" w:type="dxa"/>
            </w:tcMar>
            <w:vAlign w:val="center"/>
          </w:tcPr>
          <w:p w14:paraId="58C82887"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Quasi RCT</w:t>
            </w:r>
          </w:p>
        </w:tc>
        <w:tc>
          <w:tcPr>
            <w:tcW w:w="3118" w:type="dxa"/>
            <w:tcBorders>
              <w:left w:val="nil"/>
              <w:bottom w:val="single" w:sz="4" w:space="0" w:color="auto"/>
              <w:right w:val="nil"/>
            </w:tcBorders>
            <w:tcMar>
              <w:top w:w="28" w:type="dxa"/>
              <w:bottom w:w="28" w:type="dxa"/>
            </w:tcMar>
            <w:vAlign w:val="center"/>
          </w:tcPr>
          <w:p w14:paraId="11C7ABA5"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Women with HF</w:t>
            </w:r>
          </w:p>
          <w:p w14:paraId="3410A24C" w14:textId="77777777" w:rsidR="00A277F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1.</w:t>
            </w:r>
            <w:r w:rsidR="00A277FF" w:rsidRPr="00C33A5F">
              <w:rPr>
                <w:rFonts w:ascii="Times New Roman" w:eastAsia="Calibri" w:hAnsi="Times New Roman" w:cs="Times New Roman"/>
                <w:sz w:val="16"/>
                <w:szCs w:val="16"/>
              </w:rPr>
              <w:t xml:space="preserve"> Group 1 (N=45)</w:t>
            </w:r>
          </w:p>
          <w:p w14:paraId="7D2F10C7"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2.</w:t>
            </w:r>
            <w:r w:rsidR="00A277FF" w:rsidRPr="00C33A5F">
              <w:rPr>
                <w:rFonts w:ascii="Times New Roman" w:eastAsia="Calibri" w:hAnsi="Times New Roman" w:cs="Times New Roman"/>
                <w:sz w:val="16"/>
                <w:szCs w:val="16"/>
              </w:rPr>
              <w:t xml:space="preserve"> </w:t>
            </w:r>
            <w:r w:rsidRPr="00C33A5F">
              <w:rPr>
                <w:rFonts w:ascii="Times New Roman" w:eastAsia="Calibri" w:hAnsi="Times New Roman" w:cs="Times New Roman"/>
                <w:sz w:val="16"/>
                <w:szCs w:val="16"/>
              </w:rPr>
              <w:t>Group 2 (N=50)</w:t>
            </w:r>
          </w:p>
        </w:tc>
        <w:tc>
          <w:tcPr>
            <w:tcW w:w="3827" w:type="dxa"/>
            <w:tcBorders>
              <w:left w:val="nil"/>
              <w:bottom w:val="single" w:sz="4" w:space="0" w:color="auto"/>
              <w:right w:val="nil"/>
            </w:tcBorders>
            <w:tcMar>
              <w:top w:w="28" w:type="dxa"/>
              <w:bottom w:w="28" w:type="dxa"/>
            </w:tcMar>
            <w:vAlign w:val="center"/>
          </w:tcPr>
          <w:p w14:paraId="11A393F6" w14:textId="77777777" w:rsidR="00201E8F" w:rsidRPr="00C33A5F" w:rsidRDefault="00201E8F" w:rsidP="00201E8F">
            <w:pPr>
              <w:rPr>
                <w:rFonts w:ascii="Times New Roman" w:hAnsi="Times New Roman" w:cs="Times New Roman"/>
                <w:sz w:val="16"/>
                <w:szCs w:val="16"/>
              </w:rPr>
            </w:pPr>
            <w:r w:rsidRPr="00C33A5F">
              <w:rPr>
                <w:rFonts w:ascii="Times New Roman" w:hAnsi="Times New Roman" w:cs="Times New Roman"/>
                <w:sz w:val="16"/>
                <w:szCs w:val="16"/>
              </w:rPr>
              <w:t>1.</w:t>
            </w:r>
            <w:r w:rsidR="00A277FF" w:rsidRPr="00C33A5F">
              <w:rPr>
                <w:rFonts w:ascii="Times New Roman" w:hAnsi="Times New Roman" w:cs="Times New Roman"/>
                <w:sz w:val="16"/>
                <w:szCs w:val="16"/>
              </w:rPr>
              <w:t xml:space="preserve"> </w:t>
            </w:r>
            <w:r w:rsidRPr="00C33A5F">
              <w:rPr>
                <w:rFonts w:ascii="Times New Roman" w:hAnsi="Times New Roman" w:cs="Times New Roman"/>
                <w:sz w:val="16"/>
                <w:szCs w:val="16"/>
              </w:rPr>
              <w:t>MDT programme + home visit post d/c</w:t>
            </w:r>
          </w:p>
          <w:p w14:paraId="4B700CF9" w14:textId="77777777" w:rsidR="00201E8F" w:rsidRPr="00C33A5F" w:rsidRDefault="00201E8F" w:rsidP="00201E8F">
            <w:pPr>
              <w:rPr>
                <w:rFonts w:ascii="Times New Roman" w:hAnsi="Times New Roman" w:cs="Times New Roman"/>
                <w:sz w:val="16"/>
                <w:szCs w:val="16"/>
              </w:rPr>
            </w:pPr>
            <w:r w:rsidRPr="00C33A5F">
              <w:rPr>
                <w:rFonts w:ascii="Times New Roman" w:hAnsi="Times New Roman" w:cs="Times New Roman"/>
                <w:sz w:val="16"/>
                <w:szCs w:val="16"/>
              </w:rPr>
              <w:t>2.</w:t>
            </w:r>
            <w:r w:rsidR="00A277FF" w:rsidRPr="00C33A5F">
              <w:rPr>
                <w:rFonts w:ascii="Times New Roman" w:hAnsi="Times New Roman" w:cs="Times New Roman"/>
                <w:sz w:val="16"/>
                <w:szCs w:val="16"/>
              </w:rPr>
              <w:t xml:space="preserve"> </w:t>
            </w:r>
            <w:r w:rsidRPr="00C33A5F">
              <w:rPr>
                <w:rFonts w:ascii="Times New Roman" w:hAnsi="Times New Roman" w:cs="Times New Roman"/>
                <w:sz w:val="16"/>
                <w:szCs w:val="16"/>
              </w:rPr>
              <w:t>MDT programme</w:t>
            </w:r>
          </w:p>
          <w:p w14:paraId="24AE86AC" w14:textId="77777777" w:rsidR="00201E8F" w:rsidRPr="00C33A5F" w:rsidRDefault="00201E8F" w:rsidP="00201E8F">
            <w:pPr>
              <w:rPr>
                <w:rFonts w:ascii="Times New Roman" w:hAnsi="Times New Roman" w:cs="Times New Roman"/>
                <w:sz w:val="16"/>
                <w:szCs w:val="16"/>
              </w:rPr>
            </w:pPr>
            <w:r w:rsidRPr="00C33A5F">
              <w:rPr>
                <w:rFonts w:ascii="Times New Roman" w:hAnsi="Times New Roman" w:cs="Times New Roman"/>
                <w:sz w:val="16"/>
                <w:szCs w:val="16"/>
              </w:rPr>
              <w:t>Occupational therapist</w:t>
            </w:r>
          </w:p>
        </w:tc>
        <w:tc>
          <w:tcPr>
            <w:tcW w:w="4536" w:type="dxa"/>
            <w:tcBorders>
              <w:left w:val="nil"/>
              <w:bottom w:val="single" w:sz="4" w:space="0" w:color="auto"/>
              <w:right w:val="nil"/>
            </w:tcBorders>
            <w:tcMar>
              <w:top w:w="28" w:type="dxa"/>
              <w:bottom w:w="28" w:type="dxa"/>
            </w:tcMar>
            <w:vAlign w:val="center"/>
          </w:tcPr>
          <w:p w14:paraId="567142A2"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Significantly lower proportion of fallers in IG at 6mo post d/c compared to CG (</w:t>
            </w:r>
            <w:proofErr w:type="spellStart"/>
            <w:r w:rsidRPr="00C33A5F">
              <w:rPr>
                <w:rFonts w:ascii="Times New Roman" w:eastAsia="Calibri" w:hAnsi="Times New Roman" w:cs="Times New Roman"/>
                <w:sz w:val="16"/>
                <w:szCs w:val="16"/>
              </w:rPr>
              <w:t>Adj</w:t>
            </w:r>
            <w:proofErr w:type="spellEnd"/>
            <w:r w:rsidRPr="00C33A5F">
              <w:rPr>
                <w:rFonts w:ascii="Times New Roman" w:eastAsia="Calibri" w:hAnsi="Times New Roman" w:cs="Times New Roman"/>
                <w:sz w:val="16"/>
                <w:szCs w:val="16"/>
              </w:rPr>
              <w:t xml:space="preserve"> OR </w:t>
            </w:r>
            <w:r w:rsidRPr="00C33A5F">
              <w:rPr>
                <w:rFonts w:ascii="Times New Roman" w:hAnsi="Times New Roman" w:cs="Times New Roman"/>
                <w:sz w:val="16"/>
                <w:szCs w:val="16"/>
              </w:rPr>
              <w:t xml:space="preserve">0.275; 95%CI 0.081-0.937; p=0.039) </w:t>
            </w:r>
          </w:p>
        </w:tc>
        <w:tc>
          <w:tcPr>
            <w:tcW w:w="530" w:type="dxa"/>
            <w:tcBorders>
              <w:left w:val="nil"/>
              <w:bottom w:val="single" w:sz="4" w:space="0" w:color="auto"/>
              <w:right w:val="nil"/>
            </w:tcBorders>
            <w:tcMar>
              <w:top w:w="28" w:type="dxa"/>
              <w:bottom w:w="28" w:type="dxa"/>
            </w:tcMar>
            <w:vAlign w:val="center"/>
          </w:tcPr>
          <w:p w14:paraId="52162C00" w14:textId="77777777" w:rsidR="00201E8F" w:rsidRPr="00C33A5F" w:rsidRDefault="00201E8F" w:rsidP="00201E8F">
            <w:pPr>
              <w:jc w:val="center"/>
              <w:rPr>
                <w:rFonts w:ascii="Times New Roman" w:eastAsia="Calibri" w:hAnsi="Times New Roman" w:cs="Times New Roman"/>
                <w:sz w:val="16"/>
                <w:szCs w:val="16"/>
              </w:rPr>
            </w:pPr>
            <w:r w:rsidRPr="00C33A5F">
              <w:rPr>
                <w:rFonts w:ascii="Times New Roman" w:eastAsia="Calibri" w:hAnsi="Times New Roman" w:cs="Times New Roman"/>
                <w:sz w:val="16"/>
                <w:szCs w:val="16"/>
              </w:rPr>
              <w:t>2</w:t>
            </w:r>
          </w:p>
        </w:tc>
      </w:tr>
      <w:tr w:rsidR="00201E8F" w:rsidRPr="00C33A5F" w14:paraId="149147D5" w14:textId="77777777" w:rsidTr="00956011">
        <w:trPr>
          <w:trHeight w:val="260"/>
        </w:trPr>
        <w:tc>
          <w:tcPr>
            <w:tcW w:w="1970" w:type="dxa"/>
            <w:tcBorders>
              <w:top w:val="single" w:sz="4" w:space="0" w:color="auto"/>
              <w:left w:val="nil"/>
              <w:right w:val="nil"/>
            </w:tcBorders>
            <w:tcMar>
              <w:top w:w="28" w:type="dxa"/>
              <w:bottom w:w="28" w:type="dxa"/>
            </w:tcMar>
            <w:vAlign w:val="center"/>
          </w:tcPr>
          <w:p w14:paraId="7B7CBB96" w14:textId="77777777" w:rsidR="00201E8F" w:rsidRPr="008B435D" w:rsidRDefault="002040F5" w:rsidP="00201E8F">
            <w:pPr>
              <w:rPr>
                <w:rFonts w:ascii="Times New Roman" w:hAnsi="Times New Roman" w:cs="Times New Roman"/>
                <w:sz w:val="16"/>
                <w:szCs w:val="16"/>
                <w:lang w:val="de-AT"/>
              </w:rPr>
            </w:pPr>
            <w:r w:rsidRPr="008B435D">
              <w:rPr>
                <w:rFonts w:ascii="Times New Roman" w:hAnsi="Times New Roman" w:cs="Times New Roman"/>
                <w:sz w:val="16"/>
                <w:szCs w:val="16"/>
                <w:lang w:val="de-AT"/>
              </w:rPr>
              <w:t>Berggren et al.</w:t>
            </w:r>
            <w:r w:rsidR="004169A5" w:rsidRPr="008B435D">
              <w:rPr>
                <w:rFonts w:ascii="Times New Roman" w:hAnsi="Times New Roman" w:cs="Times New Roman"/>
                <w:sz w:val="16"/>
                <w:szCs w:val="16"/>
                <w:lang w:val="de-AT"/>
              </w:rPr>
              <w:t>[48]</w:t>
            </w:r>
            <w:r w:rsidR="00201E8F" w:rsidRPr="008B435D">
              <w:rPr>
                <w:rFonts w:ascii="Times New Roman" w:hAnsi="Times New Roman" w:cs="Times New Roman"/>
                <w:sz w:val="16"/>
                <w:szCs w:val="16"/>
                <w:lang w:val="de-AT"/>
              </w:rPr>
              <w:t>, Sweden</w:t>
            </w:r>
          </w:p>
          <w:p w14:paraId="7B3567E5" w14:textId="77777777" w:rsidR="00201E8F" w:rsidRPr="008B435D" w:rsidRDefault="00201E8F" w:rsidP="00201E8F">
            <w:pPr>
              <w:rPr>
                <w:rFonts w:ascii="Times New Roman" w:eastAsia="Times New Roman" w:hAnsi="Times New Roman" w:cs="Times New Roman"/>
                <w:color w:val="000000"/>
                <w:sz w:val="16"/>
                <w:szCs w:val="16"/>
                <w:lang w:val="de-AT" w:eastAsia="en-GB"/>
              </w:rPr>
            </w:pPr>
            <w:r w:rsidRPr="008B435D">
              <w:rPr>
                <w:rFonts w:ascii="Times New Roman" w:hAnsi="Times New Roman" w:cs="Times New Roman"/>
                <w:sz w:val="16"/>
                <w:szCs w:val="16"/>
                <w:lang w:val="de-AT"/>
              </w:rPr>
              <w:t>inpatient &amp; outpatient</w:t>
            </w:r>
          </w:p>
        </w:tc>
        <w:tc>
          <w:tcPr>
            <w:tcW w:w="709" w:type="dxa"/>
            <w:tcBorders>
              <w:top w:val="single" w:sz="4" w:space="0" w:color="auto"/>
              <w:left w:val="nil"/>
              <w:right w:val="nil"/>
            </w:tcBorders>
            <w:tcMar>
              <w:top w:w="28" w:type="dxa"/>
              <w:bottom w:w="28" w:type="dxa"/>
            </w:tcMar>
            <w:vAlign w:val="center"/>
          </w:tcPr>
          <w:p w14:paraId="4ADFA684"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RCT</w:t>
            </w:r>
          </w:p>
        </w:tc>
        <w:tc>
          <w:tcPr>
            <w:tcW w:w="3118" w:type="dxa"/>
            <w:tcBorders>
              <w:top w:val="single" w:sz="4" w:space="0" w:color="auto"/>
              <w:left w:val="nil"/>
              <w:right w:val="nil"/>
            </w:tcBorders>
            <w:tcMar>
              <w:top w:w="28" w:type="dxa"/>
              <w:bottom w:w="28" w:type="dxa"/>
            </w:tcMar>
            <w:vAlign w:val="center"/>
          </w:tcPr>
          <w:p w14:paraId="0103E635"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 xml:space="preserve">Patients after HF surgery </w:t>
            </w:r>
          </w:p>
          <w:p w14:paraId="0DA320FA" w14:textId="77777777" w:rsidR="00A277FF" w:rsidRPr="00C33A5F" w:rsidRDefault="00201E8F" w:rsidP="00A277FF">
            <w:pPr>
              <w:rPr>
                <w:rFonts w:ascii="Times New Roman" w:eastAsia="Calibri" w:hAnsi="Times New Roman" w:cs="Times New Roman"/>
                <w:sz w:val="16"/>
                <w:szCs w:val="16"/>
              </w:rPr>
            </w:pPr>
            <w:r w:rsidRPr="00C33A5F">
              <w:rPr>
                <w:rFonts w:ascii="Times New Roman" w:eastAsia="Calibri" w:hAnsi="Times New Roman" w:cs="Times New Roman"/>
                <w:sz w:val="16"/>
                <w:szCs w:val="16"/>
              </w:rPr>
              <w:t>1.</w:t>
            </w:r>
            <w:r w:rsidR="00A277FF" w:rsidRPr="00C33A5F">
              <w:rPr>
                <w:rFonts w:ascii="Times New Roman" w:eastAsia="Calibri" w:hAnsi="Times New Roman" w:cs="Times New Roman"/>
                <w:sz w:val="16"/>
                <w:szCs w:val="16"/>
              </w:rPr>
              <w:t xml:space="preserve"> </w:t>
            </w:r>
            <w:r w:rsidRPr="00C33A5F">
              <w:rPr>
                <w:rFonts w:ascii="Times New Roman" w:eastAsia="Calibri" w:hAnsi="Times New Roman" w:cs="Times New Roman"/>
                <w:sz w:val="16"/>
                <w:szCs w:val="16"/>
              </w:rPr>
              <w:t>Group 1 (N=102)</w:t>
            </w:r>
          </w:p>
          <w:p w14:paraId="4634C042" w14:textId="77777777" w:rsidR="00201E8F" w:rsidRPr="00C33A5F" w:rsidRDefault="00201E8F" w:rsidP="00A277FF">
            <w:pPr>
              <w:rPr>
                <w:rFonts w:ascii="Times New Roman" w:eastAsia="Calibri" w:hAnsi="Times New Roman" w:cs="Times New Roman"/>
                <w:sz w:val="16"/>
                <w:szCs w:val="16"/>
              </w:rPr>
            </w:pPr>
            <w:r w:rsidRPr="00C33A5F">
              <w:rPr>
                <w:rFonts w:ascii="Times New Roman" w:eastAsia="Calibri" w:hAnsi="Times New Roman" w:cs="Times New Roman"/>
                <w:sz w:val="16"/>
                <w:szCs w:val="16"/>
              </w:rPr>
              <w:t>2.</w:t>
            </w:r>
            <w:r w:rsidR="00A277FF" w:rsidRPr="00C33A5F">
              <w:rPr>
                <w:rFonts w:ascii="Times New Roman" w:eastAsia="Calibri" w:hAnsi="Times New Roman" w:cs="Times New Roman"/>
                <w:sz w:val="16"/>
                <w:szCs w:val="16"/>
              </w:rPr>
              <w:t xml:space="preserve"> </w:t>
            </w:r>
            <w:r w:rsidRPr="00C33A5F">
              <w:rPr>
                <w:rFonts w:ascii="Times New Roman" w:eastAsia="Calibri" w:hAnsi="Times New Roman" w:cs="Times New Roman"/>
                <w:sz w:val="16"/>
                <w:szCs w:val="16"/>
              </w:rPr>
              <w:t>Group 2 (N=97)</w:t>
            </w:r>
          </w:p>
        </w:tc>
        <w:tc>
          <w:tcPr>
            <w:tcW w:w="3827" w:type="dxa"/>
            <w:tcBorders>
              <w:top w:val="single" w:sz="4" w:space="0" w:color="auto"/>
              <w:left w:val="nil"/>
              <w:right w:val="nil"/>
            </w:tcBorders>
            <w:tcMar>
              <w:top w:w="28" w:type="dxa"/>
              <w:bottom w:w="28" w:type="dxa"/>
            </w:tcMar>
            <w:vAlign w:val="center"/>
          </w:tcPr>
          <w:p w14:paraId="70C0741C"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1.</w:t>
            </w:r>
            <w:r w:rsidR="00A277FF" w:rsidRPr="00C33A5F">
              <w:rPr>
                <w:rFonts w:ascii="Times New Roman" w:eastAsia="Calibri" w:hAnsi="Times New Roman" w:cs="Times New Roman"/>
                <w:sz w:val="16"/>
                <w:szCs w:val="16"/>
              </w:rPr>
              <w:t xml:space="preserve"> </w:t>
            </w:r>
            <w:r w:rsidRPr="00C33A5F">
              <w:rPr>
                <w:rFonts w:ascii="Times New Roman" w:eastAsia="Calibri" w:hAnsi="Times New Roman" w:cs="Times New Roman"/>
                <w:sz w:val="16"/>
                <w:szCs w:val="16"/>
              </w:rPr>
              <w:t>Geriatric rehabilitation + Home visit</w:t>
            </w:r>
          </w:p>
          <w:p w14:paraId="22334D4F"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2. Care on orthopaedic ward</w:t>
            </w:r>
          </w:p>
          <w:p w14:paraId="2529A259"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Physiotherapists, Occupational Therapists</w:t>
            </w:r>
          </w:p>
        </w:tc>
        <w:tc>
          <w:tcPr>
            <w:tcW w:w="4536" w:type="dxa"/>
            <w:tcBorders>
              <w:top w:val="single" w:sz="4" w:space="0" w:color="auto"/>
              <w:left w:val="nil"/>
              <w:right w:val="nil"/>
            </w:tcBorders>
            <w:tcMar>
              <w:top w:w="28" w:type="dxa"/>
              <w:bottom w:w="28" w:type="dxa"/>
            </w:tcMar>
            <w:vAlign w:val="center"/>
          </w:tcPr>
          <w:p w14:paraId="4945F138"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At 12mo crude fall-incidence rate was 4.16/1000days in the IG and 6.43/1000 days in CG (IRR 0.64, 95%CI 0.40-1.02; p=0.063)</w:t>
            </w:r>
          </w:p>
        </w:tc>
        <w:tc>
          <w:tcPr>
            <w:tcW w:w="530" w:type="dxa"/>
            <w:tcBorders>
              <w:top w:val="single" w:sz="4" w:space="0" w:color="auto"/>
              <w:left w:val="nil"/>
              <w:right w:val="nil"/>
            </w:tcBorders>
            <w:tcMar>
              <w:top w:w="28" w:type="dxa"/>
              <w:bottom w:w="28" w:type="dxa"/>
            </w:tcMar>
            <w:vAlign w:val="center"/>
          </w:tcPr>
          <w:p w14:paraId="1B43D6B9" w14:textId="77777777" w:rsidR="00201E8F" w:rsidRPr="00C33A5F" w:rsidRDefault="00201E8F" w:rsidP="00201E8F">
            <w:pPr>
              <w:jc w:val="center"/>
              <w:rPr>
                <w:rFonts w:ascii="Times New Roman" w:eastAsia="Calibri" w:hAnsi="Times New Roman" w:cs="Times New Roman"/>
                <w:sz w:val="16"/>
                <w:szCs w:val="16"/>
              </w:rPr>
            </w:pPr>
            <w:r w:rsidRPr="00C33A5F">
              <w:rPr>
                <w:rFonts w:ascii="Times New Roman" w:eastAsia="Calibri" w:hAnsi="Times New Roman" w:cs="Times New Roman"/>
                <w:sz w:val="16"/>
                <w:szCs w:val="16"/>
              </w:rPr>
              <w:t>2</w:t>
            </w:r>
          </w:p>
        </w:tc>
      </w:tr>
      <w:tr w:rsidR="00201E8F" w:rsidRPr="00C33A5F" w14:paraId="0205404E" w14:textId="77777777" w:rsidTr="00956011">
        <w:trPr>
          <w:trHeight w:val="170"/>
        </w:trPr>
        <w:tc>
          <w:tcPr>
            <w:tcW w:w="1970" w:type="dxa"/>
            <w:tcBorders>
              <w:left w:val="nil"/>
              <w:bottom w:val="single" w:sz="12" w:space="0" w:color="auto"/>
              <w:right w:val="nil"/>
            </w:tcBorders>
            <w:tcMar>
              <w:top w:w="28" w:type="dxa"/>
              <w:bottom w:w="28" w:type="dxa"/>
            </w:tcMar>
            <w:vAlign w:val="center"/>
          </w:tcPr>
          <w:p w14:paraId="247D7AF1" w14:textId="77777777" w:rsidR="00201E8F" w:rsidRPr="00C33A5F" w:rsidRDefault="00201E8F" w:rsidP="00201E8F">
            <w:pPr>
              <w:rPr>
                <w:rFonts w:ascii="Times New Roman" w:eastAsia="Times New Roman" w:hAnsi="Times New Roman" w:cs="Times New Roman"/>
                <w:color w:val="000000"/>
                <w:sz w:val="16"/>
                <w:szCs w:val="16"/>
                <w:lang w:eastAsia="en-GB"/>
              </w:rPr>
            </w:pPr>
            <w:proofErr w:type="spellStart"/>
            <w:r w:rsidRPr="00C33A5F">
              <w:rPr>
                <w:rFonts w:ascii="Times New Roman" w:hAnsi="Times New Roman" w:cs="Times New Roman"/>
                <w:sz w:val="16"/>
                <w:szCs w:val="16"/>
              </w:rPr>
              <w:t>Shyu</w:t>
            </w:r>
            <w:proofErr w:type="spellEnd"/>
            <w:r w:rsidRPr="00C33A5F">
              <w:rPr>
                <w:rFonts w:ascii="Times New Roman" w:hAnsi="Times New Roman" w:cs="Times New Roman"/>
                <w:sz w:val="16"/>
                <w:szCs w:val="16"/>
              </w:rPr>
              <w:t xml:space="preserve"> </w:t>
            </w:r>
            <w:proofErr w:type="gramStart"/>
            <w:r w:rsidRPr="00C33A5F">
              <w:rPr>
                <w:rFonts w:ascii="Times New Roman" w:hAnsi="Times New Roman" w:cs="Times New Roman"/>
                <w:sz w:val="16"/>
                <w:szCs w:val="16"/>
              </w:rPr>
              <w:t>et al.</w:t>
            </w:r>
            <w:r w:rsidR="004169A5">
              <w:rPr>
                <w:rFonts w:ascii="Times New Roman" w:hAnsi="Times New Roman" w:cs="Times New Roman"/>
                <w:sz w:val="16"/>
                <w:szCs w:val="16"/>
              </w:rPr>
              <w:t>[</w:t>
            </w:r>
            <w:proofErr w:type="gramEnd"/>
            <w:r w:rsidR="004169A5">
              <w:rPr>
                <w:rFonts w:ascii="Times New Roman" w:hAnsi="Times New Roman" w:cs="Times New Roman"/>
                <w:sz w:val="16"/>
                <w:szCs w:val="16"/>
              </w:rPr>
              <w:t>49]</w:t>
            </w:r>
            <w:r w:rsidRPr="00C33A5F">
              <w:rPr>
                <w:rFonts w:ascii="Times New Roman" w:hAnsi="Times New Roman" w:cs="Times New Roman"/>
                <w:sz w:val="16"/>
                <w:szCs w:val="16"/>
              </w:rPr>
              <w:t>, Taiwan, inpatient &amp; community</w:t>
            </w:r>
          </w:p>
        </w:tc>
        <w:tc>
          <w:tcPr>
            <w:tcW w:w="709" w:type="dxa"/>
            <w:tcBorders>
              <w:left w:val="nil"/>
              <w:bottom w:val="single" w:sz="12" w:space="0" w:color="auto"/>
              <w:right w:val="nil"/>
            </w:tcBorders>
            <w:tcMar>
              <w:top w:w="28" w:type="dxa"/>
              <w:bottom w:w="28" w:type="dxa"/>
            </w:tcMar>
            <w:vAlign w:val="center"/>
          </w:tcPr>
          <w:p w14:paraId="7CE22ABE"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RCT</w:t>
            </w:r>
          </w:p>
        </w:tc>
        <w:tc>
          <w:tcPr>
            <w:tcW w:w="3118" w:type="dxa"/>
            <w:tcBorders>
              <w:left w:val="nil"/>
              <w:bottom w:val="single" w:sz="12" w:space="0" w:color="auto"/>
              <w:right w:val="nil"/>
            </w:tcBorders>
            <w:tcMar>
              <w:top w:w="28" w:type="dxa"/>
              <w:bottom w:w="28" w:type="dxa"/>
            </w:tcMar>
            <w:vAlign w:val="center"/>
          </w:tcPr>
          <w:p w14:paraId="0B8EA7E6"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 xml:space="preserve">Patients after HF surgery </w:t>
            </w:r>
          </w:p>
          <w:p w14:paraId="7ACBD32E" w14:textId="77777777" w:rsidR="00A277FF" w:rsidRPr="00C33A5F" w:rsidRDefault="00201E8F" w:rsidP="00A277FF">
            <w:pPr>
              <w:rPr>
                <w:rFonts w:ascii="Times New Roman" w:eastAsia="Calibri" w:hAnsi="Times New Roman" w:cs="Times New Roman"/>
                <w:sz w:val="16"/>
                <w:szCs w:val="16"/>
              </w:rPr>
            </w:pPr>
            <w:r w:rsidRPr="00C33A5F">
              <w:rPr>
                <w:rFonts w:ascii="Times New Roman" w:eastAsia="Calibri" w:hAnsi="Times New Roman" w:cs="Times New Roman"/>
                <w:sz w:val="16"/>
                <w:szCs w:val="16"/>
              </w:rPr>
              <w:t>1.</w:t>
            </w:r>
            <w:r w:rsidR="00A277FF" w:rsidRPr="00C33A5F">
              <w:rPr>
                <w:rFonts w:ascii="Times New Roman" w:eastAsia="Calibri" w:hAnsi="Times New Roman" w:cs="Times New Roman"/>
                <w:sz w:val="16"/>
                <w:szCs w:val="16"/>
              </w:rPr>
              <w:t xml:space="preserve"> Group 1 (N=79)</w:t>
            </w:r>
          </w:p>
          <w:p w14:paraId="7871877D" w14:textId="77777777" w:rsidR="00201E8F" w:rsidRPr="00C33A5F" w:rsidRDefault="00201E8F" w:rsidP="00A277FF">
            <w:pPr>
              <w:rPr>
                <w:rFonts w:ascii="Times New Roman" w:eastAsia="Calibri" w:hAnsi="Times New Roman" w:cs="Times New Roman"/>
                <w:sz w:val="16"/>
                <w:szCs w:val="16"/>
              </w:rPr>
            </w:pPr>
            <w:r w:rsidRPr="00C33A5F">
              <w:rPr>
                <w:rFonts w:ascii="Times New Roman" w:eastAsia="Calibri" w:hAnsi="Times New Roman" w:cs="Times New Roman"/>
                <w:sz w:val="16"/>
                <w:szCs w:val="16"/>
              </w:rPr>
              <w:t>2.</w:t>
            </w:r>
            <w:r w:rsidR="00A277FF" w:rsidRPr="00C33A5F">
              <w:rPr>
                <w:rFonts w:ascii="Times New Roman" w:eastAsia="Calibri" w:hAnsi="Times New Roman" w:cs="Times New Roman"/>
                <w:sz w:val="16"/>
                <w:szCs w:val="16"/>
              </w:rPr>
              <w:t xml:space="preserve"> </w:t>
            </w:r>
            <w:r w:rsidRPr="00C33A5F">
              <w:rPr>
                <w:rFonts w:ascii="Times New Roman" w:eastAsia="Calibri" w:hAnsi="Times New Roman" w:cs="Times New Roman"/>
                <w:sz w:val="16"/>
                <w:szCs w:val="16"/>
              </w:rPr>
              <w:t>Group 2 (N=81)</w:t>
            </w:r>
          </w:p>
        </w:tc>
        <w:tc>
          <w:tcPr>
            <w:tcW w:w="3827" w:type="dxa"/>
            <w:tcBorders>
              <w:left w:val="nil"/>
              <w:bottom w:val="single" w:sz="12" w:space="0" w:color="auto"/>
              <w:right w:val="nil"/>
            </w:tcBorders>
            <w:tcMar>
              <w:top w:w="28" w:type="dxa"/>
              <w:bottom w:w="28" w:type="dxa"/>
            </w:tcMar>
            <w:vAlign w:val="center"/>
          </w:tcPr>
          <w:p w14:paraId="3667C950"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1.</w:t>
            </w:r>
            <w:r w:rsidR="00A277FF" w:rsidRPr="00C33A5F">
              <w:rPr>
                <w:rFonts w:ascii="Times New Roman" w:eastAsia="Calibri" w:hAnsi="Times New Roman" w:cs="Times New Roman"/>
                <w:sz w:val="16"/>
                <w:szCs w:val="16"/>
              </w:rPr>
              <w:t xml:space="preserve"> </w:t>
            </w:r>
            <w:proofErr w:type="spellStart"/>
            <w:r w:rsidRPr="00C33A5F">
              <w:rPr>
                <w:rFonts w:ascii="Times New Roman" w:eastAsia="Calibri" w:hAnsi="Times New Roman" w:cs="Times New Roman"/>
                <w:sz w:val="16"/>
                <w:szCs w:val="16"/>
              </w:rPr>
              <w:t>Orthogeriatrics</w:t>
            </w:r>
            <w:proofErr w:type="spellEnd"/>
            <w:r w:rsidRPr="00C33A5F">
              <w:rPr>
                <w:rFonts w:ascii="Times New Roman" w:eastAsia="Calibri" w:hAnsi="Times New Roman" w:cs="Times New Roman"/>
                <w:sz w:val="16"/>
                <w:szCs w:val="16"/>
              </w:rPr>
              <w:t>, rehabilitation + d/c plan</w:t>
            </w:r>
          </w:p>
          <w:p w14:paraId="46A2C220"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2. Usual care</w:t>
            </w:r>
          </w:p>
          <w:p w14:paraId="6CFE2B13"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Nurse, Physician, Physical Therapist</w:t>
            </w:r>
          </w:p>
        </w:tc>
        <w:tc>
          <w:tcPr>
            <w:tcW w:w="4536" w:type="dxa"/>
            <w:tcBorders>
              <w:left w:val="nil"/>
              <w:bottom w:val="single" w:sz="12" w:space="0" w:color="auto"/>
              <w:right w:val="nil"/>
            </w:tcBorders>
            <w:tcMar>
              <w:top w:w="28" w:type="dxa"/>
              <w:bottom w:w="28" w:type="dxa"/>
            </w:tcMar>
            <w:vAlign w:val="center"/>
          </w:tcPr>
          <w:p w14:paraId="6DC775DB" w14:textId="77777777" w:rsidR="00201E8F" w:rsidRPr="00C33A5F" w:rsidRDefault="00201E8F" w:rsidP="00201E8F">
            <w:pPr>
              <w:rPr>
                <w:rFonts w:ascii="Times New Roman" w:eastAsia="Calibri" w:hAnsi="Times New Roman" w:cs="Times New Roman"/>
                <w:sz w:val="16"/>
                <w:szCs w:val="16"/>
              </w:rPr>
            </w:pPr>
            <w:r w:rsidRPr="00C33A5F">
              <w:rPr>
                <w:rFonts w:ascii="Times New Roman" w:eastAsia="Calibri" w:hAnsi="Times New Roman" w:cs="Times New Roman"/>
                <w:sz w:val="16"/>
                <w:szCs w:val="16"/>
              </w:rPr>
              <w:t>29.6% of IG and 34.2% of CG had cognitive impairment. Only participants without cognitive impairment showed reduced fall occurrence (OR=0.47; CI 0.25-0.86) at 2 yrs.</w:t>
            </w:r>
          </w:p>
        </w:tc>
        <w:tc>
          <w:tcPr>
            <w:tcW w:w="530" w:type="dxa"/>
            <w:tcBorders>
              <w:left w:val="nil"/>
              <w:bottom w:val="single" w:sz="12" w:space="0" w:color="auto"/>
              <w:right w:val="nil"/>
            </w:tcBorders>
            <w:tcMar>
              <w:top w:w="28" w:type="dxa"/>
              <w:bottom w:w="28" w:type="dxa"/>
            </w:tcMar>
            <w:vAlign w:val="center"/>
          </w:tcPr>
          <w:p w14:paraId="18013970" w14:textId="77777777" w:rsidR="00201E8F" w:rsidRPr="00C33A5F" w:rsidRDefault="00201E8F" w:rsidP="00201E8F">
            <w:pPr>
              <w:jc w:val="center"/>
              <w:rPr>
                <w:rFonts w:ascii="Times New Roman" w:eastAsia="Calibri" w:hAnsi="Times New Roman" w:cs="Times New Roman"/>
                <w:sz w:val="16"/>
                <w:szCs w:val="16"/>
              </w:rPr>
            </w:pPr>
            <w:r w:rsidRPr="00C33A5F">
              <w:rPr>
                <w:rFonts w:ascii="Times New Roman" w:eastAsia="Calibri" w:hAnsi="Times New Roman" w:cs="Times New Roman"/>
                <w:sz w:val="16"/>
                <w:szCs w:val="16"/>
              </w:rPr>
              <w:t>2</w:t>
            </w:r>
          </w:p>
        </w:tc>
      </w:tr>
    </w:tbl>
    <w:p w14:paraId="1E808FCF" w14:textId="77777777" w:rsidR="00201E8F" w:rsidRPr="0064137F" w:rsidRDefault="00201E8F" w:rsidP="00201E8F">
      <w:pPr>
        <w:spacing w:after="0" w:line="240" w:lineRule="auto"/>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Abbreviations: </w:t>
      </w:r>
      <w:proofErr w:type="spellStart"/>
      <w:r w:rsidRPr="0064137F">
        <w:rPr>
          <w:rFonts w:ascii="Times New Roman" w:eastAsia="Calibri" w:hAnsi="Times New Roman" w:cs="Times New Roman"/>
          <w:sz w:val="16"/>
          <w:szCs w:val="16"/>
        </w:rPr>
        <w:t>Adj</w:t>
      </w:r>
      <w:proofErr w:type="spellEnd"/>
      <w:r w:rsidRPr="0064137F">
        <w:rPr>
          <w:rFonts w:ascii="Times New Roman" w:eastAsia="Calibri" w:hAnsi="Times New Roman" w:cs="Times New Roman"/>
          <w:sz w:val="16"/>
          <w:szCs w:val="16"/>
        </w:rPr>
        <w:t xml:space="preserve">, Adjusted; BBS, Berg Balance Scale; CG, Control Group; CI, Confidence Interval; d/c, discharge; HF, Hip Fracture; hr, hours; IG, Intervention Group; IRR, Incidence Rate Ratio; OVF, Osteoporotic Vertebral Fracture; </w:t>
      </w:r>
      <w:proofErr w:type="spellStart"/>
      <w:r w:rsidRPr="0064137F">
        <w:rPr>
          <w:rFonts w:ascii="Times New Roman" w:eastAsia="Calibri" w:hAnsi="Times New Roman" w:cs="Times New Roman"/>
          <w:sz w:val="16"/>
          <w:szCs w:val="16"/>
        </w:rPr>
        <w:t>LoE</w:t>
      </w:r>
      <w:proofErr w:type="spellEnd"/>
      <w:r w:rsidRPr="0064137F">
        <w:rPr>
          <w:rFonts w:ascii="Times New Roman" w:eastAsia="Calibri" w:hAnsi="Times New Roman" w:cs="Times New Roman"/>
          <w:sz w:val="16"/>
          <w:szCs w:val="16"/>
        </w:rPr>
        <w:t xml:space="preserve">, Level of Evidence; MA, Meta-analysis; MDT, Multidisciplinary team; </w:t>
      </w:r>
      <w:proofErr w:type="spellStart"/>
      <w:r w:rsidRPr="0064137F">
        <w:rPr>
          <w:rFonts w:ascii="Times New Roman" w:eastAsia="Calibri" w:hAnsi="Times New Roman" w:cs="Times New Roman"/>
          <w:sz w:val="16"/>
          <w:szCs w:val="16"/>
        </w:rPr>
        <w:t>mo</w:t>
      </w:r>
      <w:proofErr w:type="spellEnd"/>
      <w:r w:rsidRPr="0064137F">
        <w:rPr>
          <w:rFonts w:ascii="Times New Roman" w:eastAsia="Calibri" w:hAnsi="Times New Roman" w:cs="Times New Roman"/>
          <w:sz w:val="16"/>
          <w:szCs w:val="16"/>
        </w:rPr>
        <w:t xml:space="preserve">, month; OP, Osteoporosis; OR, Odds Ratio; PRE, Progressive resistive exercise; RCT, Randomised Controlled Trial; RR, Relative Risk; </w:t>
      </w:r>
      <w:r w:rsidRPr="0064137F">
        <w:rPr>
          <w:rFonts w:ascii="Times New Roman" w:eastAsia="Calibri" w:hAnsi="Times New Roman" w:cs="Times New Roman"/>
          <w:i/>
          <w:sz w:val="16"/>
          <w:szCs w:val="16"/>
        </w:rPr>
        <w:t>RR</w:t>
      </w:r>
      <w:r w:rsidRPr="0064137F">
        <w:rPr>
          <w:rFonts w:ascii="Times New Roman" w:eastAsia="Calibri" w:hAnsi="Times New Roman" w:cs="Times New Roman"/>
          <w:sz w:val="16"/>
          <w:szCs w:val="16"/>
        </w:rPr>
        <w:t xml:space="preserve">, Risk Ratio; SD, Standard Deviation; SMD, Standardised Mean Difference; SR, Systematic Review; TUG, Timed Up and Go; </w:t>
      </w:r>
      <w:proofErr w:type="spellStart"/>
      <w:r w:rsidRPr="0064137F">
        <w:rPr>
          <w:rFonts w:ascii="Times New Roman" w:eastAsia="Calibri" w:hAnsi="Times New Roman" w:cs="Times New Roman"/>
          <w:sz w:val="16"/>
          <w:szCs w:val="16"/>
        </w:rPr>
        <w:t>wks</w:t>
      </w:r>
      <w:proofErr w:type="spellEnd"/>
      <w:r w:rsidRPr="0064137F">
        <w:rPr>
          <w:rFonts w:ascii="Times New Roman" w:eastAsia="Calibri" w:hAnsi="Times New Roman" w:cs="Times New Roman"/>
          <w:sz w:val="16"/>
          <w:szCs w:val="16"/>
        </w:rPr>
        <w:t xml:space="preserve">, weeks; </w:t>
      </w:r>
      <w:proofErr w:type="spellStart"/>
      <w:r w:rsidRPr="0064137F">
        <w:rPr>
          <w:rFonts w:ascii="Times New Roman" w:eastAsia="Calibri" w:hAnsi="Times New Roman" w:cs="Times New Roman"/>
          <w:sz w:val="16"/>
          <w:szCs w:val="16"/>
        </w:rPr>
        <w:t>yrs</w:t>
      </w:r>
      <w:proofErr w:type="spellEnd"/>
      <w:r w:rsidRPr="0064137F">
        <w:rPr>
          <w:rFonts w:ascii="Times New Roman" w:eastAsia="Calibri" w:hAnsi="Times New Roman" w:cs="Times New Roman"/>
          <w:sz w:val="16"/>
          <w:szCs w:val="16"/>
        </w:rPr>
        <w:t>, years.</w:t>
      </w:r>
    </w:p>
    <w:p w14:paraId="4519B6C4" w14:textId="77777777" w:rsidR="00201E8F" w:rsidRPr="0064137F" w:rsidRDefault="00201E8F" w:rsidP="001B794A">
      <w:pPr>
        <w:spacing w:after="0" w:line="480" w:lineRule="auto"/>
        <w:rPr>
          <w:rFonts w:ascii="Times New Roman" w:eastAsia="Calibri" w:hAnsi="Times New Roman" w:cs="Times New Roman"/>
          <w:sz w:val="16"/>
          <w:szCs w:val="16"/>
        </w:rPr>
        <w:sectPr w:rsidR="00201E8F" w:rsidRPr="0064137F" w:rsidSect="00201E8F">
          <w:pgSz w:w="16838" w:h="11906" w:orient="landscape"/>
          <w:pgMar w:top="1417" w:right="1417" w:bottom="1417" w:left="1417" w:header="708" w:footer="708" w:gutter="0"/>
          <w:cols w:space="708"/>
          <w:docGrid w:linePitch="360"/>
        </w:sectPr>
      </w:pPr>
    </w:p>
    <w:p w14:paraId="06856163" w14:textId="77777777" w:rsidR="00D0557A" w:rsidRPr="008B435D" w:rsidRDefault="005E622E" w:rsidP="008B435D">
      <w:pPr>
        <w:pStyle w:val="ListParagraph"/>
        <w:numPr>
          <w:ilvl w:val="0"/>
          <w:numId w:val="15"/>
        </w:numPr>
        <w:spacing w:after="0" w:line="480" w:lineRule="auto"/>
        <w:rPr>
          <w:rFonts w:ascii="Times New Roman" w:eastAsia="Calibri" w:hAnsi="Times New Roman" w:cs="Times New Roman"/>
          <w:sz w:val="24"/>
          <w:szCs w:val="24"/>
          <w:u w:val="single"/>
        </w:rPr>
      </w:pPr>
      <w:r w:rsidRPr="008B435D">
        <w:rPr>
          <w:rFonts w:ascii="Times New Roman" w:eastAsia="Calibri" w:hAnsi="Times New Roman" w:cs="Times New Roman"/>
          <w:sz w:val="24"/>
          <w:szCs w:val="24"/>
          <w:u w:val="single"/>
        </w:rPr>
        <w:lastRenderedPageBreak/>
        <w:t>Exercise</w:t>
      </w:r>
    </w:p>
    <w:p w14:paraId="45F5C0D2" w14:textId="77777777" w:rsidR="00957D48" w:rsidRPr="00C33A5F" w:rsidRDefault="00957D48" w:rsidP="008E3C5F">
      <w:pPr>
        <w:spacing w:after="0" w:line="480" w:lineRule="auto"/>
        <w:jc w:val="both"/>
        <w:rPr>
          <w:rFonts w:ascii="Times New Roman" w:eastAsia="Calibri" w:hAnsi="Times New Roman" w:cs="Times New Roman"/>
          <w:sz w:val="24"/>
          <w:szCs w:val="24"/>
        </w:rPr>
      </w:pPr>
      <w:r w:rsidRPr="00C33A5F">
        <w:rPr>
          <w:rFonts w:ascii="Times New Roman" w:eastAsia="Calibri" w:hAnsi="Times New Roman" w:cs="Times New Roman"/>
          <w:sz w:val="24"/>
          <w:szCs w:val="24"/>
        </w:rPr>
        <w:t>Three meta-analyses and two RCTs contributed to the evidence synthesis about the effect of exercise on bone health-related outcomes in people who had experienced a vertebral fracture</w:t>
      </w:r>
      <w:r w:rsidR="0016189E">
        <w:rPr>
          <w:rFonts w:ascii="Times New Roman" w:eastAsia="Calibri" w:hAnsi="Times New Roman" w:cs="Times New Roman"/>
          <w:sz w:val="24"/>
          <w:szCs w:val="24"/>
        </w:rPr>
        <w:t>[37]</w:t>
      </w:r>
      <w:r w:rsidRPr="00C33A5F">
        <w:rPr>
          <w:rFonts w:ascii="Times New Roman" w:eastAsia="Calibri" w:hAnsi="Times New Roman" w:cs="Times New Roman"/>
          <w:sz w:val="24"/>
          <w:szCs w:val="24"/>
        </w:rPr>
        <w:t>, any osteoporotic fracture</w:t>
      </w:r>
      <w:r w:rsidR="00EB2C1E">
        <w:rPr>
          <w:rFonts w:ascii="Times New Roman" w:eastAsia="Calibri" w:hAnsi="Times New Roman" w:cs="Times New Roman"/>
          <w:sz w:val="24"/>
          <w:szCs w:val="24"/>
        </w:rPr>
        <w:t>[38]</w:t>
      </w:r>
      <w:r w:rsidRPr="00C33A5F">
        <w:rPr>
          <w:rFonts w:ascii="Times New Roman" w:eastAsia="Calibri" w:hAnsi="Times New Roman" w:cs="Times New Roman"/>
          <w:sz w:val="24"/>
          <w:szCs w:val="24"/>
        </w:rPr>
        <w:t xml:space="preserve"> or had undergone hip fracture surgery</w:t>
      </w:r>
      <w:r w:rsidR="00EB2C1E">
        <w:rPr>
          <w:rFonts w:ascii="Times New Roman" w:eastAsia="Calibri" w:hAnsi="Times New Roman" w:cs="Times New Roman"/>
          <w:sz w:val="24"/>
          <w:szCs w:val="24"/>
        </w:rPr>
        <w:t>[28,</w:t>
      </w:r>
      <w:r w:rsidR="0016189E">
        <w:rPr>
          <w:rFonts w:ascii="Times New Roman" w:eastAsia="Calibri" w:hAnsi="Times New Roman" w:cs="Times New Roman"/>
          <w:sz w:val="24"/>
          <w:szCs w:val="24"/>
        </w:rPr>
        <w:t>39,40]</w:t>
      </w:r>
      <w:r w:rsidR="00B200B7">
        <w:rPr>
          <w:rFonts w:ascii="Times New Roman" w:eastAsia="Calibri" w:hAnsi="Times New Roman" w:cs="Times New Roman"/>
          <w:sz w:val="24"/>
          <w:szCs w:val="24"/>
        </w:rPr>
        <w:t>. I</w:t>
      </w:r>
      <w:r w:rsidRPr="00C33A5F">
        <w:rPr>
          <w:rFonts w:ascii="Times New Roman" w:eastAsia="Calibri" w:hAnsi="Times New Roman" w:cs="Times New Roman"/>
          <w:sz w:val="24"/>
          <w:szCs w:val="24"/>
        </w:rPr>
        <w:t xml:space="preserve">nterventions included structured exercise of different </w:t>
      </w:r>
      <w:proofErr w:type="gramStart"/>
      <w:r w:rsidRPr="00C33A5F">
        <w:rPr>
          <w:rFonts w:ascii="Times New Roman" w:eastAsia="Calibri" w:hAnsi="Times New Roman" w:cs="Times New Roman"/>
          <w:sz w:val="24"/>
          <w:szCs w:val="24"/>
        </w:rPr>
        <w:t>types</w:t>
      </w:r>
      <w:r w:rsidR="0016189E">
        <w:rPr>
          <w:rFonts w:ascii="Times New Roman" w:eastAsia="Calibri" w:hAnsi="Times New Roman" w:cs="Times New Roman"/>
          <w:sz w:val="24"/>
          <w:szCs w:val="24"/>
        </w:rPr>
        <w:t>[</w:t>
      </w:r>
      <w:proofErr w:type="gramEnd"/>
      <w:r w:rsidR="0016189E">
        <w:rPr>
          <w:rFonts w:ascii="Times New Roman" w:eastAsia="Calibri" w:hAnsi="Times New Roman" w:cs="Times New Roman"/>
          <w:sz w:val="24"/>
          <w:szCs w:val="24"/>
        </w:rPr>
        <w:t>39]</w:t>
      </w:r>
      <w:r w:rsidRPr="00C33A5F">
        <w:rPr>
          <w:rFonts w:ascii="Times New Roman" w:eastAsia="Calibri" w:hAnsi="Times New Roman" w:cs="Times New Roman"/>
          <w:sz w:val="24"/>
          <w:szCs w:val="24"/>
        </w:rPr>
        <w:t>, balance training</w:t>
      </w:r>
      <w:r w:rsidR="0016189E">
        <w:rPr>
          <w:rFonts w:ascii="Times New Roman" w:eastAsia="Calibri" w:hAnsi="Times New Roman" w:cs="Times New Roman"/>
          <w:sz w:val="24"/>
          <w:szCs w:val="24"/>
        </w:rPr>
        <w:t>[38]</w:t>
      </w:r>
      <w:r w:rsidRPr="00C33A5F">
        <w:rPr>
          <w:rFonts w:ascii="Times New Roman" w:eastAsia="Calibri" w:hAnsi="Times New Roman" w:cs="Times New Roman"/>
          <w:sz w:val="24"/>
          <w:szCs w:val="24"/>
        </w:rPr>
        <w:t>, and progressive resistance exercise (PRE)</w:t>
      </w:r>
      <w:r w:rsidR="0016189E">
        <w:rPr>
          <w:rFonts w:ascii="Times New Roman" w:eastAsia="Calibri" w:hAnsi="Times New Roman" w:cs="Times New Roman"/>
          <w:sz w:val="24"/>
          <w:szCs w:val="24"/>
        </w:rPr>
        <w:t>[28,40]</w:t>
      </w:r>
      <w:r w:rsidRPr="00C33A5F">
        <w:rPr>
          <w:rFonts w:ascii="Times New Roman" w:eastAsia="Calibri" w:hAnsi="Times New Roman" w:cs="Times New Roman"/>
          <w:sz w:val="24"/>
          <w:szCs w:val="24"/>
        </w:rPr>
        <w:t xml:space="preserve">. Outcomes included factors associated with risk of falls, for example mobility, knee extension strength and balance. </w:t>
      </w:r>
    </w:p>
    <w:p w14:paraId="7FF3186B" w14:textId="77777777" w:rsidR="00957D48" w:rsidRPr="00C33A5F" w:rsidRDefault="00957D48" w:rsidP="00957D48">
      <w:pPr>
        <w:spacing w:after="0" w:line="480" w:lineRule="auto"/>
        <w:rPr>
          <w:rFonts w:ascii="Times New Roman" w:eastAsia="Calibri" w:hAnsi="Times New Roman" w:cs="Times New Roman"/>
          <w:sz w:val="24"/>
          <w:szCs w:val="24"/>
        </w:rPr>
      </w:pPr>
    </w:p>
    <w:p w14:paraId="2BFCC2CC" w14:textId="77777777" w:rsidR="00957D48" w:rsidRPr="00C33A5F" w:rsidRDefault="00957D48" w:rsidP="008E3C5F">
      <w:pPr>
        <w:spacing w:after="0" w:line="480" w:lineRule="auto"/>
        <w:jc w:val="both"/>
        <w:rPr>
          <w:rFonts w:ascii="Times New Roman" w:eastAsia="Calibri" w:hAnsi="Times New Roman" w:cs="Times New Roman"/>
          <w:sz w:val="24"/>
          <w:szCs w:val="24"/>
          <w:vertAlign w:val="subscript"/>
        </w:rPr>
      </w:pPr>
      <w:r w:rsidRPr="00C33A5F">
        <w:rPr>
          <w:rFonts w:ascii="Times New Roman" w:eastAsia="Calibri" w:hAnsi="Times New Roman" w:cs="Times New Roman"/>
          <w:sz w:val="24"/>
          <w:szCs w:val="24"/>
        </w:rPr>
        <w:t>After hip fracture surgery, structured exercise, in particular interventions incorporating PRE for 2 – 3 months, led to statistically significant improvements in mobility compared to usual care or no intervention (</w:t>
      </w:r>
      <w:r w:rsidRPr="0058053C">
        <w:rPr>
          <w:rFonts w:ascii="Times New Roman" w:eastAsia="Calibri" w:hAnsi="Times New Roman" w:cs="Times New Roman"/>
          <w:sz w:val="24"/>
          <w:szCs w:val="24"/>
        </w:rPr>
        <w:t>S</w:t>
      </w:r>
      <w:r w:rsidR="003F6532" w:rsidRPr="0058053C">
        <w:rPr>
          <w:rFonts w:ascii="Times New Roman" w:eastAsia="Calibri" w:hAnsi="Times New Roman" w:cs="Times New Roman"/>
          <w:sz w:val="24"/>
          <w:szCs w:val="24"/>
        </w:rPr>
        <w:t>tandar</w:t>
      </w:r>
      <w:r w:rsidR="0014698B" w:rsidRPr="0058053C">
        <w:rPr>
          <w:rFonts w:ascii="Times New Roman" w:eastAsia="Calibri" w:hAnsi="Times New Roman" w:cs="Times New Roman"/>
          <w:sz w:val="24"/>
          <w:szCs w:val="24"/>
        </w:rPr>
        <w:t>d</w:t>
      </w:r>
      <w:r w:rsidR="003F6532" w:rsidRPr="0058053C">
        <w:rPr>
          <w:rFonts w:ascii="Times New Roman" w:eastAsia="Calibri" w:hAnsi="Times New Roman" w:cs="Times New Roman"/>
          <w:sz w:val="24"/>
          <w:szCs w:val="24"/>
        </w:rPr>
        <w:t>ised Mean Difference</w:t>
      </w:r>
      <w:r w:rsidR="003F6532">
        <w:rPr>
          <w:rFonts w:ascii="Times New Roman" w:eastAsia="Calibri" w:hAnsi="Times New Roman" w:cs="Times New Roman"/>
          <w:sz w:val="24"/>
          <w:szCs w:val="24"/>
        </w:rPr>
        <w:t xml:space="preserve"> (S</w:t>
      </w:r>
      <w:r w:rsidRPr="00C33A5F">
        <w:rPr>
          <w:rFonts w:ascii="Times New Roman" w:eastAsia="Calibri" w:hAnsi="Times New Roman" w:cs="Times New Roman"/>
          <w:sz w:val="24"/>
          <w:szCs w:val="24"/>
        </w:rPr>
        <w:t>MD</w:t>
      </w:r>
      <w:r w:rsidR="003F6532">
        <w:rPr>
          <w:rFonts w:ascii="Times New Roman" w:eastAsia="Calibri" w:hAnsi="Times New Roman" w:cs="Times New Roman"/>
          <w:sz w:val="24"/>
          <w:szCs w:val="24"/>
        </w:rPr>
        <w:t>)</w:t>
      </w:r>
      <w:r w:rsidR="00017D49">
        <w:rPr>
          <w:rFonts w:ascii="Times New Roman" w:eastAsia="Calibri" w:hAnsi="Times New Roman" w:cs="Times New Roman"/>
          <w:sz w:val="24"/>
          <w:szCs w:val="24"/>
        </w:rPr>
        <w:t xml:space="preserve"> = </w:t>
      </w:r>
      <w:r w:rsidR="003F6532">
        <w:rPr>
          <w:rFonts w:ascii="Times New Roman" w:eastAsia="Calibri" w:hAnsi="Times New Roman" w:cs="Times New Roman"/>
          <w:sz w:val="24"/>
          <w:szCs w:val="24"/>
        </w:rPr>
        <w:t xml:space="preserve">0.501, 95%CI 0.297 </w:t>
      </w:r>
      <w:r w:rsidR="003F6532" w:rsidRPr="0058053C">
        <w:rPr>
          <w:rFonts w:ascii="Times New Roman" w:eastAsia="Calibri" w:hAnsi="Times New Roman" w:cs="Times New Roman"/>
          <w:sz w:val="24"/>
          <w:szCs w:val="24"/>
        </w:rPr>
        <w:t>to</w:t>
      </w:r>
      <w:r w:rsidR="003F6532">
        <w:rPr>
          <w:rFonts w:ascii="Times New Roman" w:eastAsia="Calibri" w:hAnsi="Times New Roman" w:cs="Times New Roman"/>
          <w:sz w:val="24"/>
          <w:szCs w:val="24"/>
        </w:rPr>
        <w:t xml:space="preserve"> </w:t>
      </w:r>
      <w:r w:rsidRPr="00C33A5F">
        <w:rPr>
          <w:rFonts w:ascii="Times New Roman" w:eastAsia="Calibri" w:hAnsi="Times New Roman" w:cs="Times New Roman"/>
          <w:sz w:val="24"/>
          <w:szCs w:val="24"/>
        </w:rPr>
        <w:t>0.705</w:t>
      </w:r>
      <w:r w:rsidR="003F6532">
        <w:rPr>
          <w:rFonts w:ascii="Times New Roman" w:eastAsia="Calibri" w:hAnsi="Times New Roman" w:cs="Times New Roman"/>
          <w:sz w:val="24"/>
          <w:szCs w:val="24"/>
        </w:rPr>
        <w:t xml:space="preserve">; </w:t>
      </w:r>
      <w:r w:rsidR="003F6532" w:rsidRPr="0058053C">
        <w:rPr>
          <w:rFonts w:ascii="Times New Roman" w:eastAsia="Calibri" w:hAnsi="Times New Roman" w:cs="Times New Roman"/>
          <w:sz w:val="24"/>
          <w:szCs w:val="24"/>
        </w:rPr>
        <w:t>p &lt; .001</w:t>
      </w:r>
      <w:r w:rsidRPr="00C33A5F">
        <w:rPr>
          <w:rFonts w:ascii="Times New Roman" w:eastAsia="Calibri" w:hAnsi="Times New Roman" w:cs="Times New Roman"/>
          <w:sz w:val="24"/>
          <w:szCs w:val="24"/>
        </w:rPr>
        <w:t>)</w:t>
      </w:r>
      <w:r w:rsidR="0016189E">
        <w:rPr>
          <w:rFonts w:ascii="Times New Roman" w:eastAsia="Calibri" w:hAnsi="Times New Roman" w:cs="Times New Roman"/>
          <w:sz w:val="24"/>
          <w:szCs w:val="24"/>
        </w:rPr>
        <w:t>[40]</w:t>
      </w:r>
      <w:r w:rsidRPr="00C33A5F">
        <w:rPr>
          <w:rFonts w:ascii="Times New Roman" w:eastAsia="Calibri" w:hAnsi="Times New Roman" w:cs="Times New Roman"/>
          <w:sz w:val="24"/>
          <w:szCs w:val="24"/>
        </w:rPr>
        <w:t xml:space="preserve">. Balance and leg strength were also favourably affected by the intervention, although one RCT showed that PRE, in addition to routine physiotherapy delivered between postoperative day 2 and 8, was not advantageous when compared to routine physiotherapy </w:t>
      </w:r>
      <w:proofErr w:type="gramStart"/>
      <w:r w:rsidRPr="00C33A5F">
        <w:rPr>
          <w:rFonts w:ascii="Times New Roman" w:eastAsia="Calibri" w:hAnsi="Times New Roman" w:cs="Times New Roman"/>
          <w:sz w:val="24"/>
          <w:szCs w:val="24"/>
        </w:rPr>
        <w:t>alone</w:t>
      </w:r>
      <w:r w:rsidR="0016189E">
        <w:rPr>
          <w:rFonts w:ascii="Times New Roman" w:eastAsia="Calibri" w:hAnsi="Times New Roman" w:cs="Times New Roman"/>
          <w:sz w:val="24"/>
          <w:szCs w:val="24"/>
        </w:rPr>
        <w:t>[</w:t>
      </w:r>
      <w:proofErr w:type="gramEnd"/>
      <w:r w:rsidR="0016189E">
        <w:rPr>
          <w:rFonts w:ascii="Times New Roman" w:eastAsia="Calibri" w:hAnsi="Times New Roman" w:cs="Times New Roman"/>
          <w:sz w:val="24"/>
          <w:szCs w:val="24"/>
        </w:rPr>
        <w:t>28]</w:t>
      </w:r>
      <w:r w:rsidRPr="00C33A5F">
        <w:rPr>
          <w:rFonts w:ascii="Times New Roman" w:eastAsia="Calibri" w:hAnsi="Times New Roman" w:cs="Times New Roman"/>
          <w:sz w:val="24"/>
          <w:szCs w:val="24"/>
        </w:rPr>
        <w:t xml:space="preserve">. For people with vertebral fractures, structured exercise compared to usual daily activities reduced reports of pain and improved QoL, but did not improve risk of </w:t>
      </w:r>
      <w:proofErr w:type="gramStart"/>
      <w:r w:rsidRPr="00C33A5F">
        <w:rPr>
          <w:rFonts w:ascii="Times New Roman" w:eastAsia="Calibri" w:hAnsi="Times New Roman" w:cs="Times New Roman"/>
          <w:sz w:val="24"/>
          <w:szCs w:val="24"/>
        </w:rPr>
        <w:t>falling</w:t>
      </w:r>
      <w:r w:rsidR="0016189E">
        <w:rPr>
          <w:rFonts w:ascii="Times New Roman" w:eastAsia="Calibri" w:hAnsi="Times New Roman" w:cs="Times New Roman"/>
          <w:sz w:val="24"/>
          <w:szCs w:val="24"/>
        </w:rPr>
        <w:t>[</w:t>
      </w:r>
      <w:proofErr w:type="gramEnd"/>
      <w:r w:rsidR="0016189E">
        <w:rPr>
          <w:rFonts w:ascii="Times New Roman" w:eastAsia="Calibri" w:hAnsi="Times New Roman" w:cs="Times New Roman"/>
          <w:sz w:val="24"/>
          <w:szCs w:val="24"/>
        </w:rPr>
        <w:t>37]</w:t>
      </w:r>
      <w:r w:rsidRPr="00C33A5F">
        <w:rPr>
          <w:rFonts w:ascii="Times New Roman" w:eastAsia="Calibri" w:hAnsi="Times New Roman" w:cs="Times New Roman"/>
          <w:sz w:val="24"/>
          <w:szCs w:val="24"/>
        </w:rPr>
        <w:t>. However, the number of trials and participants available for pooling in meta-analysis were small.</w:t>
      </w:r>
    </w:p>
    <w:p w14:paraId="1AC9E4C1" w14:textId="77777777" w:rsidR="00BA1F29" w:rsidRPr="00C33A5F" w:rsidRDefault="00BA1F29" w:rsidP="001B794A">
      <w:pPr>
        <w:spacing w:after="0" w:line="480" w:lineRule="auto"/>
        <w:rPr>
          <w:rFonts w:ascii="Times New Roman" w:eastAsia="Calibri" w:hAnsi="Times New Roman" w:cs="Times New Roman"/>
          <w:sz w:val="24"/>
          <w:szCs w:val="24"/>
        </w:rPr>
      </w:pPr>
    </w:p>
    <w:p w14:paraId="4E596F05" w14:textId="4111698E" w:rsidR="001D316F" w:rsidRPr="008B435D" w:rsidRDefault="004A0E1E" w:rsidP="008B435D">
      <w:pPr>
        <w:pStyle w:val="ListParagraph"/>
        <w:numPr>
          <w:ilvl w:val="0"/>
          <w:numId w:val="15"/>
        </w:numPr>
        <w:spacing w:after="0" w:line="480" w:lineRule="auto"/>
        <w:rPr>
          <w:rFonts w:ascii="Times New Roman" w:eastAsia="Calibri" w:hAnsi="Times New Roman" w:cs="Times New Roman"/>
          <w:sz w:val="24"/>
          <w:szCs w:val="24"/>
          <w:u w:val="single"/>
        </w:rPr>
      </w:pPr>
      <w:r w:rsidRPr="008B435D">
        <w:rPr>
          <w:rFonts w:ascii="Times New Roman" w:eastAsia="Calibri" w:hAnsi="Times New Roman" w:cs="Times New Roman"/>
          <w:sz w:val="24"/>
          <w:szCs w:val="24"/>
          <w:u w:val="single"/>
        </w:rPr>
        <w:t>Nutri</w:t>
      </w:r>
      <w:r w:rsidR="00DD6A30">
        <w:rPr>
          <w:rFonts w:ascii="Times New Roman" w:eastAsia="Calibri" w:hAnsi="Times New Roman" w:cs="Times New Roman"/>
          <w:sz w:val="24"/>
          <w:szCs w:val="24"/>
          <w:u w:val="single"/>
        </w:rPr>
        <w:t>ments</w:t>
      </w:r>
      <w:r w:rsidR="00F65CC2">
        <w:rPr>
          <w:rFonts w:ascii="Times New Roman" w:eastAsia="Calibri" w:hAnsi="Times New Roman" w:cs="Times New Roman"/>
          <w:sz w:val="24"/>
          <w:szCs w:val="24"/>
          <w:u w:val="single"/>
        </w:rPr>
        <w:t xml:space="preserve"> </w:t>
      </w:r>
      <w:r w:rsidR="00F65CC2" w:rsidRPr="00306C66">
        <w:rPr>
          <w:rFonts w:ascii="Times New Roman" w:eastAsia="Calibri" w:hAnsi="Times New Roman" w:cs="Times New Roman"/>
          <w:sz w:val="24"/>
          <w:szCs w:val="24"/>
          <w:u w:val="single"/>
        </w:rPr>
        <w:t xml:space="preserve">including </w:t>
      </w:r>
      <w:r w:rsidR="00306C66">
        <w:rPr>
          <w:rFonts w:ascii="Times New Roman" w:eastAsia="Calibri" w:hAnsi="Times New Roman" w:cs="Times New Roman"/>
          <w:sz w:val="24"/>
          <w:szCs w:val="24"/>
          <w:u w:val="single"/>
        </w:rPr>
        <w:t>Vitamin D plus Calcium and</w:t>
      </w:r>
      <w:r w:rsidR="00F65CC2" w:rsidRPr="00306C66">
        <w:rPr>
          <w:rFonts w:ascii="Times New Roman" w:eastAsia="Calibri" w:hAnsi="Times New Roman" w:cs="Times New Roman"/>
          <w:sz w:val="24"/>
          <w:szCs w:val="24"/>
          <w:u w:val="single"/>
        </w:rPr>
        <w:t xml:space="preserve"> oral nutritional supplements</w:t>
      </w:r>
    </w:p>
    <w:p w14:paraId="5804E16A" w14:textId="77777777" w:rsidR="0025086A" w:rsidRPr="00C33A5F" w:rsidRDefault="00862B0F" w:rsidP="008E3C5F">
      <w:pPr>
        <w:spacing w:after="0" w:line="480" w:lineRule="auto"/>
        <w:jc w:val="both"/>
        <w:rPr>
          <w:rFonts w:ascii="Times New Roman" w:eastAsia="Calibri" w:hAnsi="Times New Roman" w:cs="Times New Roman"/>
          <w:sz w:val="24"/>
          <w:szCs w:val="24"/>
        </w:rPr>
      </w:pPr>
      <w:r w:rsidRPr="00C33A5F">
        <w:rPr>
          <w:rFonts w:ascii="Times New Roman" w:eastAsia="Calibri" w:hAnsi="Times New Roman" w:cs="Times New Roman"/>
          <w:sz w:val="24"/>
          <w:szCs w:val="24"/>
        </w:rPr>
        <w:t xml:space="preserve">The effect of Vitamin D </w:t>
      </w:r>
      <w:r w:rsidR="00484BC7" w:rsidRPr="00C33A5F">
        <w:rPr>
          <w:rFonts w:ascii="Times New Roman" w:eastAsia="Calibri" w:hAnsi="Times New Roman" w:cs="Times New Roman"/>
          <w:sz w:val="24"/>
          <w:szCs w:val="24"/>
        </w:rPr>
        <w:t xml:space="preserve">supplementation </w:t>
      </w:r>
      <w:r w:rsidR="00EC53A0" w:rsidRPr="00C33A5F">
        <w:rPr>
          <w:rFonts w:ascii="Times New Roman" w:eastAsia="Calibri" w:hAnsi="Times New Roman" w:cs="Times New Roman"/>
          <w:sz w:val="24"/>
          <w:szCs w:val="24"/>
        </w:rPr>
        <w:t>on</w:t>
      </w:r>
      <w:r w:rsidRPr="00C33A5F">
        <w:rPr>
          <w:rFonts w:ascii="Times New Roman" w:eastAsia="Calibri" w:hAnsi="Times New Roman" w:cs="Times New Roman"/>
          <w:sz w:val="24"/>
          <w:szCs w:val="24"/>
        </w:rPr>
        <w:t xml:space="preserve"> fractures</w:t>
      </w:r>
      <w:r w:rsidR="009757AB" w:rsidRPr="00C33A5F">
        <w:rPr>
          <w:rFonts w:ascii="Times New Roman" w:eastAsia="Calibri" w:hAnsi="Times New Roman" w:cs="Times New Roman"/>
          <w:sz w:val="24"/>
          <w:szCs w:val="24"/>
        </w:rPr>
        <w:t xml:space="preserve"> and falls</w:t>
      </w:r>
      <w:r w:rsidRPr="00C33A5F">
        <w:rPr>
          <w:rFonts w:ascii="Times New Roman" w:eastAsia="Calibri" w:hAnsi="Times New Roman" w:cs="Times New Roman"/>
          <w:sz w:val="24"/>
          <w:szCs w:val="24"/>
        </w:rPr>
        <w:t xml:space="preserve"> in people with a history of </w:t>
      </w:r>
      <w:r w:rsidR="009F4759" w:rsidRPr="00C33A5F">
        <w:rPr>
          <w:rFonts w:ascii="Times New Roman" w:eastAsia="Calibri" w:hAnsi="Times New Roman" w:cs="Times New Roman"/>
          <w:sz w:val="24"/>
          <w:szCs w:val="24"/>
        </w:rPr>
        <w:t>osteoporotic</w:t>
      </w:r>
      <w:r w:rsidRPr="00C33A5F">
        <w:rPr>
          <w:rFonts w:ascii="Times New Roman" w:eastAsia="Calibri" w:hAnsi="Times New Roman" w:cs="Times New Roman"/>
          <w:sz w:val="24"/>
          <w:szCs w:val="24"/>
        </w:rPr>
        <w:t xml:space="preserve"> fracture was investigated in a </w:t>
      </w:r>
      <w:r w:rsidR="00963149" w:rsidRPr="00C33A5F">
        <w:rPr>
          <w:rFonts w:ascii="Times New Roman" w:eastAsia="Calibri" w:hAnsi="Times New Roman" w:cs="Times New Roman"/>
          <w:sz w:val="24"/>
          <w:szCs w:val="24"/>
        </w:rPr>
        <w:t xml:space="preserve">Cochrane review </w:t>
      </w:r>
      <w:r w:rsidR="00824615" w:rsidRPr="00C33A5F">
        <w:rPr>
          <w:rFonts w:ascii="Times New Roman" w:eastAsia="Calibri" w:hAnsi="Times New Roman" w:cs="Times New Roman"/>
          <w:sz w:val="24"/>
          <w:szCs w:val="24"/>
        </w:rPr>
        <w:t xml:space="preserve">subgroup </w:t>
      </w:r>
      <w:proofErr w:type="gramStart"/>
      <w:r w:rsidR="00824615" w:rsidRPr="00C33A5F">
        <w:rPr>
          <w:rFonts w:ascii="Times New Roman" w:eastAsia="Calibri" w:hAnsi="Times New Roman" w:cs="Times New Roman"/>
          <w:sz w:val="24"/>
          <w:szCs w:val="24"/>
        </w:rPr>
        <w:t>analysis</w:t>
      </w:r>
      <w:r w:rsidR="0016189E">
        <w:rPr>
          <w:rFonts w:ascii="Times New Roman" w:eastAsia="Calibri" w:hAnsi="Times New Roman" w:cs="Times New Roman"/>
          <w:sz w:val="24"/>
          <w:szCs w:val="24"/>
        </w:rPr>
        <w:t>[</w:t>
      </w:r>
      <w:proofErr w:type="gramEnd"/>
      <w:r w:rsidR="0016189E">
        <w:rPr>
          <w:rFonts w:ascii="Times New Roman" w:eastAsia="Calibri" w:hAnsi="Times New Roman" w:cs="Times New Roman"/>
          <w:sz w:val="24"/>
          <w:szCs w:val="24"/>
        </w:rPr>
        <w:t>31]</w:t>
      </w:r>
      <w:r w:rsidR="00484BC7" w:rsidRPr="00C33A5F">
        <w:rPr>
          <w:rFonts w:ascii="Times New Roman" w:eastAsia="Calibri" w:hAnsi="Times New Roman" w:cs="Times New Roman"/>
          <w:sz w:val="24"/>
          <w:szCs w:val="24"/>
        </w:rPr>
        <w:t xml:space="preserve"> and</w:t>
      </w:r>
      <w:r w:rsidR="00824615" w:rsidRPr="00C33A5F">
        <w:rPr>
          <w:rFonts w:ascii="Times New Roman" w:eastAsia="Calibri" w:hAnsi="Times New Roman" w:cs="Times New Roman"/>
          <w:sz w:val="24"/>
          <w:szCs w:val="24"/>
        </w:rPr>
        <w:t xml:space="preserve"> one RCT</w:t>
      </w:r>
      <w:r w:rsidR="0016189E">
        <w:rPr>
          <w:rFonts w:ascii="Times New Roman" w:eastAsia="Calibri" w:hAnsi="Times New Roman" w:cs="Times New Roman"/>
          <w:sz w:val="24"/>
          <w:szCs w:val="24"/>
        </w:rPr>
        <w:t>[41]</w:t>
      </w:r>
      <w:r w:rsidR="00DB19F9" w:rsidRPr="00C33A5F">
        <w:rPr>
          <w:rFonts w:ascii="Times New Roman" w:eastAsia="Calibri" w:hAnsi="Times New Roman" w:cs="Times New Roman"/>
          <w:sz w:val="24"/>
          <w:szCs w:val="24"/>
        </w:rPr>
        <w:t xml:space="preserve">. </w:t>
      </w:r>
      <w:r w:rsidR="00D8348D" w:rsidRPr="00C33A5F">
        <w:rPr>
          <w:rFonts w:ascii="Times New Roman" w:eastAsia="Calibri" w:hAnsi="Times New Roman" w:cs="Times New Roman"/>
          <w:sz w:val="24"/>
          <w:szCs w:val="24"/>
        </w:rPr>
        <w:t>Pooled data from 6134 participants (2737 taking daily</w:t>
      </w:r>
      <w:r w:rsidR="00B200B7">
        <w:rPr>
          <w:rFonts w:ascii="Times New Roman" w:eastAsia="Calibri" w:hAnsi="Times New Roman" w:cs="Times New Roman"/>
          <w:sz w:val="24"/>
          <w:szCs w:val="24"/>
        </w:rPr>
        <w:t xml:space="preserve"> Vitamin D (800IU) plus Calcium </w:t>
      </w:r>
      <w:r w:rsidR="00D8348D" w:rsidRPr="00C33A5F">
        <w:rPr>
          <w:rFonts w:ascii="Times New Roman" w:eastAsia="Calibri" w:hAnsi="Times New Roman" w:cs="Times New Roman"/>
          <w:sz w:val="24"/>
          <w:szCs w:val="24"/>
        </w:rPr>
        <w:t xml:space="preserve">(1000mg) for a minimum of 12 months) </w:t>
      </w:r>
      <w:r w:rsidR="009757AB" w:rsidRPr="00C33A5F">
        <w:rPr>
          <w:rFonts w:ascii="Times New Roman" w:eastAsia="Calibri" w:hAnsi="Times New Roman" w:cs="Times New Roman"/>
          <w:sz w:val="24"/>
          <w:szCs w:val="24"/>
        </w:rPr>
        <w:t xml:space="preserve">showed no significant difference between the intervention and control group for subsequent risk of hip fracture (Risk ratio </w:t>
      </w:r>
      <w:r w:rsidR="00484BC7" w:rsidRPr="00C33A5F">
        <w:rPr>
          <w:rFonts w:ascii="Times New Roman" w:eastAsia="Calibri" w:hAnsi="Times New Roman" w:cs="Times New Roman"/>
          <w:sz w:val="24"/>
          <w:szCs w:val="24"/>
        </w:rPr>
        <w:t xml:space="preserve">(RR) </w:t>
      </w:r>
      <w:r w:rsidR="009757AB" w:rsidRPr="00C33A5F">
        <w:rPr>
          <w:rFonts w:ascii="Times New Roman" w:eastAsia="Calibri" w:hAnsi="Times New Roman" w:cs="Times New Roman"/>
          <w:sz w:val="24"/>
          <w:szCs w:val="24"/>
        </w:rPr>
        <w:t>1.02,</w:t>
      </w:r>
      <w:r w:rsidR="00D8348D" w:rsidRPr="00C33A5F">
        <w:rPr>
          <w:rFonts w:ascii="Times New Roman" w:eastAsia="Calibri" w:hAnsi="Times New Roman" w:cs="Times New Roman"/>
          <w:sz w:val="24"/>
          <w:szCs w:val="24"/>
        </w:rPr>
        <w:t xml:space="preserve"> </w:t>
      </w:r>
      <w:r w:rsidR="009757AB" w:rsidRPr="00C33A5F">
        <w:rPr>
          <w:rFonts w:ascii="Times New Roman" w:eastAsia="Calibri" w:hAnsi="Times New Roman" w:cs="Times New Roman"/>
          <w:sz w:val="24"/>
          <w:szCs w:val="24"/>
        </w:rPr>
        <w:t xml:space="preserve">95% </w:t>
      </w:r>
      <w:r w:rsidR="009757AB" w:rsidRPr="00C33A5F">
        <w:rPr>
          <w:rFonts w:ascii="Times New Roman" w:eastAsia="Calibri" w:hAnsi="Times New Roman" w:cs="Times New Roman"/>
          <w:sz w:val="24"/>
          <w:szCs w:val="24"/>
        </w:rPr>
        <w:lastRenderedPageBreak/>
        <w:t>CI 0.71 to 1.47; p=0.26</w:t>
      </w:r>
      <w:r w:rsidR="00484BC7" w:rsidRPr="00C33A5F">
        <w:rPr>
          <w:rFonts w:ascii="Times New Roman" w:eastAsia="Calibri" w:hAnsi="Times New Roman" w:cs="Times New Roman"/>
          <w:sz w:val="24"/>
          <w:szCs w:val="24"/>
        </w:rPr>
        <w:t>) or any fracture (RR 0.93, 95%CI 0.79 to 1.10; p=0.84)</w:t>
      </w:r>
      <w:r w:rsidR="009757AB" w:rsidRPr="00C33A5F">
        <w:rPr>
          <w:rFonts w:ascii="Times New Roman" w:eastAsia="Calibri" w:hAnsi="Times New Roman" w:cs="Times New Roman"/>
          <w:sz w:val="24"/>
          <w:szCs w:val="24"/>
        </w:rPr>
        <w:t>.</w:t>
      </w:r>
      <w:r w:rsidR="00D8348D" w:rsidRPr="00C33A5F">
        <w:rPr>
          <w:rFonts w:ascii="Times New Roman" w:eastAsia="Calibri" w:hAnsi="Times New Roman" w:cs="Times New Roman"/>
          <w:sz w:val="24"/>
          <w:szCs w:val="24"/>
        </w:rPr>
        <w:t xml:space="preserve"> </w:t>
      </w:r>
      <w:r w:rsidR="006D7201" w:rsidRPr="00C33A5F">
        <w:rPr>
          <w:rFonts w:ascii="Times New Roman" w:eastAsia="Calibri" w:hAnsi="Times New Roman" w:cs="Times New Roman"/>
          <w:sz w:val="24"/>
          <w:szCs w:val="24"/>
        </w:rPr>
        <w:t>Fracture outcomes</w:t>
      </w:r>
      <w:r w:rsidR="002434CD" w:rsidRPr="00C33A5F">
        <w:rPr>
          <w:rFonts w:ascii="Times New Roman" w:eastAsia="Calibri" w:hAnsi="Times New Roman" w:cs="Times New Roman"/>
          <w:sz w:val="24"/>
          <w:szCs w:val="24"/>
        </w:rPr>
        <w:t xml:space="preserve"> were also </w:t>
      </w:r>
      <w:r w:rsidR="000B4E29" w:rsidRPr="00C33A5F">
        <w:rPr>
          <w:rFonts w:ascii="Times New Roman" w:eastAsia="Calibri" w:hAnsi="Times New Roman" w:cs="Times New Roman"/>
          <w:sz w:val="24"/>
          <w:szCs w:val="24"/>
        </w:rPr>
        <w:t>un</w:t>
      </w:r>
      <w:r w:rsidR="006D7201" w:rsidRPr="00C33A5F">
        <w:rPr>
          <w:rFonts w:ascii="Times New Roman" w:eastAsia="Calibri" w:hAnsi="Times New Roman" w:cs="Times New Roman"/>
          <w:sz w:val="24"/>
          <w:szCs w:val="24"/>
        </w:rPr>
        <w:t>affected</w:t>
      </w:r>
      <w:r w:rsidR="00DD6462" w:rsidRPr="00C33A5F">
        <w:rPr>
          <w:rFonts w:ascii="Times New Roman" w:eastAsia="Calibri" w:hAnsi="Times New Roman" w:cs="Times New Roman"/>
          <w:sz w:val="24"/>
          <w:szCs w:val="24"/>
        </w:rPr>
        <w:t xml:space="preserve"> by a single loading dose of </w:t>
      </w:r>
      <w:r w:rsidR="006D7201" w:rsidRPr="00C33A5F">
        <w:rPr>
          <w:rFonts w:ascii="Times New Roman" w:eastAsia="Calibri" w:hAnsi="Times New Roman" w:cs="Times New Roman"/>
          <w:sz w:val="24"/>
          <w:szCs w:val="24"/>
        </w:rPr>
        <w:t>Vitamin D3</w:t>
      </w:r>
      <w:r w:rsidR="00DD6462" w:rsidRPr="00C33A5F">
        <w:rPr>
          <w:rFonts w:ascii="Times New Roman" w:eastAsia="Calibri" w:hAnsi="Times New Roman" w:cs="Times New Roman"/>
          <w:sz w:val="24"/>
          <w:szCs w:val="24"/>
        </w:rPr>
        <w:t xml:space="preserve"> administered to older adults within seven days of hip fracture </w:t>
      </w:r>
      <w:proofErr w:type="gramStart"/>
      <w:r w:rsidR="00DD6462" w:rsidRPr="00C33A5F">
        <w:rPr>
          <w:rFonts w:ascii="Times New Roman" w:eastAsia="Calibri" w:hAnsi="Times New Roman" w:cs="Times New Roman"/>
          <w:sz w:val="24"/>
          <w:szCs w:val="24"/>
        </w:rPr>
        <w:t>surgery</w:t>
      </w:r>
      <w:r w:rsidR="0016189E">
        <w:rPr>
          <w:rFonts w:ascii="Times New Roman" w:eastAsia="Calibri" w:hAnsi="Times New Roman" w:cs="Times New Roman"/>
          <w:sz w:val="24"/>
          <w:szCs w:val="24"/>
        </w:rPr>
        <w:t>[</w:t>
      </w:r>
      <w:proofErr w:type="gramEnd"/>
      <w:r w:rsidR="0016189E">
        <w:rPr>
          <w:rFonts w:ascii="Times New Roman" w:eastAsia="Calibri" w:hAnsi="Times New Roman" w:cs="Times New Roman"/>
          <w:sz w:val="24"/>
          <w:szCs w:val="24"/>
        </w:rPr>
        <w:t>41]</w:t>
      </w:r>
      <w:r w:rsidR="00DD6462" w:rsidRPr="00C33A5F">
        <w:rPr>
          <w:rFonts w:ascii="Times New Roman" w:eastAsia="Calibri" w:hAnsi="Times New Roman" w:cs="Times New Roman"/>
          <w:sz w:val="24"/>
          <w:szCs w:val="24"/>
        </w:rPr>
        <w:t xml:space="preserve">. </w:t>
      </w:r>
      <w:r w:rsidR="00693684" w:rsidRPr="00C33A5F">
        <w:rPr>
          <w:rFonts w:ascii="Times New Roman" w:eastAsia="Calibri" w:hAnsi="Times New Roman" w:cs="Times New Roman"/>
          <w:sz w:val="24"/>
          <w:szCs w:val="24"/>
        </w:rPr>
        <w:t xml:space="preserve">In this trial, participants received either Cholecalciferol (250,000IU) or a placebo injection in addition to supplementation with daily oral vitamin D (800IU) and Calcium (500mg). Falls rate at four weeks was significantly lower in the intervention group compared to the placebo group (6.3% vs 21.2%; </w:t>
      </w:r>
      <w:r w:rsidR="00693684" w:rsidRPr="00C33A5F">
        <w:rPr>
          <w:rFonts w:ascii="Times New Roman" w:hAnsi="Times New Roman" w:cs="Times New Roman"/>
          <w:sz w:val="24"/>
          <w:szCs w:val="24"/>
        </w:rPr>
        <w:t>χ2 = 4.327; p=0.024</w:t>
      </w:r>
      <w:r w:rsidR="00693684" w:rsidRPr="00C33A5F">
        <w:rPr>
          <w:rFonts w:ascii="Times New Roman" w:eastAsia="Calibri" w:hAnsi="Times New Roman" w:cs="Times New Roman"/>
          <w:sz w:val="24"/>
          <w:szCs w:val="24"/>
        </w:rPr>
        <w:t>), even though there was no statistically significant improvement in gait velocity.</w:t>
      </w:r>
    </w:p>
    <w:p w14:paraId="4E488E1A" w14:textId="77777777" w:rsidR="00693684" w:rsidRPr="00C33A5F" w:rsidRDefault="00693684" w:rsidP="001B794A">
      <w:pPr>
        <w:spacing w:after="0" w:line="480" w:lineRule="auto"/>
        <w:rPr>
          <w:rFonts w:ascii="Times New Roman" w:eastAsia="Calibri" w:hAnsi="Times New Roman" w:cs="Times New Roman"/>
          <w:sz w:val="24"/>
          <w:szCs w:val="24"/>
        </w:rPr>
      </w:pPr>
    </w:p>
    <w:p w14:paraId="5080592E" w14:textId="72A94AB2" w:rsidR="003C3082" w:rsidRPr="00C33A5F" w:rsidRDefault="00650938" w:rsidP="008E3C5F">
      <w:pPr>
        <w:spacing w:after="0" w:line="480" w:lineRule="auto"/>
        <w:jc w:val="both"/>
        <w:rPr>
          <w:rFonts w:ascii="Times New Roman" w:eastAsia="Calibri" w:hAnsi="Times New Roman" w:cs="Times New Roman"/>
          <w:sz w:val="24"/>
          <w:szCs w:val="24"/>
        </w:rPr>
      </w:pPr>
      <w:r w:rsidRPr="00C33A5F">
        <w:rPr>
          <w:rFonts w:ascii="Times New Roman" w:eastAsia="Calibri" w:hAnsi="Times New Roman" w:cs="Times New Roman"/>
          <w:sz w:val="24"/>
          <w:szCs w:val="24"/>
        </w:rPr>
        <w:t xml:space="preserve">Additionally, one small RCT </w:t>
      </w:r>
      <w:r w:rsidR="00CE1B9A" w:rsidRPr="00C33A5F">
        <w:rPr>
          <w:rFonts w:ascii="Times New Roman" w:eastAsia="Calibri" w:hAnsi="Times New Roman" w:cs="Times New Roman"/>
          <w:sz w:val="24"/>
          <w:szCs w:val="24"/>
        </w:rPr>
        <w:t>investigated the effect of</w:t>
      </w:r>
      <w:r w:rsidRPr="00C33A5F">
        <w:rPr>
          <w:rFonts w:ascii="Times New Roman" w:eastAsia="Calibri" w:hAnsi="Times New Roman" w:cs="Times New Roman"/>
          <w:sz w:val="24"/>
          <w:szCs w:val="24"/>
        </w:rPr>
        <w:t xml:space="preserve"> an </w:t>
      </w:r>
      <w:r w:rsidR="00DD6462" w:rsidRPr="00C33A5F">
        <w:rPr>
          <w:rFonts w:ascii="Times New Roman" w:eastAsia="Calibri" w:hAnsi="Times New Roman" w:cs="Times New Roman"/>
          <w:sz w:val="24"/>
          <w:szCs w:val="24"/>
        </w:rPr>
        <w:t xml:space="preserve">oral </w:t>
      </w:r>
      <w:r w:rsidRPr="00C33A5F">
        <w:rPr>
          <w:rFonts w:ascii="Times New Roman" w:eastAsia="Calibri" w:hAnsi="Times New Roman" w:cs="Times New Roman"/>
          <w:sz w:val="24"/>
          <w:szCs w:val="24"/>
        </w:rPr>
        <w:t>nutritional supplement</w:t>
      </w:r>
      <w:r w:rsidR="00DD6462" w:rsidRPr="00C33A5F">
        <w:rPr>
          <w:rFonts w:ascii="Times New Roman" w:eastAsia="Calibri" w:hAnsi="Times New Roman" w:cs="Times New Roman"/>
          <w:sz w:val="24"/>
          <w:szCs w:val="24"/>
        </w:rPr>
        <w:t xml:space="preserve"> </w:t>
      </w:r>
      <w:r w:rsidRPr="00C33A5F">
        <w:rPr>
          <w:rFonts w:ascii="Times New Roman" w:eastAsia="Calibri" w:hAnsi="Times New Roman" w:cs="Times New Roman"/>
          <w:sz w:val="24"/>
          <w:szCs w:val="24"/>
        </w:rPr>
        <w:t xml:space="preserve">(containing 18-24g of protein and 500kcal) </w:t>
      </w:r>
      <w:r w:rsidR="00DD6462" w:rsidRPr="00C33A5F">
        <w:rPr>
          <w:rFonts w:ascii="Times New Roman" w:eastAsia="Calibri" w:hAnsi="Times New Roman" w:cs="Times New Roman"/>
          <w:sz w:val="24"/>
          <w:szCs w:val="24"/>
        </w:rPr>
        <w:t xml:space="preserve">versus usual care on factors associated with risk of falls in older adults following hip fracture </w:t>
      </w:r>
      <w:proofErr w:type="gramStart"/>
      <w:r w:rsidR="00DD6462" w:rsidRPr="00C33A5F">
        <w:rPr>
          <w:rFonts w:ascii="Times New Roman" w:eastAsia="Calibri" w:hAnsi="Times New Roman" w:cs="Times New Roman"/>
          <w:sz w:val="24"/>
          <w:szCs w:val="24"/>
        </w:rPr>
        <w:t>surgery</w:t>
      </w:r>
      <w:r w:rsidR="0016189E">
        <w:rPr>
          <w:rFonts w:ascii="Times New Roman" w:eastAsia="Calibri" w:hAnsi="Times New Roman" w:cs="Times New Roman"/>
          <w:sz w:val="24"/>
          <w:szCs w:val="24"/>
        </w:rPr>
        <w:t>[</w:t>
      </w:r>
      <w:proofErr w:type="gramEnd"/>
      <w:r w:rsidR="0016189E">
        <w:rPr>
          <w:rFonts w:ascii="Times New Roman" w:eastAsia="Calibri" w:hAnsi="Times New Roman" w:cs="Times New Roman"/>
          <w:sz w:val="24"/>
          <w:szCs w:val="24"/>
        </w:rPr>
        <w:t>42]</w:t>
      </w:r>
      <w:r w:rsidR="00DD6462" w:rsidRPr="00C33A5F">
        <w:rPr>
          <w:rFonts w:ascii="Times New Roman" w:eastAsia="Calibri" w:hAnsi="Times New Roman" w:cs="Times New Roman"/>
          <w:sz w:val="24"/>
          <w:szCs w:val="24"/>
        </w:rPr>
        <w:t xml:space="preserve">. </w:t>
      </w:r>
      <w:r w:rsidR="003C79C2">
        <w:rPr>
          <w:rFonts w:ascii="Times New Roman" w:eastAsia="Calibri" w:hAnsi="Times New Roman" w:cs="Times New Roman"/>
          <w:sz w:val="24"/>
          <w:szCs w:val="24"/>
        </w:rPr>
        <w:t xml:space="preserve">However, </w:t>
      </w:r>
      <w:r w:rsidR="003C79C2" w:rsidRPr="00C33A5F">
        <w:rPr>
          <w:rFonts w:ascii="Times New Roman" w:eastAsia="Calibri" w:hAnsi="Times New Roman" w:cs="Times New Roman"/>
          <w:sz w:val="24"/>
          <w:szCs w:val="24"/>
        </w:rPr>
        <w:t>at four-</w:t>
      </w:r>
      <w:r w:rsidR="003C79C2">
        <w:rPr>
          <w:rFonts w:ascii="Times New Roman" w:eastAsia="Calibri" w:hAnsi="Times New Roman" w:cs="Times New Roman"/>
          <w:sz w:val="24"/>
          <w:szCs w:val="24"/>
        </w:rPr>
        <w:t>weeks post-</w:t>
      </w:r>
      <w:r w:rsidR="003C79C2" w:rsidRPr="00C33A5F">
        <w:rPr>
          <w:rFonts w:ascii="Times New Roman" w:eastAsia="Calibri" w:hAnsi="Times New Roman" w:cs="Times New Roman"/>
          <w:sz w:val="24"/>
          <w:szCs w:val="24"/>
        </w:rPr>
        <w:t xml:space="preserve">discharge </w:t>
      </w:r>
      <w:r w:rsidR="003C79C2">
        <w:rPr>
          <w:rFonts w:ascii="Times New Roman" w:eastAsia="Calibri" w:hAnsi="Times New Roman" w:cs="Times New Roman"/>
          <w:sz w:val="24"/>
          <w:szCs w:val="24"/>
        </w:rPr>
        <w:t xml:space="preserve">there </w:t>
      </w:r>
      <w:r w:rsidR="00306C66">
        <w:rPr>
          <w:rFonts w:ascii="Times New Roman" w:eastAsia="Calibri" w:hAnsi="Times New Roman" w:cs="Times New Roman"/>
          <w:sz w:val="24"/>
          <w:szCs w:val="24"/>
        </w:rPr>
        <w:t>were</w:t>
      </w:r>
      <w:r w:rsidR="003C79C2">
        <w:rPr>
          <w:rFonts w:ascii="Times New Roman" w:eastAsia="Calibri" w:hAnsi="Times New Roman" w:cs="Times New Roman"/>
          <w:sz w:val="24"/>
          <w:szCs w:val="24"/>
        </w:rPr>
        <w:t xml:space="preserve"> n</w:t>
      </w:r>
      <w:r w:rsidRPr="00C33A5F">
        <w:rPr>
          <w:rFonts w:ascii="Times New Roman" w:eastAsia="Calibri" w:hAnsi="Times New Roman" w:cs="Times New Roman"/>
          <w:sz w:val="24"/>
          <w:szCs w:val="24"/>
        </w:rPr>
        <w:t>o statistically significant difference</w:t>
      </w:r>
      <w:r w:rsidR="003C79C2">
        <w:rPr>
          <w:rFonts w:ascii="Times New Roman" w:eastAsia="Calibri" w:hAnsi="Times New Roman" w:cs="Times New Roman"/>
          <w:sz w:val="24"/>
          <w:szCs w:val="24"/>
        </w:rPr>
        <w:t>s</w:t>
      </w:r>
      <w:r w:rsidRPr="00C33A5F">
        <w:rPr>
          <w:rFonts w:ascii="Times New Roman" w:eastAsia="Calibri" w:hAnsi="Times New Roman" w:cs="Times New Roman"/>
          <w:sz w:val="24"/>
          <w:szCs w:val="24"/>
        </w:rPr>
        <w:t xml:space="preserve"> in the</w:t>
      </w:r>
      <w:r w:rsidR="00CE1B9A" w:rsidRPr="00C33A5F">
        <w:rPr>
          <w:rFonts w:ascii="Times New Roman" w:eastAsia="Calibri" w:hAnsi="Times New Roman" w:cs="Times New Roman"/>
          <w:sz w:val="24"/>
          <w:szCs w:val="24"/>
        </w:rPr>
        <w:t xml:space="preserve"> Elderly Mobility </w:t>
      </w:r>
      <w:proofErr w:type="gramStart"/>
      <w:r w:rsidR="00CE1B9A" w:rsidRPr="00C33A5F">
        <w:rPr>
          <w:rFonts w:ascii="Times New Roman" w:eastAsia="Calibri" w:hAnsi="Times New Roman" w:cs="Times New Roman"/>
          <w:sz w:val="24"/>
          <w:szCs w:val="24"/>
        </w:rPr>
        <w:t xml:space="preserve">Scale </w:t>
      </w:r>
      <w:r w:rsidRPr="00C33A5F">
        <w:rPr>
          <w:rFonts w:ascii="Times New Roman" w:eastAsia="Calibri" w:hAnsi="Times New Roman" w:cs="Times New Roman"/>
          <w:sz w:val="24"/>
          <w:szCs w:val="24"/>
        </w:rPr>
        <w:t>.</w:t>
      </w:r>
      <w:proofErr w:type="gramEnd"/>
      <w:r w:rsidRPr="00C33A5F">
        <w:rPr>
          <w:rFonts w:ascii="Times New Roman" w:eastAsia="Calibri" w:hAnsi="Times New Roman" w:cs="Times New Roman"/>
          <w:sz w:val="24"/>
          <w:szCs w:val="24"/>
        </w:rPr>
        <w:t xml:space="preserve"> </w:t>
      </w:r>
    </w:p>
    <w:p w14:paraId="66EA1C77" w14:textId="77777777" w:rsidR="00650938" w:rsidRPr="00C33A5F" w:rsidRDefault="00650938" w:rsidP="001B794A">
      <w:pPr>
        <w:spacing w:after="0" w:line="480" w:lineRule="auto"/>
        <w:rPr>
          <w:rFonts w:ascii="Times New Roman" w:eastAsia="Calibri" w:hAnsi="Times New Roman" w:cs="Times New Roman"/>
          <w:sz w:val="24"/>
          <w:szCs w:val="24"/>
        </w:rPr>
      </w:pPr>
    </w:p>
    <w:p w14:paraId="0B95CA64" w14:textId="329BEE80" w:rsidR="00FA7A0E" w:rsidRPr="008B435D" w:rsidRDefault="00185BE7" w:rsidP="008B435D">
      <w:pPr>
        <w:pStyle w:val="ListParagraph"/>
        <w:numPr>
          <w:ilvl w:val="0"/>
          <w:numId w:val="15"/>
        </w:numPr>
        <w:spacing w:after="0" w:line="480" w:lineRule="auto"/>
        <w:rPr>
          <w:rFonts w:ascii="Times New Roman" w:eastAsia="Calibri" w:hAnsi="Times New Roman" w:cs="Times New Roman"/>
          <w:sz w:val="24"/>
          <w:szCs w:val="24"/>
          <w:u w:val="single"/>
        </w:rPr>
      </w:pPr>
      <w:r w:rsidRPr="008B435D">
        <w:rPr>
          <w:rFonts w:ascii="Times New Roman" w:eastAsia="Calibri" w:hAnsi="Times New Roman" w:cs="Times New Roman"/>
          <w:sz w:val="24"/>
          <w:szCs w:val="24"/>
          <w:u w:val="single"/>
        </w:rPr>
        <w:t>Orthoses</w:t>
      </w:r>
    </w:p>
    <w:p w14:paraId="0DFB3893" w14:textId="77777777" w:rsidR="00693684" w:rsidRPr="00C33A5F" w:rsidRDefault="00E65CA6" w:rsidP="008E3C5F">
      <w:pPr>
        <w:spacing w:after="0" w:line="480" w:lineRule="auto"/>
        <w:jc w:val="both"/>
        <w:rPr>
          <w:rFonts w:ascii="Times New Roman" w:eastAsia="Calibri" w:hAnsi="Times New Roman" w:cs="Times New Roman"/>
          <w:sz w:val="24"/>
          <w:szCs w:val="24"/>
        </w:rPr>
      </w:pPr>
      <w:r w:rsidRPr="00C33A5F">
        <w:rPr>
          <w:rFonts w:ascii="Times New Roman" w:eastAsia="Calibri" w:hAnsi="Times New Roman" w:cs="Times New Roman"/>
          <w:sz w:val="24"/>
          <w:szCs w:val="24"/>
        </w:rPr>
        <w:t xml:space="preserve">One </w:t>
      </w:r>
      <w:r w:rsidR="00D74A5F" w:rsidRPr="00C33A5F">
        <w:rPr>
          <w:rFonts w:ascii="Times New Roman" w:eastAsia="Calibri" w:hAnsi="Times New Roman" w:cs="Times New Roman"/>
          <w:sz w:val="24"/>
          <w:szCs w:val="24"/>
        </w:rPr>
        <w:t>systematic review</w:t>
      </w:r>
      <w:r w:rsidRPr="00C33A5F">
        <w:rPr>
          <w:rFonts w:ascii="Times New Roman" w:eastAsia="Calibri" w:hAnsi="Times New Roman" w:cs="Times New Roman"/>
          <w:sz w:val="24"/>
          <w:szCs w:val="24"/>
        </w:rPr>
        <w:t xml:space="preserve"> </w:t>
      </w:r>
      <w:r w:rsidR="008425B0" w:rsidRPr="00C33A5F">
        <w:rPr>
          <w:rFonts w:ascii="Times New Roman" w:eastAsia="Calibri" w:hAnsi="Times New Roman" w:cs="Times New Roman"/>
          <w:sz w:val="24"/>
          <w:szCs w:val="24"/>
        </w:rPr>
        <w:t xml:space="preserve">of </w:t>
      </w:r>
      <w:r w:rsidR="00914F8E" w:rsidRPr="00C33A5F">
        <w:rPr>
          <w:rFonts w:ascii="Times New Roman" w:eastAsia="Calibri" w:hAnsi="Times New Roman" w:cs="Times New Roman"/>
          <w:sz w:val="24"/>
          <w:szCs w:val="24"/>
        </w:rPr>
        <w:t>randomised and non-randomised</w:t>
      </w:r>
      <w:r w:rsidR="008425B0" w:rsidRPr="00C33A5F">
        <w:rPr>
          <w:rFonts w:ascii="Times New Roman" w:eastAsia="Calibri" w:hAnsi="Times New Roman" w:cs="Times New Roman"/>
          <w:sz w:val="24"/>
          <w:szCs w:val="24"/>
        </w:rPr>
        <w:t xml:space="preserve"> studies</w:t>
      </w:r>
      <w:r w:rsidRPr="00C33A5F">
        <w:rPr>
          <w:rFonts w:ascii="Times New Roman" w:eastAsia="Calibri" w:hAnsi="Times New Roman" w:cs="Times New Roman"/>
          <w:sz w:val="24"/>
          <w:szCs w:val="24"/>
        </w:rPr>
        <w:t xml:space="preserve"> </w:t>
      </w:r>
      <w:r w:rsidR="004B3909" w:rsidRPr="00C33A5F">
        <w:rPr>
          <w:rFonts w:ascii="Times New Roman" w:eastAsia="Calibri" w:hAnsi="Times New Roman" w:cs="Times New Roman"/>
          <w:sz w:val="24"/>
          <w:szCs w:val="24"/>
        </w:rPr>
        <w:t>investigated the effect</w:t>
      </w:r>
      <w:r w:rsidRPr="00C33A5F">
        <w:rPr>
          <w:rFonts w:ascii="Times New Roman" w:eastAsia="Calibri" w:hAnsi="Times New Roman" w:cs="Times New Roman"/>
          <w:sz w:val="24"/>
          <w:szCs w:val="24"/>
        </w:rPr>
        <w:t xml:space="preserve"> of </w:t>
      </w:r>
      <w:r w:rsidR="004B3909" w:rsidRPr="00C33A5F">
        <w:rPr>
          <w:rFonts w:ascii="Times New Roman" w:eastAsia="Calibri" w:hAnsi="Times New Roman" w:cs="Times New Roman"/>
          <w:sz w:val="24"/>
          <w:szCs w:val="24"/>
        </w:rPr>
        <w:t>spinal orthoses in</w:t>
      </w:r>
      <w:r w:rsidRPr="00C33A5F">
        <w:rPr>
          <w:rFonts w:ascii="Times New Roman" w:eastAsia="Calibri" w:hAnsi="Times New Roman" w:cs="Times New Roman"/>
          <w:sz w:val="24"/>
          <w:szCs w:val="24"/>
        </w:rPr>
        <w:t xml:space="preserve"> </w:t>
      </w:r>
      <w:r w:rsidR="0081568C" w:rsidRPr="00C33A5F">
        <w:rPr>
          <w:rFonts w:ascii="Times New Roman" w:eastAsia="Calibri" w:hAnsi="Times New Roman" w:cs="Times New Roman"/>
          <w:sz w:val="24"/>
          <w:szCs w:val="24"/>
        </w:rPr>
        <w:t>the management of people with</w:t>
      </w:r>
      <w:r w:rsidRPr="00C33A5F">
        <w:rPr>
          <w:rFonts w:ascii="Times New Roman" w:eastAsia="Calibri" w:hAnsi="Times New Roman" w:cs="Times New Roman"/>
          <w:sz w:val="24"/>
          <w:szCs w:val="24"/>
        </w:rPr>
        <w:t xml:space="preserve"> osteoporotic </w:t>
      </w:r>
      <w:r w:rsidR="00B2659C" w:rsidRPr="00C33A5F">
        <w:rPr>
          <w:rFonts w:ascii="Times New Roman" w:eastAsia="Calibri" w:hAnsi="Times New Roman" w:cs="Times New Roman"/>
          <w:sz w:val="24"/>
          <w:szCs w:val="24"/>
        </w:rPr>
        <w:t xml:space="preserve">vertebral </w:t>
      </w:r>
      <w:r w:rsidRPr="00C33A5F">
        <w:rPr>
          <w:rFonts w:ascii="Times New Roman" w:eastAsia="Calibri" w:hAnsi="Times New Roman" w:cs="Times New Roman"/>
          <w:sz w:val="24"/>
          <w:szCs w:val="24"/>
        </w:rPr>
        <w:t>fracture</w:t>
      </w:r>
      <w:r w:rsidR="00B2659C" w:rsidRPr="00C33A5F">
        <w:rPr>
          <w:rFonts w:ascii="Times New Roman" w:eastAsia="Calibri" w:hAnsi="Times New Roman" w:cs="Times New Roman"/>
          <w:sz w:val="24"/>
          <w:szCs w:val="24"/>
        </w:rPr>
        <w:t xml:space="preserve"> (OVF</w:t>
      </w:r>
      <w:proofErr w:type="gramStart"/>
      <w:r w:rsidR="00B2659C" w:rsidRPr="00C33A5F">
        <w:rPr>
          <w:rFonts w:ascii="Times New Roman" w:eastAsia="Calibri" w:hAnsi="Times New Roman" w:cs="Times New Roman"/>
          <w:sz w:val="24"/>
          <w:szCs w:val="24"/>
        </w:rPr>
        <w:t>)</w:t>
      </w:r>
      <w:r w:rsidR="0016189E">
        <w:rPr>
          <w:rFonts w:ascii="Times New Roman" w:eastAsia="Calibri" w:hAnsi="Times New Roman" w:cs="Times New Roman"/>
          <w:sz w:val="24"/>
          <w:szCs w:val="24"/>
        </w:rPr>
        <w:t>[</w:t>
      </w:r>
      <w:proofErr w:type="gramEnd"/>
      <w:r w:rsidR="0016189E">
        <w:rPr>
          <w:rFonts w:ascii="Times New Roman" w:eastAsia="Calibri" w:hAnsi="Times New Roman" w:cs="Times New Roman"/>
          <w:sz w:val="24"/>
          <w:szCs w:val="24"/>
        </w:rPr>
        <w:t>32]</w:t>
      </w:r>
      <w:r w:rsidRPr="00C33A5F">
        <w:rPr>
          <w:rFonts w:ascii="Times New Roman" w:eastAsia="Calibri" w:hAnsi="Times New Roman" w:cs="Times New Roman"/>
          <w:sz w:val="24"/>
          <w:szCs w:val="24"/>
        </w:rPr>
        <w:t>.</w:t>
      </w:r>
      <w:r w:rsidR="004B3909" w:rsidRPr="00C33A5F">
        <w:rPr>
          <w:rFonts w:ascii="Times New Roman" w:eastAsia="Calibri" w:hAnsi="Times New Roman" w:cs="Times New Roman"/>
          <w:sz w:val="24"/>
          <w:szCs w:val="24"/>
        </w:rPr>
        <w:t xml:space="preserve"> Twelve studies with </w:t>
      </w:r>
      <w:r w:rsidR="00CE1B9A" w:rsidRPr="00C33A5F">
        <w:rPr>
          <w:rFonts w:ascii="Times New Roman" w:eastAsia="Calibri" w:hAnsi="Times New Roman" w:cs="Times New Roman"/>
          <w:sz w:val="24"/>
          <w:szCs w:val="24"/>
        </w:rPr>
        <w:t>mainly</w:t>
      </w:r>
      <w:r w:rsidR="004B3909" w:rsidRPr="00C33A5F">
        <w:rPr>
          <w:rFonts w:ascii="Times New Roman" w:eastAsia="Calibri" w:hAnsi="Times New Roman" w:cs="Times New Roman"/>
          <w:sz w:val="24"/>
          <w:szCs w:val="24"/>
        </w:rPr>
        <w:t xml:space="preserve"> small sample sizes </w:t>
      </w:r>
      <w:r w:rsidR="00B73CB2" w:rsidRPr="00C33A5F">
        <w:rPr>
          <w:rFonts w:ascii="Times New Roman" w:eastAsia="Calibri" w:hAnsi="Times New Roman" w:cs="Times New Roman"/>
          <w:sz w:val="24"/>
          <w:szCs w:val="24"/>
        </w:rPr>
        <w:t xml:space="preserve">and at risk of bias </w:t>
      </w:r>
      <w:r w:rsidR="004B3909" w:rsidRPr="00C33A5F">
        <w:rPr>
          <w:rFonts w:ascii="Times New Roman" w:eastAsia="Calibri" w:hAnsi="Times New Roman" w:cs="Times New Roman"/>
          <w:sz w:val="24"/>
          <w:szCs w:val="24"/>
        </w:rPr>
        <w:t xml:space="preserve">showed mixed results. </w:t>
      </w:r>
      <w:r w:rsidR="00693684" w:rsidRPr="00C33A5F">
        <w:rPr>
          <w:rFonts w:ascii="Times New Roman" w:eastAsia="Calibri" w:hAnsi="Times New Roman" w:cs="Times New Roman"/>
          <w:sz w:val="24"/>
          <w:szCs w:val="24"/>
        </w:rPr>
        <w:t xml:space="preserve">No recommendations could be made about the use of spinal orthoses in people with an acute OVF (0-3 months), although complications from the use of rigid orthoses and casting, including falls and fractures, were reported. Three studies, incorporating 220 participants with a subacute OVF, reported wearing a semi-rigid brace for several hours a day for six months improved back extensor and abdominal strength, reduced postural sway and thoracic kyphosis angle compared to an inactive control group. Thoracolumbar corsets in women with no acute OVF but a history suggestive of fracture, were not supported. A single </w:t>
      </w:r>
      <w:proofErr w:type="gramStart"/>
      <w:r w:rsidR="00693684" w:rsidRPr="00C33A5F">
        <w:rPr>
          <w:rFonts w:ascii="Times New Roman" w:eastAsia="Calibri" w:hAnsi="Times New Roman" w:cs="Times New Roman"/>
          <w:sz w:val="24"/>
          <w:szCs w:val="24"/>
        </w:rPr>
        <w:t>trial</w:t>
      </w:r>
      <w:r w:rsidR="0016189E">
        <w:rPr>
          <w:rFonts w:ascii="Times New Roman" w:eastAsia="Calibri" w:hAnsi="Times New Roman" w:cs="Times New Roman"/>
          <w:sz w:val="24"/>
          <w:szCs w:val="24"/>
        </w:rPr>
        <w:t>[</w:t>
      </w:r>
      <w:proofErr w:type="gramEnd"/>
      <w:r w:rsidR="0016189E">
        <w:rPr>
          <w:rFonts w:ascii="Times New Roman" w:eastAsia="Calibri" w:hAnsi="Times New Roman" w:cs="Times New Roman"/>
          <w:sz w:val="24"/>
          <w:szCs w:val="24"/>
        </w:rPr>
        <w:t>29]</w:t>
      </w:r>
      <w:r w:rsidR="00693684" w:rsidRPr="00C33A5F">
        <w:rPr>
          <w:rFonts w:ascii="Times New Roman" w:eastAsia="Calibri" w:hAnsi="Times New Roman" w:cs="Times New Roman"/>
          <w:sz w:val="24"/>
          <w:szCs w:val="24"/>
        </w:rPr>
        <w:t xml:space="preserve">, in which custom foot orthoses or no orthoses were worn by persons with a history of vertebral or non-vertebral osteoporotic </w:t>
      </w:r>
      <w:r w:rsidR="00693684" w:rsidRPr="00C33A5F">
        <w:rPr>
          <w:rFonts w:ascii="Times New Roman" w:eastAsia="Calibri" w:hAnsi="Times New Roman" w:cs="Times New Roman"/>
          <w:sz w:val="24"/>
          <w:szCs w:val="24"/>
        </w:rPr>
        <w:lastRenderedPageBreak/>
        <w:t xml:space="preserve">fracture reported a positive impact on balance favouring the intervention. </w:t>
      </w:r>
      <w:r w:rsidR="0081568C" w:rsidRPr="00C33A5F">
        <w:rPr>
          <w:rFonts w:ascii="Times New Roman" w:eastAsia="Calibri" w:hAnsi="Times New Roman" w:cs="Times New Roman"/>
          <w:sz w:val="24"/>
          <w:szCs w:val="24"/>
        </w:rPr>
        <w:t>However, this study was at high-</w:t>
      </w:r>
      <w:r w:rsidR="00693684" w:rsidRPr="00C33A5F">
        <w:rPr>
          <w:rFonts w:ascii="Times New Roman" w:eastAsia="Calibri" w:hAnsi="Times New Roman" w:cs="Times New Roman"/>
          <w:sz w:val="24"/>
          <w:szCs w:val="24"/>
        </w:rPr>
        <w:t xml:space="preserve">risk of detection bias. </w:t>
      </w:r>
    </w:p>
    <w:p w14:paraId="79B60D7B" w14:textId="77777777" w:rsidR="00CE1B9A" w:rsidRPr="00C33A5F" w:rsidRDefault="00CE1B9A" w:rsidP="001B794A">
      <w:pPr>
        <w:spacing w:after="0" w:line="480" w:lineRule="auto"/>
        <w:rPr>
          <w:rFonts w:ascii="Times New Roman" w:eastAsia="Calibri" w:hAnsi="Times New Roman" w:cs="Times New Roman"/>
          <w:sz w:val="24"/>
          <w:szCs w:val="24"/>
        </w:rPr>
      </w:pPr>
    </w:p>
    <w:p w14:paraId="4116609A" w14:textId="215BE072" w:rsidR="00FA7A0E" w:rsidRPr="008B435D" w:rsidRDefault="00431FF5" w:rsidP="008B435D">
      <w:pPr>
        <w:pStyle w:val="ListParagraph"/>
        <w:numPr>
          <w:ilvl w:val="0"/>
          <w:numId w:val="15"/>
        </w:numPr>
        <w:spacing w:after="0" w:line="480" w:lineRule="auto"/>
        <w:rPr>
          <w:rFonts w:ascii="Times New Roman" w:eastAsia="Calibri" w:hAnsi="Times New Roman" w:cs="Times New Roman"/>
          <w:sz w:val="24"/>
          <w:szCs w:val="24"/>
          <w:u w:val="single"/>
        </w:rPr>
      </w:pPr>
      <w:r w:rsidRPr="008B435D">
        <w:rPr>
          <w:rFonts w:ascii="Times New Roman" w:eastAsia="Calibri" w:hAnsi="Times New Roman" w:cs="Times New Roman"/>
          <w:sz w:val="24"/>
          <w:szCs w:val="24"/>
          <w:u w:val="single"/>
        </w:rPr>
        <w:t xml:space="preserve">Falls </w:t>
      </w:r>
      <w:r w:rsidR="00D6241F" w:rsidRPr="008B435D">
        <w:rPr>
          <w:rFonts w:ascii="Times New Roman" w:eastAsia="Calibri" w:hAnsi="Times New Roman" w:cs="Times New Roman"/>
          <w:sz w:val="24"/>
          <w:szCs w:val="24"/>
          <w:u w:val="single"/>
        </w:rPr>
        <w:t>prevention programmes</w:t>
      </w:r>
    </w:p>
    <w:p w14:paraId="48CAB48E" w14:textId="77777777" w:rsidR="00693684" w:rsidRPr="00C33A5F" w:rsidRDefault="00693684" w:rsidP="008E3C5F">
      <w:pPr>
        <w:spacing w:after="0" w:line="480" w:lineRule="auto"/>
        <w:jc w:val="both"/>
        <w:rPr>
          <w:rFonts w:ascii="Times New Roman" w:hAnsi="Times New Roman" w:cs="Times New Roman"/>
          <w:sz w:val="24"/>
          <w:szCs w:val="24"/>
        </w:rPr>
      </w:pPr>
      <w:r w:rsidRPr="00C33A5F">
        <w:rPr>
          <w:rFonts w:ascii="Times New Roman" w:hAnsi="Times New Roman" w:cs="Times New Roman"/>
          <w:sz w:val="24"/>
          <w:szCs w:val="24"/>
        </w:rPr>
        <w:t xml:space="preserve">One systematic review investigating fear of falling in patients following hip fracture included four studies comparing the effect of interventions such as home rehabilitation and community exercise with conventional care or a control </w:t>
      </w:r>
      <w:proofErr w:type="gramStart"/>
      <w:r w:rsidRPr="00C33A5F">
        <w:rPr>
          <w:rFonts w:ascii="Times New Roman" w:hAnsi="Times New Roman" w:cs="Times New Roman"/>
          <w:sz w:val="24"/>
          <w:szCs w:val="24"/>
        </w:rPr>
        <w:t>group</w:t>
      </w:r>
      <w:r w:rsidR="0016189E">
        <w:rPr>
          <w:rFonts w:ascii="Times New Roman" w:hAnsi="Times New Roman" w:cs="Times New Roman"/>
          <w:sz w:val="24"/>
          <w:szCs w:val="24"/>
        </w:rPr>
        <w:t>[</w:t>
      </w:r>
      <w:proofErr w:type="gramEnd"/>
      <w:r w:rsidR="0016189E">
        <w:rPr>
          <w:rFonts w:ascii="Times New Roman" w:hAnsi="Times New Roman" w:cs="Times New Roman"/>
          <w:sz w:val="24"/>
          <w:szCs w:val="24"/>
        </w:rPr>
        <w:t>43]</w:t>
      </w:r>
      <w:r w:rsidRPr="00C33A5F">
        <w:rPr>
          <w:rFonts w:ascii="Times New Roman" w:hAnsi="Times New Roman" w:cs="Times New Roman"/>
          <w:sz w:val="24"/>
          <w:szCs w:val="24"/>
        </w:rPr>
        <w:t xml:space="preserve">. Two studies showed a statistically significant reduction in fear of falling, measured by the Falls Efficacy </w:t>
      </w:r>
      <w:proofErr w:type="gramStart"/>
      <w:r w:rsidRPr="00C33A5F">
        <w:rPr>
          <w:rFonts w:ascii="Times New Roman" w:hAnsi="Times New Roman" w:cs="Times New Roman"/>
          <w:sz w:val="24"/>
          <w:szCs w:val="24"/>
        </w:rPr>
        <w:t>Scale</w:t>
      </w:r>
      <w:r w:rsidR="0016189E">
        <w:rPr>
          <w:rFonts w:ascii="Times New Roman" w:hAnsi="Times New Roman" w:cs="Times New Roman"/>
          <w:sz w:val="24"/>
          <w:szCs w:val="24"/>
        </w:rPr>
        <w:t>[</w:t>
      </w:r>
      <w:proofErr w:type="gramEnd"/>
      <w:r w:rsidR="0016189E">
        <w:rPr>
          <w:rFonts w:ascii="Times New Roman" w:hAnsi="Times New Roman" w:cs="Times New Roman"/>
          <w:sz w:val="24"/>
          <w:szCs w:val="24"/>
        </w:rPr>
        <w:t>44,45]</w:t>
      </w:r>
      <w:r w:rsidRPr="00C33A5F">
        <w:rPr>
          <w:rFonts w:ascii="Times New Roman" w:hAnsi="Times New Roman" w:cs="Times New Roman"/>
          <w:sz w:val="24"/>
          <w:szCs w:val="24"/>
        </w:rPr>
        <w:t>, although both had small sample si</w:t>
      </w:r>
      <w:r w:rsidR="00103845" w:rsidRPr="00C33A5F">
        <w:rPr>
          <w:rFonts w:ascii="Times New Roman" w:hAnsi="Times New Roman" w:cs="Times New Roman"/>
          <w:sz w:val="24"/>
          <w:szCs w:val="24"/>
        </w:rPr>
        <w:t xml:space="preserve">zes. An additional five </w:t>
      </w:r>
      <w:proofErr w:type="gramStart"/>
      <w:r w:rsidR="00103845" w:rsidRPr="00C33A5F">
        <w:rPr>
          <w:rFonts w:ascii="Times New Roman" w:hAnsi="Times New Roman" w:cs="Times New Roman"/>
          <w:sz w:val="24"/>
          <w:szCs w:val="24"/>
        </w:rPr>
        <w:t>studies</w:t>
      </w:r>
      <w:r w:rsidR="0016189E">
        <w:rPr>
          <w:rFonts w:ascii="Times New Roman" w:hAnsi="Times New Roman" w:cs="Times New Roman"/>
          <w:sz w:val="24"/>
          <w:szCs w:val="24"/>
        </w:rPr>
        <w:t>[</w:t>
      </w:r>
      <w:proofErr w:type="gramEnd"/>
      <w:r w:rsidR="0016189E">
        <w:rPr>
          <w:rFonts w:ascii="Times New Roman" w:hAnsi="Times New Roman" w:cs="Times New Roman"/>
          <w:sz w:val="24"/>
          <w:szCs w:val="24"/>
        </w:rPr>
        <w:t>27,46-49]</w:t>
      </w:r>
      <w:r w:rsidRPr="00C33A5F">
        <w:rPr>
          <w:rFonts w:ascii="Times New Roman" w:hAnsi="Times New Roman" w:cs="Times New Roman"/>
          <w:sz w:val="24"/>
          <w:szCs w:val="24"/>
        </w:rPr>
        <w:t xml:space="preserve"> investigated the effect of single and multicomponent fall prevention interventions in older adults who had undergone hip fracture surgery. Data about falls occurring after discharge from hospital were collated during face-to-face or telephone interviews in four studies and by a daily calendar diary in one study. Follow-up took place between 4 and 24 months. </w:t>
      </w:r>
      <w:proofErr w:type="gramStart"/>
      <w:r w:rsidRPr="00C33A5F">
        <w:rPr>
          <w:rFonts w:ascii="Times New Roman" w:hAnsi="Times New Roman" w:cs="Times New Roman"/>
          <w:sz w:val="24"/>
          <w:szCs w:val="24"/>
        </w:rPr>
        <w:t>All of</w:t>
      </w:r>
      <w:proofErr w:type="gramEnd"/>
      <w:r w:rsidRPr="00C33A5F">
        <w:rPr>
          <w:rFonts w:ascii="Times New Roman" w:hAnsi="Times New Roman" w:cs="Times New Roman"/>
          <w:sz w:val="24"/>
          <w:szCs w:val="24"/>
        </w:rPr>
        <w:t xml:space="preserve"> the studies had relatively small sample sizes and three were at high risk of detection bias.</w:t>
      </w:r>
    </w:p>
    <w:p w14:paraId="237D9324" w14:textId="77777777" w:rsidR="00F8294F" w:rsidRPr="00C33A5F" w:rsidRDefault="00250F71" w:rsidP="001B794A">
      <w:pPr>
        <w:spacing w:after="0" w:line="480" w:lineRule="auto"/>
        <w:rPr>
          <w:rFonts w:ascii="Times New Roman" w:hAnsi="Times New Roman" w:cs="Times New Roman"/>
          <w:sz w:val="24"/>
          <w:szCs w:val="24"/>
        </w:rPr>
      </w:pPr>
      <w:r w:rsidRPr="00C33A5F">
        <w:rPr>
          <w:rFonts w:ascii="Times New Roman" w:hAnsi="Times New Roman" w:cs="Times New Roman"/>
          <w:sz w:val="24"/>
          <w:szCs w:val="24"/>
        </w:rPr>
        <w:t xml:space="preserve"> </w:t>
      </w:r>
    </w:p>
    <w:p w14:paraId="2382809B" w14:textId="77777777" w:rsidR="00693684" w:rsidRPr="00C33A5F" w:rsidRDefault="00693684" w:rsidP="008E3C5F">
      <w:pPr>
        <w:spacing w:after="0" w:line="480" w:lineRule="auto"/>
        <w:jc w:val="both"/>
        <w:rPr>
          <w:rFonts w:ascii="Times New Roman" w:hAnsi="Times New Roman" w:cs="Times New Roman"/>
          <w:sz w:val="24"/>
          <w:szCs w:val="24"/>
        </w:rPr>
      </w:pPr>
      <w:r w:rsidRPr="00C33A5F">
        <w:rPr>
          <w:rFonts w:ascii="Times New Roman" w:hAnsi="Times New Roman" w:cs="Times New Roman"/>
          <w:sz w:val="24"/>
          <w:szCs w:val="24"/>
        </w:rPr>
        <w:t>Of the single interventions, neither a brief telephone call targeted towards reducing falls made by an occupational therapist to participants post-discharge</w:t>
      </w:r>
      <w:r w:rsidR="0016189E">
        <w:rPr>
          <w:rFonts w:ascii="Times New Roman" w:hAnsi="Times New Roman" w:cs="Times New Roman"/>
          <w:sz w:val="24"/>
          <w:szCs w:val="24"/>
        </w:rPr>
        <w:t>[46]</w:t>
      </w:r>
      <w:r w:rsidRPr="00C33A5F">
        <w:rPr>
          <w:rFonts w:ascii="Times New Roman" w:hAnsi="Times New Roman" w:cs="Times New Roman"/>
          <w:sz w:val="24"/>
          <w:szCs w:val="24"/>
        </w:rPr>
        <w:t>, nor a 6-week programme of treadmill walking focussed towards visually guided stepping in relation to obstacles</w:t>
      </w:r>
      <w:r w:rsidR="0016189E">
        <w:rPr>
          <w:rFonts w:ascii="Times New Roman" w:hAnsi="Times New Roman" w:cs="Times New Roman"/>
          <w:sz w:val="24"/>
          <w:szCs w:val="24"/>
        </w:rPr>
        <w:t>[27]</w:t>
      </w:r>
      <w:r w:rsidRPr="00C33A5F">
        <w:rPr>
          <w:rFonts w:ascii="Times New Roman" w:hAnsi="Times New Roman" w:cs="Times New Roman"/>
          <w:sz w:val="24"/>
          <w:szCs w:val="24"/>
        </w:rPr>
        <w:t>, resulted in a statistically significant reduction in the proportion of fallers or the rate of falls when compared to a control group. In contrast, a single home visit undertak</w:t>
      </w:r>
      <w:r w:rsidR="00616A95">
        <w:rPr>
          <w:rFonts w:ascii="Times New Roman" w:hAnsi="Times New Roman" w:cs="Times New Roman"/>
          <w:sz w:val="24"/>
          <w:szCs w:val="24"/>
        </w:rPr>
        <w:t xml:space="preserve">en by an occupational </w:t>
      </w:r>
      <w:proofErr w:type="gramStart"/>
      <w:r w:rsidR="00616A95">
        <w:rPr>
          <w:rFonts w:ascii="Times New Roman" w:hAnsi="Times New Roman" w:cs="Times New Roman"/>
          <w:sz w:val="24"/>
          <w:szCs w:val="24"/>
        </w:rPr>
        <w:t>therapist</w:t>
      </w:r>
      <w:r w:rsidR="0016189E">
        <w:rPr>
          <w:rFonts w:ascii="Times New Roman" w:hAnsi="Times New Roman" w:cs="Times New Roman"/>
          <w:sz w:val="24"/>
          <w:szCs w:val="24"/>
        </w:rPr>
        <w:t>[</w:t>
      </w:r>
      <w:proofErr w:type="gramEnd"/>
      <w:r w:rsidR="0016189E">
        <w:rPr>
          <w:rFonts w:ascii="Times New Roman" w:hAnsi="Times New Roman" w:cs="Times New Roman"/>
          <w:sz w:val="24"/>
          <w:szCs w:val="24"/>
        </w:rPr>
        <w:t>47]</w:t>
      </w:r>
      <w:r w:rsidRPr="00C33A5F">
        <w:rPr>
          <w:rFonts w:ascii="Times New Roman" w:eastAsia="Calibri" w:hAnsi="Times New Roman" w:cs="Times New Roman"/>
          <w:sz w:val="24"/>
          <w:szCs w:val="24"/>
        </w:rPr>
        <w:t xml:space="preserve">, </w:t>
      </w:r>
      <w:r w:rsidRPr="00C33A5F">
        <w:rPr>
          <w:rFonts w:ascii="Times New Roman" w:hAnsi="Times New Roman" w:cs="Times New Roman"/>
          <w:sz w:val="24"/>
          <w:szCs w:val="24"/>
        </w:rPr>
        <w:t xml:space="preserve">led to a lower proportion of fallers in the intervention group compared to a control group </w:t>
      </w:r>
      <w:r w:rsidRPr="00C33A5F">
        <w:rPr>
          <w:rFonts w:ascii="Times New Roman" w:eastAsia="Calibri" w:hAnsi="Times New Roman" w:cs="Times New Roman"/>
          <w:sz w:val="24"/>
          <w:szCs w:val="24"/>
        </w:rPr>
        <w:t>(Odd</w:t>
      </w:r>
      <w:r w:rsidR="003F6532">
        <w:rPr>
          <w:rFonts w:ascii="Times New Roman" w:eastAsia="Calibri" w:hAnsi="Times New Roman" w:cs="Times New Roman"/>
          <w:sz w:val="24"/>
          <w:szCs w:val="24"/>
        </w:rPr>
        <w:t xml:space="preserve">s ratio [OR] 0.275, 95%CI 0.081 </w:t>
      </w:r>
      <w:r w:rsidR="003F6532" w:rsidRPr="00DC47F6">
        <w:rPr>
          <w:rFonts w:ascii="Times New Roman" w:eastAsia="Calibri" w:hAnsi="Times New Roman" w:cs="Times New Roman"/>
          <w:sz w:val="24"/>
          <w:szCs w:val="24"/>
        </w:rPr>
        <w:t>to</w:t>
      </w:r>
      <w:r w:rsidR="003F6532">
        <w:rPr>
          <w:rFonts w:ascii="Times New Roman" w:eastAsia="Calibri" w:hAnsi="Times New Roman" w:cs="Times New Roman"/>
          <w:sz w:val="24"/>
          <w:szCs w:val="24"/>
        </w:rPr>
        <w:t xml:space="preserve"> </w:t>
      </w:r>
      <w:r w:rsidRPr="00C33A5F">
        <w:rPr>
          <w:rFonts w:ascii="Times New Roman" w:eastAsia="Calibri" w:hAnsi="Times New Roman" w:cs="Times New Roman"/>
          <w:sz w:val="24"/>
          <w:szCs w:val="24"/>
        </w:rPr>
        <w:t>0.937; p=0.039). However, this was a quasi RCT at unclear risk of selection bias.</w:t>
      </w:r>
    </w:p>
    <w:p w14:paraId="608C7A72" w14:textId="77777777" w:rsidR="003604BE" w:rsidRPr="00C33A5F" w:rsidRDefault="003604BE" w:rsidP="001B794A">
      <w:pPr>
        <w:spacing w:after="0" w:line="480" w:lineRule="auto"/>
        <w:rPr>
          <w:rFonts w:ascii="Times New Roman" w:hAnsi="Times New Roman" w:cs="Times New Roman"/>
          <w:sz w:val="24"/>
          <w:szCs w:val="24"/>
        </w:rPr>
      </w:pPr>
    </w:p>
    <w:p w14:paraId="084253D7" w14:textId="77777777" w:rsidR="00693684" w:rsidRPr="00C33A5F" w:rsidRDefault="00693684" w:rsidP="008E3C5F">
      <w:pPr>
        <w:spacing w:after="0" w:line="480" w:lineRule="auto"/>
        <w:jc w:val="both"/>
        <w:rPr>
          <w:rFonts w:ascii="Times New Roman" w:hAnsi="Times New Roman" w:cs="Times New Roman"/>
          <w:sz w:val="24"/>
          <w:szCs w:val="24"/>
        </w:rPr>
      </w:pPr>
      <w:r w:rsidRPr="00C33A5F">
        <w:rPr>
          <w:rFonts w:ascii="Times New Roman" w:hAnsi="Times New Roman" w:cs="Times New Roman"/>
          <w:sz w:val="24"/>
          <w:szCs w:val="24"/>
        </w:rPr>
        <w:lastRenderedPageBreak/>
        <w:t xml:space="preserve">Evidence for the effect of multicomponent interventions, incorporating in-patient geriatric care, rehabilitation and home assessment, and falls hazard reduction in older adults following hip surgery also revealed mixed </w:t>
      </w:r>
      <w:proofErr w:type="gramStart"/>
      <w:r w:rsidRPr="00C33A5F">
        <w:rPr>
          <w:rFonts w:ascii="Times New Roman" w:hAnsi="Times New Roman" w:cs="Times New Roman"/>
          <w:sz w:val="24"/>
          <w:szCs w:val="24"/>
        </w:rPr>
        <w:t>outcomes</w:t>
      </w:r>
      <w:r w:rsidR="0016189E">
        <w:rPr>
          <w:rFonts w:ascii="Times New Roman" w:hAnsi="Times New Roman" w:cs="Times New Roman"/>
          <w:sz w:val="24"/>
          <w:szCs w:val="24"/>
        </w:rPr>
        <w:t>[</w:t>
      </w:r>
      <w:proofErr w:type="gramEnd"/>
      <w:r w:rsidR="0016189E">
        <w:rPr>
          <w:rFonts w:ascii="Times New Roman" w:hAnsi="Times New Roman" w:cs="Times New Roman"/>
          <w:sz w:val="24"/>
          <w:szCs w:val="24"/>
        </w:rPr>
        <w:t>48,49]</w:t>
      </w:r>
      <w:r w:rsidRPr="00C33A5F">
        <w:rPr>
          <w:rFonts w:ascii="Times New Roman" w:hAnsi="Times New Roman" w:cs="Times New Roman"/>
          <w:sz w:val="24"/>
          <w:szCs w:val="24"/>
        </w:rPr>
        <w:t>. One RCT based in Taiwan, in which participants received in-home rehabilitation for three months post discharge, reported a lower occurrence of falls in non-cognitively impaired participants in the first two years after discharge compared to a control group (OR =0</w:t>
      </w:r>
      <w:r w:rsidR="003F6532">
        <w:rPr>
          <w:rFonts w:ascii="Times New Roman" w:hAnsi="Times New Roman" w:cs="Times New Roman"/>
          <w:sz w:val="24"/>
          <w:szCs w:val="24"/>
        </w:rPr>
        <w:t xml:space="preserve">.47, </w:t>
      </w:r>
      <w:r w:rsidR="00017D49" w:rsidRPr="00DC47F6">
        <w:rPr>
          <w:rFonts w:ascii="Times New Roman" w:hAnsi="Times New Roman" w:cs="Times New Roman"/>
          <w:sz w:val="24"/>
          <w:szCs w:val="24"/>
        </w:rPr>
        <w:t>95%</w:t>
      </w:r>
      <w:r w:rsidR="003F6532">
        <w:rPr>
          <w:rFonts w:ascii="Times New Roman" w:hAnsi="Times New Roman" w:cs="Times New Roman"/>
          <w:sz w:val="24"/>
          <w:szCs w:val="24"/>
        </w:rPr>
        <w:t xml:space="preserve">CI 0.25 </w:t>
      </w:r>
      <w:r w:rsidR="003F6532" w:rsidRPr="00DC47F6">
        <w:rPr>
          <w:rFonts w:ascii="Times New Roman" w:hAnsi="Times New Roman" w:cs="Times New Roman"/>
          <w:sz w:val="24"/>
          <w:szCs w:val="24"/>
        </w:rPr>
        <w:t>to</w:t>
      </w:r>
      <w:r w:rsidR="003F6532">
        <w:rPr>
          <w:rFonts w:ascii="Times New Roman" w:hAnsi="Times New Roman" w:cs="Times New Roman"/>
          <w:sz w:val="24"/>
          <w:szCs w:val="24"/>
        </w:rPr>
        <w:t xml:space="preserve"> </w:t>
      </w:r>
      <w:r w:rsidRPr="00C33A5F">
        <w:rPr>
          <w:rFonts w:ascii="Times New Roman" w:hAnsi="Times New Roman" w:cs="Times New Roman"/>
          <w:sz w:val="24"/>
          <w:szCs w:val="24"/>
        </w:rPr>
        <w:t>0.86; p=0.014)</w:t>
      </w:r>
      <w:r w:rsidR="0016189E">
        <w:rPr>
          <w:rFonts w:ascii="Times New Roman" w:hAnsi="Times New Roman" w:cs="Times New Roman"/>
          <w:sz w:val="24"/>
          <w:szCs w:val="24"/>
        </w:rPr>
        <w:t>[49]</w:t>
      </w:r>
      <w:r w:rsidRPr="00C33A5F">
        <w:rPr>
          <w:rFonts w:ascii="Times New Roman" w:hAnsi="Times New Roman" w:cs="Times New Roman"/>
          <w:sz w:val="24"/>
          <w:szCs w:val="24"/>
        </w:rPr>
        <w:t>. This benefit was not seen in participants with cognitive impairment. In contrast, Berggren et al.</w:t>
      </w:r>
      <w:r w:rsidR="0016189E">
        <w:rPr>
          <w:rFonts w:ascii="Times New Roman" w:hAnsi="Times New Roman" w:cs="Times New Roman"/>
          <w:sz w:val="24"/>
          <w:szCs w:val="24"/>
        </w:rPr>
        <w:t>[48]</w:t>
      </w:r>
      <w:r w:rsidRPr="00C33A5F">
        <w:rPr>
          <w:rFonts w:ascii="Times New Roman" w:hAnsi="Times New Roman" w:cs="Times New Roman"/>
          <w:sz w:val="24"/>
          <w:szCs w:val="24"/>
        </w:rPr>
        <w:t xml:space="preserve"> found no statistically significant difference in fall incidence between groups at one year following a similar multifactorial falls-prevention programme (Incidence ra</w:t>
      </w:r>
      <w:r w:rsidR="003F6532">
        <w:rPr>
          <w:rFonts w:ascii="Times New Roman" w:hAnsi="Times New Roman" w:cs="Times New Roman"/>
          <w:sz w:val="24"/>
          <w:szCs w:val="24"/>
        </w:rPr>
        <w:t>te ratio (IRR) 0.64, 95%CI 0.40</w:t>
      </w:r>
      <w:r w:rsidR="003F6532" w:rsidRPr="00DC47F6">
        <w:rPr>
          <w:rFonts w:ascii="Times New Roman" w:hAnsi="Times New Roman" w:cs="Times New Roman"/>
          <w:sz w:val="24"/>
          <w:szCs w:val="24"/>
        </w:rPr>
        <w:t xml:space="preserve"> to</w:t>
      </w:r>
      <w:r w:rsidR="003F6532">
        <w:rPr>
          <w:rFonts w:ascii="Times New Roman" w:hAnsi="Times New Roman" w:cs="Times New Roman"/>
          <w:sz w:val="24"/>
          <w:szCs w:val="24"/>
        </w:rPr>
        <w:t xml:space="preserve"> </w:t>
      </w:r>
      <w:r w:rsidRPr="00C33A5F">
        <w:rPr>
          <w:rFonts w:ascii="Times New Roman" w:hAnsi="Times New Roman" w:cs="Times New Roman"/>
          <w:sz w:val="24"/>
          <w:szCs w:val="24"/>
        </w:rPr>
        <w:t>1.02; p=0.063)</w:t>
      </w:r>
      <w:r w:rsidR="00B200B7">
        <w:rPr>
          <w:rFonts w:ascii="Times New Roman" w:hAnsi="Times New Roman" w:cs="Times New Roman"/>
          <w:sz w:val="24"/>
          <w:szCs w:val="24"/>
        </w:rPr>
        <w:t>,</w:t>
      </w:r>
      <w:r w:rsidRPr="00C33A5F">
        <w:rPr>
          <w:rFonts w:ascii="Times New Roman" w:hAnsi="Times New Roman" w:cs="Times New Roman"/>
          <w:sz w:val="24"/>
          <w:szCs w:val="24"/>
        </w:rPr>
        <w:t xml:space="preserve"> although there was a trend favouring the intervention. In this study, post-discharge rehabil</w:t>
      </w:r>
      <w:r w:rsidR="00616A95">
        <w:rPr>
          <w:rFonts w:ascii="Times New Roman" w:hAnsi="Times New Roman" w:cs="Times New Roman"/>
          <w:sz w:val="24"/>
          <w:szCs w:val="24"/>
        </w:rPr>
        <w:t>itation was provided if needed.</w:t>
      </w:r>
    </w:p>
    <w:p w14:paraId="73970C36" w14:textId="77777777" w:rsidR="005C6D7A" w:rsidRPr="00C33A5F" w:rsidRDefault="005C6D7A" w:rsidP="001B794A">
      <w:pPr>
        <w:spacing w:after="0" w:line="480" w:lineRule="auto"/>
        <w:rPr>
          <w:rFonts w:ascii="Times New Roman" w:eastAsia="Calibri" w:hAnsi="Times New Roman" w:cs="Times New Roman"/>
          <w:b/>
          <w:sz w:val="24"/>
          <w:szCs w:val="24"/>
        </w:rPr>
      </w:pPr>
    </w:p>
    <w:p w14:paraId="04BC5ACC" w14:textId="629AD318" w:rsidR="0049516A" w:rsidRPr="00C33A5F" w:rsidRDefault="00F65CC2" w:rsidP="008B435D">
      <w:pPr>
        <w:spacing w:after="0" w:line="480" w:lineRule="auto"/>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 xml:space="preserve">3  </w:t>
      </w:r>
      <w:r w:rsidR="00DD6A30" w:rsidRPr="008B435D">
        <w:rPr>
          <w:rFonts w:ascii="Times New Roman" w:eastAsia="Calibri" w:hAnsi="Times New Roman" w:cs="Times New Roman"/>
          <w:b/>
          <w:sz w:val="24"/>
          <w:szCs w:val="24"/>
        </w:rPr>
        <w:t>What</w:t>
      </w:r>
      <w:proofErr w:type="gramEnd"/>
      <w:r w:rsidR="00DD6A30" w:rsidRPr="008B435D">
        <w:rPr>
          <w:rFonts w:ascii="Times New Roman" w:eastAsia="Calibri" w:hAnsi="Times New Roman" w:cs="Times New Roman"/>
          <w:b/>
          <w:sz w:val="24"/>
          <w:szCs w:val="24"/>
        </w:rPr>
        <w:t xml:space="preserve"> is the effect (including cost-effectiveness and safety) of non-pharmacological treatments provided by HPs in adults at high-risk of primary osteoporotic fracture?</w:t>
      </w:r>
      <w:r w:rsidR="00DD6A30" w:rsidRPr="00C33A5F">
        <w:rPr>
          <w:rFonts w:ascii="Times New Roman" w:eastAsia="Calibri" w:hAnsi="Times New Roman" w:cs="Times New Roman"/>
          <w:sz w:val="24"/>
          <w:szCs w:val="24"/>
        </w:rPr>
        <w:t xml:space="preserve"> </w:t>
      </w:r>
    </w:p>
    <w:p w14:paraId="48F3FC3B" w14:textId="77777777" w:rsidR="0049516A" w:rsidRPr="00C33A5F" w:rsidRDefault="0049516A" w:rsidP="0049516A">
      <w:pPr>
        <w:spacing w:after="0" w:line="240" w:lineRule="auto"/>
        <w:rPr>
          <w:rFonts w:ascii="Times New Roman" w:eastAsia="Calibri" w:hAnsi="Times New Roman" w:cs="Times New Roman"/>
          <w:b/>
          <w:sz w:val="24"/>
          <w:szCs w:val="24"/>
        </w:rPr>
      </w:pPr>
    </w:p>
    <w:p w14:paraId="53203F25" w14:textId="77777777" w:rsidR="004A3D19" w:rsidRPr="00D5338D" w:rsidRDefault="00CB09DF" w:rsidP="00D5338D">
      <w:pPr>
        <w:spacing w:after="0" w:line="480" w:lineRule="auto"/>
        <w:jc w:val="both"/>
        <w:rPr>
          <w:rFonts w:ascii="Times New Roman" w:hAnsi="Times New Roman" w:cs="Times New Roman"/>
          <w:bCs/>
          <w:color w:val="000000"/>
          <w:sz w:val="24"/>
          <w:szCs w:val="24"/>
        </w:rPr>
      </w:pPr>
      <w:r w:rsidRPr="00C33A5F">
        <w:rPr>
          <w:rFonts w:ascii="Times New Roman" w:hAnsi="Times New Roman" w:cs="Times New Roman"/>
          <w:bCs/>
          <w:color w:val="000000"/>
          <w:sz w:val="24"/>
          <w:szCs w:val="24"/>
        </w:rPr>
        <w:t>One</w:t>
      </w:r>
      <w:r w:rsidR="0054603C" w:rsidRPr="00C33A5F">
        <w:rPr>
          <w:rFonts w:ascii="Times New Roman" w:hAnsi="Times New Roman" w:cs="Times New Roman"/>
          <w:bCs/>
          <w:color w:val="000000"/>
          <w:sz w:val="24"/>
          <w:szCs w:val="24"/>
        </w:rPr>
        <w:t xml:space="preserve"> </w:t>
      </w:r>
      <w:r w:rsidR="00D74A5F" w:rsidRPr="00C33A5F">
        <w:rPr>
          <w:rFonts w:ascii="Times New Roman" w:hAnsi="Times New Roman" w:cs="Times New Roman"/>
          <w:bCs/>
          <w:color w:val="000000"/>
          <w:sz w:val="24"/>
          <w:szCs w:val="24"/>
        </w:rPr>
        <w:t xml:space="preserve">systematic </w:t>
      </w:r>
      <w:proofErr w:type="gramStart"/>
      <w:r w:rsidR="00D74A5F" w:rsidRPr="00C33A5F">
        <w:rPr>
          <w:rFonts w:ascii="Times New Roman" w:hAnsi="Times New Roman" w:cs="Times New Roman"/>
          <w:bCs/>
          <w:color w:val="000000"/>
          <w:sz w:val="24"/>
          <w:szCs w:val="24"/>
        </w:rPr>
        <w:t>review</w:t>
      </w:r>
      <w:r w:rsidR="0016189E">
        <w:rPr>
          <w:rFonts w:ascii="Times New Roman" w:hAnsi="Times New Roman" w:cs="Times New Roman"/>
          <w:bCs/>
          <w:color w:val="000000"/>
          <w:sz w:val="24"/>
          <w:szCs w:val="24"/>
        </w:rPr>
        <w:t>[</w:t>
      </w:r>
      <w:proofErr w:type="gramEnd"/>
      <w:r w:rsidR="0016189E">
        <w:rPr>
          <w:rFonts w:ascii="Times New Roman" w:hAnsi="Times New Roman" w:cs="Times New Roman"/>
          <w:bCs/>
          <w:color w:val="000000"/>
          <w:sz w:val="24"/>
          <w:szCs w:val="24"/>
        </w:rPr>
        <w:t>50]</w:t>
      </w:r>
      <w:r w:rsidRPr="00C33A5F">
        <w:rPr>
          <w:rFonts w:ascii="Times New Roman" w:hAnsi="Times New Roman" w:cs="Times New Roman"/>
          <w:bCs/>
          <w:color w:val="000000"/>
          <w:sz w:val="24"/>
          <w:szCs w:val="24"/>
        </w:rPr>
        <w:t xml:space="preserve">, three </w:t>
      </w:r>
      <w:r w:rsidR="0049516A" w:rsidRPr="00C33A5F">
        <w:rPr>
          <w:rFonts w:ascii="Times New Roman" w:hAnsi="Times New Roman" w:cs="Times New Roman"/>
          <w:bCs/>
          <w:color w:val="000000"/>
          <w:sz w:val="24"/>
          <w:szCs w:val="24"/>
        </w:rPr>
        <w:t>meta-analyses</w:t>
      </w:r>
      <w:r w:rsidR="0016189E">
        <w:rPr>
          <w:rFonts w:ascii="Times New Roman" w:hAnsi="Times New Roman" w:cs="Times New Roman"/>
          <w:bCs/>
          <w:color w:val="000000"/>
          <w:sz w:val="24"/>
          <w:szCs w:val="24"/>
        </w:rPr>
        <w:t>[24,51,52]</w:t>
      </w:r>
      <w:r w:rsidRPr="00C33A5F">
        <w:rPr>
          <w:rFonts w:ascii="Times New Roman" w:hAnsi="Times New Roman" w:cs="Times New Roman"/>
          <w:bCs/>
          <w:color w:val="000000"/>
          <w:sz w:val="24"/>
          <w:szCs w:val="24"/>
        </w:rPr>
        <w:t xml:space="preserve"> and three </w:t>
      </w:r>
      <w:r w:rsidR="0054603C" w:rsidRPr="00C33A5F">
        <w:rPr>
          <w:rFonts w:ascii="Times New Roman" w:hAnsi="Times New Roman" w:cs="Times New Roman"/>
          <w:bCs/>
          <w:color w:val="000000"/>
          <w:sz w:val="24"/>
          <w:szCs w:val="24"/>
        </w:rPr>
        <w:t>primary studies</w:t>
      </w:r>
      <w:r w:rsidR="0016189E">
        <w:rPr>
          <w:rFonts w:ascii="Times New Roman" w:hAnsi="Times New Roman" w:cs="Times New Roman"/>
          <w:bCs/>
          <w:color w:val="000000"/>
          <w:sz w:val="24"/>
          <w:szCs w:val="24"/>
        </w:rPr>
        <w:t>[53-55]</w:t>
      </w:r>
      <w:r w:rsidR="00074ECD" w:rsidRPr="00C33A5F">
        <w:rPr>
          <w:rFonts w:ascii="Times New Roman" w:hAnsi="Times New Roman" w:cs="Times New Roman"/>
          <w:bCs/>
          <w:color w:val="000000"/>
          <w:sz w:val="24"/>
          <w:szCs w:val="24"/>
        </w:rPr>
        <w:t xml:space="preserve"> </w:t>
      </w:r>
      <w:r w:rsidRPr="00C33A5F">
        <w:rPr>
          <w:rFonts w:ascii="Times New Roman" w:hAnsi="Times New Roman" w:cs="Times New Roman"/>
          <w:bCs/>
          <w:color w:val="000000"/>
          <w:sz w:val="24"/>
          <w:szCs w:val="24"/>
        </w:rPr>
        <w:t>contributed evidence about</w:t>
      </w:r>
      <w:r w:rsidR="00074ECD" w:rsidRPr="00C33A5F">
        <w:rPr>
          <w:rFonts w:ascii="Times New Roman" w:hAnsi="Times New Roman" w:cs="Times New Roman"/>
          <w:bCs/>
          <w:color w:val="000000"/>
          <w:sz w:val="24"/>
          <w:szCs w:val="24"/>
        </w:rPr>
        <w:t xml:space="preserve"> exe</w:t>
      </w:r>
      <w:r w:rsidR="00017D49">
        <w:rPr>
          <w:rFonts w:ascii="Times New Roman" w:hAnsi="Times New Roman" w:cs="Times New Roman"/>
          <w:bCs/>
          <w:color w:val="000000"/>
          <w:sz w:val="24"/>
          <w:szCs w:val="24"/>
        </w:rPr>
        <w:t>rcise interventions.</w:t>
      </w:r>
      <w:r w:rsidR="00074ECD" w:rsidRPr="00C33A5F">
        <w:rPr>
          <w:rFonts w:ascii="Times New Roman" w:hAnsi="Times New Roman" w:cs="Times New Roman"/>
          <w:bCs/>
          <w:color w:val="000000"/>
          <w:sz w:val="24"/>
          <w:szCs w:val="24"/>
        </w:rPr>
        <w:t xml:space="preserve"> </w:t>
      </w:r>
      <w:r w:rsidR="00017D49">
        <w:rPr>
          <w:rFonts w:ascii="Times New Roman" w:hAnsi="Times New Roman" w:cs="Times New Roman"/>
          <w:bCs/>
          <w:color w:val="000000"/>
          <w:sz w:val="24"/>
          <w:szCs w:val="24"/>
        </w:rPr>
        <w:t>T</w:t>
      </w:r>
      <w:r w:rsidR="00A84733" w:rsidRPr="00C33A5F">
        <w:rPr>
          <w:rFonts w:ascii="Times New Roman" w:hAnsi="Times New Roman" w:cs="Times New Roman"/>
          <w:bCs/>
          <w:color w:val="000000"/>
          <w:sz w:val="24"/>
          <w:szCs w:val="24"/>
        </w:rPr>
        <w:t xml:space="preserve">wo </w:t>
      </w:r>
      <w:r w:rsidR="005D7D57" w:rsidRPr="00C33A5F">
        <w:rPr>
          <w:rFonts w:ascii="Times New Roman" w:hAnsi="Times New Roman" w:cs="Times New Roman"/>
          <w:bCs/>
          <w:color w:val="000000"/>
          <w:sz w:val="24"/>
          <w:szCs w:val="24"/>
        </w:rPr>
        <w:t>RCTs</w:t>
      </w:r>
      <w:r w:rsidR="00A84733" w:rsidRPr="00C33A5F">
        <w:rPr>
          <w:rFonts w:ascii="Times New Roman" w:hAnsi="Times New Roman" w:cs="Times New Roman"/>
          <w:bCs/>
          <w:color w:val="000000"/>
          <w:sz w:val="24"/>
          <w:szCs w:val="24"/>
        </w:rPr>
        <w:t xml:space="preserve"> explo</w:t>
      </w:r>
      <w:r w:rsidR="00824615" w:rsidRPr="00C33A5F">
        <w:rPr>
          <w:rFonts w:ascii="Times New Roman" w:hAnsi="Times New Roman" w:cs="Times New Roman"/>
          <w:bCs/>
          <w:color w:val="000000"/>
          <w:sz w:val="24"/>
          <w:szCs w:val="24"/>
        </w:rPr>
        <w:t xml:space="preserve">red falls prevention </w:t>
      </w:r>
      <w:proofErr w:type="gramStart"/>
      <w:r w:rsidR="00824615" w:rsidRPr="00C33A5F">
        <w:rPr>
          <w:rFonts w:ascii="Times New Roman" w:hAnsi="Times New Roman" w:cs="Times New Roman"/>
          <w:bCs/>
          <w:color w:val="000000"/>
          <w:sz w:val="24"/>
          <w:szCs w:val="24"/>
        </w:rPr>
        <w:t>programmes</w:t>
      </w:r>
      <w:r w:rsidR="0016189E">
        <w:rPr>
          <w:rFonts w:ascii="Times New Roman" w:hAnsi="Times New Roman" w:cs="Times New Roman"/>
          <w:bCs/>
          <w:color w:val="000000"/>
          <w:sz w:val="24"/>
          <w:szCs w:val="24"/>
        </w:rPr>
        <w:t>[</w:t>
      </w:r>
      <w:proofErr w:type="gramEnd"/>
      <w:r w:rsidR="0016189E">
        <w:rPr>
          <w:rFonts w:ascii="Times New Roman" w:hAnsi="Times New Roman" w:cs="Times New Roman"/>
          <w:bCs/>
          <w:color w:val="000000"/>
          <w:sz w:val="24"/>
          <w:szCs w:val="24"/>
        </w:rPr>
        <w:t>29, 56]</w:t>
      </w:r>
      <w:r w:rsidR="00A84733" w:rsidRPr="00C33A5F">
        <w:rPr>
          <w:rFonts w:ascii="Times New Roman" w:hAnsi="Times New Roman" w:cs="Times New Roman"/>
          <w:bCs/>
          <w:color w:val="000000"/>
          <w:sz w:val="24"/>
          <w:szCs w:val="24"/>
        </w:rPr>
        <w:t xml:space="preserve"> and </w:t>
      </w:r>
      <w:r w:rsidR="00074ECD" w:rsidRPr="00C33A5F">
        <w:rPr>
          <w:rFonts w:ascii="Times New Roman" w:hAnsi="Times New Roman" w:cs="Times New Roman"/>
          <w:bCs/>
          <w:color w:val="000000"/>
          <w:sz w:val="24"/>
          <w:szCs w:val="24"/>
        </w:rPr>
        <w:t xml:space="preserve">two </w:t>
      </w:r>
      <w:r w:rsidR="00D74A5F" w:rsidRPr="00C33A5F">
        <w:rPr>
          <w:rFonts w:ascii="Times New Roman" w:hAnsi="Times New Roman" w:cs="Times New Roman"/>
          <w:bCs/>
          <w:color w:val="000000"/>
          <w:sz w:val="24"/>
          <w:szCs w:val="24"/>
        </w:rPr>
        <w:t>systematic reviews</w:t>
      </w:r>
      <w:r w:rsidR="0016189E">
        <w:rPr>
          <w:rFonts w:ascii="Times New Roman" w:hAnsi="Times New Roman" w:cs="Times New Roman"/>
          <w:bCs/>
          <w:color w:val="000000"/>
          <w:sz w:val="24"/>
          <w:szCs w:val="24"/>
        </w:rPr>
        <w:t>[57,58]</w:t>
      </w:r>
      <w:r w:rsidR="00693684" w:rsidRPr="00C33A5F">
        <w:rPr>
          <w:rFonts w:ascii="Times New Roman" w:hAnsi="Times New Roman" w:cs="Times New Roman"/>
          <w:bCs/>
          <w:color w:val="000000"/>
          <w:sz w:val="24"/>
          <w:szCs w:val="24"/>
          <w:vertAlign w:val="subscript"/>
        </w:rPr>
        <w:t xml:space="preserve"> </w:t>
      </w:r>
      <w:r w:rsidR="0054603C" w:rsidRPr="00C33A5F">
        <w:rPr>
          <w:rFonts w:ascii="Times New Roman" w:hAnsi="Times New Roman" w:cs="Times New Roman"/>
          <w:bCs/>
          <w:color w:val="000000"/>
          <w:sz w:val="24"/>
          <w:szCs w:val="24"/>
        </w:rPr>
        <w:t xml:space="preserve">and </w:t>
      </w:r>
      <w:r w:rsidR="00E02DD0" w:rsidRPr="00C33A5F">
        <w:rPr>
          <w:rFonts w:ascii="Times New Roman" w:hAnsi="Times New Roman" w:cs="Times New Roman"/>
          <w:bCs/>
          <w:color w:val="000000"/>
          <w:sz w:val="24"/>
          <w:szCs w:val="24"/>
        </w:rPr>
        <w:t>one</w:t>
      </w:r>
      <w:r w:rsidR="00824615" w:rsidRPr="00C33A5F">
        <w:rPr>
          <w:rFonts w:ascii="Times New Roman" w:hAnsi="Times New Roman" w:cs="Times New Roman"/>
          <w:bCs/>
          <w:color w:val="000000"/>
          <w:sz w:val="24"/>
          <w:szCs w:val="24"/>
        </w:rPr>
        <w:t xml:space="preserve"> RCT</w:t>
      </w:r>
      <w:r w:rsidR="0016189E">
        <w:rPr>
          <w:rFonts w:ascii="Times New Roman" w:hAnsi="Times New Roman" w:cs="Times New Roman"/>
          <w:bCs/>
          <w:color w:val="000000"/>
          <w:sz w:val="24"/>
          <w:szCs w:val="24"/>
        </w:rPr>
        <w:t>[59]</w:t>
      </w:r>
      <w:r w:rsidR="0054603C" w:rsidRPr="00C33A5F">
        <w:rPr>
          <w:rFonts w:ascii="Times New Roman" w:hAnsi="Times New Roman" w:cs="Times New Roman"/>
          <w:bCs/>
          <w:color w:val="000000"/>
          <w:sz w:val="24"/>
          <w:szCs w:val="24"/>
        </w:rPr>
        <w:t xml:space="preserve"> investigated</w:t>
      </w:r>
      <w:r w:rsidR="00074ECD" w:rsidRPr="00C33A5F">
        <w:rPr>
          <w:rFonts w:ascii="Times New Roman" w:hAnsi="Times New Roman" w:cs="Times New Roman"/>
          <w:bCs/>
          <w:color w:val="000000"/>
          <w:sz w:val="24"/>
          <w:szCs w:val="24"/>
        </w:rPr>
        <w:t xml:space="preserve"> </w:t>
      </w:r>
      <w:r w:rsidR="0054603C" w:rsidRPr="00C33A5F">
        <w:rPr>
          <w:rFonts w:ascii="Times New Roman" w:hAnsi="Times New Roman" w:cs="Times New Roman"/>
          <w:bCs/>
          <w:color w:val="000000"/>
          <w:sz w:val="24"/>
          <w:szCs w:val="24"/>
        </w:rPr>
        <w:t>nutrient supplementation</w:t>
      </w:r>
      <w:r w:rsidR="00A84733" w:rsidRPr="00C33A5F">
        <w:rPr>
          <w:rFonts w:ascii="Times New Roman" w:hAnsi="Times New Roman" w:cs="Times New Roman"/>
          <w:bCs/>
          <w:color w:val="000000"/>
          <w:sz w:val="24"/>
          <w:szCs w:val="24"/>
        </w:rPr>
        <w:t>. O</w:t>
      </w:r>
      <w:r w:rsidR="00074ECD" w:rsidRPr="00C33A5F">
        <w:rPr>
          <w:rFonts w:ascii="Times New Roman" w:hAnsi="Times New Roman" w:cs="Times New Roman"/>
          <w:bCs/>
          <w:color w:val="000000"/>
          <w:sz w:val="24"/>
          <w:szCs w:val="24"/>
        </w:rPr>
        <w:t xml:space="preserve">ne </w:t>
      </w:r>
      <w:r w:rsidR="00D74A5F" w:rsidRPr="00C33A5F">
        <w:rPr>
          <w:rFonts w:ascii="Times New Roman" w:hAnsi="Times New Roman" w:cs="Times New Roman"/>
          <w:bCs/>
          <w:color w:val="000000"/>
          <w:sz w:val="24"/>
          <w:szCs w:val="24"/>
        </w:rPr>
        <w:t>systematic review</w:t>
      </w:r>
      <w:r w:rsidR="0054603C" w:rsidRPr="00C33A5F">
        <w:rPr>
          <w:rFonts w:ascii="Times New Roman" w:hAnsi="Times New Roman" w:cs="Times New Roman"/>
          <w:bCs/>
          <w:color w:val="000000"/>
          <w:sz w:val="24"/>
          <w:szCs w:val="24"/>
        </w:rPr>
        <w:t xml:space="preserve"> explored </w:t>
      </w:r>
      <w:r w:rsidR="0096088A" w:rsidRPr="00C33A5F">
        <w:rPr>
          <w:rFonts w:ascii="Times New Roman" w:hAnsi="Times New Roman" w:cs="Times New Roman"/>
          <w:bCs/>
          <w:color w:val="000000"/>
          <w:sz w:val="24"/>
          <w:szCs w:val="24"/>
        </w:rPr>
        <w:t>patient education</w:t>
      </w:r>
      <w:r w:rsidR="0054603C" w:rsidRPr="00C33A5F">
        <w:rPr>
          <w:rFonts w:ascii="Times New Roman" w:hAnsi="Times New Roman" w:cs="Times New Roman"/>
          <w:bCs/>
          <w:color w:val="000000"/>
          <w:sz w:val="24"/>
          <w:szCs w:val="24"/>
        </w:rPr>
        <w:t xml:space="preserve"> </w:t>
      </w:r>
      <w:proofErr w:type="gramStart"/>
      <w:r w:rsidR="0054603C" w:rsidRPr="00C33A5F">
        <w:rPr>
          <w:rFonts w:ascii="Times New Roman" w:hAnsi="Times New Roman" w:cs="Times New Roman"/>
          <w:bCs/>
          <w:color w:val="000000"/>
          <w:sz w:val="24"/>
          <w:szCs w:val="24"/>
        </w:rPr>
        <w:t>strategies</w:t>
      </w:r>
      <w:r w:rsidR="0016189E">
        <w:rPr>
          <w:rFonts w:ascii="Times New Roman" w:hAnsi="Times New Roman" w:cs="Times New Roman"/>
          <w:bCs/>
          <w:color w:val="000000"/>
          <w:sz w:val="24"/>
          <w:szCs w:val="24"/>
        </w:rPr>
        <w:t>[</w:t>
      </w:r>
      <w:proofErr w:type="gramEnd"/>
      <w:r w:rsidR="0016189E">
        <w:rPr>
          <w:rFonts w:ascii="Times New Roman" w:hAnsi="Times New Roman" w:cs="Times New Roman"/>
          <w:bCs/>
          <w:color w:val="000000"/>
          <w:sz w:val="24"/>
          <w:szCs w:val="24"/>
        </w:rPr>
        <w:t>60]</w:t>
      </w:r>
      <w:r w:rsidR="000173F6" w:rsidRPr="00C33A5F">
        <w:rPr>
          <w:rFonts w:ascii="Times New Roman" w:hAnsi="Times New Roman" w:cs="Times New Roman"/>
          <w:bCs/>
          <w:color w:val="000000"/>
          <w:sz w:val="24"/>
          <w:szCs w:val="24"/>
        </w:rPr>
        <w:t xml:space="preserve"> (</w:t>
      </w:r>
      <w:r w:rsidR="00641378">
        <w:rPr>
          <w:rFonts w:ascii="Times New Roman" w:hAnsi="Times New Roman" w:cs="Times New Roman"/>
          <w:bCs/>
          <w:color w:val="000000"/>
          <w:sz w:val="24"/>
          <w:szCs w:val="24"/>
        </w:rPr>
        <w:t>Table 4</w:t>
      </w:r>
      <w:r w:rsidR="000173F6" w:rsidRPr="00C33A5F">
        <w:rPr>
          <w:rFonts w:ascii="Times New Roman" w:hAnsi="Times New Roman" w:cs="Times New Roman"/>
          <w:bCs/>
          <w:color w:val="000000"/>
          <w:sz w:val="24"/>
          <w:szCs w:val="24"/>
        </w:rPr>
        <w:t>)</w:t>
      </w:r>
      <w:r w:rsidR="00EE3233" w:rsidRPr="00C33A5F">
        <w:rPr>
          <w:rFonts w:ascii="Times New Roman" w:hAnsi="Times New Roman" w:cs="Times New Roman"/>
          <w:bCs/>
          <w:color w:val="000000"/>
          <w:sz w:val="24"/>
          <w:szCs w:val="24"/>
        </w:rPr>
        <w:t>.</w:t>
      </w:r>
    </w:p>
    <w:p w14:paraId="417BAE1A" w14:textId="77777777" w:rsidR="00201E8F" w:rsidRPr="004A3D19" w:rsidRDefault="00201E8F" w:rsidP="004A3D19">
      <w:pPr>
        <w:rPr>
          <w:rFonts w:ascii="Times New Roman" w:hAnsi="Times New Roman" w:cs="Times New Roman"/>
          <w:sz w:val="24"/>
          <w:szCs w:val="24"/>
        </w:rPr>
        <w:sectPr w:rsidR="00201E8F" w:rsidRPr="004A3D19">
          <w:pgSz w:w="11906" w:h="16838"/>
          <w:pgMar w:top="1417" w:right="1417" w:bottom="1417" w:left="1417" w:header="708" w:footer="708" w:gutter="0"/>
          <w:cols w:space="708"/>
          <w:docGrid w:linePitch="360"/>
        </w:sectPr>
      </w:pPr>
    </w:p>
    <w:p w14:paraId="40D2F309" w14:textId="77777777" w:rsidR="00201E8F" w:rsidRPr="00C33A5F" w:rsidRDefault="00641378" w:rsidP="00201E8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Table 4</w:t>
      </w:r>
      <w:r w:rsidR="00C15653" w:rsidRPr="00C33A5F">
        <w:rPr>
          <w:rFonts w:ascii="Times New Roman" w:eastAsia="Calibri" w:hAnsi="Times New Roman" w:cs="Times New Roman"/>
          <w:b/>
          <w:sz w:val="24"/>
          <w:szCs w:val="24"/>
        </w:rPr>
        <w:t>.</w:t>
      </w:r>
      <w:r w:rsidR="00201E8F" w:rsidRPr="00C33A5F">
        <w:rPr>
          <w:rFonts w:ascii="Times New Roman" w:eastAsia="Calibri" w:hAnsi="Times New Roman" w:cs="Times New Roman"/>
          <w:b/>
          <w:sz w:val="24"/>
          <w:szCs w:val="24"/>
        </w:rPr>
        <w:t xml:space="preserve"> </w:t>
      </w:r>
      <w:r w:rsidR="00201E8F" w:rsidRPr="00C33A5F">
        <w:rPr>
          <w:rFonts w:ascii="Times New Roman" w:hAnsi="Times New Roman" w:cs="Times New Roman"/>
          <w:b/>
          <w:sz w:val="24"/>
          <w:szCs w:val="24"/>
        </w:rPr>
        <w:t>Characteristics of intervention studies and their main findings</w:t>
      </w:r>
      <w:r w:rsidR="008E3C5F">
        <w:rPr>
          <w:rFonts w:ascii="Times New Roman" w:hAnsi="Times New Roman" w:cs="Times New Roman"/>
          <w:b/>
          <w:sz w:val="24"/>
          <w:szCs w:val="24"/>
        </w:rPr>
        <w:t>: nonpharmacological treatments provided to adults at high risk of primary osteoporotic fracture</w:t>
      </w:r>
    </w:p>
    <w:tbl>
      <w:tblPr>
        <w:tblStyle w:val="TableGrid"/>
        <w:tblpPr w:leftFromText="181" w:rightFromText="181" w:vertAnchor="text" w:horzAnchor="margin" w:tblpY="1"/>
        <w:tblOverlap w:val="never"/>
        <w:tblW w:w="14690" w:type="dxa"/>
        <w:tblLayout w:type="fixed"/>
        <w:tblLook w:val="04A0" w:firstRow="1" w:lastRow="0" w:firstColumn="1" w:lastColumn="0" w:noHBand="0" w:noVBand="1"/>
      </w:tblPr>
      <w:tblGrid>
        <w:gridCol w:w="2122"/>
        <w:gridCol w:w="708"/>
        <w:gridCol w:w="3544"/>
        <w:gridCol w:w="3260"/>
        <w:gridCol w:w="4489"/>
        <w:gridCol w:w="567"/>
      </w:tblGrid>
      <w:tr w:rsidR="00201E8F" w:rsidRPr="0064137F" w14:paraId="5886B759" w14:textId="77777777" w:rsidTr="008E3C5F">
        <w:trPr>
          <w:trHeight w:val="363"/>
        </w:trPr>
        <w:tc>
          <w:tcPr>
            <w:tcW w:w="2122" w:type="dxa"/>
            <w:tcBorders>
              <w:top w:val="single" w:sz="12" w:space="0" w:color="auto"/>
              <w:left w:val="nil"/>
              <w:bottom w:val="single" w:sz="12" w:space="0" w:color="auto"/>
              <w:right w:val="nil"/>
            </w:tcBorders>
            <w:tcMar>
              <w:top w:w="28" w:type="dxa"/>
              <w:bottom w:w="28" w:type="dxa"/>
            </w:tcMar>
            <w:vAlign w:val="center"/>
          </w:tcPr>
          <w:p w14:paraId="77C28711" w14:textId="77777777" w:rsidR="00201E8F" w:rsidRPr="0064137F" w:rsidRDefault="00201E8F" w:rsidP="005F417A">
            <w:pPr>
              <w:rPr>
                <w:rFonts w:ascii="Times New Roman" w:eastAsia="Calibri" w:hAnsi="Times New Roman" w:cs="Times New Roman"/>
                <w:b/>
                <w:sz w:val="16"/>
                <w:szCs w:val="16"/>
              </w:rPr>
            </w:pPr>
            <w:r w:rsidRPr="0064137F">
              <w:rPr>
                <w:rFonts w:ascii="Times New Roman" w:hAnsi="Times New Roman" w:cs="Times New Roman"/>
                <w:b/>
                <w:sz w:val="16"/>
                <w:szCs w:val="16"/>
              </w:rPr>
              <w:t xml:space="preserve">Authors, Country, </w:t>
            </w:r>
            <w:proofErr w:type="gramStart"/>
            <w:r w:rsidRPr="0064137F">
              <w:rPr>
                <w:rFonts w:ascii="Times New Roman" w:hAnsi="Times New Roman" w:cs="Times New Roman"/>
                <w:b/>
                <w:sz w:val="16"/>
                <w:szCs w:val="16"/>
              </w:rPr>
              <w:t>Setting</w:t>
            </w:r>
            <w:proofErr w:type="gramEnd"/>
            <w:r w:rsidRPr="0064137F">
              <w:rPr>
                <w:rFonts w:ascii="Times New Roman" w:hAnsi="Times New Roman" w:cs="Times New Roman"/>
                <w:b/>
                <w:sz w:val="16"/>
                <w:szCs w:val="16"/>
              </w:rPr>
              <w:t xml:space="preserve"> if stated</w:t>
            </w:r>
          </w:p>
        </w:tc>
        <w:tc>
          <w:tcPr>
            <w:tcW w:w="708" w:type="dxa"/>
            <w:tcBorders>
              <w:top w:val="single" w:sz="12" w:space="0" w:color="auto"/>
              <w:left w:val="nil"/>
              <w:bottom w:val="single" w:sz="12" w:space="0" w:color="auto"/>
              <w:right w:val="nil"/>
            </w:tcBorders>
            <w:tcMar>
              <w:top w:w="28" w:type="dxa"/>
              <w:bottom w:w="28" w:type="dxa"/>
            </w:tcMar>
            <w:vAlign w:val="center"/>
          </w:tcPr>
          <w:p w14:paraId="7CC49F78" w14:textId="77777777" w:rsidR="00201E8F" w:rsidRPr="0064137F" w:rsidRDefault="001D37C5" w:rsidP="005F417A">
            <w:pPr>
              <w:rPr>
                <w:rFonts w:ascii="Times New Roman" w:hAnsi="Times New Roman" w:cs="Times New Roman"/>
                <w:b/>
                <w:sz w:val="16"/>
                <w:szCs w:val="16"/>
              </w:rPr>
            </w:pPr>
            <w:r w:rsidRPr="0064137F">
              <w:rPr>
                <w:rFonts w:ascii="Times New Roman" w:hAnsi="Times New Roman" w:cs="Times New Roman"/>
                <w:b/>
                <w:sz w:val="16"/>
                <w:szCs w:val="16"/>
              </w:rPr>
              <w:t>Study d</w:t>
            </w:r>
            <w:r w:rsidR="00201E8F" w:rsidRPr="0064137F">
              <w:rPr>
                <w:rFonts w:ascii="Times New Roman" w:hAnsi="Times New Roman" w:cs="Times New Roman"/>
                <w:b/>
                <w:sz w:val="16"/>
                <w:szCs w:val="16"/>
              </w:rPr>
              <w:t>esign</w:t>
            </w:r>
          </w:p>
        </w:tc>
        <w:tc>
          <w:tcPr>
            <w:tcW w:w="3544" w:type="dxa"/>
            <w:tcBorders>
              <w:top w:val="single" w:sz="12" w:space="0" w:color="auto"/>
              <w:left w:val="nil"/>
              <w:bottom w:val="single" w:sz="12" w:space="0" w:color="auto"/>
              <w:right w:val="nil"/>
            </w:tcBorders>
            <w:tcMar>
              <w:top w:w="28" w:type="dxa"/>
              <w:bottom w:w="28" w:type="dxa"/>
            </w:tcMar>
            <w:vAlign w:val="center"/>
          </w:tcPr>
          <w:p w14:paraId="1E26A805" w14:textId="77777777" w:rsidR="00201E8F" w:rsidRPr="0064137F" w:rsidRDefault="00607249" w:rsidP="005F417A">
            <w:pPr>
              <w:rPr>
                <w:rFonts w:ascii="Times New Roman" w:eastAsia="Calibri" w:hAnsi="Times New Roman" w:cs="Times New Roman"/>
                <w:b/>
                <w:sz w:val="16"/>
                <w:szCs w:val="16"/>
              </w:rPr>
            </w:pPr>
            <w:r>
              <w:rPr>
                <w:rFonts w:ascii="Times New Roman" w:hAnsi="Times New Roman" w:cs="Times New Roman"/>
                <w:b/>
                <w:sz w:val="16"/>
                <w:szCs w:val="16"/>
              </w:rPr>
              <w:t xml:space="preserve">Population characteristics; </w:t>
            </w:r>
            <w:r w:rsidR="00201E8F" w:rsidRPr="0064137F">
              <w:rPr>
                <w:rFonts w:ascii="Times New Roman" w:hAnsi="Times New Roman" w:cs="Times New Roman"/>
                <w:b/>
                <w:sz w:val="16"/>
                <w:szCs w:val="16"/>
              </w:rPr>
              <w:t>No of participants for outcomes of interest</w:t>
            </w:r>
          </w:p>
        </w:tc>
        <w:tc>
          <w:tcPr>
            <w:tcW w:w="3260" w:type="dxa"/>
            <w:tcBorders>
              <w:top w:val="single" w:sz="12" w:space="0" w:color="auto"/>
              <w:left w:val="nil"/>
              <w:bottom w:val="single" w:sz="12" w:space="0" w:color="auto"/>
              <w:right w:val="nil"/>
            </w:tcBorders>
            <w:tcMar>
              <w:top w:w="28" w:type="dxa"/>
              <w:bottom w:w="28" w:type="dxa"/>
            </w:tcMar>
            <w:vAlign w:val="center"/>
          </w:tcPr>
          <w:p w14:paraId="4C08912C" w14:textId="77777777" w:rsidR="00201E8F" w:rsidRPr="0064137F" w:rsidRDefault="008E3C5F" w:rsidP="005F417A">
            <w:pPr>
              <w:rPr>
                <w:rFonts w:ascii="Times New Roman" w:eastAsia="Calibri" w:hAnsi="Times New Roman" w:cs="Times New Roman"/>
                <w:b/>
                <w:sz w:val="16"/>
                <w:szCs w:val="16"/>
              </w:rPr>
            </w:pPr>
            <w:r>
              <w:rPr>
                <w:rFonts w:ascii="Times New Roman" w:hAnsi="Times New Roman" w:cs="Times New Roman"/>
                <w:b/>
                <w:sz w:val="16"/>
                <w:szCs w:val="16"/>
              </w:rPr>
              <w:t>Intervention; h</w:t>
            </w:r>
            <w:r w:rsidR="00201E8F" w:rsidRPr="0064137F">
              <w:rPr>
                <w:rFonts w:ascii="Times New Roman" w:hAnsi="Times New Roman" w:cs="Times New Roman"/>
                <w:b/>
                <w:sz w:val="16"/>
                <w:szCs w:val="16"/>
              </w:rPr>
              <w:t>ealth care professional if stated</w:t>
            </w:r>
          </w:p>
        </w:tc>
        <w:tc>
          <w:tcPr>
            <w:tcW w:w="4489" w:type="dxa"/>
            <w:tcBorders>
              <w:top w:val="single" w:sz="12" w:space="0" w:color="auto"/>
              <w:left w:val="nil"/>
              <w:bottom w:val="single" w:sz="12" w:space="0" w:color="auto"/>
              <w:right w:val="nil"/>
            </w:tcBorders>
            <w:tcMar>
              <w:top w:w="28" w:type="dxa"/>
              <w:bottom w:w="28" w:type="dxa"/>
            </w:tcMar>
            <w:vAlign w:val="center"/>
          </w:tcPr>
          <w:p w14:paraId="7FB61827" w14:textId="77777777" w:rsidR="00201E8F" w:rsidRPr="0064137F" w:rsidRDefault="00201E8F" w:rsidP="005F417A">
            <w:pPr>
              <w:spacing w:line="480" w:lineRule="auto"/>
              <w:rPr>
                <w:rFonts w:ascii="Times New Roman" w:eastAsia="Calibri" w:hAnsi="Times New Roman" w:cs="Times New Roman"/>
                <w:b/>
                <w:sz w:val="16"/>
                <w:szCs w:val="16"/>
              </w:rPr>
            </w:pPr>
            <w:r w:rsidRPr="0064137F">
              <w:rPr>
                <w:rFonts w:ascii="Times New Roman" w:eastAsia="Calibri" w:hAnsi="Times New Roman" w:cs="Times New Roman"/>
                <w:b/>
                <w:sz w:val="16"/>
                <w:szCs w:val="16"/>
              </w:rPr>
              <w:t xml:space="preserve">Main findings </w:t>
            </w:r>
          </w:p>
        </w:tc>
        <w:tc>
          <w:tcPr>
            <w:tcW w:w="567" w:type="dxa"/>
            <w:tcBorders>
              <w:top w:val="single" w:sz="12" w:space="0" w:color="auto"/>
              <w:left w:val="nil"/>
              <w:bottom w:val="single" w:sz="12" w:space="0" w:color="auto"/>
              <w:right w:val="nil"/>
            </w:tcBorders>
            <w:tcMar>
              <w:top w:w="28" w:type="dxa"/>
              <w:bottom w:w="28" w:type="dxa"/>
            </w:tcMar>
            <w:vAlign w:val="center"/>
          </w:tcPr>
          <w:p w14:paraId="07C981D7" w14:textId="77777777" w:rsidR="00201E8F" w:rsidRPr="0064137F" w:rsidRDefault="00201E8F" w:rsidP="005F417A">
            <w:pPr>
              <w:spacing w:line="480" w:lineRule="auto"/>
              <w:rPr>
                <w:rFonts w:ascii="Times New Roman" w:eastAsia="Calibri" w:hAnsi="Times New Roman" w:cs="Times New Roman"/>
                <w:b/>
                <w:sz w:val="16"/>
                <w:szCs w:val="16"/>
              </w:rPr>
            </w:pPr>
            <w:proofErr w:type="spellStart"/>
            <w:r w:rsidRPr="0064137F">
              <w:rPr>
                <w:rFonts w:ascii="Times New Roman" w:hAnsi="Times New Roman" w:cs="Times New Roman"/>
                <w:b/>
                <w:sz w:val="16"/>
                <w:szCs w:val="16"/>
              </w:rPr>
              <w:t>LoE</w:t>
            </w:r>
            <w:proofErr w:type="spellEnd"/>
          </w:p>
        </w:tc>
      </w:tr>
      <w:tr w:rsidR="00201E8F" w:rsidRPr="0064137F" w14:paraId="56A5E802" w14:textId="77777777" w:rsidTr="008E3C5F">
        <w:trPr>
          <w:trHeight w:val="170"/>
        </w:trPr>
        <w:tc>
          <w:tcPr>
            <w:tcW w:w="14690" w:type="dxa"/>
            <w:gridSpan w:val="6"/>
            <w:tcBorders>
              <w:top w:val="single" w:sz="12" w:space="0" w:color="auto"/>
              <w:left w:val="nil"/>
              <w:bottom w:val="single" w:sz="12" w:space="0" w:color="auto"/>
              <w:right w:val="nil"/>
            </w:tcBorders>
            <w:shd w:val="clear" w:color="auto" w:fill="D9D9D9" w:themeFill="background1" w:themeFillShade="D9"/>
            <w:tcMar>
              <w:top w:w="28" w:type="dxa"/>
              <w:bottom w:w="28" w:type="dxa"/>
            </w:tcMar>
            <w:vAlign w:val="center"/>
          </w:tcPr>
          <w:p w14:paraId="4334AB8C" w14:textId="77777777" w:rsidR="00201E8F" w:rsidRPr="0064137F" w:rsidRDefault="00DD6A30" w:rsidP="005F417A">
            <w:pPr>
              <w:rPr>
                <w:rFonts w:ascii="Times New Roman" w:eastAsia="Calibri" w:hAnsi="Times New Roman" w:cs="Times New Roman"/>
                <w:b/>
                <w:sz w:val="16"/>
                <w:szCs w:val="16"/>
              </w:rPr>
            </w:pPr>
            <w:proofErr w:type="spellStart"/>
            <w:r>
              <w:rPr>
                <w:rFonts w:ascii="Times New Roman" w:eastAsia="Calibri" w:hAnsi="Times New Roman" w:cs="Times New Roman"/>
                <w:b/>
                <w:sz w:val="16"/>
                <w:szCs w:val="16"/>
              </w:rPr>
              <w:t>i</w:t>
            </w:r>
            <w:proofErr w:type="spellEnd"/>
            <w:r>
              <w:rPr>
                <w:rFonts w:ascii="Times New Roman" w:eastAsia="Calibri" w:hAnsi="Times New Roman" w:cs="Times New Roman"/>
                <w:b/>
                <w:sz w:val="16"/>
                <w:szCs w:val="16"/>
              </w:rPr>
              <w:t>)</w:t>
            </w:r>
            <w:r w:rsidR="00201E8F" w:rsidRPr="0064137F">
              <w:rPr>
                <w:rFonts w:ascii="Times New Roman" w:eastAsia="Calibri" w:hAnsi="Times New Roman" w:cs="Times New Roman"/>
                <w:b/>
                <w:sz w:val="16"/>
                <w:szCs w:val="16"/>
              </w:rPr>
              <w:t>Exercise</w:t>
            </w:r>
          </w:p>
        </w:tc>
      </w:tr>
      <w:tr w:rsidR="00201E8F" w:rsidRPr="0064137F" w14:paraId="38BB4732" w14:textId="77777777" w:rsidTr="008E3C5F">
        <w:trPr>
          <w:trHeight w:val="170"/>
        </w:trPr>
        <w:tc>
          <w:tcPr>
            <w:tcW w:w="2122" w:type="dxa"/>
            <w:tcBorders>
              <w:top w:val="single" w:sz="12" w:space="0" w:color="auto"/>
              <w:left w:val="nil"/>
              <w:right w:val="nil"/>
            </w:tcBorders>
            <w:tcMar>
              <w:top w:w="28" w:type="dxa"/>
              <w:bottom w:w="28" w:type="dxa"/>
            </w:tcMar>
            <w:vAlign w:val="center"/>
          </w:tcPr>
          <w:p w14:paraId="35C27FE0" w14:textId="77777777" w:rsidR="00201E8F" w:rsidRPr="0064137F" w:rsidRDefault="00201E8F" w:rsidP="005F417A">
            <w:pPr>
              <w:rPr>
                <w:rFonts w:ascii="Times New Roman" w:eastAsia="Calibri" w:hAnsi="Times New Roman" w:cs="Times New Roman"/>
                <w:sz w:val="16"/>
                <w:szCs w:val="16"/>
              </w:rPr>
            </w:pPr>
            <w:r w:rsidRPr="0064137F">
              <w:rPr>
                <w:rFonts w:ascii="Times New Roman" w:hAnsi="Times New Roman" w:cs="Times New Roman"/>
                <w:sz w:val="16"/>
                <w:szCs w:val="16"/>
              </w:rPr>
              <w:t xml:space="preserve">De Kam </w:t>
            </w:r>
            <w:proofErr w:type="gramStart"/>
            <w:r w:rsidRPr="0064137F">
              <w:rPr>
                <w:rFonts w:ascii="Times New Roman" w:hAnsi="Times New Roman" w:cs="Times New Roman"/>
                <w:sz w:val="16"/>
                <w:szCs w:val="16"/>
              </w:rPr>
              <w:t>et al.</w:t>
            </w:r>
            <w:r w:rsidR="004169A5">
              <w:rPr>
                <w:rFonts w:ascii="Times New Roman" w:hAnsi="Times New Roman" w:cs="Times New Roman"/>
                <w:sz w:val="16"/>
                <w:szCs w:val="16"/>
              </w:rPr>
              <w:t>[</w:t>
            </w:r>
            <w:proofErr w:type="gramEnd"/>
            <w:r w:rsidR="004169A5">
              <w:rPr>
                <w:rFonts w:ascii="Times New Roman" w:hAnsi="Times New Roman" w:cs="Times New Roman"/>
                <w:sz w:val="16"/>
                <w:szCs w:val="16"/>
              </w:rPr>
              <w:t>50]</w:t>
            </w:r>
          </w:p>
        </w:tc>
        <w:tc>
          <w:tcPr>
            <w:tcW w:w="708" w:type="dxa"/>
            <w:tcBorders>
              <w:top w:val="single" w:sz="12" w:space="0" w:color="auto"/>
              <w:left w:val="nil"/>
              <w:right w:val="nil"/>
            </w:tcBorders>
            <w:tcMar>
              <w:top w:w="28" w:type="dxa"/>
              <w:bottom w:w="28" w:type="dxa"/>
            </w:tcMar>
            <w:vAlign w:val="center"/>
          </w:tcPr>
          <w:p w14:paraId="01B0847A"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SR</w:t>
            </w:r>
          </w:p>
        </w:tc>
        <w:tc>
          <w:tcPr>
            <w:tcW w:w="3544" w:type="dxa"/>
            <w:tcBorders>
              <w:top w:val="single" w:sz="12" w:space="0" w:color="auto"/>
              <w:left w:val="nil"/>
              <w:right w:val="nil"/>
            </w:tcBorders>
            <w:tcMar>
              <w:top w:w="28" w:type="dxa"/>
              <w:bottom w:w="28" w:type="dxa"/>
            </w:tcMar>
            <w:vAlign w:val="center"/>
          </w:tcPr>
          <w:p w14:paraId="6BD6F676"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Adults with osteoporosis/osteopenia </w:t>
            </w:r>
            <w:r w:rsidRPr="0064137F">
              <w:rPr>
                <w:rFonts w:ascii="Times New Roman" w:hAnsi="Times New Roman" w:cs="Times New Roman"/>
                <w:bCs/>
                <w:sz w:val="16"/>
                <w:szCs w:val="16"/>
              </w:rPr>
              <w:t>± a fracture</w:t>
            </w:r>
          </w:p>
          <w:p w14:paraId="30BA0B46"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9 trials (N=974) </w:t>
            </w:r>
          </w:p>
        </w:tc>
        <w:tc>
          <w:tcPr>
            <w:tcW w:w="3260" w:type="dxa"/>
            <w:tcBorders>
              <w:top w:val="single" w:sz="12" w:space="0" w:color="auto"/>
              <w:left w:val="nil"/>
              <w:right w:val="nil"/>
            </w:tcBorders>
            <w:tcMar>
              <w:top w:w="28" w:type="dxa"/>
              <w:bottom w:w="28" w:type="dxa"/>
            </w:tcMar>
            <w:vAlign w:val="center"/>
          </w:tcPr>
          <w:p w14:paraId="6C4F5751"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Exercise compared with inactive control group or sham intervention</w:t>
            </w:r>
          </w:p>
        </w:tc>
        <w:tc>
          <w:tcPr>
            <w:tcW w:w="4489" w:type="dxa"/>
            <w:tcBorders>
              <w:top w:val="single" w:sz="12" w:space="0" w:color="auto"/>
              <w:left w:val="nil"/>
              <w:right w:val="nil"/>
            </w:tcBorders>
            <w:tcMar>
              <w:top w:w="28" w:type="dxa"/>
              <w:bottom w:w="28" w:type="dxa"/>
            </w:tcMar>
            <w:vAlign w:val="center"/>
          </w:tcPr>
          <w:p w14:paraId="3AD5A4EE"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Exercising &lt; 1 year had no effect on BMD (3/4 studies)</w:t>
            </w:r>
          </w:p>
          <w:p w14:paraId="31250485"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Exercising ≥ 1 year had positive effect on BMD/BMC (studies) </w:t>
            </w:r>
          </w:p>
        </w:tc>
        <w:tc>
          <w:tcPr>
            <w:tcW w:w="567" w:type="dxa"/>
            <w:tcBorders>
              <w:top w:val="single" w:sz="12" w:space="0" w:color="auto"/>
              <w:left w:val="nil"/>
              <w:right w:val="nil"/>
            </w:tcBorders>
            <w:tcMar>
              <w:top w:w="28" w:type="dxa"/>
              <w:bottom w:w="28" w:type="dxa"/>
            </w:tcMar>
            <w:vAlign w:val="center"/>
          </w:tcPr>
          <w:p w14:paraId="742B35C9" w14:textId="77777777" w:rsidR="00201E8F" w:rsidRPr="0064137F" w:rsidRDefault="00201E8F" w:rsidP="005F417A">
            <w:pPr>
              <w:jc w:val="center"/>
              <w:rPr>
                <w:rFonts w:ascii="Times New Roman" w:eastAsia="Calibri" w:hAnsi="Times New Roman" w:cs="Times New Roman"/>
                <w:sz w:val="16"/>
                <w:szCs w:val="16"/>
              </w:rPr>
            </w:pPr>
            <w:r w:rsidRPr="0064137F">
              <w:rPr>
                <w:rFonts w:ascii="Times New Roman" w:eastAsia="Calibri" w:hAnsi="Times New Roman" w:cs="Times New Roman"/>
                <w:sz w:val="16"/>
                <w:szCs w:val="16"/>
              </w:rPr>
              <w:t>2</w:t>
            </w:r>
          </w:p>
        </w:tc>
      </w:tr>
      <w:tr w:rsidR="00201E8F" w:rsidRPr="0064137F" w14:paraId="185D9CDF" w14:textId="77777777" w:rsidTr="008E3C5F">
        <w:trPr>
          <w:trHeight w:val="194"/>
        </w:trPr>
        <w:tc>
          <w:tcPr>
            <w:tcW w:w="2122" w:type="dxa"/>
            <w:tcBorders>
              <w:left w:val="nil"/>
              <w:right w:val="nil"/>
            </w:tcBorders>
            <w:tcMar>
              <w:top w:w="28" w:type="dxa"/>
              <w:bottom w:w="28" w:type="dxa"/>
            </w:tcMar>
            <w:vAlign w:val="center"/>
          </w:tcPr>
          <w:p w14:paraId="03A727A7" w14:textId="77777777" w:rsidR="00201E8F" w:rsidRPr="0064137F" w:rsidRDefault="00201E8F" w:rsidP="005F417A">
            <w:pPr>
              <w:rPr>
                <w:rFonts w:ascii="Times New Roman" w:eastAsia="Calibri" w:hAnsi="Times New Roman" w:cs="Times New Roman"/>
                <w:sz w:val="16"/>
                <w:szCs w:val="16"/>
              </w:rPr>
            </w:pPr>
            <w:r w:rsidRPr="0064137F">
              <w:rPr>
                <w:rFonts w:ascii="Times New Roman" w:hAnsi="Times New Roman" w:cs="Times New Roman"/>
                <w:sz w:val="16"/>
                <w:szCs w:val="16"/>
              </w:rPr>
              <w:t xml:space="preserve">Luo </w:t>
            </w:r>
            <w:proofErr w:type="gramStart"/>
            <w:r w:rsidRPr="0064137F">
              <w:rPr>
                <w:rFonts w:ascii="Times New Roman" w:hAnsi="Times New Roman" w:cs="Times New Roman"/>
                <w:sz w:val="16"/>
                <w:szCs w:val="16"/>
              </w:rPr>
              <w:t>et al.</w:t>
            </w:r>
            <w:r w:rsidR="004169A5">
              <w:rPr>
                <w:rFonts w:ascii="Times New Roman" w:hAnsi="Times New Roman" w:cs="Times New Roman"/>
                <w:sz w:val="16"/>
                <w:szCs w:val="16"/>
              </w:rPr>
              <w:t>[</w:t>
            </w:r>
            <w:proofErr w:type="gramEnd"/>
            <w:r w:rsidR="004169A5">
              <w:rPr>
                <w:rFonts w:ascii="Times New Roman" w:hAnsi="Times New Roman" w:cs="Times New Roman"/>
                <w:sz w:val="16"/>
                <w:szCs w:val="16"/>
              </w:rPr>
              <w:t>51]</w:t>
            </w:r>
          </w:p>
        </w:tc>
        <w:tc>
          <w:tcPr>
            <w:tcW w:w="708" w:type="dxa"/>
            <w:tcBorders>
              <w:left w:val="nil"/>
              <w:right w:val="nil"/>
            </w:tcBorders>
            <w:tcMar>
              <w:top w:w="28" w:type="dxa"/>
              <w:bottom w:w="28" w:type="dxa"/>
            </w:tcMar>
            <w:vAlign w:val="center"/>
          </w:tcPr>
          <w:p w14:paraId="3EA8E704"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MA</w:t>
            </w:r>
          </w:p>
        </w:tc>
        <w:tc>
          <w:tcPr>
            <w:tcW w:w="3544" w:type="dxa"/>
            <w:tcBorders>
              <w:left w:val="nil"/>
              <w:right w:val="nil"/>
            </w:tcBorders>
            <w:tcMar>
              <w:top w:w="28" w:type="dxa"/>
              <w:bottom w:w="28" w:type="dxa"/>
            </w:tcMar>
            <w:vAlign w:val="center"/>
          </w:tcPr>
          <w:p w14:paraId="70B36AE1"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Post-menopausal women with osteoporosis</w:t>
            </w:r>
          </w:p>
          <w:p w14:paraId="2E181F31"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7 trials (N=287)</w:t>
            </w:r>
          </w:p>
        </w:tc>
        <w:tc>
          <w:tcPr>
            <w:tcW w:w="3260" w:type="dxa"/>
            <w:tcBorders>
              <w:left w:val="nil"/>
              <w:right w:val="nil"/>
            </w:tcBorders>
            <w:tcMar>
              <w:top w:w="28" w:type="dxa"/>
              <w:bottom w:w="28" w:type="dxa"/>
            </w:tcMar>
            <w:vAlign w:val="center"/>
          </w:tcPr>
          <w:p w14:paraId="6E71728A"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Whole body vibration therapy compared with usual care</w:t>
            </w:r>
          </w:p>
        </w:tc>
        <w:tc>
          <w:tcPr>
            <w:tcW w:w="4489" w:type="dxa"/>
            <w:tcBorders>
              <w:left w:val="nil"/>
              <w:right w:val="nil"/>
            </w:tcBorders>
            <w:tcMar>
              <w:top w:w="28" w:type="dxa"/>
              <w:bottom w:w="28" w:type="dxa"/>
            </w:tcMar>
            <w:vAlign w:val="center"/>
          </w:tcPr>
          <w:p w14:paraId="11440CE0" w14:textId="77777777" w:rsidR="00201E8F" w:rsidRPr="0064137F" w:rsidRDefault="00201E8F" w:rsidP="005F417A">
            <w:pPr>
              <w:rPr>
                <w:rFonts w:ascii="Times New Roman" w:eastAsia="Calibri" w:hAnsi="Times New Roman" w:cs="Times New Roman"/>
                <w:sz w:val="16"/>
                <w:szCs w:val="16"/>
              </w:rPr>
            </w:pPr>
            <w:r w:rsidRPr="0064137F">
              <w:rPr>
                <w:rFonts w:ascii="Times New Roman" w:hAnsi="Times New Roman" w:cs="Times New Roman"/>
                <w:sz w:val="16"/>
                <w:szCs w:val="16"/>
              </w:rPr>
              <w:t>No significant difference between groups in change in BMD (SMD=-0.06, 95%CI -0.22-0.11; p=0.05)</w:t>
            </w:r>
          </w:p>
        </w:tc>
        <w:tc>
          <w:tcPr>
            <w:tcW w:w="567" w:type="dxa"/>
            <w:tcBorders>
              <w:left w:val="nil"/>
              <w:right w:val="nil"/>
            </w:tcBorders>
            <w:tcMar>
              <w:top w:w="28" w:type="dxa"/>
              <w:bottom w:w="28" w:type="dxa"/>
            </w:tcMar>
            <w:vAlign w:val="center"/>
          </w:tcPr>
          <w:p w14:paraId="7AAEA0D9" w14:textId="77777777" w:rsidR="00201E8F" w:rsidRPr="0064137F" w:rsidRDefault="00201E8F" w:rsidP="005F417A">
            <w:pPr>
              <w:jc w:val="center"/>
              <w:rPr>
                <w:rFonts w:ascii="Times New Roman" w:eastAsia="Calibri" w:hAnsi="Times New Roman" w:cs="Times New Roman"/>
                <w:sz w:val="16"/>
                <w:szCs w:val="16"/>
              </w:rPr>
            </w:pPr>
            <w:r w:rsidRPr="0064137F">
              <w:rPr>
                <w:rFonts w:ascii="Times New Roman" w:eastAsia="Calibri" w:hAnsi="Times New Roman" w:cs="Times New Roman"/>
                <w:sz w:val="16"/>
                <w:szCs w:val="16"/>
              </w:rPr>
              <w:t>1</w:t>
            </w:r>
          </w:p>
        </w:tc>
      </w:tr>
      <w:tr w:rsidR="00201E8F" w:rsidRPr="0064137F" w14:paraId="78828055" w14:textId="77777777" w:rsidTr="008E3C5F">
        <w:trPr>
          <w:trHeight w:val="170"/>
        </w:trPr>
        <w:tc>
          <w:tcPr>
            <w:tcW w:w="2122" w:type="dxa"/>
            <w:tcBorders>
              <w:left w:val="nil"/>
              <w:right w:val="nil"/>
            </w:tcBorders>
            <w:tcMar>
              <w:top w:w="28" w:type="dxa"/>
              <w:bottom w:w="28" w:type="dxa"/>
            </w:tcMar>
            <w:vAlign w:val="center"/>
          </w:tcPr>
          <w:p w14:paraId="5A57CA30" w14:textId="77777777" w:rsidR="00201E8F" w:rsidRPr="0064137F" w:rsidRDefault="00201E8F" w:rsidP="005F417A">
            <w:pPr>
              <w:rPr>
                <w:rFonts w:ascii="Times New Roman" w:eastAsia="Calibri" w:hAnsi="Times New Roman" w:cs="Times New Roman"/>
                <w:sz w:val="16"/>
                <w:szCs w:val="16"/>
              </w:rPr>
            </w:pPr>
            <w:r w:rsidRPr="0064137F">
              <w:rPr>
                <w:rFonts w:ascii="Times New Roman" w:hAnsi="Times New Roman" w:cs="Times New Roman"/>
                <w:sz w:val="16"/>
                <w:szCs w:val="16"/>
              </w:rPr>
              <w:t xml:space="preserve">Wei </w:t>
            </w:r>
            <w:proofErr w:type="gramStart"/>
            <w:r w:rsidRPr="0064137F">
              <w:rPr>
                <w:rFonts w:ascii="Times New Roman" w:hAnsi="Times New Roman" w:cs="Times New Roman"/>
                <w:sz w:val="16"/>
                <w:szCs w:val="16"/>
              </w:rPr>
              <w:t>et al.</w:t>
            </w:r>
            <w:r w:rsidR="004169A5">
              <w:rPr>
                <w:rFonts w:ascii="Times New Roman" w:hAnsi="Times New Roman" w:cs="Times New Roman"/>
                <w:sz w:val="16"/>
                <w:szCs w:val="16"/>
              </w:rPr>
              <w:t>[</w:t>
            </w:r>
            <w:proofErr w:type="gramEnd"/>
            <w:r w:rsidR="004169A5">
              <w:rPr>
                <w:rFonts w:ascii="Times New Roman" w:hAnsi="Times New Roman" w:cs="Times New Roman"/>
                <w:sz w:val="16"/>
                <w:szCs w:val="16"/>
              </w:rPr>
              <w:t>24]</w:t>
            </w:r>
          </w:p>
        </w:tc>
        <w:tc>
          <w:tcPr>
            <w:tcW w:w="708" w:type="dxa"/>
            <w:tcBorders>
              <w:left w:val="nil"/>
              <w:right w:val="nil"/>
            </w:tcBorders>
            <w:tcMar>
              <w:top w:w="28" w:type="dxa"/>
              <w:bottom w:w="28" w:type="dxa"/>
            </w:tcMar>
            <w:vAlign w:val="center"/>
          </w:tcPr>
          <w:p w14:paraId="74F46F99"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MA</w:t>
            </w:r>
          </w:p>
        </w:tc>
        <w:tc>
          <w:tcPr>
            <w:tcW w:w="3544" w:type="dxa"/>
            <w:tcBorders>
              <w:left w:val="nil"/>
              <w:right w:val="nil"/>
            </w:tcBorders>
            <w:tcMar>
              <w:top w:w="28" w:type="dxa"/>
              <w:bottom w:w="28" w:type="dxa"/>
            </w:tcMar>
            <w:vAlign w:val="center"/>
          </w:tcPr>
          <w:p w14:paraId="606A2A74"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Post-menopausal women with osteoporosis </w:t>
            </w:r>
          </w:p>
          <w:p w14:paraId="63EB974E"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2 trials (N=116)</w:t>
            </w:r>
          </w:p>
        </w:tc>
        <w:tc>
          <w:tcPr>
            <w:tcW w:w="3260" w:type="dxa"/>
            <w:tcBorders>
              <w:left w:val="nil"/>
              <w:right w:val="nil"/>
            </w:tcBorders>
            <w:tcMar>
              <w:top w:w="28" w:type="dxa"/>
              <w:bottom w:w="28" w:type="dxa"/>
            </w:tcMar>
            <w:vAlign w:val="center"/>
          </w:tcPr>
          <w:p w14:paraId="60186C24" w14:textId="77777777" w:rsidR="00201E8F" w:rsidRPr="0064137F" w:rsidRDefault="00201E8F" w:rsidP="005F417A">
            <w:pPr>
              <w:rPr>
                <w:rFonts w:ascii="Times New Roman" w:eastAsia="Calibri" w:hAnsi="Times New Roman" w:cs="Times New Roman"/>
                <w:sz w:val="16"/>
                <w:szCs w:val="16"/>
              </w:rPr>
            </w:pPr>
            <w:proofErr w:type="spellStart"/>
            <w:r w:rsidRPr="0064137F">
              <w:rPr>
                <w:rFonts w:ascii="Times New Roman" w:eastAsia="Calibri" w:hAnsi="Times New Roman" w:cs="Times New Roman"/>
                <w:sz w:val="16"/>
                <w:szCs w:val="16"/>
              </w:rPr>
              <w:t>Wuqinxi</w:t>
            </w:r>
            <w:proofErr w:type="spellEnd"/>
            <w:r w:rsidRPr="0064137F">
              <w:rPr>
                <w:rFonts w:ascii="Times New Roman" w:eastAsia="Calibri" w:hAnsi="Times New Roman" w:cs="Times New Roman"/>
                <w:sz w:val="16"/>
                <w:szCs w:val="16"/>
              </w:rPr>
              <w:t xml:space="preserve"> exercise (mind/body </w:t>
            </w:r>
            <w:proofErr w:type="gramStart"/>
            <w:r w:rsidRPr="0064137F">
              <w:rPr>
                <w:rFonts w:ascii="Times New Roman" w:eastAsia="Calibri" w:hAnsi="Times New Roman" w:cs="Times New Roman"/>
                <w:sz w:val="16"/>
                <w:szCs w:val="16"/>
              </w:rPr>
              <w:t>conditioning)  compared</w:t>
            </w:r>
            <w:proofErr w:type="gramEnd"/>
            <w:r w:rsidRPr="0064137F">
              <w:rPr>
                <w:rFonts w:ascii="Times New Roman" w:eastAsia="Calibri" w:hAnsi="Times New Roman" w:cs="Times New Roman"/>
                <w:sz w:val="16"/>
                <w:szCs w:val="16"/>
              </w:rPr>
              <w:t xml:space="preserve"> with usual care</w:t>
            </w:r>
          </w:p>
        </w:tc>
        <w:tc>
          <w:tcPr>
            <w:tcW w:w="4489" w:type="dxa"/>
            <w:tcBorders>
              <w:left w:val="nil"/>
              <w:right w:val="nil"/>
            </w:tcBorders>
            <w:tcMar>
              <w:top w:w="28" w:type="dxa"/>
              <w:bottom w:w="28" w:type="dxa"/>
            </w:tcMar>
            <w:vAlign w:val="center"/>
          </w:tcPr>
          <w:p w14:paraId="23F994FF"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No significant difference in lumbar spine BMD at 6 </w:t>
            </w:r>
            <w:proofErr w:type="spellStart"/>
            <w:r w:rsidRPr="0064137F">
              <w:rPr>
                <w:rFonts w:ascii="Times New Roman" w:eastAsia="Calibri" w:hAnsi="Times New Roman" w:cs="Times New Roman"/>
                <w:sz w:val="16"/>
                <w:szCs w:val="16"/>
              </w:rPr>
              <w:t>mo</w:t>
            </w:r>
            <w:proofErr w:type="spellEnd"/>
            <w:r w:rsidRPr="0064137F">
              <w:rPr>
                <w:rFonts w:ascii="Times New Roman" w:eastAsia="Calibri" w:hAnsi="Times New Roman" w:cs="Times New Roman"/>
                <w:sz w:val="16"/>
                <w:szCs w:val="16"/>
              </w:rPr>
              <w:t xml:space="preserve"> between IG and CG (</w:t>
            </w:r>
            <w:r w:rsidRPr="0064137F">
              <w:rPr>
                <w:rFonts w:ascii="Times New Roman" w:hAnsi="Times New Roman" w:cs="Times New Roman"/>
                <w:sz w:val="16"/>
                <w:szCs w:val="16"/>
              </w:rPr>
              <w:t>SMD 0.81, 95%CI -0.58 to 2.20, p=0.25)</w:t>
            </w:r>
            <w:r w:rsidRPr="0064137F">
              <w:rPr>
                <w:rFonts w:ascii="Times New Roman" w:eastAsia="Calibri" w:hAnsi="Times New Roman" w:cs="Times New Roman"/>
                <w:sz w:val="16"/>
                <w:szCs w:val="16"/>
              </w:rPr>
              <w:t xml:space="preserve"> </w:t>
            </w:r>
          </w:p>
        </w:tc>
        <w:tc>
          <w:tcPr>
            <w:tcW w:w="567" w:type="dxa"/>
            <w:tcBorders>
              <w:left w:val="nil"/>
              <w:right w:val="nil"/>
            </w:tcBorders>
            <w:tcMar>
              <w:top w:w="28" w:type="dxa"/>
              <w:bottom w:w="28" w:type="dxa"/>
            </w:tcMar>
            <w:vAlign w:val="center"/>
          </w:tcPr>
          <w:p w14:paraId="38D5AE0A" w14:textId="77777777" w:rsidR="00201E8F" w:rsidRPr="0064137F" w:rsidRDefault="00201E8F" w:rsidP="005F417A">
            <w:pPr>
              <w:jc w:val="center"/>
              <w:rPr>
                <w:rFonts w:ascii="Times New Roman" w:eastAsia="Calibri" w:hAnsi="Times New Roman" w:cs="Times New Roman"/>
                <w:sz w:val="16"/>
                <w:szCs w:val="16"/>
              </w:rPr>
            </w:pPr>
            <w:r w:rsidRPr="0064137F">
              <w:rPr>
                <w:rFonts w:ascii="Times New Roman" w:eastAsia="Calibri" w:hAnsi="Times New Roman" w:cs="Times New Roman"/>
                <w:sz w:val="16"/>
                <w:szCs w:val="16"/>
              </w:rPr>
              <w:t>2</w:t>
            </w:r>
          </w:p>
        </w:tc>
      </w:tr>
      <w:tr w:rsidR="00201E8F" w:rsidRPr="0064137F" w14:paraId="6E6F8088" w14:textId="77777777" w:rsidTr="008E3C5F">
        <w:trPr>
          <w:trHeight w:val="363"/>
        </w:trPr>
        <w:tc>
          <w:tcPr>
            <w:tcW w:w="2122" w:type="dxa"/>
            <w:tcBorders>
              <w:left w:val="nil"/>
              <w:right w:val="nil"/>
            </w:tcBorders>
            <w:tcMar>
              <w:top w:w="28" w:type="dxa"/>
              <w:bottom w:w="28" w:type="dxa"/>
            </w:tcMar>
            <w:vAlign w:val="center"/>
          </w:tcPr>
          <w:p w14:paraId="418240C1" w14:textId="77777777" w:rsidR="00201E8F" w:rsidRPr="008E3C5F" w:rsidRDefault="00201E8F" w:rsidP="005F417A">
            <w:pPr>
              <w:rPr>
                <w:rFonts w:ascii="Times New Roman" w:hAnsi="Times New Roman" w:cs="Times New Roman"/>
                <w:sz w:val="16"/>
                <w:szCs w:val="16"/>
              </w:rPr>
            </w:pPr>
            <w:proofErr w:type="spellStart"/>
            <w:r w:rsidRPr="0064137F">
              <w:rPr>
                <w:rFonts w:ascii="Times New Roman" w:hAnsi="Times New Roman" w:cs="Times New Roman"/>
                <w:sz w:val="16"/>
                <w:szCs w:val="16"/>
              </w:rPr>
              <w:t>Varahra</w:t>
            </w:r>
            <w:proofErr w:type="spellEnd"/>
            <w:r w:rsidRPr="0064137F">
              <w:rPr>
                <w:rFonts w:ascii="Times New Roman" w:hAnsi="Times New Roman" w:cs="Times New Roman"/>
                <w:sz w:val="16"/>
                <w:szCs w:val="16"/>
              </w:rPr>
              <w:t xml:space="preserve"> </w:t>
            </w:r>
            <w:proofErr w:type="gramStart"/>
            <w:r w:rsidRPr="0064137F">
              <w:rPr>
                <w:rFonts w:ascii="Times New Roman" w:hAnsi="Times New Roman" w:cs="Times New Roman"/>
                <w:sz w:val="16"/>
                <w:szCs w:val="16"/>
              </w:rPr>
              <w:t>et al.</w:t>
            </w:r>
            <w:r w:rsidR="004169A5">
              <w:rPr>
                <w:rFonts w:ascii="Times New Roman" w:hAnsi="Times New Roman" w:cs="Times New Roman"/>
                <w:sz w:val="16"/>
                <w:szCs w:val="16"/>
              </w:rPr>
              <w:t>[</w:t>
            </w:r>
            <w:proofErr w:type="gramEnd"/>
            <w:r w:rsidR="004169A5">
              <w:rPr>
                <w:rFonts w:ascii="Times New Roman" w:hAnsi="Times New Roman" w:cs="Times New Roman"/>
                <w:sz w:val="16"/>
                <w:szCs w:val="16"/>
              </w:rPr>
              <w:t>52]</w:t>
            </w:r>
          </w:p>
        </w:tc>
        <w:tc>
          <w:tcPr>
            <w:tcW w:w="708" w:type="dxa"/>
            <w:tcBorders>
              <w:left w:val="nil"/>
              <w:right w:val="nil"/>
            </w:tcBorders>
            <w:tcMar>
              <w:top w:w="28" w:type="dxa"/>
              <w:bottom w:w="28" w:type="dxa"/>
            </w:tcMar>
            <w:vAlign w:val="center"/>
          </w:tcPr>
          <w:p w14:paraId="3CFAF9F7"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MA</w:t>
            </w:r>
          </w:p>
        </w:tc>
        <w:tc>
          <w:tcPr>
            <w:tcW w:w="3544" w:type="dxa"/>
            <w:tcBorders>
              <w:left w:val="nil"/>
              <w:right w:val="nil"/>
            </w:tcBorders>
            <w:tcMar>
              <w:top w:w="28" w:type="dxa"/>
              <w:bottom w:w="28" w:type="dxa"/>
            </w:tcMar>
            <w:vAlign w:val="center"/>
          </w:tcPr>
          <w:p w14:paraId="03544802"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Adults with osteoporosis/osteopenia </w:t>
            </w:r>
            <w:r w:rsidRPr="0064137F">
              <w:rPr>
                <w:rFonts w:ascii="Times New Roman" w:hAnsi="Times New Roman" w:cs="Times New Roman"/>
                <w:bCs/>
                <w:sz w:val="16"/>
                <w:szCs w:val="16"/>
              </w:rPr>
              <w:t>± a fracture</w:t>
            </w:r>
          </w:p>
          <w:p w14:paraId="535B2EF2"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7 trials (N=614); 5 trials (N=406)</w:t>
            </w:r>
          </w:p>
        </w:tc>
        <w:tc>
          <w:tcPr>
            <w:tcW w:w="3260" w:type="dxa"/>
            <w:tcBorders>
              <w:left w:val="nil"/>
              <w:right w:val="nil"/>
            </w:tcBorders>
            <w:tcMar>
              <w:top w:w="28" w:type="dxa"/>
              <w:bottom w:w="28" w:type="dxa"/>
            </w:tcMar>
            <w:vAlign w:val="center"/>
          </w:tcPr>
          <w:p w14:paraId="6C24D8EC"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Multicomponent exercise compared to non-exercise, usual physical activity &amp; education</w:t>
            </w:r>
          </w:p>
        </w:tc>
        <w:tc>
          <w:tcPr>
            <w:tcW w:w="4489" w:type="dxa"/>
            <w:tcBorders>
              <w:left w:val="nil"/>
              <w:right w:val="nil"/>
            </w:tcBorders>
            <w:tcMar>
              <w:top w:w="28" w:type="dxa"/>
              <w:bottom w:w="28" w:type="dxa"/>
            </w:tcMar>
            <w:vAlign w:val="center"/>
          </w:tcPr>
          <w:p w14:paraId="5CA2D2DD" w14:textId="77777777" w:rsidR="00201E8F" w:rsidRPr="0064137F" w:rsidRDefault="00201E8F" w:rsidP="005F417A">
            <w:pPr>
              <w:rPr>
                <w:rFonts w:ascii="Times New Roman" w:eastAsia="Calibri" w:hAnsi="Times New Roman" w:cs="Times New Roman"/>
                <w:sz w:val="16"/>
                <w:szCs w:val="16"/>
              </w:rPr>
            </w:pPr>
            <w:r w:rsidRPr="0064137F">
              <w:rPr>
                <w:rFonts w:ascii="Times New Roman" w:hAnsi="Times New Roman" w:cs="Times New Roman"/>
                <w:bCs/>
                <w:sz w:val="16"/>
                <w:szCs w:val="16"/>
              </w:rPr>
              <w:t xml:space="preserve">SMD favoured IG for mobility (-0.56, 95%CI -0.81, -0.32) &amp; balance (0.5, 95%CI 0.27, 0.74) </w:t>
            </w:r>
          </w:p>
        </w:tc>
        <w:tc>
          <w:tcPr>
            <w:tcW w:w="567" w:type="dxa"/>
            <w:tcBorders>
              <w:left w:val="nil"/>
              <w:right w:val="nil"/>
            </w:tcBorders>
            <w:tcMar>
              <w:top w:w="28" w:type="dxa"/>
              <w:bottom w:w="28" w:type="dxa"/>
            </w:tcMar>
            <w:vAlign w:val="center"/>
          </w:tcPr>
          <w:p w14:paraId="6D804F4F" w14:textId="77777777" w:rsidR="00201E8F" w:rsidRPr="0064137F" w:rsidRDefault="00201E8F" w:rsidP="005F417A">
            <w:pPr>
              <w:jc w:val="center"/>
              <w:rPr>
                <w:rFonts w:ascii="Times New Roman" w:eastAsia="Calibri" w:hAnsi="Times New Roman" w:cs="Times New Roman"/>
                <w:sz w:val="16"/>
                <w:szCs w:val="16"/>
              </w:rPr>
            </w:pPr>
            <w:r w:rsidRPr="0064137F">
              <w:rPr>
                <w:rFonts w:ascii="Times New Roman" w:eastAsia="Calibri" w:hAnsi="Times New Roman" w:cs="Times New Roman"/>
                <w:sz w:val="16"/>
                <w:szCs w:val="16"/>
              </w:rPr>
              <w:t>1</w:t>
            </w:r>
          </w:p>
        </w:tc>
      </w:tr>
      <w:tr w:rsidR="00201E8F" w:rsidRPr="0064137F" w14:paraId="27E5F960" w14:textId="77777777" w:rsidTr="008E3C5F">
        <w:trPr>
          <w:trHeight w:val="170"/>
        </w:trPr>
        <w:tc>
          <w:tcPr>
            <w:tcW w:w="2122" w:type="dxa"/>
            <w:tcBorders>
              <w:left w:val="nil"/>
              <w:right w:val="nil"/>
            </w:tcBorders>
            <w:tcMar>
              <w:top w:w="28" w:type="dxa"/>
              <w:bottom w:w="28" w:type="dxa"/>
            </w:tcMar>
            <w:vAlign w:val="center"/>
          </w:tcPr>
          <w:p w14:paraId="46A2E4E8" w14:textId="77777777" w:rsidR="00201E8F" w:rsidRPr="0064137F" w:rsidRDefault="00201E8F" w:rsidP="005F417A">
            <w:pPr>
              <w:rPr>
                <w:rFonts w:ascii="Times New Roman" w:hAnsi="Times New Roman" w:cs="Times New Roman"/>
                <w:sz w:val="16"/>
                <w:szCs w:val="16"/>
              </w:rPr>
            </w:pPr>
            <w:proofErr w:type="spellStart"/>
            <w:r w:rsidRPr="0064137F">
              <w:rPr>
                <w:rFonts w:ascii="Times New Roman" w:hAnsi="Times New Roman" w:cs="Times New Roman"/>
                <w:sz w:val="16"/>
                <w:szCs w:val="16"/>
              </w:rPr>
              <w:t>Korpelainen</w:t>
            </w:r>
            <w:proofErr w:type="spellEnd"/>
            <w:r w:rsidRPr="0064137F">
              <w:rPr>
                <w:rFonts w:ascii="Times New Roman" w:hAnsi="Times New Roman" w:cs="Times New Roman"/>
                <w:sz w:val="16"/>
                <w:szCs w:val="16"/>
              </w:rPr>
              <w:t xml:space="preserve"> </w:t>
            </w:r>
            <w:proofErr w:type="gramStart"/>
            <w:r w:rsidRPr="0064137F">
              <w:rPr>
                <w:rFonts w:ascii="Times New Roman" w:hAnsi="Times New Roman" w:cs="Times New Roman"/>
                <w:sz w:val="16"/>
                <w:szCs w:val="16"/>
              </w:rPr>
              <w:t>et al.</w:t>
            </w:r>
            <w:r w:rsidR="004169A5">
              <w:rPr>
                <w:rFonts w:ascii="Times New Roman" w:hAnsi="Times New Roman" w:cs="Times New Roman"/>
                <w:sz w:val="16"/>
                <w:szCs w:val="16"/>
              </w:rPr>
              <w:t>[</w:t>
            </w:r>
            <w:proofErr w:type="gramEnd"/>
            <w:r w:rsidR="004169A5">
              <w:rPr>
                <w:rFonts w:ascii="Times New Roman" w:hAnsi="Times New Roman" w:cs="Times New Roman"/>
                <w:sz w:val="16"/>
                <w:szCs w:val="16"/>
              </w:rPr>
              <w:t>53]</w:t>
            </w:r>
            <w:r w:rsidRPr="0064137F">
              <w:rPr>
                <w:rFonts w:ascii="Times New Roman" w:hAnsi="Times New Roman" w:cs="Times New Roman"/>
                <w:sz w:val="16"/>
                <w:szCs w:val="16"/>
              </w:rPr>
              <w:t>, Finland, community</w:t>
            </w:r>
          </w:p>
        </w:tc>
        <w:tc>
          <w:tcPr>
            <w:tcW w:w="708" w:type="dxa"/>
            <w:tcBorders>
              <w:left w:val="nil"/>
              <w:right w:val="nil"/>
            </w:tcBorders>
            <w:tcMar>
              <w:top w:w="28" w:type="dxa"/>
              <w:bottom w:w="28" w:type="dxa"/>
            </w:tcMar>
            <w:vAlign w:val="center"/>
          </w:tcPr>
          <w:p w14:paraId="723469BA"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RCT</w:t>
            </w:r>
          </w:p>
        </w:tc>
        <w:tc>
          <w:tcPr>
            <w:tcW w:w="3544" w:type="dxa"/>
            <w:tcBorders>
              <w:left w:val="nil"/>
              <w:right w:val="nil"/>
            </w:tcBorders>
            <w:tcMar>
              <w:top w:w="28" w:type="dxa"/>
              <w:bottom w:w="28" w:type="dxa"/>
            </w:tcMar>
            <w:vAlign w:val="center"/>
          </w:tcPr>
          <w:p w14:paraId="5FC8EF6B"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Women with osteopenia</w:t>
            </w:r>
          </w:p>
          <w:p w14:paraId="3A95B69C"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1.Group 1 (N=84); </w:t>
            </w:r>
            <w:proofErr w:type="gramStart"/>
            <w:r w:rsidRPr="0064137F">
              <w:rPr>
                <w:rFonts w:ascii="Times New Roman" w:eastAsia="Calibri" w:hAnsi="Times New Roman" w:cs="Times New Roman"/>
                <w:sz w:val="16"/>
                <w:szCs w:val="16"/>
              </w:rPr>
              <w:t>2.Group</w:t>
            </w:r>
            <w:proofErr w:type="gramEnd"/>
            <w:r w:rsidRPr="0064137F">
              <w:rPr>
                <w:rFonts w:ascii="Times New Roman" w:eastAsia="Calibri" w:hAnsi="Times New Roman" w:cs="Times New Roman"/>
                <w:sz w:val="16"/>
                <w:szCs w:val="16"/>
              </w:rPr>
              <w:t xml:space="preserve"> 2 (N=76)</w:t>
            </w:r>
          </w:p>
        </w:tc>
        <w:tc>
          <w:tcPr>
            <w:tcW w:w="3260" w:type="dxa"/>
            <w:tcBorders>
              <w:left w:val="nil"/>
              <w:right w:val="nil"/>
            </w:tcBorders>
            <w:tcMar>
              <w:top w:w="28" w:type="dxa"/>
              <w:bottom w:w="28" w:type="dxa"/>
            </w:tcMar>
            <w:vAlign w:val="center"/>
          </w:tcPr>
          <w:p w14:paraId="1C8B573D"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1. Multimodal exercise for 12mo</w:t>
            </w:r>
          </w:p>
          <w:p w14:paraId="289E8D76"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2. General health information &amp; Usual care</w:t>
            </w:r>
          </w:p>
        </w:tc>
        <w:tc>
          <w:tcPr>
            <w:tcW w:w="4489" w:type="dxa"/>
            <w:tcBorders>
              <w:left w:val="nil"/>
              <w:right w:val="nil"/>
            </w:tcBorders>
            <w:tcMar>
              <w:top w:w="28" w:type="dxa"/>
              <w:bottom w:w="28" w:type="dxa"/>
            </w:tcMar>
            <w:vAlign w:val="center"/>
          </w:tcPr>
          <w:p w14:paraId="65A5BA96"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17 fractures in the IG vs 23 fractures in CG at 7 year follow up (IRR=0.68, 95%CI 0.34-1.32). Similar decrease in BMD in IG &amp; CG</w:t>
            </w:r>
          </w:p>
        </w:tc>
        <w:tc>
          <w:tcPr>
            <w:tcW w:w="567" w:type="dxa"/>
            <w:tcBorders>
              <w:left w:val="nil"/>
              <w:right w:val="nil"/>
            </w:tcBorders>
            <w:tcMar>
              <w:top w:w="28" w:type="dxa"/>
              <w:bottom w:w="28" w:type="dxa"/>
            </w:tcMar>
            <w:vAlign w:val="center"/>
          </w:tcPr>
          <w:p w14:paraId="21F3FAB7" w14:textId="77777777" w:rsidR="00201E8F" w:rsidRPr="0064137F" w:rsidRDefault="00201E8F" w:rsidP="005F417A">
            <w:pPr>
              <w:jc w:val="center"/>
              <w:rPr>
                <w:rFonts w:ascii="Times New Roman" w:eastAsia="Calibri" w:hAnsi="Times New Roman" w:cs="Times New Roman"/>
                <w:sz w:val="16"/>
                <w:szCs w:val="16"/>
              </w:rPr>
            </w:pPr>
            <w:r w:rsidRPr="0064137F">
              <w:rPr>
                <w:rFonts w:ascii="Times New Roman" w:eastAsia="Calibri" w:hAnsi="Times New Roman" w:cs="Times New Roman"/>
                <w:sz w:val="16"/>
                <w:szCs w:val="16"/>
              </w:rPr>
              <w:t>2</w:t>
            </w:r>
          </w:p>
        </w:tc>
      </w:tr>
      <w:tr w:rsidR="00201E8F" w:rsidRPr="0064137F" w14:paraId="67ECB3E5" w14:textId="77777777" w:rsidTr="008E3C5F">
        <w:trPr>
          <w:trHeight w:val="194"/>
        </w:trPr>
        <w:tc>
          <w:tcPr>
            <w:tcW w:w="2122" w:type="dxa"/>
            <w:tcBorders>
              <w:left w:val="nil"/>
              <w:right w:val="nil"/>
            </w:tcBorders>
            <w:tcMar>
              <w:top w:w="28" w:type="dxa"/>
              <w:bottom w:w="28" w:type="dxa"/>
            </w:tcMar>
            <w:vAlign w:val="center"/>
          </w:tcPr>
          <w:p w14:paraId="3C9CA8DF" w14:textId="77777777" w:rsidR="00201E8F" w:rsidRPr="0064137F" w:rsidRDefault="004169A5" w:rsidP="005F417A">
            <w:pPr>
              <w:rPr>
                <w:rFonts w:ascii="Times New Roman" w:hAnsi="Times New Roman" w:cs="Times New Roman"/>
                <w:sz w:val="16"/>
                <w:szCs w:val="16"/>
              </w:rPr>
            </w:pPr>
            <w:proofErr w:type="spellStart"/>
            <w:r>
              <w:rPr>
                <w:rFonts w:ascii="Times New Roman" w:hAnsi="Times New Roman" w:cs="Times New Roman"/>
                <w:sz w:val="16"/>
                <w:szCs w:val="16"/>
              </w:rPr>
              <w:t>Gianoudis</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et al.[</w:t>
            </w:r>
            <w:proofErr w:type="gramEnd"/>
            <w:r>
              <w:rPr>
                <w:rFonts w:ascii="Times New Roman" w:hAnsi="Times New Roman" w:cs="Times New Roman"/>
                <w:sz w:val="16"/>
                <w:szCs w:val="16"/>
              </w:rPr>
              <w:t>54]</w:t>
            </w:r>
            <w:r w:rsidR="00201E8F" w:rsidRPr="0064137F">
              <w:rPr>
                <w:rFonts w:ascii="Times New Roman" w:hAnsi="Times New Roman" w:cs="Times New Roman"/>
                <w:sz w:val="16"/>
                <w:szCs w:val="16"/>
              </w:rPr>
              <w:t xml:space="preserve"> Australia, community</w:t>
            </w:r>
          </w:p>
        </w:tc>
        <w:tc>
          <w:tcPr>
            <w:tcW w:w="708" w:type="dxa"/>
            <w:tcBorders>
              <w:left w:val="nil"/>
              <w:right w:val="nil"/>
            </w:tcBorders>
            <w:tcMar>
              <w:top w:w="28" w:type="dxa"/>
              <w:bottom w:w="28" w:type="dxa"/>
            </w:tcMar>
            <w:vAlign w:val="center"/>
          </w:tcPr>
          <w:p w14:paraId="61075A69"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RCT</w:t>
            </w:r>
          </w:p>
        </w:tc>
        <w:tc>
          <w:tcPr>
            <w:tcW w:w="3544" w:type="dxa"/>
            <w:tcBorders>
              <w:left w:val="nil"/>
              <w:right w:val="nil"/>
            </w:tcBorders>
            <w:tcMar>
              <w:top w:w="28" w:type="dxa"/>
              <w:bottom w:w="28" w:type="dxa"/>
            </w:tcMar>
            <w:vAlign w:val="center"/>
          </w:tcPr>
          <w:p w14:paraId="72246175"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Adults with osteopenia / risk of falls</w:t>
            </w:r>
          </w:p>
          <w:p w14:paraId="78BBB43F"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1.Group 1 (N=81); </w:t>
            </w:r>
            <w:proofErr w:type="gramStart"/>
            <w:r w:rsidRPr="0064137F">
              <w:rPr>
                <w:rFonts w:ascii="Times New Roman" w:eastAsia="Calibri" w:hAnsi="Times New Roman" w:cs="Times New Roman"/>
                <w:sz w:val="16"/>
                <w:szCs w:val="16"/>
              </w:rPr>
              <w:t>2.Group</w:t>
            </w:r>
            <w:proofErr w:type="gramEnd"/>
            <w:r w:rsidRPr="0064137F">
              <w:rPr>
                <w:rFonts w:ascii="Times New Roman" w:eastAsia="Calibri" w:hAnsi="Times New Roman" w:cs="Times New Roman"/>
                <w:sz w:val="16"/>
                <w:szCs w:val="16"/>
              </w:rPr>
              <w:t xml:space="preserve"> 2 (N=81)</w:t>
            </w:r>
          </w:p>
        </w:tc>
        <w:tc>
          <w:tcPr>
            <w:tcW w:w="3260" w:type="dxa"/>
            <w:tcBorders>
              <w:left w:val="nil"/>
              <w:right w:val="nil"/>
            </w:tcBorders>
            <w:tcMar>
              <w:top w:w="28" w:type="dxa"/>
              <w:bottom w:w="28" w:type="dxa"/>
            </w:tcMar>
            <w:vAlign w:val="center"/>
          </w:tcPr>
          <w:p w14:paraId="53FEC0B5"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1.Multi-modal exercise for 12</w:t>
            </w:r>
            <w:proofErr w:type="gramStart"/>
            <w:r w:rsidRPr="0064137F">
              <w:rPr>
                <w:rFonts w:ascii="Times New Roman" w:eastAsia="Calibri" w:hAnsi="Times New Roman" w:cs="Times New Roman"/>
                <w:sz w:val="16"/>
                <w:szCs w:val="16"/>
              </w:rPr>
              <w:t>mo  +</w:t>
            </w:r>
            <w:proofErr w:type="gramEnd"/>
            <w:r w:rsidRPr="0064137F">
              <w:rPr>
                <w:rFonts w:ascii="Times New Roman" w:eastAsia="Calibri" w:hAnsi="Times New Roman" w:cs="Times New Roman"/>
                <w:sz w:val="16"/>
                <w:szCs w:val="16"/>
              </w:rPr>
              <w:t xml:space="preserve"> Education</w:t>
            </w:r>
          </w:p>
          <w:p w14:paraId="6F33C847"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2. Usual care</w:t>
            </w:r>
          </w:p>
          <w:p w14:paraId="3097348B"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Exercise trainers</w:t>
            </w:r>
          </w:p>
        </w:tc>
        <w:tc>
          <w:tcPr>
            <w:tcW w:w="4489" w:type="dxa"/>
            <w:tcBorders>
              <w:left w:val="nil"/>
              <w:right w:val="nil"/>
            </w:tcBorders>
            <w:tcMar>
              <w:top w:w="28" w:type="dxa"/>
              <w:bottom w:w="28" w:type="dxa"/>
            </w:tcMar>
            <w:vAlign w:val="center"/>
          </w:tcPr>
          <w:p w14:paraId="33C78FF0"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No significant difference in falls incidence between IG &amp; CG at 1 year (IRR 1.22, 95%CI 0.71-2.04), p=0.46</w:t>
            </w:r>
          </w:p>
        </w:tc>
        <w:tc>
          <w:tcPr>
            <w:tcW w:w="567" w:type="dxa"/>
            <w:tcBorders>
              <w:left w:val="nil"/>
              <w:right w:val="nil"/>
            </w:tcBorders>
            <w:tcMar>
              <w:top w:w="28" w:type="dxa"/>
              <w:bottom w:w="28" w:type="dxa"/>
            </w:tcMar>
            <w:vAlign w:val="center"/>
          </w:tcPr>
          <w:p w14:paraId="09E9C30E" w14:textId="77777777" w:rsidR="00201E8F" w:rsidRPr="0064137F" w:rsidRDefault="00201E8F" w:rsidP="005F417A">
            <w:pPr>
              <w:jc w:val="center"/>
              <w:rPr>
                <w:rFonts w:ascii="Times New Roman" w:eastAsia="Calibri" w:hAnsi="Times New Roman" w:cs="Times New Roman"/>
                <w:sz w:val="16"/>
                <w:szCs w:val="16"/>
              </w:rPr>
            </w:pPr>
            <w:r w:rsidRPr="0064137F">
              <w:rPr>
                <w:rFonts w:ascii="Times New Roman" w:eastAsia="Calibri" w:hAnsi="Times New Roman" w:cs="Times New Roman"/>
                <w:sz w:val="16"/>
                <w:szCs w:val="16"/>
              </w:rPr>
              <w:t>2</w:t>
            </w:r>
          </w:p>
        </w:tc>
      </w:tr>
      <w:tr w:rsidR="00201E8F" w:rsidRPr="0064137F" w14:paraId="1F7AC67D" w14:textId="77777777" w:rsidTr="008E3C5F">
        <w:trPr>
          <w:trHeight w:val="363"/>
        </w:trPr>
        <w:tc>
          <w:tcPr>
            <w:tcW w:w="2122" w:type="dxa"/>
            <w:tcBorders>
              <w:left w:val="nil"/>
              <w:bottom w:val="single" w:sz="12" w:space="0" w:color="auto"/>
              <w:right w:val="nil"/>
            </w:tcBorders>
            <w:tcMar>
              <w:top w:w="28" w:type="dxa"/>
              <w:bottom w:w="28" w:type="dxa"/>
            </w:tcMar>
            <w:vAlign w:val="center"/>
          </w:tcPr>
          <w:p w14:paraId="7EBE40CA" w14:textId="77777777" w:rsidR="00201E8F" w:rsidRPr="0064137F" w:rsidRDefault="00201E8F" w:rsidP="005F417A">
            <w:pPr>
              <w:rPr>
                <w:rFonts w:ascii="Times New Roman" w:hAnsi="Times New Roman" w:cs="Times New Roman"/>
                <w:sz w:val="16"/>
                <w:szCs w:val="16"/>
              </w:rPr>
            </w:pPr>
            <w:r w:rsidRPr="0064137F">
              <w:rPr>
                <w:rFonts w:ascii="Times New Roman" w:hAnsi="Times New Roman" w:cs="Times New Roman"/>
                <w:sz w:val="16"/>
                <w:szCs w:val="16"/>
              </w:rPr>
              <w:t xml:space="preserve">Kemmler </w:t>
            </w:r>
            <w:proofErr w:type="gramStart"/>
            <w:r w:rsidRPr="0064137F">
              <w:rPr>
                <w:rFonts w:ascii="Times New Roman" w:hAnsi="Times New Roman" w:cs="Times New Roman"/>
                <w:sz w:val="16"/>
                <w:szCs w:val="16"/>
              </w:rPr>
              <w:t>et al.</w:t>
            </w:r>
            <w:r w:rsidR="004169A5">
              <w:rPr>
                <w:rFonts w:ascii="Times New Roman" w:hAnsi="Times New Roman" w:cs="Times New Roman"/>
                <w:sz w:val="16"/>
                <w:szCs w:val="16"/>
              </w:rPr>
              <w:t>[</w:t>
            </w:r>
            <w:proofErr w:type="gramEnd"/>
            <w:r w:rsidR="004169A5">
              <w:rPr>
                <w:rFonts w:ascii="Times New Roman" w:hAnsi="Times New Roman" w:cs="Times New Roman"/>
                <w:sz w:val="16"/>
                <w:szCs w:val="16"/>
              </w:rPr>
              <w:t>55]</w:t>
            </w:r>
            <w:r w:rsidRPr="0064137F">
              <w:rPr>
                <w:rFonts w:ascii="Times New Roman" w:hAnsi="Times New Roman" w:cs="Times New Roman"/>
                <w:sz w:val="16"/>
                <w:szCs w:val="16"/>
              </w:rPr>
              <w:t>, Germany</w:t>
            </w:r>
          </w:p>
          <w:p w14:paraId="63C87519" w14:textId="77777777" w:rsidR="00201E8F" w:rsidRPr="0064137F" w:rsidRDefault="00201E8F" w:rsidP="005F417A">
            <w:pPr>
              <w:rPr>
                <w:rFonts w:ascii="Times New Roman" w:hAnsi="Times New Roman" w:cs="Times New Roman"/>
                <w:sz w:val="16"/>
                <w:szCs w:val="16"/>
              </w:rPr>
            </w:pPr>
            <w:r w:rsidRPr="0064137F">
              <w:rPr>
                <w:rFonts w:ascii="Times New Roman" w:hAnsi="Times New Roman" w:cs="Times New Roman"/>
                <w:sz w:val="16"/>
                <w:szCs w:val="16"/>
              </w:rPr>
              <w:t>community</w:t>
            </w:r>
          </w:p>
        </w:tc>
        <w:tc>
          <w:tcPr>
            <w:tcW w:w="708" w:type="dxa"/>
            <w:tcBorders>
              <w:left w:val="nil"/>
              <w:bottom w:val="single" w:sz="12" w:space="0" w:color="auto"/>
              <w:right w:val="nil"/>
            </w:tcBorders>
            <w:tcMar>
              <w:top w:w="28" w:type="dxa"/>
              <w:bottom w:w="28" w:type="dxa"/>
            </w:tcMar>
            <w:vAlign w:val="center"/>
          </w:tcPr>
          <w:p w14:paraId="1C4139B1"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CCT</w:t>
            </w:r>
          </w:p>
          <w:p w14:paraId="0D4F0D93"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NR</w:t>
            </w:r>
          </w:p>
        </w:tc>
        <w:tc>
          <w:tcPr>
            <w:tcW w:w="3544" w:type="dxa"/>
            <w:tcBorders>
              <w:left w:val="nil"/>
              <w:bottom w:val="single" w:sz="12" w:space="0" w:color="auto"/>
              <w:right w:val="nil"/>
            </w:tcBorders>
            <w:tcMar>
              <w:top w:w="28" w:type="dxa"/>
              <w:bottom w:w="28" w:type="dxa"/>
            </w:tcMar>
            <w:vAlign w:val="center"/>
          </w:tcPr>
          <w:p w14:paraId="2CC884D0"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Women with osteopenia</w:t>
            </w:r>
          </w:p>
          <w:p w14:paraId="239BF32F"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1.Group 1 (N=59); </w:t>
            </w:r>
            <w:proofErr w:type="gramStart"/>
            <w:r w:rsidRPr="0064137F">
              <w:rPr>
                <w:rFonts w:ascii="Times New Roman" w:eastAsia="Calibri" w:hAnsi="Times New Roman" w:cs="Times New Roman"/>
                <w:sz w:val="16"/>
                <w:szCs w:val="16"/>
              </w:rPr>
              <w:t>2.Group</w:t>
            </w:r>
            <w:proofErr w:type="gramEnd"/>
            <w:r w:rsidRPr="0064137F">
              <w:rPr>
                <w:rFonts w:ascii="Times New Roman" w:eastAsia="Calibri" w:hAnsi="Times New Roman" w:cs="Times New Roman"/>
                <w:sz w:val="16"/>
                <w:szCs w:val="16"/>
              </w:rPr>
              <w:t xml:space="preserve"> 2 (N=46)</w:t>
            </w:r>
          </w:p>
        </w:tc>
        <w:tc>
          <w:tcPr>
            <w:tcW w:w="3260" w:type="dxa"/>
            <w:tcBorders>
              <w:left w:val="nil"/>
              <w:bottom w:val="single" w:sz="12" w:space="0" w:color="auto"/>
              <w:right w:val="nil"/>
            </w:tcBorders>
            <w:tcMar>
              <w:top w:w="28" w:type="dxa"/>
              <w:bottom w:w="28" w:type="dxa"/>
            </w:tcMar>
            <w:vAlign w:val="center"/>
          </w:tcPr>
          <w:p w14:paraId="30CD20D3"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1.Long–term multi-modal exercise </w:t>
            </w:r>
          </w:p>
          <w:p w14:paraId="487114D2"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2. Sedentary control group</w:t>
            </w:r>
          </w:p>
          <w:p w14:paraId="353891C9"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Certified trainers</w:t>
            </w:r>
          </w:p>
        </w:tc>
        <w:tc>
          <w:tcPr>
            <w:tcW w:w="4489" w:type="dxa"/>
            <w:tcBorders>
              <w:left w:val="nil"/>
              <w:bottom w:val="single" w:sz="12" w:space="0" w:color="auto"/>
              <w:right w:val="nil"/>
            </w:tcBorders>
            <w:tcMar>
              <w:top w:w="28" w:type="dxa"/>
              <w:bottom w:w="28" w:type="dxa"/>
            </w:tcMar>
            <w:vAlign w:val="center"/>
          </w:tcPr>
          <w:p w14:paraId="563D8929"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13 fractures in the IG vs 24 fractures in the CG at 16-year follow up (Rate ratio = </w:t>
            </w:r>
            <w:r w:rsidRPr="0064137F">
              <w:rPr>
                <w:rFonts w:ascii="Times New Roman" w:hAnsi="Times New Roman" w:cs="Times New Roman"/>
                <w:sz w:val="16"/>
                <w:szCs w:val="16"/>
              </w:rPr>
              <w:t>0.42; 95</w:t>
            </w:r>
            <w:proofErr w:type="gramStart"/>
            <w:r w:rsidRPr="0064137F">
              <w:rPr>
                <w:rFonts w:ascii="Times New Roman" w:hAnsi="Times New Roman" w:cs="Times New Roman"/>
                <w:sz w:val="16"/>
                <w:szCs w:val="16"/>
              </w:rPr>
              <w:t>%  0.20</w:t>
            </w:r>
            <w:proofErr w:type="gramEnd"/>
            <w:r w:rsidRPr="0064137F">
              <w:rPr>
                <w:rFonts w:ascii="Times New Roman" w:hAnsi="Times New Roman" w:cs="Times New Roman"/>
                <w:sz w:val="16"/>
                <w:szCs w:val="16"/>
              </w:rPr>
              <w:t xml:space="preserve"> to 0.86; p=0.018)</w:t>
            </w:r>
          </w:p>
        </w:tc>
        <w:tc>
          <w:tcPr>
            <w:tcW w:w="567" w:type="dxa"/>
            <w:tcBorders>
              <w:left w:val="nil"/>
              <w:bottom w:val="single" w:sz="12" w:space="0" w:color="auto"/>
              <w:right w:val="nil"/>
            </w:tcBorders>
            <w:tcMar>
              <w:top w:w="28" w:type="dxa"/>
              <w:bottom w:w="28" w:type="dxa"/>
            </w:tcMar>
            <w:vAlign w:val="center"/>
          </w:tcPr>
          <w:p w14:paraId="11C3CC21" w14:textId="77777777" w:rsidR="00201E8F" w:rsidRPr="0064137F" w:rsidRDefault="00201E8F" w:rsidP="005F417A">
            <w:pPr>
              <w:jc w:val="center"/>
              <w:rPr>
                <w:rFonts w:ascii="Times New Roman" w:eastAsia="Calibri" w:hAnsi="Times New Roman" w:cs="Times New Roman"/>
                <w:sz w:val="16"/>
                <w:szCs w:val="16"/>
              </w:rPr>
            </w:pPr>
            <w:r w:rsidRPr="0064137F">
              <w:rPr>
                <w:rFonts w:ascii="Times New Roman" w:eastAsia="Calibri" w:hAnsi="Times New Roman" w:cs="Times New Roman"/>
                <w:sz w:val="16"/>
                <w:szCs w:val="16"/>
              </w:rPr>
              <w:t>3</w:t>
            </w:r>
          </w:p>
        </w:tc>
      </w:tr>
      <w:tr w:rsidR="00201E8F" w:rsidRPr="0064137F" w14:paraId="354204FC" w14:textId="77777777" w:rsidTr="008E3C5F">
        <w:trPr>
          <w:trHeight w:val="170"/>
        </w:trPr>
        <w:tc>
          <w:tcPr>
            <w:tcW w:w="14690" w:type="dxa"/>
            <w:gridSpan w:val="6"/>
            <w:tcBorders>
              <w:top w:val="single" w:sz="12" w:space="0" w:color="auto"/>
              <w:left w:val="nil"/>
              <w:bottom w:val="single" w:sz="12" w:space="0" w:color="auto"/>
              <w:right w:val="nil"/>
            </w:tcBorders>
            <w:shd w:val="clear" w:color="auto" w:fill="D9D9D9" w:themeFill="background1" w:themeFillShade="D9"/>
            <w:tcMar>
              <w:top w:w="28" w:type="dxa"/>
              <w:bottom w:w="28" w:type="dxa"/>
            </w:tcMar>
            <w:vAlign w:val="center"/>
          </w:tcPr>
          <w:p w14:paraId="441D5B3D" w14:textId="65488869" w:rsidR="00201E8F" w:rsidRPr="0064137F" w:rsidRDefault="00DD6A30" w:rsidP="005F417A">
            <w:pPr>
              <w:rPr>
                <w:rFonts w:ascii="Times New Roman" w:eastAsia="Calibri" w:hAnsi="Times New Roman" w:cs="Times New Roman"/>
                <w:b/>
                <w:sz w:val="16"/>
                <w:szCs w:val="16"/>
              </w:rPr>
            </w:pPr>
            <w:r>
              <w:rPr>
                <w:rFonts w:ascii="Times New Roman" w:eastAsia="Calibri" w:hAnsi="Times New Roman" w:cs="Times New Roman"/>
                <w:b/>
                <w:sz w:val="16"/>
                <w:szCs w:val="16"/>
              </w:rPr>
              <w:t>ii)</w:t>
            </w:r>
            <w:r w:rsidR="00201E8F" w:rsidRPr="0064137F">
              <w:rPr>
                <w:rFonts w:ascii="Times New Roman" w:eastAsia="Calibri" w:hAnsi="Times New Roman" w:cs="Times New Roman"/>
                <w:b/>
                <w:sz w:val="16"/>
                <w:szCs w:val="16"/>
              </w:rPr>
              <w:t>Nutriments</w:t>
            </w:r>
            <w:r w:rsidR="000360F9">
              <w:t xml:space="preserve"> </w:t>
            </w:r>
            <w:r w:rsidR="000360F9" w:rsidRPr="000360F9">
              <w:rPr>
                <w:rFonts w:ascii="Times New Roman" w:eastAsia="Calibri" w:hAnsi="Times New Roman" w:cs="Times New Roman"/>
                <w:b/>
                <w:sz w:val="16"/>
                <w:szCs w:val="16"/>
              </w:rPr>
              <w:t>including Vitamin D plus Calcium and oral nutritional supplements</w:t>
            </w:r>
          </w:p>
        </w:tc>
      </w:tr>
      <w:tr w:rsidR="00201E8F" w:rsidRPr="0064137F" w14:paraId="393836CF" w14:textId="77777777" w:rsidTr="008E3C5F">
        <w:trPr>
          <w:trHeight w:val="170"/>
        </w:trPr>
        <w:tc>
          <w:tcPr>
            <w:tcW w:w="2122" w:type="dxa"/>
            <w:tcBorders>
              <w:top w:val="single" w:sz="12" w:space="0" w:color="auto"/>
              <w:left w:val="nil"/>
              <w:right w:val="nil"/>
            </w:tcBorders>
            <w:tcMar>
              <w:top w:w="28" w:type="dxa"/>
              <w:bottom w:w="28" w:type="dxa"/>
            </w:tcMar>
            <w:vAlign w:val="center"/>
          </w:tcPr>
          <w:p w14:paraId="40C5F883" w14:textId="77777777" w:rsidR="00201E8F" w:rsidRPr="0064137F" w:rsidRDefault="00201E8F" w:rsidP="005F417A">
            <w:pPr>
              <w:rPr>
                <w:rFonts w:ascii="Times New Roman" w:eastAsia="Calibri" w:hAnsi="Times New Roman" w:cs="Times New Roman"/>
                <w:sz w:val="16"/>
                <w:szCs w:val="16"/>
              </w:rPr>
            </w:pPr>
            <w:r w:rsidRPr="0064137F">
              <w:rPr>
                <w:rFonts w:ascii="Times New Roman" w:hAnsi="Times New Roman" w:cs="Times New Roman"/>
                <w:sz w:val="16"/>
                <w:szCs w:val="16"/>
              </w:rPr>
              <w:t xml:space="preserve">Porter </w:t>
            </w:r>
            <w:proofErr w:type="gramStart"/>
            <w:r w:rsidRPr="0064137F">
              <w:rPr>
                <w:rFonts w:ascii="Times New Roman" w:hAnsi="Times New Roman" w:cs="Times New Roman"/>
                <w:sz w:val="16"/>
                <w:szCs w:val="16"/>
              </w:rPr>
              <w:t>et al.</w:t>
            </w:r>
            <w:r w:rsidR="004169A5">
              <w:rPr>
                <w:rFonts w:ascii="Times New Roman" w:hAnsi="Times New Roman" w:cs="Times New Roman"/>
                <w:sz w:val="16"/>
                <w:szCs w:val="16"/>
              </w:rPr>
              <w:t>[</w:t>
            </w:r>
            <w:proofErr w:type="gramEnd"/>
            <w:r w:rsidR="004169A5">
              <w:rPr>
                <w:rFonts w:ascii="Times New Roman" w:hAnsi="Times New Roman" w:cs="Times New Roman"/>
                <w:sz w:val="16"/>
                <w:szCs w:val="16"/>
              </w:rPr>
              <w:t>57]</w:t>
            </w:r>
          </w:p>
        </w:tc>
        <w:tc>
          <w:tcPr>
            <w:tcW w:w="708" w:type="dxa"/>
            <w:tcBorders>
              <w:top w:val="single" w:sz="12" w:space="0" w:color="auto"/>
              <w:left w:val="nil"/>
              <w:right w:val="nil"/>
            </w:tcBorders>
            <w:tcMar>
              <w:top w:w="28" w:type="dxa"/>
              <w:bottom w:w="28" w:type="dxa"/>
            </w:tcMar>
            <w:vAlign w:val="center"/>
          </w:tcPr>
          <w:p w14:paraId="05DB7F94"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SR</w:t>
            </w:r>
          </w:p>
          <w:p w14:paraId="50B9F6E7" w14:textId="77777777" w:rsidR="00201E8F" w:rsidRPr="0064137F" w:rsidRDefault="00201E8F" w:rsidP="005F417A">
            <w:pPr>
              <w:rPr>
                <w:rFonts w:ascii="Times New Roman" w:eastAsia="Calibri" w:hAnsi="Times New Roman" w:cs="Times New Roman"/>
                <w:sz w:val="16"/>
                <w:szCs w:val="16"/>
              </w:rPr>
            </w:pPr>
          </w:p>
        </w:tc>
        <w:tc>
          <w:tcPr>
            <w:tcW w:w="3544" w:type="dxa"/>
            <w:tcBorders>
              <w:top w:val="single" w:sz="12" w:space="0" w:color="auto"/>
              <w:left w:val="nil"/>
              <w:right w:val="nil"/>
            </w:tcBorders>
            <w:tcMar>
              <w:top w:w="28" w:type="dxa"/>
              <w:bottom w:w="28" w:type="dxa"/>
            </w:tcMar>
            <w:vAlign w:val="center"/>
          </w:tcPr>
          <w:p w14:paraId="0941E738"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Post-menopausal women with osteopenia</w:t>
            </w:r>
          </w:p>
          <w:p w14:paraId="40500704"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3 trials (N=254)</w:t>
            </w:r>
          </w:p>
        </w:tc>
        <w:tc>
          <w:tcPr>
            <w:tcW w:w="3260" w:type="dxa"/>
            <w:tcBorders>
              <w:top w:val="single" w:sz="12" w:space="0" w:color="auto"/>
              <w:left w:val="nil"/>
              <w:right w:val="nil"/>
            </w:tcBorders>
            <w:tcMar>
              <w:top w:w="28" w:type="dxa"/>
              <w:bottom w:w="28" w:type="dxa"/>
            </w:tcMar>
            <w:vAlign w:val="center"/>
          </w:tcPr>
          <w:p w14:paraId="5929FCB8"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Supplementation with </w:t>
            </w:r>
            <w:r w:rsidRPr="0064137F">
              <w:rPr>
                <w:rFonts w:ascii="Times New Roman" w:hAnsi="Times New Roman" w:cs="Times New Roman"/>
                <w:sz w:val="16"/>
                <w:szCs w:val="16"/>
              </w:rPr>
              <w:t>Vitamin D analogues compared with placebo</w:t>
            </w:r>
          </w:p>
        </w:tc>
        <w:tc>
          <w:tcPr>
            <w:tcW w:w="4489" w:type="dxa"/>
            <w:tcBorders>
              <w:top w:val="single" w:sz="12" w:space="0" w:color="auto"/>
              <w:left w:val="nil"/>
              <w:right w:val="nil"/>
            </w:tcBorders>
            <w:tcMar>
              <w:top w:w="28" w:type="dxa"/>
              <w:bottom w:w="28" w:type="dxa"/>
            </w:tcMar>
            <w:vAlign w:val="center"/>
          </w:tcPr>
          <w:p w14:paraId="3AD0F7A2" w14:textId="77777777" w:rsidR="00201E8F" w:rsidRPr="0064137F" w:rsidRDefault="00201E8F" w:rsidP="005F417A">
            <w:pPr>
              <w:rPr>
                <w:rFonts w:ascii="Times New Roman" w:eastAsia="Calibri" w:hAnsi="Times New Roman" w:cs="Times New Roman"/>
                <w:sz w:val="16"/>
                <w:szCs w:val="16"/>
              </w:rPr>
            </w:pPr>
            <w:r w:rsidRPr="0064137F">
              <w:rPr>
                <w:rFonts w:ascii="Times New Roman" w:hAnsi="Times New Roman" w:cs="Times New Roman"/>
                <w:sz w:val="16"/>
                <w:szCs w:val="16"/>
              </w:rPr>
              <w:t xml:space="preserve">No significant difference in mean % change in BMD in IG or CG when assessed between 6 &amp; 12 </w:t>
            </w:r>
            <w:proofErr w:type="spellStart"/>
            <w:r w:rsidRPr="0064137F">
              <w:rPr>
                <w:rFonts w:ascii="Times New Roman" w:hAnsi="Times New Roman" w:cs="Times New Roman"/>
                <w:sz w:val="16"/>
                <w:szCs w:val="16"/>
              </w:rPr>
              <w:t>mo</w:t>
            </w:r>
            <w:proofErr w:type="spellEnd"/>
          </w:p>
        </w:tc>
        <w:tc>
          <w:tcPr>
            <w:tcW w:w="567" w:type="dxa"/>
            <w:tcBorders>
              <w:top w:val="single" w:sz="12" w:space="0" w:color="auto"/>
              <w:left w:val="nil"/>
              <w:right w:val="nil"/>
            </w:tcBorders>
            <w:tcMar>
              <w:top w:w="28" w:type="dxa"/>
              <w:bottom w:w="28" w:type="dxa"/>
            </w:tcMar>
            <w:vAlign w:val="center"/>
          </w:tcPr>
          <w:p w14:paraId="7DB8E50E" w14:textId="77777777" w:rsidR="00201E8F" w:rsidRPr="0064137F" w:rsidRDefault="00201E8F" w:rsidP="005F417A">
            <w:pPr>
              <w:jc w:val="center"/>
              <w:rPr>
                <w:rFonts w:ascii="Times New Roman" w:eastAsia="Calibri" w:hAnsi="Times New Roman" w:cs="Times New Roman"/>
                <w:sz w:val="16"/>
                <w:szCs w:val="16"/>
              </w:rPr>
            </w:pPr>
            <w:r w:rsidRPr="0064137F">
              <w:rPr>
                <w:rFonts w:ascii="Times New Roman" w:eastAsia="Calibri" w:hAnsi="Times New Roman" w:cs="Times New Roman"/>
                <w:sz w:val="16"/>
                <w:szCs w:val="16"/>
              </w:rPr>
              <w:t>1</w:t>
            </w:r>
          </w:p>
        </w:tc>
      </w:tr>
      <w:tr w:rsidR="00201E8F" w:rsidRPr="0064137F" w14:paraId="3F95F631" w14:textId="77777777" w:rsidTr="008E3C5F">
        <w:trPr>
          <w:trHeight w:val="194"/>
        </w:trPr>
        <w:tc>
          <w:tcPr>
            <w:tcW w:w="2122" w:type="dxa"/>
            <w:tcBorders>
              <w:left w:val="nil"/>
              <w:right w:val="nil"/>
            </w:tcBorders>
            <w:tcMar>
              <w:top w:w="28" w:type="dxa"/>
              <w:bottom w:w="28" w:type="dxa"/>
            </w:tcMar>
            <w:vAlign w:val="center"/>
          </w:tcPr>
          <w:p w14:paraId="3C9B6C41" w14:textId="77777777" w:rsidR="00201E8F" w:rsidRPr="0064137F" w:rsidRDefault="00201E8F" w:rsidP="005F417A">
            <w:pPr>
              <w:rPr>
                <w:rFonts w:ascii="Times New Roman" w:eastAsia="Calibri" w:hAnsi="Times New Roman" w:cs="Times New Roman"/>
                <w:sz w:val="16"/>
                <w:szCs w:val="16"/>
              </w:rPr>
            </w:pPr>
            <w:proofErr w:type="spellStart"/>
            <w:r w:rsidRPr="0064137F">
              <w:rPr>
                <w:rFonts w:ascii="Times New Roman" w:hAnsi="Times New Roman" w:cs="Times New Roman"/>
                <w:sz w:val="16"/>
                <w:szCs w:val="16"/>
              </w:rPr>
              <w:t>Koutsofta</w:t>
            </w:r>
            <w:proofErr w:type="spellEnd"/>
            <w:r w:rsidRPr="0064137F">
              <w:rPr>
                <w:rFonts w:ascii="Times New Roman" w:hAnsi="Times New Roman" w:cs="Times New Roman"/>
                <w:sz w:val="16"/>
                <w:szCs w:val="16"/>
              </w:rPr>
              <w:t xml:space="preserve"> </w:t>
            </w:r>
            <w:proofErr w:type="gramStart"/>
            <w:r w:rsidRPr="0064137F">
              <w:rPr>
                <w:rFonts w:ascii="Times New Roman" w:hAnsi="Times New Roman" w:cs="Times New Roman"/>
                <w:sz w:val="16"/>
                <w:szCs w:val="16"/>
              </w:rPr>
              <w:t>et al.</w:t>
            </w:r>
            <w:r w:rsidR="004169A5">
              <w:rPr>
                <w:rFonts w:ascii="Times New Roman" w:hAnsi="Times New Roman" w:cs="Times New Roman"/>
                <w:sz w:val="16"/>
                <w:szCs w:val="16"/>
              </w:rPr>
              <w:t>[</w:t>
            </w:r>
            <w:proofErr w:type="gramEnd"/>
            <w:r w:rsidR="004169A5">
              <w:rPr>
                <w:rFonts w:ascii="Times New Roman" w:hAnsi="Times New Roman" w:cs="Times New Roman"/>
                <w:sz w:val="16"/>
                <w:szCs w:val="16"/>
              </w:rPr>
              <w:t>58]</w:t>
            </w:r>
          </w:p>
        </w:tc>
        <w:tc>
          <w:tcPr>
            <w:tcW w:w="708" w:type="dxa"/>
            <w:tcBorders>
              <w:left w:val="nil"/>
              <w:right w:val="nil"/>
            </w:tcBorders>
            <w:tcMar>
              <w:top w:w="28" w:type="dxa"/>
              <w:bottom w:w="28" w:type="dxa"/>
            </w:tcMar>
            <w:vAlign w:val="center"/>
          </w:tcPr>
          <w:p w14:paraId="3194D746"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SR</w:t>
            </w:r>
          </w:p>
        </w:tc>
        <w:tc>
          <w:tcPr>
            <w:tcW w:w="3544" w:type="dxa"/>
            <w:tcBorders>
              <w:left w:val="nil"/>
              <w:right w:val="nil"/>
            </w:tcBorders>
            <w:tcMar>
              <w:top w:w="28" w:type="dxa"/>
              <w:bottom w:w="28" w:type="dxa"/>
            </w:tcMar>
            <w:vAlign w:val="center"/>
          </w:tcPr>
          <w:p w14:paraId="36137438"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Post-menopausal women with osteoporosis</w:t>
            </w:r>
          </w:p>
          <w:p w14:paraId="235E4F61"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5 studies (N=677) </w:t>
            </w:r>
          </w:p>
        </w:tc>
        <w:tc>
          <w:tcPr>
            <w:tcW w:w="3260" w:type="dxa"/>
            <w:tcBorders>
              <w:left w:val="nil"/>
              <w:right w:val="nil"/>
            </w:tcBorders>
            <w:tcMar>
              <w:top w:w="28" w:type="dxa"/>
              <w:bottom w:w="28" w:type="dxa"/>
            </w:tcMar>
            <w:vAlign w:val="center"/>
          </w:tcPr>
          <w:p w14:paraId="7417F734"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Non-soy protein (diet &amp;/or supplement) compared with a control group.</w:t>
            </w:r>
          </w:p>
        </w:tc>
        <w:tc>
          <w:tcPr>
            <w:tcW w:w="4489" w:type="dxa"/>
            <w:tcBorders>
              <w:left w:val="nil"/>
              <w:right w:val="nil"/>
            </w:tcBorders>
            <w:tcMar>
              <w:top w:w="28" w:type="dxa"/>
              <w:bottom w:w="28" w:type="dxa"/>
            </w:tcMar>
            <w:vAlign w:val="center"/>
          </w:tcPr>
          <w:p w14:paraId="56738438"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The effect of non-soy protein on BMD at different sites was mixed.</w:t>
            </w:r>
          </w:p>
        </w:tc>
        <w:tc>
          <w:tcPr>
            <w:tcW w:w="567" w:type="dxa"/>
            <w:tcBorders>
              <w:left w:val="nil"/>
              <w:right w:val="nil"/>
            </w:tcBorders>
            <w:tcMar>
              <w:top w:w="28" w:type="dxa"/>
              <w:bottom w:w="28" w:type="dxa"/>
            </w:tcMar>
            <w:vAlign w:val="center"/>
          </w:tcPr>
          <w:p w14:paraId="28A43BC6" w14:textId="77777777" w:rsidR="00201E8F" w:rsidRPr="0064137F" w:rsidRDefault="00201E8F" w:rsidP="005F417A">
            <w:pPr>
              <w:jc w:val="center"/>
              <w:rPr>
                <w:rFonts w:ascii="Times New Roman" w:eastAsia="Calibri" w:hAnsi="Times New Roman" w:cs="Times New Roman"/>
                <w:sz w:val="16"/>
                <w:szCs w:val="16"/>
              </w:rPr>
            </w:pPr>
            <w:r w:rsidRPr="0064137F">
              <w:rPr>
                <w:rFonts w:ascii="Times New Roman" w:eastAsia="Calibri" w:hAnsi="Times New Roman" w:cs="Times New Roman"/>
                <w:sz w:val="16"/>
                <w:szCs w:val="16"/>
              </w:rPr>
              <w:t>2</w:t>
            </w:r>
          </w:p>
        </w:tc>
      </w:tr>
      <w:tr w:rsidR="00201E8F" w:rsidRPr="0064137F" w14:paraId="6BC79BC7" w14:textId="77777777" w:rsidTr="008E3C5F">
        <w:trPr>
          <w:trHeight w:val="194"/>
        </w:trPr>
        <w:tc>
          <w:tcPr>
            <w:tcW w:w="2122" w:type="dxa"/>
            <w:tcBorders>
              <w:left w:val="nil"/>
              <w:bottom w:val="single" w:sz="12" w:space="0" w:color="auto"/>
              <w:right w:val="nil"/>
            </w:tcBorders>
            <w:tcMar>
              <w:top w:w="28" w:type="dxa"/>
              <w:bottom w:w="28" w:type="dxa"/>
            </w:tcMar>
            <w:vAlign w:val="center"/>
          </w:tcPr>
          <w:p w14:paraId="771298C7" w14:textId="77777777" w:rsidR="00201E8F" w:rsidRPr="0064137F" w:rsidRDefault="00201E8F" w:rsidP="005F417A">
            <w:pPr>
              <w:rPr>
                <w:rFonts w:ascii="Times New Roman" w:hAnsi="Times New Roman" w:cs="Times New Roman"/>
                <w:sz w:val="16"/>
                <w:szCs w:val="16"/>
              </w:rPr>
            </w:pPr>
            <w:r w:rsidRPr="0064137F">
              <w:rPr>
                <w:rFonts w:ascii="Times New Roman" w:hAnsi="Times New Roman" w:cs="Times New Roman"/>
                <w:sz w:val="16"/>
                <w:szCs w:val="16"/>
              </w:rPr>
              <w:t xml:space="preserve">Cheung </w:t>
            </w:r>
            <w:proofErr w:type="gramStart"/>
            <w:r w:rsidRPr="0064137F">
              <w:rPr>
                <w:rFonts w:ascii="Times New Roman" w:hAnsi="Times New Roman" w:cs="Times New Roman"/>
                <w:sz w:val="16"/>
                <w:szCs w:val="16"/>
              </w:rPr>
              <w:t>et al.</w:t>
            </w:r>
            <w:r w:rsidR="004169A5">
              <w:rPr>
                <w:rFonts w:ascii="Times New Roman" w:hAnsi="Times New Roman" w:cs="Times New Roman"/>
                <w:sz w:val="16"/>
                <w:szCs w:val="16"/>
              </w:rPr>
              <w:t>[</w:t>
            </w:r>
            <w:proofErr w:type="gramEnd"/>
            <w:r w:rsidR="004169A5">
              <w:rPr>
                <w:rFonts w:ascii="Times New Roman" w:hAnsi="Times New Roman" w:cs="Times New Roman"/>
                <w:sz w:val="16"/>
                <w:szCs w:val="16"/>
              </w:rPr>
              <w:t>59]</w:t>
            </w:r>
            <w:r w:rsidRPr="0064137F">
              <w:rPr>
                <w:rFonts w:ascii="Times New Roman" w:hAnsi="Times New Roman" w:cs="Times New Roman"/>
                <w:sz w:val="16"/>
                <w:szCs w:val="16"/>
              </w:rPr>
              <w:t>, Canada,</w:t>
            </w:r>
          </w:p>
          <w:p w14:paraId="1F7C0879" w14:textId="77777777" w:rsidR="00201E8F" w:rsidRPr="0064137F" w:rsidRDefault="00201E8F" w:rsidP="005F417A">
            <w:pPr>
              <w:rPr>
                <w:rFonts w:ascii="Times New Roman" w:hAnsi="Times New Roman" w:cs="Times New Roman"/>
                <w:sz w:val="16"/>
                <w:szCs w:val="16"/>
              </w:rPr>
            </w:pPr>
            <w:r w:rsidRPr="0064137F">
              <w:rPr>
                <w:rFonts w:ascii="Times New Roman" w:hAnsi="Times New Roman" w:cs="Times New Roman"/>
                <w:sz w:val="16"/>
                <w:szCs w:val="16"/>
              </w:rPr>
              <w:t>community</w:t>
            </w:r>
          </w:p>
        </w:tc>
        <w:tc>
          <w:tcPr>
            <w:tcW w:w="708" w:type="dxa"/>
            <w:tcBorders>
              <w:left w:val="nil"/>
              <w:bottom w:val="single" w:sz="12" w:space="0" w:color="auto"/>
              <w:right w:val="nil"/>
            </w:tcBorders>
            <w:tcMar>
              <w:top w:w="28" w:type="dxa"/>
              <w:bottom w:w="28" w:type="dxa"/>
            </w:tcMar>
            <w:vAlign w:val="center"/>
          </w:tcPr>
          <w:p w14:paraId="745DDF4C"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RCT</w:t>
            </w:r>
          </w:p>
        </w:tc>
        <w:tc>
          <w:tcPr>
            <w:tcW w:w="3544" w:type="dxa"/>
            <w:tcBorders>
              <w:left w:val="nil"/>
              <w:bottom w:val="single" w:sz="12" w:space="0" w:color="auto"/>
              <w:right w:val="nil"/>
            </w:tcBorders>
            <w:tcMar>
              <w:top w:w="28" w:type="dxa"/>
              <w:bottom w:w="28" w:type="dxa"/>
            </w:tcMar>
            <w:vAlign w:val="center"/>
          </w:tcPr>
          <w:p w14:paraId="504C628A"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Post-menopausal women with </w:t>
            </w:r>
            <w:r w:rsidRPr="0064137F">
              <w:rPr>
                <w:rFonts w:ascii="Times New Roman" w:hAnsi="Times New Roman" w:cs="Times New Roman"/>
                <w:bCs/>
                <w:sz w:val="16"/>
                <w:szCs w:val="16"/>
              </w:rPr>
              <w:t>osteopenia</w:t>
            </w:r>
            <w:r w:rsidRPr="0064137F">
              <w:rPr>
                <w:rFonts w:ascii="Times New Roman" w:eastAsia="Calibri" w:hAnsi="Times New Roman" w:cs="Times New Roman"/>
                <w:sz w:val="16"/>
                <w:szCs w:val="16"/>
              </w:rPr>
              <w:t xml:space="preserve"> </w:t>
            </w:r>
          </w:p>
          <w:p w14:paraId="1D6D32C2"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1.Group 1 (N=217); </w:t>
            </w:r>
            <w:proofErr w:type="gramStart"/>
            <w:r w:rsidRPr="0064137F">
              <w:rPr>
                <w:rFonts w:ascii="Times New Roman" w:eastAsia="Calibri" w:hAnsi="Times New Roman" w:cs="Times New Roman"/>
                <w:sz w:val="16"/>
                <w:szCs w:val="16"/>
              </w:rPr>
              <w:t>2.Group</w:t>
            </w:r>
            <w:proofErr w:type="gramEnd"/>
            <w:r w:rsidRPr="0064137F">
              <w:rPr>
                <w:rFonts w:ascii="Times New Roman" w:eastAsia="Calibri" w:hAnsi="Times New Roman" w:cs="Times New Roman"/>
                <w:sz w:val="16"/>
                <w:szCs w:val="16"/>
              </w:rPr>
              <w:t xml:space="preserve"> 2 (N=223)</w:t>
            </w:r>
          </w:p>
        </w:tc>
        <w:tc>
          <w:tcPr>
            <w:tcW w:w="3260" w:type="dxa"/>
            <w:tcBorders>
              <w:left w:val="nil"/>
              <w:bottom w:val="single" w:sz="12" w:space="0" w:color="auto"/>
              <w:right w:val="nil"/>
            </w:tcBorders>
            <w:tcMar>
              <w:top w:w="28" w:type="dxa"/>
              <w:bottom w:w="28" w:type="dxa"/>
            </w:tcMar>
            <w:vAlign w:val="center"/>
          </w:tcPr>
          <w:p w14:paraId="0141022A"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1. Vitamin K (5mg) daily</w:t>
            </w:r>
          </w:p>
          <w:p w14:paraId="35FCB5E3"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2. Placebo  </w:t>
            </w:r>
          </w:p>
        </w:tc>
        <w:tc>
          <w:tcPr>
            <w:tcW w:w="4489" w:type="dxa"/>
            <w:tcBorders>
              <w:left w:val="nil"/>
              <w:bottom w:val="single" w:sz="12" w:space="0" w:color="auto"/>
              <w:right w:val="nil"/>
            </w:tcBorders>
            <w:tcMar>
              <w:top w:w="28" w:type="dxa"/>
              <w:bottom w:w="28" w:type="dxa"/>
            </w:tcMar>
            <w:vAlign w:val="center"/>
          </w:tcPr>
          <w:p w14:paraId="3ADA9AE3" w14:textId="77777777" w:rsidR="00201E8F" w:rsidRPr="0064137F" w:rsidRDefault="00201E8F" w:rsidP="005F417A">
            <w:pPr>
              <w:rPr>
                <w:rFonts w:ascii="Times New Roman" w:hAnsi="Times New Roman" w:cs="Times New Roman"/>
                <w:bCs/>
                <w:sz w:val="16"/>
                <w:szCs w:val="16"/>
              </w:rPr>
            </w:pPr>
            <w:r w:rsidRPr="0064137F">
              <w:rPr>
                <w:rFonts w:ascii="Times New Roman" w:hAnsi="Times New Roman" w:cs="Times New Roman"/>
                <w:bCs/>
                <w:sz w:val="16"/>
                <w:szCs w:val="16"/>
              </w:rPr>
              <w:t xml:space="preserve">No significant </w:t>
            </w:r>
            <w:proofErr w:type="gramStart"/>
            <w:r w:rsidRPr="0064137F">
              <w:rPr>
                <w:rFonts w:ascii="Times New Roman" w:hAnsi="Times New Roman" w:cs="Times New Roman"/>
                <w:bCs/>
                <w:sz w:val="16"/>
                <w:szCs w:val="16"/>
              </w:rPr>
              <w:t>difference  in</w:t>
            </w:r>
            <w:proofErr w:type="gramEnd"/>
            <w:r w:rsidRPr="0064137F">
              <w:rPr>
                <w:rFonts w:ascii="Times New Roman" w:hAnsi="Times New Roman" w:cs="Times New Roman"/>
                <w:bCs/>
                <w:sz w:val="16"/>
                <w:szCs w:val="16"/>
              </w:rPr>
              <w:t xml:space="preserve"> BMD decrease at the LS or total hip between IG &amp; CG at 2 yr. IG, 6 fractures; CG, 11 fractures</w:t>
            </w:r>
          </w:p>
        </w:tc>
        <w:tc>
          <w:tcPr>
            <w:tcW w:w="567" w:type="dxa"/>
            <w:tcBorders>
              <w:left w:val="nil"/>
              <w:bottom w:val="single" w:sz="12" w:space="0" w:color="auto"/>
              <w:right w:val="nil"/>
            </w:tcBorders>
            <w:tcMar>
              <w:top w:w="28" w:type="dxa"/>
              <w:bottom w:w="28" w:type="dxa"/>
            </w:tcMar>
            <w:vAlign w:val="center"/>
          </w:tcPr>
          <w:p w14:paraId="6F74B819" w14:textId="77777777" w:rsidR="00201E8F" w:rsidRPr="0064137F" w:rsidRDefault="00201E8F" w:rsidP="005F417A">
            <w:pPr>
              <w:jc w:val="center"/>
              <w:rPr>
                <w:rFonts w:ascii="Times New Roman" w:eastAsia="Calibri" w:hAnsi="Times New Roman" w:cs="Times New Roman"/>
                <w:sz w:val="16"/>
                <w:szCs w:val="16"/>
              </w:rPr>
            </w:pPr>
            <w:r w:rsidRPr="0064137F">
              <w:rPr>
                <w:rFonts w:ascii="Times New Roman" w:eastAsia="Calibri" w:hAnsi="Times New Roman" w:cs="Times New Roman"/>
                <w:sz w:val="16"/>
                <w:szCs w:val="16"/>
              </w:rPr>
              <w:t>1</w:t>
            </w:r>
          </w:p>
        </w:tc>
      </w:tr>
      <w:tr w:rsidR="00201E8F" w:rsidRPr="0064137F" w14:paraId="7535EB93" w14:textId="77777777" w:rsidTr="008E3C5F">
        <w:trPr>
          <w:trHeight w:val="170"/>
        </w:trPr>
        <w:tc>
          <w:tcPr>
            <w:tcW w:w="14690" w:type="dxa"/>
            <w:gridSpan w:val="6"/>
            <w:tcBorders>
              <w:top w:val="single" w:sz="12" w:space="0" w:color="auto"/>
              <w:left w:val="nil"/>
              <w:bottom w:val="single" w:sz="12" w:space="0" w:color="auto"/>
              <w:right w:val="nil"/>
            </w:tcBorders>
            <w:shd w:val="clear" w:color="auto" w:fill="D9D9D9" w:themeFill="background1" w:themeFillShade="D9"/>
            <w:tcMar>
              <w:top w:w="28" w:type="dxa"/>
              <w:bottom w:w="28" w:type="dxa"/>
            </w:tcMar>
            <w:vAlign w:val="center"/>
          </w:tcPr>
          <w:p w14:paraId="63B01581" w14:textId="77777777" w:rsidR="00201E8F" w:rsidRPr="008B435D" w:rsidRDefault="00DD6A30" w:rsidP="00DD6A30">
            <w:pPr>
              <w:rPr>
                <w:rFonts w:ascii="Times New Roman" w:eastAsia="Calibri" w:hAnsi="Times New Roman" w:cs="Times New Roman"/>
                <w:b/>
                <w:sz w:val="16"/>
                <w:szCs w:val="16"/>
              </w:rPr>
            </w:pPr>
            <w:r>
              <w:rPr>
                <w:rFonts w:ascii="Times New Roman" w:eastAsia="Calibri" w:hAnsi="Times New Roman" w:cs="Times New Roman"/>
                <w:b/>
                <w:sz w:val="16"/>
                <w:szCs w:val="16"/>
              </w:rPr>
              <w:t>iii)</w:t>
            </w:r>
            <w:r w:rsidR="00201E8F" w:rsidRPr="008B435D">
              <w:rPr>
                <w:rFonts w:ascii="Times New Roman" w:eastAsia="Calibri" w:hAnsi="Times New Roman" w:cs="Times New Roman"/>
                <w:b/>
                <w:sz w:val="16"/>
                <w:szCs w:val="16"/>
              </w:rPr>
              <w:t>Falls Prevention</w:t>
            </w:r>
            <w:r>
              <w:rPr>
                <w:rFonts w:ascii="Times New Roman" w:eastAsia="Calibri" w:hAnsi="Times New Roman" w:cs="Times New Roman"/>
                <w:b/>
                <w:sz w:val="16"/>
                <w:szCs w:val="16"/>
              </w:rPr>
              <w:t xml:space="preserve"> Programmes</w:t>
            </w:r>
          </w:p>
        </w:tc>
      </w:tr>
      <w:tr w:rsidR="00201E8F" w:rsidRPr="0064137F" w14:paraId="4353021F" w14:textId="77777777" w:rsidTr="008E3C5F">
        <w:trPr>
          <w:trHeight w:val="170"/>
        </w:trPr>
        <w:tc>
          <w:tcPr>
            <w:tcW w:w="2122" w:type="dxa"/>
            <w:tcBorders>
              <w:top w:val="single" w:sz="12" w:space="0" w:color="auto"/>
              <w:left w:val="nil"/>
              <w:right w:val="nil"/>
            </w:tcBorders>
            <w:tcMar>
              <w:top w:w="28" w:type="dxa"/>
              <w:bottom w:w="28" w:type="dxa"/>
            </w:tcMar>
            <w:vAlign w:val="center"/>
          </w:tcPr>
          <w:p w14:paraId="309B4DF4" w14:textId="77777777" w:rsidR="00201E8F" w:rsidRPr="0064137F" w:rsidRDefault="00201E8F" w:rsidP="005F417A">
            <w:pPr>
              <w:rPr>
                <w:rFonts w:ascii="Times New Roman" w:hAnsi="Times New Roman" w:cs="Times New Roman"/>
                <w:sz w:val="16"/>
                <w:szCs w:val="16"/>
              </w:rPr>
            </w:pPr>
            <w:r w:rsidRPr="0064137F">
              <w:rPr>
                <w:rFonts w:ascii="Times New Roman" w:hAnsi="Times New Roman" w:cs="Times New Roman"/>
                <w:sz w:val="16"/>
                <w:szCs w:val="16"/>
              </w:rPr>
              <w:t xml:space="preserve">Smulders </w:t>
            </w:r>
            <w:proofErr w:type="gramStart"/>
            <w:r w:rsidRPr="0064137F">
              <w:rPr>
                <w:rFonts w:ascii="Times New Roman" w:hAnsi="Times New Roman" w:cs="Times New Roman"/>
                <w:sz w:val="16"/>
                <w:szCs w:val="16"/>
              </w:rPr>
              <w:t>et al.</w:t>
            </w:r>
            <w:r w:rsidR="00F92DA2">
              <w:rPr>
                <w:rFonts w:ascii="Times New Roman" w:hAnsi="Times New Roman" w:cs="Times New Roman"/>
                <w:sz w:val="16"/>
                <w:szCs w:val="16"/>
              </w:rPr>
              <w:t>[</w:t>
            </w:r>
            <w:proofErr w:type="gramEnd"/>
            <w:r w:rsidR="00F92DA2">
              <w:rPr>
                <w:rFonts w:ascii="Times New Roman" w:hAnsi="Times New Roman" w:cs="Times New Roman"/>
                <w:sz w:val="16"/>
                <w:szCs w:val="16"/>
              </w:rPr>
              <w:t>29]</w:t>
            </w:r>
            <w:r w:rsidRPr="0064137F">
              <w:rPr>
                <w:rFonts w:ascii="Times New Roman" w:hAnsi="Times New Roman" w:cs="Times New Roman"/>
                <w:sz w:val="16"/>
                <w:szCs w:val="16"/>
              </w:rPr>
              <w:t>, The Netherlands, community</w:t>
            </w:r>
          </w:p>
        </w:tc>
        <w:tc>
          <w:tcPr>
            <w:tcW w:w="708" w:type="dxa"/>
            <w:tcBorders>
              <w:top w:val="single" w:sz="12" w:space="0" w:color="auto"/>
              <w:left w:val="nil"/>
              <w:right w:val="nil"/>
            </w:tcBorders>
            <w:tcMar>
              <w:top w:w="28" w:type="dxa"/>
              <w:bottom w:w="28" w:type="dxa"/>
            </w:tcMar>
            <w:vAlign w:val="center"/>
          </w:tcPr>
          <w:p w14:paraId="510A64AE"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RCT</w:t>
            </w:r>
          </w:p>
        </w:tc>
        <w:tc>
          <w:tcPr>
            <w:tcW w:w="3544" w:type="dxa"/>
            <w:tcBorders>
              <w:top w:val="single" w:sz="12" w:space="0" w:color="auto"/>
              <w:left w:val="nil"/>
              <w:right w:val="nil"/>
            </w:tcBorders>
            <w:tcMar>
              <w:top w:w="28" w:type="dxa"/>
              <w:bottom w:w="28" w:type="dxa"/>
            </w:tcMar>
            <w:vAlign w:val="center"/>
          </w:tcPr>
          <w:p w14:paraId="16C5354A"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Adults with osteoporosis + falls history</w:t>
            </w:r>
          </w:p>
          <w:p w14:paraId="269A15B3"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1. Group 1 (N=50); </w:t>
            </w:r>
            <w:proofErr w:type="gramStart"/>
            <w:r w:rsidRPr="0064137F">
              <w:rPr>
                <w:rFonts w:ascii="Times New Roman" w:eastAsia="Calibri" w:hAnsi="Times New Roman" w:cs="Times New Roman"/>
                <w:sz w:val="16"/>
                <w:szCs w:val="16"/>
              </w:rPr>
              <w:t>2.Group</w:t>
            </w:r>
            <w:proofErr w:type="gramEnd"/>
            <w:r w:rsidRPr="0064137F">
              <w:rPr>
                <w:rFonts w:ascii="Times New Roman" w:eastAsia="Calibri" w:hAnsi="Times New Roman" w:cs="Times New Roman"/>
                <w:sz w:val="16"/>
                <w:szCs w:val="16"/>
              </w:rPr>
              <w:t xml:space="preserve"> 2 (N=46)</w:t>
            </w:r>
          </w:p>
        </w:tc>
        <w:tc>
          <w:tcPr>
            <w:tcW w:w="3260" w:type="dxa"/>
            <w:tcBorders>
              <w:top w:val="single" w:sz="12" w:space="0" w:color="auto"/>
              <w:left w:val="nil"/>
              <w:right w:val="nil"/>
            </w:tcBorders>
            <w:tcMar>
              <w:top w:w="28" w:type="dxa"/>
              <w:bottom w:w="28" w:type="dxa"/>
            </w:tcMar>
            <w:vAlign w:val="center"/>
          </w:tcPr>
          <w:p w14:paraId="003F4840"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1. Falls prevention programme lasting 5.5 wks.</w:t>
            </w:r>
          </w:p>
          <w:p w14:paraId="16C37906"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2. Usual care</w:t>
            </w:r>
          </w:p>
          <w:p w14:paraId="64069061"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Physical therapists, occupational therapists</w:t>
            </w:r>
          </w:p>
        </w:tc>
        <w:tc>
          <w:tcPr>
            <w:tcW w:w="4489" w:type="dxa"/>
            <w:tcBorders>
              <w:top w:val="single" w:sz="12" w:space="0" w:color="auto"/>
              <w:left w:val="nil"/>
              <w:right w:val="nil"/>
            </w:tcBorders>
            <w:tcMar>
              <w:top w:w="28" w:type="dxa"/>
              <w:bottom w:w="28" w:type="dxa"/>
            </w:tcMar>
            <w:vAlign w:val="center"/>
          </w:tcPr>
          <w:p w14:paraId="6ADDC018"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Fall rate at 12mo was 39% lower in the IG compared to the CG (</w:t>
            </w:r>
            <w:r w:rsidRPr="0064137F">
              <w:rPr>
                <w:rFonts w:ascii="Times New Roman" w:hAnsi="Times New Roman" w:cs="Times New Roman"/>
                <w:sz w:val="16"/>
                <w:szCs w:val="16"/>
              </w:rPr>
              <w:t>IRR 0.61, 95%CI 0.40-0.94)</w:t>
            </w:r>
          </w:p>
        </w:tc>
        <w:tc>
          <w:tcPr>
            <w:tcW w:w="567" w:type="dxa"/>
            <w:tcBorders>
              <w:top w:val="single" w:sz="12" w:space="0" w:color="auto"/>
              <w:left w:val="nil"/>
              <w:right w:val="nil"/>
            </w:tcBorders>
            <w:tcMar>
              <w:top w:w="28" w:type="dxa"/>
              <w:bottom w:w="28" w:type="dxa"/>
            </w:tcMar>
            <w:vAlign w:val="center"/>
          </w:tcPr>
          <w:p w14:paraId="581F497C" w14:textId="77777777" w:rsidR="00201E8F" w:rsidRPr="0064137F" w:rsidRDefault="00201E8F" w:rsidP="005F417A">
            <w:pPr>
              <w:jc w:val="center"/>
              <w:rPr>
                <w:rFonts w:ascii="Times New Roman" w:eastAsia="Calibri" w:hAnsi="Times New Roman" w:cs="Times New Roman"/>
                <w:sz w:val="16"/>
                <w:szCs w:val="16"/>
              </w:rPr>
            </w:pPr>
            <w:r w:rsidRPr="0064137F">
              <w:rPr>
                <w:rFonts w:ascii="Times New Roman" w:eastAsia="Calibri" w:hAnsi="Times New Roman" w:cs="Times New Roman"/>
                <w:sz w:val="16"/>
                <w:szCs w:val="16"/>
              </w:rPr>
              <w:t>2</w:t>
            </w:r>
          </w:p>
        </w:tc>
      </w:tr>
      <w:tr w:rsidR="00201E8F" w:rsidRPr="0064137F" w14:paraId="13E20055" w14:textId="77777777" w:rsidTr="008E3C5F">
        <w:trPr>
          <w:trHeight w:val="194"/>
        </w:trPr>
        <w:tc>
          <w:tcPr>
            <w:tcW w:w="2122" w:type="dxa"/>
            <w:tcBorders>
              <w:left w:val="nil"/>
              <w:bottom w:val="single" w:sz="12" w:space="0" w:color="auto"/>
              <w:right w:val="nil"/>
            </w:tcBorders>
            <w:tcMar>
              <w:top w:w="28" w:type="dxa"/>
              <w:bottom w:w="28" w:type="dxa"/>
            </w:tcMar>
            <w:vAlign w:val="center"/>
          </w:tcPr>
          <w:p w14:paraId="62854490" w14:textId="77777777" w:rsidR="00201E8F" w:rsidRPr="0064137F" w:rsidRDefault="00201E8F" w:rsidP="005F417A">
            <w:pPr>
              <w:rPr>
                <w:rFonts w:ascii="Times New Roman" w:hAnsi="Times New Roman" w:cs="Times New Roman"/>
                <w:sz w:val="16"/>
                <w:szCs w:val="16"/>
              </w:rPr>
            </w:pPr>
            <w:proofErr w:type="spellStart"/>
            <w:r w:rsidRPr="0064137F">
              <w:rPr>
                <w:rFonts w:ascii="Times New Roman" w:hAnsi="Times New Roman" w:cs="Times New Roman"/>
                <w:sz w:val="16"/>
                <w:szCs w:val="16"/>
              </w:rPr>
              <w:t>Palvanen</w:t>
            </w:r>
            <w:proofErr w:type="spellEnd"/>
            <w:r w:rsidRPr="0064137F">
              <w:rPr>
                <w:rFonts w:ascii="Times New Roman" w:hAnsi="Times New Roman" w:cs="Times New Roman"/>
                <w:sz w:val="16"/>
                <w:szCs w:val="16"/>
              </w:rPr>
              <w:t xml:space="preserve"> </w:t>
            </w:r>
            <w:proofErr w:type="gramStart"/>
            <w:r w:rsidRPr="0064137F">
              <w:rPr>
                <w:rFonts w:ascii="Times New Roman" w:hAnsi="Times New Roman" w:cs="Times New Roman"/>
                <w:sz w:val="16"/>
                <w:szCs w:val="16"/>
              </w:rPr>
              <w:t>et al.</w:t>
            </w:r>
            <w:r w:rsidR="00F92DA2">
              <w:rPr>
                <w:rFonts w:ascii="Times New Roman" w:hAnsi="Times New Roman" w:cs="Times New Roman"/>
                <w:sz w:val="16"/>
                <w:szCs w:val="16"/>
              </w:rPr>
              <w:t>[</w:t>
            </w:r>
            <w:proofErr w:type="gramEnd"/>
            <w:r w:rsidR="00F92DA2">
              <w:rPr>
                <w:rFonts w:ascii="Times New Roman" w:hAnsi="Times New Roman" w:cs="Times New Roman"/>
                <w:sz w:val="16"/>
                <w:szCs w:val="16"/>
              </w:rPr>
              <w:t>56]</w:t>
            </w:r>
            <w:r w:rsidRPr="0064137F">
              <w:rPr>
                <w:rFonts w:ascii="Times New Roman" w:hAnsi="Times New Roman" w:cs="Times New Roman"/>
                <w:sz w:val="16"/>
                <w:szCs w:val="16"/>
              </w:rPr>
              <w:t>, Finland</w:t>
            </w:r>
          </w:p>
          <w:p w14:paraId="2DA43855" w14:textId="77777777" w:rsidR="00201E8F" w:rsidRPr="0064137F" w:rsidRDefault="00201E8F" w:rsidP="005F417A">
            <w:pPr>
              <w:rPr>
                <w:rFonts w:ascii="Times New Roman" w:hAnsi="Times New Roman" w:cs="Times New Roman"/>
                <w:sz w:val="16"/>
                <w:szCs w:val="16"/>
              </w:rPr>
            </w:pPr>
            <w:r w:rsidRPr="0064137F">
              <w:rPr>
                <w:rFonts w:ascii="Times New Roman" w:hAnsi="Times New Roman" w:cs="Times New Roman"/>
                <w:sz w:val="16"/>
                <w:szCs w:val="16"/>
              </w:rPr>
              <w:t>community</w:t>
            </w:r>
          </w:p>
        </w:tc>
        <w:tc>
          <w:tcPr>
            <w:tcW w:w="708" w:type="dxa"/>
            <w:tcBorders>
              <w:left w:val="nil"/>
              <w:bottom w:val="single" w:sz="12" w:space="0" w:color="auto"/>
              <w:right w:val="nil"/>
            </w:tcBorders>
            <w:tcMar>
              <w:top w:w="28" w:type="dxa"/>
              <w:bottom w:w="28" w:type="dxa"/>
            </w:tcMar>
            <w:vAlign w:val="center"/>
          </w:tcPr>
          <w:p w14:paraId="1011DD90"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RCT</w:t>
            </w:r>
          </w:p>
        </w:tc>
        <w:tc>
          <w:tcPr>
            <w:tcW w:w="3544" w:type="dxa"/>
            <w:tcBorders>
              <w:left w:val="nil"/>
              <w:bottom w:val="single" w:sz="12" w:space="0" w:color="auto"/>
              <w:right w:val="nil"/>
            </w:tcBorders>
            <w:tcMar>
              <w:top w:w="28" w:type="dxa"/>
              <w:bottom w:w="28" w:type="dxa"/>
            </w:tcMar>
            <w:vAlign w:val="center"/>
          </w:tcPr>
          <w:p w14:paraId="186D9822"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Older adults at high risk of fracture</w:t>
            </w:r>
          </w:p>
          <w:p w14:paraId="3F721A62"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1. Group 1 (N=661); </w:t>
            </w:r>
            <w:proofErr w:type="gramStart"/>
            <w:r w:rsidRPr="0064137F">
              <w:rPr>
                <w:rFonts w:ascii="Times New Roman" w:eastAsia="Calibri" w:hAnsi="Times New Roman" w:cs="Times New Roman"/>
                <w:sz w:val="16"/>
                <w:szCs w:val="16"/>
              </w:rPr>
              <w:t>2.Group</w:t>
            </w:r>
            <w:proofErr w:type="gramEnd"/>
            <w:r w:rsidRPr="0064137F">
              <w:rPr>
                <w:rFonts w:ascii="Times New Roman" w:eastAsia="Calibri" w:hAnsi="Times New Roman" w:cs="Times New Roman"/>
                <w:sz w:val="16"/>
                <w:szCs w:val="16"/>
              </w:rPr>
              <w:t xml:space="preserve"> 2 (N=653)</w:t>
            </w:r>
          </w:p>
        </w:tc>
        <w:tc>
          <w:tcPr>
            <w:tcW w:w="3260" w:type="dxa"/>
            <w:tcBorders>
              <w:left w:val="nil"/>
              <w:bottom w:val="single" w:sz="12" w:space="0" w:color="auto"/>
              <w:right w:val="nil"/>
            </w:tcBorders>
            <w:tcMar>
              <w:top w:w="28" w:type="dxa"/>
              <w:bottom w:w="28" w:type="dxa"/>
            </w:tcMar>
            <w:vAlign w:val="center"/>
          </w:tcPr>
          <w:p w14:paraId="176AE6C3"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1. Individualised falls prevention programme </w:t>
            </w:r>
          </w:p>
          <w:p w14:paraId="7B23936A"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2. Brochure</w:t>
            </w:r>
          </w:p>
          <w:p w14:paraId="1EDB3BC7"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Nurse, physiotherapist, physician</w:t>
            </w:r>
          </w:p>
        </w:tc>
        <w:tc>
          <w:tcPr>
            <w:tcW w:w="4489" w:type="dxa"/>
            <w:tcBorders>
              <w:left w:val="nil"/>
              <w:bottom w:val="single" w:sz="12" w:space="0" w:color="auto"/>
              <w:right w:val="nil"/>
            </w:tcBorders>
            <w:tcMar>
              <w:top w:w="28" w:type="dxa"/>
              <w:bottom w:w="28" w:type="dxa"/>
            </w:tcMar>
            <w:vAlign w:val="center"/>
          </w:tcPr>
          <w:p w14:paraId="5B90F4EB" w14:textId="77777777" w:rsidR="00201E8F" w:rsidRPr="0064137F" w:rsidRDefault="00201E8F" w:rsidP="005F417A">
            <w:pPr>
              <w:rPr>
                <w:rFonts w:ascii="Times New Roman" w:eastAsia="Calibri" w:hAnsi="Times New Roman" w:cs="Times New Roman"/>
                <w:sz w:val="16"/>
                <w:szCs w:val="16"/>
              </w:rPr>
            </w:pPr>
            <w:r w:rsidRPr="0064137F">
              <w:rPr>
                <w:rFonts w:ascii="Times New Roman" w:hAnsi="Times New Roman" w:cs="Times New Roman"/>
                <w:sz w:val="16"/>
                <w:szCs w:val="16"/>
              </w:rPr>
              <w:t>Significantly lower rate of falls at 12mo (IRR 0.72, 95%CI 0.61-0.86; p&lt;0.001, NNT=3). Total number of fractures 33 (IG) vs 42 (CG) (IRR 0.77, 95%CI 0.48-1.23; p=0.276)</w:t>
            </w:r>
          </w:p>
        </w:tc>
        <w:tc>
          <w:tcPr>
            <w:tcW w:w="567" w:type="dxa"/>
            <w:tcBorders>
              <w:left w:val="nil"/>
              <w:bottom w:val="single" w:sz="12" w:space="0" w:color="auto"/>
              <w:right w:val="nil"/>
            </w:tcBorders>
            <w:tcMar>
              <w:top w:w="28" w:type="dxa"/>
              <w:bottom w:w="28" w:type="dxa"/>
            </w:tcMar>
            <w:vAlign w:val="center"/>
          </w:tcPr>
          <w:p w14:paraId="6310BAFA" w14:textId="77777777" w:rsidR="00201E8F" w:rsidRPr="0064137F" w:rsidRDefault="00201E8F" w:rsidP="005F417A">
            <w:pPr>
              <w:jc w:val="center"/>
              <w:rPr>
                <w:rFonts w:ascii="Times New Roman" w:eastAsia="Calibri" w:hAnsi="Times New Roman" w:cs="Times New Roman"/>
                <w:sz w:val="16"/>
                <w:szCs w:val="16"/>
              </w:rPr>
            </w:pPr>
            <w:r w:rsidRPr="0064137F">
              <w:rPr>
                <w:rFonts w:ascii="Times New Roman" w:eastAsia="Calibri" w:hAnsi="Times New Roman" w:cs="Times New Roman"/>
                <w:sz w:val="16"/>
                <w:szCs w:val="16"/>
              </w:rPr>
              <w:t>2</w:t>
            </w:r>
          </w:p>
        </w:tc>
      </w:tr>
      <w:tr w:rsidR="00201E8F" w:rsidRPr="0064137F" w14:paraId="34891545" w14:textId="77777777" w:rsidTr="008E3C5F">
        <w:trPr>
          <w:trHeight w:val="170"/>
        </w:trPr>
        <w:tc>
          <w:tcPr>
            <w:tcW w:w="14690" w:type="dxa"/>
            <w:gridSpan w:val="6"/>
            <w:tcBorders>
              <w:top w:val="single" w:sz="12" w:space="0" w:color="auto"/>
              <w:left w:val="nil"/>
              <w:bottom w:val="single" w:sz="12" w:space="0" w:color="auto"/>
              <w:right w:val="nil"/>
            </w:tcBorders>
            <w:shd w:val="clear" w:color="auto" w:fill="D9D9D9" w:themeFill="background1" w:themeFillShade="D9"/>
            <w:tcMar>
              <w:top w:w="28" w:type="dxa"/>
              <w:bottom w:w="28" w:type="dxa"/>
            </w:tcMar>
            <w:vAlign w:val="center"/>
          </w:tcPr>
          <w:p w14:paraId="60338BDA" w14:textId="77777777" w:rsidR="00201E8F" w:rsidRPr="0064137F" w:rsidRDefault="00DD6A30" w:rsidP="005F417A">
            <w:pPr>
              <w:rPr>
                <w:rFonts w:ascii="Times New Roman" w:eastAsia="Calibri" w:hAnsi="Times New Roman" w:cs="Times New Roman"/>
                <w:b/>
                <w:sz w:val="16"/>
                <w:szCs w:val="16"/>
              </w:rPr>
            </w:pPr>
            <w:r>
              <w:rPr>
                <w:rFonts w:ascii="Times New Roman" w:eastAsia="Calibri" w:hAnsi="Times New Roman" w:cs="Times New Roman"/>
                <w:b/>
                <w:sz w:val="16"/>
                <w:szCs w:val="16"/>
              </w:rPr>
              <w:t>iv)</w:t>
            </w:r>
            <w:r w:rsidR="00201E8F" w:rsidRPr="0064137F">
              <w:rPr>
                <w:rFonts w:ascii="Times New Roman" w:eastAsia="Calibri" w:hAnsi="Times New Roman" w:cs="Times New Roman"/>
                <w:b/>
                <w:sz w:val="16"/>
                <w:szCs w:val="16"/>
              </w:rPr>
              <w:t>Education</w:t>
            </w:r>
          </w:p>
        </w:tc>
      </w:tr>
      <w:tr w:rsidR="00201E8F" w:rsidRPr="0064137F" w14:paraId="6E7182AA" w14:textId="77777777" w:rsidTr="008E3C5F">
        <w:trPr>
          <w:trHeight w:val="363"/>
        </w:trPr>
        <w:tc>
          <w:tcPr>
            <w:tcW w:w="2122" w:type="dxa"/>
            <w:tcBorders>
              <w:top w:val="single" w:sz="12" w:space="0" w:color="auto"/>
              <w:left w:val="nil"/>
              <w:bottom w:val="single" w:sz="12" w:space="0" w:color="auto"/>
              <w:right w:val="nil"/>
            </w:tcBorders>
            <w:tcMar>
              <w:top w:w="28" w:type="dxa"/>
              <w:bottom w:w="28" w:type="dxa"/>
            </w:tcMar>
            <w:vAlign w:val="center"/>
          </w:tcPr>
          <w:p w14:paraId="0A01C133" w14:textId="77777777" w:rsidR="00201E8F" w:rsidRPr="0064137F" w:rsidRDefault="00201E8F" w:rsidP="005F417A">
            <w:pPr>
              <w:rPr>
                <w:rFonts w:ascii="Times New Roman" w:hAnsi="Times New Roman" w:cs="Times New Roman"/>
                <w:sz w:val="16"/>
                <w:szCs w:val="16"/>
              </w:rPr>
            </w:pPr>
            <w:r w:rsidRPr="0064137F">
              <w:rPr>
                <w:rFonts w:ascii="Times New Roman" w:hAnsi="Times New Roman" w:cs="Times New Roman"/>
                <w:sz w:val="16"/>
                <w:szCs w:val="16"/>
              </w:rPr>
              <w:t xml:space="preserve">Morfeld </w:t>
            </w:r>
            <w:proofErr w:type="gramStart"/>
            <w:r w:rsidRPr="0064137F">
              <w:rPr>
                <w:rFonts w:ascii="Times New Roman" w:hAnsi="Times New Roman" w:cs="Times New Roman"/>
                <w:sz w:val="16"/>
                <w:szCs w:val="16"/>
              </w:rPr>
              <w:t>et al.</w:t>
            </w:r>
            <w:r w:rsidR="00F92DA2">
              <w:rPr>
                <w:rFonts w:ascii="Times New Roman" w:hAnsi="Times New Roman" w:cs="Times New Roman"/>
                <w:sz w:val="16"/>
                <w:szCs w:val="16"/>
              </w:rPr>
              <w:t>[</w:t>
            </w:r>
            <w:proofErr w:type="gramEnd"/>
            <w:r w:rsidR="00F92DA2">
              <w:rPr>
                <w:rFonts w:ascii="Times New Roman" w:hAnsi="Times New Roman" w:cs="Times New Roman"/>
                <w:sz w:val="16"/>
                <w:szCs w:val="16"/>
              </w:rPr>
              <w:t>60]</w:t>
            </w:r>
          </w:p>
        </w:tc>
        <w:tc>
          <w:tcPr>
            <w:tcW w:w="708" w:type="dxa"/>
            <w:tcBorders>
              <w:top w:val="single" w:sz="12" w:space="0" w:color="auto"/>
              <w:left w:val="nil"/>
              <w:bottom w:val="single" w:sz="12" w:space="0" w:color="auto"/>
              <w:right w:val="nil"/>
            </w:tcBorders>
            <w:tcMar>
              <w:top w:w="28" w:type="dxa"/>
              <w:bottom w:w="28" w:type="dxa"/>
            </w:tcMar>
            <w:vAlign w:val="center"/>
          </w:tcPr>
          <w:p w14:paraId="005D7FCC"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SR</w:t>
            </w:r>
          </w:p>
        </w:tc>
        <w:tc>
          <w:tcPr>
            <w:tcW w:w="3544" w:type="dxa"/>
            <w:tcBorders>
              <w:top w:val="single" w:sz="12" w:space="0" w:color="auto"/>
              <w:left w:val="nil"/>
              <w:bottom w:val="single" w:sz="12" w:space="0" w:color="auto"/>
              <w:right w:val="nil"/>
            </w:tcBorders>
            <w:tcMar>
              <w:top w:w="28" w:type="dxa"/>
              <w:bottom w:w="28" w:type="dxa"/>
            </w:tcMar>
            <w:vAlign w:val="center"/>
          </w:tcPr>
          <w:p w14:paraId="1DFC666A"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Patients with low bone mass</w:t>
            </w:r>
          </w:p>
          <w:p w14:paraId="76F1B7EA"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4 studies (N=2877)</w:t>
            </w:r>
          </w:p>
        </w:tc>
        <w:tc>
          <w:tcPr>
            <w:tcW w:w="3260" w:type="dxa"/>
            <w:tcBorders>
              <w:top w:val="single" w:sz="12" w:space="0" w:color="auto"/>
              <w:left w:val="nil"/>
              <w:bottom w:val="single" w:sz="12" w:space="0" w:color="auto"/>
              <w:right w:val="nil"/>
            </w:tcBorders>
            <w:tcMar>
              <w:top w:w="28" w:type="dxa"/>
              <w:bottom w:w="28" w:type="dxa"/>
            </w:tcMar>
            <w:vAlign w:val="center"/>
          </w:tcPr>
          <w:p w14:paraId="32297835"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Face to face patient education compared to no education or usual care</w:t>
            </w:r>
          </w:p>
        </w:tc>
        <w:tc>
          <w:tcPr>
            <w:tcW w:w="4489" w:type="dxa"/>
            <w:tcBorders>
              <w:top w:val="single" w:sz="12" w:space="0" w:color="auto"/>
              <w:left w:val="nil"/>
              <w:bottom w:val="single" w:sz="12" w:space="0" w:color="auto"/>
              <w:right w:val="nil"/>
            </w:tcBorders>
            <w:tcMar>
              <w:top w:w="28" w:type="dxa"/>
              <w:bottom w:w="28" w:type="dxa"/>
            </w:tcMar>
            <w:vAlign w:val="center"/>
          </w:tcPr>
          <w:p w14:paraId="7BF547D1" w14:textId="77777777" w:rsidR="00201E8F" w:rsidRPr="0064137F" w:rsidRDefault="00201E8F" w:rsidP="005F417A">
            <w:pPr>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1/4 trials showed a significant between group difference in hip fracture incidence at </w:t>
            </w:r>
            <w:proofErr w:type="gramStart"/>
            <w:r w:rsidRPr="0064137F">
              <w:rPr>
                <w:rFonts w:ascii="Times New Roman" w:eastAsia="Calibri" w:hAnsi="Times New Roman" w:cs="Times New Roman"/>
                <w:sz w:val="16"/>
                <w:szCs w:val="16"/>
              </w:rPr>
              <w:t>10 year</w:t>
            </w:r>
            <w:proofErr w:type="gramEnd"/>
            <w:r w:rsidRPr="0064137F">
              <w:rPr>
                <w:rFonts w:ascii="Times New Roman" w:eastAsia="Calibri" w:hAnsi="Times New Roman" w:cs="Times New Roman"/>
                <w:sz w:val="16"/>
                <w:szCs w:val="16"/>
              </w:rPr>
              <w:t xml:space="preserve"> follow-up.</w:t>
            </w:r>
          </w:p>
        </w:tc>
        <w:tc>
          <w:tcPr>
            <w:tcW w:w="567" w:type="dxa"/>
            <w:tcBorders>
              <w:top w:val="single" w:sz="12" w:space="0" w:color="auto"/>
              <w:left w:val="nil"/>
              <w:bottom w:val="single" w:sz="12" w:space="0" w:color="auto"/>
              <w:right w:val="nil"/>
            </w:tcBorders>
            <w:tcMar>
              <w:top w:w="28" w:type="dxa"/>
              <w:bottom w:w="28" w:type="dxa"/>
            </w:tcMar>
            <w:vAlign w:val="center"/>
          </w:tcPr>
          <w:p w14:paraId="0BD11078" w14:textId="77777777" w:rsidR="00201E8F" w:rsidRPr="0064137F" w:rsidRDefault="00201E8F" w:rsidP="005F417A">
            <w:pPr>
              <w:jc w:val="center"/>
              <w:rPr>
                <w:rFonts w:ascii="Times New Roman" w:eastAsia="Calibri" w:hAnsi="Times New Roman" w:cs="Times New Roman"/>
                <w:sz w:val="16"/>
                <w:szCs w:val="16"/>
              </w:rPr>
            </w:pPr>
            <w:r w:rsidRPr="0064137F">
              <w:rPr>
                <w:rFonts w:ascii="Times New Roman" w:eastAsia="Calibri" w:hAnsi="Times New Roman" w:cs="Times New Roman"/>
                <w:sz w:val="16"/>
                <w:szCs w:val="16"/>
              </w:rPr>
              <w:t>2</w:t>
            </w:r>
          </w:p>
        </w:tc>
      </w:tr>
    </w:tbl>
    <w:p w14:paraId="13AEA102" w14:textId="77777777" w:rsidR="00201E8F" w:rsidRPr="0064137F" w:rsidRDefault="00201E8F" w:rsidP="00201E8F">
      <w:pPr>
        <w:spacing w:after="0" w:line="240" w:lineRule="auto"/>
        <w:rPr>
          <w:rFonts w:ascii="Times New Roman" w:eastAsia="Calibri" w:hAnsi="Times New Roman" w:cs="Times New Roman"/>
          <w:sz w:val="16"/>
          <w:szCs w:val="16"/>
        </w:rPr>
      </w:pPr>
      <w:r w:rsidRPr="0064137F">
        <w:rPr>
          <w:rFonts w:ascii="Times New Roman" w:eastAsia="Calibri" w:hAnsi="Times New Roman" w:cs="Times New Roman"/>
          <w:sz w:val="16"/>
          <w:szCs w:val="16"/>
        </w:rPr>
        <w:lastRenderedPageBreak/>
        <w:t xml:space="preserve">Abbreviations: BMC, Bone mineral content; BMD, Bone mineral density; CCT, Controlled clinical trial; CG, Control Group; CI, Confidence Interval; IG, Intervention Group; IRR, Incidence rate ratio; </w:t>
      </w:r>
      <w:proofErr w:type="spellStart"/>
      <w:r w:rsidRPr="0064137F">
        <w:rPr>
          <w:rFonts w:ascii="Times New Roman" w:eastAsia="Calibri" w:hAnsi="Times New Roman" w:cs="Times New Roman"/>
          <w:sz w:val="16"/>
          <w:szCs w:val="16"/>
        </w:rPr>
        <w:t>LoE</w:t>
      </w:r>
      <w:proofErr w:type="spellEnd"/>
      <w:r w:rsidRPr="0064137F">
        <w:rPr>
          <w:rFonts w:ascii="Times New Roman" w:eastAsia="Calibri" w:hAnsi="Times New Roman" w:cs="Times New Roman"/>
          <w:sz w:val="16"/>
          <w:szCs w:val="16"/>
        </w:rPr>
        <w:t xml:space="preserve">, Level of Evidence; LS, Lumbar Spine; </w:t>
      </w:r>
      <w:proofErr w:type="spellStart"/>
      <w:r w:rsidRPr="0064137F">
        <w:rPr>
          <w:rFonts w:ascii="Times New Roman" w:eastAsia="Calibri" w:hAnsi="Times New Roman" w:cs="Times New Roman"/>
          <w:sz w:val="16"/>
          <w:szCs w:val="16"/>
        </w:rPr>
        <w:t>mo</w:t>
      </w:r>
      <w:proofErr w:type="spellEnd"/>
      <w:r w:rsidRPr="0064137F">
        <w:rPr>
          <w:rFonts w:ascii="Times New Roman" w:eastAsia="Calibri" w:hAnsi="Times New Roman" w:cs="Times New Roman"/>
          <w:sz w:val="16"/>
          <w:szCs w:val="16"/>
        </w:rPr>
        <w:t xml:space="preserve">, month; MA, Meta-analysis; NNT, Number needed to treat; NR, nonrandomised; RCT, Randomised Controlled Trial; RR, Relative risk; SMD, Standardised mean difference; SR, Systematic Review; </w:t>
      </w:r>
      <w:proofErr w:type="spellStart"/>
      <w:r w:rsidRPr="0064137F">
        <w:rPr>
          <w:rFonts w:ascii="Times New Roman" w:eastAsia="Calibri" w:hAnsi="Times New Roman" w:cs="Times New Roman"/>
          <w:sz w:val="16"/>
          <w:szCs w:val="16"/>
        </w:rPr>
        <w:t>yr</w:t>
      </w:r>
      <w:proofErr w:type="spellEnd"/>
      <w:r w:rsidRPr="0064137F">
        <w:rPr>
          <w:rFonts w:ascii="Times New Roman" w:eastAsia="Calibri" w:hAnsi="Times New Roman" w:cs="Times New Roman"/>
          <w:sz w:val="16"/>
          <w:szCs w:val="16"/>
        </w:rPr>
        <w:t>, year.</w:t>
      </w:r>
    </w:p>
    <w:p w14:paraId="5BD5906D" w14:textId="77777777" w:rsidR="00201E8F" w:rsidRPr="00C33A5F" w:rsidRDefault="00201E8F" w:rsidP="001B794A">
      <w:pPr>
        <w:spacing w:after="0" w:line="480" w:lineRule="auto"/>
        <w:rPr>
          <w:rFonts w:ascii="Times New Roman" w:eastAsia="Calibri" w:hAnsi="Times New Roman" w:cs="Times New Roman"/>
          <w:sz w:val="24"/>
          <w:szCs w:val="24"/>
          <w:u w:val="single"/>
        </w:rPr>
        <w:sectPr w:rsidR="00201E8F" w:rsidRPr="00C33A5F" w:rsidSect="00201E8F">
          <w:pgSz w:w="16838" w:h="11906" w:orient="landscape"/>
          <w:pgMar w:top="1417" w:right="1417" w:bottom="1417" w:left="1417" w:header="708" w:footer="708" w:gutter="0"/>
          <w:cols w:space="708"/>
          <w:docGrid w:linePitch="360"/>
        </w:sectPr>
      </w:pPr>
      <w:bookmarkStart w:id="0" w:name="_GoBack"/>
      <w:bookmarkEnd w:id="0"/>
    </w:p>
    <w:p w14:paraId="2B127FE3" w14:textId="09C578F3" w:rsidR="00F519E1" w:rsidRPr="008B435D" w:rsidRDefault="00E55ADA" w:rsidP="008B435D">
      <w:pPr>
        <w:pStyle w:val="ListParagraph"/>
        <w:numPr>
          <w:ilvl w:val="0"/>
          <w:numId w:val="18"/>
        </w:numPr>
        <w:spacing w:after="0" w:line="480" w:lineRule="auto"/>
        <w:rPr>
          <w:rFonts w:ascii="Times New Roman" w:eastAsia="Calibri" w:hAnsi="Times New Roman" w:cs="Times New Roman"/>
          <w:sz w:val="24"/>
          <w:szCs w:val="24"/>
          <w:u w:val="single"/>
        </w:rPr>
      </w:pPr>
      <w:r w:rsidRPr="008B435D">
        <w:rPr>
          <w:rFonts w:ascii="Times New Roman" w:eastAsia="Calibri" w:hAnsi="Times New Roman" w:cs="Times New Roman"/>
          <w:sz w:val="24"/>
          <w:szCs w:val="24"/>
          <w:u w:val="single"/>
        </w:rPr>
        <w:lastRenderedPageBreak/>
        <w:t>Exercise</w:t>
      </w:r>
      <w:r w:rsidR="00F8216C" w:rsidRPr="008B435D">
        <w:rPr>
          <w:rFonts w:ascii="Times New Roman" w:eastAsia="Calibri" w:hAnsi="Times New Roman" w:cs="Times New Roman"/>
          <w:sz w:val="24"/>
          <w:szCs w:val="24"/>
          <w:u w:val="single"/>
        </w:rPr>
        <w:t xml:space="preserve"> </w:t>
      </w:r>
    </w:p>
    <w:p w14:paraId="7FC0FC94" w14:textId="77777777" w:rsidR="00693684" w:rsidRPr="00C33A5F" w:rsidRDefault="00693684" w:rsidP="00C9620F">
      <w:pPr>
        <w:spacing w:after="0" w:line="480" w:lineRule="auto"/>
        <w:jc w:val="both"/>
        <w:rPr>
          <w:rFonts w:ascii="Times New Roman" w:eastAsia="Calibri" w:hAnsi="Times New Roman" w:cs="Times New Roman"/>
          <w:sz w:val="24"/>
          <w:szCs w:val="24"/>
        </w:rPr>
      </w:pPr>
      <w:r w:rsidRPr="00C33A5F">
        <w:rPr>
          <w:rFonts w:ascii="Times New Roman" w:eastAsia="Calibri" w:hAnsi="Times New Roman" w:cs="Times New Roman"/>
          <w:sz w:val="24"/>
          <w:szCs w:val="24"/>
        </w:rPr>
        <w:t xml:space="preserve">Evidence from seven publications was synthesised to investigate the effect of exercise on risk of </w:t>
      </w:r>
      <w:proofErr w:type="gramStart"/>
      <w:r w:rsidRPr="00C33A5F">
        <w:rPr>
          <w:rFonts w:ascii="Times New Roman" w:eastAsia="Calibri" w:hAnsi="Times New Roman" w:cs="Times New Roman"/>
          <w:sz w:val="24"/>
          <w:szCs w:val="24"/>
        </w:rPr>
        <w:t>falling</w:t>
      </w:r>
      <w:r w:rsidR="0016189E">
        <w:rPr>
          <w:rFonts w:ascii="Times New Roman" w:eastAsia="Calibri" w:hAnsi="Times New Roman" w:cs="Times New Roman"/>
          <w:sz w:val="24"/>
          <w:szCs w:val="24"/>
        </w:rPr>
        <w:t>[</w:t>
      </w:r>
      <w:proofErr w:type="gramEnd"/>
      <w:r w:rsidR="0016189E">
        <w:rPr>
          <w:rFonts w:ascii="Times New Roman" w:eastAsia="Calibri" w:hAnsi="Times New Roman" w:cs="Times New Roman"/>
          <w:sz w:val="24"/>
          <w:szCs w:val="24"/>
        </w:rPr>
        <w:t>50-52]</w:t>
      </w:r>
      <w:r w:rsidRPr="00C33A5F">
        <w:rPr>
          <w:rFonts w:ascii="Times New Roman" w:eastAsia="Calibri" w:hAnsi="Times New Roman" w:cs="Times New Roman"/>
          <w:sz w:val="24"/>
          <w:szCs w:val="24"/>
        </w:rPr>
        <w:t>, BMD</w:t>
      </w:r>
      <w:r w:rsidR="0016189E">
        <w:rPr>
          <w:rFonts w:ascii="Times New Roman" w:eastAsia="Calibri" w:hAnsi="Times New Roman" w:cs="Times New Roman"/>
          <w:sz w:val="24"/>
          <w:szCs w:val="24"/>
        </w:rPr>
        <w:t>[24,50,51]</w:t>
      </w:r>
      <w:r w:rsidRPr="00C33A5F">
        <w:rPr>
          <w:rFonts w:ascii="Times New Roman" w:hAnsi="Times New Roman" w:cs="Times New Roman"/>
          <w:sz w:val="24"/>
          <w:szCs w:val="24"/>
          <w:vertAlign w:val="subscript"/>
        </w:rPr>
        <w:t>,</w:t>
      </w:r>
      <w:r w:rsidRPr="00C33A5F">
        <w:rPr>
          <w:rFonts w:ascii="Times New Roman" w:eastAsia="Calibri" w:hAnsi="Times New Roman" w:cs="Times New Roman"/>
          <w:sz w:val="24"/>
          <w:szCs w:val="24"/>
        </w:rPr>
        <w:t xml:space="preserve"> incidence rate of fractures</w:t>
      </w:r>
      <w:r w:rsidR="0016189E">
        <w:rPr>
          <w:rFonts w:ascii="Times New Roman" w:eastAsia="Calibri" w:hAnsi="Times New Roman" w:cs="Times New Roman"/>
          <w:sz w:val="24"/>
          <w:szCs w:val="24"/>
        </w:rPr>
        <w:t>[53,55]</w:t>
      </w:r>
      <w:r w:rsidR="00017D49">
        <w:rPr>
          <w:rFonts w:ascii="Times New Roman" w:eastAsia="Calibri" w:hAnsi="Times New Roman" w:cs="Times New Roman"/>
          <w:sz w:val="24"/>
          <w:szCs w:val="24"/>
        </w:rPr>
        <w:t xml:space="preserve"> </w:t>
      </w:r>
      <w:r w:rsidRPr="00C33A5F">
        <w:rPr>
          <w:rFonts w:ascii="Times New Roman" w:eastAsia="Calibri" w:hAnsi="Times New Roman" w:cs="Times New Roman"/>
          <w:sz w:val="24"/>
          <w:szCs w:val="24"/>
        </w:rPr>
        <w:t>and falls</w:t>
      </w:r>
      <w:r w:rsidR="0016189E">
        <w:rPr>
          <w:rFonts w:ascii="Times New Roman" w:eastAsia="Calibri" w:hAnsi="Times New Roman" w:cs="Times New Roman"/>
          <w:sz w:val="24"/>
          <w:szCs w:val="24"/>
        </w:rPr>
        <w:t>[50,54]</w:t>
      </w:r>
      <w:r w:rsidRPr="00C33A5F">
        <w:rPr>
          <w:rFonts w:ascii="Times New Roman" w:eastAsia="Calibri" w:hAnsi="Times New Roman" w:cs="Times New Roman"/>
          <w:sz w:val="24"/>
          <w:szCs w:val="24"/>
        </w:rPr>
        <w:t>. Available evidence from one meta-analysis</w:t>
      </w:r>
      <w:r w:rsidR="0016189E">
        <w:rPr>
          <w:rFonts w:ascii="Times New Roman" w:eastAsia="Calibri" w:hAnsi="Times New Roman" w:cs="Times New Roman"/>
          <w:sz w:val="24"/>
          <w:szCs w:val="24"/>
        </w:rPr>
        <w:t>[52]</w:t>
      </w:r>
      <w:r w:rsidRPr="00C33A5F">
        <w:rPr>
          <w:rFonts w:ascii="Times New Roman" w:eastAsia="Calibri" w:hAnsi="Times New Roman" w:cs="Times New Roman"/>
          <w:sz w:val="24"/>
          <w:szCs w:val="24"/>
        </w:rPr>
        <w:t xml:space="preserve"> suggests that multimodal exercise can reduce risk of falling in participants at high-risk of primary osteoporotic fracture compared to a control group</w:t>
      </w:r>
      <w:r w:rsidR="00AB324B" w:rsidRPr="00C33A5F">
        <w:rPr>
          <w:rFonts w:ascii="Times New Roman" w:eastAsia="Calibri" w:hAnsi="Times New Roman" w:cs="Times New Roman"/>
          <w:sz w:val="24"/>
          <w:szCs w:val="24"/>
        </w:rPr>
        <w:t>,</w:t>
      </w:r>
      <w:r w:rsidRPr="00C33A5F">
        <w:rPr>
          <w:rFonts w:ascii="Times New Roman" w:eastAsia="Calibri" w:hAnsi="Times New Roman" w:cs="Times New Roman"/>
          <w:sz w:val="24"/>
          <w:szCs w:val="24"/>
        </w:rPr>
        <w:t xml:space="preserve"> through improvements in mobility (</w:t>
      </w:r>
      <w:r w:rsidR="00017D49">
        <w:rPr>
          <w:rFonts w:ascii="Times New Roman" w:eastAsia="Calibri" w:hAnsi="Times New Roman" w:cs="Times New Roman"/>
          <w:sz w:val="24"/>
          <w:szCs w:val="24"/>
        </w:rPr>
        <w:t xml:space="preserve">SMD = -0.56, 95%CI -0.81 </w:t>
      </w:r>
      <w:r w:rsidR="00017D49" w:rsidRPr="00DC47F6">
        <w:rPr>
          <w:rFonts w:ascii="Times New Roman" w:eastAsia="Calibri" w:hAnsi="Times New Roman" w:cs="Times New Roman"/>
          <w:sz w:val="24"/>
          <w:szCs w:val="24"/>
        </w:rPr>
        <w:t>to</w:t>
      </w:r>
      <w:r w:rsidR="00017D49">
        <w:rPr>
          <w:rFonts w:ascii="Times New Roman" w:eastAsia="Calibri" w:hAnsi="Times New Roman" w:cs="Times New Roman"/>
          <w:sz w:val="24"/>
          <w:szCs w:val="24"/>
        </w:rPr>
        <w:t xml:space="preserve"> </w:t>
      </w:r>
      <w:r w:rsidRPr="00C33A5F">
        <w:rPr>
          <w:rFonts w:ascii="Times New Roman" w:eastAsia="Calibri" w:hAnsi="Times New Roman" w:cs="Times New Roman"/>
          <w:sz w:val="24"/>
          <w:szCs w:val="24"/>
        </w:rPr>
        <w:t>0.32) and balance (SMD</w:t>
      </w:r>
      <w:r w:rsidR="00017D49">
        <w:rPr>
          <w:rFonts w:ascii="Times New Roman" w:eastAsia="Calibri" w:hAnsi="Times New Roman" w:cs="Times New Roman"/>
          <w:sz w:val="24"/>
          <w:szCs w:val="24"/>
        </w:rPr>
        <w:t xml:space="preserve"> = 0.5, 95%CI 0.27 </w:t>
      </w:r>
      <w:r w:rsidR="00017D49" w:rsidRPr="00DC47F6">
        <w:rPr>
          <w:rFonts w:ascii="Times New Roman" w:eastAsia="Calibri" w:hAnsi="Times New Roman" w:cs="Times New Roman"/>
          <w:sz w:val="24"/>
          <w:szCs w:val="24"/>
        </w:rPr>
        <w:t>to</w:t>
      </w:r>
      <w:r w:rsidR="00017D49">
        <w:rPr>
          <w:rFonts w:ascii="Times New Roman" w:eastAsia="Calibri" w:hAnsi="Times New Roman" w:cs="Times New Roman"/>
          <w:sz w:val="24"/>
          <w:szCs w:val="24"/>
        </w:rPr>
        <w:t xml:space="preserve"> </w:t>
      </w:r>
      <w:r w:rsidRPr="00C33A5F">
        <w:rPr>
          <w:rFonts w:ascii="Times New Roman" w:eastAsia="Calibri" w:hAnsi="Times New Roman" w:cs="Times New Roman"/>
          <w:sz w:val="24"/>
          <w:szCs w:val="24"/>
        </w:rPr>
        <w:t xml:space="preserve">0.74). Likewise, regular multimodal exercise incorporating weight-bearing aerobic exercise and resistance training undertaken for ≥ 1 year, appears to confer positive benefits on </w:t>
      </w:r>
      <w:proofErr w:type="gramStart"/>
      <w:r w:rsidRPr="00C33A5F">
        <w:rPr>
          <w:rFonts w:ascii="Times New Roman" w:eastAsia="Calibri" w:hAnsi="Times New Roman" w:cs="Times New Roman"/>
          <w:sz w:val="24"/>
          <w:szCs w:val="24"/>
        </w:rPr>
        <w:t>BMD</w:t>
      </w:r>
      <w:r w:rsidR="0016189E">
        <w:rPr>
          <w:rFonts w:ascii="Times New Roman" w:eastAsia="Calibri" w:hAnsi="Times New Roman" w:cs="Times New Roman"/>
          <w:sz w:val="24"/>
          <w:szCs w:val="24"/>
        </w:rPr>
        <w:t>[</w:t>
      </w:r>
      <w:proofErr w:type="gramEnd"/>
      <w:r w:rsidR="0016189E">
        <w:rPr>
          <w:rFonts w:ascii="Times New Roman" w:eastAsia="Calibri" w:hAnsi="Times New Roman" w:cs="Times New Roman"/>
          <w:sz w:val="24"/>
          <w:szCs w:val="24"/>
        </w:rPr>
        <w:t>50,54]</w:t>
      </w:r>
      <w:r w:rsidRPr="00C33A5F">
        <w:rPr>
          <w:rFonts w:ascii="Times New Roman" w:eastAsia="Calibri" w:hAnsi="Times New Roman" w:cs="Times New Roman"/>
          <w:sz w:val="24"/>
          <w:szCs w:val="24"/>
        </w:rPr>
        <w:t>, unlike whole body vibration</w:t>
      </w:r>
      <w:r w:rsidR="0016189E">
        <w:rPr>
          <w:rFonts w:ascii="Times New Roman" w:eastAsia="Calibri" w:hAnsi="Times New Roman" w:cs="Times New Roman"/>
          <w:sz w:val="24"/>
          <w:szCs w:val="24"/>
        </w:rPr>
        <w:t>[51]</w:t>
      </w:r>
      <w:r w:rsidRPr="00C33A5F">
        <w:rPr>
          <w:rFonts w:ascii="Times New Roman" w:eastAsia="Calibri" w:hAnsi="Times New Roman" w:cs="Times New Roman"/>
          <w:sz w:val="24"/>
          <w:szCs w:val="24"/>
        </w:rPr>
        <w:t xml:space="preserve"> and low impact mind-body conditioning exercise</w:t>
      </w:r>
      <w:r w:rsidR="0016189E">
        <w:rPr>
          <w:rFonts w:ascii="Times New Roman" w:eastAsia="Calibri" w:hAnsi="Times New Roman" w:cs="Times New Roman"/>
          <w:sz w:val="24"/>
          <w:szCs w:val="24"/>
        </w:rPr>
        <w:t>[24]</w:t>
      </w:r>
      <w:r w:rsidRPr="00C33A5F">
        <w:rPr>
          <w:rFonts w:ascii="Times New Roman" w:eastAsia="Calibri" w:hAnsi="Times New Roman" w:cs="Times New Roman"/>
          <w:sz w:val="24"/>
          <w:szCs w:val="24"/>
        </w:rPr>
        <w:t>.</w:t>
      </w:r>
    </w:p>
    <w:p w14:paraId="29A6C728" w14:textId="77777777" w:rsidR="00A74778" w:rsidRPr="00C33A5F" w:rsidRDefault="00A74778" w:rsidP="001B794A">
      <w:pPr>
        <w:spacing w:after="0" w:line="480" w:lineRule="auto"/>
        <w:rPr>
          <w:rFonts w:ascii="Times New Roman" w:eastAsia="Calibri" w:hAnsi="Times New Roman" w:cs="Times New Roman"/>
          <w:sz w:val="24"/>
          <w:szCs w:val="24"/>
        </w:rPr>
      </w:pPr>
    </w:p>
    <w:p w14:paraId="7E331A13" w14:textId="77777777" w:rsidR="00693684" w:rsidRPr="00C33A5F" w:rsidRDefault="00693684" w:rsidP="00C9620F">
      <w:pPr>
        <w:spacing w:after="0" w:line="480" w:lineRule="auto"/>
        <w:jc w:val="both"/>
        <w:rPr>
          <w:rFonts w:ascii="Times New Roman" w:hAnsi="Times New Roman" w:cs="Times New Roman"/>
          <w:sz w:val="24"/>
          <w:szCs w:val="24"/>
        </w:rPr>
      </w:pPr>
      <w:r w:rsidRPr="00C33A5F">
        <w:rPr>
          <w:rFonts w:ascii="Times New Roman" w:eastAsia="Calibri" w:hAnsi="Times New Roman" w:cs="Times New Roman"/>
          <w:sz w:val="24"/>
          <w:szCs w:val="24"/>
        </w:rPr>
        <w:t xml:space="preserve">Two primary </w:t>
      </w:r>
      <w:proofErr w:type="gramStart"/>
      <w:r w:rsidRPr="00C33A5F">
        <w:rPr>
          <w:rFonts w:ascii="Times New Roman" w:eastAsia="Calibri" w:hAnsi="Times New Roman" w:cs="Times New Roman"/>
          <w:sz w:val="24"/>
          <w:szCs w:val="24"/>
        </w:rPr>
        <w:t>studies</w:t>
      </w:r>
      <w:r w:rsidR="0016189E">
        <w:rPr>
          <w:rFonts w:ascii="Times New Roman" w:eastAsia="Calibri" w:hAnsi="Times New Roman" w:cs="Times New Roman"/>
          <w:sz w:val="24"/>
          <w:szCs w:val="24"/>
        </w:rPr>
        <w:t>[</w:t>
      </w:r>
      <w:proofErr w:type="gramEnd"/>
      <w:r w:rsidR="0016189E">
        <w:rPr>
          <w:rFonts w:ascii="Times New Roman" w:eastAsia="Calibri" w:hAnsi="Times New Roman" w:cs="Times New Roman"/>
          <w:sz w:val="24"/>
          <w:szCs w:val="24"/>
        </w:rPr>
        <w:t>53,55]</w:t>
      </w:r>
      <w:r w:rsidRPr="00C33A5F">
        <w:rPr>
          <w:rFonts w:ascii="Times New Roman" w:eastAsia="Calibri" w:hAnsi="Times New Roman" w:cs="Times New Roman"/>
          <w:sz w:val="24"/>
          <w:szCs w:val="24"/>
        </w:rPr>
        <w:t xml:space="preserve">, one randomised and one non-randomised, </w:t>
      </w:r>
      <w:r w:rsidRPr="00C33A5F">
        <w:rPr>
          <w:rFonts w:ascii="Times New Roman" w:hAnsi="Times New Roman" w:cs="Times New Roman"/>
          <w:sz w:val="24"/>
          <w:szCs w:val="24"/>
        </w:rPr>
        <w:t xml:space="preserve">reported fewer fractures in women with </w:t>
      </w:r>
      <w:r w:rsidR="004642E8">
        <w:rPr>
          <w:rFonts w:ascii="Times New Roman" w:hAnsi="Times New Roman" w:cs="Times New Roman"/>
          <w:sz w:val="24"/>
          <w:szCs w:val="24"/>
        </w:rPr>
        <w:t>low bone mass</w:t>
      </w:r>
      <w:r w:rsidRPr="00C33A5F">
        <w:rPr>
          <w:rFonts w:ascii="Times New Roman" w:hAnsi="Times New Roman" w:cs="Times New Roman"/>
          <w:sz w:val="24"/>
          <w:szCs w:val="24"/>
        </w:rPr>
        <w:t xml:space="preserve"> undertaking </w:t>
      </w:r>
      <w:r w:rsidRPr="00C33A5F">
        <w:rPr>
          <w:rFonts w:ascii="Times New Roman" w:eastAsia="Calibri" w:hAnsi="Times New Roman" w:cs="Times New Roman"/>
          <w:sz w:val="24"/>
          <w:szCs w:val="24"/>
        </w:rPr>
        <w:t xml:space="preserve">regular long-term multimodal exercise at least twice a week </w:t>
      </w:r>
      <w:r w:rsidRPr="00C33A5F">
        <w:rPr>
          <w:rFonts w:ascii="Times New Roman" w:hAnsi="Times New Roman" w:cs="Times New Roman"/>
          <w:sz w:val="24"/>
          <w:szCs w:val="24"/>
        </w:rPr>
        <w:t xml:space="preserve">compared to a control group. </w:t>
      </w:r>
      <w:proofErr w:type="spellStart"/>
      <w:r w:rsidRPr="00C33A5F">
        <w:rPr>
          <w:rFonts w:ascii="Times New Roman" w:hAnsi="Times New Roman" w:cs="Times New Roman"/>
          <w:sz w:val="24"/>
          <w:szCs w:val="24"/>
        </w:rPr>
        <w:t>Korpelainen</w:t>
      </w:r>
      <w:proofErr w:type="spellEnd"/>
      <w:r w:rsidRPr="00C33A5F">
        <w:rPr>
          <w:rFonts w:ascii="Times New Roman" w:hAnsi="Times New Roman" w:cs="Times New Roman"/>
          <w:sz w:val="24"/>
          <w:szCs w:val="24"/>
        </w:rPr>
        <w:t xml:space="preserve"> et al.</w:t>
      </w:r>
      <w:r w:rsidR="00D67DEB">
        <w:rPr>
          <w:rFonts w:ascii="Times New Roman" w:hAnsi="Times New Roman" w:cs="Times New Roman"/>
          <w:sz w:val="24"/>
          <w:szCs w:val="24"/>
        </w:rPr>
        <w:t>[53]</w:t>
      </w:r>
      <w:r w:rsidRPr="00C33A5F">
        <w:rPr>
          <w:rFonts w:ascii="Times New Roman" w:hAnsi="Times New Roman" w:cs="Times New Roman"/>
          <w:sz w:val="24"/>
          <w:szCs w:val="24"/>
        </w:rPr>
        <w:t xml:space="preserve"> stated a f</w:t>
      </w:r>
      <w:r w:rsidR="001034EF">
        <w:rPr>
          <w:rFonts w:ascii="Times New Roman" w:hAnsi="Times New Roman" w:cs="Times New Roman"/>
          <w:sz w:val="24"/>
          <w:szCs w:val="24"/>
        </w:rPr>
        <w:t xml:space="preserve">racture IRR of 0.68 (95%CI 0.34 </w:t>
      </w:r>
      <w:r w:rsidR="001034EF" w:rsidRPr="00DC47F6">
        <w:rPr>
          <w:rFonts w:ascii="Times New Roman" w:hAnsi="Times New Roman" w:cs="Times New Roman"/>
          <w:sz w:val="24"/>
          <w:szCs w:val="24"/>
        </w:rPr>
        <w:t>to</w:t>
      </w:r>
      <w:r w:rsidR="001034EF">
        <w:rPr>
          <w:rFonts w:ascii="Times New Roman" w:hAnsi="Times New Roman" w:cs="Times New Roman"/>
          <w:sz w:val="24"/>
          <w:szCs w:val="24"/>
        </w:rPr>
        <w:t xml:space="preserve"> </w:t>
      </w:r>
      <w:r w:rsidRPr="00C33A5F">
        <w:rPr>
          <w:rFonts w:ascii="Times New Roman" w:hAnsi="Times New Roman" w:cs="Times New Roman"/>
          <w:sz w:val="24"/>
          <w:szCs w:val="24"/>
        </w:rPr>
        <w:t>1.32) following analysis of seven-year data collected from a national hospital discharge register and hospital records, while Kemmler et al.</w:t>
      </w:r>
      <w:r w:rsidR="00D67DEB">
        <w:rPr>
          <w:rFonts w:ascii="Times New Roman" w:hAnsi="Times New Roman" w:cs="Times New Roman"/>
          <w:sz w:val="24"/>
          <w:szCs w:val="24"/>
        </w:rPr>
        <w:t>[55]</w:t>
      </w:r>
      <w:r w:rsidRPr="00C33A5F">
        <w:rPr>
          <w:rFonts w:ascii="Times New Roman" w:hAnsi="Times New Roman" w:cs="Times New Roman"/>
          <w:sz w:val="24"/>
          <w:szCs w:val="24"/>
          <w:vertAlign w:val="superscript"/>
        </w:rPr>
        <w:t xml:space="preserve"> </w:t>
      </w:r>
      <w:r w:rsidRPr="00C33A5F">
        <w:rPr>
          <w:rFonts w:ascii="Times New Roman" w:hAnsi="Times New Roman" w:cs="Times New Roman"/>
          <w:sz w:val="24"/>
          <w:szCs w:val="24"/>
        </w:rPr>
        <w:t>reported a rate</w:t>
      </w:r>
      <w:r w:rsidR="001034EF">
        <w:rPr>
          <w:rFonts w:ascii="Times New Roman" w:hAnsi="Times New Roman" w:cs="Times New Roman"/>
          <w:sz w:val="24"/>
          <w:szCs w:val="24"/>
        </w:rPr>
        <w:t xml:space="preserve"> ratio (RR) of 0.42 (95%CI 0.20 </w:t>
      </w:r>
      <w:r w:rsidR="001034EF" w:rsidRPr="00DC47F6">
        <w:rPr>
          <w:rFonts w:ascii="Times New Roman" w:hAnsi="Times New Roman" w:cs="Times New Roman"/>
          <w:sz w:val="24"/>
          <w:szCs w:val="24"/>
        </w:rPr>
        <w:t>to</w:t>
      </w:r>
      <w:r w:rsidR="001034EF">
        <w:rPr>
          <w:rFonts w:ascii="Times New Roman" w:hAnsi="Times New Roman" w:cs="Times New Roman"/>
          <w:sz w:val="24"/>
          <w:szCs w:val="24"/>
        </w:rPr>
        <w:t xml:space="preserve"> </w:t>
      </w:r>
      <w:r w:rsidRPr="00C33A5F">
        <w:rPr>
          <w:rFonts w:ascii="Times New Roman" w:hAnsi="Times New Roman" w:cs="Times New Roman"/>
          <w:sz w:val="24"/>
          <w:szCs w:val="24"/>
        </w:rPr>
        <w:t xml:space="preserve">0.86) drawing on data gathered via questionnaires and interviews. The effect of exercise on falls incidence was </w:t>
      </w:r>
      <w:proofErr w:type="gramStart"/>
      <w:r w:rsidRPr="00C33A5F">
        <w:rPr>
          <w:rFonts w:ascii="Times New Roman" w:hAnsi="Times New Roman" w:cs="Times New Roman"/>
          <w:sz w:val="24"/>
          <w:szCs w:val="24"/>
        </w:rPr>
        <w:t>variable</w:t>
      </w:r>
      <w:r w:rsidR="00D67DEB">
        <w:rPr>
          <w:rFonts w:ascii="Times New Roman" w:hAnsi="Times New Roman" w:cs="Times New Roman"/>
          <w:sz w:val="24"/>
          <w:szCs w:val="24"/>
        </w:rPr>
        <w:t>[</w:t>
      </w:r>
      <w:proofErr w:type="gramEnd"/>
      <w:r w:rsidR="00D67DEB">
        <w:rPr>
          <w:rFonts w:ascii="Times New Roman" w:hAnsi="Times New Roman" w:cs="Times New Roman"/>
          <w:sz w:val="24"/>
          <w:szCs w:val="24"/>
        </w:rPr>
        <w:t>50,54]</w:t>
      </w:r>
      <w:r w:rsidRPr="00C33A5F">
        <w:rPr>
          <w:rFonts w:ascii="Times New Roman" w:hAnsi="Times New Roman" w:cs="Times New Roman"/>
          <w:sz w:val="24"/>
          <w:szCs w:val="24"/>
        </w:rPr>
        <w:t xml:space="preserve">. In one study, the number of fallers increased following a 12-month multimodal exercise intervention, although the mechanism for this is </w:t>
      </w:r>
      <w:proofErr w:type="gramStart"/>
      <w:r w:rsidRPr="00C33A5F">
        <w:rPr>
          <w:rFonts w:ascii="Times New Roman" w:hAnsi="Times New Roman" w:cs="Times New Roman"/>
          <w:sz w:val="24"/>
          <w:szCs w:val="24"/>
        </w:rPr>
        <w:t>unclear</w:t>
      </w:r>
      <w:r w:rsidR="00D67DEB">
        <w:rPr>
          <w:rFonts w:ascii="Times New Roman" w:hAnsi="Times New Roman" w:cs="Times New Roman"/>
          <w:sz w:val="24"/>
          <w:szCs w:val="24"/>
        </w:rPr>
        <w:t>[</w:t>
      </w:r>
      <w:proofErr w:type="gramEnd"/>
      <w:r w:rsidR="00D67DEB">
        <w:rPr>
          <w:rFonts w:ascii="Times New Roman" w:hAnsi="Times New Roman" w:cs="Times New Roman"/>
          <w:sz w:val="24"/>
          <w:szCs w:val="24"/>
        </w:rPr>
        <w:t>54]</w:t>
      </w:r>
      <w:r w:rsidRPr="00C33A5F">
        <w:rPr>
          <w:rFonts w:ascii="Times New Roman" w:hAnsi="Times New Roman" w:cs="Times New Roman"/>
          <w:sz w:val="24"/>
          <w:szCs w:val="24"/>
        </w:rPr>
        <w:t>.</w:t>
      </w:r>
    </w:p>
    <w:p w14:paraId="097C5539" w14:textId="77777777" w:rsidR="005A51C6" w:rsidRPr="00C33A5F" w:rsidRDefault="005A51C6" w:rsidP="001B794A">
      <w:pPr>
        <w:spacing w:after="0" w:line="480" w:lineRule="auto"/>
        <w:rPr>
          <w:rFonts w:ascii="Times New Roman" w:hAnsi="Times New Roman" w:cs="Times New Roman"/>
          <w:sz w:val="24"/>
          <w:szCs w:val="24"/>
        </w:rPr>
      </w:pPr>
    </w:p>
    <w:p w14:paraId="7BDF7641" w14:textId="0B303577" w:rsidR="00FA7A0E" w:rsidRPr="008B435D" w:rsidRDefault="00521506" w:rsidP="000360F9">
      <w:pPr>
        <w:pStyle w:val="ListParagraph"/>
        <w:numPr>
          <w:ilvl w:val="0"/>
          <w:numId w:val="18"/>
        </w:numPr>
        <w:spacing w:after="0" w:line="480" w:lineRule="auto"/>
        <w:rPr>
          <w:rFonts w:ascii="Times New Roman" w:eastAsia="Calibri" w:hAnsi="Times New Roman" w:cs="Times New Roman"/>
          <w:sz w:val="24"/>
          <w:szCs w:val="24"/>
          <w:u w:val="single"/>
        </w:rPr>
      </w:pPr>
      <w:proofErr w:type="spellStart"/>
      <w:r w:rsidRPr="008B435D">
        <w:rPr>
          <w:rFonts w:ascii="Times New Roman" w:eastAsia="Calibri" w:hAnsi="Times New Roman" w:cs="Times New Roman"/>
          <w:sz w:val="24"/>
          <w:szCs w:val="24"/>
          <w:u w:val="single"/>
        </w:rPr>
        <w:t>Nutriti</w:t>
      </w:r>
      <w:r w:rsidR="00DD6A30" w:rsidRPr="008B435D">
        <w:rPr>
          <w:rFonts w:ascii="Times New Roman" w:eastAsia="Calibri" w:hAnsi="Times New Roman" w:cs="Times New Roman"/>
          <w:sz w:val="24"/>
          <w:szCs w:val="24"/>
          <w:u w:val="single"/>
        </w:rPr>
        <w:t>ment</w:t>
      </w:r>
      <w:r w:rsidR="00DD6A30" w:rsidRPr="000360F9">
        <w:rPr>
          <w:rFonts w:ascii="Times New Roman" w:eastAsia="Calibri" w:hAnsi="Times New Roman" w:cs="Times New Roman"/>
          <w:sz w:val="24"/>
          <w:szCs w:val="24"/>
          <w:u w:val="single"/>
        </w:rPr>
        <w:t>s</w:t>
      </w:r>
      <w:proofErr w:type="spellEnd"/>
      <w:r w:rsidR="000360F9" w:rsidRPr="000360F9">
        <w:rPr>
          <w:u w:val="single"/>
        </w:rPr>
        <w:t xml:space="preserve"> </w:t>
      </w:r>
      <w:r w:rsidR="000360F9" w:rsidRPr="000360F9">
        <w:rPr>
          <w:rFonts w:ascii="Times New Roman" w:eastAsia="Calibri" w:hAnsi="Times New Roman" w:cs="Times New Roman"/>
          <w:sz w:val="24"/>
          <w:szCs w:val="24"/>
          <w:u w:val="single"/>
        </w:rPr>
        <w:t>including Vitamin D plus Calcium and oral nutritional supplements</w:t>
      </w:r>
    </w:p>
    <w:p w14:paraId="432B0B0E" w14:textId="77777777" w:rsidR="00693684" w:rsidRPr="00C33A5F" w:rsidRDefault="002A4B1F" w:rsidP="00C9620F">
      <w:pPr>
        <w:spacing w:after="0" w:line="480" w:lineRule="auto"/>
        <w:jc w:val="both"/>
        <w:rPr>
          <w:rFonts w:ascii="Times New Roman" w:hAnsi="Times New Roman" w:cs="Times New Roman"/>
          <w:sz w:val="24"/>
          <w:szCs w:val="24"/>
        </w:rPr>
      </w:pPr>
      <w:r w:rsidRPr="00C33A5F">
        <w:rPr>
          <w:rFonts w:ascii="Times New Roman" w:eastAsia="Calibri" w:hAnsi="Times New Roman" w:cs="Times New Roman"/>
          <w:sz w:val="24"/>
          <w:szCs w:val="24"/>
        </w:rPr>
        <w:t xml:space="preserve">Publications </w:t>
      </w:r>
      <w:r w:rsidR="00E55ADA" w:rsidRPr="00C33A5F">
        <w:rPr>
          <w:rFonts w:ascii="Times New Roman" w:eastAsia="Calibri" w:hAnsi="Times New Roman" w:cs="Times New Roman"/>
          <w:sz w:val="24"/>
          <w:szCs w:val="24"/>
        </w:rPr>
        <w:t xml:space="preserve">described </w:t>
      </w:r>
      <w:r w:rsidRPr="00C33A5F">
        <w:rPr>
          <w:rFonts w:ascii="Times New Roman" w:eastAsia="Calibri" w:hAnsi="Times New Roman" w:cs="Times New Roman"/>
          <w:sz w:val="24"/>
          <w:szCs w:val="24"/>
        </w:rPr>
        <w:t>nutritional supplementation</w:t>
      </w:r>
      <w:r w:rsidR="00B5232D" w:rsidRPr="00C33A5F">
        <w:rPr>
          <w:rFonts w:ascii="Times New Roman" w:eastAsia="Calibri" w:hAnsi="Times New Roman" w:cs="Times New Roman"/>
          <w:sz w:val="24"/>
          <w:szCs w:val="24"/>
        </w:rPr>
        <w:t xml:space="preserve"> </w:t>
      </w:r>
      <w:r w:rsidRPr="00C33A5F">
        <w:rPr>
          <w:rFonts w:ascii="Times New Roman" w:eastAsia="Calibri" w:hAnsi="Times New Roman" w:cs="Times New Roman"/>
          <w:sz w:val="24"/>
          <w:szCs w:val="24"/>
        </w:rPr>
        <w:t xml:space="preserve">with </w:t>
      </w:r>
      <w:r w:rsidR="00BA7EE2" w:rsidRPr="00C33A5F">
        <w:rPr>
          <w:rFonts w:ascii="Times New Roman" w:eastAsia="Calibri" w:hAnsi="Times New Roman" w:cs="Times New Roman"/>
          <w:sz w:val="24"/>
          <w:szCs w:val="24"/>
        </w:rPr>
        <w:t xml:space="preserve">Vitamin D </w:t>
      </w:r>
      <w:proofErr w:type="gramStart"/>
      <w:r w:rsidR="00BA7EE2" w:rsidRPr="00C33A5F">
        <w:rPr>
          <w:rFonts w:ascii="Times New Roman" w:eastAsia="Calibri" w:hAnsi="Times New Roman" w:cs="Times New Roman"/>
          <w:sz w:val="24"/>
          <w:szCs w:val="24"/>
        </w:rPr>
        <w:t>analogues</w:t>
      </w:r>
      <w:r w:rsidR="00D67DEB">
        <w:rPr>
          <w:rFonts w:ascii="Times New Roman" w:eastAsia="Calibri" w:hAnsi="Times New Roman" w:cs="Times New Roman"/>
          <w:sz w:val="24"/>
          <w:szCs w:val="24"/>
        </w:rPr>
        <w:t>[</w:t>
      </w:r>
      <w:proofErr w:type="gramEnd"/>
      <w:r w:rsidR="00D67DEB">
        <w:rPr>
          <w:rFonts w:ascii="Times New Roman" w:eastAsia="Calibri" w:hAnsi="Times New Roman" w:cs="Times New Roman"/>
          <w:sz w:val="24"/>
          <w:szCs w:val="24"/>
        </w:rPr>
        <w:t>57]</w:t>
      </w:r>
      <w:r w:rsidR="00BA7EE2" w:rsidRPr="00C33A5F">
        <w:rPr>
          <w:rFonts w:ascii="Times New Roman" w:eastAsia="Calibri" w:hAnsi="Times New Roman" w:cs="Times New Roman"/>
          <w:sz w:val="24"/>
          <w:szCs w:val="24"/>
        </w:rPr>
        <w:t xml:space="preserve">, </w:t>
      </w:r>
      <w:r w:rsidR="00824615" w:rsidRPr="00C33A5F">
        <w:rPr>
          <w:rFonts w:ascii="Times New Roman" w:eastAsia="Calibri" w:hAnsi="Times New Roman" w:cs="Times New Roman"/>
          <w:sz w:val="24"/>
          <w:szCs w:val="24"/>
        </w:rPr>
        <w:t>protein</w:t>
      </w:r>
      <w:r w:rsidR="00D67DEB">
        <w:rPr>
          <w:rFonts w:ascii="Times New Roman" w:eastAsia="Calibri" w:hAnsi="Times New Roman" w:cs="Times New Roman"/>
          <w:sz w:val="24"/>
          <w:szCs w:val="24"/>
        </w:rPr>
        <w:t>[58]</w:t>
      </w:r>
      <w:r w:rsidR="00824615" w:rsidRPr="00C33A5F">
        <w:rPr>
          <w:rFonts w:ascii="Times New Roman" w:eastAsia="Calibri" w:hAnsi="Times New Roman" w:cs="Times New Roman"/>
          <w:sz w:val="24"/>
          <w:szCs w:val="24"/>
        </w:rPr>
        <w:t>, and Vitamin K</w:t>
      </w:r>
      <w:r w:rsidR="00D67DEB">
        <w:rPr>
          <w:rFonts w:ascii="Times New Roman" w:eastAsia="Calibri" w:hAnsi="Times New Roman" w:cs="Times New Roman"/>
          <w:sz w:val="24"/>
          <w:szCs w:val="24"/>
        </w:rPr>
        <w:t>[59]</w:t>
      </w:r>
      <w:r w:rsidR="00CB09DF" w:rsidRPr="00C33A5F">
        <w:rPr>
          <w:rFonts w:ascii="Times New Roman" w:eastAsia="Calibri" w:hAnsi="Times New Roman" w:cs="Times New Roman"/>
          <w:sz w:val="24"/>
          <w:szCs w:val="24"/>
        </w:rPr>
        <w:t>.</w:t>
      </w:r>
      <w:r w:rsidR="00B5232D" w:rsidRPr="00C33A5F">
        <w:rPr>
          <w:rFonts w:ascii="Times New Roman" w:eastAsia="Calibri" w:hAnsi="Times New Roman" w:cs="Times New Roman"/>
          <w:sz w:val="24"/>
          <w:szCs w:val="24"/>
        </w:rPr>
        <w:t xml:space="preserve"> </w:t>
      </w:r>
      <w:r w:rsidR="00B5232D" w:rsidRPr="00C33A5F">
        <w:rPr>
          <w:rFonts w:ascii="Times New Roman" w:hAnsi="Times New Roman" w:cs="Times New Roman"/>
          <w:sz w:val="24"/>
          <w:szCs w:val="24"/>
        </w:rPr>
        <w:t xml:space="preserve">Change in </w:t>
      </w:r>
      <w:r w:rsidR="00CB09DF" w:rsidRPr="00C33A5F">
        <w:rPr>
          <w:rFonts w:ascii="Times New Roman" w:hAnsi="Times New Roman" w:cs="Times New Roman"/>
          <w:sz w:val="24"/>
          <w:szCs w:val="24"/>
        </w:rPr>
        <w:t>BMD</w:t>
      </w:r>
      <w:r w:rsidR="00B5232D" w:rsidRPr="00C33A5F">
        <w:rPr>
          <w:rFonts w:ascii="Times New Roman" w:hAnsi="Times New Roman" w:cs="Times New Roman"/>
          <w:sz w:val="24"/>
          <w:szCs w:val="24"/>
        </w:rPr>
        <w:t xml:space="preserve"> was the primary outcome in </w:t>
      </w:r>
      <w:r w:rsidR="003A617C" w:rsidRPr="00C33A5F">
        <w:rPr>
          <w:rFonts w:ascii="Times New Roman" w:hAnsi="Times New Roman" w:cs="Times New Roman"/>
          <w:sz w:val="24"/>
          <w:szCs w:val="24"/>
        </w:rPr>
        <w:t xml:space="preserve">all </w:t>
      </w:r>
      <w:r w:rsidR="00CB09DF" w:rsidRPr="00C33A5F">
        <w:rPr>
          <w:rFonts w:ascii="Times New Roman" w:hAnsi="Times New Roman" w:cs="Times New Roman"/>
          <w:sz w:val="24"/>
          <w:szCs w:val="24"/>
        </w:rPr>
        <w:t>studies</w:t>
      </w:r>
      <w:r w:rsidR="00451E11" w:rsidRPr="00C33A5F">
        <w:rPr>
          <w:rFonts w:ascii="Times New Roman" w:hAnsi="Times New Roman" w:cs="Times New Roman"/>
          <w:sz w:val="24"/>
          <w:szCs w:val="24"/>
        </w:rPr>
        <w:t xml:space="preserve"> and was assessed </w:t>
      </w:r>
      <w:r w:rsidR="0029079A" w:rsidRPr="00C33A5F">
        <w:rPr>
          <w:rFonts w:ascii="Times New Roman" w:hAnsi="Times New Roman" w:cs="Times New Roman"/>
          <w:sz w:val="24"/>
          <w:szCs w:val="24"/>
        </w:rPr>
        <w:t>between</w:t>
      </w:r>
      <w:r w:rsidR="00AB324B" w:rsidRPr="00C33A5F">
        <w:rPr>
          <w:rFonts w:ascii="Times New Roman" w:hAnsi="Times New Roman" w:cs="Times New Roman"/>
          <w:sz w:val="24"/>
          <w:szCs w:val="24"/>
        </w:rPr>
        <w:t xml:space="preserve"> 9-</w:t>
      </w:r>
      <w:r w:rsidR="00451E11" w:rsidRPr="00C33A5F">
        <w:rPr>
          <w:rFonts w:ascii="Times New Roman" w:hAnsi="Times New Roman" w:cs="Times New Roman"/>
          <w:sz w:val="24"/>
          <w:szCs w:val="24"/>
        </w:rPr>
        <w:t xml:space="preserve">weeks </w:t>
      </w:r>
      <w:r w:rsidR="0029079A" w:rsidRPr="00C33A5F">
        <w:rPr>
          <w:rFonts w:ascii="Times New Roman" w:hAnsi="Times New Roman" w:cs="Times New Roman"/>
          <w:sz w:val="24"/>
          <w:szCs w:val="24"/>
        </w:rPr>
        <w:t>and</w:t>
      </w:r>
      <w:r w:rsidR="00AB324B" w:rsidRPr="00C33A5F">
        <w:rPr>
          <w:rFonts w:ascii="Times New Roman" w:hAnsi="Times New Roman" w:cs="Times New Roman"/>
          <w:sz w:val="24"/>
          <w:szCs w:val="24"/>
        </w:rPr>
        <w:t xml:space="preserve"> 48-</w:t>
      </w:r>
      <w:r w:rsidR="00451E11" w:rsidRPr="00C33A5F">
        <w:rPr>
          <w:rFonts w:ascii="Times New Roman" w:hAnsi="Times New Roman" w:cs="Times New Roman"/>
          <w:sz w:val="24"/>
          <w:szCs w:val="24"/>
        </w:rPr>
        <w:t>months.</w:t>
      </w:r>
      <w:r w:rsidR="00B5232D" w:rsidRPr="00C33A5F">
        <w:rPr>
          <w:rFonts w:ascii="Times New Roman" w:hAnsi="Times New Roman" w:cs="Times New Roman"/>
          <w:sz w:val="24"/>
          <w:szCs w:val="24"/>
        </w:rPr>
        <w:t xml:space="preserve"> </w:t>
      </w:r>
      <w:r w:rsidR="00451E11" w:rsidRPr="00C33A5F">
        <w:rPr>
          <w:rFonts w:ascii="Times New Roman" w:hAnsi="Times New Roman" w:cs="Times New Roman"/>
          <w:sz w:val="24"/>
          <w:szCs w:val="24"/>
        </w:rPr>
        <w:t xml:space="preserve">One </w:t>
      </w:r>
      <w:proofErr w:type="gramStart"/>
      <w:r w:rsidR="00824615" w:rsidRPr="00C33A5F">
        <w:rPr>
          <w:rFonts w:ascii="Times New Roman" w:hAnsi="Times New Roman" w:cs="Times New Roman"/>
          <w:sz w:val="24"/>
          <w:szCs w:val="24"/>
        </w:rPr>
        <w:t>study</w:t>
      </w:r>
      <w:r w:rsidR="00D67DEB">
        <w:rPr>
          <w:rFonts w:ascii="Times New Roman" w:hAnsi="Times New Roman" w:cs="Times New Roman"/>
          <w:sz w:val="24"/>
          <w:szCs w:val="24"/>
        </w:rPr>
        <w:t>[</w:t>
      </w:r>
      <w:proofErr w:type="gramEnd"/>
      <w:r w:rsidR="00D67DEB">
        <w:rPr>
          <w:rFonts w:ascii="Times New Roman" w:hAnsi="Times New Roman" w:cs="Times New Roman"/>
          <w:sz w:val="24"/>
          <w:szCs w:val="24"/>
        </w:rPr>
        <w:t>59]</w:t>
      </w:r>
      <w:r w:rsidR="00B5232D" w:rsidRPr="00C33A5F">
        <w:rPr>
          <w:rFonts w:ascii="Times New Roman" w:hAnsi="Times New Roman" w:cs="Times New Roman"/>
          <w:sz w:val="24"/>
          <w:szCs w:val="24"/>
        </w:rPr>
        <w:t xml:space="preserve"> reported fracture incidence as a secondary outcome.</w:t>
      </w:r>
      <w:r w:rsidR="00521506" w:rsidRPr="00C33A5F">
        <w:rPr>
          <w:rFonts w:ascii="Times New Roman" w:hAnsi="Times New Roman" w:cs="Times New Roman"/>
          <w:sz w:val="24"/>
          <w:szCs w:val="24"/>
        </w:rPr>
        <w:t xml:space="preserve"> </w:t>
      </w:r>
      <w:r w:rsidR="00CB09DF" w:rsidRPr="00C33A5F">
        <w:rPr>
          <w:rFonts w:ascii="Times New Roman" w:hAnsi="Times New Roman" w:cs="Times New Roman"/>
          <w:sz w:val="24"/>
          <w:szCs w:val="24"/>
        </w:rPr>
        <w:t xml:space="preserve">All </w:t>
      </w:r>
      <w:r w:rsidR="00583EB8" w:rsidRPr="00C33A5F">
        <w:rPr>
          <w:rFonts w:ascii="Times New Roman" w:hAnsi="Times New Roman" w:cs="Times New Roman"/>
          <w:sz w:val="24"/>
          <w:szCs w:val="24"/>
        </w:rPr>
        <w:t xml:space="preserve">study </w:t>
      </w:r>
      <w:r w:rsidR="00CB09DF" w:rsidRPr="00C33A5F">
        <w:rPr>
          <w:rFonts w:ascii="Times New Roman" w:hAnsi="Times New Roman" w:cs="Times New Roman"/>
          <w:sz w:val="24"/>
          <w:szCs w:val="24"/>
        </w:rPr>
        <w:t>p</w:t>
      </w:r>
      <w:r w:rsidR="00521506" w:rsidRPr="00C33A5F">
        <w:rPr>
          <w:rFonts w:ascii="Times New Roman" w:hAnsi="Times New Roman" w:cs="Times New Roman"/>
          <w:sz w:val="24"/>
          <w:szCs w:val="24"/>
        </w:rPr>
        <w:t xml:space="preserve">articipants </w:t>
      </w:r>
      <w:r w:rsidR="002C3C7F" w:rsidRPr="00C33A5F">
        <w:rPr>
          <w:rFonts w:ascii="Times New Roman" w:hAnsi="Times New Roman" w:cs="Times New Roman"/>
          <w:sz w:val="24"/>
          <w:szCs w:val="24"/>
        </w:rPr>
        <w:t>were women.</w:t>
      </w:r>
      <w:r w:rsidR="00BA3168" w:rsidRPr="00C33A5F">
        <w:rPr>
          <w:rFonts w:ascii="Times New Roman" w:hAnsi="Times New Roman" w:cs="Times New Roman"/>
          <w:sz w:val="24"/>
          <w:szCs w:val="24"/>
        </w:rPr>
        <w:t xml:space="preserve"> </w:t>
      </w:r>
      <w:r w:rsidR="00521506" w:rsidRPr="00C33A5F">
        <w:rPr>
          <w:rFonts w:ascii="Times New Roman" w:hAnsi="Times New Roman" w:cs="Times New Roman"/>
          <w:sz w:val="24"/>
          <w:szCs w:val="24"/>
        </w:rPr>
        <w:t>Data synthesis</w:t>
      </w:r>
      <w:r w:rsidR="00442972" w:rsidRPr="00C33A5F">
        <w:rPr>
          <w:rFonts w:ascii="Times New Roman" w:hAnsi="Times New Roman" w:cs="Times New Roman"/>
          <w:sz w:val="24"/>
          <w:szCs w:val="24"/>
        </w:rPr>
        <w:t xml:space="preserve"> showed that </w:t>
      </w:r>
      <w:r w:rsidR="00521506" w:rsidRPr="00C33A5F">
        <w:rPr>
          <w:rFonts w:ascii="Times New Roman" w:hAnsi="Times New Roman" w:cs="Times New Roman"/>
          <w:sz w:val="24"/>
          <w:szCs w:val="24"/>
        </w:rPr>
        <w:t>supplementation</w:t>
      </w:r>
      <w:r w:rsidR="00530D49" w:rsidRPr="00C33A5F">
        <w:rPr>
          <w:rFonts w:ascii="Times New Roman" w:hAnsi="Times New Roman" w:cs="Times New Roman"/>
          <w:sz w:val="24"/>
          <w:szCs w:val="24"/>
        </w:rPr>
        <w:t xml:space="preserve"> </w:t>
      </w:r>
      <w:r w:rsidR="00BF0CA3" w:rsidRPr="00C33A5F">
        <w:rPr>
          <w:rFonts w:ascii="Times New Roman" w:hAnsi="Times New Roman" w:cs="Times New Roman"/>
          <w:sz w:val="24"/>
          <w:szCs w:val="24"/>
        </w:rPr>
        <w:t xml:space="preserve">with </w:t>
      </w:r>
      <w:r w:rsidR="00BF0CA3" w:rsidRPr="00C33A5F">
        <w:rPr>
          <w:rFonts w:ascii="Times New Roman" w:hAnsi="Times New Roman" w:cs="Times New Roman"/>
          <w:sz w:val="24"/>
          <w:szCs w:val="24"/>
        </w:rPr>
        <w:lastRenderedPageBreak/>
        <w:t xml:space="preserve">Vitamin D </w:t>
      </w:r>
      <w:r w:rsidR="007B5122" w:rsidRPr="00C33A5F">
        <w:rPr>
          <w:rFonts w:ascii="Times New Roman" w:hAnsi="Times New Roman" w:cs="Times New Roman"/>
          <w:sz w:val="24"/>
          <w:szCs w:val="24"/>
        </w:rPr>
        <w:t>analogues (</w:t>
      </w:r>
      <w:proofErr w:type="spellStart"/>
      <w:r w:rsidR="00BF0CA3" w:rsidRPr="00C33A5F">
        <w:rPr>
          <w:rFonts w:ascii="Times New Roman" w:hAnsi="Times New Roman" w:cs="Times New Roman"/>
          <w:bCs/>
          <w:color w:val="000000"/>
          <w:sz w:val="24"/>
          <w:szCs w:val="24"/>
        </w:rPr>
        <w:t>Alfacalcidol</w:t>
      </w:r>
      <w:proofErr w:type="spellEnd"/>
      <w:r w:rsidR="00BF0CA3" w:rsidRPr="00C33A5F">
        <w:rPr>
          <w:rFonts w:ascii="Times New Roman" w:hAnsi="Times New Roman" w:cs="Times New Roman"/>
          <w:bCs/>
          <w:color w:val="000000"/>
          <w:sz w:val="24"/>
          <w:szCs w:val="24"/>
        </w:rPr>
        <w:t xml:space="preserve"> and </w:t>
      </w:r>
      <w:r w:rsidR="00BF0CA3" w:rsidRPr="00C33A5F">
        <w:rPr>
          <w:rFonts w:ascii="Times New Roman" w:hAnsi="Times New Roman" w:cs="Times New Roman"/>
          <w:sz w:val="24"/>
          <w:szCs w:val="24"/>
        </w:rPr>
        <w:t>2-methylene-19-nor-(20S)-1α,25-dihydroxyvitamin D</w:t>
      </w:r>
      <w:r w:rsidR="00BF0CA3" w:rsidRPr="00C33A5F">
        <w:rPr>
          <w:rFonts w:ascii="Times New Roman" w:hAnsi="Times New Roman" w:cs="Times New Roman"/>
          <w:sz w:val="24"/>
          <w:szCs w:val="24"/>
          <w:vertAlign w:val="subscript"/>
        </w:rPr>
        <w:t>3</w:t>
      </w:r>
      <w:r w:rsidR="00BF0CA3" w:rsidRPr="00C33A5F">
        <w:rPr>
          <w:rFonts w:ascii="Times New Roman" w:hAnsi="Times New Roman" w:cs="Times New Roman"/>
          <w:sz w:val="24"/>
          <w:szCs w:val="24"/>
        </w:rPr>
        <w:t xml:space="preserve"> (2MD)</w:t>
      </w:r>
      <w:r w:rsidR="007B5122" w:rsidRPr="00C33A5F">
        <w:rPr>
          <w:rFonts w:ascii="Times New Roman" w:hAnsi="Times New Roman" w:cs="Times New Roman"/>
          <w:sz w:val="24"/>
          <w:szCs w:val="24"/>
        </w:rPr>
        <w:t>)</w:t>
      </w:r>
      <w:r w:rsidR="00583EB8" w:rsidRPr="00C33A5F">
        <w:rPr>
          <w:rFonts w:ascii="Times New Roman" w:hAnsi="Times New Roman" w:cs="Times New Roman"/>
          <w:sz w:val="24"/>
          <w:szCs w:val="24"/>
        </w:rPr>
        <w:t xml:space="preserve"> </w:t>
      </w:r>
      <w:r w:rsidR="007B5122" w:rsidRPr="00C33A5F">
        <w:rPr>
          <w:rFonts w:ascii="Times New Roman" w:hAnsi="Times New Roman" w:cs="Times New Roman"/>
          <w:sz w:val="24"/>
          <w:szCs w:val="24"/>
        </w:rPr>
        <w:t>and</w:t>
      </w:r>
      <w:r w:rsidR="00BF0CA3" w:rsidRPr="00C33A5F">
        <w:rPr>
          <w:rFonts w:ascii="Times New Roman" w:hAnsi="Times New Roman" w:cs="Times New Roman"/>
          <w:sz w:val="24"/>
          <w:szCs w:val="24"/>
        </w:rPr>
        <w:t xml:space="preserve"> daily Vitamin K1 (5mg)</w:t>
      </w:r>
      <w:r w:rsidR="00442972" w:rsidRPr="00C33A5F">
        <w:rPr>
          <w:rFonts w:ascii="Times New Roman" w:hAnsi="Times New Roman" w:cs="Times New Roman"/>
          <w:sz w:val="24"/>
          <w:szCs w:val="24"/>
        </w:rPr>
        <w:t>,</w:t>
      </w:r>
      <w:r w:rsidR="00BF0CA3" w:rsidRPr="00C33A5F">
        <w:rPr>
          <w:rFonts w:ascii="Times New Roman" w:hAnsi="Times New Roman" w:cs="Times New Roman"/>
          <w:sz w:val="24"/>
          <w:szCs w:val="24"/>
        </w:rPr>
        <w:t xml:space="preserve"> </w:t>
      </w:r>
      <w:r w:rsidR="007B5122" w:rsidRPr="00C33A5F">
        <w:rPr>
          <w:rFonts w:ascii="Times New Roman" w:hAnsi="Times New Roman" w:cs="Times New Roman"/>
          <w:sz w:val="24"/>
          <w:szCs w:val="24"/>
        </w:rPr>
        <w:t>had no positive</w:t>
      </w:r>
      <w:r w:rsidR="00530D49" w:rsidRPr="00C33A5F">
        <w:rPr>
          <w:rFonts w:ascii="Times New Roman" w:hAnsi="Times New Roman" w:cs="Times New Roman"/>
          <w:sz w:val="24"/>
          <w:szCs w:val="24"/>
        </w:rPr>
        <w:t xml:space="preserve"> impact </w:t>
      </w:r>
      <w:r w:rsidR="007B5122" w:rsidRPr="00C33A5F">
        <w:rPr>
          <w:rFonts w:ascii="Times New Roman" w:hAnsi="Times New Roman" w:cs="Times New Roman"/>
          <w:sz w:val="24"/>
          <w:szCs w:val="24"/>
        </w:rPr>
        <w:t xml:space="preserve">on </w:t>
      </w:r>
      <w:r w:rsidR="00530D49" w:rsidRPr="00C33A5F">
        <w:rPr>
          <w:rFonts w:ascii="Times New Roman" w:hAnsi="Times New Roman" w:cs="Times New Roman"/>
          <w:sz w:val="24"/>
          <w:szCs w:val="24"/>
        </w:rPr>
        <w:t xml:space="preserve">BMD </w:t>
      </w:r>
      <w:r w:rsidR="00D5334D" w:rsidRPr="00C33A5F">
        <w:rPr>
          <w:rFonts w:ascii="Times New Roman" w:hAnsi="Times New Roman" w:cs="Times New Roman"/>
          <w:sz w:val="24"/>
          <w:szCs w:val="24"/>
        </w:rPr>
        <w:t xml:space="preserve">when </w:t>
      </w:r>
      <w:r w:rsidR="007B5122" w:rsidRPr="00C33A5F">
        <w:rPr>
          <w:rFonts w:ascii="Times New Roman" w:hAnsi="Times New Roman" w:cs="Times New Roman"/>
          <w:sz w:val="24"/>
          <w:szCs w:val="24"/>
        </w:rPr>
        <w:t xml:space="preserve">assessed </w:t>
      </w:r>
      <w:r w:rsidR="00D5334D" w:rsidRPr="00C33A5F">
        <w:rPr>
          <w:rFonts w:ascii="Times New Roman" w:hAnsi="Times New Roman" w:cs="Times New Roman"/>
          <w:sz w:val="24"/>
          <w:szCs w:val="24"/>
        </w:rPr>
        <w:t>between</w:t>
      </w:r>
      <w:r w:rsidR="00265447" w:rsidRPr="00C33A5F">
        <w:rPr>
          <w:rFonts w:ascii="Times New Roman" w:hAnsi="Times New Roman" w:cs="Times New Roman"/>
          <w:sz w:val="24"/>
          <w:szCs w:val="24"/>
        </w:rPr>
        <w:t xml:space="preserve"> 6 and 48</w:t>
      </w:r>
      <w:r w:rsidR="002537EB" w:rsidRPr="00C33A5F">
        <w:rPr>
          <w:rFonts w:ascii="Times New Roman" w:hAnsi="Times New Roman" w:cs="Times New Roman"/>
          <w:sz w:val="24"/>
          <w:szCs w:val="24"/>
        </w:rPr>
        <w:t xml:space="preserve"> </w:t>
      </w:r>
      <w:r w:rsidR="00530D49" w:rsidRPr="00C33A5F">
        <w:rPr>
          <w:rFonts w:ascii="Times New Roman" w:hAnsi="Times New Roman" w:cs="Times New Roman"/>
          <w:sz w:val="24"/>
          <w:szCs w:val="24"/>
        </w:rPr>
        <w:t>months</w:t>
      </w:r>
      <w:r w:rsidR="00442972" w:rsidRPr="00C33A5F">
        <w:rPr>
          <w:rFonts w:ascii="Times New Roman" w:hAnsi="Times New Roman" w:cs="Times New Roman"/>
          <w:sz w:val="24"/>
          <w:szCs w:val="24"/>
        </w:rPr>
        <w:t xml:space="preserve">. </w:t>
      </w:r>
      <w:r w:rsidR="0045537F" w:rsidRPr="00C33A5F">
        <w:rPr>
          <w:rFonts w:ascii="Times New Roman" w:hAnsi="Times New Roman" w:cs="Times New Roman"/>
          <w:sz w:val="24"/>
          <w:szCs w:val="24"/>
        </w:rPr>
        <w:t>Evidence for the</w:t>
      </w:r>
      <w:r w:rsidR="008A16D2" w:rsidRPr="00C33A5F">
        <w:rPr>
          <w:rFonts w:ascii="Times New Roman" w:hAnsi="Times New Roman" w:cs="Times New Roman"/>
          <w:sz w:val="24"/>
          <w:szCs w:val="24"/>
        </w:rPr>
        <w:t xml:space="preserve"> effect of protein interventions was </w:t>
      </w:r>
      <w:r w:rsidR="00027704" w:rsidRPr="00C33A5F">
        <w:rPr>
          <w:rFonts w:ascii="Times New Roman" w:hAnsi="Times New Roman" w:cs="Times New Roman"/>
          <w:sz w:val="24"/>
          <w:szCs w:val="24"/>
        </w:rPr>
        <w:t xml:space="preserve">limited and the findings were </w:t>
      </w:r>
      <w:r w:rsidR="0045537F" w:rsidRPr="00C33A5F">
        <w:rPr>
          <w:rFonts w:ascii="Times New Roman" w:hAnsi="Times New Roman" w:cs="Times New Roman"/>
          <w:sz w:val="24"/>
          <w:szCs w:val="24"/>
        </w:rPr>
        <w:t>contradictory</w:t>
      </w:r>
      <w:r w:rsidR="0029079A" w:rsidRPr="00C33A5F">
        <w:rPr>
          <w:rFonts w:ascii="Times New Roman" w:hAnsi="Times New Roman" w:cs="Times New Roman"/>
          <w:sz w:val="24"/>
          <w:szCs w:val="24"/>
        </w:rPr>
        <w:t xml:space="preserve">. </w:t>
      </w:r>
      <w:r w:rsidR="00693684" w:rsidRPr="00C33A5F">
        <w:rPr>
          <w:rFonts w:ascii="Times New Roman" w:hAnsi="Times New Roman" w:cs="Times New Roman"/>
          <w:sz w:val="24"/>
          <w:szCs w:val="24"/>
        </w:rPr>
        <w:t xml:space="preserve">Two high quality RCTs included in a systematic review by </w:t>
      </w:r>
      <w:proofErr w:type="spellStart"/>
      <w:r w:rsidR="00693684" w:rsidRPr="00C33A5F">
        <w:rPr>
          <w:rFonts w:ascii="Times New Roman" w:hAnsi="Times New Roman" w:cs="Times New Roman"/>
          <w:sz w:val="24"/>
          <w:szCs w:val="24"/>
        </w:rPr>
        <w:t>Koutsofta</w:t>
      </w:r>
      <w:proofErr w:type="spellEnd"/>
      <w:r w:rsidR="00693684" w:rsidRPr="00C33A5F">
        <w:rPr>
          <w:rFonts w:ascii="Times New Roman" w:hAnsi="Times New Roman" w:cs="Times New Roman"/>
          <w:sz w:val="24"/>
          <w:szCs w:val="24"/>
        </w:rPr>
        <w:t xml:space="preserve"> et al.</w:t>
      </w:r>
      <w:r w:rsidR="00D67DEB">
        <w:rPr>
          <w:rFonts w:ascii="Times New Roman" w:hAnsi="Times New Roman" w:cs="Times New Roman"/>
          <w:sz w:val="24"/>
          <w:szCs w:val="24"/>
        </w:rPr>
        <w:t>[58]</w:t>
      </w:r>
      <w:r w:rsidR="00693684" w:rsidRPr="00C33A5F">
        <w:rPr>
          <w:rFonts w:ascii="Times New Roman" w:hAnsi="Times New Roman" w:cs="Times New Roman"/>
          <w:sz w:val="24"/>
          <w:szCs w:val="24"/>
        </w:rPr>
        <w:t xml:space="preserve">, reported no significant change in BMD from daily consumption of dietary non-soy protein (&gt;90g/day) or whey isolate supplement (30.1g in 250mg supplement) for 24 months when compared to </w:t>
      </w:r>
      <w:r w:rsidR="00AB324B" w:rsidRPr="00C33A5F">
        <w:rPr>
          <w:rFonts w:ascii="Times New Roman" w:hAnsi="Times New Roman" w:cs="Times New Roman"/>
          <w:sz w:val="24"/>
          <w:szCs w:val="24"/>
        </w:rPr>
        <w:t>control groups. Results from</w:t>
      </w:r>
      <w:r w:rsidR="00693684" w:rsidRPr="00C33A5F">
        <w:rPr>
          <w:rFonts w:ascii="Times New Roman" w:hAnsi="Times New Roman" w:cs="Times New Roman"/>
          <w:sz w:val="24"/>
          <w:szCs w:val="24"/>
        </w:rPr>
        <w:t xml:space="preserve"> three other RCTs in the review were conflicting. In one study, total body BMD reduced after 8 weeks of dietary supplementation, while in another, it increased at 24 months. The remaining RCT in the review reported improvement in total body BMD but not at other sites following 12 months supplementation with dietary protein and supplement (86g/day including 6g whey protein isolate). The sample size in all of these trials was small and the quality assessment rating was </w:t>
      </w:r>
      <w:proofErr w:type="gramStart"/>
      <w:r w:rsidR="00693684" w:rsidRPr="00C33A5F">
        <w:rPr>
          <w:rFonts w:ascii="Times New Roman" w:hAnsi="Times New Roman" w:cs="Times New Roman"/>
          <w:sz w:val="24"/>
          <w:szCs w:val="24"/>
        </w:rPr>
        <w:t>low</w:t>
      </w:r>
      <w:r w:rsidR="00D95225">
        <w:rPr>
          <w:rFonts w:ascii="Times New Roman" w:hAnsi="Times New Roman" w:cs="Times New Roman"/>
          <w:sz w:val="24"/>
          <w:szCs w:val="24"/>
        </w:rPr>
        <w:t>[</w:t>
      </w:r>
      <w:proofErr w:type="gramEnd"/>
      <w:r w:rsidR="00F87B85">
        <w:rPr>
          <w:rFonts w:ascii="Times New Roman" w:hAnsi="Times New Roman" w:cs="Times New Roman"/>
          <w:sz w:val="24"/>
          <w:szCs w:val="24"/>
        </w:rPr>
        <w:t>58]</w:t>
      </w:r>
      <w:r w:rsidR="00693684" w:rsidRPr="00C33A5F">
        <w:rPr>
          <w:rFonts w:ascii="Times New Roman" w:hAnsi="Times New Roman" w:cs="Times New Roman"/>
          <w:sz w:val="24"/>
          <w:szCs w:val="24"/>
        </w:rPr>
        <w:t>.</w:t>
      </w:r>
    </w:p>
    <w:p w14:paraId="6553EA48" w14:textId="77777777" w:rsidR="00CD69CC" w:rsidRPr="00C33A5F" w:rsidRDefault="00CD69CC" w:rsidP="001B794A">
      <w:pPr>
        <w:spacing w:after="0" w:line="480" w:lineRule="auto"/>
        <w:rPr>
          <w:rFonts w:ascii="Times New Roman" w:eastAsia="Calibri" w:hAnsi="Times New Roman" w:cs="Times New Roman"/>
          <w:b/>
          <w:sz w:val="24"/>
          <w:szCs w:val="24"/>
        </w:rPr>
      </w:pPr>
    </w:p>
    <w:p w14:paraId="11900F61" w14:textId="43832C0C" w:rsidR="00FA7A0E" w:rsidRPr="008B435D" w:rsidRDefault="00041AE1" w:rsidP="008B435D">
      <w:pPr>
        <w:pStyle w:val="ListParagraph"/>
        <w:numPr>
          <w:ilvl w:val="0"/>
          <w:numId w:val="18"/>
        </w:numPr>
        <w:spacing w:after="0" w:line="480" w:lineRule="auto"/>
        <w:rPr>
          <w:rFonts w:ascii="Times New Roman" w:eastAsia="Calibri" w:hAnsi="Times New Roman" w:cs="Times New Roman"/>
          <w:sz w:val="24"/>
          <w:szCs w:val="24"/>
          <w:u w:val="single"/>
        </w:rPr>
      </w:pPr>
      <w:r w:rsidRPr="008B435D">
        <w:rPr>
          <w:rFonts w:ascii="Times New Roman" w:eastAsia="Calibri" w:hAnsi="Times New Roman" w:cs="Times New Roman"/>
          <w:sz w:val="24"/>
          <w:szCs w:val="24"/>
          <w:u w:val="single"/>
        </w:rPr>
        <w:t>Falls prevention</w:t>
      </w:r>
      <w:r w:rsidR="008A1D23" w:rsidRPr="008B435D">
        <w:rPr>
          <w:rFonts w:ascii="Times New Roman" w:eastAsia="Calibri" w:hAnsi="Times New Roman" w:cs="Times New Roman"/>
          <w:sz w:val="24"/>
          <w:szCs w:val="24"/>
          <w:u w:val="single"/>
        </w:rPr>
        <w:t xml:space="preserve"> programmes</w:t>
      </w:r>
    </w:p>
    <w:p w14:paraId="1290C069" w14:textId="6822EBAF" w:rsidR="00EC205C" w:rsidRPr="00C33A5F" w:rsidRDefault="00EC205C" w:rsidP="00C9620F">
      <w:pPr>
        <w:spacing w:after="0" w:line="480" w:lineRule="auto"/>
        <w:jc w:val="both"/>
        <w:rPr>
          <w:rFonts w:ascii="Times New Roman" w:hAnsi="Times New Roman" w:cs="Times New Roman"/>
          <w:sz w:val="24"/>
          <w:szCs w:val="24"/>
        </w:rPr>
      </w:pPr>
      <w:r w:rsidRPr="00C33A5F">
        <w:rPr>
          <w:rFonts w:ascii="Times New Roman" w:eastAsia="Calibri" w:hAnsi="Times New Roman" w:cs="Times New Roman"/>
          <w:sz w:val="24"/>
          <w:szCs w:val="24"/>
        </w:rPr>
        <w:t>Two RCTs</w:t>
      </w:r>
      <w:r w:rsidR="00D67DEB">
        <w:rPr>
          <w:rFonts w:ascii="Times New Roman" w:eastAsia="Calibri" w:hAnsi="Times New Roman" w:cs="Times New Roman"/>
          <w:sz w:val="24"/>
          <w:szCs w:val="24"/>
        </w:rPr>
        <w:t>[29,56]</w:t>
      </w:r>
      <w:r w:rsidRPr="00C33A5F">
        <w:rPr>
          <w:rFonts w:ascii="Times New Roman" w:eastAsia="Calibri" w:hAnsi="Times New Roman" w:cs="Times New Roman"/>
          <w:sz w:val="24"/>
          <w:szCs w:val="24"/>
        </w:rPr>
        <w:t>, one of which randomised over 1000 participants</w:t>
      </w:r>
      <w:r w:rsidR="00D67DEB">
        <w:rPr>
          <w:rFonts w:ascii="Times New Roman" w:eastAsia="Calibri" w:hAnsi="Times New Roman" w:cs="Times New Roman"/>
          <w:sz w:val="24"/>
          <w:szCs w:val="24"/>
        </w:rPr>
        <w:t>[56]</w:t>
      </w:r>
      <w:r w:rsidRPr="00C33A5F">
        <w:rPr>
          <w:rFonts w:ascii="Times New Roman" w:eastAsia="Calibri" w:hAnsi="Times New Roman" w:cs="Times New Roman"/>
          <w:sz w:val="24"/>
          <w:szCs w:val="24"/>
        </w:rPr>
        <w:t xml:space="preserve">, </w:t>
      </w:r>
      <w:r w:rsidRPr="00C33A5F">
        <w:rPr>
          <w:rFonts w:ascii="Times New Roman" w:hAnsi="Times New Roman" w:cs="Times New Roman"/>
          <w:sz w:val="24"/>
          <w:szCs w:val="24"/>
        </w:rPr>
        <w:t>evaluated the e</w:t>
      </w:r>
      <w:r w:rsidR="000360F9">
        <w:rPr>
          <w:rFonts w:ascii="Times New Roman" w:hAnsi="Times New Roman" w:cs="Times New Roman"/>
          <w:sz w:val="24"/>
          <w:szCs w:val="24"/>
        </w:rPr>
        <w:t xml:space="preserve">ffect of a multicomponent falls </w:t>
      </w:r>
      <w:r w:rsidRPr="00C33A5F">
        <w:rPr>
          <w:rFonts w:ascii="Times New Roman" w:hAnsi="Times New Roman" w:cs="Times New Roman"/>
          <w:sz w:val="24"/>
          <w:szCs w:val="24"/>
        </w:rPr>
        <w:t>prevention programme compared to usual care on rate of falls in community dwelling older adults with osteoporosis</w:t>
      </w:r>
      <w:r w:rsidR="00AB324B" w:rsidRPr="00C33A5F">
        <w:rPr>
          <w:rFonts w:ascii="Times New Roman" w:hAnsi="Times New Roman" w:cs="Times New Roman"/>
          <w:sz w:val="24"/>
          <w:szCs w:val="24"/>
        </w:rPr>
        <w:t>,</w:t>
      </w:r>
      <w:r w:rsidR="002E268C">
        <w:rPr>
          <w:rFonts w:ascii="Times New Roman" w:hAnsi="Times New Roman" w:cs="Times New Roman"/>
          <w:sz w:val="24"/>
          <w:szCs w:val="24"/>
        </w:rPr>
        <w:t xml:space="preserve"> and/</w:t>
      </w:r>
      <w:r w:rsidRPr="00C33A5F">
        <w:rPr>
          <w:rFonts w:ascii="Times New Roman" w:hAnsi="Times New Roman" w:cs="Times New Roman"/>
          <w:sz w:val="24"/>
          <w:szCs w:val="24"/>
        </w:rPr>
        <w:t xml:space="preserve">or other risk factors for fall and fracture. The Nijmegen Falls Prevention Programme, conducted over five and a half weeks, included training in falls techniques and correction of gait abnormalities, while the twelve-month Chaos Clinic Falls Prevention Programme provided individualised interventions, for example a medicines review and </w:t>
      </w:r>
      <w:r w:rsidR="00DB19F9" w:rsidRPr="00C33A5F">
        <w:rPr>
          <w:rFonts w:ascii="Times New Roman" w:hAnsi="Times New Roman" w:cs="Times New Roman"/>
          <w:sz w:val="24"/>
          <w:szCs w:val="24"/>
        </w:rPr>
        <w:t xml:space="preserve">referral to other specialists. </w:t>
      </w:r>
      <w:r w:rsidRPr="00C33A5F">
        <w:rPr>
          <w:rFonts w:ascii="Times New Roman" w:hAnsi="Times New Roman" w:cs="Times New Roman"/>
          <w:sz w:val="24"/>
          <w:szCs w:val="24"/>
        </w:rPr>
        <w:t xml:space="preserve">Exercise and education were key components in both programmes and dropout rates were low, suggesting good acceptability to participants. </w:t>
      </w:r>
    </w:p>
    <w:p w14:paraId="563224FB" w14:textId="77777777" w:rsidR="00A12B30" w:rsidRPr="00C33A5F" w:rsidRDefault="00A12B30" w:rsidP="007F1A02">
      <w:pPr>
        <w:spacing w:after="0" w:line="480" w:lineRule="auto"/>
        <w:rPr>
          <w:rFonts w:ascii="Times New Roman" w:hAnsi="Times New Roman" w:cs="Times New Roman"/>
          <w:sz w:val="24"/>
          <w:szCs w:val="24"/>
        </w:rPr>
      </w:pPr>
    </w:p>
    <w:p w14:paraId="5CC18ACC" w14:textId="77777777" w:rsidR="00EC205C" w:rsidRPr="00C33A5F" w:rsidRDefault="00EC205C" w:rsidP="00C9620F">
      <w:pPr>
        <w:spacing w:after="0" w:line="480" w:lineRule="auto"/>
        <w:jc w:val="both"/>
        <w:rPr>
          <w:rFonts w:ascii="Times New Roman" w:hAnsi="Times New Roman" w:cs="Times New Roman"/>
          <w:sz w:val="24"/>
          <w:szCs w:val="24"/>
        </w:rPr>
      </w:pPr>
      <w:r w:rsidRPr="00C33A5F">
        <w:rPr>
          <w:rFonts w:ascii="Times New Roman" w:hAnsi="Times New Roman" w:cs="Times New Roman"/>
          <w:sz w:val="24"/>
          <w:szCs w:val="24"/>
        </w:rPr>
        <w:lastRenderedPageBreak/>
        <w:t xml:space="preserve">Both studies reported a significantly lower fall rate in the intervention group compared to the control group at twelve months. Smulders </w:t>
      </w:r>
      <w:proofErr w:type="gramStart"/>
      <w:r w:rsidRPr="00C33A5F">
        <w:rPr>
          <w:rFonts w:ascii="Times New Roman" w:hAnsi="Times New Roman" w:cs="Times New Roman"/>
          <w:sz w:val="24"/>
          <w:szCs w:val="24"/>
        </w:rPr>
        <w:t>et al.</w:t>
      </w:r>
      <w:r w:rsidR="00D67DEB">
        <w:rPr>
          <w:rFonts w:ascii="Times New Roman" w:hAnsi="Times New Roman" w:cs="Times New Roman"/>
          <w:sz w:val="24"/>
          <w:szCs w:val="24"/>
        </w:rPr>
        <w:t>[</w:t>
      </w:r>
      <w:proofErr w:type="gramEnd"/>
      <w:r w:rsidR="00D67DEB">
        <w:rPr>
          <w:rFonts w:ascii="Times New Roman" w:hAnsi="Times New Roman" w:cs="Times New Roman"/>
          <w:sz w:val="24"/>
          <w:szCs w:val="24"/>
        </w:rPr>
        <w:t>29]</w:t>
      </w:r>
      <w:r w:rsidRPr="00C33A5F">
        <w:rPr>
          <w:rFonts w:ascii="Times New Roman" w:hAnsi="Times New Roman" w:cs="Times New Roman"/>
          <w:sz w:val="24"/>
          <w:szCs w:val="24"/>
        </w:rPr>
        <w:t xml:space="preserve"> recorded a 39% reduction in falls per person years (IRR</w:t>
      </w:r>
      <w:r w:rsidR="001034EF">
        <w:rPr>
          <w:rFonts w:ascii="Times New Roman" w:hAnsi="Times New Roman" w:cs="Times New Roman"/>
          <w:sz w:val="24"/>
          <w:szCs w:val="24"/>
        </w:rPr>
        <w:t xml:space="preserve"> 0.61, 95%CI 0.40 </w:t>
      </w:r>
      <w:r w:rsidR="001034EF" w:rsidRPr="00DC47F6">
        <w:rPr>
          <w:rFonts w:ascii="Times New Roman" w:hAnsi="Times New Roman" w:cs="Times New Roman"/>
          <w:sz w:val="24"/>
          <w:szCs w:val="24"/>
        </w:rPr>
        <w:t>to</w:t>
      </w:r>
      <w:r w:rsidR="001034EF">
        <w:rPr>
          <w:rFonts w:ascii="Times New Roman" w:hAnsi="Times New Roman" w:cs="Times New Roman"/>
          <w:sz w:val="24"/>
          <w:szCs w:val="24"/>
        </w:rPr>
        <w:t xml:space="preserve"> </w:t>
      </w:r>
      <w:r w:rsidRPr="00C33A5F">
        <w:rPr>
          <w:rFonts w:ascii="Times New Roman" w:hAnsi="Times New Roman" w:cs="Times New Roman"/>
          <w:sz w:val="24"/>
          <w:szCs w:val="24"/>
        </w:rPr>
        <w:t xml:space="preserve">0.94), while </w:t>
      </w:r>
      <w:proofErr w:type="spellStart"/>
      <w:r w:rsidRPr="00C33A5F">
        <w:rPr>
          <w:rFonts w:ascii="Times New Roman" w:hAnsi="Times New Roman" w:cs="Times New Roman"/>
          <w:sz w:val="24"/>
          <w:szCs w:val="24"/>
        </w:rPr>
        <w:t>Palvanen</w:t>
      </w:r>
      <w:proofErr w:type="spellEnd"/>
      <w:r w:rsidRPr="00C33A5F">
        <w:rPr>
          <w:rFonts w:ascii="Times New Roman" w:hAnsi="Times New Roman" w:cs="Times New Roman"/>
          <w:sz w:val="24"/>
          <w:szCs w:val="24"/>
        </w:rPr>
        <w:t xml:space="preserve"> et al.</w:t>
      </w:r>
      <w:r w:rsidR="00D67DEB">
        <w:rPr>
          <w:rFonts w:ascii="Times New Roman" w:hAnsi="Times New Roman" w:cs="Times New Roman"/>
          <w:sz w:val="24"/>
          <w:szCs w:val="24"/>
        </w:rPr>
        <w:t>[56]</w:t>
      </w:r>
      <w:r w:rsidRPr="00C33A5F">
        <w:rPr>
          <w:rFonts w:ascii="Times New Roman" w:hAnsi="Times New Roman" w:cs="Times New Roman"/>
          <w:sz w:val="24"/>
          <w:szCs w:val="24"/>
        </w:rPr>
        <w:t xml:space="preserve"> reported a 28% reduction in falls per 100 person years (IRR 0.72, 95%CI 0.61</w:t>
      </w:r>
      <w:r w:rsidR="001034EF">
        <w:rPr>
          <w:rFonts w:ascii="Times New Roman" w:hAnsi="Times New Roman" w:cs="Times New Roman"/>
          <w:sz w:val="24"/>
          <w:szCs w:val="24"/>
        </w:rPr>
        <w:t xml:space="preserve"> </w:t>
      </w:r>
      <w:r w:rsidR="001034EF" w:rsidRPr="00DC47F6">
        <w:rPr>
          <w:rFonts w:ascii="Times New Roman" w:hAnsi="Times New Roman" w:cs="Times New Roman"/>
          <w:sz w:val="24"/>
          <w:szCs w:val="24"/>
        </w:rPr>
        <w:t>to</w:t>
      </w:r>
      <w:r w:rsidR="001034EF">
        <w:rPr>
          <w:rFonts w:ascii="Times New Roman" w:hAnsi="Times New Roman" w:cs="Times New Roman"/>
          <w:sz w:val="24"/>
          <w:szCs w:val="24"/>
        </w:rPr>
        <w:t xml:space="preserve"> </w:t>
      </w:r>
      <w:r w:rsidRPr="00C33A5F">
        <w:rPr>
          <w:rFonts w:ascii="Times New Roman" w:hAnsi="Times New Roman" w:cs="Times New Roman"/>
          <w:sz w:val="24"/>
          <w:szCs w:val="24"/>
        </w:rPr>
        <w:t xml:space="preserve">0.86). In this latter study, the number of </w:t>
      </w:r>
      <w:proofErr w:type="gramStart"/>
      <w:r w:rsidRPr="00C33A5F">
        <w:rPr>
          <w:rFonts w:ascii="Times New Roman" w:hAnsi="Times New Roman" w:cs="Times New Roman"/>
          <w:sz w:val="24"/>
          <w:szCs w:val="24"/>
        </w:rPr>
        <w:t>fall</w:t>
      </w:r>
      <w:proofErr w:type="gramEnd"/>
      <w:r w:rsidRPr="00C33A5F">
        <w:rPr>
          <w:rFonts w:ascii="Times New Roman" w:hAnsi="Times New Roman" w:cs="Times New Roman"/>
          <w:sz w:val="24"/>
          <w:szCs w:val="24"/>
        </w:rPr>
        <w:t xml:space="preserve"> induced injuries was significantly lower in the intervention group than the contro</w:t>
      </w:r>
      <w:r w:rsidR="001034EF">
        <w:rPr>
          <w:rFonts w:ascii="Times New Roman" w:hAnsi="Times New Roman" w:cs="Times New Roman"/>
          <w:sz w:val="24"/>
          <w:szCs w:val="24"/>
        </w:rPr>
        <w:t xml:space="preserve">l group (IRR 0.74, 95%CI 0.61 </w:t>
      </w:r>
      <w:r w:rsidR="001034EF" w:rsidRPr="00DC47F6">
        <w:rPr>
          <w:rFonts w:ascii="Times New Roman" w:hAnsi="Times New Roman" w:cs="Times New Roman"/>
          <w:sz w:val="24"/>
          <w:szCs w:val="24"/>
        </w:rPr>
        <w:t>to</w:t>
      </w:r>
      <w:r w:rsidR="001034EF">
        <w:rPr>
          <w:rFonts w:ascii="Times New Roman" w:hAnsi="Times New Roman" w:cs="Times New Roman"/>
          <w:sz w:val="24"/>
          <w:szCs w:val="24"/>
        </w:rPr>
        <w:t xml:space="preserve"> </w:t>
      </w:r>
      <w:r w:rsidRPr="00C33A5F">
        <w:rPr>
          <w:rFonts w:ascii="Times New Roman" w:hAnsi="Times New Roman" w:cs="Times New Roman"/>
          <w:sz w:val="24"/>
          <w:szCs w:val="24"/>
        </w:rPr>
        <w:t xml:space="preserve">0.89; p=0.002). However, risk of detection bias was high in this RCT due to a lack of blinding of the professionals collecting falls data and the method of falls </w:t>
      </w:r>
      <w:proofErr w:type="gramStart"/>
      <w:r w:rsidRPr="00C33A5F">
        <w:rPr>
          <w:rFonts w:ascii="Times New Roman" w:hAnsi="Times New Roman" w:cs="Times New Roman"/>
          <w:sz w:val="24"/>
          <w:szCs w:val="24"/>
        </w:rPr>
        <w:t>recording</w:t>
      </w:r>
      <w:r w:rsidR="00D67DEB">
        <w:rPr>
          <w:rFonts w:ascii="Times New Roman" w:hAnsi="Times New Roman" w:cs="Times New Roman"/>
          <w:sz w:val="24"/>
          <w:szCs w:val="24"/>
        </w:rPr>
        <w:t>[</w:t>
      </w:r>
      <w:proofErr w:type="gramEnd"/>
      <w:r w:rsidR="00D67DEB">
        <w:rPr>
          <w:rFonts w:ascii="Times New Roman" w:hAnsi="Times New Roman" w:cs="Times New Roman"/>
          <w:sz w:val="24"/>
          <w:szCs w:val="24"/>
        </w:rPr>
        <w:t>56]</w:t>
      </w:r>
      <w:r w:rsidRPr="00C33A5F">
        <w:rPr>
          <w:rFonts w:ascii="Times New Roman" w:hAnsi="Times New Roman" w:cs="Times New Roman"/>
          <w:sz w:val="24"/>
          <w:szCs w:val="24"/>
        </w:rPr>
        <w:t xml:space="preserve">. </w:t>
      </w:r>
    </w:p>
    <w:p w14:paraId="07F6973E" w14:textId="77777777" w:rsidR="00531570" w:rsidRPr="00C33A5F" w:rsidRDefault="00531570" w:rsidP="001B794A">
      <w:pPr>
        <w:spacing w:after="0" w:line="480" w:lineRule="auto"/>
        <w:rPr>
          <w:rFonts w:ascii="Times New Roman" w:hAnsi="Times New Roman" w:cs="Times New Roman"/>
          <w:sz w:val="24"/>
          <w:szCs w:val="24"/>
        </w:rPr>
      </w:pPr>
    </w:p>
    <w:p w14:paraId="1A14E4EA" w14:textId="478D46D5" w:rsidR="00B95FC6" w:rsidRPr="008B435D" w:rsidRDefault="00B95FC6" w:rsidP="008B435D">
      <w:pPr>
        <w:pStyle w:val="ListParagraph"/>
        <w:numPr>
          <w:ilvl w:val="0"/>
          <w:numId w:val="18"/>
        </w:numPr>
        <w:spacing w:after="0" w:line="480" w:lineRule="auto"/>
        <w:rPr>
          <w:rFonts w:ascii="Times New Roman" w:eastAsia="Calibri" w:hAnsi="Times New Roman" w:cs="Times New Roman"/>
          <w:sz w:val="24"/>
          <w:szCs w:val="24"/>
        </w:rPr>
      </w:pPr>
      <w:r w:rsidRPr="008B435D">
        <w:rPr>
          <w:rFonts w:ascii="Times New Roman" w:eastAsia="Calibri" w:hAnsi="Times New Roman" w:cs="Times New Roman"/>
          <w:sz w:val="24"/>
          <w:szCs w:val="24"/>
          <w:u w:val="single"/>
        </w:rPr>
        <w:t>Education</w:t>
      </w:r>
    </w:p>
    <w:p w14:paraId="2E9EB21C" w14:textId="77777777" w:rsidR="00B01732" w:rsidRPr="00C33A5F" w:rsidRDefault="00EF184A" w:rsidP="00C9620F">
      <w:pPr>
        <w:spacing w:after="0" w:line="480" w:lineRule="auto"/>
        <w:jc w:val="both"/>
        <w:rPr>
          <w:rFonts w:ascii="Times New Roman" w:eastAsia="Calibri" w:hAnsi="Times New Roman" w:cs="Times New Roman"/>
          <w:sz w:val="24"/>
          <w:szCs w:val="24"/>
        </w:rPr>
      </w:pPr>
      <w:r w:rsidRPr="00C33A5F">
        <w:rPr>
          <w:rFonts w:ascii="Times New Roman" w:eastAsia="Calibri" w:hAnsi="Times New Roman" w:cs="Times New Roman"/>
          <w:sz w:val="24"/>
          <w:szCs w:val="24"/>
        </w:rPr>
        <w:t>Evidence about</w:t>
      </w:r>
      <w:r w:rsidR="00DE4720" w:rsidRPr="00C33A5F">
        <w:rPr>
          <w:rFonts w:ascii="Times New Roman" w:eastAsia="Calibri" w:hAnsi="Times New Roman" w:cs="Times New Roman"/>
          <w:sz w:val="24"/>
          <w:szCs w:val="24"/>
        </w:rPr>
        <w:t xml:space="preserve"> t</w:t>
      </w:r>
      <w:r w:rsidR="00583EB8" w:rsidRPr="00C33A5F">
        <w:rPr>
          <w:rFonts w:ascii="Times New Roman" w:eastAsia="Calibri" w:hAnsi="Times New Roman" w:cs="Times New Roman"/>
          <w:sz w:val="24"/>
          <w:szCs w:val="24"/>
        </w:rPr>
        <w:t>he effect</w:t>
      </w:r>
      <w:r w:rsidR="00D02A84" w:rsidRPr="00C33A5F">
        <w:rPr>
          <w:rFonts w:ascii="Times New Roman" w:eastAsia="Calibri" w:hAnsi="Times New Roman" w:cs="Times New Roman"/>
          <w:sz w:val="24"/>
          <w:szCs w:val="24"/>
        </w:rPr>
        <w:t xml:space="preserve"> of p</w:t>
      </w:r>
      <w:r w:rsidR="00583EB8" w:rsidRPr="00C33A5F">
        <w:rPr>
          <w:rFonts w:ascii="Times New Roman" w:eastAsia="Calibri" w:hAnsi="Times New Roman" w:cs="Times New Roman"/>
          <w:sz w:val="24"/>
          <w:szCs w:val="24"/>
        </w:rPr>
        <w:t>atient education on bone health-</w:t>
      </w:r>
      <w:r w:rsidR="00D02A84" w:rsidRPr="00C33A5F">
        <w:rPr>
          <w:rFonts w:ascii="Times New Roman" w:eastAsia="Calibri" w:hAnsi="Times New Roman" w:cs="Times New Roman"/>
          <w:sz w:val="24"/>
          <w:szCs w:val="24"/>
        </w:rPr>
        <w:t>related outcomes</w:t>
      </w:r>
      <w:r w:rsidR="002870D8" w:rsidRPr="00C33A5F">
        <w:rPr>
          <w:rFonts w:ascii="Times New Roman" w:eastAsia="Calibri" w:hAnsi="Times New Roman" w:cs="Times New Roman"/>
          <w:sz w:val="24"/>
          <w:szCs w:val="24"/>
        </w:rPr>
        <w:t xml:space="preserve"> </w:t>
      </w:r>
      <w:r w:rsidR="00D02A84" w:rsidRPr="00C33A5F">
        <w:rPr>
          <w:rFonts w:ascii="Times New Roman" w:eastAsia="Calibri" w:hAnsi="Times New Roman" w:cs="Times New Roman"/>
          <w:sz w:val="24"/>
          <w:szCs w:val="24"/>
        </w:rPr>
        <w:t xml:space="preserve">in people at risk of primary </w:t>
      </w:r>
      <w:r w:rsidR="00B01732" w:rsidRPr="00C33A5F">
        <w:rPr>
          <w:rFonts w:ascii="Times New Roman" w:eastAsia="Calibri" w:hAnsi="Times New Roman" w:cs="Times New Roman"/>
          <w:sz w:val="24"/>
          <w:szCs w:val="24"/>
        </w:rPr>
        <w:t xml:space="preserve">osteoporotic </w:t>
      </w:r>
      <w:r w:rsidR="00D02A84" w:rsidRPr="00C33A5F">
        <w:rPr>
          <w:rFonts w:ascii="Times New Roman" w:eastAsia="Calibri" w:hAnsi="Times New Roman" w:cs="Times New Roman"/>
          <w:sz w:val="24"/>
          <w:szCs w:val="24"/>
        </w:rPr>
        <w:t xml:space="preserve">fracture came from one </w:t>
      </w:r>
      <w:r w:rsidR="00D74A5F" w:rsidRPr="00C33A5F">
        <w:rPr>
          <w:rFonts w:ascii="Times New Roman" w:eastAsia="Calibri" w:hAnsi="Times New Roman" w:cs="Times New Roman"/>
          <w:sz w:val="24"/>
          <w:szCs w:val="24"/>
        </w:rPr>
        <w:t xml:space="preserve">systematic </w:t>
      </w:r>
      <w:proofErr w:type="gramStart"/>
      <w:r w:rsidR="00D67DEB">
        <w:rPr>
          <w:rFonts w:ascii="Times New Roman" w:eastAsia="Calibri" w:hAnsi="Times New Roman" w:cs="Times New Roman"/>
          <w:sz w:val="24"/>
          <w:szCs w:val="24"/>
        </w:rPr>
        <w:t>review[</w:t>
      </w:r>
      <w:proofErr w:type="gramEnd"/>
      <w:r w:rsidR="00D67DEB">
        <w:rPr>
          <w:rFonts w:ascii="Times New Roman" w:eastAsia="Calibri" w:hAnsi="Times New Roman" w:cs="Times New Roman"/>
          <w:sz w:val="24"/>
          <w:szCs w:val="24"/>
        </w:rPr>
        <w:t>60]</w:t>
      </w:r>
      <w:r w:rsidR="00B01732" w:rsidRPr="00C33A5F">
        <w:rPr>
          <w:rFonts w:ascii="Times New Roman" w:eastAsia="Calibri" w:hAnsi="Times New Roman" w:cs="Times New Roman"/>
          <w:sz w:val="24"/>
          <w:szCs w:val="24"/>
        </w:rPr>
        <w:t xml:space="preserve">. </w:t>
      </w:r>
      <w:r w:rsidR="002C3A64" w:rsidRPr="00C33A5F">
        <w:rPr>
          <w:rFonts w:ascii="Times New Roman" w:eastAsia="Calibri" w:hAnsi="Times New Roman" w:cs="Times New Roman"/>
          <w:sz w:val="24"/>
          <w:szCs w:val="24"/>
        </w:rPr>
        <w:t>T</w:t>
      </w:r>
      <w:r w:rsidR="00D02A84" w:rsidRPr="00C33A5F">
        <w:rPr>
          <w:rFonts w:ascii="Times New Roman" w:eastAsia="Calibri" w:hAnsi="Times New Roman" w:cs="Times New Roman"/>
          <w:sz w:val="24"/>
          <w:szCs w:val="24"/>
        </w:rPr>
        <w:t xml:space="preserve">hirteen RCTs </w:t>
      </w:r>
      <w:r w:rsidR="00B01732" w:rsidRPr="00C33A5F">
        <w:rPr>
          <w:rFonts w:ascii="Times New Roman" w:eastAsia="Calibri" w:hAnsi="Times New Roman" w:cs="Times New Roman"/>
          <w:sz w:val="24"/>
          <w:szCs w:val="24"/>
        </w:rPr>
        <w:t>including 5</w:t>
      </w:r>
      <w:r w:rsidR="008655B0" w:rsidRPr="00C33A5F">
        <w:rPr>
          <w:rFonts w:ascii="Times New Roman" w:eastAsia="Calibri" w:hAnsi="Times New Roman" w:cs="Times New Roman"/>
          <w:sz w:val="24"/>
          <w:szCs w:val="24"/>
        </w:rPr>
        <w:t>,</w:t>
      </w:r>
      <w:r w:rsidR="00B01732" w:rsidRPr="00C33A5F">
        <w:rPr>
          <w:rFonts w:ascii="Times New Roman" w:eastAsia="Calibri" w:hAnsi="Times New Roman" w:cs="Times New Roman"/>
          <w:sz w:val="24"/>
          <w:szCs w:val="24"/>
        </w:rPr>
        <w:t>912 participants investigated face-to-face</w:t>
      </w:r>
      <w:r w:rsidR="002870D8" w:rsidRPr="00C33A5F">
        <w:rPr>
          <w:rFonts w:ascii="Times New Roman" w:eastAsia="Calibri" w:hAnsi="Times New Roman" w:cs="Times New Roman"/>
          <w:sz w:val="24"/>
          <w:szCs w:val="24"/>
        </w:rPr>
        <w:t xml:space="preserve"> group, or individual education</w:t>
      </w:r>
      <w:r w:rsidR="002C3A64" w:rsidRPr="00C33A5F">
        <w:rPr>
          <w:rFonts w:ascii="Times New Roman" w:eastAsia="Calibri" w:hAnsi="Times New Roman" w:cs="Times New Roman"/>
          <w:sz w:val="24"/>
          <w:szCs w:val="24"/>
        </w:rPr>
        <w:t>al interventions</w:t>
      </w:r>
      <w:r w:rsidR="002870D8" w:rsidRPr="00C33A5F">
        <w:rPr>
          <w:rFonts w:ascii="Times New Roman" w:eastAsia="Calibri" w:hAnsi="Times New Roman" w:cs="Times New Roman"/>
          <w:sz w:val="24"/>
          <w:szCs w:val="24"/>
        </w:rPr>
        <w:t xml:space="preserve"> delivered by </w:t>
      </w:r>
      <w:r w:rsidR="00B01732" w:rsidRPr="00C33A5F">
        <w:rPr>
          <w:rFonts w:ascii="Times New Roman" w:eastAsia="Calibri" w:hAnsi="Times New Roman" w:cs="Times New Roman"/>
          <w:sz w:val="24"/>
          <w:szCs w:val="24"/>
        </w:rPr>
        <w:t>health professionals</w:t>
      </w:r>
      <w:r w:rsidR="00FA320B">
        <w:rPr>
          <w:rFonts w:ascii="Times New Roman" w:eastAsia="Calibri" w:hAnsi="Times New Roman" w:cs="Times New Roman"/>
          <w:sz w:val="24"/>
          <w:szCs w:val="24"/>
        </w:rPr>
        <w:t xml:space="preserve"> (</w:t>
      </w:r>
      <w:r w:rsidR="002C3A64" w:rsidRPr="00C33A5F">
        <w:rPr>
          <w:rFonts w:ascii="Times New Roman" w:eastAsia="Calibri" w:hAnsi="Times New Roman" w:cs="Times New Roman"/>
          <w:sz w:val="24"/>
          <w:szCs w:val="24"/>
        </w:rPr>
        <w:t>nurses, community pharmacists</w:t>
      </w:r>
      <w:r w:rsidR="00B01732" w:rsidRPr="00C33A5F">
        <w:rPr>
          <w:rFonts w:ascii="Times New Roman" w:eastAsia="Calibri" w:hAnsi="Times New Roman" w:cs="Times New Roman"/>
          <w:sz w:val="24"/>
          <w:szCs w:val="24"/>
        </w:rPr>
        <w:t>, physicians</w:t>
      </w:r>
      <w:r w:rsidR="00FA320B">
        <w:rPr>
          <w:rFonts w:ascii="Times New Roman" w:eastAsia="Calibri" w:hAnsi="Times New Roman" w:cs="Times New Roman"/>
          <w:sz w:val="24"/>
          <w:szCs w:val="24"/>
        </w:rPr>
        <w:t xml:space="preserve">, </w:t>
      </w:r>
      <w:r w:rsidR="00B01732" w:rsidRPr="00C33A5F">
        <w:rPr>
          <w:rFonts w:ascii="Times New Roman" w:eastAsia="Calibri" w:hAnsi="Times New Roman" w:cs="Times New Roman"/>
          <w:sz w:val="24"/>
          <w:szCs w:val="24"/>
        </w:rPr>
        <w:t>oc</w:t>
      </w:r>
      <w:r w:rsidR="00F06823" w:rsidRPr="00C33A5F">
        <w:rPr>
          <w:rFonts w:ascii="Times New Roman" w:eastAsia="Calibri" w:hAnsi="Times New Roman" w:cs="Times New Roman"/>
          <w:sz w:val="24"/>
          <w:szCs w:val="24"/>
        </w:rPr>
        <w:t>cupational therapists, dietit</w:t>
      </w:r>
      <w:r w:rsidR="00B01732" w:rsidRPr="00C33A5F">
        <w:rPr>
          <w:rFonts w:ascii="Times New Roman" w:eastAsia="Calibri" w:hAnsi="Times New Roman" w:cs="Times New Roman"/>
          <w:sz w:val="24"/>
          <w:szCs w:val="24"/>
        </w:rPr>
        <w:t>ians, podiatrists</w:t>
      </w:r>
      <w:r w:rsidR="00FA320B">
        <w:rPr>
          <w:rFonts w:ascii="Times New Roman" w:eastAsia="Calibri" w:hAnsi="Times New Roman" w:cs="Times New Roman"/>
          <w:sz w:val="24"/>
          <w:szCs w:val="24"/>
        </w:rPr>
        <w:t>,</w:t>
      </w:r>
      <w:r w:rsidR="00B01732" w:rsidRPr="00C33A5F">
        <w:rPr>
          <w:rFonts w:ascii="Times New Roman" w:eastAsia="Calibri" w:hAnsi="Times New Roman" w:cs="Times New Roman"/>
          <w:sz w:val="24"/>
          <w:szCs w:val="24"/>
        </w:rPr>
        <w:t xml:space="preserve"> and </w:t>
      </w:r>
      <w:r w:rsidR="00FA320B" w:rsidRPr="00DC47F6">
        <w:rPr>
          <w:rFonts w:ascii="Times New Roman" w:eastAsia="Calibri" w:hAnsi="Times New Roman" w:cs="Times New Roman"/>
          <w:sz w:val="24"/>
          <w:szCs w:val="24"/>
        </w:rPr>
        <w:t>physiotherapists</w:t>
      </w:r>
      <w:r w:rsidR="002F2194">
        <w:rPr>
          <w:rFonts w:ascii="Times New Roman" w:eastAsia="Calibri" w:hAnsi="Times New Roman" w:cs="Times New Roman"/>
          <w:sz w:val="24"/>
          <w:szCs w:val="24"/>
        </w:rPr>
        <w:t>)</w:t>
      </w:r>
      <w:r w:rsidR="002C3A64" w:rsidRPr="00C33A5F">
        <w:rPr>
          <w:rFonts w:ascii="Times New Roman" w:eastAsia="Calibri" w:hAnsi="Times New Roman" w:cs="Times New Roman"/>
          <w:sz w:val="24"/>
          <w:szCs w:val="24"/>
        </w:rPr>
        <w:t xml:space="preserve"> </w:t>
      </w:r>
      <w:r w:rsidR="00FA320B" w:rsidRPr="00DC47F6">
        <w:rPr>
          <w:rFonts w:ascii="Times New Roman" w:eastAsia="Calibri" w:hAnsi="Times New Roman" w:cs="Times New Roman"/>
          <w:sz w:val="24"/>
          <w:szCs w:val="24"/>
        </w:rPr>
        <w:t>working alone</w:t>
      </w:r>
      <w:r w:rsidR="00FA320B">
        <w:rPr>
          <w:rFonts w:ascii="Times New Roman" w:eastAsia="Calibri" w:hAnsi="Times New Roman" w:cs="Times New Roman"/>
          <w:sz w:val="24"/>
          <w:szCs w:val="24"/>
        </w:rPr>
        <w:t xml:space="preserve"> or </w:t>
      </w:r>
      <w:r w:rsidR="00B01732" w:rsidRPr="00C33A5F">
        <w:rPr>
          <w:rFonts w:ascii="Times New Roman" w:eastAsia="Calibri" w:hAnsi="Times New Roman" w:cs="Times New Roman"/>
          <w:sz w:val="24"/>
          <w:szCs w:val="24"/>
        </w:rPr>
        <w:t>in multidisciplinary teams</w:t>
      </w:r>
      <w:r w:rsidR="00323BAF" w:rsidRPr="00C33A5F">
        <w:rPr>
          <w:rFonts w:ascii="Times New Roman" w:eastAsia="Calibri" w:hAnsi="Times New Roman" w:cs="Times New Roman"/>
          <w:sz w:val="24"/>
          <w:szCs w:val="24"/>
        </w:rPr>
        <w:t xml:space="preserve"> to people at risk of primary fracture</w:t>
      </w:r>
      <w:r w:rsidR="00B01732" w:rsidRPr="00C33A5F">
        <w:rPr>
          <w:rFonts w:ascii="Times New Roman" w:eastAsia="Calibri" w:hAnsi="Times New Roman" w:cs="Times New Roman"/>
          <w:sz w:val="24"/>
          <w:szCs w:val="24"/>
        </w:rPr>
        <w:t xml:space="preserve">. </w:t>
      </w:r>
      <w:r w:rsidR="007420A7" w:rsidRPr="00C33A5F">
        <w:rPr>
          <w:rFonts w:ascii="Times New Roman" w:eastAsia="Calibri" w:hAnsi="Times New Roman" w:cs="Times New Roman"/>
          <w:sz w:val="24"/>
          <w:szCs w:val="24"/>
        </w:rPr>
        <w:t>Twelve of the</w:t>
      </w:r>
      <w:r w:rsidR="00B01732" w:rsidRPr="00C33A5F">
        <w:rPr>
          <w:rFonts w:ascii="Times New Roman" w:eastAsia="Calibri" w:hAnsi="Times New Roman" w:cs="Times New Roman"/>
          <w:sz w:val="24"/>
          <w:szCs w:val="24"/>
        </w:rPr>
        <w:t xml:space="preserve"> </w:t>
      </w:r>
      <w:r w:rsidR="00DE4720" w:rsidRPr="00C33A5F">
        <w:rPr>
          <w:rFonts w:ascii="Times New Roman" w:eastAsia="Calibri" w:hAnsi="Times New Roman" w:cs="Times New Roman"/>
          <w:sz w:val="24"/>
          <w:szCs w:val="24"/>
        </w:rPr>
        <w:t>13</w:t>
      </w:r>
      <w:r w:rsidR="00265447" w:rsidRPr="00C33A5F">
        <w:rPr>
          <w:rFonts w:ascii="Times New Roman" w:eastAsia="Calibri" w:hAnsi="Times New Roman" w:cs="Times New Roman"/>
          <w:sz w:val="24"/>
          <w:szCs w:val="24"/>
        </w:rPr>
        <w:t xml:space="preserve"> </w:t>
      </w:r>
      <w:r w:rsidR="00B01732" w:rsidRPr="00C33A5F">
        <w:rPr>
          <w:rFonts w:ascii="Times New Roman" w:eastAsia="Calibri" w:hAnsi="Times New Roman" w:cs="Times New Roman"/>
          <w:sz w:val="24"/>
          <w:szCs w:val="24"/>
        </w:rPr>
        <w:t>studies were judged to be at high risk of detection bias.</w:t>
      </w:r>
    </w:p>
    <w:p w14:paraId="1923B27E" w14:textId="77777777" w:rsidR="00B01732" w:rsidRPr="00C33A5F" w:rsidRDefault="00B01732" w:rsidP="001B794A">
      <w:pPr>
        <w:spacing w:after="0" w:line="480" w:lineRule="auto"/>
        <w:rPr>
          <w:rFonts w:ascii="Times New Roman" w:eastAsia="Calibri" w:hAnsi="Times New Roman" w:cs="Times New Roman"/>
          <w:sz w:val="24"/>
          <w:szCs w:val="24"/>
        </w:rPr>
      </w:pPr>
    </w:p>
    <w:p w14:paraId="098348D8" w14:textId="77777777" w:rsidR="00EC205C" w:rsidRPr="00C33A5F" w:rsidRDefault="00EC205C" w:rsidP="00C9620F">
      <w:pPr>
        <w:spacing w:after="0" w:line="480" w:lineRule="auto"/>
        <w:jc w:val="both"/>
        <w:rPr>
          <w:rFonts w:ascii="Times New Roman" w:eastAsia="Calibri" w:hAnsi="Times New Roman" w:cs="Times New Roman"/>
          <w:sz w:val="24"/>
          <w:szCs w:val="24"/>
        </w:rPr>
      </w:pPr>
      <w:r w:rsidRPr="00C33A5F">
        <w:rPr>
          <w:rFonts w:ascii="Times New Roman" w:eastAsia="Calibri" w:hAnsi="Times New Roman" w:cs="Times New Roman"/>
          <w:sz w:val="24"/>
          <w:szCs w:val="24"/>
        </w:rPr>
        <w:t xml:space="preserve">The review highlighted inconsistent results across a range of outcomes. Less than half of the studies assessing initiation, receipt and use of pharmacological treatment for bone health showed a statistically significant difference between the intervention and control group. </w:t>
      </w:r>
      <w:r w:rsidR="002E268C">
        <w:rPr>
          <w:rFonts w:ascii="Times New Roman" w:eastAsia="Calibri" w:hAnsi="Times New Roman" w:cs="Times New Roman"/>
          <w:sz w:val="24"/>
          <w:szCs w:val="24"/>
        </w:rPr>
        <w:t>However</w:t>
      </w:r>
      <w:r w:rsidRPr="00C33A5F">
        <w:rPr>
          <w:rFonts w:ascii="Times New Roman" w:eastAsia="Calibri" w:hAnsi="Times New Roman" w:cs="Times New Roman"/>
          <w:sz w:val="24"/>
          <w:szCs w:val="24"/>
        </w:rPr>
        <w:t xml:space="preserve">, knowledge about osteoporosis and intake of Calcium and or Vitamin D was significantly improved in the intervention group compared to a control group in ≥ 50% of studies. Only one of four RCTs reporting fractures showed a significant reduction in fracture </w:t>
      </w:r>
      <w:proofErr w:type="gramStart"/>
      <w:r w:rsidRPr="00C33A5F">
        <w:rPr>
          <w:rFonts w:ascii="Times New Roman" w:eastAsia="Calibri" w:hAnsi="Times New Roman" w:cs="Times New Roman"/>
          <w:sz w:val="24"/>
          <w:szCs w:val="24"/>
        </w:rPr>
        <w:t>incidence</w:t>
      </w:r>
      <w:r w:rsidR="00A0165D">
        <w:rPr>
          <w:rFonts w:ascii="Times New Roman" w:eastAsia="Calibri" w:hAnsi="Times New Roman" w:cs="Times New Roman"/>
          <w:sz w:val="24"/>
          <w:szCs w:val="24"/>
        </w:rPr>
        <w:t>[</w:t>
      </w:r>
      <w:proofErr w:type="gramEnd"/>
      <w:r w:rsidR="00410A3F">
        <w:rPr>
          <w:rFonts w:ascii="Times New Roman" w:eastAsia="Calibri" w:hAnsi="Times New Roman" w:cs="Times New Roman"/>
          <w:sz w:val="24"/>
          <w:szCs w:val="24"/>
        </w:rPr>
        <w:t>61</w:t>
      </w:r>
      <w:r w:rsidR="00A0165D">
        <w:rPr>
          <w:rFonts w:ascii="Times New Roman" w:eastAsia="Calibri" w:hAnsi="Times New Roman" w:cs="Times New Roman"/>
          <w:sz w:val="24"/>
          <w:szCs w:val="24"/>
        </w:rPr>
        <w:t>]</w:t>
      </w:r>
      <w:r w:rsidRPr="00C33A5F">
        <w:rPr>
          <w:rFonts w:ascii="Times New Roman" w:eastAsia="Calibri" w:hAnsi="Times New Roman" w:cs="Times New Roman"/>
          <w:sz w:val="24"/>
          <w:szCs w:val="24"/>
        </w:rPr>
        <w:t xml:space="preserve">. In this study, participants in the intervention group received a weeklong </w:t>
      </w:r>
      <w:r w:rsidRPr="00C33A5F">
        <w:rPr>
          <w:rFonts w:ascii="Times New Roman" w:eastAsia="Calibri" w:hAnsi="Times New Roman" w:cs="Times New Roman"/>
          <w:sz w:val="24"/>
          <w:szCs w:val="24"/>
        </w:rPr>
        <w:lastRenderedPageBreak/>
        <w:t xml:space="preserve">programme of group and individual sessions with optional supervised gym sessions delivered by a multi-professional team. Data about hip fracture incidence were collected at ten years via a national hospital discharge register. Following adjustment for baseline differences the risk of hip fracture reduced by 55%. </w:t>
      </w:r>
    </w:p>
    <w:p w14:paraId="0C8E3B5F" w14:textId="77777777" w:rsidR="00F519E1" w:rsidRPr="00C33A5F" w:rsidRDefault="00F519E1" w:rsidP="001B794A">
      <w:pPr>
        <w:spacing w:after="0" w:line="480" w:lineRule="auto"/>
        <w:rPr>
          <w:rFonts w:ascii="Times New Roman" w:eastAsia="Calibri" w:hAnsi="Times New Roman" w:cs="Times New Roman"/>
          <w:b/>
          <w:sz w:val="24"/>
          <w:szCs w:val="24"/>
        </w:rPr>
      </w:pPr>
    </w:p>
    <w:p w14:paraId="47886821" w14:textId="11E32B0E" w:rsidR="008A1D23" w:rsidRPr="00C33A5F" w:rsidRDefault="00F65CC2" w:rsidP="008B435D">
      <w:pPr>
        <w:spacing w:after="0" w:line="480" w:lineRule="auto"/>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 xml:space="preserve">4  </w:t>
      </w:r>
      <w:r w:rsidR="00DD6A30" w:rsidRPr="008B435D">
        <w:rPr>
          <w:rFonts w:ascii="Times New Roman" w:eastAsia="Calibri" w:hAnsi="Times New Roman" w:cs="Times New Roman"/>
          <w:b/>
          <w:sz w:val="24"/>
          <w:szCs w:val="24"/>
        </w:rPr>
        <w:t>What</w:t>
      </w:r>
      <w:proofErr w:type="gramEnd"/>
      <w:r w:rsidR="00DD6A30" w:rsidRPr="008B435D">
        <w:rPr>
          <w:rFonts w:ascii="Times New Roman" w:eastAsia="Calibri" w:hAnsi="Times New Roman" w:cs="Times New Roman"/>
          <w:b/>
          <w:sz w:val="24"/>
          <w:szCs w:val="24"/>
        </w:rPr>
        <w:t xml:space="preserve"> is the effect of strategies undertaken by HPs to implement recommendations for the prevention and management of osteoporotic fracture by potential stakeholders?</w:t>
      </w:r>
    </w:p>
    <w:p w14:paraId="570F91CE" w14:textId="77777777" w:rsidR="001C54B7" w:rsidRPr="00C33A5F" w:rsidRDefault="001C54B7" w:rsidP="008B435D">
      <w:pPr>
        <w:spacing w:after="0" w:line="480" w:lineRule="auto"/>
        <w:rPr>
          <w:rFonts w:ascii="Times New Roman" w:eastAsia="Calibri" w:hAnsi="Times New Roman" w:cs="Times New Roman"/>
          <w:b/>
          <w:sz w:val="24"/>
          <w:szCs w:val="24"/>
        </w:rPr>
      </w:pPr>
    </w:p>
    <w:p w14:paraId="0B59612F" w14:textId="71918D53" w:rsidR="00B21400" w:rsidRPr="008B435D" w:rsidRDefault="00EC205C" w:rsidP="000360F9">
      <w:pPr>
        <w:spacing w:after="0" w:line="480" w:lineRule="auto"/>
        <w:jc w:val="both"/>
        <w:rPr>
          <w:rFonts w:ascii="Times New Roman" w:hAnsi="Times New Roman" w:cs="Times New Roman"/>
          <w:sz w:val="24"/>
          <w:szCs w:val="24"/>
        </w:rPr>
      </w:pPr>
      <w:r w:rsidRPr="00C33A5F">
        <w:rPr>
          <w:rFonts w:ascii="Times New Roman" w:eastAsia="Calibri" w:hAnsi="Times New Roman" w:cs="Times New Roman"/>
          <w:bCs/>
          <w:sz w:val="24"/>
          <w:szCs w:val="24"/>
        </w:rPr>
        <w:t xml:space="preserve">Five primary studies </w:t>
      </w:r>
      <w:r w:rsidRPr="00C33A5F">
        <w:rPr>
          <w:rFonts w:ascii="Times New Roman" w:eastAsia="Calibri" w:hAnsi="Times New Roman" w:cs="Times New Roman"/>
          <w:sz w:val="24"/>
          <w:szCs w:val="24"/>
        </w:rPr>
        <w:t xml:space="preserve">in various care settings </w:t>
      </w:r>
      <w:r w:rsidRPr="00C33A5F">
        <w:rPr>
          <w:rFonts w:ascii="Times New Roman" w:eastAsia="Calibri" w:hAnsi="Times New Roman" w:cs="Times New Roman"/>
          <w:bCs/>
          <w:sz w:val="24"/>
          <w:szCs w:val="24"/>
        </w:rPr>
        <w:t xml:space="preserve">contributed to the evidence synthesis about the effect of strategies to implement recommendations </w:t>
      </w:r>
      <w:r w:rsidRPr="00C33A5F">
        <w:rPr>
          <w:rFonts w:ascii="Times New Roman" w:hAnsi="Times New Roman" w:cs="Times New Roman"/>
          <w:sz w:val="24"/>
          <w:szCs w:val="24"/>
        </w:rPr>
        <w:t xml:space="preserve">by stakeholders to prevent and manage osteoporotic fracture </w:t>
      </w:r>
      <w:r w:rsidR="00641378">
        <w:rPr>
          <w:rFonts w:ascii="Times New Roman" w:eastAsia="Calibri" w:hAnsi="Times New Roman" w:cs="Times New Roman"/>
          <w:sz w:val="24"/>
          <w:szCs w:val="24"/>
        </w:rPr>
        <w:t>(Table 5</w:t>
      </w:r>
      <w:r w:rsidRPr="00C33A5F">
        <w:rPr>
          <w:rFonts w:ascii="Times New Roman" w:eastAsia="Calibri" w:hAnsi="Times New Roman" w:cs="Times New Roman"/>
          <w:sz w:val="24"/>
          <w:szCs w:val="24"/>
        </w:rPr>
        <w:t>)</w:t>
      </w:r>
      <w:r w:rsidRPr="00C33A5F">
        <w:rPr>
          <w:rFonts w:ascii="Times New Roman" w:hAnsi="Times New Roman" w:cs="Times New Roman"/>
          <w:sz w:val="24"/>
          <w:szCs w:val="24"/>
        </w:rPr>
        <w:t xml:space="preserve">. </w:t>
      </w:r>
      <w:r w:rsidR="00DD6A30" w:rsidRPr="00DD6A30">
        <w:rPr>
          <w:rFonts w:ascii="Times New Roman" w:hAnsi="Times New Roman" w:cs="Times New Roman"/>
          <w:sz w:val="24"/>
          <w:szCs w:val="24"/>
        </w:rPr>
        <w:t xml:space="preserve">These were grouped into </w:t>
      </w:r>
      <w:r w:rsidR="00DD6A30" w:rsidRPr="00B21400">
        <w:rPr>
          <w:rFonts w:ascii="Times New Roman" w:hAnsi="Times New Roman" w:cs="Times New Roman"/>
          <w:sz w:val="24"/>
          <w:szCs w:val="24"/>
        </w:rPr>
        <w:t xml:space="preserve">three categories </w:t>
      </w:r>
      <w:proofErr w:type="spellStart"/>
      <w:r w:rsidR="00DD6A30" w:rsidRPr="00B21400">
        <w:rPr>
          <w:rFonts w:ascii="Times New Roman" w:hAnsi="Times New Roman" w:cs="Times New Roman"/>
          <w:sz w:val="24"/>
          <w:szCs w:val="24"/>
        </w:rPr>
        <w:t>i</w:t>
      </w:r>
      <w:proofErr w:type="spellEnd"/>
      <w:r w:rsidR="00DD6A30" w:rsidRPr="00B21400">
        <w:rPr>
          <w:rFonts w:ascii="Times New Roman" w:hAnsi="Times New Roman" w:cs="Times New Roman"/>
          <w:sz w:val="24"/>
          <w:szCs w:val="24"/>
        </w:rPr>
        <w:t xml:space="preserve">) strategies </w:t>
      </w:r>
      <w:proofErr w:type="gramStart"/>
      <w:r w:rsidR="00DD6A30" w:rsidRPr="00B21400">
        <w:rPr>
          <w:rFonts w:ascii="Times New Roman" w:hAnsi="Times New Roman" w:cs="Times New Roman"/>
          <w:sz w:val="24"/>
          <w:szCs w:val="24"/>
        </w:rPr>
        <w:t xml:space="preserve">to </w:t>
      </w:r>
      <w:r w:rsidR="00DD6A30" w:rsidRPr="008B435D">
        <w:rPr>
          <w:rFonts w:ascii="Times New Roman" w:hAnsi="Times New Roman" w:cs="Times New Roman"/>
          <w:sz w:val="24"/>
          <w:szCs w:val="24"/>
        </w:rPr>
        <w:t xml:space="preserve"> increase</w:t>
      </w:r>
      <w:proofErr w:type="gramEnd"/>
      <w:r w:rsidR="00DD6A30" w:rsidRPr="008B435D">
        <w:rPr>
          <w:rFonts w:ascii="Times New Roman" w:hAnsi="Times New Roman" w:cs="Times New Roman"/>
          <w:sz w:val="24"/>
          <w:szCs w:val="24"/>
        </w:rPr>
        <w:t xml:space="preserve"> implementation of recommendations; ii) multidisciplinary team care and iii) </w:t>
      </w:r>
      <w:r w:rsidR="00B21400">
        <w:rPr>
          <w:rFonts w:ascii="Times New Roman" w:eastAsia="Calibri" w:hAnsi="Times New Roman" w:cs="Times New Roman"/>
          <w:sz w:val="24"/>
          <w:szCs w:val="24"/>
        </w:rPr>
        <w:t>i</w:t>
      </w:r>
      <w:r w:rsidR="00DD6A30" w:rsidRPr="008B435D">
        <w:rPr>
          <w:rFonts w:ascii="Times New Roman" w:eastAsia="Calibri" w:hAnsi="Times New Roman" w:cs="Times New Roman"/>
          <w:sz w:val="24"/>
          <w:szCs w:val="24"/>
        </w:rPr>
        <w:t>nterventions to enhance adherence to anti-osteoporosis medicines</w:t>
      </w:r>
      <w:r w:rsidR="000360F9">
        <w:rPr>
          <w:rFonts w:ascii="Times New Roman" w:hAnsi="Times New Roman" w:cs="Times New Roman"/>
          <w:sz w:val="24"/>
          <w:szCs w:val="24"/>
        </w:rPr>
        <w:t>.</w:t>
      </w:r>
    </w:p>
    <w:p w14:paraId="7EF1F747" w14:textId="77777777" w:rsidR="00B21400" w:rsidRDefault="00B21400" w:rsidP="00C9620F">
      <w:pPr>
        <w:spacing w:after="0" w:line="480" w:lineRule="auto"/>
        <w:jc w:val="both"/>
        <w:rPr>
          <w:rFonts w:ascii="Times New Roman" w:eastAsia="Calibri" w:hAnsi="Times New Roman" w:cs="Times New Roman"/>
          <w:sz w:val="24"/>
          <w:szCs w:val="24"/>
        </w:rPr>
      </w:pPr>
    </w:p>
    <w:p w14:paraId="23A84945" w14:textId="1F4AD598" w:rsidR="00360DA8" w:rsidRPr="008B435D" w:rsidRDefault="00B21400" w:rsidP="00B21400">
      <w:pPr>
        <w:spacing w:after="0" w:line="48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w:t>
      </w:r>
      <w:r w:rsidR="00FA7A0E">
        <w:rPr>
          <w:rFonts w:ascii="Times New Roman" w:eastAsia="Calibri" w:hAnsi="Times New Roman" w:cs="Times New Roman"/>
          <w:sz w:val="24"/>
          <w:szCs w:val="24"/>
        </w:rPr>
        <w:t xml:space="preserve"> S</w:t>
      </w:r>
      <w:r>
        <w:rPr>
          <w:rFonts w:ascii="Times New Roman" w:eastAsia="Calibri" w:hAnsi="Times New Roman" w:cs="Times New Roman"/>
          <w:sz w:val="24"/>
          <w:szCs w:val="24"/>
        </w:rPr>
        <w:t>trategies</w:t>
      </w:r>
      <w:r w:rsidR="00EC205C" w:rsidRPr="008B435D">
        <w:rPr>
          <w:rFonts w:ascii="Times New Roman" w:eastAsia="Calibri" w:hAnsi="Times New Roman" w:cs="Times New Roman"/>
          <w:sz w:val="24"/>
          <w:szCs w:val="24"/>
        </w:rPr>
        <w:t xml:space="preserve"> </w:t>
      </w:r>
      <w:r w:rsidRPr="008B435D">
        <w:rPr>
          <w:rFonts w:ascii="Times New Roman" w:eastAsia="Calibri" w:hAnsi="Times New Roman" w:cs="Times New Roman"/>
          <w:sz w:val="24"/>
          <w:szCs w:val="24"/>
        </w:rPr>
        <w:t xml:space="preserve">to increase implementation of recommendations </w:t>
      </w:r>
      <w:r w:rsidR="00EC205C" w:rsidRPr="008B435D">
        <w:rPr>
          <w:rFonts w:ascii="Times New Roman" w:eastAsia="Calibri" w:hAnsi="Times New Roman" w:cs="Times New Roman"/>
          <w:sz w:val="24"/>
          <w:szCs w:val="24"/>
        </w:rPr>
        <w:t>consisted of two or more components</w:t>
      </w:r>
      <w:r w:rsidR="00DD6A30" w:rsidRPr="008B435D">
        <w:rPr>
          <w:rFonts w:ascii="Times New Roman" w:eastAsia="Calibri" w:hAnsi="Times New Roman" w:cs="Times New Roman"/>
          <w:sz w:val="24"/>
          <w:szCs w:val="24"/>
        </w:rPr>
        <w:t>, these included</w:t>
      </w:r>
      <w:r w:rsidR="00EC205C" w:rsidRPr="008B435D">
        <w:rPr>
          <w:rFonts w:ascii="Times New Roman" w:eastAsia="Calibri" w:hAnsi="Times New Roman" w:cs="Times New Roman"/>
          <w:sz w:val="24"/>
          <w:szCs w:val="24"/>
        </w:rPr>
        <w:t>: education and dissemination of educational materials, fall and fracture risk assessment, feedback through audit and evaluation</w:t>
      </w:r>
      <w:r w:rsidR="005316B9" w:rsidRPr="008B435D">
        <w:rPr>
          <w:rFonts w:ascii="Times New Roman" w:eastAsia="Calibri" w:hAnsi="Times New Roman" w:cs="Times New Roman"/>
          <w:sz w:val="24"/>
          <w:szCs w:val="24"/>
        </w:rPr>
        <w:t>,</w:t>
      </w:r>
      <w:r w:rsidR="00EC205C" w:rsidRPr="008B435D">
        <w:rPr>
          <w:rFonts w:ascii="Times New Roman" w:eastAsia="Calibri" w:hAnsi="Times New Roman" w:cs="Times New Roman"/>
          <w:sz w:val="24"/>
          <w:szCs w:val="24"/>
        </w:rPr>
        <w:t xml:space="preserve"> and a computer-aided decision suppor</w:t>
      </w:r>
      <w:r w:rsidR="001C24AA" w:rsidRPr="008B435D">
        <w:rPr>
          <w:rFonts w:ascii="Times New Roman" w:eastAsia="Calibri" w:hAnsi="Times New Roman" w:cs="Times New Roman"/>
          <w:sz w:val="24"/>
          <w:szCs w:val="24"/>
        </w:rPr>
        <w:t xml:space="preserve">t system. The three cluster </w:t>
      </w:r>
      <w:proofErr w:type="gramStart"/>
      <w:r w:rsidR="001C24AA" w:rsidRPr="008B435D">
        <w:rPr>
          <w:rFonts w:ascii="Times New Roman" w:eastAsia="Calibri" w:hAnsi="Times New Roman" w:cs="Times New Roman"/>
          <w:sz w:val="24"/>
          <w:szCs w:val="24"/>
        </w:rPr>
        <w:t>RCTs</w:t>
      </w:r>
      <w:r w:rsidR="00D67DEB" w:rsidRPr="008B435D">
        <w:rPr>
          <w:rFonts w:ascii="Times New Roman" w:eastAsia="Calibri" w:hAnsi="Times New Roman" w:cs="Times New Roman"/>
          <w:sz w:val="24"/>
          <w:szCs w:val="24"/>
        </w:rPr>
        <w:t>[</w:t>
      </w:r>
      <w:proofErr w:type="gramEnd"/>
      <w:r w:rsidR="00D67DEB" w:rsidRPr="008B435D">
        <w:rPr>
          <w:rFonts w:ascii="Times New Roman" w:eastAsia="Calibri" w:hAnsi="Times New Roman" w:cs="Times New Roman"/>
          <w:sz w:val="24"/>
          <w:szCs w:val="24"/>
        </w:rPr>
        <w:t>26,6</w:t>
      </w:r>
      <w:r w:rsidR="00C9301B">
        <w:rPr>
          <w:rFonts w:ascii="Times New Roman" w:eastAsia="Calibri" w:hAnsi="Times New Roman" w:cs="Times New Roman"/>
          <w:sz w:val="24"/>
          <w:szCs w:val="24"/>
        </w:rPr>
        <w:t>2</w:t>
      </w:r>
      <w:r w:rsidR="00D67DEB" w:rsidRPr="008B435D">
        <w:rPr>
          <w:rFonts w:ascii="Times New Roman" w:eastAsia="Calibri" w:hAnsi="Times New Roman" w:cs="Times New Roman"/>
          <w:sz w:val="24"/>
          <w:szCs w:val="24"/>
        </w:rPr>
        <w:t>,6</w:t>
      </w:r>
      <w:r w:rsidR="00C9301B">
        <w:rPr>
          <w:rFonts w:ascii="Times New Roman" w:eastAsia="Calibri" w:hAnsi="Times New Roman" w:cs="Times New Roman"/>
          <w:sz w:val="24"/>
          <w:szCs w:val="24"/>
        </w:rPr>
        <w:t>3</w:t>
      </w:r>
      <w:r w:rsidR="00D67DEB" w:rsidRPr="008B435D">
        <w:rPr>
          <w:rFonts w:ascii="Times New Roman" w:eastAsia="Calibri" w:hAnsi="Times New Roman" w:cs="Times New Roman"/>
          <w:sz w:val="24"/>
          <w:szCs w:val="24"/>
        </w:rPr>
        <w:t>]</w:t>
      </w:r>
      <w:r w:rsidR="00EC205C" w:rsidRPr="008B435D">
        <w:rPr>
          <w:rFonts w:ascii="Times New Roman" w:eastAsia="Calibri" w:hAnsi="Times New Roman" w:cs="Times New Roman"/>
          <w:sz w:val="24"/>
          <w:szCs w:val="24"/>
        </w:rPr>
        <w:t xml:space="preserve"> were appraised as having unclear risk of other bias with respect to criteria particular to cluster trials, for example baseline imbalances and loss of clusters</w:t>
      </w:r>
      <w:r w:rsidR="00D67DEB" w:rsidRPr="008B435D">
        <w:rPr>
          <w:rFonts w:ascii="Times New Roman" w:eastAsia="Calibri" w:hAnsi="Times New Roman" w:cs="Times New Roman"/>
          <w:sz w:val="24"/>
          <w:szCs w:val="24"/>
        </w:rPr>
        <w:t>[21]</w:t>
      </w:r>
      <w:r w:rsidR="00EC205C" w:rsidRPr="008B435D">
        <w:rPr>
          <w:rFonts w:ascii="Times New Roman" w:eastAsia="Calibri" w:hAnsi="Times New Roman" w:cs="Times New Roman"/>
          <w:sz w:val="24"/>
          <w:szCs w:val="24"/>
          <w:vertAlign w:val="subscript"/>
        </w:rPr>
        <w:t>.</w:t>
      </w:r>
    </w:p>
    <w:p w14:paraId="0A0F93E4" w14:textId="77777777" w:rsidR="0071219D" w:rsidRPr="00C33A5F" w:rsidRDefault="0071219D" w:rsidP="001B794A">
      <w:pPr>
        <w:spacing w:after="0" w:line="480" w:lineRule="auto"/>
        <w:rPr>
          <w:rFonts w:ascii="Times New Roman" w:eastAsia="Calibri" w:hAnsi="Times New Roman" w:cs="Times New Roman"/>
          <w:sz w:val="24"/>
          <w:szCs w:val="24"/>
        </w:rPr>
      </w:pPr>
    </w:p>
    <w:p w14:paraId="12A951AC" w14:textId="7AD7E2EA" w:rsidR="00201E8F" w:rsidRPr="00C33A5F" w:rsidRDefault="00B21400" w:rsidP="00C9620F">
      <w:pPr>
        <w:spacing w:after="0" w:line="480" w:lineRule="auto"/>
        <w:jc w:val="both"/>
        <w:rPr>
          <w:rFonts w:ascii="Times New Roman" w:eastAsia="Calibri" w:hAnsi="Times New Roman" w:cs="Times New Roman"/>
          <w:sz w:val="24"/>
          <w:szCs w:val="24"/>
        </w:rPr>
        <w:sectPr w:rsidR="00201E8F" w:rsidRPr="00C33A5F">
          <w:pgSz w:w="11906" w:h="16838"/>
          <w:pgMar w:top="1417" w:right="1417" w:bottom="1417" w:left="1417" w:header="708" w:footer="708" w:gutter="0"/>
          <w:cols w:space="708"/>
          <w:docGrid w:linePitch="360"/>
        </w:sectPr>
      </w:pPr>
      <w:r>
        <w:rPr>
          <w:rFonts w:ascii="Times New Roman" w:eastAsia="Calibri" w:hAnsi="Times New Roman" w:cs="Times New Roman"/>
          <w:sz w:val="24"/>
          <w:szCs w:val="24"/>
        </w:rPr>
        <w:t xml:space="preserve">ii) </w:t>
      </w:r>
      <w:proofErr w:type="spellStart"/>
      <w:r>
        <w:rPr>
          <w:rFonts w:ascii="Times New Roman" w:eastAsia="Calibri" w:hAnsi="Times New Roman" w:cs="Times New Roman"/>
          <w:sz w:val="24"/>
          <w:szCs w:val="24"/>
        </w:rPr>
        <w:t>Multisiciplinary</w:t>
      </w:r>
      <w:proofErr w:type="spellEnd"/>
      <w:r>
        <w:rPr>
          <w:rFonts w:ascii="Times New Roman" w:eastAsia="Calibri" w:hAnsi="Times New Roman" w:cs="Times New Roman"/>
          <w:sz w:val="24"/>
          <w:szCs w:val="24"/>
        </w:rPr>
        <w:t xml:space="preserve"> team care and iii) </w:t>
      </w:r>
      <w:r w:rsidRPr="008B435D">
        <w:rPr>
          <w:rFonts w:ascii="Times New Roman" w:eastAsia="Calibri" w:hAnsi="Times New Roman" w:cs="Times New Roman"/>
          <w:sz w:val="24"/>
          <w:szCs w:val="24"/>
        </w:rPr>
        <w:t>Interventions to enhance adherence to anti-osteoporosis medicines</w:t>
      </w:r>
      <w:r>
        <w:rPr>
          <w:rFonts w:ascii="Times New Roman" w:eastAsia="Calibri" w:hAnsi="Times New Roman" w:cs="Times New Roman"/>
          <w:sz w:val="24"/>
          <w:szCs w:val="24"/>
        </w:rPr>
        <w:t xml:space="preserve"> was supported by </w:t>
      </w:r>
      <w:r w:rsidR="00EC205C" w:rsidRPr="00C33A5F">
        <w:rPr>
          <w:rFonts w:ascii="Times New Roman" w:eastAsia="Calibri" w:hAnsi="Times New Roman" w:cs="Times New Roman"/>
          <w:sz w:val="24"/>
          <w:szCs w:val="24"/>
        </w:rPr>
        <w:t xml:space="preserve">evidence </w:t>
      </w:r>
      <w:r>
        <w:rPr>
          <w:rFonts w:ascii="Times New Roman" w:eastAsia="Calibri" w:hAnsi="Times New Roman" w:cs="Times New Roman"/>
          <w:sz w:val="24"/>
          <w:szCs w:val="24"/>
        </w:rPr>
        <w:t xml:space="preserve">that </w:t>
      </w:r>
      <w:r w:rsidR="00EC205C" w:rsidRPr="00C33A5F">
        <w:rPr>
          <w:rFonts w:ascii="Times New Roman" w:eastAsia="Calibri" w:hAnsi="Times New Roman" w:cs="Times New Roman"/>
          <w:sz w:val="24"/>
          <w:szCs w:val="24"/>
        </w:rPr>
        <w:t>suggests</w:t>
      </w:r>
      <w:r w:rsidR="002E268C">
        <w:rPr>
          <w:rFonts w:ascii="Times New Roman" w:eastAsia="Calibri" w:hAnsi="Times New Roman" w:cs="Times New Roman"/>
          <w:sz w:val="24"/>
          <w:szCs w:val="24"/>
        </w:rPr>
        <w:t xml:space="preserve"> Vitamin D and/</w:t>
      </w:r>
      <w:r w:rsidR="00EC205C" w:rsidRPr="00C33A5F">
        <w:rPr>
          <w:rFonts w:ascii="Times New Roman" w:eastAsia="Calibri" w:hAnsi="Times New Roman" w:cs="Times New Roman"/>
          <w:sz w:val="24"/>
          <w:szCs w:val="24"/>
        </w:rPr>
        <w:t>or Calcium prescribing by stakeholders may be increased in people at risk of fracture following implementation of multicomponent interventions by non-physicians, such as nurses, pharmacists and multi-</w:t>
      </w:r>
      <w:r w:rsidR="00EC205C" w:rsidRPr="00C33A5F">
        <w:rPr>
          <w:rFonts w:ascii="Times New Roman" w:eastAsia="Calibri" w:hAnsi="Times New Roman" w:cs="Times New Roman"/>
          <w:sz w:val="24"/>
          <w:szCs w:val="24"/>
        </w:rPr>
        <w:lastRenderedPageBreak/>
        <w:t>professional teams. Cox et al</w:t>
      </w:r>
      <w:r w:rsidR="00D67DEB">
        <w:rPr>
          <w:rFonts w:ascii="Times New Roman" w:eastAsia="Calibri" w:hAnsi="Times New Roman" w:cs="Times New Roman"/>
          <w:sz w:val="24"/>
          <w:szCs w:val="24"/>
        </w:rPr>
        <w:t>[26]</w:t>
      </w:r>
      <w:r w:rsidR="00EC205C" w:rsidRPr="00C33A5F">
        <w:rPr>
          <w:rFonts w:ascii="Times New Roman" w:eastAsia="Calibri" w:hAnsi="Times New Roman" w:cs="Times New Roman"/>
          <w:sz w:val="24"/>
          <w:szCs w:val="24"/>
        </w:rPr>
        <w:t xml:space="preserve"> reported supplements were 1.64 times more likely to be prescribed to care home residents in the intervention group (n=3315) over the control group (n=2322) (IRR 1.64, </w:t>
      </w:r>
      <w:r w:rsidR="00085508" w:rsidRPr="00DC47F6">
        <w:rPr>
          <w:rFonts w:ascii="Times New Roman" w:eastAsia="Calibri" w:hAnsi="Times New Roman" w:cs="Times New Roman"/>
          <w:sz w:val="24"/>
          <w:szCs w:val="24"/>
        </w:rPr>
        <w:t>95%CI</w:t>
      </w:r>
      <w:r w:rsidR="00085508">
        <w:rPr>
          <w:rFonts w:ascii="Times New Roman" w:eastAsia="Calibri" w:hAnsi="Times New Roman" w:cs="Times New Roman"/>
          <w:sz w:val="24"/>
          <w:szCs w:val="24"/>
        </w:rPr>
        <w:t xml:space="preserve"> 1.23 </w:t>
      </w:r>
      <w:r w:rsidR="00085508" w:rsidRPr="00DC47F6">
        <w:rPr>
          <w:rFonts w:ascii="Times New Roman" w:eastAsia="Calibri" w:hAnsi="Times New Roman" w:cs="Times New Roman"/>
          <w:sz w:val="24"/>
          <w:szCs w:val="24"/>
        </w:rPr>
        <w:t xml:space="preserve">to </w:t>
      </w:r>
      <w:r w:rsidR="00EC205C" w:rsidRPr="00C33A5F">
        <w:rPr>
          <w:rFonts w:ascii="Times New Roman" w:eastAsia="Calibri" w:hAnsi="Times New Roman" w:cs="Times New Roman"/>
          <w:sz w:val="24"/>
          <w:szCs w:val="24"/>
        </w:rPr>
        <w:t>2.18; p</w:t>
      </w:r>
      <w:r w:rsidR="00085508">
        <w:rPr>
          <w:rFonts w:ascii="Times New Roman" w:eastAsia="Calibri" w:hAnsi="Times New Roman" w:cs="Times New Roman"/>
          <w:sz w:val="24"/>
          <w:szCs w:val="24"/>
        </w:rPr>
        <w:t xml:space="preserve"> </w:t>
      </w:r>
      <w:r w:rsidR="00EC205C" w:rsidRPr="00C33A5F">
        <w:rPr>
          <w:rFonts w:ascii="Times New Roman" w:eastAsia="Calibri" w:hAnsi="Times New Roman" w:cs="Times New Roman"/>
          <w:sz w:val="24"/>
          <w:szCs w:val="24"/>
        </w:rPr>
        <w:t>&lt;</w:t>
      </w:r>
      <w:r w:rsidR="00085508">
        <w:rPr>
          <w:rFonts w:ascii="Times New Roman" w:eastAsia="Calibri" w:hAnsi="Times New Roman" w:cs="Times New Roman"/>
          <w:sz w:val="24"/>
          <w:szCs w:val="24"/>
        </w:rPr>
        <w:t xml:space="preserve"> </w:t>
      </w:r>
      <w:r w:rsidR="00EC205C" w:rsidRPr="00C33A5F">
        <w:rPr>
          <w:rFonts w:ascii="Times New Roman" w:eastAsia="Calibri" w:hAnsi="Times New Roman" w:cs="Times New Roman"/>
          <w:sz w:val="24"/>
          <w:szCs w:val="24"/>
        </w:rPr>
        <w:t>0.01), while Kennedy et al.</w:t>
      </w:r>
      <w:r w:rsidR="00D67DEB">
        <w:rPr>
          <w:rFonts w:ascii="Times New Roman" w:eastAsia="Calibri" w:hAnsi="Times New Roman" w:cs="Times New Roman"/>
          <w:sz w:val="24"/>
          <w:szCs w:val="24"/>
        </w:rPr>
        <w:t>[6</w:t>
      </w:r>
      <w:r w:rsidR="00C9301B">
        <w:rPr>
          <w:rFonts w:ascii="Times New Roman" w:eastAsia="Calibri" w:hAnsi="Times New Roman" w:cs="Times New Roman"/>
          <w:sz w:val="24"/>
          <w:szCs w:val="24"/>
        </w:rPr>
        <w:t>2</w:t>
      </w:r>
      <w:r w:rsidR="00D67DEB">
        <w:rPr>
          <w:rFonts w:ascii="Times New Roman" w:eastAsia="Calibri" w:hAnsi="Times New Roman" w:cs="Times New Roman"/>
          <w:sz w:val="24"/>
          <w:szCs w:val="24"/>
        </w:rPr>
        <w:t>]</w:t>
      </w:r>
      <w:r w:rsidR="00EC205C" w:rsidRPr="00C33A5F">
        <w:rPr>
          <w:rFonts w:ascii="Times New Roman" w:eastAsia="Calibri" w:hAnsi="Times New Roman" w:cs="Times New Roman"/>
          <w:sz w:val="24"/>
          <w:szCs w:val="24"/>
        </w:rPr>
        <w:t xml:space="preserve"> stated an absolute improvement of approximately 15% in Vitamin D and 7% in Calcium prescribing for residents in long-term care following a twelve-month multimodal education and qua</w:t>
      </w:r>
      <w:r w:rsidR="00DB19F9" w:rsidRPr="00C33A5F">
        <w:rPr>
          <w:rFonts w:ascii="Times New Roman" w:eastAsia="Calibri" w:hAnsi="Times New Roman" w:cs="Times New Roman"/>
          <w:sz w:val="24"/>
          <w:szCs w:val="24"/>
        </w:rPr>
        <w:t xml:space="preserve">lity improvement intervention. </w:t>
      </w:r>
      <w:r w:rsidR="00EC205C" w:rsidRPr="00C33A5F">
        <w:rPr>
          <w:rFonts w:ascii="Times New Roman" w:eastAsia="Calibri" w:hAnsi="Times New Roman" w:cs="Times New Roman"/>
          <w:sz w:val="24"/>
          <w:szCs w:val="24"/>
        </w:rPr>
        <w:t xml:space="preserve">In one randomised study set in the </w:t>
      </w:r>
      <w:proofErr w:type="gramStart"/>
      <w:r w:rsidR="00EC205C" w:rsidRPr="00C33A5F">
        <w:rPr>
          <w:rFonts w:ascii="Times New Roman" w:eastAsia="Calibri" w:hAnsi="Times New Roman" w:cs="Times New Roman"/>
          <w:sz w:val="24"/>
          <w:szCs w:val="24"/>
        </w:rPr>
        <w:t>community</w:t>
      </w:r>
      <w:r w:rsidR="00D67DEB">
        <w:rPr>
          <w:rFonts w:ascii="Times New Roman" w:eastAsia="Calibri" w:hAnsi="Times New Roman" w:cs="Times New Roman"/>
          <w:sz w:val="24"/>
          <w:szCs w:val="24"/>
        </w:rPr>
        <w:t>[</w:t>
      </w:r>
      <w:proofErr w:type="gramEnd"/>
      <w:r w:rsidR="00D67DEB">
        <w:rPr>
          <w:rFonts w:ascii="Times New Roman" w:eastAsia="Calibri" w:hAnsi="Times New Roman" w:cs="Times New Roman"/>
          <w:sz w:val="24"/>
          <w:szCs w:val="24"/>
        </w:rPr>
        <w:t>6</w:t>
      </w:r>
      <w:r w:rsidR="00C9301B">
        <w:rPr>
          <w:rFonts w:ascii="Times New Roman" w:eastAsia="Calibri" w:hAnsi="Times New Roman" w:cs="Times New Roman"/>
          <w:sz w:val="24"/>
          <w:szCs w:val="24"/>
        </w:rPr>
        <w:t>4</w:t>
      </w:r>
      <w:r w:rsidR="00D67DEB">
        <w:rPr>
          <w:rFonts w:ascii="Times New Roman" w:eastAsia="Calibri" w:hAnsi="Times New Roman" w:cs="Times New Roman"/>
          <w:sz w:val="24"/>
          <w:szCs w:val="24"/>
        </w:rPr>
        <w:t>]</w:t>
      </w:r>
      <w:r w:rsidR="002E268C">
        <w:rPr>
          <w:rFonts w:ascii="Times New Roman" w:eastAsia="Calibri" w:hAnsi="Times New Roman" w:cs="Times New Roman"/>
          <w:sz w:val="24"/>
          <w:szCs w:val="24"/>
        </w:rPr>
        <w:t>, treatment with calcium and V</w:t>
      </w:r>
      <w:r w:rsidR="00EC205C" w:rsidRPr="00C33A5F">
        <w:rPr>
          <w:rFonts w:ascii="Times New Roman" w:eastAsia="Calibri" w:hAnsi="Times New Roman" w:cs="Times New Roman"/>
          <w:sz w:val="24"/>
          <w:szCs w:val="24"/>
        </w:rPr>
        <w:t xml:space="preserve">itamin D reportedly increased by 34% and 13% respectively, although this study was at high risk of detection bias due to unblinded outcome assessors. One non-randomised </w:t>
      </w:r>
      <w:proofErr w:type="gramStart"/>
      <w:r w:rsidR="00EC205C" w:rsidRPr="00C33A5F">
        <w:rPr>
          <w:rFonts w:ascii="Times New Roman" w:eastAsia="Calibri" w:hAnsi="Times New Roman" w:cs="Times New Roman"/>
          <w:sz w:val="24"/>
          <w:szCs w:val="24"/>
        </w:rPr>
        <w:t>study</w:t>
      </w:r>
      <w:r w:rsidR="00D67DEB">
        <w:rPr>
          <w:rFonts w:ascii="Times New Roman" w:eastAsia="Calibri" w:hAnsi="Times New Roman" w:cs="Times New Roman"/>
          <w:sz w:val="24"/>
          <w:szCs w:val="24"/>
        </w:rPr>
        <w:t>[</w:t>
      </w:r>
      <w:proofErr w:type="gramEnd"/>
      <w:r w:rsidR="00D67DEB">
        <w:rPr>
          <w:rFonts w:ascii="Times New Roman" w:eastAsia="Calibri" w:hAnsi="Times New Roman" w:cs="Times New Roman"/>
          <w:sz w:val="24"/>
          <w:szCs w:val="24"/>
        </w:rPr>
        <w:t>6</w:t>
      </w:r>
      <w:r w:rsidR="00C9301B">
        <w:rPr>
          <w:rFonts w:ascii="Times New Roman" w:eastAsia="Calibri" w:hAnsi="Times New Roman" w:cs="Times New Roman"/>
          <w:sz w:val="24"/>
          <w:szCs w:val="24"/>
        </w:rPr>
        <w:t>5</w:t>
      </w:r>
      <w:r w:rsidR="00D67DEB">
        <w:rPr>
          <w:rFonts w:ascii="Times New Roman" w:eastAsia="Calibri" w:hAnsi="Times New Roman" w:cs="Times New Roman"/>
          <w:sz w:val="24"/>
          <w:szCs w:val="24"/>
        </w:rPr>
        <w:t>]</w:t>
      </w:r>
      <w:r w:rsidR="00EC205C" w:rsidRPr="00C33A5F">
        <w:rPr>
          <w:rFonts w:ascii="Times New Roman" w:eastAsia="Calibri" w:hAnsi="Times New Roman" w:cs="Times New Roman"/>
          <w:sz w:val="24"/>
          <w:szCs w:val="24"/>
        </w:rPr>
        <w:t xml:space="preserve">, showed that a pharmacist-implemented </w:t>
      </w:r>
      <w:r w:rsidR="00EC205C" w:rsidRPr="00C33A5F">
        <w:rPr>
          <w:rFonts w:ascii="Times New Roman" w:hAnsi="Times New Roman" w:cs="Times New Roman"/>
          <w:sz w:val="24"/>
          <w:szCs w:val="24"/>
        </w:rPr>
        <w:t xml:space="preserve">clinical decision support system </w:t>
      </w:r>
      <w:r w:rsidR="00EC205C" w:rsidRPr="00C33A5F">
        <w:rPr>
          <w:rFonts w:ascii="Times New Roman" w:eastAsia="Calibri" w:hAnsi="Times New Roman" w:cs="Times New Roman"/>
          <w:sz w:val="24"/>
          <w:szCs w:val="24"/>
        </w:rPr>
        <w:t xml:space="preserve">increased co-prescription of Vitamin D with a bisphosphonate by 29% compared to a historical control group. </w:t>
      </w:r>
      <w:r w:rsidR="00F36E25">
        <w:rPr>
          <w:rFonts w:ascii="Times New Roman" w:eastAsia="Calibri" w:hAnsi="Times New Roman" w:cs="Times New Roman"/>
          <w:sz w:val="24"/>
          <w:szCs w:val="24"/>
        </w:rPr>
        <w:t>However,</w:t>
      </w:r>
      <w:r w:rsidR="00EC205C" w:rsidRPr="00C33A5F">
        <w:rPr>
          <w:rFonts w:ascii="Times New Roman" w:eastAsia="Calibri" w:hAnsi="Times New Roman" w:cs="Times New Roman"/>
          <w:sz w:val="24"/>
          <w:szCs w:val="24"/>
        </w:rPr>
        <w:t xml:space="preserve"> the effect of strategies on prescription of osteoporosis medicines was inconclusive, with 50% of studies reporting </w:t>
      </w:r>
      <w:proofErr w:type="gramStart"/>
      <w:r w:rsidR="00EC205C" w:rsidRPr="00C33A5F">
        <w:rPr>
          <w:rFonts w:ascii="Times New Roman" w:eastAsia="Calibri" w:hAnsi="Times New Roman" w:cs="Times New Roman"/>
          <w:sz w:val="24"/>
          <w:szCs w:val="24"/>
        </w:rPr>
        <w:t>benefit</w:t>
      </w:r>
      <w:r w:rsidR="00D67DEB">
        <w:rPr>
          <w:rFonts w:ascii="Times New Roman" w:eastAsia="Calibri" w:hAnsi="Times New Roman" w:cs="Times New Roman"/>
          <w:sz w:val="24"/>
          <w:szCs w:val="24"/>
        </w:rPr>
        <w:t>[</w:t>
      </w:r>
      <w:proofErr w:type="gramEnd"/>
      <w:r w:rsidR="00D67DEB">
        <w:rPr>
          <w:rFonts w:ascii="Times New Roman" w:eastAsia="Calibri" w:hAnsi="Times New Roman" w:cs="Times New Roman"/>
          <w:sz w:val="24"/>
          <w:szCs w:val="24"/>
        </w:rPr>
        <w:t>26,6</w:t>
      </w:r>
      <w:r w:rsidR="00C9301B">
        <w:rPr>
          <w:rFonts w:ascii="Times New Roman" w:eastAsia="Calibri" w:hAnsi="Times New Roman" w:cs="Times New Roman"/>
          <w:sz w:val="24"/>
          <w:szCs w:val="24"/>
        </w:rPr>
        <w:t>4</w:t>
      </w:r>
      <w:r w:rsidR="00D67DEB">
        <w:rPr>
          <w:rFonts w:ascii="Times New Roman" w:eastAsia="Calibri" w:hAnsi="Times New Roman" w:cs="Times New Roman"/>
          <w:sz w:val="24"/>
          <w:szCs w:val="24"/>
        </w:rPr>
        <w:t>]</w:t>
      </w:r>
      <w:r w:rsidR="00EC205C" w:rsidRPr="00C33A5F">
        <w:rPr>
          <w:rFonts w:ascii="Times New Roman" w:eastAsia="Calibri" w:hAnsi="Times New Roman" w:cs="Times New Roman"/>
          <w:sz w:val="24"/>
          <w:szCs w:val="24"/>
        </w:rPr>
        <w:t>. There was no statistically significant difference between intervention and contro</w:t>
      </w:r>
      <w:r w:rsidR="00D26BF6" w:rsidRPr="00C33A5F">
        <w:rPr>
          <w:rFonts w:ascii="Times New Roman" w:eastAsia="Calibri" w:hAnsi="Times New Roman" w:cs="Times New Roman"/>
          <w:sz w:val="24"/>
          <w:szCs w:val="24"/>
        </w:rPr>
        <w:t>l groups in fractures and falls</w:t>
      </w:r>
      <w:r w:rsidR="00F127B9" w:rsidRPr="00C33A5F">
        <w:rPr>
          <w:rFonts w:ascii="Times New Roman" w:eastAsia="Calibri" w:hAnsi="Times New Roman" w:cs="Times New Roman"/>
          <w:sz w:val="24"/>
          <w:szCs w:val="24"/>
        </w:rPr>
        <w:t>.</w:t>
      </w:r>
    </w:p>
    <w:p w14:paraId="04AEDDAC" w14:textId="100158AA" w:rsidR="00201E8F" w:rsidRPr="00C33A5F" w:rsidRDefault="00641378" w:rsidP="005F417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Table 5</w:t>
      </w:r>
      <w:r w:rsidR="00C15653" w:rsidRPr="00C33A5F">
        <w:rPr>
          <w:rFonts w:ascii="Times New Roman" w:hAnsi="Times New Roman" w:cs="Times New Roman"/>
          <w:b/>
          <w:sz w:val="24"/>
          <w:szCs w:val="24"/>
        </w:rPr>
        <w:t>.</w:t>
      </w:r>
      <w:r w:rsidR="00201E8F" w:rsidRPr="00C33A5F">
        <w:rPr>
          <w:rFonts w:ascii="Times New Roman" w:hAnsi="Times New Roman" w:cs="Times New Roman"/>
          <w:b/>
          <w:sz w:val="24"/>
          <w:szCs w:val="24"/>
        </w:rPr>
        <w:t xml:space="preserve"> Characteristics of intervention studies and their main findings</w:t>
      </w:r>
      <w:r w:rsidR="00607F87">
        <w:rPr>
          <w:rFonts w:ascii="Times New Roman" w:hAnsi="Times New Roman" w:cs="Times New Roman"/>
          <w:b/>
          <w:sz w:val="24"/>
          <w:szCs w:val="24"/>
        </w:rPr>
        <w:t xml:space="preserve">: </w:t>
      </w:r>
      <w:r w:rsidR="00607F87" w:rsidRPr="00B21400">
        <w:rPr>
          <w:rFonts w:ascii="Times New Roman" w:hAnsi="Times New Roman" w:cs="Times New Roman"/>
          <w:b/>
          <w:sz w:val="24"/>
          <w:szCs w:val="24"/>
        </w:rPr>
        <w:t xml:space="preserve">implementation </w:t>
      </w:r>
      <w:r w:rsidR="00DD6A30" w:rsidRPr="00B21400">
        <w:rPr>
          <w:rFonts w:ascii="Times New Roman" w:hAnsi="Times New Roman" w:cs="Times New Roman"/>
          <w:b/>
          <w:sz w:val="24"/>
          <w:szCs w:val="24"/>
        </w:rPr>
        <w:t xml:space="preserve">strategies </w:t>
      </w:r>
      <w:r w:rsidR="00DD6A30" w:rsidRPr="008B435D">
        <w:rPr>
          <w:rFonts w:ascii="Times New Roman" w:hAnsi="Times New Roman" w:cs="Times New Roman"/>
          <w:b/>
          <w:sz w:val="24"/>
          <w:szCs w:val="24"/>
        </w:rPr>
        <w:t>to increase implementation of recommendations</w:t>
      </w:r>
      <w:r w:rsidR="00607F87" w:rsidRPr="00B21400">
        <w:rPr>
          <w:rFonts w:ascii="Times New Roman" w:hAnsi="Times New Roman" w:cs="Times New Roman"/>
          <w:b/>
          <w:sz w:val="24"/>
          <w:szCs w:val="24"/>
        </w:rPr>
        <w:t xml:space="preserve">; multidisciplinary team care; </w:t>
      </w:r>
      <w:r w:rsidR="001E1E79">
        <w:rPr>
          <w:rFonts w:ascii="Times New Roman" w:eastAsia="Calibri" w:hAnsi="Times New Roman" w:cs="Times New Roman"/>
          <w:b/>
          <w:sz w:val="24"/>
          <w:szCs w:val="24"/>
        </w:rPr>
        <w:t>i</w:t>
      </w:r>
      <w:r w:rsidR="00DD6A30" w:rsidRPr="008B435D">
        <w:rPr>
          <w:rFonts w:ascii="Times New Roman" w:eastAsia="Calibri" w:hAnsi="Times New Roman" w:cs="Times New Roman"/>
          <w:b/>
          <w:sz w:val="24"/>
          <w:szCs w:val="24"/>
        </w:rPr>
        <w:t>nterventions to enhance adherence to anti-osteoporosis medicines</w:t>
      </w:r>
      <w:r w:rsidR="00DD6A30">
        <w:rPr>
          <w:rFonts w:ascii="Times New Roman" w:hAnsi="Times New Roman" w:cs="Times New Roman"/>
          <w:b/>
          <w:sz w:val="24"/>
          <w:szCs w:val="24"/>
        </w:rPr>
        <w:t xml:space="preserve"> </w:t>
      </w:r>
    </w:p>
    <w:tbl>
      <w:tblPr>
        <w:tblStyle w:val="TableGrid"/>
        <w:tblW w:w="14690" w:type="dxa"/>
        <w:tblLayout w:type="fixed"/>
        <w:tblLook w:val="04A0" w:firstRow="1" w:lastRow="0" w:firstColumn="1" w:lastColumn="0" w:noHBand="0" w:noVBand="1"/>
      </w:tblPr>
      <w:tblGrid>
        <w:gridCol w:w="2122"/>
        <w:gridCol w:w="708"/>
        <w:gridCol w:w="2410"/>
        <w:gridCol w:w="3260"/>
        <w:gridCol w:w="5623"/>
        <w:gridCol w:w="567"/>
      </w:tblGrid>
      <w:tr w:rsidR="00201E8F" w:rsidRPr="0064137F" w14:paraId="3AF7471F" w14:textId="77777777" w:rsidTr="008715F9">
        <w:trPr>
          <w:trHeight w:val="363"/>
        </w:trPr>
        <w:tc>
          <w:tcPr>
            <w:tcW w:w="2122" w:type="dxa"/>
            <w:tcBorders>
              <w:top w:val="single" w:sz="12" w:space="0" w:color="auto"/>
              <w:left w:val="nil"/>
              <w:bottom w:val="single" w:sz="12" w:space="0" w:color="auto"/>
              <w:right w:val="nil"/>
            </w:tcBorders>
            <w:tcMar>
              <w:top w:w="28" w:type="dxa"/>
              <w:bottom w:w="28" w:type="dxa"/>
            </w:tcMar>
            <w:vAlign w:val="center"/>
          </w:tcPr>
          <w:p w14:paraId="437ACD13" w14:textId="77777777" w:rsidR="00201E8F" w:rsidRPr="0064137F" w:rsidRDefault="00201E8F" w:rsidP="00201E8F">
            <w:pPr>
              <w:rPr>
                <w:rFonts w:ascii="Times New Roman" w:eastAsia="Calibri" w:hAnsi="Times New Roman" w:cs="Times New Roman"/>
                <w:b/>
                <w:sz w:val="16"/>
                <w:szCs w:val="16"/>
              </w:rPr>
            </w:pPr>
            <w:r w:rsidRPr="0064137F">
              <w:rPr>
                <w:rFonts w:ascii="Times New Roman" w:hAnsi="Times New Roman" w:cs="Times New Roman"/>
                <w:b/>
                <w:sz w:val="16"/>
                <w:szCs w:val="16"/>
              </w:rPr>
              <w:t xml:space="preserve">Authors, Country, </w:t>
            </w:r>
            <w:proofErr w:type="gramStart"/>
            <w:r w:rsidRPr="0064137F">
              <w:rPr>
                <w:rFonts w:ascii="Times New Roman" w:hAnsi="Times New Roman" w:cs="Times New Roman"/>
                <w:b/>
                <w:sz w:val="16"/>
                <w:szCs w:val="16"/>
              </w:rPr>
              <w:t>Setting</w:t>
            </w:r>
            <w:proofErr w:type="gramEnd"/>
            <w:r w:rsidRPr="0064137F">
              <w:rPr>
                <w:rFonts w:ascii="Times New Roman" w:hAnsi="Times New Roman" w:cs="Times New Roman"/>
                <w:b/>
                <w:sz w:val="16"/>
                <w:szCs w:val="16"/>
              </w:rPr>
              <w:t xml:space="preserve"> if stated</w:t>
            </w:r>
          </w:p>
        </w:tc>
        <w:tc>
          <w:tcPr>
            <w:tcW w:w="708" w:type="dxa"/>
            <w:tcBorders>
              <w:top w:val="single" w:sz="12" w:space="0" w:color="auto"/>
              <w:left w:val="nil"/>
              <w:bottom w:val="single" w:sz="12" w:space="0" w:color="auto"/>
              <w:right w:val="nil"/>
            </w:tcBorders>
            <w:tcMar>
              <w:top w:w="28" w:type="dxa"/>
              <w:bottom w:w="28" w:type="dxa"/>
            </w:tcMar>
            <w:vAlign w:val="center"/>
          </w:tcPr>
          <w:p w14:paraId="591A3794" w14:textId="77777777" w:rsidR="00201E8F" w:rsidRPr="0064137F" w:rsidRDefault="00DE4720" w:rsidP="00201E8F">
            <w:pPr>
              <w:rPr>
                <w:rFonts w:ascii="Times New Roman" w:hAnsi="Times New Roman" w:cs="Times New Roman"/>
                <w:b/>
                <w:sz w:val="16"/>
                <w:szCs w:val="16"/>
              </w:rPr>
            </w:pPr>
            <w:r w:rsidRPr="0064137F">
              <w:rPr>
                <w:rFonts w:ascii="Times New Roman" w:hAnsi="Times New Roman" w:cs="Times New Roman"/>
                <w:b/>
                <w:sz w:val="16"/>
                <w:szCs w:val="16"/>
              </w:rPr>
              <w:t>Study d</w:t>
            </w:r>
            <w:r w:rsidR="00201E8F" w:rsidRPr="0064137F">
              <w:rPr>
                <w:rFonts w:ascii="Times New Roman" w:hAnsi="Times New Roman" w:cs="Times New Roman"/>
                <w:b/>
                <w:sz w:val="16"/>
                <w:szCs w:val="16"/>
              </w:rPr>
              <w:t>esign</w:t>
            </w:r>
          </w:p>
        </w:tc>
        <w:tc>
          <w:tcPr>
            <w:tcW w:w="2410" w:type="dxa"/>
            <w:tcBorders>
              <w:top w:val="single" w:sz="12" w:space="0" w:color="auto"/>
              <w:left w:val="nil"/>
              <w:bottom w:val="single" w:sz="12" w:space="0" w:color="auto"/>
              <w:right w:val="nil"/>
            </w:tcBorders>
            <w:tcMar>
              <w:top w:w="28" w:type="dxa"/>
              <w:bottom w:w="28" w:type="dxa"/>
            </w:tcMar>
            <w:vAlign w:val="center"/>
          </w:tcPr>
          <w:p w14:paraId="5DD31543" w14:textId="77777777" w:rsidR="00201E8F" w:rsidRPr="0064137F" w:rsidRDefault="00201E8F" w:rsidP="00201E8F">
            <w:pPr>
              <w:rPr>
                <w:rFonts w:ascii="Times New Roman" w:eastAsia="Calibri" w:hAnsi="Times New Roman" w:cs="Times New Roman"/>
                <w:b/>
                <w:sz w:val="16"/>
                <w:szCs w:val="16"/>
              </w:rPr>
            </w:pPr>
            <w:r w:rsidRPr="0064137F">
              <w:rPr>
                <w:rFonts w:ascii="Times New Roman" w:hAnsi="Times New Roman" w:cs="Times New Roman"/>
                <w:b/>
                <w:sz w:val="16"/>
                <w:szCs w:val="16"/>
              </w:rPr>
              <w:t xml:space="preserve">Population </w:t>
            </w:r>
            <w:proofErr w:type="gramStart"/>
            <w:r w:rsidRPr="0064137F">
              <w:rPr>
                <w:rFonts w:ascii="Times New Roman" w:hAnsi="Times New Roman" w:cs="Times New Roman"/>
                <w:b/>
                <w:sz w:val="16"/>
                <w:szCs w:val="16"/>
              </w:rPr>
              <w:t>characteristics;  No</w:t>
            </w:r>
            <w:proofErr w:type="gramEnd"/>
            <w:r w:rsidRPr="0064137F">
              <w:rPr>
                <w:rFonts w:ascii="Times New Roman" w:hAnsi="Times New Roman" w:cs="Times New Roman"/>
                <w:b/>
                <w:sz w:val="16"/>
                <w:szCs w:val="16"/>
              </w:rPr>
              <w:t xml:space="preserve"> of participants for outcomes of interest</w:t>
            </w:r>
          </w:p>
        </w:tc>
        <w:tc>
          <w:tcPr>
            <w:tcW w:w="3260" w:type="dxa"/>
            <w:tcBorders>
              <w:top w:val="single" w:sz="12" w:space="0" w:color="auto"/>
              <w:left w:val="nil"/>
              <w:bottom w:val="single" w:sz="12" w:space="0" w:color="auto"/>
              <w:right w:val="nil"/>
            </w:tcBorders>
            <w:tcMar>
              <w:top w:w="28" w:type="dxa"/>
              <w:bottom w:w="28" w:type="dxa"/>
            </w:tcMar>
            <w:vAlign w:val="center"/>
          </w:tcPr>
          <w:p w14:paraId="05E385C8" w14:textId="77777777" w:rsidR="00201E8F" w:rsidRPr="0064137F" w:rsidRDefault="00201E8F" w:rsidP="00201E8F">
            <w:pPr>
              <w:rPr>
                <w:rFonts w:ascii="Times New Roman" w:eastAsia="Calibri" w:hAnsi="Times New Roman" w:cs="Times New Roman"/>
                <w:b/>
                <w:sz w:val="16"/>
                <w:szCs w:val="16"/>
              </w:rPr>
            </w:pPr>
            <w:r w:rsidRPr="0064137F">
              <w:rPr>
                <w:rFonts w:ascii="Times New Roman" w:hAnsi="Times New Roman" w:cs="Times New Roman"/>
                <w:b/>
                <w:sz w:val="16"/>
                <w:szCs w:val="16"/>
              </w:rPr>
              <w:t>Intervention; Health care professional if stated</w:t>
            </w:r>
          </w:p>
        </w:tc>
        <w:tc>
          <w:tcPr>
            <w:tcW w:w="5623" w:type="dxa"/>
            <w:tcBorders>
              <w:top w:val="single" w:sz="12" w:space="0" w:color="auto"/>
              <w:left w:val="nil"/>
              <w:bottom w:val="single" w:sz="12" w:space="0" w:color="auto"/>
              <w:right w:val="nil"/>
            </w:tcBorders>
            <w:tcMar>
              <w:top w:w="28" w:type="dxa"/>
              <w:bottom w:w="28" w:type="dxa"/>
            </w:tcMar>
            <w:vAlign w:val="center"/>
          </w:tcPr>
          <w:p w14:paraId="0490065A" w14:textId="77777777" w:rsidR="00201E8F" w:rsidRPr="0064137F" w:rsidRDefault="00201E8F" w:rsidP="00201E8F">
            <w:pPr>
              <w:rPr>
                <w:rFonts w:ascii="Times New Roman" w:eastAsia="Calibri" w:hAnsi="Times New Roman" w:cs="Times New Roman"/>
                <w:b/>
                <w:sz w:val="16"/>
                <w:szCs w:val="16"/>
              </w:rPr>
            </w:pPr>
            <w:r w:rsidRPr="0064137F">
              <w:rPr>
                <w:rFonts w:ascii="Times New Roman" w:eastAsia="Calibri" w:hAnsi="Times New Roman" w:cs="Times New Roman"/>
                <w:b/>
                <w:sz w:val="16"/>
                <w:szCs w:val="16"/>
              </w:rPr>
              <w:t xml:space="preserve">Main findings </w:t>
            </w:r>
          </w:p>
        </w:tc>
        <w:tc>
          <w:tcPr>
            <w:tcW w:w="567" w:type="dxa"/>
            <w:tcBorders>
              <w:top w:val="single" w:sz="12" w:space="0" w:color="auto"/>
              <w:left w:val="nil"/>
              <w:bottom w:val="single" w:sz="12" w:space="0" w:color="auto"/>
              <w:right w:val="nil"/>
            </w:tcBorders>
            <w:tcMar>
              <w:top w:w="28" w:type="dxa"/>
              <w:bottom w:w="28" w:type="dxa"/>
            </w:tcMar>
            <w:vAlign w:val="center"/>
          </w:tcPr>
          <w:p w14:paraId="2450631E" w14:textId="77777777" w:rsidR="00201E8F" w:rsidRPr="0064137F" w:rsidRDefault="00201E8F" w:rsidP="00201E8F">
            <w:pPr>
              <w:rPr>
                <w:rFonts w:ascii="Times New Roman" w:eastAsia="Calibri" w:hAnsi="Times New Roman" w:cs="Times New Roman"/>
                <w:b/>
                <w:sz w:val="16"/>
                <w:szCs w:val="16"/>
              </w:rPr>
            </w:pPr>
            <w:r w:rsidRPr="0064137F">
              <w:rPr>
                <w:rFonts w:ascii="Times New Roman" w:hAnsi="Times New Roman" w:cs="Times New Roman"/>
                <w:b/>
                <w:sz w:val="16"/>
                <w:szCs w:val="16"/>
              </w:rPr>
              <w:t>LOE</w:t>
            </w:r>
          </w:p>
        </w:tc>
      </w:tr>
      <w:tr w:rsidR="00201E8F" w:rsidRPr="0064137F" w14:paraId="5D421FD7" w14:textId="77777777" w:rsidTr="008715F9">
        <w:trPr>
          <w:trHeight w:val="207"/>
        </w:trPr>
        <w:tc>
          <w:tcPr>
            <w:tcW w:w="14690" w:type="dxa"/>
            <w:gridSpan w:val="6"/>
            <w:tcBorders>
              <w:top w:val="single" w:sz="12" w:space="0" w:color="auto"/>
              <w:left w:val="nil"/>
              <w:bottom w:val="single" w:sz="12" w:space="0" w:color="auto"/>
              <w:right w:val="nil"/>
            </w:tcBorders>
            <w:shd w:val="clear" w:color="auto" w:fill="D9D9D9" w:themeFill="background1" w:themeFillShade="D9"/>
            <w:tcMar>
              <w:top w:w="28" w:type="dxa"/>
              <w:bottom w:w="28" w:type="dxa"/>
            </w:tcMar>
            <w:vAlign w:val="center"/>
          </w:tcPr>
          <w:p w14:paraId="3B704634" w14:textId="77777777" w:rsidR="00201E8F" w:rsidRPr="0064137F" w:rsidRDefault="00DD6A30" w:rsidP="00201E8F">
            <w:pPr>
              <w:rPr>
                <w:rFonts w:ascii="Times New Roman" w:hAnsi="Times New Roman" w:cs="Times New Roman"/>
                <w:b/>
                <w:sz w:val="16"/>
                <w:szCs w:val="16"/>
              </w:rPr>
            </w:pPr>
            <w:proofErr w:type="spellStart"/>
            <w:r>
              <w:rPr>
                <w:rFonts w:ascii="Times New Roman" w:hAnsi="Times New Roman" w:cs="Times New Roman"/>
                <w:b/>
                <w:sz w:val="16"/>
                <w:szCs w:val="16"/>
              </w:rPr>
              <w:t>i</w:t>
            </w:r>
            <w:proofErr w:type="spellEnd"/>
            <w:r>
              <w:rPr>
                <w:rFonts w:ascii="Times New Roman" w:hAnsi="Times New Roman" w:cs="Times New Roman"/>
                <w:b/>
                <w:sz w:val="16"/>
                <w:szCs w:val="16"/>
              </w:rPr>
              <w:t>)</w:t>
            </w:r>
            <w:r w:rsidR="00201E8F" w:rsidRPr="0064137F">
              <w:rPr>
                <w:rFonts w:ascii="Times New Roman" w:hAnsi="Times New Roman" w:cs="Times New Roman"/>
                <w:b/>
                <w:sz w:val="16"/>
                <w:szCs w:val="16"/>
              </w:rPr>
              <w:t>Implementation strategies to increase implementation of recommendations</w:t>
            </w:r>
          </w:p>
        </w:tc>
      </w:tr>
      <w:tr w:rsidR="00201E8F" w:rsidRPr="0064137F" w14:paraId="43BC0FE6" w14:textId="77777777" w:rsidTr="008715F9">
        <w:trPr>
          <w:trHeight w:val="363"/>
        </w:trPr>
        <w:tc>
          <w:tcPr>
            <w:tcW w:w="2122" w:type="dxa"/>
            <w:tcBorders>
              <w:top w:val="single" w:sz="12" w:space="0" w:color="auto"/>
              <w:left w:val="nil"/>
              <w:right w:val="nil"/>
            </w:tcBorders>
            <w:tcMar>
              <w:top w:w="28" w:type="dxa"/>
              <w:bottom w:w="28" w:type="dxa"/>
            </w:tcMar>
            <w:vAlign w:val="center"/>
          </w:tcPr>
          <w:p w14:paraId="4CCC6AF9" w14:textId="77777777" w:rsidR="00201E8F" w:rsidRPr="0064137F" w:rsidRDefault="00201E8F" w:rsidP="00201E8F">
            <w:pPr>
              <w:rPr>
                <w:rFonts w:ascii="Times New Roman" w:hAnsi="Times New Roman" w:cs="Times New Roman"/>
                <w:sz w:val="16"/>
                <w:szCs w:val="16"/>
              </w:rPr>
            </w:pPr>
            <w:r w:rsidRPr="0064137F">
              <w:rPr>
                <w:rFonts w:ascii="Times New Roman" w:hAnsi="Times New Roman" w:cs="Times New Roman"/>
                <w:sz w:val="16"/>
                <w:szCs w:val="16"/>
              </w:rPr>
              <w:t xml:space="preserve">Cox </w:t>
            </w:r>
            <w:proofErr w:type="gramStart"/>
            <w:r w:rsidRPr="0064137F">
              <w:rPr>
                <w:rFonts w:ascii="Times New Roman" w:hAnsi="Times New Roman" w:cs="Times New Roman"/>
                <w:sz w:val="16"/>
                <w:szCs w:val="16"/>
              </w:rPr>
              <w:t>et al.</w:t>
            </w:r>
            <w:r w:rsidR="00F92DA2">
              <w:rPr>
                <w:rFonts w:ascii="Times New Roman" w:hAnsi="Times New Roman" w:cs="Times New Roman"/>
                <w:sz w:val="16"/>
                <w:szCs w:val="16"/>
              </w:rPr>
              <w:t>[</w:t>
            </w:r>
            <w:proofErr w:type="gramEnd"/>
            <w:r w:rsidR="00F92DA2">
              <w:rPr>
                <w:rFonts w:ascii="Times New Roman" w:hAnsi="Times New Roman" w:cs="Times New Roman"/>
                <w:sz w:val="16"/>
                <w:szCs w:val="16"/>
              </w:rPr>
              <w:t>26]</w:t>
            </w:r>
            <w:r w:rsidR="00085508">
              <w:rPr>
                <w:rFonts w:ascii="Times New Roman" w:hAnsi="Times New Roman" w:cs="Times New Roman"/>
                <w:sz w:val="16"/>
                <w:szCs w:val="16"/>
              </w:rPr>
              <w:t xml:space="preserve">, </w:t>
            </w:r>
            <w:r w:rsidRPr="0064137F">
              <w:rPr>
                <w:rFonts w:ascii="Times New Roman" w:hAnsi="Times New Roman" w:cs="Times New Roman"/>
                <w:sz w:val="16"/>
                <w:szCs w:val="16"/>
              </w:rPr>
              <w:t xml:space="preserve">UK, </w:t>
            </w:r>
          </w:p>
          <w:p w14:paraId="5930B390" w14:textId="77777777" w:rsidR="00201E8F" w:rsidRPr="0064137F" w:rsidRDefault="00201E8F" w:rsidP="00201E8F">
            <w:pPr>
              <w:rPr>
                <w:rFonts w:ascii="Times New Roman" w:hAnsi="Times New Roman" w:cs="Times New Roman"/>
                <w:sz w:val="16"/>
                <w:szCs w:val="16"/>
              </w:rPr>
            </w:pPr>
            <w:r w:rsidRPr="0064137F">
              <w:rPr>
                <w:rFonts w:ascii="Times New Roman" w:hAnsi="Times New Roman" w:cs="Times New Roman"/>
                <w:sz w:val="16"/>
                <w:szCs w:val="16"/>
              </w:rPr>
              <w:t>Care homes</w:t>
            </w:r>
          </w:p>
        </w:tc>
        <w:tc>
          <w:tcPr>
            <w:tcW w:w="708" w:type="dxa"/>
            <w:tcBorders>
              <w:top w:val="single" w:sz="12" w:space="0" w:color="auto"/>
              <w:left w:val="nil"/>
              <w:right w:val="nil"/>
            </w:tcBorders>
            <w:tcMar>
              <w:top w:w="28" w:type="dxa"/>
              <w:bottom w:w="28" w:type="dxa"/>
            </w:tcMar>
            <w:vAlign w:val="center"/>
          </w:tcPr>
          <w:p w14:paraId="3C6584BD" w14:textId="77777777" w:rsidR="00201E8F" w:rsidRPr="0064137F" w:rsidRDefault="00201E8F" w:rsidP="00201E8F">
            <w:pPr>
              <w:rPr>
                <w:rFonts w:ascii="Times New Roman" w:eastAsia="Calibri" w:hAnsi="Times New Roman" w:cs="Times New Roman"/>
                <w:sz w:val="16"/>
                <w:szCs w:val="16"/>
              </w:rPr>
            </w:pPr>
            <w:proofErr w:type="spellStart"/>
            <w:r w:rsidRPr="0064137F">
              <w:rPr>
                <w:rFonts w:ascii="Times New Roman" w:eastAsia="Calibri" w:hAnsi="Times New Roman" w:cs="Times New Roman"/>
                <w:sz w:val="16"/>
                <w:szCs w:val="16"/>
              </w:rPr>
              <w:t>ClusterRCT</w:t>
            </w:r>
            <w:proofErr w:type="spellEnd"/>
          </w:p>
        </w:tc>
        <w:tc>
          <w:tcPr>
            <w:tcW w:w="2410" w:type="dxa"/>
            <w:tcBorders>
              <w:top w:val="single" w:sz="12" w:space="0" w:color="auto"/>
              <w:left w:val="nil"/>
              <w:right w:val="nil"/>
            </w:tcBorders>
            <w:tcMar>
              <w:top w:w="28" w:type="dxa"/>
              <w:bottom w:w="28" w:type="dxa"/>
            </w:tcMar>
            <w:vAlign w:val="center"/>
          </w:tcPr>
          <w:p w14:paraId="1DA20FF1"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1. Group 1 (N=3315)</w:t>
            </w:r>
          </w:p>
          <w:p w14:paraId="6D4A5CC0"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2. Group 2 (N=2322)</w:t>
            </w:r>
          </w:p>
        </w:tc>
        <w:tc>
          <w:tcPr>
            <w:tcW w:w="3260" w:type="dxa"/>
            <w:tcBorders>
              <w:top w:val="single" w:sz="12" w:space="0" w:color="auto"/>
              <w:left w:val="nil"/>
              <w:right w:val="nil"/>
            </w:tcBorders>
            <w:tcMar>
              <w:top w:w="28" w:type="dxa"/>
              <w:bottom w:w="28" w:type="dxa"/>
            </w:tcMar>
            <w:vAlign w:val="center"/>
          </w:tcPr>
          <w:p w14:paraId="58D52789"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1. Education + Feedback</w:t>
            </w:r>
          </w:p>
          <w:p w14:paraId="045AA14B"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2. No intervention</w:t>
            </w:r>
          </w:p>
          <w:p w14:paraId="23EA6AA7"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Specialist osteoporosis nurses</w:t>
            </w:r>
          </w:p>
        </w:tc>
        <w:tc>
          <w:tcPr>
            <w:tcW w:w="5623" w:type="dxa"/>
            <w:tcBorders>
              <w:top w:val="single" w:sz="12" w:space="0" w:color="auto"/>
              <w:left w:val="nil"/>
              <w:right w:val="nil"/>
            </w:tcBorders>
            <w:tcMar>
              <w:top w:w="28" w:type="dxa"/>
              <w:bottom w:w="28" w:type="dxa"/>
            </w:tcMar>
            <w:vAlign w:val="center"/>
          </w:tcPr>
          <w:p w14:paraId="730A492E" w14:textId="77777777" w:rsidR="00201E8F" w:rsidRPr="0064137F" w:rsidRDefault="00201E8F" w:rsidP="00201E8F">
            <w:pPr>
              <w:rPr>
                <w:rFonts w:ascii="Times New Roman" w:hAnsi="Times New Roman" w:cs="Times New Roman"/>
                <w:sz w:val="16"/>
                <w:szCs w:val="16"/>
              </w:rPr>
            </w:pPr>
            <w:r w:rsidRPr="0064137F">
              <w:rPr>
                <w:rFonts w:ascii="Times New Roman" w:hAnsi="Times New Roman" w:cs="Times New Roman"/>
                <w:sz w:val="16"/>
                <w:szCs w:val="16"/>
              </w:rPr>
              <w:t>Significant increase in bisphosphonate prescription (IRR 1.5, 95%CI 1.00 - 2.24; p=0.05) and Calcium and Vitamin D prescription (IRR 1.64, 95% CI 1.23-2.18; p&lt;0.01) in IG vs CG at 12mo</w:t>
            </w:r>
          </w:p>
        </w:tc>
        <w:tc>
          <w:tcPr>
            <w:tcW w:w="567" w:type="dxa"/>
            <w:tcBorders>
              <w:top w:val="single" w:sz="12" w:space="0" w:color="auto"/>
              <w:left w:val="nil"/>
              <w:right w:val="nil"/>
            </w:tcBorders>
            <w:tcMar>
              <w:top w:w="28" w:type="dxa"/>
              <w:bottom w:w="28" w:type="dxa"/>
            </w:tcMar>
            <w:vAlign w:val="center"/>
          </w:tcPr>
          <w:p w14:paraId="6CA6529C" w14:textId="77777777" w:rsidR="00201E8F" w:rsidRPr="0064137F" w:rsidRDefault="00201E8F" w:rsidP="00201E8F">
            <w:pPr>
              <w:jc w:val="center"/>
              <w:rPr>
                <w:rFonts w:ascii="Times New Roman" w:eastAsia="Calibri" w:hAnsi="Times New Roman" w:cs="Times New Roman"/>
                <w:sz w:val="16"/>
                <w:szCs w:val="16"/>
              </w:rPr>
            </w:pPr>
            <w:r w:rsidRPr="0064137F">
              <w:rPr>
                <w:rFonts w:ascii="Times New Roman" w:eastAsia="Calibri" w:hAnsi="Times New Roman" w:cs="Times New Roman"/>
                <w:sz w:val="16"/>
                <w:szCs w:val="16"/>
              </w:rPr>
              <w:t>2</w:t>
            </w:r>
          </w:p>
        </w:tc>
      </w:tr>
      <w:tr w:rsidR="00201E8F" w:rsidRPr="0064137F" w14:paraId="6C39421E" w14:textId="77777777" w:rsidTr="008715F9">
        <w:trPr>
          <w:trHeight w:val="363"/>
        </w:trPr>
        <w:tc>
          <w:tcPr>
            <w:tcW w:w="2122" w:type="dxa"/>
            <w:tcBorders>
              <w:left w:val="nil"/>
              <w:right w:val="nil"/>
            </w:tcBorders>
            <w:tcMar>
              <w:top w:w="28" w:type="dxa"/>
              <w:bottom w:w="28" w:type="dxa"/>
            </w:tcMar>
            <w:vAlign w:val="center"/>
          </w:tcPr>
          <w:p w14:paraId="20BAD3AE" w14:textId="77777777" w:rsidR="00201E8F" w:rsidRPr="0064137F" w:rsidRDefault="00201E8F" w:rsidP="00201E8F">
            <w:pPr>
              <w:rPr>
                <w:rFonts w:ascii="Times New Roman" w:hAnsi="Times New Roman" w:cs="Times New Roman"/>
                <w:sz w:val="16"/>
                <w:szCs w:val="16"/>
              </w:rPr>
            </w:pPr>
            <w:r w:rsidRPr="0064137F">
              <w:rPr>
                <w:rFonts w:ascii="Times New Roman" w:hAnsi="Times New Roman" w:cs="Times New Roman"/>
                <w:sz w:val="16"/>
                <w:szCs w:val="16"/>
              </w:rPr>
              <w:t xml:space="preserve">Kennedy </w:t>
            </w:r>
            <w:proofErr w:type="gramStart"/>
            <w:r w:rsidRPr="0064137F">
              <w:rPr>
                <w:rFonts w:ascii="Times New Roman" w:hAnsi="Times New Roman" w:cs="Times New Roman"/>
                <w:sz w:val="16"/>
                <w:szCs w:val="16"/>
              </w:rPr>
              <w:t>et al.</w:t>
            </w:r>
            <w:r w:rsidR="00F92DA2">
              <w:rPr>
                <w:rFonts w:ascii="Times New Roman" w:hAnsi="Times New Roman" w:cs="Times New Roman"/>
                <w:sz w:val="16"/>
                <w:szCs w:val="16"/>
              </w:rPr>
              <w:t>[</w:t>
            </w:r>
            <w:proofErr w:type="gramEnd"/>
            <w:r w:rsidR="00F92DA2">
              <w:rPr>
                <w:rFonts w:ascii="Times New Roman" w:hAnsi="Times New Roman" w:cs="Times New Roman"/>
                <w:sz w:val="16"/>
                <w:szCs w:val="16"/>
              </w:rPr>
              <w:t>6</w:t>
            </w:r>
            <w:r w:rsidR="00056EB4">
              <w:rPr>
                <w:rFonts w:ascii="Times New Roman" w:hAnsi="Times New Roman" w:cs="Times New Roman"/>
                <w:sz w:val="16"/>
                <w:szCs w:val="16"/>
              </w:rPr>
              <w:t>2</w:t>
            </w:r>
            <w:r w:rsidR="00F92DA2">
              <w:rPr>
                <w:rFonts w:ascii="Times New Roman" w:hAnsi="Times New Roman" w:cs="Times New Roman"/>
                <w:sz w:val="16"/>
                <w:szCs w:val="16"/>
              </w:rPr>
              <w:t>]</w:t>
            </w:r>
            <w:r w:rsidR="007D729C">
              <w:rPr>
                <w:rFonts w:ascii="Times New Roman" w:hAnsi="Times New Roman" w:cs="Times New Roman"/>
                <w:sz w:val="16"/>
                <w:szCs w:val="16"/>
                <w:vertAlign w:val="superscript"/>
              </w:rPr>
              <w:t xml:space="preserve"> </w:t>
            </w:r>
          </w:p>
          <w:p w14:paraId="3A578DFB" w14:textId="77777777" w:rsidR="00201E8F" w:rsidRPr="0064137F" w:rsidRDefault="00201E8F" w:rsidP="00201E8F">
            <w:pPr>
              <w:rPr>
                <w:rFonts w:ascii="Times New Roman" w:hAnsi="Times New Roman" w:cs="Times New Roman"/>
                <w:sz w:val="16"/>
                <w:szCs w:val="16"/>
              </w:rPr>
            </w:pPr>
            <w:r w:rsidRPr="0064137F">
              <w:rPr>
                <w:rFonts w:ascii="Times New Roman" w:hAnsi="Times New Roman" w:cs="Times New Roman"/>
                <w:sz w:val="16"/>
                <w:szCs w:val="16"/>
              </w:rPr>
              <w:t>Canada, Care homes</w:t>
            </w:r>
          </w:p>
        </w:tc>
        <w:tc>
          <w:tcPr>
            <w:tcW w:w="708" w:type="dxa"/>
            <w:tcBorders>
              <w:left w:val="nil"/>
              <w:right w:val="nil"/>
            </w:tcBorders>
            <w:tcMar>
              <w:top w:w="28" w:type="dxa"/>
              <w:bottom w:w="28" w:type="dxa"/>
            </w:tcMar>
            <w:vAlign w:val="center"/>
          </w:tcPr>
          <w:p w14:paraId="4BEEB2DF"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Pilot</w:t>
            </w:r>
          </w:p>
          <w:p w14:paraId="1F50E2F1"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Cluster</w:t>
            </w:r>
          </w:p>
          <w:p w14:paraId="7D1EE76D"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RCT</w:t>
            </w:r>
          </w:p>
        </w:tc>
        <w:tc>
          <w:tcPr>
            <w:tcW w:w="2410" w:type="dxa"/>
            <w:tcBorders>
              <w:left w:val="nil"/>
              <w:right w:val="nil"/>
            </w:tcBorders>
            <w:tcMar>
              <w:top w:w="28" w:type="dxa"/>
              <w:bottom w:w="28" w:type="dxa"/>
            </w:tcMar>
            <w:vAlign w:val="center"/>
          </w:tcPr>
          <w:p w14:paraId="25A1436D"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1. Group 1 </w:t>
            </w:r>
            <w:proofErr w:type="gramStart"/>
            <w:r w:rsidRPr="0064137F">
              <w:rPr>
                <w:rFonts w:ascii="Times New Roman" w:eastAsia="Calibri" w:hAnsi="Times New Roman" w:cs="Times New Roman"/>
                <w:sz w:val="16"/>
                <w:szCs w:val="16"/>
              </w:rPr>
              <w:t>( N</w:t>
            </w:r>
            <w:proofErr w:type="gramEnd"/>
            <w:r w:rsidRPr="0064137F">
              <w:rPr>
                <w:rFonts w:ascii="Times New Roman" w:eastAsia="Calibri" w:hAnsi="Times New Roman" w:cs="Times New Roman"/>
                <w:sz w:val="16"/>
                <w:szCs w:val="16"/>
              </w:rPr>
              <w:t>=2185)</w:t>
            </w:r>
          </w:p>
          <w:p w14:paraId="36A465C5"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2. Group 2 (N=3293)</w:t>
            </w:r>
          </w:p>
        </w:tc>
        <w:tc>
          <w:tcPr>
            <w:tcW w:w="3260" w:type="dxa"/>
            <w:tcBorders>
              <w:left w:val="nil"/>
              <w:right w:val="nil"/>
            </w:tcBorders>
            <w:tcMar>
              <w:top w:w="28" w:type="dxa"/>
              <w:bottom w:w="28" w:type="dxa"/>
            </w:tcMar>
            <w:vAlign w:val="center"/>
          </w:tcPr>
          <w:p w14:paraId="5BE100BE"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1. Education + Action planning + Feedback</w:t>
            </w:r>
          </w:p>
          <w:p w14:paraId="61E6727B"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2. Fracture prevention toolkits</w:t>
            </w:r>
          </w:p>
          <w:p w14:paraId="60C2C361"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Interdisciplinary care teams</w:t>
            </w:r>
          </w:p>
        </w:tc>
        <w:tc>
          <w:tcPr>
            <w:tcW w:w="5623" w:type="dxa"/>
            <w:tcBorders>
              <w:left w:val="nil"/>
              <w:right w:val="nil"/>
            </w:tcBorders>
            <w:tcMar>
              <w:top w:w="28" w:type="dxa"/>
              <w:bottom w:w="28" w:type="dxa"/>
            </w:tcMar>
            <w:vAlign w:val="center"/>
          </w:tcPr>
          <w:p w14:paraId="2ACE5341" w14:textId="77777777" w:rsidR="00201E8F" w:rsidRPr="0064137F" w:rsidRDefault="00201E8F" w:rsidP="00201E8F">
            <w:pPr>
              <w:rPr>
                <w:rFonts w:ascii="Times New Roman" w:hAnsi="Times New Roman" w:cs="Times New Roman"/>
                <w:sz w:val="16"/>
                <w:szCs w:val="16"/>
              </w:rPr>
            </w:pPr>
            <w:r w:rsidRPr="0064137F">
              <w:rPr>
                <w:rFonts w:ascii="Times New Roman" w:hAnsi="Times New Roman" w:cs="Times New Roman"/>
                <w:sz w:val="16"/>
                <w:szCs w:val="16"/>
              </w:rPr>
              <w:t xml:space="preserve">Significant increase in Vitamin D and Calcium prescription from baseline to 12 </w:t>
            </w:r>
            <w:proofErr w:type="spellStart"/>
            <w:r w:rsidRPr="0064137F">
              <w:rPr>
                <w:rFonts w:ascii="Times New Roman" w:hAnsi="Times New Roman" w:cs="Times New Roman"/>
                <w:sz w:val="16"/>
                <w:szCs w:val="16"/>
              </w:rPr>
              <w:t>mo</w:t>
            </w:r>
            <w:proofErr w:type="spellEnd"/>
            <w:r w:rsidRPr="0064137F">
              <w:rPr>
                <w:rFonts w:ascii="Times New Roman" w:hAnsi="Times New Roman" w:cs="Times New Roman"/>
                <w:sz w:val="16"/>
                <w:szCs w:val="16"/>
              </w:rPr>
              <w:t xml:space="preserve"> in IG vs CG; ORs 1.82, (95%CI 1.12 -2.96) and 1.33 (95%CI 1.01-1.74) respectively.</w:t>
            </w:r>
          </w:p>
          <w:p w14:paraId="485CB77C" w14:textId="77777777" w:rsidR="00201E8F" w:rsidRPr="0064137F" w:rsidRDefault="00201E8F" w:rsidP="00201E8F">
            <w:pPr>
              <w:rPr>
                <w:rFonts w:ascii="Times New Roman" w:hAnsi="Times New Roman" w:cs="Times New Roman"/>
                <w:sz w:val="16"/>
                <w:szCs w:val="16"/>
              </w:rPr>
            </w:pPr>
            <w:r w:rsidRPr="0064137F">
              <w:rPr>
                <w:rFonts w:ascii="Times New Roman" w:hAnsi="Times New Roman" w:cs="Times New Roman"/>
                <w:sz w:val="16"/>
                <w:szCs w:val="16"/>
              </w:rPr>
              <w:t>No significant between group difference in prescribing osteoporosis medicines</w:t>
            </w:r>
          </w:p>
        </w:tc>
        <w:tc>
          <w:tcPr>
            <w:tcW w:w="567" w:type="dxa"/>
            <w:tcBorders>
              <w:left w:val="nil"/>
              <w:right w:val="nil"/>
            </w:tcBorders>
            <w:tcMar>
              <w:top w:w="28" w:type="dxa"/>
              <w:bottom w:w="28" w:type="dxa"/>
            </w:tcMar>
            <w:vAlign w:val="center"/>
          </w:tcPr>
          <w:p w14:paraId="27F7E5D7" w14:textId="77777777" w:rsidR="00201E8F" w:rsidRPr="0064137F" w:rsidRDefault="00201E8F" w:rsidP="00201E8F">
            <w:pPr>
              <w:jc w:val="center"/>
              <w:rPr>
                <w:rFonts w:ascii="Times New Roman" w:eastAsia="Calibri" w:hAnsi="Times New Roman" w:cs="Times New Roman"/>
                <w:sz w:val="16"/>
                <w:szCs w:val="16"/>
              </w:rPr>
            </w:pPr>
            <w:r w:rsidRPr="0064137F">
              <w:rPr>
                <w:rFonts w:ascii="Times New Roman" w:eastAsia="Calibri" w:hAnsi="Times New Roman" w:cs="Times New Roman"/>
                <w:sz w:val="16"/>
                <w:szCs w:val="16"/>
              </w:rPr>
              <w:t>2</w:t>
            </w:r>
          </w:p>
        </w:tc>
      </w:tr>
      <w:tr w:rsidR="00201E8F" w:rsidRPr="0064137F" w14:paraId="3C337953" w14:textId="77777777" w:rsidTr="008715F9">
        <w:trPr>
          <w:trHeight w:val="170"/>
        </w:trPr>
        <w:tc>
          <w:tcPr>
            <w:tcW w:w="2122" w:type="dxa"/>
            <w:tcBorders>
              <w:left w:val="nil"/>
              <w:right w:val="nil"/>
            </w:tcBorders>
            <w:tcMar>
              <w:top w:w="28" w:type="dxa"/>
              <w:bottom w:w="28" w:type="dxa"/>
            </w:tcMar>
            <w:vAlign w:val="center"/>
          </w:tcPr>
          <w:p w14:paraId="6BAA7102" w14:textId="77777777" w:rsidR="00201E8F" w:rsidRPr="0064137F" w:rsidRDefault="00FA682A" w:rsidP="00201E8F">
            <w:pPr>
              <w:rPr>
                <w:rFonts w:ascii="Times New Roman" w:hAnsi="Times New Roman" w:cs="Times New Roman"/>
                <w:sz w:val="16"/>
                <w:szCs w:val="16"/>
              </w:rPr>
            </w:pPr>
            <w:proofErr w:type="spellStart"/>
            <w:r w:rsidRPr="0064137F">
              <w:rPr>
                <w:rFonts w:ascii="Times New Roman" w:hAnsi="Times New Roman" w:cs="Times New Roman"/>
                <w:sz w:val="16"/>
                <w:szCs w:val="16"/>
              </w:rPr>
              <w:t>Ciaschini</w:t>
            </w:r>
            <w:proofErr w:type="spellEnd"/>
            <w:r w:rsidRPr="0064137F">
              <w:rPr>
                <w:rFonts w:ascii="Times New Roman" w:hAnsi="Times New Roman" w:cs="Times New Roman"/>
                <w:sz w:val="16"/>
                <w:szCs w:val="16"/>
              </w:rPr>
              <w:t xml:space="preserve"> </w:t>
            </w:r>
            <w:proofErr w:type="gramStart"/>
            <w:r w:rsidRPr="0064137F">
              <w:rPr>
                <w:rFonts w:ascii="Times New Roman" w:hAnsi="Times New Roman" w:cs="Times New Roman"/>
                <w:sz w:val="16"/>
                <w:szCs w:val="16"/>
              </w:rPr>
              <w:t>et al.</w:t>
            </w:r>
            <w:r w:rsidR="00F92DA2">
              <w:rPr>
                <w:rFonts w:ascii="Times New Roman" w:hAnsi="Times New Roman" w:cs="Times New Roman"/>
                <w:sz w:val="16"/>
                <w:szCs w:val="16"/>
              </w:rPr>
              <w:t>[</w:t>
            </w:r>
            <w:proofErr w:type="gramEnd"/>
            <w:r w:rsidR="00F92DA2">
              <w:rPr>
                <w:rFonts w:ascii="Times New Roman" w:hAnsi="Times New Roman" w:cs="Times New Roman"/>
                <w:sz w:val="16"/>
                <w:szCs w:val="16"/>
              </w:rPr>
              <w:t>6</w:t>
            </w:r>
            <w:r w:rsidR="00056EB4">
              <w:rPr>
                <w:rFonts w:ascii="Times New Roman" w:hAnsi="Times New Roman" w:cs="Times New Roman"/>
                <w:sz w:val="16"/>
                <w:szCs w:val="16"/>
              </w:rPr>
              <w:t>4</w:t>
            </w:r>
            <w:r w:rsidR="00F92DA2">
              <w:rPr>
                <w:rFonts w:ascii="Times New Roman" w:hAnsi="Times New Roman" w:cs="Times New Roman"/>
                <w:sz w:val="16"/>
                <w:szCs w:val="16"/>
              </w:rPr>
              <w:t>]</w:t>
            </w:r>
          </w:p>
          <w:p w14:paraId="04BE3A2A" w14:textId="77777777" w:rsidR="00201E8F" w:rsidRPr="0064137F" w:rsidRDefault="00C9620F" w:rsidP="00201E8F">
            <w:pPr>
              <w:rPr>
                <w:rFonts w:ascii="Times New Roman" w:hAnsi="Times New Roman" w:cs="Times New Roman"/>
                <w:sz w:val="16"/>
                <w:szCs w:val="16"/>
              </w:rPr>
            </w:pPr>
            <w:r>
              <w:rPr>
                <w:rFonts w:ascii="Times New Roman" w:hAnsi="Times New Roman" w:cs="Times New Roman"/>
                <w:sz w:val="16"/>
                <w:szCs w:val="16"/>
              </w:rPr>
              <w:t>Canada, community</w:t>
            </w:r>
          </w:p>
        </w:tc>
        <w:tc>
          <w:tcPr>
            <w:tcW w:w="708" w:type="dxa"/>
            <w:tcBorders>
              <w:left w:val="nil"/>
              <w:right w:val="nil"/>
            </w:tcBorders>
            <w:tcMar>
              <w:top w:w="28" w:type="dxa"/>
              <w:bottom w:w="28" w:type="dxa"/>
            </w:tcMar>
            <w:vAlign w:val="center"/>
          </w:tcPr>
          <w:p w14:paraId="10CA080C"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RCT</w:t>
            </w:r>
          </w:p>
        </w:tc>
        <w:tc>
          <w:tcPr>
            <w:tcW w:w="2410" w:type="dxa"/>
            <w:tcBorders>
              <w:left w:val="nil"/>
              <w:right w:val="nil"/>
            </w:tcBorders>
            <w:tcMar>
              <w:top w:w="28" w:type="dxa"/>
              <w:bottom w:w="28" w:type="dxa"/>
            </w:tcMar>
            <w:vAlign w:val="center"/>
          </w:tcPr>
          <w:p w14:paraId="31A35CF9"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Adults at risk of future fracture</w:t>
            </w:r>
          </w:p>
          <w:p w14:paraId="6332812A"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1. Group 1 (N=101)</w:t>
            </w:r>
          </w:p>
          <w:p w14:paraId="239217C1"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2. Group 2 (N=100)</w:t>
            </w:r>
          </w:p>
        </w:tc>
        <w:tc>
          <w:tcPr>
            <w:tcW w:w="3260" w:type="dxa"/>
            <w:tcBorders>
              <w:left w:val="nil"/>
              <w:right w:val="nil"/>
            </w:tcBorders>
            <w:tcMar>
              <w:top w:w="28" w:type="dxa"/>
              <w:bottom w:w="28" w:type="dxa"/>
            </w:tcMar>
            <w:vAlign w:val="center"/>
          </w:tcPr>
          <w:p w14:paraId="36A60561"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1. Multifaceted intervention</w:t>
            </w:r>
          </w:p>
          <w:p w14:paraId="1A2931E8"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2. Usual care</w:t>
            </w:r>
          </w:p>
          <w:p w14:paraId="396C58B0"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Nurses</w:t>
            </w:r>
          </w:p>
        </w:tc>
        <w:tc>
          <w:tcPr>
            <w:tcW w:w="5623" w:type="dxa"/>
            <w:tcBorders>
              <w:left w:val="nil"/>
              <w:right w:val="nil"/>
            </w:tcBorders>
            <w:tcMar>
              <w:top w:w="28" w:type="dxa"/>
              <w:bottom w:w="28" w:type="dxa"/>
            </w:tcMar>
            <w:vAlign w:val="center"/>
          </w:tcPr>
          <w:p w14:paraId="0C9335C0"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29/52 participants in IG vs 16/60 participants in CG taking osteoporotic medicines at 6 </w:t>
            </w:r>
            <w:proofErr w:type="spellStart"/>
            <w:r w:rsidRPr="0064137F">
              <w:rPr>
                <w:rFonts w:ascii="Times New Roman" w:eastAsia="Calibri" w:hAnsi="Times New Roman" w:cs="Times New Roman"/>
                <w:sz w:val="16"/>
                <w:szCs w:val="16"/>
              </w:rPr>
              <w:t>mo</w:t>
            </w:r>
            <w:proofErr w:type="spellEnd"/>
            <w:r w:rsidRPr="0064137F">
              <w:rPr>
                <w:rFonts w:ascii="Times New Roman" w:eastAsia="Calibri" w:hAnsi="Times New Roman" w:cs="Times New Roman"/>
                <w:sz w:val="16"/>
                <w:szCs w:val="16"/>
              </w:rPr>
              <w:t xml:space="preserve"> (RR 2.09, 95%CI 1.29 to 3.40). Treatment with Calcium and Vitamin D increased by 34% &amp; 17% respectively in IG compared with CG.</w:t>
            </w:r>
          </w:p>
        </w:tc>
        <w:tc>
          <w:tcPr>
            <w:tcW w:w="567" w:type="dxa"/>
            <w:tcBorders>
              <w:left w:val="nil"/>
              <w:right w:val="nil"/>
            </w:tcBorders>
            <w:tcMar>
              <w:top w:w="28" w:type="dxa"/>
              <w:bottom w:w="28" w:type="dxa"/>
            </w:tcMar>
            <w:vAlign w:val="center"/>
          </w:tcPr>
          <w:p w14:paraId="0681CA1D" w14:textId="77777777" w:rsidR="00201E8F" w:rsidRPr="0064137F" w:rsidRDefault="00201E8F" w:rsidP="00201E8F">
            <w:pPr>
              <w:jc w:val="center"/>
              <w:rPr>
                <w:rFonts w:ascii="Times New Roman" w:eastAsia="Calibri" w:hAnsi="Times New Roman" w:cs="Times New Roman"/>
                <w:sz w:val="16"/>
                <w:szCs w:val="16"/>
              </w:rPr>
            </w:pPr>
            <w:r w:rsidRPr="0064137F">
              <w:rPr>
                <w:rFonts w:ascii="Times New Roman" w:eastAsia="Calibri" w:hAnsi="Times New Roman" w:cs="Times New Roman"/>
                <w:sz w:val="16"/>
                <w:szCs w:val="16"/>
              </w:rPr>
              <w:t>2</w:t>
            </w:r>
          </w:p>
        </w:tc>
      </w:tr>
      <w:tr w:rsidR="00201E8F" w:rsidRPr="0064137F" w14:paraId="3D704A34" w14:textId="77777777" w:rsidTr="008715F9">
        <w:trPr>
          <w:trHeight w:val="170"/>
        </w:trPr>
        <w:tc>
          <w:tcPr>
            <w:tcW w:w="2122" w:type="dxa"/>
            <w:tcBorders>
              <w:left w:val="nil"/>
              <w:right w:val="nil"/>
            </w:tcBorders>
            <w:tcMar>
              <w:top w:w="28" w:type="dxa"/>
              <w:bottom w:w="28" w:type="dxa"/>
            </w:tcMar>
            <w:vAlign w:val="center"/>
          </w:tcPr>
          <w:p w14:paraId="1DC2473C" w14:textId="77777777" w:rsidR="00201E8F" w:rsidRPr="0064137F" w:rsidRDefault="00201E8F" w:rsidP="00201E8F">
            <w:pPr>
              <w:rPr>
                <w:rFonts w:ascii="Times New Roman" w:hAnsi="Times New Roman" w:cs="Times New Roman"/>
                <w:sz w:val="16"/>
                <w:szCs w:val="16"/>
              </w:rPr>
            </w:pPr>
            <w:r w:rsidRPr="0064137F">
              <w:rPr>
                <w:rFonts w:ascii="Times New Roman" w:hAnsi="Times New Roman" w:cs="Times New Roman"/>
                <w:sz w:val="16"/>
                <w:szCs w:val="16"/>
              </w:rPr>
              <w:t xml:space="preserve">Kilgore </w:t>
            </w:r>
            <w:proofErr w:type="gramStart"/>
            <w:r w:rsidRPr="0064137F">
              <w:rPr>
                <w:rFonts w:ascii="Times New Roman" w:hAnsi="Times New Roman" w:cs="Times New Roman"/>
                <w:sz w:val="16"/>
                <w:szCs w:val="16"/>
              </w:rPr>
              <w:t>et al.</w:t>
            </w:r>
            <w:r w:rsidR="00F92DA2">
              <w:rPr>
                <w:rFonts w:ascii="Times New Roman" w:hAnsi="Times New Roman" w:cs="Times New Roman"/>
                <w:sz w:val="16"/>
                <w:szCs w:val="16"/>
              </w:rPr>
              <w:t>[</w:t>
            </w:r>
            <w:proofErr w:type="gramEnd"/>
            <w:r w:rsidR="00F92DA2">
              <w:rPr>
                <w:rFonts w:ascii="Times New Roman" w:hAnsi="Times New Roman" w:cs="Times New Roman"/>
                <w:sz w:val="16"/>
                <w:szCs w:val="16"/>
              </w:rPr>
              <w:t>6</w:t>
            </w:r>
            <w:r w:rsidR="00056EB4">
              <w:rPr>
                <w:rFonts w:ascii="Times New Roman" w:hAnsi="Times New Roman" w:cs="Times New Roman"/>
                <w:sz w:val="16"/>
                <w:szCs w:val="16"/>
              </w:rPr>
              <w:t>3</w:t>
            </w:r>
            <w:r w:rsidR="00F92DA2">
              <w:rPr>
                <w:rFonts w:ascii="Times New Roman" w:hAnsi="Times New Roman" w:cs="Times New Roman"/>
                <w:sz w:val="16"/>
                <w:szCs w:val="16"/>
              </w:rPr>
              <w:t>]</w:t>
            </w:r>
          </w:p>
          <w:p w14:paraId="413399B8" w14:textId="77777777" w:rsidR="00201E8F" w:rsidRPr="0064137F" w:rsidRDefault="00C9620F" w:rsidP="00201E8F">
            <w:pPr>
              <w:rPr>
                <w:rFonts w:ascii="Times New Roman" w:hAnsi="Times New Roman" w:cs="Times New Roman"/>
                <w:sz w:val="16"/>
                <w:szCs w:val="16"/>
              </w:rPr>
            </w:pPr>
            <w:r>
              <w:rPr>
                <w:rFonts w:ascii="Times New Roman" w:hAnsi="Times New Roman" w:cs="Times New Roman"/>
                <w:sz w:val="16"/>
                <w:szCs w:val="16"/>
              </w:rPr>
              <w:t>community</w:t>
            </w:r>
          </w:p>
        </w:tc>
        <w:tc>
          <w:tcPr>
            <w:tcW w:w="708" w:type="dxa"/>
            <w:tcBorders>
              <w:left w:val="nil"/>
              <w:right w:val="nil"/>
            </w:tcBorders>
            <w:tcMar>
              <w:top w:w="28" w:type="dxa"/>
              <w:bottom w:w="28" w:type="dxa"/>
            </w:tcMar>
            <w:vAlign w:val="center"/>
          </w:tcPr>
          <w:p w14:paraId="739D0846" w14:textId="77777777" w:rsidR="00201E8F" w:rsidRPr="0064137F" w:rsidRDefault="00201E8F" w:rsidP="00201E8F">
            <w:pPr>
              <w:rPr>
                <w:rFonts w:ascii="Times New Roman" w:eastAsia="Calibri" w:hAnsi="Times New Roman" w:cs="Times New Roman"/>
                <w:sz w:val="16"/>
                <w:szCs w:val="16"/>
              </w:rPr>
            </w:pPr>
            <w:proofErr w:type="spellStart"/>
            <w:r w:rsidRPr="0064137F">
              <w:rPr>
                <w:rFonts w:ascii="Times New Roman" w:eastAsia="Calibri" w:hAnsi="Times New Roman" w:cs="Times New Roman"/>
                <w:sz w:val="16"/>
                <w:szCs w:val="16"/>
              </w:rPr>
              <w:t>ClusterRCT</w:t>
            </w:r>
            <w:proofErr w:type="spellEnd"/>
          </w:p>
        </w:tc>
        <w:tc>
          <w:tcPr>
            <w:tcW w:w="2410" w:type="dxa"/>
            <w:tcBorders>
              <w:left w:val="nil"/>
              <w:right w:val="nil"/>
            </w:tcBorders>
            <w:tcMar>
              <w:top w:w="28" w:type="dxa"/>
              <w:bottom w:w="28" w:type="dxa"/>
            </w:tcMar>
            <w:vAlign w:val="center"/>
          </w:tcPr>
          <w:p w14:paraId="6A535CDD"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1. Group 1 (N=330)</w:t>
            </w:r>
          </w:p>
          <w:p w14:paraId="1B1E78CF"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2. Group 2 (N=337)</w:t>
            </w:r>
          </w:p>
        </w:tc>
        <w:tc>
          <w:tcPr>
            <w:tcW w:w="3260" w:type="dxa"/>
            <w:tcBorders>
              <w:left w:val="nil"/>
              <w:right w:val="nil"/>
            </w:tcBorders>
            <w:tcMar>
              <w:top w:w="28" w:type="dxa"/>
              <w:bottom w:w="28" w:type="dxa"/>
            </w:tcMar>
            <w:vAlign w:val="center"/>
          </w:tcPr>
          <w:p w14:paraId="7B0D4D9A"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1. Multicomponent</w:t>
            </w:r>
          </w:p>
          <w:p w14:paraId="4866F3D2"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2. Usual care</w:t>
            </w:r>
          </w:p>
          <w:p w14:paraId="30A4A844"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Nurse</w:t>
            </w:r>
          </w:p>
        </w:tc>
        <w:tc>
          <w:tcPr>
            <w:tcW w:w="5623" w:type="dxa"/>
            <w:tcBorders>
              <w:left w:val="nil"/>
              <w:right w:val="nil"/>
            </w:tcBorders>
            <w:tcMar>
              <w:top w:w="28" w:type="dxa"/>
              <w:bottom w:w="28" w:type="dxa"/>
            </w:tcMar>
            <w:vAlign w:val="center"/>
          </w:tcPr>
          <w:p w14:paraId="37D7FE8A"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No significant difference between IG &amp; CG in average proportion of eligible patients receiving osteoporosis medicines (IG: 19.1% vs UC; 15.7%, difference in proportions 3.4%, 95%CI -2.6 to 9.5%, p=0.252)</w:t>
            </w:r>
          </w:p>
        </w:tc>
        <w:tc>
          <w:tcPr>
            <w:tcW w:w="567" w:type="dxa"/>
            <w:tcBorders>
              <w:left w:val="nil"/>
              <w:right w:val="nil"/>
            </w:tcBorders>
            <w:tcMar>
              <w:top w:w="28" w:type="dxa"/>
              <w:bottom w:w="28" w:type="dxa"/>
            </w:tcMar>
            <w:vAlign w:val="center"/>
          </w:tcPr>
          <w:p w14:paraId="744CB2B2" w14:textId="77777777" w:rsidR="00201E8F" w:rsidRPr="0064137F" w:rsidRDefault="00201E8F" w:rsidP="00201E8F">
            <w:pPr>
              <w:jc w:val="center"/>
              <w:rPr>
                <w:rFonts w:ascii="Times New Roman" w:eastAsia="Calibri" w:hAnsi="Times New Roman" w:cs="Times New Roman"/>
                <w:sz w:val="16"/>
                <w:szCs w:val="16"/>
              </w:rPr>
            </w:pPr>
            <w:r w:rsidRPr="0064137F">
              <w:rPr>
                <w:rFonts w:ascii="Times New Roman" w:eastAsia="Calibri" w:hAnsi="Times New Roman" w:cs="Times New Roman"/>
                <w:sz w:val="16"/>
                <w:szCs w:val="16"/>
              </w:rPr>
              <w:t>2</w:t>
            </w:r>
          </w:p>
        </w:tc>
      </w:tr>
      <w:tr w:rsidR="00201E8F" w:rsidRPr="0064137F" w14:paraId="5ECD7CE1" w14:textId="77777777" w:rsidTr="008715F9">
        <w:trPr>
          <w:trHeight w:val="194"/>
        </w:trPr>
        <w:tc>
          <w:tcPr>
            <w:tcW w:w="2122" w:type="dxa"/>
            <w:tcBorders>
              <w:left w:val="nil"/>
              <w:bottom w:val="single" w:sz="12" w:space="0" w:color="auto"/>
              <w:right w:val="nil"/>
            </w:tcBorders>
            <w:tcMar>
              <w:top w:w="28" w:type="dxa"/>
              <w:bottom w:w="28" w:type="dxa"/>
            </w:tcMar>
            <w:vAlign w:val="center"/>
          </w:tcPr>
          <w:p w14:paraId="17DB8A54" w14:textId="77777777" w:rsidR="00201E8F" w:rsidRPr="0064137F" w:rsidRDefault="00FA682A" w:rsidP="00201E8F">
            <w:pPr>
              <w:rPr>
                <w:rFonts w:ascii="Times New Roman" w:hAnsi="Times New Roman" w:cs="Times New Roman"/>
                <w:sz w:val="16"/>
                <w:szCs w:val="16"/>
              </w:rPr>
            </w:pPr>
            <w:proofErr w:type="spellStart"/>
            <w:r w:rsidRPr="0064137F">
              <w:rPr>
                <w:rFonts w:ascii="Times New Roman" w:hAnsi="Times New Roman" w:cs="Times New Roman"/>
                <w:sz w:val="16"/>
                <w:szCs w:val="16"/>
              </w:rPr>
              <w:t>Baypinar</w:t>
            </w:r>
            <w:proofErr w:type="spellEnd"/>
            <w:r w:rsidRPr="0064137F">
              <w:rPr>
                <w:rFonts w:ascii="Times New Roman" w:hAnsi="Times New Roman" w:cs="Times New Roman"/>
                <w:sz w:val="16"/>
                <w:szCs w:val="16"/>
              </w:rPr>
              <w:t xml:space="preserve"> </w:t>
            </w:r>
            <w:proofErr w:type="gramStart"/>
            <w:r w:rsidRPr="0064137F">
              <w:rPr>
                <w:rFonts w:ascii="Times New Roman" w:hAnsi="Times New Roman" w:cs="Times New Roman"/>
                <w:sz w:val="16"/>
                <w:szCs w:val="16"/>
              </w:rPr>
              <w:t>et al.</w:t>
            </w:r>
            <w:r w:rsidR="00F92DA2">
              <w:rPr>
                <w:rFonts w:ascii="Times New Roman" w:hAnsi="Times New Roman" w:cs="Times New Roman"/>
                <w:sz w:val="16"/>
                <w:szCs w:val="16"/>
              </w:rPr>
              <w:t>[</w:t>
            </w:r>
            <w:proofErr w:type="gramEnd"/>
            <w:r w:rsidR="00F92DA2">
              <w:rPr>
                <w:rFonts w:ascii="Times New Roman" w:hAnsi="Times New Roman" w:cs="Times New Roman"/>
                <w:sz w:val="16"/>
                <w:szCs w:val="16"/>
              </w:rPr>
              <w:t>6</w:t>
            </w:r>
            <w:r w:rsidR="00056EB4">
              <w:rPr>
                <w:rFonts w:ascii="Times New Roman" w:hAnsi="Times New Roman" w:cs="Times New Roman"/>
                <w:sz w:val="16"/>
                <w:szCs w:val="16"/>
              </w:rPr>
              <w:t>5</w:t>
            </w:r>
            <w:r w:rsidR="00F92DA2">
              <w:rPr>
                <w:rFonts w:ascii="Times New Roman" w:hAnsi="Times New Roman" w:cs="Times New Roman"/>
                <w:sz w:val="16"/>
                <w:szCs w:val="16"/>
              </w:rPr>
              <w:t>]</w:t>
            </w:r>
          </w:p>
        </w:tc>
        <w:tc>
          <w:tcPr>
            <w:tcW w:w="708" w:type="dxa"/>
            <w:tcBorders>
              <w:left w:val="nil"/>
              <w:bottom w:val="single" w:sz="12" w:space="0" w:color="auto"/>
              <w:right w:val="nil"/>
            </w:tcBorders>
            <w:tcMar>
              <w:top w:w="28" w:type="dxa"/>
              <w:bottom w:w="28" w:type="dxa"/>
            </w:tcMar>
            <w:vAlign w:val="center"/>
          </w:tcPr>
          <w:p w14:paraId="5C567F65"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Cohort study</w:t>
            </w:r>
          </w:p>
        </w:tc>
        <w:tc>
          <w:tcPr>
            <w:tcW w:w="2410" w:type="dxa"/>
            <w:tcBorders>
              <w:left w:val="nil"/>
              <w:bottom w:val="single" w:sz="12" w:space="0" w:color="auto"/>
              <w:right w:val="nil"/>
            </w:tcBorders>
            <w:tcMar>
              <w:top w:w="28" w:type="dxa"/>
              <w:bottom w:w="28" w:type="dxa"/>
            </w:tcMar>
            <w:vAlign w:val="center"/>
          </w:tcPr>
          <w:p w14:paraId="7D623F72"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1. Group 1 (N=60)</w:t>
            </w:r>
          </w:p>
          <w:p w14:paraId="3D28FEFC"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2. Group 2 (N=47)</w:t>
            </w:r>
          </w:p>
        </w:tc>
        <w:tc>
          <w:tcPr>
            <w:tcW w:w="3260" w:type="dxa"/>
            <w:tcBorders>
              <w:left w:val="nil"/>
              <w:bottom w:val="single" w:sz="12" w:space="0" w:color="auto"/>
              <w:right w:val="nil"/>
            </w:tcBorders>
            <w:tcMar>
              <w:top w:w="28" w:type="dxa"/>
              <w:bottom w:w="28" w:type="dxa"/>
            </w:tcMar>
            <w:vAlign w:val="center"/>
          </w:tcPr>
          <w:p w14:paraId="68CAEC13"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1. Clinical decision support alert</w:t>
            </w:r>
          </w:p>
          <w:p w14:paraId="4BCF8FA2"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2. No alert</w:t>
            </w:r>
          </w:p>
          <w:p w14:paraId="74C627EB"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Pharmacists</w:t>
            </w:r>
          </w:p>
        </w:tc>
        <w:tc>
          <w:tcPr>
            <w:tcW w:w="5623" w:type="dxa"/>
            <w:tcBorders>
              <w:left w:val="nil"/>
              <w:bottom w:val="single" w:sz="12" w:space="0" w:color="auto"/>
              <w:right w:val="nil"/>
            </w:tcBorders>
            <w:tcMar>
              <w:top w:w="28" w:type="dxa"/>
              <w:bottom w:w="28" w:type="dxa"/>
            </w:tcMar>
            <w:vAlign w:val="center"/>
          </w:tcPr>
          <w:p w14:paraId="70F65C0D" w14:textId="77777777" w:rsidR="00201E8F" w:rsidRPr="0064137F" w:rsidRDefault="00201E8F" w:rsidP="00201E8F">
            <w:pPr>
              <w:rPr>
                <w:rFonts w:ascii="Times New Roman" w:eastAsia="Calibri" w:hAnsi="Times New Roman" w:cs="Times New Roman"/>
                <w:sz w:val="16"/>
                <w:szCs w:val="16"/>
              </w:rPr>
            </w:pPr>
            <w:r w:rsidRPr="0064137F">
              <w:rPr>
                <w:rFonts w:ascii="Times New Roman" w:hAnsi="Times New Roman" w:cs="Times New Roman"/>
                <w:sz w:val="16"/>
                <w:szCs w:val="16"/>
              </w:rPr>
              <w:t>Co-prescription of Vitamin D or Vitamin D analogues with a bisphosphonate increased by 29% (p=0.001) in the IG compared to the CG</w:t>
            </w:r>
          </w:p>
        </w:tc>
        <w:tc>
          <w:tcPr>
            <w:tcW w:w="567" w:type="dxa"/>
            <w:tcBorders>
              <w:left w:val="nil"/>
              <w:bottom w:val="single" w:sz="12" w:space="0" w:color="auto"/>
              <w:right w:val="nil"/>
            </w:tcBorders>
            <w:tcMar>
              <w:top w:w="28" w:type="dxa"/>
              <w:bottom w:w="28" w:type="dxa"/>
            </w:tcMar>
            <w:vAlign w:val="center"/>
          </w:tcPr>
          <w:p w14:paraId="36365E54" w14:textId="77777777" w:rsidR="00201E8F" w:rsidRPr="0064137F" w:rsidRDefault="00201E8F" w:rsidP="00201E8F">
            <w:pPr>
              <w:jc w:val="center"/>
              <w:rPr>
                <w:rFonts w:ascii="Times New Roman" w:eastAsia="Calibri" w:hAnsi="Times New Roman" w:cs="Times New Roman"/>
                <w:sz w:val="16"/>
                <w:szCs w:val="16"/>
              </w:rPr>
            </w:pPr>
            <w:r w:rsidRPr="0064137F">
              <w:rPr>
                <w:rFonts w:ascii="Times New Roman" w:eastAsia="Calibri" w:hAnsi="Times New Roman" w:cs="Times New Roman"/>
                <w:sz w:val="16"/>
                <w:szCs w:val="16"/>
              </w:rPr>
              <w:t>3</w:t>
            </w:r>
          </w:p>
        </w:tc>
      </w:tr>
      <w:tr w:rsidR="00201E8F" w:rsidRPr="0064137F" w14:paraId="0CA12680" w14:textId="77777777" w:rsidTr="008715F9">
        <w:trPr>
          <w:trHeight w:val="194"/>
        </w:trPr>
        <w:tc>
          <w:tcPr>
            <w:tcW w:w="14690" w:type="dxa"/>
            <w:gridSpan w:val="6"/>
            <w:tcBorders>
              <w:top w:val="single" w:sz="12" w:space="0" w:color="auto"/>
              <w:left w:val="nil"/>
              <w:bottom w:val="single" w:sz="12" w:space="0" w:color="auto"/>
              <w:right w:val="nil"/>
            </w:tcBorders>
            <w:shd w:val="clear" w:color="auto" w:fill="D9D9D9" w:themeFill="background1" w:themeFillShade="D9"/>
            <w:tcMar>
              <w:top w:w="28" w:type="dxa"/>
              <w:bottom w:w="28" w:type="dxa"/>
            </w:tcMar>
            <w:vAlign w:val="center"/>
          </w:tcPr>
          <w:p w14:paraId="0C3C9EB4" w14:textId="77777777" w:rsidR="00201E8F" w:rsidRPr="0064137F" w:rsidRDefault="00DD6A30" w:rsidP="00201E8F">
            <w:pPr>
              <w:rPr>
                <w:rFonts w:ascii="Times New Roman" w:eastAsia="Calibri" w:hAnsi="Times New Roman" w:cs="Times New Roman"/>
                <w:b/>
                <w:sz w:val="16"/>
                <w:szCs w:val="16"/>
              </w:rPr>
            </w:pPr>
            <w:r>
              <w:rPr>
                <w:rFonts w:ascii="Times New Roman" w:eastAsia="Calibri" w:hAnsi="Times New Roman" w:cs="Times New Roman"/>
                <w:b/>
                <w:sz w:val="16"/>
                <w:szCs w:val="16"/>
              </w:rPr>
              <w:t>ii)</w:t>
            </w:r>
            <w:r w:rsidR="00201E8F" w:rsidRPr="0064137F">
              <w:rPr>
                <w:rFonts w:ascii="Times New Roman" w:eastAsia="Calibri" w:hAnsi="Times New Roman" w:cs="Times New Roman"/>
                <w:b/>
                <w:sz w:val="16"/>
                <w:szCs w:val="16"/>
              </w:rPr>
              <w:t>Multi-disciplinary team care</w:t>
            </w:r>
          </w:p>
        </w:tc>
      </w:tr>
      <w:tr w:rsidR="00201E8F" w:rsidRPr="0064137F" w14:paraId="6A2639AD" w14:textId="77777777" w:rsidTr="008715F9">
        <w:trPr>
          <w:trHeight w:val="284"/>
        </w:trPr>
        <w:tc>
          <w:tcPr>
            <w:tcW w:w="2122" w:type="dxa"/>
            <w:tcBorders>
              <w:top w:val="single" w:sz="12" w:space="0" w:color="auto"/>
              <w:left w:val="nil"/>
              <w:right w:val="nil"/>
            </w:tcBorders>
            <w:tcMar>
              <w:top w:w="28" w:type="dxa"/>
              <w:bottom w:w="28" w:type="dxa"/>
            </w:tcMar>
            <w:vAlign w:val="center"/>
          </w:tcPr>
          <w:p w14:paraId="1D4EBE70" w14:textId="77777777" w:rsidR="00201E8F" w:rsidRPr="0064137F" w:rsidRDefault="00201E8F" w:rsidP="00201E8F">
            <w:pPr>
              <w:rPr>
                <w:rFonts w:ascii="Times New Roman" w:hAnsi="Times New Roman" w:cs="Times New Roman"/>
                <w:sz w:val="16"/>
                <w:szCs w:val="16"/>
              </w:rPr>
            </w:pPr>
            <w:proofErr w:type="spellStart"/>
            <w:r w:rsidRPr="0064137F">
              <w:rPr>
                <w:rFonts w:ascii="Times New Roman" w:hAnsi="Times New Roman" w:cs="Times New Roman"/>
                <w:sz w:val="16"/>
                <w:szCs w:val="16"/>
              </w:rPr>
              <w:t>Grigoryan</w:t>
            </w:r>
            <w:proofErr w:type="spellEnd"/>
            <w:r w:rsidRPr="0064137F">
              <w:rPr>
                <w:rFonts w:ascii="Times New Roman" w:hAnsi="Times New Roman" w:cs="Times New Roman"/>
                <w:sz w:val="16"/>
                <w:szCs w:val="16"/>
              </w:rPr>
              <w:t xml:space="preserve"> </w:t>
            </w:r>
            <w:proofErr w:type="gramStart"/>
            <w:r w:rsidRPr="0064137F">
              <w:rPr>
                <w:rFonts w:ascii="Times New Roman" w:hAnsi="Times New Roman" w:cs="Times New Roman"/>
                <w:sz w:val="16"/>
                <w:szCs w:val="16"/>
              </w:rPr>
              <w:t>et al.</w:t>
            </w:r>
            <w:r w:rsidR="00F92DA2">
              <w:rPr>
                <w:rFonts w:ascii="Times New Roman" w:hAnsi="Times New Roman" w:cs="Times New Roman"/>
                <w:sz w:val="16"/>
                <w:szCs w:val="16"/>
              </w:rPr>
              <w:t>[</w:t>
            </w:r>
            <w:proofErr w:type="gramEnd"/>
            <w:r w:rsidR="00F92DA2">
              <w:rPr>
                <w:rFonts w:ascii="Times New Roman" w:hAnsi="Times New Roman" w:cs="Times New Roman"/>
                <w:sz w:val="16"/>
                <w:szCs w:val="16"/>
              </w:rPr>
              <w:t>6</w:t>
            </w:r>
            <w:r w:rsidR="00056EB4">
              <w:rPr>
                <w:rFonts w:ascii="Times New Roman" w:hAnsi="Times New Roman" w:cs="Times New Roman"/>
                <w:sz w:val="16"/>
                <w:szCs w:val="16"/>
              </w:rPr>
              <w:t>6</w:t>
            </w:r>
            <w:r w:rsidR="00F92DA2">
              <w:rPr>
                <w:rFonts w:ascii="Times New Roman" w:hAnsi="Times New Roman" w:cs="Times New Roman"/>
                <w:sz w:val="16"/>
                <w:szCs w:val="16"/>
              </w:rPr>
              <w:t>]</w:t>
            </w:r>
            <w:r w:rsidRPr="0064137F">
              <w:rPr>
                <w:rFonts w:ascii="Times New Roman" w:hAnsi="Times New Roman" w:cs="Times New Roman"/>
                <w:sz w:val="16"/>
                <w:szCs w:val="16"/>
              </w:rPr>
              <w:t xml:space="preserve"> </w:t>
            </w:r>
          </w:p>
          <w:p w14:paraId="70ECA288" w14:textId="77777777" w:rsidR="00201E8F" w:rsidRPr="0064137F" w:rsidRDefault="00201E8F" w:rsidP="00201E8F">
            <w:pPr>
              <w:rPr>
                <w:rFonts w:ascii="Times New Roman" w:eastAsia="Calibri" w:hAnsi="Times New Roman" w:cs="Times New Roman"/>
                <w:sz w:val="16"/>
                <w:szCs w:val="16"/>
              </w:rPr>
            </w:pPr>
            <w:r w:rsidRPr="0064137F">
              <w:rPr>
                <w:rFonts w:ascii="Times New Roman" w:hAnsi="Times New Roman" w:cs="Times New Roman"/>
                <w:sz w:val="16"/>
                <w:szCs w:val="16"/>
              </w:rPr>
              <w:t>inpatients</w:t>
            </w:r>
          </w:p>
        </w:tc>
        <w:tc>
          <w:tcPr>
            <w:tcW w:w="708" w:type="dxa"/>
            <w:tcBorders>
              <w:top w:val="single" w:sz="12" w:space="0" w:color="auto"/>
              <w:left w:val="nil"/>
              <w:right w:val="nil"/>
            </w:tcBorders>
            <w:tcMar>
              <w:top w:w="28" w:type="dxa"/>
              <w:bottom w:w="28" w:type="dxa"/>
            </w:tcMar>
            <w:vAlign w:val="center"/>
          </w:tcPr>
          <w:p w14:paraId="41241F10"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MA</w:t>
            </w:r>
          </w:p>
        </w:tc>
        <w:tc>
          <w:tcPr>
            <w:tcW w:w="2410" w:type="dxa"/>
            <w:tcBorders>
              <w:top w:val="single" w:sz="12" w:space="0" w:color="auto"/>
              <w:left w:val="nil"/>
              <w:right w:val="nil"/>
            </w:tcBorders>
            <w:tcMar>
              <w:top w:w="28" w:type="dxa"/>
              <w:bottom w:w="28" w:type="dxa"/>
            </w:tcMar>
            <w:vAlign w:val="center"/>
          </w:tcPr>
          <w:p w14:paraId="21C872C5"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Patients with hip fracture</w:t>
            </w:r>
          </w:p>
          <w:p w14:paraId="21E7ADC2"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9 studies (N=3333) &amp; 11 studies (N=6305) </w:t>
            </w:r>
          </w:p>
        </w:tc>
        <w:tc>
          <w:tcPr>
            <w:tcW w:w="3260" w:type="dxa"/>
            <w:tcBorders>
              <w:top w:val="single" w:sz="12" w:space="0" w:color="auto"/>
              <w:left w:val="nil"/>
              <w:right w:val="nil"/>
            </w:tcBorders>
            <w:tcMar>
              <w:top w:w="28" w:type="dxa"/>
              <w:bottom w:w="28" w:type="dxa"/>
            </w:tcMar>
            <w:vAlign w:val="center"/>
          </w:tcPr>
          <w:p w14:paraId="5001BC2C"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Orthogeriatric compared with standard care Multidisciplinary team</w:t>
            </w:r>
          </w:p>
        </w:tc>
        <w:tc>
          <w:tcPr>
            <w:tcW w:w="5623" w:type="dxa"/>
            <w:tcBorders>
              <w:top w:val="single" w:sz="12" w:space="0" w:color="auto"/>
              <w:left w:val="nil"/>
              <w:right w:val="nil"/>
            </w:tcBorders>
            <w:tcMar>
              <w:top w:w="28" w:type="dxa"/>
              <w:bottom w:w="28" w:type="dxa"/>
            </w:tcMar>
            <w:vAlign w:val="center"/>
          </w:tcPr>
          <w:p w14:paraId="6D9CD5DF" w14:textId="77777777" w:rsidR="00201E8F" w:rsidRPr="0064137F" w:rsidRDefault="00201E8F" w:rsidP="00201E8F">
            <w:pPr>
              <w:rPr>
                <w:rFonts w:ascii="Times New Roman" w:hAnsi="Times New Roman" w:cs="Times New Roman"/>
                <w:bCs/>
                <w:sz w:val="16"/>
                <w:szCs w:val="16"/>
              </w:rPr>
            </w:pPr>
            <w:r w:rsidRPr="0064137F">
              <w:rPr>
                <w:rFonts w:ascii="Times New Roman" w:eastAsia="Calibri" w:hAnsi="Times New Roman" w:cs="Times New Roman"/>
                <w:sz w:val="16"/>
                <w:szCs w:val="16"/>
              </w:rPr>
              <w:t xml:space="preserve">Orthogeriatric care </w:t>
            </w:r>
            <w:r w:rsidRPr="0064137F">
              <w:rPr>
                <w:rFonts w:ascii="Times New Roman" w:hAnsi="Times New Roman" w:cs="Times New Roman"/>
                <w:bCs/>
                <w:sz w:val="16"/>
                <w:szCs w:val="16"/>
              </w:rPr>
              <w:t xml:space="preserve">40% reduction in relative risk of ST mortality </w:t>
            </w:r>
          </w:p>
          <w:p w14:paraId="34C5CFD0" w14:textId="77777777" w:rsidR="00201E8F" w:rsidRPr="0064137F" w:rsidRDefault="00201E8F" w:rsidP="00201E8F">
            <w:pPr>
              <w:rPr>
                <w:rFonts w:ascii="Times New Roman" w:hAnsi="Times New Roman" w:cs="Times New Roman"/>
                <w:bCs/>
                <w:sz w:val="16"/>
                <w:szCs w:val="16"/>
              </w:rPr>
            </w:pPr>
            <w:r w:rsidRPr="0064137F">
              <w:rPr>
                <w:rFonts w:ascii="Times New Roman" w:hAnsi="Times New Roman" w:cs="Times New Roman"/>
                <w:bCs/>
                <w:sz w:val="16"/>
                <w:szCs w:val="16"/>
              </w:rPr>
              <w:t>RR 0.60 [95%CI 0.43-0.84] &amp; 17% reduction in risk of LT mortality (RR 0.83 [95%CI 0.74-0.94]</w:t>
            </w:r>
          </w:p>
        </w:tc>
        <w:tc>
          <w:tcPr>
            <w:tcW w:w="567" w:type="dxa"/>
            <w:tcBorders>
              <w:top w:val="single" w:sz="12" w:space="0" w:color="auto"/>
              <w:left w:val="nil"/>
              <w:right w:val="nil"/>
            </w:tcBorders>
            <w:tcMar>
              <w:top w:w="28" w:type="dxa"/>
              <w:bottom w:w="28" w:type="dxa"/>
            </w:tcMar>
            <w:vAlign w:val="center"/>
          </w:tcPr>
          <w:p w14:paraId="23C22586" w14:textId="77777777" w:rsidR="00201E8F" w:rsidRPr="0064137F" w:rsidRDefault="00201E8F" w:rsidP="00201E8F">
            <w:pPr>
              <w:jc w:val="center"/>
              <w:rPr>
                <w:rFonts w:ascii="Times New Roman" w:eastAsia="Calibri" w:hAnsi="Times New Roman" w:cs="Times New Roman"/>
                <w:sz w:val="16"/>
                <w:szCs w:val="16"/>
              </w:rPr>
            </w:pPr>
            <w:r w:rsidRPr="0064137F">
              <w:rPr>
                <w:rFonts w:ascii="Times New Roman" w:eastAsia="Calibri" w:hAnsi="Times New Roman" w:cs="Times New Roman"/>
                <w:sz w:val="16"/>
                <w:szCs w:val="16"/>
              </w:rPr>
              <w:t>1</w:t>
            </w:r>
          </w:p>
        </w:tc>
      </w:tr>
      <w:tr w:rsidR="00201E8F" w:rsidRPr="0064137F" w14:paraId="60D46DBF" w14:textId="77777777" w:rsidTr="008715F9">
        <w:trPr>
          <w:trHeight w:val="398"/>
        </w:trPr>
        <w:tc>
          <w:tcPr>
            <w:tcW w:w="2122" w:type="dxa"/>
            <w:tcBorders>
              <w:left w:val="nil"/>
              <w:right w:val="nil"/>
            </w:tcBorders>
            <w:tcMar>
              <w:top w:w="28" w:type="dxa"/>
              <w:bottom w:w="28" w:type="dxa"/>
            </w:tcMar>
            <w:vAlign w:val="center"/>
          </w:tcPr>
          <w:p w14:paraId="577FA44C" w14:textId="77777777" w:rsidR="00201E8F" w:rsidRPr="0064137F" w:rsidRDefault="00201E8F" w:rsidP="00201E8F">
            <w:pPr>
              <w:rPr>
                <w:rFonts w:ascii="Times New Roman" w:hAnsi="Times New Roman" w:cs="Times New Roman"/>
                <w:sz w:val="16"/>
                <w:szCs w:val="16"/>
              </w:rPr>
            </w:pPr>
            <w:proofErr w:type="spellStart"/>
            <w:r w:rsidRPr="0064137F">
              <w:rPr>
                <w:rFonts w:ascii="Times New Roman" w:hAnsi="Times New Roman" w:cs="Times New Roman"/>
                <w:sz w:val="16"/>
                <w:szCs w:val="16"/>
              </w:rPr>
              <w:t>Prestmo</w:t>
            </w:r>
            <w:proofErr w:type="spellEnd"/>
            <w:r w:rsidRPr="0064137F">
              <w:rPr>
                <w:rFonts w:ascii="Times New Roman" w:hAnsi="Times New Roman" w:cs="Times New Roman"/>
                <w:sz w:val="16"/>
                <w:szCs w:val="16"/>
              </w:rPr>
              <w:t xml:space="preserve"> </w:t>
            </w:r>
            <w:proofErr w:type="gramStart"/>
            <w:r w:rsidRPr="0064137F">
              <w:rPr>
                <w:rFonts w:ascii="Times New Roman" w:hAnsi="Times New Roman" w:cs="Times New Roman"/>
                <w:sz w:val="16"/>
                <w:szCs w:val="16"/>
              </w:rPr>
              <w:t>et al.</w:t>
            </w:r>
            <w:r w:rsidR="00F92DA2">
              <w:rPr>
                <w:rFonts w:ascii="Times New Roman" w:hAnsi="Times New Roman" w:cs="Times New Roman"/>
                <w:sz w:val="16"/>
                <w:szCs w:val="16"/>
              </w:rPr>
              <w:t>[</w:t>
            </w:r>
            <w:proofErr w:type="gramEnd"/>
            <w:r w:rsidR="00F92DA2">
              <w:rPr>
                <w:rFonts w:ascii="Times New Roman" w:hAnsi="Times New Roman" w:cs="Times New Roman"/>
                <w:sz w:val="16"/>
                <w:szCs w:val="16"/>
              </w:rPr>
              <w:t>6</w:t>
            </w:r>
            <w:r w:rsidR="00056EB4">
              <w:rPr>
                <w:rFonts w:ascii="Times New Roman" w:hAnsi="Times New Roman" w:cs="Times New Roman"/>
                <w:sz w:val="16"/>
                <w:szCs w:val="16"/>
              </w:rPr>
              <w:t>7</w:t>
            </w:r>
            <w:r w:rsidR="00F92DA2">
              <w:rPr>
                <w:rFonts w:ascii="Times New Roman" w:hAnsi="Times New Roman" w:cs="Times New Roman"/>
                <w:sz w:val="16"/>
                <w:szCs w:val="16"/>
              </w:rPr>
              <w:t>]</w:t>
            </w:r>
          </w:p>
          <w:p w14:paraId="56CEDA83" w14:textId="77777777" w:rsidR="00201E8F" w:rsidRPr="0064137F" w:rsidRDefault="00201E8F" w:rsidP="00201E8F">
            <w:pPr>
              <w:rPr>
                <w:rFonts w:ascii="Times New Roman" w:eastAsia="Calibri" w:hAnsi="Times New Roman" w:cs="Times New Roman"/>
                <w:sz w:val="16"/>
                <w:szCs w:val="16"/>
              </w:rPr>
            </w:pPr>
            <w:r w:rsidRPr="0064137F">
              <w:rPr>
                <w:rFonts w:ascii="Times New Roman" w:hAnsi="Times New Roman" w:cs="Times New Roman"/>
                <w:sz w:val="16"/>
                <w:szCs w:val="16"/>
              </w:rPr>
              <w:t>Norway, inpatients</w:t>
            </w:r>
          </w:p>
        </w:tc>
        <w:tc>
          <w:tcPr>
            <w:tcW w:w="708" w:type="dxa"/>
            <w:tcBorders>
              <w:left w:val="nil"/>
              <w:right w:val="nil"/>
            </w:tcBorders>
            <w:tcMar>
              <w:top w:w="28" w:type="dxa"/>
              <w:bottom w:w="28" w:type="dxa"/>
            </w:tcMar>
            <w:vAlign w:val="center"/>
          </w:tcPr>
          <w:p w14:paraId="58A1CACD"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RCT</w:t>
            </w:r>
          </w:p>
        </w:tc>
        <w:tc>
          <w:tcPr>
            <w:tcW w:w="2410" w:type="dxa"/>
            <w:tcBorders>
              <w:left w:val="nil"/>
              <w:right w:val="nil"/>
            </w:tcBorders>
            <w:tcMar>
              <w:top w:w="28" w:type="dxa"/>
              <w:bottom w:w="28" w:type="dxa"/>
            </w:tcMar>
            <w:vAlign w:val="center"/>
          </w:tcPr>
          <w:p w14:paraId="51EDF3F0"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Patients with hip fracture</w:t>
            </w:r>
          </w:p>
          <w:p w14:paraId="30B41362"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1.Group 1 (n=198)</w:t>
            </w:r>
          </w:p>
          <w:p w14:paraId="07585E3D"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2.Group 2 (n=199)</w:t>
            </w:r>
          </w:p>
        </w:tc>
        <w:tc>
          <w:tcPr>
            <w:tcW w:w="3260" w:type="dxa"/>
            <w:tcBorders>
              <w:left w:val="nil"/>
              <w:right w:val="nil"/>
            </w:tcBorders>
            <w:tcMar>
              <w:top w:w="28" w:type="dxa"/>
              <w:bottom w:w="28" w:type="dxa"/>
            </w:tcMar>
            <w:vAlign w:val="center"/>
          </w:tcPr>
          <w:p w14:paraId="6423F026"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1. Orthogeriatric care</w:t>
            </w:r>
          </w:p>
          <w:p w14:paraId="51C0BF2A" w14:textId="77777777" w:rsidR="00201E8F" w:rsidRPr="0064137F" w:rsidRDefault="00085508" w:rsidP="00201E8F">
            <w:pPr>
              <w:rPr>
                <w:rFonts w:ascii="Times New Roman" w:eastAsia="Calibri" w:hAnsi="Times New Roman" w:cs="Times New Roman"/>
                <w:sz w:val="16"/>
                <w:szCs w:val="16"/>
              </w:rPr>
            </w:pPr>
            <w:r>
              <w:rPr>
                <w:rFonts w:ascii="Times New Roman" w:eastAsia="Calibri" w:hAnsi="Times New Roman" w:cs="Times New Roman"/>
                <w:sz w:val="16"/>
                <w:szCs w:val="16"/>
              </w:rPr>
              <w:t xml:space="preserve">2. Orthopaedic care </w:t>
            </w:r>
          </w:p>
          <w:p w14:paraId="6A729488"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Multidisciplinary team</w:t>
            </w:r>
          </w:p>
        </w:tc>
        <w:tc>
          <w:tcPr>
            <w:tcW w:w="5623" w:type="dxa"/>
            <w:tcBorders>
              <w:left w:val="nil"/>
              <w:right w:val="nil"/>
            </w:tcBorders>
            <w:tcMar>
              <w:top w:w="28" w:type="dxa"/>
              <w:bottom w:w="28" w:type="dxa"/>
            </w:tcMar>
            <w:vAlign w:val="center"/>
          </w:tcPr>
          <w:p w14:paraId="48B92349" w14:textId="77777777" w:rsidR="00201E8F" w:rsidRPr="0064137F" w:rsidRDefault="00201E8F" w:rsidP="00201E8F">
            <w:pPr>
              <w:rPr>
                <w:rFonts w:ascii="Times New Roman" w:eastAsia="Calibri" w:hAnsi="Times New Roman" w:cs="Times New Roman"/>
                <w:sz w:val="16"/>
                <w:szCs w:val="16"/>
              </w:rPr>
            </w:pPr>
            <w:r w:rsidRPr="0064137F">
              <w:rPr>
                <w:rFonts w:ascii="Times New Roman" w:hAnsi="Times New Roman" w:cs="Times New Roman"/>
                <w:bCs/>
                <w:sz w:val="16"/>
                <w:szCs w:val="16"/>
              </w:rPr>
              <w:t>Significant between group difference in SPPB in favour of Orthogeriatric care at 4mo. (between group difference 0.74, 95%CI 0.18-1.30, p=0.010) &amp; at 12mo. (0.69, 95%CI 0.10-1.28, p=0.023).</w:t>
            </w:r>
          </w:p>
        </w:tc>
        <w:tc>
          <w:tcPr>
            <w:tcW w:w="567" w:type="dxa"/>
            <w:tcBorders>
              <w:left w:val="nil"/>
              <w:right w:val="nil"/>
            </w:tcBorders>
            <w:tcMar>
              <w:top w:w="28" w:type="dxa"/>
              <w:bottom w:w="28" w:type="dxa"/>
            </w:tcMar>
            <w:vAlign w:val="center"/>
          </w:tcPr>
          <w:p w14:paraId="018B875B" w14:textId="77777777" w:rsidR="00201E8F" w:rsidRPr="0064137F" w:rsidRDefault="00201E8F" w:rsidP="00201E8F">
            <w:pPr>
              <w:jc w:val="center"/>
              <w:rPr>
                <w:rFonts w:ascii="Times New Roman" w:eastAsia="Calibri" w:hAnsi="Times New Roman" w:cs="Times New Roman"/>
                <w:sz w:val="16"/>
                <w:szCs w:val="16"/>
              </w:rPr>
            </w:pPr>
            <w:r w:rsidRPr="0064137F">
              <w:rPr>
                <w:rFonts w:ascii="Times New Roman" w:eastAsia="Calibri" w:hAnsi="Times New Roman" w:cs="Times New Roman"/>
                <w:sz w:val="16"/>
                <w:szCs w:val="16"/>
              </w:rPr>
              <w:t>2</w:t>
            </w:r>
          </w:p>
        </w:tc>
      </w:tr>
      <w:tr w:rsidR="00201E8F" w:rsidRPr="0064137F" w14:paraId="09E35A1A" w14:textId="77777777" w:rsidTr="008715F9">
        <w:trPr>
          <w:trHeight w:val="378"/>
        </w:trPr>
        <w:tc>
          <w:tcPr>
            <w:tcW w:w="2122" w:type="dxa"/>
            <w:tcBorders>
              <w:left w:val="nil"/>
              <w:right w:val="nil"/>
            </w:tcBorders>
            <w:tcMar>
              <w:top w:w="28" w:type="dxa"/>
              <w:bottom w:w="28" w:type="dxa"/>
            </w:tcMar>
            <w:vAlign w:val="center"/>
          </w:tcPr>
          <w:p w14:paraId="5083215D" w14:textId="77777777" w:rsidR="00201E8F" w:rsidRPr="0064137F" w:rsidRDefault="00201E8F" w:rsidP="00201E8F">
            <w:pPr>
              <w:rPr>
                <w:rFonts w:ascii="Times New Roman" w:eastAsia="Calibri" w:hAnsi="Times New Roman" w:cs="Times New Roman"/>
                <w:sz w:val="16"/>
                <w:szCs w:val="16"/>
              </w:rPr>
            </w:pPr>
            <w:r w:rsidRPr="0064137F">
              <w:rPr>
                <w:rFonts w:ascii="Times New Roman" w:hAnsi="Times New Roman" w:cs="Times New Roman"/>
                <w:sz w:val="16"/>
                <w:szCs w:val="16"/>
              </w:rPr>
              <w:t xml:space="preserve">Wu </w:t>
            </w:r>
            <w:proofErr w:type="gramStart"/>
            <w:r w:rsidRPr="0064137F">
              <w:rPr>
                <w:rFonts w:ascii="Times New Roman" w:hAnsi="Times New Roman" w:cs="Times New Roman"/>
                <w:sz w:val="16"/>
                <w:szCs w:val="16"/>
              </w:rPr>
              <w:t>et al.</w:t>
            </w:r>
            <w:r w:rsidR="00F92DA2">
              <w:rPr>
                <w:rFonts w:ascii="Times New Roman" w:hAnsi="Times New Roman" w:cs="Times New Roman"/>
                <w:sz w:val="16"/>
                <w:szCs w:val="16"/>
              </w:rPr>
              <w:t>[</w:t>
            </w:r>
            <w:proofErr w:type="gramEnd"/>
            <w:r w:rsidR="00F92DA2">
              <w:rPr>
                <w:rFonts w:ascii="Times New Roman" w:hAnsi="Times New Roman" w:cs="Times New Roman"/>
                <w:sz w:val="16"/>
                <w:szCs w:val="16"/>
              </w:rPr>
              <w:t>25]</w:t>
            </w:r>
            <w:r w:rsidRPr="0064137F">
              <w:rPr>
                <w:rFonts w:ascii="Times New Roman" w:hAnsi="Times New Roman" w:cs="Times New Roman"/>
                <w:sz w:val="16"/>
                <w:szCs w:val="16"/>
              </w:rPr>
              <w:t>, inpatients &amp; outpatients</w:t>
            </w:r>
          </w:p>
        </w:tc>
        <w:tc>
          <w:tcPr>
            <w:tcW w:w="708" w:type="dxa"/>
            <w:tcBorders>
              <w:left w:val="nil"/>
              <w:right w:val="nil"/>
            </w:tcBorders>
            <w:tcMar>
              <w:top w:w="28" w:type="dxa"/>
              <w:bottom w:w="28" w:type="dxa"/>
            </w:tcMar>
            <w:vAlign w:val="center"/>
          </w:tcPr>
          <w:p w14:paraId="51A3BE15"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MA</w:t>
            </w:r>
          </w:p>
        </w:tc>
        <w:tc>
          <w:tcPr>
            <w:tcW w:w="2410" w:type="dxa"/>
            <w:tcBorders>
              <w:left w:val="nil"/>
              <w:right w:val="nil"/>
            </w:tcBorders>
            <w:tcMar>
              <w:top w:w="28" w:type="dxa"/>
              <w:bottom w:w="28" w:type="dxa"/>
            </w:tcMar>
            <w:vAlign w:val="center"/>
          </w:tcPr>
          <w:p w14:paraId="11C0088B"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Patients with all fracture types</w:t>
            </w:r>
          </w:p>
          <w:p w14:paraId="0F1478F7" w14:textId="77777777" w:rsidR="00201E8F" w:rsidRPr="0064137F" w:rsidRDefault="00085508" w:rsidP="00201E8F">
            <w:pPr>
              <w:rPr>
                <w:rFonts w:ascii="Times New Roman" w:eastAsia="Calibri" w:hAnsi="Times New Roman" w:cs="Times New Roman"/>
                <w:sz w:val="16"/>
                <w:szCs w:val="16"/>
              </w:rPr>
            </w:pPr>
            <w:r>
              <w:rPr>
                <w:rFonts w:ascii="Times New Roman" w:eastAsia="Calibri" w:hAnsi="Times New Roman" w:cs="Times New Roman"/>
                <w:sz w:val="16"/>
                <w:szCs w:val="16"/>
              </w:rPr>
              <w:t xml:space="preserve">11 studies (N=19,519) &amp; </w:t>
            </w:r>
            <w:r w:rsidR="00201E8F" w:rsidRPr="0064137F">
              <w:rPr>
                <w:rFonts w:ascii="Times New Roman" w:eastAsia="Calibri" w:hAnsi="Times New Roman" w:cs="Times New Roman"/>
                <w:sz w:val="16"/>
                <w:szCs w:val="16"/>
              </w:rPr>
              <w:t>15 studies (N=16,802)</w:t>
            </w:r>
          </w:p>
        </w:tc>
        <w:tc>
          <w:tcPr>
            <w:tcW w:w="3260" w:type="dxa"/>
            <w:tcBorders>
              <w:left w:val="nil"/>
              <w:right w:val="nil"/>
            </w:tcBorders>
            <w:tcMar>
              <w:top w:w="28" w:type="dxa"/>
              <w:bottom w:w="28" w:type="dxa"/>
            </w:tcMar>
            <w:vAlign w:val="center"/>
          </w:tcPr>
          <w:p w14:paraId="1F71659D" w14:textId="77777777" w:rsidR="00201E8F" w:rsidRPr="0064137F" w:rsidRDefault="00085508" w:rsidP="00201E8F">
            <w:pPr>
              <w:rPr>
                <w:rFonts w:ascii="Times New Roman" w:eastAsia="Calibri" w:hAnsi="Times New Roman" w:cs="Times New Roman"/>
                <w:sz w:val="16"/>
                <w:szCs w:val="16"/>
              </w:rPr>
            </w:pPr>
            <w:r>
              <w:rPr>
                <w:rFonts w:ascii="Times New Roman" w:eastAsia="Calibri" w:hAnsi="Times New Roman" w:cs="Times New Roman"/>
                <w:sz w:val="16"/>
                <w:szCs w:val="16"/>
              </w:rPr>
              <w:t xml:space="preserve">FLS vs usual care/control </w:t>
            </w:r>
          </w:p>
          <w:p w14:paraId="5C53EF42" w14:textId="77777777" w:rsidR="00201E8F" w:rsidRPr="0064137F" w:rsidRDefault="00085508" w:rsidP="00201E8F">
            <w:pPr>
              <w:rPr>
                <w:rFonts w:ascii="Times New Roman" w:eastAsia="Calibri" w:hAnsi="Times New Roman" w:cs="Times New Roman"/>
                <w:sz w:val="16"/>
                <w:szCs w:val="16"/>
              </w:rPr>
            </w:pPr>
            <w:r>
              <w:rPr>
                <w:rFonts w:ascii="Times New Roman" w:eastAsia="Calibri" w:hAnsi="Times New Roman" w:cs="Times New Roman"/>
                <w:sz w:val="16"/>
                <w:szCs w:val="16"/>
              </w:rPr>
              <w:t xml:space="preserve">Multidisciplinary team </w:t>
            </w:r>
          </w:p>
        </w:tc>
        <w:tc>
          <w:tcPr>
            <w:tcW w:w="5623" w:type="dxa"/>
            <w:tcBorders>
              <w:left w:val="nil"/>
              <w:right w:val="nil"/>
            </w:tcBorders>
            <w:tcMar>
              <w:top w:w="28" w:type="dxa"/>
              <w:bottom w:w="28" w:type="dxa"/>
            </w:tcMar>
            <w:vAlign w:val="center"/>
          </w:tcPr>
          <w:p w14:paraId="1B0E8BCC" w14:textId="77777777" w:rsidR="00201E8F" w:rsidRPr="0064137F" w:rsidRDefault="00201E8F" w:rsidP="00201E8F">
            <w:pPr>
              <w:rPr>
                <w:rFonts w:ascii="Times New Roman" w:hAnsi="Times New Roman" w:cs="Times New Roman"/>
                <w:bCs/>
                <w:sz w:val="16"/>
                <w:szCs w:val="16"/>
              </w:rPr>
            </w:pPr>
            <w:r w:rsidRPr="0064137F">
              <w:rPr>
                <w:rFonts w:ascii="Times New Roman" w:eastAsia="Calibri" w:hAnsi="Times New Roman" w:cs="Times New Roman"/>
                <w:sz w:val="16"/>
                <w:szCs w:val="16"/>
              </w:rPr>
              <w:t xml:space="preserve">FLS reduced absolute risk of re-fracture [ARR </w:t>
            </w:r>
            <w:r w:rsidRPr="0064137F">
              <w:rPr>
                <w:rFonts w:ascii="Times New Roman" w:hAnsi="Times New Roman" w:cs="Times New Roman"/>
                <w:bCs/>
                <w:sz w:val="16"/>
                <w:szCs w:val="16"/>
              </w:rPr>
              <w:t>-0.05, 95%CI -0.08 to -0.03; NNT=20]</w:t>
            </w:r>
          </w:p>
          <w:p w14:paraId="1815DC44"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FLS reduced absolute risk of mortality [ARR </w:t>
            </w:r>
            <w:r w:rsidRPr="0064137F">
              <w:rPr>
                <w:rFonts w:ascii="Times New Roman" w:hAnsi="Times New Roman" w:cs="Times New Roman"/>
                <w:bCs/>
                <w:sz w:val="16"/>
                <w:szCs w:val="16"/>
              </w:rPr>
              <w:t>-0.03, 95%CI -0.05 to -0.01; NNT=33]</w:t>
            </w:r>
          </w:p>
        </w:tc>
        <w:tc>
          <w:tcPr>
            <w:tcW w:w="567" w:type="dxa"/>
            <w:tcBorders>
              <w:left w:val="nil"/>
              <w:right w:val="nil"/>
            </w:tcBorders>
            <w:tcMar>
              <w:top w:w="28" w:type="dxa"/>
              <w:bottom w:w="28" w:type="dxa"/>
            </w:tcMar>
            <w:vAlign w:val="center"/>
          </w:tcPr>
          <w:p w14:paraId="19AFD74D" w14:textId="77777777" w:rsidR="00201E8F" w:rsidRPr="0064137F" w:rsidRDefault="00201E8F" w:rsidP="00201E8F">
            <w:pPr>
              <w:jc w:val="center"/>
              <w:rPr>
                <w:rFonts w:ascii="Times New Roman" w:eastAsia="Calibri" w:hAnsi="Times New Roman" w:cs="Times New Roman"/>
                <w:sz w:val="16"/>
                <w:szCs w:val="16"/>
              </w:rPr>
            </w:pPr>
            <w:r w:rsidRPr="0064137F">
              <w:rPr>
                <w:rFonts w:ascii="Times New Roman" w:eastAsia="Calibri" w:hAnsi="Times New Roman" w:cs="Times New Roman"/>
                <w:sz w:val="16"/>
                <w:szCs w:val="16"/>
              </w:rPr>
              <w:t>1</w:t>
            </w:r>
          </w:p>
        </w:tc>
      </w:tr>
      <w:tr w:rsidR="00201E8F" w:rsidRPr="0064137F" w14:paraId="06036F36" w14:textId="77777777" w:rsidTr="008715F9">
        <w:trPr>
          <w:trHeight w:val="203"/>
        </w:trPr>
        <w:tc>
          <w:tcPr>
            <w:tcW w:w="2122" w:type="dxa"/>
            <w:tcBorders>
              <w:left w:val="nil"/>
              <w:right w:val="nil"/>
            </w:tcBorders>
            <w:tcMar>
              <w:top w:w="28" w:type="dxa"/>
              <w:bottom w:w="28" w:type="dxa"/>
            </w:tcMar>
            <w:vAlign w:val="center"/>
          </w:tcPr>
          <w:p w14:paraId="7204429A" w14:textId="77777777" w:rsidR="00201E8F" w:rsidRPr="0064137F" w:rsidRDefault="00201E8F" w:rsidP="00201E8F">
            <w:pPr>
              <w:rPr>
                <w:rFonts w:ascii="Times New Roman" w:eastAsia="Calibri" w:hAnsi="Times New Roman" w:cs="Times New Roman"/>
                <w:sz w:val="16"/>
                <w:szCs w:val="16"/>
              </w:rPr>
            </w:pPr>
            <w:r w:rsidRPr="0064137F">
              <w:rPr>
                <w:rFonts w:ascii="Times New Roman" w:hAnsi="Times New Roman" w:cs="Times New Roman"/>
                <w:sz w:val="16"/>
                <w:szCs w:val="16"/>
              </w:rPr>
              <w:t xml:space="preserve">Wu </w:t>
            </w:r>
            <w:proofErr w:type="gramStart"/>
            <w:r w:rsidRPr="0064137F">
              <w:rPr>
                <w:rFonts w:ascii="Times New Roman" w:hAnsi="Times New Roman" w:cs="Times New Roman"/>
                <w:sz w:val="16"/>
                <w:szCs w:val="16"/>
              </w:rPr>
              <w:t>et al.</w:t>
            </w:r>
            <w:r w:rsidR="00F92DA2">
              <w:rPr>
                <w:rFonts w:ascii="Times New Roman" w:hAnsi="Times New Roman" w:cs="Times New Roman"/>
                <w:sz w:val="16"/>
                <w:szCs w:val="16"/>
              </w:rPr>
              <w:t>[</w:t>
            </w:r>
            <w:proofErr w:type="gramEnd"/>
            <w:r w:rsidR="00F92DA2">
              <w:rPr>
                <w:rFonts w:ascii="Times New Roman" w:hAnsi="Times New Roman" w:cs="Times New Roman"/>
                <w:sz w:val="16"/>
                <w:szCs w:val="16"/>
              </w:rPr>
              <w:t>6</w:t>
            </w:r>
            <w:r w:rsidR="00056EB4">
              <w:rPr>
                <w:rFonts w:ascii="Times New Roman" w:hAnsi="Times New Roman" w:cs="Times New Roman"/>
                <w:sz w:val="16"/>
                <w:szCs w:val="16"/>
              </w:rPr>
              <w:t>8</w:t>
            </w:r>
            <w:r w:rsidR="00F92DA2">
              <w:rPr>
                <w:rFonts w:ascii="Times New Roman" w:hAnsi="Times New Roman" w:cs="Times New Roman"/>
                <w:sz w:val="16"/>
                <w:szCs w:val="16"/>
              </w:rPr>
              <w:t>]</w:t>
            </w:r>
            <w:r w:rsidR="00085508">
              <w:rPr>
                <w:rFonts w:ascii="Times New Roman" w:hAnsi="Times New Roman" w:cs="Times New Roman"/>
                <w:sz w:val="16"/>
                <w:szCs w:val="16"/>
              </w:rPr>
              <w:t xml:space="preserve">, </w:t>
            </w:r>
            <w:r w:rsidRPr="0064137F">
              <w:rPr>
                <w:rFonts w:ascii="Times New Roman" w:hAnsi="Times New Roman" w:cs="Times New Roman"/>
                <w:sz w:val="16"/>
                <w:szCs w:val="16"/>
              </w:rPr>
              <w:t>inpatients &amp; outpatients</w:t>
            </w:r>
          </w:p>
        </w:tc>
        <w:tc>
          <w:tcPr>
            <w:tcW w:w="708" w:type="dxa"/>
            <w:tcBorders>
              <w:left w:val="nil"/>
              <w:right w:val="nil"/>
            </w:tcBorders>
            <w:tcMar>
              <w:top w:w="28" w:type="dxa"/>
              <w:bottom w:w="28" w:type="dxa"/>
            </w:tcMar>
            <w:vAlign w:val="center"/>
          </w:tcPr>
          <w:p w14:paraId="287BFFC3"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SR</w:t>
            </w:r>
          </w:p>
        </w:tc>
        <w:tc>
          <w:tcPr>
            <w:tcW w:w="2410" w:type="dxa"/>
            <w:tcBorders>
              <w:left w:val="nil"/>
              <w:right w:val="nil"/>
            </w:tcBorders>
            <w:tcMar>
              <w:top w:w="28" w:type="dxa"/>
              <w:bottom w:w="28" w:type="dxa"/>
            </w:tcMar>
            <w:vAlign w:val="center"/>
          </w:tcPr>
          <w:p w14:paraId="380FB262"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P</w:t>
            </w:r>
            <w:r w:rsidR="00C9620F">
              <w:rPr>
                <w:rFonts w:ascii="Times New Roman" w:eastAsia="Calibri" w:hAnsi="Times New Roman" w:cs="Times New Roman"/>
                <w:sz w:val="16"/>
                <w:szCs w:val="16"/>
              </w:rPr>
              <w:t>atients with all fracture types</w:t>
            </w:r>
          </w:p>
        </w:tc>
        <w:tc>
          <w:tcPr>
            <w:tcW w:w="3260" w:type="dxa"/>
            <w:tcBorders>
              <w:left w:val="nil"/>
              <w:right w:val="nil"/>
            </w:tcBorders>
            <w:tcMar>
              <w:top w:w="28" w:type="dxa"/>
              <w:bottom w:w="28" w:type="dxa"/>
            </w:tcMar>
            <w:vAlign w:val="center"/>
          </w:tcPr>
          <w:p w14:paraId="4D3B2B93"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FLS vs usual care or no treatment</w:t>
            </w:r>
          </w:p>
          <w:p w14:paraId="7203754D"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Multidisciplinary team </w:t>
            </w:r>
          </w:p>
        </w:tc>
        <w:tc>
          <w:tcPr>
            <w:tcW w:w="5623" w:type="dxa"/>
            <w:tcBorders>
              <w:left w:val="nil"/>
              <w:right w:val="nil"/>
            </w:tcBorders>
            <w:tcMar>
              <w:top w:w="28" w:type="dxa"/>
              <w:bottom w:w="28" w:type="dxa"/>
            </w:tcMar>
            <w:vAlign w:val="center"/>
          </w:tcPr>
          <w:p w14:paraId="09B7EF15"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FLS implemented in HICs &amp; MICs are cost-effective across FLS model types</w:t>
            </w:r>
          </w:p>
        </w:tc>
        <w:tc>
          <w:tcPr>
            <w:tcW w:w="567" w:type="dxa"/>
            <w:tcBorders>
              <w:left w:val="nil"/>
              <w:right w:val="nil"/>
            </w:tcBorders>
            <w:tcMar>
              <w:top w:w="28" w:type="dxa"/>
              <w:bottom w:w="28" w:type="dxa"/>
            </w:tcMar>
            <w:vAlign w:val="center"/>
          </w:tcPr>
          <w:p w14:paraId="705B9F84" w14:textId="77777777" w:rsidR="00201E8F" w:rsidRPr="0064137F" w:rsidRDefault="00201E8F" w:rsidP="00201E8F">
            <w:pPr>
              <w:jc w:val="center"/>
              <w:rPr>
                <w:rFonts w:ascii="Times New Roman" w:eastAsia="Calibri" w:hAnsi="Times New Roman" w:cs="Times New Roman"/>
                <w:sz w:val="16"/>
                <w:szCs w:val="16"/>
              </w:rPr>
            </w:pPr>
            <w:r w:rsidRPr="0064137F">
              <w:rPr>
                <w:rFonts w:ascii="Times New Roman" w:eastAsia="Calibri" w:hAnsi="Times New Roman" w:cs="Times New Roman"/>
                <w:sz w:val="16"/>
                <w:szCs w:val="16"/>
              </w:rPr>
              <w:t>2</w:t>
            </w:r>
          </w:p>
        </w:tc>
      </w:tr>
      <w:tr w:rsidR="00201E8F" w:rsidRPr="0064137F" w14:paraId="035B8FD7" w14:textId="77777777" w:rsidTr="008715F9">
        <w:trPr>
          <w:trHeight w:val="363"/>
        </w:trPr>
        <w:tc>
          <w:tcPr>
            <w:tcW w:w="2122" w:type="dxa"/>
            <w:tcBorders>
              <w:left w:val="nil"/>
              <w:bottom w:val="single" w:sz="12" w:space="0" w:color="auto"/>
              <w:right w:val="nil"/>
            </w:tcBorders>
            <w:tcMar>
              <w:top w:w="28" w:type="dxa"/>
              <w:bottom w:w="28" w:type="dxa"/>
            </w:tcMar>
            <w:vAlign w:val="center"/>
          </w:tcPr>
          <w:p w14:paraId="4CCE1F97" w14:textId="77777777" w:rsidR="00201E8F" w:rsidRPr="0064137F" w:rsidRDefault="00FA682A" w:rsidP="00201E8F">
            <w:pPr>
              <w:rPr>
                <w:rFonts w:ascii="Times New Roman" w:eastAsia="Calibri" w:hAnsi="Times New Roman" w:cs="Times New Roman"/>
                <w:sz w:val="16"/>
                <w:szCs w:val="16"/>
              </w:rPr>
            </w:pPr>
            <w:proofErr w:type="spellStart"/>
            <w:r w:rsidRPr="0064137F">
              <w:rPr>
                <w:rFonts w:ascii="Times New Roman" w:eastAsia="Calibri" w:hAnsi="Times New Roman" w:cs="Times New Roman"/>
                <w:sz w:val="16"/>
                <w:szCs w:val="16"/>
              </w:rPr>
              <w:t>Leigheb</w:t>
            </w:r>
            <w:proofErr w:type="spellEnd"/>
            <w:r w:rsidRPr="0064137F">
              <w:rPr>
                <w:rFonts w:ascii="Times New Roman" w:eastAsia="Calibri" w:hAnsi="Times New Roman" w:cs="Times New Roman"/>
                <w:sz w:val="16"/>
                <w:szCs w:val="16"/>
              </w:rPr>
              <w:t xml:space="preserve"> </w:t>
            </w:r>
            <w:proofErr w:type="gramStart"/>
            <w:r w:rsidRPr="0064137F">
              <w:rPr>
                <w:rFonts w:ascii="Times New Roman" w:eastAsia="Calibri" w:hAnsi="Times New Roman" w:cs="Times New Roman"/>
                <w:sz w:val="16"/>
                <w:szCs w:val="16"/>
              </w:rPr>
              <w:t>et al.</w:t>
            </w:r>
            <w:r w:rsidR="00F92DA2">
              <w:rPr>
                <w:rFonts w:ascii="Times New Roman" w:eastAsia="Calibri" w:hAnsi="Times New Roman" w:cs="Times New Roman"/>
                <w:sz w:val="16"/>
                <w:szCs w:val="16"/>
              </w:rPr>
              <w:t>[</w:t>
            </w:r>
            <w:proofErr w:type="gramEnd"/>
            <w:r w:rsidR="00F92DA2">
              <w:rPr>
                <w:rFonts w:ascii="Times New Roman" w:eastAsia="Calibri" w:hAnsi="Times New Roman" w:cs="Times New Roman"/>
                <w:sz w:val="16"/>
                <w:szCs w:val="16"/>
              </w:rPr>
              <w:t>6</w:t>
            </w:r>
            <w:r w:rsidR="00056EB4">
              <w:rPr>
                <w:rFonts w:ascii="Times New Roman" w:eastAsia="Calibri" w:hAnsi="Times New Roman" w:cs="Times New Roman"/>
                <w:sz w:val="16"/>
                <w:szCs w:val="16"/>
              </w:rPr>
              <w:t>9</w:t>
            </w:r>
            <w:r w:rsidR="00F92DA2">
              <w:rPr>
                <w:rFonts w:ascii="Times New Roman" w:eastAsia="Calibri" w:hAnsi="Times New Roman" w:cs="Times New Roman"/>
                <w:sz w:val="16"/>
                <w:szCs w:val="16"/>
              </w:rPr>
              <w:t>]</w:t>
            </w:r>
            <w:r w:rsidR="00085508">
              <w:rPr>
                <w:rFonts w:ascii="Times New Roman" w:eastAsia="Calibri" w:hAnsi="Times New Roman" w:cs="Times New Roman"/>
                <w:sz w:val="16"/>
                <w:szCs w:val="16"/>
              </w:rPr>
              <w:t xml:space="preserve">, </w:t>
            </w:r>
            <w:r w:rsidR="00201E8F" w:rsidRPr="0064137F">
              <w:rPr>
                <w:rFonts w:ascii="Times New Roman" w:hAnsi="Times New Roman" w:cs="Times New Roman"/>
                <w:sz w:val="16"/>
                <w:szCs w:val="16"/>
              </w:rPr>
              <w:t>inpatients &amp; community</w:t>
            </w:r>
          </w:p>
        </w:tc>
        <w:tc>
          <w:tcPr>
            <w:tcW w:w="708" w:type="dxa"/>
            <w:tcBorders>
              <w:left w:val="nil"/>
              <w:bottom w:val="single" w:sz="12" w:space="0" w:color="auto"/>
              <w:right w:val="nil"/>
            </w:tcBorders>
            <w:tcMar>
              <w:top w:w="28" w:type="dxa"/>
              <w:bottom w:w="28" w:type="dxa"/>
            </w:tcMar>
            <w:vAlign w:val="center"/>
          </w:tcPr>
          <w:p w14:paraId="1A9ECDCF"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SO</w:t>
            </w:r>
          </w:p>
        </w:tc>
        <w:tc>
          <w:tcPr>
            <w:tcW w:w="2410" w:type="dxa"/>
            <w:tcBorders>
              <w:left w:val="nil"/>
              <w:bottom w:val="single" w:sz="12" w:space="0" w:color="auto"/>
              <w:right w:val="nil"/>
            </w:tcBorders>
            <w:tcMar>
              <w:top w:w="28" w:type="dxa"/>
              <w:bottom w:w="28" w:type="dxa"/>
            </w:tcMar>
            <w:vAlign w:val="center"/>
          </w:tcPr>
          <w:p w14:paraId="594A2B88" w14:textId="77777777" w:rsidR="00201E8F" w:rsidRPr="0064137F" w:rsidRDefault="00C9620F" w:rsidP="00201E8F">
            <w:pPr>
              <w:rPr>
                <w:rFonts w:ascii="Times New Roman" w:eastAsia="Calibri" w:hAnsi="Times New Roman" w:cs="Times New Roman"/>
                <w:sz w:val="16"/>
                <w:szCs w:val="16"/>
              </w:rPr>
            </w:pPr>
            <w:r>
              <w:rPr>
                <w:rFonts w:ascii="Times New Roman" w:eastAsia="Calibri" w:hAnsi="Times New Roman" w:cs="Times New Roman"/>
                <w:sz w:val="16"/>
                <w:szCs w:val="16"/>
              </w:rPr>
              <w:t>Patients with hip fracture</w:t>
            </w:r>
          </w:p>
        </w:tc>
        <w:tc>
          <w:tcPr>
            <w:tcW w:w="3260" w:type="dxa"/>
            <w:tcBorders>
              <w:left w:val="nil"/>
              <w:bottom w:val="single" w:sz="12" w:space="0" w:color="auto"/>
              <w:right w:val="nil"/>
            </w:tcBorders>
            <w:tcMar>
              <w:top w:w="28" w:type="dxa"/>
              <w:bottom w:w="28" w:type="dxa"/>
            </w:tcMar>
            <w:vAlign w:val="center"/>
          </w:tcPr>
          <w:p w14:paraId="0D74D621"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Care pathways &amp; MCA vs usu</w:t>
            </w:r>
            <w:r w:rsidR="00085508">
              <w:rPr>
                <w:rFonts w:ascii="Times New Roman" w:eastAsia="Calibri" w:hAnsi="Times New Roman" w:cs="Times New Roman"/>
                <w:sz w:val="16"/>
                <w:szCs w:val="16"/>
              </w:rPr>
              <w:t xml:space="preserve">al care Multidisciplinary team </w:t>
            </w:r>
          </w:p>
        </w:tc>
        <w:tc>
          <w:tcPr>
            <w:tcW w:w="5623" w:type="dxa"/>
            <w:tcBorders>
              <w:left w:val="nil"/>
              <w:bottom w:val="single" w:sz="12" w:space="0" w:color="auto"/>
              <w:right w:val="nil"/>
            </w:tcBorders>
            <w:tcMar>
              <w:top w:w="28" w:type="dxa"/>
              <w:bottom w:w="28" w:type="dxa"/>
            </w:tcMar>
            <w:vAlign w:val="center"/>
          </w:tcPr>
          <w:p w14:paraId="56475BAC"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No significant reduction in short-term mortality</w:t>
            </w:r>
          </w:p>
          <w:p w14:paraId="0A94AB5B"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Mixed effect on functional recovery </w:t>
            </w:r>
          </w:p>
        </w:tc>
        <w:tc>
          <w:tcPr>
            <w:tcW w:w="567" w:type="dxa"/>
            <w:tcBorders>
              <w:left w:val="nil"/>
              <w:bottom w:val="single" w:sz="12" w:space="0" w:color="auto"/>
              <w:right w:val="nil"/>
            </w:tcBorders>
            <w:tcMar>
              <w:top w:w="28" w:type="dxa"/>
              <w:bottom w:w="28" w:type="dxa"/>
            </w:tcMar>
            <w:vAlign w:val="center"/>
          </w:tcPr>
          <w:p w14:paraId="047E7BAF" w14:textId="77777777" w:rsidR="00201E8F" w:rsidRPr="0064137F" w:rsidRDefault="00201E8F" w:rsidP="00201E8F">
            <w:pPr>
              <w:jc w:val="center"/>
              <w:rPr>
                <w:rFonts w:ascii="Times New Roman" w:eastAsia="Calibri" w:hAnsi="Times New Roman" w:cs="Times New Roman"/>
                <w:sz w:val="16"/>
                <w:szCs w:val="16"/>
              </w:rPr>
            </w:pPr>
            <w:r w:rsidRPr="0064137F">
              <w:rPr>
                <w:rFonts w:ascii="Times New Roman" w:eastAsia="Calibri" w:hAnsi="Times New Roman" w:cs="Times New Roman"/>
                <w:sz w:val="16"/>
                <w:szCs w:val="16"/>
              </w:rPr>
              <w:t>1</w:t>
            </w:r>
          </w:p>
        </w:tc>
      </w:tr>
      <w:tr w:rsidR="00201E8F" w:rsidRPr="0064137F" w14:paraId="12D53FE8" w14:textId="77777777" w:rsidTr="008715F9">
        <w:trPr>
          <w:trHeight w:val="44"/>
        </w:trPr>
        <w:tc>
          <w:tcPr>
            <w:tcW w:w="14690" w:type="dxa"/>
            <w:gridSpan w:val="6"/>
            <w:tcBorders>
              <w:top w:val="single" w:sz="12" w:space="0" w:color="auto"/>
              <w:left w:val="nil"/>
              <w:bottom w:val="single" w:sz="12" w:space="0" w:color="auto"/>
              <w:right w:val="nil"/>
            </w:tcBorders>
            <w:shd w:val="clear" w:color="auto" w:fill="D9D9D9" w:themeFill="background1" w:themeFillShade="D9"/>
            <w:tcMar>
              <w:top w:w="28" w:type="dxa"/>
              <w:bottom w:w="28" w:type="dxa"/>
            </w:tcMar>
            <w:vAlign w:val="center"/>
          </w:tcPr>
          <w:p w14:paraId="6AA9E579" w14:textId="77777777" w:rsidR="00201E8F" w:rsidRPr="0064137F" w:rsidRDefault="00DD6A30" w:rsidP="00201E8F">
            <w:pPr>
              <w:rPr>
                <w:rFonts w:ascii="Times New Roman" w:eastAsia="Calibri" w:hAnsi="Times New Roman" w:cs="Times New Roman"/>
                <w:sz w:val="16"/>
                <w:szCs w:val="16"/>
              </w:rPr>
            </w:pPr>
            <w:r>
              <w:rPr>
                <w:rFonts w:ascii="Times New Roman" w:eastAsia="Calibri" w:hAnsi="Times New Roman" w:cs="Times New Roman"/>
                <w:b/>
                <w:sz w:val="16"/>
                <w:szCs w:val="16"/>
              </w:rPr>
              <w:t>iii)</w:t>
            </w:r>
            <w:r w:rsidR="00201E8F" w:rsidRPr="0064137F">
              <w:rPr>
                <w:rFonts w:ascii="Times New Roman" w:eastAsia="Calibri" w:hAnsi="Times New Roman" w:cs="Times New Roman"/>
                <w:b/>
                <w:sz w:val="16"/>
                <w:szCs w:val="16"/>
              </w:rPr>
              <w:t>Interventions to enhance adherence to anti-osteoporosis medicines</w:t>
            </w:r>
          </w:p>
        </w:tc>
      </w:tr>
      <w:tr w:rsidR="00201E8F" w:rsidRPr="0064137F" w14:paraId="6F7ECE71" w14:textId="77777777" w:rsidTr="008715F9">
        <w:trPr>
          <w:trHeight w:val="542"/>
        </w:trPr>
        <w:tc>
          <w:tcPr>
            <w:tcW w:w="2122" w:type="dxa"/>
            <w:tcBorders>
              <w:top w:val="single" w:sz="12" w:space="0" w:color="auto"/>
              <w:left w:val="nil"/>
              <w:right w:val="nil"/>
            </w:tcBorders>
            <w:tcMar>
              <w:top w:w="28" w:type="dxa"/>
              <w:bottom w:w="28" w:type="dxa"/>
            </w:tcMar>
            <w:vAlign w:val="center"/>
          </w:tcPr>
          <w:p w14:paraId="1A015ECE" w14:textId="77777777" w:rsidR="00201E8F" w:rsidRPr="0064137F" w:rsidRDefault="00FA682A" w:rsidP="00201E8F">
            <w:pPr>
              <w:rPr>
                <w:rFonts w:ascii="Times New Roman" w:hAnsi="Times New Roman" w:cs="Times New Roman"/>
                <w:sz w:val="16"/>
                <w:szCs w:val="16"/>
              </w:rPr>
            </w:pPr>
            <w:proofErr w:type="spellStart"/>
            <w:r w:rsidRPr="0064137F">
              <w:rPr>
                <w:rFonts w:ascii="Times New Roman" w:hAnsi="Times New Roman" w:cs="Times New Roman"/>
                <w:sz w:val="16"/>
                <w:szCs w:val="16"/>
              </w:rPr>
              <w:t>Hiligsman</w:t>
            </w:r>
            <w:proofErr w:type="spellEnd"/>
            <w:r w:rsidRPr="0064137F">
              <w:rPr>
                <w:rFonts w:ascii="Times New Roman" w:hAnsi="Times New Roman" w:cs="Times New Roman"/>
                <w:sz w:val="16"/>
                <w:szCs w:val="16"/>
              </w:rPr>
              <w:t xml:space="preserve"> </w:t>
            </w:r>
            <w:proofErr w:type="gramStart"/>
            <w:r w:rsidRPr="0064137F">
              <w:rPr>
                <w:rFonts w:ascii="Times New Roman" w:hAnsi="Times New Roman" w:cs="Times New Roman"/>
                <w:sz w:val="16"/>
                <w:szCs w:val="16"/>
              </w:rPr>
              <w:t>et al.</w:t>
            </w:r>
            <w:r w:rsidR="00F92DA2">
              <w:rPr>
                <w:rFonts w:ascii="Times New Roman" w:hAnsi="Times New Roman" w:cs="Times New Roman"/>
                <w:sz w:val="16"/>
                <w:szCs w:val="16"/>
              </w:rPr>
              <w:t>[</w:t>
            </w:r>
            <w:proofErr w:type="gramEnd"/>
            <w:r w:rsidR="00056EB4">
              <w:rPr>
                <w:rFonts w:ascii="Times New Roman" w:hAnsi="Times New Roman" w:cs="Times New Roman"/>
                <w:sz w:val="16"/>
                <w:szCs w:val="16"/>
              </w:rPr>
              <w:t>70</w:t>
            </w:r>
            <w:r w:rsidR="00F92DA2">
              <w:rPr>
                <w:rFonts w:ascii="Times New Roman" w:hAnsi="Times New Roman" w:cs="Times New Roman"/>
                <w:sz w:val="16"/>
                <w:szCs w:val="16"/>
              </w:rPr>
              <w:t>]</w:t>
            </w:r>
          </w:p>
        </w:tc>
        <w:tc>
          <w:tcPr>
            <w:tcW w:w="708" w:type="dxa"/>
            <w:tcBorders>
              <w:top w:val="single" w:sz="12" w:space="0" w:color="auto"/>
              <w:left w:val="nil"/>
              <w:right w:val="nil"/>
            </w:tcBorders>
            <w:tcMar>
              <w:top w:w="28" w:type="dxa"/>
              <w:bottom w:w="28" w:type="dxa"/>
            </w:tcMar>
            <w:vAlign w:val="center"/>
          </w:tcPr>
          <w:p w14:paraId="419ECF2A"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SR</w:t>
            </w:r>
          </w:p>
        </w:tc>
        <w:tc>
          <w:tcPr>
            <w:tcW w:w="2410" w:type="dxa"/>
            <w:tcBorders>
              <w:top w:val="single" w:sz="12" w:space="0" w:color="auto"/>
              <w:left w:val="nil"/>
              <w:right w:val="nil"/>
            </w:tcBorders>
            <w:tcMar>
              <w:top w:w="28" w:type="dxa"/>
              <w:bottom w:w="28" w:type="dxa"/>
            </w:tcMar>
            <w:vAlign w:val="center"/>
          </w:tcPr>
          <w:p w14:paraId="047E5F4B"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Adults using osteoporosis medicines</w:t>
            </w:r>
          </w:p>
          <w:p w14:paraId="7F1A7C56"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20 studies (N=14,662)</w:t>
            </w:r>
          </w:p>
        </w:tc>
        <w:tc>
          <w:tcPr>
            <w:tcW w:w="3260" w:type="dxa"/>
            <w:tcBorders>
              <w:top w:val="single" w:sz="12" w:space="0" w:color="auto"/>
              <w:left w:val="nil"/>
              <w:right w:val="nil"/>
            </w:tcBorders>
            <w:tcMar>
              <w:top w:w="28" w:type="dxa"/>
              <w:bottom w:w="28" w:type="dxa"/>
            </w:tcMar>
            <w:vAlign w:val="center"/>
          </w:tcPr>
          <w:p w14:paraId="3620E302" w14:textId="77777777" w:rsidR="00201E8F" w:rsidRPr="0064137F" w:rsidRDefault="00201E8F" w:rsidP="00201E8F">
            <w:pPr>
              <w:rPr>
                <w:rFonts w:ascii="Times New Roman" w:hAnsi="Times New Roman" w:cs="Times New Roman"/>
                <w:sz w:val="16"/>
                <w:szCs w:val="16"/>
              </w:rPr>
            </w:pPr>
            <w:r w:rsidRPr="0064137F">
              <w:rPr>
                <w:rFonts w:ascii="Times New Roman" w:hAnsi="Times New Roman" w:cs="Times New Roman"/>
                <w:sz w:val="16"/>
                <w:szCs w:val="16"/>
              </w:rPr>
              <w:t xml:space="preserve">Education; monitoring/supervision; drug regimens; electronic prescription; decision aid. </w:t>
            </w:r>
          </w:p>
          <w:p w14:paraId="26B18FA1" w14:textId="77777777" w:rsidR="00201E8F" w:rsidRPr="0064137F" w:rsidRDefault="00201E8F" w:rsidP="00201E8F">
            <w:pPr>
              <w:rPr>
                <w:rFonts w:ascii="Times New Roman" w:hAnsi="Times New Roman" w:cs="Times New Roman"/>
                <w:sz w:val="16"/>
                <w:szCs w:val="16"/>
              </w:rPr>
            </w:pPr>
            <w:r w:rsidRPr="0064137F">
              <w:rPr>
                <w:rFonts w:ascii="Times New Roman" w:hAnsi="Times New Roman" w:cs="Times New Roman"/>
                <w:sz w:val="16"/>
                <w:szCs w:val="16"/>
              </w:rPr>
              <w:lastRenderedPageBreak/>
              <w:t>Nurses, pharmacists, physicians, MDT, clinical personnel &amp; health educators</w:t>
            </w:r>
          </w:p>
        </w:tc>
        <w:tc>
          <w:tcPr>
            <w:tcW w:w="5623" w:type="dxa"/>
            <w:tcBorders>
              <w:top w:val="single" w:sz="12" w:space="0" w:color="auto"/>
              <w:left w:val="nil"/>
              <w:right w:val="nil"/>
            </w:tcBorders>
            <w:tcMar>
              <w:top w:w="28" w:type="dxa"/>
              <w:bottom w:w="28" w:type="dxa"/>
            </w:tcMar>
            <w:vAlign w:val="center"/>
          </w:tcPr>
          <w:p w14:paraId="04DFED68" w14:textId="77777777" w:rsidR="00201E8F" w:rsidRPr="0064137F" w:rsidRDefault="00201E8F" w:rsidP="00201E8F">
            <w:pPr>
              <w:rPr>
                <w:rFonts w:ascii="Times New Roman" w:hAnsi="Times New Roman" w:cs="Times New Roman"/>
                <w:sz w:val="16"/>
                <w:szCs w:val="16"/>
              </w:rPr>
            </w:pPr>
            <w:r w:rsidRPr="0064137F">
              <w:rPr>
                <w:rFonts w:ascii="Times New Roman" w:eastAsia="Calibri" w:hAnsi="Times New Roman" w:cs="Times New Roman"/>
                <w:sz w:val="16"/>
                <w:szCs w:val="16"/>
              </w:rPr>
              <w:lastRenderedPageBreak/>
              <w:t xml:space="preserve">9/12 studies showed </w:t>
            </w:r>
            <w:r w:rsidRPr="0064137F">
              <w:rPr>
                <w:rFonts w:ascii="Times New Roman" w:hAnsi="Times New Roman" w:cs="Times New Roman"/>
                <w:sz w:val="16"/>
                <w:szCs w:val="16"/>
              </w:rPr>
              <w:t>statistically significant improvement in adherence to medicines in IG vs CG</w:t>
            </w:r>
          </w:p>
          <w:p w14:paraId="1DA36110" w14:textId="77777777" w:rsidR="00201E8F" w:rsidRPr="0064137F" w:rsidRDefault="00201E8F" w:rsidP="00201E8F">
            <w:pPr>
              <w:rPr>
                <w:rFonts w:ascii="Times New Roman" w:hAnsi="Times New Roman" w:cs="Times New Roman"/>
                <w:sz w:val="16"/>
                <w:szCs w:val="16"/>
              </w:rPr>
            </w:pPr>
            <w:r w:rsidRPr="0064137F">
              <w:rPr>
                <w:rFonts w:ascii="Times New Roman" w:hAnsi="Times New Roman" w:cs="Times New Roman"/>
                <w:sz w:val="16"/>
                <w:szCs w:val="16"/>
              </w:rPr>
              <w:t>5/13 studies showed improved persistence with an intervention</w:t>
            </w:r>
          </w:p>
        </w:tc>
        <w:tc>
          <w:tcPr>
            <w:tcW w:w="567" w:type="dxa"/>
            <w:tcBorders>
              <w:top w:val="single" w:sz="12" w:space="0" w:color="auto"/>
              <w:left w:val="nil"/>
              <w:right w:val="nil"/>
            </w:tcBorders>
            <w:tcMar>
              <w:top w:w="28" w:type="dxa"/>
              <w:bottom w:w="28" w:type="dxa"/>
            </w:tcMar>
            <w:vAlign w:val="center"/>
          </w:tcPr>
          <w:p w14:paraId="1FCF51B8" w14:textId="77777777" w:rsidR="00201E8F" w:rsidRPr="0064137F" w:rsidRDefault="00201E8F" w:rsidP="00201E8F">
            <w:pPr>
              <w:jc w:val="center"/>
              <w:rPr>
                <w:rFonts w:ascii="Times New Roman" w:eastAsia="Calibri" w:hAnsi="Times New Roman" w:cs="Times New Roman"/>
                <w:sz w:val="16"/>
                <w:szCs w:val="16"/>
              </w:rPr>
            </w:pPr>
            <w:r w:rsidRPr="0064137F">
              <w:rPr>
                <w:rFonts w:ascii="Times New Roman" w:eastAsia="Calibri" w:hAnsi="Times New Roman" w:cs="Times New Roman"/>
                <w:sz w:val="16"/>
                <w:szCs w:val="16"/>
              </w:rPr>
              <w:t>2</w:t>
            </w:r>
          </w:p>
        </w:tc>
      </w:tr>
      <w:tr w:rsidR="00201E8F" w:rsidRPr="0064137F" w14:paraId="22B321DB" w14:textId="77777777" w:rsidTr="008715F9">
        <w:trPr>
          <w:trHeight w:val="558"/>
        </w:trPr>
        <w:tc>
          <w:tcPr>
            <w:tcW w:w="2122" w:type="dxa"/>
            <w:tcBorders>
              <w:left w:val="nil"/>
              <w:right w:val="nil"/>
            </w:tcBorders>
            <w:tcMar>
              <w:top w:w="28" w:type="dxa"/>
              <w:bottom w:w="28" w:type="dxa"/>
            </w:tcMar>
            <w:vAlign w:val="center"/>
          </w:tcPr>
          <w:p w14:paraId="6EC2B3A4" w14:textId="77777777" w:rsidR="00201E8F" w:rsidRPr="0064137F" w:rsidRDefault="00201E8F" w:rsidP="00201E8F">
            <w:pPr>
              <w:rPr>
                <w:rFonts w:ascii="Times New Roman" w:hAnsi="Times New Roman" w:cs="Times New Roman"/>
                <w:sz w:val="16"/>
                <w:szCs w:val="16"/>
              </w:rPr>
            </w:pPr>
            <w:proofErr w:type="spellStart"/>
            <w:r w:rsidRPr="0064137F">
              <w:rPr>
                <w:rFonts w:ascii="Times New Roman" w:hAnsi="Times New Roman" w:cs="Times New Roman"/>
                <w:sz w:val="16"/>
                <w:szCs w:val="16"/>
              </w:rPr>
              <w:t>Kooij</w:t>
            </w:r>
            <w:proofErr w:type="spellEnd"/>
            <w:r w:rsidRPr="0064137F">
              <w:rPr>
                <w:rFonts w:ascii="Times New Roman" w:hAnsi="Times New Roman" w:cs="Times New Roman"/>
                <w:sz w:val="16"/>
                <w:szCs w:val="16"/>
              </w:rPr>
              <w:t xml:space="preserve"> </w:t>
            </w:r>
            <w:proofErr w:type="gramStart"/>
            <w:r w:rsidRPr="0064137F">
              <w:rPr>
                <w:rFonts w:ascii="Times New Roman" w:hAnsi="Times New Roman" w:cs="Times New Roman"/>
                <w:sz w:val="16"/>
                <w:szCs w:val="16"/>
              </w:rPr>
              <w:t>et al.</w:t>
            </w:r>
            <w:r w:rsidR="00F92DA2">
              <w:rPr>
                <w:rFonts w:ascii="Times New Roman" w:hAnsi="Times New Roman" w:cs="Times New Roman"/>
                <w:sz w:val="16"/>
                <w:szCs w:val="16"/>
              </w:rPr>
              <w:t>[</w:t>
            </w:r>
            <w:proofErr w:type="gramEnd"/>
            <w:r w:rsidR="00F92DA2">
              <w:rPr>
                <w:rFonts w:ascii="Times New Roman" w:hAnsi="Times New Roman" w:cs="Times New Roman"/>
                <w:sz w:val="16"/>
                <w:szCs w:val="16"/>
              </w:rPr>
              <w:t>7</w:t>
            </w:r>
            <w:r w:rsidR="00056EB4">
              <w:rPr>
                <w:rFonts w:ascii="Times New Roman" w:hAnsi="Times New Roman" w:cs="Times New Roman"/>
                <w:sz w:val="16"/>
                <w:szCs w:val="16"/>
              </w:rPr>
              <w:t>2</w:t>
            </w:r>
            <w:r w:rsidR="00F92DA2">
              <w:rPr>
                <w:rFonts w:ascii="Times New Roman" w:hAnsi="Times New Roman" w:cs="Times New Roman"/>
                <w:sz w:val="16"/>
                <w:szCs w:val="16"/>
              </w:rPr>
              <w:t>]</w:t>
            </w:r>
            <w:r w:rsidRPr="0064137F">
              <w:rPr>
                <w:rFonts w:ascii="Times New Roman" w:hAnsi="Times New Roman" w:cs="Times New Roman"/>
                <w:sz w:val="16"/>
                <w:szCs w:val="16"/>
              </w:rPr>
              <w:t xml:space="preserve">, The Netherlands, </w:t>
            </w:r>
          </w:p>
          <w:p w14:paraId="3E729EAD" w14:textId="77777777" w:rsidR="00201E8F" w:rsidRPr="0064137F" w:rsidRDefault="00201E8F" w:rsidP="00201E8F">
            <w:pPr>
              <w:rPr>
                <w:rFonts w:ascii="Times New Roman" w:hAnsi="Times New Roman" w:cs="Times New Roman"/>
                <w:sz w:val="16"/>
                <w:szCs w:val="16"/>
              </w:rPr>
            </w:pPr>
            <w:r w:rsidRPr="0064137F">
              <w:rPr>
                <w:rFonts w:ascii="Times New Roman" w:hAnsi="Times New Roman" w:cs="Times New Roman"/>
                <w:sz w:val="16"/>
                <w:szCs w:val="16"/>
              </w:rPr>
              <w:t>community pharmacies</w:t>
            </w:r>
          </w:p>
        </w:tc>
        <w:tc>
          <w:tcPr>
            <w:tcW w:w="708" w:type="dxa"/>
            <w:tcBorders>
              <w:left w:val="nil"/>
              <w:right w:val="nil"/>
            </w:tcBorders>
            <w:tcMar>
              <w:top w:w="28" w:type="dxa"/>
              <w:bottom w:w="28" w:type="dxa"/>
            </w:tcMar>
            <w:vAlign w:val="center"/>
          </w:tcPr>
          <w:p w14:paraId="4E3E35AD" w14:textId="77777777" w:rsidR="00201E8F" w:rsidRPr="0064137F" w:rsidRDefault="00201E8F" w:rsidP="00201E8F">
            <w:pPr>
              <w:rPr>
                <w:rFonts w:ascii="Times New Roman" w:eastAsia="Calibri" w:hAnsi="Times New Roman" w:cs="Times New Roman"/>
                <w:sz w:val="16"/>
                <w:szCs w:val="16"/>
              </w:rPr>
            </w:pPr>
            <w:proofErr w:type="spellStart"/>
            <w:r w:rsidRPr="0064137F">
              <w:rPr>
                <w:rFonts w:ascii="Times New Roman" w:eastAsia="Calibri" w:hAnsi="Times New Roman" w:cs="Times New Roman"/>
                <w:sz w:val="16"/>
                <w:szCs w:val="16"/>
              </w:rPr>
              <w:t>ClusterRCT</w:t>
            </w:r>
            <w:proofErr w:type="spellEnd"/>
          </w:p>
        </w:tc>
        <w:tc>
          <w:tcPr>
            <w:tcW w:w="2410" w:type="dxa"/>
            <w:tcBorders>
              <w:left w:val="nil"/>
              <w:right w:val="nil"/>
            </w:tcBorders>
            <w:tcMar>
              <w:top w:w="28" w:type="dxa"/>
              <w:bottom w:w="28" w:type="dxa"/>
            </w:tcMar>
            <w:vAlign w:val="center"/>
          </w:tcPr>
          <w:p w14:paraId="439E1E17"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Participants starting bisphosphonates </w:t>
            </w:r>
          </w:p>
          <w:p w14:paraId="23F535F1"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1. Group 1 (N=379)</w:t>
            </w:r>
          </w:p>
          <w:p w14:paraId="1123335F"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2. Group 2 (N=255)</w:t>
            </w:r>
          </w:p>
        </w:tc>
        <w:tc>
          <w:tcPr>
            <w:tcW w:w="3260" w:type="dxa"/>
            <w:tcBorders>
              <w:left w:val="nil"/>
              <w:right w:val="nil"/>
            </w:tcBorders>
            <w:tcMar>
              <w:top w:w="28" w:type="dxa"/>
              <w:bottom w:w="28" w:type="dxa"/>
            </w:tcMar>
            <w:vAlign w:val="center"/>
          </w:tcPr>
          <w:p w14:paraId="0E768EAB" w14:textId="77777777" w:rsidR="00201E8F" w:rsidRPr="0064137F" w:rsidRDefault="00201E8F" w:rsidP="00201E8F">
            <w:pPr>
              <w:rPr>
                <w:rFonts w:ascii="Times New Roman" w:hAnsi="Times New Roman" w:cs="Times New Roman"/>
                <w:sz w:val="16"/>
                <w:szCs w:val="16"/>
              </w:rPr>
            </w:pPr>
            <w:r w:rsidRPr="0064137F">
              <w:rPr>
                <w:rFonts w:ascii="Times New Roman" w:hAnsi="Times New Roman" w:cs="Times New Roman"/>
                <w:sz w:val="16"/>
                <w:szCs w:val="16"/>
              </w:rPr>
              <w:t xml:space="preserve">1. Single telephone counselling call </w:t>
            </w:r>
          </w:p>
          <w:p w14:paraId="754BF0B6" w14:textId="77777777" w:rsidR="00201E8F" w:rsidRPr="0064137F" w:rsidRDefault="00201E8F" w:rsidP="00201E8F">
            <w:pPr>
              <w:rPr>
                <w:rFonts w:ascii="Times New Roman" w:hAnsi="Times New Roman" w:cs="Times New Roman"/>
                <w:sz w:val="16"/>
                <w:szCs w:val="16"/>
              </w:rPr>
            </w:pPr>
            <w:r w:rsidRPr="0064137F">
              <w:rPr>
                <w:rFonts w:ascii="Times New Roman" w:eastAsia="Calibri" w:hAnsi="Times New Roman" w:cs="Times New Roman"/>
                <w:sz w:val="16"/>
                <w:szCs w:val="16"/>
              </w:rPr>
              <w:t>2. Usual care</w:t>
            </w:r>
          </w:p>
          <w:p w14:paraId="7D5E77F7" w14:textId="77777777" w:rsidR="00201E8F" w:rsidRPr="0064137F" w:rsidRDefault="00201E8F" w:rsidP="00201E8F">
            <w:pPr>
              <w:rPr>
                <w:rFonts w:ascii="Times New Roman" w:hAnsi="Times New Roman" w:cs="Times New Roman"/>
                <w:sz w:val="16"/>
                <w:szCs w:val="16"/>
              </w:rPr>
            </w:pPr>
            <w:r w:rsidRPr="0064137F">
              <w:rPr>
                <w:rFonts w:ascii="Times New Roman" w:hAnsi="Times New Roman" w:cs="Times New Roman"/>
                <w:sz w:val="16"/>
                <w:szCs w:val="16"/>
              </w:rPr>
              <w:t>Pharmacist, trainee pharmacist, pharmacy technician</w:t>
            </w:r>
          </w:p>
        </w:tc>
        <w:tc>
          <w:tcPr>
            <w:tcW w:w="5623" w:type="dxa"/>
            <w:tcBorders>
              <w:left w:val="nil"/>
              <w:right w:val="nil"/>
            </w:tcBorders>
            <w:tcMar>
              <w:top w:w="28" w:type="dxa"/>
              <w:bottom w:w="28" w:type="dxa"/>
            </w:tcMar>
            <w:vAlign w:val="center"/>
          </w:tcPr>
          <w:p w14:paraId="2C2D36B1" w14:textId="77777777" w:rsidR="00201E8F" w:rsidRPr="0064137F" w:rsidRDefault="00201E8F" w:rsidP="00201E8F">
            <w:pPr>
              <w:rPr>
                <w:rFonts w:ascii="Times New Roman" w:hAnsi="Times New Roman" w:cs="Times New Roman"/>
                <w:sz w:val="16"/>
                <w:szCs w:val="16"/>
              </w:rPr>
            </w:pPr>
            <w:r w:rsidRPr="0064137F">
              <w:rPr>
                <w:rFonts w:ascii="Times New Roman" w:hAnsi="Times New Roman" w:cs="Times New Roman"/>
                <w:sz w:val="16"/>
                <w:szCs w:val="16"/>
              </w:rPr>
              <w:t xml:space="preserve">No significant between group difference in mean adherence rate. IG: 75.2% vs </w:t>
            </w:r>
          </w:p>
          <w:p w14:paraId="5D97F6CC" w14:textId="77777777" w:rsidR="00201E8F" w:rsidRPr="0064137F" w:rsidRDefault="00201E8F" w:rsidP="00201E8F">
            <w:pPr>
              <w:rPr>
                <w:rFonts w:ascii="Times New Roman" w:eastAsia="Calibri" w:hAnsi="Times New Roman" w:cs="Times New Roman"/>
                <w:sz w:val="16"/>
                <w:szCs w:val="16"/>
              </w:rPr>
            </w:pPr>
            <w:r w:rsidRPr="0064137F">
              <w:rPr>
                <w:rFonts w:ascii="Times New Roman" w:hAnsi="Times New Roman" w:cs="Times New Roman"/>
                <w:sz w:val="16"/>
                <w:szCs w:val="16"/>
              </w:rPr>
              <w:t>UC: 73.3%. Counselling call only received by 137 participants in the IG</w:t>
            </w:r>
          </w:p>
        </w:tc>
        <w:tc>
          <w:tcPr>
            <w:tcW w:w="567" w:type="dxa"/>
            <w:tcBorders>
              <w:left w:val="nil"/>
              <w:right w:val="nil"/>
            </w:tcBorders>
            <w:tcMar>
              <w:top w:w="28" w:type="dxa"/>
              <w:bottom w:w="28" w:type="dxa"/>
            </w:tcMar>
            <w:vAlign w:val="center"/>
          </w:tcPr>
          <w:p w14:paraId="29E3C96D" w14:textId="77777777" w:rsidR="00201E8F" w:rsidRPr="0064137F" w:rsidRDefault="00201E8F" w:rsidP="00201E8F">
            <w:pPr>
              <w:jc w:val="center"/>
              <w:rPr>
                <w:rFonts w:ascii="Times New Roman" w:eastAsia="Calibri" w:hAnsi="Times New Roman" w:cs="Times New Roman"/>
                <w:sz w:val="16"/>
                <w:szCs w:val="16"/>
              </w:rPr>
            </w:pPr>
            <w:r w:rsidRPr="0064137F">
              <w:rPr>
                <w:rFonts w:ascii="Times New Roman" w:eastAsia="Calibri" w:hAnsi="Times New Roman" w:cs="Times New Roman"/>
                <w:sz w:val="16"/>
                <w:szCs w:val="16"/>
              </w:rPr>
              <w:t>2</w:t>
            </w:r>
          </w:p>
        </w:tc>
      </w:tr>
      <w:tr w:rsidR="00201E8F" w:rsidRPr="0064137F" w14:paraId="689FDE61" w14:textId="77777777" w:rsidTr="008715F9">
        <w:trPr>
          <w:trHeight w:val="558"/>
        </w:trPr>
        <w:tc>
          <w:tcPr>
            <w:tcW w:w="2122" w:type="dxa"/>
            <w:tcBorders>
              <w:left w:val="nil"/>
              <w:bottom w:val="single" w:sz="12" w:space="0" w:color="auto"/>
              <w:right w:val="nil"/>
            </w:tcBorders>
            <w:tcMar>
              <w:top w:w="28" w:type="dxa"/>
              <w:bottom w:w="28" w:type="dxa"/>
            </w:tcMar>
            <w:vAlign w:val="center"/>
          </w:tcPr>
          <w:p w14:paraId="4D269E6F" w14:textId="77777777" w:rsidR="00201E8F" w:rsidRPr="0064137F" w:rsidRDefault="00201E8F" w:rsidP="00201E8F">
            <w:pPr>
              <w:rPr>
                <w:rFonts w:ascii="Times New Roman" w:hAnsi="Times New Roman" w:cs="Times New Roman"/>
                <w:sz w:val="16"/>
                <w:szCs w:val="16"/>
              </w:rPr>
            </w:pPr>
            <w:r w:rsidRPr="0064137F">
              <w:rPr>
                <w:rFonts w:ascii="Times New Roman" w:hAnsi="Times New Roman" w:cs="Times New Roman"/>
                <w:sz w:val="16"/>
                <w:szCs w:val="16"/>
              </w:rPr>
              <w:t>Stuurman-</w:t>
            </w:r>
            <w:proofErr w:type="spellStart"/>
            <w:r w:rsidRPr="0064137F">
              <w:rPr>
                <w:rFonts w:ascii="Times New Roman" w:hAnsi="Times New Roman" w:cs="Times New Roman"/>
                <w:sz w:val="16"/>
                <w:szCs w:val="16"/>
              </w:rPr>
              <w:t>Bieze</w:t>
            </w:r>
            <w:proofErr w:type="spellEnd"/>
            <w:r w:rsidRPr="0064137F">
              <w:rPr>
                <w:rFonts w:ascii="Times New Roman" w:hAnsi="Times New Roman" w:cs="Times New Roman"/>
                <w:sz w:val="16"/>
                <w:szCs w:val="16"/>
              </w:rPr>
              <w:t xml:space="preserve"> </w:t>
            </w:r>
            <w:proofErr w:type="gramStart"/>
            <w:r w:rsidRPr="0064137F">
              <w:rPr>
                <w:rFonts w:ascii="Times New Roman" w:hAnsi="Times New Roman" w:cs="Times New Roman"/>
                <w:sz w:val="16"/>
                <w:szCs w:val="16"/>
              </w:rPr>
              <w:t>et al.</w:t>
            </w:r>
            <w:r w:rsidR="000F50B2">
              <w:rPr>
                <w:rFonts w:ascii="Times New Roman" w:hAnsi="Times New Roman" w:cs="Times New Roman"/>
                <w:sz w:val="16"/>
                <w:szCs w:val="16"/>
              </w:rPr>
              <w:t>[</w:t>
            </w:r>
            <w:proofErr w:type="gramEnd"/>
            <w:r w:rsidR="000F50B2">
              <w:rPr>
                <w:rFonts w:ascii="Times New Roman" w:hAnsi="Times New Roman" w:cs="Times New Roman"/>
                <w:sz w:val="16"/>
                <w:szCs w:val="16"/>
              </w:rPr>
              <w:t>7</w:t>
            </w:r>
            <w:r w:rsidR="00056EB4">
              <w:rPr>
                <w:rFonts w:ascii="Times New Roman" w:hAnsi="Times New Roman" w:cs="Times New Roman"/>
                <w:sz w:val="16"/>
                <w:szCs w:val="16"/>
              </w:rPr>
              <w:t>1</w:t>
            </w:r>
            <w:r w:rsidR="000F50B2">
              <w:rPr>
                <w:rFonts w:ascii="Times New Roman" w:hAnsi="Times New Roman" w:cs="Times New Roman"/>
                <w:sz w:val="16"/>
                <w:szCs w:val="16"/>
              </w:rPr>
              <w:t>]</w:t>
            </w:r>
            <w:r w:rsidR="00085508">
              <w:rPr>
                <w:rFonts w:ascii="Times New Roman" w:hAnsi="Times New Roman" w:cs="Times New Roman"/>
                <w:sz w:val="16"/>
                <w:szCs w:val="16"/>
              </w:rPr>
              <w:t xml:space="preserve"> The Netherlands, </w:t>
            </w:r>
            <w:r w:rsidRPr="0064137F">
              <w:rPr>
                <w:rFonts w:ascii="Times New Roman" w:hAnsi="Times New Roman" w:cs="Times New Roman"/>
                <w:sz w:val="16"/>
                <w:szCs w:val="16"/>
              </w:rPr>
              <w:t>community pharmacies</w:t>
            </w:r>
          </w:p>
        </w:tc>
        <w:tc>
          <w:tcPr>
            <w:tcW w:w="708" w:type="dxa"/>
            <w:tcBorders>
              <w:left w:val="nil"/>
              <w:bottom w:val="single" w:sz="12" w:space="0" w:color="auto"/>
              <w:right w:val="nil"/>
            </w:tcBorders>
            <w:tcMar>
              <w:top w:w="28" w:type="dxa"/>
              <w:bottom w:w="28" w:type="dxa"/>
            </w:tcMar>
            <w:vAlign w:val="center"/>
          </w:tcPr>
          <w:p w14:paraId="5D98D3ED"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Cohort study</w:t>
            </w:r>
          </w:p>
        </w:tc>
        <w:tc>
          <w:tcPr>
            <w:tcW w:w="2410" w:type="dxa"/>
            <w:tcBorders>
              <w:left w:val="nil"/>
              <w:bottom w:val="single" w:sz="12" w:space="0" w:color="auto"/>
              <w:right w:val="nil"/>
            </w:tcBorders>
            <w:tcMar>
              <w:top w:w="28" w:type="dxa"/>
              <w:bottom w:w="28" w:type="dxa"/>
            </w:tcMar>
            <w:vAlign w:val="center"/>
          </w:tcPr>
          <w:p w14:paraId="4B070F80"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Patients initiating osteoporosis medicines</w:t>
            </w:r>
          </w:p>
          <w:p w14:paraId="68EA8A9F"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1. Group 1 (N=495)</w:t>
            </w:r>
          </w:p>
          <w:p w14:paraId="08D4EFE6"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2. Group 2 (N=442) </w:t>
            </w:r>
          </w:p>
        </w:tc>
        <w:tc>
          <w:tcPr>
            <w:tcW w:w="3260" w:type="dxa"/>
            <w:tcBorders>
              <w:left w:val="nil"/>
              <w:bottom w:val="single" w:sz="12" w:space="0" w:color="auto"/>
              <w:right w:val="nil"/>
            </w:tcBorders>
            <w:tcMar>
              <w:top w:w="28" w:type="dxa"/>
              <w:bottom w:w="28" w:type="dxa"/>
            </w:tcMar>
            <w:vAlign w:val="center"/>
          </w:tcPr>
          <w:p w14:paraId="6C0400E0" w14:textId="77777777" w:rsidR="00201E8F" w:rsidRPr="0064137F" w:rsidRDefault="00201E8F" w:rsidP="00201E8F">
            <w:pPr>
              <w:rPr>
                <w:rFonts w:ascii="Times New Roman" w:hAnsi="Times New Roman" w:cs="Times New Roman"/>
                <w:sz w:val="16"/>
                <w:szCs w:val="16"/>
              </w:rPr>
            </w:pPr>
            <w:r w:rsidRPr="0064137F">
              <w:rPr>
                <w:rFonts w:ascii="Times New Roman" w:hAnsi="Times New Roman" w:cs="Times New Roman"/>
                <w:sz w:val="16"/>
                <w:szCs w:val="16"/>
              </w:rPr>
              <w:t xml:space="preserve">1. Counselling and monitoring service </w:t>
            </w:r>
          </w:p>
          <w:p w14:paraId="70A285A9" w14:textId="77777777" w:rsidR="00201E8F" w:rsidRPr="0064137F" w:rsidRDefault="00201E8F" w:rsidP="00201E8F">
            <w:pPr>
              <w:rPr>
                <w:rFonts w:ascii="Times New Roman" w:hAnsi="Times New Roman" w:cs="Times New Roman"/>
                <w:sz w:val="16"/>
                <w:szCs w:val="16"/>
              </w:rPr>
            </w:pPr>
            <w:r w:rsidRPr="0064137F">
              <w:rPr>
                <w:rFonts w:ascii="Times New Roman" w:hAnsi="Times New Roman" w:cs="Times New Roman"/>
                <w:sz w:val="16"/>
                <w:szCs w:val="16"/>
              </w:rPr>
              <w:t>2. Usual care</w:t>
            </w:r>
          </w:p>
          <w:p w14:paraId="25EEA101" w14:textId="77777777" w:rsidR="00201E8F" w:rsidRPr="0064137F" w:rsidRDefault="00201E8F" w:rsidP="00201E8F">
            <w:pPr>
              <w:rPr>
                <w:rFonts w:ascii="Times New Roman" w:eastAsia="Calibri" w:hAnsi="Times New Roman" w:cs="Times New Roman"/>
                <w:sz w:val="16"/>
                <w:szCs w:val="16"/>
              </w:rPr>
            </w:pPr>
            <w:r w:rsidRPr="0064137F">
              <w:rPr>
                <w:rFonts w:ascii="Times New Roman" w:hAnsi="Times New Roman" w:cs="Times New Roman"/>
                <w:sz w:val="16"/>
                <w:szCs w:val="16"/>
              </w:rPr>
              <w:t>Pharmacists</w:t>
            </w:r>
          </w:p>
        </w:tc>
        <w:tc>
          <w:tcPr>
            <w:tcW w:w="5623" w:type="dxa"/>
            <w:tcBorders>
              <w:left w:val="nil"/>
              <w:bottom w:val="single" w:sz="12" w:space="0" w:color="auto"/>
              <w:right w:val="nil"/>
            </w:tcBorders>
            <w:tcMar>
              <w:top w:w="28" w:type="dxa"/>
              <w:bottom w:w="28" w:type="dxa"/>
            </w:tcMar>
            <w:vAlign w:val="center"/>
          </w:tcPr>
          <w:p w14:paraId="4EA35989"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No statistically significant difference in non-adherence rate at 12 mo. </w:t>
            </w:r>
          </w:p>
          <w:p w14:paraId="6BAEC31F"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Significantly lower discontinuation rates in counselling &amp; monitoring group </w:t>
            </w:r>
          </w:p>
          <w:p w14:paraId="2A805ABF" w14:textId="77777777" w:rsidR="00201E8F" w:rsidRPr="0064137F" w:rsidRDefault="00201E8F" w:rsidP="00201E8F">
            <w:pPr>
              <w:rPr>
                <w:rFonts w:ascii="Times New Roman" w:eastAsia="Calibri" w:hAnsi="Times New Roman" w:cs="Times New Roman"/>
                <w:sz w:val="16"/>
                <w:szCs w:val="16"/>
              </w:rPr>
            </w:pPr>
            <w:r w:rsidRPr="0064137F">
              <w:rPr>
                <w:rFonts w:ascii="Times New Roman" w:eastAsia="Calibri" w:hAnsi="Times New Roman" w:cs="Times New Roman"/>
                <w:sz w:val="16"/>
                <w:szCs w:val="16"/>
              </w:rPr>
              <w:t>(IG: 15.8% vs UC: 27.8%; p&lt;0.001).</w:t>
            </w:r>
          </w:p>
        </w:tc>
        <w:tc>
          <w:tcPr>
            <w:tcW w:w="567" w:type="dxa"/>
            <w:tcBorders>
              <w:left w:val="nil"/>
              <w:bottom w:val="single" w:sz="12" w:space="0" w:color="auto"/>
              <w:right w:val="nil"/>
            </w:tcBorders>
            <w:tcMar>
              <w:top w:w="28" w:type="dxa"/>
              <w:bottom w:w="28" w:type="dxa"/>
            </w:tcMar>
            <w:vAlign w:val="center"/>
          </w:tcPr>
          <w:p w14:paraId="19262D2D" w14:textId="77777777" w:rsidR="00201E8F" w:rsidRPr="0064137F" w:rsidRDefault="00201E8F" w:rsidP="00201E8F">
            <w:pPr>
              <w:jc w:val="center"/>
              <w:rPr>
                <w:rFonts w:ascii="Times New Roman" w:eastAsia="Calibri" w:hAnsi="Times New Roman" w:cs="Times New Roman"/>
                <w:sz w:val="16"/>
                <w:szCs w:val="16"/>
              </w:rPr>
            </w:pPr>
            <w:r w:rsidRPr="0064137F">
              <w:rPr>
                <w:rFonts w:ascii="Times New Roman" w:eastAsia="Calibri" w:hAnsi="Times New Roman" w:cs="Times New Roman"/>
                <w:sz w:val="16"/>
                <w:szCs w:val="16"/>
              </w:rPr>
              <w:t>3</w:t>
            </w:r>
          </w:p>
        </w:tc>
      </w:tr>
    </w:tbl>
    <w:p w14:paraId="58231092" w14:textId="77777777" w:rsidR="00201E8F" w:rsidRPr="0064137F" w:rsidRDefault="00201E8F" w:rsidP="00201E8F">
      <w:pPr>
        <w:spacing w:after="0" w:line="240" w:lineRule="auto"/>
        <w:rPr>
          <w:rFonts w:ascii="Times New Roman" w:eastAsia="Calibri" w:hAnsi="Times New Roman" w:cs="Times New Roman"/>
          <w:sz w:val="16"/>
          <w:szCs w:val="16"/>
        </w:rPr>
      </w:pPr>
      <w:r w:rsidRPr="0064137F">
        <w:rPr>
          <w:rFonts w:ascii="Times New Roman" w:eastAsia="Calibri" w:hAnsi="Times New Roman" w:cs="Times New Roman"/>
          <w:sz w:val="16"/>
          <w:szCs w:val="16"/>
        </w:rPr>
        <w:t xml:space="preserve">Abbreviations: ARR, Absolute Risk Reduction; CG, Control Group; CI, Confidence Interval; FLS, Fracture Liaison Services; HIC, High-Income Countries; IG, Intervention Group; IRR, Incidence Rate Ratio; </w:t>
      </w:r>
      <w:proofErr w:type="spellStart"/>
      <w:r w:rsidRPr="0064137F">
        <w:rPr>
          <w:rFonts w:ascii="Times New Roman" w:eastAsia="Calibri" w:hAnsi="Times New Roman" w:cs="Times New Roman"/>
          <w:sz w:val="16"/>
          <w:szCs w:val="16"/>
        </w:rPr>
        <w:t>LoE</w:t>
      </w:r>
      <w:proofErr w:type="spellEnd"/>
      <w:r w:rsidRPr="0064137F">
        <w:rPr>
          <w:rFonts w:ascii="Times New Roman" w:eastAsia="Calibri" w:hAnsi="Times New Roman" w:cs="Times New Roman"/>
          <w:sz w:val="16"/>
          <w:szCs w:val="16"/>
        </w:rPr>
        <w:t xml:space="preserve">, Level of Evidence; LT, long term; MA, Meta-analysis; MCA, Multidisciplinary care approaches; MDT, Multidisciplinary team; MIC, Middle-Income Countries; </w:t>
      </w:r>
      <w:proofErr w:type="spellStart"/>
      <w:r w:rsidRPr="0064137F">
        <w:rPr>
          <w:rFonts w:ascii="Times New Roman" w:eastAsia="Calibri" w:hAnsi="Times New Roman" w:cs="Times New Roman"/>
          <w:sz w:val="16"/>
          <w:szCs w:val="16"/>
        </w:rPr>
        <w:t>mo</w:t>
      </w:r>
      <w:proofErr w:type="spellEnd"/>
      <w:r w:rsidRPr="0064137F">
        <w:rPr>
          <w:rFonts w:ascii="Times New Roman" w:eastAsia="Calibri" w:hAnsi="Times New Roman" w:cs="Times New Roman"/>
          <w:sz w:val="16"/>
          <w:szCs w:val="16"/>
        </w:rPr>
        <w:t xml:space="preserve">, month; NNT, Numbers Needed to Treat; ORs, Odds ratios; RCT, Randomised Controlled Trial; RR, Relative Risk; </w:t>
      </w:r>
      <w:r w:rsidRPr="0064137F">
        <w:rPr>
          <w:rFonts w:ascii="Times New Roman" w:eastAsia="Calibri" w:hAnsi="Times New Roman" w:cs="Times New Roman"/>
          <w:i/>
          <w:sz w:val="16"/>
          <w:szCs w:val="16"/>
        </w:rPr>
        <w:t>RR</w:t>
      </w:r>
      <w:r w:rsidRPr="0064137F">
        <w:rPr>
          <w:rFonts w:ascii="Times New Roman" w:eastAsia="Calibri" w:hAnsi="Times New Roman" w:cs="Times New Roman"/>
          <w:sz w:val="16"/>
          <w:szCs w:val="16"/>
        </w:rPr>
        <w:t xml:space="preserve">, Risk Ratio; SPPB, short physical performance battery; </w:t>
      </w:r>
      <w:r w:rsidR="00EF184A" w:rsidRPr="0064137F">
        <w:rPr>
          <w:rFonts w:ascii="Times New Roman" w:eastAsia="Calibri" w:hAnsi="Times New Roman" w:cs="Times New Roman"/>
          <w:sz w:val="16"/>
          <w:szCs w:val="16"/>
        </w:rPr>
        <w:t xml:space="preserve">ST, </w:t>
      </w:r>
      <w:r w:rsidRPr="0064137F">
        <w:rPr>
          <w:rFonts w:ascii="Times New Roman" w:eastAsia="Calibri" w:hAnsi="Times New Roman" w:cs="Times New Roman"/>
          <w:sz w:val="16"/>
          <w:szCs w:val="16"/>
        </w:rPr>
        <w:t>short-term; SO, Systematic Overview; UC: Usual care.</w:t>
      </w:r>
    </w:p>
    <w:p w14:paraId="543F8901" w14:textId="77777777" w:rsidR="00760EB1" w:rsidRPr="0064137F" w:rsidRDefault="00760EB1" w:rsidP="001B794A">
      <w:pPr>
        <w:spacing w:after="0" w:line="480" w:lineRule="auto"/>
        <w:rPr>
          <w:rStyle w:val="Heading3Char"/>
          <w:rFonts w:ascii="Times New Roman" w:eastAsia="Calibri" w:hAnsi="Times New Roman" w:cs="Times New Roman"/>
          <w:bCs/>
          <w:color w:val="auto"/>
          <w:sz w:val="16"/>
          <w:szCs w:val="16"/>
        </w:rPr>
      </w:pPr>
    </w:p>
    <w:p w14:paraId="2477CEA5" w14:textId="77777777" w:rsidR="00201E8F" w:rsidRPr="0064137F" w:rsidRDefault="00201E8F" w:rsidP="008A1D23">
      <w:pPr>
        <w:spacing w:after="0" w:line="360" w:lineRule="auto"/>
        <w:rPr>
          <w:rFonts w:ascii="Times New Roman" w:eastAsia="Calibri" w:hAnsi="Times New Roman" w:cs="Times New Roman"/>
          <w:b/>
          <w:sz w:val="16"/>
          <w:szCs w:val="16"/>
        </w:rPr>
        <w:sectPr w:rsidR="00201E8F" w:rsidRPr="0064137F" w:rsidSect="00201E8F">
          <w:pgSz w:w="16838" w:h="11906" w:orient="landscape"/>
          <w:pgMar w:top="1417" w:right="1417" w:bottom="1417" w:left="1417" w:header="708" w:footer="708" w:gutter="0"/>
          <w:cols w:space="708"/>
          <w:docGrid w:linePitch="360"/>
        </w:sectPr>
      </w:pPr>
    </w:p>
    <w:p w14:paraId="233F5D45" w14:textId="57F633FF" w:rsidR="008A1D23" w:rsidRPr="00C33A5F" w:rsidRDefault="00F65CC2" w:rsidP="008B435D">
      <w:pPr>
        <w:spacing w:after="0" w:line="480" w:lineRule="auto"/>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lastRenderedPageBreak/>
        <w:t xml:space="preserve">5  </w:t>
      </w:r>
      <w:r w:rsidR="00B21400" w:rsidRPr="008B435D">
        <w:rPr>
          <w:rFonts w:ascii="Times New Roman" w:eastAsia="Calibri" w:hAnsi="Times New Roman" w:cs="Times New Roman"/>
          <w:b/>
          <w:sz w:val="24"/>
          <w:szCs w:val="24"/>
        </w:rPr>
        <w:t>What</w:t>
      </w:r>
      <w:proofErr w:type="gramEnd"/>
      <w:r w:rsidR="00B21400" w:rsidRPr="008B435D">
        <w:rPr>
          <w:rFonts w:ascii="Times New Roman" w:eastAsia="Calibri" w:hAnsi="Times New Roman" w:cs="Times New Roman"/>
          <w:b/>
          <w:sz w:val="24"/>
          <w:szCs w:val="24"/>
        </w:rPr>
        <w:t xml:space="preserve"> is the effect of multi-disciplinary team care on health outcomes for persons at high-risk of primary or secondary osteoporotic fracture?</w:t>
      </w:r>
      <w:r w:rsidR="00B21400" w:rsidRPr="00C33A5F">
        <w:rPr>
          <w:rFonts w:ascii="Times New Roman" w:eastAsia="Calibri" w:hAnsi="Times New Roman" w:cs="Times New Roman"/>
          <w:sz w:val="24"/>
          <w:szCs w:val="24"/>
        </w:rPr>
        <w:t xml:space="preserve"> </w:t>
      </w:r>
    </w:p>
    <w:p w14:paraId="50E9E4ED" w14:textId="77777777" w:rsidR="008A1D23" w:rsidRPr="00C33A5F" w:rsidRDefault="008A1D23" w:rsidP="008A1D23">
      <w:pPr>
        <w:spacing w:after="0" w:line="360" w:lineRule="auto"/>
        <w:rPr>
          <w:rFonts w:ascii="Times New Roman" w:eastAsia="Calibri" w:hAnsi="Times New Roman" w:cs="Times New Roman"/>
          <w:b/>
          <w:sz w:val="24"/>
          <w:szCs w:val="24"/>
        </w:rPr>
      </w:pPr>
    </w:p>
    <w:p w14:paraId="38002F2A" w14:textId="77777777" w:rsidR="00EC205C" w:rsidRPr="00C33A5F" w:rsidRDefault="00EC205C" w:rsidP="008969CF">
      <w:pPr>
        <w:spacing w:after="0" w:line="480" w:lineRule="auto"/>
        <w:jc w:val="both"/>
        <w:rPr>
          <w:rFonts w:ascii="Times New Roman" w:eastAsia="Calibri" w:hAnsi="Times New Roman" w:cs="Times New Roman"/>
          <w:sz w:val="24"/>
          <w:szCs w:val="24"/>
        </w:rPr>
      </w:pPr>
      <w:r w:rsidRPr="00C33A5F">
        <w:rPr>
          <w:rFonts w:ascii="Times New Roman" w:eastAsia="Calibri" w:hAnsi="Times New Roman" w:cs="Times New Roman"/>
          <w:sz w:val="24"/>
          <w:szCs w:val="24"/>
        </w:rPr>
        <w:t xml:space="preserve">Multi-disciplinary team care was defined as care provided by two or more different care practitioners working together as/or supported by a multidisciplinary team. Selected publications focussed on orthogeriatric in-patient </w:t>
      </w:r>
      <w:proofErr w:type="gramStart"/>
      <w:r w:rsidRPr="00C33A5F">
        <w:rPr>
          <w:rFonts w:ascii="Times New Roman" w:eastAsia="Calibri" w:hAnsi="Times New Roman" w:cs="Times New Roman"/>
          <w:sz w:val="24"/>
          <w:szCs w:val="24"/>
        </w:rPr>
        <w:t>care</w:t>
      </w:r>
      <w:r w:rsidR="00D67DEB">
        <w:rPr>
          <w:rFonts w:ascii="Times New Roman" w:eastAsia="Calibri" w:hAnsi="Times New Roman" w:cs="Times New Roman"/>
          <w:sz w:val="24"/>
          <w:szCs w:val="24"/>
        </w:rPr>
        <w:t>[</w:t>
      </w:r>
      <w:proofErr w:type="gramEnd"/>
      <w:r w:rsidR="00D67DEB">
        <w:rPr>
          <w:rFonts w:ascii="Times New Roman" w:eastAsia="Calibri" w:hAnsi="Times New Roman" w:cs="Times New Roman"/>
          <w:sz w:val="24"/>
          <w:szCs w:val="24"/>
        </w:rPr>
        <w:t>6</w:t>
      </w:r>
      <w:r w:rsidR="00C9301B">
        <w:rPr>
          <w:rFonts w:ascii="Times New Roman" w:eastAsia="Calibri" w:hAnsi="Times New Roman" w:cs="Times New Roman"/>
          <w:sz w:val="24"/>
          <w:szCs w:val="24"/>
        </w:rPr>
        <w:t>6</w:t>
      </w:r>
      <w:r w:rsidR="00D67DEB">
        <w:rPr>
          <w:rFonts w:ascii="Times New Roman" w:eastAsia="Calibri" w:hAnsi="Times New Roman" w:cs="Times New Roman"/>
          <w:sz w:val="24"/>
          <w:szCs w:val="24"/>
        </w:rPr>
        <w:t>,6</w:t>
      </w:r>
      <w:r w:rsidR="00C9301B">
        <w:rPr>
          <w:rFonts w:ascii="Times New Roman" w:eastAsia="Calibri" w:hAnsi="Times New Roman" w:cs="Times New Roman"/>
          <w:sz w:val="24"/>
          <w:szCs w:val="24"/>
        </w:rPr>
        <w:t>7</w:t>
      </w:r>
      <w:r w:rsidR="00D67DEB">
        <w:rPr>
          <w:rFonts w:ascii="Times New Roman" w:eastAsia="Calibri" w:hAnsi="Times New Roman" w:cs="Times New Roman"/>
          <w:sz w:val="24"/>
          <w:szCs w:val="24"/>
        </w:rPr>
        <w:t>]</w:t>
      </w:r>
      <w:r w:rsidRPr="00C33A5F">
        <w:rPr>
          <w:rFonts w:ascii="Times New Roman" w:eastAsia="Calibri" w:hAnsi="Times New Roman" w:cs="Times New Roman"/>
          <w:sz w:val="24"/>
          <w:szCs w:val="24"/>
        </w:rPr>
        <w:t>, fracture liaison services (FLS)</w:t>
      </w:r>
      <w:r w:rsidR="00D67DEB">
        <w:rPr>
          <w:rFonts w:ascii="Times New Roman" w:eastAsia="Calibri" w:hAnsi="Times New Roman" w:cs="Times New Roman"/>
          <w:sz w:val="24"/>
          <w:szCs w:val="24"/>
        </w:rPr>
        <w:t>[25,6</w:t>
      </w:r>
      <w:r w:rsidR="00C9301B">
        <w:rPr>
          <w:rFonts w:ascii="Times New Roman" w:eastAsia="Calibri" w:hAnsi="Times New Roman" w:cs="Times New Roman"/>
          <w:sz w:val="24"/>
          <w:szCs w:val="24"/>
        </w:rPr>
        <w:t>8</w:t>
      </w:r>
      <w:r w:rsidR="00D67DEB">
        <w:rPr>
          <w:rFonts w:ascii="Times New Roman" w:eastAsia="Calibri" w:hAnsi="Times New Roman" w:cs="Times New Roman"/>
          <w:sz w:val="24"/>
          <w:szCs w:val="24"/>
        </w:rPr>
        <w:t>]</w:t>
      </w:r>
      <w:r w:rsidRPr="00C33A5F">
        <w:rPr>
          <w:rFonts w:ascii="Times New Roman" w:eastAsia="Calibri" w:hAnsi="Times New Roman" w:cs="Times New Roman"/>
          <w:sz w:val="24"/>
          <w:szCs w:val="24"/>
        </w:rPr>
        <w:t xml:space="preserve"> and care pathways for people following hip fracture</w:t>
      </w:r>
      <w:r w:rsidR="00D67DEB">
        <w:rPr>
          <w:rFonts w:ascii="Times New Roman" w:eastAsia="Calibri" w:hAnsi="Times New Roman" w:cs="Times New Roman"/>
          <w:sz w:val="24"/>
          <w:szCs w:val="24"/>
        </w:rPr>
        <w:t>[6</w:t>
      </w:r>
      <w:r w:rsidR="00C9301B">
        <w:rPr>
          <w:rFonts w:ascii="Times New Roman" w:eastAsia="Calibri" w:hAnsi="Times New Roman" w:cs="Times New Roman"/>
          <w:sz w:val="24"/>
          <w:szCs w:val="24"/>
        </w:rPr>
        <w:t>9</w:t>
      </w:r>
      <w:r w:rsidR="00D67DEB">
        <w:rPr>
          <w:rFonts w:ascii="Times New Roman" w:eastAsia="Calibri" w:hAnsi="Times New Roman" w:cs="Times New Roman"/>
          <w:sz w:val="24"/>
          <w:szCs w:val="24"/>
        </w:rPr>
        <w:t>]</w:t>
      </w:r>
      <w:r w:rsidR="00BE2A92">
        <w:rPr>
          <w:rFonts w:ascii="Times New Roman" w:eastAsia="Calibri" w:hAnsi="Times New Roman" w:cs="Times New Roman"/>
          <w:sz w:val="24"/>
          <w:szCs w:val="24"/>
        </w:rPr>
        <w:t xml:space="preserve"> (Table 5</w:t>
      </w:r>
      <w:r w:rsidRPr="00C33A5F">
        <w:rPr>
          <w:rFonts w:ascii="Times New Roman" w:eastAsia="Calibri" w:hAnsi="Times New Roman" w:cs="Times New Roman"/>
          <w:sz w:val="24"/>
          <w:szCs w:val="24"/>
        </w:rPr>
        <w:t xml:space="preserve">). </w:t>
      </w:r>
    </w:p>
    <w:p w14:paraId="7A1E3AA4" w14:textId="77777777" w:rsidR="00EC205C" w:rsidRPr="00C33A5F" w:rsidRDefault="00EC205C" w:rsidP="00EC205C">
      <w:pPr>
        <w:spacing w:after="0" w:line="480" w:lineRule="auto"/>
        <w:rPr>
          <w:rFonts w:ascii="Times New Roman" w:eastAsia="Calibri" w:hAnsi="Times New Roman" w:cs="Times New Roman"/>
          <w:sz w:val="24"/>
          <w:szCs w:val="24"/>
        </w:rPr>
      </w:pPr>
    </w:p>
    <w:p w14:paraId="74BCA45B" w14:textId="77777777" w:rsidR="00EC205C" w:rsidRPr="00C33A5F" w:rsidRDefault="00EC205C" w:rsidP="008969CF">
      <w:pPr>
        <w:spacing w:after="0" w:line="480" w:lineRule="auto"/>
        <w:jc w:val="both"/>
        <w:rPr>
          <w:rFonts w:ascii="Times New Roman" w:hAnsi="Times New Roman" w:cs="Times New Roman"/>
          <w:bCs/>
          <w:sz w:val="24"/>
          <w:szCs w:val="24"/>
        </w:rPr>
      </w:pPr>
      <w:r w:rsidRPr="00C33A5F">
        <w:rPr>
          <w:rFonts w:ascii="Times New Roman" w:eastAsia="Calibri" w:hAnsi="Times New Roman" w:cs="Times New Roman"/>
          <w:sz w:val="24"/>
          <w:szCs w:val="24"/>
        </w:rPr>
        <w:t xml:space="preserve">Available evidence from one meta-analysis and one RCT suggests that collaborative orthogeriatric care </w:t>
      </w:r>
      <w:r w:rsidRPr="00C33A5F">
        <w:rPr>
          <w:rFonts w:ascii="Times New Roman" w:hAnsi="Times New Roman" w:cs="Times New Roman"/>
          <w:bCs/>
          <w:sz w:val="24"/>
          <w:szCs w:val="24"/>
        </w:rPr>
        <w:t>can reduce risk of in-hospital and long-term mortality,</w:t>
      </w:r>
      <w:r w:rsidRPr="00C33A5F">
        <w:rPr>
          <w:rFonts w:ascii="Times New Roman" w:eastAsia="Calibri" w:hAnsi="Times New Roman" w:cs="Times New Roman"/>
          <w:sz w:val="24"/>
          <w:szCs w:val="24"/>
          <w:vertAlign w:val="superscript"/>
        </w:rPr>
        <w:t xml:space="preserve"> </w:t>
      </w:r>
      <w:r w:rsidRPr="00C33A5F">
        <w:rPr>
          <w:rFonts w:ascii="Times New Roman" w:hAnsi="Times New Roman" w:cs="Times New Roman"/>
          <w:bCs/>
          <w:sz w:val="24"/>
          <w:szCs w:val="24"/>
        </w:rPr>
        <w:t>and improve mobility, activities of daily living (ADL) and QoL</w:t>
      </w:r>
      <w:r w:rsidRPr="00C33A5F">
        <w:rPr>
          <w:rFonts w:ascii="Times New Roman" w:eastAsia="Calibri" w:hAnsi="Times New Roman" w:cs="Times New Roman"/>
          <w:sz w:val="24"/>
          <w:szCs w:val="24"/>
        </w:rPr>
        <w:t xml:space="preserve"> compared with </w:t>
      </w:r>
      <w:r w:rsidRPr="00C33A5F">
        <w:rPr>
          <w:rFonts w:ascii="Times New Roman" w:hAnsi="Times New Roman" w:cs="Times New Roman"/>
          <w:bCs/>
          <w:sz w:val="24"/>
          <w:szCs w:val="24"/>
        </w:rPr>
        <w:t>an ‘as needed’ geriatrician consult requested by the surgeon</w:t>
      </w:r>
      <w:r w:rsidR="00D67DEB">
        <w:rPr>
          <w:rFonts w:ascii="Times New Roman" w:hAnsi="Times New Roman" w:cs="Times New Roman"/>
          <w:bCs/>
          <w:sz w:val="24"/>
          <w:szCs w:val="24"/>
        </w:rPr>
        <w:t>[6</w:t>
      </w:r>
      <w:r w:rsidR="00C9301B">
        <w:rPr>
          <w:rFonts w:ascii="Times New Roman" w:hAnsi="Times New Roman" w:cs="Times New Roman"/>
          <w:bCs/>
          <w:sz w:val="24"/>
          <w:szCs w:val="24"/>
        </w:rPr>
        <w:t>6</w:t>
      </w:r>
      <w:r w:rsidR="00D67DEB">
        <w:rPr>
          <w:rFonts w:ascii="Times New Roman" w:hAnsi="Times New Roman" w:cs="Times New Roman"/>
          <w:bCs/>
          <w:sz w:val="24"/>
          <w:szCs w:val="24"/>
        </w:rPr>
        <w:t>]</w:t>
      </w:r>
      <w:r w:rsidRPr="00C33A5F">
        <w:rPr>
          <w:rFonts w:ascii="Times New Roman" w:hAnsi="Times New Roman" w:cs="Times New Roman"/>
          <w:bCs/>
          <w:sz w:val="24"/>
          <w:szCs w:val="24"/>
        </w:rPr>
        <w:t>, or routine orthopaedic care</w:t>
      </w:r>
      <w:r w:rsidR="00D67DEB">
        <w:rPr>
          <w:rFonts w:ascii="Times New Roman" w:hAnsi="Times New Roman" w:cs="Times New Roman"/>
          <w:bCs/>
          <w:sz w:val="24"/>
          <w:szCs w:val="24"/>
        </w:rPr>
        <w:t>[6</w:t>
      </w:r>
      <w:r w:rsidR="00C9301B">
        <w:rPr>
          <w:rFonts w:ascii="Times New Roman" w:hAnsi="Times New Roman" w:cs="Times New Roman"/>
          <w:bCs/>
          <w:sz w:val="24"/>
          <w:szCs w:val="24"/>
        </w:rPr>
        <w:t>7</w:t>
      </w:r>
      <w:r w:rsidR="00D67DEB">
        <w:rPr>
          <w:rFonts w:ascii="Times New Roman" w:hAnsi="Times New Roman" w:cs="Times New Roman"/>
          <w:bCs/>
          <w:sz w:val="24"/>
          <w:szCs w:val="24"/>
        </w:rPr>
        <w:t>]</w:t>
      </w:r>
      <w:r w:rsidRPr="00C33A5F">
        <w:rPr>
          <w:rFonts w:ascii="Times New Roman" w:eastAsia="Calibri" w:hAnsi="Times New Roman" w:cs="Times New Roman"/>
          <w:sz w:val="24"/>
          <w:szCs w:val="24"/>
        </w:rPr>
        <w:t xml:space="preserve"> in older adults admitted for hip fracture</w:t>
      </w:r>
      <w:r w:rsidRPr="00C33A5F">
        <w:rPr>
          <w:rFonts w:ascii="Times New Roman" w:hAnsi="Times New Roman" w:cs="Times New Roman"/>
          <w:bCs/>
          <w:sz w:val="24"/>
          <w:szCs w:val="24"/>
        </w:rPr>
        <w:t>. An orthogeriatric model resulted in a 40% reduction in relative risk of death i</w:t>
      </w:r>
      <w:r w:rsidR="00175A4E">
        <w:rPr>
          <w:rFonts w:ascii="Times New Roman" w:hAnsi="Times New Roman" w:cs="Times New Roman"/>
          <w:bCs/>
          <w:sz w:val="24"/>
          <w:szCs w:val="24"/>
        </w:rPr>
        <w:t xml:space="preserve">n hospital (RR 0.60, 95%CI 0.43 </w:t>
      </w:r>
      <w:r w:rsidR="00175A4E" w:rsidRPr="00DC47F6">
        <w:rPr>
          <w:rFonts w:ascii="Times New Roman" w:hAnsi="Times New Roman" w:cs="Times New Roman"/>
          <w:bCs/>
          <w:sz w:val="24"/>
          <w:szCs w:val="24"/>
        </w:rPr>
        <w:t>to</w:t>
      </w:r>
      <w:r w:rsidR="00175A4E">
        <w:rPr>
          <w:rFonts w:ascii="Times New Roman" w:hAnsi="Times New Roman" w:cs="Times New Roman"/>
          <w:bCs/>
          <w:sz w:val="24"/>
          <w:szCs w:val="24"/>
        </w:rPr>
        <w:t xml:space="preserve"> </w:t>
      </w:r>
      <w:r w:rsidRPr="00C33A5F">
        <w:rPr>
          <w:rFonts w:ascii="Times New Roman" w:hAnsi="Times New Roman" w:cs="Times New Roman"/>
          <w:bCs/>
          <w:sz w:val="24"/>
          <w:szCs w:val="24"/>
        </w:rPr>
        <w:t>0.84) and a 17% reduction in risk of long-term</w:t>
      </w:r>
      <w:r w:rsidR="00175A4E">
        <w:rPr>
          <w:rFonts w:ascii="Times New Roman" w:hAnsi="Times New Roman" w:cs="Times New Roman"/>
          <w:bCs/>
          <w:sz w:val="24"/>
          <w:szCs w:val="24"/>
        </w:rPr>
        <w:t xml:space="preserve"> mortality (RR 0.83, 95%CI 0.74 </w:t>
      </w:r>
      <w:r w:rsidR="00175A4E" w:rsidRPr="00DC47F6">
        <w:rPr>
          <w:rFonts w:ascii="Times New Roman" w:hAnsi="Times New Roman" w:cs="Times New Roman"/>
          <w:bCs/>
          <w:sz w:val="24"/>
          <w:szCs w:val="24"/>
        </w:rPr>
        <w:t>to</w:t>
      </w:r>
      <w:r w:rsidR="00175A4E">
        <w:rPr>
          <w:rFonts w:ascii="Times New Roman" w:hAnsi="Times New Roman" w:cs="Times New Roman"/>
          <w:bCs/>
          <w:sz w:val="24"/>
          <w:szCs w:val="24"/>
        </w:rPr>
        <w:t xml:space="preserve"> </w:t>
      </w:r>
      <w:r w:rsidRPr="00C33A5F">
        <w:rPr>
          <w:rFonts w:ascii="Times New Roman" w:hAnsi="Times New Roman" w:cs="Times New Roman"/>
          <w:bCs/>
          <w:sz w:val="24"/>
          <w:szCs w:val="24"/>
        </w:rPr>
        <w:t xml:space="preserve">0.94). In addition, data from a single RCT showed improved mobility at twelve months in participants receiving orthogeriatric care compared to usual orthopaedic </w:t>
      </w:r>
      <w:proofErr w:type="gramStart"/>
      <w:r w:rsidRPr="00C33A5F">
        <w:rPr>
          <w:rFonts w:ascii="Times New Roman" w:hAnsi="Times New Roman" w:cs="Times New Roman"/>
          <w:bCs/>
          <w:sz w:val="24"/>
          <w:szCs w:val="24"/>
        </w:rPr>
        <w:t>care</w:t>
      </w:r>
      <w:r w:rsidR="00D67DEB">
        <w:rPr>
          <w:rFonts w:ascii="Times New Roman" w:hAnsi="Times New Roman" w:cs="Times New Roman"/>
          <w:bCs/>
          <w:sz w:val="24"/>
          <w:szCs w:val="24"/>
        </w:rPr>
        <w:t>[</w:t>
      </w:r>
      <w:proofErr w:type="gramEnd"/>
      <w:r w:rsidR="00D67DEB">
        <w:rPr>
          <w:rFonts w:ascii="Times New Roman" w:hAnsi="Times New Roman" w:cs="Times New Roman"/>
          <w:bCs/>
          <w:sz w:val="24"/>
          <w:szCs w:val="24"/>
        </w:rPr>
        <w:t>6</w:t>
      </w:r>
      <w:r w:rsidR="00C9301B">
        <w:rPr>
          <w:rFonts w:ascii="Times New Roman" w:hAnsi="Times New Roman" w:cs="Times New Roman"/>
          <w:bCs/>
          <w:sz w:val="24"/>
          <w:szCs w:val="24"/>
        </w:rPr>
        <w:t>6</w:t>
      </w:r>
      <w:r w:rsidR="00D67DEB">
        <w:rPr>
          <w:rFonts w:ascii="Times New Roman" w:hAnsi="Times New Roman" w:cs="Times New Roman"/>
          <w:bCs/>
          <w:sz w:val="24"/>
          <w:szCs w:val="24"/>
        </w:rPr>
        <w:t>]</w:t>
      </w:r>
      <w:r w:rsidRPr="00C33A5F">
        <w:rPr>
          <w:rFonts w:ascii="Times New Roman" w:hAnsi="Times New Roman" w:cs="Times New Roman"/>
          <w:bCs/>
          <w:sz w:val="24"/>
          <w:szCs w:val="24"/>
        </w:rPr>
        <w:t>. However, multidisciplinary team care staff numbers (nurses, doctors and physiotherapists) per bed were higher in the geriatric unit than on the orthopaedic unit and the trial was at unclear risk of detection bias due to only partial masking of assessors during follow-</w:t>
      </w:r>
      <w:proofErr w:type="gramStart"/>
      <w:r w:rsidRPr="00C33A5F">
        <w:rPr>
          <w:rFonts w:ascii="Times New Roman" w:hAnsi="Times New Roman" w:cs="Times New Roman"/>
          <w:bCs/>
          <w:sz w:val="24"/>
          <w:szCs w:val="24"/>
        </w:rPr>
        <w:t>up</w:t>
      </w:r>
      <w:r w:rsidR="00D67DEB">
        <w:rPr>
          <w:rFonts w:ascii="Times New Roman" w:hAnsi="Times New Roman" w:cs="Times New Roman"/>
          <w:bCs/>
          <w:sz w:val="24"/>
          <w:szCs w:val="24"/>
        </w:rPr>
        <w:t>[</w:t>
      </w:r>
      <w:proofErr w:type="gramEnd"/>
      <w:r w:rsidR="00D67DEB">
        <w:rPr>
          <w:rFonts w:ascii="Times New Roman" w:hAnsi="Times New Roman" w:cs="Times New Roman"/>
          <w:bCs/>
          <w:sz w:val="24"/>
          <w:szCs w:val="24"/>
        </w:rPr>
        <w:t>6</w:t>
      </w:r>
      <w:r w:rsidR="00C9301B">
        <w:rPr>
          <w:rFonts w:ascii="Times New Roman" w:hAnsi="Times New Roman" w:cs="Times New Roman"/>
          <w:bCs/>
          <w:sz w:val="24"/>
          <w:szCs w:val="24"/>
        </w:rPr>
        <w:t>7</w:t>
      </w:r>
      <w:r w:rsidR="00D67DEB">
        <w:rPr>
          <w:rFonts w:ascii="Times New Roman" w:hAnsi="Times New Roman" w:cs="Times New Roman"/>
          <w:bCs/>
          <w:sz w:val="24"/>
          <w:szCs w:val="24"/>
        </w:rPr>
        <w:t>]</w:t>
      </w:r>
      <w:r w:rsidRPr="00C33A5F">
        <w:rPr>
          <w:rFonts w:ascii="Times New Roman" w:hAnsi="Times New Roman" w:cs="Times New Roman"/>
          <w:bCs/>
          <w:sz w:val="24"/>
          <w:szCs w:val="24"/>
        </w:rPr>
        <w:t>. The study also identified that comprehensi</w:t>
      </w:r>
      <w:r w:rsidR="00DC47F6">
        <w:rPr>
          <w:rFonts w:ascii="Times New Roman" w:hAnsi="Times New Roman" w:cs="Times New Roman"/>
          <w:bCs/>
          <w:sz w:val="24"/>
          <w:szCs w:val="24"/>
        </w:rPr>
        <w:t>ve geriatric care was more cost-</w:t>
      </w:r>
      <w:r w:rsidRPr="00C33A5F">
        <w:rPr>
          <w:rFonts w:ascii="Times New Roman" w:hAnsi="Times New Roman" w:cs="Times New Roman"/>
          <w:bCs/>
          <w:sz w:val="24"/>
          <w:szCs w:val="24"/>
        </w:rPr>
        <w:t>effective than orthopaedic care, although a lack of baseline EQ-5D-3L data precluded control of any baseline value imbalances.</w:t>
      </w:r>
    </w:p>
    <w:p w14:paraId="03FA1DCA" w14:textId="77777777" w:rsidR="00EC205C" w:rsidRPr="00C33A5F" w:rsidRDefault="00EC205C" w:rsidP="00EC205C">
      <w:pPr>
        <w:spacing w:after="0" w:line="480" w:lineRule="auto"/>
        <w:rPr>
          <w:rFonts w:ascii="Times New Roman" w:eastAsia="Calibri" w:hAnsi="Times New Roman" w:cs="Times New Roman"/>
          <w:sz w:val="24"/>
          <w:szCs w:val="24"/>
        </w:rPr>
      </w:pPr>
    </w:p>
    <w:p w14:paraId="2D55830F" w14:textId="77777777" w:rsidR="00EC205C" w:rsidRPr="00C33A5F" w:rsidRDefault="00EC205C" w:rsidP="006335FD">
      <w:pPr>
        <w:spacing w:after="0" w:line="480" w:lineRule="auto"/>
        <w:jc w:val="both"/>
        <w:rPr>
          <w:rFonts w:ascii="Times New Roman" w:eastAsia="Calibri" w:hAnsi="Times New Roman" w:cs="Times New Roman"/>
          <w:sz w:val="24"/>
          <w:szCs w:val="24"/>
        </w:rPr>
      </w:pPr>
      <w:r w:rsidRPr="00C33A5F">
        <w:rPr>
          <w:rFonts w:ascii="Times New Roman" w:eastAsia="Calibri" w:hAnsi="Times New Roman" w:cs="Times New Roman"/>
          <w:sz w:val="24"/>
          <w:szCs w:val="24"/>
        </w:rPr>
        <w:t xml:space="preserve">In contrast, </w:t>
      </w:r>
      <w:proofErr w:type="spellStart"/>
      <w:r w:rsidRPr="00C33A5F">
        <w:rPr>
          <w:rFonts w:ascii="Times New Roman" w:eastAsia="Calibri" w:hAnsi="Times New Roman" w:cs="Times New Roman"/>
          <w:sz w:val="24"/>
          <w:szCs w:val="24"/>
        </w:rPr>
        <w:t>Leighbeg</w:t>
      </w:r>
      <w:proofErr w:type="spellEnd"/>
      <w:r w:rsidRPr="00C33A5F">
        <w:rPr>
          <w:rFonts w:ascii="Times New Roman" w:eastAsia="Calibri" w:hAnsi="Times New Roman" w:cs="Times New Roman"/>
          <w:sz w:val="24"/>
          <w:szCs w:val="24"/>
        </w:rPr>
        <w:t xml:space="preserve"> </w:t>
      </w:r>
      <w:proofErr w:type="gramStart"/>
      <w:r w:rsidRPr="00C33A5F">
        <w:rPr>
          <w:rFonts w:ascii="Times New Roman" w:eastAsia="Calibri" w:hAnsi="Times New Roman" w:cs="Times New Roman"/>
          <w:sz w:val="24"/>
          <w:szCs w:val="24"/>
        </w:rPr>
        <w:t>et al.</w:t>
      </w:r>
      <w:r w:rsidR="00D67DEB">
        <w:rPr>
          <w:rFonts w:ascii="Times New Roman" w:eastAsia="Calibri" w:hAnsi="Times New Roman" w:cs="Times New Roman"/>
          <w:sz w:val="24"/>
          <w:szCs w:val="24"/>
        </w:rPr>
        <w:t>[</w:t>
      </w:r>
      <w:proofErr w:type="gramEnd"/>
      <w:r w:rsidR="00D67DEB">
        <w:rPr>
          <w:rFonts w:ascii="Times New Roman" w:eastAsia="Calibri" w:hAnsi="Times New Roman" w:cs="Times New Roman"/>
          <w:sz w:val="24"/>
          <w:szCs w:val="24"/>
        </w:rPr>
        <w:t>6</w:t>
      </w:r>
      <w:r w:rsidR="00C9301B">
        <w:rPr>
          <w:rFonts w:ascii="Times New Roman" w:eastAsia="Calibri" w:hAnsi="Times New Roman" w:cs="Times New Roman"/>
          <w:sz w:val="24"/>
          <w:szCs w:val="24"/>
        </w:rPr>
        <w:t>9</w:t>
      </w:r>
      <w:r w:rsidR="00D67DEB">
        <w:rPr>
          <w:rFonts w:ascii="Times New Roman" w:eastAsia="Calibri" w:hAnsi="Times New Roman" w:cs="Times New Roman"/>
          <w:sz w:val="24"/>
          <w:szCs w:val="24"/>
        </w:rPr>
        <w:t>]</w:t>
      </w:r>
      <w:r w:rsidRPr="00C33A5F">
        <w:rPr>
          <w:rFonts w:ascii="Times New Roman" w:eastAsia="Calibri" w:hAnsi="Times New Roman" w:cs="Times New Roman"/>
          <w:sz w:val="24"/>
          <w:szCs w:val="24"/>
        </w:rPr>
        <w:t xml:space="preserve"> found no clear evidence of reduced mortality from their systematic overview of four secondary studies investigating </w:t>
      </w:r>
      <w:r w:rsidR="002E268C">
        <w:rPr>
          <w:rFonts w:ascii="Times New Roman" w:eastAsia="Calibri" w:hAnsi="Times New Roman" w:cs="Times New Roman"/>
          <w:sz w:val="24"/>
          <w:szCs w:val="24"/>
        </w:rPr>
        <w:t>the effect of care pathways and/</w:t>
      </w:r>
      <w:r w:rsidRPr="00C33A5F">
        <w:rPr>
          <w:rFonts w:ascii="Times New Roman" w:eastAsia="Calibri" w:hAnsi="Times New Roman" w:cs="Times New Roman"/>
          <w:sz w:val="24"/>
          <w:szCs w:val="24"/>
        </w:rPr>
        <w:t xml:space="preserve">or multidisciplinary team care approaches for people following hip fracture. However, diversity of study settings and difficulty with classification of studies in relation to the status of their </w:t>
      </w:r>
      <w:r w:rsidRPr="00C33A5F">
        <w:rPr>
          <w:rFonts w:ascii="Times New Roman" w:eastAsia="Calibri" w:hAnsi="Times New Roman" w:cs="Times New Roman"/>
          <w:sz w:val="24"/>
          <w:szCs w:val="24"/>
        </w:rPr>
        <w:lastRenderedPageBreak/>
        <w:t>interventions (care pathways or not care pathways) may have influenced</w:t>
      </w:r>
      <w:r w:rsidR="00287D1A" w:rsidRPr="00C33A5F">
        <w:rPr>
          <w:rFonts w:ascii="Times New Roman" w:eastAsia="Calibri" w:hAnsi="Times New Roman" w:cs="Times New Roman"/>
          <w:sz w:val="24"/>
          <w:szCs w:val="24"/>
        </w:rPr>
        <w:t xml:space="preserve"> the findings. </w:t>
      </w:r>
      <w:r w:rsidRPr="00C33A5F">
        <w:rPr>
          <w:rFonts w:ascii="Times New Roman" w:eastAsia="Calibri" w:hAnsi="Times New Roman" w:cs="Times New Roman"/>
          <w:sz w:val="24"/>
          <w:szCs w:val="24"/>
        </w:rPr>
        <w:t>Functional outcomes were investigated in three of the secondary studies with some evidence of improved functional recovery when interventions involving early mobilisation and intensive occupational and physical therapy input were provided in the acute setting.</w:t>
      </w:r>
    </w:p>
    <w:p w14:paraId="4491A486" w14:textId="77777777" w:rsidR="00EC205C" w:rsidRPr="00C33A5F" w:rsidRDefault="00EC205C" w:rsidP="00EC205C">
      <w:pPr>
        <w:spacing w:after="0" w:line="480" w:lineRule="auto"/>
        <w:rPr>
          <w:rFonts w:ascii="Times New Roman" w:eastAsia="Calibri" w:hAnsi="Times New Roman" w:cs="Times New Roman"/>
          <w:sz w:val="24"/>
          <w:szCs w:val="24"/>
        </w:rPr>
      </w:pPr>
    </w:p>
    <w:p w14:paraId="22618CDC" w14:textId="77777777" w:rsidR="00EC205C" w:rsidRPr="00C33A5F" w:rsidRDefault="00EC205C" w:rsidP="006335FD">
      <w:pPr>
        <w:spacing w:after="0" w:line="480" w:lineRule="auto"/>
        <w:jc w:val="both"/>
        <w:rPr>
          <w:rFonts w:ascii="Times New Roman" w:hAnsi="Times New Roman" w:cs="Times New Roman"/>
          <w:bCs/>
          <w:sz w:val="24"/>
          <w:szCs w:val="24"/>
        </w:rPr>
      </w:pPr>
      <w:r w:rsidRPr="00C33A5F">
        <w:rPr>
          <w:rFonts w:ascii="Times New Roman" w:eastAsia="Calibri" w:hAnsi="Times New Roman" w:cs="Times New Roman"/>
          <w:sz w:val="24"/>
          <w:szCs w:val="24"/>
        </w:rPr>
        <w:t xml:space="preserve">The evidence for FLS suggests that this model of care delivered to people presenting with different types of minimal trauma fracture offers significant opportunity for improved bone health-related outcomes compared to no FLS or usual </w:t>
      </w:r>
      <w:proofErr w:type="gramStart"/>
      <w:r w:rsidRPr="00C33A5F">
        <w:rPr>
          <w:rFonts w:ascii="Times New Roman" w:eastAsia="Calibri" w:hAnsi="Times New Roman" w:cs="Times New Roman"/>
          <w:sz w:val="24"/>
          <w:szCs w:val="24"/>
        </w:rPr>
        <w:t>care</w:t>
      </w:r>
      <w:r w:rsidR="00D67DEB">
        <w:rPr>
          <w:rFonts w:ascii="Times New Roman" w:eastAsia="Calibri" w:hAnsi="Times New Roman" w:cs="Times New Roman"/>
          <w:sz w:val="24"/>
          <w:szCs w:val="24"/>
        </w:rPr>
        <w:t>[</w:t>
      </w:r>
      <w:proofErr w:type="gramEnd"/>
      <w:r w:rsidR="00D67DEB">
        <w:rPr>
          <w:rFonts w:ascii="Times New Roman" w:eastAsia="Calibri" w:hAnsi="Times New Roman" w:cs="Times New Roman"/>
          <w:sz w:val="24"/>
          <w:szCs w:val="24"/>
        </w:rPr>
        <w:t>25]</w:t>
      </w:r>
      <w:r w:rsidRPr="00C33A5F">
        <w:rPr>
          <w:rFonts w:ascii="Times New Roman" w:eastAsia="Calibri" w:hAnsi="Times New Roman" w:cs="Times New Roman"/>
          <w:sz w:val="24"/>
          <w:szCs w:val="24"/>
        </w:rPr>
        <w:t xml:space="preserve">. </w:t>
      </w:r>
      <w:r w:rsidRPr="00C33A5F">
        <w:rPr>
          <w:rFonts w:ascii="Times New Roman" w:hAnsi="Times New Roman" w:cs="Times New Roman"/>
          <w:bCs/>
          <w:sz w:val="24"/>
          <w:szCs w:val="24"/>
        </w:rPr>
        <w:t>Between 6 and 72 months, t</w:t>
      </w:r>
      <w:r w:rsidRPr="00C33A5F">
        <w:rPr>
          <w:rFonts w:ascii="Times New Roman" w:eastAsia="Calibri" w:hAnsi="Times New Roman" w:cs="Times New Roman"/>
          <w:sz w:val="24"/>
          <w:szCs w:val="24"/>
        </w:rPr>
        <w:t xml:space="preserve">he absolute </w:t>
      </w:r>
      <w:r w:rsidRPr="00C33A5F">
        <w:rPr>
          <w:rFonts w:ascii="Times New Roman" w:hAnsi="Times New Roman" w:cs="Times New Roman"/>
          <w:bCs/>
          <w:sz w:val="24"/>
          <w:szCs w:val="24"/>
        </w:rPr>
        <w:t>risk reduction in re-fracture rate in participants receiving FLS interventions compared to participants receiving no FLS intervention or usual care was -0.05 (95%CI -0.08 to -0.03), equating to about a 30% reduction in re-fracture rate. The absolute risk reduction in mor</w:t>
      </w:r>
      <w:r w:rsidR="00381F11" w:rsidRPr="00C33A5F">
        <w:rPr>
          <w:rFonts w:ascii="Times New Roman" w:hAnsi="Times New Roman" w:cs="Times New Roman"/>
          <w:bCs/>
          <w:sz w:val="24"/>
          <w:szCs w:val="24"/>
        </w:rPr>
        <w:t xml:space="preserve">tality over the same period was </w:t>
      </w:r>
      <w:r w:rsidRPr="00C33A5F">
        <w:rPr>
          <w:rFonts w:ascii="Times New Roman" w:hAnsi="Times New Roman" w:cs="Times New Roman"/>
          <w:bCs/>
          <w:sz w:val="24"/>
          <w:szCs w:val="24"/>
        </w:rPr>
        <w:t xml:space="preserve">-0.03 [95% CI -0.05 to -0.01], equating to about a 20% drop. Synthesis of cost-effectiveness data shows that FLS implemented in high and middle-income countries are cost-effective irrespective of the intensity of the model and the country of </w:t>
      </w:r>
      <w:proofErr w:type="gramStart"/>
      <w:r w:rsidRPr="00C33A5F">
        <w:rPr>
          <w:rFonts w:ascii="Times New Roman" w:hAnsi="Times New Roman" w:cs="Times New Roman"/>
          <w:bCs/>
          <w:sz w:val="24"/>
          <w:szCs w:val="24"/>
        </w:rPr>
        <w:t>implementation</w:t>
      </w:r>
      <w:r w:rsidR="00D67DEB">
        <w:rPr>
          <w:rFonts w:ascii="Times New Roman" w:hAnsi="Times New Roman" w:cs="Times New Roman"/>
          <w:bCs/>
          <w:sz w:val="24"/>
          <w:szCs w:val="24"/>
        </w:rPr>
        <w:t>[</w:t>
      </w:r>
      <w:proofErr w:type="gramEnd"/>
      <w:r w:rsidR="00D67DEB">
        <w:rPr>
          <w:rFonts w:ascii="Times New Roman" w:hAnsi="Times New Roman" w:cs="Times New Roman"/>
          <w:bCs/>
          <w:sz w:val="24"/>
          <w:szCs w:val="24"/>
        </w:rPr>
        <w:t>6</w:t>
      </w:r>
      <w:r w:rsidR="00C9301B">
        <w:rPr>
          <w:rFonts w:ascii="Times New Roman" w:hAnsi="Times New Roman" w:cs="Times New Roman"/>
          <w:bCs/>
          <w:sz w:val="24"/>
          <w:szCs w:val="24"/>
        </w:rPr>
        <w:t>8</w:t>
      </w:r>
      <w:r w:rsidR="00D67DEB">
        <w:rPr>
          <w:rFonts w:ascii="Times New Roman" w:hAnsi="Times New Roman" w:cs="Times New Roman"/>
          <w:bCs/>
          <w:sz w:val="24"/>
          <w:szCs w:val="24"/>
        </w:rPr>
        <w:t>]</w:t>
      </w:r>
      <w:r w:rsidRPr="00C33A5F">
        <w:rPr>
          <w:rFonts w:ascii="Times New Roman" w:hAnsi="Times New Roman" w:cs="Times New Roman"/>
          <w:bCs/>
          <w:sz w:val="24"/>
          <w:szCs w:val="24"/>
        </w:rPr>
        <w:t>. One study of a FLS in Australia, in which a nurse coordinator assesse</w:t>
      </w:r>
      <w:r w:rsidR="00287D1A" w:rsidRPr="00C33A5F">
        <w:rPr>
          <w:rFonts w:ascii="Times New Roman" w:hAnsi="Times New Roman" w:cs="Times New Roman"/>
          <w:bCs/>
          <w:sz w:val="24"/>
          <w:szCs w:val="24"/>
        </w:rPr>
        <w:t xml:space="preserve">d bone health in patients ≥ 50 </w:t>
      </w:r>
      <w:r w:rsidRPr="00C33A5F">
        <w:rPr>
          <w:rFonts w:ascii="Times New Roman" w:hAnsi="Times New Roman" w:cs="Times New Roman"/>
          <w:bCs/>
          <w:sz w:val="24"/>
          <w:szCs w:val="24"/>
        </w:rPr>
        <w:t xml:space="preserve">years of age presenting with a minimal trauma fracture, and subsequently referred to an endocrinologist, reported improved Quality Adjusted Life Years (QALYs) by an estimated 0.054 per patient (Incremental Cost Effectiveness Ratio (ICER) $31,749 AUD) when treatment was prescribed over five years. Similarly, a UK nurse-led FLS delivered to patients admitted to hospital with a hip fracture resulted in ICERs of £19,955 and £20,421 per QALY, thus falling within recommended ICER </w:t>
      </w:r>
      <w:proofErr w:type="gramStart"/>
      <w:r w:rsidRPr="00C33A5F">
        <w:rPr>
          <w:rFonts w:ascii="Times New Roman" w:hAnsi="Times New Roman" w:cs="Times New Roman"/>
          <w:bCs/>
          <w:sz w:val="24"/>
          <w:szCs w:val="24"/>
        </w:rPr>
        <w:t>ranges</w:t>
      </w:r>
      <w:r w:rsidR="00D67DEB">
        <w:rPr>
          <w:rFonts w:ascii="Times New Roman" w:hAnsi="Times New Roman" w:cs="Times New Roman"/>
          <w:bCs/>
          <w:sz w:val="24"/>
          <w:szCs w:val="24"/>
        </w:rPr>
        <w:t>[</w:t>
      </w:r>
      <w:proofErr w:type="gramEnd"/>
      <w:r w:rsidR="00D67DEB">
        <w:rPr>
          <w:rFonts w:ascii="Times New Roman" w:hAnsi="Times New Roman" w:cs="Times New Roman"/>
          <w:bCs/>
          <w:sz w:val="24"/>
          <w:szCs w:val="24"/>
        </w:rPr>
        <w:t>6</w:t>
      </w:r>
      <w:r w:rsidR="00C9301B">
        <w:rPr>
          <w:rFonts w:ascii="Times New Roman" w:hAnsi="Times New Roman" w:cs="Times New Roman"/>
          <w:bCs/>
          <w:sz w:val="24"/>
          <w:szCs w:val="24"/>
        </w:rPr>
        <w:t>8</w:t>
      </w:r>
      <w:r w:rsidR="00D67DEB">
        <w:rPr>
          <w:rFonts w:ascii="Times New Roman" w:hAnsi="Times New Roman" w:cs="Times New Roman"/>
          <w:bCs/>
          <w:sz w:val="24"/>
          <w:szCs w:val="24"/>
        </w:rPr>
        <w:t>]</w:t>
      </w:r>
      <w:r w:rsidRPr="00C33A5F">
        <w:rPr>
          <w:rFonts w:ascii="Times New Roman" w:hAnsi="Times New Roman" w:cs="Times New Roman"/>
          <w:bCs/>
          <w:sz w:val="24"/>
          <w:szCs w:val="24"/>
        </w:rPr>
        <w:t>.</w:t>
      </w:r>
    </w:p>
    <w:p w14:paraId="1365A825" w14:textId="77777777" w:rsidR="00C850DF" w:rsidRPr="00C33A5F" w:rsidRDefault="00C850DF" w:rsidP="001B794A">
      <w:pPr>
        <w:spacing w:after="0" w:line="480" w:lineRule="auto"/>
        <w:rPr>
          <w:rFonts w:ascii="Times New Roman" w:hAnsi="Times New Roman" w:cs="Times New Roman"/>
          <w:bCs/>
          <w:sz w:val="24"/>
          <w:szCs w:val="24"/>
        </w:rPr>
      </w:pPr>
    </w:p>
    <w:p w14:paraId="0D3FBE3E" w14:textId="77777777" w:rsidR="001D64AD" w:rsidRDefault="001D64AD">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3DF04D36" w14:textId="623458CE" w:rsidR="008A1D23" w:rsidRPr="00C33A5F" w:rsidRDefault="00F65CC2" w:rsidP="008B435D">
      <w:pPr>
        <w:spacing w:after="0" w:line="480" w:lineRule="auto"/>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lastRenderedPageBreak/>
        <w:t xml:space="preserve">6  </w:t>
      </w:r>
      <w:r w:rsidR="00B21400" w:rsidRPr="008B435D">
        <w:rPr>
          <w:rFonts w:ascii="Times New Roman" w:eastAsia="Calibri" w:hAnsi="Times New Roman" w:cs="Times New Roman"/>
          <w:b/>
          <w:sz w:val="24"/>
          <w:szCs w:val="24"/>
        </w:rPr>
        <w:t>What</w:t>
      </w:r>
      <w:proofErr w:type="gramEnd"/>
      <w:r w:rsidR="00B21400" w:rsidRPr="008B435D">
        <w:rPr>
          <w:rFonts w:ascii="Times New Roman" w:eastAsia="Calibri" w:hAnsi="Times New Roman" w:cs="Times New Roman"/>
          <w:b/>
          <w:sz w:val="24"/>
          <w:szCs w:val="24"/>
        </w:rPr>
        <w:t xml:space="preserve"> is the effect of interventions provided by HPs to enhance adherence to anti-osteoporosis medicines in adults at high-risk of primary or secondary osteoporotic fracture?</w:t>
      </w:r>
    </w:p>
    <w:p w14:paraId="46CEEC2E" w14:textId="77777777" w:rsidR="00F51EC8" w:rsidRPr="00C33A5F" w:rsidRDefault="00F51EC8" w:rsidP="008B435D">
      <w:pPr>
        <w:spacing w:after="0" w:line="480" w:lineRule="auto"/>
        <w:rPr>
          <w:rFonts w:ascii="Times New Roman" w:hAnsi="Times New Roman" w:cs="Times New Roman"/>
          <w:b/>
          <w:sz w:val="24"/>
          <w:szCs w:val="24"/>
        </w:rPr>
      </w:pPr>
    </w:p>
    <w:p w14:paraId="0B477934" w14:textId="77777777" w:rsidR="00EC205C" w:rsidRPr="00C33A5F" w:rsidRDefault="00EC205C" w:rsidP="006335FD">
      <w:pPr>
        <w:spacing w:after="0" w:line="480" w:lineRule="auto"/>
        <w:jc w:val="both"/>
        <w:rPr>
          <w:rFonts w:ascii="Times New Roman" w:hAnsi="Times New Roman" w:cs="Times New Roman"/>
          <w:sz w:val="24"/>
          <w:szCs w:val="24"/>
        </w:rPr>
      </w:pPr>
      <w:r w:rsidRPr="00C33A5F">
        <w:rPr>
          <w:rFonts w:ascii="Times New Roman" w:hAnsi="Times New Roman" w:cs="Times New Roman"/>
          <w:sz w:val="24"/>
          <w:szCs w:val="24"/>
        </w:rPr>
        <w:t>Synthesised evidence for the effect of interventi</w:t>
      </w:r>
      <w:r w:rsidR="002E268C">
        <w:rPr>
          <w:rFonts w:ascii="Times New Roman" w:hAnsi="Times New Roman" w:cs="Times New Roman"/>
          <w:sz w:val="24"/>
          <w:szCs w:val="24"/>
        </w:rPr>
        <w:t>ons to enhance adherence to and/</w:t>
      </w:r>
      <w:r w:rsidRPr="00C33A5F">
        <w:rPr>
          <w:rFonts w:ascii="Times New Roman" w:hAnsi="Times New Roman" w:cs="Times New Roman"/>
          <w:sz w:val="24"/>
          <w:szCs w:val="24"/>
        </w:rPr>
        <w:t xml:space="preserve">or persistence with osteoporosis medicines included one systematic review (14,662 </w:t>
      </w:r>
      <w:proofErr w:type="gramStart"/>
      <w:r w:rsidRPr="00C33A5F">
        <w:rPr>
          <w:rFonts w:ascii="Times New Roman" w:hAnsi="Times New Roman" w:cs="Times New Roman"/>
          <w:sz w:val="24"/>
          <w:szCs w:val="24"/>
        </w:rPr>
        <w:t>participants)</w:t>
      </w:r>
      <w:r w:rsidR="00D67DEB">
        <w:rPr>
          <w:rFonts w:ascii="Times New Roman" w:hAnsi="Times New Roman" w:cs="Times New Roman"/>
          <w:sz w:val="24"/>
          <w:szCs w:val="24"/>
        </w:rPr>
        <w:t>[</w:t>
      </w:r>
      <w:proofErr w:type="gramEnd"/>
      <w:r w:rsidR="00C9301B">
        <w:rPr>
          <w:rFonts w:ascii="Times New Roman" w:hAnsi="Times New Roman" w:cs="Times New Roman"/>
          <w:sz w:val="24"/>
          <w:szCs w:val="24"/>
        </w:rPr>
        <w:t>70</w:t>
      </w:r>
      <w:r w:rsidR="00D67DEB">
        <w:rPr>
          <w:rFonts w:ascii="Times New Roman" w:hAnsi="Times New Roman" w:cs="Times New Roman"/>
          <w:sz w:val="24"/>
          <w:szCs w:val="24"/>
        </w:rPr>
        <w:t>]</w:t>
      </w:r>
      <w:r w:rsidRPr="00C33A5F">
        <w:rPr>
          <w:rFonts w:ascii="Times New Roman" w:hAnsi="Times New Roman" w:cs="Times New Roman"/>
          <w:sz w:val="24"/>
          <w:szCs w:val="24"/>
        </w:rPr>
        <w:t>, one prospective cohort study</w:t>
      </w:r>
      <w:r w:rsidR="00D67DEB">
        <w:rPr>
          <w:rFonts w:ascii="Times New Roman" w:hAnsi="Times New Roman" w:cs="Times New Roman"/>
          <w:sz w:val="24"/>
          <w:szCs w:val="24"/>
        </w:rPr>
        <w:t>[7</w:t>
      </w:r>
      <w:r w:rsidR="00C9301B">
        <w:rPr>
          <w:rFonts w:ascii="Times New Roman" w:hAnsi="Times New Roman" w:cs="Times New Roman"/>
          <w:sz w:val="24"/>
          <w:szCs w:val="24"/>
        </w:rPr>
        <w:t>1</w:t>
      </w:r>
      <w:r w:rsidR="00D67DEB">
        <w:rPr>
          <w:rFonts w:ascii="Times New Roman" w:hAnsi="Times New Roman" w:cs="Times New Roman"/>
          <w:sz w:val="24"/>
          <w:szCs w:val="24"/>
        </w:rPr>
        <w:t>]</w:t>
      </w:r>
      <w:r w:rsidRPr="00C33A5F">
        <w:rPr>
          <w:rFonts w:ascii="Times New Roman" w:hAnsi="Times New Roman" w:cs="Times New Roman"/>
          <w:sz w:val="24"/>
          <w:szCs w:val="24"/>
        </w:rPr>
        <w:t>, and one cluster RCT</w:t>
      </w:r>
      <w:r w:rsidR="00D67DEB">
        <w:rPr>
          <w:rFonts w:ascii="Times New Roman" w:hAnsi="Times New Roman" w:cs="Times New Roman"/>
          <w:sz w:val="24"/>
          <w:szCs w:val="24"/>
        </w:rPr>
        <w:t>[7</w:t>
      </w:r>
      <w:r w:rsidR="00C9301B">
        <w:rPr>
          <w:rFonts w:ascii="Times New Roman" w:hAnsi="Times New Roman" w:cs="Times New Roman"/>
          <w:sz w:val="24"/>
          <w:szCs w:val="24"/>
        </w:rPr>
        <w:t>2</w:t>
      </w:r>
      <w:r w:rsidR="00D67DEB">
        <w:rPr>
          <w:rFonts w:ascii="Times New Roman" w:hAnsi="Times New Roman" w:cs="Times New Roman"/>
          <w:sz w:val="24"/>
          <w:szCs w:val="24"/>
        </w:rPr>
        <w:t>]</w:t>
      </w:r>
      <w:r w:rsidR="00BE2A92">
        <w:rPr>
          <w:rFonts w:ascii="Times New Roman" w:hAnsi="Times New Roman" w:cs="Times New Roman"/>
          <w:sz w:val="24"/>
          <w:szCs w:val="24"/>
        </w:rPr>
        <w:t xml:space="preserve"> (Table 5</w:t>
      </w:r>
      <w:r w:rsidRPr="00C33A5F">
        <w:rPr>
          <w:rFonts w:ascii="Times New Roman" w:hAnsi="Times New Roman" w:cs="Times New Roman"/>
          <w:sz w:val="24"/>
          <w:szCs w:val="24"/>
        </w:rPr>
        <w:t>). Available evidence suggests that simplification of osteoporosis medication dosing regimens, incorporating less frequent dosing, electronic prescriptions and osteoporosis management services provided by pharmacists, wh</w:t>
      </w:r>
      <w:r w:rsidR="002E268C">
        <w:rPr>
          <w:rFonts w:ascii="Times New Roman" w:hAnsi="Times New Roman" w:cs="Times New Roman"/>
          <w:sz w:val="24"/>
          <w:szCs w:val="24"/>
        </w:rPr>
        <w:t>ich incorporate counselling and/</w:t>
      </w:r>
      <w:r w:rsidRPr="00C33A5F">
        <w:rPr>
          <w:rFonts w:ascii="Times New Roman" w:hAnsi="Times New Roman" w:cs="Times New Roman"/>
          <w:sz w:val="24"/>
          <w:szCs w:val="24"/>
        </w:rPr>
        <w:t>or monitoring of prescription redemption, may favourably affect medication adherence and lower discontinuation rates</w:t>
      </w:r>
      <w:r w:rsidR="00D67DEB">
        <w:rPr>
          <w:rFonts w:ascii="Times New Roman" w:hAnsi="Times New Roman" w:cs="Times New Roman"/>
          <w:sz w:val="24"/>
          <w:szCs w:val="24"/>
        </w:rPr>
        <w:t>[</w:t>
      </w:r>
      <w:r w:rsidR="00C9301B">
        <w:rPr>
          <w:rFonts w:ascii="Times New Roman" w:hAnsi="Times New Roman" w:cs="Times New Roman"/>
          <w:sz w:val="24"/>
          <w:szCs w:val="24"/>
        </w:rPr>
        <w:t>70</w:t>
      </w:r>
      <w:r w:rsidR="00D67DEB">
        <w:rPr>
          <w:rFonts w:ascii="Times New Roman" w:hAnsi="Times New Roman" w:cs="Times New Roman"/>
          <w:sz w:val="24"/>
          <w:szCs w:val="24"/>
        </w:rPr>
        <w:t>,7</w:t>
      </w:r>
      <w:r w:rsidR="00C9301B">
        <w:rPr>
          <w:rFonts w:ascii="Times New Roman" w:hAnsi="Times New Roman" w:cs="Times New Roman"/>
          <w:sz w:val="24"/>
          <w:szCs w:val="24"/>
        </w:rPr>
        <w:t>1</w:t>
      </w:r>
      <w:r w:rsidR="00D67DEB">
        <w:rPr>
          <w:rFonts w:ascii="Times New Roman" w:hAnsi="Times New Roman" w:cs="Times New Roman"/>
          <w:sz w:val="24"/>
          <w:szCs w:val="24"/>
        </w:rPr>
        <w:t>]</w:t>
      </w:r>
      <w:r w:rsidRPr="00C33A5F">
        <w:rPr>
          <w:rFonts w:ascii="Times New Roman" w:hAnsi="Times New Roman" w:cs="Times New Roman"/>
          <w:sz w:val="24"/>
          <w:szCs w:val="24"/>
        </w:rPr>
        <w:t>, although the amount of literature identified is limited. The effectiveness of educational interventions appears unclear.</w:t>
      </w:r>
    </w:p>
    <w:p w14:paraId="50018739" w14:textId="77777777" w:rsidR="00CB4DBB" w:rsidRPr="00C33A5F" w:rsidRDefault="00CB4DBB" w:rsidP="00CB4DBB">
      <w:pPr>
        <w:rPr>
          <w:rFonts w:ascii="Times New Roman" w:hAnsi="Times New Roman" w:cs="Times New Roman"/>
          <w:sz w:val="24"/>
          <w:szCs w:val="24"/>
        </w:rPr>
      </w:pPr>
    </w:p>
    <w:p w14:paraId="65AD6C8C" w14:textId="77777777" w:rsidR="00A76905" w:rsidRPr="00C33A5F" w:rsidRDefault="00A15716" w:rsidP="00D40DDD">
      <w:pPr>
        <w:pStyle w:val="Heading2"/>
        <w:spacing w:before="0" w:line="480" w:lineRule="auto"/>
        <w:rPr>
          <w:rFonts w:ascii="Times New Roman" w:hAnsi="Times New Roman" w:cs="Times New Roman"/>
          <w:b/>
          <w:color w:val="auto"/>
          <w:sz w:val="24"/>
          <w:szCs w:val="24"/>
          <w:lang w:val="en-GB"/>
        </w:rPr>
      </w:pPr>
      <w:r>
        <w:rPr>
          <w:rFonts w:ascii="Times New Roman" w:hAnsi="Times New Roman" w:cs="Times New Roman"/>
          <w:b/>
          <w:color w:val="auto"/>
          <w:sz w:val="24"/>
          <w:szCs w:val="24"/>
          <w:lang w:val="en-GB"/>
        </w:rPr>
        <w:t>DISCUSSION</w:t>
      </w:r>
      <w:r w:rsidR="00BA1F29" w:rsidRPr="00C33A5F">
        <w:rPr>
          <w:rFonts w:ascii="Times New Roman" w:hAnsi="Times New Roman" w:cs="Times New Roman"/>
          <w:b/>
          <w:color w:val="auto"/>
          <w:sz w:val="24"/>
          <w:szCs w:val="24"/>
          <w:lang w:val="en-GB"/>
        </w:rPr>
        <w:t xml:space="preserve"> </w:t>
      </w:r>
    </w:p>
    <w:p w14:paraId="492A24B4" w14:textId="3B3043B0" w:rsidR="009463DA" w:rsidRDefault="00BF2628" w:rsidP="006335FD">
      <w:pPr>
        <w:spacing w:after="0" w:line="480" w:lineRule="auto"/>
        <w:jc w:val="both"/>
        <w:rPr>
          <w:rFonts w:ascii="Times New Roman" w:eastAsia="Calibri" w:hAnsi="Times New Roman" w:cs="Times New Roman"/>
          <w:sz w:val="24"/>
          <w:szCs w:val="24"/>
        </w:rPr>
      </w:pPr>
      <w:r w:rsidRPr="00C33A5F">
        <w:rPr>
          <w:rFonts w:ascii="Times New Roman" w:eastAsia="Calibri" w:hAnsi="Times New Roman" w:cs="Times New Roman"/>
          <w:sz w:val="24"/>
          <w:szCs w:val="24"/>
        </w:rPr>
        <w:t xml:space="preserve">This SLR has </w:t>
      </w:r>
      <w:r w:rsidR="00213DC0" w:rsidRPr="00602A32">
        <w:rPr>
          <w:rFonts w:ascii="Times New Roman" w:eastAsia="Calibri" w:hAnsi="Times New Roman" w:cs="Times New Roman"/>
          <w:sz w:val="24"/>
          <w:szCs w:val="24"/>
        </w:rPr>
        <w:t>appraised</w:t>
      </w:r>
      <w:r w:rsidRPr="00C33A5F">
        <w:rPr>
          <w:rFonts w:ascii="Times New Roman" w:eastAsia="Calibri" w:hAnsi="Times New Roman" w:cs="Times New Roman"/>
          <w:sz w:val="24"/>
          <w:szCs w:val="24"/>
        </w:rPr>
        <w:t xml:space="preserve"> evidence about the effect of non-pharmacological interventions </w:t>
      </w:r>
      <w:r w:rsidR="00213DC0" w:rsidRPr="00602A32">
        <w:rPr>
          <w:rFonts w:ascii="Times New Roman" w:eastAsia="Calibri" w:hAnsi="Times New Roman" w:cs="Times New Roman"/>
          <w:sz w:val="24"/>
          <w:szCs w:val="24"/>
        </w:rPr>
        <w:t>delivered</w:t>
      </w:r>
      <w:r w:rsidRPr="00602A32">
        <w:rPr>
          <w:rFonts w:ascii="Times New Roman" w:eastAsia="Calibri" w:hAnsi="Times New Roman" w:cs="Times New Roman"/>
          <w:sz w:val="24"/>
          <w:szCs w:val="24"/>
        </w:rPr>
        <w:t xml:space="preserve"> by </w:t>
      </w:r>
      <w:r w:rsidR="00B252FB" w:rsidRPr="00602A32">
        <w:rPr>
          <w:rFonts w:ascii="Times New Roman" w:eastAsia="Calibri" w:hAnsi="Times New Roman" w:cs="Times New Roman"/>
          <w:sz w:val="24"/>
          <w:szCs w:val="24"/>
        </w:rPr>
        <w:t>HPs</w:t>
      </w:r>
      <w:r w:rsidR="00213DC0" w:rsidRPr="00602A32">
        <w:rPr>
          <w:rFonts w:ascii="Times New Roman" w:eastAsia="Calibri" w:hAnsi="Times New Roman" w:cs="Times New Roman"/>
          <w:sz w:val="24"/>
          <w:szCs w:val="24"/>
        </w:rPr>
        <w:t xml:space="preserve"> to prevent and manage</w:t>
      </w:r>
      <w:r w:rsidRPr="00602A32">
        <w:rPr>
          <w:rFonts w:ascii="Times New Roman" w:eastAsia="Calibri" w:hAnsi="Times New Roman" w:cs="Times New Roman"/>
          <w:sz w:val="24"/>
          <w:szCs w:val="24"/>
        </w:rPr>
        <w:t xml:space="preserve"> </w:t>
      </w:r>
      <w:r w:rsidR="00213DC0" w:rsidRPr="00602A32">
        <w:rPr>
          <w:rFonts w:ascii="Times New Roman" w:eastAsia="Calibri" w:hAnsi="Times New Roman" w:cs="Times New Roman"/>
          <w:sz w:val="24"/>
          <w:szCs w:val="24"/>
        </w:rPr>
        <w:t xml:space="preserve">osteoporotic fractures in </w:t>
      </w:r>
      <w:r w:rsidRPr="00602A32">
        <w:rPr>
          <w:rFonts w:ascii="Times New Roman" w:eastAsia="Calibri" w:hAnsi="Times New Roman" w:cs="Times New Roman"/>
          <w:sz w:val="24"/>
          <w:szCs w:val="24"/>
        </w:rPr>
        <w:t xml:space="preserve">adults </w:t>
      </w:r>
      <w:r w:rsidR="00602A32" w:rsidRPr="00C33A5F">
        <w:rPr>
          <w:rFonts w:ascii="Times New Roman" w:eastAsia="Calibri" w:hAnsi="Times New Roman" w:cs="Times New Roman"/>
          <w:sz w:val="24"/>
          <w:szCs w:val="24"/>
        </w:rPr>
        <w:t>≥</w:t>
      </w:r>
      <w:r w:rsidR="00602A32">
        <w:rPr>
          <w:rFonts w:ascii="Times New Roman" w:eastAsia="Calibri" w:hAnsi="Times New Roman" w:cs="Times New Roman"/>
          <w:sz w:val="24"/>
          <w:szCs w:val="24"/>
        </w:rPr>
        <w:t>50 years at high-</w:t>
      </w:r>
      <w:r w:rsidR="00213DC0" w:rsidRPr="00602A32">
        <w:rPr>
          <w:rFonts w:ascii="Times New Roman" w:eastAsia="Calibri" w:hAnsi="Times New Roman" w:cs="Times New Roman"/>
          <w:sz w:val="24"/>
          <w:szCs w:val="24"/>
        </w:rPr>
        <w:t>risk of fracture</w:t>
      </w:r>
      <w:r w:rsidRPr="00602A32">
        <w:rPr>
          <w:rFonts w:ascii="Times New Roman" w:eastAsia="Calibri" w:hAnsi="Times New Roman" w:cs="Times New Roman"/>
          <w:sz w:val="24"/>
          <w:szCs w:val="24"/>
        </w:rPr>
        <w:t>.</w:t>
      </w:r>
      <w:r w:rsidRPr="00C33A5F">
        <w:rPr>
          <w:rFonts w:ascii="Times New Roman" w:eastAsia="Calibri" w:hAnsi="Times New Roman" w:cs="Times New Roman"/>
          <w:sz w:val="24"/>
          <w:szCs w:val="24"/>
        </w:rPr>
        <w:t xml:space="preserve"> Our review showed </w:t>
      </w:r>
      <w:r w:rsidR="00213DC0" w:rsidRPr="00602A32">
        <w:rPr>
          <w:rFonts w:ascii="Times New Roman" w:eastAsia="Calibri" w:hAnsi="Times New Roman" w:cs="Times New Roman"/>
          <w:sz w:val="24"/>
          <w:szCs w:val="24"/>
        </w:rPr>
        <w:t>positive</w:t>
      </w:r>
      <w:r w:rsidR="00213DC0">
        <w:rPr>
          <w:rFonts w:ascii="Times New Roman" w:eastAsia="Calibri" w:hAnsi="Times New Roman" w:cs="Times New Roman"/>
          <w:sz w:val="24"/>
          <w:szCs w:val="24"/>
        </w:rPr>
        <w:t xml:space="preserve"> </w:t>
      </w:r>
      <w:r w:rsidRPr="00C33A5F">
        <w:rPr>
          <w:rFonts w:ascii="Times New Roman" w:eastAsia="Calibri" w:hAnsi="Times New Roman" w:cs="Times New Roman"/>
          <w:sz w:val="24"/>
          <w:szCs w:val="24"/>
        </w:rPr>
        <w:t>effects of interventions to prevent and manage osteoporotic fracture despite heterogeneity of interventions</w:t>
      </w:r>
      <w:r w:rsidR="00213DC0">
        <w:rPr>
          <w:rFonts w:ascii="Times New Roman" w:eastAsia="Calibri" w:hAnsi="Times New Roman" w:cs="Times New Roman"/>
          <w:sz w:val="24"/>
          <w:szCs w:val="24"/>
        </w:rPr>
        <w:t>, study designs and professions</w:t>
      </w:r>
      <w:r w:rsidRPr="00C33A5F">
        <w:rPr>
          <w:rFonts w:ascii="Times New Roman" w:eastAsia="Calibri" w:hAnsi="Times New Roman" w:cs="Times New Roman"/>
          <w:sz w:val="24"/>
          <w:szCs w:val="24"/>
        </w:rPr>
        <w:t xml:space="preserve">. An example is exercise. There is </w:t>
      </w:r>
      <w:proofErr w:type="gramStart"/>
      <w:r w:rsidRPr="00C33A5F">
        <w:rPr>
          <w:rFonts w:ascii="Times New Roman" w:eastAsia="Calibri" w:hAnsi="Times New Roman" w:cs="Times New Roman"/>
          <w:sz w:val="24"/>
          <w:szCs w:val="24"/>
        </w:rPr>
        <w:t>sufficient</w:t>
      </w:r>
      <w:proofErr w:type="gramEnd"/>
      <w:r w:rsidRPr="00C33A5F">
        <w:rPr>
          <w:rFonts w:ascii="Times New Roman" w:eastAsia="Calibri" w:hAnsi="Times New Roman" w:cs="Times New Roman"/>
          <w:sz w:val="24"/>
          <w:szCs w:val="24"/>
        </w:rPr>
        <w:t xml:space="preserve"> evidence that structured exercise</w:t>
      </w:r>
      <w:r w:rsidR="00287D1A" w:rsidRPr="00C33A5F">
        <w:rPr>
          <w:rFonts w:ascii="Times New Roman" w:eastAsia="Calibri" w:hAnsi="Times New Roman" w:cs="Times New Roman"/>
          <w:sz w:val="24"/>
          <w:szCs w:val="24"/>
        </w:rPr>
        <w:t>,</w:t>
      </w:r>
      <w:r w:rsidRPr="00C33A5F">
        <w:rPr>
          <w:rFonts w:ascii="Times New Roman" w:eastAsia="Calibri" w:hAnsi="Times New Roman" w:cs="Times New Roman"/>
          <w:sz w:val="24"/>
          <w:szCs w:val="24"/>
        </w:rPr>
        <w:t xml:space="preserve"> </w:t>
      </w:r>
      <w:r w:rsidR="00287D1A" w:rsidRPr="00C33A5F">
        <w:rPr>
          <w:rFonts w:ascii="Times New Roman" w:eastAsia="Calibri" w:hAnsi="Times New Roman" w:cs="Times New Roman"/>
          <w:sz w:val="24"/>
          <w:szCs w:val="24"/>
        </w:rPr>
        <w:t>incorporating</w:t>
      </w:r>
      <w:r w:rsidRPr="00C33A5F">
        <w:rPr>
          <w:rFonts w:ascii="Times New Roman" w:eastAsia="Calibri" w:hAnsi="Times New Roman" w:cs="Times New Roman"/>
          <w:sz w:val="24"/>
          <w:szCs w:val="24"/>
        </w:rPr>
        <w:t xml:space="preserve"> </w:t>
      </w:r>
      <w:r w:rsidR="00213DC0">
        <w:rPr>
          <w:rFonts w:ascii="Times New Roman" w:eastAsia="Calibri" w:hAnsi="Times New Roman" w:cs="Times New Roman"/>
          <w:sz w:val="24"/>
          <w:szCs w:val="24"/>
        </w:rPr>
        <w:t>PRE</w:t>
      </w:r>
      <w:r w:rsidRPr="00C33A5F">
        <w:rPr>
          <w:rFonts w:ascii="Times New Roman" w:eastAsia="Calibri" w:hAnsi="Times New Roman" w:cs="Times New Roman"/>
          <w:sz w:val="24"/>
          <w:szCs w:val="24"/>
        </w:rPr>
        <w:t>, delivered to people following hip fracture surgery</w:t>
      </w:r>
      <w:r w:rsidR="002E268C">
        <w:rPr>
          <w:rFonts w:ascii="Times New Roman" w:eastAsia="Calibri" w:hAnsi="Times New Roman" w:cs="Times New Roman"/>
          <w:sz w:val="24"/>
          <w:szCs w:val="24"/>
        </w:rPr>
        <w:t>,</w:t>
      </w:r>
      <w:r w:rsidRPr="00C33A5F">
        <w:rPr>
          <w:rFonts w:ascii="Times New Roman" w:eastAsia="Calibri" w:hAnsi="Times New Roman" w:cs="Times New Roman"/>
          <w:sz w:val="24"/>
          <w:szCs w:val="24"/>
        </w:rPr>
        <w:t xml:space="preserve"> reduces risk of falling. However, there is insufficient evidence to determine if structured exercise can reduce falls risk i</w:t>
      </w:r>
      <w:r w:rsidR="00287D1A" w:rsidRPr="00C33A5F">
        <w:rPr>
          <w:rFonts w:ascii="Times New Roman" w:eastAsia="Calibri" w:hAnsi="Times New Roman" w:cs="Times New Roman"/>
          <w:sz w:val="24"/>
          <w:szCs w:val="24"/>
        </w:rPr>
        <w:t>n people who have experienced</w:t>
      </w:r>
      <w:r w:rsidRPr="00C33A5F">
        <w:rPr>
          <w:rFonts w:ascii="Times New Roman" w:eastAsia="Calibri" w:hAnsi="Times New Roman" w:cs="Times New Roman"/>
          <w:sz w:val="24"/>
          <w:szCs w:val="24"/>
        </w:rPr>
        <w:t xml:space="preserve"> osteoporotic vertebral fracture. In individuals at risk of primary osteoporotic fracture, there is </w:t>
      </w:r>
      <w:proofErr w:type="gramStart"/>
      <w:r w:rsidRPr="00C33A5F">
        <w:rPr>
          <w:rFonts w:ascii="Times New Roman" w:eastAsia="Calibri" w:hAnsi="Times New Roman" w:cs="Times New Roman"/>
          <w:sz w:val="24"/>
          <w:szCs w:val="24"/>
        </w:rPr>
        <w:t>sufficient</w:t>
      </w:r>
      <w:proofErr w:type="gramEnd"/>
      <w:r w:rsidRPr="00C33A5F">
        <w:rPr>
          <w:rFonts w:ascii="Times New Roman" w:eastAsia="Calibri" w:hAnsi="Times New Roman" w:cs="Times New Roman"/>
          <w:sz w:val="24"/>
          <w:szCs w:val="24"/>
        </w:rPr>
        <w:t xml:space="preserve"> evidence to support the delivery of multicomponent exercise for falls risk reduction and some evidence that regular multicomponent exercise interventions of at least twelve months duration</w:t>
      </w:r>
      <w:r w:rsidR="00D26BF6" w:rsidRPr="00C33A5F">
        <w:rPr>
          <w:rFonts w:ascii="Times New Roman" w:eastAsia="Calibri" w:hAnsi="Times New Roman" w:cs="Times New Roman"/>
          <w:sz w:val="24"/>
          <w:szCs w:val="24"/>
        </w:rPr>
        <w:t>,</w:t>
      </w:r>
      <w:r w:rsidRPr="00C33A5F">
        <w:rPr>
          <w:rFonts w:ascii="Times New Roman" w:eastAsia="Calibri" w:hAnsi="Times New Roman" w:cs="Times New Roman"/>
          <w:sz w:val="24"/>
          <w:szCs w:val="24"/>
        </w:rPr>
        <w:t xml:space="preserve"> may positively influence BMD.</w:t>
      </w:r>
      <w:r w:rsidR="009463DA">
        <w:rPr>
          <w:rFonts w:ascii="Times New Roman" w:eastAsia="Calibri" w:hAnsi="Times New Roman" w:cs="Times New Roman"/>
          <w:sz w:val="24"/>
          <w:szCs w:val="24"/>
        </w:rPr>
        <w:t xml:space="preserve">  </w:t>
      </w:r>
    </w:p>
    <w:p w14:paraId="392C0D3C" w14:textId="7AC0E8E3" w:rsidR="00BF2628" w:rsidRPr="00C33A5F" w:rsidRDefault="009463DA" w:rsidP="006335FD">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There is currently insufficient evidence to support the effectiveness of nutrients including; d</w:t>
      </w:r>
      <w:r w:rsidR="00BF2628" w:rsidRPr="00C33A5F">
        <w:rPr>
          <w:rFonts w:ascii="Times New Roman" w:eastAsia="Calibri" w:hAnsi="Times New Roman" w:cs="Times New Roman"/>
          <w:sz w:val="24"/>
          <w:szCs w:val="24"/>
        </w:rPr>
        <w:t>aily supplementation with Vitamin D plus Calcium of older adults with a history of osteoporotic fracture</w:t>
      </w:r>
      <w:r>
        <w:rPr>
          <w:rFonts w:ascii="Times New Roman" w:eastAsia="Calibri" w:hAnsi="Times New Roman" w:cs="Times New Roman"/>
          <w:sz w:val="24"/>
          <w:szCs w:val="24"/>
        </w:rPr>
        <w:t xml:space="preserve">; </w:t>
      </w:r>
      <w:r w:rsidR="000360F9">
        <w:rPr>
          <w:rFonts w:ascii="Times New Roman" w:eastAsia="Calibri" w:hAnsi="Times New Roman" w:cs="Times New Roman"/>
          <w:sz w:val="24"/>
          <w:szCs w:val="24"/>
        </w:rPr>
        <w:t xml:space="preserve">a </w:t>
      </w:r>
      <w:r w:rsidR="00BF2628" w:rsidRPr="00C33A5F">
        <w:rPr>
          <w:rFonts w:ascii="Times New Roman" w:eastAsia="Calibri" w:hAnsi="Times New Roman" w:cs="Times New Roman"/>
          <w:sz w:val="24"/>
          <w:szCs w:val="24"/>
        </w:rPr>
        <w:t xml:space="preserve">single loading dose of Vitamin D3 following hip fracture surgery </w:t>
      </w:r>
      <w:r>
        <w:rPr>
          <w:rFonts w:ascii="Times New Roman" w:eastAsia="Calibri" w:hAnsi="Times New Roman" w:cs="Times New Roman"/>
          <w:sz w:val="24"/>
          <w:szCs w:val="24"/>
        </w:rPr>
        <w:t>to reduce</w:t>
      </w:r>
      <w:r w:rsidR="00BF2628" w:rsidRPr="00C33A5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future </w:t>
      </w:r>
      <w:r w:rsidR="00BF2628" w:rsidRPr="00C33A5F">
        <w:rPr>
          <w:rFonts w:ascii="Times New Roman" w:eastAsia="Calibri" w:hAnsi="Times New Roman" w:cs="Times New Roman"/>
          <w:sz w:val="24"/>
          <w:szCs w:val="24"/>
        </w:rPr>
        <w:t>fractures and falls</w:t>
      </w:r>
      <w:r>
        <w:rPr>
          <w:rFonts w:ascii="Times New Roman" w:eastAsia="Calibri" w:hAnsi="Times New Roman" w:cs="Times New Roman"/>
          <w:sz w:val="24"/>
          <w:szCs w:val="24"/>
        </w:rPr>
        <w:t>; Vitamin D analogues and V</w:t>
      </w:r>
      <w:r w:rsidRPr="00C33A5F">
        <w:rPr>
          <w:rFonts w:ascii="Times New Roman" w:eastAsia="Calibri" w:hAnsi="Times New Roman" w:cs="Times New Roman"/>
          <w:sz w:val="24"/>
          <w:szCs w:val="24"/>
        </w:rPr>
        <w:t>itamin K</w:t>
      </w:r>
      <w:r>
        <w:rPr>
          <w:rFonts w:ascii="Times New Roman" w:eastAsia="Calibri" w:hAnsi="Times New Roman" w:cs="Times New Roman"/>
          <w:sz w:val="24"/>
          <w:szCs w:val="24"/>
        </w:rPr>
        <w:t xml:space="preserve"> i</w:t>
      </w:r>
      <w:r w:rsidR="00BF2628" w:rsidRPr="00C33A5F">
        <w:rPr>
          <w:rFonts w:ascii="Times New Roman" w:eastAsia="Calibri" w:hAnsi="Times New Roman" w:cs="Times New Roman"/>
          <w:sz w:val="24"/>
          <w:szCs w:val="24"/>
        </w:rPr>
        <w:t xml:space="preserve">n adults at risk of primary fracture </w:t>
      </w:r>
      <w:r>
        <w:rPr>
          <w:rFonts w:ascii="Times New Roman" w:eastAsia="Calibri" w:hAnsi="Times New Roman" w:cs="Times New Roman"/>
          <w:sz w:val="24"/>
          <w:szCs w:val="24"/>
        </w:rPr>
        <w:t>on BMD</w:t>
      </w:r>
      <w:r w:rsidR="000360F9">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w:t>
      </w:r>
      <w:r w:rsidR="00BF2628" w:rsidRPr="00C33A5F">
        <w:rPr>
          <w:rFonts w:ascii="Times New Roman" w:eastAsia="Calibri" w:hAnsi="Times New Roman" w:cs="Times New Roman"/>
          <w:sz w:val="24"/>
          <w:szCs w:val="24"/>
        </w:rPr>
        <w:t xml:space="preserve">protein supplementation on BMD or risk of falling in adults at risk of either primary or secondary fracture. </w:t>
      </w:r>
    </w:p>
    <w:p w14:paraId="6A04955B" w14:textId="77777777" w:rsidR="00BF2628" w:rsidRPr="00C33A5F" w:rsidRDefault="00BF2628" w:rsidP="00BF2628">
      <w:pPr>
        <w:spacing w:after="0" w:line="480" w:lineRule="auto"/>
        <w:rPr>
          <w:rFonts w:ascii="Times New Roman" w:eastAsia="Calibri" w:hAnsi="Times New Roman" w:cs="Times New Roman"/>
          <w:sz w:val="24"/>
          <w:szCs w:val="24"/>
        </w:rPr>
      </w:pPr>
    </w:p>
    <w:p w14:paraId="4CE2A6BD" w14:textId="77777777" w:rsidR="00BF2628" w:rsidRPr="00C33A5F" w:rsidRDefault="00BF2628" w:rsidP="006335FD">
      <w:pPr>
        <w:spacing w:after="0" w:line="480" w:lineRule="auto"/>
        <w:jc w:val="both"/>
        <w:rPr>
          <w:rFonts w:ascii="Times New Roman" w:eastAsia="Calibri" w:hAnsi="Times New Roman" w:cs="Times New Roman"/>
          <w:sz w:val="24"/>
          <w:szCs w:val="24"/>
        </w:rPr>
      </w:pPr>
      <w:r w:rsidRPr="00C33A5F">
        <w:rPr>
          <w:rFonts w:ascii="Times New Roman" w:eastAsia="Calibri" w:hAnsi="Times New Roman" w:cs="Times New Roman"/>
          <w:sz w:val="24"/>
          <w:szCs w:val="24"/>
        </w:rPr>
        <w:t>There is insufficient evidence to determine the effect of falls intervention initiatives on falls incidence in people at risk of primary or secondary osteoporotic fracture</w:t>
      </w:r>
      <w:r w:rsidR="00767427" w:rsidRPr="00C33A5F">
        <w:rPr>
          <w:rFonts w:ascii="Times New Roman" w:eastAsia="Calibri" w:hAnsi="Times New Roman" w:cs="Times New Roman"/>
          <w:sz w:val="24"/>
          <w:szCs w:val="24"/>
        </w:rPr>
        <w:t>,</w:t>
      </w:r>
      <w:r w:rsidRPr="00C33A5F">
        <w:rPr>
          <w:rFonts w:ascii="Times New Roman" w:eastAsia="Calibri" w:hAnsi="Times New Roman" w:cs="Times New Roman"/>
          <w:sz w:val="24"/>
          <w:szCs w:val="24"/>
        </w:rPr>
        <w:t xml:space="preserve"> or orthoses in reducing risk of falling. Educational interventions delivered to patients with low bone mass by healthcare professionals may be generally ineffective in reducing fracture incidence but there is some evidence that education, simplification of drug regimens and interventions by pharmacists may improve adherence to osteoporosis medicines. </w:t>
      </w:r>
    </w:p>
    <w:p w14:paraId="2E2382F8" w14:textId="77777777" w:rsidR="00BF2628" w:rsidRPr="00C33A5F" w:rsidRDefault="00BF2628" w:rsidP="00BF2628">
      <w:pPr>
        <w:spacing w:after="0" w:line="480" w:lineRule="auto"/>
        <w:rPr>
          <w:rFonts w:ascii="Times New Roman" w:eastAsia="Calibri" w:hAnsi="Times New Roman" w:cs="Times New Roman"/>
          <w:sz w:val="24"/>
          <w:szCs w:val="24"/>
        </w:rPr>
      </w:pPr>
    </w:p>
    <w:p w14:paraId="2364238F" w14:textId="77777777" w:rsidR="00BF2628" w:rsidRPr="00C33A5F" w:rsidRDefault="00BF2628" w:rsidP="006335FD">
      <w:pPr>
        <w:spacing w:after="0" w:line="480" w:lineRule="auto"/>
        <w:jc w:val="both"/>
        <w:rPr>
          <w:rFonts w:ascii="Times New Roman" w:eastAsia="Calibri" w:hAnsi="Times New Roman" w:cs="Times New Roman"/>
          <w:sz w:val="24"/>
          <w:szCs w:val="24"/>
        </w:rPr>
      </w:pPr>
      <w:proofErr w:type="gramStart"/>
      <w:r w:rsidRPr="00C33A5F">
        <w:rPr>
          <w:rFonts w:ascii="Times New Roman" w:eastAsia="Calibri" w:hAnsi="Times New Roman" w:cs="Times New Roman"/>
          <w:sz w:val="24"/>
          <w:szCs w:val="24"/>
        </w:rPr>
        <w:t>Sufficient</w:t>
      </w:r>
      <w:proofErr w:type="gramEnd"/>
      <w:r w:rsidRPr="00C33A5F">
        <w:rPr>
          <w:rFonts w:ascii="Times New Roman" w:eastAsia="Calibri" w:hAnsi="Times New Roman" w:cs="Times New Roman"/>
          <w:sz w:val="24"/>
          <w:szCs w:val="24"/>
        </w:rPr>
        <w:t xml:space="preserve"> evidence exists to show that multidisciplinary orthogeriatric or FLS models of care reduce mortality and future fractures when offered to people who have experienced an osteoporotic fracture</w:t>
      </w:r>
      <w:r w:rsidR="00767427" w:rsidRPr="00C33A5F">
        <w:rPr>
          <w:rFonts w:ascii="Times New Roman" w:eastAsia="Calibri" w:hAnsi="Times New Roman" w:cs="Times New Roman"/>
          <w:sz w:val="24"/>
          <w:szCs w:val="24"/>
        </w:rPr>
        <w:t>, and that FLS</w:t>
      </w:r>
      <w:r w:rsidRPr="00C33A5F">
        <w:rPr>
          <w:rFonts w:ascii="Times New Roman" w:eastAsia="Calibri" w:hAnsi="Times New Roman" w:cs="Times New Roman"/>
          <w:sz w:val="24"/>
          <w:szCs w:val="24"/>
        </w:rPr>
        <w:t xml:space="preserve"> are cost-effective. There is some evidence that hip fracture care pathways may reduce risk of falling. Finally, the evidence about strategies undertaken by healthcare professionals to increase uptake of recommendations for the treatment and management of osteoporosis by stakeholders, such as prescribing of Vitamin D and Calcium and osteoporosis medicines, is insufficient to determine if they are, or are not, effective. </w:t>
      </w:r>
    </w:p>
    <w:p w14:paraId="53B4F905" w14:textId="77777777" w:rsidR="006335FD" w:rsidRDefault="006335FD" w:rsidP="00B34BEF">
      <w:pPr>
        <w:spacing w:after="0" w:line="480" w:lineRule="auto"/>
        <w:rPr>
          <w:rFonts w:ascii="Times New Roman" w:eastAsia="Calibri" w:hAnsi="Times New Roman" w:cs="Times New Roman"/>
          <w:sz w:val="24"/>
          <w:szCs w:val="24"/>
        </w:rPr>
      </w:pPr>
    </w:p>
    <w:p w14:paraId="60C20703" w14:textId="421313E4" w:rsidR="000B0670" w:rsidRPr="00C33A5F" w:rsidRDefault="00BF2628" w:rsidP="006335FD">
      <w:pPr>
        <w:spacing w:after="0" w:line="480" w:lineRule="auto"/>
        <w:jc w:val="both"/>
        <w:rPr>
          <w:rFonts w:ascii="Times New Roman" w:eastAsia="Calibri" w:hAnsi="Times New Roman" w:cs="Times New Roman"/>
          <w:sz w:val="24"/>
          <w:szCs w:val="24"/>
        </w:rPr>
      </w:pPr>
      <w:r w:rsidRPr="00C33A5F">
        <w:rPr>
          <w:rFonts w:ascii="Times New Roman" w:eastAsia="Calibri" w:hAnsi="Times New Roman" w:cs="Times New Roman"/>
          <w:sz w:val="24"/>
          <w:szCs w:val="24"/>
        </w:rPr>
        <w:t xml:space="preserve">This review has several limitations. First, studies reporting falls and fractures as primary endpoints in populations at high-risk of osteoporotic fracture are </w:t>
      </w:r>
      <w:r w:rsidR="00213DC0" w:rsidRPr="00951017">
        <w:rPr>
          <w:rFonts w:ascii="Times New Roman" w:eastAsia="Calibri" w:hAnsi="Times New Roman" w:cs="Times New Roman"/>
          <w:sz w:val="24"/>
          <w:szCs w:val="24"/>
        </w:rPr>
        <w:t>limited</w:t>
      </w:r>
      <w:r w:rsidRPr="00C33A5F">
        <w:rPr>
          <w:rFonts w:ascii="Times New Roman" w:eastAsia="Calibri" w:hAnsi="Times New Roman" w:cs="Times New Roman"/>
          <w:sz w:val="24"/>
          <w:szCs w:val="24"/>
        </w:rPr>
        <w:t xml:space="preserve">. Our definition of ‘high-risk’, based solely on BMD values or an expression of short-term absolute risk </w:t>
      </w:r>
      <w:r w:rsidR="00213DC0" w:rsidRPr="00951017">
        <w:rPr>
          <w:rFonts w:ascii="Times New Roman" w:eastAsia="Calibri" w:hAnsi="Times New Roman" w:cs="Times New Roman"/>
          <w:sz w:val="24"/>
          <w:szCs w:val="24"/>
        </w:rPr>
        <w:t xml:space="preserve">of fracture </w:t>
      </w:r>
      <w:r w:rsidRPr="00C33A5F">
        <w:rPr>
          <w:rFonts w:ascii="Times New Roman" w:eastAsia="Calibri" w:hAnsi="Times New Roman" w:cs="Times New Roman"/>
          <w:sz w:val="24"/>
          <w:szCs w:val="24"/>
        </w:rPr>
        <w:lastRenderedPageBreak/>
        <w:t xml:space="preserve">is likely to have excluded evidence about the effect of interventions on falls and fractures in other populations commonly considered at high-risk of fracture, for example, older adults. Second, </w:t>
      </w:r>
      <w:r w:rsidR="000B0D1C">
        <w:rPr>
          <w:rFonts w:ascii="Times New Roman" w:eastAsia="Calibri" w:hAnsi="Times New Roman" w:cs="Times New Roman"/>
          <w:sz w:val="24"/>
          <w:szCs w:val="24"/>
        </w:rPr>
        <w:t>t</w:t>
      </w:r>
      <w:r w:rsidR="000B0D1C" w:rsidRPr="000B0D1C">
        <w:rPr>
          <w:rFonts w:ascii="Times New Roman" w:eastAsia="Calibri" w:hAnsi="Times New Roman" w:cs="Times New Roman"/>
          <w:sz w:val="24"/>
          <w:szCs w:val="24"/>
        </w:rPr>
        <w:t xml:space="preserve">he aim of this SLR was to inform an international EULAR task force on a broad range of issues related to non-physician health professionals’ interventions. Non-physician health professionals deliver different interventions in different countries. Therefore, we focused our review on interventions which could potentially be delivered by non-physician health professionals independent of </w:t>
      </w:r>
      <w:r w:rsidR="00B41AD0">
        <w:rPr>
          <w:rFonts w:ascii="Times New Roman" w:eastAsia="Calibri" w:hAnsi="Times New Roman" w:cs="Times New Roman"/>
          <w:sz w:val="24"/>
          <w:szCs w:val="24"/>
        </w:rPr>
        <w:t>whether</w:t>
      </w:r>
      <w:r w:rsidR="000B0D1C" w:rsidRPr="000B0D1C">
        <w:rPr>
          <w:rFonts w:ascii="Times New Roman" w:eastAsia="Calibri" w:hAnsi="Times New Roman" w:cs="Times New Roman"/>
          <w:sz w:val="24"/>
          <w:szCs w:val="24"/>
        </w:rPr>
        <w:t xml:space="preserve"> a study was led by a health professional or not.</w:t>
      </w:r>
      <w:r w:rsidR="000A6431" w:rsidRPr="000B0D1C">
        <w:rPr>
          <w:rFonts w:ascii="Times New Roman" w:eastAsia="Calibri" w:hAnsi="Times New Roman" w:cs="Times New Roman"/>
          <w:sz w:val="24"/>
          <w:szCs w:val="24"/>
        </w:rPr>
        <w:t xml:space="preserve"> </w:t>
      </w:r>
      <w:r w:rsidR="00FF7ABB" w:rsidRPr="000B0D1C">
        <w:rPr>
          <w:rFonts w:ascii="Times New Roman" w:eastAsia="Calibri" w:hAnsi="Times New Roman" w:cs="Times New Roman"/>
          <w:sz w:val="24"/>
          <w:szCs w:val="24"/>
        </w:rPr>
        <w:t>The scope for further investigation</w:t>
      </w:r>
      <w:r w:rsidR="000B0D1C">
        <w:rPr>
          <w:rFonts w:ascii="Times New Roman" w:eastAsia="Calibri" w:hAnsi="Times New Roman" w:cs="Times New Roman"/>
          <w:sz w:val="24"/>
          <w:szCs w:val="24"/>
        </w:rPr>
        <w:t>s</w:t>
      </w:r>
      <w:r w:rsidR="00FF7ABB" w:rsidRPr="000B0D1C">
        <w:rPr>
          <w:rFonts w:ascii="Times New Roman" w:eastAsia="Calibri" w:hAnsi="Times New Roman" w:cs="Times New Roman"/>
          <w:sz w:val="24"/>
          <w:szCs w:val="24"/>
        </w:rPr>
        <w:t xml:space="preserve"> into the role of the multidisciplinary team in treating osteoporotic fracture</w:t>
      </w:r>
      <w:r w:rsidR="000B0D1C">
        <w:rPr>
          <w:rFonts w:ascii="Times New Roman" w:eastAsia="Calibri" w:hAnsi="Times New Roman" w:cs="Times New Roman"/>
          <w:sz w:val="24"/>
          <w:szCs w:val="24"/>
        </w:rPr>
        <w:t>s</w:t>
      </w:r>
      <w:r w:rsidR="00FF7ABB" w:rsidRPr="000B0D1C">
        <w:rPr>
          <w:rFonts w:ascii="Times New Roman" w:eastAsia="Calibri" w:hAnsi="Times New Roman" w:cs="Times New Roman"/>
          <w:sz w:val="24"/>
          <w:szCs w:val="24"/>
        </w:rPr>
        <w:t xml:space="preserve"> and using service link approaches was beyond the remit for this </w:t>
      </w:r>
      <w:proofErr w:type="gramStart"/>
      <w:r w:rsidR="00FF7ABB" w:rsidRPr="000B0D1C">
        <w:rPr>
          <w:rFonts w:ascii="Times New Roman" w:eastAsia="Calibri" w:hAnsi="Times New Roman" w:cs="Times New Roman"/>
          <w:sz w:val="24"/>
          <w:szCs w:val="24"/>
        </w:rPr>
        <w:t>project</w:t>
      </w:r>
      <w:r w:rsidR="000B0D1C">
        <w:rPr>
          <w:rFonts w:ascii="Times New Roman" w:eastAsia="Calibri" w:hAnsi="Times New Roman" w:cs="Times New Roman"/>
          <w:sz w:val="24"/>
          <w:szCs w:val="24"/>
        </w:rPr>
        <w:t>,</w:t>
      </w:r>
      <w:r w:rsidR="00FF7ABB" w:rsidRPr="000B0D1C">
        <w:rPr>
          <w:rFonts w:ascii="Times New Roman" w:eastAsia="Calibri" w:hAnsi="Times New Roman" w:cs="Times New Roman"/>
          <w:sz w:val="24"/>
          <w:szCs w:val="24"/>
        </w:rPr>
        <w:t xml:space="preserve"> but</w:t>
      </w:r>
      <w:proofErr w:type="gramEnd"/>
      <w:r w:rsidR="00FF7ABB" w:rsidRPr="000B0D1C">
        <w:rPr>
          <w:rFonts w:ascii="Times New Roman" w:eastAsia="Calibri" w:hAnsi="Times New Roman" w:cs="Times New Roman"/>
          <w:sz w:val="24"/>
          <w:szCs w:val="24"/>
        </w:rPr>
        <w:t xml:space="preserve"> deserves further inquiry. </w:t>
      </w:r>
      <w:r w:rsidR="000A6431" w:rsidRPr="000B0D1C">
        <w:rPr>
          <w:rFonts w:ascii="Times New Roman" w:eastAsia="Calibri" w:hAnsi="Times New Roman" w:cs="Times New Roman"/>
          <w:sz w:val="24"/>
          <w:szCs w:val="24"/>
        </w:rPr>
        <w:t xml:space="preserve">Third, </w:t>
      </w:r>
      <w:r w:rsidRPr="00C33A5F">
        <w:rPr>
          <w:rFonts w:ascii="Times New Roman" w:eastAsia="Calibri" w:hAnsi="Times New Roman" w:cs="Times New Roman"/>
          <w:sz w:val="24"/>
          <w:szCs w:val="24"/>
        </w:rPr>
        <w:t>our overall confidence rating of the results of the systematic reviews included in this SLR was based on reported evidence for domain-specific questions. Many of these systematic reviews were published prior to the publication of AMSTAR 2, and an absence of reporting may not reflect the review authors methods when conducting the review.</w:t>
      </w:r>
      <w:r w:rsidR="000A6431">
        <w:rPr>
          <w:rFonts w:ascii="Times New Roman" w:eastAsia="Calibri" w:hAnsi="Times New Roman" w:cs="Times New Roman"/>
          <w:sz w:val="24"/>
          <w:szCs w:val="24"/>
        </w:rPr>
        <w:t xml:space="preserve"> Lastly</w:t>
      </w:r>
      <w:r w:rsidR="00FD63AC" w:rsidRPr="00C33A5F">
        <w:rPr>
          <w:rFonts w:ascii="Times New Roman" w:eastAsia="Calibri" w:hAnsi="Times New Roman" w:cs="Times New Roman"/>
          <w:sz w:val="24"/>
          <w:szCs w:val="24"/>
        </w:rPr>
        <w:t xml:space="preserve">, we </w:t>
      </w:r>
      <w:r w:rsidR="002B73A8">
        <w:rPr>
          <w:rFonts w:ascii="Times New Roman" w:eastAsia="Calibri" w:hAnsi="Times New Roman" w:cs="Times New Roman"/>
          <w:sz w:val="24"/>
          <w:szCs w:val="24"/>
        </w:rPr>
        <w:t>were unable to answer question seven and eight</w:t>
      </w:r>
      <w:r w:rsidR="00FD63AC" w:rsidRPr="00C33A5F">
        <w:rPr>
          <w:rFonts w:ascii="Times New Roman" w:eastAsia="Calibri" w:hAnsi="Times New Roman" w:cs="Times New Roman"/>
          <w:sz w:val="24"/>
          <w:szCs w:val="24"/>
        </w:rPr>
        <w:t xml:space="preserve"> </w:t>
      </w:r>
      <w:r w:rsidR="00972972" w:rsidRPr="00951017">
        <w:rPr>
          <w:rFonts w:ascii="Times New Roman" w:eastAsia="Calibri" w:hAnsi="Times New Roman" w:cs="Times New Roman"/>
          <w:sz w:val="24"/>
          <w:szCs w:val="24"/>
        </w:rPr>
        <w:t>in our SLR</w:t>
      </w:r>
      <w:r w:rsidR="00FD63AC" w:rsidRPr="00C33A5F">
        <w:rPr>
          <w:rFonts w:ascii="Times New Roman" w:eastAsia="Calibri" w:hAnsi="Times New Roman" w:cs="Times New Roman"/>
          <w:sz w:val="24"/>
          <w:szCs w:val="24"/>
        </w:rPr>
        <w:t>.</w:t>
      </w:r>
      <w:r w:rsidR="00B34BEF" w:rsidRPr="00C33A5F">
        <w:rPr>
          <w:rFonts w:ascii="Times New Roman" w:eastAsia="Calibri" w:hAnsi="Times New Roman" w:cs="Times New Roman"/>
          <w:sz w:val="24"/>
          <w:szCs w:val="24"/>
        </w:rPr>
        <w:t xml:space="preserve"> </w:t>
      </w:r>
      <w:r w:rsidRPr="00C33A5F">
        <w:rPr>
          <w:rFonts w:ascii="Times New Roman" w:eastAsia="Calibri" w:hAnsi="Times New Roman" w:cs="Times New Roman"/>
          <w:sz w:val="24"/>
          <w:szCs w:val="24"/>
        </w:rPr>
        <w:t xml:space="preserve">Despite these limitations, the process of reviewing, analysing and synthesising the identified evidence has been robust and followed EULAR guidelines for developing points to consider. </w:t>
      </w:r>
    </w:p>
    <w:p w14:paraId="0E93E1E6" w14:textId="77777777" w:rsidR="000B0670" w:rsidRPr="00C33A5F" w:rsidRDefault="000B0670" w:rsidP="00BF2628">
      <w:pPr>
        <w:spacing w:after="0" w:line="480" w:lineRule="auto"/>
        <w:jc w:val="both"/>
        <w:rPr>
          <w:rFonts w:ascii="Times New Roman" w:eastAsia="Calibri" w:hAnsi="Times New Roman" w:cs="Times New Roman"/>
          <w:sz w:val="24"/>
          <w:szCs w:val="24"/>
        </w:rPr>
      </w:pPr>
    </w:p>
    <w:p w14:paraId="5A4DE5EE" w14:textId="77777777" w:rsidR="000B0670" w:rsidRPr="00C33A5F" w:rsidRDefault="00A15716" w:rsidP="00BF2628">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CONCLUSION</w:t>
      </w:r>
    </w:p>
    <w:p w14:paraId="797AD032" w14:textId="2617ADDB" w:rsidR="00972972" w:rsidRDefault="000B0670" w:rsidP="00972972">
      <w:pPr>
        <w:autoSpaceDE w:val="0"/>
        <w:autoSpaceDN w:val="0"/>
        <w:adjustRightInd w:val="0"/>
        <w:spacing w:after="0" w:line="480" w:lineRule="auto"/>
        <w:jc w:val="both"/>
        <w:rPr>
          <w:rFonts w:ascii="Times New Roman" w:hAnsi="Times New Roman" w:cs="Times New Roman"/>
          <w:sz w:val="24"/>
          <w:szCs w:val="24"/>
        </w:rPr>
      </w:pPr>
      <w:r w:rsidRPr="00C33A5F">
        <w:rPr>
          <w:rFonts w:ascii="Times New Roman" w:hAnsi="Times New Roman" w:cs="Times New Roman"/>
          <w:sz w:val="24"/>
          <w:szCs w:val="24"/>
        </w:rPr>
        <w:t xml:space="preserve">Existing evidence about the effect of non-pharmacological interventions on </w:t>
      </w:r>
      <w:r w:rsidR="00972972" w:rsidRPr="00951017">
        <w:rPr>
          <w:rFonts w:ascii="Times New Roman" w:hAnsi="Times New Roman" w:cs="Times New Roman"/>
          <w:sz w:val="24"/>
          <w:szCs w:val="24"/>
        </w:rPr>
        <w:t>reducing</w:t>
      </w:r>
      <w:r w:rsidRPr="00C33A5F">
        <w:rPr>
          <w:rFonts w:ascii="Times New Roman" w:hAnsi="Times New Roman" w:cs="Times New Roman"/>
          <w:sz w:val="24"/>
          <w:szCs w:val="24"/>
        </w:rPr>
        <w:t xml:space="preserve"> fractures in people at high-risk of osteoporotic fracture is </w:t>
      </w:r>
      <w:r w:rsidR="00972972" w:rsidRPr="00951017">
        <w:rPr>
          <w:rFonts w:ascii="Times New Roman" w:hAnsi="Times New Roman" w:cs="Times New Roman"/>
          <w:sz w:val="24"/>
          <w:szCs w:val="24"/>
        </w:rPr>
        <w:t>limited</w:t>
      </w:r>
      <w:r w:rsidRPr="00951017">
        <w:rPr>
          <w:rFonts w:ascii="Times New Roman" w:hAnsi="Times New Roman" w:cs="Times New Roman"/>
          <w:sz w:val="24"/>
          <w:szCs w:val="24"/>
        </w:rPr>
        <w:t xml:space="preserve">. </w:t>
      </w:r>
      <w:r w:rsidR="00AC0B23" w:rsidRPr="00AC0B23">
        <w:rPr>
          <w:rFonts w:ascii="Times New Roman" w:hAnsi="Times New Roman" w:cs="Times New Roman"/>
          <w:sz w:val="24"/>
          <w:szCs w:val="24"/>
        </w:rPr>
        <w:t xml:space="preserve">Despite study heterogeneity our SLR showed positive effects of some interventions delivered by non-physician health professionals and the positive impact </w:t>
      </w:r>
      <w:r w:rsidR="00B41AD0">
        <w:rPr>
          <w:rFonts w:ascii="Times New Roman" w:hAnsi="Times New Roman" w:cs="Times New Roman"/>
          <w:sz w:val="24"/>
          <w:szCs w:val="24"/>
        </w:rPr>
        <w:t>of</w:t>
      </w:r>
      <w:r w:rsidR="00AC0B23" w:rsidRPr="00AC0B23">
        <w:rPr>
          <w:rFonts w:ascii="Times New Roman" w:hAnsi="Times New Roman" w:cs="Times New Roman"/>
          <w:sz w:val="24"/>
          <w:szCs w:val="24"/>
        </w:rPr>
        <w:t xml:space="preserve"> multidisciplinary team working and sound patient educational appr</w:t>
      </w:r>
      <w:r w:rsidR="00A873B6">
        <w:rPr>
          <w:rFonts w:ascii="Times New Roman" w:hAnsi="Times New Roman" w:cs="Times New Roman"/>
          <w:sz w:val="24"/>
          <w:szCs w:val="24"/>
        </w:rPr>
        <w:t>oaches to prevent and manage</w:t>
      </w:r>
      <w:r w:rsidR="00AC0B23" w:rsidRPr="00AC0B23">
        <w:rPr>
          <w:rFonts w:ascii="Times New Roman" w:hAnsi="Times New Roman" w:cs="Times New Roman"/>
          <w:sz w:val="24"/>
          <w:szCs w:val="24"/>
        </w:rPr>
        <w:t xml:space="preserve"> osteoporotic fracture</w:t>
      </w:r>
      <w:r w:rsidR="00A873B6">
        <w:rPr>
          <w:rFonts w:ascii="Times New Roman" w:hAnsi="Times New Roman" w:cs="Times New Roman"/>
          <w:sz w:val="24"/>
          <w:szCs w:val="24"/>
        </w:rPr>
        <w:t>s</w:t>
      </w:r>
      <w:r w:rsidR="00AC0B23" w:rsidRPr="00AC0B23">
        <w:rPr>
          <w:rFonts w:ascii="Times New Roman" w:hAnsi="Times New Roman" w:cs="Times New Roman"/>
          <w:sz w:val="24"/>
          <w:szCs w:val="24"/>
        </w:rPr>
        <w:t>. These results informed a EULAR taskforce that developed points to consider for non-physician health professionals to prevent and manage osteoporotic fractures</w:t>
      </w:r>
      <w:r w:rsidR="00404F90">
        <w:rPr>
          <w:rFonts w:ascii="Times New Roman" w:hAnsi="Times New Roman" w:cs="Times New Roman"/>
          <w:sz w:val="24"/>
          <w:szCs w:val="24"/>
        </w:rPr>
        <w:t xml:space="preserve"> </w:t>
      </w:r>
      <w:r w:rsidR="00404F90" w:rsidRPr="00951017">
        <w:rPr>
          <w:rFonts w:ascii="Times New Roman" w:hAnsi="Times New Roman" w:cs="Times New Roman"/>
          <w:sz w:val="24"/>
          <w:szCs w:val="24"/>
        </w:rPr>
        <w:t>in adults 50 years or more</w:t>
      </w:r>
      <w:r w:rsidR="00972972" w:rsidRPr="00951017">
        <w:rPr>
          <w:rFonts w:ascii="Times New Roman" w:hAnsi="Times New Roman" w:cs="Times New Roman"/>
          <w:sz w:val="24"/>
          <w:szCs w:val="24"/>
        </w:rPr>
        <w:t>.</w:t>
      </w:r>
    </w:p>
    <w:p w14:paraId="640D479B" w14:textId="77777777" w:rsidR="005D5B36" w:rsidRDefault="005D5B36" w:rsidP="005D5B36">
      <w:pPr>
        <w:spacing w:after="0" w:line="480" w:lineRule="auto"/>
        <w:jc w:val="both"/>
        <w:rPr>
          <w:rStyle w:val="Heading2Char"/>
          <w:rFonts w:ascii="Times New Roman" w:hAnsi="Times New Roman" w:cs="Times New Roman"/>
          <w:b/>
          <w:color w:val="auto"/>
          <w:sz w:val="24"/>
          <w:szCs w:val="24"/>
          <w:lang w:val="en-GB"/>
        </w:rPr>
      </w:pPr>
      <w:r>
        <w:rPr>
          <w:rStyle w:val="Heading2Char"/>
          <w:rFonts w:ascii="Times New Roman" w:hAnsi="Times New Roman" w:cs="Times New Roman"/>
          <w:b/>
          <w:color w:val="auto"/>
          <w:sz w:val="24"/>
          <w:szCs w:val="24"/>
          <w:lang w:val="en-GB"/>
        </w:rPr>
        <w:lastRenderedPageBreak/>
        <w:t xml:space="preserve">Legend </w:t>
      </w:r>
    </w:p>
    <w:p w14:paraId="5508D503" w14:textId="6C80FD0B" w:rsidR="005D5B36" w:rsidRPr="005D5B36" w:rsidRDefault="005D5B36" w:rsidP="005D5B36">
      <w:pPr>
        <w:spacing w:after="0" w:line="480" w:lineRule="auto"/>
        <w:jc w:val="both"/>
        <w:rPr>
          <w:rFonts w:ascii="Times New Roman" w:eastAsiaTheme="majorEastAsia" w:hAnsi="Times New Roman" w:cs="Times New Roman"/>
          <w:sz w:val="24"/>
          <w:szCs w:val="24"/>
        </w:rPr>
      </w:pPr>
      <w:r w:rsidRPr="005D5B36">
        <w:rPr>
          <w:rFonts w:ascii="Times New Roman" w:hAnsi="Times New Roman" w:cs="Times New Roman"/>
        </w:rPr>
        <w:t>Figure 1: Flow diagram of articles included in the SLR</w:t>
      </w:r>
      <w:r w:rsidRPr="005D5B36">
        <w:rPr>
          <w:noProof/>
          <w:lang w:eastAsia="en-GB"/>
        </w:rPr>
        <w:t xml:space="preserve"> </w:t>
      </w:r>
    </w:p>
    <w:p w14:paraId="0A1A7BB3" w14:textId="77777777" w:rsidR="005D5B36" w:rsidRDefault="005D5B36" w:rsidP="00D40DDD">
      <w:pPr>
        <w:spacing w:after="0" w:line="480" w:lineRule="auto"/>
        <w:jc w:val="both"/>
        <w:rPr>
          <w:rStyle w:val="Heading2Char"/>
          <w:rFonts w:ascii="Times New Roman" w:hAnsi="Times New Roman" w:cs="Times New Roman"/>
          <w:b/>
          <w:color w:val="auto"/>
          <w:sz w:val="24"/>
          <w:szCs w:val="24"/>
          <w:lang w:val="en-GB"/>
        </w:rPr>
      </w:pPr>
    </w:p>
    <w:p w14:paraId="39383E28" w14:textId="77777777" w:rsidR="00335936" w:rsidRPr="00C33A5F" w:rsidRDefault="00992759" w:rsidP="00D40DDD">
      <w:pPr>
        <w:spacing w:after="0" w:line="480" w:lineRule="auto"/>
        <w:jc w:val="both"/>
        <w:rPr>
          <w:rFonts w:ascii="Times New Roman" w:eastAsia="Calibri" w:hAnsi="Times New Roman" w:cs="Times New Roman"/>
          <w:sz w:val="24"/>
          <w:szCs w:val="24"/>
        </w:rPr>
      </w:pPr>
      <w:r w:rsidRPr="00C33A5F">
        <w:rPr>
          <w:rStyle w:val="Heading2Char"/>
          <w:rFonts w:ascii="Times New Roman" w:hAnsi="Times New Roman" w:cs="Times New Roman"/>
          <w:b/>
          <w:color w:val="auto"/>
          <w:sz w:val="24"/>
          <w:szCs w:val="24"/>
          <w:lang w:val="en-GB"/>
        </w:rPr>
        <w:t>Acknowledgement</w:t>
      </w:r>
      <w:r w:rsidR="006B6F79" w:rsidRPr="00C33A5F">
        <w:rPr>
          <w:rStyle w:val="Heading2Char"/>
          <w:rFonts w:ascii="Times New Roman" w:hAnsi="Times New Roman" w:cs="Times New Roman"/>
          <w:b/>
          <w:color w:val="auto"/>
          <w:sz w:val="24"/>
          <w:szCs w:val="24"/>
          <w:lang w:val="en-GB"/>
        </w:rPr>
        <w:t>s</w:t>
      </w:r>
      <w:r w:rsidRPr="00C33A5F">
        <w:rPr>
          <w:rFonts w:ascii="Times New Roman" w:eastAsia="Calibri" w:hAnsi="Times New Roman" w:cs="Times New Roman"/>
          <w:sz w:val="24"/>
          <w:szCs w:val="24"/>
        </w:rPr>
        <w:t xml:space="preserve"> </w:t>
      </w:r>
    </w:p>
    <w:p w14:paraId="3DB546D8" w14:textId="77777777" w:rsidR="00992759" w:rsidRDefault="00C100BE" w:rsidP="00D40DDD">
      <w:pPr>
        <w:spacing w:after="0" w:line="480" w:lineRule="auto"/>
        <w:jc w:val="both"/>
        <w:rPr>
          <w:rFonts w:ascii="Times New Roman" w:eastAsia="Calibri" w:hAnsi="Times New Roman" w:cs="Times New Roman"/>
          <w:sz w:val="24"/>
          <w:szCs w:val="24"/>
        </w:rPr>
      </w:pPr>
      <w:r w:rsidRPr="00C33A5F">
        <w:rPr>
          <w:rFonts w:ascii="Times New Roman" w:eastAsia="Calibri" w:hAnsi="Times New Roman" w:cs="Times New Roman"/>
          <w:sz w:val="24"/>
          <w:szCs w:val="24"/>
        </w:rPr>
        <w:t>The authors</w:t>
      </w:r>
      <w:r w:rsidR="00992759" w:rsidRPr="00C33A5F">
        <w:rPr>
          <w:rFonts w:ascii="Times New Roman" w:eastAsia="Calibri" w:hAnsi="Times New Roman" w:cs="Times New Roman"/>
          <w:sz w:val="24"/>
          <w:szCs w:val="24"/>
        </w:rPr>
        <w:t xml:space="preserve"> thank Vicky </w:t>
      </w:r>
      <w:proofErr w:type="spellStart"/>
      <w:r w:rsidR="00992759" w:rsidRPr="00C33A5F">
        <w:rPr>
          <w:rFonts w:ascii="Times New Roman" w:eastAsia="Calibri" w:hAnsi="Times New Roman" w:cs="Times New Roman"/>
          <w:sz w:val="24"/>
          <w:szCs w:val="24"/>
        </w:rPr>
        <w:t>Fenerty</w:t>
      </w:r>
      <w:proofErr w:type="spellEnd"/>
      <w:r w:rsidR="00A965C7" w:rsidRPr="00C33A5F">
        <w:rPr>
          <w:rFonts w:ascii="Times New Roman" w:eastAsia="Calibri" w:hAnsi="Times New Roman" w:cs="Times New Roman"/>
          <w:sz w:val="24"/>
          <w:szCs w:val="24"/>
        </w:rPr>
        <w:t>, research engagement librarian</w:t>
      </w:r>
      <w:r w:rsidR="00992759" w:rsidRPr="00C33A5F">
        <w:rPr>
          <w:rFonts w:ascii="Times New Roman" w:eastAsia="Calibri" w:hAnsi="Times New Roman" w:cs="Times New Roman"/>
          <w:sz w:val="24"/>
          <w:szCs w:val="24"/>
        </w:rPr>
        <w:t xml:space="preserve"> at the U</w:t>
      </w:r>
      <w:r w:rsidR="00F66FDF" w:rsidRPr="00C33A5F">
        <w:rPr>
          <w:rFonts w:ascii="Times New Roman" w:eastAsia="Calibri" w:hAnsi="Times New Roman" w:cs="Times New Roman"/>
          <w:sz w:val="24"/>
          <w:szCs w:val="24"/>
        </w:rPr>
        <w:t xml:space="preserve">niversity </w:t>
      </w:r>
      <w:r w:rsidR="00992759" w:rsidRPr="00C33A5F">
        <w:rPr>
          <w:rFonts w:ascii="Times New Roman" w:eastAsia="Calibri" w:hAnsi="Times New Roman" w:cs="Times New Roman"/>
          <w:sz w:val="24"/>
          <w:szCs w:val="24"/>
        </w:rPr>
        <w:t>o</w:t>
      </w:r>
      <w:r w:rsidR="00F66FDF" w:rsidRPr="00C33A5F">
        <w:rPr>
          <w:rFonts w:ascii="Times New Roman" w:eastAsia="Calibri" w:hAnsi="Times New Roman" w:cs="Times New Roman"/>
          <w:sz w:val="24"/>
          <w:szCs w:val="24"/>
        </w:rPr>
        <w:t xml:space="preserve">f </w:t>
      </w:r>
      <w:r w:rsidR="00992759" w:rsidRPr="00C33A5F">
        <w:rPr>
          <w:rFonts w:ascii="Times New Roman" w:eastAsia="Calibri" w:hAnsi="Times New Roman" w:cs="Times New Roman"/>
          <w:sz w:val="24"/>
          <w:szCs w:val="24"/>
        </w:rPr>
        <w:t>S</w:t>
      </w:r>
      <w:r w:rsidR="00F66FDF" w:rsidRPr="00C33A5F">
        <w:rPr>
          <w:rFonts w:ascii="Times New Roman" w:eastAsia="Calibri" w:hAnsi="Times New Roman" w:cs="Times New Roman"/>
          <w:sz w:val="24"/>
          <w:szCs w:val="24"/>
        </w:rPr>
        <w:t>outhampton</w:t>
      </w:r>
      <w:r w:rsidR="00992759" w:rsidRPr="00C33A5F">
        <w:rPr>
          <w:rFonts w:ascii="Times New Roman" w:eastAsia="Calibri" w:hAnsi="Times New Roman" w:cs="Times New Roman"/>
          <w:sz w:val="24"/>
          <w:szCs w:val="24"/>
        </w:rPr>
        <w:t xml:space="preserve"> for her advice in the formulation of the </w:t>
      </w:r>
      <w:r w:rsidR="000528C8" w:rsidRPr="00C33A5F">
        <w:rPr>
          <w:rFonts w:ascii="Times New Roman" w:eastAsia="Calibri" w:hAnsi="Times New Roman" w:cs="Times New Roman"/>
          <w:sz w:val="24"/>
          <w:szCs w:val="24"/>
        </w:rPr>
        <w:t>search strategies</w:t>
      </w:r>
      <w:r w:rsidR="00647EFC" w:rsidRPr="00C33A5F">
        <w:rPr>
          <w:rFonts w:ascii="Times New Roman" w:eastAsia="Calibri" w:hAnsi="Times New Roman" w:cs="Times New Roman"/>
          <w:sz w:val="24"/>
          <w:szCs w:val="24"/>
        </w:rPr>
        <w:t xml:space="preserve"> and EULAR for supporting this review.</w:t>
      </w:r>
    </w:p>
    <w:p w14:paraId="6E6B9CCA" w14:textId="77777777" w:rsidR="00F36E25" w:rsidRPr="00C33A5F" w:rsidRDefault="00F36E25" w:rsidP="00D40DDD">
      <w:pPr>
        <w:spacing w:after="0" w:line="480" w:lineRule="auto"/>
        <w:jc w:val="both"/>
        <w:rPr>
          <w:rFonts w:ascii="Times New Roman" w:eastAsia="Calibri" w:hAnsi="Times New Roman" w:cs="Times New Roman"/>
          <w:sz w:val="24"/>
          <w:szCs w:val="24"/>
        </w:rPr>
      </w:pPr>
    </w:p>
    <w:p w14:paraId="316AE6CC" w14:textId="77777777" w:rsidR="00B57F28" w:rsidRDefault="001E280B" w:rsidP="00D40DDD">
      <w:pPr>
        <w:spacing w:after="0" w:line="480" w:lineRule="auto"/>
        <w:jc w:val="both"/>
        <w:rPr>
          <w:rFonts w:ascii="Times New Roman" w:eastAsia="Calibri" w:hAnsi="Times New Roman" w:cs="Times New Roman"/>
          <w:sz w:val="24"/>
          <w:szCs w:val="24"/>
        </w:rPr>
      </w:pPr>
      <w:r w:rsidRPr="00C33A5F">
        <w:rPr>
          <w:rFonts w:ascii="Times New Roman" w:eastAsia="Calibri" w:hAnsi="Times New Roman" w:cs="Times New Roman"/>
          <w:b/>
          <w:sz w:val="24"/>
          <w:szCs w:val="24"/>
        </w:rPr>
        <w:t>Contributors</w:t>
      </w:r>
      <w:r w:rsidR="00992759" w:rsidRPr="00C33A5F">
        <w:rPr>
          <w:rFonts w:ascii="Times New Roman" w:eastAsia="Calibri" w:hAnsi="Times New Roman" w:cs="Times New Roman"/>
          <w:sz w:val="24"/>
          <w:szCs w:val="24"/>
        </w:rPr>
        <w:t xml:space="preserve"> </w:t>
      </w:r>
    </w:p>
    <w:p w14:paraId="6D24EBDC" w14:textId="77777777" w:rsidR="00992759" w:rsidRPr="00C33A5F" w:rsidRDefault="001E280B" w:rsidP="00D40DDD">
      <w:pPr>
        <w:spacing w:after="0" w:line="480" w:lineRule="auto"/>
        <w:jc w:val="both"/>
        <w:rPr>
          <w:rFonts w:ascii="Times New Roman" w:eastAsia="Calibri" w:hAnsi="Times New Roman" w:cs="Times New Roman"/>
          <w:sz w:val="24"/>
          <w:szCs w:val="24"/>
        </w:rPr>
      </w:pPr>
      <w:r w:rsidRPr="00C33A5F">
        <w:rPr>
          <w:rFonts w:ascii="Times New Roman" w:eastAsia="Calibri" w:hAnsi="Times New Roman" w:cs="Times New Roman"/>
          <w:sz w:val="24"/>
          <w:szCs w:val="24"/>
        </w:rPr>
        <w:t>All authors read and critically reviewed the manuscript</w:t>
      </w:r>
      <w:r w:rsidR="00C100BE" w:rsidRPr="00C33A5F">
        <w:rPr>
          <w:rFonts w:ascii="Times New Roman" w:eastAsia="Calibri" w:hAnsi="Times New Roman" w:cs="Times New Roman"/>
          <w:sz w:val="24"/>
          <w:szCs w:val="24"/>
        </w:rPr>
        <w:t xml:space="preserve"> prior to submission</w:t>
      </w:r>
      <w:r w:rsidRPr="00C33A5F">
        <w:rPr>
          <w:rFonts w:ascii="Times New Roman" w:eastAsia="Calibri" w:hAnsi="Times New Roman" w:cs="Times New Roman"/>
          <w:sz w:val="24"/>
          <w:szCs w:val="24"/>
        </w:rPr>
        <w:t>.</w:t>
      </w:r>
    </w:p>
    <w:p w14:paraId="3C794943" w14:textId="77777777" w:rsidR="00992759" w:rsidRPr="00C33A5F" w:rsidRDefault="00992759" w:rsidP="00D40DDD">
      <w:pPr>
        <w:spacing w:after="0" w:line="480" w:lineRule="auto"/>
        <w:jc w:val="both"/>
        <w:rPr>
          <w:rFonts w:ascii="Times New Roman" w:hAnsi="Times New Roman" w:cs="Times New Roman"/>
          <w:sz w:val="24"/>
          <w:szCs w:val="24"/>
        </w:rPr>
      </w:pPr>
    </w:p>
    <w:p w14:paraId="13FC7060" w14:textId="77777777" w:rsidR="005A4D6D" w:rsidRPr="00C33A5F" w:rsidRDefault="005A4D6D" w:rsidP="00D40DDD">
      <w:pPr>
        <w:spacing w:after="0" w:line="480" w:lineRule="auto"/>
        <w:jc w:val="both"/>
        <w:rPr>
          <w:rFonts w:ascii="Times New Roman" w:hAnsi="Times New Roman" w:cs="Times New Roman"/>
          <w:b/>
          <w:sz w:val="24"/>
          <w:szCs w:val="24"/>
        </w:rPr>
      </w:pPr>
      <w:r w:rsidRPr="00C33A5F">
        <w:rPr>
          <w:rFonts w:ascii="Times New Roman" w:hAnsi="Times New Roman" w:cs="Times New Roman"/>
          <w:b/>
          <w:sz w:val="24"/>
          <w:szCs w:val="24"/>
        </w:rPr>
        <w:t>Funding</w:t>
      </w:r>
    </w:p>
    <w:p w14:paraId="566FCEF7" w14:textId="77777777" w:rsidR="005A4D6D" w:rsidRDefault="00196840" w:rsidP="00D40DDD">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This study </w:t>
      </w:r>
      <w:r w:rsidR="00AB68AD" w:rsidRPr="00C33A5F">
        <w:rPr>
          <w:rFonts w:ascii="Times New Roman" w:eastAsia="Calibri" w:hAnsi="Times New Roman" w:cs="Times New Roman"/>
          <w:sz w:val="24"/>
          <w:szCs w:val="24"/>
        </w:rPr>
        <w:t xml:space="preserve">was </w:t>
      </w:r>
      <w:r>
        <w:rPr>
          <w:rFonts w:ascii="Times New Roman" w:eastAsia="Calibri" w:hAnsi="Times New Roman" w:cs="Times New Roman"/>
          <w:sz w:val="24"/>
          <w:szCs w:val="24"/>
        </w:rPr>
        <w:t>funded</w:t>
      </w:r>
      <w:r w:rsidR="00AB68AD" w:rsidRPr="00C33A5F">
        <w:rPr>
          <w:rFonts w:ascii="Times New Roman" w:eastAsia="Calibri" w:hAnsi="Times New Roman" w:cs="Times New Roman"/>
          <w:sz w:val="24"/>
          <w:szCs w:val="24"/>
        </w:rPr>
        <w:t xml:space="preserve"> by </w:t>
      </w:r>
      <w:r>
        <w:rPr>
          <w:rFonts w:ascii="Times New Roman" w:eastAsia="Calibri" w:hAnsi="Times New Roman" w:cs="Times New Roman"/>
          <w:sz w:val="24"/>
          <w:szCs w:val="24"/>
        </w:rPr>
        <w:t>the European League Against Rheumatism (</w:t>
      </w:r>
      <w:r w:rsidR="00AB68AD" w:rsidRPr="00C33A5F">
        <w:rPr>
          <w:rFonts w:ascii="Times New Roman" w:eastAsia="Calibri" w:hAnsi="Times New Roman" w:cs="Times New Roman"/>
          <w:sz w:val="24"/>
          <w:szCs w:val="24"/>
        </w:rPr>
        <w:t>EULAR</w:t>
      </w:r>
      <w:r>
        <w:rPr>
          <w:rFonts w:ascii="Times New Roman" w:eastAsia="Calibri" w:hAnsi="Times New Roman" w:cs="Times New Roman"/>
          <w:sz w:val="24"/>
          <w:szCs w:val="24"/>
        </w:rPr>
        <w:t xml:space="preserve">). Grant reference </w:t>
      </w:r>
      <w:r w:rsidR="00A15716">
        <w:rPr>
          <w:rFonts w:ascii="Times New Roman" w:eastAsia="Calibri" w:hAnsi="Times New Roman" w:cs="Times New Roman"/>
          <w:sz w:val="24"/>
          <w:szCs w:val="24"/>
        </w:rPr>
        <w:t>HPR 032.</w:t>
      </w:r>
    </w:p>
    <w:p w14:paraId="1A63CD7F" w14:textId="77777777" w:rsidR="00A15716" w:rsidRDefault="00A15716" w:rsidP="00D40DDD">
      <w:pPr>
        <w:spacing w:after="0" w:line="480" w:lineRule="auto"/>
        <w:jc w:val="both"/>
        <w:rPr>
          <w:rFonts w:ascii="Times New Roman" w:eastAsia="Calibri" w:hAnsi="Times New Roman" w:cs="Times New Roman"/>
          <w:sz w:val="24"/>
          <w:szCs w:val="24"/>
        </w:rPr>
      </w:pPr>
    </w:p>
    <w:p w14:paraId="01CF4CF8" w14:textId="77777777" w:rsidR="00A15716" w:rsidRDefault="00A15716" w:rsidP="00D40DDD">
      <w:pPr>
        <w:spacing w:after="0" w:line="480" w:lineRule="auto"/>
        <w:jc w:val="both"/>
        <w:rPr>
          <w:rFonts w:ascii="Times New Roman" w:eastAsia="Calibri" w:hAnsi="Times New Roman" w:cs="Times New Roman"/>
          <w:b/>
          <w:sz w:val="24"/>
          <w:szCs w:val="24"/>
        </w:rPr>
      </w:pPr>
      <w:r w:rsidRPr="00A15716">
        <w:rPr>
          <w:rFonts w:ascii="Times New Roman" w:eastAsia="Calibri" w:hAnsi="Times New Roman" w:cs="Times New Roman"/>
          <w:b/>
          <w:sz w:val="24"/>
          <w:szCs w:val="24"/>
        </w:rPr>
        <w:t>Competing interests</w:t>
      </w:r>
    </w:p>
    <w:p w14:paraId="08C872AE" w14:textId="77777777" w:rsidR="00A15716" w:rsidRPr="00A15716" w:rsidRDefault="00A15716" w:rsidP="00D40DDD">
      <w:pPr>
        <w:spacing w:after="0" w:line="480" w:lineRule="auto"/>
        <w:jc w:val="both"/>
        <w:rPr>
          <w:rFonts w:ascii="Times New Roman" w:eastAsia="Calibri" w:hAnsi="Times New Roman" w:cs="Times New Roman"/>
          <w:sz w:val="24"/>
          <w:szCs w:val="24"/>
        </w:rPr>
      </w:pPr>
      <w:r w:rsidRPr="00A15716">
        <w:rPr>
          <w:rFonts w:ascii="Times New Roman" w:eastAsia="Calibri" w:hAnsi="Times New Roman" w:cs="Times New Roman"/>
          <w:sz w:val="24"/>
          <w:szCs w:val="24"/>
        </w:rPr>
        <w:t>None declared</w:t>
      </w:r>
      <w:r>
        <w:rPr>
          <w:rFonts w:ascii="Times New Roman" w:eastAsia="Calibri" w:hAnsi="Times New Roman" w:cs="Times New Roman"/>
          <w:sz w:val="24"/>
          <w:szCs w:val="24"/>
        </w:rPr>
        <w:t>.</w:t>
      </w:r>
    </w:p>
    <w:p w14:paraId="0CE4339D" w14:textId="77777777" w:rsidR="00A15716" w:rsidRDefault="00A15716" w:rsidP="00D40DDD">
      <w:pPr>
        <w:spacing w:after="0" w:line="480" w:lineRule="auto"/>
        <w:jc w:val="both"/>
        <w:rPr>
          <w:rFonts w:ascii="Times New Roman" w:eastAsia="Calibri" w:hAnsi="Times New Roman" w:cs="Times New Roman"/>
          <w:sz w:val="24"/>
          <w:szCs w:val="24"/>
        </w:rPr>
      </w:pPr>
    </w:p>
    <w:p w14:paraId="299CD390" w14:textId="77777777" w:rsidR="00A15716" w:rsidRPr="00A15716" w:rsidRDefault="00A15716" w:rsidP="00D40DDD">
      <w:pPr>
        <w:spacing w:after="0" w:line="480" w:lineRule="auto"/>
        <w:jc w:val="both"/>
        <w:rPr>
          <w:rFonts w:ascii="Times New Roman" w:eastAsia="Calibri" w:hAnsi="Times New Roman" w:cs="Times New Roman"/>
          <w:b/>
          <w:sz w:val="24"/>
          <w:szCs w:val="24"/>
        </w:rPr>
      </w:pPr>
      <w:r w:rsidRPr="00A15716">
        <w:rPr>
          <w:rFonts w:ascii="Times New Roman" w:eastAsia="Calibri" w:hAnsi="Times New Roman" w:cs="Times New Roman"/>
          <w:b/>
          <w:sz w:val="24"/>
          <w:szCs w:val="24"/>
        </w:rPr>
        <w:t>Provenance and peer review</w:t>
      </w:r>
    </w:p>
    <w:p w14:paraId="006CF51D" w14:textId="77777777" w:rsidR="00A15716" w:rsidRPr="00C33A5F" w:rsidRDefault="00A15716" w:rsidP="00D40DDD">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Not commissioned; externally peer reviewed.</w:t>
      </w:r>
    </w:p>
    <w:p w14:paraId="6F041626" w14:textId="77777777" w:rsidR="00AB68AD" w:rsidRDefault="00AB68AD" w:rsidP="00D40DDD">
      <w:pPr>
        <w:spacing w:after="0" w:line="480" w:lineRule="auto"/>
        <w:jc w:val="both"/>
        <w:rPr>
          <w:rFonts w:ascii="Times New Roman" w:hAnsi="Times New Roman" w:cs="Times New Roman"/>
          <w:b/>
          <w:sz w:val="24"/>
          <w:szCs w:val="24"/>
        </w:rPr>
      </w:pPr>
    </w:p>
    <w:p w14:paraId="0AD2ADFD" w14:textId="77777777" w:rsidR="00BA7388" w:rsidRDefault="00BA7388" w:rsidP="00D40DD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Data availability statement</w:t>
      </w:r>
    </w:p>
    <w:p w14:paraId="4F697D6E" w14:textId="77777777" w:rsidR="00BA7388" w:rsidRPr="00BA7388" w:rsidRDefault="00BA7388" w:rsidP="00D40DDD">
      <w:pPr>
        <w:spacing w:after="0" w:line="480" w:lineRule="auto"/>
        <w:jc w:val="both"/>
        <w:rPr>
          <w:rFonts w:ascii="Times New Roman" w:hAnsi="Times New Roman" w:cs="Times New Roman"/>
          <w:sz w:val="24"/>
          <w:szCs w:val="24"/>
        </w:rPr>
      </w:pPr>
      <w:r w:rsidRPr="00BA7388">
        <w:rPr>
          <w:rFonts w:ascii="Times New Roman" w:hAnsi="Times New Roman" w:cs="Times New Roman"/>
          <w:sz w:val="24"/>
          <w:szCs w:val="24"/>
        </w:rPr>
        <w:t xml:space="preserve">All data relevant to the study are included in the article or </w:t>
      </w:r>
      <w:proofErr w:type="spellStart"/>
      <w:r w:rsidRPr="00BA7388">
        <w:rPr>
          <w:rFonts w:ascii="Times New Roman" w:hAnsi="Times New Roman" w:cs="Times New Roman"/>
          <w:sz w:val="24"/>
          <w:szCs w:val="24"/>
        </w:rPr>
        <w:t>uploaed</w:t>
      </w:r>
      <w:proofErr w:type="spellEnd"/>
      <w:r w:rsidRPr="00BA7388">
        <w:rPr>
          <w:rFonts w:ascii="Times New Roman" w:hAnsi="Times New Roman" w:cs="Times New Roman"/>
          <w:sz w:val="24"/>
          <w:szCs w:val="24"/>
        </w:rPr>
        <w:t xml:space="preserve"> as supplementary information.</w:t>
      </w:r>
    </w:p>
    <w:p w14:paraId="1CFDB97C" w14:textId="77777777" w:rsidR="00BA7388" w:rsidRDefault="00BA7388" w:rsidP="00D40DDD">
      <w:pPr>
        <w:spacing w:after="0" w:line="480" w:lineRule="auto"/>
        <w:jc w:val="both"/>
        <w:rPr>
          <w:rFonts w:ascii="Times New Roman" w:hAnsi="Times New Roman" w:cs="Times New Roman"/>
          <w:b/>
          <w:sz w:val="24"/>
          <w:szCs w:val="24"/>
        </w:rPr>
      </w:pPr>
    </w:p>
    <w:p w14:paraId="4CC17954" w14:textId="77777777" w:rsidR="00600256" w:rsidRPr="00C33A5F" w:rsidRDefault="00A15716" w:rsidP="00600256">
      <w:pP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35585698" w14:textId="77777777" w:rsidR="00600256" w:rsidRPr="00306C66" w:rsidRDefault="00A15716" w:rsidP="00600256">
      <w:pPr>
        <w:spacing w:after="0" w:line="480" w:lineRule="auto"/>
        <w:jc w:val="both"/>
        <w:rPr>
          <w:rFonts w:ascii="Times New Roman" w:eastAsia="Calibri" w:hAnsi="Times New Roman" w:cs="Times New Roman"/>
          <w:sz w:val="24"/>
          <w:szCs w:val="24"/>
          <w:lang w:val="de-AT"/>
        </w:rPr>
      </w:pPr>
      <w:r>
        <w:rPr>
          <w:rFonts w:ascii="Times New Roman" w:eastAsia="Calibri" w:hAnsi="Times New Roman" w:cs="Times New Roman"/>
          <w:sz w:val="24"/>
          <w:szCs w:val="24"/>
        </w:rPr>
        <w:t xml:space="preserve">1. </w:t>
      </w:r>
      <w:proofErr w:type="spellStart"/>
      <w:r w:rsidR="00600256" w:rsidRPr="00C33A5F">
        <w:rPr>
          <w:rFonts w:ascii="Times New Roman" w:eastAsia="Calibri" w:hAnsi="Times New Roman" w:cs="Times New Roman"/>
          <w:sz w:val="24"/>
          <w:szCs w:val="24"/>
        </w:rPr>
        <w:t>Odén</w:t>
      </w:r>
      <w:proofErr w:type="spellEnd"/>
      <w:r w:rsidR="00600256" w:rsidRPr="00C33A5F">
        <w:rPr>
          <w:rFonts w:ascii="Times New Roman" w:eastAsia="Calibri" w:hAnsi="Times New Roman" w:cs="Times New Roman"/>
          <w:sz w:val="24"/>
          <w:szCs w:val="24"/>
        </w:rPr>
        <w:t xml:space="preserve"> A, McCloskey EV, </w:t>
      </w:r>
      <w:proofErr w:type="spellStart"/>
      <w:r w:rsidR="00600256" w:rsidRPr="00C33A5F">
        <w:rPr>
          <w:rFonts w:ascii="Times New Roman" w:eastAsia="Calibri" w:hAnsi="Times New Roman" w:cs="Times New Roman"/>
          <w:sz w:val="24"/>
          <w:szCs w:val="24"/>
        </w:rPr>
        <w:t>Kanis</w:t>
      </w:r>
      <w:proofErr w:type="spellEnd"/>
      <w:r w:rsidR="00600256" w:rsidRPr="00C33A5F">
        <w:rPr>
          <w:rFonts w:ascii="Times New Roman" w:eastAsia="Calibri" w:hAnsi="Times New Roman" w:cs="Times New Roman"/>
          <w:sz w:val="24"/>
          <w:szCs w:val="24"/>
        </w:rPr>
        <w:t xml:space="preserve"> JA, et al. Burden of high fracture probability worldwide: secular increase 2010-2040. </w:t>
      </w:r>
      <w:r w:rsidR="00600256" w:rsidRPr="00306C66">
        <w:rPr>
          <w:rFonts w:ascii="Times New Roman" w:eastAsia="Calibri" w:hAnsi="Times New Roman" w:cs="Times New Roman"/>
          <w:i/>
          <w:sz w:val="24"/>
          <w:szCs w:val="24"/>
          <w:lang w:val="de-AT"/>
        </w:rPr>
        <w:t xml:space="preserve">Osteoporos Int </w:t>
      </w:r>
      <w:r w:rsidR="00600256" w:rsidRPr="00306C66">
        <w:rPr>
          <w:rFonts w:ascii="Times New Roman" w:eastAsia="Calibri" w:hAnsi="Times New Roman" w:cs="Times New Roman"/>
          <w:sz w:val="24"/>
          <w:szCs w:val="24"/>
          <w:lang w:val="de-AT"/>
        </w:rPr>
        <w:t>2015; 26:2243-8.</w:t>
      </w:r>
    </w:p>
    <w:p w14:paraId="18FEDF36" w14:textId="77777777" w:rsidR="00600256" w:rsidRPr="00306C66" w:rsidRDefault="00600256" w:rsidP="00600256">
      <w:pPr>
        <w:spacing w:after="0" w:line="480" w:lineRule="auto"/>
        <w:jc w:val="both"/>
        <w:rPr>
          <w:rFonts w:ascii="Times New Roman" w:eastAsia="Calibri" w:hAnsi="Times New Roman" w:cs="Times New Roman"/>
          <w:sz w:val="24"/>
          <w:szCs w:val="24"/>
          <w:lang w:val="de-AT"/>
        </w:rPr>
      </w:pPr>
    </w:p>
    <w:p w14:paraId="04C5D3DE" w14:textId="77777777" w:rsidR="00600256" w:rsidRPr="00C33A5F" w:rsidRDefault="00A15716" w:rsidP="00600256">
      <w:pPr>
        <w:spacing w:after="0" w:line="480" w:lineRule="auto"/>
        <w:jc w:val="both"/>
        <w:rPr>
          <w:rFonts w:ascii="Times New Roman" w:eastAsia="Calibri" w:hAnsi="Times New Roman" w:cs="Times New Roman"/>
          <w:sz w:val="24"/>
          <w:szCs w:val="24"/>
        </w:rPr>
      </w:pPr>
      <w:r w:rsidRPr="008B435D">
        <w:rPr>
          <w:rFonts w:ascii="Times New Roman" w:eastAsia="Calibri" w:hAnsi="Times New Roman" w:cs="Times New Roman"/>
          <w:sz w:val="24"/>
          <w:szCs w:val="24"/>
          <w:lang w:val="de-AT"/>
        </w:rPr>
        <w:t>2.</w:t>
      </w:r>
      <w:r w:rsidR="00600256" w:rsidRPr="008B435D">
        <w:rPr>
          <w:rFonts w:ascii="Times New Roman" w:eastAsia="Calibri" w:hAnsi="Times New Roman" w:cs="Times New Roman"/>
          <w:sz w:val="24"/>
          <w:szCs w:val="24"/>
          <w:lang w:val="de-AT"/>
        </w:rPr>
        <w:t xml:space="preserve"> Hernlund E, Svedbom A, Ivergard M, et al. </w:t>
      </w:r>
      <w:r w:rsidR="00600256" w:rsidRPr="00C33A5F">
        <w:rPr>
          <w:rFonts w:ascii="Times New Roman" w:eastAsia="Calibri" w:hAnsi="Times New Roman" w:cs="Times New Roman"/>
          <w:sz w:val="24"/>
          <w:szCs w:val="24"/>
        </w:rPr>
        <w:t xml:space="preserve">Osteoporosis in the European Union: medical management, epidemiology and economic burden. A report prepared in collaboration with the International Osteoporosis Foundation (IOF) and the European Federation of Pharmaceutical Industry Associations (EFPIA). </w:t>
      </w:r>
      <w:r w:rsidR="00600256" w:rsidRPr="00C33A5F">
        <w:rPr>
          <w:rFonts w:ascii="Times New Roman" w:eastAsia="Calibri" w:hAnsi="Times New Roman" w:cs="Times New Roman"/>
          <w:i/>
          <w:sz w:val="24"/>
          <w:szCs w:val="24"/>
        </w:rPr>
        <w:t xml:space="preserve">Arch </w:t>
      </w:r>
      <w:proofErr w:type="spellStart"/>
      <w:r w:rsidR="00600256" w:rsidRPr="00C33A5F">
        <w:rPr>
          <w:rFonts w:ascii="Times New Roman" w:eastAsia="Calibri" w:hAnsi="Times New Roman" w:cs="Times New Roman"/>
          <w:i/>
          <w:sz w:val="24"/>
          <w:szCs w:val="24"/>
        </w:rPr>
        <w:t>Osteoporos</w:t>
      </w:r>
      <w:proofErr w:type="spellEnd"/>
      <w:r w:rsidR="00600256" w:rsidRPr="00C33A5F">
        <w:rPr>
          <w:rFonts w:ascii="Times New Roman" w:eastAsia="Calibri" w:hAnsi="Times New Roman" w:cs="Times New Roman"/>
          <w:sz w:val="24"/>
          <w:szCs w:val="24"/>
        </w:rPr>
        <w:t xml:space="preserve"> 2013; 8:136.</w:t>
      </w:r>
    </w:p>
    <w:p w14:paraId="345D966F" w14:textId="77777777" w:rsidR="00600256" w:rsidRPr="00C33A5F" w:rsidRDefault="00600256" w:rsidP="00600256">
      <w:pPr>
        <w:spacing w:after="0" w:line="480" w:lineRule="auto"/>
        <w:jc w:val="both"/>
        <w:rPr>
          <w:rFonts w:ascii="Times New Roman" w:eastAsia="Calibri" w:hAnsi="Times New Roman" w:cs="Times New Roman"/>
          <w:sz w:val="24"/>
          <w:szCs w:val="24"/>
        </w:rPr>
      </w:pPr>
    </w:p>
    <w:p w14:paraId="0560EF4D" w14:textId="77777777" w:rsidR="00600256" w:rsidRPr="00C33A5F" w:rsidRDefault="00A15716" w:rsidP="00600256">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600256" w:rsidRPr="00C33A5F">
        <w:rPr>
          <w:rFonts w:ascii="Times New Roman" w:eastAsia="Calibri" w:hAnsi="Times New Roman" w:cs="Times New Roman"/>
          <w:sz w:val="24"/>
          <w:szCs w:val="24"/>
        </w:rPr>
        <w:t xml:space="preserve"> Crandall CJ, Newberry SJ, Diamant A, et al. Comparative effectiveness of pharmacologic treatments to prevent fractures. </w:t>
      </w:r>
      <w:r w:rsidR="00600256" w:rsidRPr="00C33A5F">
        <w:rPr>
          <w:rFonts w:ascii="Times New Roman" w:eastAsia="Calibri" w:hAnsi="Times New Roman" w:cs="Times New Roman"/>
          <w:i/>
          <w:sz w:val="24"/>
          <w:szCs w:val="24"/>
        </w:rPr>
        <w:t>Ann Intern Med</w:t>
      </w:r>
      <w:r w:rsidR="00600256" w:rsidRPr="00C33A5F">
        <w:rPr>
          <w:rFonts w:ascii="Times New Roman" w:eastAsia="Calibri" w:hAnsi="Times New Roman" w:cs="Times New Roman"/>
          <w:sz w:val="24"/>
          <w:szCs w:val="24"/>
        </w:rPr>
        <w:t xml:space="preserve"> 2014; 161:711-23.</w:t>
      </w:r>
    </w:p>
    <w:p w14:paraId="72C921AE" w14:textId="77777777" w:rsidR="00600256" w:rsidRPr="00C33A5F" w:rsidRDefault="00600256" w:rsidP="00600256">
      <w:pPr>
        <w:spacing w:after="0" w:line="480" w:lineRule="auto"/>
        <w:jc w:val="both"/>
        <w:rPr>
          <w:rFonts w:ascii="Times New Roman" w:eastAsia="Calibri" w:hAnsi="Times New Roman" w:cs="Times New Roman"/>
          <w:sz w:val="24"/>
          <w:szCs w:val="24"/>
        </w:rPr>
      </w:pPr>
    </w:p>
    <w:p w14:paraId="291DFFB5" w14:textId="77777777" w:rsidR="00600256" w:rsidRPr="00C33A5F" w:rsidRDefault="00A15716" w:rsidP="00600256">
      <w:pPr>
        <w:pStyle w:val="NoSpacing"/>
        <w:spacing w:line="480" w:lineRule="auto"/>
        <w:rPr>
          <w:rFonts w:ascii="Times New Roman" w:hAnsi="Times New Roman" w:cs="Times New Roman"/>
          <w:bCs/>
          <w:sz w:val="24"/>
          <w:szCs w:val="24"/>
          <w:lang w:val="en-GB"/>
        </w:rPr>
      </w:pPr>
      <w:r>
        <w:rPr>
          <w:rFonts w:ascii="Times New Roman" w:eastAsia="Calibri" w:hAnsi="Times New Roman" w:cs="Times New Roman"/>
          <w:sz w:val="24"/>
          <w:szCs w:val="24"/>
          <w:lang w:val="en-GB"/>
        </w:rPr>
        <w:t>4.</w:t>
      </w:r>
      <w:r w:rsidR="00600256" w:rsidRPr="00C33A5F">
        <w:rPr>
          <w:rFonts w:ascii="Times New Roman" w:eastAsia="Calibri" w:hAnsi="Times New Roman" w:cs="Times New Roman"/>
          <w:sz w:val="24"/>
          <w:szCs w:val="24"/>
          <w:lang w:val="en-GB"/>
        </w:rPr>
        <w:t xml:space="preserve"> Yusuf AA, Cummings SR, Watts NB, et al. Real-world effectiveness of osteoporosis therapies for fracture reduction in post-menopausal women. </w:t>
      </w:r>
      <w:r w:rsidR="00600256" w:rsidRPr="00C33A5F">
        <w:rPr>
          <w:rFonts w:ascii="Times New Roman" w:eastAsia="Calibri" w:hAnsi="Times New Roman" w:cs="Times New Roman"/>
          <w:i/>
          <w:sz w:val="24"/>
          <w:szCs w:val="24"/>
          <w:lang w:val="en-GB"/>
        </w:rPr>
        <w:t xml:space="preserve">Arch </w:t>
      </w:r>
      <w:proofErr w:type="spellStart"/>
      <w:r w:rsidR="00600256" w:rsidRPr="00C33A5F">
        <w:rPr>
          <w:rFonts w:ascii="Times New Roman" w:eastAsia="Calibri" w:hAnsi="Times New Roman" w:cs="Times New Roman"/>
          <w:i/>
          <w:sz w:val="24"/>
          <w:szCs w:val="24"/>
          <w:lang w:val="en-GB"/>
        </w:rPr>
        <w:t>Osteoporos</w:t>
      </w:r>
      <w:proofErr w:type="spellEnd"/>
      <w:r w:rsidR="00600256" w:rsidRPr="00C33A5F">
        <w:rPr>
          <w:rFonts w:ascii="Times New Roman" w:eastAsia="Calibri" w:hAnsi="Times New Roman" w:cs="Times New Roman"/>
          <w:sz w:val="24"/>
          <w:szCs w:val="24"/>
          <w:lang w:val="en-GB"/>
        </w:rPr>
        <w:t xml:space="preserve"> 2018; 13:33 </w:t>
      </w:r>
      <w:r w:rsidR="00600256" w:rsidRPr="00C33A5F">
        <w:rPr>
          <w:rFonts w:ascii="Times New Roman" w:hAnsi="Times New Roman" w:cs="Times New Roman"/>
          <w:sz w:val="24"/>
          <w:szCs w:val="24"/>
          <w:lang w:val="en-GB"/>
        </w:rPr>
        <w:t>doi.org/10.1007/s11657-018-0439-3.</w:t>
      </w:r>
    </w:p>
    <w:p w14:paraId="7EE78104" w14:textId="77777777" w:rsidR="00600256" w:rsidRPr="00C33A5F" w:rsidRDefault="00600256" w:rsidP="00600256">
      <w:pPr>
        <w:spacing w:after="0" w:line="480" w:lineRule="auto"/>
        <w:jc w:val="both"/>
        <w:rPr>
          <w:rFonts w:ascii="Times New Roman" w:eastAsia="Calibri" w:hAnsi="Times New Roman" w:cs="Times New Roman"/>
          <w:sz w:val="24"/>
          <w:szCs w:val="24"/>
        </w:rPr>
      </w:pPr>
    </w:p>
    <w:p w14:paraId="124D747C" w14:textId="77777777" w:rsidR="00600256" w:rsidRPr="00C33A5F" w:rsidRDefault="00A15716" w:rsidP="00600256">
      <w:pPr>
        <w:spacing w:after="0" w:line="480" w:lineRule="auto"/>
        <w:rPr>
          <w:rFonts w:ascii="Times New Roman" w:hAnsi="Times New Roman" w:cs="Times New Roman"/>
          <w:sz w:val="24"/>
          <w:szCs w:val="24"/>
        </w:rPr>
      </w:pPr>
      <w:r>
        <w:rPr>
          <w:rFonts w:ascii="Times New Roman" w:hAnsi="Times New Roman" w:cs="Times New Roman"/>
          <w:sz w:val="24"/>
          <w:szCs w:val="24"/>
        </w:rPr>
        <w:t>5.</w:t>
      </w:r>
      <w:r w:rsidR="00600256" w:rsidRPr="00C33A5F">
        <w:rPr>
          <w:rFonts w:ascii="Times New Roman" w:hAnsi="Times New Roman" w:cs="Times New Roman"/>
          <w:sz w:val="24"/>
          <w:szCs w:val="24"/>
        </w:rPr>
        <w:t xml:space="preserve"> Gallagher TC, </w:t>
      </w:r>
      <w:proofErr w:type="spellStart"/>
      <w:r w:rsidR="00600256" w:rsidRPr="00C33A5F">
        <w:rPr>
          <w:rFonts w:ascii="Times New Roman" w:hAnsi="Times New Roman" w:cs="Times New Roman"/>
          <w:sz w:val="24"/>
          <w:szCs w:val="24"/>
        </w:rPr>
        <w:t>Geling</w:t>
      </w:r>
      <w:proofErr w:type="spellEnd"/>
      <w:r w:rsidR="00600256" w:rsidRPr="00C33A5F">
        <w:rPr>
          <w:rFonts w:ascii="Times New Roman" w:hAnsi="Times New Roman" w:cs="Times New Roman"/>
          <w:sz w:val="24"/>
          <w:szCs w:val="24"/>
        </w:rPr>
        <w:t xml:space="preserve"> O, </w:t>
      </w:r>
      <w:proofErr w:type="spellStart"/>
      <w:r w:rsidR="00600256" w:rsidRPr="00C33A5F">
        <w:rPr>
          <w:rFonts w:ascii="Times New Roman" w:hAnsi="Times New Roman" w:cs="Times New Roman"/>
          <w:sz w:val="24"/>
          <w:szCs w:val="24"/>
        </w:rPr>
        <w:t>Cornite</w:t>
      </w:r>
      <w:proofErr w:type="spellEnd"/>
      <w:r w:rsidR="00600256" w:rsidRPr="00C33A5F">
        <w:rPr>
          <w:rFonts w:ascii="Times New Roman" w:hAnsi="Times New Roman" w:cs="Times New Roman"/>
          <w:sz w:val="24"/>
          <w:szCs w:val="24"/>
        </w:rPr>
        <w:t xml:space="preserve"> F. Missed opportunities for prevention of osteoporotic fracture. </w:t>
      </w:r>
      <w:r w:rsidR="00600256" w:rsidRPr="00C33A5F">
        <w:rPr>
          <w:rFonts w:ascii="Times New Roman" w:hAnsi="Times New Roman" w:cs="Times New Roman"/>
          <w:i/>
          <w:sz w:val="24"/>
          <w:szCs w:val="24"/>
        </w:rPr>
        <w:t xml:space="preserve">Arch Intern Med </w:t>
      </w:r>
      <w:r w:rsidR="00600256" w:rsidRPr="00C33A5F">
        <w:rPr>
          <w:rFonts w:ascii="Times New Roman" w:hAnsi="Times New Roman" w:cs="Times New Roman"/>
          <w:sz w:val="24"/>
          <w:szCs w:val="24"/>
        </w:rPr>
        <w:t>2002; 162:450-6.</w:t>
      </w:r>
    </w:p>
    <w:p w14:paraId="407A809B" w14:textId="77777777" w:rsidR="00600256" w:rsidRPr="00C33A5F" w:rsidRDefault="00600256" w:rsidP="00600256">
      <w:pPr>
        <w:spacing w:after="0" w:line="480" w:lineRule="auto"/>
        <w:rPr>
          <w:rFonts w:ascii="Times New Roman" w:hAnsi="Times New Roman" w:cs="Times New Roman"/>
          <w:sz w:val="24"/>
          <w:szCs w:val="24"/>
        </w:rPr>
      </w:pPr>
    </w:p>
    <w:p w14:paraId="36A47FB1" w14:textId="77777777" w:rsidR="00600256" w:rsidRDefault="00A15716" w:rsidP="0060025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6.</w:t>
      </w:r>
      <w:r w:rsidR="00600256" w:rsidRPr="00C33A5F">
        <w:rPr>
          <w:rFonts w:ascii="Times New Roman" w:hAnsi="Times New Roman" w:cs="Times New Roman"/>
          <w:sz w:val="24"/>
          <w:szCs w:val="24"/>
        </w:rPr>
        <w:t xml:space="preserve"> Parker D. An audit of osteoporotic patients in an Australian general practice. </w:t>
      </w:r>
      <w:proofErr w:type="spellStart"/>
      <w:r w:rsidR="00600256" w:rsidRPr="00C33A5F">
        <w:rPr>
          <w:rFonts w:ascii="Times New Roman" w:hAnsi="Times New Roman" w:cs="Times New Roman"/>
          <w:i/>
          <w:sz w:val="24"/>
          <w:szCs w:val="24"/>
        </w:rPr>
        <w:t>Aust</w:t>
      </w:r>
      <w:proofErr w:type="spellEnd"/>
      <w:r w:rsidR="00600256" w:rsidRPr="00C33A5F">
        <w:rPr>
          <w:rFonts w:ascii="Times New Roman" w:hAnsi="Times New Roman" w:cs="Times New Roman"/>
          <w:i/>
          <w:sz w:val="24"/>
          <w:szCs w:val="24"/>
        </w:rPr>
        <w:t xml:space="preserve"> Fam Physician </w:t>
      </w:r>
      <w:r w:rsidR="00600256" w:rsidRPr="00C33A5F">
        <w:rPr>
          <w:rFonts w:ascii="Times New Roman" w:hAnsi="Times New Roman" w:cs="Times New Roman"/>
          <w:sz w:val="24"/>
          <w:szCs w:val="24"/>
        </w:rPr>
        <w:t>2013; 42:423-7.</w:t>
      </w:r>
    </w:p>
    <w:p w14:paraId="5FC38AC8" w14:textId="77777777" w:rsidR="00A15716" w:rsidRPr="00600256" w:rsidRDefault="00A15716" w:rsidP="00600256">
      <w:pPr>
        <w:spacing w:after="0" w:line="480" w:lineRule="auto"/>
        <w:contextualSpacing/>
        <w:rPr>
          <w:rFonts w:ascii="Times New Roman" w:hAnsi="Times New Roman" w:cs="Times New Roman"/>
          <w:sz w:val="24"/>
          <w:szCs w:val="24"/>
        </w:rPr>
      </w:pPr>
    </w:p>
    <w:p w14:paraId="6BB0008E" w14:textId="77777777" w:rsidR="00600256" w:rsidRPr="00C33A5F" w:rsidRDefault="00A15716" w:rsidP="00600256">
      <w:pPr>
        <w:spacing w:after="0" w:line="480" w:lineRule="auto"/>
        <w:rPr>
          <w:rFonts w:ascii="Times New Roman" w:hAnsi="Times New Roman" w:cs="Times New Roman"/>
          <w:sz w:val="24"/>
          <w:szCs w:val="24"/>
        </w:rPr>
      </w:pPr>
      <w:r>
        <w:rPr>
          <w:rFonts w:ascii="Times New Roman" w:hAnsi="Times New Roman" w:cs="Times New Roman"/>
          <w:sz w:val="24"/>
          <w:szCs w:val="24"/>
        </w:rPr>
        <w:t>7.</w:t>
      </w:r>
      <w:r w:rsidR="00600256" w:rsidRPr="00C33A5F">
        <w:rPr>
          <w:rFonts w:ascii="Times New Roman" w:hAnsi="Times New Roman" w:cs="Times New Roman"/>
          <w:sz w:val="24"/>
          <w:szCs w:val="24"/>
        </w:rPr>
        <w:t xml:space="preserve"> Khosla S, </w:t>
      </w:r>
      <w:proofErr w:type="spellStart"/>
      <w:r w:rsidR="00600256" w:rsidRPr="00C33A5F">
        <w:rPr>
          <w:rFonts w:ascii="Times New Roman" w:hAnsi="Times New Roman" w:cs="Times New Roman"/>
          <w:sz w:val="24"/>
          <w:szCs w:val="24"/>
        </w:rPr>
        <w:t>Cauley</w:t>
      </w:r>
      <w:proofErr w:type="spellEnd"/>
      <w:r w:rsidR="00600256" w:rsidRPr="00C33A5F">
        <w:rPr>
          <w:rFonts w:ascii="Times New Roman" w:hAnsi="Times New Roman" w:cs="Times New Roman"/>
          <w:sz w:val="24"/>
          <w:szCs w:val="24"/>
        </w:rPr>
        <w:t xml:space="preserve"> JA, </w:t>
      </w:r>
      <w:proofErr w:type="spellStart"/>
      <w:r w:rsidR="00600256" w:rsidRPr="00C33A5F">
        <w:rPr>
          <w:rFonts w:ascii="Times New Roman" w:hAnsi="Times New Roman" w:cs="Times New Roman"/>
          <w:sz w:val="24"/>
          <w:szCs w:val="24"/>
        </w:rPr>
        <w:t>Compston</w:t>
      </w:r>
      <w:proofErr w:type="spellEnd"/>
      <w:r w:rsidR="00600256" w:rsidRPr="00C33A5F">
        <w:rPr>
          <w:rFonts w:ascii="Times New Roman" w:hAnsi="Times New Roman" w:cs="Times New Roman"/>
          <w:sz w:val="24"/>
          <w:szCs w:val="24"/>
        </w:rPr>
        <w:t xml:space="preserve"> J, et al. Addressing the crisis in the treatment of osteoporosis: a path forward. </w:t>
      </w:r>
      <w:r w:rsidR="00600256" w:rsidRPr="00C33A5F">
        <w:rPr>
          <w:rFonts w:ascii="Times New Roman" w:hAnsi="Times New Roman" w:cs="Times New Roman"/>
          <w:i/>
          <w:sz w:val="24"/>
          <w:szCs w:val="24"/>
        </w:rPr>
        <w:t>J Bone Miner Res</w:t>
      </w:r>
      <w:r w:rsidR="00600256" w:rsidRPr="00C33A5F">
        <w:rPr>
          <w:rFonts w:ascii="Times New Roman" w:hAnsi="Times New Roman" w:cs="Times New Roman"/>
          <w:sz w:val="24"/>
          <w:szCs w:val="24"/>
        </w:rPr>
        <w:t xml:space="preserve"> 2017; 32:424-30.</w:t>
      </w:r>
    </w:p>
    <w:p w14:paraId="5A1248FC" w14:textId="77777777" w:rsidR="00600256" w:rsidRPr="00C33A5F" w:rsidRDefault="00600256" w:rsidP="00600256">
      <w:pPr>
        <w:spacing w:after="0" w:line="480" w:lineRule="auto"/>
        <w:rPr>
          <w:rFonts w:ascii="Times New Roman" w:eastAsia="Calibri" w:hAnsi="Times New Roman" w:cs="Times New Roman"/>
          <w:sz w:val="24"/>
          <w:szCs w:val="24"/>
        </w:rPr>
      </w:pPr>
    </w:p>
    <w:p w14:paraId="0A86E010" w14:textId="77777777" w:rsidR="00600256" w:rsidRPr="00C33A5F" w:rsidRDefault="00A15716" w:rsidP="0060025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r w:rsidR="00600256" w:rsidRPr="00C33A5F">
        <w:rPr>
          <w:rFonts w:ascii="Times New Roman" w:eastAsia="Calibri" w:hAnsi="Times New Roman" w:cs="Times New Roman"/>
          <w:sz w:val="24"/>
          <w:szCs w:val="24"/>
        </w:rPr>
        <w:t xml:space="preserve"> Howe TE, Shea B, Dawson LJ, et al. Exercise for preventing and treating osteoporosis in postmenopausal women. </w:t>
      </w:r>
      <w:r w:rsidR="00600256" w:rsidRPr="00C33A5F">
        <w:rPr>
          <w:rFonts w:ascii="Times New Roman" w:eastAsia="Calibri" w:hAnsi="Times New Roman" w:cs="Times New Roman"/>
          <w:i/>
          <w:sz w:val="24"/>
          <w:szCs w:val="24"/>
        </w:rPr>
        <w:t xml:space="preserve">Cochrane Database </w:t>
      </w:r>
      <w:proofErr w:type="spellStart"/>
      <w:r w:rsidR="00600256" w:rsidRPr="00C33A5F">
        <w:rPr>
          <w:rFonts w:ascii="Times New Roman" w:eastAsia="Calibri" w:hAnsi="Times New Roman" w:cs="Times New Roman"/>
          <w:i/>
          <w:sz w:val="24"/>
          <w:szCs w:val="24"/>
        </w:rPr>
        <w:t>Syst</w:t>
      </w:r>
      <w:proofErr w:type="spellEnd"/>
      <w:r w:rsidR="00600256" w:rsidRPr="00C33A5F">
        <w:rPr>
          <w:rFonts w:ascii="Times New Roman" w:eastAsia="Calibri" w:hAnsi="Times New Roman" w:cs="Times New Roman"/>
          <w:i/>
          <w:sz w:val="24"/>
          <w:szCs w:val="24"/>
        </w:rPr>
        <w:t xml:space="preserve"> Rev</w:t>
      </w:r>
      <w:r w:rsidR="00600256" w:rsidRPr="00C33A5F">
        <w:rPr>
          <w:rFonts w:ascii="Times New Roman" w:eastAsia="Calibri" w:hAnsi="Times New Roman" w:cs="Times New Roman"/>
          <w:sz w:val="24"/>
          <w:szCs w:val="24"/>
        </w:rPr>
        <w:t xml:space="preserve"> 2011; Issue 7. </w:t>
      </w:r>
      <w:proofErr w:type="spellStart"/>
      <w:r w:rsidR="00600256" w:rsidRPr="00C33A5F">
        <w:rPr>
          <w:rFonts w:ascii="Times New Roman" w:eastAsia="Calibri" w:hAnsi="Times New Roman" w:cs="Times New Roman"/>
          <w:sz w:val="24"/>
          <w:szCs w:val="24"/>
        </w:rPr>
        <w:t>Art.No</w:t>
      </w:r>
      <w:proofErr w:type="spellEnd"/>
      <w:r w:rsidR="00600256" w:rsidRPr="00C33A5F">
        <w:rPr>
          <w:rFonts w:ascii="Times New Roman" w:eastAsia="Calibri" w:hAnsi="Times New Roman" w:cs="Times New Roman"/>
          <w:sz w:val="24"/>
          <w:szCs w:val="24"/>
        </w:rPr>
        <w:t>.: CD000333</w:t>
      </w:r>
    </w:p>
    <w:p w14:paraId="734E8A98" w14:textId="77777777" w:rsidR="00600256" w:rsidRPr="00C33A5F" w:rsidRDefault="00600256" w:rsidP="00600256">
      <w:pPr>
        <w:spacing w:after="0" w:line="480" w:lineRule="auto"/>
        <w:rPr>
          <w:rFonts w:ascii="Times New Roman" w:eastAsia="Calibri" w:hAnsi="Times New Roman" w:cs="Times New Roman"/>
          <w:sz w:val="24"/>
          <w:szCs w:val="24"/>
        </w:rPr>
      </w:pPr>
    </w:p>
    <w:p w14:paraId="2727DFAF" w14:textId="77777777" w:rsidR="00600256" w:rsidRPr="00C33A5F" w:rsidRDefault="00A15716" w:rsidP="00600256">
      <w:pPr>
        <w:pStyle w:val="NoSpacing"/>
        <w:spacing w:line="480" w:lineRule="auto"/>
        <w:rPr>
          <w:rFonts w:ascii="Times New Roman" w:hAnsi="Times New Roman" w:cs="Times New Roman"/>
          <w:sz w:val="24"/>
          <w:szCs w:val="24"/>
          <w:lang w:val="en-GB"/>
        </w:rPr>
      </w:pPr>
      <w:r>
        <w:rPr>
          <w:rFonts w:ascii="Times New Roman" w:eastAsia="Calibri" w:hAnsi="Times New Roman" w:cs="Times New Roman"/>
          <w:sz w:val="24"/>
          <w:szCs w:val="24"/>
          <w:lang w:val="en-GB"/>
        </w:rPr>
        <w:t>9.</w:t>
      </w:r>
      <w:r w:rsidR="00600256" w:rsidRPr="00C33A5F">
        <w:rPr>
          <w:rFonts w:ascii="Times New Roman" w:eastAsia="Calibri" w:hAnsi="Times New Roman" w:cs="Times New Roman"/>
          <w:sz w:val="24"/>
          <w:szCs w:val="24"/>
          <w:lang w:val="en-GB"/>
        </w:rPr>
        <w:t xml:space="preserve"> </w:t>
      </w:r>
      <w:r w:rsidR="00600256" w:rsidRPr="00C33A5F">
        <w:rPr>
          <w:rFonts w:ascii="Times New Roman" w:hAnsi="Times New Roman" w:cs="Times New Roman"/>
          <w:sz w:val="24"/>
          <w:szCs w:val="24"/>
          <w:lang w:val="en-GB"/>
        </w:rPr>
        <w:t xml:space="preserve">Hopewell S, </w:t>
      </w:r>
      <w:proofErr w:type="spellStart"/>
      <w:r w:rsidR="00600256" w:rsidRPr="00C33A5F">
        <w:rPr>
          <w:rFonts w:ascii="Times New Roman" w:hAnsi="Times New Roman" w:cs="Times New Roman"/>
          <w:sz w:val="24"/>
          <w:szCs w:val="24"/>
          <w:lang w:val="en-GB"/>
        </w:rPr>
        <w:t>Adedire</w:t>
      </w:r>
      <w:proofErr w:type="spellEnd"/>
      <w:r w:rsidR="00600256" w:rsidRPr="00C33A5F">
        <w:rPr>
          <w:rFonts w:ascii="Times New Roman" w:hAnsi="Times New Roman" w:cs="Times New Roman"/>
          <w:sz w:val="24"/>
          <w:szCs w:val="24"/>
          <w:lang w:val="en-GB"/>
        </w:rPr>
        <w:t xml:space="preserve"> O, Copsey BJ. et al. Multifactorial and multiple component interventions for preventing falls in older people living in the community. </w:t>
      </w:r>
      <w:r w:rsidR="00600256" w:rsidRPr="00C33A5F">
        <w:rPr>
          <w:rFonts w:ascii="Times New Roman" w:hAnsi="Times New Roman" w:cs="Times New Roman"/>
          <w:i/>
          <w:sz w:val="24"/>
          <w:szCs w:val="24"/>
          <w:lang w:val="en-GB"/>
        </w:rPr>
        <w:t xml:space="preserve">Cochrane Database </w:t>
      </w:r>
      <w:proofErr w:type="spellStart"/>
      <w:r w:rsidR="00600256" w:rsidRPr="00C33A5F">
        <w:rPr>
          <w:rFonts w:ascii="Times New Roman" w:hAnsi="Times New Roman" w:cs="Times New Roman"/>
          <w:i/>
          <w:sz w:val="24"/>
          <w:szCs w:val="24"/>
          <w:lang w:val="en-GB"/>
        </w:rPr>
        <w:t>Syst</w:t>
      </w:r>
      <w:proofErr w:type="spellEnd"/>
      <w:r w:rsidR="00600256" w:rsidRPr="00C33A5F">
        <w:rPr>
          <w:rFonts w:ascii="Times New Roman" w:hAnsi="Times New Roman" w:cs="Times New Roman"/>
          <w:i/>
          <w:sz w:val="24"/>
          <w:szCs w:val="24"/>
          <w:lang w:val="en-GB"/>
        </w:rPr>
        <w:t xml:space="preserve"> Rev </w:t>
      </w:r>
      <w:r w:rsidR="00600256" w:rsidRPr="00C33A5F">
        <w:rPr>
          <w:rFonts w:ascii="Times New Roman" w:hAnsi="Times New Roman" w:cs="Times New Roman"/>
          <w:sz w:val="24"/>
          <w:szCs w:val="24"/>
          <w:lang w:val="en-GB"/>
        </w:rPr>
        <w:t xml:space="preserve">2018; Issue 7. Art No.:CD012221. </w:t>
      </w:r>
      <w:proofErr w:type="gramStart"/>
      <w:r w:rsidR="00600256" w:rsidRPr="00C33A5F">
        <w:rPr>
          <w:rFonts w:ascii="Times New Roman" w:hAnsi="Times New Roman" w:cs="Times New Roman"/>
          <w:sz w:val="24"/>
          <w:szCs w:val="24"/>
          <w:lang w:val="en-GB"/>
        </w:rPr>
        <w:t>DOI:10.1002/14651858.CD012221.pub2</w:t>
      </w:r>
      <w:proofErr w:type="gramEnd"/>
      <w:r w:rsidR="00600256" w:rsidRPr="00C33A5F">
        <w:rPr>
          <w:rFonts w:ascii="Times New Roman" w:hAnsi="Times New Roman" w:cs="Times New Roman"/>
          <w:sz w:val="24"/>
          <w:szCs w:val="24"/>
          <w:lang w:val="en-GB"/>
        </w:rPr>
        <w:t>.</w:t>
      </w:r>
    </w:p>
    <w:p w14:paraId="3FBCF6CB" w14:textId="77777777" w:rsidR="00600256" w:rsidRPr="00C33A5F" w:rsidRDefault="00600256" w:rsidP="00600256">
      <w:pPr>
        <w:spacing w:after="0" w:line="480" w:lineRule="auto"/>
        <w:rPr>
          <w:rFonts w:ascii="Times New Roman" w:eastAsia="Calibri" w:hAnsi="Times New Roman" w:cs="Times New Roman"/>
          <w:sz w:val="24"/>
          <w:szCs w:val="24"/>
        </w:rPr>
      </w:pPr>
    </w:p>
    <w:p w14:paraId="4F54A8C1" w14:textId="77777777" w:rsidR="00600256" w:rsidRPr="00C33A5F" w:rsidRDefault="00A15716" w:rsidP="00600256">
      <w:pPr>
        <w:pStyle w:val="NoSpacing"/>
        <w:spacing w:line="480" w:lineRule="auto"/>
        <w:rPr>
          <w:rFonts w:ascii="Times New Roman" w:hAnsi="Times New Roman" w:cs="Times New Roman"/>
          <w:sz w:val="24"/>
          <w:szCs w:val="24"/>
          <w:lang w:val="en-GB"/>
        </w:rPr>
      </w:pPr>
      <w:r>
        <w:rPr>
          <w:rFonts w:ascii="Times New Roman" w:eastAsia="Calibri" w:hAnsi="Times New Roman" w:cs="Times New Roman"/>
          <w:sz w:val="24"/>
          <w:szCs w:val="24"/>
          <w:lang w:val="en-GB"/>
        </w:rPr>
        <w:t>10.</w:t>
      </w:r>
      <w:r w:rsidR="00600256" w:rsidRPr="00C33A5F">
        <w:rPr>
          <w:rFonts w:ascii="Times New Roman" w:eastAsia="Calibri" w:hAnsi="Times New Roman" w:cs="Times New Roman"/>
          <w:sz w:val="24"/>
          <w:szCs w:val="24"/>
          <w:lang w:val="en-GB"/>
        </w:rPr>
        <w:t xml:space="preserve"> </w:t>
      </w:r>
      <w:r w:rsidR="00600256" w:rsidRPr="00C33A5F">
        <w:rPr>
          <w:rFonts w:ascii="Times New Roman" w:hAnsi="Times New Roman" w:cs="Times New Roman"/>
          <w:sz w:val="24"/>
          <w:szCs w:val="24"/>
          <w:lang w:val="en-GB"/>
        </w:rPr>
        <w:t xml:space="preserve">Prentice A. Diet, nutrition and the prevention of osteoporosis. </w:t>
      </w:r>
      <w:r w:rsidR="00600256" w:rsidRPr="00C33A5F">
        <w:rPr>
          <w:rFonts w:ascii="Times New Roman" w:hAnsi="Times New Roman" w:cs="Times New Roman"/>
          <w:i/>
          <w:sz w:val="24"/>
          <w:szCs w:val="24"/>
          <w:lang w:val="en-GB"/>
        </w:rPr>
        <w:t xml:space="preserve">Public Health </w:t>
      </w:r>
      <w:proofErr w:type="spellStart"/>
      <w:r w:rsidR="00600256" w:rsidRPr="00C33A5F">
        <w:rPr>
          <w:rFonts w:ascii="Times New Roman" w:hAnsi="Times New Roman" w:cs="Times New Roman"/>
          <w:i/>
          <w:sz w:val="24"/>
          <w:szCs w:val="24"/>
          <w:lang w:val="en-GB"/>
        </w:rPr>
        <w:t>Nutr</w:t>
      </w:r>
      <w:proofErr w:type="spellEnd"/>
      <w:r w:rsidR="00600256" w:rsidRPr="00C33A5F">
        <w:rPr>
          <w:rFonts w:ascii="Times New Roman" w:hAnsi="Times New Roman" w:cs="Times New Roman"/>
          <w:sz w:val="24"/>
          <w:szCs w:val="24"/>
          <w:lang w:val="en-GB"/>
        </w:rPr>
        <w:t xml:space="preserve"> 2004; 7:227-43.</w:t>
      </w:r>
    </w:p>
    <w:p w14:paraId="7DDADA3D" w14:textId="77777777" w:rsidR="00600256" w:rsidRPr="00C33A5F" w:rsidRDefault="00600256" w:rsidP="00600256">
      <w:pPr>
        <w:spacing w:after="0" w:line="480" w:lineRule="auto"/>
        <w:rPr>
          <w:rFonts w:ascii="Times New Roman" w:hAnsi="Times New Roman" w:cs="Times New Roman"/>
          <w:sz w:val="24"/>
          <w:szCs w:val="24"/>
        </w:rPr>
      </w:pPr>
    </w:p>
    <w:p w14:paraId="4FF3461A" w14:textId="77777777" w:rsidR="00600256" w:rsidRPr="00C33A5F" w:rsidRDefault="00A15716" w:rsidP="00600256">
      <w:pPr>
        <w:spacing w:after="0" w:line="480" w:lineRule="auto"/>
        <w:rPr>
          <w:rFonts w:ascii="Times New Roman" w:hAnsi="Times New Roman" w:cs="Times New Roman"/>
          <w:sz w:val="24"/>
          <w:szCs w:val="24"/>
        </w:rPr>
      </w:pPr>
      <w:r>
        <w:rPr>
          <w:rFonts w:ascii="Times New Roman" w:hAnsi="Times New Roman" w:cs="Times New Roman"/>
          <w:sz w:val="24"/>
          <w:szCs w:val="24"/>
        </w:rPr>
        <w:t>11.</w:t>
      </w:r>
      <w:r w:rsidR="00600256" w:rsidRPr="00C33A5F">
        <w:rPr>
          <w:rFonts w:ascii="Times New Roman" w:hAnsi="Times New Roman" w:cs="Times New Roman"/>
          <w:sz w:val="24"/>
          <w:szCs w:val="24"/>
        </w:rPr>
        <w:t xml:space="preserve"> Lai P, Chua SS, Chan SP. A systematic review of interventions by healthcare professionals on community-dwelling postmenopausal women with osteoporosis. </w:t>
      </w:r>
      <w:proofErr w:type="spellStart"/>
      <w:r w:rsidR="00600256" w:rsidRPr="00C33A5F">
        <w:rPr>
          <w:rFonts w:ascii="Times New Roman" w:hAnsi="Times New Roman" w:cs="Times New Roman"/>
          <w:i/>
          <w:sz w:val="24"/>
          <w:szCs w:val="24"/>
        </w:rPr>
        <w:t>Osteoporos</w:t>
      </w:r>
      <w:proofErr w:type="spellEnd"/>
      <w:r w:rsidR="00600256" w:rsidRPr="00C33A5F">
        <w:rPr>
          <w:rFonts w:ascii="Times New Roman" w:hAnsi="Times New Roman" w:cs="Times New Roman"/>
          <w:i/>
          <w:sz w:val="24"/>
          <w:szCs w:val="24"/>
        </w:rPr>
        <w:t xml:space="preserve"> Int </w:t>
      </w:r>
      <w:r w:rsidR="00600256" w:rsidRPr="00C33A5F">
        <w:rPr>
          <w:rFonts w:ascii="Times New Roman" w:hAnsi="Times New Roman" w:cs="Times New Roman"/>
          <w:sz w:val="24"/>
          <w:szCs w:val="24"/>
        </w:rPr>
        <w:t xml:space="preserve">2010; 21:1637-56. </w:t>
      </w:r>
    </w:p>
    <w:p w14:paraId="42D53BAC" w14:textId="77777777" w:rsidR="00600256" w:rsidRPr="00C33A5F" w:rsidRDefault="00600256" w:rsidP="00600256">
      <w:pPr>
        <w:spacing w:after="0" w:line="480" w:lineRule="auto"/>
        <w:rPr>
          <w:rFonts w:ascii="Times New Roman" w:hAnsi="Times New Roman" w:cs="Times New Roman"/>
          <w:b/>
          <w:sz w:val="24"/>
          <w:szCs w:val="24"/>
        </w:rPr>
      </w:pPr>
    </w:p>
    <w:p w14:paraId="095F025D" w14:textId="77777777" w:rsidR="00600256" w:rsidRPr="008B435D" w:rsidRDefault="00A15716" w:rsidP="00600256">
      <w:pPr>
        <w:spacing w:after="0" w:line="480" w:lineRule="auto"/>
        <w:rPr>
          <w:rFonts w:ascii="Times New Roman" w:hAnsi="Times New Roman" w:cs="Times New Roman"/>
          <w:sz w:val="24"/>
          <w:szCs w:val="24"/>
          <w:lang w:val="de-AT"/>
        </w:rPr>
      </w:pPr>
      <w:r>
        <w:rPr>
          <w:rFonts w:ascii="Times New Roman" w:hAnsi="Times New Roman" w:cs="Times New Roman"/>
          <w:sz w:val="24"/>
          <w:szCs w:val="24"/>
        </w:rPr>
        <w:t>12.</w:t>
      </w:r>
      <w:r w:rsidR="00600256" w:rsidRPr="00C33A5F">
        <w:rPr>
          <w:rFonts w:ascii="Times New Roman" w:hAnsi="Times New Roman" w:cs="Times New Roman"/>
          <w:sz w:val="24"/>
          <w:szCs w:val="24"/>
        </w:rPr>
        <w:t xml:space="preserve"> Elias MN, Burden AM, </w:t>
      </w:r>
      <w:proofErr w:type="spellStart"/>
      <w:r w:rsidR="00600256" w:rsidRPr="00C33A5F">
        <w:rPr>
          <w:rFonts w:ascii="Times New Roman" w:hAnsi="Times New Roman" w:cs="Times New Roman"/>
          <w:sz w:val="24"/>
          <w:szCs w:val="24"/>
        </w:rPr>
        <w:t>Cadarette</w:t>
      </w:r>
      <w:proofErr w:type="spellEnd"/>
      <w:r w:rsidR="00600256" w:rsidRPr="00C33A5F">
        <w:rPr>
          <w:rFonts w:ascii="Times New Roman" w:hAnsi="Times New Roman" w:cs="Times New Roman"/>
          <w:sz w:val="24"/>
          <w:szCs w:val="24"/>
        </w:rPr>
        <w:t xml:space="preserve"> SM. The impact of pharmacist interventions on osteoporosis management: a systematic review. </w:t>
      </w:r>
      <w:r w:rsidR="00600256" w:rsidRPr="008B435D">
        <w:rPr>
          <w:rFonts w:ascii="Times New Roman" w:hAnsi="Times New Roman" w:cs="Times New Roman"/>
          <w:i/>
          <w:sz w:val="24"/>
          <w:szCs w:val="24"/>
          <w:lang w:val="de-AT"/>
        </w:rPr>
        <w:t xml:space="preserve">Osteoporos Int </w:t>
      </w:r>
      <w:r w:rsidR="00600256" w:rsidRPr="008B435D">
        <w:rPr>
          <w:rFonts w:ascii="Times New Roman" w:hAnsi="Times New Roman" w:cs="Times New Roman"/>
          <w:sz w:val="24"/>
          <w:szCs w:val="24"/>
          <w:lang w:val="de-AT"/>
        </w:rPr>
        <w:t>2011; 22:2587-96.</w:t>
      </w:r>
    </w:p>
    <w:p w14:paraId="1CEA6B33" w14:textId="77777777" w:rsidR="00600256" w:rsidRPr="008B435D" w:rsidRDefault="00600256" w:rsidP="00600256">
      <w:pPr>
        <w:spacing w:after="0" w:line="480" w:lineRule="auto"/>
        <w:rPr>
          <w:rFonts w:ascii="Times New Roman" w:hAnsi="Times New Roman" w:cs="Times New Roman"/>
          <w:sz w:val="24"/>
          <w:szCs w:val="24"/>
          <w:lang w:val="de-AT"/>
        </w:rPr>
      </w:pPr>
    </w:p>
    <w:p w14:paraId="681F4CF4" w14:textId="77777777" w:rsidR="00600256" w:rsidRPr="008B435D" w:rsidRDefault="00A15716" w:rsidP="00600256">
      <w:pPr>
        <w:spacing w:after="0" w:line="480" w:lineRule="auto"/>
        <w:rPr>
          <w:rFonts w:ascii="Times New Roman" w:hAnsi="Times New Roman" w:cs="Times New Roman"/>
          <w:sz w:val="24"/>
          <w:szCs w:val="24"/>
          <w:lang w:val="de-AT"/>
        </w:rPr>
      </w:pPr>
      <w:r w:rsidRPr="008B435D">
        <w:rPr>
          <w:rFonts w:ascii="Times New Roman" w:hAnsi="Times New Roman" w:cs="Times New Roman"/>
          <w:sz w:val="24"/>
          <w:szCs w:val="24"/>
          <w:lang w:val="de-AT"/>
        </w:rPr>
        <w:t>13.</w:t>
      </w:r>
      <w:r w:rsidR="00600256" w:rsidRPr="008B435D">
        <w:rPr>
          <w:rFonts w:ascii="Times New Roman" w:hAnsi="Times New Roman" w:cs="Times New Roman"/>
          <w:sz w:val="24"/>
          <w:szCs w:val="24"/>
          <w:lang w:val="de-AT"/>
        </w:rPr>
        <w:t xml:space="preserve"> Lems WF, Dreinhöfer KE, Bischoff-Ferrari H, et al. </w:t>
      </w:r>
      <w:r w:rsidR="00600256" w:rsidRPr="00C33A5F">
        <w:rPr>
          <w:rFonts w:ascii="Times New Roman" w:hAnsi="Times New Roman" w:cs="Times New Roman"/>
          <w:sz w:val="24"/>
          <w:szCs w:val="24"/>
        </w:rPr>
        <w:t xml:space="preserve">EULAR/EFFORT recommendations for management of patients older than 50 years with a fragility fracture and prevention of subsequent fractures. </w:t>
      </w:r>
      <w:r w:rsidR="00600256" w:rsidRPr="008B435D">
        <w:rPr>
          <w:rFonts w:ascii="Times New Roman" w:hAnsi="Times New Roman" w:cs="Times New Roman"/>
          <w:i/>
          <w:sz w:val="24"/>
          <w:szCs w:val="24"/>
          <w:lang w:val="de-AT"/>
        </w:rPr>
        <w:t>Ann Rheum Dis</w:t>
      </w:r>
      <w:r w:rsidR="00600256" w:rsidRPr="008B435D">
        <w:rPr>
          <w:rFonts w:ascii="Times New Roman" w:hAnsi="Times New Roman" w:cs="Times New Roman"/>
          <w:sz w:val="24"/>
          <w:szCs w:val="24"/>
          <w:lang w:val="de-AT"/>
        </w:rPr>
        <w:t xml:space="preserve"> 2017; 76:802-10.</w:t>
      </w:r>
    </w:p>
    <w:p w14:paraId="13D82D25" w14:textId="77777777" w:rsidR="00600256" w:rsidRPr="008B435D" w:rsidRDefault="00600256" w:rsidP="00600256">
      <w:pPr>
        <w:spacing w:after="0" w:line="480" w:lineRule="auto"/>
        <w:rPr>
          <w:rFonts w:ascii="Times New Roman" w:hAnsi="Times New Roman" w:cs="Times New Roman"/>
          <w:sz w:val="24"/>
          <w:szCs w:val="24"/>
          <w:lang w:val="de-AT"/>
        </w:rPr>
      </w:pPr>
    </w:p>
    <w:p w14:paraId="6748AB9F" w14:textId="77777777" w:rsidR="00600256" w:rsidRPr="00C33A5F" w:rsidRDefault="00A15716" w:rsidP="00600256">
      <w:pPr>
        <w:spacing w:after="0" w:line="480" w:lineRule="auto"/>
        <w:rPr>
          <w:rFonts w:ascii="Times New Roman" w:hAnsi="Times New Roman" w:cs="Times New Roman"/>
          <w:sz w:val="24"/>
          <w:szCs w:val="24"/>
        </w:rPr>
      </w:pPr>
      <w:r w:rsidRPr="008B435D">
        <w:rPr>
          <w:rFonts w:ascii="Times New Roman" w:hAnsi="Times New Roman" w:cs="Times New Roman"/>
          <w:sz w:val="24"/>
          <w:szCs w:val="24"/>
          <w:lang w:val="de-AT"/>
        </w:rPr>
        <w:t>14.</w:t>
      </w:r>
      <w:r w:rsidR="00600256" w:rsidRPr="008B435D">
        <w:rPr>
          <w:rFonts w:ascii="Times New Roman" w:hAnsi="Times New Roman" w:cs="Times New Roman"/>
          <w:sz w:val="24"/>
          <w:szCs w:val="24"/>
          <w:lang w:val="de-AT"/>
        </w:rPr>
        <w:t xml:space="preserve"> Kanis JA, Cooper C, Rizzoli R, et al. </w:t>
      </w:r>
      <w:r w:rsidR="00600256" w:rsidRPr="00C33A5F">
        <w:rPr>
          <w:rFonts w:ascii="Times New Roman" w:hAnsi="Times New Roman" w:cs="Times New Roman"/>
          <w:sz w:val="24"/>
          <w:szCs w:val="24"/>
        </w:rPr>
        <w:t xml:space="preserve">European guidance for the diagnosis and management of osteoporosis in postmenopausal women. </w:t>
      </w:r>
      <w:proofErr w:type="spellStart"/>
      <w:r w:rsidR="00600256" w:rsidRPr="00C33A5F">
        <w:rPr>
          <w:rFonts w:ascii="Times New Roman" w:hAnsi="Times New Roman" w:cs="Times New Roman"/>
          <w:i/>
          <w:sz w:val="24"/>
          <w:szCs w:val="24"/>
        </w:rPr>
        <w:t>Osteoporos</w:t>
      </w:r>
      <w:proofErr w:type="spellEnd"/>
      <w:r w:rsidR="00600256" w:rsidRPr="00C33A5F">
        <w:rPr>
          <w:rFonts w:ascii="Times New Roman" w:hAnsi="Times New Roman" w:cs="Times New Roman"/>
          <w:i/>
          <w:sz w:val="24"/>
          <w:szCs w:val="24"/>
        </w:rPr>
        <w:t xml:space="preserve"> Int </w:t>
      </w:r>
      <w:r w:rsidR="00600256" w:rsidRPr="00C33A5F">
        <w:rPr>
          <w:rFonts w:ascii="Times New Roman" w:hAnsi="Times New Roman" w:cs="Times New Roman"/>
          <w:sz w:val="24"/>
          <w:szCs w:val="24"/>
        </w:rPr>
        <w:t>2019; 30: 3-44.</w:t>
      </w:r>
    </w:p>
    <w:p w14:paraId="69ECE207" w14:textId="77777777" w:rsidR="00600256" w:rsidRPr="00C33A5F" w:rsidRDefault="00600256" w:rsidP="00600256">
      <w:pPr>
        <w:spacing w:after="0" w:line="480" w:lineRule="auto"/>
        <w:rPr>
          <w:rFonts w:ascii="Times New Roman" w:hAnsi="Times New Roman" w:cs="Times New Roman"/>
          <w:sz w:val="24"/>
          <w:szCs w:val="24"/>
        </w:rPr>
      </w:pPr>
    </w:p>
    <w:p w14:paraId="3FA81CA1" w14:textId="77777777" w:rsidR="00600256" w:rsidRPr="00C33A5F" w:rsidRDefault="00A15716" w:rsidP="00600256">
      <w:pPr>
        <w:pStyle w:val="NoSpacing"/>
        <w:spacing w:line="480" w:lineRule="auto"/>
        <w:rPr>
          <w:rFonts w:ascii="Times New Roman" w:hAnsi="Times New Roman" w:cs="Times New Roman"/>
          <w:sz w:val="24"/>
          <w:szCs w:val="24"/>
          <w:lang w:val="en-GB" w:eastAsia="nl-NL"/>
        </w:rPr>
      </w:pPr>
      <w:r>
        <w:rPr>
          <w:rFonts w:ascii="Times New Roman" w:hAnsi="Times New Roman" w:cs="Times New Roman"/>
          <w:sz w:val="24"/>
          <w:szCs w:val="24"/>
          <w:lang w:val="en-GB" w:eastAsia="nl-NL"/>
        </w:rPr>
        <w:lastRenderedPageBreak/>
        <w:t>15.</w:t>
      </w:r>
      <w:r w:rsidR="00600256" w:rsidRPr="00C33A5F">
        <w:rPr>
          <w:rFonts w:ascii="Times New Roman" w:hAnsi="Times New Roman" w:cs="Times New Roman"/>
          <w:sz w:val="24"/>
          <w:szCs w:val="24"/>
          <w:lang w:val="en-GB" w:eastAsia="nl-NL"/>
        </w:rPr>
        <w:t xml:space="preserve"> World Health Organisation. </w:t>
      </w:r>
      <w:r w:rsidR="00600256" w:rsidRPr="00C33A5F">
        <w:rPr>
          <w:rFonts w:ascii="Times New Roman" w:hAnsi="Times New Roman" w:cs="Times New Roman"/>
          <w:i/>
          <w:sz w:val="24"/>
          <w:szCs w:val="24"/>
          <w:lang w:val="en-GB" w:eastAsia="nl-NL"/>
        </w:rPr>
        <w:t>Assessment of fracture risk and its application to screening for postmenopausal osteoporosis: report of a WHO study group.</w:t>
      </w:r>
      <w:r w:rsidR="00600256" w:rsidRPr="00C33A5F">
        <w:rPr>
          <w:rFonts w:ascii="Times New Roman" w:hAnsi="Times New Roman" w:cs="Times New Roman"/>
          <w:sz w:val="24"/>
          <w:szCs w:val="24"/>
          <w:lang w:val="en-GB" w:eastAsia="nl-NL"/>
        </w:rPr>
        <w:t xml:space="preserve"> 1994. World Health Organisation, Geneva.</w:t>
      </w:r>
    </w:p>
    <w:p w14:paraId="2F5F3085" w14:textId="77777777" w:rsidR="00600256" w:rsidRPr="00C33A5F" w:rsidRDefault="00600256" w:rsidP="00600256">
      <w:pPr>
        <w:pStyle w:val="NoSpacing"/>
        <w:spacing w:line="480" w:lineRule="auto"/>
        <w:rPr>
          <w:rFonts w:ascii="Times New Roman" w:eastAsia="Calibri" w:hAnsi="Times New Roman" w:cs="Times New Roman"/>
          <w:sz w:val="24"/>
          <w:szCs w:val="24"/>
          <w:lang w:val="en-GB"/>
        </w:rPr>
      </w:pPr>
    </w:p>
    <w:p w14:paraId="71D52499" w14:textId="77777777" w:rsidR="00600256" w:rsidRPr="00C33A5F" w:rsidRDefault="00A15716" w:rsidP="00600256">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600256" w:rsidRPr="00C33A5F">
        <w:rPr>
          <w:rFonts w:ascii="Times New Roman" w:eastAsia="Calibri" w:hAnsi="Times New Roman" w:cs="Times New Roman"/>
          <w:sz w:val="24"/>
          <w:szCs w:val="24"/>
        </w:rPr>
        <w:t xml:space="preserve"> Higgins JPT, Green S. (eds) </w:t>
      </w:r>
      <w:r w:rsidR="00600256" w:rsidRPr="00C33A5F">
        <w:rPr>
          <w:rFonts w:ascii="Times New Roman" w:eastAsia="Calibri" w:hAnsi="Times New Roman" w:cs="Times New Roman"/>
          <w:i/>
          <w:iCs/>
          <w:sz w:val="24"/>
          <w:szCs w:val="24"/>
        </w:rPr>
        <w:t xml:space="preserve">Cochrane Handbook for Systematic Reviews of Interventions </w:t>
      </w:r>
      <w:r w:rsidR="00600256" w:rsidRPr="00C33A5F">
        <w:rPr>
          <w:rFonts w:ascii="Times New Roman" w:eastAsia="Calibri" w:hAnsi="Times New Roman" w:cs="Times New Roman"/>
          <w:sz w:val="24"/>
          <w:szCs w:val="24"/>
        </w:rPr>
        <w:t>Version 5.1.0 [updated March 2011]. The Cochrane Collaboration, 2011.</w:t>
      </w:r>
    </w:p>
    <w:p w14:paraId="18E9E9F6" w14:textId="77777777" w:rsidR="00600256" w:rsidRPr="00C33A5F" w:rsidRDefault="00600256" w:rsidP="00600256">
      <w:pPr>
        <w:spacing w:after="0" w:line="480" w:lineRule="auto"/>
        <w:jc w:val="both"/>
        <w:rPr>
          <w:rFonts w:ascii="Times New Roman" w:eastAsia="Calibri" w:hAnsi="Times New Roman" w:cs="Times New Roman"/>
          <w:sz w:val="24"/>
          <w:szCs w:val="24"/>
        </w:rPr>
      </w:pPr>
    </w:p>
    <w:p w14:paraId="60C136E4" w14:textId="77777777" w:rsidR="00600256" w:rsidRPr="00C33A5F" w:rsidRDefault="00A15716" w:rsidP="00600256">
      <w:pPr>
        <w:spacing w:after="0" w:line="480" w:lineRule="auto"/>
        <w:rPr>
          <w:rFonts w:ascii="Times New Roman" w:hAnsi="Times New Roman" w:cs="Times New Roman"/>
          <w:sz w:val="24"/>
          <w:szCs w:val="24"/>
        </w:rPr>
      </w:pPr>
      <w:r>
        <w:rPr>
          <w:rFonts w:ascii="Times New Roman" w:eastAsia="Calibri" w:hAnsi="Times New Roman" w:cs="Times New Roman"/>
          <w:sz w:val="24"/>
          <w:szCs w:val="24"/>
        </w:rPr>
        <w:t>17.</w:t>
      </w:r>
      <w:r w:rsidR="00600256" w:rsidRPr="00C33A5F">
        <w:rPr>
          <w:rFonts w:ascii="Times New Roman" w:eastAsia="Calibri" w:hAnsi="Times New Roman" w:cs="Times New Roman"/>
          <w:sz w:val="24"/>
          <w:szCs w:val="24"/>
        </w:rPr>
        <w:t xml:space="preserve"> </w:t>
      </w:r>
      <w:proofErr w:type="spellStart"/>
      <w:r w:rsidR="00600256" w:rsidRPr="00C33A5F">
        <w:rPr>
          <w:rFonts w:ascii="Times New Roman" w:eastAsia="Calibri" w:hAnsi="Times New Roman" w:cs="Times New Roman"/>
          <w:sz w:val="24"/>
          <w:szCs w:val="24"/>
        </w:rPr>
        <w:t>Liberati</w:t>
      </w:r>
      <w:proofErr w:type="spellEnd"/>
      <w:r w:rsidR="00600256" w:rsidRPr="00C33A5F">
        <w:rPr>
          <w:rFonts w:ascii="Times New Roman" w:eastAsia="Calibri" w:hAnsi="Times New Roman" w:cs="Times New Roman"/>
          <w:sz w:val="24"/>
          <w:szCs w:val="24"/>
        </w:rPr>
        <w:t xml:space="preserve"> A, Altman DG, </w:t>
      </w:r>
      <w:proofErr w:type="spellStart"/>
      <w:r w:rsidR="00600256" w:rsidRPr="00C33A5F">
        <w:rPr>
          <w:rFonts w:ascii="Times New Roman" w:eastAsia="Calibri" w:hAnsi="Times New Roman" w:cs="Times New Roman"/>
          <w:sz w:val="24"/>
          <w:szCs w:val="24"/>
        </w:rPr>
        <w:t>Tetzlaff</w:t>
      </w:r>
      <w:proofErr w:type="spellEnd"/>
      <w:r w:rsidR="00600256" w:rsidRPr="00C33A5F">
        <w:rPr>
          <w:rFonts w:ascii="Times New Roman" w:eastAsia="Calibri" w:hAnsi="Times New Roman" w:cs="Times New Roman"/>
          <w:sz w:val="24"/>
          <w:szCs w:val="24"/>
        </w:rPr>
        <w:t xml:space="preserve"> J, et al. The PRISMA statement for reporting systematic reviews and meta-analyses of studies that evaluate health care interventions: explanation and elaboration. </w:t>
      </w:r>
      <w:proofErr w:type="spellStart"/>
      <w:r w:rsidR="00600256" w:rsidRPr="00C33A5F">
        <w:rPr>
          <w:rFonts w:ascii="Times New Roman" w:eastAsia="Calibri" w:hAnsi="Times New Roman" w:cs="Times New Roman"/>
          <w:i/>
          <w:sz w:val="24"/>
          <w:szCs w:val="24"/>
        </w:rPr>
        <w:t>PLoS</w:t>
      </w:r>
      <w:proofErr w:type="spellEnd"/>
      <w:r w:rsidR="00600256" w:rsidRPr="00C33A5F">
        <w:rPr>
          <w:rFonts w:ascii="Times New Roman" w:eastAsia="Calibri" w:hAnsi="Times New Roman" w:cs="Times New Roman"/>
          <w:i/>
          <w:sz w:val="24"/>
          <w:szCs w:val="24"/>
        </w:rPr>
        <w:t xml:space="preserve"> Med</w:t>
      </w:r>
      <w:r w:rsidR="00600256" w:rsidRPr="00C33A5F">
        <w:rPr>
          <w:rFonts w:ascii="Times New Roman" w:eastAsia="Calibri" w:hAnsi="Times New Roman" w:cs="Times New Roman"/>
          <w:sz w:val="24"/>
          <w:szCs w:val="24"/>
        </w:rPr>
        <w:t xml:space="preserve"> 2009; </w:t>
      </w:r>
      <w:proofErr w:type="gramStart"/>
      <w:r w:rsidR="00600256" w:rsidRPr="00C33A5F">
        <w:rPr>
          <w:rFonts w:ascii="Times New Roman" w:eastAsia="Calibri" w:hAnsi="Times New Roman" w:cs="Times New Roman"/>
          <w:sz w:val="24"/>
          <w:szCs w:val="24"/>
        </w:rPr>
        <w:t>6:e</w:t>
      </w:r>
      <w:proofErr w:type="gramEnd"/>
      <w:r w:rsidR="00600256" w:rsidRPr="00C33A5F">
        <w:rPr>
          <w:rFonts w:ascii="Times New Roman" w:eastAsia="Calibri" w:hAnsi="Times New Roman" w:cs="Times New Roman"/>
          <w:sz w:val="24"/>
          <w:szCs w:val="24"/>
        </w:rPr>
        <w:t xml:space="preserve">1000100. </w:t>
      </w:r>
      <w:proofErr w:type="gramStart"/>
      <w:r w:rsidR="00600256" w:rsidRPr="00C33A5F">
        <w:rPr>
          <w:rFonts w:ascii="Times New Roman" w:eastAsia="Calibri" w:hAnsi="Times New Roman" w:cs="Times New Roman"/>
          <w:sz w:val="24"/>
          <w:szCs w:val="24"/>
        </w:rPr>
        <w:t>Doi:10.1371/journal.pmed</w:t>
      </w:r>
      <w:proofErr w:type="gramEnd"/>
      <w:r w:rsidR="00600256" w:rsidRPr="00C33A5F">
        <w:rPr>
          <w:rFonts w:ascii="Times New Roman" w:eastAsia="Calibri" w:hAnsi="Times New Roman" w:cs="Times New Roman"/>
          <w:sz w:val="24"/>
          <w:szCs w:val="24"/>
        </w:rPr>
        <w:t>.1000100.</w:t>
      </w:r>
      <w:r w:rsidR="00600256" w:rsidRPr="00C33A5F">
        <w:rPr>
          <w:rFonts w:ascii="Times New Roman" w:hAnsi="Times New Roman" w:cs="Times New Roman"/>
          <w:sz w:val="24"/>
          <w:szCs w:val="24"/>
        </w:rPr>
        <w:t xml:space="preserve"> </w:t>
      </w:r>
    </w:p>
    <w:p w14:paraId="6F63AF54" w14:textId="77777777" w:rsidR="00600256" w:rsidRPr="00C33A5F" w:rsidRDefault="00600256" w:rsidP="00600256">
      <w:pPr>
        <w:spacing w:after="0" w:line="480" w:lineRule="auto"/>
        <w:rPr>
          <w:rFonts w:ascii="Times New Roman" w:hAnsi="Times New Roman" w:cs="Times New Roman"/>
          <w:sz w:val="24"/>
          <w:szCs w:val="24"/>
        </w:rPr>
      </w:pPr>
    </w:p>
    <w:p w14:paraId="5E4A15EF" w14:textId="77777777" w:rsidR="00600256" w:rsidRPr="00C33A5F" w:rsidRDefault="00A15716" w:rsidP="00600256">
      <w:pPr>
        <w:spacing w:after="0" w:line="480" w:lineRule="auto"/>
        <w:rPr>
          <w:rFonts w:ascii="Times New Roman" w:hAnsi="Times New Roman" w:cs="Times New Roman"/>
          <w:sz w:val="24"/>
          <w:szCs w:val="24"/>
        </w:rPr>
      </w:pPr>
      <w:r>
        <w:rPr>
          <w:rFonts w:ascii="Times New Roman" w:hAnsi="Times New Roman" w:cs="Times New Roman"/>
          <w:sz w:val="24"/>
          <w:szCs w:val="24"/>
        </w:rPr>
        <w:t>18.</w:t>
      </w:r>
      <w:r w:rsidR="00600256" w:rsidRPr="00C33A5F">
        <w:rPr>
          <w:rFonts w:ascii="Times New Roman" w:hAnsi="Times New Roman" w:cs="Times New Roman"/>
          <w:sz w:val="24"/>
          <w:szCs w:val="24"/>
        </w:rPr>
        <w:t xml:space="preserve"> Lamb SE, </w:t>
      </w:r>
      <w:proofErr w:type="spellStart"/>
      <w:r w:rsidR="00600256" w:rsidRPr="00C33A5F">
        <w:rPr>
          <w:rFonts w:ascii="Times New Roman" w:hAnsi="Times New Roman" w:cs="Times New Roman"/>
          <w:sz w:val="24"/>
          <w:szCs w:val="24"/>
        </w:rPr>
        <w:t>Jørstad</w:t>
      </w:r>
      <w:proofErr w:type="spellEnd"/>
      <w:r w:rsidR="00600256" w:rsidRPr="00C33A5F">
        <w:rPr>
          <w:rFonts w:ascii="Times New Roman" w:hAnsi="Times New Roman" w:cs="Times New Roman"/>
          <w:sz w:val="24"/>
          <w:szCs w:val="24"/>
        </w:rPr>
        <w:t xml:space="preserve">-Stein EC, Hauer K, et al. on behalf of the Prevention of falls Network Europe and Outcomes Consensus Group. Development of a common outcome data set for fall injury prevention trials: The prevention of falls network Europe consensus. </w:t>
      </w:r>
      <w:r w:rsidR="00600256" w:rsidRPr="00C33A5F">
        <w:rPr>
          <w:rFonts w:ascii="Times New Roman" w:hAnsi="Times New Roman" w:cs="Times New Roman"/>
          <w:i/>
          <w:sz w:val="24"/>
          <w:szCs w:val="24"/>
        </w:rPr>
        <w:t xml:space="preserve">J Am </w:t>
      </w:r>
      <w:proofErr w:type="spellStart"/>
      <w:r w:rsidR="00600256" w:rsidRPr="00C33A5F">
        <w:rPr>
          <w:rFonts w:ascii="Times New Roman" w:hAnsi="Times New Roman" w:cs="Times New Roman"/>
          <w:i/>
          <w:sz w:val="24"/>
          <w:szCs w:val="24"/>
        </w:rPr>
        <w:t>Geriatr</w:t>
      </w:r>
      <w:proofErr w:type="spellEnd"/>
      <w:r w:rsidR="00600256" w:rsidRPr="00C33A5F">
        <w:rPr>
          <w:rFonts w:ascii="Times New Roman" w:hAnsi="Times New Roman" w:cs="Times New Roman"/>
          <w:i/>
          <w:sz w:val="24"/>
          <w:szCs w:val="24"/>
        </w:rPr>
        <w:t xml:space="preserve"> Soc</w:t>
      </w:r>
      <w:r w:rsidR="00600256" w:rsidRPr="00C33A5F">
        <w:rPr>
          <w:rFonts w:ascii="Times New Roman" w:hAnsi="Times New Roman" w:cs="Times New Roman"/>
          <w:sz w:val="24"/>
          <w:szCs w:val="24"/>
        </w:rPr>
        <w:t xml:space="preserve"> 2005; 53:1618-22.</w:t>
      </w:r>
    </w:p>
    <w:p w14:paraId="5B386BBB" w14:textId="77777777" w:rsidR="00600256" w:rsidRPr="00C33A5F" w:rsidRDefault="00600256" w:rsidP="00600256">
      <w:pPr>
        <w:spacing w:after="0" w:line="480" w:lineRule="auto"/>
        <w:rPr>
          <w:rFonts w:ascii="Times New Roman" w:hAnsi="Times New Roman" w:cs="Times New Roman"/>
          <w:sz w:val="24"/>
          <w:szCs w:val="24"/>
        </w:rPr>
      </w:pPr>
    </w:p>
    <w:p w14:paraId="1E89D315" w14:textId="77777777" w:rsidR="00600256" w:rsidRPr="00600256" w:rsidRDefault="00A15716" w:rsidP="00600256">
      <w:pPr>
        <w:spacing w:after="0" w:line="480" w:lineRule="auto"/>
        <w:rPr>
          <w:rFonts w:ascii="Times New Roman" w:hAnsi="Times New Roman" w:cs="Times New Roman"/>
          <w:sz w:val="24"/>
          <w:szCs w:val="24"/>
        </w:rPr>
      </w:pPr>
      <w:r>
        <w:rPr>
          <w:rFonts w:ascii="Times New Roman" w:hAnsi="Times New Roman" w:cs="Times New Roman"/>
          <w:sz w:val="24"/>
          <w:szCs w:val="24"/>
        </w:rPr>
        <w:t>19.</w:t>
      </w:r>
      <w:r w:rsidR="00600256" w:rsidRPr="00600256">
        <w:rPr>
          <w:rFonts w:ascii="Times New Roman" w:hAnsi="Times New Roman" w:cs="Times New Roman"/>
          <w:sz w:val="24"/>
          <w:szCs w:val="24"/>
        </w:rPr>
        <w:t xml:space="preserve"> Prior JC, </w:t>
      </w:r>
      <w:proofErr w:type="spellStart"/>
      <w:r w:rsidR="00600256" w:rsidRPr="00600256">
        <w:rPr>
          <w:rFonts w:ascii="Times New Roman" w:hAnsi="Times New Roman" w:cs="Times New Roman"/>
          <w:sz w:val="24"/>
          <w:szCs w:val="24"/>
        </w:rPr>
        <w:t>Langsetmo</w:t>
      </w:r>
      <w:proofErr w:type="spellEnd"/>
      <w:r w:rsidR="00600256" w:rsidRPr="00600256">
        <w:rPr>
          <w:rFonts w:ascii="Times New Roman" w:hAnsi="Times New Roman" w:cs="Times New Roman"/>
          <w:sz w:val="24"/>
          <w:szCs w:val="24"/>
        </w:rPr>
        <w:t xml:space="preserve"> L, </w:t>
      </w:r>
      <w:proofErr w:type="spellStart"/>
      <w:r w:rsidR="00600256" w:rsidRPr="00600256">
        <w:rPr>
          <w:rFonts w:ascii="Times New Roman" w:hAnsi="Times New Roman" w:cs="Times New Roman"/>
          <w:sz w:val="24"/>
          <w:szCs w:val="24"/>
        </w:rPr>
        <w:t>Lentle</w:t>
      </w:r>
      <w:proofErr w:type="spellEnd"/>
      <w:r w:rsidR="00600256" w:rsidRPr="00600256">
        <w:rPr>
          <w:rFonts w:ascii="Times New Roman" w:hAnsi="Times New Roman" w:cs="Times New Roman"/>
          <w:sz w:val="24"/>
          <w:szCs w:val="24"/>
        </w:rPr>
        <w:t xml:space="preserve"> BC, et al. Ten-year incident osteoporosis-related fractures in the population-based Canadian Multicentre Osteoporosis Study- Comparing site and age-specific risks in women and men. </w:t>
      </w:r>
      <w:r w:rsidR="00600256" w:rsidRPr="00600256">
        <w:rPr>
          <w:rFonts w:ascii="Times New Roman" w:hAnsi="Times New Roman" w:cs="Times New Roman"/>
          <w:i/>
          <w:sz w:val="24"/>
          <w:szCs w:val="24"/>
        </w:rPr>
        <w:t>Bone</w:t>
      </w:r>
      <w:r w:rsidR="00600256" w:rsidRPr="00600256">
        <w:rPr>
          <w:rFonts w:ascii="Times New Roman" w:hAnsi="Times New Roman" w:cs="Times New Roman"/>
          <w:sz w:val="24"/>
          <w:szCs w:val="24"/>
        </w:rPr>
        <w:t xml:space="preserve"> 2015; 71:237-43.</w:t>
      </w:r>
    </w:p>
    <w:p w14:paraId="2873808E" w14:textId="77777777" w:rsidR="00600256" w:rsidRDefault="00600256" w:rsidP="00600256">
      <w:pPr>
        <w:spacing w:after="0" w:line="480" w:lineRule="auto"/>
        <w:jc w:val="both"/>
        <w:rPr>
          <w:rFonts w:ascii="Times New Roman" w:eastAsia="Calibri" w:hAnsi="Times New Roman" w:cs="Times New Roman"/>
          <w:sz w:val="24"/>
          <w:szCs w:val="24"/>
        </w:rPr>
      </w:pPr>
    </w:p>
    <w:p w14:paraId="72179CB4" w14:textId="77777777" w:rsidR="00600256" w:rsidRPr="00C33A5F" w:rsidRDefault="00600256" w:rsidP="00600256">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A15716">
        <w:rPr>
          <w:rFonts w:ascii="Times New Roman" w:eastAsia="Calibri" w:hAnsi="Times New Roman" w:cs="Times New Roman"/>
          <w:sz w:val="24"/>
          <w:szCs w:val="24"/>
        </w:rPr>
        <w:t>.</w:t>
      </w:r>
      <w:r w:rsidRPr="00C33A5F">
        <w:rPr>
          <w:rFonts w:ascii="Times New Roman" w:eastAsia="Calibri" w:hAnsi="Times New Roman" w:cs="Times New Roman"/>
          <w:sz w:val="24"/>
          <w:szCs w:val="24"/>
        </w:rPr>
        <w:t xml:space="preserve"> Shea BJ, Reeves BC, Wells G, et al. AMSTAR 2: a critical appraisal tool for systematic reviews that include randomised or non-randomised studies of healthcare interventions, or both. </w:t>
      </w:r>
      <w:r w:rsidRPr="00C33A5F">
        <w:rPr>
          <w:rFonts w:ascii="Times New Roman" w:eastAsia="Calibri" w:hAnsi="Times New Roman" w:cs="Times New Roman"/>
          <w:i/>
          <w:sz w:val="24"/>
          <w:szCs w:val="24"/>
        </w:rPr>
        <w:t>BMJ</w:t>
      </w:r>
      <w:r w:rsidRPr="00C33A5F">
        <w:rPr>
          <w:rFonts w:ascii="Times New Roman" w:eastAsia="Calibri" w:hAnsi="Times New Roman" w:cs="Times New Roman"/>
          <w:sz w:val="24"/>
          <w:szCs w:val="24"/>
        </w:rPr>
        <w:t xml:space="preserve"> 2017; </w:t>
      </w:r>
      <w:proofErr w:type="gramStart"/>
      <w:r w:rsidRPr="00C33A5F">
        <w:rPr>
          <w:rFonts w:ascii="Times New Roman" w:eastAsia="Calibri" w:hAnsi="Times New Roman" w:cs="Times New Roman"/>
          <w:sz w:val="24"/>
          <w:szCs w:val="24"/>
        </w:rPr>
        <w:t>358:j</w:t>
      </w:r>
      <w:proofErr w:type="gramEnd"/>
      <w:r w:rsidRPr="00C33A5F">
        <w:rPr>
          <w:rFonts w:ascii="Times New Roman" w:eastAsia="Calibri" w:hAnsi="Times New Roman" w:cs="Times New Roman"/>
          <w:sz w:val="24"/>
          <w:szCs w:val="24"/>
        </w:rPr>
        <w:t>4008.</w:t>
      </w:r>
    </w:p>
    <w:p w14:paraId="0EE38C6C" w14:textId="77777777" w:rsidR="00600256" w:rsidRPr="00C33A5F" w:rsidRDefault="00600256" w:rsidP="00600256">
      <w:pPr>
        <w:spacing w:after="0" w:line="480" w:lineRule="auto"/>
        <w:jc w:val="both"/>
        <w:rPr>
          <w:rFonts w:ascii="Times New Roman" w:eastAsia="Calibri" w:hAnsi="Times New Roman" w:cs="Times New Roman"/>
          <w:sz w:val="24"/>
          <w:szCs w:val="24"/>
        </w:rPr>
      </w:pPr>
    </w:p>
    <w:p w14:paraId="4A8EB56B" w14:textId="77777777" w:rsidR="00600256" w:rsidRPr="00C33A5F" w:rsidRDefault="00600256" w:rsidP="00600256">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w:t>
      </w:r>
      <w:r w:rsidR="00A15716">
        <w:rPr>
          <w:rFonts w:ascii="Times New Roman" w:eastAsia="Calibri" w:hAnsi="Times New Roman" w:cs="Times New Roman"/>
          <w:sz w:val="24"/>
          <w:szCs w:val="24"/>
        </w:rPr>
        <w:t>.</w:t>
      </w:r>
      <w:r w:rsidRPr="00C33A5F">
        <w:rPr>
          <w:rFonts w:ascii="Times New Roman" w:eastAsia="Calibri" w:hAnsi="Times New Roman" w:cs="Times New Roman"/>
          <w:sz w:val="24"/>
          <w:szCs w:val="24"/>
        </w:rPr>
        <w:t xml:space="preserve"> Higgins JPT, Altman DG, Sterne JAC (editors). Chapter 8: Assessing risk of bias in included studies. In: Higgins JPT, Churchill R, Chandler J, </w:t>
      </w:r>
      <w:proofErr w:type="spellStart"/>
      <w:r w:rsidRPr="00C33A5F">
        <w:rPr>
          <w:rFonts w:ascii="Times New Roman" w:eastAsia="Calibri" w:hAnsi="Times New Roman" w:cs="Times New Roman"/>
          <w:sz w:val="24"/>
          <w:szCs w:val="24"/>
        </w:rPr>
        <w:t>Cumpston</w:t>
      </w:r>
      <w:proofErr w:type="spellEnd"/>
      <w:r w:rsidRPr="00C33A5F">
        <w:rPr>
          <w:rFonts w:ascii="Times New Roman" w:eastAsia="Calibri" w:hAnsi="Times New Roman" w:cs="Times New Roman"/>
          <w:sz w:val="24"/>
          <w:szCs w:val="24"/>
        </w:rPr>
        <w:t xml:space="preserve"> MS (editors) </w:t>
      </w:r>
      <w:r w:rsidRPr="00C33A5F">
        <w:rPr>
          <w:rFonts w:ascii="Times New Roman" w:eastAsia="Calibri" w:hAnsi="Times New Roman" w:cs="Times New Roman"/>
          <w:i/>
          <w:iCs/>
          <w:sz w:val="24"/>
          <w:szCs w:val="24"/>
        </w:rPr>
        <w:t xml:space="preserve">Cochrane Handbook for Systematic Reviews of Interventions </w:t>
      </w:r>
      <w:r w:rsidRPr="00C33A5F">
        <w:rPr>
          <w:rFonts w:ascii="Times New Roman" w:eastAsia="Calibri" w:hAnsi="Times New Roman" w:cs="Times New Roman"/>
          <w:sz w:val="24"/>
          <w:szCs w:val="24"/>
        </w:rPr>
        <w:t>Version 5.2.0. (updated June 2017) Cochrane, 2017.</w:t>
      </w:r>
    </w:p>
    <w:p w14:paraId="5FD2ADD3" w14:textId="77777777" w:rsidR="00600256" w:rsidRPr="00C33A5F" w:rsidRDefault="00600256" w:rsidP="00600256">
      <w:pPr>
        <w:spacing w:after="0" w:line="480" w:lineRule="auto"/>
        <w:jc w:val="both"/>
        <w:rPr>
          <w:rFonts w:ascii="Times New Roman" w:eastAsia="Calibri" w:hAnsi="Times New Roman" w:cs="Times New Roman"/>
          <w:sz w:val="24"/>
          <w:szCs w:val="24"/>
        </w:rPr>
      </w:pPr>
    </w:p>
    <w:p w14:paraId="30635D55" w14:textId="77777777" w:rsidR="00600256" w:rsidRDefault="00600256" w:rsidP="00600256">
      <w:pPr>
        <w:spacing w:after="0" w:line="48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22</w:t>
      </w:r>
      <w:r w:rsidR="00A15716">
        <w:rPr>
          <w:rFonts w:ascii="Times New Roman" w:eastAsia="Calibri" w:hAnsi="Times New Roman" w:cs="Times New Roman"/>
          <w:sz w:val="24"/>
          <w:szCs w:val="24"/>
        </w:rPr>
        <w:t>.</w:t>
      </w:r>
      <w:r w:rsidRPr="00C33A5F">
        <w:rPr>
          <w:rFonts w:ascii="Times New Roman" w:eastAsia="Calibri" w:hAnsi="Times New Roman" w:cs="Times New Roman"/>
          <w:sz w:val="24"/>
          <w:szCs w:val="24"/>
        </w:rPr>
        <w:t xml:space="preserve"> </w:t>
      </w:r>
      <w:r w:rsidRPr="009F7467">
        <w:rPr>
          <w:rFonts w:ascii="Times New Roman" w:eastAsia="Calibri" w:hAnsi="Times New Roman" w:cs="Times New Roman"/>
          <w:sz w:val="24"/>
          <w:szCs w:val="24"/>
          <w:lang w:val="en-US"/>
        </w:rPr>
        <w:t xml:space="preserve">OCEBM Levels of Evidence Working Group. </w:t>
      </w:r>
      <w:r>
        <w:rPr>
          <w:rFonts w:ascii="Times New Roman" w:eastAsia="Calibri" w:hAnsi="Times New Roman" w:cs="Times New Roman"/>
          <w:sz w:val="24"/>
          <w:szCs w:val="24"/>
          <w:lang w:val="en-US"/>
        </w:rPr>
        <w:t>“</w:t>
      </w:r>
      <w:r w:rsidRPr="009F7467">
        <w:rPr>
          <w:rFonts w:ascii="Times New Roman" w:eastAsia="Calibri" w:hAnsi="Times New Roman" w:cs="Times New Roman"/>
          <w:sz w:val="24"/>
          <w:szCs w:val="24"/>
          <w:lang w:val="en-US"/>
        </w:rPr>
        <w:t>The Oxford 2011 Levels of Evidence</w:t>
      </w:r>
      <w:r>
        <w:rPr>
          <w:rFonts w:ascii="Times New Roman" w:eastAsia="Calibri" w:hAnsi="Times New Roman" w:cs="Times New Roman"/>
          <w:sz w:val="24"/>
          <w:szCs w:val="24"/>
          <w:lang w:val="en-US"/>
        </w:rPr>
        <w:t>”</w:t>
      </w:r>
      <w:r w:rsidRPr="009F7467">
        <w:rPr>
          <w:rFonts w:ascii="Times New Roman" w:eastAsia="Calibri" w:hAnsi="Times New Roman" w:cs="Times New Roman"/>
          <w:sz w:val="24"/>
          <w:szCs w:val="24"/>
          <w:lang w:val="en-US"/>
        </w:rPr>
        <w:t>. Oxford Centre for Evidence-Based Medicine.</w:t>
      </w:r>
      <w:r>
        <w:rPr>
          <w:rFonts w:ascii="Times New Roman" w:eastAsia="Calibri" w:hAnsi="Times New Roman" w:cs="Times New Roman"/>
          <w:sz w:val="24"/>
          <w:szCs w:val="24"/>
          <w:lang w:val="en-US"/>
        </w:rPr>
        <w:t xml:space="preserve"> Available at:</w:t>
      </w:r>
      <w:r w:rsidRPr="009F7467">
        <w:rPr>
          <w:rFonts w:ascii="Times New Roman" w:eastAsia="Calibri" w:hAnsi="Times New Roman" w:cs="Times New Roman"/>
          <w:sz w:val="24"/>
          <w:szCs w:val="24"/>
          <w:lang w:val="en-US"/>
        </w:rPr>
        <w:t xml:space="preserve"> </w:t>
      </w:r>
      <w:hyperlink r:id="rId10" w:history="1">
        <w:r w:rsidRPr="009F7467">
          <w:rPr>
            <w:rStyle w:val="Hyperlink"/>
            <w:rFonts w:ascii="Times New Roman" w:eastAsia="Calibri" w:hAnsi="Times New Roman" w:cs="Times New Roman"/>
            <w:sz w:val="24"/>
            <w:szCs w:val="24"/>
            <w:lang w:val="en-US"/>
          </w:rPr>
          <w:t>http://www.cebm.net/index.aspx?o=5653</w:t>
        </w:r>
      </w:hyperlink>
      <w:r>
        <w:rPr>
          <w:rFonts w:ascii="Times New Roman" w:eastAsia="Calibri" w:hAnsi="Times New Roman" w:cs="Times New Roman"/>
          <w:sz w:val="24"/>
          <w:szCs w:val="24"/>
          <w:lang w:val="en-US"/>
        </w:rPr>
        <w:t xml:space="preserve"> [Accessed 4 April 2019]</w:t>
      </w:r>
      <w:r w:rsidRPr="009F7467">
        <w:rPr>
          <w:rFonts w:ascii="Times New Roman" w:eastAsia="Calibri" w:hAnsi="Times New Roman" w:cs="Times New Roman"/>
          <w:sz w:val="24"/>
          <w:szCs w:val="24"/>
          <w:lang w:val="en-US"/>
        </w:rPr>
        <w:t>.</w:t>
      </w:r>
    </w:p>
    <w:p w14:paraId="6F004C02" w14:textId="77777777" w:rsidR="00600256" w:rsidRPr="00C33A5F" w:rsidRDefault="00600256" w:rsidP="00600256">
      <w:pPr>
        <w:spacing w:after="0" w:line="480" w:lineRule="auto"/>
        <w:jc w:val="both"/>
        <w:rPr>
          <w:rFonts w:ascii="Times New Roman" w:eastAsia="Calibri" w:hAnsi="Times New Roman" w:cs="Times New Roman"/>
          <w:sz w:val="24"/>
          <w:szCs w:val="24"/>
        </w:rPr>
      </w:pPr>
    </w:p>
    <w:p w14:paraId="7970E986" w14:textId="77777777" w:rsidR="00600256" w:rsidRPr="00C33A5F" w:rsidRDefault="00600256" w:rsidP="00600256">
      <w:pPr>
        <w:spacing w:after="0" w:line="480" w:lineRule="auto"/>
        <w:rPr>
          <w:rFonts w:ascii="Times New Roman" w:hAnsi="Times New Roman" w:cs="Times New Roman"/>
          <w:sz w:val="24"/>
          <w:szCs w:val="24"/>
        </w:rPr>
      </w:pPr>
      <w:r>
        <w:rPr>
          <w:rFonts w:ascii="Times New Roman" w:eastAsia="Calibri" w:hAnsi="Times New Roman" w:cs="Times New Roman"/>
          <w:sz w:val="24"/>
          <w:szCs w:val="24"/>
        </w:rPr>
        <w:t>23</w:t>
      </w:r>
      <w:r w:rsidR="00A15716">
        <w:rPr>
          <w:rFonts w:ascii="Times New Roman" w:eastAsia="Calibri" w:hAnsi="Times New Roman" w:cs="Times New Roman"/>
          <w:sz w:val="24"/>
          <w:szCs w:val="24"/>
        </w:rPr>
        <w:t>.</w:t>
      </w:r>
      <w:r w:rsidRPr="00C33A5F">
        <w:rPr>
          <w:rFonts w:ascii="Times New Roman" w:eastAsia="Calibri" w:hAnsi="Times New Roman" w:cs="Times New Roman"/>
          <w:sz w:val="24"/>
          <w:szCs w:val="24"/>
        </w:rPr>
        <w:t xml:space="preserve"> Ryan R, </w:t>
      </w:r>
      <w:proofErr w:type="spellStart"/>
      <w:r w:rsidRPr="00C33A5F">
        <w:rPr>
          <w:rFonts w:ascii="Times New Roman" w:eastAsia="Calibri" w:hAnsi="Times New Roman" w:cs="Times New Roman"/>
          <w:sz w:val="24"/>
          <w:szCs w:val="24"/>
        </w:rPr>
        <w:t>Santesso</w:t>
      </w:r>
      <w:proofErr w:type="spellEnd"/>
      <w:r w:rsidRPr="00C33A5F">
        <w:rPr>
          <w:rFonts w:ascii="Times New Roman" w:eastAsia="Calibri" w:hAnsi="Times New Roman" w:cs="Times New Roman"/>
          <w:sz w:val="24"/>
          <w:szCs w:val="24"/>
        </w:rPr>
        <w:t xml:space="preserve"> N, Lowe D, et al. Interventions to improve safe and effective medicines use by consumers: an overview of systematic reviews (Review) </w:t>
      </w:r>
      <w:r w:rsidRPr="00C33A5F">
        <w:rPr>
          <w:rFonts w:ascii="Times New Roman" w:hAnsi="Times New Roman" w:cs="Times New Roman"/>
          <w:i/>
          <w:sz w:val="24"/>
          <w:szCs w:val="24"/>
        </w:rPr>
        <w:t xml:space="preserve">Cochrane Database </w:t>
      </w:r>
      <w:proofErr w:type="spellStart"/>
      <w:r w:rsidRPr="00C33A5F">
        <w:rPr>
          <w:rFonts w:ascii="Times New Roman" w:hAnsi="Times New Roman" w:cs="Times New Roman"/>
          <w:i/>
          <w:sz w:val="24"/>
          <w:szCs w:val="24"/>
        </w:rPr>
        <w:t>Syst</w:t>
      </w:r>
      <w:proofErr w:type="spellEnd"/>
      <w:r w:rsidRPr="00C33A5F">
        <w:rPr>
          <w:rFonts w:ascii="Times New Roman" w:hAnsi="Times New Roman" w:cs="Times New Roman"/>
          <w:i/>
          <w:sz w:val="24"/>
          <w:szCs w:val="24"/>
        </w:rPr>
        <w:t xml:space="preserve"> Rev</w:t>
      </w:r>
      <w:r w:rsidRPr="00C33A5F">
        <w:rPr>
          <w:rFonts w:ascii="Times New Roman" w:hAnsi="Times New Roman" w:cs="Times New Roman"/>
          <w:sz w:val="24"/>
          <w:szCs w:val="24"/>
        </w:rPr>
        <w:t xml:space="preserve"> 2</w:t>
      </w:r>
      <w:r>
        <w:rPr>
          <w:rFonts w:ascii="Times New Roman" w:hAnsi="Times New Roman" w:cs="Times New Roman"/>
          <w:sz w:val="24"/>
          <w:szCs w:val="24"/>
        </w:rPr>
        <w:t xml:space="preserve">014; Issue 4. Art.No.:CD007768. </w:t>
      </w:r>
      <w:proofErr w:type="gramStart"/>
      <w:r w:rsidRPr="00C33A5F">
        <w:rPr>
          <w:rFonts w:ascii="Times New Roman" w:hAnsi="Times New Roman" w:cs="Times New Roman"/>
          <w:sz w:val="24"/>
          <w:szCs w:val="24"/>
        </w:rPr>
        <w:t>DOI:10.1002/14651858.CD007768.pub3</w:t>
      </w:r>
      <w:proofErr w:type="gramEnd"/>
      <w:r w:rsidRPr="00C33A5F">
        <w:rPr>
          <w:rFonts w:ascii="Times New Roman" w:hAnsi="Times New Roman" w:cs="Times New Roman"/>
          <w:sz w:val="24"/>
          <w:szCs w:val="24"/>
        </w:rPr>
        <w:t>.</w:t>
      </w:r>
    </w:p>
    <w:p w14:paraId="7BBBC32B" w14:textId="77777777" w:rsidR="00600256" w:rsidRPr="00C33A5F" w:rsidRDefault="00600256" w:rsidP="00600256">
      <w:pPr>
        <w:spacing w:after="0" w:line="480" w:lineRule="auto"/>
        <w:jc w:val="both"/>
        <w:rPr>
          <w:rFonts w:ascii="Times New Roman" w:eastAsia="Calibri" w:hAnsi="Times New Roman" w:cs="Times New Roman"/>
          <w:b/>
          <w:sz w:val="24"/>
          <w:szCs w:val="24"/>
        </w:rPr>
      </w:pPr>
    </w:p>
    <w:p w14:paraId="6D3B54CF" w14:textId="77777777" w:rsidR="00600256" w:rsidRPr="00C33A5F" w:rsidRDefault="00600256" w:rsidP="00600256">
      <w:pPr>
        <w:spacing w:after="0" w:line="480" w:lineRule="auto"/>
        <w:rPr>
          <w:rFonts w:ascii="Times New Roman" w:hAnsi="Times New Roman" w:cs="Times New Roman"/>
          <w:sz w:val="24"/>
          <w:szCs w:val="24"/>
        </w:rPr>
      </w:pPr>
      <w:r>
        <w:rPr>
          <w:rFonts w:ascii="Times New Roman" w:eastAsia="Calibri" w:hAnsi="Times New Roman" w:cs="Times New Roman"/>
          <w:sz w:val="24"/>
          <w:szCs w:val="24"/>
        </w:rPr>
        <w:t>24</w:t>
      </w:r>
      <w:r w:rsidR="00A15716">
        <w:rPr>
          <w:rFonts w:ascii="Times New Roman" w:eastAsia="Calibri" w:hAnsi="Times New Roman" w:cs="Times New Roman"/>
          <w:sz w:val="24"/>
          <w:szCs w:val="24"/>
        </w:rPr>
        <w:t>.</w:t>
      </w:r>
      <w:r w:rsidRPr="00C33A5F">
        <w:rPr>
          <w:rFonts w:ascii="Times New Roman" w:eastAsia="Calibri" w:hAnsi="Times New Roman" w:cs="Times New Roman"/>
          <w:sz w:val="24"/>
          <w:szCs w:val="24"/>
        </w:rPr>
        <w:t xml:space="preserve"> </w:t>
      </w:r>
      <w:r w:rsidRPr="00C33A5F">
        <w:rPr>
          <w:rFonts w:ascii="Times New Roman" w:hAnsi="Times New Roman" w:cs="Times New Roman"/>
          <w:sz w:val="24"/>
          <w:szCs w:val="24"/>
        </w:rPr>
        <w:t xml:space="preserve">Wei X, Xu A, Yin Y, et al. The potential effect of </w:t>
      </w:r>
      <w:proofErr w:type="spellStart"/>
      <w:r w:rsidRPr="00C33A5F">
        <w:rPr>
          <w:rFonts w:ascii="Times New Roman" w:hAnsi="Times New Roman" w:cs="Times New Roman"/>
          <w:sz w:val="24"/>
          <w:szCs w:val="24"/>
        </w:rPr>
        <w:t>Wuqinxi</w:t>
      </w:r>
      <w:proofErr w:type="spellEnd"/>
      <w:r w:rsidRPr="00C33A5F">
        <w:rPr>
          <w:rFonts w:ascii="Times New Roman" w:hAnsi="Times New Roman" w:cs="Times New Roman"/>
          <w:sz w:val="24"/>
          <w:szCs w:val="24"/>
        </w:rPr>
        <w:t xml:space="preserve"> exercise for primary osteoporosis: A systematic review and meta-analysis. </w:t>
      </w:r>
      <w:proofErr w:type="spellStart"/>
      <w:r w:rsidRPr="00C33A5F">
        <w:rPr>
          <w:rFonts w:ascii="Times New Roman" w:hAnsi="Times New Roman" w:cs="Times New Roman"/>
          <w:i/>
          <w:sz w:val="24"/>
          <w:szCs w:val="24"/>
        </w:rPr>
        <w:t>Maturitas</w:t>
      </w:r>
      <w:proofErr w:type="spellEnd"/>
      <w:r w:rsidRPr="00C33A5F">
        <w:rPr>
          <w:rFonts w:ascii="Times New Roman" w:hAnsi="Times New Roman" w:cs="Times New Roman"/>
          <w:sz w:val="24"/>
          <w:szCs w:val="24"/>
        </w:rPr>
        <w:t xml:space="preserve"> 2015; 82:346-54.</w:t>
      </w:r>
    </w:p>
    <w:p w14:paraId="183183B6" w14:textId="77777777" w:rsidR="00600256" w:rsidRPr="00C33A5F" w:rsidRDefault="00600256" w:rsidP="00600256">
      <w:pPr>
        <w:spacing w:after="0" w:line="480" w:lineRule="auto"/>
        <w:jc w:val="both"/>
        <w:rPr>
          <w:rFonts w:ascii="Times New Roman" w:eastAsia="Calibri" w:hAnsi="Times New Roman" w:cs="Times New Roman"/>
          <w:sz w:val="24"/>
          <w:szCs w:val="24"/>
        </w:rPr>
      </w:pPr>
    </w:p>
    <w:p w14:paraId="3E968FFE" w14:textId="77777777" w:rsidR="00600256" w:rsidRPr="00C33A5F" w:rsidRDefault="00600256" w:rsidP="00600256">
      <w:pPr>
        <w:spacing w:after="0" w:line="480" w:lineRule="auto"/>
        <w:rPr>
          <w:rFonts w:ascii="Times New Roman" w:hAnsi="Times New Roman" w:cs="Times New Roman"/>
          <w:sz w:val="24"/>
          <w:szCs w:val="24"/>
        </w:rPr>
      </w:pPr>
      <w:r>
        <w:rPr>
          <w:rFonts w:ascii="Times New Roman" w:eastAsia="Calibri" w:hAnsi="Times New Roman" w:cs="Times New Roman"/>
          <w:sz w:val="24"/>
          <w:szCs w:val="24"/>
        </w:rPr>
        <w:t>25</w:t>
      </w:r>
      <w:r w:rsidR="00B60652">
        <w:rPr>
          <w:rFonts w:ascii="Times New Roman" w:eastAsia="Calibri" w:hAnsi="Times New Roman" w:cs="Times New Roman"/>
          <w:sz w:val="24"/>
          <w:szCs w:val="24"/>
        </w:rPr>
        <w:t>.</w:t>
      </w:r>
      <w:r w:rsidRPr="00C33A5F">
        <w:rPr>
          <w:rFonts w:ascii="Times New Roman" w:eastAsia="Calibri" w:hAnsi="Times New Roman" w:cs="Times New Roman"/>
          <w:sz w:val="24"/>
          <w:szCs w:val="24"/>
        </w:rPr>
        <w:t xml:space="preserve"> </w:t>
      </w:r>
      <w:r w:rsidRPr="00C33A5F">
        <w:rPr>
          <w:rFonts w:ascii="Times New Roman" w:hAnsi="Times New Roman" w:cs="Times New Roman"/>
          <w:sz w:val="24"/>
          <w:szCs w:val="24"/>
        </w:rPr>
        <w:t xml:space="preserve">Wu CH, Tu ST, Chang YF, et al. Fracture liaison services improve outcomes of patients with osteoporosis-related fractures: A systematic literature review and meta-analysis. </w:t>
      </w:r>
      <w:r w:rsidRPr="00C33A5F">
        <w:rPr>
          <w:rFonts w:ascii="Times New Roman" w:hAnsi="Times New Roman" w:cs="Times New Roman"/>
          <w:i/>
          <w:sz w:val="24"/>
          <w:szCs w:val="24"/>
        </w:rPr>
        <w:t>Bone</w:t>
      </w:r>
      <w:r w:rsidRPr="00C33A5F">
        <w:rPr>
          <w:rFonts w:ascii="Times New Roman" w:hAnsi="Times New Roman" w:cs="Times New Roman"/>
          <w:sz w:val="24"/>
          <w:szCs w:val="24"/>
        </w:rPr>
        <w:t xml:space="preserve"> 2018a; 111:92-100.</w:t>
      </w:r>
    </w:p>
    <w:p w14:paraId="311EE9ED" w14:textId="77777777" w:rsidR="00600256" w:rsidRPr="00C33A5F" w:rsidRDefault="00600256" w:rsidP="00600256">
      <w:pPr>
        <w:spacing w:after="0" w:line="480" w:lineRule="auto"/>
        <w:jc w:val="both"/>
        <w:rPr>
          <w:rFonts w:ascii="Times New Roman" w:eastAsia="Calibri" w:hAnsi="Times New Roman" w:cs="Times New Roman"/>
          <w:sz w:val="24"/>
          <w:szCs w:val="24"/>
        </w:rPr>
      </w:pPr>
    </w:p>
    <w:p w14:paraId="0A00FD19" w14:textId="77777777" w:rsidR="00600256" w:rsidRPr="00C33A5F" w:rsidRDefault="00600256" w:rsidP="00600256">
      <w:pPr>
        <w:spacing w:after="0" w:line="480" w:lineRule="auto"/>
        <w:rPr>
          <w:rFonts w:ascii="Times New Roman" w:hAnsi="Times New Roman" w:cs="Times New Roman"/>
          <w:sz w:val="24"/>
          <w:szCs w:val="24"/>
        </w:rPr>
      </w:pPr>
      <w:r>
        <w:rPr>
          <w:rFonts w:ascii="Times New Roman" w:eastAsia="Calibri" w:hAnsi="Times New Roman" w:cs="Times New Roman"/>
          <w:sz w:val="24"/>
          <w:szCs w:val="24"/>
        </w:rPr>
        <w:t>26</w:t>
      </w:r>
      <w:r w:rsidR="00B60652">
        <w:rPr>
          <w:rFonts w:ascii="Times New Roman" w:eastAsia="Calibri" w:hAnsi="Times New Roman" w:cs="Times New Roman"/>
          <w:sz w:val="24"/>
          <w:szCs w:val="24"/>
        </w:rPr>
        <w:t>.</w:t>
      </w:r>
      <w:r w:rsidRPr="00C33A5F">
        <w:rPr>
          <w:rFonts w:ascii="Times New Roman" w:eastAsia="Calibri" w:hAnsi="Times New Roman" w:cs="Times New Roman"/>
          <w:sz w:val="24"/>
          <w:szCs w:val="24"/>
        </w:rPr>
        <w:t xml:space="preserve"> </w:t>
      </w:r>
      <w:r w:rsidRPr="00C33A5F">
        <w:rPr>
          <w:rFonts w:ascii="Times New Roman" w:hAnsi="Times New Roman" w:cs="Times New Roman"/>
          <w:sz w:val="24"/>
          <w:szCs w:val="24"/>
        </w:rPr>
        <w:t xml:space="preserve">Cox H, Puffer S, Morton V, et al. Educating nursing home staff on fracture prevention: a cluster randomised trial. </w:t>
      </w:r>
      <w:r w:rsidRPr="00C33A5F">
        <w:rPr>
          <w:rFonts w:ascii="Times New Roman" w:hAnsi="Times New Roman" w:cs="Times New Roman"/>
          <w:i/>
          <w:sz w:val="24"/>
          <w:szCs w:val="24"/>
        </w:rPr>
        <w:t>Age Ageing</w:t>
      </w:r>
      <w:r w:rsidRPr="00C33A5F">
        <w:rPr>
          <w:rFonts w:ascii="Times New Roman" w:hAnsi="Times New Roman" w:cs="Times New Roman"/>
          <w:sz w:val="24"/>
          <w:szCs w:val="24"/>
        </w:rPr>
        <w:t xml:space="preserve"> 2008; 37:167-72.</w:t>
      </w:r>
    </w:p>
    <w:p w14:paraId="62FA4CF2" w14:textId="77777777" w:rsidR="00600256" w:rsidRPr="00C33A5F" w:rsidRDefault="00600256" w:rsidP="00600256">
      <w:pPr>
        <w:spacing w:after="0" w:line="480" w:lineRule="auto"/>
        <w:jc w:val="both"/>
        <w:rPr>
          <w:rFonts w:ascii="Times New Roman" w:eastAsia="Calibri" w:hAnsi="Times New Roman" w:cs="Times New Roman"/>
          <w:sz w:val="24"/>
          <w:szCs w:val="24"/>
        </w:rPr>
      </w:pPr>
    </w:p>
    <w:p w14:paraId="3766C7D7" w14:textId="77777777" w:rsidR="00600256" w:rsidRPr="008B435D" w:rsidRDefault="00600256" w:rsidP="00600256">
      <w:pPr>
        <w:autoSpaceDE w:val="0"/>
        <w:autoSpaceDN w:val="0"/>
        <w:adjustRightInd w:val="0"/>
        <w:spacing w:after="0" w:line="480" w:lineRule="auto"/>
        <w:rPr>
          <w:rFonts w:ascii="Times New Roman" w:hAnsi="Times New Roman" w:cs="Times New Roman"/>
          <w:color w:val="131413"/>
          <w:sz w:val="24"/>
          <w:szCs w:val="24"/>
          <w:lang w:val="de-AT"/>
        </w:rPr>
      </w:pPr>
      <w:r>
        <w:rPr>
          <w:rFonts w:ascii="Times New Roman" w:eastAsia="Calibri" w:hAnsi="Times New Roman" w:cs="Times New Roman"/>
          <w:sz w:val="24"/>
          <w:szCs w:val="24"/>
        </w:rPr>
        <w:t>27</w:t>
      </w:r>
      <w:r w:rsidR="00B60652">
        <w:rPr>
          <w:rFonts w:ascii="Times New Roman" w:eastAsia="Calibri" w:hAnsi="Times New Roman" w:cs="Times New Roman"/>
          <w:sz w:val="24"/>
          <w:szCs w:val="24"/>
        </w:rPr>
        <w:t>.</w:t>
      </w:r>
      <w:r w:rsidRPr="00C33A5F">
        <w:rPr>
          <w:rFonts w:ascii="Times New Roman" w:eastAsia="Calibri" w:hAnsi="Times New Roman" w:cs="Times New Roman"/>
          <w:sz w:val="24"/>
          <w:szCs w:val="24"/>
        </w:rPr>
        <w:t xml:space="preserve"> </w:t>
      </w:r>
      <w:r w:rsidRPr="00C33A5F">
        <w:rPr>
          <w:rFonts w:ascii="Times New Roman" w:hAnsi="Times New Roman" w:cs="Times New Roman"/>
          <w:sz w:val="24"/>
          <w:szCs w:val="24"/>
        </w:rPr>
        <w:t xml:space="preserve">van </w:t>
      </w:r>
      <w:proofErr w:type="spellStart"/>
      <w:r w:rsidRPr="00C33A5F">
        <w:rPr>
          <w:rFonts w:ascii="Times New Roman" w:hAnsi="Times New Roman" w:cs="Times New Roman"/>
          <w:sz w:val="24"/>
          <w:szCs w:val="24"/>
        </w:rPr>
        <w:t>Ooijen</w:t>
      </w:r>
      <w:proofErr w:type="spellEnd"/>
      <w:r w:rsidRPr="00C33A5F">
        <w:rPr>
          <w:rFonts w:ascii="Times New Roman" w:hAnsi="Times New Roman" w:cs="Times New Roman"/>
          <w:sz w:val="24"/>
          <w:szCs w:val="24"/>
        </w:rPr>
        <w:t xml:space="preserve"> MW, </w:t>
      </w:r>
      <w:proofErr w:type="spellStart"/>
      <w:r w:rsidRPr="00C33A5F">
        <w:rPr>
          <w:rFonts w:ascii="Times New Roman" w:hAnsi="Times New Roman" w:cs="Times New Roman"/>
          <w:sz w:val="24"/>
          <w:szCs w:val="24"/>
        </w:rPr>
        <w:t>Roerdink</w:t>
      </w:r>
      <w:proofErr w:type="spellEnd"/>
      <w:r w:rsidRPr="00C33A5F">
        <w:rPr>
          <w:rFonts w:ascii="Times New Roman" w:hAnsi="Times New Roman" w:cs="Times New Roman"/>
          <w:sz w:val="24"/>
          <w:szCs w:val="24"/>
        </w:rPr>
        <w:t xml:space="preserve"> M, </w:t>
      </w:r>
      <w:proofErr w:type="spellStart"/>
      <w:r w:rsidRPr="00C33A5F">
        <w:rPr>
          <w:rFonts w:ascii="Times New Roman" w:hAnsi="Times New Roman" w:cs="Times New Roman"/>
          <w:sz w:val="24"/>
          <w:szCs w:val="24"/>
        </w:rPr>
        <w:t>Trekop</w:t>
      </w:r>
      <w:proofErr w:type="spellEnd"/>
      <w:r w:rsidRPr="00C33A5F">
        <w:rPr>
          <w:rFonts w:ascii="Times New Roman" w:hAnsi="Times New Roman" w:cs="Times New Roman"/>
          <w:sz w:val="24"/>
          <w:szCs w:val="24"/>
        </w:rPr>
        <w:t xml:space="preserve"> M, et al. </w:t>
      </w:r>
      <w:r w:rsidRPr="00C33A5F">
        <w:rPr>
          <w:rFonts w:ascii="Times New Roman" w:hAnsi="Times New Roman" w:cs="Times New Roman"/>
          <w:color w:val="131413"/>
          <w:sz w:val="24"/>
          <w:szCs w:val="24"/>
        </w:rPr>
        <w:t xml:space="preserve">The efficacy of treadmill training with and without projected visual context for improving walking ability and reducing fall incidence and </w:t>
      </w:r>
      <w:r w:rsidRPr="00C33A5F">
        <w:rPr>
          <w:rFonts w:ascii="Times New Roman" w:hAnsi="Times New Roman" w:cs="Times New Roman"/>
          <w:color w:val="131413"/>
          <w:sz w:val="24"/>
          <w:szCs w:val="24"/>
        </w:rPr>
        <w:lastRenderedPageBreak/>
        <w:t xml:space="preserve">fear of falling in older adults with fall-related hip fracture: a randomized controlled trial. </w:t>
      </w:r>
      <w:r w:rsidRPr="008B435D">
        <w:rPr>
          <w:rFonts w:ascii="Times New Roman" w:hAnsi="Times New Roman" w:cs="Times New Roman"/>
          <w:i/>
          <w:color w:val="131413"/>
          <w:sz w:val="24"/>
          <w:szCs w:val="24"/>
          <w:lang w:val="de-AT"/>
        </w:rPr>
        <w:t>BMC Geriatr</w:t>
      </w:r>
      <w:r w:rsidRPr="008B435D">
        <w:rPr>
          <w:rFonts w:ascii="Times New Roman" w:hAnsi="Times New Roman" w:cs="Times New Roman"/>
          <w:color w:val="131413"/>
          <w:sz w:val="24"/>
          <w:szCs w:val="24"/>
          <w:lang w:val="de-AT"/>
        </w:rPr>
        <w:t xml:space="preserve"> 2016; 16:215.</w:t>
      </w:r>
    </w:p>
    <w:p w14:paraId="7D0D5A78" w14:textId="77777777" w:rsidR="00600256" w:rsidRPr="008B435D" w:rsidRDefault="00600256" w:rsidP="00600256">
      <w:pPr>
        <w:spacing w:after="0" w:line="480" w:lineRule="auto"/>
        <w:jc w:val="both"/>
        <w:rPr>
          <w:rFonts w:ascii="Times New Roman" w:eastAsia="Calibri" w:hAnsi="Times New Roman" w:cs="Times New Roman"/>
          <w:sz w:val="24"/>
          <w:szCs w:val="24"/>
          <w:lang w:val="de-AT"/>
        </w:rPr>
      </w:pPr>
    </w:p>
    <w:p w14:paraId="0454A5DC" w14:textId="77777777" w:rsidR="00600256" w:rsidRPr="00C33A5F" w:rsidRDefault="00600256" w:rsidP="00600256">
      <w:pPr>
        <w:spacing w:after="0" w:line="480" w:lineRule="auto"/>
        <w:rPr>
          <w:rFonts w:ascii="Times New Roman" w:eastAsia="Times New Roman" w:hAnsi="Times New Roman" w:cs="Times New Roman"/>
          <w:sz w:val="24"/>
          <w:szCs w:val="24"/>
          <w:lang w:eastAsia="en-GB"/>
        </w:rPr>
      </w:pPr>
      <w:r w:rsidRPr="008B435D">
        <w:rPr>
          <w:rFonts w:ascii="Times New Roman" w:eastAsia="Calibri" w:hAnsi="Times New Roman" w:cs="Times New Roman"/>
          <w:sz w:val="24"/>
          <w:szCs w:val="24"/>
          <w:lang w:val="de-AT"/>
        </w:rPr>
        <w:t>28</w:t>
      </w:r>
      <w:r w:rsidR="00B60652" w:rsidRPr="008B435D">
        <w:rPr>
          <w:rFonts w:ascii="Times New Roman" w:eastAsia="Calibri" w:hAnsi="Times New Roman" w:cs="Times New Roman"/>
          <w:sz w:val="24"/>
          <w:szCs w:val="24"/>
          <w:lang w:val="de-AT"/>
        </w:rPr>
        <w:t>.</w:t>
      </w:r>
      <w:r w:rsidRPr="008B435D">
        <w:rPr>
          <w:rFonts w:ascii="Times New Roman" w:eastAsia="Calibri" w:hAnsi="Times New Roman" w:cs="Times New Roman"/>
          <w:sz w:val="24"/>
          <w:szCs w:val="24"/>
          <w:lang w:val="de-AT"/>
        </w:rPr>
        <w:t xml:space="preserve"> </w:t>
      </w:r>
      <w:r w:rsidRPr="008B435D">
        <w:rPr>
          <w:rFonts w:ascii="Times New Roman" w:eastAsia="Times New Roman" w:hAnsi="Times New Roman" w:cs="Times New Roman"/>
          <w:sz w:val="24"/>
          <w:szCs w:val="24"/>
          <w:lang w:val="de-AT" w:eastAsia="en-GB"/>
        </w:rPr>
        <w:t xml:space="preserve">Kronborg L, Bandholm T, Palm H, et al. </w:t>
      </w:r>
      <w:r w:rsidRPr="00C33A5F">
        <w:rPr>
          <w:rFonts w:ascii="Times New Roman" w:eastAsia="Times New Roman" w:hAnsi="Times New Roman" w:cs="Times New Roman"/>
          <w:sz w:val="24"/>
          <w:szCs w:val="24"/>
          <w:lang w:eastAsia="en-GB"/>
        </w:rPr>
        <w:t xml:space="preserve">Effectiveness of acute in-hospital physiotherapy with knee-extension strength training in reducing strength deficits in patients with a hip fracture: A randomised controlled trial. </w:t>
      </w:r>
      <w:proofErr w:type="spellStart"/>
      <w:r w:rsidRPr="00C33A5F">
        <w:rPr>
          <w:rFonts w:ascii="Times New Roman" w:eastAsia="Times New Roman" w:hAnsi="Times New Roman" w:cs="Times New Roman"/>
          <w:i/>
          <w:sz w:val="24"/>
          <w:szCs w:val="24"/>
          <w:lang w:eastAsia="en-GB"/>
        </w:rPr>
        <w:t>PLoS</w:t>
      </w:r>
      <w:proofErr w:type="spellEnd"/>
      <w:r w:rsidRPr="00C33A5F">
        <w:rPr>
          <w:rFonts w:ascii="Times New Roman" w:eastAsia="Times New Roman" w:hAnsi="Times New Roman" w:cs="Times New Roman"/>
          <w:i/>
          <w:sz w:val="24"/>
          <w:szCs w:val="24"/>
          <w:lang w:eastAsia="en-GB"/>
        </w:rPr>
        <w:t xml:space="preserve"> One</w:t>
      </w:r>
      <w:r w:rsidRPr="00C33A5F">
        <w:rPr>
          <w:rFonts w:ascii="Times New Roman" w:eastAsia="Times New Roman" w:hAnsi="Times New Roman" w:cs="Times New Roman"/>
          <w:sz w:val="24"/>
          <w:szCs w:val="24"/>
          <w:lang w:eastAsia="en-GB"/>
        </w:rPr>
        <w:t xml:space="preserve"> 2017; </w:t>
      </w:r>
      <w:proofErr w:type="gramStart"/>
      <w:r w:rsidRPr="00C33A5F">
        <w:rPr>
          <w:rFonts w:ascii="Times New Roman" w:eastAsia="Times New Roman" w:hAnsi="Times New Roman" w:cs="Times New Roman"/>
          <w:sz w:val="24"/>
          <w:szCs w:val="24"/>
          <w:lang w:eastAsia="en-GB"/>
        </w:rPr>
        <w:t>12:e</w:t>
      </w:r>
      <w:proofErr w:type="gramEnd"/>
      <w:r w:rsidRPr="00C33A5F">
        <w:rPr>
          <w:rFonts w:ascii="Times New Roman" w:eastAsia="Times New Roman" w:hAnsi="Times New Roman" w:cs="Times New Roman"/>
          <w:sz w:val="24"/>
          <w:szCs w:val="24"/>
          <w:lang w:eastAsia="en-GB"/>
        </w:rPr>
        <w:t>0179867</w:t>
      </w:r>
    </w:p>
    <w:p w14:paraId="3E6B8A91" w14:textId="77777777" w:rsidR="00600256" w:rsidRPr="00C33A5F" w:rsidRDefault="00600256" w:rsidP="00600256">
      <w:pPr>
        <w:spacing w:after="0" w:line="480" w:lineRule="auto"/>
        <w:jc w:val="both"/>
        <w:rPr>
          <w:rFonts w:ascii="Times New Roman" w:eastAsia="Calibri" w:hAnsi="Times New Roman" w:cs="Times New Roman"/>
          <w:sz w:val="24"/>
          <w:szCs w:val="24"/>
        </w:rPr>
      </w:pPr>
    </w:p>
    <w:p w14:paraId="3EAFA582" w14:textId="77777777" w:rsidR="00600256" w:rsidRPr="00C33A5F" w:rsidRDefault="00600256" w:rsidP="00600256">
      <w:pPr>
        <w:spacing w:after="0" w:line="480" w:lineRule="auto"/>
        <w:rPr>
          <w:rFonts w:ascii="Times New Roman" w:hAnsi="Times New Roman" w:cs="Times New Roman"/>
          <w:sz w:val="24"/>
          <w:szCs w:val="24"/>
        </w:rPr>
      </w:pPr>
      <w:r w:rsidRPr="00306C66">
        <w:rPr>
          <w:rFonts w:ascii="Times New Roman" w:eastAsia="Calibri" w:hAnsi="Times New Roman" w:cs="Times New Roman"/>
          <w:sz w:val="24"/>
          <w:szCs w:val="24"/>
          <w:lang w:val="de-AT"/>
        </w:rPr>
        <w:t>29</w:t>
      </w:r>
      <w:r w:rsidR="00B60652" w:rsidRPr="00306C66">
        <w:rPr>
          <w:rFonts w:ascii="Times New Roman" w:eastAsia="Calibri" w:hAnsi="Times New Roman" w:cs="Times New Roman"/>
          <w:sz w:val="24"/>
          <w:szCs w:val="24"/>
          <w:lang w:val="de-AT"/>
        </w:rPr>
        <w:t>.</w:t>
      </w:r>
      <w:r w:rsidRPr="00306C66">
        <w:rPr>
          <w:rFonts w:ascii="Times New Roman" w:eastAsia="Calibri" w:hAnsi="Times New Roman" w:cs="Times New Roman"/>
          <w:sz w:val="24"/>
          <w:szCs w:val="24"/>
          <w:lang w:val="de-AT"/>
        </w:rPr>
        <w:t xml:space="preserve"> </w:t>
      </w:r>
      <w:r w:rsidRPr="00306C66">
        <w:rPr>
          <w:rFonts w:ascii="Times New Roman" w:hAnsi="Times New Roman" w:cs="Times New Roman"/>
          <w:sz w:val="24"/>
          <w:szCs w:val="24"/>
          <w:lang w:val="de-AT"/>
        </w:rPr>
        <w:t xml:space="preserve">Smulders E, Weerdesteyn V, Groen BE, et al. </w:t>
      </w:r>
      <w:r w:rsidRPr="00C33A5F">
        <w:rPr>
          <w:rFonts w:ascii="Times New Roman" w:hAnsi="Times New Roman" w:cs="Times New Roman"/>
          <w:sz w:val="24"/>
          <w:szCs w:val="24"/>
        </w:rPr>
        <w:t xml:space="preserve">Efficacy of a short multidisciplinary </w:t>
      </w:r>
      <w:proofErr w:type="gramStart"/>
      <w:r w:rsidRPr="00C33A5F">
        <w:rPr>
          <w:rFonts w:ascii="Times New Roman" w:hAnsi="Times New Roman" w:cs="Times New Roman"/>
          <w:sz w:val="24"/>
          <w:szCs w:val="24"/>
        </w:rPr>
        <w:t>falls</w:t>
      </w:r>
      <w:proofErr w:type="gramEnd"/>
      <w:r w:rsidRPr="00C33A5F">
        <w:rPr>
          <w:rFonts w:ascii="Times New Roman" w:hAnsi="Times New Roman" w:cs="Times New Roman"/>
          <w:sz w:val="24"/>
          <w:szCs w:val="24"/>
        </w:rPr>
        <w:t xml:space="preserve"> prevention program for elderly persons with osteoporosis and a fall history: A randomized controlled trial. </w:t>
      </w:r>
      <w:r w:rsidRPr="00C33A5F">
        <w:rPr>
          <w:rFonts w:ascii="Times New Roman" w:hAnsi="Times New Roman" w:cs="Times New Roman"/>
          <w:i/>
          <w:sz w:val="24"/>
          <w:szCs w:val="24"/>
        </w:rPr>
        <w:t xml:space="preserve">Arch Phys Med </w:t>
      </w:r>
      <w:proofErr w:type="spellStart"/>
      <w:r w:rsidRPr="00C33A5F">
        <w:rPr>
          <w:rFonts w:ascii="Times New Roman" w:hAnsi="Times New Roman" w:cs="Times New Roman"/>
          <w:i/>
          <w:sz w:val="24"/>
          <w:szCs w:val="24"/>
        </w:rPr>
        <w:t>Rehabil</w:t>
      </w:r>
      <w:proofErr w:type="spellEnd"/>
      <w:r w:rsidRPr="00C33A5F">
        <w:rPr>
          <w:rFonts w:ascii="Times New Roman" w:hAnsi="Times New Roman" w:cs="Times New Roman"/>
          <w:sz w:val="24"/>
          <w:szCs w:val="24"/>
        </w:rPr>
        <w:t xml:space="preserve"> 2010; 91:1705-11. </w:t>
      </w:r>
    </w:p>
    <w:p w14:paraId="736D34FB" w14:textId="77777777" w:rsidR="00600256" w:rsidRPr="00C33A5F" w:rsidRDefault="00600256" w:rsidP="00600256">
      <w:pPr>
        <w:spacing w:after="0" w:line="480" w:lineRule="auto"/>
        <w:jc w:val="both"/>
        <w:rPr>
          <w:rFonts w:ascii="Times New Roman" w:eastAsia="Calibri" w:hAnsi="Times New Roman" w:cs="Times New Roman"/>
          <w:sz w:val="24"/>
          <w:szCs w:val="24"/>
        </w:rPr>
      </w:pPr>
    </w:p>
    <w:p w14:paraId="3F966956" w14:textId="77777777" w:rsidR="00600256" w:rsidRPr="00C33A5F" w:rsidRDefault="00600256" w:rsidP="00600256">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00B60652">
        <w:rPr>
          <w:rFonts w:ascii="Times New Roman" w:eastAsia="Calibri" w:hAnsi="Times New Roman" w:cs="Times New Roman"/>
          <w:sz w:val="24"/>
          <w:szCs w:val="24"/>
        </w:rPr>
        <w:t>.</w:t>
      </w:r>
      <w:r w:rsidRPr="00C33A5F">
        <w:rPr>
          <w:rFonts w:ascii="Times New Roman" w:eastAsia="Calibri" w:hAnsi="Times New Roman" w:cs="Times New Roman"/>
          <w:sz w:val="24"/>
          <w:szCs w:val="24"/>
        </w:rPr>
        <w:t xml:space="preserve"> De </w:t>
      </w:r>
      <w:proofErr w:type="spellStart"/>
      <w:r w:rsidRPr="00C33A5F">
        <w:rPr>
          <w:rFonts w:ascii="Times New Roman" w:eastAsia="Calibri" w:hAnsi="Times New Roman" w:cs="Times New Roman"/>
          <w:sz w:val="24"/>
          <w:szCs w:val="24"/>
        </w:rPr>
        <w:t>Morais</w:t>
      </w:r>
      <w:proofErr w:type="spellEnd"/>
      <w:r w:rsidRPr="00C33A5F">
        <w:rPr>
          <w:rFonts w:ascii="Times New Roman" w:eastAsia="Calibri" w:hAnsi="Times New Roman" w:cs="Times New Roman"/>
          <w:sz w:val="24"/>
          <w:szCs w:val="24"/>
        </w:rPr>
        <w:t xml:space="preserve"> Barbosa C, Barros </w:t>
      </w:r>
      <w:proofErr w:type="spellStart"/>
      <w:r w:rsidRPr="00C33A5F">
        <w:rPr>
          <w:rFonts w:ascii="Times New Roman" w:eastAsia="Calibri" w:hAnsi="Times New Roman" w:cs="Times New Roman"/>
          <w:sz w:val="24"/>
          <w:szCs w:val="24"/>
        </w:rPr>
        <w:t>Bértolo</w:t>
      </w:r>
      <w:proofErr w:type="spellEnd"/>
      <w:r w:rsidRPr="00C33A5F">
        <w:rPr>
          <w:rFonts w:ascii="Times New Roman" w:eastAsia="Calibri" w:hAnsi="Times New Roman" w:cs="Times New Roman"/>
          <w:sz w:val="24"/>
          <w:szCs w:val="24"/>
        </w:rPr>
        <w:t xml:space="preserve"> M, Marques </w:t>
      </w:r>
      <w:proofErr w:type="spellStart"/>
      <w:r w:rsidRPr="00C33A5F">
        <w:rPr>
          <w:rFonts w:ascii="Times New Roman" w:eastAsia="Calibri" w:hAnsi="Times New Roman" w:cs="Times New Roman"/>
          <w:sz w:val="24"/>
          <w:szCs w:val="24"/>
        </w:rPr>
        <w:t>Neto</w:t>
      </w:r>
      <w:proofErr w:type="spellEnd"/>
      <w:r w:rsidRPr="00C33A5F">
        <w:rPr>
          <w:rFonts w:ascii="Times New Roman" w:eastAsia="Calibri" w:hAnsi="Times New Roman" w:cs="Times New Roman"/>
          <w:sz w:val="24"/>
          <w:szCs w:val="24"/>
        </w:rPr>
        <w:t xml:space="preserve"> JF, et al. </w:t>
      </w:r>
      <w:r w:rsidRPr="00C33A5F">
        <w:rPr>
          <w:rFonts w:ascii="Times New Roman" w:hAnsi="Times New Roman" w:cs="Times New Roman"/>
          <w:sz w:val="24"/>
          <w:szCs w:val="24"/>
        </w:rPr>
        <w:t xml:space="preserve">The </w:t>
      </w:r>
      <w:r w:rsidRPr="00C33A5F">
        <w:rPr>
          <w:rStyle w:val="highlight"/>
          <w:rFonts w:ascii="Times New Roman" w:hAnsi="Times New Roman" w:cs="Times New Roman"/>
          <w:sz w:val="24"/>
          <w:szCs w:val="24"/>
        </w:rPr>
        <w:t>effect</w:t>
      </w:r>
      <w:r w:rsidRPr="00C33A5F">
        <w:rPr>
          <w:rFonts w:ascii="Times New Roman" w:hAnsi="Times New Roman" w:cs="Times New Roman"/>
          <w:sz w:val="24"/>
          <w:szCs w:val="24"/>
        </w:rPr>
        <w:t xml:space="preserve"> of </w:t>
      </w:r>
      <w:r w:rsidRPr="00C33A5F">
        <w:rPr>
          <w:rStyle w:val="highlight"/>
          <w:rFonts w:ascii="Times New Roman" w:hAnsi="Times New Roman" w:cs="Times New Roman"/>
          <w:sz w:val="24"/>
          <w:szCs w:val="24"/>
        </w:rPr>
        <w:t>foot</w:t>
      </w:r>
      <w:r w:rsidRPr="00C33A5F">
        <w:rPr>
          <w:rFonts w:ascii="Times New Roman" w:hAnsi="Times New Roman" w:cs="Times New Roman"/>
          <w:sz w:val="24"/>
          <w:szCs w:val="24"/>
        </w:rPr>
        <w:t xml:space="preserve"> </w:t>
      </w:r>
      <w:r w:rsidRPr="00C33A5F">
        <w:rPr>
          <w:rStyle w:val="highlight"/>
          <w:rFonts w:ascii="Times New Roman" w:hAnsi="Times New Roman" w:cs="Times New Roman"/>
          <w:sz w:val="24"/>
          <w:szCs w:val="24"/>
        </w:rPr>
        <w:t>orthoses</w:t>
      </w:r>
      <w:r w:rsidRPr="00C33A5F">
        <w:rPr>
          <w:rFonts w:ascii="Times New Roman" w:hAnsi="Times New Roman" w:cs="Times New Roman"/>
          <w:sz w:val="24"/>
          <w:szCs w:val="24"/>
        </w:rPr>
        <w:t xml:space="preserve"> on </w:t>
      </w:r>
      <w:r w:rsidRPr="00C33A5F">
        <w:rPr>
          <w:rStyle w:val="highlight"/>
          <w:rFonts w:ascii="Times New Roman" w:hAnsi="Times New Roman" w:cs="Times New Roman"/>
          <w:sz w:val="24"/>
          <w:szCs w:val="24"/>
        </w:rPr>
        <w:t>balance</w:t>
      </w:r>
      <w:r w:rsidRPr="00C33A5F">
        <w:rPr>
          <w:rFonts w:ascii="Times New Roman" w:hAnsi="Times New Roman" w:cs="Times New Roman"/>
          <w:sz w:val="24"/>
          <w:szCs w:val="24"/>
        </w:rPr>
        <w:t xml:space="preserve">, </w:t>
      </w:r>
      <w:r w:rsidRPr="00C33A5F">
        <w:rPr>
          <w:rStyle w:val="highlight"/>
          <w:rFonts w:ascii="Times New Roman" w:hAnsi="Times New Roman" w:cs="Times New Roman"/>
          <w:sz w:val="24"/>
          <w:szCs w:val="24"/>
        </w:rPr>
        <w:t>foot</w:t>
      </w:r>
      <w:r w:rsidRPr="00C33A5F">
        <w:rPr>
          <w:rFonts w:ascii="Times New Roman" w:hAnsi="Times New Roman" w:cs="Times New Roman"/>
          <w:sz w:val="24"/>
          <w:szCs w:val="24"/>
        </w:rPr>
        <w:t xml:space="preserve"> </w:t>
      </w:r>
      <w:r w:rsidRPr="00C33A5F">
        <w:rPr>
          <w:rStyle w:val="highlight"/>
          <w:rFonts w:ascii="Times New Roman" w:hAnsi="Times New Roman" w:cs="Times New Roman"/>
          <w:sz w:val="24"/>
          <w:szCs w:val="24"/>
        </w:rPr>
        <w:t>pain</w:t>
      </w:r>
      <w:r w:rsidRPr="00C33A5F">
        <w:rPr>
          <w:rFonts w:ascii="Times New Roman" w:hAnsi="Times New Roman" w:cs="Times New Roman"/>
          <w:sz w:val="24"/>
          <w:szCs w:val="24"/>
        </w:rPr>
        <w:t xml:space="preserve"> and </w:t>
      </w:r>
      <w:r w:rsidRPr="00C33A5F">
        <w:rPr>
          <w:rStyle w:val="highlight"/>
          <w:rFonts w:ascii="Times New Roman" w:hAnsi="Times New Roman" w:cs="Times New Roman"/>
          <w:sz w:val="24"/>
          <w:szCs w:val="24"/>
        </w:rPr>
        <w:t>disability</w:t>
      </w:r>
      <w:r w:rsidRPr="00C33A5F">
        <w:rPr>
          <w:rFonts w:ascii="Times New Roman" w:hAnsi="Times New Roman" w:cs="Times New Roman"/>
          <w:sz w:val="24"/>
          <w:szCs w:val="24"/>
        </w:rPr>
        <w:t xml:space="preserve"> in </w:t>
      </w:r>
      <w:r w:rsidRPr="00C33A5F">
        <w:rPr>
          <w:rStyle w:val="highlight"/>
          <w:rFonts w:ascii="Times New Roman" w:hAnsi="Times New Roman" w:cs="Times New Roman"/>
          <w:sz w:val="24"/>
          <w:szCs w:val="24"/>
        </w:rPr>
        <w:t>elderly</w:t>
      </w:r>
      <w:r w:rsidRPr="00C33A5F">
        <w:rPr>
          <w:rFonts w:ascii="Times New Roman" w:hAnsi="Times New Roman" w:cs="Times New Roman"/>
          <w:sz w:val="24"/>
          <w:szCs w:val="24"/>
        </w:rPr>
        <w:t xml:space="preserve"> </w:t>
      </w:r>
      <w:r w:rsidRPr="00C33A5F">
        <w:rPr>
          <w:rStyle w:val="highlight"/>
          <w:rFonts w:ascii="Times New Roman" w:hAnsi="Times New Roman" w:cs="Times New Roman"/>
          <w:sz w:val="24"/>
          <w:szCs w:val="24"/>
        </w:rPr>
        <w:t>women</w:t>
      </w:r>
      <w:r w:rsidRPr="00C33A5F">
        <w:rPr>
          <w:rFonts w:ascii="Times New Roman" w:hAnsi="Times New Roman" w:cs="Times New Roman"/>
          <w:sz w:val="24"/>
          <w:szCs w:val="24"/>
        </w:rPr>
        <w:t xml:space="preserve"> with </w:t>
      </w:r>
      <w:r w:rsidRPr="00C33A5F">
        <w:rPr>
          <w:rStyle w:val="highlight"/>
          <w:rFonts w:ascii="Times New Roman" w:hAnsi="Times New Roman" w:cs="Times New Roman"/>
          <w:sz w:val="24"/>
          <w:szCs w:val="24"/>
        </w:rPr>
        <w:t>osteoporosis</w:t>
      </w:r>
      <w:r w:rsidRPr="00C33A5F">
        <w:rPr>
          <w:rFonts w:ascii="Times New Roman" w:hAnsi="Times New Roman" w:cs="Times New Roman"/>
          <w:sz w:val="24"/>
          <w:szCs w:val="24"/>
        </w:rPr>
        <w:t xml:space="preserve">: a randomized clinical trial. </w:t>
      </w:r>
      <w:r w:rsidRPr="00C33A5F">
        <w:rPr>
          <w:rFonts w:ascii="Times New Roman" w:hAnsi="Times New Roman" w:cs="Times New Roman"/>
          <w:i/>
          <w:sz w:val="24"/>
          <w:szCs w:val="24"/>
        </w:rPr>
        <w:t>Rheumatology</w:t>
      </w:r>
      <w:r w:rsidRPr="00C33A5F">
        <w:rPr>
          <w:rFonts w:ascii="Times New Roman" w:hAnsi="Times New Roman" w:cs="Times New Roman"/>
          <w:sz w:val="24"/>
          <w:szCs w:val="24"/>
        </w:rPr>
        <w:t xml:space="preserve"> 2013; 52:515-22.</w:t>
      </w:r>
    </w:p>
    <w:p w14:paraId="0853CE4E" w14:textId="77777777" w:rsidR="00600256" w:rsidRPr="00C33A5F" w:rsidRDefault="00600256" w:rsidP="00600256">
      <w:pPr>
        <w:spacing w:after="0" w:line="480" w:lineRule="auto"/>
        <w:jc w:val="both"/>
        <w:rPr>
          <w:rFonts w:ascii="Times New Roman" w:eastAsia="Calibri" w:hAnsi="Times New Roman" w:cs="Times New Roman"/>
          <w:sz w:val="24"/>
          <w:szCs w:val="24"/>
        </w:rPr>
      </w:pPr>
    </w:p>
    <w:p w14:paraId="121E3372" w14:textId="77777777" w:rsidR="00600256" w:rsidRPr="00C33A5F" w:rsidRDefault="00600256" w:rsidP="00600256">
      <w:pPr>
        <w:spacing w:after="0" w:line="480" w:lineRule="auto"/>
        <w:rPr>
          <w:rFonts w:ascii="Times New Roman" w:hAnsi="Times New Roman" w:cs="Times New Roman"/>
          <w:sz w:val="24"/>
          <w:szCs w:val="24"/>
        </w:rPr>
      </w:pPr>
      <w:r>
        <w:rPr>
          <w:rFonts w:ascii="Times New Roman" w:hAnsi="Times New Roman" w:cs="Times New Roman"/>
          <w:sz w:val="24"/>
          <w:szCs w:val="24"/>
        </w:rPr>
        <w:t>31</w:t>
      </w:r>
      <w:r w:rsidR="00B60652">
        <w:rPr>
          <w:rFonts w:ascii="Times New Roman" w:hAnsi="Times New Roman" w:cs="Times New Roman"/>
          <w:sz w:val="24"/>
          <w:szCs w:val="24"/>
        </w:rPr>
        <w:t>.</w:t>
      </w:r>
      <w:r w:rsidRPr="00C33A5F">
        <w:rPr>
          <w:rFonts w:ascii="Times New Roman" w:hAnsi="Times New Roman" w:cs="Times New Roman"/>
          <w:sz w:val="24"/>
          <w:szCs w:val="24"/>
        </w:rPr>
        <w:t xml:space="preserve"> </w:t>
      </w:r>
      <w:proofErr w:type="spellStart"/>
      <w:r w:rsidRPr="00C33A5F">
        <w:rPr>
          <w:rFonts w:ascii="Times New Roman" w:hAnsi="Times New Roman" w:cs="Times New Roman"/>
          <w:sz w:val="24"/>
          <w:szCs w:val="24"/>
        </w:rPr>
        <w:t>Avenell</w:t>
      </w:r>
      <w:proofErr w:type="spellEnd"/>
      <w:r w:rsidRPr="00C33A5F">
        <w:rPr>
          <w:rFonts w:ascii="Times New Roman" w:hAnsi="Times New Roman" w:cs="Times New Roman"/>
          <w:sz w:val="24"/>
          <w:szCs w:val="24"/>
        </w:rPr>
        <w:t xml:space="preserve"> A, </w:t>
      </w:r>
      <w:proofErr w:type="spellStart"/>
      <w:r w:rsidRPr="00C33A5F">
        <w:rPr>
          <w:rFonts w:ascii="Times New Roman" w:hAnsi="Times New Roman" w:cs="Times New Roman"/>
          <w:sz w:val="24"/>
          <w:szCs w:val="24"/>
        </w:rPr>
        <w:t>Mak</w:t>
      </w:r>
      <w:proofErr w:type="spellEnd"/>
      <w:r w:rsidRPr="00C33A5F">
        <w:rPr>
          <w:rFonts w:ascii="Times New Roman" w:hAnsi="Times New Roman" w:cs="Times New Roman"/>
          <w:sz w:val="24"/>
          <w:szCs w:val="24"/>
        </w:rPr>
        <w:t xml:space="preserve"> JCS, O’Connell D. Vitamin D and vitamin D analogues for preventing fractures in post-menopausal women and older men. </w:t>
      </w:r>
      <w:r w:rsidRPr="00C33A5F">
        <w:rPr>
          <w:rFonts w:ascii="Times New Roman" w:hAnsi="Times New Roman" w:cs="Times New Roman"/>
          <w:i/>
          <w:sz w:val="24"/>
          <w:szCs w:val="24"/>
        </w:rPr>
        <w:t xml:space="preserve">Cochrane Database </w:t>
      </w:r>
      <w:proofErr w:type="spellStart"/>
      <w:r w:rsidRPr="00C33A5F">
        <w:rPr>
          <w:rFonts w:ascii="Times New Roman" w:hAnsi="Times New Roman" w:cs="Times New Roman"/>
          <w:i/>
          <w:sz w:val="24"/>
          <w:szCs w:val="24"/>
        </w:rPr>
        <w:t>Syst</w:t>
      </w:r>
      <w:proofErr w:type="spellEnd"/>
      <w:r w:rsidRPr="00C33A5F">
        <w:rPr>
          <w:rFonts w:ascii="Times New Roman" w:hAnsi="Times New Roman" w:cs="Times New Roman"/>
          <w:i/>
          <w:sz w:val="24"/>
          <w:szCs w:val="24"/>
        </w:rPr>
        <w:t xml:space="preserve"> Rev</w:t>
      </w:r>
      <w:r w:rsidRPr="00C33A5F">
        <w:rPr>
          <w:rFonts w:ascii="Times New Roman" w:hAnsi="Times New Roman" w:cs="Times New Roman"/>
          <w:sz w:val="24"/>
          <w:szCs w:val="24"/>
        </w:rPr>
        <w:t xml:space="preserve"> 2014; Issue 4. </w:t>
      </w:r>
      <w:proofErr w:type="spellStart"/>
      <w:r w:rsidRPr="00C33A5F">
        <w:rPr>
          <w:rFonts w:ascii="Times New Roman" w:hAnsi="Times New Roman" w:cs="Times New Roman"/>
          <w:sz w:val="24"/>
          <w:szCs w:val="24"/>
        </w:rPr>
        <w:t>Art.No</w:t>
      </w:r>
      <w:proofErr w:type="spellEnd"/>
      <w:r w:rsidRPr="00C33A5F">
        <w:rPr>
          <w:rFonts w:ascii="Times New Roman" w:hAnsi="Times New Roman" w:cs="Times New Roman"/>
          <w:sz w:val="24"/>
          <w:szCs w:val="24"/>
        </w:rPr>
        <w:t>.: CD000227. DOI: 10.1002/14651858.CD000227.pub4.</w:t>
      </w:r>
    </w:p>
    <w:p w14:paraId="2BA85D3B" w14:textId="77777777" w:rsidR="00600256" w:rsidRPr="00C33A5F" w:rsidRDefault="00600256" w:rsidP="00600256">
      <w:pPr>
        <w:spacing w:after="0" w:line="480" w:lineRule="auto"/>
        <w:jc w:val="both"/>
        <w:rPr>
          <w:rFonts w:ascii="Times New Roman" w:eastAsia="Calibri" w:hAnsi="Times New Roman" w:cs="Times New Roman"/>
          <w:sz w:val="24"/>
          <w:szCs w:val="24"/>
        </w:rPr>
      </w:pPr>
    </w:p>
    <w:p w14:paraId="750D587A" w14:textId="77777777" w:rsidR="00600256" w:rsidRPr="00C33A5F" w:rsidRDefault="00600256" w:rsidP="00600256">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sidR="00B60652">
        <w:rPr>
          <w:rFonts w:ascii="Times New Roman" w:eastAsia="Calibri" w:hAnsi="Times New Roman" w:cs="Times New Roman"/>
          <w:sz w:val="24"/>
          <w:szCs w:val="24"/>
        </w:rPr>
        <w:t>.</w:t>
      </w:r>
      <w:r w:rsidRPr="00C33A5F">
        <w:rPr>
          <w:rFonts w:ascii="Times New Roman" w:eastAsia="Calibri" w:hAnsi="Times New Roman" w:cs="Times New Roman"/>
          <w:sz w:val="24"/>
          <w:szCs w:val="24"/>
        </w:rPr>
        <w:t xml:space="preserve"> Newman M, </w:t>
      </w:r>
      <w:proofErr w:type="spellStart"/>
      <w:r w:rsidRPr="00C33A5F">
        <w:rPr>
          <w:rFonts w:ascii="Times New Roman" w:eastAsia="Calibri" w:hAnsi="Times New Roman" w:cs="Times New Roman"/>
          <w:sz w:val="24"/>
          <w:szCs w:val="24"/>
        </w:rPr>
        <w:t>Minns</w:t>
      </w:r>
      <w:proofErr w:type="spellEnd"/>
      <w:r w:rsidRPr="00C33A5F">
        <w:rPr>
          <w:rFonts w:ascii="Times New Roman" w:eastAsia="Calibri" w:hAnsi="Times New Roman" w:cs="Times New Roman"/>
          <w:sz w:val="24"/>
          <w:szCs w:val="24"/>
        </w:rPr>
        <w:t xml:space="preserve"> Lowe C, Barker K. Spinal orthoses for vertebral osteoporosis and osteoporotic vertebral fracture: A systematic review. </w:t>
      </w:r>
      <w:r w:rsidRPr="00C33A5F">
        <w:rPr>
          <w:rFonts w:ascii="Times New Roman" w:hAnsi="Times New Roman" w:cs="Times New Roman"/>
          <w:i/>
          <w:sz w:val="24"/>
          <w:szCs w:val="24"/>
        </w:rPr>
        <w:t xml:space="preserve">Arch Phys Med </w:t>
      </w:r>
      <w:proofErr w:type="spellStart"/>
      <w:r w:rsidRPr="00C33A5F">
        <w:rPr>
          <w:rFonts w:ascii="Times New Roman" w:hAnsi="Times New Roman" w:cs="Times New Roman"/>
          <w:i/>
          <w:sz w:val="24"/>
          <w:szCs w:val="24"/>
        </w:rPr>
        <w:t>Rehabil</w:t>
      </w:r>
      <w:proofErr w:type="spellEnd"/>
      <w:r w:rsidRPr="00C33A5F">
        <w:rPr>
          <w:rFonts w:ascii="Times New Roman" w:hAnsi="Times New Roman" w:cs="Times New Roman"/>
          <w:sz w:val="24"/>
          <w:szCs w:val="24"/>
        </w:rPr>
        <w:t xml:space="preserve"> 2016; </w:t>
      </w:r>
      <w:r>
        <w:rPr>
          <w:rFonts w:ascii="Times New Roman" w:eastAsia="Calibri" w:hAnsi="Times New Roman" w:cs="Times New Roman"/>
          <w:sz w:val="24"/>
          <w:szCs w:val="24"/>
        </w:rPr>
        <w:t>97:1013- </w:t>
      </w:r>
      <w:r w:rsidRPr="00C33A5F">
        <w:rPr>
          <w:rFonts w:ascii="Times New Roman" w:eastAsia="Calibri" w:hAnsi="Times New Roman" w:cs="Times New Roman"/>
          <w:sz w:val="24"/>
          <w:szCs w:val="24"/>
        </w:rPr>
        <w:t>25.</w:t>
      </w:r>
    </w:p>
    <w:p w14:paraId="1C083B6E" w14:textId="77777777" w:rsidR="00600256" w:rsidRPr="00C33A5F" w:rsidRDefault="00600256" w:rsidP="00600256">
      <w:pPr>
        <w:spacing w:after="0" w:line="480" w:lineRule="auto"/>
        <w:jc w:val="both"/>
        <w:rPr>
          <w:rFonts w:ascii="Times New Roman" w:eastAsia="Calibri" w:hAnsi="Times New Roman" w:cs="Times New Roman"/>
          <w:sz w:val="24"/>
          <w:szCs w:val="24"/>
        </w:rPr>
      </w:pPr>
    </w:p>
    <w:p w14:paraId="02DCAF3A" w14:textId="77777777" w:rsidR="00600256" w:rsidRPr="00C33A5F" w:rsidRDefault="00600256" w:rsidP="00600256">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00B60652">
        <w:rPr>
          <w:rFonts w:ascii="Times New Roman" w:eastAsia="Calibri" w:hAnsi="Times New Roman" w:cs="Times New Roman"/>
          <w:sz w:val="24"/>
          <w:szCs w:val="24"/>
        </w:rPr>
        <w:t>.</w:t>
      </w:r>
      <w:r w:rsidRPr="00C33A5F">
        <w:rPr>
          <w:rFonts w:ascii="Times New Roman" w:eastAsia="Calibri" w:hAnsi="Times New Roman" w:cs="Times New Roman"/>
          <w:sz w:val="24"/>
          <w:szCs w:val="24"/>
        </w:rPr>
        <w:t xml:space="preserve"> Ambrose AF, Cruz L, Paul G. Falls and fractures: a systematic approach to screening and prevention. </w:t>
      </w:r>
      <w:proofErr w:type="spellStart"/>
      <w:r w:rsidRPr="00C33A5F">
        <w:rPr>
          <w:rFonts w:ascii="Times New Roman" w:eastAsia="Calibri" w:hAnsi="Times New Roman" w:cs="Times New Roman"/>
          <w:i/>
          <w:sz w:val="24"/>
          <w:szCs w:val="24"/>
        </w:rPr>
        <w:t>Maturitas</w:t>
      </w:r>
      <w:proofErr w:type="spellEnd"/>
      <w:r w:rsidRPr="00C33A5F">
        <w:rPr>
          <w:rFonts w:ascii="Times New Roman" w:eastAsia="Calibri" w:hAnsi="Times New Roman" w:cs="Times New Roman"/>
          <w:sz w:val="24"/>
          <w:szCs w:val="24"/>
        </w:rPr>
        <w:t xml:space="preserve"> 2015; 82:85-93.</w:t>
      </w:r>
    </w:p>
    <w:p w14:paraId="673AE363" w14:textId="77777777" w:rsidR="00600256" w:rsidRPr="00C33A5F" w:rsidRDefault="00600256" w:rsidP="00600256">
      <w:pPr>
        <w:spacing w:after="0" w:line="480" w:lineRule="auto"/>
        <w:jc w:val="both"/>
        <w:rPr>
          <w:rFonts w:ascii="Times New Roman" w:eastAsia="Calibri" w:hAnsi="Times New Roman" w:cs="Times New Roman"/>
          <w:sz w:val="24"/>
          <w:szCs w:val="24"/>
        </w:rPr>
      </w:pPr>
    </w:p>
    <w:p w14:paraId="59324A52" w14:textId="77777777" w:rsidR="00600256" w:rsidRPr="008B435D" w:rsidRDefault="00600256" w:rsidP="00600256">
      <w:pPr>
        <w:spacing w:after="0" w:line="480" w:lineRule="auto"/>
        <w:jc w:val="both"/>
        <w:rPr>
          <w:rFonts w:ascii="Times New Roman" w:hAnsi="Times New Roman" w:cs="Times New Roman"/>
          <w:sz w:val="24"/>
          <w:szCs w:val="24"/>
          <w:lang w:val="de-AT"/>
        </w:rPr>
      </w:pPr>
      <w:r>
        <w:rPr>
          <w:rFonts w:ascii="Times New Roman" w:eastAsia="Calibri" w:hAnsi="Times New Roman" w:cs="Times New Roman"/>
          <w:sz w:val="24"/>
          <w:szCs w:val="24"/>
        </w:rPr>
        <w:t>34</w:t>
      </w:r>
      <w:r w:rsidR="00B60652">
        <w:rPr>
          <w:rFonts w:ascii="Times New Roman" w:eastAsia="Calibri" w:hAnsi="Times New Roman" w:cs="Times New Roman"/>
          <w:sz w:val="24"/>
          <w:szCs w:val="24"/>
        </w:rPr>
        <w:t>.</w:t>
      </w:r>
      <w:r w:rsidRPr="00C33A5F">
        <w:rPr>
          <w:rFonts w:ascii="Times New Roman" w:eastAsia="Calibri" w:hAnsi="Times New Roman" w:cs="Times New Roman"/>
          <w:sz w:val="24"/>
          <w:szCs w:val="24"/>
        </w:rPr>
        <w:t xml:space="preserve"> </w:t>
      </w:r>
      <w:proofErr w:type="spellStart"/>
      <w:r w:rsidRPr="00C33A5F">
        <w:rPr>
          <w:rFonts w:ascii="Times New Roman" w:hAnsi="Times New Roman" w:cs="Times New Roman"/>
          <w:sz w:val="24"/>
          <w:szCs w:val="24"/>
        </w:rPr>
        <w:t>Podsiadlo</w:t>
      </w:r>
      <w:proofErr w:type="spellEnd"/>
      <w:r w:rsidRPr="00C33A5F">
        <w:rPr>
          <w:rFonts w:ascii="Times New Roman" w:hAnsi="Times New Roman" w:cs="Times New Roman"/>
          <w:sz w:val="24"/>
          <w:szCs w:val="24"/>
        </w:rPr>
        <w:t xml:space="preserve"> D, Richardson S. The Timed “Up &amp; Go”: A test of basic functional mobility for frail elderly persons. </w:t>
      </w:r>
      <w:r w:rsidRPr="008B435D">
        <w:rPr>
          <w:rFonts w:ascii="Times New Roman" w:hAnsi="Times New Roman" w:cs="Times New Roman"/>
          <w:i/>
          <w:sz w:val="24"/>
          <w:szCs w:val="24"/>
          <w:lang w:val="de-AT"/>
        </w:rPr>
        <w:t>J Am Geriatr Soc</w:t>
      </w:r>
      <w:r w:rsidRPr="008B435D">
        <w:rPr>
          <w:rFonts w:ascii="Times New Roman" w:hAnsi="Times New Roman" w:cs="Times New Roman"/>
          <w:sz w:val="24"/>
          <w:szCs w:val="24"/>
          <w:lang w:val="de-AT"/>
        </w:rPr>
        <w:t xml:space="preserve"> 1991; 39:142-8.</w:t>
      </w:r>
    </w:p>
    <w:p w14:paraId="795A1835" w14:textId="77777777" w:rsidR="00600256" w:rsidRPr="008B435D" w:rsidRDefault="00600256" w:rsidP="00600256">
      <w:pPr>
        <w:spacing w:after="0" w:line="480" w:lineRule="auto"/>
        <w:jc w:val="both"/>
        <w:rPr>
          <w:rFonts w:ascii="Times New Roman" w:eastAsia="Calibri" w:hAnsi="Times New Roman" w:cs="Times New Roman"/>
          <w:sz w:val="24"/>
          <w:szCs w:val="24"/>
          <w:lang w:val="de-AT"/>
        </w:rPr>
      </w:pPr>
    </w:p>
    <w:p w14:paraId="105FA317" w14:textId="77777777" w:rsidR="00600256" w:rsidRPr="00C33A5F" w:rsidRDefault="00600256" w:rsidP="00600256">
      <w:pPr>
        <w:spacing w:after="0" w:line="480" w:lineRule="auto"/>
        <w:jc w:val="both"/>
        <w:rPr>
          <w:rFonts w:ascii="Times New Roman" w:eastAsia="Calibri" w:hAnsi="Times New Roman" w:cs="Times New Roman"/>
          <w:sz w:val="24"/>
          <w:szCs w:val="24"/>
        </w:rPr>
      </w:pPr>
      <w:r w:rsidRPr="008B435D">
        <w:rPr>
          <w:rFonts w:ascii="Times New Roman" w:eastAsia="Calibri" w:hAnsi="Times New Roman" w:cs="Times New Roman"/>
          <w:sz w:val="24"/>
          <w:szCs w:val="24"/>
          <w:lang w:val="de-AT"/>
        </w:rPr>
        <w:t>35</w:t>
      </w:r>
      <w:r w:rsidR="00B60652" w:rsidRPr="008B435D">
        <w:rPr>
          <w:rFonts w:ascii="Times New Roman" w:eastAsia="Calibri" w:hAnsi="Times New Roman" w:cs="Times New Roman"/>
          <w:sz w:val="24"/>
          <w:szCs w:val="24"/>
          <w:lang w:val="de-AT"/>
        </w:rPr>
        <w:t>.</w:t>
      </w:r>
      <w:r w:rsidRPr="008B435D">
        <w:rPr>
          <w:rFonts w:ascii="Times New Roman" w:eastAsia="Calibri" w:hAnsi="Times New Roman" w:cs="Times New Roman"/>
          <w:sz w:val="24"/>
          <w:szCs w:val="24"/>
          <w:lang w:val="de-AT"/>
        </w:rPr>
        <w:t xml:space="preserve"> Rossiter-Fornoff JE, Wolf SL, Wolfson LI, et al. </w:t>
      </w:r>
      <w:r w:rsidRPr="00C33A5F">
        <w:rPr>
          <w:rFonts w:ascii="Times New Roman" w:eastAsia="Calibri" w:hAnsi="Times New Roman" w:cs="Times New Roman"/>
          <w:sz w:val="24"/>
          <w:szCs w:val="24"/>
        </w:rPr>
        <w:t xml:space="preserve">A cross-sectional validation study of the FICSIT common data base static balance measures. </w:t>
      </w:r>
      <w:r w:rsidRPr="00C33A5F">
        <w:rPr>
          <w:rFonts w:ascii="Times New Roman" w:eastAsia="Calibri" w:hAnsi="Times New Roman" w:cs="Times New Roman"/>
          <w:i/>
          <w:sz w:val="24"/>
          <w:szCs w:val="24"/>
        </w:rPr>
        <w:t xml:space="preserve">J </w:t>
      </w:r>
      <w:proofErr w:type="spellStart"/>
      <w:r w:rsidRPr="00C33A5F">
        <w:rPr>
          <w:rFonts w:ascii="Times New Roman" w:eastAsia="Calibri" w:hAnsi="Times New Roman" w:cs="Times New Roman"/>
          <w:i/>
          <w:sz w:val="24"/>
          <w:szCs w:val="24"/>
        </w:rPr>
        <w:t>Gerontol</w:t>
      </w:r>
      <w:proofErr w:type="spellEnd"/>
      <w:r w:rsidRPr="00C33A5F">
        <w:rPr>
          <w:rFonts w:ascii="Times New Roman" w:eastAsia="Calibri" w:hAnsi="Times New Roman" w:cs="Times New Roman"/>
          <w:i/>
          <w:sz w:val="24"/>
          <w:szCs w:val="24"/>
        </w:rPr>
        <w:t xml:space="preserve"> </w:t>
      </w:r>
      <w:proofErr w:type="gramStart"/>
      <w:r w:rsidRPr="00C33A5F">
        <w:rPr>
          <w:rFonts w:ascii="Times New Roman" w:eastAsia="Calibri" w:hAnsi="Times New Roman" w:cs="Times New Roman"/>
          <w:i/>
          <w:sz w:val="24"/>
          <w:szCs w:val="24"/>
        </w:rPr>
        <w:t>A</w:t>
      </w:r>
      <w:proofErr w:type="gramEnd"/>
      <w:r w:rsidRPr="00C33A5F">
        <w:rPr>
          <w:rFonts w:ascii="Times New Roman" w:eastAsia="Calibri" w:hAnsi="Times New Roman" w:cs="Times New Roman"/>
          <w:i/>
          <w:sz w:val="24"/>
          <w:szCs w:val="24"/>
        </w:rPr>
        <w:t xml:space="preserve"> </w:t>
      </w:r>
      <w:proofErr w:type="spellStart"/>
      <w:r w:rsidRPr="00C33A5F">
        <w:rPr>
          <w:rFonts w:ascii="Times New Roman" w:eastAsia="Calibri" w:hAnsi="Times New Roman" w:cs="Times New Roman"/>
          <w:i/>
          <w:sz w:val="24"/>
          <w:szCs w:val="24"/>
        </w:rPr>
        <w:t>Biol</w:t>
      </w:r>
      <w:proofErr w:type="spellEnd"/>
      <w:r w:rsidRPr="00C33A5F">
        <w:rPr>
          <w:rFonts w:ascii="Times New Roman" w:eastAsia="Calibri" w:hAnsi="Times New Roman" w:cs="Times New Roman"/>
          <w:i/>
          <w:sz w:val="24"/>
          <w:szCs w:val="24"/>
        </w:rPr>
        <w:t xml:space="preserve"> Sci Med Sci</w:t>
      </w:r>
      <w:r w:rsidRPr="00C33A5F">
        <w:rPr>
          <w:rFonts w:ascii="Times New Roman" w:eastAsia="Calibri" w:hAnsi="Times New Roman" w:cs="Times New Roman"/>
          <w:sz w:val="24"/>
          <w:szCs w:val="24"/>
        </w:rPr>
        <w:t xml:space="preserve"> 1995; 50A:M291-7.</w:t>
      </w:r>
    </w:p>
    <w:p w14:paraId="40006A52" w14:textId="77777777" w:rsidR="00600256" w:rsidRPr="00C33A5F" w:rsidRDefault="00600256" w:rsidP="00600256">
      <w:pPr>
        <w:spacing w:after="0" w:line="480" w:lineRule="auto"/>
        <w:jc w:val="both"/>
        <w:rPr>
          <w:rFonts w:ascii="Times New Roman" w:eastAsia="Calibri" w:hAnsi="Times New Roman" w:cs="Times New Roman"/>
          <w:sz w:val="24"/>
          <w:szCs w:val="24"/>
        </w:rPr>
      </w:pPr>
    </w:p>
    <w:p w14:paraId="6AFB91C5" w14:textId="77777777" w:rsidR="00600256" w:rsidRPr="00C33A5F" w:rsidRDefault="00600256" w:rsidP="00600256">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w:t>
      </w:r>
      <w:r w:rsidR="00B60652">
        <w:rPr>
          <w:rFonts w:ascii="Times New Roman" w:eastAsia="Calibri" w:hAnsi="Times New Roman" w:cs="Times New Roman"/>
          <w:sz w:val="24"/>
          <w:szCs w:val="24"/>
        </w:rPr>
        <w:t>.</w:t>
      </w:r>
      <w:r w:rsidRPr="00C33A5F">
        <w:rPr>
          <w:rFonts w:ascii="Times New Roman" w:eastAsia="Calibri" w:hAnsi="Times New Roman" w:cs="Times New Roman"/>
          <w:sz w:val="24"/>
          <w:szCs w:val="24"/>
        </w:rPr>
        <w:t xml:space="preserve"> Paul SS, Canning CG. Five-repetition sit-to-stand.</w:t>
      </w:r>
      <w:r w:rsidRPr="00C33A5F">
        <w:rPr>
          <w:rFonts w:ascii="Times New Roman" w:eastAsia="Calibri" w:hAnsi="Times New Roman" w:cs="Times New Roman"/>
          <w:i/>
          <w:sz w:val="24"/>
          <w:szCs w:val="24"/>
        </w:rPr>
        <w:t xml:space="preserve"> J </w:t>
      </w:r>
      <w:proofErr w:type="spellStart"/>
      <w:r w:rsidRPr="00C33A5F">
        <w:rPr>
          <w:rFonts w:ascii="Times New Roman" w:eastAsia="Calibri" w:hAnsi="Times New Roman" w:cs="Times New Roman"/>
          <w:i/>
          <w:sz w:val="24"/>
          <w:szCs w:val="24"/>
        </w:rPr>
        <w:t>Physiother</w:t>
      </w:r>
      <w:proofErr w:type="spellEnd"/>
      <w:r w:rsidRPr="00C33A5F">
        <w:rPr>
          <w:rFonts w:ascii="Times New Roman" w:eastAsia="Calibri" w:hAnsi="Times New Roman" w:cs="Times New Roman"/>
          <w:sz w:val="24"/>
          <w:szCs w:val="24"/>
        </w:rPr>
        <w:t xml:space="preserve"> 2014; 60:168.</w:t>
      </w:r>
    </w:p>
    <w:p w14:paraId="5014256E" w14:textId="77777777" w:rsidR="00600256" w:rsidRPr="00C33A5F" w:rsidRDefault="00600256" w:rsidP="00600256">
      <w:pPr>
        <w:spacing w:after="0" w:line="480" w:lineRule="auto"/>
        <w:rPr>
          <w:rFonts w:ascii="Times New Roman" w:hAnsi="Times New Roman" w:cs="Times New Roman"/>
          <w:sz w:val="24"/>
          <w:szCs w:val="24"/>
        </w:rPr>
      </w:pPr>
    </w:p>
    <w:p w14:paraId="2FECD856" w14:textId="77777777" w:rsidR="00600256" w:rsidRPr="00C33A5F" w:rsidRDefault="00600256" w:rsidP="00600256">
      <w:pPr>
        <w:spacing w:after="0" w:line="480" w:lineRule="auto"/>
        <w:rPr>
          <w:rFonts w:ascii="Times New Roman" w:hAnsi="Times New Roman" w:cs="Times New Roman"/>
          <w:sz w:val="24"/>
          <w:szCs w:val="24"/>
        </w:rPr>
      </w:pPr>
      <w:r>
        <w:rPr>
          <w:rFonts w:ascii="Times New Roman" w:hAnsi="Times New Roman" w:cs="Times New Roman"/>
          <w:sz w:val="24"/>
          <w:szCs w:val="24"/>
        </w:rPr>
        <w:t>37</w:t>
      </w:r>
      <w:r w:rsidR="00B60652">
        <w:rPr>
          <w:rFonts w:ascii="Times New Roman" w:hAnsi="Times New Roman" w:cs="Times New Roman"/>
          <w:sz w:val="24"/>
          <w:szCs w:val="24"/>
        </w:rPr>
        <w:t>.</w:t>
      </w:r>
      <w:r w:rsidRPr="00C33A5F">
        <w:rPr>
          <w:rFonts w:ascii="Times New Roman" w:hAnsi="Times New Roman" w:cs="Times New Roman"/>
          <w:sz w:val="24"/>
          <w:szCs w:val="24"/>
        </w:rPr>
        <w:t xml:space="preserve"> Liu T, Sheng L, Huang Z. Influence of exercise intervention on pain, quality of life and functional mobility in patients with osteoporotic vertebral fractures: a systematic review and meta-analysis. </w:t>
      </w:r>
      <w:r w:rsidRPr="00C33A5F">
        <w:rPr>
          <w:rFonts w:ascii="Times New Roman" w:hAnsi="Times New Roman" w:cs="Times New Roman"/>
          <w:i/>
          <w:sz w:val="24"/>
          <w:szCs w:val="24"/>
        </w:rPr>
        <w:t>Int J Clin Exp Med</w:t>
      </w:r>
      <w:r w:rsidRPr="00C33A5F">
        <w:rPr>
          <w:rFonts w:ascii="Times New Roman" w:hAnsi="Times New Roman" w:cs="Times New Roman"/>
          <w:sz w:val="24"/>
          <w:szCs w:val="24"/>
        </w:rPr>
        <w:t xml:space="preserve"> 2017; 10:9864-70.</w:t>
      </w:r>
    </w:p>
    <w:p w14:paraId="2C3419E2" w14:textId="77777777" w:rsidR="00600256" w:rsidRPr="00C33A5F" w:rsidRDefault="00600256" w:rsidP="00600256">
      <w:pPr>
        <w:spacing w:after="0" w:line="480" w:lineRule="auto"/>
        <w:rPr>
          <w:rFonts w:ascii="Times New Roman" w:hAnsi="Times New Roman" w:cs="Times New Roman"/>
          <w:sz w:val="24"/>
          <w:szCs w:val="24"/>
        </w:rPr>
      </w:pPr>
    </w:p>
    <w:p w14:paraId="65D1C73E" w14:textId="77777777" w:rsidR="00600256" w:rsidRPr="00C33A5F" w:rsidRDefault="00600256" w:rsidP="00600256">
      <w:pPr>
        <w:spacing w:after="0" w:line="480" w:lineRule="auto"/>
        <w:jc w:val="both"/>
        <w:rPr>
          <w:rFonts w:ascii="Times New Roman" w:hAnsi="Times New Roman" w:cs="Times New Roman"/>
          <w:sz w:val="24"/>
          <w:szCs w:val="24"/>
        </w:rPr>
      </w:pPr>
      <w:r>
        <w:rPr>
          <w:rFonts w:ascii="Times New Roman" w:eastAsia="Calibri" w:hAnsi="Times New Roman" w:cs="Times New Roman"/>
          <w:sz w:val="24"/>
          <w:szCs w:val="24"/>
        </w:rPr>
        <w:t>38</w:t>
      </w:r>
      <w:r w:rsidR="00B60652">
        <w:rPr>
          <w:rFonts w:ascii="Times New Roman" w:eastAsia="Calibri" w:hAnsi="Times New Roman" w:cs="Times New Roman"/>
          <w:sz w:val="24"/>
          <w:szCs w:val="24"/>
        </w:rPr>
        <w:t>.</w:t>
      </w:r>
      <w:r w:rsidRPr="00C33A5F">
        <w:rPr>
          <w:rFonts w:ascii="Times New Roman" w:eastAsia="Calibri" w:hAnsi="Times New Roman" w:cs="Times New Roman"/>
          <w:sz w:val="24"/>
          <w:szCs w:val="24"/>
        </w:rPr>
        <w:t xml:space="preserve"> </w:t>
      </w:r>
      <w:proofErr w:type="spellStart"/>
      <w:r w:rsidRPr="00C33A5F">
        <w:rPr>
          <w:rFonts w:ascii="Times New Roman" w:eastAsia="Calibri" w:hAnsi="Times New Roman" w:cs="Times New Roman"/>
          <w:sz w:val="24"/>
          <w:szCs w:val="24"/>
        </w:rPr>
        <w:t>Mikó</w:t>
      </w:r>
      <w:proofErr w:type="spellEnd"/>
      <w:r w:rsidRPr="00C33A5F">
        <w:rPr>
          <w:rFonts w:ascii="Times New Roman" w:eastAsia="Calibri" w:hAnsi="Times New Roman" w:cs="Times New Roman"/>
          <w:sz w:val="24"/>
          <w:szCs w:val="24"/>
        </w:rPr>
        <w:t xml:space="preserve"> I, </w:t>
      </w:r>
      <w:proofErr w:type="spellStart"/>
      <w:r w:rsidRPr="00C33A5F">
        <w:rPr>
          <w:rFonts w:ascii="Times New Roman" w:eastAsia="Calibri" w:hAnsi="Times New Roman" w:cs="Times New Roman"/>
          <w:sz w:val="24"/>
          <w:szCs w:val="24"/>
        </w:rPr>
        <w:t>Szerb</w:t>
      </w:r>
      <w:proofErr w:type="spellEnd"/>
      <w:r w:rsidRPr="00C33A5F">
        <w:rPr>
          <w:rFonts w:ascii="Times New Roman" w:eastAsia="Calibri" w:hAnsi="Times New Roman" w:cs="Times New Roman"/>
          <w:sz w:val="24"/>
          <w:szCs w:val="24"/>
        </w:rPr>
        <w:t xml:space="preserve"> I, </w:t>
      </w:r>
      <w:proofErr w:type="spellStart"/>
      <w:r w:rsidRPr="00C33A5F">
        <w:rPr>
          <w:rFonts w:ascii="Times New Roman" w:hAnsi="Times New Roman" w:cs="Times New Roman"/>
          <w:sz w:val="24"/>
          <w:szCs w:val="24"/>
        </w:rPr>
        <w:t>Szerb</w:t>
      </w:r>
      <w:proofErr w:type="spellEnd"/>
      <w:r w:rsidRPr="00C33A5F">
        <w:rPr>
          <w:rFonts w:ascii="Times New Roman" w:hAnsi="Times New Roman" w:cs="Times New Roman"/>
          <w:sz w:val="24"/>
          <w:szCs w:val="24"/>
        </w:rPr>
        <w:t xml:space="preserve"> A, et al. Effectiveness of balance training programme in reducing the frequency of falling in established osteoporotic women: a randomized controlled trial. </w:t>
      </w:r>
      <w:r w:rsidRPr="00C33A5F">
        <w:rPr>
          <w:rFonts w:ascii="Times New Roman" w:hAnsi="Times New Roman" w:cs="Times New Roman"/>
          <w:i/>
          <w:sz w:val="24"/>
          <w:szCs w:val="24"/>
        </w:rPr>
        <w:t xml:space="preserve">Clin </w:t>
      </w:r>
      <w:proofErr w:type="spellStart"/>
      <w:r w:rsidRPr="00C33A5F">
        <w:rPr>
          <w:rFonts w:ascii="Times New Roman" w:hAnsi="Times New Roman" w:cs="Times New Roman"/>
          <w:i/>
          <w:sz w:val="24"/>
          <w:szCs w:val="24"/>
        </w:rPr>
        <w:t>Rehabil</w:t>
      </w:r>
      <w:proofErr w:type="spellEnd"/>
      <w:r w:rsidRPr="00C33A5F">
        <w:rPr>
          <w:rFonts w:ascii="Times New Roman" w:hAnsi="Times New Roman" w:cs="Times New Roman"/>
          <w:sz w:val="24"/>
          <w:szCs w:val="24"/>
        </w:rPr>
        <w:t xml:space="preserve"> 2017; 31:217-24.</w:t>
      </w:r>
    </w:p>
    <w:p w14:paraId="3BD5950D" w14:textId="77777777" w:rsidR="00600256" w:rsidRPr="00C33A5F" w:rsidRDefault="00600256" w:rsidP="00600256">
      <w:pPr>
        <w:spacing w:after="0" w:line="480" w:lineRule="auto"/>
        <w:rPr>
          <w:rFonts w:ascii="Times New Roman" w:hAnsi="Times New Roman" w:cs="Times New Roman"/>
          <w:sz w:val="24"/>
          <w:szCs w:val="24"/>
        </w:rPr>
      </w:pPr>
    </w:p>
    <w:p w14:paraId="0BC3F369" w14:textId="77777777" w:rsidR="00600256" w:rsidRPr="00C33A5F" w:rsidRDefault="00600256" w:rsidP="00600256">
      <w:pPr>
        <w:spacing w:after="0" w:line="480" w:lineRule="auto"/>
        <w:rPr>
          <w:rFonts w:ascii="Times New Roman" w:hAnsi="Times New Roman" w:cs="Times New Roman"/>
          <w:sz w:val="24"/>
          <w:szCs w:val="24"/>
        </w:rPr>
      </w:pPr>
      <w:r>
        <w:rPr>
          <w:rFonts w:ascii="Times New Roman" w:hAnsi="Times New Roman" w:cs="Times New Roman"/>
          <w:sz w:val="24"/>
          <w:szCs w:val="24"/>
        </w:rPr>
        <w:t>39</w:t>
      </w:r>
      <w:r w:rsidR="00B60652">
        <w:rPr>
          <w:rFonts w:ascii="Times New Roman" w:hAnsi="Times New Roman" w:cs="Times New Roman"/>
          <w:sz w:val="24"/>
          <w:szCs w:val="24"/>
        </w:rPr>
        <w:t>.</w:t>
      </w:r>
      <w:r w:rsidRPr="00C33A5F">
        <w:rPr>
          <w:rFonts w:ascii="Times New Roman" w:hAnsi="Times New Roman" w:cs="Times New Roman"/>
          <w:sz w:val="24"/>
          <w:szCs w:val="24"/>
        </w:rPr>
        <w:t xml:space="preserve"> </w:t>
      </w:r>
      <w:proofErr w:type="spellStart"/>
      <w:r w:rsidRPr="00C33A5F">
        <w:rPr>
          <w:rFonts w:ascii="Times New Roman" w:hAnsi="Times New Roman" w:cs="Times New Roman"/>
          <w:sz w:val="24"/>
          <w:szCs w:val="24"/>
        </w:rPr>
        <w:t>Diong</w:t>
      </w:r>
      <w:proofErr w:type="spellEnd"/>
      <w:r w:rsidRPr="00C33A5F">
        <w:rPr>
          <w:rFonts w:ascii="Times New Roman" w:hAnsi="Times New Roman" w:cs="Times New Roman"/>
          <w:sz w:val="24"/>
          <w:szCs w:val="24"/>
        </w:rPr>
        <w:t xml:space="preserve"> J, Allen N, Sherrington C. Structured exercise improved mobility after hip fracture: a meta-analysis with meta-regression. </w:t>
      </w:r>
      <w:r w:rsidRPr="00C33A5F">
        <w:rPr>
          <w:rFonts w:ascii="Times New Roman" w:hAnsi="Times New Roman" w:cs="Times New Roman"/>
          <w:i/>
          <w:sz w:val="24"/>
          <w:szCs w:val="24"/>
        </w:rPr>
        <w:t>Br J Sports Med</w:t>
      </w:r>
      <w:r w:rsidRPr="00C33A5F">
        <w:rPr>
          <w:rFonts w:ascii="Times New Roman" w:hAnsi="Times New Roman" w:cs="Times New Roman"/>
          <w:sz w:val="24"/>
          <w:szCs w:val="24"/>
        </w:rPr>
        <w:t xml:space="preserve"> 2016; 50:346-55.</w:t>
      </w:r>
    </w:p>
    <w:p w14:paraId="775DB4E5" w14:textId="77777777" w:rsidR="00600256" w:rsidRPr="00C33A5F" w:rsidRDefault="00600256" w:rsidP="00600256">
      <w:pPr>
        <w:spacing w:after="0" w:line="480" w:lineRule="auto"/>
        <w:rPr>
          <w:rFonts w:ascii="Times New Roman" w:hAnsi="Times New Roman" w:cs="Times New Roman"/>
          <w:sz w:val="24"/>
          <w:szCs w:val="24"/>
        </w:rPr>
      </w:pPr>
    </w:p>
    <w:p w14:paraId="60F1A668" w14:textId="77777777" w:rsidR="00600256" w:rsidRPr="006157A1" w:rsidRDefault="00600256" w:rsidP="00600256">
      <w:pPr>
        <w:spacing w:after="0" w:line="480" w:lineRule="auto"/>
        <w:rPr>
          <w:rStyle w:val="title-text"/>
          <w:rFonts w:ascii="Times New Roman" w:hAnsi="Times New Roman" w:cs="Times New Roman"/>
          <w:sz w:val="24"/>
          <w:szCs w:val="24"/>
          <w:lang w:val="de-AT"/>
        </w:rPr>
      </w:pPr>
      <w:r>
        <w:rPr>
          <w:rFonts w:ascii="Times New Roman" w:hAnsi="Times New Roman" w:cs="Times New Roman"/>
          <w:sz w:val="24"/>
          <w:szCs w:val="24"/>
        </w:rPr>
        <w:t>40</w:t>
      </w:r>
      <w:r w:rsidR="00B60652">
        <w:rPr>
          <w:rFonts w:ascii="Times New Roman" w:hAnsi="Times New Roman" w:cs="Times New Roman"/>
          <w:sz w:val="24"/>
          <w:szCs w:val="24"/>
        </w:rPr>
        <w:t>.</w:t>
      </w:r>
      <w:r w:rsidRPr="00C33A5F">
        <w:rPr>
          <w:rFonts w:ascii="Times New Roman" w:hAnsi="Times New Roman" w:cs="Times New Roman"/>
          <w:sz w:val="24"/>
          <w:szCs w:val="24"/>
        </w:rPr>
        <w:t xml:space="preserve"> </w:t>
      </w:r>
      <w:r w:rsidRPr="00C33A5F">
        <w:rPr>
          <w:rStyle w:val="title-text"/>
          <w:rFonts w:ascii="Times New Roman" w:hAnsi="Times New Roman" w:cs="Times New Roman"/>
          <w:sz w:val="24"/>
          <w:szCs w:val="24"/>
        </w:rPr>
        <w:t xml:space="preserve">Lee SY, Yoon BH, </w:t>
      </w:r>
      <w:proofErr w:type="spellStart"/>
      <w:r w:rsidRPr="00C33A5F">
        <w:rPr>
          <w:rStyle w:val="title-text"/>
          <w:rFonts w:ascii="Times New Roman" w:hAnsi="Times New Roman" w:cs="Times New Roman"/>
          <w:sz w:val="24"/>
          <w:szCs w:val="24"/>
        </w:rPr>
        <w:t>Beom</w:t>
      </w:r>
      <w:proofErr w:type="spellEnd"/>
      <w:r w:rsidRPr="00C33A5F">
        <w:rPr>
          <w:rStyle w:val="title-text"/>
          <w:rFonts w:ascii="Times New Roman" w:hAnsi="Times New Roman" w:cs="Times New Roman"/>
          <w:sz w:val="24"/>
          <w:szCs w:val="24"/>
        </w:rPr>
        <w:t xml:space="preserve"> J, et al. Effect of lower-limb progressive resistance exercise after hip fracture surgery: A systematic review and meta-analysis of randomized controlled studies. </w:t>
      </w:r>
      <w:r w:rsidRPr="006157A1">
        <w:rPr>
          <w:rStyle w:val="title-text"/>
          <w:rFonts w:ascii="Times New Roman" w:hAnsi="Times New Roman" w:cs="Times New Roman"/>
          <w:i/>
          <w:sz w:val="24"/>
          <w:szCs w:val="24"/>
          <w:lang w:val="de-AT"/>
        </w:rPr>
        <w:t xml:space="preserve">J Am Med Dir Assoc </w:t>
      </w:r>
      <w:r w:rsidRPr="006157A1">
        <w:rPr>
          <w:rStyle w:val="title-text"/>
          <w:rFonts w:ascii="Times New Roman" w:hAnsi="Times New Roman" w:cs="Times New Roman"/>
          <w:sz w:val="24"/>
          <w:szCs w:val="24"/>
          <w:lang w:val="de-AT"/>
        </w:rPr>
        <w:t>2017; 18:1096.e19-e26.</w:t>
      </w:r>
    </w:p>
    <w:p w14:paraId="3189CF4E" w14:textId="77777777" w:rsidR="00600256" w:rsidRPr="006157A1" w:rsidRDefault="00600256" w:rsidP="00600256">
      <w:pPr>
        <w:spacing w:after="0" w:line="480" w:lineRule="auto"/>
        <w:rPr>
          <w:rFonts w:ascii="Times New Roman" w:hAnsi="Times New Roman" w:cs="Times New Roman"/>
          <w:sz w:val="24"/>
          <w:szCs w:val="24"/>
          <w:lang w:val="de-AT"/>
        </w:rPr>
      </w:pPr>
    </w:p>
    <w:p w14:paraId="0EE2AFEA" w14:textId="77777777" w:rsidR="00600256" w:rsidRPr="00C33A5F" w:rsidRDefault="00600256" w:rsidP="00600256">
      <w:pPr>
        <w:spacing w:after="0" w:line="480" w:lineRule="auto"/>
        <w:jc w:val="both"/>
        <w:rPr>
          <w:rFonts w:ascii="Times New Roman" w:eastAsia="Calibri" w:hAnsi="Times New Roman" w:cs="Times New Roman"/>
          <w:sz w:val="24"/>
          <w:szCs w:val="24"/>
        </w:rPr>
      </w:pPr>
      <w:r w:rsidRPr="008B435D">
        <w:rPr>
          <w:rFonts w:ascii="Times New Roman" w:eastAsia="Calibri" w:hAnsi="Times New Roman" w:cs="Times New Roman"/>
          <w:sz w:val="24"/>
          <w:szCs w:val="24"/>
          <w:lang w:val="de-AT"/>
        </w:rPr>
        <w:lastRenderedPageBreak/>
        <w:t>41</w:t>
      </w:r>
      <w:r w:rsidR="00B60652" w:rsidRPr="008B435D">
        <w:rPr>
          <w:rFonts w:ascii="Times New Roman" w:eastAsia="Calibri" w:hAnsi="Times New Roman" w:cs="Times New Roman"/>
          <w:sz w:val="24"/>
          <w:szCs w:val="24"/>
          <w:lang w:val="de-AT"/>
        </w:rPr>
        <w:t>.</w:t>
      </w:r>
      <w:r w:rsidRPr="008B435D">
        <w:rPr>
          <w:rFonts w:ascii="Times New Roman" w:eastAsia="Calibri" w:hAnsi="Times New Roman" w:cs="Times New Roman"/>
          <w:sz w:val="24"/>
          <w:szCs w:val="24"/>
          <w:lang w:val="de-AT"/>
        </w:rPr>
        <w:t xml:space="preserve"> </w:t>
      </w:r>
      <w:r w:rsidRPr="008B435D">
        <w:rPr>
          <w:rFonts w:ascii="Times New Roman" w:hAnsi="Times New Roman" w:cs="Times New Roman"/>
          <w:sz w:val="24"/>
          <w:szCs w:val="24"/>
          <w:lang w:val="de-AT"/>
        </w:rPr>
        <w:t xml:space="preserve">Mak JCS, Mason RS, Klein L, et al. </w:t>
      </w:r>
      <w:r w:rsidRPr="00C33A5F">
        <w:rPr>
          <w:rFonts w:ascii="Times New Roman" w:hAnsi="Times New Roman" w:cs="Times New Roman"/>
          <w:sz w:val="24"/>
          <w:szCs w:val="24"/>
        </w:rPr>
        <w:t xml:space="preserve">An initial loading-dose vitamin D versus placebo after hip fracture surgery: randomized trial. </w:t>
      </w:r>
      <w:r w:rsidRPr="00C33A5F">
        <w:rPr>
          <w:rFonts w:ascii="Times New Roman" w:hAnsi="Times New Roman" w:cs="Times New Roman"/>
          <w:i/>
          <w:sz w:val="24"/>
          <w:szCs w:val="24"/>
        </w:rPr>
        <w:t xml:space="preserve">BMC Musculoskeletal </w:t>
      </w:r>
      <w:proofErr w:type="spellStart"/>
      <w:r w:rsidRPr="00C33A5F">
        <w:rPr>
          <w:rFonts w:ascii="Times New Roman" w:hAnsi="Times New Roman" w:cs="Times New Roman"/>
          <w:i/>
          <w:sz w:val="24"/>
          <w:szCs w:val="24"/>
        </w:rPr>
        <w:t>Disord</w:t>
      </w:r>
      <w:proofErr w:type="spellEnd"/>
      <w:r w:rsidRPr="00C33A5F">
        <w:rPr>
          <w:rFonts w:ascii="Times New Roman" w:hAnsi="Times New Roman" w:cs="Times New Roman"/>
          <w:i/>
          <w:sz w:val="24"/>
          <w:szCs w:val="24"/>
        </w:rPr>
        <w:t xml:space="preserve"> </w:t>
      </w:r>
      <w:r w:rsidRPr="00C33A5F">
        <w:rPr>
          <w:rFonts w:ascii="Times New Roman" w:hAnsi="Times New Roman" w:cs="Times New Roman"/>
          <w:sz w:val="24"/>
          <w:szCs w:val="24"/>
        </w:rPr>
        <w:t>2016; 17:336.</w:t>
      </w:r>
    </w:p>
    <w:p w14:paraId="29836FE9" w14:textId="77777777" w:rsidR="00600256" w:rsidRPr="00C33A5F" w:rsidRDefault="00600256" w:rsidP="00600256">
      <w:pPr>
        <w:spacing w:after="0" w:line="480" w:lineRule="auto"/>
        <w:rPr>
          <w:rFonts w:ascii="Times New Roman" w:hAnsi="Times New Roman" w:cs="Times New Roman"/>
          <w:sz w:val="24"/>
          <w:szCs w:val="24"/>
        </w:rPr>
      </w:pPr>
    </w:p>
    <w:p w14:paraId="3269178F" w14:textId="77777777" w:rsidR="00600256" w:rsidRPr="008B435D" w:rsidRDefault="00600256" w:rsidP="00600256">
      <w:pPr>
        <w:spacing w:after="0" w:line="480" w:lineRule="auto"/>
        <w:rPr>
          <w:rFonts w:ascii="Times New Roman" w:hAnsi="Times New Roman" w:cs="Times New Roman"/>
          <w:sz w:val="24"/>
          <w:szCs w:val="24"/>
          <w:lang w:val="de-AT"/>
        </w:rPr>
      </w:pPr>
      <w:r w:rsidRPr="00306C66">
        <w:rPr>
          <w:rFonts w:ascii="Times New Roman" w:hAnsi="Times New Roman" w:cs="Times New Roman"/>
          <w:sz w:val="24"/>
          <w:szCs w:val="24"/>
        </w:rPr>
        <w:t>42</w:t>
      </w:r>
      <w:r w:rsidR="00B60652" w:rsidRPr="00306C66">
        <w:rPr>
          <w:rFonts w:ascii="Times New Roman" w:hAnsi="Times New Roman" w:cs="Times New Roman"/>
          <w:sz w:val="24"/>
          <w:szCs w:val="24"/>
        </w:rPr>
        <w:t>.</w:t>
      </w:r>
      <w:r w:rsidRPr="00306C66">
        <w:rPr>
          <w:rFonts w:ascii="Times New Roman" w:hAnsi="Times New Roman" w:cs="Times New Roman"/>
          <w:sz w:val="24"/>
          <w:szCs w:val="24"/>
        </w:rPr>
        <w:t xml:space="preserve"> </w:t>
      </w:r>
      <w:proofErr w:type="spellStart"/>
      <w:r w:rsidRPr="00306C66">
        <w:rPr>
          <w:rFonts w:ascii="Times New Roman" w:hAnsi="Times New Roman" w:cs="Times New Roman"/>
          <w:sz w:val="24"/>
          <w:szCs w:val="24"/>
        </w:rPr>
        <w:t>Myint</w:t>
      </w:r>
      <w:proofErr w:type="spellEnd"/>
      <w:r w:rsidRPr="00306C66">
        <w:rPr>
          <w:rFonts w:ascii="Times New Roman" w:hAnsi="Times New Roman" w:cs="Times New Roman"/>
          <w:sz w:val="24"/>
          <w:szCs w:val="24"/>
        </w:rPr>
        <w:t xml:space="preserve"> MWW, Wu J, Wong E, et al. </w:t>
      </w:r>
      <w:r w:rsidRPr="00C33A5F">
        <w:rPr>
          <w:rFonts w:ascii="Times New Roman" w:hAnsi="Times New Roman" w:cs="Times New Roman"/>
          <w:sz w:val="24"/>
          <w:szCs w:val="24"/>
        </w:rPr>
        <w:t xml:space="preserve">Clinical benefits of oral nutritional supplementation for elderly hip fracture patients: a single blind randomised controlled trial. </w:t>
      </w:r>
      <w:r w:rsidRPr="008B435D">
        <w:rPr>
          <w:rFonts w:ascii="Times New Roman" w:hAnsi="Times New Roman" w:cs="Times New Roman"/>
          <w:i/>
          <w:iCs/>
          <w:sz w:val="24"/>
          <w:szCs w:val="24"/>
          <w:lang w:val="de-AT"/>
        </w:rPr>
        <w:t>Age Ageing</w:t>
      </w:r>
      <w:r w:rsidRPr="008B435D">
        <w:rPr>
          <w:rFonts w:ascii="Times New Roman" w:hAnsi="Times New Roman" w:cs="Times New Roman"/>
          <w:sz w:val="24"/>
          <w:szCs w:val="24"/>
          <w:lang w:val="de-AT"/>
        </w:rPr>
        <w:t xml:space="preserve"> 2013; 42:39-45</w:t>
      </w:r>
    </w:p>
    <w:p w14:paraId="04B9A198" w14:textId="77777777" w:rsidR="00600256" w:rsidRPr="008B435D" w:rsidRDefault="00600256" w:rsidP="00600256">
      <w:pPr>
        <w:spacing w:after="0" w:line="480" w:lineRule="auto"/>
        <w:jc w:val="both"/>
        <w:rPr>
          <w:rFonts w:ascii="Times New Roman" w:eastAsia="Calibri" w:hAnsi="Times New Roman" w:cs="Times New Roman"/>
          <w:sz w:val="24"/>
          <w:szCs w:val="24"/>
          <w:lang w:val="de-AT"/>
        </w:rPr>
      </w:pPr>
    </w:p>
    <w:p w14:paraId="6078F31F" w14:textId="77777777" w:rsidR="00600256" w:rsidRPr="00C33A5F" w:rsidRDefault="00600256" w:rsidP="00600256">
      <w:pPr>
        <w:spacing w:after="0" w:line="480" w:lineRule="auto"/>
        <w:rPr>
          <w:rFonts w:ascii="Times New Roman" w:hAnsi="Times New Roman" w:cs="Times New Roman"/>
          <w:sz w:val="24"/>
          <w:szCs w:val="24"/>
        </w:rPr>
      </w:pPr>
      <w:r w:rsidRPr="008B435D">
        <w:rPr>
          <w:rFonts w:ascii="Times New Roman" w:eastAsia="Calibri" w:hAnsi="Times New Roman" w:cs="Times New Roman"/>
          <w:sz w:val="24"/>
          <w:szCs w:val="24"/>
          <w:lang w:val="de-AT"/>
        </w:rPr>
        <w:t>43</w:t>
      </w:r>
      <w:r w:rsidR="00B60652" w:rsidRPr="008B435D">
        <w:rPr>
          <w:rFonts w:ascii="Times New Roman" w:eastAsia="Calibri" w:hAnsi="Times New Roman" w:cs="Times New Roman"/>
          <w:sz w:val="24"/>
          <w:szCs w:val="24"/>
          <w:lang w:val="de-AT"/>
        </w:rPr>
        <w:t>.</w:t>
      </w:r>
      <w:r w:rsidRPr="008B435D">
        <w:rPr>
          <w:rFonts w:ascii="Times New Roman" w:eastAsia="Calibri" w:hAnsi="Times New Roman" w:cs="Times New Roman"/>
          <w:sz w:val="24"/>
          <w:szCs w:val="24"/>
          <w:lang w:val="de-AT"/>
        </w:rPr>
        <w:t xml:space="preserve"> </w:t>
      </w:r>
      <w:r w:rsidRPr="008B435D">
        <w:rPr>
          <w:rFonts w:ascii="Times New Roman" w:hAnsi="Times New Roman" w:cs="Times New Roman"/>
          <w:sz w:val="24"/>
          <w:szCs w:val="24"/>
          <w:lang w:val="de-AT"/>
        </w:rPr>
        <w:t xml:space="preserve">Visschedijk J, Achterberg W, van Balen R, et al. </w:t>
      </w:r>
      <w:r w:rsidRPr="00C33A5F">
        <w:rPr>
          <w:rFonts w:ascii="Times New Roman" w:hAnsi="Times New Roman" w:cs="Times New Roman"/>
          <w:sz w:val="24"/>
          <w:szCs w:val="24"/>
        </w:rPr>
        <w:t xml:space="preserve">Fear of falling after hip fracture: a systematic review of measurement instruments, prevalence, interventions, and related factors. </w:t>
      </w:r>
      <w:r w:rsidRPr="00C33A5F">
        <w:rPr>
          <w:rFonts w:ascii="Times New Roman" w:hAnsi="Times New Roman" w:cs="Times New Roman"/>
          <w:i/>
          <w:sz w:val="24"/>
          <w:szCs w:val="24"/>
        </w:rPr>
        <w:t xml:space="preserve">J Am </w:t>
      </w:r>
      <w:proofErr w:type="spellStart"/>
      <w:r w:rsidRPr="00C33A5F">
        <w:rPr>
          <w:rFonts w:ascii="Times New Roman" w:hAnsi="Times New Roman" w:cs="Times New Roman"/>
          <w:i/>
          <w:sz w:val="24"/>
          <w:szCs w:val="24"/>
        </w:rPr>
        <w:t>Geriatr</w:t>
      </w:r>
      <w:proofErr w:type="spellEnd"/>
      <w:r w:rsidRPr="00C33A5F">
        <w:rPr>
          <w:rFonts w:ascii="Times New Roman" w:hAnsi="Times New Roman" w:cs="Times New Roman"/>
          <w:i/>
          <w:sz w:val="24"/>
          <w:szCs w:val="24"/>
        </w:rPr>
        <w:t xml:space="preserve"> Soc</w:t>
      </w:r>
      <w:r w:rsidRPr="00C33A5F">
        <w:rPr>
          <w:rFonts w:ascii="Times New Roman" w:hAnsi="Times New Roman" w:cs="Times New Roman"/>
          <w:sz w:val="24"/>
          <w:szCs w:val="24"/>
        </w:rPr>
        <w:t xml:space="preserve"> 2010; 58:1739-48.</w:t>
      </w:r>
    </w:p>
    <w:p w14:paraId="1B13E13A" w14:textId="77777777" w:rsidR="00600256" w:rsidRPr="00C33A5F" w:rsidRDefault="00600256" w:rsidP="00600256">
      <w:pPr>
        <w:spacing w:after="0" w:line="480" w:lineRule="auto"/>
        <w:jc w:val="both"/>
        <w:rPr>
          <w:rFonts w:ascii="Times New Roman" w:eastAsia="Calibri" w:hAnsi="Times New Roman" w:cs="Times New Roman"/>
          <w:sz w:val="24"/>
          <w:szCs w:val="24"/>
        </w:rPr>
      </w:pPr>
    </w:p>
    <w:p w14:paraId="64B4364D" w14:textId="77777777" w:rsidR="00600256" w:rsidRPr="00C33A5F" w:rsidRDefault="00600256" w:rsidP="00600256">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sidR="00B60652">
        <w:rPr>
          <w:rFonts w:ascii="Times New Roman" w:eastAsia="Calibri" w:hAnsi="Times New Roman" w:cs="Times New Roman"/>
          <w:sz w:val="24"/>
          <w:szCs w:val="24"/>
        </w:rPr>
        <w:t>.</w:t>
      </w:r>
      <w:r w:rsidRPr="00C33A5F">
        <w:rPr>
          <w:rFonts w:ascii="Times New Roman" w:eastAsia="Calibri" w:hAnsi="Times New Roman" w:cs="Times New Roman"/>
          <w:sz w:val="24"/>
          <w:szCs w:val="24"/>
        </w:rPr>
        <w:t xml:space="preserve"> Tinetti ME, Richman D, Powell L. Falls efficacy as </w:t>
      </w:r>
      <w:proofErr w:type="gramStart"/>
      <w:r w:rsidRPr="00C33A5F">
        <w:rPr>
          <w:rFonts w:ascii="Times New Roman" w:eastAsia="Calibri" w:hAnsi="Times New Roman" w:cs="Times New Roman"/>
          <w:sz w:val="24"/>
          <w:szCs w:val="24"/>
        </w:rPr>
        <w:t>an</w:t>
      </w:r>
      <w:proofErr w:type="gramEnd"/>
      <w:r w:rsidRPr="00C33A5F">
        <w:rPr>
          <w:rFonts w:ascii="Times New Roman" w:eastAsia="Calibri" w:hAnsi="Times New Roman" w:cs="Times New Roman"/>
          <w:sz w:val="24"/>
          <w:szCs w:val="24"/>
        </w:rPr>
        <w:t xml:space="preserve"> measure of fear of falling. </w:t>
      </w:r>
      <w:r w:rsidRPr="00C33A5F">
        <w:rPr>
          <w:rFonts w:ascii="Times New Roman" w:eastAsia="Calibri" w:hAnsi="Times New Roman" w:cs="Times New Roman"/>
          <w:i/>
          <w:sz w:val="24"/>
          <w:szCs w:val="24"/>
        </w:rPr>
        <w:t xml:space="preserve">J </w:t>
      </w:r>
      <w:proofErr w:type="spellStart"/>
      <w:r w:rsidRPr="00C33A5F">
        <w:rPr>
          <w:rFonts w:ascii="Times New Roman" w:eastAsia="Calibri" w:hAnsi="Times New Roman" w:cs="Times New Roman"/>
          <w:i/>
          <w:sz w:val="24"/>
          <w:szCs w:val="24"/>
        </w:rPr>
        <w:t>Gerontol</w:t>
      </w:r>
      <w:proofErr w:type="spellEnd"/>
      <w:r w:rsidRPr="00C33A5F">
        <w:rPr>
          <w:rFonts w:ascii="Times New Roman" w:eastAsia="Calibri" w:hAnsi="Times New Roman" w:cs="Times New Roman"/>
          <w:sz w:val="24"/>
          <w:szCs w:val="24"/>
        </w:rPr>
        <w:t xml:space="preserve"> 1990; 45:239-43.</w:t>
      </w:r>
    </w:p>
    <w:p w14:paraId="709405B5" w14:textId="77777777" w:rsidR="00600256" w:rsidRPr="00C33A5F" w:rsidRDefault="00600256" w:rsidP="00600256">
      <w:pPr>
        <w:spacing w:after="0" w:line="480" w:lineRule="auto"/>
        <w:jc w:val="both"/>
        <w:rPr>
          <w:rFonts w:ascii="Times New Roman" w:eastAsia="Calibri" w:hAnsi="Times New Roman" w:cs="Times New Roman"/>
          <w:sz w:val="24"/>
          <w:szCs w:val="24"/>
        </w:rPr>
      </w:pPr>
    </w:p>
    <w:p w14:paraId="79ABD382" w14:textId="77777777" w:rsidR="00600256" w:rsidRPr="008B435D" w:rsidRDefault="00600256" w:rsidP="00600256">
      <w:pPr>
        <w:spacing w:after="0" w:line="480" w:lineRule="auto"/>
        <w:jc w:val="both"/>
        <w:rPr>
          <w:rFonts w:ascii="Times New Roman" w:eastAsia="Calibri" w:hAnsi="Times New Roman" w:cs="Times New Roman"/>
          <w:sz w:val="24"/>
          <w:szCs w:val="24"/>
          <w:lang w:val="de-AT"/>
        </w:rPr>
      </w:pPr>
      <w:r>
        <w:rPr>
          <w:rFonts w:ascii="Times New Roman" w:eastAsia="Calibri" w:hAnsi="Times New Roman" w:cs="Times New Roman"/>
          <w:sz w:val="24"/>
          <w:szCs w:val="24"/>
        </w:rPr>
        <w:t>45</w:t>
      </w:r>
      <w:r w:rsidR="00B60652">
        <w:rPr>
          <w:rFonts w:ascii="Times New Roman" w:eastAsia="Calibri" w:hAnsi="Times New Roman" w:cs="Times New Roman"/>
          <w:sz w:val="24"/>
          <w:szCs w:val="24"/>
        </w:rPr>
        <w:t>.</w:t>
      </w:r>
      <w:r w:rsidRPr="00C33A5F">
        <w:rPr>
          <w:rFonts w:ascii="Times New Roman" w:eastAsia="Calibri" w:hAnsi="Times New Roman" w:cs="Times New Roman"/>
          <w:sz w:val="24"/>
          <w:szCs w:val="24"/>
        </w:rPr>
        <w:t xml:space="preserve"> </w:t>
      </w:r>
      <w:proofErr w:type="spellStart"/>
      <w:r w:rsidRPr="00C33A5F">
        <w:rPr>
          <w:rFonts w:ascii="Times New Roman" w:eastAsia="Calibri" w:hAnsi="Times New Roman" w:cs="Times New Roman"/>
          <w:sz w:val="24"/>
          <w:szCs w:val="24"/>
        </w:rPr>
        <w:t>Hellström</w:t>
      </w:r>
      <w:proofErr w:type="spellEnd"/>
      <w:r w:rsidRPr="00C33A5F">
        <w:rPr>
          <w:rFonts w:ascii="Times New Roman" w:eastAsia="Calibri" w:hAnsi="Times New Roman" w:cs="Times New Roman"/>
          <w:sz w:val="24"/>
          <w:szCs w:val="24"/>
        </w:rPr>
        <w:t xml:space="preserve"> K, Lindmark B. Fear of falling in patients with a stroke: A reliability study. </w:t>
      </w:r>
      <w:r w:rsidRPr="008B435D">
        <w:rPr>
          <w:rFonts w:ascii="Times New Roman" w:eastAsia="Calibri" w:hAnsi="Times New Roman" w:cs="Times New Roman"/>
          <w:i/>
          <w:sz w:val="24"/>
          <w:szCs w:val="24"/>
          <w:lang w:val="de-AT"/>
        </w:rPr>
        <w:t xml:space="preserve">Clin Rehabil </w:t>
      </w:r>
      <w:r w:rsidRPr="008B435D">
        <w:rPr>
          <w:rFonts w:ascii="Times New Roman" w:eastAsia="Calibri" w:hAnsi="Times New Roman" w:cs="Times New Roman"/>
          <w:sz w:val="24"/>
          <w:szCs w:val="24"/>
          <w:lang w:val="de-AT"/>
        </w:rPr>
        <w:t>1999; 13:509-17.</w:t>
      </w:r>
    </w:p>
    <w:p w14:paraId="4FDE0BA6" w14:textId="77777777" w:rsidR="00600256" w:rsidRPr="008B435D" w:rsidRDefault="00600256" w:rsidP="00600256">
      <w:pPr>
        <w:spacing w:after="0" w:line="480" w:lineRule="auto"/>
        <w:jc w:val="both"/>
        <w:rPr>
          <w:rFonts w:ascii="Times New Roman" w:eastAsia="Calibri" w:hAnsi="Times New Roman" w:cs="Times New Roman"/>
          <w:sz w:val="24"/>
          <w:szCs w:val="24"/>
          <w:lang w:val="de-AT"/>
        </w:rPr>
      </w:pPr>
    </w:p>
    <w:p w14:paraId="1471CF07" w14:textId="77777777" w:rsidR="00600256" w:rsidRPr="00C33A5F" w:rsidRDefault="00600256" w:rsidP="00600256">
      <w:pPr>
        <w:spacing w:after="0" w:line="480" w:lineRule="auto"/>
        <w:rPr>
          <w:rFonts w:ascii="Times New Roman" w:hAnsi="Times New Roman" w:cs="Times New Roman"/>
          <w:sz w:val="24"/>
          <w:szCs w:val="24"/>
        </w:rPr>
      </w:pPr>
      <w:r w:rsidRPr="008B435D">
        <w:rPr>
          <w:rFonts w:ascii="Times New Roman" w:eastAsia="Calibri" w:hAnsi="Times New Roman" w:cs="Times New Roman"/>
          <w:sz w:val="24"/>
          <w:szCs w:val="24"/>
          <w:lang w:val="de-AT"/>
        </w:rPr>
        <w:t>46</w:t>
      </w:r>
      <w:r w:rsidR="00B60652" w:rsidRPr="008B435D">
        <w:rPr>
          <w:rFonts w:ascii="Times New Roman" w:eastAsia="Calibri" w:hAnsi="Times New Roman" w:cs="Times New Roman"/>
          <w:sz w:val="24"/>
          <w:szCs w:val="24"/>
          <w:lang w:val="de-AT"/>
        </w:rPr>
        <w:t>.</w:t>
      </w:r>
      <w:r w:rsidRPr="008B435D">
        <w:rPr>
          <w:rFonts w:ascii="Times New Roman" w:eastAsia="Calibri" w:hAnsi="Times New Roman" w:cs="Times New Roman"/>
          <w:sz w:val="24"/>
          <w:szCs w:val="24"/>
          <w:lang w:val="de-AT"/>
        </w:rPr>
        <w:t xml:space="preserve"> </w:t>
      </w:r>
      <w:r w:rsidRPr="008B435D">
        <w:rPr>
          <w:rFonts w:ascii="Times New Roman" w:hAnsi="Times New Roman" w:cs="Times New Roman"/>
          <w:sz w:val="24"/>
          <w:szCs w:val="24"/>
          <w:lang w:val="de-AT"/>
        </w:rPr>
        <w:t xml:space="preserve">Di Monaco M, De Toma E, Gardin L, et al. </w:t>
      </w:r>
      <w:r w:rsidRPr="00C33A5F">
        <w:rPr>
          <w:rFonts w:ascii="Times New Roman" w:hAnsi="Times New Roman" w:cs="Times New Roman"/>
          <w:sz w:val="24"/>
          <w:szCs w:val="24"/>
        </w:rPr>
        <w:t xml:space="preserve">A single </w:t>
      </w:r>
      <w:proofErr w:type="spellStart"/>
      <w:r w:rsidRPr="00C33A5F">
        <w:rPr>
          <w:rFonts w:ascii="Times New Roman" w:hAnsi="Times New Roman" w:cs="Times New Roman"/>
          <w:sz w:val="24"/>
          <w:szCs w:val="24"/>
        </w:rPr>
        <w:t>postdischarge</w:t>
      </w:r>
      <w:proofErr w:type="spellEnd"/>
      <w:r w:rsidRPr="00C33A5F">
        <w:rPr>
          <w:rFonts w:ascii="Times New Roman" w:hAnsi="Times New Roman" w:cs="Times New Roman"/>
          <w:sz w:val="24"/>
          <w:szCs w:val="24"/>
        </w:rPr>
        <w:t xml:space="preserve"> telephone call by an occupational therapist does not reduce the risk of falling in women after hip fracture: a randomized controlled trial. </w:t>
      </w:r>
      <w:r w:rsidRPr="00C33A5F">
        <w:rPr>
          <w:rFonts w:ascii="Times New Roman" w:hAnsi="Times New Roman" w:cs="Times New Roman"/>
          <w:i/>
          <w:sz w:val="24"/>
          <w:szCs w:val="24"/>
        </w:rPr>
        <w:t xml:space="preserve">Eur J Phys </w:t>
      </w:r>
      <w:proofErr w:type="spellStart"/>
      <w:r w:rsidRPr="00C33A5F">
        <w:rPr>
          <w:rFonts w:ascii="Times New Roman" w:hAnsi="Times New Roman" w:cs="Times New Roman"/>
          <w:i/>
          <w:sz w:val="24"/>
          <w:szCs w:val="24"/>
        </w:rPr>
        <w:t>Rehabil</w:t>
      </w:r>
      <w:proofErr w:type="spellEnd"/>
      <w:r w:rsidRPr="00C33A5F">
        <w:rPr>
          <w:rFonts w:ascii="Times New Roman" w:hAnsi="Times New Roman" w:cs="Times New Roman"/>
          <w:i/>
          <w:sz w:val="24"/>
          <w:szCs w:val="24"/>
        </w:rPr>
        <w:t xml:space="preserve"> Med</w:t>
      </w:r>
      <w:r w:rsidRPr="00C33A5F">
        <w:rPr>
          <w:rFonts w:ascii="Times New Roman" w:hAnsi="Times New Roman" w:cs="Times New Roman"/>
          <w:sz w:val="24"/>
          <w:szCs w:val="24"/>
        </w:rPr>
        <w:t xml:space="preserve"> 2015; 51:15-22.</w:t>
      </w:r>
    </w:p>
    <w:p w14:paraId="6D1FEC59" w14:textId="77777777" w:rsidR="00600256" w:rsidRPr="00C33A5F" w:rsidRDefault="00600256" w:rsidP="00600256">
      <w:pPr>
        <w:spacing w:after="0" w:line="480" w:lineRule="auto"/>
        <w:jc w:val="both"/>
        <w:rPr>
          <w:rFonts w:ascii="Times New Roman" w:eastAsia="Calibri" w:hAnsi="Times New Roman" w:cs="Times New Roman"/>
          <w:sz w:val="24"/>
          <w:szCs w:val="24"/>
        </w:rPr>
      </w:pPr>
    </w:p>
    <w:p w14:paraId="7CBB03FF" w14:textId="77777777" w:rsidR="00600256" w:rsidRPr="00C33A5F" w:rsidRDefault="00600256" w:rsidP="00600256">
      <w:pPr>
        <w:spacing w:after="0" w:line="480" w:lineRule="auto"/>
        <w:rPr>
          <w:rFonts w:ascii="Times New Roman" w:hAnsi="Times New Roman" w:cs="Times New Roman"/>
          <w:sz w:val="24"/>
          <w:szCs w:val="24"/>
        </w:rPr>
      </w:pPr>
      <w:r>
        <w:rPr>
          <w:rFonts w:ascii="Times New Roman" w:eastAsia="Calibri" w:hAnsi="Times New Roman" w:cs="Times New Roman"/>
          <w:sz w:val="24"/>
          <w:szCs w:val="24"/>
        </w:rPr>
        <w:t>47</w:t>
      </w:r>
      <w:r w:rsidR="00B60652">
        <w:rPr>
          <w:rFonts w:ascii="Times New Roman" w:eastAsia="Calibri" w:hAnsi="Times New Roman" w:cs="Times New Roman"/>
          <w:sz w:val="24"/>
          <w:szCs w:val="24"/>
        </w:rPr>
        <w:t>.</w:t>
      </w:r>
      <w:r w:rsidRPr="00C33A5F">
        <w:rPr>
          <w:rFonts w:ascii="Times New Roman" w:eastAsia="Calibri" w:hAnsi="Times New Roman" w:cs="Times New Roman"/>
          <w:sz w:val="24"/>
          <w:szCs w:val="24"/>
        </w:rPr>
        <w:t xml:space="preserve"> </w:t>
      </w:r>
      <w:r w:rsidRPr="00C33A5F">
        <w:rPr>
          <w:rFonts w:ascii="Times New Roman" w:hAnsi="Times New Roman" w:cs="Times New Roman"/>
          <w:sz w:val="24"/>
          <w:szCs w:val="24"/>
        </w:rPr>
        <w:t xml:space="preserve">Di Monaco M, </w:t>
      </w:r>
      <w:proofErr w:type="spellStart"/>
      <w:r w:rsidRPr="00C33A5F">
        <w:rPr>
          <w:rFonts w:ascii="Times New Roman" w:hAnsi="Times New Roman" w:cs="Times New Roman"/>
          <w:sz w:val="24"/>
          <w:szCs w:val="24"/>
        </w:rPr>
        <w:t>Vallero</w:t>
      </w:r>
      <w:proofErr w:type="spellEnd"/>
      <w:r w:rsidRPr="00C33A5F">
        <w:rPr>
          <w:rFonts w:ascii="Times New Roman" w:hAnsi="Times New Roman" w:cs="Times New Roman"/>
          <w:sz w:val="24"/>
          <w:szCs w:val="24"/>
        </w:rPr>
        <w:t xml:space="preserve"> F, De Toma E, et al. A single home visit by an occupational therapist reduces the risk of falling after hip fracture in elderly women: a quasi-randomised controlled trial. </w:t>
      </w:r>
      <w:r w:rsidRPr="00C33A5F">
        <w:rPr>
          <w:rFonts w:ascii="Times New Roman" w:hAnsi="Times New Roman" w:cs="Times New Roman"/>
          <w:i/>
          <w:sz w:val="24"/>
          <w:szCs w:val="24"/>
        </w:rPr>
        <w:t xml:space="preserve">J </w:t>
      </w:r>
      <w:proofErr w:type="spellStart"/>
      <w:r w:rsidRPr="00C33A5F">
        <w:rPr>
          <w:rFonts w:ascii="Times New Roman" w:hAnsi="Times New Roman" w:cs="Times New Roman"/>
          <w:i/>
          <w:sz w:val="24"/>
          <w:szCs w:val="24"/>
        </w:rPr>
        <w:t>Rehabil</w:t>
      </w:r>
      <w:proofErr w:type="spellEnd"/>
      <w:r w:rsidRPr="00C33A5F">
        <w:rPr>
          <w:rFonts w:ascii="Times New Roman" w:hAnsi="Times New Roman" w:cs="Times New Roman"/>
          <w:i/>
          <w:sz w:val="24"/>
          <w:szCs w:val="24"/>
        </w:rPr>
        <w:t xml:space="preserve"> Med</w:t>
      </w:r>
      <w:r w:rsidRPr="00C33A5F">
        <w:rPr>
          <w:rFonts w:ascii="Times New Roman" w:hAnsi="Times New Roman" w:cs="Times New Roman"/>
          <w:sz w:val="24"/>
          <w:szCs w:val="24"/>
        </w:rPr>
        <w:t xml:space="preserve"> 2008; 40:446-50.</w:t>
      </w:r>
    </w:p>
    <w:p w14:paraId="2D953C9B" w14:textId="77777777" w:rsidR="00600256" w:rsidRPr="00C33A5F" w:rsidRDefault="00600256" w:rsidP="00600256">
      <w:pPr>
        <w:spacing w:after="0" w:line="480" w:lineRule="auto"/>
        <w:jc w:val="both"/>
        <w:rPr>
          <w:rFonts w:ascii="Times New Roman" w:eastAsia="Calibri" w:hAnsi="Times New Roman" w:cs="Times New Roman"/>
          <w:sz w:val="24"/>
          <w:szCs w:val="24"/>
        </w:rPr>
      </w:pPr>
    </w:p>
    <w:p w14:paraId="5142E099" w14:textId="77777777" w:rsidR="00600256" w:rsidRPr="00306C66" w:rsidRDefault="00600256" w:rsidP="00600256">
      <w:pPr>
        <w:spacing w:after="0" w:line="480" w:lineRule="auto"/>
        <w:rPr>
          <w:rFonts w:ascii="Times New Roman" w:hAnsi="Times New Roman" w:cs="Times New Roman"/>
          <w:sz w:val="24"/>
          <w:szCs w:val="24"/>
          <w:lang w:val="de-AT"/>
        </w:rPr>
      </w:pPr>
      <w:r>
        <w:rPr>
          <w:rFonts w:ascii="Times New Roman" w:eastAsia="Calibri" w:hAnsi="Times New Roman" w:cs="Times New Roman"/>
          <w:sz w:val="24"/>
          <w:szCs w:val="24"/>
        </w:rPr>
        <w:lastRenderedPageBreak/>
        <w:t>48</w:t>
      </w:r>
      <w:r w:rsidR="00B60652">
        <w:rPr>
          <w:rFonts w:ascii="Times New Roman" w:eastAsia="Calibri" w:hAnsi="Times New Roman" w:cs="Times New Roman"/>
          <w:sz w:val="24"/>
          <w:szCs w:val="24"/>
        </w:rPr>
        <w:t>.</w:t>
      </w:r>
      <w:r w:rsidRPr="00C33A5F">
        <w:rPr>
          <w:rFonts w:ascii="Times New Roman" w:hAnsi="Times New Roman" w:cs="Times New Roman"/>
          <w:sz w:val="24"/>
          <w:szCs w:val="24"/>
        </w:rPr>
        <w:t xml:space="preserve"> Berggren M, </w:t>
      </w:r>
      <w:proofErr w:type="spellStart"/>
      <w:r w:rsidRPr="00C33A5F">
        <w:rPr>
          <w:rFonts w:ascii="Times New Roman" w:hAnsi="Times New Roman" w:cs="Times New Roman"/>
          <w:sz w:val="24"/>
          <w:szCs w:val="24"/>
        </w:rPr>
        <w:t>Stenvall</w:t>
      </w:r>
      <w:proofErr w:type="spellEnd"/>
      <w:r w:rsidRPr="00C33A5F">
        <w:rPr>
          <w:rFonts w:ascii="Times New Roman" w:hAnsi="Times New Roman" w:cs="Times New Roman"/>
          <w:sz w:val="24"/>
          <w:szCs w:val="24"/>
        </w:rPr>
        <w:t xml:space="preserve"> M, </w:t>
      </w:r>
      <w:proofErr w:type="spellStart"/>
      <w:r w:rsidRPr="00C33A5F">
        <w:rPr>
          <w:rFonts w:ascii="Times New Roman" w:hAnsi="Times New Roman" w:cs="Times New Roman"/>
          <w:sz w:val="24"/>
          <w:szCs w:val="24"/>
        </w:rPr>
        <w:t>Olofsson</w:t>
      </w:r>
      <w:proofErr w:type="spellEnd"/>
      <w:r w:rsidRPr="00C33A5F">
        <w:rPr>
          <w:rFonts w:ascii="Times New Roman" w:hAnsi="Times New Roman" w:cs="Times New Roman"/>
          <w:sz w:val="24"/>
          <w:szCs w:val="24"/>
        </w:rPr>
        <w:t xml:space="preserve"> B, et al. Evaluation of a fall-prevention program in older people after femoral neck fracture: a one-year follow-up. </w:t>
      </w:r>
      <w:r w:rsidRPr="00306C66">
        <w:rPr>
          <w:rFonts w:ascii="Times New Roman" w:hAnsi="Times New Roman" w:cs="Times New Roman"/>
          <w:i/>
          <w:sz w:val="24"/>
          <w:szCs w:val="24"/>
          <w:lang w:val="de-AT"/>
        </w:rPr>
        <w:t xml:space="preserve">Osteoporos Int </w:t>
      </w:r>
      <w:r w:rsidRPr="00306C66">
        <w:rPr>
          <w:rFonts w:ascii="Times New Roman" w:hAnsi="Times New Roman" w:cs="Times New Roman"/>
          <w:sz w:val="24"/>
          <w:szCs w:val="24"/>
          <w:lang w:val="de-AT"/>
        </w:rPr>
        <w:t>2008; 19:801- 9.</w:t>
      </w:r>
    </w:p>
    <w:p w14:paraId="0DAF22B4" w14:textId="77777777" w:rsidR="00600256" w:rsidRPr="00306C66" w:rsidRDefault="00600256" w:rsidP="00600256">
      <w:pPr>
        <w:spacing w:after="0" w:line="480" w:lineRule="auto"/>
        <w:jc w:val="both"/>
        <w:rPr>
          <w:rFonts w:ascii="Times New Roman" w:eastAsia="Calibri" w:hAnsi="Times New Roman" w:cs="Times New Roman"/>
          <w:sz w:val="24"/>
          <w:szCs w:val="24"/>
          <w:lang w:val="de-AT"/>
        </w:rPr>
      </w:pPr>
    </w:p>
    <w:p w14:paraId="12D3140F" w14:textId="77777777" w:rsidR="00600256" w:rsidRPr="008B435D" w:rsidRDefault="00600256" w:rsidP="00600256">
      <w:pPr>
        <w:spacing w:after="0" w:line="480" w:lineRule="auto"/>
        <w:jc w:val="both"/>
        <w:rPr>
          <w:rFonts w:ascii="Times New Roman" w:hAnsi="Times New Roman" w:cs="Times New Roman"/>
          <w:sz w:val="24"/>
          <w:szCs w:val="24"/>
          <w:lang w:val="de-AT"/>
        </w:rPr>
      </w:pPr>
      <w:r w:rsidRPr="008B435D">
        <w:rPr>
          <w:rFonts w:ascii="Times New Roman" w:eastAsia="Calibri" w:hAnsi="Times New Roman" w:cs="Times New Roman"/>
          <w:sz w:val="24"/>
          <w:szCs w:val="24"/>
          <w:lang w:val="de-AT"/>
        </w:rPr>
        <w:t>49</w:t>
      </w:r>
      <w:r w:rsidR="00B60652" w:rsidRPr="008B435D">
        <w:rPr>
          <w:rFonts w:ascii="Times New Roman" w:eastAsia="Calibri" w:hAnsi="Times New Roman" w:cs="Times New Roman"/>
          <w:sz w:val="24"/>
          <w:szCs w:val="24"/>
          <w:lang w:val="de-AT"/>
        </w:rPr>
        <w:t>.</w:t>
      </w:r>
      <w:r w:rsidRPr="008B435D">
        <w:rPr>
          <w:rFonts w:ascii="Times New Roman" w:hAnsi="Times New Roman" w:cs="Times New Roman"/>
          <w:color w:val="131413"/>
          <w:sz w:val="24"/>
          <w:szCs w:val="24"/>
          <w:lang w:val="de-AT"/>
        </w:rPr>
        <w:t xml:space="preserve"> Shyu YI, Tsai WC, Chen MC, et al. </w:t>
      </w:r>
      <w:r w:rsidRPr="00C33A5F">
        <w:rPr>
          <w:rFonts w:ascii="Times New Roman" w:hAnsi="Times New Roman" w:cs="Times New Roman"/>
          <w:color w:val="131413"/>
          <w:sz w:val="24"/>
          <w:szCs w:val="24"/>
        </w:rPr>
        <w:t xml:space="preserve">Two-year effects of an interdisciplinary </w:t>
      </w:r>
      <w:r w:rsidRPr="00C33A5F">
        <w:rPr>
          <w:rFonts w:ascii="Times New Roman" w:hAnsi="Times New Roman" w:cs="Times New Roman"/>
          <w:sz w:val="24"/>
          <w:szCs w:val="24"/>
        </w:rPr>
        <w:t xml:space="preserve">intervention on recovery following hip fracture in older Taiwanese with cognitive impairment. </w:t>
      </w:r>
      <w:r w:rsidRPr="008B435D">
        <w:rPr>
          <w:rFonts w:ascii="Times New Roman" w:hAnsi="Times New Roman" w:cs="Times New Roman"/>
          <w:i/>
          <w:sz w:val="24"/>
          <w:szCs w:val="24"/>
          <w:lang w:val="de-AT"/>
        </w:rPr>
        <w:t>Int J Geriatr Psychiatry</w:t>
      </w:r>
      <w:r w:rsidRPr="008B435D">
        <w:rPr>
          <w:rFonts w:ascii="Times New Roman" w:hAnsi="Times New Roman" w:cs="Times New Roman"/>
          <w:sz w:val="24"/>
          <w:szCs w:val="24"/>
          <w:lang w:val="de-AT"/>
        </w:rPr>
        <w:t xml:space="preserve"> 2012; 27:529-38. </w:t>
      </w:r>
    </w:p>
    <w:p w14:paraId="46B52D8F" w14:textId="77777777" w:rsidR="00600256" w:rsidRPr="008B435D" w:rsidRDefault="00600256" w:rsidP="00600256">
      <w:pPr>
        <w:spacing w:after="0" w:line="480" w:lineRule="auto"/>
        <w:jc w:val="both"/>
        <w:rPr>
          <w:rFonts w:ascii="Times New Roman" w:hAnsi="Times New Roman" w:cs="Times New Roman"/>
          <w:sz w:val="24"/>
          <w:szCs w:val="24"/>
          <w:lang w:val="de-AT"/>
        </w:rPr>
      </w:pPr>
    </w:p>
    <w:p w14:paraId="2FA1A3F0" w14:textId="77777777" w:rsidR="00600256" w:rsidRPr="008B435D" w:rsidRDefault="00600256" w:rsidP="00600256">
      <w:pPr>
        <w:spacing w:after="0" w:line="480" w:lineRule="auto"/>
        <w:jc w:val="both"/>
        <w:rPr>
          <w:rFonts w:ascii="Times New Roman" w:eastAsia="Calibri" w:hAnsi="Times New Roman" w:cs="Times New Roman"/>
          <w:sz w:val="24"/>
          <w:szCs w:val="24"/>
          <w:lang w:val="de-AT"/>
        </w:rPr>
      </w:pPr>
      <w:r w:rsidRPr="008B435D">
        <w:rPr>
          <w:rFonts w:ascii="Times New Roman" w:hAnsi="Times New Roman" w:cs="Times New Roman"/>
          <w:bCs/>
          <w:sz w:val="24"/>
          <w:szCs w:val="24"/>
          <w:lang w:val="de-AT"/>
        </w:rPr>
        <w:t>50</w:t>
      </w:r>
      <w:r w:rsidR="00B60652" w:rsidRPr="008B435D">
        <w:rPr>
          <w:rFonts w:ascii="Times New Roman" w:hAnsi="Times New Roman" w:cs="Times New Roman"/>
          <w:bCs/>
          <w:sz w:val="24"/>
          <w:szCs w:val="24"/>
          <w:lang w:val="de-AT"/>
        </w:rPr>
        <w:t>.</w:t>
      </w:r>
      <w:r w:rsidRPr="008B435D">
        <w:rPr>
          <w:rFonts w:ascii="Times New Roman" w:hAnsi="Times New Roman" w:cs="Times New Roman"/>
          <w:bCs/>
          <w:sz w:val="24"/>
          <w:szCs w:val="24"/>
          <w:lang w:val="de-AT"/>
        </w:rPr>
        <w:t xml:space="preserve"> de Kam D, Smulders E, Weerdesteyn V, et al. </w:t>
      </w:r>
      <w:r w:rsidRPr="00C33A5F">
        <w:rPr>
          <w:rFonts w:ascii="Times New Roman" w:hAnsi="Times New Roman" w:cs="Times New Roman"/>
          <w:bCs/>
          <w:sz w:val="24"/>
          <w:szCs w:val="24"/>
        </w:rPr>
        <w:t xml:space="preserve">Exercise interventions to reduce fall-related fractures and their risk factors in individuals with low bone density: a systematic review of randomized controlled trials. </w:t>
      </w:r>
      <w:r w:rsidRPr="008B435D">
        <w:rPr>
          <w:rFonts w:ascii="Times New Roman" w:hAnsi="Times New Roman" w:cs="Times New Roman"/>
          <w:bCs/>
          <w:i/>
          <w:sz w:val="24"/>
          <w:szCs w:val="24"/>
          <w:lang w:val="de-AT"/>
        </w:rPr>
        <w:t xml:space="preserve">Osteoporos Int </w:t>
      </w:r>
      <w:r w:rsidRPr="008B435D">
        <w:rPr>
          <w:rFonts w:ascii="Times New Roman" w:hAnsi="Times New Roman" w:cs="Times New Roman"/>
          <w:bCs/>
          <w:sz w:val="24"/>
          <w:szCs w:val="24"/>
          <w:lang w:val="de-AT"/>
        </w:rPr>
        <w:t>2009; 20:2111-25.</w:t>
      </w:r>
    </w:p>
    <w:p w14:paraId="671AF19F" w14:textId="77777777" w:rsidR="00600256" w:rsidRPr="008B435D" w:rsidRDefault="00600256" w:rsidP="00600256">
      <w:pPr>
        <w:spacing w:after="0" w:line="480" w:lineRule="auto"/>
        <w:rPr>
          <w:rFonts w:ascii="Times New Roman" w:hAnsi="Times New Roman" w:cs="Times New Roman"/>
          <w:bCs/>
          <w:sz w:val="24"/>
          <w:szCs w:val="24"/>
          <w:lang w:val="de-AT"/>
        </w:rPr>
      </w:pPr>
    </w:p>
    <w:p w14:paraId="0FB44CE3" w14:textId="77777777" w:rsidR="00600256" w:rsidRPr="00C33A5F" w:rsidRDefault="00600256" w:rsidP="00600256">
      <w:pPr>
        <w:spacing w:after="0" w:line="480" w:lineRule="auto"/>
        <w:rPr>
          <w:rFonts w:ascii="Times New Roman" w:hAnsi="Times New Roman" w:cs="Times New Roman"/>
          <w:bCs/>
          <w:sz w:val="24"/>
          <w:szCs w:val="24"/>
        </w:rPr>
      </w:pPr>
      <w:r w:rsidRPr="008B435D">
        <w:rPr>
          <w:rFonts w:ascii="Times New Roman" w:hAnsi="Times New Roman" w:cs="Times New Roman"/>
          <w:bCs/>
          <w:sz w:val="24"/>
          <w:szCs w:val="24"/>
          <w:lang w:val="de-AT"/>
        </w:rPr>
        <w:t>51</w:t>
      </w:r>
      <w:r w:rsidR="00B60652" w:rsidRPr="008B435D">
        <w:rPr>
          <w:rFonts w:ascii="Times New Roman" w:hAnsi="Times New Roman" w:cs="Times New Roman"/>
          <w:bCs/>
          <w:sz w:val="24"/>
          <w:szCs w:val="24"/>
          <w:lang w:val="de-AT"/>
        </w:rPr>
        <w:t>.</w:t>
      </w:r>
      <w:r w:rsidRPr="008B435D">
        <w:rPr>
          <w:rFonts w:ascii="Times New Roman" w:hAnsi="Times New Roman" w:cs="Times New Roman"/>
          <w:bCs/>
          <w:sz w:val="24"/>
          <w:szCs w:val="24"/>
          <w:lang w:val="de-AT"/>
        </w:rPr>
        <w:t xml:space="preserve"> </w:t>
      </w:r>
      <w:r w:rsidRPr="008B435D">
        <w:rPr>
          <w:rFonts w:ascii="Times New Roman" w:hAnsi="Times New Roman" w:cs="Times New Roman"/>
          <w:sz w:val="24"/>
          <w:szCs w:val="24"/>
          <w:lang w:val="de-AT"/>
        </w:rPr>
        <w:t xml:space="preserve">Luo X, Zhang J, Zhang C, et al. </w:t>
      </w:r>
      <w:r w:rsidRPr="00C33A5F">
        <w:rPr>
          <w:rFonts w:ascii="Times New Roman" w:hAnsi="Times New Roman" w:cs="Times New Roman"/>
          <w:sz w:val="24"/>
          <w:szCs w:val="24"/>
        </w:rPr>
        <w:t xml:space="preserve">The effect of whole-body vibration therapy on bone metabolism, motor function, and anthropometric parameters in women with postmenopausal osteoporosis. </w:t>
      </w:r>
      <w:proofErr w:type="spellStart"/>
      <w:r w:rsidRPr="00C33A5F">
        <w:rPr>
          <w:rFonts w:ascii="Times New Roman" w:hAnsi="Times New Roman" w:cs="Times New Roman"/>
          <w:i/>
          <w:sz w:val="24"/>
          <w:szCs w:val="24"/>
        </w:rPr>
        <w:t>Disabil</w:t>
      </w:r>
      <w:proofErr w:type="spellEnd"/>
      <w:r w:rsidRPr="00C33A5F">
        <w:rPr>
          <w:rFonts w:ascii="Times New Roman" w:hAnsi="Times New Roman" w:cs="Times New Roman"/>
          <w:i/>
          <w:sz w:val="24"/>
          <w:szCs w:val="24"/>
        </w:rPr>
        <w:t xml:space="preserve"> </w:t>
      </w:r>
      <w:proofErr w:type="spellStart"/>
      <w:r w:rsidRPr="00C33A5F">
        <w:rPr>
          <w:rFonts w:ascii="Times New Roman" w:hAnsi="Times New Roman" w:cs="Times New Roman"/>
          <w:i/>
          <w:sz w:val="24"/>
          <w:szCs w:val="24"/>
        </w:rPr>
        <w:t>Rehabil</w:t>
      </w:r>
      <w:proofErr w:type="spellEnd"/>
      <w:r w:rsidRPr="00C33A5F">
        <w:rPr>
          <w:rFonts w:ascii="Times New Roman" w:hAnsi="Times New Roman" w:cs="Times New Roman"/>
          <w:sz w:val="24"/>
          <w:szCs w:val="24"/>
        </w:rPr>
        <w:t xml:space="preserve"> 2017; 39:2315-23.</w:t>
      </w:r>
    </w:p>
    <w:p w14:paraId="12F65811" w14:textId="77777777" w:rsidR="00600256" w:rsidRPr="00C33A5F" w:rsidRDefault="00600256" w:rsidP="00600256">
      <w:pPr>
        <w:spacing w:after="0" w:line="480" w:lineRule="auto"/>
        <w:rPr>
          <w:rFonts w:ascii="Times New Roman" w:hAnsi="Times New Roman" w:cs="Times New Roman"/>
          <w:bCs/>
          <w:sz w:val="24"/>
          <w:szCs w:val="24"/>
        </w:rPr>
      </w:pPr>
    </w:p>
    <w:p w14:paraId="0F9D2F1D" w14:textId="77777777" w:rsidR="00600256" w:rsidRPr="00306C66" w:rsidRDefault="00600256" w:rsidP="00600256">
      <w:pPr>
        <w:spacing w:after="0" w:line="480" w:lineRule="auto"/>
        <w:rPr>
          <w:rFonts w:ascii="Times New Roman" w:hAnsi="Times New Roman" w:cs="Times New Roman"/>
          <w:bCs/>
          <w:sz w:val="24"/>
          <w:szCs w:val="24"/>
          <w:lang w:val="de-AT"/>
        </w:rPr>
      </w:pPr>
      <w:r>
        <w:rPr>
          <w:rFonts w:ascii="Times New Roman" w:hAnsi="Times New Roman" w:cs="Times New Roman"/>
          <w:bCs/>
          <w:sz w:val="24"/>
          <w:szCs w:val="24"/>
        </w:rPr>
        <w:t>52</w:t>
      </w:r>
      <w:r w:rsidR="00B60652">
        <w:rPr>
          <w:rFonts w:ascii="Times New Roman" w:hAnsi="Times New Roman" w:cs="Times New Roman"/>
          <w:bCs/>
          <w:sz w:val="24"/>
          <w:szCs w:val="24"/>
        </w:rPr>
        <w:t>.</w:t>
      </w:r>
      <w:r w:rsidRPr="00C33A5F">
        <w:rPr>
          <w:rFonts w:ascii="Times New Roman" w:hAnsi="Times New Roman" w:cs="Times New Roman"/>
          <w:bCs/>
          <w:sz w:val="24"/>
          <w:szCs w:val="24"/>
        </w:rPr>
        <w:t xml:space="preserve"> </w:t>
      </w:r>
      <w:proofErr w:type="spellStart"/>
      <w:r w:rsidRPr="00C33A5F">
        <w:rPr>
          <w:rFonts w:ascii="Times New Roman" w:hAnsi="Times New Roman" w:cs="Times New Roman"/>
          <w:bCs/>
          <w:sz w:val="24"/>
          <w:szCs w:val="24"/>
        </w:rPr>
        <w:t>Varahra</w:t>
      </w:r>
      <w:proofErr w:type="spellEnd"/>
      <w:r w:rsidRPr="00C33A5F">
        <w:rPr>
          <w:rFonts w:ascii="Times New Roman" w:hAnsi="Times New Roman" w:cs="Times New Roman"/>
          <w:bCs/>
          <w:sz w:val="24"/>
          <w:szCs w:val="24"/>
        </w:rPr>
        <w:t xml:space="preserve"> A, Rodrigues IB, </w:t>
      </w:r>
      <w:proofErr w:type="spellStart"/>
      <w:r w:rsidRPr="00C33A5F">
        <w:rPr>
          <w:rFonts w:ascii="Times New Roman" w:hAnsi="Times New Roman" w:cs="Times New Roman"/>
          <w:bCs/>
          <w:sz w:val="24"/>
          <w:szCs w:val="24"/>
        </w:rPr>
        <w:t>MacDermid</w:t>
      </w:r>
      <w:proofErr w:type="spellEnd"/>
      <w:r w:rsidRPr="00C33A5F">
        <w:rPr>
          <w:rFonts w:ascii="Times New Roman" w:hAnsi="Times New Roman" w:cs="Times New Roman"/>
          <w:bCs/>
          <w:sz w:val="24"/>
          <w:szCs w:val="24"/>
        </w:rPr>
        <w:t xml:space="preserve"> JC, et al. Exercise to improve functional outcomes in persons with osteoporosis: a systematic review and meta-analysis. </w:t>
      </w:r>
      <w:r w:rsidRPr="00306C66">
        <w:rPr>
          <w:rFonts w:ascii="Times New Roman" w:hAnsi="Times New Roman" w:cs="Times New Roman"/>
          <w:bCs/>
          <w:i/>
          <w:sz w:val="24"/>
          <w:szCs w:val="24"/>
          <w:lang w:val="de-AT"/>
        </w:rPr>
        <w:t xml:space="preserve">Osteoporos Int </w:t>
      </w:r>
      <w:r w:rsidRPr="00306C66">
        <w:rPr>
          <w:rFonts w:ascii="Times New Roman" w:hAnsi="Times New Roman" w:cs="Times New Roman"/>
          <w:bCs/>
          <w:sz w:val="24"/>
          <w:szCs w:val="24"/>
          <w:lang w:val="de-AT"/>
        </w:rPr>
        <w:t>2018; 29:265-86.</w:t>
      </w:r>
    </w:p>
    <w:p w14:paraId="1C252216" w14:textId="77777777" w:rsidR="00600256" w:rsidRPr="00306C66" w:rsidRDefault="00600256" w:rsidP="00600256">
      <w:pPr>
        <w:spacing w:after="0" w:line="480" w:lineRule="auto"/>
        <w:rPr>
          <w:rFonts w:ascii="Times New Roman" w:hAnsi="Times New Roman" w:cs="Times New Roman"/>
          <w:bCs/>
          <w:sz w:val="24"/>
          <w:szCs w:val="24"/>
          <w:lang w:val="de-AT"/>
        </w:rPr>
      </w:pPr>
    </w:p>
    <w:p w14:paraId="57996275" w14:textId="77777777" w:rsidR="00600256" w:rsidRPr="00C33A5F" w:rsidRDefault="00600256" w:rsidP="00600256">
      <w:pPr>
        <w:spacing w:after="0" w:line="480" w:lineRule="auto"/>
        <w:rPr>
          <w:rFonts w:ascii="Times New Roman" w:hAnsi="Times New Roman" w:cs="Times New Roman"/>
          <w:sz w:val="24"/>
          <w:szCs w:val="24"/>
        </w:rPr>
      </w:pPr>
      <w:r w:rsidRPr="008B435D">
        <w:rPr>
          <w:rFonts w:ascii="Times New Roman" w:hAnsi="Times New Roman" w:cs="Times New Roman"/>
          <w:bCs/>
          <w:sz w:val="24"/>
          <w:szCs w:val="24"/>
          <w:lang w:val="de-AT"/>
        </w:rPr>
        <w:t>53</w:t>
      </w:r>
      <w:r w:rsidR="00B60652" w:rsidRPr="008B435D">
        <w:rPr>
          <w:rFonts w:ascii="Times New Roman" w:hAnsi="Times New Roman" w:cs="Times New Roman"/>
          <w:bCs/>
          <w:sz w:val="24"/>
          <w:szCs w:val="24"/>
          <w:lang w:val="de-AT"/>
        </w:rPr>
        <w:t>.</w:t>
      </w:r>
      <w:r w:rsidRPr="008B435D">
        <w:rPr>
          <w:rFonts w:ascii="Times New Roman" w:hAnsi="Times New Roman" w:cs="Times New Roman"/>
          <w:bCs/>
          <w:sz w:val="24"/>
          <w:szCs w:val="24"/>
          <w:lang w:val="de-AT"/>
        </w:rPr>
        <w:t xml:space="preserve"> </w:t>
      </w:r>
      <w:r w:rsidRPr="008B435D">
        <w:rPr>
          <w:rFonts w:ascii="Times New Roman" w:hAnsi="Times New Roman" w:cs="Times New Roman"/>
          <w:sz w:val="24"/>
          <w:szCs w:val="24"/>
          <w:lang w:val="de-AT"/>
        </w:rPr>
        <w:t xml:space="preserve">Korpelainen R, Keinänen-Kiukaanniemi S, Nieminen P, et al. </w:t>
      </w:r>
      <w:r w:rsidRPr="00C33A5F">
        <w:rPr>
          <w:rFonts w:ascii="Times New Roman" w:hAnsi="Times New Roman" w:cs="Times New Roman"/>
          <w:sz w:val="24"/>
          <w:szCs w:val="24"/>
        </w:rPr>
        <w:t xml:space="preserve">Long-term outcomes of exercise. Follow-up of a randomized trial in older women with osteopenia. </w:t>
      </w:r>
      <w:r w:rsidRPr="00C33A5F">
        <w:rPr>
          <w:rFonts w:ascii="Times New Roman" w:hAnsi="Times New Roman" w:cs="Times New Roman"/>
          <w:i/>
          <w:sz w:val="24"/>
          <w:szCs w:val="24"/>
        </w:rPr>
        <w:t>Arch Int Med</w:t>
      </w:r>
      <w:r w:rsidRPr="00C33A5F">
        <w:rPr>
          <w:rFonts w:ascii="Times New Roman" w:hAnsi="Times New Roman" w:cs="Times New Roman"/>
          <w:sz w:val="24"/>
          <w:szCs w:val="24"/>
        </w:rPr>
        <w:t xml:space="preserve"> 2010; 170:1548-56.</w:t>
      </w:r>
    </w:p>
    <w:p w14:paraId="326312BF" w14:textId="77777777" w:rsidR="00600256" w:rsidRPr="00C33A5F" w:rsidRDefault="00600256" w:rsidP="00600256">
      <w:pPr>
        <w:spacing w:after="0" w:line="480" w:lineRule="auto"/>
        <w:rPr>
          <w:rFonts w:ascii="Times New Roman" w:hAnsi="Times New Roman" w:cs="Times New Roman"/>
          <w:bCs/>
          <w:sz w:val="24"/>
          <w:szCs w:val="24"/>
        </w:rPr>
      </w:pPr>
    </w:p>
    <w:p w14:paraId="1DD306F9" w14:textId="77777777" w:rsidR="00600256" w:rsidRPr="00306C66" w:rsidRDefault="00600256" w:rsidP="00600256">
      <w:pPr>
        <w:spacing w:after="0" w:line="480" w:lineRule="auto"/>
        <w:rPr>
          <w:rFonts w:ascii="Times New Roman" w:eastAsia="Times New Roman" w:hAnsi="Times New Roman" w:cs="Times New Roman"/>
          <w:sz w:val="24"/>
          <w:szCs w:val="24"/>
          <w:lang w:val="de-AT" w:eastAsia="en-GB"/>
        </w:rPr>
      </w:pPr>
      <w:r>
        <w:rPr>
          <w:rFonts w:ascii="Times New Roman" w:eastAsia="Times New Roman" w:hAnsi="Times New Roman" w:cs="Times New Roman"/>
          <w:sz w:val="24"/>
          <w:szCs w:val="24"/>
          <w:lang w:eastAsia="en-GB"/>
        </w:rPr>
        <w:lastRenderedPageBreak/>
        <w:t>54</w:t>
      </w:r>
      <w:r w:rsidR="00B60652">
        <w:rPr>
          <w:rFonts w:ascii="Times New Roman" w:eastAsia="Times New Roman" w:hAnsi="Times New Roman" w:cs="Times New Roman"/>
          <w:sz w:val="24"/>
          <w:szCs w:val="24"/>
          <w:lang w:eastAsia="en-GB"/>
        </w:rPr>
        <w:t>.</w:t>
      </w:r>
      <w:r w:rsidRPr="00C33A5F">
        <w:rPr>
          <w:rFonts w:ascii="Times New Roman" w:eastAsia="Times New Roman" w:hAnsi="Times New Roman" w:cs="Times New Roman"/>
          <w:sz w:val="24"/>
          <w:szCs w:val="24"/>
          <w:lang w:eastAsia="en-GB"/>
        </w:rPr>
        <w:t xml:space="preserve"> </w:t>
      </w:r>
      <w:proofErr w:type="spellStart"/>
      <w:r w:rsidRPr="00C33A5F">
        <w:rPr>
          <w:rFonts w:ascii="Times New Roman" w:eastAsia="Times New Roman" w:hAnsi="Times New Roman" w:cs="Times New Roman"/>
          <w:sz w:val="24"/>
          <w:szCs w:val="24"/>
          <w:lang w:eastAsia="en-GB"/>
        </w:rPr>
        <w:t>Gianoudis</w:t>
      </w:r>
      <w:proofErr w:type="spellEnd"/>
      <w:r w:rsidRPr="00C33A5F">
        <w:rPr>
          <w:rFonts w:ascii="Times New Roman" w:eastAsia="Times New Roman" w:hAnsi="Times New Roman" w:cs="Times New Roman"/>
          <w:sz w:val="24"/>
          <w:szCs w:val="24"/>
          <w:lang w:eastAsia="en-GB"/>
        </w:rPr>
        <w:t xml:space="preserve"> J, Bailey CA, Ebeling PR, et al. Effects of a targeted multimodal exercise program incorporating high-speed power training on falls and fracture risk factors in older adults: a community-based randomized controlled trial. </w:t>
      </w:r>
      <w:r w:rsidRPr="00306C66">
        <w:rPr>
          <w:rFonts w:ascii="Times New Roman" w:eastAsia="Times New Roman" w:hAnsi="Times New Roman" w:cs="Times New Roman"/>
          <w:i/>
          <w:sz w:val="24"/>
          <w:szCs w:val="24"/>
          <w:lang w:val="de-AT" w:eastAsia="en-GB"/>
        </w:rPr>
        <w:t>J Bone Miner Res</w:t>
      </w:r>
      <w:r w:rsidRPr="00306C66">
        <w:rPr>
          <w:rFonts w:ascii="Times New Roman" w:eastAsia="Times New Roman" w:hAnsi="Times New Roman" w:cs="Times New Roman"/>
          <w:sz w:val="24"/>
          <w:szCs w:val="24"/>
          <w:lang w:val="de-AT" w:eastAsia="en-GB"/>
        </w:rPr>
        <w:t xml:space="preserve"> 2014; 29:182-91.</w:t>
      </w:r>
    </w:p>
    <w:p w14:paraId="43BF5347" w14:textId="77777777" w:rsidR="00600256" w:rsidRPr="00306C66" w:rsidRDefault="00600256" w:rsidP="00600256">
      <w:pPr>
        <w:spacing w:after="0" w:line="480" w:lineRule="auto"/>
        <w:rPr>
          <w:rFonts w:ascii="Times New Roman" w:hAnsi="Times New Roman" w:cs="Times New Roman"/>
          <w:sz w:val="24"/>
          <w:szCs w:val="24"/>
          <w:lang w:val="de-AT"/>
        </w:rPr>
      </w:pPr>
    </w:p>
    <w:p w14:paraId="1DEA95F3" w14:textId="77777777" w:rsidR="00600256" w:rsidRPr="008B435D" w:rsidRDefault="00600256" w:rsidP="00600256">
      <w:pPr>
        <w:spacing w:after="0" w:line="480" w:lineRule="auto"/>
        <w:rPr>
          <w:rFonts w:ascii="Times New Roman" w:hAnsi="Times New Roman" w:cs="Times New Roman"/>
          <w:sz w:val="24"/>
          <w:szCs w:val="24"/>
          <w:lang w:val="de-AT"/>
        </w:rPr>
      </w:pPr>
      <w:r w:rsidRPr="008B435D">
        <w:rPr>
          <w:rFonts w:ascii="Times New Roman" w:hAnsi="Times New Roman" w:cs="Times New Roman"/>
          <w:sz w:val="24"/>
          <w:szCs w:val="24"/>
          <w:lang w:val="de-AT"/>
        </w:rPr>
        <w:t>55</w:t>
      </w:r>
      <w:r w:rsidR="00B60652" w:rsidRPr="008B435D">
        <w:rPr>
          <w:rFonts w:ascii="Times New Roman" w:hAnsi="Times New Roman" w:cs="Times New Roman"/>
          <w:sz w:val="24"/>
          <w:szCs w:val="24"/>
          <w:lang w:val="de-AT"/>
        </w:rPr>
        <w:t>.</w:t>
      </w:r>
      <w:r w:rsidRPr="008B435D">
        <w:rPr>
          <w:rFonts w:ascii="Times New Roman" w:hAnsi="Times New Roman" w:cs="Times New Roman"/>
          <w:sz w:val="24"/>
          <w:szCs w:val="24"/>
          <w:lang w:val="de-AT"/>
        </w:rPr>
        <w:t xml:space="preserve"> Kemmler W, Bebenek M, Kohl M, et al. </w:t>
      </w:r>
      <w:r w:rsidRPr="00C33A5F">
        <w:rPr>
          <w:rFonts w:ascii="Times New Roman" w:hAnsi="Times New Roman" w:cs="Times New Roman"/>
          <w:sz w:val="24"/>
          <w:szCs w:val="24"/>
        </w:rPr>
        <w:t xml:space="preserve">Exercise and fractures in postmenopausal women. </w:t>
      </w:r>
      <w:proofErr w:type="gramStart"/>
      <w:r w:rsidRPr="00C33A5F">
        <w:rPr>
          <w:rFonts w:ascii="Times New Roman" w:hAnsi="Times New Roman" w:cs="Times New Roman"/>
          <w:sz w:val="24"/>
          <w:szCs w:val="24"/>
        </w:rPr>
        <w:t>Final results</w:t>
      </w:r>
      <w:proofErr w:type="gramEnd"/>
      <w:r w:rsidRPr="00C33A5F">
        <w:rPr>
          <w:rFonts w:ascii="Times New Roman" w:hAnsi="Times New Roman" w:cs="Times New Roman"/>
          <w:sz w:val="24"/>
          <w:szCs w:val="24"/>
        </w:rPr>
        <w:t xml:space="preserve"> of the controlled Erlangen Fitness and Osteoporosis Prevention Study (EFOPS). </w:t>
      </w:r>
      <w:r w:rsidRPr="008B435D">
        <w:rPr>
          <w:rFonts w:ascii="Times New Roman" w:hAnsi="Times New Roman" w:cs="Times New Roman"/>
          <w:i/>
          <w:sz w:val="24"/>
          <w:szCs w:val="24"/>
          <w:lang w:val="de-AT"/>
        </w:rPr>
        <w:t>Osteoporos Int</w:t>
      </w:r>
      <w:r w:rsidRPr="008B435D">
        <w:rPr>
          <w:rFonts w:ascii="Times New Roman" w:hAnsi="Times New Roman" w:cs="Times New Roman"/>
          <w:sz w:val="24"/>
          <w:szCs w:val="24"/>
          <w:lang w:val="de-AT"/>
        </w:rPr>
        <w:t xml:space="preserve"> 2015; 26:2491-9.</w:t>
      </w:r>
    </w:p>
    <w:p w14:paraId="4B8745DF" w14:textId="77777777" w:rsidR="00600256" w:rsidRPr="008B435D" w:rsidRDefault="00600256" w:rsidP="00600256">
      <w:pPr>
        <w:spacing w:after="0" w:line="480" w:lineRule="auto"/>
        <w:rPr>
          <w:rFonts w:ascii="Times New Roman" w:hAnsi="Times New Roman" w:cs="Times New Roman"/>
          <w:sz w:val="24"/>
          <w:szCs w:val="24"/>
          <w:lang w:val="de-AT"/>
        </w:rPr>
      </w:pPr>
    </w:p>
    <w:p w14:paraId="1F905780" w14:textId="77777777" w:rsidR="00600256" w:rsidRPr="00C33A5F" w:rsidRDefault="00600256" w:rsidP="00600256">
      <w:pPr>
        <w:spacing w:after="0" w:line="480" w:lineRule="auto"/>
        <w:rPr>
          <w:rFonts w:ascii="Times New Roman" w:hAnsi="Times New Roman" w:cs="Times New Roman"/>
          <w:sz w:val="24"/>
          <w:szCs w:val="24"/>
        </w:rPr>
      </w:pPr>
      <w:r w:rsidRPr="008B435D">
        <w:rPr>
          <w:rFonts w:ascii="Times New Roman" w:hAnsi="Times New Roman" w:cs="Times New Roman"/>
          <w:sz w:val="24"/>
          <w:szCs w:val="24"/>
          <w:lang w:val="de-AT"/>
        </w:rPr>
        <w:t>56</w:t>
      </w:r>
      <w:r w:rsidR="00B60652" w:rsidRPr="008B435D">
        <w:rPr>
          <w:rFonts w:ascii="Times New Roman" w:hAnsi="Times New Roman" w:cs="Times New Roman"/>
          <w:sz w:val="24"/>
          <w:szCs w:val="24"/>
          <w:lang w:val="de-AT"/>
        </w:rPr>
        <w:t>.</w:t>
      </w:r>
      <w:r w:rsidRPr="008B435D">
        <w:rPr>
          <w:rFonts w:ascii="Times New Roman" w:hAnsi="Times New Roman" w:cs="Times New Roman"/>
          <w:sz w:val="24"/>
          <w:szCs w:val="24"/>
          <w:lang w:val="de-AT"/>
        </w:rPr>
        <w:t xml:space="preserve"> Palvanen M, Kannus P, Piirtola M, et al. </w:t>
      </w:r>
      <w:r w:rsidRPr="00C33A5F">
        <w:rPr>
          <w:rFonts w:ascii="Times New Roman" w:hAnsi="Times New Roman" w:cs="Times New Roman"/>
          <w:sz w:val="24"/>
          <w:szCs w:val="24"/>
        </w:rPr>
        <w:t xml:space="preserve">Effectiveness of the Chaos Falls Clinic in preventing falls and injuries of home-dwelling older adults: A randomised controlled trial. </w:t>
      </w:r>
      <w:r w:rsidRPr="00C33A5F">
        <w:rPr>
          <w:rFonts w:ascii="Times New Roman" w:hAnsi="Times New Roman" w:cs="Times New Roman"/>
          <w:i/>
          <w:sz w:val="24"/>
          <w:szCs w:val="24"/>
        </w:rPr>
        <w:t xml:space="preserve">Injury </w:t>
      </w:r>
      <w:r w:rsidRPr="00C33A5F">
        <w:rPr>
          <w:rFonts w:ascii="Times New Roman" w:hAnsi="Times New Roman" w:cs="Times New Roman"/>
          <w:sz w:val="24"/>
          <w:szCs w:val="24"/>
        </w:rPr>
        <w:t>2014; 45:265-71.</w:t>
      </w:r>
    </w:p>
    <w:p w14:paraId="7F799B05" w14:textId="77777777" w:rsidR="00600256" w:rsidRPr="00C33A5F" w:rsidRDefault="00600256" w:rsidP="00600256">
      <w:pPr>
        <w:spacing w:after="0" w:line="480" w:lineRule="auto"/>
        <w:rPr>
          <w:rFonts w:ascii="Times New Roman" w:hAnsi="Times New Roman" w:cs="Times New Roman"/>
          <w:sz w:val="24"/>
          <w:szCs w:val="24"/>
        </w:rPr>
      </w:pPr>
    </w:p>
    <w:p w14:paraId="773D00A1" w14:textId="77777777" w:rsidR="00600256" w:rsidRPr="00C33A5F" w:rsidRDefault="00600256" w:rsidP="00600256">
      <w:pPr>
        <w:spacing w:after="0" w:line="480" w:lineRule="auto"/>
        <w:rPr>
          <w:rFonts w:ascii="Times New Roman" w:hAnsi="Times New Roman" w:cs="Times New Roman"/>
          <w:sz w:val="24"/>
          <w:szCs w:val="24"/>
        </w:rPr>
      </w:pPr>
      <w:r>
        <w:rPr>
          <w:rFonts w:ascii="Times New Roman" w:hAnsi="Times New Roman" w:cs="Times New Roman"/>
          <w:sz w:val="24"/>
          <w:szCs w:val="24"/>
        </w:rPr>
        <w:t>57</w:t>
      </w:r>
      <w:r w:rsidR="00B60652">
        <w:rPr>
          <w:rFonts w:ascii="Times New Roman" w:hAnsi="Times New Roman" w:cs="Times New Roman"/>
          <w:sz w:val="24"/>
          <w:szCs w:val="24"/>
        </w:rPr>
        <w:t>.</w:t>
      </w:r>
      <w:r w:rsidRPr="00C33A5F">
        <w:rPr>
          <w:rFonts w:ascii="Times New Roman" w:hAnsi="Times New Roman" w:cs="Times New Roman"/>
          <w:sz w:val="24"/>
          <w:szCs w:val="24"/>
        </w:rPr>
        <w:t xml:space="preserve"> Porter J, Adderley M, Bonham M, et al. The effect of dietary interventions and nutritional supplementation on bone mineral density in otherwise healthy adults with osteopenia: A systematic review. </w:t>
      </w:r>
      <w:proofErr w:type="spellStart"/>
      <w:r w:rsidRPr="00C33A5F">
        <w:rPr>
          <w:rFonts w:ascii="Times New Roman" w:hAnsi="Times New Roman" w:cs="Times New Roman"/>
          <w:i/>
          <w:sz w:val="24"/>
          <w:szCs w:val="24"/>
        </w:rPr>
        <w:t>Nutr</w:t>
      </w:r>
      <w:proofErr w:type="spellEnd"/>
      <w:r w:rsidRPr="00C33A5F">
        <w:rPr>
          <w:rFonts w:ascii="Times New Roman" w:hAnsi="Times New Roman" w:cs="Times New Roman"/>
          <w:i/>
          <w:sz w:val="24"/>
          <w:szCs w:val="24"/>
        </w:rPr>
        <w:t xml:space="preserve"> Bull</w:t>
      </w:r>
      <w:r w:rsidRPr="00C33A5F">
        <w:rPr>
          <w:rFonts w:ascii="Times New Roman" w:hAnsi="Times New Roman" w:cs="Times New Roman"/>
          <w:sz w:val="24"/>
          <w:szCs w:val="24"/>
        </w:rPr>
        <w:t xml:space="preserve"> 2016; 41:108-121.</w:t>
      </w:r>
    </w:p>
    <w:p w14:paraId="7A4E1D64" w14:textId="77777777" w:rsidR="00600256" w:rsidRPr="00C33A5F" w:rsidRDefault="00600256" w:rsidP="00600256">
      <w:pPr>
        <w:spacing w:after="0" w:line="480" w:lineRule="auto"/>
        <w:rPr>
          <w:rFonts w:ascii="Times New Roman" w:hAnsi="Times New Roman" w:cs="Times New Roman"/>
          <w:sz w:val="24"/>
          <w:szCs w:val="24"/>
        </w:rPr>
      </w:pPr>
    </w:p>
    <w:p w14:paraId="21CA7DBD" w14:textId="77777777" w:rsidR="00600256" w:rsidRPr="00C33A5F" w:rsidRDefault="00600256" w:rsidP="00600256">
      <w:pPr>
        <w:spacing w:after="0" w:line="480" w:lineRule="auto"/>
        <w:rPr>
          <w:rFonts w:ascii="Times New Roman" w:hAnsi="Times New Roman" w:cs="Times New Roman"/>
          <w:sz w:val="24"/>
          <w:szCs w:val="24"/>
        </w:rPr>
      </w:pPr>
      <w:r>
        <w:rPr>
          <w:rFonts w:ascii="Times New Roman" w:hAnsi="Times New Roman" w:cs="Times New Roman"/>
          <w:bCs/>
          <w:sz w:val="24"/>
          <w:szCs w:val="24"/>
        </w:rPr>
        <w:t>58</w:t>
      </w:r>
      <w:r w:rsidR="00B60652">
        <w:rPr>
          <w:rFonts w:ascii="Times New Roman" w:hAnsi="Times New Roman" w:cs="Times New Roman"/>
          <w:bCs/>
          <w:sz w:val="24"/>
          <w:szCs w:val="24"/>
        </w:rPr>
        <w:t>.</w:t>
      </w:r>
      <w:r w:rsidRPr="00C33A5F">
        <w:rPr>
          <w:rFonts w:ascii="Times New Roman" w:hAnsi="Times New Roman" w:cs="Times New Roman"/>
          <w:bCs/>
          <w:sz w:val="24"/>
          <w:szCs w:val="24"/>
        </w:rPr>
        <w:t xml:space="preserve"> </w:t>
      </w:r>
      <w:proofErr w:type="spellStart"/>
      <w:r w:rsidRPr="00C33A5F">
        <w:rPr>
          <w:rFonts w:ascii="Times New Roman" w:hAnsi="Times New Roman" w:cs="Times New Roman"/>
          <w:bCs/>
          <w:sz w:val="24"/>
          <w:szCs w:val="24"/>
        </w:rPr>
        <w:t>Koutsofta</w:t>
      </w:r>
      <w:proofErr w:type="spellEnd"/>
      <w:r w:rsidRPr="00C33A5F">
        <w:rPr>
          <w:rFonts w:ascii="Times New Roman" w:hAnsi="Times New Roman" w:cs="Times New Roman"/>
          <w:bCs/>
          <w:sz w:val="24"/>
          <w:szCs w:val="24"/>
        </w:rPr>
        <w:t xml:space="preserve"> I, </w:t>
      </w:r>
      <w:proofErr w:type="spellStart"/>
      <w:r w:rsidRPr="00C33A5F">
        <w:rPr>
          <w:rFonts w:ascii="Times New Roman" w:hAnsi="Times New Roman" w:cs="Times New Roman"/>
          <w:bCs/>
          <w:sz w:val="24"/>
          <w:szCs w:val="24"/>
        </w:rPr>
        <w:t>Mamais</w:t>
      </w:r>
      <w:proofErr w:type="spellEnd"/>
      <w:r w:rsidRPr="00C33A5F">
        <w:rPr>
          <w:rFonts w:ascii="Times New Roman" w:hAnsi="Times New Roman" w:cs="Times New Roman"/>
          <w:bCs/>
          <w:sz w:val="24"/>
          <w:szCs w:val="24"/>
        </w:rPr>
        <w:t xml:space="preserve"> I, </w:t>
      </w:r>
      <w:proofErr w:type="spellStart"/>
      <w:r w:rsidRPr="00C33A5F">
        <w:rPr>
          <w:rFonts w:ascii="Times New Roman" w:hAnsi="Times New Roman" w:cs="Times New Roman"/>
          <w:bCs/>
          <w:sz w:val="24"/>
          <w:szCs w:val="24"/>
        </w:rPr>
        <w:t>Chrysostomou</w:t>
      </w:r>
      <w:proofErr w:type="spellEnd"/>
      <w:r w:rsidRPr="00C33A5F">
        <w:rPr>
          <w:rFonts w:ascii="Times New Roman" w:hAnsi="Times New Roman" w:cs="Times New Roman"/>
          <w:bCs/>
          <w:sz w:val="24"/>
          <w:szCs w:val="24"/>
        </w:rPr>
        <w:t xml:space="preserve"> S. The effect of protein diets in postmenopausal women with osteoporosis: Systematic review of randomized controlled trials. </w:t>
      </w:r>
      <w:r w:rsidRPr="00C33A5F">
        <w:rPr>
          <w:rFonts w:ascii="Times New Roman" w:hAnsi="Times New Roman" w:cs="Times New Roman"/>
          <w:bCs/>
          <w:i/>
          <w:sz w:val="24"/>
          <w:szCs w:val="24"/>
        </w:rPr>
        <w:t>J Women Aging</w:t>
      </w:r>
      <w:r w:rsidRPr="00C33A5F">
        <w:rPr>
          <w:rFonts w:ascii="Times New Roman" w:hAnsi="Times New Roman" w:cs="Times New Roman"/>
          <w:bCs/>
          <w:sz w:val="24"/>
          <w:szCs w:val="24"/>
        </w:rPr>
        <w:t xml:space="preserve"> 2019; 31:117-39.</w:t>
      </w:r>
    </w:p>
    <w:p w14:paraId="7046919A" w14:textId="77777777" w:rsidR="00600256" w:rsidRPr="00C33A5F" w:rsidRDefault="00600256" w:rsidP="00600256">
      <w:pPr>
        <w:spacing w:after="0" w:line="480" w:lineRule="auto"/>
        <w:rPr>
          <w:rFonts w:ascii="Times New Roman" w:hAnsi="Times New Roman" w:cs="Times New Roman"/>
          <w:sz w:val="24"/>
          <w:szCs w:val="24"/>
        </w:rPr>
      </w:pPr>
    </w:p>
    <w:p w14:paraId="5E4CA7E5" w14:textId="77777777" w:rsidR="00600256" w:rsidRPr="00306C66" w:rsidRDefault="00600256" w:rsidP="00600256">
      <w:pPr>
        <w:spacing w:after="0" w:line="480" w:lineRule="auto"/>
        <w:rPr>
          <w:rFonts w:ascii="Times New Roman" w:hAnsi="Times New Roman" w:cs="Times New Roman"/>
          <w:sz w:val="24"/>
          <w:szCs w:val="24"/>
        </w:rPr>
      </w:pPr>
      <w:r w:rsidRPr="00306C66">
        <w:rPr>
          <w:rFonts w:ascii="Times New Roman" w:hAnsi="Times New Roman" w:cs="Times New Roman"/>
          <w:sz w:val="24"/>
          <w:szCs w:val="24"/>
          <w:lang w:val="de-AT"/>
        </w:rPr>
        <w:t>59</w:t>
      </w:r>
      <w:r w:rsidR="00B60652" w:rsidRPr="00306C66">
        <w:rPr>
          <w:rFonts w:ascii="Times New Roman" w:hAnsi="Times New Roman" w:cs="Times New Roman"/>
          <w:sz w:val="24"/>
          <w:szCs w:val="24"/>
          <w:lang w:val="de-AT"/>
        </w:rPr>
        <w:t>.</w:t>
      </w:r>
      <w:r w:rsidRPr="00306C66">
        <w:rPr>
          <w:rFonts w:ascii="Times New Roman" w:hAnsi="Times New Roman" w:cs="Times New Roman"/>
          <w:sz w:val="24"/>
          <w:szCs w:val="24"/>
          <w:lang w:val="de-AT"/>
        </w:rPr>
        <w:t xml:space="preserve"> Cheung AM, Tile L, Lee Y, et al. </w:t>
      </w:r>
      <w:r w:rsidRPr="00C33A5F">
        <w:rPr>
          <w:rFonts w:ascii="Times New Roman" w:hAnsi="Times New Roman" w:cs="Times New Roman"/>
          <w:sz w:val="24"/>
          <w:szCs w:val="24"/>
        </w:rPr>
        <w:t xml:space="preserve">Vitamin K supplementation in postmenopausal women with osteopenia (ECKO trial): A randomized controlled trial. </w:t>
      </w:r>
      <w:proofErr w:type="spellStart"/>
      <w:r w:rsidRPr="00306C66">
        <w:rPr>
          <w:rFonts w:ascii="Times New Roman" w:hAnsi="Times New Roman" w:cs="Times New Roman"/>
          <w:i/>
          <w:sz w:val="24"/>
          <w:szCs w:val="24"/>
        </w:rPr>
        <w:t>PLoS</w:t>
      </w:r>
      <w:proofErr w:type="spellEnd"/>
      <w:r w:rsidRPr="00306C66">
        <w:rPr>
          <w:rFonts w:ascii="Times New Roman" w:hAnsi="Times New Roman" w:cs="Times New Roman"/>
          <w:i/>
          <w:sz w:val="24"/>
          <w:szCs w:val="24"/>
        </w:rPr>
        <w:t xml:space="preserve"> Med</w:t>
      </w:r>
      <w:r w:rsidRPr="00306C66">
        <w:rPr>
          <w:rFonts w:ascii="Times New Roman" w:hAnsi="Times New Roman" w:cs="Times New Roman"/>
          <w:sz w:val="24"/>
          <w:szCs w:val="24"/>
        </w:rPr>
        <w:t xml:space="preserve"> 2008; </w:t>
      </w:r>
      <w:proofErr w:type="gramStart"/>
      <w:r w:rsidRPr="00306C66">
        <w:rPr>
          <w:rFonts w:ascii="Times New Roman" w:hAnsi="Times New Roman" w:cs="Times New Roman"/>
          <w:sz w:val="24"/>
          <w:szCs w:val="24"/>
        </w:rPr>
        <w:t>5:e</w:t>
      </w:r>
      <w:proofErr w:type="gramEnd"/>
      <w:r w:rsidRPr="00306C66">
        <w:rPr>
          <w:rFonts w:ascii="Times New Roman" w:hAnsi="Times New Roman" w:cs="Times New Roman"/>
          <w:sz w:val="24"/>
          <w:szCs w:val="24"/>
        </w:rPr>
        <w:t>196.</w:t>
      </w:r>
    </w:p>
    <w:p w14:paraId="3DD1EC36" w14:textId="77777777" w:rsidR="00600256" w:rsidRPr="00306C66" w:rsidRDefault="00600256" w:rsidP="00600256">
      <w:pPr>
        <w:spacing w:after="0" w:line="480" w:lineRule="auto"/>
        <w:rPr>
          <w:rFonts w:ascii="Times New Roman" w:hAnsi="Times New Roman" w:cs="Times New Roman"/>
          <w:sz w:val="24"/>
          <w:szCs w:val="24"/>
        </w:rPr>
      </w:pPr>
    </w:p>
    <w:p w14:paraId="395F9C4C" w14:textId="77777777" w:rsidR="00600256" w:rsidRDefault="00600256" w:rsidP="00600256">
      <w:pPr>
        <w:spacing w:after="0" w:line="480" w:lineRule="auto"/>
        <w:rPr>
          <w:rFonts w:ascii="Times New Roman" w:hAnsi="Times New Roman" w:cs="Times New Roman"/>
          <w:sz w:val="24"/>
          <w:szCs w:val="24"/>
        </w:rPr>
      </w:pPr>
      <w:r w:rsidRPr="008B435D">
        <w:rPr>
          <w:rFonts w:ascii="Times New Roman" w:hAnsi="Times New Roman" w:cs="Times New Roman"/>
          <w:sz w:val="24"/>
          <w:szCs w:val="24"/>
          <w:lang w:val="de-AT"/>
        </w:rPr>
        <w:lastRenderedPageBreak/>
        <w:t>60</w:t>
      </w:r>
      <w:r w:rsidR="00B60652" w:rsidRPr="008B435D">
        <w:rPr>
          <w:rFonts w:ascii="Times New Roman" w:hAnsi="Times New Roman" w:cs="Times New Roman"/>
          <w:sz w:val="24"/>
          <w:szCs w:val="24"/>
          <w:lang w:val="de-AT"/>
        </w:rPr>
        <w:t>.</w:t>
      </w:r>
      <w:r w:rsidRPr="008B435D">
        <w:rPr>
          <w:rFonts w:ascii="Times New Roman" w:hAnsi="Times New Roman" w:cs="Times New Roman"/>
          <w:sz w:val="24"/>
          <w:szCs w:val="24"/>
          <w:lang w:val="de-AT"/>
        </w:rPr>
        <w:t xml:space="preserve"> Morfeld JC, Vennedey V, M</w:t>
      </w:r>
      <w:r w:rsidRPr="00C33A5F">
        <w:rPr>
          <w:rFonts w:ascii="Times New Roman" w:hAnsi="Times New Roman" w:cs="Times New Roman"/>
          <w:sz w:val="24"/>
          <w:szCs w:val="24"/>
        </w:rPr>
        <w:t>ϋ</w:t>
      </w:r>
      <w:r w:rsidRPr="008B435D">
        <w:rPr>
          <w:rFonts w:ascii="Times New Roman" w:hAnsi="Times New Roman" w:cs="Times New Roman"/>
          <w:sz w:val="24"/>
          <w:szCs w:val="24"/>
          <w:lang w:val="de-AT"/>
        </w:rPr>
        <w:t xml:space="preserve">ller D, et al. </w:t>
      </w:r>
      <w:r w:rsidRPr="00C33A5F">
        <w:rPr>
          <w:rFonts w:ascii="Times New Roman" w:hAnsi="Times New Roman" w:cs="Times New Roman"/>
          <w:color w:val="131413"/>
          <w:sz w:val="24"/>
          <w:szCs w:val="24"/>
        </w:rPr>
        <w:t>Patient education in osteoporosis prevention: a systematic</w:t>
      </w:r>
      <w:r w:rsidRPr="00C33A5F">
        <w:rPr>
          <w:rFonts w:ascii="Times New Roman" w:hAnsi="Times New Roman" w:cs="Times New Roman"/>
          <w:sz w:val="24"/>
          <w:szCs w:val="24"/>
        </w:rPr>
        <w:t xml:space="preserve"> </w:t>
      </w:r>
      <w:r w:rsidRPr="00C33A5F">
        <w:rPr>
          <w:rFonts w:ascii="Times New Roman" w:hAnsi="Times New Roman" w:cs="Times New Roman"/>
          <w:color w:val="131413"/>
          <w:sz w:val="24"/>
          <w:szCs w:val="24"/>
        </w:rPr>
        <w:t>review focusing on methodological quality of randomised</w:t>
      </w:r>
      <w:r w:rsidRPr="00C33A5F">
        <w:rPr>
          <w:rFonts w:ascii="Times New Roman" w:hAnsi="Times New Roman" w:cs="Times New Roman"/>
          <w:sz w:val="24"/>
          <w:szCs w:val="24"/>
        </w:rPr>
        <w:t xml:space="preserve"> </w:t>
      </w:r>
      <w:r w:rsidRPr="00C33A5F">
        <w:rPr>
          <w:rFonts w:ascii="Times New Roman" w:hAnsi="Times New Roman" w:cs="Times New Roman"/>
          <w:color w:val="131413"/>
          <w:sz w:val="24"/>
          <w:szCs w:val="24"/>
        </w:rPr>
        <w:t xml:space="preserve">controlled trials. </w:t>
      </w:r>
      <w:proofErr w:type="spellStart"/>
      <w:r w:rsidRPr="00C33A5F">
        <w:rPr>
          <w:rFonts w:ascii="Times New Roman" w:hAnsi="Times New Roman" w:cs="Times New Roman"/>
          <w:i/>
          <w:color w:val="131413"/>
          <w:sz w:val="24"/>
          <w:szCs w:val="24"/>
        </w:rPr>
        <w:t>Osteoporos</w:t>
      </w:r>
      <w:proofErr w:type="spellEnd"/>
      <w:r w:rsidRPr="00C33A5F">
        <w:rPr>
          <w:rFonts w:ascii="Times New Roman" w:hAnsi="Times New Roman" w:cs="Times New Roman"/>
          <w:i/>
          <w:color w:val="131413"/>
          <w:sz w:val="24"/>
          <w:szCs w:val="24"/>
        </w:rPr>
        <w:t xml:space="preserve"> Int </w:t>
      </w:r>
      <w:r w:rsidRPr="00C33A5F">
        <w:rPr>
          <w:rFonts w:ascii="Times New Roman" w:hAnsi="Times New Roman" w:cs="Times New Roman"/>
          <w:color w:val="131413"/>
          <w:sz w:val="24"/>
          <w:szCs w:val="24"/>
        </w:rPr>
        <w:t>2017; 28:1779-803.</w:t>
      </w:r>
      <w:r w:rsidRPr="00C33A5F">
        <w:rPr>
          <w:rFonts w:ascii="Times New Roman" w:hAnsi="Times New Roman" w:cs="Times New Roman"/>
          <w:sz w:val="24"/>
          <w:szCs w:val="24"/>
        </w:rPr>
        <w:t xml:space="preserve"> </w:t>
      </w:r>
    </w:p>
    <w:p w14:paraId="23FBF0CB" w14:textId="77777777" w:rsidR="00562177" w:rsidRDefault="00562177" w:rsidP="00600256">
      <w:pPr>
        <w:spacing w:after="0" w:line="480" w:lineRule="auto"/>
        <w:rPr>
          <w:rFonts w:ascii="Times New Roman" w:hAnsi="Times New Roman" w:cs="Times New Roman"/>
          <w:sz w:val="24"/>
          <w:szCs w:val="24"/>
        </w:rPr>
      </w:pPr>
    </w:p>
    <w:p w14:paraId="135165C7" w14:textId="77777777" w:rsidR="00562177" w:rsidRPr="00C33A5F" w:rsidRDefault="00562177" w:rsidP="008B435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61</w:t>
      </w:r>
      <w:r w:rsidRPr="00FD4AB5">
        <w:rPr>
          <w:rFonts w:ascii="Times New Roman" w:hAnsi="Times New Roman" w:cs="Times New Roman"/>
          <w:sz w:val="24"/>
          <w:szCs w:val="24"/>
        </w:rPr>
        <w:t xml:space="preserve">. </w:t>
      </w:r>
      <w:proofErr w:type="spellStart"/>
      <w:r w:rsidRPr="00FD4AB5">
        <w:rPr>
          <w:rFonts w:ascii="Times New Roman" w:hAnsi="Times New Roman" w:cs="Times New Roman"/>
          <w:sz w:val="24"/>
          <w:szCs w:val="24"/>
        </w:rPr>
        <w:t>Pekkarinen</w:t>
      </w:r>
      <w:proofErr w:type="spellEnd"/>
      <w:r w:rsidRPr="00FD4AB5">
        <w:rPr>
          <w:rFonts w:ascii="Times New Roman" w:hAnsi="Times New Roman" w:cs="Times New Roman"/>
          <w:sz w:val="24"/>
          <w:szCs w:val="24"/>
        </w:rPr>
        <w:t xml:space="preserve"> T,</w:t>
      </w:r>
      <w:r>
        <w:rPr>
          <w:rFonts w:ascii="Times New Roman" w:hAnsi="Times New Roman" w:cs="Times New Roman"/>
          <w:sz w:val="24"/>
          <w:szCs w:val="24"/>
        </w:rPr>
        <w:t xml:space="preserve"> </w:t>
      </w:r>
      <w:proofErr w:type="spellStart"/>
      <w:r>
        <w:rPr>
          <w:rFonts w:ascii="Times New Roman" w:hAnsi="Times New Roman" w:cs="Times New Roman"/>
          <w:sz w:val="24"/>
          <w:szCs w:val="24"/>
        </w:rPr>
        <w:t>Löyttyniemi</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Välimäki</w:t>
      </w:r>
      <w:proofErr w:type="spellEnd"/>
      <w:r>
        <w:rPr>
          <w:rFonts w:ascii="Times New Roman" w:hAnsi="Times New Roman" w:cs="Times New Roman"/>
          <w:sz w:val="24"/>
          <w:szCs w:val="24"/>
        </w:rPr>
        <w:t xml:space="preserve"> M. Hip fracture prevention with a multifactorial educational program in elderly community-dwelling Finnish women. </w:t>
      </w:r>
      <w:proofErr w:type="spellStart"/>
      <w:r w:rsidRPr="00FD4AB5">
        <w:rPr>
          <w:rFonts w:ascii="Times New Roman" w:hAnsi="Times New Roman" w:cs="Times New Roman"/>
          <w:i/>
          <w:sz w:val="24"/>
          <w:szCs w:val="24"/>
        </w:rPr>
        <w:t>Osteoporos</w:t>
      </w:r>
      <w:proofErr w:type="spellEnd"/>
      <w:r w:rsidRPr="00FD4AB5">
        <w:rPr>
          <w:rFonts w:ascii="Times New Roman" w:hAnsi="Times New Roman" w:cs="Times New Roman"/>
          <w:i/>
          <w:sz w:val="24"/>
          <w:szCs w:val="24"/>
        </w:rPr>
        <w:t xml:space="preserve"> Int</w:t>
      </w:r>
      <w:r>
        <w:rPr>
          <w:rFonts w:ascii="Times New Roman" w:hAnsi="Times New Roman" w:cs="Times New Roman"/>
          <w:sz w:val="24"/>
          <w:szCs w:val="24"/>
        </w:rPr>
        <w:t xml:space="preserve"> 2013; 24:2983-92.</w:t>
      </w:r>
    </w:p>
    <w:p w14:paraId="34BA4874" w14:textId="77777777" w:rsidR="00600256" w:rsidRPr="00C33A5F" w:rsidRDefault="00600256" w:rsidP="00600256">
      <w:pPr>
        <w:spacing w:after="0" w:line="480" w:lineRule="auto"/>
        <w:rPr>
          <w:rFonts w:ascii="Times New Roman" w:hAnsi="Times New Roman" w:cs="Times New Roman"/>
          <w:b/>
          <w:sz w:val="24"/>
          <w:szCs w:val="24"/>
        </w:rPr>
      </w:pPr>
    </w:p>
    <w:p w14:paraId="697A56B7" w14:textId="77777777" w:rsidR="00600256" w:rsidRPr="00C33A5F" w:rsidRDefault="00600256" w:rsidP="00600256">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562177">
        <w:rPr>
          <w:rFonts w:ascii="Times New Roman" w:eastAsia="Calibri" w:hAnsi="Times New Roman" w:cs="Times New Roman"/>
          <w:sz w:val="24"/>
          <w:szCs w:val="24"/>
        </w:rPr>
        <w:t>2</w:t>
      </w:r>
      <w:r w:rsidR="00B60652">
        <w:rPr>
          <w:rFonts w:ascii="Times New Roman" w:eastAsia="Calibri" w:hAnsi="Times New Roman" w:cs="Times New Roman"/>
          <w:sz w:val="24"/>
          <w:szCs w:val="24"/>
        </w:rPr>
        <w:t>.</w:t>
      </w:r>
      <w:r w:rsidRPr="00C33A5F">
        <w:rPr>
          <w:rFonts w:ascii="Times New Roman" w:eastAsia="Calibri" w:hAnsi="Times New Roman" w:cs="Times New Roman"/>
          <w:sz w:val="24"/>
          <w:szCs w:val="24"/>
        </w:rPr>
        <w:t xml:space="preserve"> Kennedy CC, Ioannidis G, Thabane L, et al. Successful knowledge translation intervention in long-term care: </w:t>
      </w:r>
      <w:proofErr w:type="gramStart"/>
      <w:r w:rsidRPr="00C33A5F">
        <w:rPr>
          <w:rFonts w:ascii="Times New Roman" w:eastAsia="Calibri" w:hAnsi="Times New Roman" w:cs="Times New Roman"/>
          <w:sz w:val="24"/>
          <w:szCs w:val="24"/>
        </w:rPr>
        <w:t>final results</w:t>
      </w:r>
      <w:proofErr w:type="gramEnd"/>
      <w:r w:rsidRPr="00C33A5F">
        <w:rPr>
          <w:rFonts w:ascii="Times New Roman" w:eastAsia="Calibri" w:hAnsi="Times New Roman" w:cs="Times New Roman"/>
          <w:sz w:val="24"/>
          <w:szCs w:val="24"/>
        </w:rPr>
        <w:t xml:space="preserve"> from the vitamin D and osteoporosis study (</w:t>
      </w:r>
      <w:proofErr w:type="spellStart"/>
      <w:r w:rsidRPr="00C33A5F">
        <w:rPr>
          <w:rFonts w:ascii="Times New Roman" w:eastAsia="Calibri" w:hAnsi="Times New Roman" w:cs="Times New Roman"/>
          <w:sz w:val="24"/>
          <w:szCs w:val="24"/>
        </w:rPr>
        <w:t>ViD</w:t>
      </w:r>
      <w:r w:rsidRPr="00C33A5F">
        <w:rPr>
          <w:rFonts w:ascii="Times New Roman" w:eastAsia="Calibri" w:hAnsi="Times New Roman" w:cs="Times New Roman"/>
          <w:i/>
          <w:sz w:val="24"/>
          <w:szCs w:val="24"/>
        </w:rPr>
        <w:t>O</w:t>
      </w:r>
      <w:r w:rsidRPr="00C33A5F">
        <w:rPr>
          <w:rFonts w:ascii="Times New Roman" w:eastAsia="Calibri" w:hAnsi="Times New Roman" w:cs="Times New Roman"/>
          <w:sz w:val="24"/>
          <w:szCs w:val="24"/>
        </w:rPr>
        <w:t>S</w:t>
      </w:r>
      <w:proofErr w:type="spellEnd"/>
      <w:r w:rsidRPr="00C33A5F">
        <w:rPr>
          <w:rFonts w:ascii="Times New Roman" w:eastAsia="Calibri" w:hAnsi="Times New Roman" w:cs="Times New Roman"/>
          <w:sz w:val="24"/>
          <w:szCs w:val="24"/>
        </w:rPr>
        <w:t xml:space="preserve">) pilot cluster randomized controlled trial. </w:t>
      </w:r>
      <w:r w:rsidRPr="00C33A5F">
        <w:rPr>
          <w:rFonts w:ascii="Times New Roman" w:eastAsia="Calibri" w:hAnsi="Times New Roman" w:cs="Times New Roman"/>
          <w:i/>
          <w:sz w:val="24"/>
          <w:szCs w:val="24"/>
        </w:rPr>
        <w:t xml:space="preserve">Trials </w:t>
      </w:r>
      <w:r w:rsidRPr="00C33A5F">
        <w:rPr>
          <w:rFonts w:ascii="Times New Roman" w:eastAsia="Calibri" w:hAnsi="Times New Roman" w:cs="Times New Roman"/>
          <w:sz w:val="24"/>
          <w:szCs w:val="24"/>
        </w:rPr>
        <w:t>2015; 16:214.</w:t>
      </w:r>
    </w:p>
    <w:p w14:paraId="155D9CC0" w14:textId="77777777" w:rsidR="00600256" w:rsidRPr="00C33A5F" w:rsidRDefault="00600256" w:rsidP="00600256">
      <w:pPr>
        <w:spacing w:after="0" w:line="480" w:lineRule="auto"/>
        <w:jc w:val="both"/>
        <w:rPr>
          <w:rFonts w:ascii="Times New Roman" w:eastAsia="Calibri" w:hAnsi="Times New Roman" w:cs="Times New Roman"/>
          <w:sz w:val="24"/>
          <w:szCs w:val="24"/>
        </w:rPr>
      </w:pPr>
    </w:p>
    <w:p w14:paraId="4353254D" w14:textId="77777777" w:rsidR="00600256" w:rsidRPr="008B435D" w:rsidRDefault="00600256" w:rsidP="00600256">
      <w:pPr>
        <w:spacing w:after="0" w:line="480" w:lineRule="auto"/>
        <w:rPr>
          <w:rFonts w:ascii="Times New Roman" w:hAnsi="Times New Roman" w:cs="Times New Roman"/>
          <w:sz w:val="24"/>
          <w:szCs w:val="24"/>
          <w:lang w:val="de-AT"/>
        </w:rPr>
      </w:pPr>
      <w:r>
        <w:rPr>
          <w:rFonts w:ascii="Times New Roman" w:hAnsi="Times New Roman" w:cs="Times New Roman"/>
          <w:sz w:val="24"/>
          <w:szCs w:val="24"/>
        </w:rPr>
        <w:t>6</w:t>
      </w:r>
      <w:r w:rsidR="00562177">
        <w:rPr>
          <w:rFonts w:ascii="Times New Roman" w:hAnsi="Times New Roman" w:cs="Times New Roman"/>
          <w:sz w:val="24"/>
          <w:szCs w:val="24"/>
        </w:rPr>
        <w:t>3</w:t>
      </w:r>
      <w:r w:rsidR="00B60652">
        <w:rPr>
          <w:rFonts w:ascii="Times New Roman" w:hAnsi="Times New Roman" w:cs="Times New Roman"/>
          <w:sz w:val="24"/>
          <w:szCs w:val="24"/>
        </w:rPr>
        <w:t>.</w:t>
      </w:r>
      <w:r w:rsidRPr="00C33A5F">
        <w:rPr>
          <w:rFonts w:ascii="Times New Roman" w:hAnsi="Times New Roman" w:cs="Times New Roman"/>
          <w:sz w:val="24"/>
          <w:szCs w:val="24"/>
        </w:rPr>
        <w:t xml:space="preserve"> </w:t>
      </w:r>
      <w:r w:rsidRPr="00C33A5F">
        <w:rPr>
          <w:rFonts w:ascii="Times New Roman" w:eastAsia="Calibri" w:hAnsi="Times New Roman" w:cs="Times New Roman"/>
          <w:sz w:val="24"/>
          <w:szCs w:val="24"/>
        </w:rPr>
        <w:t xml:space="preserve">Kilgore ML, Outman R, </w:t>
      </w:r>
      <w:proofErr w:type="spellStart"/>
      <w:r w:rsidRPr="00C33A5F">
        <w:rPr>
          <w:rFonts w:ascii="Times New Roman" w:eastAsia="Calibri" w:hAnsi="Times New Roman" w:cs="Times New Roman"/>
          <w:sz w:val="24"/>
          <w:szCs w:val="24"/>
        </w:rPr>
        <w:t>Locher</w:t>
      </w:r>
      <w:proofErr w:type="spellEnd"/>
      <w:r w:rsidRPr="00C33A5F">
        <w:rPr>
          <w:rFonts w:ascii="Times New Roman" w:eastAsia="Calibri" w:hAnsi="Times New Roman" w:cs="Times New Roman"/>
          <w:sz w:val="24"/>
          <w:szCs w:val="24"/>
        </w:rPr>
        <w:t xml:space="preserve"> JL, et al. Multimodal intervention to improve osteoporosis care in home health settings: results from a cluster randomized trial. </w:t>
      </w:r>
      <w:r w:rsidRPr="008B435D">
        <w:rPr>
          <w:rFonts w:ascii="Times New Roman" w:eastAsia="Calibri" w:hAnsi="Times New Roman" w:cs="Times New Roman"/>
          <w:i/>
          <w:sz w:val="24"/>
          <w:szCs w:val="24"/>
          <w:lang w:val="de-AT"/>
        </w:rPr>
        <w:t>Osteoporos Int</w:t>
      </w:r>
      <w:r w:rsidRPr="008B435D">
        <w:rPr>
          <w:rFonts w:ascii="Times New Roman" w:eastAsia="Calibri" w:hAnsi="Times New Roman" w:cs="Times New Roman"/>
          <w:sz w:val="24"/>
          <w:szCs w:val="24"/>
          <w:lang w:val="de-AT"/>
        </w:rPr>
        <w:t xml:space="preserve"> 2013; 24:2555-60.</w:t>
      </w:r>
    </w:p>
    <w:p w14:paraId="67CAD39C" w14:textId="77777777" w:rsidR="00600256" w:rsidRPr="008B435D" w:rsidRDefault="00600256" w:rsidP="00600256">
      <w:pPr>
        <w:spacing w:after="0" w:line="480" w:lineRule="auto"/>
        <w:jc w:val="both"/>
        <w:rPr>
          <w:rFonts w:ascii="Times New Roman" w:eastAsia="Calibri" w:hAnsi="Times New Roman" w:cs="Times New Roman"/>
          <w:sz w:val="24"/>
          <w:szCs w:val="24"/>
          <w:lang w:val="de-AT"/>
        </w:rPr>
      </w:pPr>
    </w:p>
    <w:p w14:paraId="6B25034D" w14:textId="77777777" w:rsidR="00600256" w:rsidRPr="00C33A5F" w:rsidRDefault="00600256" w:rsidP="00600256">
      <w:pPr>
        <w:spacing w:after="0" w:line="480" w:lineRule="auto"/>
        <w:rPr>
          <w:rFonts w:ascii="Times New Roman" w:hAnsi="Times New Roman" w:cs="Times New Roman"/>
          <w:sz w:val="24"/>
          <w:szCs w:val="24"/>
        </w:rPr>
      </w:pPr>
      <w:r w:rsidRPr="008B435D">
        <w:rPr>
          <w:rFonts w:ascii="Times New Roman" w:eastAsia="Calibri" w:hAnsi="Times New Roman" w:cs="Times New Roman"/>
          <w:sz w:val="24"/>
          <w:szCs w:val="24"/>
          <w:lang w:val="de-AT"/>
        </w:rPr>
        <w:t>6</w:t>
      </w:r>
      <w:r w:rsidR="00562177" w:rsidRPr="008B435D">
        <w:rPr>
          <w:rFonts w:ascii="Times New Roman" w:eastAsia="Calibri" w:hAnsi="Times New Roman" w:cs="Times New Roman"/>
          <w:sz w:val="24"/>
          <w:szCs w:val="24"/>
          <w:lang w:val="de-AT"/>
        </w:rPr>
        <w:t>4</w:t>
      </w:r>
      <w:r w:rsidR="00B60652" w:rsidRPr="008B435D">
        <w:rPr>
          <w:rFonts w:ascii="Times New Roman" w:eastAsia="Calibri" w:hAnsi="Times New Roman" w:cs="Times New Roman"/>
          <w:sz w:val="24"/>
          <w:szCs w:val="24"/>
          <w:lang w:val="de-AT"/>
        </w:rPr>
        <w:t>.</w:t>
      </w:r>
      <w:r w:rsidRPr="008B435D">
        <w:rPr>
          <w:rFonts w:ascii="Times New Roman" w:eastAsia="Calibri" w:hAnsi="Times New Roman" w:cs="Times New Roman"/>
          <w:sz w:val="24"/>
          <w:szCs w:val="24"/>
          <w:lang w:val="de-AT"/>
        </w:rPr>
        <w:t xml:space="preserve"> </w:t>
      </w:r>
      <w:r w:rsidRPr="008B435D">
        <w:rPr>
          <w:rFonts w:ascii="Times New Roman" w:hAnsi="Times New Roman" w:cs="Times New Roman"/>
          <w:sz w:val="24"/>
          <w:szCs w:val="24"/>
          <w:lang w:val="de-AT"/>
        </w:rPr>
        <w:t xml:space="preserve">Ciaschini PM, Straus SE, Dolovich LR, et al. </w:t>
      </w:r>
      <w:r w:rsidRPr="00C33A5F">
        <w:rPr>
          <w:rFonts w:ascii="Times New Roman" w:hAnsi="Times New Roman" w:cs="Times New Roman"/>
          <w:sz w:val="24"/>
          <w:szCs w:val="24"/>
        </w:rPr>
        <w:t xml:space="preserve">Community based intervention to optimize osteoporosis management: randomized controlled trial. </w:t>
      </w:r>
      <w:r w:rsidRPr="00C33A5F">
        <w:rPr>
          <w:rFonts w:ascii="Times New Roman" w:hAnsi="Times New Roman" w:cs="Times New Roman"/>
          <w:i/>
          <w:sz w:val="24"/>
          <w:szCs w:val="24"/>
        </w:rPr>
        <w:t xml:space="preserve">BMC </w:t>
      </w:r>
      <w:proofErr w:type="spellStart"/>
      <w:r w:rsidRPr="00C33A5F">
        <w:rPr>
          <w:rFonts w:ascii="Times New Roman" w:hAnsi="Times New Roman" w:cs="Times New Roman"/>
          <w:i/>
          <w:sz w:val="24"/>
          <w:szCs w:val="24"/>
        </w:rPr>
        <w:t>Geriatr</w:t>
      </w:r>
      <w:proofErr w:type="spellEnd"/>
      <w:r w:rsidRPr="00C33A5F">
        <w:rPr>
          <w:rFonts w:ascii="Times New Roman" w:hAnsi="Times New Roman" w:cs="Times New Roman"/>
          <w:i/>
          <w:sz w:val="24"/>
          <w:szCs w:val="24"/>
        </w:rPr>
        <w:t xml:space="preserve"> </w:t>
      </w:r>
      <w:r w:rsidRPr="00C33A5F">
        <w:rPr>
          <w:rFonts w:ascii="Times New Roman" w:hAnsi="Times New Roman" w:cs="Times New Roman"/>
          <w:sz w:val="24"/>
          <w:szCs w:val="24"/>
        </w:rPr>
        <w:t>2010; 10:60.</w:t>
      </w:r>
    </w:p>
    <w:p w14:paraId="05FC95F1" w14:textId="77777777" w:rsidR="00600256" w:rsidRPr="00C33A5F" w:rsidRDefault="00600256" w:rsidP="00600256">
      <w:pPr>
        <w:spacing w:after="0" w:line="480" w:lineRule="auto"/>
        <w:jc w:val="both"/>
        <w:rPr>
          <w:rFonts w:ascii="Times New Roman" w:eastAsia="Calibri" w:hAnsi="Times New Roman" w:cs="Times New Roman"/>
          <w:sz w:val="24"/>
          <w:szCs w:val="24"/>
        </w:rPr>
      </w:pPr>
    </w:p>
    <w:p w14:paraId="4610E07E" w14:textId="77777777" w:rsidR="00600256" w:rsidRPr="00C33A5F" w:rsidRDefault="00B60652" w:rsidP="00600256">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00256">
        <w:rPr>
          <w:rFonts w:ascii="Times New Roman" w:eastAsia="Calibri" w:hAnsi="Times New Roman" w:cs="Times New Roman"/>
          <w:sz w:val="24"/>
          <w:szCs w:val="24"/>
        </w:rPr>
        <w:t>6</w:t>
      </w:r>
      <w:r w:rsidR="00562177">
        <w:rPr>
          <w:rFonts w:ascii="Times New Roman" w:eastAsia="Calibri" w:hAnsi="Times New Roman" w:cs="Times New Roman"/>
          <w:sz w:val="24"/>
          <w:szCs w:val="24"/>
        </w:rPr>
        <w:t>5</w:t>
      </w:r>
      <w:r>
        <w:rPr>
          <w:rFonts w:ascii="Times New Roman" w:eastAsia="Calibri" w:hAnsi="Times New Roman" w:cs="Times New Roman"/>
          <w:sz w:val="24"/>
          <w:szCs w:val="24"/>
        </w:rPr>
        <w:t>.</w:t>
      </w:r>
      <w:r w:rsidR="00600256" w:rsidRPr="00C33A5F">
        <w:rPr>
          <w:rFonts w:ascii="Times New Roman" w:eastAsia="Calibri" w:hAnsi="Times New Roman" w:cs="Times New Roman"/>
          <w:sz w:val="24"/>
          <w:szCs w:val="24"/>
        </w:rPr>
        <w:t xml:space="preserve"> </w:t>
      </w:r>
      <w:proofErr w:type="spellStart"/>
      <w:r w:rsidR="00600256" w:rsidRPr="00C33A5F">
        <w:rPr>
          <w:rFonts w:ascii="Times New Roman" w:eastAsia="Calibri" w:hAnsi="Times New Roman" w:cs="Times New Roman"/>
          <w:sz w:val="24"/>
          <w:szCs w:val="24"/>
        </w:rPr>
        <w:t>Baypinar</w:t>
      </w:r>
      <w:proofErr w:type="spellEnd"/>
      <w:r w:rsidR="00600256" w:rsidRPr="00C33A5F">
        <w:rPr>
          <w:rFonts w:ascii="Times New Roman" w:eastAsia="Calibri" w:hAnsi="Times New Roman" w:cs="Times New Roman"/>
          <w:sz w:val="24"/>
          <w:szCs w:val="24"/>
        </w:rPr>
        <w:t xml:space="preserve"> F, </w:t>
      </w:r>
      <w:proofErr w:type="spellStart"/>
      <w:r w:rsidR="00600256" w:rsidRPr="00C33A5F">
        <w:rPr>
          <w:rFonts w:ascii="Times New Roman" w:eastAsia="Calibri" w:hAnsi="Times New Roman" w:cs="Times New Roman"/>
          <w:sz w:val="24"/>
          <w:szCs w:val="24"/>
        </w:rPr>
        <w:t>Kingma</w:t>
      </w:r>
      <w:proofErr w:type="spellEnd"/>
      <w:r w:rsidR="00600256" w:rsidRPr="00C33A5F">
        <w:rPr>
          <w:rFonts w:ascii="Times New Roman" w:eastAsia="Calibri" w:hAnsi="Times New Roman" w:cs="Times New Roman"/>
          <w:sz w:val="24"/>
          <w:szCs w:val="24"/>
        </w:rPr>
        <w:t xml:space="preserve"> HJ, van der </w:t>
      </w:r>
      <w:proofErr w:type="spellStart"/>
      <w:r w:rsidR="00600256" w:rsidRPr="00C33A5F">
        <w:rPr>
          <w:rFonts w:ascii="Times New Roman" w:eastAsia="Calibri" w:hAnsi="Times New Roman" w:cs="Times New Roman"/>
          <w:sz w:val="24"/>
          <w:szCs w:val="24"/>
        </w:rPr>
        <w:t>Hoeven</w:t>
      </w:r>
      <w:proofErr w:type="spellEnd"/>
      <w:r w:rsidR="00600256" w:rsidRPr="00C33A5F">
        <w:rPr>
          <w:rFonts w:ascii="Times New Roman" w:eastAsia="Calibri" w:hAnsi="Times New Roman" w:cs="Times New Roman"/>
          <w:sz w:val="24"/>
          <w:szCs w:val="24"/>
        </w:rPr>
        <w:t xml:space="preserve"> RTM, et al. Physicians’ compliance with a clinical decision support system alerting during the prescribing process. </w:t>
      </w:r>
      <w:r w:rsidR="00600256" w:rsidRPr="00C33A5F">
        <w:rPr>
          <w:rFonts w:ascii="Times New Roman" w:eastAsia="Calibri" w:hAnsi="Times New Roman" w:cs="Times New Roman"/>
          <w:i/>
          <w:sz w:val="24"/>
          <w:szCs w:val="24"/>
        </w:rPr>
        <w:t xml:space="preserve">J Med </w:t>
      </w:r>
      <w:proofErr w:type="spellStart"/>
      <w:r w:rsidR="00600256" w:rsidRPr="00C33A5F">
        <w:rPr>
          <w:rFonts w:ascii="Times New Roman" w:eastAsia="Calibri" w:hAnsi="Times New Roman" w:cs="Times New Roman"/>
          <w:i/>
          <w:sz w:val="24"/>
          <w:szCs w:val="24"/>
        </w:rPr>
        <w:t>Syst</w:t>
      </w:r>
      <w:proofErr w:type="spellEnd"/>
      <w:r w:rsidR="00600256" w:rsidRPr="00C33A5F">
        <w:rPr>
          <w:rFonts w:ascii="Times New Roman" w:eastAsia="Calibri" w:hAnsi="Times New Roman" w:cs="Times New Roman"/>
          <w:sz w:val="24"/>
          <w:szCs w:val="24"/>
        </w:rPr>
        <w:t xml:space="preserve"> 2017; 41:96. </w:t>
      </w:r>
    </w:p>
    <w:p w14:paraId="1081267B" w14:textId="77777777" w:rsidR="00600256" w:rsidRPr="00C33A5F" w:rsidRDefault="00600256" w:rsidP="00600256">
      <w:pPr>
        <w:spacing w:after="0" w:line="480" w:lineRule="auto"/>
        <w:rPr>
          <w:rFonts w:ascii="Times New Roman" w:hAnsi="Times New Roman" w:cs="Times New Roman"/>
          <w:sz w:val="24"/>
          <w:szCs w:val="24"/>
        </w:rPr>
      </w:pPr>
    </w:p>
    <w:p w14:paraId="45ADF4F4" w14:textId="77777777" w:rsidR="00600256" w:rsidRPr="00306C66" w:rsidRDefault="00600256" w:rsidP="00600256">
      <w:pPr>
        <w:spacing w:after="0" w:line="480" w:lineRule="auto"/>
        <w:rPr>
          <w:rFonts w:ascii="Times New Roman" w:hAnsi="Times New Roman" w:cs="Times New Roman"/>
          <w:sz w:val="24"/>
          <w:szCs w:val="24"/>
        </w:rPr>
      </w:pPr>
      <w:r>
        <w:rPr>
          <w:rFonts w:ascii="Times New Roman" w:hAnsi="Times New Roman" w:cs="Times New Roman"/>
          <w:sz w:val="24"/>
          <w:szCs w:val="24"/>
        </w:rPr>
        <w:t>6</w:t>
      </w:r>
      <w:r w:rsidR="00562177">
        <w:rPr>
          <w:rFonts w:ascii="Times New Roman" w:hAnsi="Times New Roman" w:cs="Times New Roman"/>
          <w:sz w:val="24"/>
          <w:szCs w:val="24"/>
        </w:rPr>
        <w:t>6</w:t>
      </w:r>
      <w:r w:rsidR="00B60652">
        <w:rPr>
          <w:rFonts w:ascii="Times New Roman" w:hAnsi="Times New Roman" w:cs="Times New Roman"/>
          <w:sz w:val="24"/>
          <w:szCs w:val="24"/>
        </w:rPr>
        <w:t>.</w:t>
      </w:r>
      <w:r w:rsidRPr="00C33A5F">
        <w:rPr>
          <w:rFonts w:ascii="Times New Roman" w:hAnsi="Times New Roman" w:cs="Times New Roman"/>
          <w:sz w:val="24"/>
          <w:szCs w:val="24"/>
        </w:rPr>
        <w:t xml:space="preserve"> </w:t>
      </w:r>
      <w:proofErr w:type="spellStart"/>
      <w:r w:rsidRPr="00C33A5F">
        <w:rPr>
          <w:rFonts w:ascii="Times New Roman" w:hAnsi="Times New Roman" w:cs="Times New Roman"/>
          <w:sz w:val="24"/>
          <w:szCs w:val="24"/>
        </w:rPr>
        <w:t>Grigoryan</w:t>
      </w:r>
      <w:proofErr w:type="spellEnd"/>
      <w:r w:rsidRPr="00C33A5F">
        <w:rPr>
          <w:rFonts w:ascii="Times New Roman" w:hAnsi="Times New Roman" w:cs="Times New Roman"/>
          <w:sz w:val="24"/>
          <w:szCs w:val="24"/>
        </w:rPr>
        <w:t xml:space="preserve"> KV, </w:t>
      </w:r>
      <w:proofErr w:type="spellStart"/>
      <w:r w:rsidRPr="00C33A5F">
        <w:rPr>
          <w:rFonts w:ascii="Times New Roman" w:hAnsi="Times New Roman" w:cs="Times New Roman"/>
          <w:sz w:val="24"/>
          <w:szCs w:val="24"/>
        </w:rPr>
        <w:t>Javedan</w:t>
      </w:r>
      <w:proofErr w:type="spellEnd"/>
      <w:r w:rsidRPr="00C33A5F">
        <w:rPr>
          <w:rFonts w:ascii="Times New Roman" w:hAnsi="Times New Roman" w:cs="Times New Roman"/>
          <w:sz w:val="24"/>
          <w:szCs w:val="24"/>
        </w:rPr>
        <w:t xml:space="preserve"> H, Rudolph JL. Orthogeriatric care models and outcomes in hip fracture patients: A systematic review and meta-analysis. </w:t>
      </w:r>
      <w:r w:rsidRPr="00306C66">
        <w:rPr>
          <w:rFonts w:ascii="Times New Roman" w:hAnsi="Times New Roman" w:cs="Times New Roman"/>
          <w:i/>
          <w:sz w:val="24"/>
          <w:szCs w:val="24"/>
        </w:rPr>
        <w:t xml:space="preserve">J </w:t>
      </w:r>
      <w:proofErr w:type="spellStart"/>
      <w:r w:rsidRPr="00306C66">
        <w:rPr>
          <w:rFonts w:ascii="Times New Roman" w:hAnsi="Times New Roman" w:cs="Times New Roman"/>
          <w:i/>
          <w:sz w:val="24"/>
          <w:szCs w:val="24"/>
        </w:rPr>
        <w:t>Orthop</w:t>
      </w:r>
      <w:proofErr w:type="spellEnd"/>
      <w:r w:rsidRPr="00306C66">
        <w:rPr>
          <w:rFonts w:ascii="Times New Roman" w:hAnsi="Times New Roman" w:cs="Times New Roman"/>
          <w:i/>
          <w:sz w:val="24"/>
          <w:szCs w:val="24"/>
        </w:rPr>
        <w:t xml:space="preserve"> Trauma</w:t>
      </w:r>
      <w:r w:rsidRPr="00306C66">
        <w:rPr>
          <w:rFonts w:ascii="Times New Roman" w:hAnsi="Times New Roman" w:cs="Times New Roman"/>
          <w:sz w:val="24"/>
          <w:szCs w:val="24"/>
        </w:rPr>
        <w:t xml:space="preserve"> 2014; </w:t>
      </w:r>
      <w:proofErr w:type="gramStart"/>
      <w:r w:rsidRPr="00306C66">
        <w:rPr>
          <w:rFonts w:ascii="Times New Roman" w:hAnsi="Times New Roman" w:cs="Times New Roman"/>
          <w:sz w:val="24"/>
          <w:szCs w:val="24"/>
        </w:rPr>
        <w:t>28:e</w:t>
      </w:r>
      <w:proofErr w:type="gramEnd"/>
      <w:r w:rsidRPr="00306C66">
        <w:rPr>
          <w:rFonts w:ascii="Times New Roman" w:hAnsi="Times New Roman" w:cs="Times New Roman"/>
          <w:sz w:val="24"/>
          <w:szCs w:val="24"/>
        </w:rPr>
        <w:t>49-e55.</w:t>
      </w:r>
    </w:p>
    <w:p w14:paraId="3D9B1E4A" w14:textId="77777777" w:rsidR="00FB15C0" w:rsidRPr="00306C66" w:rsidRDefault="00FB15C0" w:rsidP="00600256">
      <w:pPr>
        <w:spacing w:after="0" w:line="480" w:lineRule="auto"/>
        <w:rPr>
          <w:rFonts w:ascii="Times New Roman" w:hAnsi="Times New Roman" w:cs="Times New Roman"/>
          <w:sz w:val="24"/>
          <w:szCs w:val="24"/>
        </w:rPr>
      </w:pPr>
    </w:p>
    <w:p w14:paraId="02E5DB12" w14:textId="77777777" w:rsidR="00600256" w:rsidRPr="00C33A5F" w:rsidRDefault="00600256" w:rsidP="00600256">
      <w:pPr>
        <w:spacing w:after="0" w:line="480" w:lineRule="auto"/>
        <w:rPr>
          <w:rFonts w:ascii="Times New Roman" w:hAnsi="Times New Roman" w:cs="Times New Roman"/>
          <w:sz w:val="24"/>
          <w:szCs w:val="24"/>
        </w:rPr>
      </w:pPr>
      <w:r w:rsidRPr="00306C66">
        <w:rPr>
          <w:rFonts w:ascii="Times New Roman" w:hAnsi="Times New Roman" w:cs="Times New Roman"/>
          <w:sz w:val="24"/>
          <w:szCs w:val="24"/>
        </w:rPr>
        <w:lastRenderedPageBreak/>
        <w:t>6</w:t>
      </w:r>
      <w:r w:rsidR="00562177" w:rsidRPr="00306C66">
        <w:rPr>
          <w:rFonts w:ascii="Times New Roman" w:hAnsi="Times New Roman" w:cs="Times New Roman"/>
          <w:sz w:val="24"/>
          <w:szCs w:val="24"/>
        </w:rPr>
        <w:t>7</w:t>
      </w:r>
      <w:r w:rsidR="00B60652" w:rsidRPr="00306C66">
        <w:rPr>
          <w:rFonts w:ascii="Times New Roman" w:hAnsi="Times New Roman" w:cs="Times New Roman"/>
          <w:sz w:val="24"/>
          <w:szCs w:val="24"/>
        </w:rPr>
        <w:t>.</w:t>
      </w:r>
      <w:r w:rsidRPr="00306C66">
        <w:rPr>
          <w:rFonts w:ascii="Times New Roman" w:hAnsi="Times New Roman" w:cs="Times New Roman"/>
          <w:sz w:val="24"/>
          <w:szCs w:val="24"/>
        </w:rPr>
        <w:t xml:space="preserve"> </w:t>
      </w:r>
      <w:proofErr w:type="spellStart"/>
      <w:r w:rsidRPr="00306C66">
        <w:rPr>
          <w:rFonts w:ascii="Times New Roman" w:hAnsi="Times New Roman" w:cs="Times New Roman"/>
          <w:sz w:val="24"/>
          <w:szCs w:val="24"/>
        </w:rPr>
        <w:t>Prestmo</w:t>
      </w:r>
      <w:proofErr w:type="spellEnd"/>
      <w:r w:rsidRPr="00306C66">
        <w:rPr>
          <w:rFonts w:ascii="Times New Roman" w:hAnsi="Times New Roman" w:cs="Times New Roman"/>
          <w:sz w:val="24"/>
          <w:szCs w:val="24"/>
        </w:rPr>
        <w:t xml:space="preserve"> A, Hagen G, </w:t>
      </w:r>
      <w:proofErr w:type="spellStart"/>
      <w:r w:rsidRPr="00306C66">
        <w:rPr>
          <w:rFonts w:ascii="Times New Roman" w:hAnsi="Times New Roman" w:cs="Times New Roman"/>
          <w:sz w:val="24"/>
          <w:szCs w:val="24"/>
        </w:rPr>
        <w:t>Sletvold</w:t>
      </w:r>
      <w:proofErr w:type="spellEnd"/>
      <w:r w:rsidRPr="00306C66">
        <w:rPr>
          <w:rFonts w:ascii="Times New Roman" w:hAnsi="Times New Roman" w:cs="Times New Roman"/>
          <w:sz w:val="24"/>
          <w:szCs w:val="24"/>
        </w:rPr>
        <w:t xml:space="preserve"> O, et al. </w:t>
      </w:r>
      <w:r w:rsidRPr="00C33A5F">
        <w:rPr>
          <w:rFonts w:ascii="Times New Roman" w:hAnsi="Times New Roman" w:cs="Times New Roman"/>
          <w:sz w:val="24"/>
          <w:szCs w:val="24"/>
        </w:rPr>
        <w:t xml:space="preserve">Comprehensive geriatric care for patients with hip fractures: a prospective, randomised, controlled trial. </w:t>
      </w:r>
      <w:r w:rsidRPr="00C33A5F">
        <w:rPr>
          <w:rFonts w:ascii="Times New Roman" w:hAnsi="Times New Roman" w:cs="Times New Roman"/>
          <w:i/>
          <w:sz w:val="24"/>
          <w:szCs w:val="24"/>
        </w:rPr>
        <w:t>Lancet</w:t>
      </w:r>
      <w:r w:rsidRPr="00C33A5F">
        <w:rPr>
          <w:rFonts w:ascii="Times New Roman" w:hAnsi="Times New Roman" w:cs="Times New Roman"/>
          <w:sz w:val="24"/>
          <w:szCs w:val="24"/>
        </w:rPr>
        <w:t xml:space="preserve"> 2015; 385:1623-33.</w:t>
      </w:r>
    </w:p>
    <w:p w14:paraId="47120161" w14:textId="77777777" w:rsidR="00600256" w:rsidRPr="00C33A5F" w:rsidRDefault="00600256" w:rsidP="00600256">
      <w:pPr>
        <w:spacing w:after="0" w:line="480" w:lineRule="auto"/>
        <w:rPr>
          <w:rFonts w:ascii="Times New Roman" w:hAnsi="Times New Roman" w:cs="Times New Roman"/>
          <w:sz w:val="24"/>
          <w:szCs w:val="24"/>
        </w:rPr>
      </w:pPr>
    </w:p>
    <w:p w14:paraId="18CBB6CB" w14:textId="77777777" w:rsidR="00600256" w:rsidRPr="00C33A5F" w:rsidRDefault="00600256" w:rsidP="00600256">
      <w:pPr>
        <w:spacing w:after="0" w:line="480" w:lineRule="auto"/>
        <w:rPr>
          <w:rFonts w:ascii="Times New Roman" w:hAnsi="Times New Roman" w:cs="Times New Roman"/>
          <w:sz w:val="24"/>
          <w:szCs w:val="24"/>
        </w:rPr>
      </w:pPr>
      <w:r w:rsidRPr="00306C66">
        <w:rPr>
          <w:rFonts w:ascii="Times New Roman" w:hAnsi="Times New Roman" w:cs="Times New Roman"/>
          <w:sz w:val="24"/>
          <w:szCs w:val="24"/>
        </w:rPr>
        <w:t>6</w:t>
      </w:r>
      <w:r w:rsidR="00562177" w:rsidRPr="00306C66">
        <w:rPr>
          <w:rFonts w:ascii="Times New Roman" w:hAnsi="Times New Roman" w:cs="Times New Roman"/>
          <w:sz w:val="24"/>
          <w:szCs w:val="24"/>
        </w:rPr>
        <w:t>8</w:t>
      </w:r>
      <w:r w:rsidR="00B60652" w:rsidRPr="00306C66">
        <w:rPr>
          <w:rFonts w:ascii="Times New Roman" w:hAnsi="Times New Roman" w:cs="Times New Roman"/>
          <w:sz w:val="24"/>
          <w:szCs w:val="24"/>
        </w:rPr>
        <w:t>.</w:t>
      </w:r>
      <w:r w:rsidRPr="00306C66">
        <w:rPr>
          <w:rFonts w:ascii="Times New Roman" w:hAnsi="Times New Roman" w:cs="Times New Roman"/>
          <w:sz w:val="24"/>
          <w:szCs w:val="24"/>
        </w:rPr>
        <w:t xml:space="preserve"> Wu CH, Kao IJ, Hung WC, et al. </w:t>
      </w:r>
      <w:r w:rsidRPr="00C33A5F">
        <w:rPr>
          <w:rFonts w:ascii="Times New Roman" w:hAnsi="Times New Roman" w:cs="Times New Roman"/>
          <w:sz w:val="24"/>
          <w:szCs w:val="24"/>
        </w:rPr>
        <w:t xml:space="preserve">Economic impact and cost-effectiveness of fracture liaison services: a systematic review of the literature. </w:t>
      </w:r>
      <w:proofErr w:type="spellStart"/>
      <w:r w:rsidRPr="00C33A5F">
        <w:rPr>
          <w:rFonts w:ascii="Times New Roman" w:hAnsi="Times New Roman" w:cs="Times New Roman"/>
          <w:i/>
          <w:sz w:val="24"/>
          <w:szCs w:val="24"/>
        </w:rPr>
        <w:t>Osteoporos</w:t>
      </w:r>
      <w:proofErr w:type="spellEnd"/>
      <w:r w:rsidRPr="00C33A5F">
        <w:rPr>
          <w:rFonts w:ascii="Times New Roman" w:hAnsi="Times New Roman" w:cs="Times New Roman"/>
          <w:i/>
          <w:sz w:val="24"/>
          <w:szCs w:val="24"/>
        </w:rPr>
        <w:t xml:space="preserve"> Int</w:t>
      </w:r>
      <w:r w:rsidRPr="00C33A5F">
        <w:rPr>
          <w:rFonts w:ascii="Times New Roman" w:hAnsi="Times New Roman" w:cs="Times New Roman"/>
          <w:sz w:val="24"/>
          <w:szCs w:val="24"/>
        </w:rPr>
        <w:t xml:space="preserve"> 2018b; 29:1227-42.</w:t>
      </w:r>
    </w:p>
    <w:p w14:paraId="5A3037FA" w14:textId="77777777" w:rsidR="00600256" w:rsidRPr="00C33A5F" w:rsidRDefault="00600256" w:rsidP="00600256">
      <w:pPr>
        <w:spacing w:after="0" w:line="480" w:lineRule="auto"/>
        <w:rPr>
          <w:rFonts w:ascii="Times New Roman" w:hAnsi="Times New Roman" w:cs="Times New Roman"/>
          <w:sz w:val="24"/>
          <w:szCs w:val="24"/>
        </w:rPr>
      </w:pPr>
    </w:p>
    <w:p w14:paraId="06E04E6F" w14:textId="77777777" w:rsidR="00600256" w:rsidRPr="00C33A5F" w:rsidRDefault="00600256" w:rsidP="00600256">
      <w:pPr>
        <w:spacing w:after="0" w:line="480" w:lineRule="auto"/>
        <w:rPr>
          <w:rFonts w:ascii="Times New Roman" w:hAnsi="Times New Roman" w:cs="Times New Roman"/>
          <w:sz w:val="24"/>
          <w:szCs w:val="24"/>
        </w:rPr>
      </w:pPr>
      <w:r>
        <w:rPr>
          <w:rFonts w:ascii="Times New Roman" w:hAnsi="Times New Roman" w:cs="Times New Roman"/>
          <w:sz w:val="24"/>
          <w:szCs w:val="24"/>
        </w:rPr>
        <w:t>6</w:t>
      </w:r>
      <w:r w:rsidR="00562177">
        <w:rPr>
          <w:rFonts w:ascii="Times New Roman" w:hAnsi="Times New Roman" w:cs="Times New Roman"/>
          <w:sz w:val="24"/>
          <w:szCs w:val="24"/>
        </w:rPr>
        <w:t>9</w:t>
      </w:r>
      <w:r w:rsidR="00B60652">
        <w:rPr>
          <w:rFonts w:ascii="Times New Roman" w:hAnsi="Times New Roman" w:cs="Times New Roman"/>
          <w:sz w:val="24"/>
          <w:szCs w:val="24"/>
        </w:rPr>
        <w:t>.</w:t>
      </w:r>
      <w:r w:rsidRPr="00C33A5F">
        <w:rPr>
          <w:rFonts w:ascii="Times New Roman" w:hAnsi="Times New Roman" w:cs="Times New Roman"/>
          <w:sz w:val="24"/>
          <w:szCs w:val="24"/>
        </w:rPr>
        <w:t xml:space="preserve"> </w:t>
      </w:r>
      <w:proofErr w:type="spellStart"/>
      <w:r w:rsidRPr="00C33A5F">
        <w:rPr>
          <w:rFonts w:ascii="Times New Roman" w:hAnsi="Times New Roman" w:cs="Times New Roman"/>
          <w:sz w:val="24"/>
          <w:szCs w:val="24"/>
        </w:rPr>
        <w:t>Leigheb</w:t>
      </w:r>
      <w:proofErr w:type="spellEnd"/>
      <w:r w:rsidRPr="00C33A5F">
        <w:rPr>
          <w:rFonts w:ascii="Times New Roman" w:hAnsi="Times New Roman" w:cs="Times New Roman"/>
          <w:sz w:val="24"/>
          <w:szCs w:val="24"/>
        </w:rPr>
        <w:t xml:space="preserve"> F, </w:t>
      </w:r>
      <w:proofErr w:type="spellStart"/>
      <w:r w:rsidRPr="00C33A5F">
        <w:rPr>
          <w:rFonts w:ascii="Times New Roman" w:hAnsi="Times New Roman" w:cs="Times New Roman"/>
          <w:sz w:val="24"/>
          <w:szCs w:val="24"/>
        </w:rPr>
        <w:t>Vanhaecht</w:t>
      </w:r>
      <w:proofErr w:type="spellEnd"/>
      <w:r w:rsidRPr="00C33A5F">
        <w:rPr>
          <w:rFonts w:ascii="Times New Roman" w:hAnsi="Times New Roman" w:cs="Times New Roman"/>
          <w:sz w:val="24"/>
          <w:szCs w:val="24"/>
        </w:rPr>
        <w:t xml:space="preserve"> K, </w:t>
      </w:r>
      <w:proofErr w:type="spellStart"/>
      <w:r w:rsidRPr="00C33A5F">
        <w:rPr>
          <w:rFonts w:ascii="Times New Roman" w:hAnsi="Times New Roman" w:cs="Times New Roman"/>
          <w:sz w:val="24"/>
          <w:szCs w:val="24"/>
        </w:rPr>
        <w:t>Sermeus</w:t>
      </w:r>
      <w:proofErr w:type="spellEnd"/>
      <w:r w:rsidRPr="00C33A5F">
        <w:rPr>
          <w:rFonts w:ascii="Times New Roman" w:hAnsi="Times New Roman" w:cs="Times New Roman"/>
          <w:sz w:val="24"/>
          <w:szCs w:val="24"/>
        </w:rPr>
        <w:t xml:space="preserve"> W, et al. The effect of care pathways for hip fractures: a systematic overview of secondary studies. </w:t>
      </w:r>
      <w:r w:rsidRPr="00C33A5F">
        <w:rPr>
          <w:rFonts w:ascii="Times New Roman" w:hAnsi="Times New Roman" w:cs="Times New Roman"/>
          <w:i/>
          <w:sz w:val="24"/>
          <w:szCs w:val="24"/>
        </w:rPr>
        <w:t xml:space="preserve">Eur J </w:t>
      </w:r>
      <w:proofErr w:type="spellStart"/>
      <w:r w:rsidRPr="00C33A5F">
        <w:rPr>
          <w:rFonts w:ascii="Times New Roman" w:hAnsi="Times New Roman" w:cs="Times New Roman"/>
          <w:i/>
          <w:sz w:val="24"/>
          <w:szCs w:val="24"/>
        </w:rPr>
        <w:t>Orthop</w:t>
      </w:r>
      <w:proofErr w:type="spellEnd"/>
      <w:r w:rsidRPr="00C33A5F">
        <w:rPr>
          <w:rFonts w:ascii="Times New Roman" w:hAnsi="Times New Roman" w:cs="Times New Roman"/>
          <w:i/>
          <w:sz w:val="24"/>
          <w:szCs w:val="24"/>
        </w:rPr>
        <w:t xml:space="preserve"> </w:t>
      </w:r>
      <w:proofErr w:type="spellStart"/>
      <w:r w:rsidRPr="00C33A5F">
        <w:rPr>
          <w:rFonts w:ascii="Times New Roman" w:hAnsi="Times New Roman" w:cs="Times New Roman"/>
          <w:i/>
          <w:sz w:val="24"/>
          <w:szCs w:val="24"/>
        </w:rPr>
        <w:t>Surg</w:t>
      </w:r>
      <w:proofErr w:type="spellEnd"/>
      <w:r w:rsidRPr="00C33A5F">
        <w:rPr>
          <w:rFonts w:ascii="Times New Roman" w:hAnsi="Times New Roman" w:cs="Times New Roman"/>
          <w:i/>
          <w:sz w:val="24"/>
          <w:szCs w:val="24"/>
        </w:rPr>
        <w:t xml:space="preserve"> </w:t>
      </w:r>
      <w:proofErr w:type="spellStart"/>
      <w:r w:rsidRPr="00C33A5F">
        <w:rPr>
          <w:rFonts w:ascii="Times New Roman" w:hAnsi="Times New Roman" w:cs="Times New Roman"/>
          <w:i/>
          <w:sz w:val="24"/>
          <w:szCs w:val="24"/>
        </w:rPr>
        <w:t>Traumatol</w:t>
      </w:r>
      <w:proofErr w:type="spellEnd"/>
      <w:r w:rsidRPr="00C33A5F">
        <w:rPr>
          <w:rFonts w:ascii="Times New Roman" w:hAnsi="Times New Roman" w:cs="Times New Roman"/>
          <w:sz w:val="24"/>
          <w:szCs w:val="24"/>
        </w:rPr>
        <w:t xml:space="preserve"> 2013; 23:737-45.</w:t>
      </w:r>
    </w:p>
    <w:p w14:paraId="662DBF48" w14:textId="77777777" w:rsidR="00600256" w:rsidRPr="00C33A5F" w:rsidRDefault="00600256" w:rsidP="00600256">
      <w:pPr>
        <w:spacing w:after="0" w:line="480" w:lineRule="auto"/>
        <w:rPr>
          <w:rFonts w:ascii="Times New Roman" w:hAnsi="Times New Roman" w:cs="Times New Roman"/>
          <w:sz w:val="24"/>
          <w:szCs w:val="24"/>
        </w:rPr>
      </w:pPr>
    </w:p>
    <w:p w14:paraId="04100786" w14:textId="77777777" w:rsidR="00600256" w:rsidRPr="00C33A5F" w:rsidRDefault="00562177" w:rsidP="00600256">
      <w:pPr>
        <w:spacing w:after="0" w:line="480" w:lineRule="auto"/>
        <w:rPr>
          <w:rFonts w:ascii="Times New Roman" w:hAnsi="Times New Roman" w:cs="Times New Roman"/>
          <w:sz w:val="24"/>
          <w:szCs w:val="24"/>
        </w:rPr>
      </w:pPr>
      <w:r>
        <w:rPr>
          <w:rFonts w:ascii="Times New Roman" w:hAnsi="Times New Roman" w:cs="Times New Roman"/>
          <w:sz w:val="24"/>
          <w:szCs w:val="24"/>
        </w:rPr>
        <w:t>70</w:t>
      </w:r>
      <w:r w:rsidR="00B60652">
        <w:rPr>
          <w:rFonts w:ascii="Times New Roman" w:hAnsi="Times New Roman" w:cs="Times New Roman"/>
          <w:sz w:val="24"/>
          <w:szCs w:val="24"/>
        </w:rPr>
        <w:t>.</w:t>
      </w:r>
      <w:r w:rsidR="00600256" w:rsidRPr="00C33A5F">
        <w:rPr>
          <w:rFonts w:ascii="Times New Roman" w:hAnsi="Times New Roman" w:cs="Times New Roman"/>
          <w:sz w:val="24"/>
          <w:szCs w:val="24"/>
        </w:rPr>
        <w:t xml:space="preserve"> </w:t>
      </w:r>
      <w:proofErr w:type="spellStart"/>
      <w:r w:rsidR="00600256" w:rsidRPr="00C33A5F">
        <w:rPr>
          <w:rFonts w:ascii="Times New Roman" w:hAnsi="Times New Roman" w:cs="Times New Roman"/>
          <w:sz w:val="24"/>
          <w:szCs w:val="24"/>
        </w:rPr>
        <w:t>Hiligsmann</w:t>
      </w:r>
      <w:proofErr w:type="spellEnd"/>
      <w:r w:rsidR="00600256" w:rsidRPr="00C33A5F">
        <w:rPr>
          <w:rFonts w:ascii="Times New Roman" w:hAnsi="Times New Roman" w:cs="Times New Roman"/>
          <w:sz w:val="24"/>
          <w:szCs w:val="24"/>
        </w:rPr>
        <w:t xml:space="preserve"> M, Salas M, Hughes DA, et al. Interventions to improve osteoporosis medication adherence and persistence: a systematic review and literature appraisal by the ISPOR Medication &amp; Persistence Special Interest Group. </w:t>
      </w:r>
      <w:proofErr w:type="spellStart"/>
      <w:r w:rsidR="00600256" w:rsidRPr="00C33A5F">
        <w:rPr>
          <w:rFonts w:ascii="Times New Roman" w:hAnsi="Times New Roman" w:cs="Times New Roman"/>
          <w:i/>
          <w:sz w:val="24"/>
          <w:szCs w:val="24"/>
        </w:rPr>
        <w:t>Osteoporos</w:t>
      </w:r>
      <w:proofErr w:type="spellEnd"/>
      <w:r w:rsidR="00600256" w:rsidRPr="00C33A5F">
        <w:rPr>
          <w:rFonts w:ascii="Times New Roman" w:hAnsi="Times New Roman" w:cs="Times New Roman"/>
          <w:i/>
          <w:sz w:val="24"/>
          <w:szCs w:val="24"/>
        </w:rPr>
        <w:t xml:space="preserve"> Int</w:t>
      </w:r>
      <w:r w:rsidR="00600256" w:rsidRPr="00C33A5F">
        <w:rPr>
          <w:rFonts w:ascii="Times New Roman" w:hAnsi="Times New Roman" w:cs="Times New Roman"/>
          <w:sz w:val="24"/>
          <w:szCs w:val="24"/>
        </w:rPr>
        <w:t xml:space="preserve"> 2013; 24:2907-18.</w:t>
      </w:r>
    </w:p>
    <w:p w14:paraId="75FD5566" w14:textId="77777777" w:rsidR="00600256" w:rsidRPr="00C33A5F" w:rsidRDefault="00600256" w:rsidP="00600256">
      <w:pPr>
        <w:spacing w:after="0" w:line="480" w:lineRule="auto"/>
        <w:rPr>
          <w:rFonts w:ascii="Times New Roman" w:hAnsi="Times New Roman" w:cs="Times New Roman"/>
          <w:sz w:val="24"/>
          <w:szCs w:val="24"/>
        </w:rPr>
      </w:pPr>
    </w:p>
    <w:p w14:paraId="12C23354" w14:textId="77777777" w:rsidR="00600256" w:rsidRPr="008B435D" w:rsidRDefault="00600256" w:rsidP="00600256">
      <w:pPr>
        <w:autoSpaceDE w:val="0"/>
        <w:autoSpaceDN w:val="0"/>
        <w:adjustRightInd w:val="0"/>
        <w:spacing w:after="0" w:line="480" w:lineRule="auto"/>
        <w:rPr>
          <w:rFonts w:ascii="Times New Roman" w:hAnsi="Times New Roman" w:cs="Times New Roman"/>
          <w:color w:val="131413"/>
          <w:sz w:val="24"/>
          <w:szCs w:val="24"/>
          <w:lang w:val="de-AT"/>
        </w:rPr>
      </w:pPr>
      <w:r>
        <w:rPr>
          <w:rFonts w:ascii="Times New Roman" w:hAnsi="Times New Roman" w:cs="Times New Roman"/>
          <w:color w:val="131413"/>
          <w:sz w:val="24"/>
          <w:szCs w:val="24"/>
        </w:rPr>
        <w:t>7</w:t>
      </w:r>
      <w:r w:rsidR="00562177">
        <w:rPr>
          <w:rFonts w:ascii="Times New Roman" w:hAnsi="Times New Roman" w:cs="Times New Roman"/>
          <w:color w:val="131413"/>
          <w:sz w:val="24"/>
          <w:szCs w:val="24"/>
        </w:rPr>
        <w:t>1</w:t>
      </w:r>
      <w:r w:rsidR="00B60652">
        <w:rPr>
          <w:rFonts w:ascii="Times New Roman" w:hAnsi="Times New Roman" w:cs="Times New Roman"/>
          <w:color w:val="131413"/>
          <w:sz w:val="24"/>
          <w:szCs w:val="24"/>
        </w:rPr>
        <w:t>.</w:t>
      </w:r>
      <w:r w:rsidRPr="00C33A5F">
        <w:rPr>
          <w:rFonts w:ascii="Times New Roman" w:hAnsi="Times New Roman" w:cs="Times New Roman"/>
          <w:color w:val="131413"/>
          <w:sz w:val="24"/>
          <w:szCs w:val="24"/>
        </w:rPr>
        <w:t xml:space="preserve"> Stuurman-</w:t>
      </w:r>
      <w:proofErr w:type="spellStart"/>
      <w:r w:rsidRPr="00C33A5F">
        <w:rPr>
          <w:rFonts w:ascii="Times New Roman" w:hAnsi="Times New Roman" w:cs="Times New Roman"/>
          <w:color w:val="131413"/>
          <w:sz w:val="24"/>
          <w:szCs w:val="24"/>
        </w:rPr>
        <w:t>Bieze</w:t>
      </w:r>
      <w:proofErr w:type="spellEnd"/>
      <w:r w:rsidRPr="00C33A5F">
        <w:rPr>
          <w:rFonts w:ascii="Times New Roman" w:hAnsi="Times New Roman" w:cs="Times New Roman"/>
          <w:color w:val="131413"/>
          <w:sz w:val="24"/>
          <w:szCs w:val="24"/>
        </w:rPr>
        <w:t xml:space="preserve"> AG, Hiddink EG, van Boven JF, et al. Proactive pharmaceutical care interventions decrease patients’ nonadherence to osteoporosis medication. </w:t>
      </w:r>
      <w:r w:rsidRPr="008B435D">
        <w:rPr>
          <w:rFonts w:ascii="Times New Roman" w:hAnsi="Times New Roman" w:cs="Times New Roman"/>
          <w:i/>
          <w:color w:val="131413"/>
          <w:sz w:val="24"/>
          <w:szCs w:val="24"/>
          <w:lang w:val="de-AT"/>
        </w:rPr>
        <w:t>Osteoporos Int</w:t>
      </w:r>
      <w:r w:rsidRPr="008B435D">
        <w:rPr>
          <w:rFonts w:ascii="Times New Roman" w:hAnsi="Times New Roman" w:cs="Times New Roman"/>
          <w:color w:val="131413"/>
          <w:sz w:val="24"/>
          <w:szCs w:val="24"/>
          <w:lang w:val="de-AT"/>
        </w:rPr>
        <w:t xml:space="preserve"> 2014; 25:1807-12.</w:t>
      </w:r>
    </w:p>
    <w:p w14:paraId="3F37C800" w14:textId="77777777" w:rsidR="00600256" w:rsidRPr="008B435D" w:rsidRDefault="00600256" w:rsidP="00600256">
      <w:pPr>
        <w:autoSpaceDE w:val="0"/>
        <w:autoSpaceDN w:val="0"/>
        <w:adjustRightInd w:val="0"/>
        <w:spacing w:after="0" w:line="480" w:lineRule="auto"/>
        <w:rPr>
          <w:rFonts w:ascii="Times New Roman" w:hAnsi="Times New Roman" w:cs="Times New Roman"/>
          <w:color w:val="131413"/>
          <w:sz w:val="24"/>
          <w:szCs w:val="24"/>
          <w:lang w:val="de-AT"/>
        </w:rPr>
      </w:pPr>
    </w:p>
    <w:p w14:paraId="5A008177" w14:textId="77777777" w:rsidR="00600256" w:rsidRDefault="00600256" w:rsidP="00600256">
      <w:pPr>
        <w:spacing w:after="0" w:line="480" w:lineRule="auto"/>
        <w:rPr>
          <w:rFonts w:ascii="Times New Roman" w:hAnsi="Times New Roman" w:cs="Times New Roman"/>
          <w:color w:val="131413"/>
          <w:sz w:val="24"/>
          <w:szCs w:val="24"/>
        </w:rPr>
      </w:pPr>
      <w:r w:rsidRPr="008B435D">
        <w:rPr>
          <w:rFonts w:ascii="Times New Roman" w:hAnsi="Times New Roman" w:cs="Times New Roman"/>
          <w:color w:val="131413"/>
          <w:sz w:val="24"/>
          <w:szCs w:val="24"/>
          <w:lang w:val="de-AT"/>
        </w:rPr>
        <w:t>7</w:t>
      </w:r>
      <w:r w:rsidR="00562177" w:rsidRPr="008B435D">
        <w:rPr>
          <w:rFonts w:ascii="Times New Roman" w:hAnsi="Times New Roman" w:cs="Times New Roman"/>
          <w:color w:val="131413"/>
          <w:sz w:val="24"/>
          <w:szCs w:val="24"/>
          <w:lang w:val="de-AT"/>
        </w:rPr>
        <w:t>2</w:t>
      </w:r>
      <w:r w:rsidR="00B60652" w:rsidRPr="008B435D">
        <w:rPr>
          <w:rFonts w:ascii="Times New Roman" w:hAnsi="Times New Roman" w:cs="Times New Roman"/>
          <w:color w:val="131413"/>
          <w:sz w:val="24"/>
          <w:szCs w:val="24"/>
          <w:lang w:val="de-AT"/>
        </w:rPr>
        <w:t>.</w:t>
      </w:r>
      <w:r w:rsidRPr="008B435D">
        <w:rPr>
          <w:rFonts w:ascii="Times New Roman" w:hAnsi="Times New Roman" w:cs="Times New Roman"/>
          <w:color w:val="131413"/>
          <w:sz w:val="24"/>
          <w:szCs w:val="24"/>
          <w:lang w:val="de-AT"/>
        </w:rPr>
        <w:t xml:space="preserve"> Kooij MJ, Heerdink ER, van Dijk L, et al. </w:t>
      </w:r>
      <w:r w:rsidRPr="00C33A5F">
        <w:rPr>
          <w:rFonts w:ascii="Times New Roman" w:hAnsi="Times New Roman" w:cs="Times New Roman"/>
          <w:color w:val="131413"/>
          <w:sz w:val="24"/>
          <w:szCs w:val="24"/>
        </w:rPr>
        <w:t xml:space="preserve">Effects of telephone </w:t>
      </w:r>
      <w:proofErr w:type="spellStart"/>
      <w:r w:rsidRPr="00C33A5F">
        <w:rPr>
          <w:rFonts w:ascii="Times New Roman" w:hAnsi="Times New Roman" w:cs="Times New Roman"/>
          <w:color w:val="131413"/>
          <w:sz w:val="24"/>
          <w:szCs w:val="24"/>
        </w:rPr>
        <w:t>counseling</w:t>
      </w:r>
      <w:proofErr w:type="spellEnd"/>
      <w:r w:rsidRPr="00C33A5F">
        <w:rPr>
          <w:rFonts w:ascii="Times New Roman" w:hAnsi="Times New Roman" w:cs="Times New Roman"/>
          <w:color w:val="131413"/>
          <w:sz w:val="24"/>
          <w:szCs w:val="24"/>
        </w:rPr>
        <w:t xml:space="preserve"> intervention by pharmacists (</w:t>
      </w:r>
      <w:proofErr w:type="spellStart"/>
      <w:r w:rsidRPr="00C33A5F">
        <w:rPr>
          <w:rFonts w:ascii="Times New Roman" w:hAnsi="Times New Roman" w:cs="Times New Roman"/>
          <w:color w:val="131413"/>
          <w:sz w:val="24"/>
          <w:szCs w:val="24"/>
        </w:rPr>
        <w:t>TelCIP</w:t>
      </w:r>
      <w:proofErr w:type="spellEnd"/>
      <w:r w:rsidRPr="00C33A5F">
        <w:rPr>
          <w:rFonts w:ascii="Times New Roman" w:hAnsi="Times New Roman" w:cs="Times New Roman"/>
          <w:color w:val="131413"/>
          <w:sz w:val="24"/>
          <w:szCs w:val="24"/>
        </w:rPr>
        <w:t xml:space="preserve">) on medication adherence; Results of a Cluster Randomized Trial. </w:t>
      </w:r>
      <w:r w:rsidRPr="00C33A5F">
        <w:rPr>
          <w:rFonts w:ascii="Times New Roman" w:hAnsi="Times New Roman" w:cs="Times New Roman"/>
          <w:i/>
          <w:color w:val="131413"/>
          <w:sz w:val="24"/>
          <w:szCs w:val="24"/>
        </w:rPr>
        <w:t xml:space="preserve">Front </w:t>
      </w:r>
      <w:proofErr w:type="spellStart"/>
      <w:r w:rsidRPr="00C33A5F">
        <w:rPr>
          <w:rFonts w:ascii="Times New Roman" w:hAnsi="Times New Roman" w:cs="Times New Roman"/>
          <w:i/>
          <w:color w:val="131413"/>
          <w:sz w:val="24"/>
          <w:szCs w:val="24"/>
        </w:rPr>
        <w:t>Pharmacol</w:t>
      </w:r>
      <w:proofErr w:type="spellEnd"/>
      <w:r w:rsidRPr="00C33A5F">
        <w:rPr>
          <w:rFonts w:ascii="Times New Roman" w:hAnsi="Times New Roman" w:cs="Times New Roman"/>
          <w:i/>
          <w:color w:val="131413"/>
          <w:sz w:val="24"/>
          <w:szCs w:val="24"/>
        </w:rPr>
        <w:t xml:space="preserve"> </w:t>
      </w:r>
      <w:r w:rsidRPr="00C33A5F">
        <w:rPr>
          <w:rFonts w:ascii="Times New Roman" w:hAnsi="Times New Roman" w:cs="Times New Roman"/>
          <w:color w:val="131413"/>
          <w:sz w:val="24"/>
          <w:szCs w:val="24"/>
        </w:rPr>
        <w:t>2016; 7:2</w:t>
      </w:r>
      <w:r w:rsidR="008B25AA">
        <w:rPr>
          <w:rFonts w:ascii="Times New Roman" w:hAnsi="Times New Roman" w:cs="Times New Roman"/>
          <w:color w:val="131413"/>
          <w:sz w:val="24"/>
          <w:szCs w:val="24"/>
        </w:rPr>
        <w:t>.</w:t>
      </w:r>
    </w:p>
    <w:p w14:paraId="6073876C" w14:textId="77777777" w:rsidR="008B25AA" w:rsidRDefault="008B25AA" w:rsidP="00600256">
      <w:pPr>
        <w:spacing w:after="0" w:line="480" w:lineRule="auto"/>
      </w:pPr>
    </w:p>
    <w:p w14:paraId="4B1F283B" w14:textId="77777777" w:rsidR="00A12E15" w:rsidRPr="00C33A5F" w:rsidRDefault="00A12E15" w:rsidP="00C919F7">
      <w:pPr>
        <w:autoSpaceDE w:val="0"/>
        <w:autoSpaceDN w:val="0"/>
        <w:adjustRightInd w:val="0"/>
        <w:spacing w:after="0" w:line="480" w:lineRule="auto"/>
        <w:rPr>
          <w:rFonts w:ascii="Times New Roman" w:hAnsi="Times New Roman" w:cs="Times New Roman"/>
          <w:color w:val="131413"/>
          <w:sz w:val="24"/>
          <w:szCs w:val="24"/>
        </w:rPr>
      </w:pPr>
    </w:p>
    <w:sectPr w:rsidR="00A12E15" w:rsidRPr="00C33A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EC8EA" w14:textId="77777777" w:rsidR="006C3395" w:rsidRDefault="006C3395" w:rsidP="00CB4817">
      <w:pPr>
        <w:spacing w:after="0" w:line="240" w:lineRule="auto"/>
      </w:pPr>
      <w:r>
        <w:separator/>
      </w:r>
    </w:p>
  </w:endnote>
  <w:endnote w:type="continuationSeparator" w:id="0">
    <w:p w14:paraId="0EB087E1" w14:textId="77777777" w:rsidR="006C3395" w:rsidRDefault="006C3395" w:rsidP="00CB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853895"/>
      <w:docPartObj>
        <w:docPartGallery w:val="Page Numbers (Bottom of Page)"/>
        <w:docPartUnique/>
      </w:docPartObj>
    </w:sdtPr>
    <w:sdtEndPr>
      <w:rPr>
        <w:noProof/>
      </w:rPr>
    </w:sdtEndPr>
    <w:sdtContent>
      <w:p w14:paraId="63F7C4D2" w14:textId="4E81121A" w:rsidR="007D1E41" w:rsidRDefault="007D1E41">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14:paraId="3346AB5E" w14:textId="77777777" w:rsidR="007D1E41" w:rsidRDefault="007D1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29FD4" w14:textId="77777777" w:rsidR="006C3395" w:rsidRDefault="006C3395" w:rsidP="00CB4817">
      <w:pPr>
        <w:spacing w:after="0" w:line="240" w:lineRule="auto"/>
      </w:pPr>
      <w:r>
        <w:separator/>
      </w:r>
    </w:p>
  </w:footnote>
  <w:footnote w:type="continuationSeparator" w:id="0">
    <w:p w14:paraId="37BFBFFD" w14:textId="77777777" w:rsidR="006C3395" w:rsidRDefault="006C3395" w:rsidP="00CB4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854"/>
    <w:multiLevelType w:val="multilevel"/>
    <w:tmpl w:val="E58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95A71"/>
    <w:multiLevelType w:val="hybridMultilevel"/>
    <w:tmpl w:val="3DE842B6"/>
    <w:lvl w:ilvl="0" w:tplc="840C35C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8853B9"/>
    <w:multiLevelType w:val="hybridMultilevel"/>
    <w:tmpl w:val="2D0C97FC"/>
    <w:lvl w:ilvl="0" w:tplc="6D5001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17B38"/>
    <w:multiLevelType w:val="hybridMultilevel"/>
    <w:tmpl w:val="760AF220"/>
    <w:lvl w:ilvl="0" w:tplc="DC8C8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54E46"/>
    <w:multiLevelType w:val="hybridMultilevel"/>
    <w:tmpl w:val="52F4E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D55804"/>
    <w:multiLevelType w:val="hybridMultilevel"/>
    <w:tmpl w:val="537A06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1C6A28"/>
    <w:multiLevelType w:val="hybridMultilevel"/>
    <w:tmpl w:val="9B9C3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2E1BC1"/>
    <w:multiLevelType w:val="hybridMultilevel"/>
    <w:tmpl w:val="EDB6E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EC5E87"/>
    <w:multiLevelType w:val="hybridMultilevel"/>
    <w:tmpl w:val="71148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F335B9"/>
    <w:multiLevelType w:val="hybridMultilevel"/>
    <w:tmpl w:val="7E90C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C34267"/>
    <w:multiLevelType w:val="hybridMultilevel"/>
    <w:tmpl w:val="75DE2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5306D9"/>
    <w:multiLevelType w:val="hybridMultilevel"/>
    <w:tmpl w:val="AF106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2F0ADC"/>
    <w:multiLevelType w:val="hybridMultilevel"/>
    <w:tmpl w:val="60CA7E3C"/>
    <w:lvl w:ilvl="0" w:tplc="69264E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B21082"/>
    <w:multiLevelType w:val="hybridMultilevel"/>
    <w:tmpl w:val="F7D67A6A"/>
    <w:lvl w:ilvl="0" w:tplc="B0566DF4">
      <w:start w:val="1"/>
      <w:numFmt w:val="bullet"/>
      <w:lvlText w:val="•"/>
      <w:lvlJc w:val="left"/>
      <w:pPr>
        <w:tabs>
          <w:tab w:val="num" w:pos="720"/>
        </w:tabs>
        <w:ind w:left="720" w:hanging="360"/>
      </w:pPr>
      <w:rPr>
        <w:rFonts w:ascii="Arial" w:hAnsi="Arial" w:hint="default"/>
      </w:rPr>
    </w:lvl>
    <w:lvl w:ilvl="1" w:tplc="C6A408A4" w:tentative="1">
      <w:start w:val="1"/>
      <w:numFmt w:val="bullet"/>
      <w:lvlText w:val="•"/>
      <w:lvlJc w:val="left"/>
      <w:pPr>
        <w:tabs>
          <w:tab w:val="num" w:pos="1440"/>
        </w:tabs>
        <w:ind w:left="1440" w:hanging="360"/>
      </w:pPr>
      <w:rPr>
        <w:rFonts w:ascii="Arial" w:hAnsi="Arial" w:hint="default"/>
      </w:rPr>
    </w:lvl>
    <w:lvl w:ilvl="2" w:tplc="FB1CFE90" w:tentative="1">
      <w:start w:val="1"/>
      <w:numFmt w:val="bullet"/>
      <w:lvlText w:val="•"/>
      <w:lvlJc w:val="left"/>
      <w:pPr>
        <w:tabs>
          <w:tab w:val="num" w:pos="2160"/>
        </w:tabs>
        <w:ind w:left="2160" w:hanging="360"/>
      </w:pPr>
      <w:rPr>
        <w:rFonts w:ascii="Arial" w:hAnsi="Arial" w:hint="default"/>
      </w:rPr>
    </w:lvl>
    <w:lvl w:ilvl="3" w:tplc="8FB46E82" w:tentative="1">
      <w:start w:val="1"/>
      <w:numFmt w:val="bullet"/>
      <w:lvlText w:val="•"/>
      <w:lvlJc w:val="left"/>
      <w:pPr>
        <w:tabs>
          <w:tab w:val="num" w:pos="2880"/>
        </w:tabs>
        <w:ind w:left="2880" w:hanging="360"/>
      </w:pPr>
      <w:rPr>
        <w:rFonts w:ascii="Arial" w:hAnsi="Arial" w:hint="default"/>
      </w:rPr>
    </w:lvl>
    <w:lvl w:ilvl="4" w:tplc="E1BC8812" w:tentative="1">
      <w:start w:val="1"/>
      <w:numFmt w:val="bullet"/>
      <w:lvlText w:val="•"/>
      <w:lvlJc w:val="left"/>
      <w:pPr>
        <w:tabs>
          <w:tab w:val="num" w:pos="3600"/>
        </w:tabs>
        <w:ind w:left="3600" w:hanging="360"/>
      </w:pPr>
      <w:rPr>
        <w:rFonts w:ascii="Arial" w:hAnsi="Arial" w:hint="default"/>
      </w:rPr>
    </w:lvl>
    <w:lvl w:ilvl="5" w:tplc="B79A1E2A" w:tentative="1">
      <w:start w:val="1"/>
      <w:numFmt w:val="bullet"/>
      <w:lvlText w:val="•"/>
      <w:lvlJc w:val="left"/>
      <w:pPr>
        <w:tabs>
          <w:tab w:val="num" w:pos="4320"/>
        </w:tabs>
        <w:ind w:left="4320" w:hanging="360"/>
      </w:pPr>
      <w:rPr>
        <w:rFonts w:ascii="Arial" w:hAnsi="Arial" w:hint="default"/>
      </w:rPr>
    </w:lvl>
    <w:lvl w:ilvl="6" w:tplc="B172035A" w:tentative="1">
      <w:start w:val="1"/>
      <w:numFmt w:val="bullet"/>
      <w:lvlText w:val="•"/>
      <w:lvlJc w:val="left"/>
      <w:pPr>
        <w:tabs>
          <w:tab w:val="num" w:pos="5040"/>
        </w:tabs>
        <w:ind w:left="5040" w:hanging="360"/>
      </w:pPr>
      <w:rPr>
        <w:rFonts w:ascii="Arial" w:hAnsi="Arial" w:hint="default"/>
      </w:rPr>
    </w:lvl>
    <w:lvl w:ilvl="7" w:tplc="F782CA30" w:tentative="1">
      <w:start w:val="1"/>
      <w:numFmt w:val="bullet"/>
      <w:lvlText w:val="•"/>
      <w:lvlJc w:val="left"/>
      <w:pPr>
        <w:tabs>
          <w:tab w:val="num" w:pos="5760"/>
        </w:tabs>
        <w:ind w:left="5760" w:hanging="360"/>
      </w:pPr>
      <w:rPr>
        <w:rFonts w:ascii="Arial" w:hAnsi="Arial" w:hint="default"/>
      </w:rPr>
    </w:lvl>
    <w:lvl w:ilvl="8" w:tplc="38FEC1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1BA4972"/>
    <w:multiLevelType w:val="hybridMultilevel"/>
    <w:tmpl w:val="00BC7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1C5F5F"/>
    <w:multiLevelType w:val="hybridMultilevel"/>
    <w:tmpl w:val="3A1EE5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C732D4B"/>
    <w:multiLevelType w:val="hybridMultilevel"/>
    <w:tmpl w:val="E7C04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914CB0"/>
    <w:multiLevelType w:val="hybridMultilevel"/>
    <w:tmpl w:val="79089E16"/>
    <w:lvl w:ilvl="0" w:tplc="F566CF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4"/>
  </w:num>
  <w:num w:numId="5">
    <w:abstractNumId w:val="14"/>
  </w:num>
  <w:num w:numId="6">
    <w:abstractNumId w:val="16"/>
  </w:num>
  <w:num w:numId="7">
    <w:abstractNumId w:val="5"/>
  </w:num>
  <w:num w:numId="8">
    <w:abstractNumId w:val="15"/>
  </w:num>
  <w:num w:numId="9">
    <w:abstractNumId w:val="0"/>
  </w:num>
  <w:num w:numId="10">
    <w:abstractNumId w:val="11"/>
  </w:num>
  <w:num w:numId="11">
    <w:abstractNumId w:val="7"/>
  </w:num>
  <w:num w:numId="12">
    <w:abstractNumId w:val="6"/>
  </w:num>
  <w:num w:numId="13">
    <w:abstractNumId w:val="9"/>
  </w:num>
  <w:num w:numId="14">
    <w:abstractNumId w:val="2"/>
  </w:num>
  <w:num w:numId="15">
    <w:abstractNumId w:val="17"/>
  </w:num>
  <w:num w:numId="16">
    <w:abstractNumId w:val="12"/>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79"/>
    <w:rsid w:val="000002DA"/>
    <w:rsid w:val="0000179F"/>
    <w:rsid w:val="00002E5E"/>
    <w:rsid w:val="000034D8"/>
    <w:rsid w:val="00003E84"/>
    <w:rsid w:val="00005882"/>
    <w:rsid w:val="00007680"/>
    <w:rsid w:val="0001004F"/>
    <w:rsid w:val="000107F2"/>
    <w:rsid w:val="00011B28"/>
    <w:rsid w:val="00015609"/>
    <w:rsid w:val="0001623F"/>
    <w:rsid w:val="000173F6"/>
    <w:rsid w:val="00017D49"/>
    <w:rsid w:val="00017EE2"/>
    <w:rsid w:val="00020093"/>
    <w:rsid w:val="00020096"/>
    <w:rsid w:val="000210FE"/>
    <w:rsid w:val="00021A4C"/>
    <w:rsid w:val="00021D0E"/>
    <w:rsid w:val="00023678"/>
    <w:rsid w:val="000247B1"/>
    <w:rsid w:val="00024D37"/>
    <w:rsid w:val="00025688"/>
    <w:rsid w:val="000256C5"/>
    <w:rsid w:val="000256FE"/>
    <w:rsid w:val="00027704"/>
    <w:rsid w:val="00027B2B"/>
    <w:rsid w:val="00031B42"/>
    <w:rsid w:val="00032ADC"/>
    <w:rsid w:val="00032C76"/>
    <w:rsid w:val="00033091"/>
    <w:rsid w:val="000332DC"/>
    <w:rsid w:val="00033B37"/>
    <w:rsid w:val="00034462"/>
    <w:rsid w:val="00034480"/>
    <w:rsid w:val="00034491"/>
    <w:rsid w:val="00035AFA"/>
    <w:rsid w:val="000360F9"/>
    <w:rsid w:val="00040354"/>
    <w:rsid w:val="000403A7"/>
    <w:rsid w:val="000404AE"/>
    <w:rsid w:val="000408BB"/>
    <w:rsid w:val="00041AE1"/>
    <w:rsid w:val="000421E0"/>
    <w:rsid w:val="000427D0"/>
    <w:rsid w:val="00042F2C"/>
    <w:rsid w:val="00043705"/>
    <w:rsid w:val="00043E58"/>
    <w:rsid w:val="00044AE0"/>
    <w:rsid w:val="00044F49"/>
    <w:rsid w:val="000466FE"/>
    <w:rsid w:val="00047C77"/>
    <w:rsid w:val="00047DD0"/>
    <w:rsid w:val="00050E99"/>
    <w:rsid w:val="0005197D"/>
    <w:rsid w:val="00052509"/>
    <w:rsid w:val="000528C8"/>
    <w:rsid w:val="00054381"/>
    <w:rsid w:val="00055B92"/>
    <w:rsid w:val="00056A11"/>
    <w:rsid w:val="00056EB4"/>
    <w:rsid w:val="00056F78"/>
    <w:rsid w:val="000604E7"/>
    <w:rsid w:val="00060D6F"/>
    <w:rsid w:val="000615C9"/>
    <w:rsid w:val="000626EB"/>
    <w:rsid w:val="00062884"/>
    <w:rsid w:val="000630B9"/>
    <w:rsid w:val="000643B7"/>
    <w:rsid w:val="0006462A"/>
    <w:rsid w:val="0006786B"/>
    <w:rsid w:val="000679C9"/>
    <w:rsid w:val="00070F08"/>
    <w:rsid w:val="000715BA"/>
    <w:rsid w:val="000716AC"/>
    <w:rsid w:val="00074ECD"/>
    <w:rsid w:val="000761DD"/>
    <w:rsid w:val="0007624D"/>
    <w:rsid w:val="00077746"/>
    <w:rsid w:val="00080B0B"/>
    <w:rsid w:val="00080FD0"/>
    <w:rsid w:val="000815D4"/>
    <w:rsid w:val="00081E59"/>
    <w:rsid w:val="00082D0B"/>
    <w:rsid w:val="000846EF"/>
    <w:rsid w:val="00085508"/>
    <w:rsid w:val="0008660D"/>
    <w:rsid w:val="00090A2F"/>
    <w:rsid w:val="00090D69"/>
    <w:rsid w:val="00091557"/>
    <w:rsid w:val="00094BDA"/>
    <w:rsid w:val="000957C3"/>
    <w:rsid w:val="000975F1"/>
    <w:rsid w:val="00097FC3"/>
    <w:rsid w:val="000A03A9"/>
    <w:rsid w:val="000A040C"/>
    <w:rsid w:val="000A1FF0"/>
    <w:rsid w:val="000A22A4"/>
    <w:rsid w:val="000A5A41"/>
    <w:rsid w:val="000A5D00"/>
    <w:rsid w:val="000A61CC"/>
    <w:rsid w:val="000A6431"/>
    <w:rsid w:val="000A6D4C"/>
    <w:rsid w:val="000B0670"/>
    <w:rsid w:val="000B0D1C"/>
    <w:rsid w:val="000B39E7"/>
    <w:rsid w:val="000B4E29"/>
    <w:rsid w:val="000B701B"/>
    <w:rsid w:val="000C0088"/>
    <w:rsid w:val="000C1670"/>
    <w:rsid w:val="000C2333"/>
    <w:rsid w:val="000C28B4"/>
    <w:rsid w:val="000C32DD"/>
    <w:rsid w:val="000C44B0"/>
    <w:rsid w:val="000C4DF6"/>
    <w:rsid w:val="000C523C"/>
    <w:rsid w:val="000C55FA"/>
    <w:rsid w:val="000C5880"/>
    <w:rsid w:val="000C5E10"/>
    <w:rsid w:val="000C6C72"/>
    <w:rsid w:val="000C6D29"/>
    <w:rsid w:val="000C79D2"/>
    <w:rsid w:val="000C7CF3"/>
    <w:rsid w:val="000D06DB"/>
    <w:rsid w:val="000D07CB"/>
    <w:rsid w:val="000D08D0"/>
    <w:rsid w:val="000D1194"/>
    <w:rsid w:val="000D2271"/>
    <w:rsid w:val="000D2811"/>
    <w:rsid w:val="000D292D"/>
    <w:rsid w:val="000D2B23"/>
    <w:rsid w:val="000D664D"/>
    <w:rsid w:val="000D6E5F"/>
    <w:rsid w:val="000E038D"/>
    <w:rsid w:val="000E0A65"/>
    <w:rsid w:val="000E0C4C"/>
    <w:rsid w:val="000E1A17"/>
    <w:rsid w:val="000E3CD0"/>
    <w:rsid w:val="000E42A5"/>
    <w:rsid w:val="000E42C4"/>
    <w:rsid w:val="000E66AC"/>
    <w:rsid w:val="000F03BC"/>
    <w:rsid w:val="000F0D85"/>
    <w:rsid w:val="000F282D"/>
    <w:rsid w:val="000F4C57"/>
    <w:rsid w:val="000F50B2"/>
    <w:rsid w:val="000F63F5"/>
    <w:rsid w:val="000F7150"/>
    <w:rsid w:val="0010046B"/>
    <w:rsid w:val="0010098C"/>
    <w:rsid w:val="001011F1"/>
    <w:rsid w:val="001012BB"/>
    <w:rsid w:val="00101C30"/>
    <w:rsid w:val="001020E2"/>
    <w:rsid w:val="00102FD5"/>
    <w:rsid w:val="0010306F"/>
    <w:rsid w:val="00103151"/>
    <w:rsid w:val="001034EF"/>
    <w:rsid w:val="00103845"/>
    <w:rsid w:val="00104298"/>
    <w:rsid w:val="00104791"/>
    <w:rsid w:val="00105652"/>
    <w:rsid w:val="001070B9"/>
    <w:rsid w:val="00111AB7"/>
    <w:rsid w:val="00114593"/>
    <w:rsid w:val="00114CC8"/>
    <w:rsid w:val="00117DE3"/>
    <w:rsid w:val="001217B0"/>
    <w:rsid w:val="00122122"/>
    <w:rsid w:val="001224D8"/>
    <w:rsid w:val="00123796"/>
    <w:rsid w:val="0012388F"/>
    <w:rsid w:val="00126363"/>
    <w:rsid w:val="00126F90"/>
    <w:rsid w:val="00127A62"/>
    <w:rsid w:val="00130978"/>
    <w:rsid w:val="001318E4"/>
    <w:rsid w:val="001318E5"/>
    <w:rsid w:val="0013378D"/>
    <w:rsid w:val="00135FC0"/>
    <w:rsid w:val="00137050"/>
    <w:rsid w:val="00137900"/>
    <w:rsid w:val="0014057A"/>
    <w:rsid w:val="001423E8"/>
    <w:rsid w:val="00143538"/>
    <w:rsid w:val="00144ACE"/>
    <w:rsid w:val="0014698B"/>
    <w:rsid w:val="00146E5A"/>
    <w:rsid w:val="001526DD"/>
    <w:rsid w:val="00153B54"/>
    <w:rsid w:val="00153F8E"/>
    <w:rsid w:val="00154754"/>
    <w:rsid w:val="00157BA7"/>
    <w:rsid w:val="001608DF"/>
    <w:rsid w:val="00161765"/>
    <w:rsid w:val="0016189E"/>
    <w:rsid w:val="0016357E"/>
    <w:rsid w:val="001637D8"/>
    <w:rsid w:val="00166AC5"/>
    <w:rsid w:val="001675C3"/>
    <w:rsid w:val="001679E4"/>
    <w:rsid w:val="00171C28"/>
    <w:rsid w:val="00172085"/>
    <w:rsid w:val="00173606"/>
    <w:rsid w:val="00174884"/>
    <w:rsid w:val="00175A4E"/>
    <w:rsid w:val="00177317"/>
    <w:rsid w:val="00180030"/>
    <w:rsid w:val="0018122F"/>
    <w:rsid w:val="00182125"/>
    <w:rsid w:val="001822B2"/>
    <w:rsid w:val="001826E3"/>
    <w:rsid w:val="00183044"/>
    <w:rsid w:val="00183A24"/>
    <w:rsid w:val="00184481"/>
    <w:rsid w:val="00185560"/>
    <w:rsid w:val="0018599A"/>
    <w:rsid w:val="00185BE7"/>
    <w:rsid w:val="00185C33"/>
    <w:rsid w:val="00187F16"/>
    <w:rsid w:val="0019002A"/>
    <w:rsid w:val="001905F9"/>
    <w:rsid w:val="00190F0A"/>
    <w:rsid w:val="00191A91"/>
    <w:rsid w:val="00192D2E"/>
    <w:rsid w:val="001938DD"/>
    <w:rsid w:val="00194A98"/>
    <w:rsid w:val="00194F3B"/>
    <w:rsid w:val="00196840"/>
    <w:rsid w:val="00196DAD"/>
    <w:rsid w:val="00197BCC"/>
    <w:rsid w:val="001A07F6"/>
    <w:rsid w:val="001A0D16"/>
    <w:rsid w:val="001A1572"/>
    <w:rsid w:val="001A192B"/>
    <w:rsid w:val="001A2398"/>
    <w:rsid w:val="001A24BA"/>
    <w:rsid w:val="001A2592"/>
    <w:rsid w:val="001A2B51"/>
    <w:rsid w:val="001A2FD6"/>
    <w:rsid w:val="001A5412"/>
    <w:rsid w:val="001A5AC9"/>
    <w:rsid w:val="001B095B"/>
    <w:rsid w:val="001B1402"/>
    <w:rsid w:val="001B1EDD"/>
    <w:rsid w:val="001B47A6"/>
    <w:rsid w:val="001B61A8"/>
    <w:rsid w:val="001B689A"/>
    <w:rsid w:val="001B69DD"/>
    <w:rsid w:val="001B794A"/>
    <w:rsid w:val="001C0D95"/>
    <w:rsid w:val="001C1A35"/>
    <w:rsid w:val="001C1D04"/>
    <w:rsid w:val="001C1EE1"/>
    <w:rsid w:val="001C24AA"/>
    <w:rsid w:val="001C2936"/>
    <w:rsid w:val="001C54B7"/>
    <w:rsid w:val="001C6E85"/>
    <w:rsid w:val="001D0370"/>
    <w:rsid w:val="001D316F"/>
    <w:rsid w:val="001D37C5"/>
    <w:rsid w:val="001D4BC7"/>
    <w:rsid w:val="001D4D1D"/>
    <w:rsid w:val="001D54DE"/>
    <w:rsid w:val="001D5E7D"/>
    <w:rsid w:val="001D64AD"/>
    <w:rsid w:val="001D6723"/>
    <w:rsid w:val="001E1E79"/>
    <w:rsid w:val="001E280B"/>
    <w:rsid w:val="001E2C57"/>
    <w:rsid w:val="001E2F2D"/>
    <w:rsid w:val="001E41DF"/>
    <w:rsid w:val="001E4267"/>
    <w:rsid w:val="001E436C"/>
    <w:rsid w:val="001E4584"/>
    <w:rsid w:val="001E4C07"/>
    <w:rsid w:val="001E5C8B"/>
    <w:rsid w:val="001E5DE0"/>
    <w:rsid w:val="001E74D3"/>
    <w:rsid w:val="001E7B07"/>
    <w:rsid w:val="001F0928"/>
    <w:rsid w:val="001F1A3E"/>
    <w:rsid w:val="001F1CA9"/>
    <w:rsid w:val="001F244E"/>
    <w:rsid w:val="001F511A"/>
    <w:rsid w:val="001F51C1"/>
    <w:rsid w:val="001F5D90"/>
    <w:rsid w:val="001F6199"/>
    <w:rsid w:val="001F6B8C"/>
    <w:rsid w:val="001F6D79"/>
    <w:rsid w:val="0020085A"/>
    <w:rsid w:val="00200B57"/>
    <w:rsid w:val="0020114A"/>
    <w:rsid w:val="00201190"/>
    <w:rsid w:val="00201E8F"/>
    <w:rsid w:val="0020226C"/>
    <w:rsid w:val="00203E4D"/>
    <w:rsid w:val="002040F5"/>
    <w:rsid w:val="002056FD"/>
    <w:rsid w:val="0020748B"/>
    <w:rsid w:val="0020749C"/>
    <w:rsid w:val="0020785F"/>
    <w:rsid w:val="00211C22"/>
    <w:rsid w:val="0021369A"/>
    <w:rsid w:val="00213799"/>
    <w:rsid w:val="00213DC0"/>
    <w:rsid w:val="0021600E"/>
    <w:rsid w:val="002164D2"/>
    <w:rsid w:val="002167C9"/>
    <w:rsid w:val="00217F5C"/>
    <w:rsid w:val="002219CA"/>
    <w:rsid w:val="00221EB1"/>
    <w:rsid w:val="00223236"/>
    <w:rsid w:val="00223845"/>
    <w:rsid w:val="00225F60"/>
    <w:rsid w:val="00226370"/>
    <w:rsid w:val="00230871"/>
    <w:rsid w:val="00232F1D"/>
    <w:rsid w:val="00233916"/>
    <w:rsid w:val="002342EF"/>
    <w:rsid w:val="002372FF"/>
    <w:rsid w:val="00237CBF"/>
    <w:rsid w:val="002409CF"/>
    <w:rsid w:val="00240A0F"/>
    <w:rsid w:val="00241095"/>
    <w:rsid w:val="0024160B"/>
    <w:rsid w:val="0024172D"/>
    <w:rsid w:val="002427C5"/>
    <w:rsid w:val="002434CD"/>
    <w:rsid w:val="00246BCD"/>
    <w:rsid w:val="0025086A"/>
    <w:rsid w:val="00250F71"/>
    <w:rsid w:val="002537EB"/>
    <w:rsid w:val="00254462"/>
    <w:rsid w:val="00255BBE"/>
    <w:rsid w:val="00255FCD"/>
    <w:rsid w:val="002574CB"/>
    <w:rsid w:val="00261338"/>
    <w:rsid w:val="00261B74"/>
    <w:rsid w:val="002629C3"/>
    <w:rsid w:val="00264849"/>
    <w:rsid w:val="00264C9C"/>
    <w:rsid w:val="00265447"/>
    <w:rsid w:val="00265A33"/>
    <w:rsid w:val="002665F2"/>
    <w:rsid w:val="00266DBC"/>
    <w:rsid w:val="00267007"/>
    <w:rsid w:val="002671CC"/>
    <w:rsid w:val="00270BB9"/>
    <w:rsid w:val="0027119B"/>
    <w:rsid w:val="00272B1D"/>
    <w:rsid w:val="00273AA0"/>
    <w:rsid w:val="00273D1D"/>
    <w:rsid w:val="00274BB1"/>
    <w:rsid w:val="0027586A"/>
    <w:rsid w:val="002769FB"/>
    <w:rsid w:val="002775E8"/>
    <w:rsid w:val="00277AB7"/>
    <w:rsid w:val="002814FB"/>
    <w:rsid w:val="00283905"/>
    <w:rsid w:val="00283B00"/>
    <w:rsid w:val="0028498E"/>
    <w:rsid w:val="00285924"/>
    <w:rsid w:val="0028662B"/>
    <w:rsid w:val="00286C77"/>
    <w:rsid w:val="002870D8"/>
    <w:rsid w:val="00287C75"/>
    <w:rsid w:val="00287D1A"/>
    <w:rsid w:val="00290107"/>
    <w:rsid w:val="002902D9"/>
    <w:rsid w:val="0029079A"/>
    <w:rsid w:val="00290818"/>
    <w:rsid w:val="002914FD"/>
    <w:rsid w:val="002918D5"/>
    <w:rsid w:val="002933B4"/>
    <w:rsid w:val="00293510"/>
    <w:rsid w:val="0029510D"/>
    <w:rsid w:val="00296D6A"/>
    <w:rsid w:val="002A12A9"/>
    <w:rsid w:val="002A26D0"/>
    <w:rsid w:val="002A280C"/>
    <w:rsid w:val="002A30D7"/>
    <w:rsid w:val="002A33DE"/>
    <w:rsid w:val="002A4201"/>
    <w:rsid w:val="002A4B1F"/>
    <w:rsid w:val="002A62B9"/>
    <w:rsid w:val="002A65A2"/>
    <w:rsid w:val="002A69D5"/>
    <w:rsid w:val="002B149D"/>
    <w:rsid w:val="002B566F"/>
    <w:rsid w:val="002B73A8"/>
    <w:rsid w:val="002C0AE5"/>
    <w:rsid w:val="002C157E"/>
    <w:rsid w:val="002C31FC"/>
    <w:rsid w:val="002C3A64"/>
    <w:rsid w:val="002C3B35"/>
    <w:rsid w:val="002C3C7F"/>
    <w:rsid w:val="002C3F3C"/>
    <w:rsid w:val="002C50C3"/>
    <w:rsid w:val="002C5149"/>
    <w:rsid w:val="002C683A"/>
    <w:rsid w:val="002C7508"/>
    <w:rsid w:val="002C7549"/>
    <w:rsid w:val="002D1C8B"/>
    <w:rsid w:val="002D32A8"/>
    <w:rsid w:val="002D3E0C"/>
    <w:rsid w:val="002D4073"/>
    <w:rsid w:val="002E016F"/>
    <w:rsid w:val="002E0348"/>
    <w:rsid w:val="002E125D"/>
    <w:rsid w:val="002E212C"/>
    <w:rsid w:val="002E268C"/>
    <w:rsid w:val="002E536F"/>
    <w:rsid w:val="002E5BE3"/>
    <w:rsid w:val="002E5C88"/>
    <w:rsid w:val="002E5E34"/>
    <w:rsid w:val="002E69F3"/>
    <w:rsid w:val="002E6F24"/>
    <w:rsid w:val="002F0016"/>
    <w:rsid w:val="002F09C3"/>
    <w:rsid w:val="002F2194"/>
    <w:rsid w:val="002F4820"/>
    <w:rsid w:val="002F4C67"/>
    <w:rsid w:val="002F4CFB"/>
    <w:rsid w:val="002F6941"/>
    <w:rsid w:val="002F6C3A"/>
    <w:rsid w:val="002F7D35"/>
    <w:rsid w:val="002F7D71"/>
    <w:rsid w:val="003007DA"/>
    <w:rsid w:val="0030134B"/>
    <w:rsid w:val="00302D24"/>
    <w:rsid w:val="003036A5"/>
    <w:rsid w:val="003037A5"/>
    <w:rsid w:val="00304290"/>
    <w:rsid w:val="003052F8"/>
    <w:rsid w:val="00305A3A"/>
    <w:rsid w:val="0030600E"/>
    <w:rsid w:val="00306C66"/>
    <w:rsid w:val="00310C47"/>
    <w:rsid w:val="00313A65"/>
    <w:rsid w:val="00313C50"/>
    <w:rsid w:val="003140D8"/>
    <w:rsid w:val="00315434"/>
    <w:rsid w:val="00315E25"/>
    <w:rsid w:val="0031767E"/>
    <w:rsid w:val="00317DAE"/>
    <w:rsid w:val="00320599"/>
    <w:rsid w:val="00320A1C"/>
    <w:rsid w:val="003218DF"/>
    <w:rsid w:val="00322243"/>
    <w:rsid w:val="003222CA"/>
    <w:rsid w:val="00322F43"/>
    <w:rsid w:val="00323A6C"/>
    <w:rsid w:val="00323BAF"/>
    <w:rsid w:val="003242ED"/>
    <w:rsid w:val="00324679"/>
    <w:rsid w:val="003260E8"/>
    <w:rsid w:val="00326163"/>
    <w:rsid w:val="00330048"/>
    <w:rsid w:val="00330E39"/>
    <w:rsid w:val="00330E8F"/>
    <w:rsid w:val="00331C56"/>
    <w:rsid w:val="00331E5E"/>
    <w:rsid w:val="0033232D"/>
    <w:rsid w:val="00332DCA"/>
    <w:rsid w:val="00335936"/>
    <w:rsid w:val="00337B82"/>
    <w:rsid w:val="00343BF3"/>
    <w:rsid w:val="00344579"/>
    <w:rsid w:val="00345442"/>
    <w:rsid w:val="00345E3E"/>
    <w:rsid w:val="00346A6D"/>
    <w:rsid w:val="00347409"/>
    <w:rsid w:val="003477C4"/>
    <w:rsid w:val="00347902"/>
    <w:rsid w:val="00347BF1"/>
    <w:rsid w:val="00350530"/>
    <w:rsid w:val="00350F63"/>
    <w:rsid w:val="00351C0B"/>
    <w:rsid w:val="00352435"/>
    <w:rsid w:val="00355A24"/>
    <w:rsid w:val="00356462"/>
    <w:rsid w:val="00356A5C"/>
    <w:rsid w:val="00356C84"/>
    <w:rsid w:val="003604BE"/>
    <w:rsid w:val="00360DA8"/>
    <w:rsid w:val="003675CA"/>
    <w:rsid w:val="0037130B"/>
    <w:rsid w:val="003719BB"/>
    <w:rsid w:val="00371D39"/>
    <w:rsid w:val="00371D3E"/>
    <w:rsid w:val="00372F2C"/>
    <w:rsid w:val="00377351"/>
    <w:rsid w:val="003807FB"/>
    <w:rsid w:val="0038081C"/>
    <w:rsid w:val="00380B4F"/>
    <w:rsid w:val="003812D6"/>
    <w:rsid w:val="00381F11"/>
    <w:rsid w:val="003822A1"/>
    <w:rsid w:val="003823FB"/>
    <w:rsid w:val="003828BF"/>
    <w:rsid w:val="00383B59"/>
    <w:rsid w:val="00385069"/>
    <w:rsid w:val="0038530F"/>
    <w:rsid w:val="00387F83"/>
    <w:rsid w:val="00390D70"/>
    <w:rsid w:val="00390FD9"/>
    <w:rsid w:val="003910C5"/>
    <w:rsid w:val="0039275C"/>
    <w:rsid w:val="00392DA6"/>
    <w:rsid w:val="00394CC2"/>
    <w:rsid w:val="00396A00"/>
    <w:rsid w:val="003A0879"/>
    <w:rsid w:val="003A091E"/>
    <w:rsid w:val="003A0AB7"/>
    <w:rsid w:val="003A0C54"/>
    <w:rsid w:val="003A175A"/>
    <w:rsid w:val="003A208B"/>
    <w:rsid w:val="003A2197"/>
    <w:rsid w:val="003A21D8"/>
    <w:rsid w:val="003A3AC9"/>
    <w:rsid w:val="003A617C"/>
    <w:rsid w:val="003B0E59"/>
    <w:rsid w:val="003B16D3"/>
    <w:rsid w:val="003B1CE1"/>
    <w:rsid w:val="003B1FD2"/>
    <w:rsid w:val="003B248D"/>
    <w:rsid w:val="003B3249"/>
    <w:rsid w:val="003B4874"/>
    <w:rsid w:val="003B4A29"/>
    <w:rsid w:val="003B4C62"/>
    <w:rsid w:val="003B4DC9"/>
    <w:rsid w:val="003B59F7"/>
    <w:rsid w:val="003B639F"/>
    <w:rsid w:val="003B6821"/>
    <w:rsid w:val="003B6D8C"/>
    <w:rsid w:val="003C0122"/>
    <w:rsid w:val="003C2653"/>
    <w:rsid w:val="003C3082"/>
    <w:rsid w:val="003C4142"/>
    <w:rsid w:val="003C546E"/>
    <w:rsid w:val="003C59F9"/>
    <w:rsid w:val="003C5B37"/>
    <w:rsid w:val="003C5DE1"/>
    <w:rsid w:val="003C79C2"/>
    <w:rsid w:val="003D0E23"/>
    <w:rsid w:val="003D1A70"/>
    <w:rsid w:val="003D1A9E"/>
    <w:rsid w:val="003D1D4E"/>
    <w:rsid w:val="003D2020"/>
    <w:rsid w:val="003D23EB"/>
    <w:rsid w:val="003D2AA3"/>
    <w:rsid w:val="003D2B5D"/>
    <w:rsid w:val="003D3705"/>
    <w:rsid w:val="003D3AF1"/>
    <w:rsid w:val="003D5122"/>
    <w:rsid w:val="003D5C6E"/>
    <w:rsid w:val="003D770D"/>
    <w:rsid w:val="003D7938"/>
    <w:rsid w:val="003D7C11"/>
    <w:rsid w:val="003D7FA9"/>
    <w:rsid w:val="003E0416"/>
    <w:rsid w:val="003E04E3"/>
    <w:rsid w:val="003E0B25"/>
    <w:rsid w:val="003E12DD"/>
    <w:rsid w:val="003E2E77"/>
    <w:rsid w:val="003E64F2"/>
    <w:rsid w:val="003E709D"/>
    <w:rsid w:val="003E73A1"/>
    <w:rsid w:val="003E7A6A"/>
    <w:rsid w:val="003E7E16"/>
    <w:rsid w:val="003F0349"/>
    <w:rsid w:val="003F0470"/>
    <w:rsid w:val="003F1A9E"/>
    <w:rsid w:val="003F1C0A"/>
    <w:rsid w:val="003F247F"/>
    <w:rsid w:val="003F26E8"/>
    <w:rsid w:val="003F3A6C"/>
    <w:rsid w:val="003F3C5C"/>
    <w:rsid w:val="003F4D2D"/>
    <w:rsid w:val="003F5C1E"/>
    <w:rsid w:val="003F5E22"/>
    <w:rsid w:val="003F6532"/>
    <w:rsid w:val="003F783D"/>
    <w:rsid w:val="003F783E"/>
    <w:rsid w:val="003F7A03"/>
    <w:rsid w:val="0040018D"/>
    <w:rsid w:val="004001C4"/>
    <w:rsid w:val="00400373"/>
    <w:rsid w:val="00400A05"/>
    <w:rsid w:val="00400FBB"/>
    <w:rsid w:val="00401EBA"/>
    <w:rsid w:val="00402F1D"/>
    <w:rsid w:val="00404272"/>
    <w:rsid w:val="00404F90"/>
    <w:rsid w:val="00410A3F"/>
    <w:rsid w:val="00412D2D"/>
    <w:rsid w:val="00415BC3"/>
    <w:rsid w:val="004169A5"/>
    <w:rsid w:val="00417718"/>
    <w:rsid w:val="00417A79"/>
    <w:rsid w:val="00420451"/>
    <w:rsid w:val="00422537"/>
    <w:rsid w:val="00422FF5"/>
    <w:rsid w:val="0042364E"/>
    <w:rsid w:val="004247E9"/>
    <w:rsid w:val="004251BD"/>
    <w:rsid w:val="00425762"/>
    <w:rsid w:val="004270BE"/>
    <w:rsid w:val="00427CDA"/>
    <w:rsid w:val="00430479"/>
    <w:rsid w:val="0043085E"/>
    <w:rsid w:val="004314F1"/>
    <w:rsid w:val="00431622"/>
    <w:rsid w:val="00431FF5"/>
    <w:rsid w:val="00433134"/>
    <w:rsid w:val="00433BD3"/>
    <w:rsid w:val="00434164"/>
    <w:rsid w:val="004344CE"/>
    <w:rsid w:val="00441963"/>
    <w:rsid w:val="00441D28"/>
    <w:rsid w:val="0044213D"/>
    <w:rsid w:val="004422D1"/>
    <w:rsid w:val="00442972"/>
    <w:rsid w:val="00443239"/>
    <w:rsid w:val="004434A1"/>
    <w:rsid w:val="00443EBE"/>
    <w:rsid w:val="00444283"/>
    <w:rsid w:val="004459BB"/>
    <w:rsid w:val="00446A33"/>
    <w:rsid w:val="00446FB7"/>
    <w:rsid w:val="0045119A"/>
    <w:rsid w:val="004514CF"/>
    <w:rsid w:val="00451E11"/>
    <w:rsid w:val="00452427"/>
    <w:rsid w:val="00452C84"/>
    <w:rsid w:val="004532D5"/>
    <w:rsid w:val="00453344"/>
    <w:rsid w:val="00454589"/>
    <w:rsid w:val="004547B2"/>
    <w:rsid w:val="0045537F"/>
    <w:rsid w:val="004554E4"/>
    <w:rsid w:val="004555C3"/>
    <w:rsid w:val="004573BD"/>
    <w:rsid w:val="00457C14"/>
    <w:rsid w:val="004600CC"/>
    <w:rsid w:val="00460909"/>
    <w:rsid w:val="004627C7"/>
    <w:rsid w:val="004642E8"/>
    <w:rsid w:val="004645C9"/>
    <w:rsid w:val="0046479B"/>
    <w:rsid w:val="00465764"/>
    <w:rsid w:val="00466241"/>
    <w:rsid w:val="00467B96"/>
    <w:rsid w:val="004715E5"/>
    <w:rsid w:val="004715E7"/>
    <w:rsid w:val="004719B2"/>
    <w:rsid w:val="00471F0A"/>
    <w:rsid w:val="00472FD9"/>
    <w:rsid w:val="00473CC0"/>
    <w:rsid w:val="004750C3"/>
    <w:rsid w:val="00482163"/>
    <w:rsid w:val="00482303"/>
    <w:rsid w:val="00482F98"/>
    <w:rsid w:val="00483AA9"/>
    <w:rsid w:val="00484BC7"/>
    <w:rsid w:val="00485C8E"/>
    <w:rsid w:val="0048665A"/>
    <w:rsid w:val="00486806"/>
    <w:rsid w:val="00487304"/>
    <w:rsid w:val="004873F4"/>
    <w:rsid w:val="004909AA"/>
    <w:rsid w:val="004924AA"/>
    <w:rsid w:val="00493EFA"/>
    <w:rsid w:val="00494AD7"/>
    <w:rsid w:val="0049516A"/>
    <w:rsid w:val="004951EA"/>
    <w:rsid w:val="004A0683"/>
    <w:rsid w:val="004A0E1E"/>
    <w:rsid w:val="004A1499"/>
    <w:rsid w:val="004A14F4"/>
    <w:rsid w:val="004A1C6A"/>
    <w:rsid w:val="004A2219"/>
    <w:rsid w:val="004A3D19"/>
    <w:rsid w:val="004A416A"/>
    <w:rsid w:val="004A5916"/>
    <w:rsid w:val="004A6900"/>
    <w:rsid w:val="004A766D"/>
    <w:rsid w:val="004B1128"/>
    <w:rsid w:val="004B1364"/>
    <w:rsid w:val="004B1E23"/>
    <w:rsid w:val="004B24B7"/>
    <w:rsid w:val="004B24E1"/>
    <w:rsid w:val="004B2D65"/>
    <w:rsid w:val="004B2D98"/>
    <w:rsid w:val="004B3909"/>
    <w:rsid w:val="004B5118"/>
    <w:rsid w:val="004B54E4"/>
    <w:rsid w:val="004B65ED"/>
    <w:rsid w:val="004B740C"/>
    <w:rsid w:val="004C2417"/>
    <w:rsid w:val="004C38A6"/>
    <w:rsid w:val="004C462C"/>
    <w:rsid w:val="004C49B0"/>
    <w:rsid w:val="004C7EAC"/>
    <w:rsid w:val="004D0A1E"/>
    <w:rsid w:val="004D1DC9"/>
    <w:rsid w:val="004D1E27"/>
    <w:rsid w:val="004D28AD"/>
    <w:rsid w:val="004D5262"/>
    <w:rsid w:val="004D5B1E"/>
    <w:rsid w:val="004D633E"/>
    <w:rsid w:val="004D764F"/>
    <w:rsid w:val="004D76E8"/>
    <w:rsid w:val="004E1A77"/>
    <w:rsid w:val="004E3005"/>
    <w:rsid w:val="004E436D"/>
    <w:rsid w:val="004E53E2"/>
    <w:rsid w:val="004E5B41"/>
    <w:rsid w:val="004E6002"/>
    <w:rsid w:val="004F32D9"/>
    <w:rsid w:val="004F36EF"/>
    <w:rsid w:val="004F374C"/>
    <w:rsid w:val="004F382D"/>
    <w:rsid w:val="004F4AEC"/>
    <w:rsid w:val="004F54B6"/>
    <w:rsid w:val="00500A6F"/>
    <w:rsid w:val="0050129E"/>
    <w:rsid w:val="00501A86"/>
    <w:rsid w:val="00502A9F"/>
    <w:rsid w:val="005030B1"/>
    <w:rsid w:val="00505D84"/>
    <w:rsid w:val="00506B9B"/>
    <w:rsid w:val="0050749A"/>
    <w:rsid w:val="00507EE2"/>
    <w:rsid w:val="00511BBD"/>
    <w:rsid w:val="00512811"/>
    <w:rsid w:val="00513DFA"/>
    <w:rsid w:val="005143C5"/>
    <w:rsid w:val="00515D43"/>
    <w:rsid w:val="00515EEF"/>
    <w:rsid w:val="00516B59"/>
    <w:rsid w:val="00516B75"/>
    <w:rsid w:val="00517672"/>
    <w:rsid w:val="005177FB"/>
    <w:rsid w:val="00517DC1"/>
    <w:rsid w:val="0052089B"/>
    <w:rsid w:val="0052132B"/>
    <w:rsid w:val="00521443"/>
    <w:rsid w:val="00521506"/>
    <w:rsid w:val="00522A67"/>
    <w:rsid w:val="00523EB0"/>
    <w:rsid w:val="005243DB"/>
    <w:rsid w:val="0052509B"/>
    <w:rsid w:val="00525107"/>
    <w:rsid w:val="00530D49"/>
    <w:rsid w:val="00531570"/>
    <w:rsid w:val="005316B9"/>
    <w:rsid w:val="005335F9"/>
    <w:rsid w:val="005350E7"/>
    <w:rsid w:val="00535107"/>
    <w:rsid w:val="005357C6"/>
    <w:rsid w:val="005360C3"/>
    <w:rsid w:val="00536D3A"/>
    <w:rsid w:val="005407D6"/>
    <w:rsid w:val="005420B2"/>
    <w:rsid w:val="0054305F"/>
    <w:rsid w:val="005445BC"/>
    <w:rsid w:val="0054603C"/>
    <w:rsid w:val="0054785B"/>
    <w:rsid w:val="0055155D"/>
    <w:rsid w:val="005517DA"/>
    <w:rsid w:val="005517E5"/>
    <w:rsid w:val="00553968"/>
    <w:rsid w:val="00554634"/>
    <w:rsid w:val="00556724"/>
    <w:rsid w:val="00556AC8"/>
    <w:rsid w:val="00561CF8"/>
    <w:rsid w:val="00562177"/>
    <w:rsid w:val="005632E4"/>
    <w:rsid w:val="005635C5"/>
    <w:rsid w:val="00563D55"/>
    <w:rsid w:val="00564229"/>
    <w:rsid w:val="00564BA6"/>
    <w:rsid w:val="00564DC6"/>
    <w:rsid w:val="00566EC9"/>
    <w:rsid w:val="005675BF"/>
    <w:rsid w:val="00570920"/>
    <w:rsid w:val="00570A07"/>
    <w:rsid w:val="00571432"/>
    <w:rsid w:val="00574AC4"/>
    <w:rsid w:val="0057526C"/>
    <w:rsid w:val="00575802"/>
    <w:rsid w:val="00576FBC"/>
    <w:rsid w:val="0058053C"/>
    <w:rsid w:val="00580837"/>
    <w:rsid w:val="00581F04"/>
    <w:rsid w:val="00582BA9"/>
    <w:rsid w:val="00583EB8"/>
    <w:rsid w:val="00586B6E"/>
    <w:rsid w:val="0058758B"/>
    <w:rsid w:val="00587F47"/>
    <w:rsid w:val="00587FA1"/>
    <w:rsid w:val="00590088"/>
    <w:rsid w:val="00590288"/>
    <w:rsid w:val="00590590"/>
    <w:rsid w:val="00591454"/>
    <w:rsid w:val="00591CEF"/>
    <w:rsid w:val="00592DF3"/>
    <w:rsid w:val="00593054"/>
    <w:rsid w:val="0059467B"/>
    <w:rsid w:val="00594D8A"/>
    <w:rsid w:val="00594FC1"/>
    <w:rsid w:val="00596649"/>
    <w:rsid w:val="00596C2B"/>
    <w:rsid w:val="00597632"/>
    <w:rsid w:val="00597FCF"/>
    <w:rsid w:val="005A0559"/>
    <w:rsid w:val="005A2CD5"/>
    <w:rsid w:val="005A4318"/>
    <w:rsid w:val="005A4D6D"/>
    <w:rsid w:val="005A51C6"/>
    <w:rsid w:val="005A56A4"/>
    <w:rsid w:val="005A6A59"/>
    <w:rsid w:val="005A7913"/>
    <w:rsid w:val="005B120C"/>
    <w:rsid w:val="005B62CC"/>
    <w:rsid w:val="005B7CFF"/>
    <w:rsid w:val="005C1054"/>
    <w:rsid w:val="005C229B"/>
    <w:rsid w:val="005C5BFA"/>
    <w:rsid w:val="005C5C2E"/>
    <w:rsid w:val="005C6062"/>
    <w:rsid w:val="005C6A6F"/>
    <w:rsid w:val="005C6CC3"/>
    <w:rsid w:val="005C6D7A"/>
    <w:rsid w:val="005C6FFA"/>
    <w:rsid w:val="005D0933"/>
    <w:rsid w:val="005D1E38"/>
    <w:rsid w:val="005D3122"/>
    <w:rsid w:val="005D3FA1"/>
    <w:rsid w:val="005D4EA6"/>
    <w:rsid w:val="005D5B36"/>
    <w:rsid w:val="005D700F"/>
    <w:rsid w:val="005D74C8"/>
    <w:rsid w:val="005D7B78"/>
    <w:rsid w:val="005D7D57"/>
    <w:rsid w:val="005E4198"/>
    <w:rsid w:val="005E51E3"/>
    <w:rsid w:val="005E5DC9"/>
    <w:rsid w:val="005E622E"/>
    <w:rsid w:val="005E6827"/>
    <w:rsid w:val="005E7C9D"/>
    <w:rsid w:val="005F0AD7"/>
    <w:rsid w:val="005F0E4F"/>
    <w:rsid w:val="005F21BB"/>
    <w:rsid w:val="005F417A"/>
    <w:rsid w:val="005F4690"/>
    <w:rsid w:val="005F5903"/>
    <w:rsid w:val="005F6964"/>
    <w:rsid w:val="005F7B03"/>
    <w:rsid w:val="00600256"/>
    <w:rsid w:val="0060131B"/>
    <w:rsid w:val="00601E93"/>
    <w:rsid w:val="006022A8"/>
    <w:rsid w:val="00602A32"/>
    <w:rsid w:val="00603D2F"/>
    <w:rsid w:val="006046AD"/>
    <w:rsid w:val="00604BD6"/>
    <w:rsid w:val="00606428"/>
    <w:rsid w:val="00606A8C"/>
    <w:rsid w:val="00607249"/>
    <w:rsid w:val="00607F87"/>
    <w:rsid w:val="00610475"/>
    <w:rsid w:val="00610A04"/>
    <w:rsid w:val="006115D2"/>
    <w:rsid w:val="00612327"/>
    <w:rsid w:val="0061272C"/>
    <w:rsid w:val="00612BF7"/>
    <w:rsid w:val="00612D02"/>
    <w:rsid w:val="006157A1"/>
    <w:rsid w:val="00616A95"/>
    <w:rsid w:val="00621BFC"/>
    <w:rsid w:val="00621F93"/>
    <w:rsid w:val="006221C7"/>
    <w:rsid w:val="00622256"/>
    <w:rsid w:val="00625C29"/>
    <w:rsid w:val="006263DA"/>
    <w:rsid w:val="00627009"/>
    <w:rsid w:val="00627310"/>
    <w:rsid w:val="00627D03"/>
    <w:rsid w:val="00627D1B"/>
    <w:rsid w:val="00627EEC"/>
    <w:rsid w:val="0063113F"/>
    <w:rsid w:val="006335FD"/>
    <w:rsid w:val="00634668"/>
    <w:rsid w:val="006347A5"/>
    <w:rsid w:val="00635176"/>
    <w:rsid w:val="006355B3"/>
    <w:rsid w:val="006370A1"/>
    <w:rsid w:val="00641378"/>
    <w:rsid w:val="0064137F"/>
    <w:rsid w:val="0064213F"/>
    <w:rsid w:val="0064355F"/>
    <w:rsid w:val="006477C5"/>
    <w:rsid w:val="00647EFC"/>
    <w:rsid w:val="00650938"/>
    <w:rsid w:val="0065182D"/>
    <w:rsid w:val="006532BE"/>
    <w:rsid w:val="00653442"/>
    <w:rsid w:val="0065720A"/>
    <w:rsid w:val="00660275"/>
    <w:rsid w:val="00662E49"/>
    <w:rsid w:val="00665F87"/>
    <w:rsid w:val="00666231"/>
    <w:rsid w:val="00666EF0"/>
    <w:rsid w:val="00667097"/>
    <w:rsid w:val="006670DD"/>
    <w:rsid w:val="00670627"/>
    <w:rsid w:val="0067191F"/>
    <w:rsid w:val="0067360F"/>
    <w:rsid w:val="00673C1D"/>
    <w:rsid w:val="00674E25"/>
    <w:rsid w:val="00675408"/>
    <w:rsid w:val="006806E9"/>
    <w:rsid w:val="006809CE"/>
    <w:rsid w:val="00680FA0"/>
    <w:rsid w:val="006812E7"/>
    <w:rsid w:val="00681891"/>
    <w:rsid w:val="00682015"/>
    <w:rsid w:val="0068213B"/>
    <w:rsid w:val="00682FB8"/>
    <w:rsid w:val="0068410B"/>
    <w:rsid w:val="006863EC"/>
    <w:rsid w:val="006866ED"/>
    <w:rsid w:val="00687F8B"/>
    <w:rsid w:val="00692237"/>
    <w:rsid w:val="00693573"/>
    <w:rsid w:val="00693684"/>
    <w:rsid w:val="006949CD"/>
    <w:rsid w:val="00696DFB"/>
    <w:rsid w:val="006A05CF"/>
    <w:rsid w:val="006A245A"/>
    <w:rsid w:val="006A33D0"/>
    <w:rsid w:val="006A3492"/>
    <w:rsid w:val="006A36FA"/>
    <w:rsid w:val="006A4677"/>
    <w:rsid w:val="006B088D"/>
    <w:rsid w:val="006B0F4E"/>
    <w:rsid w:val="006B4972"/>
    <w:rsid w:val="006B5EDF"/>
    <w:rsid w:val="006B6CEC"/>
    <w:rsid w:val="006B6F6C"/>
    <w:rsid w:val="006B6F79"/>
    <w:rsid w:val="006C0192"/>
    <w:rsid w:val="006C158F"/>
    <w:rsid w:val="006C3395"/>
    <w:rsid w:val="006C3639"/>
    <w:rsid w:val="006C5FCD"/>
    <w:rsid w:val="006D1F11"/>
    <w:rsid w:val="006D5927"/>
    <w:rsid w:val="006D6753"/>
    <w:rsid w:val="006D71FE"/>
    <w:rsid w:val="006D7201"/>
    <w:rsid w:val="006E1190"/>
    <w:rsid w:val="006E197B"/>
    <w:rsid w:val="006E1F4B"/>
    <w:rsid w:val="006E3C97"/>
    <w:rsid w:val="006E6A0C"/>
    <w:rsid w:val="006E7B56"/>
    <w:rsid w:val="006F1D2A"/>
    <w:rsid w:val="006F30EF"/>
    <w:rsid w:val="006F47C4"/>
    <w:rsid w:val="006F5576"/>
    <w:rsid w:val="006F5E81"/>
    <w:rsid w:val="006F6205"/>
    <w:rsid w:val="006F6427"/>
    <w:rsid w:val="006F6986"/>
    <w:rsid w:val="006F6ED0"/>
    <w:rsid w:val="006F7919"/>
    <w:rsid w:val="00700C9B"/>
    <w:rsid w:val="00701866"/>
    <w:rsid w:val="00701CD9"/>
    <w:rsid w:val="00702B69"/>
    <w:rsid w:val="0070349A"/>
    <w:rsid w:val="0070460C"/>
    <w:rsid w:val="007048D0"/>
    <w:rsid w:val="00704D4E"/>
    <w:rsid w:val="0070547B"/>
    <w:rsid w:val="00706328"/>
    <w:rsid w:val="007072D5"/>
    <w:rsid w:val="007120B1"/>
    <w:rsid w:val="00712118"/>
    <w:rsid w:val="0071219D"/>
    <w:rsid w:val="00712496"/>
    <w:rsid w:val="00713079"/>
    <w:rsid w:val="007133E7"/>
    <w:rsid w:val="00713524"/>
    <w:rsid w:val="00714ADD"/>
    <w:rsid w:val="00714BB4"/>
    <w:rsid w:val="007170FF"/>
    <w:rsid w:val="0071731F"/>
    <w:rsid w:val="0071735C"/>
    <w:rsid w:val="00717A9F"/>
    <w:rsid w:val="007207E0"/>
    <w:rsid w:val="007209F1"/>
    <w:rsid w:val="00724D55"/>
    <w:rsid w:val="00724F0A"/>
    <w:rsid w:val="00725B3A"/>
    <w:rsid w:val="00726B72"/>
    <w:rsid w:val="00726E43"/>
    <w:rsid w:val="00730FFA"/>
    <w:rsid w:val="00731652"/>
    <w:rsid w:val="00732253"/>
    <w:rsid w:val="007326D8"/>
    <w:rsid w:val="00733A6C"/>
    <w:rsid w:val="007352C1"/>
    <w:rsid w:val="007353D2"/>
    <w:rsid w:val="007356C7"/>
    <w:rsid w:val="00735963"/>
    <w:rsid w:val="00737043"/>
    <w:rsid w:val="0073734C"/>
    <w:rsid w:val="007420A7"/>
    <w:rsid w:val="00744EC3"/>
    <w:rsid w:val="0074588A"/>
    <w:rsid w:val="00747A12"/>
    <w:rsid w:val="00752DF5"/>
    <w:rsid w:val="007562D8"/>
    <w:rsid w:val="007573C8"/>
    <w:rsid w:val="007576A6"/>
    <w:rsid w:val="00757F23"/>
    <w:rsid w:val="00760A7A"/>
    <w:rsid w:val="00760B05"/>
    <w:rsid w:val="00760EB1"/>
    <w:rsid w:val="0076282F"/>
    <w:rsid w:val="007629C0"/>
    <w:rsid w:val="00762B55"/>
    <w:rsid w:val="0076319C"/>
    <w:rsid w:val="007664F0"/>
    <w:rsid w:val="00766EA9"/>
    <w:rsid w:val="00767427"/>
    <w:rsid w:val="00771781"/>
    <w:rsid w:val="00771B9B"/>
    <w:rsid w:val="00772548"/>
    <w:rsid w:val="007734ED"/>
    <w:rsid w:val="00775946"/>
    <w:rsid w:val="00776E01"/>
    <w:rsid w:val="00780092"/>
    <w:rsid w:val="00780479"/>
    <w:rsid w:val="007846B9"/>
    <w:rsid w:val="007847C3"/>
    <w:rsid w:val="0078549E"/>
    <w:rsid w:val="007863E6"/>
    <w:rsid w:val="0078668A"/>
    <w:rsid w:val="00786817"/>
    <w:rsid w:val="00786FAD"/>
    <w:rsid w:val="007901DC"/>
    <w:rsid w:val="00790D09"/>
    <w:rsid w:val="00792358"/>
    <w:rsid w:val="00792495"/>
    <w:rsid w:val="007924AD"/>
    <w:rsid w:val="0079256F"/>
    <w:rsid w:val="00793229"/>
    <w:rsid w:val="007935A2"/>
    <w:rsid w:val="00795149"/>
    <w:rsid w:val="007965D5"/>
    <w:rsid w:val="00796761"/>
    <w:rsid w:val="007A2444"/>
    <w:rsid w:val="007A2BE6"/>
    <w:rsid w:val="007A56AB"/>
    <w:rsid w:val="007A6827"/>
    <w:rsid w:val="007A6B03"/>
    <w:rsid w:val="007A6E9C"/>
    <w:rsid w:val="007B04A4"/>
    <w:rsid w:val="007B1155"/>
    <w:rsid w:val="007B27E2"/>
    <w:rsid w:val="007B283E"/>
    <w:rsid w:val="007B3631"/>
    <w:rsid w:val="007B5122"/>
    <w:rsid w:val="007B56EE"/>
    <w:rsid w:val="007B56FC"/>
    <w:rsid w:val="007B5751"/>
    <w:rsid w:val="007B58FA"/>
    <w:rsid w:val="007B7139"/>
    <w:rsid w:val="007B7D0E"/>
    <w:rsid w:val="007C1764"/>
    <w:rsid w:val="007C1EF1"/>
    <w:rsid w:val="007C5A44"/>
    <w:rsid w:val="007C5A4C"/>
    <w:rsid w:val="007C79DD"/>
    <w:rsid w:val="007D072E"/>
    <w:rsid w:val="007D1E41"/>
    <w:rsid w:val="007D2FCE"/>
    <w:rsid w:val="007D33F3"/>
    <w:rsid w:val="007D3CB5"/>
    <w:rsid w:val="007D4E8A"/>
    <w:rsid w:val="007D5BDC"/>
    <w:rsid w:val="007D729C"/>
    <w:rsid w:val="007E1332"/>
    <w:rsid w:val="007E19BD"/>
    <w:rsid w:val="007E3F45"/>
    <w:rsid w:val="007E7967"/>
    <w:rsid w:val="007E7DB0"/>
    <w:rsid w:val="007F1A02"/>
    <w:rsid w:val="007F20E5"/>
    <w:rsid w:val="007F31EB"/>
    <w:rsid w:val="007F333D"/>
    <w:rsid w:val="007F486A"/>
    <w:rsid w:val="007F49F6"/>
    <w:rsid w:val="007F5874"/>
    <w:rsid w:val="007F7D75"/>
    <w:rsid w:val="008009A8"/>
    <w:rsid w:val="008020F2"/>
    <w:rsid w:val="0080257B"/>
    <w:rsid w:val="00802CCE"/>
    <w:rsid w:val="00803190"/>
    <w:rsid w:val="00803512"/>
    <w:rsid w:val="00805547"/>
    <w:rsid w:val="0080574E"/>
    <w:rsid w:val="00805D29"/>
    <w:rsid w:val="00805F62"/>
    <w:rsid w:val="008065D2"/>
    <w:rsid w:val="00806B37"/>
    <w:rsid w:val="00806EDA"/>
    <w:rsid w:val="00807039"/>
    <w:rsid w:val="00807781"/>
    <w:rsid w:val="00807B1F"/>
    <w:rsid w:val="00811118"/>
    <w:rsid w:val="008112B2"/>
    <w:rsid w:val="00811451"/>
    <w:rsid w:val="00813F9B"/>
    <w:rsid w:val="008141BC"/>
    <w:rsid w:val="008153D5"/>
    <w:rsid w:val="0081568C"/>
    <w:rsid w:val="00815727"/>
    <w:rsid w:val="008213B6"/>
    <w:rsid w:val="00821EF1"/>
    <w:rsid w:val="00822067"/>
    <w:rsid w:val="008244E3"/>
    <w:rsid w:val="00824615"/>
    <w:rsid w:val="008246A3"/>
    <w:rsid w:val="00826B17"/>
    <w:rsid w:val="00826E5A"/>
    <w:rsid w:val="0082790F"/>
    <w:rsid w:val="008307EC"/>
    <w:rsid w:val="0083141A"/>
    <w:rsid w:val="00832936"/>
    <w:rsid w:val="00833C32"/>
    <w:rsid w:val="00834EB6"/>
    <w:rsid w:val="00836C07"/>
    <w:rsid w:val="00840FCE"/>
    <w:rsid w:val="008413FD"/>
    <w:rsid w:val="008425B0"/>
    <w:rsid w:val="0084349B"/>
    <w:rsid w:val="008446E7"/>
    <w:rsid w:val="008455D4"/>
    <w:rsid w:val="00845F98"/>
    <w:rsid w:val="0084672F"/>
    <w:rsid w:val="008477C0"/>
    <w:rsid w:val="00847AA4"/>
    <w:rsid w:val="00850611"/>
    <w:rsid w:val="00850BB1"/>
    <w:rsid w:val="00852D50"/>
    <w:rsid w:val="0085441A"/>
    <w:rsid w:val="00861F5C"/>
    <w:rsid w:val="00862B0F"/>
    <w:rsid w:val="00863256"/>
    <w:rsid w:val="00864818"/>
    <w:rsid w:val="008655B0"/>
    <w:rsid w:val="00870639"/>
    <w:rsid w:val="00870FEA"/>
    <w:rsid w:val="008715F9"/>
    <w:rsid w:val="00871EE0"/>
    <w:rsid w:val="00874D8C"/>
    <w:rsid w:val="0087581D"/>
    <w:rsid w:val="008761CE"/>
    <w:rsid w:val="00876319"/>
    <w:rsid w:val="0087637C"/>
    <w:rsid w:val="00876C87"/>
    <w:rsid w:val="0087730B"/>
    <w:rsid w:val="0087744C"/>
    <w:rsid w:val="00877A4A"/>
    <w:rsid w:val="0088097E"/>
    <w:rsid w:val="00881604"/>
    <w:rsid w:val="00881A89"/>
    <w:rsid w:val="00881D06"/>
    <w:rsid w:val="0088311A"/>
    <w:rsid w:val="008835D7"/>
    <w:rsid w:val="00886E75"/>
    <w:rsid w:val="008879A0"/>
    <w:rsid w:val="008931AB"/>
    <w:rsid w:val="00893630"/>
    <w:rsid w:val="0089390C"/>
    <w:rsid w:val="0089429A"/>
    <w:rsid w:val="008957E7"/>
    <w:rsid w:val="008969CF"/>
    <w:rsid w:val="0089754B"/>
    <w:rsid w:val="00897994"/>
    <w:rsid w:val="008A0F1A"/>
    <w:rsid w:val="008A1259"/>
    <w:rsid w:val="008A1452"/>
    <w:rsid w:val="008A1476"/>
    <w:rsid w:val="008A1627"/>
    <w:rsid w:val="008A16D2"/>
    <w:rsid w:val="008A1D23"/>
    <w:rsid w:val="008A2D2F"/>
    <w:rsid w:val="008A3214"/>
    <w:rsid w:val="008A34E1"/>
    <w:rsid w:val="008A3593"/>
    <w:rsid w:val="008A4959"/>
    <w:rsid w:val="008A60C0"/>
    <w:rsid w:val="008A6EF4"/>
    <w:rsid w:val="008A74B8"/>
    <w:rsid w:val="008B0B4B"/>
    <w:rsid w:val="008B1A58"/>
    <w:rsid w:val="008B25AA"/>
    <w:rsid w:val="008B435D"/>
    <w:rsid w:val="008B46C2"/>
    <w:rsid w:val="008B6B5F"/>
    <w:rsid w:val="008C0110"/>
    <w:rsid w:val="008C017C"/>
    <w:rsid w:val="008C07C4"/>
    <w:rsid w:val="008C0D21"/>
    <w:rsid w:val="008C222B"/>
    <w:rsid w:val="008C22A0"/>
    <w:rsid w:val="008C2368"/>
    <w:rsid w:val="008C3ECD"/>
    <w:rsid w:val="008C494F"/>
    <w:rsid w:val="008C64A8"/>
    <w:rsid w:val="008C719B"/>
    <w:rsid w:val="008C77B7"/>
    <w:rsid w:val="008D12B1"/>
    <w:rsid w:val="008D1BBD"/>
    <w:rsid w:val="008D1E06"/>
    <w:rsid w:val="008D24CF"/>
    <w:rsid w:val="008D277F"/>
    <w:rsid w:val="008D332B"/>
    <w:rsid w:val="008E2BCB"/>
    <w:rsid w:val="008E2F7A"/>
    <w:rsid w:val="008E3B30"/>
    <w:rsid w:val="008E3C52"/>
    <w:rsid w:val="008E3C5F"/>
    <w:rsid w:val="008E46F6"/>
    <w:rsid w:val="008E5482"/>
    <w:rsid w:val="008E5995"/>
    <w:rsid w:val="008E5BCD"/>
    <w:rsid w:val="008E7DA9"/>
    <w:rsid w:val="008F023A"/>
    <w:rsid w:val="008F178C"/>
    <w:rsid w:val="008F1C42"/>
    <w:rsid w:val="008F213D"/>
    <w:rsid w:val="008F24F1"/>
    <w:rsid w:val="008F45F6"/>
    <w:rsid w:val="008F492E"/>
    <w:rsid w:val="008F66F0"/>
    <w:rsid w:val="008F6848"/>
    <w:rsid w:val="008F7A9F"/>
    <w:rsid w:val="00902023"/>
    <w:rsid w:val="00902957"/>
    <w:rsid w:val="00904097"/>
    <w:rsid w:val="00904325"/>
    <w:rsid w:val="00904409"/>
    <w:rsid w:val="00904F9C"/>
    <w:rsid w:val="0090576F"/>
    <w:rsid w:val="00907B2B"/>
    <w:rsid w:val="009116EC"/>
    <w:rsid w:val="00911B93"/>
    <w:rsid w:val="009128D3"/>
    <w:rsid w:val="00913798"/>
    <w:rsid w:val="00913B92"/>
    <w:rsid w:val="00914F8E"/>
    <w:rsid w:val="009153FA"/>
    <w:rsid w:val="009167CD"/>
    <w:rsid w:val="00916C03"/>
    <w:rsid w:val="00917EDD"/>
    <w:rsid w:val="009217D5"/>
    <w:rsid w:val="0092224D"/>
    <w:rsid w:val="0092252A"/>
    <w:rsid w:val="0092774C"/>
    <w:rsid w:val="00927950"/>
    <w:rsid w:val="00927E7F"/>
    <w:rsid w:val="00931C91"/>
    <w:rsid w:val="009360BF"/>
    <w:rsid w:val="00936955"/>
    <w:rsid w:val="00936BD6"/>
    <w:rsid w:val="00936BF5"/>
    <w:rsid w:val="009375A2"/>
    <w:rsid w:val="0094042B"/>
    <w:rsid w:val="00940929"/>
    <w:rsid w:val="00941C2D"/>
    <w:rsid w:val="00944663"/>
    <w:rsid w:val="00944E74"/>
    <w:rsid w:val="00945928"/>
    <w:rsid w:val="00945A87"/>
    <w:rsid w:val="009463DA"/>
    <w:rsid w:val="00946959"/>
    <w:rsid w:val="0094709C"/>
    <w:rsid w:val="00947DCF"/>
    <w:rsid w:val="00947F93"/>
    <w:rsid w:val="009508D1"/>
    <w:rsid w:val="00951017"/>
    <w:rsid w:val="00951BFA"/>
    <w:rsid w:val="009522D4"/>
    <w:rsid w:val="009524D7"/>
    <w:rsid w:val="009540DE"/>
    <w:rsid w:val="00954FF7"/>
    <w:rsid w:val="00955180"/>
    <w:rsid w:val="00955669"/>
    <w:rsid w:val="00955945"/>
    <w:rsid w:val="00955D95"/>
    <w:rsid w:val="00956011"/>
    <w:rsid w:val="00956E8F"/>
    <w:rsid w:val="00957D48"/>
    <w:rsid w:val="0096088A"/>
    <w:rsid w:val="00960B3A"/>
    <w:rsid w:val="009614DB"/>
    <w:rsid w:val="00961747"/>
    <w:rsid w:val="00961896"/>
    <w:rsid w:val="00962106"/>
    <w:rsid w:val="00963149"/>
    <w:rsid w:val="00963CD7"/>
    <w:rsid w:val="00965882"/>
    <w:rsid w:val="009659E5"/>
    <w:rsid w:val="00966115"/>
    <w:rsid w:val="00966239"/>
    <w:rsid w:val="00967841"/>
    <w:rsid w:val="0097070B"/>
    <w:rsid w:val="009713AF"/>
    <w:rsid w:val="00972972"/>
    <w:rsid w:val="00972B3D"/>
    <w:rsid w:val="009741D4"/>
    <w:rsid w:val="00974B09"/>
    <w:rsid w:val="00974CC8"/>
    <w:rsid w:val="009757AB"/>
    <w:rsid w:val="00976B31"/>
    <w:rsid w:val="009777D8"/>
    <w:rsid w:val="00977831"/>
    <w:rsid w:val="009808AA"/>
    <w:rsid w:val="00980B9E"/>
    <w:rsid w:val="00982924"/>
    <w:rsid w:val="0098330A"/>
    <w:rsid w:val="00986489"/>
    <w:rsid w:val="0098675D"/>
    <w:rsid w:val="00987F35"/>
    <w:rsid w:val="00992122"/>
    <w:rsid w:val="00992759"/>
    <w:rsid w:val="00992893"/>
    <w:rsid w:val="0099316C"/>
    <w:rsid w:val="009941D4"/>
    <w:rsid w:val="00994EAC"/>
    <w:rsid w:val="00994F98"/>
    <w:rsid w:val="00995BD1"/>
    <w:rsid w:val="00996A85"/>
    <w:rsid w:val="009A12B3"/>
    <w:rsid w:val="009A1DE9"/>
    <w:rsid w:val="009A2118"/>
    <w:rsid w:val="009A3AF8"/>
    <w:rsid w:val="009A3CD5"/>
    <w:rsid w:val="009A50CB"/>
    <w:rsid w:val="009A60B5"/>
    <w:rsid w:val="009A637A"/>
    <w:rsid w:val="009A7223"/>
    <w:rsid w:val="009A7829"/>
    <w:rsid w:val="009B0780"/>
    <w:rsid w:val="009B1405"/>
    <w:rsid w:val="009B19E3"/>
    <w:rsid w:val="009B5124"/>
    <w:rsid w:val="009B5505"/>
    <w:rsid w:val="009B5941"/>
    <w:rsid w:val="009B5C5E"/>
    <w:rsid w:val="009C1B27"/>
    <w:rsid w:val="009C3FA0"/>
    <w:rsid w:val="009C402B"/>
    <w:rsid w:val="009C6EF4"/>
    <w:rsid w:val="009C7C4F"/>
    <w:rsid w:val="009D0EBC"/>
    <w:rsid w:val="009D154A"/>
    <w:rsid w:val="009D3281"/>
    <w:rsid w:val="009D3D1F"/>
    <w:rsid w:val="009D3E63"/>
    <w:rsid w:val="009D4441"/>
    <w:rsid w:val="009D62BD"/>
    <w:rsid w:val="009D784B"/>
    <w:rsid w:val="009D7D41"/>
    <w:rsid w:val="009D7DBF"/>
    <w:rsid w:val="009E110C"/>
    <w:rsid w:val="009E148E"/>
    <w:rsid w:val="009E1CA6"/>
    <w:rsid w:val="009E22CC"/>
    <w:rsid w:val="009E2550"/>
    <w:rsid w:val="009E3CAE"/>
    <w:rsid w:val="009E3FC7"/>
    <w:rsid w:val="009E5530"/>
    <w:rsid w:val="009E554C"/>
    <w:rsid w:val="009E5F52"/>
    <w:rsid w:val="009E6BC9"/>
    <w:rsid w:val="009E7664"/>
    <w:rsid w:val="009E7D02"/>
    <w:rsid w:val="009F0A44"/>
    <w:rsid w:val="009F3BEB"/>
    <w:rsid w:val="009F45A9"/>
    <w:rsid w:val="009F4759"/>
    <w:rsid w:val="009F4D41"/>
    <w:rsid w:val="009F6344"/>
    <w:rsid w:val="009F6B89"/>
    <w:rsid w:val="009F776D"/>
    <w:rsid w:val="009F7C11"/>
    <w:rsid w:val="009F7D2D"/>
    <w:rsid w:val="00A005C5"/>
    <w:rsid w:val="00A009F9"/>
    <w:rsid w:val="00A00B5D"/>
    <w:rsid w:val="00A0165D"/>
    <w:rsid w:val="00A019FF"/>
    <w:rsid w:val="00A028C4"/>
    <w:rsid w:val="00A044C8"/>
    <w:rsid w:val="00A05F1F"/>
    <w:rsid w:val="00A060DE"/>
    <w:rsid w:val="00A06117"/>
    <w:rsid w:val="00A06569"/>
    <w:rsid w:val="00A07236"/>
    <w:rsid w:val="00A101B7"/>
    <w:rsid w:val="00A11113"/>
    <w:rsid w:val="00A11DAB"/>
    <w:rsid w:val="00A124E9"/>
    <w:rsid w:val="00A12B30"/>
    <w:rsid w:val="00A12C8D"/>
    <w:rsid w:val="00A12E15"/>
    <w:rsid w:val="00A13061"/>
    <w:rsid w:val="00A15716"/>
    <w:rsid w:val="00A16223"/>
    <w:rsid w:val="00A16474"/>
    <w:rsid w:val="00A17918"/>
    <w:rsid w:val="00A17C26"/>
    <w:rsid w:val="00A20210"/>
    <w:rsid w:val="00A20A55"/>
    <w:rsid w:val="00A20AEC"/>
    <w:rsid w:val="00A2202C"/>
    <w:rsid w:val="00A22B8C"/>
    <w:rsid w:val="00A236E6"/>
    <w:rsid w:val="00A2488A"/>
    <w:rsid w:val="00A25312"/>
    <w:rsid w:val="00A25E52"/>
    <w:rsid w:val="00A2744A"/>
    <w:rsid w:val="00A2766A"/>
    <w:rsid w:val="00A277FF"/>
    <w:rsid w:val="00A31ECE"/>
    <w:rsid w:val="00A31F84"/>
    <w:rsid w:val="00A32039"/>
    <w:rsid w:val="00A35676"/>
    <w:rsid w:val="00A356AA"/>
    <w:rsid w:val="00A3655F"/>
    <w:rsid w:val="00A36710"/>
    <w:rsid w:val="00A367D7"/>
    <w:rsid w:val="00A40068"/>
    <w:rsid w:val="00A407B2"/>
    <w:rsid w:val="00A42EF1"/>
    <w:rsid w:val="00A45218"/>
    <w:rsid w:val="00A513E7"/>
    <w:rsid w:val="00A539FB"/>
    <w:rsid w:val="00A540D0"/>
    <w:rsid w:val="00A54373"/>
    <w:rsid w:val="00A5618B"/>
    <w:rsid w:val="00A60B9C"/>
    <w:rsid w:val="00A61210"/>
    <w:rsid w:val="00A6121A"/>
    <w:rsid w:val="00A62015"/>
    <w:rsid w:val="00A62F19"/>
    <w:rsid w:val="00A63797"/>
    <w:rsid w:val="00A64B5B"/>
    <w:rsid w:val="00A658AC"/>
    <w:rsid w:val="00A70117"/>
    <w:rsid w:val="00A7025D"/>
    <w:rsid w:val="00A7212A"/>
    <w:rsid w:val="00A727B9"/>
    <w:rsid w:val="00A72CA4"/>
    <w:rsid w:val="00A733B6"/>
    <w:rsid w:val="00A739F8"/>
    <w:rsid w:val="00A73F66"/>
    <w:rsid w:val="00A74003"/>
    <w:rsid w:val="00A74778"/>
    <w:rsid w:val="00A75DCD"/>
    <w:rsid w:val="00A76544"/>
    <w:rsid w:val="00A76905"/>
    <w:rsid w:val="00A7694E"/>
    <w:rsid w:val="00A77AEA"/>
    <w:rsid w:val="00A843A2"/>
    <w:rsid w:val="00A84733"/>
    <w:rsid w:val="00A8604D"/>
    <w:rsid w:val="00A863F4"/>
    <w:rsid w:val="00A868F5"/>
    <w:rsid w:val="00A873B6"/>
    <w:rsid w:val="00A875AE"/>
    <w:rsid w:val="00A9004C"/>
    <w:rsid w:val="00A90DF6"/>
    <w:rsid w:val="00A915C4"/>
    <w:rsid w:val="00A9451D"/>
    <w:rsid w:val="00A9523E"/>
    <w:rsid w:val="00A955CF"/>
    <w:rsid w:val="00A965C7"/>
    <w:rsid w:val="00A97205"/>
    <w:rsid w:val="00A9748A"/>
    <w:rsid w:val="00AA2121"/>
    <w:rsid w:val="00AA2A4B"/>
    <w:rsid w:val="00AA2DCD"/>
    <w:rsid w:val="00AA3659"/>
    <w:rsid w:val="00AA41BC"/>
    <w:rsid w:val="00AA59F2"/>
    <w:rsid w:val="00AA6164"/>
    <w:rsid w:val="00AA7648"/>
    <w:rsid w:val="00AA79FC"/>
    <w:rsid w:val="00AB15B0"/>
    <w:rsid w:val="00AB324B"/>
    <w:rsid w:val="00AB4875"/>
    <w:rsid w:val="00AB4F91"/>
    <w:rsid w:val="00AB52F2"/>
    <w:rsid w:val="00AB5DE2"/>
    <w:rsid w:val="00AB6537"/>
    <w:rsid w:val="00AB68AD"/>
    <w:rsid w:val="00AC0B23"/>
    <w:rsid w:val="00AC130C"/>
    <w:rsid w:val="00AC1B72"/>
    <w:rsid w:val="00AC2A48"/>
    <w:rsid w:val="00AC2A8C"/>
    <w:rsid w:val="00AC2AAE"/>
    <w:rsid w:val="00AC2DB4"/>
    <w:rsid w:val="00AC364C"/>
    <w:rsid w:val="00AC3F33"/>
    <w:rsid w:val="00AC4AF8"/>
    <w:rsid w:val="00AC5FE9"/>
    <w:rsid w:val="00AC7817"/>
    <w:rsid w:val="00AC7FBA"/>
    <w:rsid w:val="00AD0902"/>
    <w:rsid w:val="00AD1E40"/>
    <w:rsid w:val="00AD2B05"/>
    <w:rsid w:val="00AD3162"/>
    <w:rsid w:val="00AD67DB"/>
    <w:rsid w:val="00AD6EDF"/>
    <w:rsid w:val="00AD7B95"/>
    <w:rsid w:val="00AE0350"/>
    <w:rsid w:val="00AE0DB1"/>
    <w:rsid w:val="00AE2A05"/>
    <w:rsid w:val="00AE39BA"/>
    <w:rsid w:val="00AE42E3"/>
    <w:rsid w:val="00AE4584"/>
    <w:rsid w:val="00AE60FF"/>
    <w:rsid w:val="00AE6A69"/>
    <w:rsid w:val="00AE7681"/>
    <w:rsid w:val="00AF10E5"/>
    <w:rsid w:val="00AF21D5"/>
    <w:rsid w:val="00AF29B5"/>
    <w:rsid w:val="00AF4031"/>
    <w:rsid w:val="00AF56E2"/>
    <w:rsid w:val="00AF6031"/>
    <w:rsid w:val="00AF61F5"/>
    <w:rsid w:val="00AF7E85"/>
    <w:rsid w:val="00AF7EBE"/>
    <w:rsid w:val="00B014D3"/>
    <w:rsid w:val="00B01732"/>
    <w:rsid w:val="00B034B1"/>
    <w:rsid w:val="00B035FC"/>
    <w:rsid w:val="00B03738"/>
    <w:rsid w:val="00B045B9"/>
    <w:rsid w:val="00B056DE"/>
    <w:rsid w:val="00B05B87"/>
    <w:rsid w:val="00B0723C"/>
    <w:rsid w:val="00B11E4A"/>
    <w:rsid w:val="00B14A3D"/>
    <w:rsid w:val="00B1533A"/>
    <w:rsid w:val="00B16F6E"/>
    <w:rsid w:val="00B16F71"/>
    <w:rsid w:val="00B200B7"/>
    <w:rsid w:val="00B213E3"/>
    <w:rsid w:val="00B21400"/>
    <w:rsid w:val="00B21FB2"/>
    <w:rsid w:val="00B24522"/>
    <w:rsid w:val="00B245AE"/>
    <w:rsid w:val="00B2517C"/>
    <w:rsid w:val="00B252FB"/>
    <w:rsid w:val="00B26001"/>
    <w:rsid w:val="00B2659C"/>
    <w:rsid w:val="00B26AD0"/>
    <w:rsid w:val="00B30607"/>
    <w:rsid w:val="00B30C71"/>
    <w:rsid w:val="00B32723"/>
    <w:rsid w:val="00B32B79"/>
    <w:rsid w:val="00B330AE"/>
    <w:rsid w:val="00B34355"/>
    <w:rsid w:val="00B34BEF"/>
    <w:rsid w:val="00B355D1"/>
    <w:rsid w:val="00B359A0"/>
    <w:rsid w:val="00B36709"/>
    <w:rsid w:val="00B36D8E"/>
    <w:rsid w:val="00B3701D"/>
    <w:rsid w:val="00B375B0"/>
    <w:rsid w:val="00B37CBE"/>
    <w:rsid w:val="00B41AD0"/>
    <w:rsid w:val="00B42464"/>
    <w:rsid w:val="00B44249"/>
    <w:rsid w:val="00B44563"/>
    <w:rsid w:val="00B45B68"/>
    <w:rsid w:val="00B46A53"/>
    <w:rsid w:val="00B50E4B"/>
    <w:rsid w:val="00B5232D"/>
    <w:rsid w:val="00B52C59"/>
    <w:rsid w:val="00B533EC"/>
    <w:rsid w:val="00B55848"/>
    <w:rsid w:val="00B5746C"/>
    <w:rsid w:val="00B57595"/>
    <w:rsid w:val="00B57650"/>
    <w:rsid w:val="00B57B32"/>
    <w:rsid w:val="00B57F28"/>
    <w:rsid w:val="00B60244"/>
    <w:rsid w:val="00B603B6"/>
    <w:rsid w:val="00B60652"/>
    <w:rsid w:val="00B60A25"/>
    <w:rsid w:val="00B61326"/>
    <w:rsid w:val="00B61D35"/>
    <w:rsid w:val="00B62275"/>
    <w:rsid w:val="00B662D6"/>
    <w:rsid w:val="00B67CBE"/>
    <w:rsid w:val="00B7088E"/>
    <w:rsid w:val="00B72A5B"/>
    <w:rsid w:val="00B72D4F"/>
    <w:rsid w:val="00B73CB2"/>
    <w:rsid w:val="00B747D0"/>
    <w:rsid w:val="00B7596B"/>
    <w:rsid w:val="00B75DE7"/>
    <w:rsid w:val="00B75EAF"/>
    <w:rsid w:val="00B777A6"/>
    <w:rsid w:val="00B800AA"/>
    <w:rsid w:val="00B813F0"/>
    <w:rsid w:val="00B8222F"/>
    <w:rsid w:val="00B82ADC"/>
    <w:rsid w:val="00B83C35"/>
    <w:rsid w:val="00B83F31"/>
    <w:rsid w:val="00B84815"/>
    <w:rsid w:val="00B84A77"/>
    <w:rsid w:val="00B86624"/>
    <w:rsid w:val="00B867CC"/>
    <w:rsid w:val="00B87039"/>
    <w:rsid w:val="00B92CB0"/>
    <w:rsid w:val="00B94865"/>
    <w:rsid w:val="00B95897"/>
    <w:rsid w:val="00B95FC6"/>
    <w:rsid w:val="00B97531"/>
    <w:rsid w:val="00BA0E3E"/>
    <w:rsid w:val="00BA0F9D"/>
    <w:rsid w:val="00BA178E"/>
    <w:rsid w:val="00BA1AC2"/>
    <w:rsid w:val="00BA1F29"/>
    <w:rsid w:val="00BA2A99"/>
    <w:rsid w:val="00BA2C86"/>
    <w:rsid w:val="00BA3168"/>
    <w:rsid w:val="00BA5A5F"/>
    <w:rsid w:val="00BA7388"/>
    <w:rsid w:val="00BA745F"/>
    <w:rsid w:val="00BA7543"/>
    <w:rsid w:val="00BA78E0"/>
    <w:rsid w:val="00BA7EE2"/>
    <w:rsid w:val="00BB0C59"/>
    <w:rsid w:val="00BB459D"/>
    <w:rsid w:val="00BB4BC1"/>
    <w:rsid w:val="00BB4C85"/>
    <w:rsid w:val="00BB5B64"/>
    <w:rsid w:val="00BB5D08"/>
    <w:rsid w:val="00BB70C4"/>
    <w:rsid w:val="00BC00EE"/>
    <w:rsid w:val="00BC3029"/>
    <w:rsid w:val="00BC34F4"/>
    <w:rsid w:val="00BC4BC1"/>
    <w:rsid w:val="00BC6281"/>
    <w:rsid w:val="00BC790A"/>
    <w:rsid w:val="00BC792A"/>
    <w:rsid w:val="00BD1BD3"/>
    <w:rsid w:val="00BD2E58"/>
    <w:rsid w:val="00BD38E8"/>
    <w:rsid w:val="00BD45AC"/>
    <w:rsid w:val="00BD474C"/>
    <w:rsid w:val="00BD7643"/>
    <w:rsid w:val="00BD775C"/>
    <w:rsid w:val="00BD7BBD"/>
    <w:rsid w:val="00BE0031"/>
    <w:rsid w:val="00BE2A92"/>
    <w:rsid w:val="00BE711D"/>
    <w:rsid w:val="00BE7744"/>
    <w:rsid w:val="00BE7D50"/>
    <w:rsid w:val="00BF0CA3"/>
    <w:rsid w:val="00BF2628"/>
    <w:rsid w:val="00BF2AF9"/>
    <w:rsid w:val="00BF406F"/>
    <w:rsid w:val="00BF4758"/>
    <w:rsid w:val="00BF5D4A"/>
    <w:rsid w:val="00BF6427"/>
    <w:rsid w:val="00BF7E3B"/>
    <w:rsid w:val="00C0348D"/>
    <w:rsid w:val="00C04034"/>
    <w:rsid w:val="00C04134"/>
    <w:rsid w:val="00C05A19"/>
    <w:rsid w:val="00C066C9"/>
    <w:rsid w:val="00C0671B"/>
    <w:rsid w:val="00C06749"/>
    <w:rsid w:val="00C06A44"/>
    <w:rsid w:val="00C07F68"/>
    <w:rsid w:val="00C100BE"/>
    <w:rsid w:val="00C1524F"/>
    <w:rsid w:val="00C15653"/>
    <w:rsid w:val="00C156A6"/>
    <w:rsid w:val="00C15B2F"/>
    <w:rsid w:val="00C162EE"/>
    <w:rsid w:val="00C16673"/>
    <w:rsid w:val="00C1700D"/>
    <w:rsid w:val="00C17BA9"/>
    <w:rsid w:val="00C20C3B"/>
    <w:rsid w:val="00C24245"/>
    <w:rsid w:val="00C24FA3"/>
    <w:rsid w:val="00C25DD1"/>
    <w:rsid w:val="00C26A43"/>
    <w:rsid w:val="00C26BC6"/>
    <w:rsid w:val="00C277CE"/>
    <w:rsid w:val="00C30E71"/>
    <w:rsid w:val="00C31879"/>
    <w:rsid w:val="00C31995"/>
    <w:rsid w:val="00C32086"/>
    <w:rsid w:val="00C338DD"/>
    <w:rsid w:val="00C33A5F"/>
    <w:rsid w:val="00C33C54"/>
    <w:rsid w:val="00C34962"/>
    <w:rsid w:val="00C36579"/>
    <w:rsid w:val="00C3670D"/>
    <w:rsid w:val="00C37A11"/>
    <w:rsid w:val="00C37D28"/>
    <w:rsid w:val="00C37E4F"/>
    <w:rsid w:val="00C37FD2"/>
    <w:rsid w:val="00C401B0"/>
    <w:rsid w:val="00C401CB"/>
    <w:rsid w:val="00C40386"/>
    <w:rsid w:val="00C4149E"/>
    <w:rsid w:val="00C4288E"/>
    <w:rsid w:val="00C42E6C"/>
    <w:rsid w:val="00C43052"/>
    <w:rsid w:val="00C438B6"/>
    <w:rsid w:val="00C440F2"/>
    <w:rsid w:val="00C44A7D"/>
    <w:rsid w:val="00C46740"/>
    <w:rsid w:val="00C46C79"/>
    <w:rsid w:val="00C4784C"/>
    <w:rsid w:val="00C516D7"/>
    <w:rsid w:val="00C538C0"/>
    <w:rsid w:val="00C571B4"/>
    <w:rsid w:val="00C601A4"/>
    <w:rsid w:val="00C61ECD"/>
    <w:rsid w:val="00C62B82"/>
    <w:rsid w:val="00C62FA4"/>
    <w:rsid w:val="00C637B0"/>
    <w:rsid w:val="00C64BD5"/>
    <w:rsid w:val="00C64FC1"/>
    <w:rsid w:val="00C671DB"/>
    <w:rsid w:val="00C70E39"/>
    <w:rsid w:val="00C71D82"/>
    <w:rsid w:val="00C71FCB"/>
    <w:rsid w:val="00C727D6"/>
    <w:rsid w:val="00C72F6C"/>
    <w:rsid w:val="00C7386F"/>
    <w:rsid w:val="00C74FA8"/>
    <w:rsid w:val="00C761B8"/>
    <w:rsid w:val="00C7670F"/>
    <w:rsid w:val="00C77F48"/>
    <w:rsid w:val="00C8057F"/>
    <w:rsid w:val="00C83D92"/>
    <w:rsid w:val="00C8505C"/>
    <w:rsid w:val="00C850DF"/>
    <w:rsid w:val="00C85781"/>
    <w:rsid w:val="00C867A8"/>
    <w:rsid w:val="00C90816"/>
    <w:rsid w:val="00C91306"/>
    <w:rsid w:val="00C919F7"/>
    <w:rsid w:val="00C92576"/>
    <w:rsid w:val="00C92E47"/>
    <w:rsid w:val="00C9301B"/>
    <w:rsid w:val="00C93916"/>
    <w:rsid w:val="00C93D59"/>
    <w:rsid w:val="00C93E3B"/>
    <w:rsid w:val="00C9422C"/>
    <w:rsid w:val="00C94413"/>
    <w:rsid w:val="00C9566C"/>
    <w:rsid w:val="00C9620F"/>
    <w:rsid w:val="00C9672A"/>
    <w:rsid w:val="00CA16E3"/>
    <w:rsid w:val="00CA23ED"/>
    <w:rsid w:val="00CA493A"/>
    <w:rsid w:val="00CA5972"/>
    <w:rsid w:val="00CA599D"/>
    <w:rsid w:val="00CA6B75"/>
    <w:rsid w:val="00CA787D"/>
    <w:rsid w:val="00CB09DF"/>
    <w:rsid w:val="00CB268C"/>
    <w:rsid w:val="00CB3585"/>
    <w:rsid w:val="00CB3FBD"/>
    <w:rsid w:val="00CB4817"/>
    <w:rsid w:val="00CB4DBB"/>
    <w:rsid w:val="00CB4E8E"/>
    <w:rsid w:val="00CB50B5"/>
    <w:rsid w:val="00CB6390"/>
    <w:rsid w:val="00CB6660"/>
    <w:rsid w:val="00CB7788"/>
    <w:rsid w:val="00CC0F4E"/>
    <w:rsid w:val="00CC2F74"/>
    <w:rsid w:val="00CC2FBD"/>
    <w:rsid w:val="00CC389B"/>
    <w:rsid w:val="00CC3E36"/>
    <w:rsid w:val="00CC3F31"/>
    <w:rsid w:val="00CC5266"/>
    <w:rsid w:val="00CC5774"/>
    <w:rsid w:val="00CC6075"/>
    <w:rsid w:val="00CC7427"/>
    <w:rsid w:val="00CC74EE"/>
    <w:rsid w:val="00CC7D97"/>
    <w:rsid w:val="00CD0113"/>
    <w:rsid w:val="00CD068E"/>
    <w:rsid w:val="00CD0977"/>
    <w:rsid w:val="00CD2E57"/>
    <w:rsid w:val="00CD5B5E"/>
    <w:rsid w:val="00CD62C2"/>
    <w:rsid w:val="00CD6375"/>
    <w:rsid w:val="00CD69CC"/>
    <w:rsid w:val="00CD7386"/>
    <w:rsid w:val="00CD766F"/>
    <w:rsid w:val="00CD7A0A"/>
    <w:rsid w:val="00CD7D64"/>
    <w:rsid w:val="00CE0FD4"/>
    <w:rsid w:val="00CE1B9A"/>
    <w:rsid w:val="00CE25AD"/>
    <w:rsid w:val="00CE390B"/>
    <w:rsid w:val="00CE47FF"/>
    <w:rsid w:val="00CE683E"/>
    <w:rsid w:val="00CE7CAD"/>
    <w:rsid w:val="00CF12A8"/>
    <w:rsid w:val="00CF1A3B"/>
    <w:rsid w:val="00CF387C"/>
    <w:rsid w:val="00CF5913"/>
    <w:rsid w:val="00CF6D05"/>
    <w:rsid w:val="00D00416"/>
    <w:rsid w:val="00D00915"/>
    <w:rsid w:val="00D00A27"/>
    <w:rsid w:val="00D00C6B"/>
    <w:rsid w:val="00D01EC1"/>
    <w:rsid w:val="00D02678"/>
    <w:rsid w:val="00D02A84"/>
    <w:rsid w:val="00D02BC4"/>
    <w:rsid w:val="00D03252"/>
    <w:rsid w:val="00D03DC5"/>
    <w:rsid w:val="00D04121"/>
    <w:rsid w:val="00D04552"/>
    <w:rsid w:val="00D04E5D"/>
    <w:rsid w:val="00D0557A"/>
    <w:rsid w:val="00D05FF7"/>
    <w:rsid w:val="00D0672A"/>
    <w:rsid w:val="00D12C1B"/>
    <w:rsid w:val="00D1343E"/>
    <w:rsid w:val="00D15110"/>
    <w:rsid w:val="00D15DC8"/>
    <w:rsid w:val="00D17726"/>
    <w:rsid w:val="00D204F4"/>
    <w:rsid w:val="00D20B1E"/>
    <w:rsid w:val="00D22595"/>
    <w:rsid w:val="00D23C6A"/>
    <w:rsid w:val="00D240A3"/>
    <w:rsid w:val="00D241D6"/>
    <w:rsid w:val="00D255D0"/>
    <w:rsid w:val="00D2566B"/>
    <w:rsid w:val="00D26BF6"/>
    <w:rsid w:val="00D327A3"/>
    <w:rsid w:val="00D32F45"/>
    <w:rsid w:val="00D3347B"/>
    <w:rsid w:val="00D34134"/>
    <w:rsid w:val="00D40338"/>
    <w:rsid w:val="00D40DDD"/>
    <w:rsid w:val="00D41B25"/>
    <w:rsid w:val="00D41FEB"/>
    <w:rsid w:val="00D4231B"/>
    <w:rsid w:val="00D4315B"/>
    <w:rsid w:val="00D43C75"/>
    <w:rsid w:val="00D458DA"/>
    <w:rsid w:val="00D462F7"/>
    <w:rsid w:val="00D4662D"/>
    <w:rsid w:val="00D47233"/>
    <w:rsid w:val="00D47444"/>
    <w:rsid w:val="00D50833"/>
    <w:rsid w:val="00D5087F"/>
    <w:rsid w:val="00D50927"/>
    <w:rsid w:val="00D51548"/>
    <w:rsid w:val="00D51C93"/>
    <w:rsid w:val="00D5334D"/>
    <w:rsid w:val="00D5338D"/>
    <w:rsid w:val="00D53D49"/>
    <w:rsid w:val="00D54789"/>
    <w:rsid w:val="00D55931"/>
    <w:rsid w:val="00D56CFD"/>
    <w:rsid w:val="00D57467"/>
    <w:rsid w:val="00D603AC"/>
    <w:rsid w:val="00D60C4F"/>
    <w:rsid w:val="00D6241F"/>
    <w:rsid w:val="00D62EDF"/>
    <w:rsid w:val="00D67DEB"/>
    <w:rsid w:val="00D706ED"/>
    <w:rsid w:val="00D71269"/>
    <w:rsid w:val="00D721AC"/>
    <w:rsid w:val="00D732F3"/>
    <w:rsid w:val="00D74A5F"/>
    <w:rsid w:val="00D74C03"/>
    <w:rsid w:val="00D809AD"/>
    <w:rsid w:val="00D80B74"/>
    <w:rsid w:val="00D80E5A"/>
    <w:rsid w:val="00D8348D"/>
    <w:rsid w:val="00D836FF"/>
    <w:rsid w:val="00D84C71"/>
    <w:rsid w:val="00D84FFC"/>
    <w:rsid w:val="00D9117B"/>
    <w:rsid w:val="00D94D92"/>
    <w:rsid w:val="00D95225"/>
    <w:rsid w:val="00D957D2"/>
    <w:rsid w:val="00D95A96"/>
    <w:rsid w:val="00DA1403"/>
    <w:rsid w:val="00DA24AE"/>
    <w:rsid w:val="00DA3191"/>
    <w:rsid w:val="00DA42B3"/>
    <w:rsid w:val="00DA4B9B"/>
    <w:rsid w:val="00DA514C"/>
    <w:rsid w:val="00DA5255"/>
    <w:rsid w:val="00DA5C10"/>
    <w:rsid w:val="00DA61F6"/>
    <w:rsid w:val="00DA6841"/>
    <w:rsid w:val="00DA6D24"/>
    <w:rsid w:val="00DA6FD3"/>
    <w:rsid w:val="00DA7E63"/>
    <w:rsid w:val="00DB0393"/>
    <w:rsid w:val="00DB19F9"/>
    <w:rsid w:val="00DB1BC5"/>
    <w:rsid w:val="00DB1FF0"/>
    <w:rsid w:val="00DB2071"/>
    <w:rsid w:val="00DB2B93"/>
    <w:rsid w:val="00DB4CCD"/>
    <w:rsid w:val="00DB624E"/>
    <w:rsid w:val="00DC008A"/>
    <w:rsid w:val="00DC0792"/>
    <w:rsid w:val="00DC1185"/>
    <w:rsid w:val="00DC1696"/>
    <w:rsid w:val="00DC2CD9"/>
    <w:rsid w:val="00DC394E"/>
    <w:rsid w:val="00DC3A45"/>
    <w:rsid w:val="00DC47F6"/>
    <w:rsid w:val="00DC57FE"/>
    <w:rsid w:val="00DC5B1E"/>
    <w:rsid w:val="00DC7C1C"/>
    <w:rsid w:val="00DD2207"/>
    <w:rsid w:val="00DD25DB"/>
    <w:rsid w:val="00DD3A6F"/>
    <w:rsid w:val="00DD3AF9"/>
    <w:rsid w:val="00DD3F46"/>
    <w:rsid w:val="00DD3F47"/>
    <w:rsid w:val="00DD4BE8"/>
    <w:rsid w:val="00DD60CE"/>
    <w:rsid w:val="00DD6462"/>
    <w:rsid w:val="00DD6A30"/>
    <w:rsid w:val="00DD6F65"/>
    <w:rsid w:val="00DD725C"/>
    <w:rsid w:val="00DD735B"/>
    <w:rsid w:val="00DD7FAD"/>
    <w:rsid w:val="00DE112B"/>
    <w:rsid w:val="00DE2451"/>
    <w:rsid w:val="00DE2652"/>
    <w:rsid w:val="00DE27B5"/>
    <w:rsid w:val="00DE291F"/>
    <w:rsid w:val="00DE33D8"/>
    <w:rsid w:val="00DE33DF"/>
    <w:rsid w:val="00DE3644"/>
    <w:rsid w:val="00DE374A"/>
    <w:rsid w:val="00DE4720"/>
    <w:rsid w:val="00DE7978"/>
    <w:rsid w:val="00DF1498"/>
    <w:rsid w:val="00DF36A5"/>
    <w:rsid w:val="00DF575B"/>
    <w:rsid w:val="00DF583D"/>
    <w:rsid w:val="00DF60A0"/>
    <w:rsid w:val="00DF6F4B"/>
    <w:rsid w:val="00E01C98"/>
    <w:rsid w:val="00E022B6"/>
    <w:rsid w:val="00E02DD0"/>
    <w:rsid w:val="00E02F3D"/>
    <w:rsid w:val="00E052C5"/>
    <w:rsid w:val="00E05E8F"/>
    <w:rsid w:val="00E1094C"/>
    <w:rsid w:val="00E117B1"/>
    <w:rsid w:val="00E13114"/>
    <w:rsid w:val="00E13352"/>
    <w:rsid w:val="00E13FDF"/>
    <w:rsid w:val="00E13FFE"/>
    <w:rsid w:val="00E147C0"/>
    <w:rsid w:val="00E149FD"/>
    <w:rsid w:val="00E16675"/>
    <w:rsid w:val="00E173CA"/>
    <w:rsid w:val="00E21A7A"/>
    <w:rsid w:val="00E22FE1"/>
    <w:rsid w:val="00E269F5"/>
    <w:rsid w:val="00E32CEA"/>
    <w:rsid w:val="00E34832"/>
    <w:rsid w:val="00E36CA1"/>
    <w:rsid w:val="00E371AB"/>
    <w:rsid w:val="00E376B4"/>
    <w:rsid w:val="00E37EB5"/>
    <w:rsid w:val="00E37F97"/>
    <w:rsid w:val="00E40452"/>
    <w:rsid w:val="00E40803"/>
    <w:rsid w:val="00E44105"/>
    <w:rsid w:val="00E45CFC"/>
    <w:rsid w:val="00E46FBE"/>
    <w:rsid w:val="00E50744"/>
    <w:rsid w:val="00E525F3"/>
    <w:rsid w:val="00E52F9B"/>
    <w:rsid w:val="00E5342D"/>
    <w:rsid w:val="00E534DB"/>
    <w:rsid w:val="00E538E5"/>
    <w:rsid w:val="00E54310"/>
    <w:rsid w:val="00E55ADA"/>
    <w:rsid w:val="00E55E4C"/>
    <w:rsid w:val="00E562A5"/>
    <w:rsid w:val="00E57842"/>
    <w:rsid w:val="00E57877"/>
    <w:rsid w:val="00E60265"/>
    <w:rsid w:val="00E625DD"/>
    <w:rsid w:val="00E63A36"/>
    <w:rsid w:val="00E63A6F"/>
    <w:rsid w:val="00E63C30"/>
    <w:rsid w:val="00E6410E"/>
    <w:rsid w:val="00E64731"/>
    <w:rsid w:val="00E65CA6"/>
    <w:rsid w:val="00E701B7"/>
    <w:rsid w:val="00E7096C"/>
    <w:rsid w:val="00E71148"/>
    <w:rsid w:val="00E73A51"/>
    <w:rsid w:val="00E748C3"/>
    <w:rsid w:val="00E76763"/>
    <w:rsid w:val="00E77D00"/>
    <w:rsid w:val="00E8447B"/>
    <w:rsid w:val="00E8450A"/>
    <w:rsid w:val="00E84BBE"/>
    <w:rsid w:val="00E85FF4"/>
    <w:rsid w:val="00E86FA0"/>
    <w:rsid w:val="00E9046A"/>
    <w:rsid w:val="00E90B29"/>
    <w:rsid w:val="00E92A80"/>
    <w:rsid w:val="00E930E2"/>
    <w:rsid w:val="00E9418E"/>
    <w:rsid w:val="00E94A41"/>
    <w:rsid w:val="00E94E6A"/>
    <w:rsid w:val="00E95C73"/>
    <w:rsid w:val="00E9629F"/>
    <w:rsid w:val="00E96CEE"/>
    <w:rsid w:val="00E97F75"/>
    <w:rsid w:val="00EA07F4"/>
    <w:rsid w:val="00EA172A"/>
    <w:rsid w:val="00EA20CC"/>
    <w:rsid w:val="00EA23D7"/>
    <w:rsid w:val="00EA2457"/>
    <w:rsid w:val="00EA26C6"/>
    <w:rsid w:val="00EA3074"/>
    <w:rsid w:val="00EA475D"/>
    <w:rsid w:val="00EA673F"/>
    <w:rsid w:val="00EA6A13"/>
    <w:rsid w:val="00EA7435"/>
    <w:rsid w:val="00EA7846"/>
    <w:rsid w:val="00EA7C5A"/>
    <w:rsid w:val="00EB1CD0"/>
    <w:rsid w:val="00EB2012"/>
    <w:rsid w:val="00EB23BC"/>
    <w:rsid w:val="00EB2C1E"/>
    <w:rsid w:val="00EB43CB"/>
    <w:rsid w:val="00EB5086"/>
    <w:rsid w:val="00EB6699"/>
    <w:rsid w:val="00EB6B28"/>
    <w:rsid w:val="00EB70A4"/>
    <w:rsid w:val="00EC1681"/>
    <w:rsid w:val="00EC1874"/>
    <w:rsid w:val="00EC205C"/>
    <w:rsid w:val="00EC2889"/>
    <w:rsid w:val="00EC2A1F"/>
    <w:rsid w:val="00EC32D7"/>
    <w:rsid w:val="00EC448D"/>
    <w:rsid w:val="00EC463C"/>
    <w:rsid w:val="00EC53A0"/>
    <w:rsid w:val="00EC5FFF"/>
    <w:rsid w:val="00EC676A"/>
    <w:rsid w:val="00EC6903"/>
    <w:rsid w:val="00EC6FB0"/>
    <w:rsid w:val="00EC71F7"/>
    <w:rsid w:val="00EC7D99"/>
    <w:rsid w:val="00ED00E7"/>
    <w:rsid w:val="00ED0671"/>
    <w:rsid w:val="00ED0A09"/>
    <w:rsid w:val="00ED1718"/>
    <w:rsid w:val="00ED3842"/>
    <w:rsid w:val="00ED5666"/>
    <w:rsid w:val="00ED6885"/>
    <w:rsid w:val="00ED7974"/>
    <w:rsid w:val="00EE07AD"/>
    <w:rsid w:val="00EE14B9"/>
    <w:rsid w:val="00EE3233"/>
    <w:rsid w:val="00EE4C5F"/>
    <w:rsid w:val="00EE5043"/>
    <w:rsid w:val="00EE5F10"/>
    <w:rsid w:val="00EE677B"/>
    <w:rsid w:val="00EE7839"/>
    <w:rsid w:val="00EF0817"/>
    <w:rsid w:val="00EF184A"/>
    <w:rsid w:val="00EF3734"/>
    <w:rsid w:val="00EF5876"/>
    <w:rsid w:val="00EF6762"/>
    <w:rsid w:val="00EF6AE7"/>
    <w:rsid w:val="00F0138A"/>
    <w:rsid w:val="00F01833"/>
    <w:rsid w:val="00F01BD8"/>
    <w:rsid w:val="00F033BB"/>
    <w:rsid w:val="00F04DA5"/>
    <w:rsid w:val="00F05652"/>
    <w:rsid w:val="00F06823"/>
    <w:rsid w:val="00F07019"/>
    <w:rsid w:val="00F070E4"/>
    <w:rsid w:val="00F0724E"/>
    <w:rsid w:val="00F073E6"/>
    <w:rsid w:val="00F07A92"/>
    <w:rsid w:val="00F114A3"/>
    <w:rsid w:val="00F12638"/>
    <w:rsid w:val="00F127B9"/>
    <w:rsid w:val="00F139AF"/>
    <w:rsid w:val="00F14BFC"/>
    <w:rsid w:val="00F14DC0"/>
    <w:rsid w:val="00F15FBB"/>
    <w:rsid w:val="00F16600"/>
    <w:rsid w:val="00F20999"/>
    <w:rsid w:val="00F22D4F"/>
    <w:rsid w:val="00F23044"/>
    <w:rsid w:val="00F233E9"/>
    <w:rsid w:val="00F23759"/>
    <w:rsid w:val="00F23E74"/>
    <w:rsid w:val="00F257B2"/>
    <w:rsid w:val="00F25F9B"/>
    <w:rsid w:val="00F27488"/>
    <w:rsid w:val="00F317EE"/>
    <w:rsid w:val="00F32F8B"/>
    <w:rsid w:val="00F33875"/>
    <w:rsid w:val="00F34EC1"/>
    <w:rsid w:val="00F36547"/>
    <w:rsid w:val="00F36DEB"/>
    <w:rsid w:val="00F36E25"/>
    <w:rsid w:val="00F41E64"/>
    <w:rsid w:val="00F422E9"/>
    <w:rsid w:val="00F45561"/>
    <w:rsid w:val="00F458C3"/>
    <w:rsid w:val="00F4772E"/>
    <w:rsid w:val="00F47DCA"/>
    <w:rsid w:val="00F5166E"/>
    <w:rsid w:val="00F519E1"/>
    <w:rsid w:val="00F51EC8"/>
    <w:rsid w:val="00F523F2"/>
    <w:rsid w:val="00F532FC"/>
    <w:rsid w:val="00F56624"/>
    <w:rsid w:val="00F567FA"/>
    <w:rsid w:val="00F575E8"/>
    <w:rsid w:val="00F57783"/>
    <w:rsid w:val="00F57E70"/>
    <w:rsid w:val="00F601AE"/>
    <w:rsid w:val="00F612AB"/>
    <w:rsid w:val="00F649E0"/>
    <w:rsid w:val="00F65CC2"/>
    <w:rsid w:val="00F668CA"/>
    <w:rsid w:val="00F66B06"/>
    <w:rsid w:val="00F66FDF"/>
    <w:rsid w:val="00F70622"/>
    <w:rsid w:val="00F727F3"/>
    <w:rsid w:val="00F751E4"/>
    <w:rsid w:val="00F8216C"/>
    <w:rsid w:val="00F821DA"/>
    <w:rsid w:val="00F82427"/>
    <w:rsid w:val="00F8294F"/>
    <w:rsid w:val="00F82A16"/>
    <w:rsid w:val="00F82D62"/>
    <w:rsid w:val="00F83BBA"/>
    <w:rsid w:val="00F83F62"/>
    <w:rsid w:val="00F84154"/>
    <w:rsid w:val="00F84A79"/>
    <w:rsid w:val="00F8707A"/>
    <w:rsid w:val="00F87B85"/>
    <w:rsid w:val="00F90E6C"/>
    <w:rsid w:val="00F90E88"/>
    <w:rsid w:val="00F92DA2"/>
    <w:rsid w:val="00F9319B"/>
    <w:rsid w:val="00F95754"/>
    <w:rsid w:val="00F963F0"/>
    <w:rsid w:val="00F97F61"/>
    <w:rsid w:val="00FA2469"/>
    <w:rsid w:val="00FA2AFD"/>
    <w:rsid w:val="00FA320B"/>
    <w:rsid w:val="00FA682A"/>
    <w:rsid w:val="00FA7A0E"/>
    <w:rsid w:val="00FA7B3C"/>
    <w:rsid w:val="00FB0BF8"/>
    <w:rsid w:val="00FB0D0D"/>
    <w:rsid w:val="00FB0E6B"/>
    <w:rsid w:val="00FB15C0"/>
    <w:rsid w:val="00FB2195"/>
    <w:rsid w:val="00FB4499"/>
    <w:rsid w:val="00FB5050"/>
    <w:rsid w:val="00FB5830"/>
    <w:rsid w:val="00FB66C9"/>
    <w:rsid w:val="00FC0FF8"/>
    <w:rsid w:val="00FC2690"/>
    <w:rsid w:val="00FC3392"/>
    <w:rsid w:val="00FC3AE7"/>
    <w:rsid w:val="00FC7FBF"/>
    <w:rsid w:val="00FD054C"/>
    <w:rsid w:val="00FD176B"/>
    <w:rsid w:val="00FD1E39"/>
    <w:rsid w:val="00FD2C6D"/>
    <w:rsid w:val="00FD327E"/>
    <w:rsid w:val="00FD3BE0"/>
    <w:rsid w:val="00FD48C9"/>
    <w:rsid w:val="00FD5CFC"/>
    <w:rsid w:val="00FD6138"/>
    <w:rsid w:val="00FD6188"/>
    <w:rsid w:val="00FD63AC"/>
    <w:rsid w:val="00FD6673"/>
    <w:rsid w:val="00FD745F"/>
    <w:rsid w:val="00FE08B6"/>
    <w:rsid w:val="00FE19FA"/>
    <w:rsid w:val="00FE300B"/>
    <w:rsid w:val="00FE3AAB"/>
    <w:rsid w:val="00FE53A3"/>
    <w:rsid w:val="00FE5BCE"/>
    <w:rsid w:val="00FE6D5C"/>
    <w:rsid w:val="00FF14C6"/>
    <w:rsid w:val="00FF1698"/>
    <w:rsid w:val="00FF174D"/>
    <w:rsid w:val="00FF2A14"/>
    <w:rsid w:val="00FF3215"/>
    <w:rsid w:val="00FF44A5"/>
    <w:rsid w:val="00FF4FC1"/>
    <w:rsid w:val="00FF5D6C"/>
    <w:rsid w:val="00FF7AB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351B"/>
  <w15:docId w15:val="{5699364E-CD42-41ED-99A2-32A7AE74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B79"/>
    <w:rPr>
      <w:lang w:val="en-GB"/>
    </w:rPr>
  </w:style>
  <w:style w:type="paragraph" w:styleId="Heading2">
    <w:name w:val="heading 2"/>
    <w:basedOn w:val="Normal"/>
    <w:next w:val="Normal"/>
    <w:link w:val="Heading2Char"/>
    <w:uiPriority w:val="9"/>
    <w:unhideWhenUsed/>
    <w:qFormat/>
    <w:rsid w:val="00493EFA"/>
    <w:pPr>
      <w:keepNext/>
      <w:keepLines/>
      <w:spacing w:before="40" w:after="0"/>
      <w:outlineLvl w:val="1"/>
    </w:pPr>
    <w:rPr>
      <w:rFonts w:asciiTheme="majorHAnsi" w:eastAsiaTheme="majorEastAsia" w:hAnsiTheme="majorHAnsi" w:cstheme="majorBidi"/>
      <w:color w:val="2F5496" w:themeColor="accent1" w:themeShade="BF"/>
      <w:sz w:val="26"/>
      <w:szCs w:val="26"/>
      <w:lang w:val="de-CH"/>
    </w:rPr>
  </w:style>
  <w:style w:type="paragraph" w:styleId="Heading3">
    <w:name w:val="heading 3"/>
    <w:basedOn w:val="Normal"/>
    <w:next w:val="Normal"/>
    <w:link w:val="Heading3Char"/>
    <w:uiPriority w:val="9"/>
    <w:unhideWhenUsed/>
    <w:qFormat/>
    <w:rsid w:val="009931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9F9"/>
    <w:rPr>
      <w:rFonts w:ascii="Segoe UI" w:hAnsi="Segoe UI" w:cs="Segoe UI"/>
      <w:sz w:val="18"/>
      <w:szCs w:val="18"/>
    </w:rPr>
  </w:style>
  <w:style w:type="paragraph" w:customStyle="1" w:styleId="Default">
    <w:name w:val="Default"/>
    <w:rsid w:val="00B67CBE"/>
    <w:pPr>
      <w:autoSpaceDE w:val="0"/>
      <w:autoSpaceDN w:val="0"/>
      <w:adjustRightInd w:val="0"/>
      <w:spacing w:after="0" w:line="240" w:lineRule="auto"/>
    </w:pPr>
    <w:rPr>
      <w:rFonts w:ascii="Source Sans Pro" w:hAnsi="Source Sans Pro" w:cs="Source Sans Pro"/>
      <w:color w:val="000000"/>
      <w:sz w:val="24"/>
      <w:szCs w:val="24"/>
      <w:lang w:val="en-GB"/>
    </w:rPr>
  </w:style>
  <w:style w:type="character" w:styleId="Hyperlink">
    <w:name w:val="Hyperlink"/>
    <w:basedOn w:val="DefaultParagraphFont"/>
    <w:uiPriority w:val="99"/>
    <w:unhideWhenUsed/>
    <w:rsid w:val="00E9418E"/>
    <w:rPr>
      <w:color w:val="0563C1" w:themeColor="hyperlink"/>
      <w:u w:val="single"/>
    </w:rPr>
  </w:style>
  <w:style w:type="table" w:styleId="TableGrid">
    <w:name w:val="Table Grid"/>
    <w:basedOn w:val="TableNormal"/>
    <w:uiPriority w:val="39"/>
    <w:rsid w:val="00A76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93EFA"/>
    <w:rPr>
      <w:rFonts w:asciiTheme="majorHAnsi" w:eastAsiaTheme="majorEastAsia" w:hAnsiTheme="majorHAnsi" w:cstheme="majorBidi"/>
      <w:color w:val="2F5496" w:themeColor="accent1" w:themeShade="BF"/>
      <w:sz w:val="26"/>
      <w:szCs w:val="26"/>
      <w:lang w:val="de-CH"/>
    </w:rPr>
  </w:style>
  <w:style w:type="paragraph" w:styleId="ListParagraph">
    <w:name w:val="List Paragraph"/>
    <w:basedOn w:val="Normal"/>
    <w:uiPriority w:val="34"/>
    <w:qFormat/>
    <w:rsid w:val="00304290"/>
    <w:pPr>
      <w:ind w:left="720"/>
      <w:contextualSpacing/>
    </w:pPr>
  </w:style>
  <w:style w:type="paragraph" w:styleId="Header">
    <w:name w:val="header"/>
    <w:basedOn w:val="Normal"/>
    <w:link w:val="HeaderChar"/>
    <w:uiPriority w:val="99"/>
    <w:unhideWhenUsed/>
    <w:rsid w:val="00CB4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817"/>
    <w:rPr>
      <w:lang w:val="en-GB"/>
    </w:rPr>
  </w:style>
  <w:style w:type="paragraph" w:styleId="Footer">
    <w:name w:val="footer"/>
    <w:basedOn w:val="Normal"/>
    <w:link w:val="FooterChar"/>
    <w:uiPriority w:val="99"/>
    <w:unhideWhenUsed/>
    <w:rsid w:val="00CB4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817"/>
    <w:rPr>
      <w:lang w:val="en-GB"/>
    </w:rPr>
  </w:style>
  <w:style w:type="character" w:styleId="PlaceholderText">
    <w:name w:val="Placeholder Text"/>
    <w:basedOn w:val="DefaultParagraphFont"/>
    <w:uiPriority w:val="99"/>
    <w:semiHidden/>
    <w:rsid w:val="00A540D0"/>
    <w:rPr>
      <w:color w:val="808080"/>
    </w:rPr>
  </w:style>
  <w:style w:type="character" w:customStyle="1" w:styleId="Heading3Char">
    <w:name w:val="Heading 3 Char"/>
    <w:basedOn w:val="DefaultParagraphFont"/>
    <w:link w:val="Heading3"/>
    <w:uiPriority w:val="9"/>
    <w:rsid w:val="0099316C"/>
    <w:rPr>
      <w:rFonts w:asciiTheme="majorHAnsi" w:eastAsiaTheme="majorEastAsia" w:hAnsiTheme="majorHAnsi" w:cstheme="majorBidi"/>
      <w:color w:val="1F3763" w:themeColor="accent1" w:themeShade="7F"/>
      <w:sz w:val="24"/>
      <w:szCs w:val="24"/>
      <w:lang w:val="en-GB"/>
    </w:rPr>
  </w:style>
  <w:style w:type="character" w:customStyle="1" w:styleId="highlight">
    <w:name w:val="highlight"/>
    <w:basedOn w:val="DefaultParagraphFont"/>
    <w:rsid w:val="00DA1403"/>
  </w:style>
  <w:style w:type="character" w:customStyle="1" w:styleId="title-text">
    <w:name w:val="title-text"/>
    <w:basedOn w:val="DefaultParagraphFont"/>
    <w:rsid w:val="00104298"/>
  </w:style>
  <w:style w:type="paragraph" w:styleId="NoSpacing">
    <w:name w:val="No Spacing"/>
    <w:link w:val="NoSpacingChar"/>
    <w:uiPriority w:val="1"/>
    <w:qFormat/>
    <w:rsid w:val="00EE14B9"/>
    <w:pPr>
      <w:spacing w:after="0" w:line="240" w:lineRule="auto"/>
    </w:pPr>
  </w:style>
  <w:style w:type="character" w:customStyle="1" w:styleId="NoSpacingChar">
    <w:name w:val="No Spacing Char"/>
    <w:basedOn w:val="DefaultParagraphFont"/>
    <w:link w:val="NoSpacing"/>
    <w:uiPriority w:val="1"/>
    <w:rsid w:val="00EE14B9"/>
  </w:style>
  <w:style w:type="character" w:styleId="CommentReference">
    <w:name w:val="annotation reference"/>
    <w:basedOn w:val="DefaultParagraphFont"/>
    <w:uiPriority w:val="99"/>
    <w:semiHidden/>
    <w:unhideWhenUsed/>
    <w:rsid w:val="00DA7E63"/>
    <w:rPr>
      <w:sz w:val="16"/>
      <w:szCs w:val="16"/>
    </w:rPr>
  </w:style>
  <w:style w:type="paragraph" w:styleId="CommentText">
    <w:name w:val="annotation text"/>
    <w:basedOn w:val="Normal"/>
    <w:link w:val="CommentTextChar"/>
    <w:uiPriority w:val="99"/>
    <w:semiHidden/>
    <w:unhideWhenUsed/>
    <w:rsid w:val="00DA7E63"/>
    <w:pPr>
      <w:spacing w:line="240" w:lineRule="auto"/>
    </w:pPr>
    <w:rPr>
      <w:sz w:val="20"/>
      <w:szCs w:val="20"/>
    </w:rPr>
  </w:style>
  <w:style w:type="character" w:customStyle="1" w:styleId="CommentTextChar">
    <w:name w:val="Comment Text Char"/>
    <w:basedOn w:val="DefaultParagraphFont"/>
    <w:link w:val="CommentText"/>
    <w:uiPriority w:val="99"/>
    <w:semiHidden/>
    <w:rsid w:val="00DA7E63"/>
    <w:rPr>
      <w:sz w:val="20"/>
      <w:szCs w:val="20"/>
      <w:lang w:val="en-GB"/>
    </w:rPr>
  </w:style>
  <w:style w:type="paragraph" w:styleId="CommentSubject">
    <w:name w:val="annotation subject"/>
    <w:basedOn w:val="CommentText"/>
    <w:next w:val="CommentText"/>
    <w:link w:val="CommentSubjectChar"/>
    <w:uiPriority w:val="99"/>
    <w:semiHidden/>
    <w:unhideWhenUsed/>
    <w:rsid w:val="00DA7E63"/>
    <w:rPr>
      <w:b/>
      <w:bCs/>
    </w:rPr>
  </w:style>
  <w:style w:type="character" w:customStyle="1" w:styleId="CommentSubjectChar">
    <w:name w:val="Comment Subject Char"/>
    <w:basedOn w:val="CommentTextChar"/>
    <w:link w:val="CommentSubject"/>
    <w:uiPriority w:val="99"/>
    <w:semiHidden/>
    <w:rsid w:val="00DA7E6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7820">
      <w:bodyDiv w:val="1"/>
      <w:marLeft w:val="0"/>
      <w:marRight w:val="0"/>
      <w:marTop w:val="0"/>
      <w:marBottom w:val="0"/>
      <w:divBdr>
        <w:top w:val="none" w:sz="0" w:space="0" w:color="auto"/>
        <w:left w:val="none" w:sz="0" w:space="0" w:color="auto"/>
        <w:bottom w:val="none" w:sz="0" w:space="0" w:color="auto"/>
        <w:right w:val="none" w:sz="0" w:space="0" w:color="auto"/>
      </w:divBdr>
    </w:div>
    <w:div w:id="96564358">
      <w:bodyDiv w:val="1"/>
      <w:marLeft w:val="0"/>
      <w:marRight w:val="0"/>
      <w:marTop w:val="0"/>
      <w:marBottom w:val="0"/>
      <w:divBdr>
        <w:top w:val="none" w:sz="0" w:space="0" w:color="auto"/>
        <w:left w:val="none" w:sz="0" w:space="0" w:color="auto"/>
        <w:bottom w:val="none" w:sz="0" w:space="0" w:color="auto"/>
        <w:right w:val="none" w:sz="0" w:space="0" w:color="auto"/>
      </w:divBdr>
    </w:div>
    <w:div w:id="126243624">
      <w:bodyDiv w:val="1"/>
      <w:marLeft w:val="0"/>
      <w:marRight w:val="0"/>
      <w:marTop w:val="0"/>
      <w:marBottom w:val="0"/>
      <w:divBdr>
        <w:top w:val="none" w:sz="0" w:space="0" w:color="auto"/>
        <w:left w:val="none" w:sz="0" w:space="0" w:color="auto"/>
        <w:bottom w:val="none" w:sz="0" w:space="0" w:color="auto"/>
        <w:right w:val="none" w:sz="0" w:space="0" w:color="auto"/>
      </w:divBdr>
    </w:div>
    <w:div w:id="270673795">
      <w:bodyDiv w:val="1"/>
      <w:marLeft w:val="0"/>
      <w:marRight w:val="0"/>
      <w:marTop w:val="0"/>
      <w:marBottom w:val="0"/>
      <w:divBdr>
        <w:top w:val="none" w:sz="0" w:space="0" w:color="auto"/>
        <w:left w:val="none" w:sz="0" w:space="0" w:color="auto"/>
        <w:bottom w:val="none" w:sz="0" w:space="0" w:color="auto"/>
        <w:right w:val="none" w:sz="0" w:space="0" w:color="auto"/>
      </w:divBdr>
    </w:div>
    <w:div w:id="319044676">
      <w:bodyDiv w:val="1"/>
      <w:marLeft w:val="0"/>
      <w:marRight w:val="0"/>
      <w:marTop w:val="0"/>
      <w:marBottom w:val="0"/>
      <w:divBdr>
        <w:top w:val="none" w:sz="0" w:space="0" w:color="auto"/>
        <w:left w:val="none" w:sz="0" w:space="0" w:color="auto"/>
        <w:bottom w:val="none" w:sz="0" w:space="0" w:color="auto"/>
        <w:right w:val="none" w:sz="0" w:space="0" w:color="auto"/>
      </w:divBdr>
    </w:div>
    <w:div w:id="439183031">
      <w:bodyDiv w:val="1"/>
      <w:marLeft w:val="0"/>
      <w:marRight w:val="0"/>
      <w:marTop w:val="0"/>
      <w:marBottom w:val="0"/>
      <w:divBdr>
        <w:top w:val="none" w:sz="0" w:space="0" w:color="auto"/>
        <w:left w:val="none" w:sz="0" w:space="0" w:color="auto"/>
        <w:bottom w:val="none" w:sz="0" w:space="0" w:color="auto"/>
        <w:right w:val="none" w:sz="0" w:space="0" w:color="auto"/>
      </w:divBdr>
    </w:div>
    <w:div w:id="797525918">
      <w:bodyDiv w:val="1"/>
      <w:marLeft w:val="0"/>
      <w:marRight w:val="0"/>
      <w:marTop w:val="0"/>
      <w:marBottom w:val="0"/>
      <w:divBdr>
        <w:top w:val="none" w:sz="0" w:space="0" w:color="auto"/>
        <w:left w:val="none" w:sz="0" w:space="0" w:color="auto"/>
        <w:bottom w:val="none" w:sz="0" w:space="0" w:color="auto"/>
        <w:right w:val="none" w:sz="0" w:space="0" w:color="auto"/>
      </w:divBdr>
    </w:div>
    <w:div w:id="1005018911">
      <w:bodyDiv w:val="1"/>
      <w:marLeft w:val="0"/>
      <w:marRight w:val="0"/>
      <w:marTop w:val="0"/>
      <w:marBottom w:val="0"/>
      <w:divBdr>
        <w:top w:val="none" w:sz="0" w:space="0" w:color="auto"/>
        <w:left w:val="none" w:sz="0" w:space="0" w:color="auto"/>
        <w:bottom w:val="none" w:sz="0" w:space="0" w:color="auto"/>
        <w:right w:val="none" w:sz="0" w:space="0" w:color="auto"/>
      </w:divBdr>
    </w:div>
    <w:div w:id="1151480694">
      <w:bodyDiv w:val="1"/>
      <w:marLeft w:val="0"/>
      <w:marRight w:val="0"/>
      <w:marTop w:val="0"/>
      <w:marBottom w:val="0"/>
      <w:divBdr>
        <w:top w:val="none" w:sz="0" w:space="0" w:color="auto"/>
        <w:left w:val="none" w:sz="0" w:space="0" w:color="auto"/>
        <w:bottom w:val="none" w:sz="0" w:space="0" w:color="auto"/>
        <w:right w:val="none" w:sz="0" w:space="0" w:color="auto"/>
      </w:divBdr>
      <w:divsChild>
        <w:div w:id="1898199089">
          <w:marLeft w:val="0"/>
          <w:marRight w:val="0"/>
          <w:marTop w:val="0"/>
          <w:marBottom w:val="0"/>
          <w:divBdr>
            <w:top w:val="none" w:sz="0" w:space="0" w:color="auto"/>
            <w:left w:val="none" w:sz="0" w:space="0" w:color="auto"/>
            <w:bottom w:val="none" w:sz="0" w:space="0" w:color="auto"/>
            <w:right w:val="none" w:sz="0" w:space="0" w:color="auto"/>
          </w:divBdr>
          <w:divsChild>
            <w:div w:id="928199319">
              <w:marLeft w:val="0"/>
              <w:marRight w:val="0"/>
              <w:marTop w:val="0"/>
              <w:marBottom w:val="0"/>
              <w:divBdr>
                <w:top w:val="none" w:sz="0" w:space="0" w:color="auto"/>
                <w:left w:val="none" w:sz="0" w:space="0" w:color="auto"/>
                <w:bottom w:val="none" w:sz="0" w:space="0" w:color="auto"/>
                <w:right w:val="none" w:sz="0" w:space="0" w:color="auto"/>
              </w:divBdr>
              <w:divsChild>
                <w:div w:id="208346285">
                  <w:marLeft w:val="0"/>
                  <w:marRight w:val="0"/>
                  <w:marTop w:val="0"/>
                  <w:marBottom w:val="0"/>
                  <w:divBdr>
                    <w:top w:val="none" w:sz="0" w:space="0" w:color="auto"/>
                    <w:left w:val="none" w:sz="0" w:space="0" w:color="auto"/>
                    <w:bottom w:val="none" w:sz="0" w:space="0" w:color="auto"/>
                    <w:right w:val="none" w:sz="0" w:space="0" w:color="auto"/>
                  </w:divBdr>
                  <w:divsChild>
                    <w:div w:id="200751895">
                      <w:marLeft w:val="0"/>
                      <w:marRight w:val="0"/>
                      <w:marTop w:val="0"/>
                      <w:marBottom w:val="0"/>
                      <w:divBdr>
                        <w:top w:val="none" w:sz="0" w:space="0" w:color="auto"/>
                        <w:left w:val="none" w:sz="0" w:space="0" w:color="auto"/>
                        <w:bottom w:val="none" w:sz="0" w:space="0" w:color="auto"/>
                        <w:right w:val="none" w:sz="0" w:space="0" w:color="auto"/>
                      </w:divBdr>
                      <w:divsChild>
                        <w:div w:id="597372484">
                          <w:marLeft w:val="0"/>
                          <w:marRight w:val="0"/>
                          <w:marTop w:val="0"/>
                          <w:marBottom w:val="0"/>
                          <w:divBdr>
                            <w:top w:val="none" w:sz="0" w:space="0" w:color="auto"/>
                            <w:left w:val="none" w:sz="0" w:space="0" w:color="auto"/>
                            <w:bottom w:val="none" w:sz="0" w:space="0" w:color="auto"/>
                            <w:right w:val="none" w:sz="0" w:space="0" w:color="auto"/>
                          </w:divBdr>
                          <w:divsChild>
                            <w:div w:id="1719163381">
                              <w:marLeft w:val="0"/>
                              <w:marRight w:val="0"/>
                              <w:marTop w:val="0"/>
                              <w:marBottom w:val="0"/>
                              <w:divBdr>
                                <w:top w:val="none" w:sz="0" w:space="0" w:color="auto"/>
                                <w:left w:val="none" w:sz="0" w:space="0" w:color="auto"/>
                                <w:bottom w:val="none" w:sz="0" w:space="0" w:color="auto"/>
                                <w:right w:val="none" w:sz="0" w:space="0" w:color="auto"/>
                              </w:divBdr>
                              <w:divsChild>
                                <w:div w:id="637758838">
                                  <w:marLeft w:val="0"/>
                                  <w:marRight w:val="0"/>
                                  <w:marTop w:val="0"/>
                                  <w:marBottom w:val="0"/>
                                  <w:divBdr>
                                    <w:top w:val="none" w:sz="0" w:space="0" w:color="auto"/>
                                    <w:left w:val="none" w:sz="0" w:space="0" w:color="auto"/>
                                    <w:bottom w:val="none" w:sz="0" w:space="0" w:color="auto"/>
                                    <w:right w:val="none" w:sz="0" w:space="0" w:color="auto"/>
                                  </w:divBdr>
                                  <w:divsChild>
                                    <w:div w:id="1022513048">
                                      <w:marLeft w:val="0"/>
                                      <w:marRight w:val="0"/>
                                      <w:marTop w:val="0"/>
                                      <w:marBottom w:val="0"/>
                                      <w:divBdr>
                                        <w:top w:val="none" w:sz="0" w:space="0" w:color="auto"/>
                                        <w:left w:val="none" w:sz="0" w:space="0" w:color="auto"/>
                                        <w:bottom w:val="none" w:sz="0" w:space="0" w:color="auto"/>
                                        <w:right w:val="none" w:sz="0" w:space="0" w:color="auto"/>
                                      </w:divBdr>
                                      <w:divsChild>
                                        <w:div w:id="1262252915">
                                          <w:marLeft w:val="0"/>
                                          <w:marRight w:val="0"/>
                                          <w:marTop w:val="0"/>
                                          <w:marBottom w:val="0"/>
                                          <w:divBdr>
                                            <w:top w:val="none" w:sz="0" w:space="0" w:color="auto"/>
                                            <w:left w:val="none" w:sz="0" w:space="0" w:color="auto"/>
                                            <w:bottom w:val="none" w:sz="0" w:space="0" w:color="auto"/>
                                            <w:right w:val="none" w:sz="0" w:space="0" w:color="auto"/>
                                          </w:divBdr>
                                          <w:divsChild>
                                            <w:div w:id="19372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087765">
      <w:bodyDiv w:val="1"/>
      <w:marLeft w:val="0"/>
      <w:marRight w:val="0"/>
      <w:marTop w:val="0"/>
      <w:marBottom w:val="0"/>
      <w:divBdr>
        <w:top w:val="none" w:sz="0" w:space="0" w:color="auto"/>
        <w:left w:val="none" w:sz="0" w:space="0" w:color="auto"/>
        <w:bottom w:val="none" w:sz="0" w:space="0" w:color="auto"/>
        <w:right w:val="none" w:sz="0" w:space="0" w:color="auto"/>
      </w:divBdr>
    </w:div>
    <w:div w:id="1442528020">
      <w:bodyDiv w:val="1"/>
      <w:marLeft w:val="0"/>
      <w:marRight w:val="0"/>
      <w:marTop w:val="0"/>
      <w:marBottom w:val="0"/>
      <w:divBdr>
        <w:top w:val="none" w:sz="0" w:space="0" w:color="auto"/>
        <w:left w:val="none" w:sz="0" w:space="0" w:color="auto"/>
        <w:bottom w:val="none" w:sz="0" w:space="0" w:color="auto"/>
        <w:right w:val="none" w:sz="0" w:space="0" w:color="auto"/>
      </w:divBdr>
    </w:div>
    <w:div w:id="1892303343">
      <w:bodyDiv w:val="1"/>
      <w:marLeft w:val="0"/>
      <w:marRight w:val="0"/>
      <w:marTop w:val="0"/>
      <w:marBottom w:val="0"/>
      <w:divBdr>
        <w:top w:val="none" w:sz="0" w:space="0" w:color="auto"/>
        <w:left w:val="none" w:sz="0" w:space="0" w:color="auto"/>
        <w:bottom w:val="none" w:sz="0" w:space="0" w:color="auto"/>
        <w:right w:val="none" w:sz="0" w:space="0" w:color="auto"/>
      </w:divBdr>
    </w:div>
    <w:div w:id="19972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ja.stamm@meduniwien.a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ebm.net/index.aspx?o=5653"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E3530-D29B-48D4-BFF8-A59A9CED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44</Pages>
  <Words>11277</Words>
  <Characters>64281</Characters>
  <Application>Microsoft Office Word</Application>
  <DocSecurity>0</DocSecurity>
  <Lines>535</Lines>
  <Paragraphs>150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75408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Nicky</dc:creator>
  <cp:keywords/>
  <dc:description/>
  <cp:lastModifiedBy>Nicky Wilson</cp:lastModifiedBy>
  <cp:revision>3</cp:revision>
  <cp:lastPrinted>2019-08-10T07:27:00Z</cp:lastPrinted>
  <dcterms:created xsi:type="dcterms:W3CDTF">2020-02-11T14:38:00Z</dcterms:created>
  <dcterms:modified xsi:type="dcterms:W3CDTF">2020-02-11T14:52:00Z</dcterms:modified>
</cp:coreProperties>
</file>